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B6FE5A" w14:textId="5C9F3D02" w:rsidR="009F7341" w:rsidRDefault="009F7341" w:rsidP="009F7341">
      <w:pPr>
        <w:spacing w:after="0" w:line="360" w:lineRule="auto"/>
        <w:jc w:val="both"/>
        <w:rPr>
          <w:rFonts w:ascii="Arial" w:hAnsi="Arial" w:cs="Arial"/>
          <w:sz w:val="24"/>
          <w:szCs w:val="24"/>
          <w:lang w:val="en-US"/>
        </w:rPr>
      </w:pPr>
    </w:p>
    <w:p w14:paraId="7CDD4095" w14:textId="015A9877" w:rsidR="009F7341" w:rsidRDefault="00636A7E" w:rsidP="00636A7E">
      <w:pPr>
        <w:spacing w:after="0" w:line="360" w:lineRule="auto"/>
        <w:jc w:val="center"/>
        <w:rPr>
          <w:rFonts w:ascii="Arial" w:hAnsi="Arial" w:cs="Arial"/>
          <w:sz w:val="24"/>
          <w:szCs w:val="24"/>
          <w:lang w:val="en-US"/>
        </w:rPr>
      </w:pPr>
      <w:r>
        <w:rPr>
          <w:rFonts w:ascii="Arial" w:hAnsi="Arial" w:cs="Arial"/>
          <w:noProof/>
          <w:sz w:val="24"/>
          <w:szCs w:val="24"/>
          <w:lang w:val="en-US"/>
        </w:rPr>
        <w:drawing>
          <wp:inline distT="0" distB="0" distL="0" distR="0" wp14:anchorId="0B97B120" wp14:editId="6132CF8C">
            <wp:extent cx="2011680" cy="1767840"/>
            <wp:effectExtent l="0" t="0" r="7620" b="3810"/>
            <wp:docPr id="843383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767840"/>
                    </a:xfrm>
                    <a:prstGeom prst="rect">
                      <a:avLst/>
                    </a:prstGeom>
                    <a:noFill/>
                  </pic:spPr>
                </pic:pic>
              </a:graphicData>
            </a:graphic>
          </wp:inline>
        </w:drawing>
      </w:r>
    </w:p>
    <w:p w14:paraId="53C39C37" w14:textId="235BA3A2" w:rsidR="009F7341" w:rsidRPr="00E37044" w:rsidRDefault="00313AD1" w:rsidP="00E37044">
      <w:pPr>
        <w:spacing w:after="0" w:line="480" w:lineRule="auto"/>
        <w:jc w:val="center"/>
        <w:rPr>
          <w:rFonts w:ascii="Verdana" w:hAnsi="Verdana" w:cs="Arial"/>
          <w:b/>
          <w:bCs/>
          <w:sz w:val="24"/>
          <w:szCs w:val="24"/>
          <w:lang w:val="en-US"/>
        </w:rPr>
      </w:pPr>
      <w:r w:rsidRPr="00E37044">
        <w:rPr>
          <w:rFonts w:ascii="Verdana" w:hAnsi="Verdana" w:cs="Arial"/>
          <w:b/>
          <w:bCs/>
          <w:sz w:val="24"/>
          <w:szCs w:val="24"/>
          <w:lang w:val="en-US"/>
        </w:rPr>
        <w:t xml:space="preserve">IN THE HIGH COURT OF SOUTH AFRICA </w:t>
      </w:r>
    </w:p>
    <w:p w14:paraId="7CA62CE8" w14:textId="1D9BD768" w:rsidR="00313AD1" w:rsidRPr="00E37044" w:rsidRDefault="00313AD1" w:rsidP="00E37044">
      <w:pPr>
        <w:spacing w:after="0" w:line="480" w:lineRule="auto"/>
        <w:jc w:val="center"/>
        <w:rPr>
          <w:rFonts w:ascii="Verdana" w:hAnsi="Verdana" w:cs="Arial"/>
          <w:b/>
          <w:bCs/>
          <w:sz w:val="24"/>
          <w:szCs w:val="24"/>
          <w:lang w:val="en-US"/>
        </w:rPr>
      </w:pPr>
      <w:r w:rsidRPr="00E37044">
        <w:rPr>
          <w:rFonts w:ascii="Verdana" w:hAnsi="Verdana" w:cs="Arial"/>
          <w:b/>
          <w:bCs/>
          <w:sz w:val="24"/>
          <w:szCs w:val="24"/>
          <w:lang w:val="en-US"/>
        </w:rPr>
        <w:t xml:space="preserve">(GAUTENG DIVISION, PRETORIA) </w:t>
      </w:r>
    </w:p>
    <w:p w14:paraId="250CCBF5" w14:textId="0E4625AA" w:rsidR="009F7341" w:rsidRPr="00E37044" w:rsidRDefault="00D96362" w:rsidP="00392F97">
      <w:pPr>
        <w:spacing w:after="0" w:line="360" w:lineRule="auto"/>
        <w:jc w:val="center"/>
        <w:rPr>
          <w:rFonts w:ascii="Verdana" w:hAnsi="Verdana" w:cs="Arial"/>
          <w:b/>
          <w:bCs/>
          <w:sz w:val="24"/>
          <w:szCs w:val="24"/>
          <w:lang w:val="en-US"/>
        </w:rPr>
      </w:pPr>
      <w:r w:rsidRPr="00E37044">
        <w:rPr>
          <w:rFonts w:ascii="Verdana" w:hAnsi="Verdana" w:cs="Times New Roman"/>
          <w:noProof/>
          <w:color w:val="4472C4" w:themeColor="accent1"/>
          <w:lang w:val="en-US"/>
        </w:rPr>
        <mc:AlternateContent>
          <mc:Choice Requires="wps">
            <w:drawing>
              <wp:anchor distT="0" distB="0" distL="114300" distR="114300" simplePos="0" relativeHeight="251659264" behindDoc="0" locked="0" layoutInCell="1" allowOverlap="1" wp14:anchorId="65CB12E4" wp14:editId="27FF5BF4">
                <wp:simplePos x="0" y="0"/>
                <wp:positionH relativeFrom="margin">
                  <wp:align>left</wp:align>
                </wp:positionH>
                <wp:positionV relativeFrom="paragraph">
                  <wp:posOffset>158911</wp:posOffset>
                </wp:positionV>
                <wp:extent cx="2933700" cy="1724628"/>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3700" cy="1724628"/>
                        </a:xfrm>
                        <a:prstGeom prst="rect">
                          <a:avLst/>
                        </a:prstGeom>
                        <a:solidFill>
                          <a:srgbClr val="FFFFFF"/>
                        </a:solidFill>
                        <a:ln w="9525">
                          <a:solidFill>
                            <a:srgbClr val="000000"/>
                          </a:solidFill>
                          <a:miter lim="800000"/>
                          <a:headEnd/>
                          <a:tailEnd/>
                        </a:ln>
                      </wps:spPr>
                      <wps:txbx>
                        <w:txbxContent>
                          <w:p w14:paraId="66E7F4B6" w14:textId="77777777" w:rsidR="00C80F0E" w:rsidRPr="00913F95" w:rsidRDefault="00C80F0E" w:rsidP="00D96362">
                            <w:pPr>
                              <w:jc w:val="center"/>
                              <w:rPr>
                                <w:rFonts w:ascii="Century Gothic" w:hAnsi="Century Gothic"/>
                                <w:b/>
                                <w:sz w:val="20"/>
                                <w:szCs w:val="20"/>
                              </w:rPr>
                            </w:pPr>
                          </w:p>
                          <w:p w14:paraId="6BA3CE4B" w14:textId="77777777" w:rsidR="00C80F0E" w:rsidRPr="00845C3A" w:rsidRDefault="00C80F0E" w:rsidP="00D96362">
                            <w:pPr>
                              <w:widowControl w:val="0"/>
                              <w:tabs>
                                <w:tab w:val="center" w:pos="2419"/>
                                <w:tab w:val="right" w:pos="4838"/>
                              </w:tabs>
                              <w:autoSpaceDE w:val="0"/>
                              <w:autoSpaceDN w:val="0"/>
                              <w:adjustRightInd w:val="0"/>
                              <w:rPr>
                                <w:rFonts w:ascii="Verdana" w:hAnsi="Verdana"/>
                                <w:sz w:val="18"/>
                                <w:szCs w:val="18"/>
                              </w:rPr>
                            </w:pPr>
                            <w:r w:rsidRPr="00845C3A">
                              <w:rPr>
                                <w:rFonts w:ascii="Verdana" w:hAnsi="Verdana"/>
                                <w:sz w:val="18"/>
                                <w:szCs w:val="18"/>
                              </w:rPr>
                              <w:t>DELETE WHICHEVER IS NOT APPLICABLE</w:t>
                            </w:r>
                          </w:p>
                          <w:p w14:paraId="062E0DD5" w14:textId="1E106D18" w:rsidR="00C80F0E" w:rsidRPr="00845C3A" w:rsidRDefault="00C80F0E" w:rsidP="00D96362">
                            <w:pPr>
                              <w:widowControl w:val="0"/>
                              <w:numPr>
                                <w:ilvl w:val="0"/>
                                <w:numId w:val="21"/>
                              </w:numPr>
                              <w:autoSpaceDE w:val="0"/>
                              <w:autoSpaceDN w:val="0"/>
                              <w:adjustRightInd w:val="0"/>
                              <w:spacing w:after="0" w:line="240" w:lineRule="auto"/>
                              <w:ind w:left="238" w:hanging="238"/>
                              <w:contextualSpacing/>
                              <w:rPr>
                                <w:rFonts w:ascii="Verdana" w:hAnsi="Verdana"/>
                                <w:sz w:val="18"/>
                                <w:szCs w:val="18"/>
                                <w:lang w:val="af-ZA"/>
                              </w:rPr>
                            </w:pPr>
                            <w:r w:rsidRPr="00845C3A">
                              <w:rPr>
                                <w:rFonts w:ascii="Verdana" w:hAnsi="Verdana"/>
                                <w:sz w:val="18"/>
                                <w:szCs w:val="18"/>
                                <w:lang w:val="af-ZA"/>
                              </w:rPr>
                              <w:t>REPORTABLE: NO</w:t>
                            </w:r>
                          </w:p>
                          <w:p w14:paraId="2FD55E26" w14:textId="6EB91A8D" w:rsidR="00C80F0E" w:rsidRPr="00845C3A" w:rsidRDefault="00C80F0E" w:rsidP="00D96362">
                            <w:pPr>
                              <w:widowControl w:val="0"/>
                              <w:numPr>
                                <w:ilvl w:val="0"/>
                                <w:numId w:val="21"/>
                              </w:numPr>
                              <w:autoSpaceDE w:val="0"/>
                              <w:autoSpaceDN w:val="0"/>
                              <w:adjustRightInd w:val="0"/>
                              <w:spacing w:after="0" w:line="240" w:lineRule="auto"/>
                              <w:ind w:left="238" w:hanging="238"/>
                              <w:contextualSpacing/>
                              <w:rPr>
                                <w:rFonts w:ascii="Verdana" w:hAnsi="Verdana"/>
                                <w:sz w:val="18"/>
                                <w:szCs w:val="18"/>
                                <w:lang w:val="af-ZA"/>
                              </w:rPr>
                            </w:pPr>
                            <w:r w:rsidRPr="00845C3A">
                              <w:rPr>
                                <w:rFonts w:ascii="Verdana" w:hAnsi="Verdana"/>
                                <w:sz w:val="18"/>
                                <w:szCs w:val="18"/>
                                <w:lang w:val="af-ZA"/>
                              </w:rPr>
                              <w:t>OF INTEREST TO OTHERS JUDGES: NO</w:t>
                            </w:r>
                          </w:p>
                          <w:p w14:paraId="2789B35E" w14:textId="77C84D2C" w:rsidR="00C80F0E" w:rsidRPr="00845C3A" w:rsidRDefault="00C80F0E" w:rsidP="00D96362">
                            <w:pPr>
                              <w:widowControl w:val="0"/>
                              <w:numPr>
                                <w:ilvl w:val="0"/>
                                <w:numId w:val="21"/>
                              </w:numPr>
                              <w:autoSpaceDE w:val="0"/>
                              <w:autoSpaceDN w:val="0"/>
                              <w:adjustRightInd w:val="0"/>
                              <w:spacing w:after="0" w:line="240" w:lineRule="auto"/>
                              <w:ind w:left="238" w:hanging="238"/>
                              <w:contextualSpacing/>
                              <w:rPr>
                                <w:rFonts w:ascii="Verdana" w:hAnsi="Verdana"/>
                                <w:sz w:val="18"/>
                                <w:szCs w:val="18"/>
                                <w:lang w:val="af-ZA"/>
                              </w:rPr>
                            </w:pPr>
                            <w:r w:rsidRPr="00845C3A">
                              <w:rPr>
                                <w:rFonts w:ascii="Verdana" w:hAnsi="Verdana"/>
                                <w:sz w:val="18"/>
                                <w:szCs w:val="18"/>
                                <w:lang w:val="af-ZA"/>
                              </w:rPr>
                              <w:t>REVISED: NO</w:t>
                            </w:r>
                          </w:p>
                          <w:p w14:paraId="3DBC0E52" w14:textId="45931853" w:rsidR="00C80F0E" w:rsidRDefault="00C80F0E" w:rsidP="00D96362">
                            <w:pPr>
                              <w:tabs>
                                <w:tab w:val="center" w:pos="2419"/>
                                <w:tab w:val="right" w:pos="4838"/>
                              </w:tabs>
                              <w:spacing w:after="112" w:line="276" w:lineRule="auto"/>
                              <w:contextualSpacing/>
                              <w:rPr>
                                <w:noProof/>
                                <w:u w:val="single"/>
                                <w:lang w:val="en-US"/>
                              </w:rPr>
                            </w:pPr>
                            <w:r>
                              <w:rPr>
                                <w:sz w:val="20"/>
                                <w:szCs w:val="20"/>
                                <w:lang w:val="af-ZA"/>
                              </w:rPr>
                              <w:t xml:space="preserve"> </w:t>
                            </w:r>
                            <w:r w:rsidRPr="0078369F">
                              <w:rPr>
                                <w:sz w:val="20"/>
                                <w:szCs w:val="20"/>
                                <w:u w:val="single"/>
                                <w:lang w:val="af-ZA"/>
                              </w:rPr>
                              <w:t xml:space="preserve"> </w:t>
                            </w:r>
                            <w:r w:rsidR="0086599F">
                              <w:rPr>
                                <w:sz w:val="20"/>
                                <w:szCs w:val="20"/>
                                <w:u w:val="single"/>
                                <w:lang w:val="af-ZA"/>
                              </w:rPr>
                              <w:t xml:space="preserve">08 April </w:t>
                            </w:r>
                            <w:r w:rsidRPr="0078369F">
                              <w:rPr>
                                <w:sz w:val="20"/>
                                <w:szCs w:val="20"/>
                                <w:u w:val="single"/>
                                <w:lang w:val="af-ZA"/>
                              </w:rPr>
                              <w:t>202</w:t>
                            </w:r>
                            <w:r w:rsidR="0086599F">
                              <w:rPr>
                                <w:sz w:val="20"/>
                                <w:szCs w:val="20"/>
                                <w:u w:val="single"/>
                                <w:lang w:val="af-ZA"/>
                              </w:rPr>
                              <w:t>4</w:t>
                            </w:r>
                            <w:r>
                              <w:rPr>
                                <w:sz w:val="20"/>
                                <w:szCs w:val="20"/>
                                <w:lang w:val="af-ZA"/>
                              </w:rPr>
                              <w:t xml:space="preserve">       </w:t>
                            </w:r>
                            <w:r w:rsidR="0086599F">
                              <w:rPr>
                                <w:sz w:val="20"/>
                                <w:szCs w:val="20"/>
                                <w:lang w:val="af-ZA"/>
                              </w:rPr>
                              <w:t xml:space="preserve">                           </w:t>
                            </w:r>
                            <w:r>
                              <w:rPr>
                                <w:sz w:val="20"/>
                                <w:szCs w:val="20"/>
                                <w:lang w:val="af-ZA"/>
                              </w:rPr>
                              <w:t xml:space="preserve"> </w:t>
                            </w:r>
                          </w:p>
                          <w:p w14:paraId="05950327" w14:textId="77777777" w:rsidR="005E25B9" w:rsidRDefault="005E25B9" w:rsidP="00D96362">
                            <w:pPr>
                              <w:tabs>
                                <w:tab w:val="center" w:pos="2419"/>
                                <w:tab w:val="right" w:pos="4838"/>
                              </w:tabs>
                              <w:spacing w:after="112" w:line="276" w:lineRule="auto"/>
                              <w:contextualSpacing/>
                              <w:rPr>
                                <w:sz w:val="20"/>
                                <w:szCs w:val="20"/>
                                <w:lang w:val="af-ZA"/>
                              </w:rPr>
                            </w:pPr>
                          </w:p>
                          <w:p w14:paraId="7960E254" w14:textId="3A68F02E" w:rsidR="00C80F0E" w:rsidRPr="00D96362" w:rsidRDefault="0086599F" w:rsidP="00D96362">
                            <w:pPr>
                              <w:tabs>
                                <w:tab w:val="center" w:pos="2419"/>
                                <w:tab w:val="right" w:pos="4838"/>
                              </w:tabs>
                              <w:spacing w:after="112" w:line="276" w:lineRule="auto"/>
                              <w:contextualSpacing/>
                              <w:rPr>
                                <w:sz w:val="20"/>
                                <w:szCs w:val="20"/>
                                <w:lang w:val="af-ZA"/>
                              </w:rPr>
                            </w:pPr>
                            <w:r>
                              <w:rPr>
                                <w:sz w:val="20"/>
                                <w:szCs w:val="20"/>
                                <w:lang w:val="af-ZA"/>
                              </w:rPr>
                              <w:t xml:space="preserve"> Date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12E4" id="_x0000_t202" coordsize="21600,21600" o:spt="202" path="m,l,21600r21600,l21600,xe">
                <v:stroke joinstyle="miter"/>
                <v:path gradientshapeok="t" o:connecttype="rect"/>
              </v:shapetype>
              <v:shape id="Text Box 2" o:spid="_x0000_s1026" type="#_x0000_t202" style="position:absolute;left:0;text-align:left;margin-left:0;margin-top:12.5pt;width:231pt;height:135.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">
                <v:path arrowok="t"/>
                <v:textbox>
                  <w:txbxContent>
                    <w:p w14:paraId="66E7F4B6" w14:textId="77777777" w:rsidR="00C80F0E" w:rsidRPr="00913F95" w:rsidRDefault="00C80F0E" w:rsidP="00D96362">
                      <w:pPr>
                        <w:jc w:val="center"/>
                        <w:rPr>
                          <w:rFonts w:ascii="Century Gothic" w:hAnsi="Century Gothic"/>
                          <w:b/>
                          <w:sz w:val="20"/>
                          <w:szCs w:val="20"/>
                        </w:rPr>
                      </w:pPr>
                    </w:p>
                    <w:p w14:paraId="6BA3CE4B" w14:textId="77777777" w:rsidR="00C80F0E" w:rsidRPr="00845C3A" w:rsidRDefault="00C80F0E" w:rsidP="00D96362">
                      <w:pPr>
                        <w:widowControl w:val="0"/>
                        <w:tabs>
                          <w:tab w:val="center" w:pos="2419"/>
                          <w:tab w:val="right" w:pos="4838"/>
                        </w:tabs>
                        <w:autoSpaceDE w:val="0"/>
                        <w:autoSpaceDN w:val="0"/>
                        <w:adjustRightInd w:val="0"/>
                        <w:rPr>
                          <w:rFonts w:ascii="Verdana" w:hAnsi="Verdana"/>
                          <w:sz w:val="18"/>
                          <w:szCs w:val="18"/>
                        </w:rPr>
                      </w:pPr>
                      <w:r w:rsidRPr="00845C3A">
                        <w:rPr>
                          <w:rFonts w:ascii="Verdana" w:hAnsi="Verdana"/>
                          <w:sz w:val="18"/>
                          <w:szCs w:val="18"/>
                        </w:rPr>
                        <w:t>DELETE WHICHEVER IS NOT APPLICABLE</w:t>
                      </w:r>
                    </w:p>
                    <w:p w14:paraId="062E0DD5" w14:textId="1E106D18" w:rsidR="00C80F0E" w:rsidRPr="00845C3A" w:rsidRDefault="00C80F0E" w:rsidP="00D96362">
                      <w:pPr>
                        <w:widowControl w:val="0"/>
                        <w:numPr>
                          <w:ilvl w:val="0"/>
                          <w:numId w:val="21"/>
                        </w:numPr>
                        <w:autoSpaceDE w:val="0"/>
                        <w:autoSpaceDN w:val="0"/>
                        <w:adjustRightInd w:val="0"/>
                        <w:spacing w:after="0" w:line="240" w:lineRule="auto"/>
                        <w:ind w:left="238" w:hanging="238"/>
                        <w:contextualSpacing/>
                        <w:rPr>
                          <w:rFonts w:ascii="Verdana" w:hAnsi="Verdana"/>
                          <w:sz w:val="18"/>
                          <w:szCs w:val="18"/>
                          <w:lang w:val="af-ZA"/>
                        </w:rPr>
                      </w:pPr>
                      <w:r w:rsidRPr="00845C3A">
                        <w:rPr>
                          <w:rFonts w:ascii="Verdana" w:hAnsi="Verdana"/>
                          <w:sz w:val="18"/>
                          <w:szCs w:val="18"/>
                          <w:lang w:val="af-ZA"/>
                        </w:rPr>
                        <w:t>REPORTABLE: NO</w:t>
                      </w:r>
                    </w:p>
                    <w:p w14:paraId="2FD55E26" w14:textId="6EB91A8D" w:rsidR="00C80F0E" w:rsidRPr="00845C3A" w:rsidRDefault="00C80F0E" w:rsidP="00D96362">
                      <w:pPr>
                        <w:widowControl w:val="0"/>
                        <w:numPr>
                          <w:ilvl w:val="0"/>
                          <w:numId w:val="21"/>
                        </w:numPr>
                        <w:autoSpaceDE w:val="0"/>
                        <w:autoSpaceDN w:val="0"/>
                        <w:adjustRightInd w:val="0"/>
                        <w:spacing w:after="0" w:line="240" w:lineRule="auto"/>
                        <w:ind w:left="238" w:hanging="238"/>
                        <w:contextualSpacing/>
                        <w:rPr>
                          <w:rFonts w:ascii="Verdana" w:hAnsi="Verdana"/>
                          <w:sz w:val="18"/>
                          <w:szCs w:val="18"/>
                          <w:lang w:val="af-ZA"/>
                        </w:rPr>
                      </w:pPr>
                      <w:r w:rsidRPr="00845C3A">
                        <w:rPr>
                          <w:rFonts w:ascii="Verdana" w:hAnsi="Verdana"/>
                          <w:sz w:val="18"/>
                          <w:szCs w:val="18"/>
                          <w:lang w:val="af-ZA"/>
                        </w:rPr>
                        <w:t>OF INTEREST TO OTHERS JUDGES: NO</w:t>
                      </w:r>
                    </w:p>
                    <w:p w14:paraId="2789B35E" w14:textId="77C84D2C" w:rsidR="00C80F0E" w:rsidRPr="00845C3A" w:rsidRDefault="00C80F0E" w:rsidP="00D96362">
                      <w:pPr>
                        <w:widowControl w:val="0"/>
                        <w:numPr>
                          <w:ilvl w:val="0"/>
                          <w:numId w:val="21"/>
                        </w:numPr>
                        <w:autoSpaceDE w:val="0"/>
                        <w:autoSpaceDN w:val="0"/>
                        <w:adjustRightInd w:val="0"/>
                        <w:spacing w:after="0" w:line="240" w:lineRule="auto"/>
                        <w:ind w:left="238" w:hanging="238"/>
                        <w:contextualSpacing/>
                        <w:rPr>
                          <w:rFonts w:ascii="Verdana" w:hAnsi="Verdana"/>
                          <w:sz w:val="18"/>
                          <w:szCs w:val="18"/>
                          <w:lang w:val="af-ZA"/>
                        </w:rPr>
                      </w:pPr>
                      <w:r w:rsidRPr="00845C3A">
                        <w:rPr>
                          <w:rFonts w:ascii="Verdana" w:hAnsi="Verdana"/>
                          <w:sz w:val="18"/>
                          <w:szCs w:val="18"/>
                          <w:lang w:val="af-ZA"/>
                        </w:rPr>
                        <w:t>REVISED: NO</w:t>
                      </w:r>
                    </w:p>
                    <w:p w14:paraId="3DBC0E52" w14:textId="45931853" w:rsidR="00C80F0E" w:rsidRDefault="00C80F0E" w:rsidP="00D96362">
                      <w:pPr>
                        <w:tabs>
                          <w:tab w:val="center" w:pos="2419"/>
                          <w:tab w:val="right" w:pos="4838"/>
                        </w:tabs>
                        <w:spacing w:after="112" w:line="276" w:lineRule="auto"/>
                        <w:contextualSpacing/>
                        <w:rPr>
                          <w:noProof/>
                          <w:u w:val="single"/>
                          <w:lang w:val="en-US"/>
                        </w:rPr>
                      </w:pPr>
                      <w:r>
                        <w:rPr>
                          <w:sz w:val="20"/>
                          <w:szCs w:val="20"/>
                          <w:lang w:val="af-ZA"/>
                        </w:rPr>
                        <w:t xml:space="preserve"> </w:t>
                      </w:r>
                      <w:r w:rsidRPr="0078369F">
                        <w:rPr>
                          <w:sz w:val="20"/>
                          <w:szCs w:val="20"/>
                          <w:u w:val="single"/>
                          <w:lang w:val="af-ZA"/>
                        </w:rPr>
                        <w:t xml:space="preserve"> </w:t>
                      </w:r>
                      <w:r w:rsidR="0086599F">
                        <w:rPr>
                          <w:sz w:val="20"/>
                          <w:szCs w:val="20"/>
                          <w:u w:val="single"/>
                          <w:lang w:val="af-ZA"/>
                        </w:rPr>
                        <w:t xml:space="preserve">08 April </w:t>
                      </w:r>
                      <w:r w:rsidRPr="0078369F">
                        <w:rPr>
                          <w:sz w:val="20"/>
                          <w:szCs w:val="20"/>
                          <w:u w:val="single"/>
                          <w:lang w:val="af-ZA"/>
                        </w:rPr>
                        <w:t>202</w:t>
                      </w:r>
                      <w:r w:rsidR="0086599F">
                        <w:rPr>
                          <w:sz w:val="20"/>
                          <w:szCs w:val="20"/>
                          <w:u w:val="single"/>
                          <w:lang w:val="af-ZA"/>
                        </w:rPr>
                        <w:t>4</w:t>
                      </w:r>
                      <w:r>
                        <w:rPr>
                          <w:sz w:val="20"/>
                          <w:szCs w:val="20"/>
                          <w:lang w:val="af-ZA"/>
                        </w:rPr>
                        <w:t xml:space="preserve">       </w:t>
                      </w:r>
                      <w:r w:rsidR="0086599F">
                        <w:rPr>
                          <w:sz w:val="20"/>
                          <w:szCs w:val="20"/>
                          <w:lang w:val="af-ZA"/>
                        </w:rPr>
                        <w:t xml:space="preserve">                           </w:t>
                      </w:r>
                      <w:r>
                        <w:rPr>
                          <w:sz w:val="20"/>
                          <w:szCs w:val="20"/>
                          <w:lang w:val="af-ZA"/>
                        </w:rPr>
                        <w:t xml:space="preserve"> </w:t>
                      </w:r>
                    </w:p>
                    <w:p w14:paraId="05950327" w14:textId="77777777" w:rsidR="005E25B9" w:rsidRDefault="005E25B9" w:rsidP="00D96362">
                      <w:pPr>
                        <w:tabs>
                          <w:tab w:val="center" w:pos="2419"/>
                          <w:tab w:val="right" w:pos="4838"/>
                        </w:tabs>
                        <w:spacing w:after="112" w:line="276" w:lineRule="auto"/>
                        <w:contextualSpacing/>
                        <w:rPr>
                          <w:sz w:val="20"/>
                          <w:szCs w:val="20"/>
                          <w:lang w:val="af-ZA"/>
                        </w:rPr>
                      </w:pPr>
                    </w:p>
                    <w:p w14:paraId="7960E254" w14:textId="3A68F02E" w:rsidR="00C80F0E" w:rsidRPr="00D96362" w:rsidRDefault="0086599F" w:rsidP="00D96362">
                      <w:pPr>
                        <w:tabs>
                          <w:tab w:val="center" w:pos="2419"/>
                          <w:tab w:val="right" w:pos="4838"/>
                        </w:tabs>
                        <w:spacing w:after="112" w:line="276" w:lineRule="auto"/>
                        <w:contextualSpacing/>
                        <w:rPr>
                          <w:sz w:val="20"/>
                          <w:szCs w:val="20"/>
                          <w:lang w:val="af-ZA"/>
                        </w:rPr>
                      </w:pPr>
                      <w:r>
                        <w:rPr>
                          <w:sz w:val="20"/>
                          <w:szCs w:val="20"/>
                          <w:lang w:val="af-ZA"/>
                        </w:rPr>
                        <w:t xml:space="preserve"> Date                                                 Signature</w:t>
                      </w:r>
                    </w:p>
                  </w:txbxContent>
                </v:textbox>
                <w10:wrap anchorx="margin"/>
              </v:shape>
            </w:pict>
          </mc:Fallback>
        </mc:AlternateContent>
      </w:r>
      <w:r w:rsidR="00312506" w:rsidRPr="00E37044">
        <w:rPr>
          <w:rFonts w:ascii="Verdana" w:hAnsi="Verdana" w:cs="Arial"/>
          <w:b/>
          <w:bCs/>
          <w:sz w:val="24"/>
          <w:szCs w:val="24"/>
          <w:lang w:val="en-US"/>
        </w:rPr>
        <w:t xml:space="preserve">                                                                                              </w:t>
      </w:r>
      <w:r w:rsidRPr="00E37044">
        <w:rPr>
          <w:rFonts w:ascii="Verdana" w:hAnsi="Verdana" w:cs="Arial"/>
          <w:b/>
          <w:bCs/>
          <w:sz w:val="24"/>
          <w:szCs w:val="24"/>
          <w:lang w:val="en-US"/>
        </w:rPr>
        <w:t xml:space="preserve"> </w:t>
      </w:r>
    </w:p>
    <w:p w14:paraId="50687D77" w14:textId="77777777" w:rsidR="009F7341" w:rsidRPr="00E37044" w:rsidRDefault="009F7341" w:rsidP="009F7341">
      <w:pPr>
        <w:spacing w:after="0" w:line="360" w:lineRule="auto"/>
        <w:jc w:val="both"/>
        <w:rPr>
          <w:rFonts w:ascii="Verdana" w:hAnsi="Verdana" w:cs="Arial"/>
          <w:sz w:val="24"/>
          <w:szCs w:val="24"/>
          <w:lang w:val="en-US"/>
        </w:rPr>
      </w:pPr>
    </w:p>
    <w:p w14:paraId="0F061F3F" w14:textId="5A9F182C" w:rsidR="009F7341" w:rsidRPr="00E37044" w:rsidRDefault="009F7341" w:rsidP="009F7341">
      <w:pPr>
        <w:spacing w:after="0" w:line="360" w:lineRule="auto"/>
        <w:jc w:val="both"/>
        <w:rPr>
          <w:rFonts w:ascii="Verdana" w:hAnsi="Verdana" w:cs="Arial"/>
          <w:sz w:val="24"/>
          <w:szCs w:val="24"/>
          <w:lang w:val="en-US"/>
        </w:rPr>
      </w:pPr>
    </w:p>
    <w:p w14:paraId="2CC1F15F" w14:textId="77777777" w:rsidR="009F7341" w:rsidRPr="00E37044" w:rsidRDefault="009F7341" w:rsidP="009F7341">
      <w:pPr>
        <w:spacing w:after="0" w:line="360" w:lineRule="auto"/>
        <w:jc w:val="both"/>
        <w:rPr>
          <w:rFonts w:ascii="Verdana" w:hAnsi="Verdana" w:cs="Arial"/>
          <w:sz w:val="24"/>
          <w:szCs w:val="24"/>
          <w:lang w:val="en-US"/>
        </w:rPr>
      </w:pPr>
    </w:p>
    <w:p w14:paraId="1BD000B7" w14:textId="77777777" w:rsidR="009F7341" w:rsidRPr="00E37044" w:rsidRDefault="009F7341" w:rsidP="009F7341">
      <w:pPr>
        <w:spacing w:after="0" w:line="360" w:lineRule="auto"/>
        <w:jc w:val="both"/>
        <w:rPr>
          <w:rFonts w:ascii="Verdana" w:hAnsi="Verdana" w:cs="Arial"/>
          <w:sz w:val="24"/>
          <w:szCs w:val="24"/>
          <w:lang w:val="en-US"/>
        </w:rPr>
      </w:pPr>
    </w:p>
    <w:p w14:paraId="546103A8" w14:textId="77777777" w:rsidR="009F7341" w:rsidRPr="00E37044" w:rsidRDefault="009F7341" w:rsidP="009F7341">
      <w:pPr>
        <w:spacing w:after="0" w:line="360" w:lineRule="auto"/>
        <w:jc w:val="both"/>
        <w:rPr>
          <w:rFonts w:ascii="Verdana" w:hAnsi="Verdana" w:cs="Arial"/>
          <w:sz w:val="24"/>
          <w:szCs w:val="24"/>
          <w:lang w:val="en-US"/>
        </w:rPr>
      </w:pPr>
    </w:p>
    <w:p w14:paraId="3B27AFF5" w14:textId="77777777" w:rsidR="009F7341" w:rsidRDefault="009F7341" w:rsidP="009F7341">
      <w:pPr>
        <w:spacing w:after="0" w:line="360" w:lineRule="auto"/>
        <w:jc w:val="both"/>
        <w:rPr>
          <w:rFonts w:ascii="Arial" w:hAnsi="Arial" w:cs="Arial"/>
          <w:sz w:val="24"/>
          <w:szCs w:val="24"/>
          <w:lang w:val="en-US"/>
        </w:rPr>
      </w:pPr>
    </w:p>
    <w:p w14:paraId="4200F854" w14:textId="453E537F" w:rsidR="000E7C38" w:rsidRDefault="00E37044" w:rsidP="009F7341">
      <w:pPr>
        <w:spacing w:after="0" w:line="360" w:lineRule="auto"/>
        <w:jc w:val="both"/>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061291">
        <w:rPr>
          <w:rFonts w:ascii="Arial" w:hAnsi="Arial" w:cs="Arial"/>
          <w:sz w:val="24"/>
          <w:szCs w:val="24"/>
          <w:lang w:val="en-US"/>
        </w:rPr>
        <w:t xml:space="preserve">                 </w:t>
      </w:r>
      <w:r>
        <w:rPr>
          <w:rFonts w:ascii="Arial" w:hAnsi="Arial" w:cs="Arial"/>
          <w:sz w:val="24"/>
          <w:szCs w:val="24"/>
          <w:lang w:val="en-US"/>
        </w:rPr>
        <w:t xml:space="preserve">Case Number: </w:t>
      </w:r>
      <w:r w:rsidR="00B27F94">
        <w:rPr>
          <w:rFonts w:ascii="Arial" w:hAnsi="Arial" w:cs="Arial"/>
          <w:sz w:val="24"/>
          <w:szCs w:val="24"/>
          <w:lang w:val="en-US"/>
        </w:rPr>
        <w:t>58541/2020</w:t>
      </w:r>
    </w:p>
    <w:p w14:paraId="52576060" w14:textId="77777777" w:rsidR="00E37044" w:rsidRDefault="00E37044" w:rsidP="009F7341">
      <w:pPr>
        <w:spacing w:after="0" w:line="360" w:lineRule="auto"/>
        <w:jc w:val="both"/>
        <w:rPr>
          <w:rFonts w:ascii="Arial" w:hAnsi="Arial" w:cs="Arial"/>
          <w:sz w:val="24"/>
          <w:szCs w:val="24"/>
          <w:lang w:val="en-US"/>
        </w:rPr>
      </w:pPr>
    </w:p>
    <w:p w14:paraId="593348BC" w14:textId="36862D97" w:rsidR="009F7341" w:rsidRDefault="00D96362" w:rsidP="00B27F94">
      <w:pPr>
        <w:spacing w:after="0" w:line="480" w:lineRule="auto"/>
        <w:jc w:val="both"/>
        <w:rPr>
          <w:rFonts w:ascii="Verdana" w:hAnsi="Verdana" w:cs="Arial"/>
          <w:sz w:val="24"/>
          <w:szCs w:val="24"/>
          <w:lang w:val="en-US"/>
        </w:rPr>
      </w:pPr>
      <w:r w:rsidRPr="00E37044">
        <w:rPr>
          <w:rFonts w:ascii="Verdana" w:hAnsi="Verdana" w:cs="Arial"/>
          <w:sz w:val="24"/>
          <w:szCs w:val="24"/>
          <w:lang w:val="en-US"/>
        </w:rPr>
        <w:t>In the matter between:</w:t>
      </w:r>
    </w:p>
    <w:p w14:paraId="548FBAE4" w14:textId="77777777" w:rsidR="00B27F94" w:rsidRPr="00E37044" w:rsidRDefault="00B27F94" w:rsidP="00B27F94">
      <w:pPr>
        <w:spacing w:after="0" w:line="480" w:lineRule="auto"/>
        <w:jc w:val="both"/>
        <w:rPr>
          <w:rFonts w:ascii="Verdana" w:hAnsi="Verdana" w:cs="Arial"/>
          <w:sz w:val="24"/>
          <w:szCs w:val="24"/>
          <w:lang w:val="en-US"/>
        </w:rPr>
      </w:pPr>
    </w:p>
    <w:p w14:paraId="02CADE1C" w14:textId="25FF201F" w:rsidR="00B27F94" w:rsidRPr="00B27F94" w:rsidRDefault="00B27F94" w:rsidP="00B27F94">
      <w:pPr>
        <w:spacing w:after="0" w:line="480" w:lineRule="auto"/>
        <w:jc w:val="both"/>
        <w:rPr>
          <w:rFonts w:ascii="Verdana" w:hAnsi="Verdana" w:cs="Arial"/>
          <w:sz w:val="24"/>
          <w:szCs w:val="24"/>
          <w:lang w:val="en-US"/>
        </w:rPr>
      </w:pPr>
      <w:r w:rsidRPr="00B27F94">
        <w:rPr>
          <w:rFonts w:ascii="Verdana" w:hAnsi="Verdana" w:cs="Arial"/>
          <w:sz w:val="24"/>
          <w:szCs w:val="24"/>
          <w:lang w:val="en-US"/>
        </w:rPr>
        <w:t>NU AFRICA DUTY FREE SHOPS (PTY) LTD</w:t>
      </w:r>
      <w:r>
        <w:rPr>
          <w:rFonts w:ascii="Verdana" w:hAnsi="Verdana" w:cs="Arial"/>
          <w:sz w:val="24"/>
          <w:szCs w:val="24"/>
          <w:lang w:val="en-US"/>
        </w:rPr>
        <w:tab/>
      </w:r>
      <w:r>
        <w:rPr>
          <w:rFonts w:ascii="Verdana" w:hAnsi="Verdana" w:cs="Arial"/>
          <w:sz w:val="24"/>
          <w:szCs w:val="24"/>
          <w:lang w:val="en-US"/>
        </w:rPr>
        <w:tab/>
      </w:r>
      <w:r>
        <w:rPr>
          <w:rFonts w:ascii="Verdana" w:hAnsi="Verdana" w:cs="Arial"/>
          <w:sz w:val="24"/>
          <w:szCs w:val="24"/>
          <w:lang w:val="en-US"/>
        </w:rPr>
        <w:tab/>
      </w:r>
      <w:r w:rsidRPr="00B27F94">
        <w:rPr>
          <w:rFonts w:ascii="Verdana" w:hAnsi="Verdana" w:cs="Arial"/>
          <w:sz w:val="24"/>
          <w:szCs w:val="24"/>
          <w:lang w:val="en-US"/>
        </w:rPr>
        <w:tab/>
        <w:t>Applicant</w:t>
      </w:r>
    </w:p>
    <w:p w14:paraId="3BB79C35" w14:textId="77777777" w:rsidR="00B27F94" w:rsidRPr="00B27F94" w:rsidRDefault="00B27F94" w:rsidP="00B27F94">
      <w:pPr>
        <w:spacing w:after="0" w:line="480" w:lineRule="auto"/>
        <w:jc w:val="both"/>
        <w:rPr>
          <w:rFonts w:ascii="Verdana" w:hAnsi="Verdana" w:cs="Arial"/>
          <w:sz w:val="24"/>
          <w:szCs w:val="24"/>
          <w:lang w:val="en-US"/>
        </w:rPr>
      </w:pPr>
    </w:p>
    <w:p w14:paraId="0DF07467" w14:textId="77777777" w:rsidR="00B27F94" w:rsidRPr="00B27F94" w:rsidRDefault="00B27F94" w:rsidP="00B27F94">
      <w:pPr>
        <w:spacing w:after="0" w:line="360" w:lineRule="auto"/>
        <w:jc w:val="both"/>
        <w:rPr>
          <w:rFonts w:ascii="Verdana" w:hAnsi="Verdana" w:cs="Arial"/>
          <w:sz w:val="24"/>
          <w:szCs w:val="24"/>
          <w:lang w:val="en-US"/>
        </w:rPr>
      </w:pPr>
    </w:p>
    <w:p w14:paraId="5CAE410C" w14:textId="77777777" w:rsidR="00B27F94" w:rsidRPr="00B27F94" w:rsidRDefault="00B27F94" w:rsidP="00B27F94">
      <w:pPr>
        <w:spacing w:after="0" w:line="360" w:lineRule="auto"/>
        <w:jc w:val="both"/>
        <w:rPr>
          <w:rFonts w:ascii="Verdana" w:hAnsi="Verdana" w:cs="Arial"/>
          <w:sz w:val="24"/>
          <w:szCs w:val="24"/>
          <w:lang w:val="en-US"/>
        </w:rPr>
      </w:pPr>
      <w:r w:rsidRPr="00B27F94">
        <w:rPr>
          <w:rFonts w:ascii="Verdana" w:hAnsi="Verdana" w:cs="Arial"/>
          <w:sz w:val="24"/>
          <w:szCs w:val="24"/>
          <w:lang w:val="en-US"/>
        </w:rPr>
        <w:t>and</w:t>
      </w:r>
    </w:p>
    <w:p w14:paraId="24025AF4" w14:textId="77777777" w:rsidR="00B27F94" w:rsidRPr="00B27F94" w:rsidRDefault="00B27F94" w:rsidP="00B27F94">
      <w:pPr>
        <w:spacing w:after="0" w:line="360" w:lineRule="auto"/>
        <w:jc w:val="both"/>
        <w:rPr>
          <w:rFonts w:ascii="Verdana" w:hAnsi="Verdana" w:cs="Arial"/>
          <w:sz w:val="24"/>
          <w:szCs w:val="24"/>
          <w:lang w:val="en-US"/>
        </w:rPr>
      </w:pPr>
    </w:p>
    <w:p w14:paraId="09680435" w14:textId="77777777" w:rsidR="00B27F94" w:rsidRPr="00B27F94" w:rsidRDefault="00B27F94" w:rsidP="00B27F94">
      <w:pPr>
        <w:spacing w:after="0" w:line="360" w:lineRule="auto"/>
        <w:jc w:val="both"/>
        <w:rPr>
          <w:rFonts w:ascii="Verdana" w:hAnsi="Verdana" w:cs="Arial"/>
          <w:sz w:val="24"/>
          <w:szCs w:val="24"/>
          <w:lang w:val="en-US"/>
        </w:rPr>
      </w:pPr>
    </w:p>
    <w:p w14:paraId="34700C27" w14:textId="75D008E8" w:rsidR="00B27F94" w:rsidRDefault="00B27F94" w:rsidP="00B27F94">
      <w:pPr>
        <w:spacing w:after="0" w:line="480" w:lineRule="auto"/>
        <w:jc w:val="both"/>
        <w:rPr>
          <w:rFonts w:ascii="Verdana" w:hAnsi="Verdana" w:cs="Arial"/>
          <w:sz w:val="24"/>
          <w:szCs w:val="24"/>
          <w:lang w:val="en-US"/>
        </w:rPr>
      </w:pPr>
      <w:r w:rsidRPr="00B27F94">
        <w:rPr>
          <w:rFonts w:ascii="Verdana" w:hAnsi="Verdana" w:cs="Arial"/>
          <w:sz w:val="24"/>
          <w:szCs w:val="24"/>
          <w:lang w:val="en-US"/>
        </w:rPr>
        <w:t xml:space="preserve">THE COMMISSIONER FOR THE SOUTH AFRICAN </w:t>
      </w:r>
      <w:r>
        <w:rPr>
          <w:rFonts w:ascii="Verdana" w:hAnsi="Verdana" w:cs="Arial"/>
          <w:sz w:val="24"/>
          <w:szCs w:val="24"/>
          <w:lang w:val="en-US"/>
        </w:rPr>
        <w:tab/>
      </w:r>
      <w:r>
        <w:rPr>
          <w:rFonts w:ascii="Verdana" w:hAnsi="Verdana" w:cs="Arial"/>
          <w:sz w:val="24"/>
          <w:szCs w:val="24"/>
          <w:lang w:val="en-US"/>
        </w:rPr>
        <w:tab/>
      </w:r>
      <w:r w:rsidRPr="00B27F94">
        <w:rPr>
          <w:rFonts w:ascii="Verdana" w:hAnsi="Verdana" w:cs="Arial"/>
          <w:sz w:val="24"/>
          <w:szCs w:val="24"/>
          <w:lang w:val="en-US"/>
        </w:rPr>
        <w:t>Respondent</w:t>
      </w:r>
    </w:p>
    <w:p w14:paraId="2B40B3E0" w14:textId="5A5A0F39" w:rsidR="00B27F94" w:rsidRPr="00B27F94" w:rsidRDefault="00B27F94" w:rsidP="00B27F94">
      <w:pPr>
        <w:spacing w:after="0" w:line="480" w:lineRule="auto"/>
        <w:jc w:val="both"/>
        <w:rPr>
          <w:rFonts w:ascii="Verdana" w:hAnsi="Verdana" w:cs="Arial"/>
          <w:sz w:val="24"/>
          <w:szCs w:val="24"/>
          <w:lang w:val="en-US"/>
        </w:rPr>
      </w:pPr>
      <w:r>
        <w:rPr>
          <w:rFonts w:ascii="Verdana" w:hAnsi="Verdana" w:cs="Arial"/>
          <w:sz w:val="24"/>
          <w:szCs w:val="24"/>
          <w:lang w:val="en-US"/>
        </w:rPr>
        <w:t xml:space="preserve">REVENUE </w:t>
      </w:r>
      <w:r w:rsidRPr="00B27F94">
        <w:rPr>
          <w:rFonts w:ascii="Verdana" w:hAnsi="Verdana" w:cs="Arial"/>
          <w:sz w:val="24"/>
          <w:szCs w:val="24"/>
          <w:lang w:val="en-US"/>
        </w:rPr>
        <w:t>SERVICE</w:t>
      </w:r>
      <w:r w:rsidRPr="00B27F94">
        <w:rPr>
          <w:rFonts w:ascii="Verdana" w:hAnsi="Verdana" w:cs="Arial"/>
          <w:sz w:val="24"/>
          <w:szCs w:val="24"/>
          <w:lang w:val="en-US"/>
        </w:rPr>
        <w:tab/>
      </w:r>
      <w:r>
        <w:rPr>
          <w:rFonts w:ascii="Verdana" w:hAnsi="Verdana" w:cs="Arial"/>
          <w:sz w:val="24"/>
          <w:szCs w:val="24"/>
          <w:lang w:val="en-US"/>
        </w:rPr>
        <w:tab/>
      </w:r>
    </w:p>
    <w:p w14:paraId="52C1569A" w14:textId="77777777" w:rsidR="00D96362" w:rsidRPr="00E37044" w:rsidRDefault="00D96362" w:rsidP="00E37044">
      <w:pPr>
        <w:spacing w:after="0" w:line="360" w:lineRule="auto"/>
        <w:jc w:val="both"/>
        <w:rPr>
          <w:rFonts w:ascii="Verdana" w:hAnsi="Verdana" w:cs="Arial"/>
          <w:sz w:val="24"/>
          <w:szCs w:val="24"/>
          <w:lang w:val="en-US"/>
        </w:rPr>
      </w:pPr>
    </w:p>
    <w:p w14:paraId="513838CC" w14:textId="6C6F4B1D" w:rsidR="00E37044" w:rsidRDefault="00E37044" w:rsidP="00E37044">
      <w:pPr>
        <w:tabs>
          <w:tab w:val="left" w:pos="3640"/>
        </w:tabs>
        <w:spacing w:line="360" w:lineRule="auto"/>
        <w:jc w:val="both"/>
        <w:rPr>
          <w:rFonts w:ascii="Verdana" w:eastAsia="Calibri" w:hAnsi="Verdana" w:cs="Times New Roman"/>
          <w:bCs/>
          <w:kern w:val="0"/>
          <w:sz w:val="24"/>
          <w:szCs w:val="24"/>
          <w14:ligatures w14:val="none"/>
        </w:rPr>
      </w:pPr>
      <w:r w:rsidRPr="00E37044">
        <w:rPr>
          <w:rFonts w:ascii="Verdana" w:eastAsia="Calibri" w:hAnsi="Verdana" w:cs="Times New Roman"/>
          <w:bCs/>
          <w:kern w:val="0"/>
          <w:sz w:val="24"/>
          <w:szCs w:val="24"/>
          <w14:ligatures w14:val="none"/>
        </w:rPr>
        <w:t xml:space="preserve">This judgment is issued by the Judge whose name is reflected herein and is submitted electronically to the parties/their legal representatives by email. The judgment is further uploaded to the electronic file of this matter on </w:t>
      </w:r>
      <w:proofErr w:type="spellStart"/>
      <w:r w:rsidRPr="00E37044">
        <w:rPr>
          <w:rFonts w:ascii="Verdana" w:eastAsia="Calibri" w:hAnsi="Verdana" w:cs="Times New Roman"/>
          <w:bCs/>
          <w:kern w:val="0"/>
          <w:sz w:val="24"/>
          <w:szCs w:val="24"/>
          <w14:ligatures w14:val="none"/>
        </w:rPr>
        <w:t>CaseLines</w:t>
      </w:r>
      <w:proofErr w:type="spellEnd"/>
      <w:r w:rsidRPr="00E37044">
        <w:rPr>
          <w:rFonts w:ascii="Verdana" w:eastAsia="Calibri" w:hAnsi="Verdana" w:cs="Times New Roman"/>
          <w:bCs/>
          <w:kern w:val="0"/>
          <w:sz w:val="24"/>
          <w:szCs w:val="24"/>
          <w14:ligatures w14:val="none"/>
        </w:rPr>
        <w:t xml:space="preserve"> by the Judge or her Secretary. The date of this judgment is deemed to be</w:t>
      </w:r>
      <w:r w:rsidR="00061291">
        <w:rPr>
          <w:rFonts w:ascii="Verdana" w:eastAsia="Calibri" w:hAnsi="Verdana" w:cs="Times New Roman"/>
          <w:bCs/>
          <w:kern w:val="0"/>
          <w:sz w:val="24"/>
          <w:szCs w:val="24"/>
          <w14:ligatures w14:val="none"/>
        </w:rPr>
        <w:t xml:space="preserve"> </w:t>
      </w:r>
      <w:r w:rsidR="0086599F">
        <w:rPr>
          <w:rFonts w:ascii="Verdana" w:eastAsia="Calibri" w:hAnsi="Verdana" w:cs="Times New Roman"/>
          <w:bCs/>
          <w:kern w:val="0"/>
          <w:sz w:val="24"/>
          <w:szCs w:val="24"/>
          <w14:ligatures w14:val="none"/>
        </w:rPr>
        <w:t>08 April</w:t>
      </w:r>
      <w:r>
        <w:rPr>
          <w:rFonts w:ascii="Verdana" w:eastAsia="Calibri" w:hAnsi="Verdana" w:cs="Times New Roman"/>
          <w:bCs/>
          <w:kern w:val="0"/>
          <w:sz w:val="24"/>
          <w:szCs w:val="24"/>
          <w14:ligatures w14:val="none"/>
        </w:rPr>
        <w:t xml:space="preserve"> </w:t>
      </w:r>
      <w:r w:rsidRPr="00E37044">
        <w:rPr>
          <w:rFonts w:ascii="Verdana" w:eastAsia="Calibri" w:hAnsi="Verdana" w:cs="Times New Roman"/>
          <w:bCs/>
          <w:kern w:val="0"/>
          <w:sz w:val="24"/>
          <w:szCs w:val="24"/>
          <w14:ligatures w14:val="none"/>
        </w:rPr>
        <w:t>202</w:t>
      </w:r>
      <w:r w:rsidR="0086599F">
        <w:rPr>
          <w:rFonts w:ascii="Verdana" w:eastAsia="Calibri" w:hAnsi="Verdana" w:cs="Times New Roman"/>
          <w:bCs/>
          <w:kern w:val="0"/>
          <w:sz w:val="24"/>
          <w:szCs w:val="24"/>
          <w14:ligatures w14:val="none"/>
        </w:rPr>
        <w:t>4</w:t>
      </w:r>
      <w:r w:rsidRPr="00E37044">
        <w:rPr>
          <w:rFonts w:ascii="Verdana" w:eastAsia="Calibri" w:hAnsi="Verdana" w:cs="Times New Roman"/>
          <w:bCs/>
          <w:kern w:val="0"/>
          <w:sz w:val="24"/>
          <w:szCs w:val="24"/>
          <w14:ligatures w14:val="none"/>
        </w:rPr>
        <w:t>.</w:t>
      </w:r>
    </w:p>
    <w:p w14:paraId="4D60EC6A" w14:textId="77777777" w:rsidR="00E37044" w:rsidRDefault="00E37044" w:rsidP="00E37044">
      <w:pPr>
        <w:pBdr>
          <w:top w:val="single" w:sz="12" w:space="1" w:color="auto"/>
          <w:bottom w:val="single" w:sz="12" w:space="1" w:color="auto"/>
        </w:pBdr>
        <w:tabs>
          <w:tab w:val="left" w:pos="3640"/>
        </w:tabs>
        <w:spacing w:line="360" w:lineRule="auto"/>
        <w:jc w:val="center"/>
        <w:rPr>
          <w:rFonts w:ascii="Verdana" w:eastAsia="Calibri" w:hAnsi="Verdana" w:cs="Times New Roman"/>
          <w:bCs/>
          <w:kern w:val="0"/>
          <w:sz w:val="24"/>
          <w:szCs w:val="24"/>
          <w14:ligatures w14:val="none"/>
        </w:rPr>
      </w:pPr>
    </w:p>
    <w:p w14:paraId="7CE154E2" w14:textId="4F7AF833" w:rsidR="00E37044" w:rsidRDefault="00E37044" w:rsidP="00E37044">
      <w:pPr>
        <w:pBdr>
          <w:top w:val="single" w:sz="12" w:space="1" w:color="auto"/>
          <w:bottom w:val="single" w:sz="12" w:space="1" w:color="auto"/>
        </w:pBdr>
        <w:tabs>
          <w:tab w:val="left" w:pos="3640"/>
        </w:tabs>
        <w:spacing w:line="360" w:lineRule="auto"/>
        <w:jc w:val="center"/>
        <w:rPr>
          <w:rFonts w:ascii="Verdana" w:eastAsia="Calibri" w:hAnsi="Verdana" w:cs="Times New Roman"/>
          <w:bCs/>
          <w:kern w:val="0"/>
          <w:sz w:val="24"/>
          <w:szCs w:val="24"/>
          <w14:ligatures w14:val="none"/>
        </w:rPr>
      </w:pPr>
      <w:r>
        <w:rPr>
          <w:rFonts w:ascii="Verdana" w:eastAsia="Calibri" w:hAnsi="Verdana" w:cs="Times New Roman"/>
          <w:bCs/>
          <w:kern w:val="0"/>
          <w:sz w:val="24"/>
          <w:szCs w:val="24"/>
          <w14:ligatures w14:val="none"/>
        </w:rPr>
        <w:t xml:space="preserve"> JUDGMENT </w:t>
      </w:r>
    </w:p>
    <w:p w14:paraId="63A0739A" w14:textId="77777777" w:rsidR="00E37044" w:rsidRDefault="00E37044" w:rsidP="00E37044">
      <w:pPr>
        <w:pBdr>
          <w:top w:val="single" w:sz="12" w:space="1" w:color="auto"/>
          <w:bottom w:val="single" w:sz="12" w:space="1" w:color="auto"/>
        </w:pBdr>
        <w:tabs>
          <w:tab w:val="left" w:pos="3640"/>
        </w:tabs>
        <w:spacing w:line="360" w:lineRule="auto"/>
        <w:rPr>
          <w:rFonts w:ascii="Verdana" w:eastAsia="Calibri" w:hAnsi="Verdana" w:cs="Times New Roman"/>
          <w:bCs/>
          <w:kern w:val="0"/>
          <w:sz w:val="24"/>
          <w:szCs w:val="24"/>
          <w14:ligatures w14:val="none"/>
        </w:rPr>
      </w:pPr>
    </w:p>
    <w:p w14:paraId="58D53D53" w14:textId="71F735B8" w:rsidR="00E37044" w:rsidRDefault="00E37044" w:rsidP="00E37044">
      <w:pPr>
        <w:tabs>
          <w:tab w:val="left" w:pos="3640"/>
        </w:tabs>
        <w:spacing w:line="360" w:lineRule="auto"/>
        <w:rPr>
          <w:rFonts w:ascii="Verdana" w:eastAsia="Calibri" w:hAnsi="Verdana" w:cs="Times New Roman"/>
          <w:bCs/>
          <w:kern w:val="0"/>
          <w:sz w:val="24"/>
          <w:szCs w:val="24"/>
          <w14:ligatures w14:val="none"/>
        </w:rPr>
      </w:pPr>
    </w:p>
    <w:p w14:paraId="6AE42AD5" w14:textId="32DA5775" w:rsidR="00CB58D1" w:rsidRPr="000C4080" w:rsidRDefault="00E37044" w:rsidP="000C4080">
      <w:pPr>
        <w:tabs>
          <w:tab w:val="left" w:pos="3640"/>
        </w:tabs>
        <w:spacing w:line="360" w:lineRule="auto"/>
        <w:rPr>
          <w:rFonts w:ascii="Verdana" w:eastAsia="Calibri" w:hAnsi="Verdana" w:cs="Times New Roman"/>
          <w:kern w:val="0"/>
          <w:sz w:val="24"/>
          <w:szCs w:val="24"/>
          <w14:ligatures w14:val="none"/>
        </w:rPr>
      </w:pPr>
      <w:r w:rsidRPr="00CB58D1">
        <w:rPr>
          <w:rFonts w:ascii="Verdana" w:eastAsia="Calibri" w:hAnsi="Verdana" w:cs="Times New Roman"/>
          <w:kern w:val="0"/>
          <w:sz w:val="24"/>
          <w:szCs w:val="24"/>
          <w14:ligatures w14:val="none"/>
        </w:rPr>
        <w:t>COLLIS J</w:t>
      </w:r>
    </w:p>
    <w:p w14:paraId="599B4AEF" w14:textId="044A69A7" w:rsidR="00B27F94" w:rsidRDefault="00B27F94" w:rsidP="00CB58D1">
      <w:pPr>
        <w:spacing w:after="240"/>
        <w:jc w:val="both"/>
        <w:rPr>
          <w:rFonts w:ascii="Verdana" w:eastAsia="Times New Roman" w:hAnsi="Verdana" w:cs="Arial"/>
          <w:b/>
          <w:lang w:eastAsia="en-ZA"/>
        </w:rPr>
      </w:pPr>
    </w:p>
    <w:p w14:paraId="30E425D5" w14:textId="3DFA0D62" w:rsidR="00B27F94" w:rsidRPr="000C4080" w:rsidRDefault="00B27F94" w:rsidP="00CB58D1">
      <w:pPr>
        <w:spacing w:after="240"/>
        <w:jc w:val="both"/>
        <w:rPr>
          <w:rFonts w:ascii="Verdana" w:eastAsia="Times New Roman" w:hAnsi="Verdana" w:cs="Arial"/>
          <w:bCs/>
          <w:sz w:val="24"/>
          <w:szCs w:val="24"/>
          <w:lang w:eastAsia="en-ZA"/>
        </w:rPr>
      </w:pPr>
      <w:r w:rsidRPr="000C4080">
        <w:rPr>
          <w:rFonts w:ascii="Verdana" w:eastAsia="Times New Roman" w:hAnsi="Verdana" w:cs="Arial"/>
          <w:bCs/>
          <w:sz w:val="24"/>
          <w:szCs w:val="24"/>
          <w:lang w:eastAsia="en-ZA"/>
        </w:rPr>
        <w:t>INTRODUCTION</w:t>
      </w:r>
    </w:p>
    <w:p w14:paraId="3CE041FE" w14:textId="5371347D" w:rsidR="00B27F94" w:rsidRPr="000C4080" w:rsidRDefault="00B27F94" w:rsidP="00CB58D1">
      <w:pPr>
        <w:spacing w:after="240"/>
        <w:jc w:val="both"/>
        <w:rPr>
          <w:rFonts w:ascii="Verdana" w:eastAsia="Times New Roman" w:hAnsi="Verdana" w:cs="Arial"/>
          <w:sz w:val="24"/>
          <w:szCs w:val="24"/>
          <w:lang w:eastAsia="en-ZA"/>
        </w:rPr>
      </w:pPr>
    </w:p>
    <w:p w14:paraId="412D0A2B" w14:textId="5D580609" w:rsidR="000C4080" w:rsidRDefault="00B27F94" w:rsidP="00B27F94">
      <w:pPr>
        <w:spacing w:after="240" w:line="480" w:lineRule="auto"/>
        <w:jc w:val="both"/>
        <w:rPr>
          <w:rFonts w:ascii="Verdana" w:eastAsia="Times New Roman" w:hAnsi="Verdana" w:cs="Arial"/>
          <w:sz w:val="24"/>
          <w:szCs w:val="24"/>
          <w:lang w:eastAsia="en-ZA"/>
        </w:rPr>
      </w:pPr>
      <w:r w:rsidRPr="000C4080">
        <w:rPr>
          <w:rFonts w:ascii="Verdana" w:eastAsia="Times New Roman" w:hAnsi="Verdana" w:cs="Arial"/>
          <w:sz w:val="24"/>
          <w:szCs w:val="24"/>
          <w:lang w:eastAsia="en-ZA"/>
        </w:rPr>
        <w:t xml:space="preserve">1. </w:t>
      </w:r>
      <w:r w:rsidR="000C4080" w:rsidRPr="000C4080">
        <w:rPr>
          <w:rFonts w:ascii="Verdana" w:eastAsia="Times New Roman" w:hAnsi="Verdana" w:cs="Arial"/>
          <w:sz w:val="24"/>
          <w:szCs w:val="24"/>
          <w:lang w:eastAsia="en-ZA"/>
        </w:rPr>
        <w:t xml:space="preserve">This is an opposed review application wherein the </w:t>
      </w:r>
      <w:r w:rsidR="000C4080">
        <w:rPr>
          <w:rFonts w:ascii="Verdana" w:eastAsia="Times New Roman" w:hAnsi="Verdana" w:cs="Arial"/>
          <w:sz w:val="24"/>
          <w:szCs w:val="24"/>
          <w:lang w:eastAsia="en-ZA"/>
        </w:rPr>
        <w:t>Applicant seeks the following relief:</w:t>
      </w:r>
    </w:p>
    <w:p w14:paraId="59BFB69A" w14:textId="0FD17C9D" w:rsidR="000C4080" w:rsidRDefault="000C4080" w:rsidP="009022FA">
      <w:pPr>
        <w:spacing w:after="240" w:line="480" w:lineRule="auto"/>
        <w:ind w:left="720"/>
        <w:jc w:val="both"/>
        <w:rPr>
          <w:rFonts w:ascii="Verdana" w:eastAsia="Times New Roman" w:hAnsi="Verdana" w:cs="Arial"/>
          <w:sz w:val="24"/>
          <w:szCs w:val="24"/>
          <w:lang w:eastAsia="en-ZA"/>
        </w:rPr>
      </w:pPr>
      <w:r>
        <w:rPr>
          <w:rFonts w:ascii="Verdana" w:eastAsia="Times New Roman" w:hAnsi="Verdana" w:cs="Arial"/>
          <w:sz w:val="24"/>
          <w:szCs w:val="24"/>
          <w:lang w:eastAsia="en-ZA"/>
        </w:rPr>
        <w:t xml:space="preserve">1.1. Reviewing and setting aside the Respondent’s decisions dated 20 December 2019, refusing the Applicant’s two applications for a special storage warehouse, which applications were received by the Respondent on 21 October </w:t>
      </w:r>
      <w:proofErr w:type="gramStart"/>
      <w:r>
        <w:rPr>
          <w:rFonts w:ascii="Verdana" w:eastAsia="Times New Roman" w:hAnsi="Verdana" w:cs="Arial"/>
          <w:sz w:val="24"/>
          <w:szCs w:val="24"/>
          <w:lang w:eastAsia="en-ZA"/>
        </w:rPr>
        <w:t>2019;</w:t>
      </w:r>
      <w:proofErr w:type="gramEnd"/>
    </w:p>
    <w:p w14:paraId="4F39AA31" w14:textId="77777777" w:rsidR="000C4080" w:rsidRDefault="000C4080" w:rsidP="009022FA">
      <w:pPr>
        <w:spacing w:after="240" w:line="480" w:lineRule="auto"/>
        <w:ind w:left="720"/>
        <w:jc w:val="both"/>
        <w:rPr>
          <w:rFonts w:ascii="Verdana" w:eastAsia="Times New Roman" w:hAnsi="Verdana" w:cs="Arial"/>
          <w:sz w:val="24"/>
          <w:szCs w:val="24"/>
          <w:lang w:eastAsia="en-ZA"/>
        </w:rPr>
      </w:pPr>
      <w:r>
        <w:rPr>
          <w:rFonts w:ascii="Verdana" w:eastAsia="Times New Roman" w:hAnsi="Verdana" w:cs="Arial"/>
          <w:sz w:val="24"/>
          <w:szCs w:val="24"/>
          <w:lang w:eastAsia="en-ZA"/>
        </w:rPr>
        <w:t xml:space="preserve">1.2 Reviewing and setting aside the Respondent’s decision dated 30 June 2020, being the Customs and Excise National Appeals Committee’s confirmation of the decision referred to in paragraph 1.1 </w:t>
      </w:r>
      <w:proofErr w:type="gramStart"/>
      <w:r>
        <w:rPr>
          <w:rFonts w:ascii="Verdana" w:eastAsia="Times New Roman" w:hAnsi="Verdana" w:cs="Arial"/>
          <w:sz w:val="24"/>
          <w:szCs w:val="24"/>
          <w:lang w:eastAsia="en-ZA"/>
        </w:rPr>
        <w:t>above;</w:t>
      </w:r>
      <w:proofErr w:type="gramEnd"/>
    </w:p>
    <w:p w14:paraId="4CF42E38" w14:textId="77777777" w:rsidR="000C4080" w:rsidRDefault="000C4080" w:rsidP="009022FA">
      <w:pPr>
        <w:spacing w:after="240" w:line="480" w:lineRule="auto"/>
        <w:ind w:left="720"/>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 xml:space="preserve">1.3 Remitting the matters back to the Respondent for reconsideration in terms of section 8(1)(c) of PAJA.    </w:t>
      </w:r>
    </w:p>
    <w:p w14:paraId="32ED786C" w14:textId="77777777" w:rsidR="000C4080" w:rsidRDefault="000C4080" w:rsidP="00B27F94">
      <w:pPr>
        <w:spacing w:after="240" w:line="480" w:lineRule="auto"/>
        <w:jc w:val="both"/>
        <w:rPr>
          <w:rFonts w:ascii="Verdana" w:eastAsia="Times New Roman" w:hAnsi="Verdana" w:cs="Arial"/>
          <w:sz w:val="24"/>
          <w:szCs w:val="24"/>
          <w:lang w:eastAsia="en-ZA"/>
        </w:rPr>
      </w:pPr>
    </w:p>
    <w:p w14:paraId="666E469C" w14:textId="0224D2AB" w:rsidR="000C4080" w:rsidRDefault="000C4080"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THE PARTIES</w:t>
      </w:r>
    </w:p>
    <w:p w14:paraId="2C779644" w14:textId="294BF742" w:rsidR="00C22969" w:rsidRPr="00C22969" w:rsidRDefault="000C4080" w:rsidP="00C2296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 The Applicant is Nu Africa Duty Free Shops (Pty) Ltd</w:t>
      </w:r>
      <w:r w:rsidR="008367DE">
        <w:rPr>
          <w:rFonts w:ascii="Verdana" w:eastAsia="Times New Roman" w:hAnsi="Verdana" w:cs="Arial"/>
          <w:sz w:val="24"/>
          <w:szCs w:val="24"/>
          <w:lang w:eastAsia="en-ZA"/>
        </w:rPr>
        <w:t xml:space="preserve"> (</w:t>
      </w:r>
      <w:r w:rsidR="008367DE" w:rsidRPr="008367DE">
        <w:rPr>
          <w:rFonts w:ascii="Verdana" w:eastAsia="Times New Roman" w:hAnsi="Verdana" w:cs="Arial"/>
          <w:i/>
          <w:iCs/>
          <w:sz w:val="24"/>
          <w:szCs w:val="24"/>
          <w:lang w:eastAsia="en-ZA"/>
        </w:rPr>
        <w:t>‘Nu Africa’</w:t>
      </w:r>
      <w:r w:rsidR="008367DE">
        <w:rPr>
          <w:rFonts w:ascii="Verdana" w:eastAsia="Times New Roman" w:hAnsi="Verdana" w:cs="Arial"/>
          <w:sz w:val="24"/>
          <w:szCs w:val="24"/>
          <w:lang w:eastAsia="en-ZA"/>
        </w:rPr>
        <w:t>)</w:t>
      </w:r>
      <w:r>
        <w:rPr>
          <w:rFonts w:ascii="Verdana" w:eastAsia="Times New Roman" w:hAnsi="Verdana" w:cs="Arial"/>
          <w:sz w:val="24"/>
          <w:szCs w:val="24"/>
          <w:lang w:eastAsia="en-ZA"/>
        </w:rPr>
        <w:t>, a private company with limited liability registered and incorporated in terms of the company laws of the Republic of South Africa, with its principal place of business situated at Unit 33 E, Scientia Techno Park, Meiring Naude Lynwood.</w:t>
      </w:r>
      <w:r w:rsidR="00C22969" w:rsidRPr="00C22969">
        <w:rPr>
          <w:rFonts w:ascii="Verdana" w:eastAsia="Times New Roman" w:hAnsi="Verdana" w:cs="Arial"/>
          <w:color w:val="00B050"/>
          <w:sz w:val="24"/>
          <w:szCs w:val="24"/>
          <w:lang w:eastAsia="en-ZA"/>
        </w:rPr>
        <w:t xml:space="preserve"> </w:t>
      </w:r>
      <w:r w:rsidR="00C22969" w:rsidRPr="00C22969">
        <w:rPr>
          <w:rFonts w:ascii="Verdana" w:eastAsia="Times New Roman" w:hAnsi="Verdana" w:cs="Arial"/>
          <w:sz w:val="24"/>
          <w:szCs w:val="24"/>
          <w:lang w:eastAsia="en-ZA"/>
        </w:rPr>
        <w:t xml:space="preserve">The Applicant is inter alia, in the business of </w:t>
      </w:r>
      <w:r w:rsidR="002D5067" w:rsidRPr="00C22969">
        <w:rPr>
          <w:rFonts w:ascii="Verdana" w:eastAsia="Times New Roman" w:hAnsi="Verdana" w:cs="Arial"/>
          <w:sz w:val="24"/>
          <w:szCs w:val="24"/>
          <w:lang w:eastAsia="en-ZA"/>
        </w:rPr>
        <w:t>duty-free</w:t>
      </w:r>
      <w:r w:rsidR="00C22969" w:rsidRPr="00C22969">
        <w:rPr>
          <w:rFonts w:ascii="Verdana" w:eastAsia="Times New Roman" w:hAnsi="Verdana" w:cs="Arial"/>
          <w:sz w:val="24"/>
          <w:szCs w:val="24"/>
          <w:lang w:eastAsia="en-ZA"/>
        </w:rPr>
        <w:t xml:space="preserve"> shops</w:t>
      </w:r>
      <w:r w:rsidR="00C22969">
        <w:rPr>
          <w:rFonts w:ascii="Verdana" w:eastAsia="Times New Roman" w:hAnsi="Verdana" w:cs="Arial"/>
          <w:sz w:val="24"/>
          <w:szCs w:val="24"/>
          <w:lang w:eastAsia="en-ZA"/>
        </w:rPr>
        <w:t xml:space="preserve"> </w:t>
      </w:r>
      <w:proofErr w:type="gramStart"/>
      <w:r w:rsidR="00C22969">
        <w:rPr>
          <w:rFonts w:ascii="Verdana" w:eastAsia="Times New Roman" w:hAnsi="Verdana" w:cs="Arial"/>
          <w:sz w:val="24"/>
          <w:szCs w:val="24"/>
          <w:lang w:eastAsia="en-ZA"/>
        </w:rPr>
        <w:t xml:space="preserve">and </w:t>
      </w:r>
      <w:r w:rsidR="00C22969" w:rsidRPr="00C22969">
        <w:rPr>
          <w:rFonts w:ascii="Verdana" w:eastAsia="Times New Roman" w:hAnsi="Verdana" w:cs="Arial"/>
          <w:sz w:val="24"/>
          <w:szCs w:val="24"/>
          <w:lang w:eastAsia="en-ZA"/>
        </w:rPr>
        <w:t>also</w:t>
      </w:r>
      <w:proofErr w:type="gramEnd"/>
      <w:r w:rsidR="00C22969" w:rsidRPr="00C22969">
        <w:rPr>
          <w:rFonts w:ascii="Verdana" w:eastAsia="Times New Roman" w:hAnsi="Verdana" w:cs="Arial"/>
          <w:sz w:val="24"/>
          <w:szCs w:val="24"/>
          <w:lang w:eastAsia="en-ZA"/>
        </w:rPr>
        <w:t xml:space="preserve"> licenced to operate a special storage warehouse (“SOS”), as well as a storage warehouse (“OS”).</w:t>
      </w:r>
    </w:p>
    <w:p w14:paraId="02CC79C9" w14:textId="77777777" w:rsidR="00C22969" w:rsidRPr="00C22969" w:rsidRDefault="00C22969" w:rsidP="00C22969">
      <w:pPr>
        <w:spacing w:after="240" w:line="480" w:lineRule="auto"/>
        <w:jc w:val="both"/>
        <w:rPr>
          <w:rFonts w:ascii="Verdana" w:eastAsia="Times New Roman" w:hAnsi="Verdana" w:cs="Arial"/>
          <w:sz w:val="24"/>
          <w:szCs w:val="24"/>
          <w:lang w:eastAsia="en-ZA"/>
        </w:rPr>
      </w:pPr>
    </w:p>
    <w:p w14:paraId="14E5DB60" w14:textId="08D7DF02" w:rsidR="00EC51C5" w:rsidRDefault="00EC51C5"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 The Respondent is the Commissioner for the South African Revenue Service</w:t>
      </w:r>
      <w:r w:rsidR="008367DE">
        <w:rPr>
          <w:rFonts w:ascii="Verdana" w:eastAsia="Times New Roman" w:hAnsi="Verdana" w:cs="Arial"/>
          <w:sz w:val="24"/>
          <w:szCs w:val="24"/>
          <w:lang w:eastAsia="en-ZA"/>
        </w:rPr>
        <w:t xml:space="preserve"> (</w:t>
      </w:r>
      <w:r w:rsidR="008367DE" w:rsidRPr="008367DE">
        <w:rPr>
          <w:rFonts w:ascii="Verdana" w:eastAsia="Times New Roman" w:hAnsi="Verdana" w:cs="Arial"/>
          <w:i/>
          <w:iCs/>
          <w:sz w:val="24"/>
          <w:szCs w:val="24"/>
          <w:lang w:eastAsia="en-ZA"/>
        </w:rPr>
        <w:t>“SARS”</w:t>
      </w:r>
      <w:r w:rsidR="008367DE">
        <w:rPr>
          <w:rFonts w:ascii="Verdana" w:eastAsia="Times New Roman" w:hAnsi="Verdana" w:cs="Arial"/>
          <w:i/>
          <w:iCs/>
          <w:sz w:val="24"/>
          <w:szCs w:val="24"/>
          <w:lang w:eastAsia="en-ZA"/>
        </w:rPr>
        <w:t>)</w:t>
      </w:r>
      <w:r w:rsidR="00FE14AF">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appointed in terms of</w:t>
      </w:r>
      <w:r w:rsidR="00FE14AF">
        <w:rPr>
          <w:rFonts w:ascii="Verdana" w:eastAsia="Times New Roman" w:hAnsi="Verdana" w:cs="Arial"/>
          <w:sz w:val="24"/>
          <w:szCs w:val="24"/>
          <w:lang w:eastAsia="en-ZA"/>
        </w:rPr>
        <w:t xml:space="preserve"> the South African Revenue Service Act, 34 of 1997, with </w:t>
      </w:r>
      <w:r w:rsidR="002D5067">
        <w:rPr>
          <w:rFonts w:ascii="Verdana" w:eastAsia="Times New Roman" w:hAnsi="Verdana" w:cs="Arial"/>
          <w:sz w:val="24"/>
          <w:szCs w:val="24"/>
          <w:lang w:eastAsia="en-ZA"/>
        </w:rPr>
        <w:t xml:space="preserve">its </w:t>
      </w:r>
      <w:r w:rsidR="00FE14AF">
        <w:rPr>
          <w:rFonts w:ascii="Verdana" w:eastAsia="Times New Roman" w:hAnsi="Verdana" w:cs="Arial"/>
          <w:sz w:val="24"/>
          <w:szCs w:val="24"/>
          <w:lang w:eastAsia="en-ZA"/>
        </w:rPr>
        <w:t xml:space="preserve">head office situated at </w:t>
      </w:r>
      <w:proofErr w:type="spellStart"/>
      <w:r w:rsidR="00FE14AF">
        <w:rPr>
          <w:rFonts w:ascii="Verdana" w:eastAsia="Times New Roman" w:hAnsi="Verdana" w:cs="Arial"/>
          <w:sz w:val="24"/>
          <w:szCs w:val="24"/>
          <w:lang w:eastAsia="en-ZA"/>
        </w:rPr>
        <w:t>Lehae</w:t>
      </w:r>
      <w:proofErr w:type="spellEnd"/>
      <w:r w:rsidR="00FE14AF">
        <w:rPr>
          <w:rFonts w:ascii="Verdana" w:eastAsia="Times New Roman" w:hAnsi="Verdana" w:cs="Arial"/>
          <w:sz w:val="24"/>
          <w:szCs w:val="24"/>
          <w:lang w:eastAsia="en-ZA"/>
        </w:rPr>
        <w:t xml:space="preserve"> La Sars, 299 Bronkhorst Street, Niew </w:t>
      </w:r>
      <w:proofErr w:type="spellStart"/>
      <w:r w:rsidR="00FE14AF">
        <w:rPr>
          <w:rFonts w:ascii="Verdana" w:eastAsia="Times New Roman" w:hAnsi="Verdana" w:cs="Arial"/>
          <w:sz w:val="24"/>
          <w:szCs w:val="24"/>
          <w:lang w:eastAsia="en-ZA"/>
        </w:rPr>
        <w:t>Muckleneuk</w:t>
      </w:r>
      <w:proofErr w:type="spellEnd"/>
      <w:r w:rsidR="00FE14AF">
        <w:rPr>
          <w:rFonts w:ascii="Verdana" w:eastAsia="Times New Roman" w:hAnsi="Verdana" w:cs="Arial"/>
          <w:sz w:val="24"/>
          <w:szCs w:val="24"/>
          <w:lang w:eastAsia="en-ZA"/>
        </w:rPr>
        <w:t xml:space="preserve">, Pretoria. </w:t>
      </w:r>
      <w:r>
        <w:rPr>
          <w:rFonts w:ascii="Verdana" w:eastAsia="Times New Roman" w:hAnsi="Verdana" w:cs="Arial"/>
          <w:sz w:val="24"/>
          <w:szCs w:val="24"/>
          <w:lang w:eastAsia="en-ZA"/>
        </w:rPr>
        <w:t xml:space="preserve"> </w:t>
      </w:r>
    </w:p>
    <w:p w14:paraId="7F0823A7" w14:textId="77777777" w:rsidR="00FE14AF" w:rsidRDefault="00FE14AF" w:rsidP="00B27F94">
      <w:pPr>
        <w:spacing w:after="240" w:line="480" w:lineRule="auto"/>
        <w:jc w:val="both"/>
        <w:rPr>
          <w:rFonts w:ascii="Verdana" w:eastAsia="Times New Roman" w:hAnsi="Verdana" w:cs="Arial"/>
          <w:sz w:val="24"/>
          <w:szCs w:val="24"/>
          <w:lang w:eastAsia="en-ZA"/>
        </w:rPr>
      </w:pPr>
    </w:p>
    <w:p w14:paraId="75C16C59" w14:textId="5B8782A2" w:rsidR="00FE14AF" w:rsidRDefault="00FE14AF"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 In terms of section 2(1) of the Customs and Excise Act 91 of 1964 (</w:t>
      </w:r>
      <w:r w:rsidRPr="00D16F06">
        <w:rPr>
          <w:rFonts w:ascii="Verdana" w:eastAsia="Times New Roman" w:hAnsi="Verdana" w:cs="Arial"/>
          <w:i/>
          <w:iCs/>
          <w:sz w:val="24"/>
          <w:szCs w:val="24"/>
          <w:lang w:eastAsia="en-ZA"/>
        </w:rPr>
        <w:t>“the CEA”</w:t>
      </w:r>
      <w:r>
        <w:rPr>
          <w:rFonts w:ascii="Verdana" w:eastAsia="Times New Roman" w:hAnsi="Verdana" w:cs="Arial"/>
          <w:sz w:val="24"/>
          <w:szCs w:val="24"/>
          <w:lang w:eastAsia="en-ZA"/>
        </w:rPr>
        <w:t xml:space="preserve">), the Respondent is charged with the administration of the CEA, including the interpretation of the schedules thereto.  </w:t>
      </w:r>
    </w:p>
    <w:p w14:paraId="625E177A" w14:textId="77777777" w:rsidR="00FE14AF" w:rsidRDefault="00FE14AF" w:rsidP="00B27F94">
      <w:pPr>
        <w:spacing w:after="240" w:line="480" w:lineRule="auto"/>
        <w:jc w:val="both"/>
        <w:rPr>
          <w:rFonts w:ascii="Verdana" w:eastAsia="Times New Roman" w:hAnsi="Verdana" w:cs="Arial"/>
          <w:sz w:val="24"/>
          <w:szCs w:val="24"/>
          <w:lang w:eastAsia="en-ZA"/>
        </w:rPr>
      </w:pPr>
    </w:p>
    <w:p w14:paraId="57E2B4C1" w14:textId="3CB75BC1" w:rsidR="00D16F06" w:rsidRDefault="00FE14AF" w:rsidP="00FE14A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 In terms of section 21 of the Customs Act</w:t>
      </w:r>
      <w:r>
        <w:rPr>
          <w:rStyle w:val="FootnoteReference"/>
          <w:rFonts w:ascii="Verdana" w:eastAsia="Times New Roman" w:hAnsi="Verdana" w:cs="Arial"/>
          <w:sz w:val="24"/>
          <w:szCs w:val="24"/>
          <w:lang w:eastAsia="en-ZA"/>
        </w:rPr>
        <w:footnoteReference w:id="1"/>
      </w:r>
      <w:r>
        <w:rPr>
          <w:rFonts w:ascii="Verdana" w:eastAsia="Times New Roman" w:hAnsi="Verdana" w:cs="Arial"/>
          <w:sz w:val="24"/>
          <w:szCs w:val="24"/>
          <w:lang w:eastAsia="en-ZA"/>
        </w:rPr>
        <w:t xml:space="preserve"> the Commissioner may, subject to such conditions as he may in each case</w:t>
      </w:r>
      <w:r w:rsidR="002D5067">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impose, licence any place in the Republic as a special customs and excise warehouse (“SOS warehouse”). </w:t>
      </w:r>
    </w:p>
    <w:p w14:paraId="5779B314" w14:textId="77777777" w:rsidR="00D16F06" w:rsidRDefault="00D16F06" w:rsidP="00FE14AF">
      <w:pPr>
        <w:spacing w:after="240" w:line="480" w:lineRule="auto"/>
        <w:jc w:val="both"/>
        <w:rPr>
          <w:rFonts w:ascii="Verdana" w:eastAsia="Times New Roman" w:hAnsi="Verdana" w:cs="Arial"/>
          <w:sz w:val="24"/>
          <w:szCs w:val="24"/>
          <w:lang w:eastAsia="en-ZA"/>
        </w:rPr>
      </w:pPr>
    </w:p>
    <w:p w14:paraId="6B42952E" w14:textId="22AE9F10" w:rsidR="00FE14AF" w:rsidRDefault="00D16F06" w:rsidP="00FE14A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 xml:space="preserve">6. </w:t>
      </w:r>
      <w:r w:rsidR="00FE14AF">
        <w:rPr>
          <w:rFonts w:ascii="Verdana" w:eastAsia="Times New Roman" w:hAnsi="Verdana" w:cs="Arial"/>
          <w:sz w:val="24"/>
          <w:szCs w:val="24"/>
          <w:lang w:eastAsia="en-ZA"/>
        </w:rPr>
        <w:t>In terms of Rule 19A.02 (read with section 19A of the Customs Act) the person applying for the registration of an SOS warehouse, must submit a form DA185 and the relevant annexures.</w:t>
      </w:r>
    </w:p>
    <w:p w14:paraId="7461F773" w14:textId="77777777" w:rsidR="00FE14AF" w:rsidRDefault="00FE14AF" w:rsidP="00FE14AF">
      <w:pPr>
        <w:spacing w:after="240" w:line="480" w:lineRule="auto"/>
        <w:jc w:val="both"/>
        <w:rPr>
          <w:rFonts w:ascii="Verdana" w:eastAsia="Times New Roman" w:hAnsi="Verdana" w:cs="Arial"/>
          <w:sz w:val="24"/>
          <w:szCs w:val="24"/>
          <w:lang w:eastAsia="en-ZA"/>
        </w:rPr>
      </w:pPr>
    </w:p>
    <w:p w14:paraId="6D5EECC9" w14:textId="2018E61B" w:rsidR="00FE14AF" w:rsidRDefault="00D16F06" w:rsidP="00FE14A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FE14AF">
        <w:rPr>
          <w:rFonts w:ascii="Verdana" w:eastAsia="Times New Roman" w:hAnsi="Verdana" w:cs="Arial"/>
          <w:sz w:val="24"/>
          <w:szCs w:val="24"/>
          <w:lang w:eastAsia="en-ZA"/>
        </w:rPr>
        <w:t>. A licence may be granted even where a transgression was committed, provided that the transgression was inadvertent without fraudulent intent or gross negligence.</w:t>
      </w:r>
      <w:r w:rsidR="00FE14AF">
        <w:rPr>
          <w:rStyle w:val="FootnoteReference"/>
          <w:rFonts w:ascii="Verdana" w:eastAsia="Times New Roman" w:hAnsi="Verdana" w:cs="Arial"/>
          <w:sz w:val="24"/>
          <w:szCs w:val="24"/>
          <w:lang w:eastAsia="en-ZA"/>
        </w:rPr>
        <w:footnoteReference w:id="2"/>
      </w:r>
    </w:p>
    <w:p w14:paraId="73E6F5EC" w14:textId="4CBC34CE" w:rsidR="00FE14AF" w:rsidRDefault="00FE14AF" w:rsidP="00B27F94">
      <w:pPr>
        <w:spacing w:after="240" w:line="480" w:lineRule="auto"/>
        <w:jc w:val="both"/>
        <w:rPr>
          <w:rFonts w:ascii="Verdana" w:eastAsia="Times New Roman" w:hAnsi="Verdana" w:cs="Arial"/>
          <w:sz w:val="24"/>
          <w:szCs w:val="24"/>
          <w:lang w:eastAsia="en-ZA"/>
        </w:rPr>
      </w:pPr>
    </w:p>
    <w:p w14:paraId="38F770A2" w14:textId="659395B6" w:rsidR="00B27F94"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8</w:t>
      </w:r>
      <w:r w:rsidR="00FE14AF">
        <w:rPr>
          <w:rFonts w:ascii="Verdana" w:eastAsia="Times New Roman" w:hAnsi="Verdana" w:cs="Arial"/>
          <w:sz w:val="24"/>
          <w:szCs w:val="24"/>
          <w:lang w:eastAsia="en-ZA"/>
        </w:rPr>
        <w:t xml:space="preserve">. In </w:t>
      </w:r>
      <w:proofErr w:type="spellStart"/>
      <w:r w:rsidR="00FE14AF">
        <w:rPr>
          <w:rFonts w:ascii="Verdana" w:eastAsia="Times New Roman" w:hAnsi="Verdana" w:cs="Arial"/>
          <w:sz w:val="24"/>
          <w:szCs w:val="24"/>
          <w:lang w:eastAsia="en-ZA"/>
        </w:rPr>
        <w:t>casu</w:t>
      </w:r>
      <w:proofErr w:type="spellEnd"/>
      <w:r w:rsidR="00FE14AF">
        <w:rPr>
          <w:rFonts w:ascii="Verdana" w:eastAsia="Times New Roman" w:hAnsi="Verdana" w:cs="Arial"/>
          <w:sz w:val="24"/>
          <w:szCs w:val="24"/>
          <w:lang w:eastAsia="en-ZA"/>
        </w:rPr>
        <w:t xml:space="preserve">, </w:t>
      </w:r>
      <w:r w:rsidR="00B27F94" w:rsidRPr="00B27F94">
        <w:rPr>
          <w:rFonts w:ascii="Verdana" w:eastAsia="Times New Roman" w:hAnsi="Verdana" w:cs="Arial"/>
          <w:sz w:val="24"/>
          <w:szCs w:val="24"/>
          <w:lang w:eastAsia="en-ZA"/>
        </w:rPr>
        <w:t xml:space="preserve">SARS refused two applications submitted by Nu Africa </w:t>
      </w:r>
      <w:r w:rsidR="00FB2153">
        <w:rPr>
          <w:rFonts w:ascii="Verdana" w:eastAsia="Times New Roman" w:hAnsi="Verdana" w:cs="Arial"/>
          <w:sz w:val="24"/>
          <w:szCs w:val="24"/>
          <w:lang w:eastAsia="en-ZA"/>
        </w:rPr>
        <w:t>f</w:t>
      </w:r>
      <w:r w:rsidR="00B27F94" w:rsidRPr="00B27F94">
        <w:rPr>
          <w:rFonts w:ascii="Verdana" w:eastAsia="Times New Roman" w:hAnsi="Verdana" w:cs="Arial"/>
          <w:sz w:val="24"/>
          <w:szCs w:val="24"/>
          <w:lang w:eastAsia="en-ZA"/>
        </w:rPr>
        <w:t xml:space="preserve">or the licensing of two special customs and excise warehouse (“SOS warehouse”). </w:t>
      </w:r>
      <w:r w:rsidR="002D5067">
        <w:rPr>
          <w:rFonts w:ascii="Verdana" w:eastAsia="Times New Roman" w:hAnsi="Verdana" w:cs="Arial"/>
          <w:sz w:val="24"/>
          <w:szCs w:val="24"/>
          <w:lang w:eastAsia="en-ZA"/>
        </w:rPr>
        <w:t xml:space="preserve">Subsequently, </w:t>
      </w:r>
      <w:r w:rsidR="00B27F94" w:rsidRPr="00B27F94">
        <w:rPr>
          <w:rFonts w:ascii="Verdana" w:eastAsia="Times New Roman" w:hAnsi="Verdana" w:cs="Arial"/>
          <w:sz w:val="24"/>
          <w:szCs w:val="24"/>
          <w:lang w:eastAsia="en-ZA"/>
        </w:rPr>
        <w:t>Nu Africa’s internal appeal to the National Appeals Committee was unsuccessful.</w:t>
      </w:r>
    </w:p>
    <w:p w14:paraId="34AF06E5" w14:textId="2C431862" w:rsidR="00FE14AF"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9</w:t>
      </w:r>
      <w:r w:rsidR="00B27F94">
        <w:rPr>
          <w:rFonts w:ascii="Verdana" w:eastAsia="Times New Roman" w:hAnsi="Verdana" w:cs="Arial"/>
          <w:sz w:val="24"/>
          <w:szCs w:val="24"/>
          <w:lang w:eastAsia="en-ZA"/>
        </w:rPr>
        <w:t xml:space="preserve">. </w:t>
      </w:r>
      <w:r w:rsidR="00FE14AF">
        <w:rPr>
          <w:rFonts w:ascii="Verdana" w:eastAsia="Times New Roman" w:hAnsi="Verdana" w:cs="Arial"/>
          <w:sz w:val="24"/>
          <w:szCs w:val="24"/>
          <w:lang w:eastAsia="en-ZA"/>
        </w:rPr>
        <w:t>As a result of the refusal of the two applications,</w:t>
      </w:r>
      <w:r w:rsidR="00B27F94">
        <w:rPr>
          <w:rFonts w:ascii="Verdana" w:eastAsia="Times New Roman" w:hAnsi="Verdana" w:cs="Arial"/>
          <w:sz w:val="24"/>
          <w:szCs w:val="24"/>
          <w:lang w:eastAsia="en-ZA"/>
        </w:rPr>
        <w:t xml:space="preserve"> Nu Africa seeks the </w:t>
      </w:r>
      <w:r w:rsidR="00841287">
        <w:rPr>
          <w:rFonts w:ascii="Verdana" w:eastAsia="Times New Roman" w:hAnsi="Verdana" w:cs="Arial"/>
          <w:sz w:val="24"/>
          <w:szCs w:val="24"/>
          <w:lang w:eastAsia="en-ZA"/>
        </w:rPr>
        <w:t>review</w:t>
      </w:r>
      <w:r w:rsidR="00B27F94">
        <w:rPr>
          <w:rFonts w:ascii="Verdana" w:eastAsia="Times New Roman" w:hAnsi="Verdana" w:cs="Arial"/>
          <w:sz w:val="24"/>
          <w:szCs w:val="24"/>
          <w:lang w:eastAsia="en-ZA"/>
        </w:rPr>
        <w:t xml:space="preserve"> and setting aside of SARS’ </w:t>
      </w:r>
      <w:r w:rsidR="00FE14AF">
        <w:rPr>
          <w:rFonts w:ascii="Verdana" w:eastAsia="Times New Roman" w:hAnsi="Verdana" w:cs="Arial"/>
          <w:sz w:val="24"/>
          <w:szCs w:val="24"/>
          <w:lang w:eastAsia="en-ZA"/>
        </w:rPr>
        <w:t>decisions</w:t>
      </w:r>
      <w:r w:rsidR="00B27F94">
        <w:rPr>
          <w:rFonts w:ascii="Verdana" w:eastAsia="Times New Roman" w:hAnsi="Verdana" w:cs="Arial"/>
          <w:sz w:val="24"/>
          <w:szCs w:val="24"/>
          <w:lang w:eastAsia="en-ZA"/>
        </w:rPr>
        <w:t xml:space="preserve">, as well as the decision of the Appeals Committee. </w:t>
      </w:r>
    </w:p>
    <w:p w14:paraId="0689C654" w14:textId="77777777" w:rsidR="00FE14AF" w:rsidRDefault="00FE14AF" w:rsidP="00B27F94">
      <w:pPr>
        <w:spacing w:after="240" w:line="480" w:lineRule="auto"/>
        <w:jc w:val="both"/>
        <w:rPr>
          <w:rFonts w:ascii="Verdana" w:eastAsia="Times New Roman" w:hAnsi="Verdana" w:cs="Arial"/>
          <w:sz w:val="24"/>
          <w:szCs w:val="24"/>
          <w:lang w:eastAsia="en-ZA"/>
        </w:rPr>
      </w:pPr>
    </w:p>
    <w:p w14:paraId="37BBF8B8" w14:textId="35FA1F26" w:rsidR="0095077A"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10</w:t>
      </w:r>
      <w:r w:rsidR="00FE14AF">
        <w:rPr>
          <w:rFonts w:ascii="Verdana" w:eastAsia="Times New Roman" w:hAnsi="Verdana" w:cs="Arial"/>
          <w:sz w:val="24"/>
          <w:szCs w:val="24"/>
          <w:lang w:eastAsia="en-ZA"/>
        </w:rPr>
        <w:t xml:space="preserve">. It is the contention of the Applicant that the </w:t>
      </w:r>
      <w:r w:rsidR="00B27F94">
        <w:rPr>
          <w:rFonts w:ascii="Verdana" w:eastAsia="Times New Roman" w:hAnsi="Verdana" w:cs="Arial"/>
          <w:sz w:val="24"/>
          <w:szCs w:val="24"/>
          <w:lang w:eastAsia="en-ZA"/>
        </w:rPr>
        <w:t xml:space="preserve">decisions </w:t>
      </w:r>
      <w:r w:rsidR="00FE14AF">
        <w:rPr>
          <w:rFonts w:ascii="Verdana" w:eastAsia="Times New Roman" w:hAnsi="Verdana" w:cs="Arial"/>
          <w:sz w:val="24"/>
          <w:szCs w:val="24"/>
          <w:lang w:eastAsia="en-ZA"/>
        </w:rPr>
        <w:t xml:space="preserve">so taken by SARS </w:t>
      </w:r>
      <w:r w:rsidR="00B27F94">
        <w:rPr>
          <w:rFonts w:ascii="Verdana" w:eastAsia="Times New Roman" w:hAnsi="Verdana" w:cs="Arial"/>
          <w:sz w:val="24"/>
          <w:szCs w:val="24"/>
          <w:lang w:eastAsia="en-ZA"/>
        </w:rPr>
        <w:t>were arbitrary and capri</w:t>
      </w:r>
      <w:r w:rsidR="00841287">
        <w:rPr>
          <w:rFonts w:ascii="Verdana" w:eastAsia="Times New Roman" w:hAnsi="Verdana" w:cs="Arial"/>
          <w:sz w:val="24"/>
          <w:szCs w:val="24"/>
          <w:lang w:eastAsia="en-ZA"/>
        </w:rPr>
        <w:t>cio</w:t>
      </w:r>
      <w:r w:rsidR="00B27F94">
        <w:rPr>
          <w:rFonts w:ascii="Verdana" w:eastAsia="Times New Roman" w:hAnsi="Verdana" w:cs="Arial"/>
          <w:sz w:val="24"/>
          <w:szCs w:val="24"/>
          <w:lang w:eastAsia="en-ZA"/>
        </w:rPr>
        <w:t>us.</w:t>
      </w:r>
      <w:r w:rsidR="00FE14AF">
        <w:rPr>
          <w:rFonts w:ascii="Verdana" w:eastAsia="Times New Roman" w:hAnsi="Verdana" w:cs="Arial"/>
          <w:sz w:val="24"/>
          <w:szCs w:val="24"/>
          <w:lang w:eastAsia="en-ZA"/>
        </w:rPr>
        <w:t xml:space="preserve"> That</w:t>
      </w:r>
      <w:r w:rsidR="00B27F94">
        <w:rPr>
          <w:rFonts w:ascii="Verdana" w:eastAsia="Times New Roman" w:hAnsi="Verdana" w:cs="Arial"/>
          <w:sz w:val="24"/>
          <w:szCs w:val="24"/>
          <w:lang w:eastAsia="en-ZA"/>
        </w:rPr>
        <w:t xml:space="preserve"> SARS failed to consider several relevant considerations and took irrelevant considerations into account</w:t>
      </w:r>
      <w:r w:rsidR="00841287">
        <w:rPr>
          <w:rFonts w:ascii="Verdana" w:eastAsia="Times New Roman" w:hAnsi="Verdana" w:cs="Arial"/>
          <w:sz w:val="24"/>
          <w:szCs w:val="24"/>
          <w:lang w:eastAsia="en-ZA"/>
        </w:rPr>
        <w:t>.</w:t>
      </w:r>
      <w:r w:rsidR="00FE14AF">
        <w:rPr>
          <w:rFonts w:ascii="Verdana" w:eastAsia="Times New Roman" w:hAnsi="Verdana" w:cs="Arial"/>
          <w:sz w:val="24"/>
          <w:szCs w:val="24"/>
          <w:lang w:eastAsia="en-ZA"/>
        </w:rPr>
        <w:t xml:space="preserve"> It is further the Applicant’s case that the</w:t>
      </w:r>
      <w:r w:rsidR="00841287">
        <w:rPr>
          <w:rFonts w:ascii="Verdana" w:eastAsia="Times New Roman" w:hAnsi="Verdana" w:cs="Arial"/>
          <w:sz w:val="24"/>
          <w:szCs w:val="24"/>
          <w:lang w:eastAsia="en-ZA"/>
        </w:rPr>
        <w:t xml:space="preserve"> decisions are</w:t>
      </w:r>
      <w:r w:rsidR="00FE14AF">
        <w:rPr>
          <w:rFonts w:ascii="Verdana" w:eastAsia="Times New Roman" w:hAnsi="Verdana" w:cs="Arial"/>
          <w:sz w:val="24"/>
          <w:szCs w:val="24"/>
          <w:lang w:eastAsia="en-ZA"/>
        </w:rPr>
        <w:t xml:space="preserve"> therefore</w:t>
      </w:r>
      <w:r w:rsidR="00841287">
        <w:rPr>
          <w:rFonts w:ascii="Verdana" w:eastAsia="Times New Roman" w:hAnsi="Verdana" w:cs="Arial"/>
          <w:sz w:val="24"/>
          <w:szCs w:val="24"/>
          <w:lang w:eastAsia="en-ZA"/>
        </w:rPr>
        <w:t xml:space="preserve"> liable to </w:t>
      </w:r>
      <w:r w:rsidR="00FE14AF">
        <w:rPr>
          <w:rFonts w:ascii="Verdana" w:eastAsia="Times New Roman" w:hAnsi="Verdana" w:cs="Arial"/>
          <w:sz w:val="24"/>
          <w:szCs w:val="24"/>
          <w:lang w:eastAsia="en-ZA"/>
        </w:rPr>
        <w:t xml:space="preserve">be </w:t>
      </w:r>
      <w:r w:rsidR="00841287">
        <w:rPr>
          <w:rFonts w:ascii="Verdana" w:eastAsia="Times New Roman" w:hAnsi="Verdana" w:cs="Arial"/>
          <w:sz w:val="24"/>
          <w:szCs w:val="24"/>
          <w:lang w:eastAsia="en-ZA"/>
        </w:rPr>
        <w:t>set aside in terms of PAJA.</w:t>
      </w:r>
      <w:r w:rsidR="00841287">
        <w:rPr>
          <w:rStyle w:val="FootnoteReference"/>
          <w:rFonts w:ascii="Verdana" w:eastAsia="Times New Roman" w:hAnsi="Verdana" w:cs="Arial"/>
          <w:sz w:val="24"/>
          <w:szCs w:val="24"/>
          <w:lang w:eastAsia="en-ZA"/>
        </w:rPr>
        <w:footnoteReference w:id="3"/>
      </w:r>
    </w:p>
    <w:p w14:paraId="3B7DC48B" w14:textId="77777777" w:rsidR="00FE14AF" w:rsidRPr="00FE14AF" w:rsidRDefault="00FE14AF" w:rsidP="00B27F94">
      <w:pPr>
        <w:spacing w:after="240" w:line="480" w:lineRule="auto"/>
        <w:jc w:val="both"/>
        <w:rPr>
          <w:rFonts w:ascii="Verdana" w:eastAsia="Times New Roman" w:hAnsi="Verdana" w:cs="Arial"/>
          <w:sz w:val="24"/>
          <w:szCs w:val="24"/>
          <w:lang w:eastAsia="en-ZA"/>
        </w:rPr>
      </w:pPr>
    </w:p>
    <w:p w14:paraId="51964B07" w14:textId="0BA335AE" w:rsidR="0095077A" w:rsidRPr="00FE14AF" w:rsidRDefault="0095077A" w:rsidP="00B27F94">
      <w:pPr>
        <w:spacing w:after="240" w:line="480" w:lineRule="auto"/>
        <w:jc w:val="both"/>
        <w:rPr>
          <w:rFonts w:ascii="Verdana" w:eastAsia="Times New Roman" w:hAnsi="Verdana" w:cs="Arial"/>
          <w:bCs/>
          <w:sz w:val="24"/>
          <w:szCs w:val="24"/>
          <w:lang w:eastAsia="en-ZA"/>
        </w:rPr>
      </w:pPr>
      <w:r w:rsidRPr="00FE14AF">
        <w:rPr>
          <w:rFonts w:ascii="Verdana" w:eastAsia="Times New Roman" w:hAnsi="Verdana" w:cs="Arial"/>
          <w:bCs/>
          <w:sz w:val="24"/>
          <w:szCs w:val="24"/>
          <w:lang w:eastAsia="en-ZA"/>
        </w:rPr>
        <w:t>BACKGROUND</w:t>
      </w:r>
    </w:p>
    <w:p w14:paraId="17CAA6F6" w14:textId="77777777" w:rsidR="006E44B5" w:rsidRPr="0086599F" w:rsidRDefault="00D16F06" w:rsidP="006E44B5">
      <w:pPr>
        <w:spacing w:after="240" w:line="480" w:lineRule="auto"/>
        <w:jc w:val="both"/>
        <w:rPr>
          <w:rFonts w:ascii="Verdana" w:eastAsia="Times New Roman" w:hAnsi="Verdana" w:cs="Arial"/>
          <w:color w:val="00B050"/>
          <w:sz w:val="24"/>
          <w:szCs w:val="24"/>
          <w:lang w:eastAsia="en-ZA"/>
        </w:rPr>
      </w:pPr>
      <w:r>
        <w:rPr>
          <w:rFonts w:ascii="Verdana" w:eastAsia="Times New Roman" w:hAnsi="Verdana" w:cs="Arial"/>
          <w:sz w:val="24"/>
          <w:szCs w:val="24"/>
          <w:lang w:eastAsia="en-ZA"/>
        </w:rPr>
        <w:t>11</w:t>
      </w:r>
      <w:r w:rsidR="0095077A">
        <w:rPr>
          <w:rFonts w:ascii="Verdana" w:eastAsia="Times New Roman" w:hAnsi="Verdana" w:cs="Arial"/>
          <w:sz w:val="24"/>
          <w:szCs w:val="24"/>
          <w:lang w:eastAsia="en-ZA"/>
        </w:rPr>
        <w:t>. Nu Africa is the licensee of various customs and excise warehouses in the Republic of South Africa.</w:t>
      </w:r>
      <w:r w:rsidR="006E44B5">
        <w:rPr>
          <w:rFonts w:ascii="Verdana" w:eastAsia="Times New Roman" w:hAnsi="Verdana" w:cs="Arial"/>
          <w:color w:val="00B050"/>
          <w:sz w:val="24"/>
          <w:szCs w:val="24"/>
          <w:lang w:eastAsia="en-ZA"/>
        </w:rPr>
        <w:t xml:space="preserve"> </w:t>
      </w:r>
      <w:r w:rsidR="006E44B5" w:rsidRPr="006E44B5">
        <w:rPr>
          <w:rFonts w:ascii="Verdana" w:eastAsia="Times New Roman" w:hAnsi="Verdana" w:cs="Arial"/>
          <w:sz w:val="24"/>
          <w:szCs w:val="24"/>
          <w:lang w:eastAsia="en-ZA"/>
        </w:rPr>
        <w:t>During 2018 the Respondent, the Commissioner for the South African Revenue Services (“the Commissioner”) conducted an extensive investigation and audit into wrongdoing by the Applicant with reference to the SOS and OS warehouses. At the end of an extensive investigation, the Commissioner found that the Applicant had, without the written permission of the Commissioner, diverted goods entered for delivery at a customs and excise warehouse to a destination other than the destination declared on</w:t>
      </w:r>
      <w:r w:rsidR="006E44B5">
        <w:rPr>
          <w:rFonts w:ascii="Verdana" w:eastAsia="Times New Roman" w:hAnsi="Verdana" w:cs="Arial"/>
          <w:sz w:val="24"/>
          <w:szCs w:val="24"/>
          <w:lang w:eastAsia="en-ZA"/>
        </w:rPr>
        <w:t xml:space="preserve"> </w:t>
      </w:r>
      <w:r w:rsidR="006E44B5" w:rsidRPr="006E44B5">
        <w:rPr>
          <w:rFonts w:ascii="Verdana" w:eastAsia="Times New Roman" w:hAnsi="Verdana" w:cs="Arial"/>
          <w:sz w:val="24"/>
          <w:szCs w:val="24"/>
          <w:lang w:eastAsia="en-ZA"/>
        </w:rPr>
        <w:t>the entry of such goods.</w:t>
      </w:r>
    </w:p>
    <w:p w14:paraId="4E2FE4FE" w14:textId="2D2D0F70" w:rsidR="0095077A"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12</w:t>
      </w:r>
      <w:r w:rsidR="008D0535">
        <w:rPr>
          <w:rFonts w:ascii="Verdana" w:eastAsia="Times New Roman" w:hAnsi="Verdana" w:cs="Arial"/>
          <w:sz w:val="24"/>
          <w:szCs w:val="24"/>
          <w:lang w:eastAsia="en-ZA"/>
        </w:rPr>
        <w:t xml:space="preserve">. </w:t>
      </w:r>
      <w:r w:rsidR="0095077A">
        <w:rPr>
          <w:rFonts w:ascii="Verdana" w:eastAsia="Times New Roman" w:hAnsi="Verdana" w:cs="Arial"/>
          <w:sz w:val="24"/>
          <w:szCs w:val="24"/>
          <w:lang w:eastAsia="en-ZA"/>
        </w:rPr>
        <w:t>On</w:t>
      </w:r>
      <w:r w:rsidR="0095077A" w:rsidRPr="00A02E46">
        <w:rPr>
          <w:rFonts w:ascii="Verdana" w:eastAsia="Times New Roman" w:hAnsi="Verdana" w:cs="Arial"/>
          <w:bCs/>
          <w:sz w:val="24"/>
          <w:szCs w:val="24"/>
          <w:lang w:eastAsia="en-ZA"/>
        </w:rPr>
        <w:t xml:space="preserve"> 3 </w:t>
      </w:r>
      <w:r w:rsidR="008D0535" w:rsidRPr="00A02E46">
        <w:rPr>
          <w:rFonts w:ascii="Verdana" w:eastAsia="Times New Roman" w:hAnsi="Verdana" w:cs="Arial"/>
          <w:bCs/>
          <w:sz w:val="24"/>
          <w:szCs w:val="24"/>
          <w:lang w:eastAsia="en-ZA"/>
        </w:rPr>
        <w:t>August</w:t>
      </w:r>
      <w:r w:rsidR="0095077A" w:rsidRPr="00A02E46">
        <w:rPr>
          <w:rFonts w:ascii="Verdana" w:eastAsia="Times New Roman" w:hAnsi="Verdana" w:cs="Arial"/>
          <w:bCs/>
          <w:sz w:val="24"/>
          <w:szCs w:val="24"/>
          <w:lang w:eastAsia="en-ZA"/>
        </w:rPr>
        <w:t xml:space="preserve"> 2018</w:t>
      </w:r>
      <w:r w:rsidR="0095077A">
        <w:rPr>
          <w:rFonts w:ascii="Verdana" w:eastAsia="Times New Roman" w:hAnsi="Verdana" w:cs="Arial"/>
          <w:sz w:val="24"/>
          <w:szCs w:val="24"/>
          <w:lang w:eastAsia="en-ZA"/>
        </w:rPr>
        <w:t xml:space="preserve"> the Commissioner raised a debt against Nu Africa for an amount of R36 291 907.59 (“R36 million”).</w:t>
      </w:r>
      <w:r w:rsidR="0095077A">
        <w:rPr>
          <w:rStyle w:val="FootnoteReference"/>
          <w:rFonts w:ascii="Verdana" w:eastAsia="Times New Roman" w:hAnsi="Verdana" w:cs="Arial"/>
          <w:sz w:val="24"/>
          <w:szCs w:val="24"/>
          <w:lang w:eastAsia="en-ZA"/>
        </w:rPr>
        <w:footnoteReference w:id="4"/>
      </w:r>
      <w:r w:rsidR="008D0535">
        <w:rPr>
          <w:rFonts w:ascii="Verdana" w:eastAsia="Times New Roman" w:hAnsi="Verdana" w:cs="Arial"/>
          <w:sz w:val="24"/>
          <w:szCs w:val="24"/>
          <w:lang w:eastAsia="en-ZA"/>
        </w:rPr>
        <w:t xml:space="preserve"> Nu Africa denies liability for the debt and instituted an internal appeal against the demand.</w:t>
      </w:r>
    </w:p>
    <w:p w14:paraId="73E87E5A" w14:textId="77777777" w:rsidR="008747BE" w:rsidRDefault="008747BE" w:rsidP="00B27F94">
      <w:pPr>
        <w:spacing w:after="240" w:line="480" w:lineRule="auto"/>
        <w:jc w:val="both"/>
        <w:rPr>
          <w:rFonts w:ascii="Verdana" w:eastAsia="Times New Roman" w:hAnsi="Verdana" w:cs="Arial"/>
          <w:sz w:val="24"/>
          <w:szCs w:val="24"/>
          <w:lang w:eastAsia="en-ZA"/>
        </w:rPr>
      </w:pPr>
    </w:p>
    <w:p w14:paraId="365493C8" w14:textId="1F3A54A8" w:rsidR="008D0535"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13</w:t>
      </w:r>
      <w:r w:rsidR="008D0535">
        <w:rPr>
          <w:rFonts w:ascii="Verdana" w:eastAsia="Times New Roman" w:hAnsi="Verdana" w:cs="Arial"/>
          <w:sz w:val="24"/>
          <w:szCs w:val="24"/>
          <w:lang w:eastAsia="en-ZA"/>
        </w:rPr>
        <w:t xml:space="preserve">. On </w:t>
      </w:r>
      <w:r w:rsidR="008D0535" w:rsidRPr="00D16F06">
        <w:rPr>
          <w:rFonts w:ascii="Verdana" w:eastAsia="Times New Roman" w:hAnsi="Verdana" w:cs="Arial"/>
          <w:bCs/>
          <w:sz w:val="24"/>
          <w:szCs w:val="24"/>
          <w:lang w:eastAsia="en-ZA"/>
        </w:rPr>
        <w:t>20 August 2018</w:t>
      </w:r>
      <w:r w:rsidR="008D0535">
        <w:rPr>
          <w:rFonts w:ascii="Verdana" w:eastAsia="Times New Roman" w:hAnsi="Verdana" w:cs="Arial"/>
          <w:sz w:val="24"/>
          <w:szCs w:val="24"/>
          <w:lang w:eastAsia="en-ZA"/>
        </w:rPr>
        <w:t>, Nu Africa requested the Commissioner to suspend the payment of the debt</w:t>
      </w:r>
      <w:r w:rsidR="002D5067">
        <w:rPr>
          <w:rFonts w:ascii="Verdana" w:eastAsia="Times New Roman" w:hAnsi="Verdana" w:cs="Arial"/>
          <w:sz w:val="24"/>
          <w:szCs w:val="24"/>
          <w:lang w:eastAsia="en-ZA"/>
        </w:rPr>
        <w:t xml:space="preserve"> which was</w:t>
      </w:r>
      <w:r w:rsidR="008D0535">
        <w:rPr>
          <w:rFonts w:ascii="Verdana" w:eastAsia="Times New Roman" w:hAnsi="Verdana" w:cs="Arial"/>
          <w:sz w:val="24"/>
          <w:szCs w:val="24"/>
          <w:lang w:eastAsia="en-ZA"/>
        </w:rPr>
        <w:t xml:space="preserve"> granted on </w:t>
      </w:r>
      <w:r w:rsidR="008D0535" w:rsidRPr="00D16F06">
        <w:rPr>
          <w:rFonts w:ascii="Verdana" w:eastAsia="Times New Roman" w:hAnsi="Verdana" w:cs="Arial"/>
          <w:bCs/>
          <w:sz w:val="24"/>
          <w:szCs w:val="24"/>
          <w:lang w:eastAsia="en-ZA"/>
        </w:rPr>
        <w:t>21 February 2019</w:t>
      </w:r>
      <w:r w:rsidR="008D0535">
        <w:rPr>
          <w:rFonts w:ascii="Verdana" w:eastAsia="Times New Roman" w:hAnsi="Verdana" w:cs="Arial"/>
          <w:sz w:val="24"/>
          <w:szCs w:val="24"/>
          <w:lang w:eastAsia="en-ZA"/>
        </w:rPr>
        <w:t>.</w:t>
      </w:r>
      <w:r w:rsidR="008D0535">
        <w:rPr>
          <w:rStyle w:val="FootnoteReference"/>
          <w:rFonts w:ascii="Verdana" w:eastAsia="Times New Roman" w:hAnsi="Verdana" w:cs="Arial"/>
          <w:sz w:val="24"/>
          <w:szCs w:val="24"/>
          <w:lang w:eastAsia="en-ZA"/>
        </w:rPr>
        <w:footnoteReference w:id="5"/>
      </w:r>
    </w:p>
    <w:p w14:paraId="25FFC194" w14:textId="77777777" w:rsidR="008747BE" w:rsidRDefault="008747BE" w:rsidP="00B27F94">
      <w:pPr>
        <w:spacing w:after="240" w:line="480" w:lineRule="auto"/>
        <w:jc w:val="both"/>
        <w:rPr>
          <w:rFonts w:ascii="Verdana" w:eastAsia="Times New Roman" w:hAnsi="Verdana" w:cs="Arial"/>
          <w:sz w:val="24"/>
          <w:szCs w:val="24"/>
          <w:lang w:eastAsia="en-ZA"/>
        </w:rPr>
      </w:pPr>
    </w:p>
    <w:p w14:paraId="5350BADA" w14:textId="15454F97" w:rsidR="008D0535"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14</w:t>
      </w:r>
      <w:r w:rsidR="008D0535">
        <w:rPr>
          <w:rFonts w:ascii="Verdana" w:eastAsia="Times New Roman" w:hAnsi="Verdana" w:cs="Arial"/>
          <w:sz w:val="24"/>
          <w:szCs w:val="24"/>
          <w:lang w:eastAsia="en-ZA"/>
        </w:rPr>
        <w:t xml:space="preserve">. Nu Africa first exhausted its internal remedies (internal appeal and ADR proceedings), whereafter it launched an action against SARS in the High Court, Gauteng Division (case number 48405/2019) on </w:t>
      </w:r>
      <w:r w:rsidR="008D0535" w:rsidRPr="00D16F06">
        <w:rPr>
          <w:rFonts w:ascii="Verdana" w:eastAsia="Times New Roman" w:hAnsi="Verdana" w:cs="Arial"/>
          <w:sz w:val="24"/>
          <w:szCs w:val="24"/>
          <w:lang w:eastAsia="en-ZA"/>
        </w:rPr>
        <w:t>7 July 2019</w:t>
      </w:r>
      <w:r w:rsidR="008D0535">
        <w:rPr>
          <w:rFonts w:ascii="Verdana" w:eastAsia="Times New Roman" w:hAnsi="Verdana" w:cs="Arial"/>
          <w:sz w:val="24"/>
          <w:szCs w:val="24"/>
          <w:lang w:eastAsia="en-ZA"/>
        </w:rPr>
        <w:t>, seeking the setting aside of the demand.</w:t>
      </w:r>
      <w:r w:rsidR="008D0535">
        <w:rPr>
          <w:rStyle w:val="FootnoteReference"/>
          <w:rFonts w:ascii="Verdana" w:eastAsia="Times New Roman" w:hAnsi="Verdana" w:cs="Arial"/>
          <w:sz w:val="24"/>
          <w:szCs w:val="24"/>
          <w:lang w:eastAsia="en-ZA"/>
        </w:rPr>
        <w:footnoteReference w:id="6"/>
      </w:r>
    </w:p>
    <w:p w14:paraId="07E559DF" w14:textId="77777777" w:rsidR="00D16F06" w:rsidRDefault="00D16F06" w:rsidP="00B27F94">
      <w:pPr>
        <w:spacing w:after="240" w:line="480" w:lineRule="auto"/>
        <w:jc w:val="both"/>
        <w:rPr>
          <w:rFonts w:ascii="Verdana" w:eastAsia="Times New Roman" w:hAnsi="Verdana" w:cs="Arial"/>
          <w:sz w:val="24"/>
          <w:szCs w:val="24"/>
          <w:lang w:eastAsia="en-ZA"/>
        </w:rPr>
      </w:pPr>
    </w:p>
    <w:p w14:paraId="6E2EF9B3" w14:textId="77777777" w:rsidR="00E65D06" w:rsidRDefault="00D16F06" w:rsidP="00B27F94">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15</w:t>
      </w:r>
      <w:r w:rsidR="008D0535">
        <w:rPr>
          <w:rFonts w:ascii="Verdana" w:eastAsia="Times New Roman" w:hAnsi="Verdana" w:cs="Arial"/>
          <w:sz w:val="24"/>
          <w:szCs w:val="24"/>
          <w:lang w:eastAsia="en-ZA"/>
        </w:rPr>
        <w:t>. Nu Africa was preparing applications for the licensing of two SOS warehouses and approached officials from SARS for advice on completing the DA 185 application forms.</w:t>
      </w:r>
      <w:r w:rsidR="00E65D06" w:rsidRPr="00E65D06">
        <w:rPr>
          <w:rFonts w:ascii="Verdana" w:eastAsia="Times New Roman" w:hAnsi="Verdana" w:cs="Arial"/>
          <w:color w:val="7030A0"/>
          <w:sz w:val="24"/>
          <w:szCs w:val="24"/>
          <w:lang w:eastAsia="en-ZA"/>
        </w:rPr>
        <w:t xml:space="preserve"> </w:t>
      </w:r>
      <w:r w:rsidR="00E65D06" w:rsidRPr="00E65D06">
        <w:rPr>
          <w:rFonts w:ascii="Verdana" w:eastAsia="Times New Roman" w:hAnsi="Verdana" w:cs="Arial"/>
          <w:sz w:val="24"/>
          <w:szCs w:val="24"/>
          <w:lang w:eastAsia="en-ZA"/>
        </w:rPr>
        <w:t xml:space="preserve">On 1 October 2019, Mr </w:t>
      </w:r>
      <w:proofErr w:type="spellStart"/>
      <w:r w:rsidR="00E65D06" w:rsidRPr="00E65D06">
        <w:rPr>
          <w:rFonts w:ascii="Verdana" w:eastAsia="Times New Roman" w:hAnsi="Verdana" w:cs="Arial"/>
          <w:sz w:val="24"/>
          <w:szCs w:val="24"/>
          <w:lang w:eastAsia="en-ZA"/>
        </w:rPr>
        <w:t>Phokane</w:t>
      </w:r>
      <w:proofErr w:type="spellEnd"/>
      <w:r w:rsidR="00E65D06" w:rsidRPr="00E65D06">
        <w:rPr>
          <w:rFonts w:ascii="Verdana" w:eastAsia="Times New Roman" w:hAnsi="Verdana" w:cs="Arial"/>
          <w:sz w:val="24"/>
          <w:szCs w:val="24"/>
          <w:lang w:eastAsia="en-ZA"/>
        </w:rPr>
        <w:t>, an Executive in the SARS Customs &amp; Excise Licensing Unit</w:t>
      </w:r>
      <w:r w:rsidR="00E65D06" w:rsidRPr="00E65D06">
        <w:rPr>
          <w:rStyle w:val="FootnoteReference"/>
          <w:rFonts w:ascii="Verdana" w:eastAsia="Times New Roman" w:hAnsi="Verdana" w:cs="Arial"/>
          <w:sz w:val="24"/>
          <w:szCs w:val="24"/>
          <w:lang w:eastAsia="en-ZA"/>
        </w:rPr>
        <w:footnoteReference w:id="7"/>
      </w:r>
      <w:r w:rsidR="00E65D06" w:rsidRPr="00E65D06">
        <w:rPr>
          <w:rFonts w:ascii="Verdana" w:eastAsia="Times New Roman" w:hAnsi="Verdana" w:cs="Arial"/>
          <w:sz w:val="24"/>
          <w:szCs w:val="24"/>
          <w:lang w:eastAsia="en-ZA"/>
        </w:rPr>
        <w:t xml:space="preserve"> sent an e-mail to the Applicant proposing that a meeting be held to discuss the way forward.</w:t>
      </w:r>
      <w:r w:rsidR="00E65D06" w:rsidRPr="00E65D06">
        <w:rPr>
          <w:rStyle w:val="FootnoteReference"/>
          <w:rFonts w:ascii="Verdana" w:eastAsia="Times New Roman" w:hAnsi="Verdana" w:cs="Arial"/>
          <w:sz w:val="24"/>
          <w:szCs w:val="24"/>
          <w:lang w:eastAsia="en-ZA"/>
        </w:rPr>
        <w:footnoteReference w:id="8"/>
      </w:r>
      <w:r w:rsidR="008D0535" w:rsidRPr="00E65D06">
        <w:rPr>
          <w:rFonts w:ascii="Verdana" w:eastAsia="Times New Roman" w:hAnsi="Verdana" w:cs="Arial"/>
          <w:sz w:val="24"/>
          <w:szCs w:val="24"/>
          <w:lang w:eastAsia="en-ZA"/>
        </w:rPr>
        <w:t xml:space="preserve"> </w:t>
      </w:r>
    </w:p>
    <w:p w14:paraId="40A9D123" w14:textId="77777777" w:rsidR="00E65D06" w:rsidRDefault="00E65D06" w:rsidP="00B27F94">
      <w:pPr>
        <w:spacing w:after="240" w:line="480" w:lineRule="auto"/>
        <w:jc w:val="both"/>
        <w:rPr>
          <w:rFonts w:ascii="Verdana" w:eastAsia="Times New Roman" w:hAnsi="Verdana" w:cs="Arial"/>
          <w:sz w:val="24"/>
          <w:szCs w:val="24"/>
          <w:lang w:eastAsia="en-ZA"/>
        </w:rPr>
      </w:pPr>
    </w:p>
    <w:p w14:paraId="6814C12E" w14:textId="0116A92A" w:rsidR="00E65D06" w:rsidRPr="00E65D06" w:rsidRDefault="00E65D06" w:rsidP="00E65D06">
      <w:pPr>
        <w:spacing w:after="240" w:line="480" w:lineRule="auto"/>
        <w:jc w:val="both"/>
        <w:rPr>
          <w:rFonts w:ascii="Verdana" w:eastAsia="Times New Roman" w:hAnsi="Verdana" w:cs="Arial"/>
          <w:color w:val="7030A0"/>
          <w:sz w:val="24"/>
          <w:szCs w:val="24"/>
          <w:lang w:eastAsia="en-ZA"/>
        </w:rPr>
      </w:pPr>
      <w:r>
        <w:rPr>
          <w:rFonts w:ascii="Verdana" w:eastAsia="Times New Roman" w:hAnsi="Verdana" w:cs="Arial"/>
          <w:sz w:val="24"/>
          <w:szCs w:val="24"/>
          <w:lang w:eastAsia="en-ZA"/>
        </w:rPr>
        <w:t xml:space="preserve">16. </w:t>
      </w:r>
      <w:r w:rsidR="008D0535">
        <w:rPr>
          <w:rFonts w:ascii="Verdana" w:eastAsia="Times New Roman" w:hAnsi="Verdana" w:cs="Arial"/>
          <w:sz w:val="24"/>
          <w:szCs w:val="24"/>
          <w:lang w:eastAsia="en-ZA"/>
        </w:rPr>
        <w:t xml:space="preserve">On </w:t>
      </w:r>
      <w:r w:rsidR="008D0535" w:rsidRPr="00D16F06">
        <w:rPr>
          <w:rFonts w:ascii="Verdana" w:eastAsia="Times New Roman" w:hAnsi="Verdana" w:cs="Arial"/>
          <w:sz w:val="24"/>
          <w:szCs w:val="24"/>
          <w:lang w:eastAsia="en-ZA"/>
        </w:rPr>
        <w:t>4 October 2019</w:t>
      </w:r>
      <w:r w:rsidR="008D0535">
        <w:rPr>
          <w:rFonts w:ascii="Verdana" w:eastAsia="Times New Roman" w:hAnsi="Verdana" w:cs="Arial"/>
          <w:sz w:val="24"/>
          <w:szCs w:val="24"/>
          <w:lang w:eastAsia="en-ZA"/>
        </w:rPr>
        <w:t xml:space="preserve"> Ms Prudence Shongwe and Mr Vusi Shongwe met with</w:t>
      </w:r>
      <w:r w:rsidR="00C80F0E">
        <w:rPr>
          <w:rFonts w:ascii="Verdana" w:eastAsia="Times New Roman" w:hAnsi="Verdana" w:cs="Arial"/>
          <w:sz w:val="24"/>
          <w:szCs w:val="24"/>
          <w:lang w:eastAsia="en-ZA"/>
        </w:rPr>
        <w:t xml:space="preserve"> Mr </w:t>
      </w:r>
      <w:proofErr w:type="spellStart"/>
      <w:r w:rsidR="00C80F0E">
        <w:rPr>
          <w:rFonts w:ascii="Verdana" w:eastAsia="Times New Roman" w:hAnsi="Verdana" w:cs="Arial"/>
          <w:sz w:val="24"/>
          <w:szCs w:val="24"/>
          <w:lang w:eastAsia="en-ZA"/>
        </w:rPr>
        <w:t>Phokane</w:t>
      </w:r>
      <w:proofErr w:type="spellEnd"/>
      <w:r w:rsidR="00C80F0E">
        <w:rPr>
          <w:rFonts w:ascii="Verdana" w:eastAsia="Times New Roman" w:hAnsi="Verdana" w:cs="Arial"/>
          <w:sz w:val="24"/>
          <w:szCs w:val="24"/>
          <w:lang w:eastAsia="en-ZA"/>
        </w:rPr>
        <w:t xml:space="preserve"> and </w:t>
      </w:r>
      <w:r w:rsidR="008D0535">
        <w:rPr>
          <w:rFonts w:ascii="Verdana" w:eastAsia="Times New Roman" w:hAnsi="Verdana" w:cs="Arial"/>
          <w:sz w:val="24"/>
          <w:szCs w:val="24"/>
          <w:lang w:eastAsia="en-ZA"/>
        </w:rPr>
        <w:t xml:space="preserve">Mr </w:t>
      </w:r>
      <w:proofErr w:type="spellStart"/>
      <w:r w:rsidR="008D0535">
        <w:rPr>
          <w:rFonts w:ascii="Verdana" w:eastAsia="Times New Roman" w:hAnsi="Verdana" w:cs="Arial"/>
          <w:sz w:val="24"/>
          <w:szCs w:val="24"/>
          <w:lang w:eastAsia="en-ZA"/>
        </w:rPr>
        <w:t>Phupheli</w:t>
      </w:r>
      <w:proofErr w:type="spellEnd"/>
      <w:r w:rsidR="008D0535">
        <w:rPr>
          <w:rFonts w:ascii="Verdana" w:eastAsia="Times New Roman" w:hAnsi="Verdana" w:cs="Arial"/>
          <w:sz w:val="24"/>
          <w:szCs w:val="24"/>
          <w:lang w:eastAsia="en-ZA"/>
        </w:rPr>
        <w:t xml:space="preserve"> from SARS.</w:t>
      </w:r>
      <w:r w:rsidR="008D0535">
        <w:rPr>
          <w:rStyle w:val="FootnoteReference"/>
          <w:rFonts w:ascii="Verdana" w:eastAsia="Times New Roman" w:hAnsi="Verdana" w:cs="Arial"/>
          <w:sz w:val="24"/>
          <w:szCs w:val="24"/>
          <w:lang w:eastAsia="en-ZA"/>
        </w:rPr>
        <w:footnoteReference w:id="9"/>
      </w:r>
    </w:p>
    <w:p w14:paraId="7F43EC1B" w14:textId="77777777" w:rsidR="00E65D06" w:rsidRPr="00E65D06" w:rsidRDefault="00E65D06" w:rsidP="00E65D06">
      <w:pPr>
        <w:spacing w:after="240" w:line="480" w:lineRule="auto"/>
        <w:jc w:val="both"/>
        <w:rPr>
          <w:rFonts w:ascii="Verdana" w:eastAsia="Times New Roman" w:hAnsi="Verdana" w:cs="Arial"/>
          <w:color w:val="7030A0"/>
          <w:sz w:val="24"/>
          <w:szCs w:val="24"/>
          <w:lang w:eastAsia="en-ZA"/>
        </w:rPr>
      </w:pPr>
    </w:p>
    <w:p w14:paraId="6BC5C550" w14:textId="5E8E7840" w:rsidR="00E65D06" w:rsidRPr="00E65D06" w:rsidRDefault="00E65D06" w:rsidP="00E65D06">
      <w:pPr>
        <w:spacing w:after="240" w:line="480" w:lineRule="auto"/>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 xml:space="preserve">17. At the meeting Mrs Shongwe on behalf of the Applicant mentioned that she is in the process of making application for the licences in question, referred to her previous problems with SARS and wanted guidance from Messrs </w:t>
      </w:r>
      <w:proofErr w:type="spellStart"/>
      <w:r w:rsidRPr="00E65D06">
        <w:rPr>
          <w:rFonts w:ascii="Verdana" w:eastAsia="Times New Roman" w:hAnsi="Verdana" w:cs="Arial"/>
          <w:sz w:val="24"/>
          <w:szCs w:val="24"/>
          <w:lang w:eastAsia="en-ZA"/>
        </w:rPr>
        <w:t>Phokane</w:t>
      </w:r>
      <w:proofErr w:type="spellEnd"/>
      <w:r w:rsidRPr="00E65D06">
        <w:rPr>
          <w:rFonts w:ascii="Verdana" w:eastAsia="Times New Roman" w:hAnsi="Verdana" w:cs="Arial"/>
          <w:sz w:val="24"/>
          <w:szCs w:val="24"/>
          <w:lang w:eastAsia="en-ZA"/>
        </w:rPr>
        <w:t xml:space="preserve"> and </w:t>
      </w:r>
      <w:proofErr w:type="spellStart"/>
      <w:r w:rsidRPr="00E65D06">
        <w:rPr>
          <w:rFonts w:ascii="Verdana" w:eastAsia="Times New Roman" w:hAnsi="Verdana" w:cs="Arial"/>
          <w:sz w:val="24"/>
          <w:szCs w:val="24"/>
          <w:lang w:eastAsia="en-ZA"/>
        </w:rPr>
        <w:t>Phupheli</w:t>
      </w:r>
      <w:proofErr w:type="spellEnd"/>
      <w:r w:rsidRPr="00E65D06">
        <w:rPr>
          <w:rFonts w:ascii="Verdana" w:eastAsia="Times New Roman" w:hAnsi="Verdana" w:cs="Arial"/>
          <w:sz w:val="24"/>
          <w:szCs w:val="24"/>
          <w:lang w:eastAsia="en-ZA"/>
        </w:rPr>
        <w:t xml:space="preserve"> as to how she should deal with the history of the Applicant’s relationship with SARS, in these applications.</w:t>
      </w:r>
      <w:r w:rsidRPr="00E65D06">
        <w:rPr>
          <w:rStyle w:val="FootnoteReference"/>
          <w:rFonts w:ascii="Verdana" w:eastAsia="Times New Roman" w:hAnsi="Verdana" w:cs="Arial"/>
          <w:sz w:val="24"/>
          <w:szCs w:val="24"/>
          <w:lang w:eastAsia="en-ZA"/>
        </w:rPr>
        <w:footnoteReference w:id="10"/>
      </w:r>
    </w:p>
    <w:p w14:paraId="1D2F717F" w14:textId="77777777" w:rsidR="00E65D06" w:rsidRPr="00E65D06" w:rsidRDefault="00E65D06" w:rsidP="00E65D06">
      <w:pPr>
        <w:spacing w:after="240" w:line="480" w:lineRule="auto"/>
        <w:jc w:val="both"/>
        <w:rPr>
          <w:rFonts w:ascii="Verdana" w:eastAsia="Times New Roman" w:hAnsi="Verdana" w:cs="Arial"/>
          <w:color w:val="7030A0"/>
          <w:sz w:val="24"/>
          <w:szCs w:val="24"/>
          <w:lang w:eastAsia="en-ZA"/>
        </w:rPr>
      </w:pPr>
    </w:p>
    <w:p w14:paraId="4021CA1D" w14:textId="1BCE639C" w:rsidR="00E65D06" w:rsidRPr="00E65D06" w:rsidRDefault="00E65D06" w:rsidP="00E65D06">
      <w:pPr>
        <w:spacing w:after="240" w:line="480" w:lineRule="auto"/>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18. On 17 October 2019 Ms Shongwe addressed a further e-mail to Mess</w:t>
      </w:r>
      <w:r w:rsidR="00205264">
        <w:rPr>
          <w:rFonts w:ascii="Verdana" w:eastAsia="Times New Roman" w:hAnsi="Verdana" w:cs="Arial"/>
          <w:sz w:val="24"/>
          <w:szCs w:val="24"/>
          <w:lang w:eastAsia="en-ZA"/>
        </w:rPr>
        <w:t>r</w:t>
      </w:r>
      <w:r w:rsidRPr="00E65D06">
        <w:rPr>
          <w:rFonts w:ascii="Verdana" w:eastAsia="Times New Roman" w:hAnsi="Verdana" w:cs="Arial"/>
          <w:sz w:val="24"/>
          <w:szCs w:val="24"/>
          <w:lang w:eastAsia="en-ZA"/>
        </w:rPr>
        <w:t xml:space="preserve">s and </w:t>
      </w:r>
      <w:proofErr w:type="spellStart"/>
      <w:r w:rsidRPr="00E65D06">
        <w:rPr>
          <w:rFonts w:ascii="Verdana" w:eastAsia="Times New Roman" w:hAnsi="Verdana" w:cs="Arial"/>
          <w:sz w:val="24"/>
          <w:szCs w:val="24"/>
          <w:lang w:eastAsia="en-ZA"/>
        </w:rPr>
        <w:t>Phokane</w:t>
      </w:r>
      <w:proofErr w:type="spellEnd"/>
      <w:r w:rsidRPr="00E65D06">
        <w:rPr>
          <w:rFonts w:ascii="Verdana" w:eastAsia="Times New Roman" w:hAnsi="Verdana" w:cs="Arial"/>
          <w:sz w:val="24"/>
          <w:szCs w:val="24"/>
          <w:lang w:eastAsia="en-ZA"/>
        </w:rPr>
        <w:t xml:space="preserve"> and </w:t>
      </w:r>
      <w:proofErr w:type="spellStart"/>
      <w:r w:rsidRPr="00E65D06">
        <w:rPr>
          <w:rFonts w:ascii="Verdana" w:eastAsia="Times New Roman" w:hAnsi="Verdana" w:cs="Arial"/>
          <w:sz w:val="24"/>
          <w:szCs w:val="24"/>
          <w:lang w:eastAsia="en-ZA"/>
        </w:rPr>
        <w:t>Phupheli</w:t>
      </w:r>
      <w:proofErr w:type="spellEnd"/>
      <w:r w:rsidRPr="00E65D06">
        <w:rPr>
          <w:rFonts w:ascii="Verdana" w:eastAsia="Times New Roman" w:hAnsi="Verdana" w:cs="Arial"/>
          <w:sz w:val="24"/>
          <w:szCs w:val="24"/>
          <w:lang w:eastAsia="en-ZA"/>
        </w:rPr>
        <w:t xml:space="preserve"> to which was attached the Applicant’s application for the Business Type 5 SOS Warehouse.</w:t>
      </w:r>
      <w:r w:rsidRPr="00E65D06">
        <w:rPr>
          <w:rStyle w:val="FootnoteReference"/>
          <w:rFonts w:ascii="Verdana" w:eastAsia="Times New Roman" w:hAnsi="Verdana" w:cs="Arial"/>
          <w:sz w:val="24"/>
          <w:szCs w:val="24"/>
          <w:lang w:eastAsia="en-ZA"/>
        </w:rPr>
        <w:footnoteReference w:id="11"/>
      </w:r>
      <w:r w:rsidRPr="00E65D06">
        <w:rPr>
          <w:rFonts w:ascii="Verdana" w:eastAsia="Times New Roman" w:hAnsi="Verdana" w:cs="Arial"/>
          <w:sz w:val="24"/>
          <w:szCs w:val="24"/>
          <w:lang w:eastAsia="en-ZA"/>
        </w:rPr>
        <w:t xml:space="preserve"> The e-mail concludes as follows:</w:t>
      </w:r>
    </w:p>
    <w:p w14:paraId="6B537E1E" w14:textId="3E11D44E" w:rsidR="00E65D06" w:rsidRPr="00E65D06" w:rsidRDefault="00E65D06" w:rsidP="00E65D06">
      <w:pPr>
        <w:spacing w:after="240" w:line="480" w:lineRule="auto"/>
        <w:ind w:left="720"/>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 xml:space="preserve">“Kindly advise if all in order before we submit as we fear </w:t>
      </w:r>
      <w:proofErr w:type="gramStart"/>
      <w:r w:rsidRPr="00E65D06">
        <w:rPr>
          <w:rFonts w:ascii="Verdana" w:eastAsia="Times New Roman" w:hAnsi="Verdana" w:cs="Arial"/>
          <w:sz w:val="24"/>
          <w:szCs w:val="24"/>
          <w:lang w:eastAsia="en-ZA"/>
        </w:rPr>
        <w:t>another</w:t>
      </w:r>
      <w:proofErr w:type="gramEnd"/>
      <w:r w:rsidRPr="00E65D06">
        <w:rPr>
          <w:rFonts w:ascii="Verdana" w:eastAsia="Times New Roman" w:hAnsi="Verdana" w:cs="Arial"/>
          <w:sz w:val="24"/>
          <w:szCs w:val="24"/>
          <w:lang w:eastAsia="en-ZA"/>
        </w:rPr>
        <w:t xml:space="preserve"> </w:t>
      </w:r>
    </w:p>
    <w:p w14:paraId="7D1A3EF4" w14:textId="77777777" w:rsidR="00E65D06" w:rsidRPr="00E65D06" w:rsidRDefault="00E65D06" w:rsidP="00E65D06">
      <w:pPr>
        <w:spacing w:after="240" w:line="480" w:lineRule="auto"/>
        <w:ind w:firstLine="720"/>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rejection.</w:t>
      </w:r>
    </w:p>
    <w:p w14:paraId="72EE12CB" w14:textId="77777777" w:rsidR="00E65D06" w:rsidRDefault="00E65D06" w:rsidP="00E65D06">
      <w:pPr>
        <w:spacing w:after="240" w:line="480" w:lineRule="auto"/>
        <w:ind w:left="720"/>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 xml:space="preserve">We would kindly appreciate it if you </w:t>
      </w:r>
      <w:proofErr w:type="gramStart"/>
      <w:r w:rsidRPr="00E65D06">
        <w:rPr>
          <w:rFonts w:ascii="Verdana" w:eastAsia="Times New Roman" w:hAnsi="Verdana" w:cs="Arial"/>
          <w:sz w:val="24"/>
          <w:szCs w:val="24"/>
          <w:lang w:eastAsia="en-ZA"/>
        </w:rPr>
        <w:t>highlight</w:t>
      </w:r>
      <w:proofErr w:type="gramEnd"/>
      <w:r w:rsidRPr="00E65D06">
        <w:rPr>
          <w:rFonts w:ascii="Verdana" w:eastAsia="Times New Roman" w:hAnsi="Verdana" w:cs="Arial"/>
          <w:sz w:val="24"/>
          <w:szCs w:val="24"/>
          <w:lang w:eastAsia="en-ZA"/>
        </w:rPr>
        <w:t xml:space="preserve"> if we have errors that need rectifying.”</w:t>
      </w:r>
      <w:r w:rsidRPr="00E65D06">
        <w:rPr>
          <w:rFonts w:ascii="Verdana" w:eastAsia="Times New Roman" w:hAnsi="Verdana" w:cs="Arial"/>
          <w:sz w:val="24"/>
          <w:szCs w:val="24"/>
          <w:lang w:eastAsia="en-ZA"/>
        </w:rPr>
        <w:tab/>
      </w:r>
    </w:p>
    <w:p w14:paraId="2AFFAEDF" w14:textId="77777777" w:rsidR="00E65D06" w:rsidRPr="00E65D06" w:rsidRDefault="00E65D06" w:rsidP="00E65D06">
      <w:pPr>
        <w:spacing w:after="240" w:line="480" w:lineRule="auto"/>
        <w:ind w:left="720"/>
        <w:jc w:val="both"/>
        <w:rPr>
          <w:rFonts w:ascii="Verdana" w:eastAsia="Times New Roman" w:hAnsi="Verdana" w:cs="Arial"/>
          <w:sz w:val="24"/>
          <w:szCs w:val="24"/>
          <w:lang w:eastAsia="en-ZA"/>
        </w:rPr>
      </w:pPr>
    </w:p>
    <w:p w14:paraId="59F27E51" w14:textId="1FA168EC" w:rsidR="00E65D06" w:rsidRPr="00E65D06" w:rsidRDefault="00E65D06" w:rsidP="00E65D06">
      <w:pPr>
        <w:spacing w:after="240" w:line="480" w:lineRule="auto"/>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 xml:space="preserve">19. Shortly thereafter Mr. </w:t>
      </w:r>
      <w:proofErr w:type="spellStart"/>
      <w:r w:rsidRPr="00E65D06">
        <w:rPr>
          <w:rFonts w:ascii="Verdana" w:eastAsia="Times New Roman" w:hAnsi="Verdana" w:cs="Arial"/>
          <w:sz w:val="24"/>
          <w:szCs w:val="24"/>
          <w:lang w:eastAsia="en-ZA"/>
        </w:rPr>
        <w:t>Phupheli</w:t>
      </w:r>
      <w:proofErr w:type="spellEnd"/>
      <w:r w:rsidRPr="00E65D06">
        <w:rPr>
          <w:rFonts w:ascii="Verdana" w:eastAsia="Times New Roman" w:hAnsi="Verdana" w:cs="Arial"/>
          <w:sz w:val="24"/>
          <w:szCs w:val="24"/>
          <w:lang w:eastAsia="en-ZA"/>
        </w:rPr>
        <w:t xml:space="preserve"> responded saying he had </w:t>
      </w:r>
      <w:proofErr w:type="gramStart"/>
      <w:r w:rsidRPr="00E65D06">
        <w:rPr>
          <w:rFonts w:ascii="Verdana" w:eastAsia="Times New Roman" w:hAnsi="Verdana" w:cs="Arial"/>
          <w:sz w:val="24"/>
          <w:szCs w:val="24"/>
          <w:lang w:eastAsia="en-ZA"/>
        </w:rPr>
        <w:t>ran</w:t>
      </w:r>
      <w:proofErr w:type="gramEnd"/>
      <w:r w:rsidRPr="00E65D06">
        <w:rPr>
          <w:rFonts w:ascii="Verdana" w:eastAsia="Times New Roman" w:hAnsi="Verdana" w:cs="Arial"/>
          <w:sz w:val="24"/>
          <w:szCs w:val="24"/>
          <w:lang w:eastAsia="en-ZA"/>
        </w:rPr>
        <w:t xml:space="preserve"> his eyes through the application and advising the Applicant to submit the application as discussed. He further stated:</w:t>
      </w:r>
    </w:p>
    <w:p w14:paraId="46E4CCA1" w14:textId="2DC3ABF0" w:rsidR="00E65D06" w:rsidRPr="00E65D06" w:rsidRDefault="00E65D06" w:rsidP="00E65D06">
      <w:pPr>
        <w:spacing w:after="240" w:line="480" w:lineRule="auto"/>
        <w:ind w:left="720"/>
        <w:jc w:val="both"/>
        <w:rPr>
          <w:rFonts w:ascii="Verdana" w:eastAsia="Times New Roman" w:hAnsi="Verdana" w:cs="Arial"/>
          <w:color w:val="7030A0"/>
          <w:sz w:val="24"/>
          <w:szCs w:val="24"/>
          <w:lang w:eastAsia="en-ZA"/>
        </w:rPr>
      </w:pPr>
      <w:r w:rsidRPr="00E65D06">
        <w:rPr>
          <w:rFonts w:ascii="Verdana" w:eastAsia="Times New Roman" w:hAnsi="Verdana" w:cs="Arial"/>
          <w:sz w:val="24"/>
          <w:szCs w:val="24"/>
          <w:lang w:eastAsia="en-ZA"/>
        </w:rPr>
        <w:t xml:space="preserve">“My technical team will duly advise my office on your applications before any rejection, and that will allow our engagement to ensure whatever need to </w:t>
      </w:r>
      <w:r w:rsidR="002D5067">
        <w:rPr>
          <w:rFonts w:ascii="Verdana" w:eastAsia="Times New Roman" w:hAnsi="Verdana" w:cs="Arial"/>
          <w:sz w:val="24"/>
          <w:szCs w:val="24"/>
          <w:lang w:eastAsia="en-ZA"/>
        </w:rPr>
        <w:t xml:space="preserve">be </w:t>
      </w:r>
      <w:r w:rsidRPr="00E65D06">
        <w:rPr>
          <w:rFonts w:ascii="Verdana" w:eastAsia="Times New Roman" w:hAnsi="Verdana" w:cs="Arial"/>
          <w:sz w:val="24"/>
          <w:szCs w:val="24"/>
          <w:lang w:eastAsia="en-ZA"/>
        </w:rPr>
        <w:t xml:space="preserve">corrected </w:t>
      </w:r>
      <w:r w:rsidR="002D5067">
        <w:rPr>
          <w:rFonts w:ascii="Verdana" w:eastAsia="Times New Roman" w:hAnsi="Verdana" w:cs="Arial"/>
          <w:sz w:val="24"/>
          <w:szCs w:val="24"/>
          <w:lang w:eastAsia="en-ZA"/>
        </w:rPr>
        <w:t>i</w:t>
      </w:r>
      <w:r w:rsidRPr="00E65D06">
        <w:rPr>
          <w:rFonts w:ascii="Verdana" w:eastAsia="Times New Roman" w:hAnsi="Verdana" w:cs="Arial"/>
          <w:sz w:val="24"/>
          <w:szCs w:val="24"/>
          <w:lang w:eastAsia="en-ZA"/>
        </w:rPr>
        <w:t xml:space="preserve">s </w:t>
      </w:r>
      <w:proofErr w:type="gramStart"/>
      <w:r w:rsidRPr="00E65D06">
        <w:rPr>
          <w:rFonts w:ascii="Verdana" w:eastAsia="Times New Roman" w:hAnsi="Verdana" w:cs="Arial"/>
          <w:sz w:val="24"/>
          <w:szCs w:val="24"/>
          <w:lang w:eastAsia="en-ZA"/>
        </w:rPr>
        <w:t>corrected”</w:t>
      </w:r>
      <w:proofErr w:type="gramEnd"/>
      <w:r w:rsidRPr="00E65D06">
        <w:rPr>
          <w:rFonts w:ascii="Verdana" w:eastAsia="Times New Roman" w:hAnsi="Verdana" w:cs="Arial"/>
          <w:sz w:val="24"/>
          <w:szCs w:val="24"/>
          <w:lang w:eastAsia="en-ZA"/>
        </w:rPr>
        <w:t xml:space="preserve"> </w:t>
      </w:r>
    </w:p>
    <w:p w14:paraId="528B2935" w14:textId="77777777" w:rsidR="00E65D06" w:rsidRPr="00E65D06" w:rsidRDefault="00E65D06" w:rsidP="00E65D06">
      <w:pPr>
        <w:spacing w:after="240" w:line="480" w:lineRule="auto"/>
        <w:jc w:val="both"/>
        <w:rPr>
          <w:rFonts w:ascii="Verdana" w:eastAsia="Times New Roman" w:hAnsi="Verdana" w:cs="Arial"/>
          <w:color w:val="7030A0"/>
          <w:sz w:val="24"/>
          <w:szCs w:val="24"/>
          <w:lang w:eastAsia="en-ZA"/>
        </w:rPr>
      </w:pPr>
    </w:p>
    <w:p w14:paraId="3211C344" w14:textId="77777777" w:rsidR="0043283A" w:rsidRDefault="00E65D06" w:rsidP="0043283A">
      <w:pPr>
        <w:spacing w:after="240" w:line="480" w:lineRule="auto"/>
        <w:jc w:val="both"/>
        <w:rPr>
          <w:rFonts w:ascii="Verdana" w:eastAsia="Times New Roman" w:hAnsi="Verdana" w:cs="Arial"/>
          <w:sz w:val="24"/>
          <w:szCs w:val="24"/>
          <w:lang w:eastAsia="en-ZA"/>
        </w:rPr>
      </w:pPr>
      <w:r w:rsidRPr="00E65D06">
        <w:rPr>
          <w:rFonts w:ascii="Verdana" w:eastAsia="Times New Roman" w:hAnsi="Verdana" w:cs="Arial"/>
          <w:sz w:val="24"/>
          <w:szCs w:val="24"/>
          <w:lang w:eastAsia="en-ZA"/>
        </w:rPr>
        <w:t xml:space="preserve">20. The Applicant followed Mr </w:t>
      </w:r>
      <w:proofErr w:type="spellStart"/>
      <w:r w:rsidRPr="00E65D06">
        <w:rPr>
          <w:rFonts w:ascii="Verdana" w:eastAsia="Times New Roman" w:hAnsi="Verdana" w:cs="Arial"/>
          <w:sz w:val="24"/>
          <w:szCs w:val="24"/>
          <w:lang w:eastAsia="en-ZA"/>
        </w:rPr>
        <w:t>Phupheli’s</w:t>
      </w:r>
      <w:proofErr w:type="spellEnd"/>
      <w:r w:rsidRPr="00E65D06">
        <w:rPr>
          <w:rFonts w:ascii="Verdana" w:eastAsia="Times New Roman" w:hAnsi="Verdana" w:cs="Arial"/>
          <w:sz w:val="24"/>
          <w:szCs w:val="24"/>
          <w:lang w:eastAsia="en-ZA"/>
        </w:rPr>
        <w:t xml:space="preserve"> advice and submitted the</w:t>
      </w:r>
      <w:r w:rsidR="001D273F">
        <w:rPr>
          <w:rFonts w:ascii="Verdana" w:eastAsia="Times New Roman" w:hAnsi="Verdana" w:cs="Arial"/>
          <w:sz w:val="24"/>
          <w:szCs w:val="24"/>
          <w:lang w:eastAsia="en-ZA"/>
        </w:rPr>
        <w:t xml:space="preserve"> two DA185 applications for the licensing of SOS warehouses (business type 5</w:t>
      </w:r>
      <w:r w:rsidR="001D273F">
        <w:rPr>
          <w:rStyle w:val="FootnoteReference"/>
          <w:rFonts w:ascii="Verdana" w:eastAsia="Times New Roman" w:hAnsi="Verdana" w:cs="Arial"/>
          <w:sz w:val="24"/>
          <w:szCs w:val="24"/>
          <w:lang w:eastAsia="en-ZA"/>
        </w:rPr>
        <w:footnoteReference w:id="12"/>
      </w:r>
      <w:r w:rsidR="001D273F">
        <w:rPr>
          <w:rFonts w:ascii="Verdana" w:eastAsia="Times New Roman" w:hAnsi="Verdana" w:cs="Arial"/>
          <w:sz w:val="24"/>
          <w:szCs w:val="24"/>
          <w:lang w:eastAsia="en-ZA"/>
        </w:rPr>
        <w:t xml:space="preserve"> and business ty</w:t>
      </w:r>
      <w:r w:rsidR="001D273F" w:rsidRPr="008C7F63">
        <w:rPr>
          <w:rFonts w:ascii="Verdana" w:eastAsia="Times New Roman" w:hAnsi="Verdana" w:cs="Arial"/>
          <w:sz w:val="24"/>
          <w:szCs w:val="24"/>
          <w:lang w:eastAsia="en-ZA"/>
        </w:rPr>
        <w:t>pe 7</w:t>
      </w:r>
      <w:r w:rsidR="001D273F" w:rsidRPr="008C7F63">
        <w:rPr>
          <w:rStyle w:val="FootnoteReference"/>
          <w:rFonts w:ascii="Verdana" w:eastAsia="Times New Roman" w:hAnsi="Verdana" w:cs="Arial"/>
          <w:sz w:val="24"/>
          <w:szCs w:val="24"/>
          <w:lang w:eastAsia="en-ZA"/>
        </w:rPr>
        <w:footnoteReference w:id="13"/>
      </w:r>
      <w:r w:rsidR="001D273F" w:rsidRPr="008C7F63">
        <w:rPr>
          <w:rFonts w:ascii="Verdana" w:eastAsia="Times New Roman" w:hAnsi="Verdana" w:cs="Arial"/>
          <w:sz w:val="24"/>
          <w:szCs w:val="24"/>
          <w:lang w:eastAsia="en-ZA"/>
        </w:rPr>
        <w:t>) on 19 October 2019.</w:t>
      </w:r>
      <w:r w:rsidR="008C7F63" w:rsidRPr="008C7F63">
        <w:rPr>
          <w:rFonts w:ascii="Verdana" w:eastAsia="Times New Roman" w:hAnsi="Verdana" w:cs="Arial"/>
          <w:sz w:val="24"/>
          <w:szCs w:val="24"/>
          <w:lang w:eastAsia="en-ZA"/>
        </w:rPr>
        <w:t xml:space="preserve"> These applications were submitted in terms of Sections 19A and 21 of the Customs Act, read with the Rules thereto.</w:t>
      </w:r>
      <w:r w:rsidR="0043283A" w:rsidRPr="0043283A">
        <w:rPr>
          <w:rFonts w:ascii="Verdana" w:eastAsia="Times New Roman" w:hAnsi="Verdana" w:cs="Arial"/>
          <w:sz w:val="24"/>
          <w:szCs w:val="24"/>
          <w:lang w:eastAsia="en-ZA"/>
        </w:rPr>
        <w:t xml:space="preserve"> </w:t>
      </w:r>
    </w:p>
    <w:p w14:paraId="4680F334" w14:textId="77777777" w:rsidR="0043283A" w:rsidRDefault="0043283A" w:rsidP="0043283A">
      <w:pPr>
        <w:spacing w:after="240" w:line="480" w:lineRule="auto"/>
        <w:jc w:val="both"/>
        <w:rPr>
          <w:rFonts w:ascii="Verdana" w:eastAsia="Times New Roman" w:hAnsi="Verdana" w:cs="Arial"/>
          <w:sz w:val="24"/>
          <w:szCs w:val="24"/>
          <w:lang w:eastAsia="en-ZA"/>
        </w:rPr>
      </w:pPr>
    </w:p>
    <w:p w14:paraId="60FAB30A" w14:textId="66C67A41" w:rsidR="0043283A" w:rsidRPr="0043283A" w:rsidRDefault="0043283A" w:rsidP="0043283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 xml:space="preserve">21. </w:t>
      </w:r>
      <w:r w:rsidRPr="0043283A">
        <w:rPr>
          <w:rFonts w:ascii="Verdana" w:eastAsia="Times New Roman" w:hAnsi="Verdana" w:cs="Arial"/>
          <w:sz w:val="24"/>
          <w:szCs w:val="24"/>
          <w:lang w:eastAsia="en-ZA"/>
        </w:rPr>
        <w:t xml:space="preserve">The written application forms </w:t>
      </w:r>
      <w:r w:rsidRPr="0043283A">
        <w:rPr>
          <w:rFonts w:ascii="Verdana" w:eastAsia="Times New Roman" w:hAnsi="Verdana" w:cs="Arial"/>
          <w:i/>
          <w:iCs/>
          <w:sz w:val="24"/>
          <w:szCs w:val="24"/>
          <w:lang w:eastAsia="en-ZA"/>
        </w:rPr>
        <w:t>inter alia</w:t>
      </w:r>
      <w:r w:rsidRPr="0043283A">
        <w:rPr>
          <w:rFonts w:ascii="Verdana" w:eastAsia="Times New Roman" w:hAnsi="Verdana" w:cs="Arial"/>
          <w:sz w:val="24"/>
          <w:szCs w:val="24"/>
          <w:lang w:eastAsia="en-ZA"/>
        </w:rPr>
        <w:t xml:space="preserve">, </w:t>
      </w:r>
      <w:r w:rsidR="002D5067">
        <w:rPr>
          <w:rFonts w:ascii="Verdana" w:eastAsia="Times New Roman" w:hAnsi="Verdana" w:cs="Arial"/>
          <w:sz w:val="24"/>
          <w:szCs w:val="24"/>
          <w:lang w:eastAsia="en-ZA"/>
        </w:rPr>
        <w:t>required</w:t>
      </w:r>
      <w:r w:rsidRPr="0043283A">
        <w:rPr>
          <w:rFonts w:ascii="Verdana" w:eastAsia="Times New Roman" w:hAnsi="Verdana" w:cs="Arial"/>
          <w:sz w:val="24"/>
          <w:szCs w:val="24"/>
          <w:lang w:eastAsia="en-ZA"/>
        </w:rPr>
        <w:t xml:space="preserve"> the Applicant to make a full and frank disclosure relating to past dealings. </w:t>
      </w:r>
      <w:proofErr w:type="gramStart"/>
      <w:r w:rsidRPr="0043283A">
        <w:rPr>
          <w:rFonts w:ascii="Verdana" w:eastAsia="Times New Roman" w:hAnsi="Verdana" w:cs="Arial"/>
          <w:sz w:val="24"/>
          <w:szCs w:val="24"/>
          <w:lang w:eastAsia="en-ZA"/>
        </w:rPr>
        <w:t>In particular, it</w:t>
      </w:r>
      <w:proofErr w:type="gramEnd"/>
      <w:r w:rsidRPr="0043283A">
        <w:rPr>
          <w:rFonts w:ascii="Verdana" w:eastAsia="Times New Roman" w:hAnsi="Verdana" w:cs="Arial"/>
          <w:sz w:val="24"/>
          <w:szCs w:val="24"/>
          <w:lang w:eastAsia="en-ZA"/>
        </w:rPr>
        <w:t xml:space="preserve"> was required from the Applicant to disclose any contravention by it of the provisions of the Customs Act in the 5 years preceding the date of the application.</w:t>
      </w:r>
    </w:p>
    <w:p w14:paraId="39833B2D" w14:textId="0CB37CCC" w:rsidR="008C7F63" w:rsidRPr="0086599F" w:rsidRDefault="008C7F63" w:rsidP="008C7F63">
      <w:pPr>
        <w:spacing w:after="240" w:line="480" w:lineRule="auto"/>
        <w:jc w:val="both"/>
        <w:rPr>
          <w:rFonts w:ascii="Verdana" w:eastAsia="Times New Roman" w:hAnsi="Verdana" w:cs="Arial"/>
          <w:color w:val="00B050"/>
          <w:sz w:val="24"/>
          <w:szCs w:val="24"/>
          <w:lang w:eastAsia="en-ZA"/>
        </w:rPr>
      </w:pPr>
    </w:p>
    <w:p w14:paraId="050D4D86" w14:textId="1F45CFC8" w:rsidR="001D273F" w:rsidRDefault="001D273F" w:rsidP="001D273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3283A">
        <w:rPr>
          <w:rFonts w:ascii="Verdana" w:eastAsia="Times New Roman" w:hAnsi="Verdana" w:cs="Arial"/>
          <w:sz w:val="24"/>
          <w:szCs w:val="24"/>
          <w:lang w:eastAsia="en-ZA"/>
        </w:rPr>
        <w:t>2</w:t>
      </w:r>
      <w:r>
        <w:rPr>
          <w:rFonts w:ascii="Verdana" w:eastAsia="Times New Roman" w:hAnsi="Verdana" w:cs="Arial"/>
          <w:sz w:val="24"/>
          <w:szCs w:val="24"/>
          <w:lang w:eastAsia="en-ZA"/>
        </w:rPr>
        <w:t xml:space="preserve">. On the same date, Nu Africa </w:t>
      </w:r>
      <w:r w:rsidR="0043283A">
        <w:rPr>
          <w:rFonts w:ascii="Verdana" w:eastAsia="Times New Roman" w:hAnsi="Verdana" w:cs="Arial"/>
          <w:sz w:val="24"/>
          <w:szCs w:val="24"/>
          <w:lang w:eastAsia="en-ZA"/>
        </w:rPr>
        <w:t xml:space="preserve">also </w:t>
      </w:r>
      <w:r>
        <w:rPr>
          <w:rFonts w:ascii="Verdana" w:eastAsia="Times New Roman" w:hAnsi="Verdana" w:cs="Arial"/>
          <w:sz w:val="24"/>
          <w:szCs w:val="24"/>
          <w:lang w:eastAsia="en-ZA"/>
        </w:rPr>
        <w:t>applied to SARS to register it as a “registered agent”, namely an agent on behalf of a foreign principal.</w:t>
      </w:r>
      <w:r>
        <w:rPr>
          <w:rStyle w:val="FootnoteReference"/>
          <w:rFonts w:ascii="Verdana" w:eastAsia="Times New Roman" w:hAnsi="Verdana" w:cs="Arial"/>
          <w:sz w:val="24"/>
          <w:szCs w:val="24"/>
          <w:lang w:eastAsia="en-ZA"/>
        </w:rPr>
        <w:footnoteReference w:id="14"/>
      </w:r>
      <w:r>
        <w:rPr>
          <w:rFonts w:ascii="Verdana" w:eastAsia="Times New Roman" w:hAnsi="Verdana" w:cs="Arial"/>
          <w:sz w:val="24"/>
          <w:szCs w:val="24"/>
          <w:lang w:eastAsia="en-ZA"/>
        </w:rPr>
        <w:t xml:space="preserve"> </w:t>
      </w:r>
    </w:p>
    <w:p w14:paraId="22003D43" w14:textId="77777777" w:rsidR="008C7F63" w:rsidRDefault="008C7F63" w:rsidP="001D273F">
      <w:pPr>
        <w:spacing w:after="240" w:line="480" w:lineRule="auto"/>
        <w:jc w:val="both"/>
        <w:rPr>
          <w:rFonts w:ascii="Verdana" w:eastAsia="Times New Roman" w:hAnsi="Verdana" w:cs="Arial"/>
          <w:sz w:val="24"/>
          <w:szCs w:val="24"/>
          <w:lang w:eastAsia="en-ZA"/>
        </w:rPr>
      </w:pPr>
    </w:p>
    <w:p w14:paraId="6A63B9BC" w14:textId="06251652" w:rsidR="001D273F" w:rsidRDefault="001D273F" w:rsidP="001D273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3283A">
        <w:rPr>
          <w:rFonts w:ascii="Verdana" w:eastAsia="Times New Roman" w:hAnsi="Verdana" w:cs="Arial"/>
          <w:sz w:val="24"/>
          <w:szCs w:val="24"/>
          <w:lang w:eastAsia="en-ZA"/>
        </w:rPr>
        <w:t>3</w:t>
      </w:r>
      <w:r>
        <w:rPr>
          <w:rFonts w:ascii="Verdana" w:eastAsia="Times New Roman" w:hAnsi="Verdana" w:cs="Arial"/>
          <w:sz w:val="24"/>
          <w:szCs w:val="24"/>
          <w:lang w:eastAsia="en-ZA"/>
        </w:rPr>
        <w:t>. Box 12 of the application forms (DA185) requires an applicant to indicate whether, during the preceding five years, it has contravened the Customs Act or failed to comply with the provisions of the said Act. For all three applications, Nu Africa answered the questions in the negative.</w:t>
      </w:r>
      <w:r>
        <w:rPr>
          <w:rStyle w:val="FootnoteReference"/>
          <w:rFonts w:ascii="Verdana" w:eastAsia="Times New Roman" w:hAnsi="Verdana" w:cs="Arial"/>
          <w:sz w:val="24"/>
          <w:szCs w:val="24"/>
          <w:lang w:eastAsia="en-ZA"/>
        </w:rPr>
        <w:footnoteReference w:id="15"/>
      </w:r>
      <w:r>
        <w:rPr>
          <w:rFonts w:ascii="Verdana" w:eastAsia="Times New Roman" w:hAnsi="Verdana" w:cs="Arial"/>
          <w:sz w:val="24"/>
          <w:szCs w:val="24"/>
          <w:lang w:eastAsia="en-ZA"/>
        </w:rPr>
        <w:t xml:space="preserve"> According to Nu Africa, this was consistent with the advice given to</w:t>
      </w:r>
      <w:r w:rsidR="005C5038">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Mrs Shongwe by the SARS officials,</w:t>
      </w:r>
      <w:r>
        <w:rPr>
          <w:rStyle w:val="FootnoteReference"/>
          <w:rFonts w:ascii="Verdana" w:eastAsia="Times New Roman" w:hAnsi="Verdana" w:cs="Arial"/>
          <w:sz w:val="24"/>
          <w:szCs w:val="24"/>
          <w:lang w:eastAsia="en-ZA"/>
        </w:rPr>
        <w:footnoteReference w:id="16"/>
      </w:r>
      <w:r>
        <w:rPr>
          <w:rFonts w:ascii="Verdana" w:eastAsia="Times New Roman" w:hAnsi="Verdana" w:cs="Arial"/>
          <w:sz w:val="24"/>
          <w:szCs w:val="24"/>
          <w:lang w:eastAsia="en-ZA"/>
        </w:rPr>
        <w:t xml:space="preserve"> a contention which is denied by SARS.</w:t>
      </w:r>
    </w:p>
    <w:p w14:paraId="2DF9415A" w14:textId="77777777" w:rsidR="004B6047" w:rsidRDefault="004B6047" w:rsidP="001D273F">
      <w:pPr>
        <w:spacing w:after="240" w:line="480" w:lineRule="auto"/>
        <w:jc w:val="both"/>
        <w:rPr>
          <w:rFonts w:ascii="Verdana" w:eastAsia="Times New Roman" w:hAnsi="Verdana" w:cs="Arial"/>
          <w:sz w:val="24"/>
          <w:szCs w:val="24"/>
          <w:lang w:eastAsia="en-ZA"/>
        </w:rPr>
      </w:pPr>
    </w:p>
    <w:p w14:paraId="31535BED" w14:textId="71A0282B" w:rsidR="002517C1" w:rsidRDefault="002517C1"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B6047">
        <w:rPr>
          <w:rFonts w:ascii="Verdana" w:eastAsia="Times New Roman" w:hAnsi="Verdana" w:cs="Arial"/>
          <w:sz w:val="24"/>
          <w:szCs w:val="24"/>
          <w:lang w:eastAsia="en-ZA"/>
        </w:rPr>
        <w:t>4</w:t>
      </w:r>
      <w:r>
        <w:rPr>
          <w:rFonts w:ascii="Verdana" w:eastAsia="Times New Roman" w:hAnsi="Verdana" w:cs="Arial"/>
          <w:sz w:val="24"/>
          <w:szCs w:val="24"/>
          <w:lang w:eastAsia="en-ZA"/>
        </w:rPr>
        <w:t xml:space="preserve">. On 23 October 2019 and 29 October 2019 SARS vetted the two applications for the SOS warehouses. </w:t>
      </w:r>
      <w:r>
        <w:rPr>
          <w:rStyle w:val="FootnoteReference"/>
          <w:rFonts w:ascii="Verdana" w:eastAsia="Times New Roman" w:hAnsi="Verdana" w:cs="Arial"/>
          <w:sz w:val="24"/>
          <w:szCs w:val="24"/>
          <w:lang w:eastAsia="en-ZA"/>
        </w:rPr>
        <w:footnoteReference w:id="17"/>
      </w:r>
      <w:r>
        <w:rPr>
          <w:rFonts w:ascii="Verdana" w:eastAsia="Times New Roman" w:hAnsi="Verdana" w:cs="Arial"/>
          <w:sz w:val="24"/>
          <w:szCs w:val="24"/>
          <w:lang w:eastAsia="en-ZA"/>
        </w:rPr>
        <w:t xml:space="preserve"> Both vetting reports were reviewed by Mr Michael Malindi from SARS.</w:t>
      </w:r>
      <w:r>
        <w:rPr>
          <w:rStyle w:val="FootnoteReference"/>
          <w:rFonts w:ascii="Verdana" w:eastAsia="Times New Roman" w:hAnsi="Verdana" w:cs="Arial"/>
          <w:sz w:val="24"/>
          <w:szCs w:val="24"/>
          <w:lang w:eastAsia="en-ZA"/>
        </w:rPr>
        <w:footnoteReference w:id="18"/>
      </w:r>
    </w:p>
    <w:p w14:paraId="1E081F79" w14:textId="77777777" w:rsidR="004B6047" w:rsidRDefault="004B6047" w:rsidP="002517C1">
      <w:pPr>
        <w:spacing w:after="240" w:line="480" w:lineRule="auto"/>
        <w:jc w:val="both"/>
        <w:rPr>
          <w:rFonts w:ascii="Verdana" w:eastAsia="Times New Roman" w:hAnsi="Verdana" w:cs="Arial"/>
          <w:sz w:val="24"/>
          <w:szCs w:val="24"/>
          <w:lang w:eastAsia="en-ZA"/>
        </w:rPr>
      </w:pPr>
    </w:p>
    <w:p w14:paraId="5354834E" w14:textId="3CDECFBF" w:rsidR="002517C1" w:rsidRDefault="002517C1"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2</w:t>
      </w:r>
      <w:r w:rsidR="004B6047">
        <w:rPr>
          <w:rFonts w:ascii="Verdana" w:eastAsia="Times New Roman" w:hAnsi="Verdana" w:cs="Arial"/>
          <w:sz w:val="24"/>
          <w:szCs w:val="24"/>
          <w:lang w:eastAsia="en-ZA"/>
        </w:rPr>
        <w:t>5</w:t>
      </w:r>
      <w:r>
        <w:rPr>
          <w:rFonts w:ascii="Verdana" w:eastAsia="Times New Roman" w:hAnsi="Verdana" w:cs="Arial"/>
          <w:sz w:val="24"/>
          <w:szCs w:val="24"/>
          <w:lang w:eastAsia="en-ZA"/>
        </w:rPr>
        <w:t>. On 19 November 2019 SARS approved the application for a “registered agent”.</w:t>
      </w:r>
      <w:r>
        <w:rPr>
          <w:rStyle w:val="FootnoteReference"/>
          <w:rFonts w:ascii="Verdana" w:eastAsia="Times New Roman" w:hAnsi="Verdana" w:cs="Arial"/>
          <w:sz w:val="24"/>
          <w:szCs w:val="24"/>
          <w:lang w:eastAsia="en-ZA"/>
        </w:rPr>
        <w:footnoteReference w:id="19"/>
      </w:r>
      <w:r>
        <w:rPr>
          <w:rFonts w:ascii="Verdana" w:eastAsia="Times New Roman" w:hAnsi="Verdana" w:cs="Arial"/>
          <w:sz w:val="24"/>
          <w:szCs w:val="24"/>
          <w:lang w:eastAsia="en-ZA"/>
        </w:rPr>
        <w:t xml:space="preserve"> On 20 December 2019, SARS refused the SOS warehouse licencing applications.</w:t>
      </w:r>
      <w:r>
        <w:rPr>
          <w:rStyle w:val="FootnoteReference"/>
          <w:rFonts w:ascii="Verdana" w:eastAsia="Times New Roman" w:hAnsi="Verdana" w:cs="Arial"/>
          <w:sz w:val="24"/>
          <w:szCs w:val="24"/>
          <w:lang w:eastAsia="en-ZA"/>
        </w:rPr>
        <w:footnoteReference w:id="20"/>
      </w:r>
    </w:p>
    <w:p w14:paraId="6C3E3BFF" w14:textId="77777777" w:rsidR="002517C1" w:rsidRDefault="002517C1" w:rsidP="002517C1">
      <w:pPr>
        <w:spacing w:after="240" w:line="480" w:lineRule="auto"/>
        <w:jc w:val="both"/>
        <w:rPr>
          <w:rFonts w:ascii="Verdana" w:eastAsia="Times New Roman" w:hAnsi="Verdana" w:cs="Arial"/>
          <w:sz w:val="24"/>
          <w:szCs w:val="24"/>
          <w:lang w:eastAsia="en-ZA"/>
        </w:rPr>
      </w:pPr>
    </w:p>
    <w:p w14:paraId="2A909EB9" w14:textId="5C7857E3" w:rsidR="002517C1" w:rsidRPr="00E65D06" w:rsidRDefault="002517C1"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B6047">
        <w:rPr>
          <w:rFonts w:ascii="Verdana" w:eastAsia="Times New Roman" w:hAnsi="Verdana" w:cs="Arial"/>
          <w:sz w:val="24"/>
          <w:szCs w:val="24"/>
          <w:lang w:eastAsia="en-ZA"/>
        </w:rPr>
        <w:t>6</w:t>
      </w:r>
      <w:r w:rsidRPr="00E65D06">
        <w:rPr>
          <w:rFonts w:ascii="Verdana" w:eastAsia="Times New Roman" w:hAnsi="Verdana" w:cs="Arial"/>
          <w:sz w:val="24"/>
          <w:szCs w:val="24"/>
          <w:lang w:eastAsia="en-ZA"/>
        </w:rPr>
        <w:t xml:space="preserve">. It is </w:t>
      </w:r>
      <w:r>
        <w:rPr>
          <w:rFonts w:ascii="Verdana" w:eastAsia="Times New Roman" w:hAnsi="Verdana" w:cs="Arial"/>
          <w:sz w:val="24"/>
          <w:szCs w:val="24"/>
          <w:lang w:eastAsia="en-ZA"/>
        </w:rPr>
        <w:t>the Applicant’s case that</w:t>
      </w:r>
      <w:r w:rsidRPr="00E65D06">
        <w:rPr>
          <w:rFonts w:ascii="Verdana" w:eastAsia="Times New Roman" w:hAnsi="Verdana" w:cs="Arial"/>
          <w:sz w:val="24"/>
          <w:szCs w:val="24"/>
          <w:lang w:eastAsia="en-ZA"/>
        </w:rPr>
        <w:t xml:space="preserve"> had M</w:t>
      </w:r>
      <w:r>
        <w:rPr>
          <w:rFonts w:ascii="Verdana" w:eastAsia="Times New Roman" w:hAnsi="Verdana" w:cs="Arial"/>
          <w:sz w:val="24"/>
          <w:szCs w:val="24"/>
          <w:lang w:eastAsia="en-ZA"/>
        </w:rPr>
        <w:t>r</w:t>
      </w:r>
      <w:r w:rsidRPr="00E65D06">
        <w:rPr>
          <w:rFonts w:ascii="Verdana" w:eastAsia="Times New Roman" w:hAnsi="Verdana" w:cs="Arial"/>
          <w:sz w:val="24"/>
          <w:szCs w:val="24"/>
          <w:lang w:eastAsia="en-ZA"/>
        </w:rPr>
        <w:t xml:space="preserve"> </w:t>
      </w:r>
      <w:proofErr w:type="spellStart"/>
      <w:r w:rsidRPr="00E65D06">
        <w:rPr>
          <w:rFonts w:ascii="Verdana" w:eastAsia="Times New Roman" w:hAnsi="Verdana" w:cs="Arial"/>
          <w:sz w:val="24"/>
          <w:szCs w:val="24"/>
          <w:lang w:eastAsia="en-ZA"/>
        </w:rPr>
        <w:t>Phupheli</w:t>
      </w:r>
      <w:proofErr w:type="spellEnd"/>
      <w:r w:rsidRPr="00E65D06">
        <w:rPr>
          <w:rFonts w:ascii="Verdana" w:eastAsia="Times New Roman" w:hAnsi="Verdana" w:cs="Arial"/>
          <w:sz w:val="24"/>
          <w:szCs w:val="24"/>
          <w:lang w:eastAsia="en-ZA"/>
        </w:rPr>
        <w:t xml:space="preserve"> honoured his undertaking to engage the Applicant to ensure whatever needs to be corrected is corrected, before any rejection, the present dispute would not have arisen.</w:t>
      </w:r>
    </w:p>
    <w:p w14:paraId="0925E711" w14:textId="77777777" w:rsidR="002517C1" w:rsidRPr="00E65D06" w:rsidRDefault="002517C1" w:rsidP="002517C1">
      <w:pPr>
        <w:spacing w:after="240" w:line="480" w:lineRule="auto"/>
        <w:jc w:val="both"/>
        <w:rPr>
          <w:rFonts w:ascii="Verdana" w:eastAsia="Times New Roman" w:hAnsi="Verdana" w:cs="Arial"/>
          <w:color w:val="7030A0"/>
          <w:sz w:val="24"/>
          <w:szCs w:val="24"/>
          <w:lang w:eastAsia="en-ZA"/>
        </w:rPr>
      </w:pPr>
    </w:p>
    <w:p w14:paraId="0E1E3213" w14:textId="4D7C837B" w:rsidR="002517C1" w:rsidRDefault="002517C1" w:rsidP="002517C1">
      <w:pPr>
        <w:spacing w:after="240" w:line="480" w:lineRule="auto"/>
        <w:jc w:val="both"/>
        <w:rPr>
          <w:rFonts w:ascii="Verdana" w:eastAsia="Times New Roman" w:hAnsi="Verdana" w:cs="Arial"/>
          <w:sz w:val="24"/>
          <w:szCs w:val="24"/>
          <w:lang w:eastAsia="en-ZA"/>
        </w:rPr>
      </w:pPr>
      <w:r w:rsidRPr="001D273F">
        <w:rPr>
          <w:rFonts w:ascii="Verdana" w:eastAsia="Times New Roman" w:hAnsi="Verdana" w:cs="Arial"/>
          <w:sz w:val="24"/>
          <w:szCs w:val="24"/>
          <w:lang w:eastAsia="en-ZA"/>
        </w:rPr>
        <w:t>2</w:t>
      </w:r>
      <w:r w:rsidR="004B6047">
        <w:rPr>
          <w:rFonts w:ascii="Verdana" w:eastAsia="Times New Roman" w:hAnsi="Verdana" w:cs="Arial"/>
          <w:sz w:val="24"/>
          <w:szCs w:val="24"/>
          <w:lang w:eastAsia="en-ZA"/>
        </w:rPr>
        <w:t>7</w:t>
      </w:r>
      <w:r w:rsidRPr="001D273F">
        <w:rPr>
          <w:rFonts w:ascii="Verdana" w:eastAsia="Times New Roman" w:hAnsi="Verdana" w:cs="Arial"/>
          <w:sz w:val="24"/>
          <w:szCs w:val="24"/>
          <w:lang w:eastAsia="en-ZA"/>
        </w:rPr>
        <w:t xml:space="preserve">. Mr </w:t>
      </w:r>
      <w:proofErr w:type="spellStart"/>
      <w:r w:rsidRPr="001D273F">
        <w:rPr>
          <w:rFonts w:ascii="Verdana" w:eastAsia="Times New Roman" w:hAnsi="Verdana" w:cs="Arial"/>
          <w:sz w:val="24"/>
          <w:szCs w:val="24"/>
          <w:lang w:eastAsia="en-ZA"/>
        </w:rPr>
        <w:t>Phupheli</w:t>
      </w:r>
      <w:proofErr w:type="spellEnd"/>
      <w:r w:rsidRPr="001D273F">
        <w:rPr>
          <w:rFonts w:ascii="Verdana" w:eastAsia="Times New Roman" w:hAnsi="Verdana" w:cs="Arial"/>
          <w:sz w:val="24"/>
          <w:szCs w:val="24"/>
          <w:lang w:eastAsia="en-ZA"/>
        </w:rPr>
        <w:t xml:space="preserve"> however did not inform that Applicant of any issues to be corrected prior to the refusal of the applications.</w:t>
      </w:r>
      <w:r w:rsidRPr="001D273F">
        <w:rPr>
          <w:rStyle w:val="FootnoteReference"/>
          <w:rFonts w:ascii="Verdana" w:eastAsia="Times New Roman" w:hAnsi="Verdana" w:cs="Arial"/>
          <w:sz w:val="24"/>
          <w:szCs w:val="24"/>
          <w:lang w:eastAsia="en-ZA"/>
        </w:rPr>
        <w:footnoteReference w:id="21"/>
      </w:r>
    </w:p>
    <w:p w14:paraId="740CD72B" w14:textId="77777777" w:rsidR="00137A03" w:rsidRDefault="00137A03" w:rsidP="002517C1">
      <w:pPr>
        <w:spacing w:after="240" w:line="480" w:lineRule="auto"/>
        <w:jc w:val="both"/>
        <w:rPr>
          <w:rFonts w:ascii="Verdana" w:eastAsia="Times New Roman" w:hAnsi="Verdana" w:cs="Arial"/>
          <w:sz w:val="24"/>
          <w:szCs w:val="24"/>
          <w:lang w:eastAsia="en-ZA"/>
        </w:rPr>
      </w:pPr>
    </w:p>
    <w:p w14:paraId="0A1EC236" w14:textId="1A7CE49C" w:rsidR="00137A03" w:rsidRDefault="00137A03"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B6047">
        <w:rPr>
          <w:rFonts w:ascii="Verdana" w:eastAsia="Times New Roman" w:hAnsi="Verdana" w:cs="Arial"/>
          <w:sz w:val="24"/>
          <w:szCs w:val="24"/>
          <w:lang w:eastAsia="en-ZA"/>
        </w:rPr>
        <w:t>8</w:t>
      </w:r>
      <w:r>
        <w:rPr>
          <w:rFonts w:ascii="Verdana" w:eastAsia="Times New Roman" w:hAnsi="Verdana" w:cs="Arial"/>
          <w:sz w:val="24"/>
          <w:szCs w:val="24"/>
          <w:lang w:eastAsia="en-ZA"/>
        </w:rPr>
        <w:t xml:space="preserve">. This argument advanced by the Applicant that </w:t>
      </w:r>
      <w:proofErr w:type="gramStart"/>
      <w:r>
        <w:rPr>
          <w:rFonts w:ascii="Verdana" w:eastAsia="Times New Roman" w:hAnsi="Verdana" w:cs="Arial"/>
          <w:sz w:val="24"/>
          <w:szCs w:val="24"/>
          <w:lang w:eastAsia="en-ZA"/>
        </w:rPr>
        <w:t>as a result of</w:t>
      </w:r>
      <w:proofErr w:type="gramEnd"/>
      <w:r>
        <w:rPr>
          <w:rFonts w:ascii="Verdana" w:eastAsia="Times New Roman" w:hAnsi="Verdana" w:cs="Arial"/>
          <w:sz w:val="24"/>
          <w:szCs w:val="24"/>
          <w:lang w:eastAsia="en-ZA"/>
        </w:rPr>
        <w:t xml:space="preserve"> Mr </w:t>
      </w:r>
      <w:proofErr w:type="spellStart"/>
      <w:r>
        <w:rPr>
          <w:rFonts w:ascii="Verdana" w:eastAsia="Times New Roman" w:hAnsi="Verdana" w:cs="Arial"/>
          <w:sz w:val="24"/>
          <w:szCs w:val="24"/>
          <w:lang w:eastAsia="en-ZA"/>
        </w:rPr>
        <w:t>Phupheli</w:t>
      </w:r>
      <w:proofErr w:type="spellEnd"/>
      <w:r>
        <w:rPr>
          <w:rFonts w:ascii="Verdana" w:eastAsia="Times New Roman" w:hAnsi="Verdana" w:cs="Arial"/>
          <w:sz w:val="24"/>
          <w:szCs w:val="24"/>
          <w:lang w:eastAsia="en-ZA"/>
        </w:rPr>
        <w:t xml:space="preserve"> to inform the Applicant on whether that which had been disclosed in </w:t>
      </w:r>
      <w:r w:rsidR="00246C21">
        <w:rPr>
          <w:rFonts w:ascii="Verdana" w:eastAsia="Times New Roman" w:hAnsi="Verdana" w:cs="Arial"/>
          <w:sz w:val="24"/>
          <w:szCs w:val="24"/>
          <w:lang w:eastAsia="en-ZA"/>
        </w:rPr>
        <w:t>its</w:t>
      </w:r>
      <w:r>
        <w:rPr>
          <w:rFonts w:ascii="Verdana" w:eastAsia="Times New Roman" w:hAnsi="Verdana" w:cs="Arial"/>
          <w:sz w:val="24"/>
          <w:szCs w:val="24"/>
          <w:lang w:eastAsia="en-ZA"/>
        </w:rPr>
        <w:t xml:space="preserve"> application forms was properly recorded</w:t>
      </w:r>
      <w:r w:rsidR="00246C21">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is somehow an excuse for its failure to complete the application forms frankly and honestly</w:t>
      </w:r>
      <w:r w:rsidR="000231F3">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I cannot agree with. This I say so for the following reasons:</w:t>
      </w:r>
    </w:p>
    <w:p w14:paraId="01AA71C6" w14:textId="56456B83" w:rsidR="00380E36" w:rsidRDefault="00137A03"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2</w:t>
      </w:r>
      <w:r w:rsidR="004B6047">
        <w:rPr>
          <w:rFonts w:ascii="Verdana" w:eastAsia="Times New Roman" w:hAnsi="Verdana" w:cs="Arial"/>
          <w:sz w:val="24"/>
          <w:szCs w:val="24"/>
          <w:lang w:eastAsia="en-ZA"/>
        </w:rPr>
        <w:t>8</w:t>
      </w:r>
      <w:r>
        <w:rPr>
          <w:rFonts w:ascii="Verdana" w:eastAsia="Times New Roman" w:hAnsi="Verdana" w:cs="Arial"/>
          <w:sz w:val="24"/>
          <w:szCs w:val="24"/>
          <w:lang w:eastAsia="en-ZA"/>
        </w:rPr>
        <w:t xml:space="preserve">.1 It is </w:t>
      </w:r>
      <w:r w:rsidR="00246C21">
        <w:rPr>
          <w:rFonts w:ascii="Verdana" w:eastAsia="Times New Roman" w:hAnsi="Verdana" w:cs="Arial"/>
          <w:sz w:val="24"/>
          <w:szCs w:val="24"/>
          <w:lang w:eastAsia="en-ZA"/>
        </w:rPr>
        <w:t xml:space="preserve">solely the applicant’s obligation and not that </w:t>
      </w:r>
      <w:r w:rsidR="00380E36">
        <w:rPr>
          <w:rFonts w:ascii="Verdana" w:eastAsia="Times New Roman" w:hAnsi="Verdana" w:cs="Arial"/>
          <w:sz w:val="24"/>
          <w:szCs w:val="24"/>
          <w:lang w:eastAsia="en-ZA"/>
        </w:rPr>
        <w:t xml:space="preserve">of the officials of </w:t>
      </w:r>
      <w:r>
        <w:rPr>
          <w:rFonts w:ascii="Verdana" w:eastAsia="Times New Roman" w:hAnsi="Verdana" w:cs="Arial"/>
          <w:sz w:val="24"/>
          <w:szCs w:val="24"/>
          <w:lang w:eastAsia="en-ZA"/>
        </w:rPr>
        <w:t>the Commissioner</w:t>
      </w:r>
      <w:r w:rsidR="000231F3">
        <w:rPr>
          <w:rFonts w:ascii="Verdana" w:eastAsia="Times New Roman" w:hAnsi="Verdana" w:cs="Arial"/>
          <w:sz w:val="24"/>
          <w:szCs w:val="24"/>
          <w:lang w:eastAsia="en-ZA"/>
        </w:rPr>
        <w:t>,</w:t>
      </w:r>
      <w:r w:rsidR="00380E36">
        <w:rPr>
          <w:rFonts w:ascii="Verdana" w:eastAsia="Times New Roman" w:hAnsi="Verdana" w:cs="Arial"/>
          <w:sz w:val="24"/>
          <w:szCs w:val="24"/>
          <w:lang w:eastAsia="en-ZA"/>
        </w:rPr>
        <w:t xml:space="preserve"> to ensure </w:t>
      </w:r>
      <w:r w:rsidR="00246C21">
        <w:rPr>
          <w:rFonts w:ascii="Verdana" w:eastAsia="Times New Roman" w:hAnsi="Verdana" w:cs="Arial"/>
          <w:sz w:val="24"/>
          <w:szCs w:val="24"/>
          <w:lang w:eastAsia="en-ZA"/>
        </w:rPr>
        <w:t>that it</w:t>
      </w:r>
      <w:r w:rsidR="00380E36">
        <w:rPr>
          <w:rFonts w:ascii="Verdana" w:eastAsia="Times New Roman" w:hAnsi="Verdana" w:cs="Arial"/>
          <w:sz w:val="24"/>
          <w:szCs w:val="24"/>
          <w:lang w:eastAsia="en-ZA"/>
        </w:rPr>
        <w:t xml:space="preserve"> complete</w:t>
      </w:r>
      <w:r w:rsidR="00246C21">
        <w:rPr>
          <w:rFonts w:ascii="Verdana" w:eastAsia="Times New Roman" w:hAnsi="Verdana" w:cs="Arial"/>
          <w:sz w:val="24"/>
          <w:szCs w:val="24"/>
          <w:lang w:eastAsia="en-ZA"/>
        </w:rPr>
        <w:t>s the</w:t>
      </w:r>
      <w:r w:rsidR="00380E36">
        <w:rPr>
          <w:rFonts w:ascii="Verdana" w:eastAsia="Times New Roman" w:hAnsi="Verdana" w:cs="Arial"/>
          <w:sz w:val="24"/>
          <w:szCs w:val="24"/>
          <w:lang w:eastAsia="en-ZA"/>
        </w:rPr>
        <w:t xml:space="preserve"> </w:t>
      </w:r>
      <w:r w:rsidR="00246C21">
        <w:rPr>
          <w:rFonts w:ascii="Verdana" w:eastAsia="Times New Roman" w:hAnsi="Verdana" w:cs="Arial"/>
          <w:sz w:val="24"/>
          <w:szCs w:val="24"/>
          <w:lang w:eastAsia="en-ZA"/>
        </w:rPr>
        <w:t xml:space="preserve">application </w:t>
      </w:r>
      <w:r w:rsidR="00380E36">
        <w:rPr>
          <w:rFonts w:ascii="Verdana" w:eastAsia="Times New Roman" w:hAnsi="Verdana" w:cs="Arial"/>
          <w:sz w:val="24"/>
          <w:szCs w:val="24"/>
          <w:lang w:eastAsia="en-ZA"/>
        </w:rPr>
        <w:t xml:space="preserve">forms correctly; and </w:t>
      </w:r>
    </w:p>
    <w:p w14:paraId="518B1DBF" w14:textId="403A6A3D" w:rsidR="00137A03" w:rsidRDefault="00380E36"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B6047">
        <w:rPr>
          <w:rFonts w:ascii="Verdana" w:eastAsia="Times New Roman" w:hAnsi="Verdana" w:cs="Arial"/>
          <w:sz w:val="24"/>
          <w:szCs w:val="24"/>
          <w:lang w:eastAsia="en-ZA"/>
        </w:rPr>
        <w:t>8</w:t>
      </w:r>
      <w:r>
        <w:rPr>
          <w:rFonts w:ascii="Verdana" w:eastAsia="Times New Roman" w:hAnsi="Verdana" w:cs="Arial"/>
          <w:sz w:val="24"/>
          <w:szCs w:val="24"/>
          <w:lang w:eastAsia="en-ZA"/>
        </w:rPr>
        <w:t>.</w:t>
      </w:r>
      <w:r w:rsidR="004B6047">
        <w:rPr>
          <w:rFonts w:ascii="Verdana" w:eastAsia="Times New Roman" w:hAnsi="Verdana" w:cs="Arial"/>
          <w:sz w:val="24"/>
          <w:szCs w:val="24"/>
          <w:lang w:eastAsia="en-ZA"/>
        </w:rPr>
        <w:t>2</w:t>
      </w:r>
      <w:r>
        <w:rPr>
          <w:rFonts w:ascii="Verdana" w:eastAsia="Times New Roman" w:hAnsi="Verdana" w:cs="Arial"/>
          <w:sz w:val="24"/>
          <w:szCs w:val="24"/>
          <w:lang w:eastAsia="en-ZA"/>
        </w:rPr>
        <w:t xml:space="preserve"> secondly, it is common cause that the application forms were not to be considered by Mr </w:t>
      </w:r>
      <w:proofErr w:type="spellStart"/>
      <w:r>
        <w:rPr>
          <w:rFonts w:ascii="Verdana" w:eastAsia="Times New Roman" w:hAnsi="Verdana" w:cs="Arial"/>
          <w:sz w:val="24"/>
          <w:szCs w:val="24"/>
          <w:lang w:eastAsia="en-ZA"/>
        </w:rPr>
        <w:t>Phupheli</w:t>
      </w:r>
      <w:proofErr w:type="spellEnd"/>
      <w:r>
        <w:rPr>
          <w:rFonts w:ascii="Verdana" w:eastAsia="Times New Roman" w:hAnsi="Verdana" w:cs="Arial"/>
          <w:sz w:val="24"/>
          <w:szCs w:val="24"/>
          <w:lang w:eastAsia="en-ZA"/>
        </w:rPr>
        <w:t xml:space="preserve"> himself, but rather b</w:t>
      </w:r>
      <w:r w:rsidR="000231F3">
        <w:rPr>
          <w:rFonts w:ascii="Verdana" w:eastAsia="Times New Roman" w:hAnsi="Verdana" w:cs="Arial"/>
          <w:sz w:val="24"/>
          <w:szCs w:val="24"/>
          <w:lang w:eastAsia="en-ZA"/>
        </w:rPr>
        <w:t>y</w:t>
      </w:r>
      <w:r>
        <w:rPr>
          <w:rFonts w:ascii="Verdana" w:eastAsia="Times New Roman" w:hAnsi="Verdana" w:cs="Arial"/>
          <w:sz w:val="24"/>
          <w:szCs w:val="24"/>
          <w:lang w:eastAsia="en-ZA"/>
        </w:rPr>
        <w:t xml:space="preserve"> other officials</w:t>
      </w:r>
      <w:r w:rsidR="000231F3">
        <w:rPr>
          <w:rFonts w:ascii="Verdana" w:eastAsia="Times New Roman" w:hAnsi="Verdana" w:cs="Arial"/>
          <w:sz w:val="24"/>
          <w:szCs w:val="24"/>
          <w:lang w:eastAsia="en-ZA"/>
        </w:rPr>
        <w:t xml:space="preserve"> employed by the Commissioner.</w:t>
      </w:r>
    </w:p>
    <w:p w14:paraId="07272513" w14:textId="77777777" w:rsidR="00380E36" w:rsidRDefault="00380E36" w:rsidP="002517C1">
      <w:pPr>
        <w:spacing w:after="240" w:line="480" w:lineRule="auto"/>
        <w:jc w:val="both"/>
        <w:rPr>
          <w:rFonts w:ascii="Verdana" w:eastAsia="Times New Roman" w:hAnsi="Verdana" w:cs="Arial"/>
          <w:sz w:val="24"/>
          <w:szCs w:val="24"/>
          <w:lang w:eastAsia="en-ZA"/>
        </w:rPr>
      </w:pPr>
    </w:p>
    <w:p w14:paraId="5DB5E27C" w14:textId="6356C78C" w:rsidR="00380E36" w:rsidRPr="001D273F" w:rsidRDefault="00380E36"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2</w:t>
      </w:r>
      <w:r w:rsidR="004B6047">
        <w:rPr>
          <w:rFonts w:ascii="Verdana" w:eastAsia="Times New Roman" w:hAnsi="Verdana" w:cs="Arial"/>
          <w:sz w:val="24"/>
          <w:szCs w:val="24"/>
          <w:lang w:eastAsia="en-ZA"/>
        </w:rPr>
        <w:t>9</w:t>
      </w:r>
      <w:r>
        <w:rPr>
          <w:rFonts w:ascii="Verdana" w:eastAsia="Times New Roman" w:hAnsi="Verdana" w:cs="Arial"/>
          <w:sz w:val="24"/>
          <w:szCs w:val="24"/>
          <w:lang w:eastAsia="en-ZA"/>
        </w:rPr>
        <w:t xml:space="preserve">. It then must follow, that even if Mr </w:t>
      </w:r>
      <w:proofErr w:type="spellStart"/>
      <w:r>
        <w:rPr>
          <w:rFonts w:ascii="Verdana" w:eastAsia="Times New Roman" w:hAnsi="Verdana" w:cs="Arial"/>
          <w:sz w:val="24"/>
          <w:szCs w:val="24"/>
          <w:lang w:eastAsia="en-ZA"/>
        </w:rPr>
        <w:t>Phupheli</w:t>
      </w:r>
      <w:proofErr w:type="spellEnd"/>
      <w:r>
        <w:rPr>
          <w:rFonts w:ascii="Verdana" w:eastAsia="Times New Roman" w:hAnsi="Verdana" w:cs="Arial"/>
          <w:sz w:val="24"/>
          <w:szCs w:val="24"/>
          <w:lang w:eastAsia="en-ZA"/>
        </w:rPr>
        <w:t xml:space="preserve"> had given an undertaking that the applications were properly completed</w:t>
      </w:r>
      <w:r w:rsidR="000231F3">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the decision ultimately</w:t>
      </w:r>
      <w:r w:rsidR="000231F3">
        <w:rPr>
          <w:rFonts w:ascii="Verdana" w:eastAsia="Times New Roman" w:hAnsi="Verdana" w:cs="Arial"/>
          <w:sz w:val="24"/>
          <w:szCs w:val="24"/>
          <w:lang w:eastAsia="en-ZA"/>
        </w:rPr>
        <w:t xml:space="preserve"> did not rest </w:t>
      </w:r>
      <w:r w:rsidR="004B6047">
        <w:rPr>
          <w:rFonts w:ascii="Verdana" w:eastAsia="Times New Roman" w:hAnsi="Verdana" w:cs="Arial"/>
          <w:sz w:val="24"/>
          <w:szCs w:val="24"/>
          <w:lang w:eastAsia="en-ZA"/>
        </w:rPr>
        <w:t>with</w:t>
      </w:r>
      <w:r w:rsidR="000231F3">
        <w:rPr>
          <w:rFonts w:ascii="Verdana" w:eastAsia="Times New Roman" w:hAnsi="Verdana" w:cs="Arial"/>
          <w:sz w:val="24"/>
          <w:szCs w:val="24"/>
          <w:lang w:eastAsia="en-ZA"/>
        </w:rPr>
        <w:t xml:space="preserve"> him, nor was it to have been taken by him nor</w:t>
      </w:r>
      <w:r>
        <w:rPr>
          <w:rFonts w:ascii="Verdana" w:eastAsia="Times New Roman" w:hAnsi="Verdana" w:cs="Arial"/>
          <w:sz w:val="24"/>
          <w:szCs w:val="24"/>
          <w:lang w:eastAsia="en-ZA"/>
        </w:rPr>
        <w:t xml:space="preserve"> was </w:t>
      </w:r>
      <w:r w:rsidR="004B6047">
        <w:rPr>
          <w:rFonts w:ascii="Verdana" w:eastAsia="Times New Roman" w:hAnsi="Verdana" w:cs="Arial"/>
          <w:sz w:val="24"/>
          <w:szCs w:val="24"/>
          <w:lang w:eastAsia="en-ZA"/>
        </w:rPr>
        <w:t>it</w:t>
      </w:r>
      <w:r>
        <w:rPr>
          <w:rFonts w:ascii="Verdana" w:eastAsia="Times New Roman" w:hAnsi="Verdana" w:cs="Arial"/>
          <w:sz w:val="24"/>
          <w:szCs w:val="24"/>
          <w:lang w:eastAsia="en-ZA"/>
        </w:rPr>
        <w:t xml:space="preserve"> within his purview to take.</w:t>
      </w:r>
    </w:p>
    <w:p w14:paraId="3773AD8A" w14:textId="77777777" w:rsidR="002517C1" w:rsidRPr="00E65D06" w:rsidRDefault="002517C1" w:rsidP="002517C1">
      <w:pPr>
        <w:spacing w:after="240" w:line="480" w:lineRule="auto"/>
        <w:jc w:val="both"/>
        <w:rPr>
          <w:rFonts w:ascii="Verdana" w:eastAsia="Times New Roman" w:hAnsi="Verdana" w:cs="Arial"/>
          <w:b/>
          <w:color w:val="7030A0"/>
          <w:sz w:val="24"/>
          <w:szCs w:val="24"/>
          <w:lang w:eastAsia="en-ZA"/>
        </w:rPr>
      </w:pPr>
    </w:p>
    <w:p w14:paraId="6BD5482B" w14:textId="1C0A8459" w:rsidR="002517C1" w:rsidRDefault="004B6047"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30</w:t>
      </w:r>
      <w:r w:rsidR="002517C1">
        <w:rPr>
          <w:rFonts w:ascii="Verdana" w:eastAsia="Times New Roman" w:hAnsi="Verdana" w:cs="Arial"/>
          <w:sz w:val="24"/>
          <w:szCs w:val="24"/>
          <w:lang w:eastAsia="en-ZA"/>
        </w:rPr>
        <w:t xml:space="preserve">. SARS </w:t>
      </w:r>
      <w:r w:rsidR="00380E36">
        <w:rPr>
          <w:rFonts w:ascii="Verdana" w:eastAsia="Times New Roman" w:hAnsi="Verdana" w:cs="Arial"/>
          <w:sz w:val="24"/>
          <w:szCs w:val="24"/>
          <w:lang w:eastAsia="en-ZA"/>
        </w:rPr>
        <w:t xml:space="preserve">however had </w:t>
      </w:r>
      <w:r w:rsidR="002517C1">
        <w:rPr>
          <w:rFonts w:ascii="Verdana" w:eastAsia="Times New Roman" w:hAnsi="Verdana" w:cs="Arial"/>
          <w:sz w:val="24"/>
          <w:szCs w:val="24"/>
          <w:lang w:eastAsia="en-ZA"/>
        </w:rPr>
        <w:t xml:space="preserve">indicated that the reason for the refusal of the SOS warehouse licencing was that Nu Africa “has previously contravened the Customs Act”. </w:t>
      </w:r>
      <w:r w:rsidR="002517C1" w:rsidRPr="002517C1">
        <w:rPr>
          <w:rFonts w:ascii="Verdana" w:eastAsia="Times New Roman" w:hAnsi="Verdana" w:cs="Arial"/>
          <w:sz w:val="24"/>
          <w:szCs w:val="24"/>
          <w:lang w:eastAsia="en-ZA"/>
        </w:rPr>
        <w:t>On the basis that the Applicant had falsely completed the forms as if there was no contravention at all by the Applicant</w:t>
      </w:r>
      <w:r w:rsidR="00AA6D49">
        <w:rPr>
          <w:rFonts w:ascii="Verdana" w:eastAsia="Times New Roman" w:hAnsi="Verdana" w:cs="Arial"/>
          <w:sz w:val="24"/>
          <w:szCs w:val="24"/>
          <w:lang w:eastAsia="en-ZA"/>
        </w:rPr>
        <w:t xml:space="preserve">, resulted in the applications being refused. </w:t>
      </w:r>
      <w:r w:rsidR="002517C1">
        <w:rPr>
          <w:rFonts w:ascii="Verdana" w:eastAsia="Times New Roman" w:hAnsi="Verdana" w:cs="Arial"/>
          <w:sz w:val="24"/>
          <w:szCs w:val="24"/>
          <w:lang w:eastAsia="en-ZA"/>
        </w:rPr>
        <w:t>According to SARS, this was misleading, as SARS ha</w:t>
      </w:r>
      <w:r w:rsidR="00AA6D49">
        <w:rPr>
          <w:rFonts w:ascii="Verdana" w:eastAsia="Times New Roman" w:hAnsi="Verdana" w:cs="Arial"/>
          <w:sz w:val="24"/>
          <w:szCs w:val="24"/>
          <w:lang w:eastAsia="en-ZA"/>
        </w:rPr>
        <w:t>d</w:t>
      </w:r>
      <w:r w:rsidR="002517C1">
        <w:rPr>
          <w:rFonts w:ascii="Verdana" w:eastAsia="Times New Roman" w:hAnsi="Verdana" w:cs="Arial"/>
          <w:sz w:val="24"/>
          <w:szCs w:val="24"/>
          <w:lang w:eastAsia="en-ZA"/>
        </w:rPr>
        <w:t xml:space="preserve"> raised a debt against Nu Africa for about R36 million on 3 August 2018</w:t>
      </w:r>
      <w:r w:rsidR="00AA6D49">
        <w:rPr>
          <w:rFonts w:ascii="Verdana" w:eastAsia="Times New Roman" w:hAnsi="Verdana" w:cs="Arial"/>
          <w:sz w:val="24"/>
          <w:szCs w:val="24"/>
          <w:lang w:eastAsia="en-ZA"/>
        </w:rPr>
        <w:t xml:space="preserve"> and yet the Applicant had failed to </w:t>
      </w:r>
      <w:r w:rsidR="00246C21">
        <w:rPr>
          <w:rFonts w:ascii="Verdana" w:eastAsia="Times New Roman" w:hAnsi="Verdana" w:cs="Arial"/>
          <w:sz w:val="24"/>
          <w:szCs w:val="24"/>
          <w:lang w:eastAsia="en-ZA"/>
        </w:rPr>
        <w:t>disclose</w:t>
      </w:r>
      <w:r w:rsidR="00AA6D49">
        <w:rPr>
          <w:rFonts w:ascii="Verdana" w:eastAsia="Times New Roman" w:hAnsi="Verdana" w:cs="Arial"/>
          <w:sz w:val="24"/>
          <w:szCs w:val="24"/>
          <w:lang w:eastAsia="en-ZA"/>
        </w:rPr>
        <w:t xml:space="preserve"> this in its forms.</w:t>
      </w:r>
      <w:r w:rsidR="002517C1">
        <w:rPr>
          <w:rStyle w:val="FootnoteReference"/>
          <w:rFonts w:ascii="Verdana" w:eastAsia="Times New Roman" w:hAnsi="Verdana" w:cs="Arial"/>
          <w:sz w:val="24"/>
          <w:szCs w:val="24"/>
          <w:lang w:eastAsia="en-ZA"/>
        </w:rPr>
        <w:footnoteReference w:id="22"/>
      </w:r>
    </w:p>
    <w:p w14:paraId="2734A83D" w14:textId="77777777" w:rsidR="00AA6D49" w:rsidRDefault="00AA6D49" w:rsidP="002517C1">
      <w:pPr>
        <w:spacing w:after="240" w:line="480" w:lineRule="auto"/>
        <w:jc w:val="both"/>
        <w:rPr>
          <w:rFonts w:ascii="Verdana" w:eastAsia="Times New Roman" w:hAnsi="Verdana" w:cs="Arial"/>
          <w:sz w:val="24"/>
          <w:szCs w:val="24"/>
          <w:lang w:eastAsia="en-ZA"/>
        </w:rPr>
      </w:pPr>
    </w:p>
    <w:p w14:paraId="185D2FCA" w14:textId="458E04FF" w:rsidR="00AA6D49" w:rsidRDefault="00380E36" w:rsidP="00AA6D4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w:t>
      </w:r>
      <w:r w:rsidR="004B6047">
        <w:rPr>
          <w:rFonts w:ascii="Verdana" w:eastAsia="Times New Roman" w:hAnsi="Verdana" w:cs="Arial"/>
          <w:sz w:val="24"/>
          <w:szCs w:val="24"/>
          <w:lang w:eastAsia="en-ZA"/>
        </w:rPr>
        <w:t>1</w:t>
      </w:r>
      <w:r w:rsidR="00AA6D49">
        <w:rPr>
          <w:rFonts w:ascii="Verdana" w:eastAsia="Times New Roman" w:hAnsi="Verdana" w:cs="Arial"/>
          <w:sz w:val="24"/>
          <w:szCs w:val="24"/>
          <w:lang w:eastAsia="en-ZA"/>
        </w:rPr>
        <w:t>. On 20 April 2020 Nu Africa instituted an internal administrative appeal against the refusals.</w:t>
      </w:r>
      <w:r w:rsidR="00AA6D49">
        <w:rPr>
          <w:rStyle w:val="FootnoteReference"/>
          <w:rFonts w:ascii="Verdana" w:eastAsia="Times New Roman" w:hAnsi="Verdana" w:cs="Arial"/>
          <w:sz w:val="24"/>
          <w:szCs w:val="24"/>
          <w:lang w:eastAsia="en-ZA"/>
        </w:rPr>
        <w:footnoteReference w:id="23"/>
      </w:r>
      <w:r w:rsidR="00AA6D49">
        <w:rPr>
          <w:rFonts w:ascii="Verdana" w:eastAsia="Times New Roman" w:hAnsi="Verdana" w:cs="Arial"/>
          <w:sz w:val="24"/>
          <w:szCs w:val="24"/>
          <w:lang w:eastAsia="en-ZA"/>
        </w:rPr>
        <w:t xml:space="preserve"> </w:t>
      </w:r>
    </w:p>
    <w:p w14:paraId="49FF07BD" w14:textId="77777777" w:rsidR="00AA6D49" w:rsidRDefault="00AA6D49" w:rsidP="00AA6D49">
      <w:pPr>
        <w:spacing w:after="240" w:line="480" w:lineRule="auto"/>
        <w:jc w:val="both"/>
        <w:rPr>
          <w:rFonts w:ascii="Verdana" w:eastAsia="Times New Roman" w:hAnsi="Verdana" w:cs="Arial"/>
          <w:sz w:val="24"/>
          <w:szCs w:val="24"/>
          <w:lang w:eastAsia="en-ZA"/>
        </w:rPr>
      </w:pPr>
    </w:p>
    <w:p w14:paraId="57D8AFB5" w14:textId="5A840A2B" w:rsidR="00AA6D49" w:rsidRDefault="00380E36" w:rsidP="00AA6D4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w:t>
      </w:r>
      <w:r w:rsidR="004B6047">
        <w:rPr>
          <w:rFonts w:ascii="Verdana" w:eastAsia="Times New Roman" w:hAnsi="Verdana" w:cs="Arial"/>
          <w:sz w:val="24"/>
          <w:szCs w:val="24"/>
          <w:lang w:eastAsia="en-ZA"/>
        </w:rPr>
        <w:t>2</w:t>
      </w:r>
      <w:r w:rsidR="00AA6D49">
        <w:rPr>
          <w:rFonts w:ascii="Verdana" w:eastAsia="Times New Roman" w:hAnsi="Verdana" w:cs="Arial"/>
          <w:sz w:val="24"/>
          <w:szCs w:val="24"/>
          <w:lang w:eastAsia="en-ZA"/>
        </w:rPr>
        <w:t>. On 30 June 2020 the Customs and Excise National Appeals Committee refused the internal appeal.</w:t>
      </w:r>
      <w:r w:rsidR="00AA6D49">
        <w:rPr>
          <w:rStyle w:val="FootnoteReference"/>
          <w:rFonts w:ascii="Verdana" w:eastAsia="Times New Roman" w:hAnsi="Verdana" w:cs="Arial"/>
          <w:sz w:val="24"/>
          <w:szCs w:val="24"/>
          <w:lang w:eastAsia="en-ZA"/>
        </w:rPr>
        <w:footnoteReference w:id="24"/>
      </w:r>
      <w:r w:rsidR="00AA6D49">
        <w:rPr>
          <w:rFonts w:ascii="Verdana" w:eastAsia="Times New Roman" w:hAnsi="Verdana" w:cs="Arial"/>
          <w:sz w:val="24"/>
          <w:szCs w:val="24"/>
          <w:lang w:eastAsia="en-ZA"/>
        </w:rPr>
        <w:t xml:space="preserve"> The appeal was refused on the basis that Nu Africa allegedly failed to declare </w:t>
      </w:r>
      <w:r>
        <w:rPr>
          <w:rFonts w:ascii="Verdana" w:eastAsia="Times New Roman" w:hAnsi="Verdana" w:cs="Arial"/>
          <w:sz w:val="24"/>
          <w:szCs w:val="24"/>
          <w:lang w:eastAsia="en-ZA"/>
        </w:rPr>
        <w:t>o</w:t>
      </w:r>
      <w:r w:rsidR="00AA6D49">
        <w:rPr>
          <w:rFonts w:ascii="Verdana" w:eastAsia="Times New Roman" w:hAnsi="Verdana" w:cs="Arial"/>
          <w:sz w:val="24"/>
          <w:szCs w:val="24"/>
          <w:lang w:eastAsia="en-ZA"/>
        </w:rPr>
        <w:t>n the DA185 forms the liability raised on 3 August 2018 (R36 million). The committee concluded that because of the non-compliance, contravention of the Act, as well as “the outstanding schedule”, the applications were refused.</w:t>
      </w:r>
    </w:p>
    <w:p w14:paraId="2ED988A0" w14:textId="77777777" w:rsidR="00AA6D49" w:rsidRDefault="00AA6D49" w:rsidP="00AA6D49">
      <w:pPr>
        <w:spacing w:after="240" w:line="480" w:lineRule="auto"/>
        <w:jc w:val="both"/>
        <w:rPr>
          <w:rFonts w:ascii="Verdana" w:eastAsia="Times New Roman" w:hAnsi="Verdana" w:cs="Arial"/>
          <w:sz w:val="24"/>
          <w:szCs w:val="24"/>
          <w:lang w:eastAsia="en-ZA"/>
        </w:rPr>
      </w:pPr>
    </w:p>
    <w:p w14:paraId="5958CF2F" w14:textId="3ED79A1A" w:rsidR="00AA6D49" w:rsidRPr="00AA6D49" w:rsidRDefault="00AA6D49" w:rsidP="00AA6D4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w:t>
      </w:r>
      <w:r w:rsidR="00110278">
        <w:rPr>
          <w:rFonts w:ascii="Verdana" w:eastAsia="Times New Roman" w:hAnsi="Verdana" w:cs="Arial"/>
          <w:sz w:val="24"/>
          <w:szCs w:val="24"/>
          <w:lang w:eastAsia="en-ZA"/>
        </w:rPr>
        <w:t>3</w:t>
      </w:r>
      <w:r>
        <w:rPr>
          <w:rFonts w:ascii="Verdana" w:eastAsia="Times New Roman" w:hAnsi="Verdana" w:cs="Arial"/>
          <w:sz w:val="24"/>
          <w:szCs w:val="24"/>
          <w:lang w:eastAsia="en-ZA"/>
        </w:rPr>
        <w:t xml:space="preserve">. The Applicant’s </w:t>
      </w:r>
      <w:r w:rsidR="00246C21">
        <w:rPr>
          <w:rFonts w:ascii="Verdana" w:eastAsia="Times New Roman" w:hAnsi="Verdana" w:cs="Arial"/>
          <w:sz w:val="24"/>
          <w:szCs w:val="24"/>
          <w:lang w:eastAsia="en-ZA"/>
        </w:rPr>
        <w:t xml:space="preserve">reasons for its </w:t>
      </w:r>
      <w:r>
        <w:rPr>
          <w:rFonts w:ascii="Verdana" w:eastAsia="Times New Roman" w:hAnsi="Verdana" w:cs="Arial"/>
          <w:sz w:val="24"/>
          <w:szCs w:val="24"/>
          <w:lang w:eastAsia="en-ZA"/>
        </w:rPr>
        <w:t xml:space="preserve">failure </w:t>
      </w:r>
      <w:r w:rsidR="00246C21">
        <w:rPr>
          <w:rFonts w:ascii="Verdana" w:eastAsia="Times New Roman" w:hAnsi="Verdana" w:cs="Arial"/>
          <w:sz w:val="24"/>
          <w:szCs w:val="24"/>
          <w:lang w:eastAsia="en-ZA"/>
        </w:rPr>
        <w:t xml:space="preserve">to </w:t>
      </w:r>
      <w:r w:rsidRPr="00AA6D49">
        <w:rPr>
          <w:rFonts w:ascii="Verdana" w:eastAsia="Times New Roman" w:hAnsi="Verdana" w:cs="Arial"/>
          <w:sz w:val="24"/>
          <w:szCs w:val="24"/>
          <w:lang w:eastAsia="en-ZA"/>
        </w:rPr>
        <w:t>disclos</w:t>
      </w:r>
      <w:r w:rsidR="00246C21">
        <w:rPr>
          <w:rFonts w:ascii="Verdana" w:eastAsia="Times New Roman" w:hAnsi="Verdana" w:cs="Arial"/>
          <w:sz w:val="24"/>
          <w:szCs w:val="24"/>
          <w:lang w:eastAsia="en-ZA"/>
        </w:rPr>
        <w:t>e</w:t>
      </w:r>
      <w:r w:rsidRPr="00AA6D49">
        <w:rPr>
          <w:rFonts w:ascii="Verdana" w:eastAsia="Times New Roman" w:hAnsi="Verdana" w:cs="Arial"/>
          <w:sz w:val="24"/>
          <w:szCs w:val="24"/>
          <w:lang w:eastAsia="en-ZA"/>
        </w:rPr>
        <w:t xml:space="preserve"> previous wrongdoing with reference to the Customs Act</w:t>
      </w:r>
      <w:r>
        <w:rPr>
          <w:rFonts w:ascii="Verdana" w:eastAsia="Times New Roman" w:hAnsi="Verdana" w:cs="Arial"/>
          <w:sz w:val="24"/>
          <w:szCs w:val="24"/>
          <w:lang w:eastAsia="en-ZA"/>
        </w:rPr>
        <w:t xml:space="preserve"> was s</w:t>
      </w:r>
      <w:r w:rsidR="00246C21">
        <w:rPr>
          <w:rFonts w:ascii="Verdana" w:eastAsia="Times New Roman" w:hAnsi="Verdana" w:cs="Arial"/>
          <w:sz w:val="24"/>
          <w:szCs w:val="24"/>
          <w:lang w:eastAsia="en-ZA"/>
        </w:rPr>
        <w:t>aid</w:t>
      </w:r>
      <w:r>
        <w:rPr>
          <w:rFonts w:ascii="Verdana" w:eastAsia="Times New Roman" w:hAnsi="Verdana" w:cs="Arial"/>
          <w:sz w:val="24"/>
          <w:szCs w:val="24"/>
          <w:lang w:eastAsia="en-ZA"/>
        </w:rPr>
        <w:t xml:space="preserve"> to be that</w:t>
      </w:r>
      <w:r w:rsidRPr="00AA6D49">
        <w:rPr>
          <w:rFonts w:ascii="Verdana" w:eastAsia="Times New Roman" w:hAnsi="Verdana" w:cs="Arial"/>
          <w:sz w:val="24"/>
          <w:szCs w:val="24"/>
          <w:lang w:eastAsia="en-ZA"/>
        </w:rPr>
        <w:t xml:space="preserve"> the Applicant does not accept the findings arrived at by the Commissioner and has challenged the Commissioner’s findings. When the internal challenges failed</w:t>
      </w:r>
      <w:r w:rsidR="00246C21">
        <w:rPr>
          <w:rFonts w:ascii="Verdana" w:eastAsia="Times New Roman" w:hAnsi="Verdana" w:cs="Arial"/>
          <w:sz w:val="24"/>
          <w:szCs w:val="24"/>
          <w:lang w:eastAsia="en-ZA"/>
        </w:rPr>
        <w:t>,</w:t>
      </w:r>
      <w:r w:rsidRPr="00AA6D49">
        <w:rPr>
          <w:rFonts w:ascii="Verdana" w:eastAsia="Times New Roman" w:hAnsi="Verdana" w:cs="Arial"/>
          <w:sz w:val="24"/>
          <w:szCs w:val="24"/>
          <w:lang w:eastAsia="en-ZA"/>
        </w:rPr>
        <w:t xml:space="preserve"> the Applicant instituted a High Court action </w:t>
      </w:r>
      <w:proofErr w:type="gramStart"/>
      <w:r w:rsidRPr="00AA6D49">
        <w:rPr>
          <w:rFonts w:ascii="Verdana" w:eastAsia="Times New Roman" w:hAnsi="Verdana" w:cs="Arial"/>
          <w:sz w:val="24"/>
          <w:szCs w:val="24"/>
          <w:lang w:eastAsia="en-ZA"/>
        </w:rPr>
        <w:t>in order to</w:t>
      </w:r>
      <w:proofErr w:type="gramEnd"/>
      <w:r w:rsidRPr="00AA6D49">
        <w:rPr>
          <w:rFonts w:ascii="Verdana" w:eastAsia="Times New Roman" w:hAnsi="Verdana" w:cs="Arial"/>
          <w:sz w:val="24"/>
          <w:szCs w:val="24"/>
          <w:lang w:eastAsia="en-ZA"/>
        </w:rPr>
        <w:t xml:space="preserve"> challenge the findings arrived at by the Commissioner.</w:t>
      </w:r>
    </w:p>
    <w:p w14:paraId="3F112361" w14:textId="77777777" w:rsidR="00AA6D49" w:rsidRPr="00AA6D49" w:rsidRDefault="00AA6D49" w:rsidP="00AA6D49">
      <w:pPr>
        <w:spacing w:after="240" w:line="480" w:lineRule="auto"/>
        <w:jc w:val="both"/>
        <w:rPr>
          <w:rFonts w:ascii="Verdana" w:eastAsia="Times New Roman" w:hAnsi="Verdana" w:cs="Arial"/>
          <w:sz w:val="24"/>
          <w:szCs w:val="24"/>
          <w:lang w:eastAsia="en-ZA"/>
        </w:rPr>
      </w:pPr>
    </w:p>
    <w:p w14:paraId="0F8709E5" w14:textId="371165BF" w:rsidR="00AA6D49" w:rsidRPr="00AA6D49" w:rsidRDefault="00AA6D49" w:rsidP="00AA6D4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3</w:t>
      </w:r>
      <w:r w:rsidR="00110278">
        <w:rPr>
          <w:rFonts w:ascii="Verdana" w:eastAsia="Times New Roman" w:hAnsi="Verdana" w:cs="Arial"/>
          <w:sz w:val="24"/>
          <w:szCs w:val="24"/>
          <w:lang w:eastAsia="en-ZA"/>
        </w:rPr>
        <w:t>4</w:t>
      </w:r>
      <w:r w:rsidRPr="00AA6D49">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On this basis t</w:t>
      </w:r>
      <w:r w:rsidRPr="00AA6D49">
        <w:rPr>
          <w:rFonts w:ascii="Verdana" w:eastAsia="Times New Roman" w:hAnsi="Verdana" w:cs="Arial"/>
          <w:sz w:val="24"/>
          <w:szCs w:val="24"/>
          <w:lang w:eastAsia="en-ZA"/>
        </w:rPr>
        <w:t>he Applicant contends that it is entitled to be presumed innocent until proven guilty, and on that basis</w:t>
      </w:r>
      <w:r>
        <w:rPr>
          <w:rFonts w:ascii="Verdana" w:eastAsia="Times New Roman" w:hAnsi="Verdana" w:cs="Arial"/>
          <w:sz w:val="24"/>
          <w:szCs w:val="24"/>
          <w:lang w:eastAsia="en-ZA"/>
        </w:rPr>
        <w:t>,</w:t>
      </w:r>
      <w:r w:rsidRPr="00AA6D49">
        <w:rPr>
          <w:rFonts w:ascii="Verdana" w:eastAsia="Times New Roman" w:hAnsi="Verdana" w:cs="Arial"/>
          <w:sz w:val="24"/>
          <w:szCs w:val="24"/>
          <w:lang w:eastAsia="en-ZA"/>
        </w:rPr>
        <w:t xml:space="preserve"> it denies that it had not made honest and correct applications to the Commissioner for the issuing of further licences.</w:t>
      </w:r>
    </w:p>
    <w:p w14:paraId="4A935EDF" w14:textId="77777777" w:rsidR="00AA6D49" w:rsidRPr="00AA6D49" w:rsidRDefault="00AA6D49" w:rsidP="00AA6D49">
      <w:pPr>
        <w:spacing w:after="240" w:line="480" w:lineRule="auto"/>
        <w:jc w:val="both"/>
        <w:rPr>
          <w:rFonts w:ascii="Verdana" w:eastAsia="Times New Roman" w:hAnsi="Verdana" w:cs="Arial"/>
          <w:sz w:val="24"/>
          <w:szCs w:val="24"/>
          <w:lang w:eastAsia="en-ZA"/>
        </w:rPr>
      </w:pPr>
    </w:p>
    <w:p w14:paraId="06707FAB" w14:textId="0EF154C8" w:rsidR="00137A03" w:rsidRDefault="00AA6D49" w:rsidP="00AA6D4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w:t>
      </w:r>
      <w:r w:rsidR="00110278">
        <w:rPr>
          <w:rFonts w:ascii="Verdana" w:eastAsia="Times New Roman" w:hAnsi="Verdana" w:cs="Arial"/>
          <w:sz w:val="24"/>
          <w:szCs w:val="24"/>
          <w:lang w:eastAsia="en-ZA"/>
        </w:rPr>
        <w:t>5</w:t>
      </w:r>
      <w:r w:rsidRPr="00AA6D49">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Th</w:t>
      </w:r>
      <w:r w:rsidR="003B7723">
        <w:rPr>
          <w:rFonts w:ascii="Verdana" w:eastAsia="Times New Roman" w:hAnsi="Verdana" w:cs="Arial"/>
          <w:sz w:val="24"/>
          <w:szCs w:val="24"/>
          <w:lang w:eastAsia="en-ZA"/>
        </w:rPr>
        <w:t>e above</w:t>
      </w:r>
      <w:r>
        <w:rPr>
          <w:rFonts w:ascii="Verdana" w:eastAsia="Times New Roman" w:hAnsi="Verdana" w:cs="Arial"/>
          <w:sz w:val="24"/>
          <w:szCs w:val="24"/>
          <w:lang w:eastAsia="en-ZA"/>
        </w:rPr>
        <w:t xml:space="preserve"> argument is refuted by the Commissioner on the basis that</w:t>
      </w:r>
      <w:r w:rsidRPr="00AA6D49">
        <w:rPr>
          <w:rFonts w:ascii="Verdana" w:eastAsia="Times New Roman" w:hAnsi="Verdana" w:cs="Arial"/>
          <w:sz w:val="24"/>
          <w:szCs w:val="24"/>
          <w:lang w:eastAsia="en-ZA"/>
        </w:rPr>
        <w:t xml:space="preserve"> there was a duty upon the Applicant to at least disclose the existence of the dispute, by referring to the fact that the Commissioner had concluded that there was a violation by the Applicant of the provisions of the Customs Act, but that the Applicant is challenging the Commissioner’s findings. </w:t>
      </w:r>
    </w:p>
    <w:p w14:paraId="05841CBE" w14:textId="77777777" w:rsidR="00137A03" w:rsidRDefault="00137A03" w:rsidP="00AA6D49">
      <w:pPr>
        <w:spacing w:after="240" w:line="480" w:lineRule="auto"/>
        <w:jc w:val="both"/>
        <w:rPr>
          <w:rFonts w:ascii="Verdana" w:eastAsia="Times New Roman" w:hAnsi="Verdana" w:cs="Arial"/>
          <w:sz w:val="24"/>
          <w:szCs w:val="24"/>
          <w:lang w:eastAsia="en-ZA"/>
        </w:rPr>
      </w:pPr>
    </w:p>
    <w:p w14:paraId="12AB7232" w14:textId="538D1134" w:rsidR="00AA6D49" w:rsidRPr="00AA6D49" w:rsidRDefault="00137A03" w:rsidP="00AA6D49">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w:t>
      </w:r>
      <w:r w:rsidR="003B10BE">
        <w:rPr>
          <w:rFonts w:ascii="Verdana" w:eastAsia="Times New Roman" w:hAnsi="Verdana" w:cs="Arial"/>
          <w:sz w:val="24"/>
          <w:szCs w:val="24"/>
          <w:lang w:eastAsia="en-ZA"/>
        </w:rPr>
        <w:t>6</w:t>
      </w:r>
      <w:r>
        <w:rPr>
          <w:rFonts w:ascii="Verdana" w:eastAsia="Times New Roman" w:hAnsi="Verdana" w:cs="Arial"/>
          <w:sz w:val="24"/>
          <w:szCs w:val="24"/>
          <w:lang w:eastAsia="en-ZA"/>
        </w:rPr>
        <w:t xml:space="preserve">. </w:t>
      </w:r>
      <w:r w:rsidR="00246C21">
        <w:rPr>
          <w:rFonts w:ascii="Verdana" w:eastAsia="Times New Roman" w:hAnsi="Verdana" w:cs="Arial"/>
          <w:sz w:val="24"/>
          <w:szCs w:val="24"/>
          <w:lang w:eastAsia="en-ZA"/>
        </w:rPr>
        <w:t>However, i</w:t>
      </w:r>
      <w:r w:rsidR="00AA6D49" w:rsidRPr="00AA6D49">
        <w:rPr>
          <w:rFonts w:ascii="Verdana" w:eastAsia="Times New Roman" w:hAnsi="Verdana" w:cs="Arial"/>
          <w:sz w:val="24"/>
          <w:szCs w:val="24"/>
          <w:lang w:eastAsia="en-ZA"/>
        </w:rPr>
        <w:t>nstead of making such a full and frank disclosure and alert the officials of the Commissioner who were tasked to consider the applications, the Applicant was content not to mention a single word about the existence of the more than R36 million debt created by the Commissioner’s demand.</w:t>
      </w:r>
    </w:p>
    <w:p w14:paraId="288ED546" w14:textId="77777777" w:rsidR="00AA6D49" w:rsidRDefault="00AA6D49" w:rsidP="002517C1">
      <w:pPr>
        <w:spacing w:after="240" w:line="480" w:lineRule="auto"/>
        <w:jc w:val="both"/>
        <w:rPr>
          <w:rFonts w:ascii="Verdana" w:eastAsia="Times New Roman" w:hAnsi="Verdana" w:cs="Arial"/>
          <w:sz w:val="24"/>
          <w:szCs w:val="24"/>
          <w:lang w:eastAsia="en-ZA"/>
        </w:rPr>
      </w:pPr>
    </w:p>
    <w:p w14:paraId="1D837C07" w14:textId="65D9DB05" w:rsidR="00AA6D49" w:rsidRDefault="003B7723" w:rsidP="002517C1">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3</w:t>
      </w:r>
      <w:r w:rsidR="003B10BE">
        <w:rPr>
          <w:rFonts w:ascii="Verdana" w:eastAsia="Times New Roman" w:hAnsi="Verdana" w:cs="Arial"/>
          <w:sz w:val="24"/>
          <w:szCs w:val="24"/>
          <w:lang w:eastAsia="en-ZA"/>
        </w:rPr>
        <w:t>7</w:t>
      </w:r>
      <w:r>
        <w:rPr>
          <w:rFonts w:ascii="Verdana" w:eastAsia="Times New Roman" w:hAnsi="Verdana" w:cs="Arial"/>
          <w:sz w:val="24"/>
          <w:szCs w:val="24"/>
          <w:lang w:eastAsia="en-ZA"/>
        </w:rPr>
        <w:t xml:space="preserve">. This argument advanced by the Respondent this Court </w:t>
      </w:r>
      <w:proofErr w:type="gramStart"/>
      <w:r>
        <w:rPr>
          <w:rFonts w:ascii="Verdana" w:eastAsia="Times New Roman" w:hAnsi="Verdana" w:cs="Arial"/>
          <w:sz w:val="24"/>
          <w:szCs w:val="24"/>
          <w:lang w:eastAsia="en-ZA"/>
        </w:rPr>
        <w:t>is in agreement</w:t>
      </w:r>
      <w:proofErr w:type="gramEnd"/>
      <w:r>
        <w:rPr>
          <w:rFonts w:ascii="Verdana" w:eastAsia="Times New Roman" w:hAnsi="Verdana" w:cs="Arial"/>
          <w:sz w:val="24"/>
          <w:szCs w:val="24"/>
          <w:lang w:eastAsia="en-ZA"/>
        </w:rPr>
        <w:t xml:space="preserve"> with. </w:t>
      </w:r>
      <w:r w:rsidR="00137A03">
        <w:rPr>
          <w:rFonts w:ascii="Verdana" w:eastAsia="Times New Roman" w:hAnsi="Verdana" w:cs="Arial"/>
          <w:sz w:val="24"/>
          <w:szCs w:val="24"/>
          <w:lang w:eastAsia="en-ZA"/>
        </w:rPr>
        <w:t>In terms of the Customs Act, t</w:t>
      </w:r>
      <w:r>
        <w:rPr>
          <w:rFonts w:ascii="Verdana" w:eastAsia="Times New Roman" w:hAnsi="Verdana" w:cs="Arial"/>
          <w:sz w:val="24"/>
          <w:szCs w:val="24"/>
          <w:lang w:eastAsia="en-ZA"/>
        </w:rPr>
        <w:t xml:space="preserve">here </w:t>
      </w:r>
      <w:r w:rsidR="00137A03">
        <w:rPr>
          <w:rFonts w:ascii="Verdana" w:eastAsia="Times New Roman" w:hAnsi="Verdana" w:cs="Arial"/>
          <w:sz w:val="24"/>
          <w:szCs w:val="24"/>
          <w:lang w:eastAsia="en-ZA"/>
        </w:rPr>
        <w:t>is</w:t>
      </w:r>
      <w:r>
        <w:rPr>
          <w:rFonts w:ascii="Verdana" w:eastAsia="Times New Roman" w:hAnsi="Verdana" w:cs="Arial"/>
          <w:sz w:val="24"/>
          <w:szCs w:val="24"/>
          <w:lang w:eastAsia="en-ZA"/>
        </w:rPr>
        <w:t xml:space="preserve"> an obligation on a taxpayer to make a full and frank disclosure to the Commissioner. This obligation rests </w:t>
      </w:r>
      <w:r>
        <w:rPr>
          <w:rFonts w:ascii="Verdana" w:eastAsia="Times New Roman" w:hAnsi="Verdana" w:cs="Arial"/>
          <w:sz w:val="24"/>
          <w:szCs w:val="24"/>
          <w:lang w:eastAsia="en-ZA"/>
        </w:rPr>
        <w:lastRenderedPageBreak/>
        <w:t>on all taxpayers</w:t>
      </w:r>
      <w:r w:rsidR="00137A03">
        <w:rPr>
          <w:rFonts w:ascii="Verdana" w:eastAsia="Times New Roman" w:hAnsi="Verdana" w:cs="Arial"/>
          <w:sz w:val="24"/>
          <w:szCs w:val="24"/>
          <w:lang w:eastAsia="en-ZA"/>
        </w:rPr>
        <w:t xml:space="preserve"> and failure to </w:t>
      </w:r>
      <w:r w:rsidR="00246C21">
        <w:rPr>
          <w:rFonts w:ascii="Verdana" w:eastAsia="Times New Roman" w:hAnsi="Verdana" w:cs="Arial"/>
          <w:sz w:val="24"/>
          <w:szCs w:val="24"/>
          <w:lang w:eastAsia="en-ZA"/>
        </w:rPr>
        <w:t>make</w:t>
      </w:r>
      <w:r w:rsidR="00137A03">
        <w:rPr>
          <w:rFonts w:ascii="Verdana" w:eastAsia="Times New Roman" w:hAnsi="Verdana" w:cs="Arial"/>
          <w:sz w:val="24"/>
          <w:szCs w:val="24"/>
          <w:lang w:eastAsia="en-ZA"/>
        </w:rPr>
        <w:t xml:space="preserve"> such a disclosure cannot be condoned</w:t>
      </w:r>
      <w:r w:rsidR="003B10BE">
        <w:rPr>
          <w:rFonts w:ascii="Verdana" w:eastAsia="Times New Roman" w:hAnsi="Verdana" w:cs="Arial"/>
          <w:sz w:val="24"/>
          <w:szCs w:val="24"/>
          <w:lang w:eastAsia="en-ZA"/>
        </w:rPr>
        <w:t xml:space="preserve"> and certainly will not be condoned by this Court</w:t>
      </w:r>
      <w:r w:rsidR="00137A03">
        <w:rPr>
          <w:rFonts w:ascii="Verdana" w:eastAsia="Times New Roman" w:hAnsi="Verdana" w:cs="Arial"/>
          <w:sz w:val="24"/>
          <w:szCs w:val="24"/>
          <w:lang w:eastAsia="en-ZA"/>
        </w:rPr>
        <w:t>.</w:t>
      </w:r>
    </w:p>
    <w:p w14:paraId="6C4DB930" w14:textId="77777777" w:rsidR="005B437B" w:rsidRDefault="005B437B" w:rsidP="002517C1">
      <w:pPr>
        <w:spacing w:after="240" w:line="480" w:lineRule="auto"/>
        <w:jc w:val="both"/>
        <w:rPr>
          <w:rFonts w:ascii="Verdana" w:eastAsia="Times New Roman" w:hAnsi="Verdana" w:cs="Arial"/>
          <w:sz w:val="24"/>
          <w:szCs w:val="24"/>
          <w:lang w:eastAsia="en-ZA"/>
        </w:rPr>
      </w:pPr>
    </w:p>
    <w:p w14:paraId="33A54FC3" w14:textId="3D55F6FE" w:rsidR="008C7F63" w:rsidRPr="005B437B" w:rsidRDefault="005B437B" w:rsidP="008C7F63">
      <w:pPr>
        <w:spacing w:after="240" w:line="480" w:lineRule="auto"/>
        <w:jc w:val="both"/>
        <w:rPr>
          <w:rFonts w:ascii="Verdana" w:eastAsia="Times New Roman" w:hAnsi="Verdana" w:cs="Arial"/>
          <w:sz w:val="24"/>
          <w:szCs w:val="24"/>
          <w:lang w:eastAsia="en-ZA"/>
        </w:rPr>
      </w:pPr>
      <w:r w:rsidRPr="005B437B">
        <w:rPr>
          <w:rFonts w:ascii="Verdana" w:eastAsia="Times New Roman" w:hAnsi="Verdana" w:cs="Arial"/>
          <w:sz w:val="24"/>
          <w:szCs w:val="24"/>
          <w:lang w:eastAsia="en-ZA"/>
        </w:rPr>
        <w:t>3</w:t>
      </w:r>
      <w:r w:rsidR="003B10BE">
        <w:rPr>
          <w:rFonts w:ascii="Verdana" w:eastAsia="Times New Roman" w:hAnsi="Verdana" w:cs="Arial"/>
          <w:sz w:val="24"/>
          <w:szCs w:val="24"/>
          <w:lang w:eastAsia="en-ZA"/>
        </w:rPr>
        <w:t>8</w:t>
      </w:r>
      <w:r w:rsidRPr="005B437B">
        <w:rPr>
          <w:rFonts w:ascii="Verdana" w:eastAsia="Times New Roman" w:hAnsi="Verdana" w:cs="Arial"/>
          <w:sz w:val="24"/>
          <w:szCs w:val="24"/>
          <w:lang w:eastAsia="en-ZA"/>
        </w:rPr>
        <w:t xml:space="preserve">. In addition </w:t>
      </w:r>
      <w:r w:rsidR="008C7F63" w:rsidRPr="005B437B">
        <w:rPr>
          <w:rFonts w:ascii="Verdana" w:eastAsia="Times New Roman" w:hAnsi="Verdana" w:cs="Arial"/>
          <w:sz w:val="24"/>
          <w:szCs w:val="24"/>
          <w:lang w:eastAsia="en-ZA"/>
        </w:rPr>
        <w:t xml:space="preserve">it is necessary </w:t>
      </w:r>
      <w:r>
        <w:rPr>
          <w:rFonts w:ascii="Verdana" w:eastAsia="Times New Roman" w:hAnsi="Verdana" w:cs="Arial"/>
          <w:sz w:val="24"/>
          <w:szCs w:val="24"/>
          <w:lang w:eastAsia="en-ZA"/>
        </w:rPr>
        <w:t xml:space="preserve">to </w:t>
      </w:r>
      <w:r w:rsidR="00A93BC1">
        <w:rPr>
          <w:rFonts w:ascii="Verdana" w:eastAsia="Times New Roman" w:hAnsi="Verdana" w:cs="Arial"/>
          <w:sz w:val="24"/>
          <w:szCs w:val="24"/>
          <w:lang w:eastAsia="en-ZA"/>
        </w:rPr>
        <w:t>consider</w:t>
      </w:r>
      <w:r>
        <w:rPr>
          <w:rFonts w:ascii="Verdana" w:eastAsia="Times New Roman" w:hAnsi="Verdana" w:cs="Arial"/>
          <w:sz w:val="24"/>
          <w:szCs w:val="24"/>
          <w:lang w:eastAsia="en-ZA"/>
        </w:rPr>
        <w:t xml:space="preserve"> that</w:t>
      </w:r>
      <w:r w:rsidR="008C7F63" w:rsidRPr="005B437B">
        <w:rPr>
          <w:rFonts w:ascii="Verdana" w:eastAsia="Times New Roman" w:hAnsi="Verdana" w:cs="Arial"/>
          <w:sz w:val="24"/>
          <w:szCs w:val="24"/>
          <w:lang w:eastAsia="en-ZA"/>
        </w:rPr>
        <w:t xml:space="preserve"> </w:t>
      </w:r>
      <w:r w:rsidR="00A93BC1">
        <w:rPr>
          <w:rFonts w:ascii="Verdana" w:eastAsia="Times New Roman" w:hAnsi="Verdana" w:cs="Arial"/>
          <w:sz w:val="24"/>
          <w:szCs w:val="24"/>
          <w:lang w:eastAsia="en-ZA"/>
        </w:rPr>
        <w:t xml:space="preserve">the statutory process for the </w:t>
      </w:r>
      <w:proofErr w:type="gramStart"/>
      <w:r w:rsidR="008C7F63" w:rsidRPr="005B437B">
        <w:rPr>
          <w:rFonts w:ascii="Verdana" w:eastAsia="Times New Roman" w:hAnsi="Verdana" w:cs="Arial"/>
          <w:sz w:val="24"/>
          <w:szCs w:val="24"/>
          <w:lang w:eastAsia="en-ZA"/>
        </w:rPr>
        <w:t>Commissioner  for</w:t>
      </w:r>
      <w:proofErr w:type="gramEnd"/>
      <w:r w:rsidR="008C7F63" w:rsidRPr="005B437B">
        <w:rPr>
          <w:rFonts w:ascii="Verdana" w:eastAsia="Times New Roman" w:hAnsi="Verdana" w:cs="Arial"/>
          <w:sz w:val="24"/>
          <w:szCs w:val="24"/>
          <w:lang w:eastAsia="en-ZA"/>
        </w:rPr>
        <w:t xml:space="preserve"> the recovery of the debt</w:t>
      </w:r>
      <w:r w:rsidR="00A93BC1">
        <w:rPr>
          <w:rFonts w:ascii="Verdana" w:eastAsia="Times New Roman" w:hAnsi="Verdana" w:cs="Arial"/>
          <w:sz w:val="24"/>
          <w:szCs w:val="24"/>
          <w:lang w:eastAsia="en-ZA"/>
        </w:rPr>
        <w:t xml:space="preserve"> is sui generis</w:t>
      </w:r>
      <w:r w:rsidR="008C7F63" w:rsidRPr="005B437B">
        <w:rPr>
          <w:rFonts w:ascii="Verdana" w:eastAsia="Times New Roman" w:hAnsi="Verdana" w:cs="Arial"/>
          <w:sz w:val="24"/>
          <w:szCs w:val="24"/>
          <w:lang w:eastAsia="en-ZA"/>
        </w:rPr>
        <w:t>. The Commissioner has been given extensive statutory powers to collect debts by means of an administrative process.</w:t>
      </w:r>
    </w:p>
    <w:p w14:paraId="67F1CB26" w14:textId="77777777" w:rsidR="008C7F63" w:rsidRPr="0086599F" w:rsidRDefault="008C7F63" w:rsidP="008C7F63">
      <w:pPr>
        <w:spacing w:after="240" w:line="480" w:lineRule="auto"/>
        <w:jc w:val="both"/>
        <w:rPr>
          <w:rFonts w:ascii="Verdana" w:eastAsia="Times New Roman" w:hAnsi="Verdana" w:cs="Arial"/>
          <w:color w:val="00B050"/>
          <w:sz w:val="24"/>
          <w:szCs w:val="24"/>
          <w:lang w:eastAsia="en-ZA"/>
        </w:rPr>
      </w:pPr>
    </w:p>
    <w:p w14:paraId="420B4C71" w14:textId="1F3FB095" w:rsidR="008C7F63" w:rsidRPr="005B437B" w:rsidRDefault="005B437B" w:rsidP="008C7F63">
      <w:pPr>
        <w:spacing w:after="240" w:line="480" w:lineRule="auto"/>
        <w:jc w:val="both"/>
        <w:rPr>
          <w:rFonts w:ascii="Verdana" w:eastAsia="Times New Roman" w:hAnsi="Verdana" w:cs="Arial"/>
          <w:sz w:val="24"/>
          <w:szCs w:val="24"/>
          <w:lang w:eastAsia="en-ZA"/>
        </w:rPr>
      </w:pPr>
      <w:r w:rsidRPr="005B437B">
        <w:rPr>
          <w:rFonts w:ascii="Verdana" w:eastAsia="Times New Roman" w:hAnsi="Verdana" w:cs="Arial"/>
          <w:sz w:val="24"/>
          <w:szCs w:val="24"/>
          <w:lang w:eastAsia="en-ZA"/>
        </w:rPr>
        <w:t>3</w:t>
      </w:r>
      <w:r w:rsidR="003B10BE">
        <w:rPr>
          <w:rFonts w:ascii="Verdana" w:eastAsia="Times New Roman" w:hAnsi="Verdana" w:cs="Arial"/>
          <w:sz w:val="24"/>
          <w:szCs w:val="24"/>
          <w:lang w:eastAsia="en-ZA"/>
        </w:rPr>
        <w:t>9</w:t>
      </w:r>
      <w:r w:rsidR="008C7F63" w:rsidRPr="005B437B">
        <w:rPr>
          <w:rFonts w:ascii="Verdana" w:eastAsia="Times New Roman" w:hAnsi="Verdana" w:cs="Arial"/>
          <w:sz w:val="24"/>
          <w:szCs w:val="24"/>
          <w:lang w:eastAsia="en-ZA"/>
        </w:rPr>
        <w:t xml:space="preserve">. </w:t>
      </w:r>
      <w:r w:rsidRPr="005B437B">
        <w:rPr>
          <w:rFonts w:ascii="Verdana" w:eastAsia="Times New Roman" w:hAnsi="Verdana" w:cs="Arial"/>
          <w:sz w:val="24"/>
          <w:szCs w:val="24"/>
          <w:lang w:eastAsia="en-ZA"/>
        </w:rPr>
        <w:t>This</w:t>
      </w:r>
      <w:r w:rsidR="008C7F63" w:rsidRPr="005B437B">
        <w:rPr>
          <w:rFonts w:ascii="Verdana" w:eastAsia="Times New Roman" w:hAnsi="Verdana" w:cs="Arial"/>
          <w:sz w:val="24"/>
          <w:szCs w:val="24"/>
          <w:lang w:eastAsia="en-ZA"/>
        </w:rPr>
        <w:t xml:space="preserve"> process entails</w:t>
      </w:r>
      <w:r>
        <w:rPr>
          <w:rFonts w:ascii="Verdana" w:eastAsia="Times New Roman" w:hAnsi="Verdana" w:cs="Arial"/>
          <w:sz w:val="24"/>
          <w:szCs w:val="24"/>
          <w:lang w:eastAsia="en-ZA"/>
        </w:rPr>
        <w:t>,</w:t>
      </w:r>
      <w:r w:rsidR="008C7F63" w:rsidRPr="005B437B">
        <w:rPr>
          <w:rFonts w:ascii="Verdana" w:eastAsia="Times New Roman" w:hAnsi="Verdana" w:cs="Arial"/>
          <w:sz w:val="24"/>
          <w:szCs w:val="24"/>
          <w:lang w:eastAsia="en-ZA"/>
        </w:rPr>
        <w:t xml:space="preserve"> that the Commissioner would first issue to a prospective debtor a letter of intent, affording the prospective debtor an opportunity to controvert the Commissioner’s </w:t>
      </w:r>
      <w:r w:rsidR="008C7F63" w:rsidRPr="00D90762">
        <w:rPr>
          <w:rFonts w:ascii="Verdana" w:eastAsia="Times New Roman" w:hAnsi="Verdana" w:cs="Arial"/>
          <w:i/>
          <w:iCs/>
          <w:sz w:val="24"/>
          <w:szCs w:val="24"/>
          <w:lang w:eastAsia="en-ZA"/>
        </w:rPr>
        <w:t>prima facie</w:t>
      </w:r>
      <w:r w:rsidR="008C7F63" w:rsidRPr="005B437B">
        <w:rPr>
          <w:rFonts w:ascii="Verdana" w:eastAsia="Times New Roman" w:hAnsi="Verdana" w:cs="Arial"/>
          <w:sz w:val="24"/>
          <w:szCs w:val="24"/>
          <w:lang w:eastAsia="en-ZA"/>
        </w:rPr>
        <w:t xml:space="preserve"> findings. The Commissioner is then obliged to consider the response received after the letter of intent, and if the Commissioner is not </w:t>
      </w:r>
      <w:r w:rsidR="00A93BC1">
        <w:rPr>
          <w:rFonts w:ascii="Verdana" w:eastAsia="Times New Roman" w:hAnsi="Verdana" w:cs="Arial"/>
          <w:sz w:val="24"/>
          <w:szCs w:val="24"/>
          <w:lang w:eastAsia="en-ZA"/>
        </w:rPr>
        <w:t>satisfied</w:t>
      </w:r>
      <w:r w:rsidR="008C7F63" w:rsidRPr="005B437B">
        <w:rPr>
          <w:rFonts w:ascii="Verdana" w:eastAsia="Times New Roman" w:hAnsi="Verdana" w:cs="Arial"/>
          <w:sz w:val="24"/>
          <w:szCs w:val="24"/>
          <w:lang w:eastAsia="en-ZA"/>
        </w:rPr>
        <w:t xml:space="preserve"> that its </w:t>
      </w:r>
      <w:r w:rsidR="008C7F63" w:rsidRPr="00D90762">
        <w:rPr>
          <w:rFonts w:ascii="Verdana" w:eastAsia="Times New Roman" w:hAnsi="Verdana" w:cs="Arial"/>
          <w:i/>
          <w:iCs/>
          <w:sz w:val="24"/>
          <w:szCs w:val="24"/>
          <w:lang w:eastAsia="en-ZA"/>
        </w:rPr>
        <w:t>prima facie</w:t>
      </w:r>
      <w:r w:rsidR="008C7F63" w:rsidRPr="005B437B">
        <w:rPr>
          <w:rFonts w:ascii="Verdana" w:eastAsia="Times New Roman" w:hAnsi="Verdana" w:cs="Arial"/>
          <w:sz w:val="24"/>
          <w:szCs w:val="24"/>
          <w:lang w:eastAsia="en-ZA"/>
        </w:rPr>
        <w:t xml:space="preserve"> findings are wrong, after having considered the responses, then the Commissioner is entitled to </w:t>
      </w:r>
      <w:r w:rsidR="00A93BC1">
        <w:rPr>
          <w:rFonts w:ascii="Verdana" w:eastAsia="Times New Roman" w:hAnsi="Verdana" w:cs="Arial"/>
          <w:sz w:val="24"/>
          <w:szCs w:val="24"/>
          <w:lang w:eastAsia="en-ZA"/>
        </w:rPr>
        <w:t xml:space="preserve">simply </w:t>
      </w:r>
      <w:r w:rsidR="008C7F63" w:rsidRPr="005B437B">
        <w:rPr>
          <w:rFonts w:ascii="Verdana" w:eastAsia="Times New Roman" w:hAnsi="Verdana" w:cs="Arial"/>
          <w:sz w:val="24"/>
          <w:szCs w:val="24"/>
          <w:lang w:eastAsia="en-ZA"/>
        </w:rPr>
        <w:t>issue a letter of demand</w:t>
      </w:r>
      <w:r w:rsidR="00A93BC1">
        <w:rPr>
          <w:rFonts w:ascii="Verdana" w:eastAsia="Times New Roman" w:hAnsi="Verdana" w:cs="Arial"/>
          <w:sz w:val="24"/>
          <w:szCs w:val="24"/>
          <w:lang w:eastAsia="en-ZA"/>
        </w:rPr>
        <w:t>. O</w:t>
      </w:r>
      <w:r w:rsidR="008C7F63" w:rsidRPr="005B437B">
        <w:rPr>
          <w:rFonts w:ascii="Verdana" w:eastAsia="Times New Roman" w:hAnsi="Verdana" w:cs="Arial"/>
          <w:sz w:val="24"/>
          <w:szCs w:val="24"/>
          <w:lang w:eastAsia="en-ZA"/>
        </w:rPr>
        <w:t xml:space="preserve">nce such a letter of demand is issued a debt is created that must be paid. The Commissioner is </w:t>
      </w:r>
      <w:r w:rsidR="00394874">
        <w:rPr>
          <w:rFonts w:ascii="Verdana" w:eastAsia="Times New Roman" w:hAnsi="Verdana" w:cs="Arial"/>
          <w:sz w:val="24"/>
          <w:szCs w:val="24"/>
          <w:lang w:eastAsia="en-ZA"/>
        </w:rPr>
        <w:t xml:space="preserve">further </w:t>
      </w:r>
      <w:r w:rsidR="008C7F63" w:rsidRPr="005B437B">
        <w:rPr>
          <w:rFonts w:ascii="Verdana" w:eastAsia="Times New Roman" w:hAnsi="Verdana" w:cs="Arial"/>
          <w:sz w:val="24"/>
          <w:szCs w:val="24"/>
          <w:lang w:eastAsia="en-ZA"/>
        </w:rPr>
        <w:t>entitled to have the debt entered in the judgment register of the Clerk of the Magistrate’s Court, or the Registrar of the High Court.</w:t>
      </w:r>
    </w:p>
    <w:p w14:paraId="46806A82" w14:textId="77777777" w:rsidR="008C7F63" w:rsidRPr="0086599F" w:rsidRDefault="008C7F63" w:rsidP="008C7F63">
      <w:pPr>
        <w:spacing w:after="240" w:line="480" w:lineRule="auto"/>
        <w:jc w:val="both"/>
        <w:rPr>
          <w:rFonts w:ascii="Verdana" w:eastAsia="Times New Roman" w:hAnsi="Verdana" w:cs="Arial"/>
          <w:color w:val="00B050"/>
          <w:sz w:val="24"/>
          <w:szCs w:val="24"/>
          <w:lang w:eastAsia="en-ZA"/>
        </w:rPr>
      </w:pPr>
    </w:p>
    <w:p w14:paraId="4782E6CD" w14:textId="09D59018" w:rsidR="008C7F63" w:rsidRDefault="00587855" w:rsidP="008C7F6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40</w:t>
      </w:r>
      <w:r w:rsidR="008C7F63" w:rsidRPr="005B437B">
        <w:rPr>
          <w:rFonts w:ascii="Verdana" w:eastAsia="Times New Roman" w:hAnsi="Verdana" w:cs="Arial"/>
          <w:sz w:val="24"/>
          <w:szCs w:val="24"/>
          <w:lang w:eastAsia="en-ZA"/>
        </w:rPr>
        <w:t>.</w:t>
      </w:r>
      <w:r w:rsidR="005B437B" w:rsidRPr="005B437B">
        <w:rPr>
          <w:rFonts w:ascii="Verdana" w:eastAsia="Times New Roman" w:hAnsi="Verdana" w:cs="Arial"/>
          <w:sz w:val="24"/>
          <w:szCs w:val="24"/>
          <w:lang w:eastAsia="en-ZA"/>
        </w:rPr>
        <w:t xml:space="preserve"> </w:t>
      </w:r>
      <w:r w:rsidR="00A93BC1">
        <w:rPr>
          <w:rFonts w:ascii="Verdana" w:eastAsia="Times New Roman" w:hAnsi="Verdana" w:cs="Arial"/>
          <w:sz w:val="24"/>
          <w:szCs w:val="24"/>
          <w:lang w:eastAsia="en-ZA"/>
        </w:rPr>
        <w:t xml:space="preserve">After the </w:t>
      </w:r>
      <w:r w:rsidR="005B437B" w:rsidRPr="005B437B">
        <w:rPr>
          <w:rFonts w:ascii="Verdana" w:eastAsia="Times New Roman" w:hAnsi="Verdana" w:cs="Arial"/>
          <w:sz w:val="24"/>
          <w:szCs w:val="24"/>
          <w:lang w:eastAsia="en-ZA"/>
        </w:rPr>
        <w:t>letter of intent</w:t>
      </w:r>
      <w:r w:rsidR="00A93BC1">
        <w:rPr>
          <w:rFonts w:ascii="Verdana" w:eastAsia="Times New Roman" w:hAnsi="Verdana" w:cs="Arial"/>
          <w:sz w:val="24"/>
          <w:szCs w:val="24"/>
          <w:lang w:eastAsia="en-ZA"/>
        </w:rPr>
        <w:t xml:space="preserve"> has been issued</w:t>
      </w:r>
      <w:r w:rsidR="005B437B" w:rsidRPr="005B437B">
        <w:rPr>
          <w:rFonts w:ascii="Verdana" w:eastAsia="Times New Roman" w:hAnsi="Verdana" w:cs="Arial"/>
          <w:sz w:val="24"/>
          <w:szCs w:val="24"/>
          <w:lang w:eastAsia="en-ZA"/>
        </w:rPr>
        <w:t>, a</w:t>
      </w:r>
      <w:r w:rsidR="008C7F63" w:rsidRPr="005B437B">
        <w:rPr>
          <w:rFonts w:ascii="Verdana" w:eastAsia="Times New Roman" w:hAnsi="Verdana" w:cs="Arial"/>
          <w:sz w:val="24"/>
          <w:szCs w:val="24"/>
          <w:lang w:eastAsia="en-ZA"/>
        </w:rPr>
        <w:t xml:space="preserve"> debtor can ask the Commissioner </w:t>
      </w:r>
      <w:r w:rsidR="00A93BC1">
        <w:rPr>
          <w:rFonts w:ascii="Verdana" w:eastAsia="Times New Roman" w:hAnsi="Verdana" w:cs="Arial"/>
          <w:sz w:val="24"/>
          <w:szCs w:val="24"/>
          <w:lang w:eastAsia="en-ZA"/>
        </w:rPr>
        <w:t xml:space="preserve">to suspend </w:t>
      </w:r>
      <w:r w:rsidR="008C7F63" w:rsidRPr="005B437B">
        <w:rPr>
          <w:rFonts w:ascii="Verdana" w:eastAsia="Times New Roman" w:hAnsi="Verdana" w:cs="Arial"/>
          <w:sz w:val="24"/>
          <w:szCs w:val="24"/>
          <w:lang w:eastAsia="en-ZA"/>
        </w:rPr>
        <w:t>the obligation to pay, pending an appeal or a challenge against the imposition of the debt. In this instance the Applicant successfully applied for a suspension of the obligation to pay.</w:t>
      </w:r>
    </w:p>
    <w:p w14:paraId="272D8F57" w14:textId="77777777" w:rsidR="005B437B" w:rsidRPr="005B437B" w:rsidRDefault="005B437B" w:rsidP="008C7F63">
      <w:pPr>
        <w:spacing w:after="240" w:line="480" w:lineRule="auto"/>
        <w:jc w:val="both"/>
        <w:rPr>
          <w:rFonts w:ascii="Verdana" w:eastAsia="Times New Roman" w:hAnsi="Verdana" w:cs="Arial"/>
          <w:sz w:val="24"/>
          <w:szCs w:val="24"/>
          <w:lang w:eastAsia="en-ZA"/>
        </w:rPr>
      </w:pPr>
    </w:p>
    <w:p w14:paraId="54C8D343" w14:textId="2F209D85" w:rsidR="008C7F63" w:rsidRPr="005B437B" w:rsidRDefault="000231F3" w:rsidP="008C7F6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w:t>
      </w:r>
      <w:r w:rsidR="00587855">
        <w:rPr>
          <w:rFonts w:ascii="Verdana" w:eastAsia="Times New Roman" w:hAnsi="Verdana" w:cs="Arial"/>
          <w:sz w:val="24"/>
          <w:szCs w:val="24"/>
          <w:lang w:eastAsia="en-ZA"/>
        </w:rPr>
        <w:t>1</w:t>
      </w:r>
      <w:r w:rsidR="005B437B" w:rsidRPr="005B437B">
        <w:rPr>
          <w:rFonts w:ascii="Verdana" w:eastAsia="Times New Roman" w:hAnsi="Verdana" w:cs="Arial"/>
          <w:sz w:val="24"/>
          <w:szCs w:val="24"/>
          <w:lang w:eastAsia="en-ZA"/>
        </w:rPr>
        <w:t>.</w:t>
      </w:r>
      <w:r w:rsidR="00E13E56">
        <w:rPr>
          <w:rFonts w:ascii="Verdana" w:eastAsia="Times New Roman" w:hAnsi="Verdana" w:cs="Arial"/>
          <w:sz w:val="24"/>
          <w:szCs w:val="24"/>
          <w:lang w:eastAsia="en-ZA"/>
        </w:rPr>
        <w:t xml:space="preserve"> </w:t>
      </w:r>
      <w:r w:rsidR="005B437B" w:rsidRPr="005B437B">
        <w:rPr>
          <w:rFonts w:ascii="Verdana" w:eastAsia="Times New Roman" w:hAnsi="Verdana" w:cs="Arial"/>
          <w:sz w:val="24"/>
          <w:szCs w:val="24"/>
          <w:lang w:eastAsia="en-ZA"/>
        </w:rPr>
        <w:t>T</w:t>
      </w:r>
      <w:r w:rsidR="008C7F63" w:rsidRPr="005B437B">
        <w:rPr>
          <w:rFonts w:ascii="Verdana" w:eastAsia="Times New Roman" w:hAnsi="Verdana" w:cs="Arial"/>
          <w:sz w:val="24"/>
          <w:szCs w:val="24"/>
          <w:lang w:eastAsia="en-ZA"/>
        </w:rPr>
        <w:t xml:space="preserve">he </w:t>
      </w:r>
      <w:r w:rsidR="005B437B" w:rsidRPr="005B437B">
        <w:rPr>
          <w:rFonts w:ascii="Verdana" w:eastAsia="Times New Roman" w:hAnsi="Verdana" w:cs="Arial"/>
          <w:sz w:val="24"/>
          <w:szCs w:val="24"/>
          <w:lang w:eastAsia="en-ZA"/>
        </w:rPr>
        <w:t>granting of</w:t>
      </w:r>
      <w:r w:rsidR="008C7F63" w:rsidRPr="005B437B">
        <w:rPr>
          <w:rFonts w:ascii="Verdana" w:eastAsia="Times New Roman" w:hAnsi="Verdana" w:cs="Arial"/>
          <w:sz w:val="24"/>
          <w:szCs w:val="24"/>
          <w:lang w:eastAsia="en-ZA"/>
        </w:rPr>
        <w:t xml:space="preserve"> a suspension </w:t>
      </w:r>
      <w:r w:rsidR="005B437B" w:rsidRPr="005B437B">
        <w:rPr>
          <w:rFonts w:ascii="Verdana" w:eastAsia="Times New Roman" w:hAnsi="Verdana" w:cs="Arial"/>
          <w:sz w:val="24"/>
          <w:szCs w:val="24"/>
          <w:lang w:eastAsia="en-ZA"/>
        </w:rPr>
        <w:t xml:space="preserve">by the Commissioner </w:t>
      </w:r>
      <w:r w:rsidR="008C7F63" w:rsidRPr="005B437B">
        <w:rPr>
          <w:rFonts w:ascii="Verdana" w:eastAsia="Times New Roman" w:hAnsi="Verdana" w:cs="Arial"/>
          <w:sz w:val="24"/>
          <w:szCs w:val="24"/>
          <w:lang w:eastAsia="en-ZA"/>
        </w:rPr>
        <w:t>of the obligation to pay does not mean that there is no</w:t>
      </w:r>
      <w:r w:rsidR="00394874">
        <w:rPr>
          <w:rFonts w:ascii="Verdana" w:eastAsia="Times New Roman" w:hAnsi="Verdana" w:cs="Arial"/>
          <w:sz w:val="24"/>
          <w:szCs w:val="24"/>
          <w:lang w:eastAsia="en-ZA"/>
        </w:rPr>
        <w:t xml:space="preserve"> longer a</w:t>
      </w:r>
      <w:r w:rsidR="008C7F63" w:rsidRPr="005B437B">
        <w:rPr>
          <w:rFonts w:ascii="Verdana" w:eastAsia="Times New Roman" w:hAnsi="Verdana" w:cs="Arial"/>
          <w:sz w:val="24"/>
          <w:szCs w:val="24"/>
          <w:lang w:eastAsia="en-ZA"/>
        </w:rPr>
        <w:t xml:space="preserve"> debt. The debt is the result of conclusions by the Commissioner that there was a contravention by the Applicant of the provisions of the Customs Act. The debt stands. So </w:t>
      </w:r>
      <w:r w:rsidR="00A93BC1">
        <w:rPr>
          <w:rFonts w:ascii="Verdana" w:eastAsia="Times New Roman" w:hAnsi="Verdana" w:cs="Arial"/>
          <w:sz w:val="24"/>
          <w:szCs w:val="24"/>
          <w:lang w:eastAsia="en-ZA"/>
        </w:rPr>
        <w:t>too</w:t>
      </w:r>
      <w:r w:rsidR="008C7F63" w:rsidRPr="005B437B">
        <w:rPr>
          <w:rFonts w:ascii="Verdana" w:eastAsia="Times New Roman" w:hAnsi="Verdana" w:cs="Arial"/>
          <w:sz w:val="24"/>
          <w:szCs w:val="24"/>
          <w:lang w:eastAsia="en-ZA"/>
        </w:rPr>
        <w:t xml:space="preserve">, at least for the moment, the findings by the Commissioner that the Applicant contravened the provisions of the Act. The fact that the Commissioner granted a suspension of the obligation to pay does not have the effect that the debt </w:t>
      </w:r>
      <w:proofErr w:type="gramStart"/>
      <w:r w:rsidR="008C7F63" w:rsidRPr="005B437B">
        <w:rPr>
          <w:rFonts w:ascii="Verdana" w:eastAsia="Times New Roman" w:hAnsi="Verdana" w:cs="Arial"/>
          <w:sz w:val="24"/>
          <w:szCs w:val="24"/>
          <w:lang w:eastAsia="en-ZA"/>
        </w:rPr>
        <w:t>disappears</w:t>
      </w:r>
      <w:proofErr w:type="gramEnd"/>
      <w:r w:rsidR="008C7F63" w:rsidRPr="005B437B">
        <w:rPr>
          <w:rFonts w:ascii="Verdana" w:eastAsia="Times New Roman" w:hAnsi="Verdana" w:cs="Arial"/>
          <w:sz w:val="24"/>
          <w:szCs w:val="24"/>
          <w:lang w:eastAsia="en-ZA"/>
        </w:rPr>
        <w:t xml:space="preserve"> nor does it have the effect that the findings by SARS that the Applicant contravened the provisions of the Customs Act, are no longer valid.</w:t>
      </w:r>
    </w:p>
    <w:p w14:paraId="375D8184" w14:textId="77777777" w:rsidR="008C7F63" w:rsidRPr="0086599F" w:rsidRDefault="008C7F63" w:rsidP="008C7F63">
      <w:pPr>
        <w:spacing w:after="240" w:line="480" w:lineRule="auto"/>
        <w:jc w:val="both"/>
        <w:rPr>
          <w:rFonts w:ascii="Verdana" w:eastAsia="Times New Roman" w:hAnsi="Verdana" w:cs="Arial"/>
          <w:color w:val="00B050"/>
          <w:sz w:val="24"/>
          <w:szCs w:val="24"/>
          <w:lang w:eastAsia="en-ZA"/>
        </w:rPr>
      </w:pPr>
    </w:p>
    <w:p w14:paraId="193E6612" w14:textId="1147B98E" w:rsidR="008C7F63" w:rsidRPr="00137A03" w:rsidRDefault="00137A03" w:rsidP="008C7F63">
      <w:pPr>
        <w:spacing w:after="240" w:line="480" w:lineRule="auto"/>
        <w:jc w:val="both"/>
        <w:rPr>
          <w:rFonts w:ascii="Verdana" w:eastAsia="Times New Roman" w:hAnsi="Verdana" w:cs="Arial"/>
          <w:sz w:val="24"/>
          <w:szCs w:val="24"/>
          <w:lang w:eastAsia="en-ZA"/>
        </w:rPr>
      </w:pPr>
      <w:r w:rsidRPr="00137A03">
        <w:rPr>
          <w:rFonts w:ascii="Verdana" w:eastAsia="Times New Roman" w:hAnsi="Verdana" w:cs="Arial"/>
          <w:sz w:val="24"/>
          <w:szCs w:val="24"/>
          <w:lang w:eastAsia="en-ZA"/>
        </w:rPr>
        <w:t>4</w:t>
      </w:r>
      <w:r w:rsidR="00587855">
        <w:rPr>
          <w:rFonts w:ascii="Verdana" w:eastAsia="Times New Roman" w:hAnsi="Verdana" w:cs="Arial"/>
          <w:sz w:val="24"/>
          <w:szCs w:val="24"/>
          <w:lang w:eastAsia="en-ZA"/>
        </w:rPr>
        <w:t>2</w:t>
      </w:r>
      <w:r w:rsidR="008C7F63" w:rsidRPr="00137A03">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Furthermore, t</w:t>
      </w:r>
      <w:r w:rsidR="008C7F63" w:rsidRPr="00137A03">
        <w:rPr>
          <w:rFonts w:ascii="Verdana" w:eastAsia="Times New Roman" w:hAnsi="Verdana" w:cs="Arial"/>
          <w:sz w:val="24"/>
          <w:szCs w:val="24"/>
          <w:lang w:eastAsia="en-ZA"/>
        </w:rPr>
        <w:t>he findings by the Commissioner – that the Applicant contravened the provisions of the Customs Act, and the imposition by the Commissioner of a demand against the Applicant – are the results of the exercise of a statutory power vested in the Commissioner and in exercising the statutory powers the Commissioner performed administrative actions.</w:t>
      </w:r>
    </w:p>
    <w:p w14:paraId="09DE6E19" w14:textId="77777777" w:rsidR="008C7F63" w:rsidRPr="0086599F" w:rsidRDefault="008C7F63" w:rsidP="008C7F63">
      <w:pPr>
        <w:spacing w:after="240" w:line="480" w:lineRule="auto"/>
        <w:jc w:val="both"/>
        <w:rPr>
          <w:rFonts w:ascii="Verdana" w:eastAsia="Times New Roman" w:hAnsi="Verdana" w:cs="Arial"/>
          <w:color w:val="00B050"/>
          <w:sz w:val="24"/>
          <w:szCs w:val="24"/>
          <w:lang w:eastAsia="en-ZA"/>
        </w:rPr>
      </w:pPr>
    </w:p>
    <w:p w14:paraId="35327958" w14:textId="07A645F2" w:rsidR="008C7F63" w:rsidRDefault="0078339F" w:rsidP="008C7F63">
      <w:pPr>
        <w:spacing w:after="240" w:line="480" w:lineRule="auto"/>
        <w:jc w:val="both"/>
        <w:rPr>
          <w:rFonts w:ascii="Verdana" w:eastAsia="Times New Roman" w:hAnsi="Verdana" w:cs="Arial"/>
          <w:sz w:val="24"/>
          <w:szCs w:val="24"/>
          <w:lang w:eastAsia="en-ZA"/>
        </w:rPr>
      </w:pPr>
      <w:r w:rsidRPr="0078339F">
        <w:rPr>
          <w:rFonts w:ascii="Verdana" w:eastAsia="Times New Roman" w:hAnsi="Verdana" w:cs="Arial"/>
          <w:sz w:val="24"/>
          <w:szCs w:val="24"/>
          <w:lang w:eastAsia="en-ZA"/>
        </w:rPr>
        <w:t>4</w:t>
      </w:r>
      <w:r w:rsidR="00587855">
        <w:rPr>
          <w:rFonts w:ascii="Verdana" w:eastAsia="Times New Roman" w:hAnsi="Verdana" w:cs="Arial"/>
          <w:sz w:val="24"/>
          <w:szCs w:val="24"/>
          <w:lang w:eastAsia="en-ZA"/>
        </w:rPr>
        <w:t>3</w:t>
      </w:r>
      <w:r w:rsidR="008C7F63" w:rsidRPr="0078339F">
        <w:rPr>
          <w:rFonts w:ascii="Verdana" w:eastAsia="Times New Roman" w:hAnsi="Verdana" w:cs="Arial"/>
          <w:sz w:val="24"/>
          <w:szCs w:val="24"/>
          <w:lang w:eastAsia="en-ZA"/>
        </w:rPr>
        <w:t>.</w:t>
      </w:r>
      <w:r w:rsidR="00587855">
        <w:rPr>
          <w:rFonts w:ascii="Verdana" w:eastAsia="Times New Roman" w:hAnsi="Verdana" w:cs="Arial"/>
          <w:sz w:val="24"/>
          <w:szCs w:val="24"/>
          <w:lang w:eastAsia="en-ZA"/>
        </w:rPr>
        <w:t xml:space="preserve"> I</w:t>
      </w:r>
      <w:r>
        <w:rPr>
          <w:rFonts w:ascii="Verdana" w:eastAsia="Times New Roman" w:hAnsi="Verdana" w:cs="Arial"/>
          <w:sz w:val="24"/>
          <w:szCs w:val="24"/>
          <w:lang w:eastAsia="en-ZA"/>
        </w:rPr>
        <w:t xml:space="preserve">t is </w:t>
      </w:r>
      <w:r w:rsidR="008C7F63" w:rsidRPr="0078339F">
        <w:rPr>
          <w:rFonts w:ascii="Verdana" w:eastAsia="Times New Roman" w:hAnsi="Verdana" w:cs="Arial"/>
          <w:sz w:val="24"/>
          <w:szCs w:val="24"/>
          <w:lang w:eastAsia="en-ZA"/>
        </w:rPr>
        <w:t>trite that administrative actions, even if wrong and unlawful, remain standing and valid until duly set aside by an appropriate power.</w:t>
      </w:r>
      <w:r w:rsidR="008C7F63" w:rsidRPr="0078339F">
        <w:rPr>
          <w:rStyle w:val="FootnoteReference"/>
          <w:rFonts w:ascii="Verdana" w:eastAsia="Times New Roman" w:hAnsi="Verdana" w:cs="Arial"/>
          <w:sz w:val="24"/>
          <w:szCs w:val="24"/>
          <w:lang w:eastAsia="en-ZA"/>
        </w:rPr>
        <w:footnoteReference w:id="25"/>
      </w:r>
    </w:p>
    <w:p w14:paraId="7BACBF1E" w14:textId="77777777" w:rsidR="0078339F" w:rsidRDefault="0078339F" w:rsidP="008C7F63">
      <w:pPr>
        <w:spacing w:after="240" w:line="480" w:lineRule="auto"/>
        <w:jc w:val="both"/>
        <w:rPr>
          <w:rFonts w:ascii="Verdana" w:eastAsia="Times New Roman" w:hAnsi="Verdana" w:cs="Arial"/>
          <w:sz w:val="24"/>
          <w:szCs w:val="24"/>
          <w:lang w:eastAsia="en-ZA"/>
        </w:rPr>
      </w:pPr>
    </w:p>
    <w:p w14:paraId="0B70E130" w14:textId="77777777" w:rsidR="00B4081A" w:rsidRDefault="00B4081A" w:rsidP="00B4081A">
      <w:pPr>
        <w:spacing w:after="240" w:line="480" w:lineRule="auto"/>
        <w:jc w:val="both"/>
        <w:rPr>
          <w:rFonts w:ascii="Verdana" w:eastAsia="Times New Roman" w:hAnsi="Verdana" w:cs="Arial"/>
          <w:bCs/>
          <w:sz w:val="24"/>
          <w:szCs w:val="24"/>
          <w:lang w:eastAsia="en-ZA"/>
        </w:rPr>
      </w:pPr>
      <w:r w:rsidRPr="007409D3">
        <w:rPr>
          <w:rFonts w:ascii="Verdana" w:eastAsia="Times New Roman" w:hAnsi="Verdana" w:cs="Arial"/>
          <w:bCs/>
          <w:sz w:val="24"/>
          <w:szCs w:val="24"/>
          <w:lang w:eastAsia="en-ZA"/>
        </w:rPr>
        <w:t>SARS REFUSAL IRRATIONAL AND ARBITRARY</w:t>
      </w:r>
    </w:p>
    <w:p w14:paraId="5A780472" w14:textId="77777777" w:rsidR="00824A72" w:rsidRPr="007409D3" w:rsidRDefault="00824A72" w:rsidP="00B4081A">
      <w:pPr>
        <w:spacing w:after="240" w:line="480" w:lineRule="auto"/>
        <w:jc w:val="both"/>
        <w:rPr>
          <w:rFonts w:ascii="Verdana" w:eastAsia="Times New Roman" w:hAnsi="Verdana" w:cs="Arial"/>
          <w:bCs/>
          <w:sz w:val="24"/>
          <w:szCs w:val="24"/>
          <w:lang w:eastAsia="en-ZA"/>
        </w:rPr>
      </w:pPr>
    </w:p>
    <w:p w14:paraId="047BA3F1" w14:textId="7D0CE182" w:rsidR="00B4081A" w:rsidRDefault="00B4081A"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w:t>
      </w:r>
      <w:r w:rsidR="00824A72">
        <w:rPr>
          <w:rFonts w:ascii="Verdana" w:eastAsia="Times New Roman" w:hAnsi="Verdana" w:cs="Arial"/>
          <w:sz w:val="24"/>
          <w:szCs w:val="24"/>
          <w:lang w:eastAsia="en-ZA"/>
        </w:rPr>
        <w:t>4</w:t>
      </w:r>
      <w:r>
        <w:rPr>
          <w:rFonts w:ascii="Verdana" w:eastAsia="Times New Roman" w:hAnsi="Verdana" w:cs="Arial"/>
          <w:sz w:val="24"/>
          <w:szCs w:val="24"/>
          <w:lang w:eastAsia="en-ZA"/>
        </w:rPr>
        <w:t>. Counsel for the Applicant submitted that the exercise of public power must be underpinned by plausible reasons</w:t>
      </w:r>
      <w:r w:rsidR="00A93BC1">
        <w:rPr>
          <w:rFonts w:ascii="Verdana" w:eastAsia="Times New Roman" w:hAnsi="Verdana" w:cs="Arial"/>
          <w:sz w:val="24"/>
          <w:szCs w:val="24"/>
          <w:lang w:eastAsia="en-ZA"/>
        </w:rPr>
        <w:t xml:space="preserve"> which </w:t>
      </w:r>
      <w:r>
        <w:rPr>
          <w:rFonts w:ascii="Verdana" w:eastAsia="Times New Roman" w:hAnsi="Verdana" w:cs="Arial"/>
          <w:sz w:val="24"/>
          <w:szCs w:val="24"/>
          <w:lang w:eastAsia="en-ZA"/>
        </w:rPr>
        <w:t>must justify the action taken. If action is taken for no reason or no justifiable reason, the decision is arbitrary.</w:t>
      </w:r>
      <w:r>
        <w:rPr>
          <w:rStyle w:val="FootnoteReference"/>
          <w:rFonts w:ascii="Verdana" w:eastAsia="Times New Roman" w:hAnsi="Verdana" w:cs="Arial"/>
          <w:sz w:val="24"/>
          <w:szCs w:val="24"/>
          <w:lang w:eastAsia="en-ZA"/>
        </w:rPr>
        <w:footnoteReference w:id="26"/>
      </w:r>
      <w:r>
        <w:rPr>
          <w:rFonts w:ascii="Verdana" w:eastAsia="Times New Roman" w:hAnsi="Verdana" w:cs="Arial"/>
          <w:sz w:val="24"/>
          <w:szCs w:val="24"/>
          <w:lang w:eastAsia="en-ZA"/>
        </w:rPr>
        <w:t xml:space="preserve"> In addition, impermissible differentiation and unequal treatment of persons constitutes arbitrary decision-making.</w:t>
      </w:r>
      <w:r>
        <w:rPr>
          <w:rStyle w:val="FootnoteReference"/>
          <w:rFonts w:ascii="Verdana" w:eastAsia="Times New Roman" w:hAnsi="Verdana" w:cs="Arial"/>
          <w:sz w:val="24"/>
          <w:szCs w:val="24"/>
          <w:lang w:eastAsia="en-ZA"/>
        </w:rPr>
        <w:footnoteReference w:id="27"/>
      </w:r>
      <w:r>
        <w:rPr>
          <w:rFonts w:ascii="Verdana" w:eastAsia="Times New Roman" w:hAnsi="Verdana" w:cs="Arial"/>
          <w:sz w:val="24"/>
          <w:szCs w:val="24"/>
          <w:lang w:eastAsia="en-ZA"/>
        </w:rPr>
        <w:t xml:space="preserve"> The enquiry into arbitrariness is closely related to the enquiry into rationality.</w:t>
      </w:r>
      <w:r>
        <w:rPr>
          <w:rStyle w:val="FootnoteReference"/>
          <w:rFonts w:ascii="Verdana" w:eastAsia="Times New Roman" w:hAnsi="Verdana" w:cs="Arial"/>
          <w:sz w:val="24"/>
          <w:szCs w:val="24"/>
          <w:lang w:eastAsia="en-ZA"/>
        </w:rPr>
        <w:footnoteReference w:id="28"/>
      </w:r>
    </w:p>
    <w:p w14:paraId="164CFC31" w14:textId="77777777" w:rsidR="00B4081A" w:rsidRDefault="00B4081A" w:rsidP="00B4081A">
      <w:pPr>
        <w:spacing w:after="240" w:line="480" w:lineRule="auto"/>
        <w:jc w:val="both"/>
        <w:rPr>
          <w:rFonts w:ascii="Verdana" w:eastAsia="Times New Roman" w:hAnsi="Verdana" w:cs="Arial"/>
          <w:sz w:val="24"/>
          <w:szCs w:val="24"/>
          <w:lang w:eastAsia="en-ZA"/>
        </w:rPr>
      </w:pPr>
    </w:p>
    <w:p w14:paraId="094022F1" w14:textId="55CDA382" w:rsidR="00B4081A" w:rsidRDefault="00B4081A"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w:t>
      </w:r>
      <w:r w:rsidR="00824A72">
        <w:rPr>
          <w:rFonts w:ascii="Verdana" w:eastAsia="Times New Roman" w:hAnsi="Verdana" w:cs="Arial"/>
          <w:sz w:val="24"/>
          <w:szCs w:val="24"/>
          <w:lang w:eastAsia="en-ZA"/>
        </w:rPr>
        <w:t>5</w:t>
      </w:r>
      <w:r>
        <w:rPr>
          <w:rFonts w:ascii="Verdana" w:eastAsia="Times New Roman" w:hAnsi="Verdana" w:cs="Arial"/>
          <w:sz w:val="24"/>
          <w:szCs w:val="24"/>
          <w:lang w:eastAsia="en-ZA"/>
        </w:rPr>
        <w:t xml:space="preserve">. Counsel further contended that by refusing the two SOS warehouse applications but granting the application for a “registered agent”, on the same information provided, the Commissioner was acting inconsistently </w:t>
      </w:r>
      <w:r>
        <w:rPr>
          <w:rFonts w:ascii="Verdana" w:eastAsia="Times New Roman" w:hAnsi="Verdana" w:cs="Arial"/>
          <w:sz w:val="24"/>
          <w:szCs w:val="24"/>
          <w:lang w:eastAsia="en-ZA"/>
        </w:rPr>
        <w:lastRenderedPageBreak/>
        <w:t>and in an unpredictable, arbitrary manner. On this basis the</w:t>
      </w:r>
      <w:r w:rsidRPr="00B4081A">
        <w:rPr>
          <w:rFonts w:ascii="Verdana" w:eastAsia="Times New Roman" w:hAnsi="Verdana" w:cs="Arial"/>
          <w:sz w:val="24"/>
          <w:szCs w:val="24"/>
          <w:lang w:eastAsia="en-ZA"/>
        </w:rPr>
        <w:t xml:space="preserve"> Applicant contends that it was </w:t>
      </w:r>
      <w:r w:rsidR="008D67E3">
        <w:rPr>
          <w:rFonts w:ascii="Verdana" w:eastAsia="Times New Roman" w:hAnsi="Verdana" w:cs="Arial"/>
          <w:sz w:val="24"/>
          <w:szCs w:val="24"/>
          <w:lang w:eastAsia="en-ZA"/>
        </w:rPr>
        <w:t xml:space="preserve">therefore </w:t>
      </w:r>
      <w:r w:rsidRPr="00B4081A">
        <w:rPr>
          <w:rFonts w:ascii="Verdana" w:eastAsia="Times New Roman" w:hAnsi="Verdana" w:cs="Arial"/>
          <w:sz w:val="24"/>
          <w:szCs w:val="24"/>
          <w:lang w:eastAsia="en-ZA"/>
        </w:rPr>
        <w:t>irrational on the part of the Commissioner to grant the application for the licence for a registered agent</w:t>
      </w:r>
      <w:r w:rsidR="009A061C">
        <w:rPr>
          <w:rFonts w:ascii="Verdana" w:eastAsia="Times New Roman" w:hAnsi="Verdana" w:cs="Arial"/>
          <w:sz w:val="24"/>
          <w:szCs w:val="24"/>
          <w:lang w:eastAsia="en-ZA"/>
        </w:rPr>
        <w:t>.</w:t>
      </w:r>
    </w:p>
    <w:p w14:paraId="6C6793F5" w14:textId="77777777" w:rsidR="008D67E3" w:rsidRDefault="008D67E3" w:rsidP="00B4081A">
      <w:pPr>
        <w:spacing w:after="240" w:line="480" w:lineRule="auto"/>
        <w:jc w:val="both"/>
        <w:rPr>
          <w:rFonts w:ascii="Verdana" w:eastAsia="Times New Roman" w:hAnsi="Verdana" w:cs="Arial"/>
          <w:sz w:val="24"/>
          <w:szCs w:val="24"/>
          <w:lang w:eastAsia="en-ZA"/>
        </w:rPr>
      </w:pPr>
    </w:p>
    <w:p w14:paraId="7641ED82" w14:textId="678EB627" w:rsidR="008D67E3" w:rsidRPr="008D67E3" w:rsidRDefault="008D67E3" w:rsidP="008D67E3">
      <w:pPr>
        <w:spacing w:after="240" w:line="480" w:lineRule="auto"/>
        <w:jc w:val="both"/>
        <w:rPr>
          <w:rFonts w:ascii="Verdana" w:eastAsia="Times New Roman" w:hAnsi="Verdana" w:cs="Arial"/>
          <w:sz w:val="24"/>
          <w:szCs w:val="24"/>
          <w:lang w:eastAsia="en-ZA"/>
        </w:rPr>
      </w:pPr>
      <w:r w:rsidRPr="008D67E3">
        <w:rPr>
          <w:rFonts w:ascii="Verdana" w:eastAsia="Times New Roman" w:hAnsi="Verdana" w:cs="Arial"/>
          <w:sz w:val="24"/>
          <w:szCs w:val="24"/>
          <w:lang w:eastAsia="en-ZA"/>
        </w:rPr>
        <w:t>4</w:t>
      </w:r>
      <w:r w:rsidR="00824A72">
        <w:rPr>
          <w:rFonts w:ascii="Verdana" w:eastAsia="Times New Roman" w:hAnsi="Verdana" w:cs="Arial"/>
          <w:sz w:val="24"/>
          <w:szCs w:val="24"/>
          <w:lang w:eastAsia="en-ZA"/>
        </w:rPr>
        <w:t>6</w:t>
      </w:r>
      <w:r w:rsidRPr="008D67E3">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In reply counsel for the Respondent had submitted that the applications for</w:t>
      </w:r>
      <w:r w:rsidRPr="008D67E3">
        <w:rPr>
          <w:rFonts w:ascii="Verdana" w:eastAsia="Times New Roman" w:hAnsi="Verdana" w:cs="Arial"/>
          <w:sz w:val="24"/>
          <w:szCs w:val="24"/>
          <w:lang w:eastAsia="en-ZA"/>
        </w:rPr>
        <w:t xml:space="preserve"> the two licences, i.e. the licence for a SOS warehouse and a licence to be a registered agent </w:t>
      </w:r>
      <w:r w:rsidR="00EC4ECA">
        <w:rPr>
          <w:rFonts w:ascii="Verdana" w:eastAsia="Times New Roman" w:hAnsi="Verdana" w:cs="Arial"/>
          <w:sz w:val="24"/>
          <w:szCs w:val="24"/>
          <w:lang w:eastAsia="en-ZA"/>
        </w:rPr>
        <w:t>differ</w:t>
      </w:r>
      <w:r w:rsidRPr="008D67E3">
        <w:rPr>
          <w:rFonts w:ascii="Verdana" w:eastAsia="Times New Roman" w:hAnsi="Verdana" w:cs="Arial"/>
          <w:sz w:val="24"/>
          <w:szCs w:val="24"/>
          <w:lang w:eastAsia="en-ZA"/>
        </w:rPr>
        <w:t xml:space="preserve"> fundamentally.</w:t>
      </w:r>
    </w:p>
    <w:p w14:paraId="5A4179C1" w14:textId="77777777" w:rsidR="008D67E3" w:rsidRPr="008D67E3" w:rsidRDefault="008D67E3" w:rsidP="008D67E3">
      <w:pPr>
        <w:spacing w:after="240" w:line="480" w:lineRule="auto"/>
        <w:jc w:val="both"/>
        <w:rPr>
          <w:rFonts w:ascii="Verdana" w:eastAsia="Times New Roman" w:hAnsi="Verdana" w:cs="Arial"/>
          <w:sz w:val="24"/>
          <w:szCs w:val="24"/>
          <w:lang w:eastAsia="en-ZA"/>
        </w:rPr>
      </w:pPr>
    </w:p>
    <w:p w14:paraId="6DD6522D" w14:textId="68EEEBA7" w:rsidR="008D67E3" w:rsidRDefault="008D67E3" w:rsidP="008D67E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w:t>
      </w:r>
      <w:r w:rsidR="00824A72">
        <w:rPr>
          <w:rFonts w:ascii="Verdana" w:eastAsia="Times New Roman" w:hAnsi="Verdana" w:cs="Arial"/>
          <w:sz w:val="24"/>
          <w:szCs w:val="24"/>
          <w:lang w:eastAsia="en-ZA"/>
        </w:rPr>
        <w:t>7</w:t>
      </w:r>
      <w:r>
        <w:rPr>
          <w:rFonts w:ascii="Verdana" w:eastAsia="Times New Roman" w:hAnsi="Verdana" w:cs="Arial"/>
          <w:sz w:val="24"/>
          <w:szCs w:val="24"/>
          <w:lang w:eastAsia="en-ZA"/>
        </w:rPr>
        <w:t>.</w:t>
      </w:r>
      <w:r w:rsidRPr="008D67E3">
        <w:rPr>
          <w:rFonts w:ascii="Verdana" w:eastAsia="Times New Roman" w:hAnsi="Verdana" w:cs="Arial"/>
          <w:sz w:val="24"/>
          <w:szCs w:val="24"/>
          <w:lang w:eastAsia="en-ZA"/>
        </w:rPr>
        <w:t xml:space="preserve"> In this context, the Commissioner explained that SARS is a very big organisation. It employs a vast number of employees. </w:t>
      </w:r>
      <w:r w:rsidR="00EC4ECA">
        <w:rPr>
          <w:rFonts w:ascii="Verdana" w:eastAsia="Times New Roman" w:hAnsi="Verdana" w:cs="Arial"/>
          <w:sz w:val="24"/>
          <w:szCs w:val="24"/>
          <w:lang w:eastAsia="en-ZA"/>
        </w:rPr>
        <w:t>Further</w:t>
      </w:r>
      <w:r w:rsidRPr="008D67E3">
        <w:rPr>
          <w:rFonts w:ascii="Verdana" w:eastAsia="Times New Roman" w:hAnsi="Verdana" w:cs="Arial"/>
          <w:sz w:val="24"/>
          <w:szCs w:val="24"/>
          <w:lang w:eastAsia="en-ZA"/>
        </w:rPr>
        <w:t xml:space="preserve"> that the application for a registered agent does not go through the vetting process, such as with the application for the SOS warehouse licence, because in the instance of a registered agent there is no bond which is required, and the licence of a registered agent merely enables the registered agent to deal with foreign importers and exporters. </w:t>
      </w:r>
    </w:p>
    <w:p w14:paraId="015E887F" w14:textId="77777777" w:rsidR="008D67E3" w:rsidRDefault="008D67E3" w:rsidP="008D67E3">
      <w:pPr>
        <w:spacing w:after="240" w:line="480" w:lineRule="auto"/>
        <w:jc w:val="both"/>
        <w:rPr>
          <w:rFonts w:ascii="Verdana" w:eastAsia="Times New Roman" w:hAnsi="Verdana" w:cs="Arial"/>
          <w:sz w:val="24"/>
          <w:szCs w:val="24"/>
          <w:lang w:eastAsia="en-ZA"/>
        </w:rPr>
      </w:pPr>
    </w:p>
    <w:p w14:paraId="1CE8BFC0" w14:textId="6E6F4C03" w:rsidR="008D67E3" w:rsidRPr="008D67E3" w:rsidRDefault="008D67E3" w:rsidP="008D67E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w:t>
      </w:r>
      <w:r w:rsidR="00824A72">
        <w:rPr>
          <w:rFonts w:ascii="Verdana" w:eastAsia="Times New Roman" w:hAnsi="Verdana" w:cs="Arial"/>
          <w:sz w:val="24"/>
          <w:szCs w:val="24"/>
          <w:lang w:eastAsia="en-ZA"/>
        </w:rPr>
        <w:t>8</w:t>
      </w:r>
      <w:r>
        <w:rPr>
          <w:rFonts w:ascii="Verdana" w:eastAsia="Times New Roman" w:hAnsi="Verdana" w:cs="Arial"/>
          <w:sz w:val="24"/>
          <w:szCs w:val="24"/>
          <w:lang w:eastAsia="en-ZA"/>
        </w:rPr>
        <w:t xml:space="preserve">. </w:t>
      </w:r>
      <w:r w:rsidRPr="008D67E3">
        <w:rPr>
          <w:rFonts w:ascii="Verdana" w:eastAsia="Times New Roman" w:hAnsi="Verdana" w:cs="Arial"/>
          <w:sz w:val="24"/>
          <w:szCs w:val="24"/>
          <w:lang w:eastAsia="en-ZA"/>
        </w:rPr>
        <w:t xml:space="preserve">The Commissioner </w:t>
      </w:r>
      <w:r>
        <w:rPr>
          <w:rFonts w:ascii="Verdana" w:eastAsia="Times New Roman" w:hAnsi="Verdana" w:cs="Arial"/>
          <w:sz w:val="24"/>
          <w:szCs w:val="24"/>
          <w:lang w:eastAsia="en-ZA"/>
        </w:rPr>
        <w:t xml:space="preserve">further </w:t>
      </w:r>
      <w:r w:rsidRPr="008D67E3">
        <w:rPr>
          <w:rFonts w:ascii="Verdana" w:eastAsia="Times New Roman" w:hAnsi="Verdana" w:cs="Arial"/>
          <w:sz w:val="24"/>
          <w:szCs w:val="24"/>
          <w:lang w:eastAsia="en-ZA"/>
        </w:rPr>
        <w:t xml:space="preserve">explained that the officials employed by SARS who consider the granting or refusal of an application for a registered agent are not in a position to know if there are any previous contraventions by the proposed licensee and in such instance these officials depend heavily </w:t>
      </w:r>
      <w:r w:rsidRPr="008D67E3">
        <w:rPr>
          <w:rFonts w:ascii="Verdana" w:eastAsia="Times New Roman" w:hAnsi="Verdana" w:cs="Arial"/>
          <w:sz w:val="24"/>
          <w:szCs w:val="24"/>
          <w:lang w:eastAsia="en-ZA"/>
        </w:rPr>
        <w:lastRenderedPageBreak/>
        <w:t>upon what the prospective licensee declares in the DA185 application form, read with Section 12 of the declaration.</w:t>
      </w:r>
    </w:p>
    <w:p w14:paraId="2810EC0A" w14:textId="77777777" w:rsidR="008D67E3" w:rsidRPr="008D67E3" w:rsidRDefault="008D67E3" w:rsidP="008D67E3">
      <w:pPr>
        <w:spacing w:after="240" w:line="480" w:lineRule="auto"/>
        <w:jc w:val="both"/>
        <w:rPr>
          <w:rFonts w:ascii="Verdana" w:eastAsia="Times New Roman" w:hAnsi="Verdana" w:cs="Arial"/>
          <w:sz w:val="24"/>
          <w:szCs w:val="24"/>
          <w:lang w:eastAsia="en-ZA"/>
        </w:rPr>
      </w:pPr>
    </w:p>
    <w:p w14:paraId="0AED41BA" w14:textId="37E3FA1A" w:rsidR="008D67E3" w:rsidRDefault="008D67E3" w:rsidP="008D67E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4</w:t>
      </w:r>
      <w:r w:rsidR="00824A72">
        <w:rPr>
          <w:rFonts w:ascii="Verdana" w:eastAsia="Times New Roman" w:hAnsi="Verdana" w:cs="Arial"/>
          <w:sz w:val="24"/>
          <w:szCs w:val="24"/>
          <w:lang w:eastAsia="en-ZA"/>
        </w:rPr>
        <w:t>9</w:t>
      </w:r>
      <w:r w:rsidRPr="008D67E3">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On this basis the Respondent</w:t>
      </w:r>
      <w:r w:rsidRPr="008D67E3">
        <w:rPr>
          <w:rFonts w:ascii="Verdana" w:eastAsia="Times New Roman" w:hAnsi="Verdana" w:cs="Arial"/>
          <w:sz w:val="24"/>
          <w:szCs w:val="24"/>
          <w:lang w:eastAsia="en-ZA"/>
        </w:rPr>
        <w:t xml:space="preserve"> therefore contends that the Applicant cannot use the approval of the licence for a registered agent as a precedent, or a basis</w:t>
      </w:r>
      <w:r w:rsidR="00EC4ECA">
        <w:rPr>
          <w:rFonts w:ascii="Verdana" w:eastAsia="Times New Roman" w:hAnsi="Verdana" w:cs="Arial"/>
          <w:sz w:val="24"/>
          <w:szCs w:val="24"/>
          <w:lang w:eastAsia="en-ZA"/>
        </w:rPr>
        <w:t xml:space="preserve"> to launch its argument </w:t>
      </w:r>
      <w:r w:rsidRPr="008D67E3">
        <w:rPr>
          <w:rFonts w:ascii="Verdana" w:eastAsia="Times New Roman" w:hAnsi="Verdana" w:cs="Arial"/>
          <w:sz w:val="24"/>
          <w:szCs w:val="24"/>
          <w:lang w:eastAsia="en-ZA"/>
        </w:rPr>
        <w:t xml:space="preserve">that therefore the other two applications, which </w:t>
      </w:r>
      <w:r w:rsidR="00EC4ECA">
        <w:rPr>
          <w:rFonts w:ascii="Verdana" w:eastAsia="Times New Roman" w:hAnsi="Verdana" w:cs="Arial"/>
          <w:sz w:val="24"/>
          <w:szCs w:val="24"/>
          <w:lang w:eastAsia="en-ZA"/>
        </w:rPr>
        <w:t>relate to</w:t>
      </w:r>
      <w:r w:rsidRPr="008D67E3">
        <w:rPr>
          <w:rFonts w:ascii="Verdana" w:eastAsia="Times New Roman" w:hAnsi="Verdana" w:cs="Arial"/>
          <w:sz w:val="24"/>
          <w:szCs w:val="24"/>
          <w:lang w:eastAsia="en-ZA"/>
        </w:rPr>
        <w:t xml:space="preserve"> vastly different licence</w:t>
      </w:r>
      <w:r w:rsidR="00EC4ECA">
        <w:rPr>
          <w:rFonts w:ascii="Verdana" w:eastAsia="Times New Roman" w:hAnsi="Verdana" w:cs="Arial"/>
          <w:sz w:val="24"/>
          <w:szCs w:val="24"/>
          <w:lang w:eastAsia="en-ZA"/>
        </w:rPr>
        <w:t xml:space="preserve"> type</w:t>
      </w:r>
      <w:r w:rsidRPr="008D67E3">
        <w:rPr>
          <w:rFonts w:ascii="Verdana" w:eastAsia="Times New Roman" w:hAnsi="Verdana" w:cs="Arial"/>
          <w:sz w:val="24"/>
          <w:szCs w:val="24"/>
          <w:lang w:eastAsia="en-ZA"/>
        </w:rPr>
        <w:t xml:space="preserve">s, had to have been approved as well. </w:t>
      </w:r>
    </w:p>
    <w:p w14:paraId="3A02D81F" w14:textId="77777777" w:rsidR="008D67E3" w:rsidRDefault="008D67E3" w:rsidP="008D67E3">
      <w:pPr>
        <w:spacing w:after="240" w:line="480" w:lineRule="auto"/>
        <w:jc w:val="both"/>
        <w:rPr>
          <w:rFonts w:ascii="Verdana" w:eastAsia="Times New Roman" w:hAnsi="Verdana" w:cs="Arial"/>
          <w:sz w:val="24"/>
          <w:szCs w:val="24"/>
          <w:lang w:eastAsia="en-ZA"/>
        </w:rPr>
      </w:pPr>
    </w:p>
    <w:p w14:paraId="2C3BF375" w14:textId="52E99CDC" w:rsidR="008D67E3" w:rsidRPr="008D67E3" w:rsidRDefault="00824A72" w:rsidP="008D67E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50</w:t>
      </w:r>
      <w:r w:rsidR="008D67E3">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T</w:t>
      </w:r>
      <w:r w:rsidR="008D67E3">
        <w:rPr>
          <w:rFonts w:ascii="Verdana" w:eastAsia="Times New Roman" w:hAnsi="Verdana" w:cs="Arial"/>
          <w:sz w:val="24"/>
          <w:szCs w:val="24"/>
          <w:lang w:eastAsia="en-ZA"/>
        </w:rPr>
        <w:t>he</w:t>
      </w:r>
      <w:r w:rsidR="008D67E3" w:rsidRPr="008D67E3">
        <w:rPr>
          <w:rFonts w:ascii="Verdana" w:eastAsia="Times New Roman" w:hAnsi="Verdana" w:cs="Arial"/>
          <w:sz w:val="24"/>
          <w:szCs w:val="24"/>
          <w:lang w:eastAsia="en-ZA"/>
        </w:rPr>
        <w:t xml:space="preserve"> applications for an SOS warehouse requires a bond to be in place. The purpose of the bond is to afford the Commissioner an easy recourse if goods are dealt with irregularly and </w:t>
      </w:r>
      <w:r>
        <w:rPr>
          <w:rFonts w:ascii="Verdana" w:eastAsia="Times New Roman" w:hAnsi="Verdana" w:cs="Arial"/>
          <w:sz w:val="24"/>
          <w:szCs w:val="24"/>
          <w:lang w:eastAsia="en-ZA"/>
        </w:rPr>
        <w:t xml:space="preserve">say be </w:t>
      </w:r>
      <w:r w:rsidR="008D67E3" w:rsidRPr="008D67E3">
        <w:rPr>
          <w:rFonts w:ascii="Verdana" w:eastAsia="Times New Roman" w:hAnsi="Verdana" w:cs="Arial"/>
          <w:sz w:val="24"/>
          <w:szCs w:val="24"/>
          <w:lang w:eastAsia="en-ZA"/>
        </w:rPr>
        <w:t xml:space="preserve">removed from the bond store without paying the duties. For such an important licence </w:t>
      </w:r>
      <w:proofErr w:type="gramStart"/>
      <w:r w:rsidR="008D67E3" w:rsidRPr="008D67E3">
        <w:rPr>
          <w:rFonts w:ascii="Verdana" w:eastAsia="Times New Roman" w:hAnsi="Verdana" w:cs="Arial"/>
          <w:sz w:val="24"/>
          <w:szCs w:val="24"/>
          <w:lang w:eastAsia="en-ZA"/>
        </w:rPr>
        <w:t>each and every</w:t>
      </w:r>
      <w:proofErr w:type="gramEnd"/>
      <w:r w:rsidR="008D67E3" w:rsidRPr="008D67E3">
        <w:rPr>
          <w:rFonts w:ascii="Verdana" w:eastAsia="Times New Roman" w:hAnsi="Verdana" w:cs="Arial"/>
          <w:sz w:val="24"/>
          <w:szCs w:val="24"/>
          <w:lang w:eastAsia="en-ZA"/>
        </w:rPr>
        <w:t xml:space="preserve"> case is dealt with on its own merits</w:t>
      </w:r>
      <w:r w:rsidR="001409E1">
        <w:rPr>
          <w:rFonts w:ascii="Verdana" w:eastAsia="Times New Roman" w:hAnsi="Verdana" w:cs="Arial"/>
          <w:sz w:val="24"/>
          <w:szCs w:val="24"/>
          <w:lang w:eastAsia="en-ZA"/>
        </w:rPr>
        <w:t xml:space="preserve"> and the vetting process is far more stringent</w:t>
      </w:r>
      <w:r w:rsidR="00231EF2">
        <w:rPr>
          <w:rFonts w:ascii="Verdana" w:eastAsia="Times New Roman" w:hAnsi="Verdana" w:cs="Arial"/>
          <w:sz w:val="24"/>
          <w:szCs w:val="24"/>
          <w:lang w:eastAsia="en-ZA"/>
        </w:rPr>
        <w:t xml:space="preserve"> and</w:t>
      </w:r>
      <w:r w:rsidR="00354709">
        <w:rPr>
          <w:rFonts w:ascii="Verdana" w:eastAsia="Times New Roman" w:hAnsi="Verdana" w:cs="Arial"/>
          <w:sz w:val="24"/>
          <w:szCs w:val="24"/>
          <w:lang w:eastAsia="en-ZA"/>
        </w:rPr>
        <w:t xml:space="preserve"> is</w:t>
      </w:r>
      <w:r w:rsidR="001409E1">
        <w:rPr>
          <w:rFonts w:ascii="Verdana" w:eastAsia="Times New Roman" w:hAnsi="Verdana" w:cs="Arial"/>
          <w:sz w:val="24"/>
          <w:szCs w:val="24"/>
          <w:lang w:eastAsia="en-ZA"/>
        </w:rPr>
        <w:t xml:space="preserve"> carefully and thoroughly scrutinised.</w:t>
      </w:r>
      <w:r w:rsidR="001409E1">
        <w:rPr>
          <w:rStyle w:val="FootnoteReference"/>
          <w:rFonts w:ascii="Verdana" w:eastAsia="Times New Roman" w:hAnsi="Verdana" w:cs="Arial"/>
          <w:sz w:val="24"/>
          <w:szCs w:val="24"/>
          <w:lang w:eastAsia="en-ZA"/>
        </w:rPr>
        <w:footnoteReference w:id="29"/>
      </w:r>
      <w:r w:rsidR="001409E1">
        <w:rPr>
          <w:rFonts w:ascii="Verdana" w:eastAsia="Times New Roman" w:hAnsi="Verdana" w:cs="Arial"/>
          <w:sz w:val="24"/>
          <w:szCs w:val="24"/>
          <w:lang w:eastAsia="en-ZA"/>
        </w:rPr>
        <w:t xml:space="preserve"> </w:t>
      </w:r>
    </w:p>
    <w:p w14:paraId="2B90139F" w14:textId="77777777" w:rsidR="008D67E3" w:rsidRDefault="008D67E3" w:rsidP="00B4081A">
      <w:pPr>
        <w:spacing w:after="240" w:line="480" w:lineRule="auto"/>
        <w:jc w:val="both"/>
        <w:rPr>
          <w:rFonts w:ascii="Verdana" w:eastAsia="Times New Roman" w:hAnsi="Verdana" w:cs="Arial"/>
          <w:sz w:val="24"/>
          <w:szCs w:val="24"/>
          <w:lang w:eastAsia="en-ZA"/>
        </w:rPr>
      </w:pPr>
    </w:p>
    <w:p w14:paraId="258D492D" w14:textId="3B28BE92" w:rsidR="008D67E3" w:rsidRDefault="008D67E3"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1</w:t>
      </w:r>
      <w:r>
        <w:rPr>
          <w:rFonts w:ascii="Verdana" w:eastAsia="Times New Roman" w:hAnsi="Verdana" w:cs="Arial"/>
          <w:sz w:val="24"/>
          <w:szCs w:val="24"/>
          <w:lang w:eastAsia="en-ZA"/>
        </w:rPr>
        <w:t xml:space="preserve">. </w:t>
      </w:r>
      <w:r w:rsidR="00977E88">
        <w:rPr>
          <w:rFonts w:ascii="Verdana" w:eastAsia="Times New Roman" w:hAnsi="Verdana" w:cs="Arial"/>
          <w:sz w:val="24"/>
          <w:szCs w:val="24"/>
          <w:lang w:eastAsia="en-ZA"/>
        </w:rPr>
        <w:t xml:space="preserve">To the </w:t>
      </w:r>
      <w:r>
        <w:rPr>
          <w:rFonts w:ascii="Verdana" w:eastAsia="Times New Roman" w:hAnsi="Verdana" w:cs="Arial"/>
          <w:sz w:val="24"/>
          <w:szCs w:val="24"/>
          <w:lang w:eastAsia="en-ZA"/>
        </w:rPr>
        <w:t xml:space="preserve">argument advanced by the Respondent that the applications, </w:t>
      </w:r>
      <w:r w:rsidR="00824A72">
        <w:rPr>
          <w:rFonts w:ascii="Verdana" w:eastAsia="Times New Roman" w:hAnsi="Verdana" w:cs="Arial"/>
          <w:sz w:val="24"/>
          <w:szCs w:val="24"/>
          <w:lang w:eastAsia="en-ZA"/>
        </w:rPr>
        <w:t>for</w:t>
      </w:r>
      <w:r>
        <w:rPr>
          <w:rFonts w:ascii="Verdana" w:eastAsia="Times New Roman" w:hAnsi="Verdana" w:cs="Arial"/>
          <w:sz w:val="24"/>
          <w:szCs w:val="24"/>
          <w:lang w:eastAsia="en-ZA"/>
        </w:rPr>
        <w:t xml:space="preserve"> a registered agent and that for an SOS warehouse are different</w:t>
      </w:r>
      <w:r w:rsidR="001409E1">
        <w:rPr>
          <w:rFonts w:ascii="Verdana" w:eastAsia="Times New Roman" w:hAnsi="Verdana" w:cs="Arial"/>
          <w:sz w:val="24"/>
          <w:szCs w:val="24"/>
          <w:lang w:eastAsia="en-ZA"/>
        </w:rPr>
        <w:t xml:space="preserve"> in nature</w:t>
      </w:r>
      <w:r>
        <w:rPr>
          <w:rFonts w:ascii="Verdana" w:eastAsia="Times New Roman" w:hAnsi="Verdana" w:cs="Arial"/>
          <w:sz w:val="24"/>
          <w:szCs w:val="24"/>
          <w:lang w:eastAsia="en-ZA"/>
        </w:rPr>
        <w:t xml:space="preserve"> and </w:t>
      </w:r>
      <w:r w:rsidR="001409E1">
        <w:rPr>
          <w:rFonts w:ascii="Verdana" w:eastAsia="Times New Roman" w:hAnsi="Verdana" w:cs="Arial"/>
          <w:sz w:val="24"/>
          <w:szCs w:val="24"/>
          <w:lang w:eastAsia="en-ZA"/>
        </w:rPr>
        <w:t xml:space="preserve">that the </w:t>
      </w:r>
      <w:r>
        <w:rPr>
          <w:rFonts w:ascii="Verdana" w:eastAsia="Times New Roman" w:hAnsi="Verdana" w:cs="Arial"/>
          <w:sz w:val="24"/>
          <w:szCs w:val="24"/>
          <w:lang w:eastAsia="en-ZA"/>
        </w:rPr>
        <w:t xml:space="preserve">approval of the one would not of necessity result in the approval of the other, </w:t>
      </w:r>
      <w:r w:rsidR="00977E88">
        <w:rPr>
          <w:rFonts w:ascii="Verdana" w:eastAsia="Times New Roman" w:hAnsi="Verdana" w:cs="Arial"/>
          <w:sz w:val="24"/>
          <w:szCs w:val="24"/>
          <w:lang w:eastAsia="en-ZA"/>
        </w:rPr>
        <w:t xml:space="preserve">the Applicant replied that it found this answer in </w:t>
      </w:r>
      <w:r w:rsidR="00977E88">
        <w:rPr>
          <w:rFonts w:ascii="Verdana" w:eastAsia="Times New Roman" w:hAnsi="Verdana" w:cs="Arial"/>
          <w:sz w:val="24"/>
          <w:szCs w:val="24"/>
          <w:lang w:eastAsia="en-ZA"/>
        </w:rPr>
        <w:lastRenderedPageBreak/>
        <w:t xml:space="preserve">relation to the </w:t>
      </w:r>
      <w:r w:rsidR="008D2EA4">
        <w:rPr>
          <w:rFonts w:ascii="Verdana" w:eastAsia="Times New Roman" w:hAnsi="Verdana" w:cs="Arial"/>
          <w:sz w:val="24"/>
          <w:szCs w:val="24"/>
          <w:lang w:eastAsia="en-ZA"/>
        </w:rPr>
        <w:t xml:space="preserve">process of </w:t>
      </w:r>
      <w:r w:rsidR="00977E88">
        <w:rPr>
          <w:rFonts w:ascii="Verdana" w:eastAsia="Times New Roman" w:hAnsi="Verdana" w:cs="Arial"/>
          <w:sz w:val="24"/>
          <w:szCs w:val="24"/>
          <w:lang w:eastAsia="en-ZA"/>
        </w:rPr>
        <w:t>registration of a registered agent a</w:t>
      </w:r>
      <w:r w:rsidR="00824A72">
        <w:rPr>
          <w:rFonts w:ascii="Verdana" w:eastAsia="Times New Roman" w:hAnsi="Verdana" w:cs="Arial"/>
          <w:sz w:val="24"/>
          <w:szCs w:val="24"/>
          <w:lang w:eastAsia="en-ZA"/>
        </w:rPr>
        <w:t>s</w:t>
      </w:r>
      <w:r w:rsidR="00977E88">
        <w:rPr>
          <w:rFonts w:ascii="Verdana" w:eastAsia="Times New Roman" w:hAnsi="Verdana" w:cs="Arial"/>
          <w:sz w:val="24"/>
          <w:szCs w:val="24"/>
          <w:lang w:eastAsia="en-ZA"/>
        </w:rPr>
        <w:t xml:space="preserve"> unconvincing. Furthermore, it denied that a registered agent cannot be held liable for the duties of its principal. </w:t>
      </w:r>
      <w:r w:rsidR="003919A0">
        <w:rPr>
          <w:rStyle w:val="FootnoteReference"/>
          <w:rFonts w:ascii="Verdana" w:eastAsia="Times New Roman" w:hAnsi="Verdana" w:cs="Arial"/>
          <w:sz w:val="24"/>
          <w:szCs w:val="24"/>
          <w:lang w:eastAsia="en-ZA"/>
        </w:rPr>
        <w:footnoteReference w:id="30"/>
      </w:r>
      <w:r w:rsidR="00977E88">
        <w:rPr>
          <w:rFonts w:ascii="Verdana" w:eastAsia="Times New Roman" w:hAnsi="Verdana" w:cs="Arial"/>
          <w:sz w:val="24"/>
          <w:szCs w:val="24"/>
          <w:lang w:eastAsia="en-ZA"/>
        </w:rPr>
        <w:t xml:space="preserve"> </w:t>
      </w:r>
    </w:p>
    <w:p w14:paraId="2AB4E4B5" w14:textId="77777777" w:rsidR="001409E1" w:rsidRDefault="001409E1" w:rsidP="00B4081A">
      <w:pPr>
        <w:spacing w:after="240" w:line="480" w:lineRule="auto"/>
        <w:jc w:val="both"/>
        <w:rPr>
          <w:rFonts w:ascii="Verdana" w:eastAsia="Times New Roman" w:hAnsi="Verdana" w:cs="Arial"/>
          <w:sz w:val="24"/>
          <w:szCs w:val="24"/>
          <w:lang w:eastAsia="en-ZA"/>
        </w:rPr>
      </w:pPr>
    </w:p>
    <w:p w14:paraId="0A09BB7D" w14:textId="21F66F56" w:rsidR="00C96EB7" w:rsidRPr="00C96EB7" w:rsidRDefault="001409E1" w:rsidP="00C96EB7">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2</w:t>
      </w:r>
      <w:r>
        <w:rPr>
          <w:rFonts w:ascii="Verdana" w:eastAsia="Times New Roman" w:hAnsi="Verdana" w:cs="Arial"/>
          <w:sz w:val="24"/>
          <w:szCs w:val="24"/>
          <w:lang w:eastAsia="en-ZA"/>
        </w:rPr>
        <w:t xml:space="preserve">. </w:t>
      </w:r>
      <w:r w:rsidR="008D2EA4">
        <w:rPr>
          <w:rFonts w:ascii="Verdana" w:eastAsia="Times New Roman" w:hAnsi="Verdana" w:cs="Arial"/>
          <w:sz w:val="24"/>
          <w:szCs w:val="24"/>
          <w:lang w:eastAsia="en-ZA"/>
        </w:rPr>
        <w:t xml:space="preserve">Before this Court, the Applicant was unable to deny that the process for </w:t>
      </w:r>
      <w:r w:rsidR="00C96EB7">
        <w:rPr>
          <w:rFonts w:ascii="Verdana" w:eastAsia="Times New Roman" w:hAnsi="Verdana" w:cs="Arial"/>
          <w:sz w:val="24"/>
          <w:szCs w:val="24"/>
          <w:lang w:eastAsia="en-ZA"/>
        </w:rPr>
        <w:t xml:space="preserve">considering </w:t>
      </w:r>
      <w:r w:rsidR="008D2EA4">
        <w:rPr>
          <w:rFonts w:ascii="Verdana" w:eastAsia="Times New Roman" w:hAnsi="Verdana" w:cs="Arial"/>
          <w:sz w:val="24"/>
          <w:szCs w:val="24"/>
          <w:lang w:eastAsia="en-ZA"/>
        </w:rPr>
        <w:t xml:space="preserve">registration of a registered agent differs from the application </w:t>
      </w:r>
      <w:r w:rsidR="00354709">
        <w:rPr>
          <w:rFonts w:ascii="Verdana" w:eastAsia="Times New Roman" w:hAnsi="Verdana" w:cs="Arial"/>
          <w:sz w:val="24"/>
          <w:szCs w:val="24"/>
          <w:lang w:eastAsia="en-ZA"/>
        </w:rPr>
        <w:t>for</w:t>
      </w:r>
      <w:r w:rsidR="008D2EA4">
        <w:rPr>
          <w:rFonts w:ascii="Verdana" w:eastAsia="Times New Roman" w:hAnsi="Verdana" w:cs="Arial"/>
          <w:sz w:val="24"/>
          <w:szCs w:val="24"/>
          <w:lang w:eastAsia="en-ZA"/>
        </w:rPr>
        <w:t xml:space="preserve"> an SOS warehouse. Absent such denial, this </w:t>
      </w:r>
      <w:r w:rsidR="00C96EB7">
        <w:rPr>
          <w:rFonts w:ascii="Verdana" w:eastAsia="Times New Roman" w:hAnsi="Verdana" w:cs="Arial"/>
          <w:sz w:val="24"/>
          <w:szCs w:val="24"/>
          <w:lang w:eastAsia="en-ZA"/>
        </w:rPr>
        <w:t xml:space="preserve">Court </w:t>
      </w:r>
      <w:r w:rsidR="008D2EA4">
        <w:rPr>
          <w:rFonts w:ascii="Verdana" w:eastAsia="Times New Roman" w:hAnsi="Verdana" w:cs="Arial"/>
          <w:sz w:val="24"/>
          <w:szCs w:val="24"/>
          <w:lang w:eastAsia="en-ZA"/>
        </w:rPr>
        <w:t xml:space="preserve">must accept the evidence placed before it by the Respondent </w:t>
      </w:r>
      <w:r w:rsidR="00EC4ECA">
        <w:rPr>
          <w:rFonts w:ascii="Verdana" w:eastAsia="Times New Roman" w:hAnsi="Verdana" w:cs="Arial"/>
          <w:sz w:val="24"/>
          <w:szCs w:val="24"/>
          <w:lang w:eastAsia="en-ZA"/>
        </w:rPr>
        <w:t>in</w:t>
      </w:r>
      <w:r w:rsidR="008D2EA4">
        <w:rPr>
          <w:rFonts w:ascii="Verdana" w:eastAsia="Times New Roman" w:hAnsi="Verdana" w:cs="Arial"/>
          <w:sz w:val="24"/>
          <w:szCs w:val="24"/>
          <w:lang w:eastAsia="en-ZA"/>
        </w:rPr>
        <w:t xml:space="preserve"> this regard</w:t>
      </w:r>
      <w:r w:rsidR="00EC4ECA">
        <w:rPr>
          <w:rFonts w:ascii="Verdana" w:eastAsia="Times New Roman" w:hAnsi="Verdana" w:cs="Arial"/>
          <w:sz w:val="24"/>
          <w:szCs w:val="24"/>
          <w:lang w:eastAsia="en-ZA"/>
        </w:rPr>
        <w:t>, namely,</w:t>
      </w:r>
      <w:r w:rsidR="00C96EB7">
        <w:rPr>
          <w:rFonts w:ascii="Verdana" w:eastAsia="Times New Roman" w:hAnsi="Verdana" w:cs="Arial"/>
          <w:sz w:val="24"/>
          <w:szCs w:val="24"/>
          <w:lang w:eastAsia="en-ZA"/>
        </w:rPr>
        <w:t xml:space="preserve"> that the </w:t>
      </w:r>
      <w:r w:rsidR="00C96EB7" w:rsidRPr="00C96EB7">
        <w:rPr>
          <w:rFonts w:ascii="Verdana" w:eastAsia="Times New Roman" w:hAnsi="Verdana" w:cs="Arial"/>
          <w:sz w:val="24"/>
          <w:szCs w:val="24"/>
          <w:lang w:eastAsia="en-ZA"/>
        </w:rPr>
        <w:t xml:space="preserve">processes for the two licences, i.e. the licence for a SOS warehouse and a licence to be a registered agent </w:t>
      </w:r>
      <w:r w:rsidR="00EC4ECA">
        <w:rPr>
          <w:rFonts w:ascii="Verdana" w:eastAsia="Times New Roman" w:hAnsi="Verdana" w:cs="Arial"/>
          <w:sz w:val="24"/>
          <w:szCs w:val="24"/>
          <w:lang w:eastAsia="en-ZA"/>
        </w:rPr>
        <w:t>are</w:t>
      </w:r>
      <w:r w:rsidR="00C96EB7" w:rsidRPr="00C96EB7">
        <w:rPr>
          <w:rFonts w:ascii="Verdana" w:eastAsia="Times New Roman" w:hAnsi="Verdana" w:cs="Arial"/>
          <w:sz w:val="24"/>
          <w:szCs w:val="24"/>
          <w:lang w:eastAsia="en-ZA"/>
        </w:rPr>
        <w:t xml:space="preserve"> fundamentally different.</w:t>
      </w:r>
    </w:p>
    <w:p w14:paraId="326A5499" w14:textId="77777777" w:rsidR="00C96EB7" w:rsidRPr="0086599F" w:rsidRDefault="00C96EB7" w:rsidP="00C96EB7">
      <w:pPr>
        <w:spacing w:after="240" w:line="480" w:lineRule="auto"/>
        <w:jc w:val="both"/>
        <w:rPr>
          <w:rFonts w:ascii="Verdana" w:eastAsia="Times New Roman" w:hAnsi="Verdana" w:cs="Arial"/>
          <w:color w:val="00B050"/>
          <w:sz w:val="24"/>
          <w:szCs w:val="24"/>
          <w:lang w:eastAsia="en-ZA"/>
        </w:rPr>
      </w:pPr>
    </w:p>
    <w:p w14:paraId="03EA90AB" w14:textId="0619F170" w:rsidR="00C96EB7" w:rsidRPr="00231EF2" w:rsidRDefault="00231EF2" w:rsidP="00C96EB7">
      <w:pPr>
        <w:spacing w:after="240" w:line="480" w:lineRule="auto"/>
        <w:jc w:val="both"/>
        <w:rPr>
          <w:rFonts w:ascii="Verdana" w:eastAsia="Times New Roman" w:hAnsi="Verdana" w:cs="Arial"/>
          <w:sz w:val="24"/>
          <w:szCs w:val="24"/>
          <w:lang w:eastAsia="en-ZA"/>
        </w:rPr>
      </w:pPr>
      <w:r w:rsidRPr="00231EF2">
        <w:rPr>
          <w:rFonts w:ascii="Verdana" w:eastAsia="Times New Roman" w:hAnsi="Verdana" w:cs="Arial"/>
          <w:sz w:val="24"/>
          <w:szCs w:val="24"/>
          <w:lang w:eastAsia="en-ZA"/>
        </w:rPr>
        <w:t>5</w:t>
      </w:r>
      <w:r w:rsidR="00824A72">
        <w:rPr>
          <w:rFonts w:ascii="Verdana" w:eastAsia="Times New Roman" w:hAnsi="Verdana" w:cs="Arial"/>
          <w:sz w:val="24"/>
          <w:szCs w:val="24"/>
          <w:lang w:eastAsia="en-ZA"/>
        </w:rPr>
        <w:t>3</w:t>
      </w:r>
      <w:r w:rsidRPr="00231EF2">
        <w:rPr>
          <w:rFonts w:ascii="Verdana" w:eastAsia="Times New Roman" w:hAnsi="Verdana" w:cs="Arial"/>
          <w:sz w:val="24"/>
          <w:szCs w:val="24"/>
          <w:lang w:eastAsia="en-ZA"/>
        </w:rPr>
        <w:t>. The process being different it cannot be argued that the approval of an applica</w:t>
      </w:r>
      <w:r>
        <w:rPr>
          <w:rFonts w:ascii="Verdana" w:eastAsia="Times New Roman" w:hAnsi="Verdana" w:cs="Arial"/>
          <w:sz w:val="24"/>
          <w:szCs w:val="24"/>
          <w:lang w:eastAsia="en-ZA"/>
        </w:rPr>
        <w:t>nt</w:t>
      </w:r>
      <w:r w:rsidRPr="00231EF2">
        <w:rPr>
          <w:rFonts w:ascii="Verdana" w:eastAsia="Times New Roman" w:hAnsi="Verdana" w:cs="Arial"/>
          <w:sz w:val="24"/>
          <w:szCs w:val="24"/>
          <w:lang w:eastAsia="en-ZA"/>
        </w:rPr>
        <w:t xml:space="preserve"> to act as </w:t>
      </w:r>
      <w:r w:rsidR="00EC4ECA">
        <w:rPr>
          <w:rFonts w:ascii="Verdana" w:eastAsia="Times New Roman" w:hAnsi="Verdana" w:cs="Arial"/>
          <w:sz w:val="24"/>
          <w:szCs w:val="24"/>
          <w:lang w:eastAsia="en-ZA"/>
        </w:rPr>
        <w:t xml:space="preserve">a </w:t>
      </w:r>
      <w:r w:rsidRPr="00231EF2">
        <w:rPr>
          <w:rFonts w:ascii="Verdana" w:eastAsia="Times New Roman" w:hAnsi="Verdana" w:cs="Arial"/>
          <w:sz w:val="24"/>
          <w:szCs w:val="24"/>
          <w:lang w:eastAsia="en-ZA"/>
        </w:rPr>
        <w:t xml:space="preserve">registered agent must result in the approval of </w:t>
      </w:r>
      <w:r w:rsidR="00116103">
        <w:rPr>
          <w:rFonts w:ascii="Verdana" w:eastAsia="Times New Roman" w:hAnsi="Verdana" w:cs="Arial"/>
          <w:sz w:val="24"/>
          <w:szCs w:val="24"/>
          <w:lang w:eastAsia="en-ZA"/>
        </w:rPr>
        <w:t>a</w:t>
      </w:r>
      <w:r w:rsidR="009F4366">
        <w:rPr>
          <w:rFonts w:ascii="Verdana" w:eastAsia="Times New Roman" w:hAnsi="Verdana" w:cs="Arial"/>
          <w:sz w:val="24"/>
          <w:szCs w:val="24"/>
          <w:lang w:eastAsia="en-ZA"/>
        </w:rPr>
        <w:t>n</w:t>
      </w:r>
      <w:r w:rsidR="00116103">
        <w:rPr>
          <w:rFonts w:ascii="Verdana" w:eastAsia="Times New Roman" w:hAnsi="Verdana" w:cs="Arial"/>
          <w:sz w:val="24"/>
          <w:szCs w:val="24"/>
          <w:lang w:eastAsia="en-ZA"/>
        </w:rPr>
        <w:t xml:space="preserve"> </w:t>
      </w:r>
      <w:r w:rsidRPr="00231EF2">
        <w:rPr>
          <w:rFonts w:ascii="Verdana" w:eastAsia="Times New Roman" w:hAnsi="Verdana" w:cs="Arial"/>
          <w:sz w:val="24"/>
          <w:szCs w:val="24"/>
          <w:lang w:eastAsia="en-ZA"/>
        </w:rPr>
        <w:t xml:space="preserve">SOS </w:t>
      </w:r>
      <w:r w:rsidR="00116103">
        <w:rPr>
          <w:rFonts w:ascii="Verdana" w:eastAsia="Times New Roman" w:hAnsi="Verdana" w:cs="Arial"/>
          <w:sz w:val="24"/>
          <w:szCs w:val="24"/>
          <w:lang w:eastAsia="en-ZA"/>
        </w:rPr>
        <w:t xml:space="preserve">licencing </w:t>
      </w:r>
      <w:r w:rsidRPr="00231EF2">
        <w:rPr>
          <w:rFonts w:ascii="Verdana" w:eastAsia="Times New Roman" w:hAnsi="Verdana" w:cs="Arial"/>
          <w:sz w:val="24"/>
          <w:szCs w:val="24"/>
          <w:lang w:eastAsia="en-ZA"/>
        </w:rPr>
        <w:t xml:space="preserve">warehouse </w:t>
      </w:r>
      <w:r w:rsidR="00116103">
        <w:rPr>
          <w:rFonts w:ascii="Verdana" w:eastAsia="Times New Roman" w:hAnsi="Verdana" w:cs="Arial"/>
          <w:sz w:val="24"/>
          <w:szCs w:val="24"/>
          <w:lang w:eastAsia="en-ZA"/>
        </w:rPr>
        <w:t xml:space="preserve">application </w:t>
      </w:r>
      <w:r w:rsidRPr="00231EF2">
        <w:rPr>
          <w:rFonts w:ascii="Verdana" w:eastAsia="Times New Roman" w:hAnsi="Verdana" w:cs="Arial"/>
          <w:sz w:val="24"/>
          <w:szCs w:val="24"/>
          <w:lang w:eastAsia="en-ZA"/>
        </w:rPr>
        <w:t>premised on the same application.</w:t>
      </w:r>
      <w:r w:rsidR="00116103">
        <w:rPr>
          <w:rFonts w:ascii="Verdana" w:eastAsia="Times New Roman" w:hAnsi="Verdana" w:cs="Arial"/>
          <w:sz w:val="24"/>
          <w:szCs w:val="24"/>
          <w:lang w:eastAsia="en-ZA"/>
        </w:rPr>
        <w:t xml:space="preserve"> On this basis I cannot concluded that SARS’s decision was irrational and arbitrarily.</w:t>
      </w:r>
    </w:p>
    <w:p w14:paraId="71E937E4" w14:textId="54E8F844" w:rsidR="008D2EA4" w:rsidRDefault="008D2EA4" w:rsidP="00B4081A">
      <w:pPr>
        <w:spacing w:after="240" w:line="480" w:lineRule="auto"/>
        <w:jc w:val="both"/>
        <w:rPr>
          <w:rFonts w:ascii="Verdana" w:eastAsia="Times New Roman" w:hAnsi="Verdana" w:cs="Arial"/>
          <w:sz w:val="24"/>
          <w:szCs w:val="24"/>
          <w:lang w:eastAsia="en-ZA"/>
        </w:rPr>
      </w:pPr>
    </w:p>
    <w:p w14:paraId="0E8BA12F" w14:textId="2E5C8817" w:rsidR="00B34781" w:rsidRPr="00B4081A" w:rsidRDefault="00116103"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REASONS PROVIDED FOR REFUSAL</w:t>
      </w:r>
      <w:r w:rsidR="001409E1">
        <w:rPr>
          <w:rFonts w:ascii="Verdana" w:eastAsia="Times New Roman" w:hAnsi="Verdana" w:cs="Arial"/>
          <w:sz w:val="24"/>
          <w:szCs w:val="24"/>
          <w:lang w:eastAsia="en-ZA"/>
        </w:rPr>
        <w:t xml:space="preserve"> </w:t>
      </w:r>
    </w:p>
    <w:p w14:paraId="21363C45" w14:textId="6F27645B" w:rsidR="00B4081A" w:rsidRDefault="00116103"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5</w:t>
      </w:r>
      <w:r w:rsidR="00824A72">
        <w:rPr>
          <w:rFonts w:ascii="Verdana" w:eastAsia="Times New Roman" w:hAnsi="Verdana" w:cs="Arial"/>
          <w:sz w:val="24"/>
          <w:szCs w:val="24"/>
          <w:lang w:eastAsia="en-ZA"/>
        </w:rPr>
        <w:t>4</w:t>
      </w:r>
      <w:r w:rsidR="00B4081A">
        <w:rPr>
          <w:rFonts w:ascii="Verdana" w:eastAsia="Times New Roman" w:hAnsi="Verdana" w:cs="Arial"/>
          <w:sz w:val="24"/>
          <w:szCs w:val="24"/>
          <w:lang w:eastAsia="en-ZA"/>
        </w:rPr>
        <w:t>. In addition counsel had argued that the Appeals Committee did not provide cogent reasons for its refusal of the internal appeal. Nu Africa was also not previously informed of any “outstanding schedule”.</w:t>
      </w:r>
      <w:r w:rsidR="00B4081A">
        <w:rPr>
          <w:rStyle w:val="FootnoteReference"/>
          <w:rFonts w:ascii="Verdana" w:eastAsia="Times New Roman" w:hAnsi="Verdana" w:cs="Arial"/>
          <w:sz w:val="24"/>
          <w:szCs w:val="24"/>
          <w:lang w:eastAsia="en-ZA"/>
        </w:rPr>
        <w:footnoteReference w:id="31"/>
      </w:r>
      <w:r w:rsidR="00B4081A">
        <w:rPr>
          <w:rFonts w:ascii="Verdana" w:eastAsia="Times New Roman" w:hAnsi="Verdana" w:cs="Arial"/>
          <w:sz w:val="24"/>
          <w:szCs w:val="24"/>
          <w:lang w:eastAsia="en-ZA"/>
        </w:rPr>
        <w:t xml:space="preserve"> </w:t>
      </w:r>
    </w:p>
    <w:p w14:paraId="38B2E887" w14:textId="77777777" w:rsidR="00B4081A" w:rsidRDefault="00B4081A" w:rsidP="00B4081A">
      <w:pPr>
        <w:spacing w:after="240" w:line="480" w:lineRule="auto"/>
        <w:jc w:val="both"/>
        <w:rPr>
          <w:rFonts w:ascii="Verdana" w:eastAsia="Times New Roman" w:hAnsi="Verdana" w:cs="Arial"/>
          <w:sz w:val="24"/>
          <w:szCs w:val="24"/>
          <w:lang w:eastAsia="en-ZA"/>
        </w:rPr>
      </w:pPr>
    </w:p>
    <w:p w14:paraId="428F4521" w14:textId="5D36686A" w:rsidR="00B4081A" w:rsidRDefault="00116103"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5</w:t>
      </w:r>
      <w:r w:rsidR="00B4081A">
        <w:rPr>
          <w:rFonts w:ascii="Verdana" w:eastAsia="Times New Roman" w:hAnsi="Verdana" w:cs="Arial"/>
          <w:sz w:val="24"/>
          <w:szCs w:val="24"/>
          <w:lang w:eastAsia="en-ZA"/>
        </w:rPr>
        <w:t>. On the basis that the Committee failed to provide informative and substantial reasons, contrary to what it is required in terms of section 5(2) of PAJA,</w:t>
      </w:r>
      <w:r w:rsidR="00B4081A">
        <w:rPr>
          <w:rStyle w:val="FootnoteReference"/>
          <w:rFonts w:ascii="Verdana" w:eastAsia="Times New Roman" w:hAnsi="Verdana" w:cs="Arial"/>
          <w:sz w:val="24"/>
          <w:szCs w:val="24"/>
          <w:lang w:eastAsia="en-ZA"/>
        </w:rPr>
        <w:footnoteReference w:id="32"/>
      </w:r>
      <w:r w:rsidR="00B4081A">
        <w:rPr>
          <w:rFonts w:ascii="Verdana" w:eastAsia="Times New Roman" w:hAnsi="Verdana" w:cs="Arial"/>
          <w:sz w:val="24"/>
          <w:szCs w:val="24"/>
          <w:lang w:eastAsia="en-ZA"/>
        </w:rPr>
        <w:t xml:space="preserve"> its decision refusing the SOS warehouse applications ought to be set aside in terms of section 6(2)(e)(vi) of PAJA.</w:t>
      </w:r>
      <w:r w:rsidR="00B4081A">
        <w:rPr>
          <w:rStyle w:val="FootnoteReference"/>
          <w:rFonts w:ascii="Verdana" w:eastAsia="Times New Roman" w:hAnsi="Verdana" w:cs="Arial"/>
          <w:sz w:val="24"/>
          <w:szCs w:val="24"/>
          <w:lang w:eastAsia="en-ZA"/>
        </w:rPr>
        <w:footnoteReference w:id="33"/>
      </w:r>
      <w:r w:rsidR="00B4081A">
        <w:rPr>
          <w:rFonts w:ascii="Verdana" w:eastAsia="Times New Roman" w:hAnsi="Verdana" w:cs="Arial"/>
          <w:sz w:val="24"/>
          <w:szCs w:val="24"/>
          <w:lang w:eastAsia="en-ZA"/>
        </w:rPr>
        <w:t xml:space="preserve"> For the same reason, the decision of the Appeals Committee ought to be set aside as well.</w:t>
      </w:r>
    </w:p>
    <w:p w14:paraId="34F989CE" w14:textId="77777777" w:rsidR="00E43BB0" w:rsidRDefault="00E43BB0" w:rsidP="00B4081A">
      <w:pPr>
        <w:spacing w:after="240" w:line="480" w:lineRule="auto"/>
        <w:jc w:val="both"/>
        <w:rPr>
          <w:rFonts w:ascii="Verdana" w:eastAsia="Times New Roman" w:hAnsi="Verdana" w:cs="Arial"/>
          <w:sz w:val="24"/>
          <w:szCs w:val="24"/>
          <w:lang w:eastAsia="en-ZA"/>
        </w:rPr>
      </w:pPr>
    </w:p>
    <w:p w14:paraId="7C7934E9" w14:textId="2C501C32" w:rsidR="00E43BB0" w:rsidRDefault="00E43BB0"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6</w:t>
      </w:r>
      <w:r>
        <w:rPr>
          <w:rFonts w:ascii="Verdana" w:eastAsia="Times New Roman" w:hAnsi="Verdana" w:cs="Arial"/>
          <w:sz w:val="24"/>
          <w:szCs w:val="24"/>
          <w:lang w:eastAsia="en-ZA"/>
        </w:rPr>
        <w:t>. The Respondent denied that the Applicant was not previously informed of the outstanding schedule recording the debt. If this had not been the position, it argued</w:t>
      </w:r>
      <w:r w:rsidR="00057B02">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that the Applicant would not have known </w:t>
      </w:r>
      <w:r w:rsidR="009F4366">
        <w:rPr>
          <w:rFonts w:ascii="Verdana" w:eastAsia="Times New Roman" w:hAnsi="Verdana" w:cs="Arial"/>
          <w:sz w:val="24"/>
          <w:szCs w:val="24"/>
          <w:lang w:eastAsia="en-ZA"/>
        </w:rPr>
        <w:t xml:space="preserve">when </w:t>
      </w:r>
      <w:r>
        <w:rPr>
          <w:rFonts w:ascii="Verdana" w:eastAsia="Times New Roman" w:hAnsi="Verdana" w:cs="Arial"/>
          <w:sz w:val="24"/>
          <w:szCs w:val="24"/>
          <w:lang w:eastAsia="en-ZA"/>
        </w:rPr>
        <w:t>to lodge an appeal and an application for a suspension of payment.</w:t>
      </w:r>
      <w:r w:rsidR="00F20131">
        <w:rPr>
          <w:rStyle w:val="FootnoteReference"/>
          <w:rFonts w:ascii="Verdana" w:eastAsia="Times New Roman" w:hAnsi="Verdana" w:cs="Arial"/>
          <w:sz w:val="24"/>
          <w:szCs w:val="24"/>
          <w:lang w:eastAsia="en-ZA"/>
        </w:rPr>
        <w:footnoteReference w:id="34"/>
      </w:r>
    </w:p>
    <w:p w14:paraId="6D72714A" w14:textId="77777777" w:rsidR="00E43BB0" w:rsidRDefault="00E43BB0" w:rsidP="00B4081A">
      <w:pPr>
        <w:spacing w:after="240" w:line="480" w:lineRule="auto"/>
        <w:jc w:val="both"/>
        <w:rPr>
          <w:rFonts w:ascii="Verdana" w:eastAsia="Times New Roman" w:hAnsi="Verdana" w:cs="Arial"/>
          <w:sz w:val="24"/>
          <w:szCs w:val="24"/>
          <w:lang w:eastAsia="en-ZA"/>
        </w:rPr>
      </w:pPr>
    </w:p>
    <w:p w14:paraId="3F8288C2" w14:textId="70A6E3EF" w:rsidR="00E43BB0" w:rsidRDefault="00E43BB0" w:rsidP="00B4081A">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7</w:t>
      </w:r>
      <w:r>
        <w:rPr>
          <w:rFonts w:ascii="Verdana" w:eastAsia="Times New Roman" w:hAnsi="Verdana" w:cs="Arial"/>
          <w:sz w:val="24"/>
          <w:szCs w:val="24"/>
          <w:lang w:eastAsia="en-ZA"/>
        </w:rPr>
        <w:t xml:space="preserve">. Furthermore, even if SARS granted the application suspending the payment of debt, this does not translate into a setting aside or a rescinding of the schedule but merely a postponement of the obligation to pay. </w:t>
      </w:r>
    </w:p>
    <w:p w14:paraId="71D7BA8E" w14:textId="77777777" w:rsidR="009A0670" w:rsidRDefault="009A0670" w:rsidP="00B4081A">
      <w:pPr>
        <w:spacing w:after="240" w:line="480" w:lineRule="auto"/>
        <w:jc w:val="both"/>
        <w:rPr>
          <w:rFonts w:ascii="Verdana" w:eastAsia="Times New Roman" w:hAnsi="Verdana" w:cs="Arial"/>
          <w:sz w:val="24"/>
          <w:szCs w:val="24"/>
          <w:lang w:eastAsia="en-ZA"/>
        </w:rPr>
      </w:pPr>
    </w:p>
    <w:p w14:paraId="71DE272A" w14:textId="49A2D114" w:rsidR="00E43BB0" w:rsidRPr="00057B02" w:rsidRDefault="00057B02" w:rsidP="00E43BB0">
      <w:pPr>
        <w:spacing w:after="240" w:line="480" w:lineRule="auto"/>
        <w:jc w:val="both"/>
        <w:rPr>
          <w:rFonts w:ascii="Verdana" w:eastAsia="Times New Roman" w:hAnsi="Verdana" w:cs="Arial"/>
          <w:sz w:val="24"/>
          <w:szCs w:val="24"/>
          <w:lang w:eastAsia="en-ZA"/>
        </w:rPr>
      </w:pPr>
      <w:r w:rsidRPr="00057B02">
        <w:rPr>
          <w:rFonts w:ascii="Verdana" w:eastAsia="Times New Roman" w:hAnsi="Verdana" w:cs="Arial"/>
          <w:sz w:val="24"/>
          <w:szCs w:val="24"/>
          <w:lang w:eastAsia="en-ZA"/>
        </w:rPr>
        <w:t>5</w:t>
      </w:r>
      <w:r w:rsidR="00824A72">
        <w:rPr>
          <w:rFonts w:ascii="Verdana" w:eastAsia="Times New Roman" w:hAnsi="Verdana" w:cs="Arial"/>
          <w:sz w:val="24"/>
          <w:szCs w:val="24"/>
          <w:lang w:eastAsia="en-ZA"/>
        </w:rPr>
        <w:t>8</w:t>
      </w:r>
      <w:r w:rsidRPr="00057B02">
        <w:rPr>
          <w:rFonts w:ascii="Verdana" w:eastAsia="Times New Roman" w:hAnsi="Verdana" w:cs="Arial"/>
          <w:sz w:val="24"/>
          <w:szCs w:val="24"/>
          <w:lang w:eastAsia="en-ZA"/>
        </w:rPr>
        <w:t>. It is the Respondent’s contention that when</w:t>
      </w:r>
      <w:r w:rsidR="00E43BB0" w:rsidRPr="00057B02">
        <w:rPr>
          <w:rFonts w:ascii="Verdana" w:eastAsia="Times New Roman" w:hAnsi="Verdana" w:cs="Arial"/>
          <w:sz w:val="24"/>
          <w:szCs w:val="24"/>
          <w:lang w:eastAsia="en-ZA"/>
        </w:rPr>
        <w:t xml:space="preserve"> the Commissioner refused the two licencing applications on </w:t>
      </w:r>
      <w:proofErr w:type="gramStart"/>
      <w:r w:rsidR="00E43BB0" w:rsidRPr="00057B02">
        <w:rPr>
          <w:rFonts w:ascii="Verdana" w:eastAsia="Times New Roman" w:hAnsi="Verdana" w:cs="Arial"/>
          <w:sz w:val="24"/>
          <w:szCs w:val="24"/>
          <w:lang w:eastAsia="en-ZA"/>
        </w:rPr>
        <w:t>20 December 2019</w:t>
      </w:r>
      <w:proofErr w:type="gramEnd"/>
      <w:r w:rsidR="00E43BB0" w:rsidRPr="00057B02">
        <w:rPr>
          <w:rFonts w:ascii="Verdana" w:eastAsia="Times New Roman" w:hAnsi="Verdana" w:cs="Arial"/>
          <w:sz w:val="24"/>
          <w:szCs w:val="24"/>
          <w:lang w:eastAsia="en-ZA"/>
        </w:rPr>
        <w:t xml:space="preserve"> </w:t>
      </w:r>
      <w:r w:rsidR="009F4366">
        <w:rPr>
          <w:rFonts w:ascii="Verdana" w:eastAsia="Times New Roman" w:hAnsi="Verdana" w:cs="Arial"/>
          <w:sz w:val="24"/>
          <w:szCs w:val="24"/>
          <w:lang w:eastAsia="en-ZA"/>
        </w:rPr>
        <w:t>he</w:t>
      </w:r>
      <w:r w:rsidR="00E43BB0" w:rsidRPr="00057B02">
        <w:rPr>
          <w:rFonts w:ascii="Verdana" w:eastAsia="Times New Roman" w:hAnsi="Verdana" w:cs="Arial"/>
          <w:sz w:val="24"/>
          <w:szCs w:val="24"/>
          <w:lang w:eastAsia="en-ZA"/>
        </w:rPr>
        <w:t xml:space="preserve"> stated the following in </w:t>
      </w:r>
      <w:r w:rsidR="009F4366">
        <w:rPr>
          <w:rFonts w:ascii="Verdana" w:eastAsia="Times New Roman" w:hAnsi="Verdana" w:cs="Arial"/>
          <w:sz w:val="24"/>
          <w:szCs w:val="24"/>
          <w:lang w:eastAsia="en-ZA"/>
        </w:rPr>
        <w:t>his</w:t>
      </w:r>
      <w:r w:rsidR="00E43BB0" w:rsidRPr="00057B02">
        <w:rPr>
          <w:rFonts w:ascii="Verdana" w:eastAsia="Times New Roman" w:hAnsi="Verdana" w:cs="Arial"/>
          <w:sz w:val="24"/>
          <w:szCs w:val="24"/>
          <w:lang w:eastAsia="en-ZA"/>
        </w:rPr>
        <w:t xml:space="preserve"> letter to the Applicant:</w:t>
      </w:r>
    </w:p>
    <w:p w14:paraId="72915B55" w14:textId="77777777" w:rsidR="00E43BB0" w:rsidRPr="00057B02" w:rsidRDefault="00E43BB0" w:rsidP="00E43BB0">
      <w:pPr>
        <w:spacing w:after="240" w:line="480" w:lineRule="auto"/>
        <w:jc w:val="both"/>
        <w:rPr>
          <w:rFonts w:ascii="Verdana" w:eastAsia="Times New Roman" w:hAnsi="Verdana" w:cs="Arial"/>
          <w:sz w:val="24"/>
          <w:szCs w:val="24"/>
          <w:lang w:eastAsia="en-ZA"/>
        </w:rPr>
      </w:pPr>
    </w:p>
    <w:p w14:paraId="4D69CD6E" w14:textId="77777777" w:rsidR="00E43BB0" w:rsidRPr="00057B02" w:rsidRDefault="00E43BB0" w:rsidP="00E43BB0">
      <w:pPr>
        <w:spacing w:after="240" w:line="480" w:lineRule="auto"/>
        <w:jc w:val="both"/>
        <w:rPr>
          <w:rFonts w:ascii="Verdana" w:eastAsia="Times New Roman" w:hAnsi="Verdana" w:cs="Arial"/>
          <w:sz w:val="24"/>
          <w:szCs w:val="24"/>
          <w:lang w:eastAsia="en-ZA"/>
        </w:rPr>
      </w:pPr>
      <w:r w:rsidRPr="00057B02">
        <w:rPr>
          <w:rFonts w:ascii="Verdana" w:eastAsia="Times New Roman" w:hAnsi="Verdana" w:cs="Arial"/>
          <w:sz w:val="24"/>
          <w:szCs w:val="24"/>
          <w:lang w:eastAsia="en-ZA"/>
        </w:rPr>
        <w:t>“2. During the verification of the statements made by applicant within the DA185 application form, we have identified that the applicant has previously contravened the (CEA). Section 60(2)(a)(</w:t>
      </w:r>
      <w:proofErr w:type="gramStart"/>
      <w:r w:rsidRPr="00057B02">
        <w:rPr>
          <w:rFonts w:ascii="Verdana" w:eastAsia="Times New Roman" w:hAnsi="Verdana" w:cs="Arial"/>
          <w:sz w:val="24"/>
          <w:szCs w:val="24"/>
          <w:lang w:eastAsia="en-ZA"/>
        </w:rPr>
        <w:t>ii)(</w:t>
      </w:r>
      <w:proofErr w:type="gramEnd"/>
      <w:r w:rsidRPr="00057B02">
        <w:rPr>
          <w:rFonts w:ascii="Verdana" w:eastAsia="Times New Roman" w:hAnsi="Verdana" w:cs="Arial"/>
          <w:sz w:val="24"/>
          <w:szCs w:val="24"/>
          <w:lang w:eastAsia="en-ZA"/>
        </w:rPr>
        <w:t>aa) of the Act provides that the Commissioner may refuse any application for a new licence if the applicant has contravened the provisions of the Act.</w:t>
      </w:r>
    </w:p>
    <w:p w14:paraId="6EFAD10C" w14:textId="77777777" w:rsidR="00E43BB0" w:rsidRPr="00057B02" w:rsidRDefault="00E43BB0" w:rsidP="00E43BB0">
      <w:pPr>
        <w:spacing w:after="240" w:line="480" w:lineRule="auto"/>
        <w:jc w:val="both"/>
        <w:rPr>
          <w:rFonts w:ascii="Verdana" w:eastAsia="Times New Roman" w:hAnsi="Verdana" w:cs="Arial"/>
          <w:sz w:val="24"/>
          <w:szCs w:val="24"/>
          <w:lang w:eastAsia="en-ZA"/>
        </w:rPr>
      </w:pPr>
    </w:p>
    <w:p w14:paraId="27329C44" w14:textId="77777777" w:rsidR="00E43BB0" w:rsidRDefault="00E43BB0" w:rsidP="00E43BB0">
      <w:pPr>
        <w:spacing w:after="240" w:line="480" w:lineRule="auto"/>
        <w:jc w:val="both"/>
        <w:rPr>
          <w:rFonts w:ascii="Verdana" w:eastAsia="Times New Roman" w:hAnsi="Verdana" w:cs="Arial"/>
          <w:sz w:val="24"/>
          <w:szCs w:val="24"/>
          <w:lang w:eastAsia="en-ZA"/>
        </w:rPr>
      </w:pPr>
      <w:r w:rsidRPr="00057B02">
        <w:rPr>
          <w:rFonts w:ascii="Verdana" w:eastAsia="Times New Roman" w:hAnsi="Verdana" w:cs="Arial"/>
          <w:sz w:val="24"/>
          <w:szCs w:val="24"/>
          <w:lang w:eastAsia="en-ZA"/>
        </w:rPr>
        <w:t>3. The applicant has further failed to inform the Commissioner of the contraventions. Instead, the applicant opted to provide misleading statement by stating that the applicant has not contravened the Act during the preceding 5 years. Section 60(2)(a)(</w:t>
      </w:r>
      <w:proofErr w:type="spellStart"/>
      <w:proofErr w:type="gramStart"/>
      <w:r w:rsidRPr="00057B02">
        <w:rPr>
          <w:rFonts w:ascii="Verdana" w:eastAsia="Times New Roman" w:hAnsi="Verdana" w:cs="Arial"/>
          <w:sz w:val="24"/>
          <w:szCs w:val="24"/>
          <w:lang w:eastAsia="en-ZA"/>
        </w:rPr>
        <w:t>i</w:t>
      </w:r>
      <w:proofErr w:type="spellEnd"/>
      <w:r w:rsidRPr="00057B02">
        <w:rPr>
          <w:rFonts w:ascii="Verdana" w:eastAsia="Times New Roman" w:hAnsi="Verdana" w:cs="Arial"/>
          <w:sz w:val="24"/>
          <w:szCs w:val="24"/>
          <w:lang w:eastAsia="en-ZA"/>
        </w:rPr>
        <w:t>)(</w:t>
      </w:r>
      <w:proofErr w:type="gramEnd"/>
      <w:r w:rsidRPr="00057B02">
        <w:rPr>
          <w:rFonts w:ascii="Verdana" w:eastAsia="Times New Roman" w:hAnsi="Verdana" w:cs="Arial"/>
          <w:sz w:val="24"/>
          <w:szCs w:val="24"/>
          <w:lang w:eastAsia="en-ZA"/>
        </w:rPr>
        <w:t>bb) of the Act provides that the Commissioner may refuse any application for a new licence if the applicant has made a false or misleading statement with respect to any material facts or omits to state any material fact which was required to be stated in the application for a licence.”</w:t>
      </w:r>
    </w:p>
    <w:p w14:paraId="5F9119D7" w14:textId="77777777" w:rsidR="00057B02" w:rsidRPr="00057B02" w:rsidRDefault="00057B02" w:rsidP="00E43BB0">
      <w:pPr>
        <w:spacing w:after="240" w:line="480" w:lineRule="auto"/>
        <w:jc w:val="both"/>
        <w:rPr>
          <w:rFonts w:ascii="Verdana" w:eastAsia="Times New Roman" w:hAnsi="Verdana" w:cs="Arial"/>
          <w:sz w:val="24"/>
          <w:szCs w:val="24"/>
          <w:lang w:eastAsia="en-ZA"/>
        </w:rPr>
      </w:pPr>
    </w:p>
    <w:p w14:paraId="648BD3AF" w14:textId="3F315FB6" w:rsidR="00E43BB0" w:rsidRPr="00057B02" w:rsidRDefault="00057B02" w:rsidP="00E43BB0">
      <w:pPr>
        <w:spacing w:after="240" w:line="480" w:lineRule="auto"/>
        <w:jc w:val="both"/>
        <w:rPr>
          <w:rFonts w:ascii="Verdana" w:eastAsia="Times New Roman" w:hAnsi="Verdana" w:cs="Arial"/>
          <w:sz w:val="24"/>
          <w:szCs w:val="24"/>
          <w:lang w:eastAsia="en-ZA"/>
        </w:rPr>
      </w:pPr>
      <w:r w:rsidRPr="00057B02">
        <w:rPr>
          <w:rFonts w:ascii="Verdana" w:eastAsia="Times New Roman" w:hAnsi="Verdana" w:cs="Arial"/>
          <w:sz w:val="24"/>
          <w:szCs w:val="24"/>
          <w:lang w:eastAsia="en-ZA"/>
        </w:rPr>
        <w:lastRenderedPageBreak/>
        <w:t>5</w:t>
      </w:r>
      <w:r w:rsidR="00824A72">
        <w:rPr>
          <w:rFonts w:ascii="Verdana" w:eastAsia="Times New Roman" w:hAnsi="Verdana" w:cs="Arial"/>
          <w:sz w:val="24"/>
          <w:szCs w:val="24"/>
          <w:lang w:eastAsia="en-ZA"/>
        </w:rPr>
        <w:t>9</w:t>
      </w:r>
      <w:r w:rsidRPr="00057B02">
        <w:rPr>
          <w:rFonts w:ascii="Verdana" w:eastAsia="Times New Roman" w:hAnsi="Verdana" w:cs="Arial"/>
          <w:sz w:val="24"/>
          <w:szCs w:val="24"/>
          <w:lang w:eastAsia="en-ZA"/>
        </w:rPr>
        <w:t>. Despite</w:t>
      </w:r>
      <w:r w:rsidR="00E43BB0" w:rsidRPr="00057B02">
        <w:rPr>
          <w:rFonts w:ascii="Verdana" w:eastAsia="Times New Roman" w:hAnsi="Verdana" w:cs="Arial"/>
          <w:sz w:val="24"/>
          <w:szCs w:val="24"/>
          <w:lang w:eastAsia="en-ZA"/>
        </w:rPr>
        <w:t xml:space="preserve"> the Commissioner </w:t>
      </w:r>
      <w:r w:rsidRPr="00057B02">
        <w:rPr>
          <w:rFonts w:ascii="Verdana" w:eastAsia="Times New Roman" w:hAnsi="Verdana" w:cs="Arial"/>
          <w:sz w:val="24"/>
          <w:szCs w:val="24"/>
          <w:lang w:eastAsia="en-ZA"/>
        </w:rPr>
        <w:t xml:space="preserve">having </w:t>
      </w:r>
      <w:r w:rsidR="00E43BB0" w:rsidRPr="00057B02">
        <w:rPr>
          <w:rFonts w:ascii="Verdana" w:eastAsia="Times New Roman" w:hAnsi="Verdana" w:cs="Arial"/>
          <w:sz w:val="24"/>
          <w:szCs w:val="24"/>
          <w:lang w:eastAsia="en-ZA"/>
        </w:rPr>
        <w:t xml:space="preserve">already furnished reasons for the refusal of the applications by means of </w:t>
      </w:r>
      <w:r w:rsidR="009F4366">
        <w:rPr>
          <w:rFonts w:ascii="Verdana" w:eastAsia="Times New Roman" w:hAnsi="Verdana" w:cs="Arial"/>
          <w:sz w:val="24"/>
          <w:szCs w:val="24"/>
          <w:lang w:eastAsia="en-ZA"/>
        </w:rPr>
        <w:t>the</w:t>
      </w:r>
      <w:r w:rsidR="00E43BB0" w:rsidRPr="00057B02">
        <w:rPr>
          <w:rFonts w:ascii="Verdana" w:eastAsia="Times New Roman" w:hAnsi="Verdana" w:cs="Arial"/>
          <w:sz w:val="24"/>
          <w:szCs w:val="24"/>
          <w:lang w:eastAsia="en-ZA"/>
        </w:rPr>
        <w:t xml:space="preserve"> letter dated 20 December 2019</w:t>
      </w:r>
      <w:r w:rsidR="009F4366">
        <w:rPr>
          <w:rFonts w:ascii="Verdana" w:eastAsia="Times New Roman" w:hAnsi="Verdana" w:cs="Arial"/>
          <w:sz w:val="24"/>
          <w:szCs w:val="24"/>
          <w:lang w:eastAsia="en-ZA"/>
        </w:rPr>
        <w:t>,</w:t>
      </w:r>
      <w:r w:rsidR="00E43BB0" w:rsidRPr="00057B02">
        <w:rPr>
          <w:rFonts w:ascii="Verdana" w:eastAsia="Times New Roman" w:hAnsi="Verdana" w:cs="Arial"/>
          <w:sz w:val="24"/>
          <w:szCs w:val="24"/>
          <w:lang w:eastAsia="en-ZA"/>
        </w:rPr>
        <w:t xml:space="preserve"> the Applicant</w:t>
      </w:r>
      <w:r w:rsidR="00824A72">
        <w:rPr>
          <w:rFonts w:ascii="Verdana" w:eastAsia="Times New Roman" w:hAnsi="Verdana" w:cs="Arial"/>
          <w:sz w:val="24"/>
          <w:szCs w:val="24"/>
          <w:lang w:eastAsia="en-ZA"/>
        </w:rPr>
        <w:t xml:space="preserve"> still</w:t>
      </w:r>
      <w:r w:rsidR="00E43BB0" w:rsidRPr="00057B02">
        <w:rPr>
          <w:rFonts w:ascii="Verdana" w:eastAsia="Times New Roman" w:hAnsi="Verdana" w:cs="Arial"/>
          <w:sz w:val="24"/>
          <w:szCs w:val="24"/>
          <w:lang w:eastAsia="en-ZA"/>
        </w:rPr>
        <w:t xml:space="preserve"> submitted a request for reasons. In a letter dated 4 March 2020 the Commissioner further explained the basis </w:t>
      </w:r>
      <w:r w:rsidR="009F4366">
        <w:rPr>
          <w:rFonts w:ascii="Verdana" w:eastAsia="Times New Roman" w:hAnsi="Verdana" w:cs="Arial"/>
          <w:sz w:val="24"/>
          <w:szCs w:val="24"/>
          <w:lang w:eastAsia="en-ZA"/>
        </w:rPr>
        <w:t>for</w:t>
      </w:r>
      <w:r w:rsidR="00E43BB0" w:rsidRPr="00057B02">
        <w:rPr>
          <w:rFonts w:ascii="Verdana" w:eastAsia="Times New Roman" w:hAnsi="Verdana" w:cs="Arial"/>
          <w:sz w:val="24"/>
          <w:szCs w:val="24"/>
          <w:lang w:eastAsia="en-ZA"/>
        </w:rPr>
        <w:t xml:space="preserve"> the refusal of the applications as follows:</w:t>
      </w:r>
    </w:p>
    <w:p w14:paraId="6344DC21" w14:textId="77777777" w:rsidR="00E43BB0" w:rsidRPr="0086599F" w:rsidRDefault="00E43BB0" w:rsidP="00E43BB0">
      <w:pPr>
        <w:spacing w:after="240" w:line="480" w:lineRule="auto"/>
        <w:jc w:val="both"/>
        <w:rPr>
          <w:rFonts w:ascii="Verdana" w:eastAsia="Times New Roman" w:hAnsi="Verdana" w:cs="Arial"/>
          <w:color w:val="00B050"/>
          <w:sz w:val="24"/>
          <w:szCs w:val="24"/>
          <w:lang w:eastAsia="en-ZA"/>
        </w:rPr>
      </w:pPr>
    </w:p>
    <w:p w14:paraId="63BDCBFB" w14:textId="28C324E5" w:rsidR="00E43BB0" w:rsidRPr="00057B02" w:rsidRDefault="00057B02"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9</w:t>
      </w:r>
      <w:r w:rsidR="00E43BB0" w:rsidRPr="00057B02">
        <w:rPr>
          <w:rFonts w:ascii="Verdana" w:eastAsia="Times New Roman" w:hAnsi="Verdana" w:cs="Arial"/>
          <w:sz w:val="24"/>
          <w:szCs w:val="24"/>
          <w:lang w:eastAsia="en-ZA"/>
        </w:rPr>
        <w:t>.1.</w:t>
      </w:r>
      <w:r w:rsidR="00E43BB0" w:rsidRPr="00057B02">
        <w:rPr>
          <w:rFonts w:ascii="Verdana" w:eastAsia="Times New Roman" w:hAnsi="Verdana" w:cs="Arial"/>
          <w:sz w:val="24"/>
          <w:szCs w:val="24"/>
          <w:lang w:eastAsia="en-ZA"/>
        </w:rPr>
        <w:tab/>
        <w:t>The letter of demand dated 3 August 2018 that was issued to the Applicant claiming payment of an amount of R36 291 907.59 for “contravening several sections of the (CEA)”.</w:t>
      </w:r>
    </w:p>
    <w:p w14:paraId="03474EE7" w14:textId="77777777" w:rsidR="00E43BB0" w:rsidRPr="00057B02" w:rsidRDefault="00E43BB0" w:rsidP="00E43BB0">
      <w:pPr>
        <w:spacing w:after="240" w:line="480" w:lineRule="auto"/>
        <w:jc w:val="both"/>
        <w:rPr>
          <w:rFonts w:ascii="Verdana" w:eastAsia="Times New Roman" w:hAnsi="Verdana" w:cs="Arial"/>
          <w:sz w:val="24"/>
          <w:szCs w:val="24"/>
          <w:lang w:eastAsia="en-ZA"/>
        </w:rPr>
      </w:pPr>
    </w:p>
    <w:p w14:paraId="61AAAAEA" w14:textId="07A7E1B1" w:rsidR="00E43BB0" w:rsidRPr="00057B02" w:rsidRDefault="00057B02"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5</w:t>
      </w:r>
      <w:r w:rsidR="00824A72">
        <w:rPr>
          <w:rFonts w:ascii="Verdana" w:eastAsia="Times New Roman" w:hAnsi="Verdana" w:cs="Arial"/>
          <w:sz w:val="24"/>
          <w:szCs w:val="24"/>
          <w:lang w:eastAsia="en-ZA"/>
        </w:rPr>
        <w:t>9</w:t>
      </w:r>
      <w:r w:rsidR="00E43BB0" w:rsidRPr="00057B02">
        <w:rPr>
          <w:rFonts w:ascii="Verdana" w:eastAsia="Times New Roman" w:hAnsi="Verdana" w:cs="Arial"/>
          <w:sz w:val="24"/>
          <w:szCs w:val="24"/>
          <w:lang w:eastAsia="en-ZA"/>
        </w:rPr>
        <w:t>.2.</w:t>
      </w:r>
      <w:r w:rsidR="00E43BB0" w:rsidRPr="00057B02">
        <w:rPr>
          <w:rFonts w:ascii="Verdana" w:eastAsia="Times New Roman" w:hAnsi="Verdana" w:cs="Arial"/>
          <w:sz w:val="24"/>
          <w:szCs w:val="24"/>
          <w:lang w:eastAsia="en-ZA"/>
        </w:rPr>
        <w:tab/>
        <w:t>“Box 12 of the application forms (DA185) requires an applicant to indicate whether, during the preceding 5 years, it has contravened the Act or failed to comply with the provisions of the Act. In this regard, the applicant made a cross in the no column.</w:t>
      </w:r>
      <w:r w:rsidR="00E43BB0" w:rsidRPr="00057B02">
        <w:rPr>
          <w:rStyle w:val="FootnoteReference"/>
          <w:rFonts w:ascii="Verdana" w:eastAsia="Times New Roman" w:hAnsi="Verdana" w:cs="Arial"/>
          <w:sz w:val="24"/>
          <w:szCs w:val="24"/>
          <w:lang w:eastAsia="en-ZA"/>
        </w:rPr>
        <w:footnoteReference w:id="35"/>
      </w:r>
    </w:p>
    <w:p w14:paraId="6B6BB949" w14:textId="77777777" w:rsidR="00E43BB0" w:rsidRPr="00057B02" w:rsidRDefault="00E43BB0" w:rsidP="00E43BB0">
      <w:pPr>
        <w:spacing w:after="240" w:line="480" w:lineRule="auto"/>
        <w:jc w:val="both"/>
        <w:rPr>
          <w:rFonts w:ascii="Verdana" w:eastAsia="Times New Roman" w:hAnsi="Verdana" w:cs="Arial"/>
          <w:sz w:val="24"/>
          <w:szCs w:val="24"/>
          <w:lang w:eastAsia="en-ZA"/>
        </w:rPr>
      </w:pPr>
    </w:p>
    <w:p w14:paraId="1EB0140B" w14:textId="77E27651" w:rsidR="00E43BB0" w:rsidRPr="00057B02" w:rsidRDefault="00824A72"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60</w:t>
      </w:r>
      <w:r w:rsidR="00E43BB0" w:rsidRPr="00057B02">
        <w:rPr>
          <w:rFonts w:ascii="Verdana" w:eastAsia="Times New Roman" w:hAnsi="Verdana" w:cs="Arial"/>
          <w:sz w:val="24"/>
          <w:szCs w:val="24"/>
          <w:lang w:eastAsia="en-ZA"/>
        </w:rPr>
        <w:t>.</w:t>
      </w:r>
      <w:r w:rsidR="00057B02">
        <w:rPr>
          <w:rFonts w:ascii="Verdana" w:eastAsia="Times New Roman" w:hAnsi="Verdana" w:cs="Arial"/>
          <w:sz w:val="24"/>
          <w:szCs w:val="24"/>
          <w:lang w:eastAsia="en-ZA"/>
        </w:rPr>
        <w:t xml:space="preserve"> Based on </w:t>
      </w:r>
      <w:r w:rsidR="009F4366">
        <w:rPr>
          <w:rFonts w:ascii="Verdana" w:eastAsia="Times New Roman" w:hAnsi="Verdana" w:cs="Arial"/>
          <w:sz w:val="24"/>
          <w:szCs w:val="24"/>
          <w:lang w:eastAsia="en-ZA"/>
        </w:rPr>
        <w:t>what has been set out above</w:t>
      </w:r>
      <w:r w:rsidR="00057B02">
        <w:rPr>
          <w:rFonts w:ascii="Verdana" w:eastAsia="Times New Roman" w:hAnsi="Verdana" w:cs="Arial"/>
          <w:sz w:val="24"/>
          <w:szCs w:val="24"/>
          <w:lang w:eastAsia="en-ZA"/>
        </w:rPr>
        <w:t xml:space="preserve">, it is clear that SARS had provided reasons for its </w:t>
      </w:r>
      <w:proofErr w:type="gramStart"/>
      <w:r w:rsidR="00057B02">
        <w:rPr>
          <w:rFonts w:ascii="Verdana" w:eastAsia="Times New Roman" w:hAnsi="Verdana" w:cs="Arial"/>
          <w:sz w:val="24"/>
          <w:szCs w:val="24"/>
          <w:lang w:eastAsia="en-ZA"/>
        </w:rPr>
        <w:t>refusal</w:t>
      </w:r>
      <w:proofErr w:type="gramEnd"/>
      <w:r w:rsidR="00057B02">
        <w:rPr>
          <w:rFonts w:ascii="Verdana" w:eastAsia="Times New Roman" w:hAnsi="Verdana" w:cs="Arial"/>
          <w:sz w:val="24"/>
          <w:szCs w:val="24"/>
          <w:lang w:eastAsia="en-ZA"/>
        </w:rPr>
        <w:t xml:space="preserve"> and it is further a finding of this Court that such reasons were </w:t>
      </w:r>
      <w:r w:rsidR="00E43BB0" w:rsidRPr="00057B02">
        <w:rPr>
          <w:rFonts w:ascii="Verdana" w:eastAsia="Times New Roman" w:hAnsi="Verdana" w:cs="Arial"/>
          <w:sz w:val="24"/>
          <w:szCs w:val="24"/>
          <w:lang w:eastAsia="en-ZA"/>
        </w:rPr>
        <w:t xml:space="preserve">good </w:t>
      </w:r>
      <w:r w:rsidR="00057B02">
        <w:rPr>
          <w:rFonts w:ascii="Verdana" w:eastAsia="Times New Roman" w:hAnsi="Verdana" w:cs="Arial"/>
          <w:sz w:val="24"/>
          <w:szCs w:val="24"/>
          <w:lang w:eastAsia="en-ZA"/>
        </w:rPr>
        <w:t xml:space="preserve">and </w:t>
      </w:r>
      <w:r w:rsidR="00E43BB0" w:rsidRPr="00057B02">
        <w:rPr>
          <w:rFonts w:ascii="Verdana" w:eastAsia="Times New Roman" w:hAnsi="Verdana" w:cs="Arial"/>
          <w:sz w:val="24"/>
          <w:szCs w:val="24"/>
          <w:lang w:eastAsia="en-ZA"/>
        </w:rPr>
        <w:t xml:space="preserve">solid reasons to refuse the applications for the </w:t>
      </w:r>
      <w:r w:rsidR="00E43BB0" w:rsidRPr="00057B02">
        <w:rPr>
          <w:rFonts w:ascii="Verdana" w:eastAsia="Times New Roman" w:hAnsi="Verdana" w:cs="Arial"/>
          <w:sz w:val="24"/>
          <w:szCs w:val="24"/>
          <w:lang w:eastAsia="en-ZA"/>
        </w:rPr>
        <w:lastRenderedPageBreak/>
        <w:t>licences of the SOS warehouses</w:t>
      </w:r>
      <w:r w:rsidR="00057B02">
        <w:rPr>
          <w:rFonts w:ascii="Verdana" w:eastAsia="Times New Roman" w:hAnsi="Verdana" w:cs="Arial"/>
          <w:sz w:val="24"/>
          <w:szCs w:val="24"/>
          <w:lang w:eastAsia="en-ZA"/>
        </w:rPr>
        <w:t xml:space="preserve">. It is further a finding of this Court that SARS’ decision </w:t>
      </w:r>
      <w:r w:rsidR="00E43BB0" w:rsidRPr="00057B02">
        <w:rPr>
          <w:rFonts w:ascii="Verdana" w:eastAsia="Times New Roman" w:hAnsi="Verdana" w:cs="Arial"/>
          <w:sz w:val="24"/>
          <w:szCs w:val="24"/>
          <w:lang w:eastAsia="en-ZA"/>
        </w:rPr>
        <w:t>in th</w:t>
      </w:r>
      <w:r w:rsidR="00057B02">
        <w:rPr>
          <w:rFonts w:ascii="Verdana" w:eastAsia="Times New Roman" w:hAnsi="Verdana" w:cs="Arial"/>
          <w:sz w:val="24"/>
          <w:szCs w:val="24"/>
          <w:lang w:eastAsia="en-ZA"/>
        </w:rPr>
        <w:t>is</w:t>
      </w:r>
      <w:r w:rsidR="00E43BB0" w:rsidRPr="00057B02">
        <w:rPr>
          <w:rFonts w:ascii="Verdana" w:eastAsia="Times New Roman" w:hAnsi="Verdana" w:cs="Arial"/>
          <w:sz w:val="24"/>
          <w:szCs w:val="24"/>
          <w:lang w:eastAsia="en-ZA"/>
        </w:rPr>
        <w:t xml:space="preserve"> regard was clearly rational and correct.</w:t>
      </w:r>
    </w:p>
    <w:p w14:paraId="63FD9A79" w14:textId="77777777" w:rsidR="00E43BB0" w:rsidRPr="0086599F" w:rsidRDefault="00E43BB0" w:rsidP="00E43BB0">
      <w:pPr>
        <w:spacing w:after="240" w:line="480" w:lineRule="auto"/>
        <w:jc w:val="both"/>
        <w:rPr>
          <w:rFonts w:ascii="Verdana" w:eastAsia="Times New Roman" w:hAnsi="Verdana" w:cs="Arial"/>
          <w:color w:val="00B050"/>
          <w:sz w:val="24"/>
          <w:szCs w:val="24"/>
          <w:lang w:eastAsia="en-ZA"/>
        </w:rPr>
      </w:pPr>
    </w:p>
    <w:p w14:paraId="6E89D2E4" w14:textId="77777777" w:rsidR="0025396F" w:rsidRPr="0089146E" w:rsidRDefault="0025396F" w:rsidP="0025396F">
      <w:pPr>
        <w:spacing w:after="240" w:line="480" w:lineRule="auto"/>
        <w:jc w:val="both"/>
        <w:rPr>
          <w:rFonts w:ascii="Verdana" w:eastAsia="Times New Roman" w:hAnsi="Verdana" w:cs="Arial"/>
          <w:bCs/>
          <w:sz w:val="24"/>
          <w:szCs w:val="24"/>
          <w:lang w:eastAsia="en-ZA"/>
        </w:rPr>
      </w:pPr>
      <w:r w:rsidRPr="0089146E">
        <w:rPr>
          <w:rFonts w:ascii="Verdana" w:eastAsia="Times New Roman" w:hAnsi="Verdana" w:cs="Arial"/>
          <w:bCs/>
          <w:sz w:val="24"/>
          <w:szCs w:val="24"/>
          <w:lang w:eastAsia="en-ZA"/>
        </w:rPr>
        <w:t>COMMISSIONER DID NOT PROPERLY APPLY HIS MIND AND FAILED TO CONSIDER RELEVANT CONSIDERATIONS.</w:t>
      </w:r>
    </w:p>
    <w:p w14:paraId="386C649F" w14:textId="28AFD95A"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824A72">
        <w:rPr>
          <w:rFonts w:ascii="Verdana" w:eastAsia="Times New Roman" w:hAnsi="Verdana" w:cs="Arial"/>
          <w:sz w:val="24"/>
          <w:szCs w:val="24"/>
          <w:lang w:eastAsia="en-ZA"/>
        </w:rPr>
        <w:t>1</w:t>
      </w:r>
      <w:r>
        <w:rPr>
          <w:rFonts w:ascii="Verdana" w:eastAsia="Times New Roman" w:hAnsi="Verdana" w:cs="Arial"/>
          <w:sz w:val="24"/>
          <w:szCs w:val="24"/>
          <w:lang w:eastAsia="en-ZA"/>
        </w:rPr>
        <w:t xml:space="preserve">. </w:t>
      </w:r>
      <w:r w:rsidR="00824A72">
        <w:rPr>
          <w:rFonts w:ascii="Verdana" w:eastAsia="Times New Roman" w:hAnsi="Verdana" w:cs="Arial"/>
          <w:sz w:val="24"/>
          <w:szCs w:val="24"/>
          <w:lang w:eastAsia="en-ZA"/>
        </w:rPr>
        <w:t>T</w:t>
      </w:r>
      <w:r>
        <w:rPr>
          <w:rFonts w:ascii="Verdana" w:eastAsia="Times New Roman" w:hAnsi="Verdana" w:cs="Arial"/>
          <w:sz w:val="24"/>
          <w:szCs w:val="24"/>
          <w:lang w:eastAsia="en-ZA"/>
        </w:rPr>
        <w:t>he Applicant</w:t>
      </w:r>
      <w:r w:rsidR="00824A72">
        <w:rPr>
          <w:rFonts w:ascii="Verdana" w:eastAsia="Times New Roman" w:hAnsi="Verdana" w:cs="Arial"/>
          <w:sz w:val="24"/>
          <w:szCs w:val="24"/>
          <w:lang w:eastAsia="en-ZA"/>
        </w:rPr>
        <w:t xml:space="preserve"> further argued that</w:t>
      </w:r>
      <w:r>
        <w:rPr>
          <w:rFonts w:ascii="Verdana" w:eastAsia="Times New Roman" w:hAnsi="Verdana" w:cs="Arial"/>
          <w:sz w:val="24"/>
          <w:szCs w:val="24"/>
          <w:lang w:eastAsia="en-ZA"/>
        </w:rPr>
        <w:t xml:space="preserve"> the Commissioner did not properly apply his mind and failed to consider relevant considerations. Section 6(2)</w:t>
      </w:r>
      <w:r w:rsidR="0061488B">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 xml:space="preserve">(e)(iii) of PAJA provides for judicial review where action was taken because irrelevant considerations were </w:t>
      </w:r>
      <w:proofErr w:type="gramStart"/>
      <w:r>
        <w:rPr>
          <w:rFonts w:ascii="Verdana" w:eastAsia="Times New Roman" w:hAnsi="Verdana" w:cs="Arial"/>
          <w:sz w:val="24"/>
          <w:szCs w:val="24"/>
          <w:lang w:eastAsia="en-ZA"/>
        </w:rPr>
        <w:t>taken into account</w:t>
      </w:r>
      <w:proofErr w:type="gramEnd"/>
      <w:r>
        <w:rPr>
          <w:rFonts w:ascii="Verdana" w:eastAsia="Times New Roman" w:hAnsi="Verdana" w:cs="Arial"/>
          <w:sz w:val="24"/>
          <w:szCs w:val="24"/>
          <w:lang w:eastAsia="en-ZA"/>
        </w:rPr>
        <w:t xml:space="preserve">, or relevant considerations were not considered. </w:t>
      </w:r>
    </w:p>
    <w:p w14:paraId="315D01E7" w14:textId="77777777" w:rsidR="0025396F" w:rsidRDefault="0025396F" w:rsidP="0025396F">
      <w:pPr>
        <w:spacing w:after="240" w:line="480" w:lineRule="auto"/>
        <w:jc w:val="both"/>
        <w:rPr>
          <w:rFonts w:ascii="Verdana" w:eastAsia="Times New Roman" w:hAnsi="Verdana" w:cs="Arial"/>
          <w:sz w:val="24"/>
          <w:szCs w:val="24"/>
          <w:lang w:eastAsia="en-ZA"/>
        </w:rPr>
      </w:pPr>
    </w:p>
    <w:p w14:paraId="581EC219" w14:textId="45E1F87D"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2</w:t>
      </w:r>
      <w:r>
        <w:rPr>
          <w:rFonts w:ascii="Verdana" w:eastAsia="Times New Roman" w:hAnsi="Verdana" w:cs="Arial"/>
          <w:sz w:val="24"/>
          <w:szCs w:val="24"/>
          <w:lang w:eastAsia="en-ZA"/>
        </w:rPr>
        <w:t xml:space="preserve">. In support of this contention, the Applicant relied on the </w:t>
      </w:r>
      <w:proofErr w:type="spellStart"/>
      <w:r w:rsidRPr="0089146E">
        <w:rPr>
          <w:rFonts w:ascii="Verdana" w:eastAsia="Times New Roman" w:hAnsi="Verdana" w:cs="Arial"/>
          <w:bCs/>
          <w:sz w:val="24"/>
          <w:szCs w:val="24"/>
          <w:lang w:eastAsia="en-ZA"/>
        </w:rPr>
        <w:t>Bangtoo</w:t>
      </w:r>
      <w:proofErr w:type="spellEnd"/>
      <w:r w:rsidRPr="0089146E">
        <w:rPr>
          <w:rFonts w:ascii="Verdana" w:eastAsia="Times New Roman" w:hAnsi="Verdana" w:cs="Arial"/>
          <w:bCs/>
          <w:sz w:val="24"/>
          <w:szCs w:val="24"/>
          <w:lang w:eastAsia="en-ZA"/>
        </w:rPr>
        <w:t xml:space="preserve"> Bros </w:t>
      </w:r>
      <w:r w:rsidR="009F4366">
        <w:rPr>
          <w:rFonts w:ascii="Verdana" w:eastAsia="Times New Roman" w:hAnsi="Verdana" w:cs="Arial"/>
          <w:bCs/>
          <w:sz w:val="24"/>
          <w:szCs w:val="24"/>
          <w:lang w:eastAsia="en-ZA"/>
        </w:rPr>
        <w:t>v</w:t>
      </w:r>
      <w:r w:rsidRPr="0089146E">
        <w:rPr>
          <w:rFonts w:ascii="Verdana" w:eastAsia="Times New Roman" w:hAnsi="Verdana" w:cs="Arial"/>
          <w:bCs/>
          <w:sz w:val="24"/>
          <w:szCs w:val="24"/>
          <w:lang w:eastAsia="en-ZA"/>
        </w:rPr>
        <w:t xml:space="preserve"> National Transport Commission,</w:t>
      </w:r>
      <w:r w:rsidRPr="0089146E">
        <w:rPr>
          <w:rStyle w:val="FootnoteReference"/>
          <w:rFonts w:ascii="Verdana" w:eastAsia="Times New Roman" w:hAnsi="Verdana" w:cs="Arial"/>
          <w:bCs/>
          <w:sz w:val="24"/>
          <w:szCs w:val="24"/>
          <w:lang w:eastAsia="en-ZA"/>
        </w:rPr>
        <w:footnoteReference w:id="36"/>
      </w:r>
      <w:r w:rsidR="0061488B">
        <w:rPr>
          <w:rFonts w:ascii="Verdana" w:eastAsia="Times New Roman" w:hAnsi="Verdana" w:cs="Arial"/>
          <w:bCs/>
          <w:sz w:val="24"/>
          <w:szCs w:val="24"/>
          <w:lang w:eastAsia="en-ZA"/>
        </w:rPr>
        <w:t xml:space="preserve"> decision</w:t>
      </w:r>
      <w:r w:rsidRPr="0089146E">
        <w:rPr>
          <w:rFonts w:ascii="Verdana" w:eastAsia="Times New Roman" w:hAnsi="Verdana" w:cs="Arial"/>
          <w:bCs/>
          <w:sz w:val="24"/>
          <w:szCs w:val="24"/>
          <w:lang w:eastAsia="en-ZA"/>
        </w:rPr>
        <w:t xml:space="preserve"> </w:t>
      </w:r>
      <w:r>
        <w:rPr>
          <w:rFonts w:ascii="Verdana" w:eastAsia="Times New Roman" w:hAnsi="Verdana" w:cs="Arial"/>
          <w:bCs/>
          <w:sz w:val="24"/>
          <w:szCs w:val="24"/>
          <w:lang w:eastAsia="en-ZA"/>
        </w:rPr>
        <w:t>wherein it was</w:t>
      </w:r>
      <w:r w:rsidRPr="0089146E">
        <w:rPr>
          <w:rFonts w:ascii="Verdana" w:eastAsia="Times New Roman" w:hAnsi="Verdana" w:cs="Arial"/>
          <w:bCs/>
          <w:sz w:val="24"/>
          <w:szCs w:val="24"/>
          <w:lang w:eastAsia="en-ZA"/>
        </w:rPr>
        <w:t xml:space="preserve"> held that if a</w:t>
      </w:r>
      <w:r>
        <w:rPr>
          <w:rFonts w:ascii="Verdana" w:eastAsia="Times New Roman" w:hAnsi="Verdana" w:cs="Arial"/>
          <w:sz w:val="24"/>
          <w:szCs w:val="24"/>
          <w:lang w:eastAsia="en-ZA"/>
        </w:rPr>
        <w:t xml:space="preserve"> decision maker was to regulate a factor of obvious and paramount importance to one of insignificance and give another factor a weight far in excess of its true value, this would amount to a failure to apply the mind properly to the matter.</w:t>
      </w:r>
    </w:p>
    <w:p w14:paraId="2F09285A" w14:textId="77777777" w:rsidR="0025396F" w:rsidRDefault="0025396F" w:rsidP="0025396F">
      <w:pPr>
        <w:spacing w:after="240" w:line="480" w:lineRule="auto"/>
        <w:jc w:val="both"/>
        <w:rPr>
          <w:rFonts w:ascii="Verdana" w:eastAsia="Times New Roman" w:hAnsi="Verdana" w:cs="Arial"/>
          <w:sz w:val="24"/>
          <w:szCs w:val="24"/>
          <w:lang w:eastAsia="en-ZA"/>
        </w:rPr>
      </w:pPr>
    </w:p>
    <w:p w14:paraId="0D5DD46C" w14:textId="0D324A44"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6</w:t>
      </w:r>
      <w:r w:rsidR="0061488B">
        <w:rPr>
          <w:rFonts w:ascii="Verdana" w:eastAsia="Times New Roman" w:hAnsi="Verdana" w:cs="Arial"/>
          <w:sz w:val="24"/>
          <w:szCs w:val="24"/>
          <w:lang w:eastAsia="en-ZA"/>
        </w:rPr>
        <w:t>3</w:t>
      </w:r>
      <w:r>
        <w:rPr>
          <w:rFonts w:ascii="Verdana" w:eastAsia="Times New Roman" w:hAnsi="Verdana" w:cs="Arial"/>
          <w:sz w:val="24"/>
          <w:szCs w:val="24"/>
          <w:lang w:eastAsia="en-ZA"/>
        </w:rPr>
        <w:t>.</w:t>
      </w:r>
      <w:r w:rsidR="0061488B">
        <w:rPr>
          <w:rFonts w:ascii="Verdana" w:eastAsia="Times New Roman" w:hAnsi="Verdana" w:cs="Arial"/>
          <w:sz w:val="24"/>
          <w:szCs w:val="24"/>
          <w:lang w:eastAsia="en-ZA"/>
        </w:rPr>
        <w:t xml:space="preserve"> The Applicant further argued that</w:t>
      </w:r>
      <w:r>
        <w:rPr>
          <w:rFonts w:ascii="Verdana" w:eastAsia="Times New Roman" w:hAnsi="Verdana" w:cs="Arial"/>
          <w:sz w:val="24"/>
          <w:szCs w:val="24"/>
          <w:lang w:eastAsia="en-ZA"/>
        </w:rPr>
        <w:t xml:space="preserve"> SARS is wrong in contending that Nu Africa made a material non-disclosure in the applications by failing to disclose the R36 million debt raised by SARS in 2018:</w:t>
      </w:r>
    </w:p>
    <w:p w14:paraId="63AAF0E6" w14:textId="77777777" w:rsidR="0025396F" w:rsidRDefault="0025396F" w:rsidP="0025396F">
      <w:pPr>
        <w:spacing w:after="240" w:line="480" w:lineRule="auto"/>
        <w:jc w:val="both"/>
        <w:rPr>
          <w:rFonts w:ascii="Verdana" w:eastAsia="Times New Roman" w:hAnsi="Verdana" w:cs="Arial"/>
          <w:sz w:val="24"/>
          <w:szCs w:val="24"/>
          <w:lang w:eastAsia="en-ZA"/>
        </w:rPr>
      </w:pPr>
    </w:p>
    <w:p w14:paraId="2FE89434" w14:textId="0B6903BD"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3</w:t>
      </w:r>
      <w:r>
        <w:rPr>
          <w:rFonts w:ascii="Verdana" w:eastAsia="Times New Roman" w:hAnsi="Verdana" w:cs="Arial"/>
          <w:sz w:val="24"/>
          <w:szCs w:val="24"/>
          <w:lang w:eastAsia="en-ZA"/>
        </w:rPr>
        <w:t>.1 First, it is apparent from the record filed in the Rule 53 proceedings that SARS was aware of the action instituted by Nu Africa challenging the demand.</w:t>
      </w:r>
      <w:r>
        <w:rPr>
          <w:rStyle w:val="FootnoteReference"/>
          <w:rFonts w:ascii="Verdana" w:eastAsia="Times New Roman" w:hAnsi="Verdana" w:cs="Arial"/>
          <w:sz w:val="24"/>
          <w:szCs w:val="24"/>
          <w:lang w:eastAsia="en-ZA"/>
        </w:rPr>
        <w:footnoteReference w:id="37"/>
      </w:r>
    </w:p>
    <w:p w14:paraId="088A50E8" w14:textId="77777777" w:rsidR="0025396F" w:rsidRDefault="0025396F" w:rsidP="0025396F">
      <w:pPr>
        <w:spacing w:after="240" w:line="480" w:lineRule="auto"/>
        <w:jc w:val="both"/>
        <w:rPr>
          <w:rFonts w:ascii="Verdana" w:eastAsia="Times New Roman" w:hAnsi="Verdana" w:cs="Arial"/>
          <w:sz w:val="24"/>
          <w:szCs w:val="24"/>
          <w:lang w:eastAsia="en-ZA"/>
        </w:rPr>
      </w:pPr>
    </w:p>
    <w:p w14:paraId="3D4E88BB" w14:textId="4C1F9B83"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3</w:t>
      </w:r>
      <w:r>
        <w:rPr>
          <w:rFonts w:ascii="Verdana" w:eastAsia="Times New Roman" w:hAnsi="Verdana" w:cs="Arial"/>
          <w:sz w:val="24"/>
          <w:szCs w:val="24"/>
          <w:lang w:eastAsia="en-ZA"/>
        </w:rPr>
        <w:t>.2 Second, Nu Africa included in the applications a copy of the letter dated 21 February 2019, wherein the Commissioner granted Nu Africa a suspension of payment for the R36 million, pending the finalisation of the dispute.</w:t>
      </w:r>
      <w:r>
        <w:rPr>
          <w:rStyle w:val="FootnoteReference"/>
          <w:rFonts w:ascii="Verdana" w:eastAsia="Times New Roman" w:hAnsi="Verdana" w:cs="Arial"/>
          <w:sz w:val="24"/>
          <w:szCs w:val="24"/>
          <w:lang w:eastAsia="en-ZA"/>
        </w:rPr>
        <w:footnoteReference w:id="38"/>
      </w:r>
      <w:r>
        <w:rPr>
          <w:rFonts w:ascii="Verdana" w:eastAsia="Times New Roman" w:hAnsi="Verdana" w:cs="Arial"/>
          <w:sz w:val="24"/>
          <w:szCs w:val="24"/>
          <w:lang w:eastAsia="en-ZA"/>
        </w:rPr>
        <w:t xml:space="preserve"> This is accepted by SARS.</w:t>
      </w:r>
      <w:r>
        <w:rPr>
          <w:rStyle w:val="FootnoteReference"/>
          <w:rFonts w:ascii="Verdana" w:eastAsia="Times New Roman" w:hAnsi="Verdana" w:cs="Arial"/>
          <w:sz w:val="24"/>
          <w:szCs w:val="24"/>
          <w:lang w:eastAsia="en-ZA"/>
        </w:rPr>
        <w:footnoteReference w:id="39"/>
      </w:r>
      <w:r>
        <w:rPr>
          <w:rFonts w:ascii="Verdana" w:eastAsia="Times New Roman" w:hAnsi="Verdana" w:cs="Arial"/>
          <w:sz w:val="24"/>
          <w:szCs w:val="24"/>
          <w:lang w:eastAsia="en-ZA"/>
        </w:rPr>
        <w:t xml:space="preserve"> To the extent that the Commissioner was unaware of the alleged transgressions (which is denied), he was made aware thereof by means of the letter of suspension.</w:t>
      </w:r>
    </w:p>
    <w:p w14:paraId="08E04D79" w14:textId="77777777" w:rsidR="0025396F" w:rsidRDefault="0025396F" w:rsidP="0025396F">
      <w:pPr>
        <w:spacing w:after="240" w:line="480" w:lineRule="auto"/>
        <w:jc w:val="both"/>
        <w:rPr>
          <w:rFonts w:ascii="Verdana" w:eastAsia="Times New Roman" w:hAnsi="Verdana" w:cs="Arial"/>
          <w:sz w:val="24"/>
          <w:szCs w:val="24"/>
          <w:lang w:eastAsia="en-ZA"/>
        </w:rPr>
      </w:pPr>
    </w:p>
    <w:p w14:paraId="2008BEC6" w14:textId="6C53F347"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4</w:t>
      </w:r>
      <w:r>
        <w:rPr>
          <w:rFonts w:ascii="Verdana" w:eastAsia="Times New Roman" w:hAnsi="Verdana" w:cs="Arial"/>
          <w:sz w:val="24"/>
          <w:szCs w:val="24"/>
          <w:lang w:eastAsia="en-ZA"/>
        </w:rPr>
        <w:t>. Thus,</w:t>
      </w:r>
      <w:r w:rsidR="0061488B">
        <w:rPr>
          <w:rFonts w:ascii="Verdana" w:eastAsia="Times New Roman" w:hAnsi="Verdana" w:cs="Arial"/>
          <w:sz w:val="24"/>
          <w:szCs w:val="24"/>
          <w:lang w:eastAsia="en-ZA"/>
        </w:rPr>
        <w:t xml:space="preserve"> counsel had argued that</w:t>
      </w:r>
      <w:r>
        <w:rPr>
          <w:rFonts w:ascii="Verdana" w:eastAsia="Times New Roman" w:hAnsi="Verdana" w:cs="Arial"/>
          <w:sz w:val="24"/>
          <w:szCs w:val="24"/>
          <w:lang w:eastAsia="en-ZA"/>
        </w:rPr>
        <w:t xml:space="preserve"> there is no basis for SARS to contend that Nu Africa has misled the Commissioner in any way.</w:t>
      </w:r>
    </w:p>
    <w:p w14:paraId="0A8B8507" w14:textId="77777777" w:rsidR="0025396F" w:rsidRDefault="0025396F" w:rsidP="0025396F">
      <w:pPr>
        <w:spacing w:after="240" w:line="480" w:lineRule="auto"/>
        <w:jc w:val="both"/>
        <w:rPr>
          <w:rFonts w:ascii="Verdana" w:eastAsia="Times New Roman" w:hAnsi="Verdana" w:cs="Arial"/>
          <w:sz w:val="24"/>
          <w:szCs w:val="24"/>
          <w:lang w:eastAsia="en-ZA"/>
        </w:rPr>
      </w:pPr>
    </w:p>
    <w:p w14:paraId="257B21E1" w14:textId="09069F04"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5</w:t>
      </w:r>
      <w:r>
        <w:rPr>
          <w:rFonts w:ascii="Verdana" w:eastAsia="Times New Roman" w:hAnsi="Verdana" w:cs="Arial"/>
          <w:sz w:val="24"/>
          <w:szCs w:val="24"/>
          <w:lang w:eastAsia="en-ZA"/>
        </w:rPr>
        <w:t xml:space="preserve">. </w:t>
      </w:r>
      <w:r w:rsidR="009F4366">
        <w:rPr>
          <w:rFonts w:ascii="Verdana" w:eastAsia="Times New Roman" w:hAnsi="Verdana" w:cs="Arial"/>
          <w:sz w:val="24"/>
          <w:szCs w:val="24"/>
          <w:lang w:eastAsia="en-ZA"/>
        </w:rPr>
        <w:t>Counsel</w:t>
      </w:r>
      <w:r>
        <w:rPr>
          <w:rFonts w:ascii="Verdana" w:eastAsia="Times New Roman" w:hAnsi="Verdana" w:cs="Arial"/>
          <w:sz w:val="24"/>
          <w:szCs w:val="24"/>
          <w:lang w:eastAsia="en-ZA"/>
        </w:rPr>
        <w:t xml:space="preserve"> further submitted that SARS failed to consider the following relevant considerations:</w:t>
      </w:r>
    </w:p>
    <w:p w14:paraId="7FCF8163" w14:textId="77777777" w:rsidR="0025396F" w:rsidRDefault="0025396F" w:rsidP="0025396F">
      <w:pPr>
        <w:spacing w:after="240" w:line="480" w:lineRule="auto"/>
        <w:jc w:val="both"/>
        <w:rPr>
          <w:rFonts w:ascii="Verdana" w:eastAsia="Times New Roman" w:hAnsi="Verdana" w:cs="Arial"/>
          <w:sz w:val="24"/>
          <w:szCs w:val="24"/>
          <w:lang w:eastAsia="en-ZA"/>
        </w:rPr>
      </w:pPr>
    </w:p>
    <w:p w14:paraId="56A3AC33" w14:textId="097F19AF"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5</w:t>
      </w:r>
      <w:r>
        <w:rPr>
          <w:rFonts w:ascii="Verdana" w:eastAsia="Times New Roman" w:hAnsi="Verdana" w:cs="Arial"/>
          <w:sz w:val="24"/>
          <w:szCs w:val="24"/>
          <w:lang w:eastAsia="en-ZA"/>
        </w:rPr>
        <w:t>.1 Nu Africa is challenging the R36 million debt raised by SARS against it by virtue of High Court litigation.</w:t>
      </w:r>
      <w:r>
        <w:rPr>
          <w:rStyle w:val="FootnoteReference"/>
          <w:rFonts w:ascii="Verdana" w:eastAsia="Times New Roman" w:hAnsi="Verdana" w:cs="Arial"/>
          <w:sz w:val="24"/>
          <w:szCs w:val="24"/>
          <w:lang w:eastAsia="en-ZA"/>
        </w:rPr>
        <w:footnoteReference w:id="40"/>
      </w:r>
    </w:p>
    <w:p w14:paraId="6011F678" w14:textId="77777777" w:rsidR="0025396F" w:rsidRDefault="0025396F" w:rsidP="0025396F">
      <w:pPr>
        <w:spacing w:after="240" w:line="480" w:lineRule="auto"/>
        <w:jc w:val="both"/>
        <w:rPr>
          <w:rFonts w:ascii="Verdana" w:eastAsia="Times New Roman" w:hAnsi="Verdana" w:cs="Arial"/>
          <w:sz w:val="24"/>
          <w:szCs w:val="24"/>
          <w:lang w:eastAsia="en-ZA"/>
        </w:rPr>
      </w:pPr>
    </w:p>
    <w:p w14:paraId="2C29408C" w14:textId="2F9DCA09"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5</w:t>
      </w:r>
      <w:r>
        <w:rPr>
          <w:rFonts w:ascii="Verdana" w:eastAsia="Times New Roman" w:hAnsi="Verdana" w:cs="Arial"/>
          <w:sz w:val="24"/>
          <w:szCs w:val="24"/>
          <w:lang w:eastAsia="en-ZA"/>
        </w:rPr>
        <w:t>.2 SARS suspended payment of the R36 million. Nu Africa included in the application forms a copy of the letter dated 21 February whereby SARS suspended payment.</w:t>
      </w:r>
      <w:r>
        <w:rPr>
          <w:rStyle w:val="FootnoteReference"/>
          <w:rFonts w:ascii="Verdana" w:eastAsia="Times New Roman" w:hAnsi="Verdana" w:cs="Arial"/>
          <w:sz w:val="24"/>
          <w:szCs w:val="24"/>
          <w:lang w:eastAsia="en-ZA"/>
        </w:rPr>
        <w:footnoteReference w:id="41"/>
      </w:r>
    </w:p>
    <w:p w14:paraId="459E045D" w14:textId="77777777" w:rsidR="0025396F" w:rsidRDefault="0025396F" w:rsidP="0025396F">
      <w:pPr>
        <w:spacing w:after="240" w:line="480" w:lineRule="auto"/>
        <w:jc w:val="both"/>
        <w:rPr>
          <w:rFonts w:ascii="Verdana" w:eastAsia="Times New Roman" w:hAnsi="Verdana" w:cs="Arial"/>
          <w:sz w:val="24"/>
          <w:szCs w:val="24"/>
          <w:lang w:eastAsia="en-ZA"/>
        </w:rPr>
      </w:pPr>
    </w:p>
    <w:p w14:paraId="5A1A44E4" w14:textId="1FD73B9B"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5</w:t>
      </w:r>
      <w:r>
        <w:rPr>
          <w:rFonts w:ascii="Verdana" w:eastAsia="Times New Roman" w:hAnsi="Verdana" w:cs="Arial"/>
          <w:sz w:val="24"/>
          <w:szCs w:val="24"/>
          <w:lang w:eastAsia="en-ZA"/>
        </w:rPr>
        <w:t>.3 In terms of Rule 60.04(2</w:t>
      </w:r>
      <w:r w:rsidR="009B4451">
        <w:rPr>
          <w:rFonts w:ascii="Verdana" w:eastAsia="Times New Roman" w:hAnsi="Verdana" w:cs="Arial"/>
          <w:sz w:val="24"/>
          <w:szCs w:val="24"/>
          <w:lang w:eastAsia="en-ZA"/>
        </w:rPr>
        <w:t>)</w:t>
      </w:r>
      <w:r>
        <w:rPr>
          <w:rFonts w:ascii="Verdana" w:eastAsia="Times New Roman" w:hAnsi="Verdana" w:cs="Arial"/>
          <w:sz w:val="24"/>
          <w:szCs w:val="24"/>
          <w:lang w:eastAsia="en-ZA"/>
        </w:rPr>
        <w:t xml:space="preserve">(c) a license may be granted even where a transgression was committed, provided that the transgression was inadvertent, without fraudulent intent or gross negligence. </w:t>
      </w:r>
      <w:r>
        <w:rPr>
          <w:rStyle w:val="FootnoteReference"/>
          <w:rFonts w:ascii="Verdana" w:eastAsia="Times New Roman" w:hAnsi="Verdana" w:cs="Arial"/>
          <w:sz w:val="24"/>
          <w:szCs w:val="24"/>
          <w:lang w:eastAsia="en-ZA"/>
        </w:rPr>
        <w:footnoteReference w:id="42"/>
      </w:r>
      <w:r>
        <w:rPr>
          <w:rFonts w:ascii="Verdana" w:eastAsia="Times New Roman" w:hAnsi="Verdana" w:cs="Arial"/>
          <w:sz w:val="24"/>
          <w:szCs w:val="24"/>
          <w:lang w:eastAsia="en-ZA"/>
        </w:rPr>
        <w:t xml:space="preserve"> SARS has not contended that any of Nu Africa’s directors had been involved in fraud or acted with wilful intent.</w:t>
      </w:r>
      <w:r>
        <w:rPr>
          <w:rStyle w:val="FootnoteReference"/>
          <w:rFonts w:ascii="Verdana" w:eastAsia="Times New Roman" w:hAnsi="Verdana" w:cs="Arial"/>
          <w:sz w:val="24"/>
          <w:szCs w:val="24"/>
          <w:lang w:eastAsia="en-ZA"/>
        </w:rPr>
        <w:footnoteReference w:id="43"/>
      </w:r>
    </w:p>
    <w:p w14:paraId="3CD1C841" w14:textId="77777777" w:rsidR="0025396F" w:rsidRDefault="0025396F" w:rsidP="0025396F">
      <w:pPr>
        <w:spacing w:after="240" w:line="480" w:lineRule="auto"/>
        <w:jc w:val="both"/>
        <w:rPr>
          <w:rFonts w:ascii="Verdana" w:eastAsia="Times New Roman" w:hAnsi="Verdana" w:cs="Arial"/>
          <w:sz w:val="24"/>
          <w:szCs w:val="24"/>
          <w:lang w:eastAsia="en-ZA"/>
        </w:rPr>
      </w:pPr>
    </w:p>
    <w:p w14:paraId="56FC2EE4" w14:textId="3D16E176"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6</w:t>
      </w:r>
      <w:r w:rsidR="0061488B">
        <w:rPr>
          <w:rFonts w:ascii="Verdana" w:eastAsia="Times New Roman" w:hAnsi="Verdana" w:cs="Arial"/>
          <w:sz w:val="24"/>
          <w:szCs w:val="24"/>
          <w:lang w:eastAsia="en-ZA"/>
        </w:rPr>
        <w:t>5</w:t>
      </w:r>
      <w:r>
        <w:rPr>
          <w:rFonts w:ascii="Verdana" w:eastAsia="Times New Roman" w:hAnsi="Verdana" w:cs="Arial"/>
          <w:sz w:val="24"/>
          <w:szCs w:val="24"/>
          <w:lang w:eastAsia="en-ZA"/>
        </w:rPr>
        <w:t>.4 The vetting reports noted that there is no income tax, VAT or PAYE outstanding. Also, there are no risks to report.</w:t>
      </w:r>
      <w:r>
        <w:rPr>
          <w:rStyle w:val="FootnoteReference"/>
          <w:rFonts w:ascii="Verdana" w:eastAsia="Times New Roman" w:hAnsi="Verdana" w:cs="Arial"/>
          <w:sz w:val="24"/>
          <w:szCs w:val="24"/>
          <w:lang w:eastAsia="en-ZA"/>
        </w:rPr>
        <w:footnoteReference w:id="44"/>
      </w:r>
    </w:p>
    <w:p w14:paraId="239FD365" w14:textId="77777777" w:rsidR="0025396F" w:rsidRDefault="0025396F" w:rsidP="0025396F">
      <w:pPr>
        <w:spacing w:after="240" w:line="480" w:lineRule="auto"/>
        <w:jc w:val="both"/>
        <w:rPr>
          <w:rFonts w:ascii="Verdana" w:eastAsia="Times New Roman" w:hAnsi="Verdana" w:cs="Arial"/>
          <w:sz w:val="24"/>
          <w:szCs w:val="24"/>
          <w:lang w:eastAsia="en-ZA"/>
        </w:rPr>
      </w:pPr>
    </w:p>
    <w:p w14:paraId="457D991E" w14:textId="364C9065"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6</w:t>
      </w:r>
      <w:r>
        <w:rPr>
          <w:rFonts w:ascii="Verdana" w:eastAsia="Times New Roman" w:hAnsi="Verdana" w:cs="Arial"/>
          <w:sz w:val="24"/>
          <w:szCs w:val="24"/>
          <w:lang w:eastAsia="en-ZA"/>
        </w:rPr>
        <w:t xml:space="preserve">. It is on this basis that the Applicant had argued that had SARS considered these facts, it would have concluded that there is no debt “payable” for purposes of customs and excise, </w:t>
      </w:r>
      <w:proofErr w:type="gramStart"/>
      <w:r>
        <w:rPr>
          <w:rFonts w:ascii="Verdana" w:eastAsia="Times New Roman" w:hAnsi="Verdana" w:cs="Arial"/>
          <w:sz w:val="24"/>
          <w:szCs w:val="24"/>
          <w:lang w:eastAsia="en-ZA"/>
        </w:rPr>
        <w:t>similar to</w:t>
      </w:r>
      <w:proofErr w:type="gramEnd"/>
      <w:r>
        <w:rPr>
          <w:rFonts w:ascii="Verdana" w:eastAsia="Times New Roman" w:hAnsi="Verdana" w:cs="Arial"/>
          <w:sz w:val="24"/>
          <w:szCs w:val="24"/>
          <w:lang w:eastAsia="en-ZA"/>
        </w:rPr>
        <w:t xml:space="preserve"> income tax and VAT. Therefore, it cannot be said that Nu Africa is a non-complaint taxpayer.</w:t>
      </w:r>
    </w:p>
    <w:p w14:paraId="7E67DC0D" w14:textId="77777777" w:rsidR="0025396F" w:rsidRDefault="0025396F" w:rsidP="0025396F">
      <w:pPr>
        <w:spacing w:after="240" w:line="480" w:lineRule="auto"/>
        <w:jc w:val="both"/>
        <w:rPr>
          <w:rFonts w:ascii="Verdana" w:eastAsia="Times New Roman" w:hAnsi="Verdana" w:cs="Arial"/>
          <w:sz w:val="24"/>
          <w:szCs w:val="24"/>
          <w:lang w:eastAsia="en-ZA"/>
        </w:rPr>
      </w:pPr>
    </w:p>
    <w:p w14:paraId="7171DBDA" w14:textId="31C52A3D"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7</w:t>
      </w:r>
      <w:r>
        <w:rPr>
          <w:rFonts w:ascii="Verdana" w:eastAsia="Times New Roman" w:hAnsi="Verdana" w:cs="Arial"/>
          <w:sz w:val="24"/>
          <w:szCs w:val="24"/>
          <w:lang w:eastAsia="en-ZA"/>
        </w:rPr>
        <w:t>. In addition SARS took the following irrelevant considerations into account namely:</w:t>
      </w:r>
    </w:p>
    <w:p w14:paraId="380C2139" w14:textId="77777777" w:rsidR="0025396F" w:rsidRDefault="0025396F" w:rsidP="0025396F">
      <w:pPr>
        <w:spacing w:after="240" w:line="480" w:lineRule="auto"/>
        <w:jc w:val="both"/>
        <w:rPr>
          <w:rFonts w:ascii="Verdana" w:eastAsia="Times New Roman" w:hAnsi="Verdana" w:cs="Arial"/>
          <w:sz w:val="24"/>
          <w:szCs w:val="24"/>
          <w:lang w:eastAsia="en-ZA"/>
        </w:rPr>
      </w:pPr>
    </w:p>
    <w:p w14:paraId="44635841" w14:textId="2CF32FAD"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7</w:t>
      </w:r>
      <w:r>
        <w:rPr>
          <w:rFonts w:ascii="Verdana" w:eastAsia="Times New Roman" w:hAnsi="Verdana" w:cs="Arial"/>
          <w:sz w:val="24"/>
          <w:szCs w:val="24"/>
          <w:lang w:eastAsia="en-ZA"/>
        </w:rPr>
        <w:t>.1 The suspicious Activity Report (“SARS”) with report number 3422786 contains an allegation that Nu Africa made certain false acquittals amounting to R 1 508 373.43.</w:t>
      </w:r>
      <w:r>
        <w:rPr>
          <w:rStyle w:val="FootnoteReference"/>
          <w:rFonts w:ascii="Verdana" w:eastAsia="Times New Roman" w:hAnsi="Verdana" w:cs="Arial"/>
          <w:sz w:val="24"/>
          <w:szCs w:val="24"/>
          <w:lang w:eastAsia="en-ZA"/>
        </w:rPr>
        <w:footnoteReference w:id="45"/>
      </w:r>
      <w:r>
        <w:rPr>
          <w:rFonts w:ascii="Verdana" w:eastAsia="Times New Roman" w:hAnsi="Verdana" w:cs="Arial"/>
          <w:sz w:val="24"/>
          <w:szCs w:val="24"/>
          <w:lang w:eastAsia="en-ZA"/>
        </w:rPr>
        <w:t xml:space="preserve"> At the time when the applications were considered, this allegation was still “under investigation”. Nu Africa was however not given an opportunity to make representations regarding these allegations.</w:t>
      </w:r>
      <w:r>
        <w:rPr>
          <w:rStyle w:val="FootnoteReference"/>
          <w:rFonts w:ascii="Verdana" w:eastAsia="Times New Roman" w:hAnsi="Verdana" w:cs="Arial"/>
          <w:sz w:val="24"/>
          <w:szCs w:val="24"/>
          <w:lang w:eastAsia="en-ZA"/>
        </w:rPr>
        <w:footnoteReference w:id="46"/>
      </w:r>
    </w:p>
    <w:p w14:paraId="323D9992" w14:textId="77777777" w:rsidR="0025396F" w:rsidRDefault="0025396F" w:rsidP="0025396F">
      <w:pPr>
        <w:spacing w:after="240" w:line="480" w:lineRule="auto"/>
        <w:jc w:val="both"/>
        <w:rPr>
          <w:rFonts w:ascii="Verdana" w:eastAsia="Times New Roman" w:hAnsi="Verdana" w:cs="Arial"/>
          <w:sz w:val="24"/>
          <w:szCs w:val="24"/>
          <w:lang w:eastAsia="en-ZA"/>
        </w:rPr>
      </w:pPr>
    </w:p>
    <w:p w14:paraId="0039355C" w14:textId="1EC58C4D"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7</w:t>
      </w:r>
      <w:r>
        <w:rPr>
          <w:rFonts w:ascii="Verdana" w:eastAsia="Times New Roman" w:hAnsi="Verdana" w:cs="Arial"/>
          <w:sz w:val="24"/>
          <w:szCs w:val="24"/>
          <w:lang w:eastAsia="en-ZA"/>
        </w:rPr>
        <w:t>.2 The National Appeals Committee considered the inadvertent reference to a “clearing agent” in the internal appeal (instead of a “registered agent”) as” misleading”.</w:t>
      </w:r>
      <w:r>
        <w:rPr>
          <w:rStyle w:val="FootnoteReference"/>
          <w:rFonts w:ascii="Verdana" w:eastAsia="Times New Roman" w:hAnsi="Verdana" w:cs="Arial"/>
          <w:sz w:val="24"/>
          <w:szCs w:val="24"/>
          <w:lang w:eastAsia="en-ZA"/>
        </w:rPr>
        <w:footnoteReference w:id="47"/>
      </w:r>
      <w:r>
        <w:rPr>
          <w:rFonts w:ascii="Verdana" w:eastAsia="Times New Roman" w:hAnsi="Verdana" w:cs="Arial"/>
          <w:sz w:val="24"/>
          <w:szCs w:val="24"/>
          <w:lang w:eastAsia="en-ZA"/>
        </w:rPr>
        <w:t xml:space="preserve"> This mistake is trivial.</w:t>
      </w:r>
      <w:r>
        <w:rPr>
          <w:rStyle w:val="FootnoteReference"/>
          <w:rFonts w:ascii="Verdana" w:eastAsia="Times New Roman" w:hAnsi="Verdana" w:cs="Arial"/>
          <w:sz w:val="24"/>
          <w:szCs w:val="24"/>
          <w:lang w:eastAsia="en-ZA"/>
        </w:rPr>
        <w:footnoteReference w:id="48"/>
      </w:r>
    </w:p>
    <w:p w14:paraId="2DC0AA31" w14:textId="77777777" w:rsidR="0025396F" w:rsidRDefault="0025396F" w:rsidP="0025396F">
      <w:pPr>
        <w:spacing w:after="240" w:line="480" w:lineRule="auto"/>
        <w:jc w:val="both"/>
        <w:rPr>
          <w:rFonts w:ascii="Verdana" w:eastAsia="Times New Roman" w:hAnsi="Verdana" w:cs="Arial"/>
          <w:sz w:val="24"/>
          <w:szCs w:val="24"/>
          <w:lang w:eastAsia="en-ZA"/>
        </w:rPr>
      </w:pPr>
    </w:p>
    <w:p w14:paraId="534DF43D" w14:textId="058D331F"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7</w:t>
      </w:r>
      <w:r>
        <w:rPr>
          <w:rFonts w:ascii="Verdana" w:eastAsia="Times New Roman" w:hAnsi="Verdana" w:cs="Arial"/>
          <w:sz w:val="24"/>
          <w:szCs w:val="24"/>
          <w:lang w:eastAsia="en-ZA"/>
        </w:rPr>
        <w:t>.3 The National Appeal Committee considered the Letter of Demand issued by SARS for the R36 million on 29 April 2019.</w:t>
      </w:r>
      <w:r>
        <w:rPr>
          <w:rStyle w:val="FootnoteReference"/>
          <w:rFonts w:ascii="Verdana" w:eastAsia="Times New Roman" w:hAnsi="Verdana" w:cs="Arial"/>
          <w:sz w:val="24"/>
          <w:szCs w:val="24"/>
          <w:lang w:eastAsia="en-ZA"/>
        </w:rPr>
        <w:footnoteReference w:id="49"/>
      </w:r>
      <w:r>
        <w:rPr>
          <w:rFonts w:ascii="Verdana" w:eastAsia="Times New Roman" w:hAnsi="Verdana" w:cs="Arial"/>
          <w:sz w:val="24"/>
          <w:szCs w:val="24"/>
          <w:lang w:eastAsia="en-ZA"/>
        </w:rPr>
        <w:t xml:space="preserve"> However, this demand was simply a repetition of a demand for the same alleged debt in </w:t>
      </w:r>
      <w:proofErr w:type="gramStart"/>
      <w:r>
        <w:rPr>
          <w:rFonts w:ascii="Verdana" w:eastAsia="Times New Roman" w:hAnsi="Verdana" w:cs="Arial"/>
          <w:sz w:val="24"/>
          <w:szCs w:val="24"/>
          <w:lang w:eastAsia="en-ZA"/>
        </w:rPr>
        <w:t>exactly the same</w:t>
      </w:r>
      <w:proofErr w:type="gramEnd"/>
      <w:r>
        <w:rPr>
          <w:rFonts w:ascii="Verdana" w:eastAsia="Times New Roman" w:hAnsi="Verdana" w:cs="Arial"/>
          <w:sz w:val="24"/>
          <w:szCs w:val="24"/>
          <w:lang w:eastAsia="en-ZA"/>
        </w:rPr>
        <w:t xml:space="preserve"> amount, dated 3 August 2018.</w:t>
      </w:r>
      <w:r>
        <w:rPr>
          <w:rStyle w:val="FootnoteReference"/>
          <w:rFonts w:ascii="Verdana" w:eastAsia="Times New Roman" w:hAnsi="Verdana" w:cs="Arial"/>
          <w:sz w:val="24"/>
          <w:szCs w:val="24"/>
          <w:lang w:eastAsia="en-ZA"/>
        </w:rPr>
        <w:footnoteReference w:id="50"/>
      </w:r>
      <w:r>
        <w:rPr>
          <w:rFonts w:ascii="Verdana" w:eastAsia="Times New Roman" w:hAnsi="Verdana" w:cs="Arial"/>
          <w:sz w:val="24"/>
          <w:szCs w:val="24"/>
          <w:lang w:eastAsia="en-ZA"/>
        </w:rPr>
        <w:t xml:space="preserve"> The letter demand of 29 April 2019 was issued after the suspension of payment was granted on 21 February 2019. The only justifiable inference is that SARS overlooked the fact that payment of the debt had been suspended.</w:t>
      </w:r>
    </w:p>
    <w:p w14:paraId="709FB999" w14:textId="77777777" w:rsidR="0025396F" w:rsidRDefault="0025396F" w:rsidP="0025396F">
      <w:pPr>
        <w:spacing w:after="240" w:line="480" w:lineRule="auto"/>
        <w:jc w:val="both"/>
        <w:rPr>
          <w:rFonts w:ascii="Verdana" w:eastAsia="Times New Roman" w:hAnsi="Verdana" w:cs="Arial"/>
          <w:sz w:val="24"/>
          <w:szCs w:val="24"/>
          <w:lang w:eastAsia="en-ZA"/>
        </w:rPr>
      </w:pPr>
    </w:p>
    <w:p w14:paraId="3AA022EF" w14:textId="29273D0F" w:rsidR="0025396F" w:rsidRDefault="0025396F" w:rsidP="0025396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6</w:t>
      </w:r>
      <w:r w:rsidR="0061488B">
        <w:rPr>
          <w:rFonts w:ascii="Verdana" w:eastAsia="Times New Roman" w:hAnsi="Verdana" w:cs="Arial"/>
          <w:sz w:val="24"/>
          <w:szCs w:val="24"/>
          <w:lang w:eastAsia="en-ZA"/>
        </w:rPr>
        <w:t>8</w:t>
      </w:r>
      <w:r>
        <w:rPr>
          <w:rFonts w:ascii="Verdana" w:eastAsia="Times New Roman" w:hAnsi="Verdana" w:cs="Arial"/>
          <w:sz w:val="24"/>
          <w:szCs w:val="24"/>
          <w:lang w:eastAsia="en-ZA"/>
        </w:rPr>
        <w:t xml:space="preserve">. </w:t>
      </w:r>
      <w:proofErr w:type="gramStart"/>
      <w:r>
        <w:rPr>
          <w:rFonts w:ascii="Verdana" w:eastAsia="Times New Roman" w:hAnsi="Verdana" w:cs="Arial"/>
          <w:sz w:val="24"/>
          <w:szCs w:val="24"/>
          <w:lang w:eastAsia="en-ZA"/>
        </w:rPr>
        <w:t>As a consequence of</w:t>
      </w:r>
      <w:proofErr w:type="gramEnd"/>
      <w:r>
        <w:rPr>
          <w:rFonts w:ascii="Verdana" w:eastAsia="Times New Roman" w:hAnsi="Verdana" w:cs="Arial"/>
          <w:sz w:val="24"/>
          <w:szCs w:val="24"/>
          <w:lang w:eastAsia="en-ZA"/>
        </w:rPr>
        <w:t xml:space="preserve"> SARS’ failure to give proper consideration to the relevant factors listed above, the refusals of the SOS warehouse applications are liable to be set aside and ought to be referred back to the Commissioner for reconsideration.</w:t>
      </w:r>
    </w:p>
    <w:p w14:paraId="2C690A82" w14:textId="77777777" w:rsidR="0025396F" w:rsidRPr="00380682" w:rsidRDefault="0025396F" w:rsidP="0025396F">
      <w:pPr>
        <w:spacing w:after="240" w:line="480" w:lineRule="auto"/>
        <w:jc w:val="both"/>
        <w:rPr>
          <w:rFonts w:ascii="Verdana" w:eastAsia="Times New Roman" w:hAnsi="Verdana" w:cs="Arial"/>
          <w:bCs/>
          <w:sz w:val="24"/>
          <w:szCs w:val="24"/>
          <w:lang w:eastAsia="en-ZA"/>
        </w:rPr>
      </w:pPr>
    </w:p>
    <w:p w14:paraId="2D73A73D" w14:textId="5E0F1A7E" w:rsidR="0025396F" w:rsidRDefault="0025396F" w:rsidP="00E43BB0">
      <w:pPr>
        <w:spacing w:after="240" w:line="480" w:lineRule="auto"/>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lastRenderedPageBreak/>
        <w:t>6</w:t>
      </w:r>
      <w:r w:rsidR="0061488B">
        <w:rPr>
          <w:rFonts w:ascii="Verdana" w:eastAsia="Times New Roman" w:hAnsi="Verdana" w:cs="Arial"/>
          <w:sz w:val="24"/>
          <w:szCs w:val="24"/>
          <w:lang w:eastAsia="en-ZA"/>
        </w:rPr>
        <w:t>9</w:t>
      </w:r>
      <w:r>
        <w:rPr>
          <w:rFonts w:ascii="Verdana" w:eastAsia="Times New Roman" w:hAnsi="Verdana" w:cs="Arial"/>
          <w:sz w:val="24"/>
          <w:szCs w:val="24"/>
          <w:lang w:eastAsia="en-ZA"/>
        </w:rPr>
        <w:t xml:space="preserve">. On behalf of the Respondent it was argued that </w:t>
      </w:r>
      <w:r w:rsidR="00E43BB0" w:rsidRPr="0025396F">
        <w:rPr>
          <w:rFonts w:ascii="Verdana" w:eastAsia="Times New Roman" w:hAnsi="Verdana" w:cs="Arial"/>
          <w:sz w:val="24"/>
          <w:szCs w:val="24"/>
          <w:lang w:eastAsia="en-ZA"/>
        </w:rPr>
        <w:t xml:space="preserve">it follows logically that for so long as there is a finding by SARS, albeit challenged, that an Applicant contravened the Act, then within the context of the empowering legislation there is in respect of that person a contravention of the Act. </w:t>
      </w:r>
      <w:r w:rsidR="009B4451">
        <w:rPr>
          <w:rFonts w:ascii="Verdana" w:eastAsia="Times New Roman" w:hAnsi="Verdana" w:cs="Arial"/>
          <w:sz w:val="24"/>
          <w:szCs w:val="24"/>
          <w:lang w:eastAsia="en-ZA"/>
        </w:rPr>
        <w:t>This position this Court agrees with.</w:t>
      </w:r>
    </w:p>
    <w:p w14:paraId="5EF16C87" w14:textId="77777777" w:rsidR="0025396F" w:rsidRDefault="0025396F" w:rsidP="00E43BB0">
      <w:pPr>
        <w:spacing w:after="240" w:line="480" w:lineRule="auto"/>
        <w:jc w:val="both"/>
        <w:rPr>
          <w:rFonts w:ascii="Verdana" w:eastAsia="Times New Roman" w:hAnsi="Verdana" w:cs="Arial"/>
          <w:sz w:val="24"/>
          <w:szCs w:val="24"/>
          <w:lang w:eastAsia="en-ZA"/>
        </w:rPr>
      </w:pPr>
    </w:p>
    <w:p w14:paraId="34636A69" w14:textId="1810C9B9" w:rsidR="00E43BB0" w:rsidRDefault="0061488B"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70</w:t>
      </w:r>
      <w:r w:rsidR="0025396F">
        <w:rPr>
          <w:rFonts w:ascii="Verdana" w:eastAsia="Times New Roman" w:hAnsi="Verdana" w:cs="Arial"/>
          <w:sz w:val="24"/>
          <w:szCs w:val="24"/>
          <w:lang w:eastAsia="en-ZA"/>
        </w:rPr>
        <w:t>. T</w:t>
      </w:r>
      <w:r w:rsidR="00E43BB0" w:rsidRPr="0025396F">
        <w:rPr>
          <w:rFonts w:ascii="Verdana" w:eastAsia="Times New Roman" w:hAnsi="Verdana" w:cs="Arial"/>
          <w:sz w:val="24"/>
          <w:szCs w:val="24"/>
          <w:lang w:eastAsia="en-ZA"/>
        </w:rPr>
        <w:t>hat is so because the Commissioner had arrived at such a finding, it has consequences and effect must be given to it, until set aside by a court of law.</w:t>
      </w:r>
      <w:r w:rsidR="009B4451">
        <w:rPr>
          <w:rFonts w:ascii="Verdana" w:eastAsia="Times New Roman" w:hAnsi="Verdana" w:cs="Arial"/>
          <w:sz w:val="24"/>
          <w:szCs w:val="24"/>
          <w:lang w:eastAsia="en-ZA"/>
        </w:rPr>
        <w:t xml:space="preserve"> To date the decision of the Commissioner stands.</w:t>
      </w:r>
    </w:p>
    <w:p w14:paraId="5E74B702" w14:textId="77777777" w:rsidR="0025396F" w:rsidRPr="0025396F" w:rsidRDefault="0025396F" w:rsidP="00E43BB0">
      <w:pPr>
        <w:spacing w:after="240" w:line="480" w:lineRule="auto"/>
        <w:jc w:val="both"/>
        <w:rPr>
          <w:rFonts w:ascii="Verdana" w:eastAsia="Times New Roman" w:hAnsi="Verdana" w:cs="Arial"/>
          <w:sz w:val="24"/>
          <w:szCs w:val="24"/>
          <w:lang w:eastAsia="en-ZA"/>
        </w:rPr>
      </w:pPr>
    </w:p>
    <w:p w14:paraId="64F5FD9C" w14:textId="197DE5D8" w:rsidR="00E43BB0" w:rsidRPr="0025396F" w:rsidRDefault="0025396F"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1</w:t>
      </w:r>
      <w:r w:rsidR="00E43BB0" w:rsidRPr="0025396F">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In addition,</w:t>
      </w:r>
      <w:r w:rsidR="00E43BB0" w:rsidRPr="0025396F">
        <w:rPr>
          <w:rFonts w:ascii="Verdana" w:eastAsia="Times New Roman" w:hAnsi="Verdana" w:cs="Arial"/>
          <w:sz w:val="24"/>
          <w:szCs w:val="24"/>
          <w:lang w:eastAsia="en-ZA"/>
        </w:rPr>
        <w:t xml:space="preserve"> in any event</w:t>
      </w:r>
      <w:r>
        <w:rPr>
          <w:rFonts w:ascii="Verdana" w:eastAsia="Times New Roman" w:hAnsi="Verdana" w:cs="Arial"/>
          <w:sz w:val="24"/>
          <w:szCs w:val="24"/>
          <w:lang w:eastAsia="en-ZA"/>
        </w:rPr>
        <w:t>, it was</w:t>
      </w:r>
      <w:r w:rsidR="00E43BB0" w:rsidRPr="0025396F">
        <w:rPr>
          <w:rFonts w:ascii="Verdana" w:eastAsia="Times New Roman" w:hAnsi="Verdana" w:cs="Arial"/>
          <w:sz w:val="24"/>
          <w:szCs w:val="24"/>
          <w:lang w:eastAsia="en-ZA"/>
        </w:rPr>
        <w:t xml:space="preserve"> incumbent upon the Applicant to at </w:t>
      </w:r>
      <w:r w:rsidR="0061488B">
        <w:rPr>
          <w:rFonts w:ascii="Verdana" w:eastAsia="Times New Roman" w:hAnsi="Verdana" w:cs="Arial"/>
          <w:sz w:val="24"/>
          <w:szCs w:val="24"/>
          <w:lang w:eastAsia="en-ZA"/>
        </w:rPr>
        <w:t xml:space="preserve">the very </w:t>
      </w:r>
      <w:r w:rsidR="00E43BB0" w:rsidRPr="0025396F">
        <w:rPr>
          <w:rFonts w:ascii="Verdana" w:eastAsia="Times New Roman" w:hAnsi="Verdana" w:cs="Arial"/>
          <w:sz w:val="24"/>
          <w:szCs w:val="24"/>
          <w:lang w:eastAsia="en-ZA"/>
        </w:rPr>
        <w:t>least disclose in the application forms that although the Commissioner had arrived at a conclusion that there was a contravention of the Act, the Applicant is challenging the finding and that therefore that finding ought not to be held against the Applicant for the licensee.</w:t>
      </w:r>
      <w:r w:rsidR="009B4451">
        <w:rPr>
          <w:rFonts w:ascii="Verdana" w:eastAsia="Times New Roman" w:hAnsi="Verdana" w:cs="Arial"/>
          <w:sz w:val="24"/>
          <w:szCs w:val="24"/>
          <w:lang w:eastAsia="en-ZA"/>
        </w:rPr>
        <w:t xml:space="preserve"> This the applicant had failed to do and instead it omitted to stipulate same.</w:t>
      </w:r>
    </w:p>
    <w:p w14:paraId="4C0F2C21" w14:textId="77777777" w:rsidR="00E43BB0" w:rsidRPr="0025396F" w:rsidRDefault="00E43BB0" w:rsidP="00E43BB0">
      <w:pPr>
        <w:spacing w:after="240" w:line="480" w:lineRule="auto"/>
        <w:jc w:val="both"/>
        <w:rPr>
          <w:rFonts w:ascii="Verdana" w:eastAsia="Times New Roman" w:hAnsi="Verdana" w:cs="Arial"/>
          <w:sz w:val="24"/>
          <w:szCs w:val="24"/>
          <w:lang w:eastAsia="en-ZA"/>
        </w:rPr>
      </w:pPr>
    </w:p>
    <w:p w14:paraId="7D1CBB63" w14:textId="7DE2F9DB" w:rsidR="00E43BB0" w:rsidRPr="0025396F" w:rsidRDefault="0025396F"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2</w:t>
      </w:r>
      <w:r w:rsidR="00E43BB0" w:rsidRPr="0025396F">
        <w:rPr>
          <w:rFonts w:ascii="Verdana" w:eastAsia="Times New Roman" w:hAnsi="Verdana" w:cs="Arial"/>
          <w:sz w:val="24"/>
          <w:szCs w:val="24"/>
          <w:lang w:eastAsia="en-ZA"/>
        </w:rPr>
        <w:t>.</w:t>
      </w:r>
      <w:r>
        <w:rPr>
          <w:rFonts w:ascii="Verdana" w:eastAsia="Times New Roman" w:hAnsi="Verdana" w:cs="Arial"/>
          <w:sz w:val="24"/>
          <w:szCs w:val="24"/>
          <w:lang w:eastAsia="en-ZA"/>
        </w:rPr>
        <w:t xml:space="preserve"> If there had been</w:t>
      </w:r>
      <w:r w:rsidR="00E43BB0" w:rsidRPr="0025396F">
        <w:rPr>
          <w:rFonts w:ascii="Verdana" w:eastAsia="Times New Roman" w:hAnsi="Verdana" w:cs="Arial"/>
          <w:sz w:val="24"/>
          <w:szCs w:val="24"/>
          <w:lang w:eastAsia="en-ZA"/>
        </w:rPr>
        <w:t xml:space="preserve"> a full and frank disclosure, the Commissioner </w:t>
      </w:r>
      <w:r>
        <w:rPr>
          <w:rFonts w:ascii="Verdana" w:eastAsia="Times New Roman" w:hAnsi="Verdana" w:cs="Arial"/>
          <w:sz w:val="24"/>
          <w:szCs w:val="24"/>
          <w:lang w:eastAsia="en-ZA"/>
        </w:rPr>
        <w:t>would have attracted a</w:t>
      </w:r>
      <w:r w:rsidR="00E43BB0" w:rsidRPr="0025396F">
        <w:rPr>
          <w:rFonts w:ascii="Verdana" w:eastAsia="Times New Roman" w:hAnsi="Verdana" w:cs="Arial"/>
          <w:sz w:val="24"/>
          <w:szCs w:val="24"/>
          <w:lang w:eastAsia="en-ZA"/>
        </w:rPr>
        <w:t xml:space="preserve"> discretion to grant a licence, even if a transgression was committed. But in such instance the Commissioner must be satisfied that </w:t>
      </w:r>
      <w:r w:rsidR="00E43BB0" w:rsidRPr="0025396F">
        <w:rPr>
          <w:rFonts w:ascii="Verdana" w:eastAsia="Times New Roman" w:hAnsi="Verdana" w:cs="Arial"/>
          <w:sz w:val="24"/>
          <w:szCs w:val="24"/>
          <w:lang w:eastAsia="en-ZA"/>
        </w:rPr>
        <w:lastRenderedPageBreak/>
        <w:t>the transgression was “inadvertent”, without fraudulent intent or gross negligence.</w:t>
      </w:r>
      <w:r w:rsidR="00E43BB0" w:rsidRPr="0025396F">
        <w:rPr>
          <w:rStyle w:val="FootnoteReference"/>
          <w:rFonts w:ascii="Verdana" w:eastAsia="Times New Roman" w:hAnsi="Verdana" w:cs="Arial"/>
          <w:sz w:val="24"/>
          <w:szCs w:val="24"/>
          <w:lang w:eastAsia="en-ZA"/>
        </w:rPr>
        <w:footnoteReference w:id="51"/>
      </w:r>
    </w:p>
    <w:p w14:paraId="524DB728" w14:textId="77777777" w:rsidR="00E43BB0" w:rsidRPr="0025396F" w:rsidRDefault="00E43BB0" w:rsidP="00E43BB0">
      <w:pPr>
        <w:spacing w:after="240" w:line="480" w:lineRule="auto"/>
        <w:jc w:val="both"/>
        <w:rPr>
          <w:rFonts w:ascii="Verdana" w:eastAsia="Times New Roman" w:hAnsi="Verdana" w:cs="Arial"/>
          <w:sz w:val="24"/>
          <w:szCs w:val="24"/>
          <w:lang w:eastAsia="en-ZA"/>
        </w:rPr>
      </w:pPr>
    </w:p>
    <w:p w14:paraId="0A784C7B" w14:textId="77893C77" w:rsidR="00E43BB0" w:rsidRPr="0025396F" w:rsidRDefault="00FE749C"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3</w:t>
      </w:r>
      <w:r w:rsidR="00E43BB0" w:rsidRPr="0025396F">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 xml:space="preserve">In </w:t>
      </w:r>
      <w:proofErr w:type="spellStart"/>
      <w:r>
        <w:rPr>
          <w:rFonts w:ascii="Verdana" w:eastAsia="Times New Roman" w:hAnsi="Verdana" w:cs="Arial"/>
          <w:sz w:val="24"/>
          <w:szCs w:val="24"/>
          <w:lang w:eastAsia="en-ZA"/>
        </w:rPr>
        <w:t>casu</w:t>
      </w:r>
      <w:proofErr w:type="spellEnd"/>
      <w:r>
        <w:rPr>
          <w:rFonts w:ascii="Verdana" w:eastAsia="Times New Roman" w:hAnsi="Verdana" w:cs="Arial"/>
          <w:sz w:val="24"/>
          <w:szCs w:val="24"/>
          <w:lang w:eastAsia="en-ZA"/>
        </w:rPr>
        <w:t xml:space="preserve">, </w:t>
      </w:r>
      <w:r w:rsidR="009B4451">
        <w:rPr>
          <w:rFonts w:ascii="Verdana" w:eastAsia="Times New Roman" w:hAnsi="Verdana" w:cs="Arial"/>
          <w:sz w:val="24"/>
          <w:szCs w:val="24"/>
          <w:lang w:eastAsia="en-ZA"/>
        </w:rPr>
        <w:t xml:space="preserve">counsel for the Respondent had argued, that </w:t>
      </w:r>
      <w:r>
        <w:rPr>
          <w:rFonts w:ascii="Verdana" w:eastAsia="Times New Roman" w:hAnsi="Verdana" w:cs="Arial"/>
          <w:sz w:val="24"/>
          <w:szCs w:val="24"/>
          <w:lang w:eastAsia="en-ZA"/>
        </w:rPr>
        <w:t>i</w:t>
      </w:r>
      <w:r w:rsidR="00E43BB0" w:rsidRPr="0025396F">
        <w:rPr>
          <w:rFonts w:ascii="Verdana" w:eastAsia="Times New Roman" w:hAnsi="Verdana" w:cs="Arial"/>
          <w:sz w:val="24"/>
          <w:szCs w:val="24"/>
          <w:lang w:eastAsia="en-ZA"/>
        </w:rPr>
        <w:t>t is abundantly clear that the Applicant cannot rely upon Rule 60.04(2)(c) because the transgression as found by the Commissioner was surely not under circumstances where the transgression was inadvertent, without fraudulent intent or gross negligence. In fact, according to the letter of demand, the Applicant wilfully and fraudulently mislead the Commissioner.</w:t>
      </w:r>
      <w:r w:rsidR="009B4451">
        <w:rPr>
          <w:rFonts w:ascii="Verdana" w:eastAsia="Times New Roman" w:hAnsi="Verdana" w:cs="Arial"/>
          <w:sz w:val="24"/>
          <w:szCs w:val="24"/>
          <w:lang w:eastAsia="en-ZA"/>
        </w:rPr>
        <w:t xml:space="preserve"> This stance this Court agrees with.</w:t>
      </w:r>
    </w:p>
    <w:p w14:paraId="441AC115" w14:textId="77777777" w:rsidR="00E43BB0" w:rsidRPr="0025396F" w:rsidRDefault="00E43BB0" w:rsidP="00E43BB0">
      <w:pPr>
        <w:spacing w:after="240" w:line="480" w:lineRule="auto"/>
        <w:jc w:val="both"/>
        <w:rPr>
          <w:rFonts w:ascii="Verdana" w:eastAsia="Times New Roman" w:hAnsi="Verdana" w:cs="Arial"/>
          <w:sz w:val="24"/>
          <w:szCs w:val="24"/>
          <w:lang w:eastAsia="en-ZA"/>
        </w:rPr>
      </w:pPr>
    </w:p>
    <w:p w14:paraId="516E1786" w14:textId="757CF937" w:rsidR="00E43BB0" w:rsidRPr="0025396F" w:rsidRDefault="00FE749C"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4</w:t>
      </w:r>
      <w:r w:rsidR="00E43BB0" w:rsidRPr="0025396F">
        <w:rPr>
          <w:rFonts w:ascii="Verdana" w:eastAsia="Times New Roman" w:hAnsi="Verdana" w:cs="Arial"/>
          <w:sz w:val="24"/>
          <w:szCs w:val="24"/>
          <w:lang w:eastAsia="en-ZA"/>
        </w:rPr>
        <w:t>. With reference to the finding arrived at by the Appeals Committee</w:t>
      </w:r>
      <w:r>
        <w:rPr>
          <w:rFonts w:ascii="Verdana" w:eastAsia="Times New Roman" w:hAnsi="Verdana" w:cs="Arial"/>
          <w:sz w:val="24"/>
          <w:szCs w:val="24"/>
          <w:lang w:eastAsia="en-ZA"/>
        </w:rPr>
        <w:t xml:space="preserve">, counsel for the Respondent had submitted that </w:t>
      </w:r>
      <w:r w:rsidR="00E43BB0" w:rsidRPr="0025396F">
        <w:rPr>
          <w:rFonts w:ascii="Verdana" w:eastAsia="Times New Roman" w:hAnsi="Verdana" w:cs="Arial"/>
          <w:sz w:val="24"/>
          <w:szCs w:val="24"/>
          <w:lang w:eastAsia="en-ZA"/>
        </w:rPr>
        <w:t xml:space="preserve">the Applicant argues that the Appeals Committee had not given sufficiently good reasons for its decision. </w:t>
      </w:r>
      <w:r>
        <w:rPr>
          <w:rFonts w:ascii="Verdana" w:eastAsia="Times New Roman" w:hAnsi="Verdana" w:cs="Arial"/>
          <w:sz w:val="24"/>
          <w:szCs w:val="24"/>
          <w:lang w:eastAsia="en-ZA"/>
        </w:rPr>
        <w:t>This is refuted as it</w:t>
      </w:r>
      <w:r w:rsidR="00E43BB0" w:rsidRPr="0025396F">
        <w:rPr>
          <w:rFonts w:ascii="Verdana" w:eastAsia="Times New Roman" w:hAnsi="Verdana" w:cs="Arial"/>
          <w:sz w:val="24"/>
          <w:szCs w:val="24"/>
          <w:lang w:eastAsia="en-ZA"/>
        </w:rPr>
        <w:t xml:space="preserve"> is abundantly clear that the Appeals Committee stated the following, and these reasons are with respect sound and solid:</w:t>
      </w:r>
    </w:p>
    <w:p w14:paraId="37AE324F" w14:textId="77777777" w:rsidR="00E43BB0" w:rsidRPr="0025396F" w:rsidRDefault="00E43BB0" w:rsidP="00FE749C">
      <w:pPr>
        <w:spacing w:after="240" w:line="480" w:lineRule="auto"/>
        <w:ind w:left="720"/>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t>“6. Based on the documentary evidence before the Committee you are advised as set out below:</w:t>
      </w:r>
    </w:p>
    <w:p w14:paraId="30CCDC90" w14:textId="77777777" w:rsidR="00E43BB0" w:rsidRPr="0025396F" w:rsidRDefault="00E43BB0" w:rsidP="00FE749C">
      <w:pPr>
        <w:spacing w:after="240" w:line="480" w:lineRule="auto"/>
        <w:ind w:left="720"/>
        <w:jc w:val="both"/>
        <w:rPr>
          <w:rFonts w:ascii="Verdana" w:eastAsia="Times New Roman" w:hAnsi="Verdana" w:cs="Arial"/>
          <w:sz w:val="24"/>
          <w:szCs w:val="24"/>
          <w:lang w:eastAsia="en-ZA"/>
        </w:rPr>
      </w:pPr>
    </w:p>
    <w:p w14:paraId="3E364E50" w14:textId="77777777" w:rsidR="00E43BB0" w:rsidRPr="0025396F" w:rsidRDefault="00E43BB0" w:rsidP="00FE749C">
      <w:pPr>
        <w:spacing w:after="240" w:line="480" w:lineRule="auto"/>
        <w:ind w:left="720"/>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t>6.1</w:t>
      </w:r>
      <w:r w:rsidRPr="0025396F">
        <w:rPr>
          <w:rFonts w:ascii="Verdana" w:eastAsia="Times New Roman" w:hAnsi="Verdana" w:cs="Arial"/>
          <w:sz w:val="24"/>
          <w:szCs w:val="24"/>
          <w:lang w:eastAsia="en-ZA"/>
        </w:rPr>
        <w:tab/>
        <w:t>the Committee’s view is that the refusal to licence the two warehouses in question centres on your failure to declare on your DA185’s that, in terms of a letter dated 3 August 2018 …</w:t>
      </w:r>
    </w:p>
    <w:p w14:paraId="44673046" w14:textId="77777777" w:rsidR="00E43BB0" w:rsidRPr="0025396F" w:rsidRDefault="00E43BB0" w:rsidP="00FE749C">
      <w:pPr>
        <w:spacing w:after="240" w:line="480" w:lineRule="auto"/>
        <w:ind w:left="720"/>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t>Conclusion:</w:t>
      </w:r>
    </w:p>
    <w:p w14:paraId="45B3C5C5" w14:textId="77777777" w:rsidR="00E43BB0" w:rsidRPr="0025396F" w:rsidRDefault="00E43BB0" w:rsidP="00FE749C">
      <w:pPr>
        <w:spacing w:after="240" w:line="480" w:lineRule="auto"/>
        <w:ind w:left="720"/>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t>7.</w:t>
      </w:r>
      <w:r w:rsidRPr="0025396F">
        <w:rPr>
          <w:rFonts w:ascii="Verdana" w:eastAsia="Times New Roman" w:hAnsi="Verdana" w:cs="Arial"/>
          <w:sz w:val="24"/>
          <w:szCs w:val="24"/>
          <w:lang w:eastAsia="en-ZA"/>
        </w:rPr>
        <w:tab/>
        <w:t>Based on the facts before the Committee the conclusion is as follows:</w:t>
      </w:r>
    </w:p>
    <w:p w14:paraId="5BC30F72" w14:textId="77777777" w:rsidR="00FE749C" w:rsidRDefault="00E43BB0" w:rsidP="00FE749C">
      <w:pPr>
        <w:spacing w:after="240" w:line="480" w:lineRule="auto"/>
        <w:ind w:left="720"/>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t>7.1</w:t>
      </w:r>
      <w:r w:rsidRPr="0025396F">
        <w:rPr>
          <w:rFonts w:ascii="Verdana" w:eastAsia="Times New Roman" w:hAnsi="Verdana" w:cs="Arial"/>
          <w:sz w:val="24"/>
          <w:szCs w:val="24"/>
          <w:lang w:eastAsia="en-ZA"/>
        </w:rPr>
        <w:tab/>
        <w:t>the Customs &amp; Excise Trader Registration’s decision is confirmed, due to non-compliance, contravention of the Act, as well as the outstanding schedule.”</w:t>
      </w:r>
    </w:p>
    <w:p w14:paraId="1CB6F654" w14:textId="0956A34A" w:rsidR="00E43BB0" w:rsidRPr="0025396F" w:rsidRDefault="00E43BB0" w:rsidP="00E43BB0">
      <w:pPr>
        <w:spacing w:after="240" w:line="480" w:lineRule="auto"/>
        <w:jc w:val="both"/>
        <w:rPr>
          <w:rFonts w:ascii="Verdana" w:eastAsia="Times New Roman" w:hAnsi="Verdana" w:cs="Arial"/>
          <w:sz w:val="24"/>
          <w:szCs w:val="24"/>
          <w:lang w:eastAsia="en-ZA"/>
        </w:rPr>
      </w:pPr>
      <w:r w:rsidRPr="0025396F">
        <w:rPr>
          <w:rFonts w:ascii="Verdana" w:eastAsia="Times New Roman" w:hAnsi="Verdana" w:cs="Arial"/>
          <w:sz w:val="24"/>
          <w:szCs w:val="24"/>
          <w:lang w:eastAsia="en-ZA"/>
        </w:rPr>
        <w:t xml:space="preserve"> </w:t>
      </w:r>
    </w:p>
    <w:p w14:paraId="390AE1C1" w14:textId="0AAF4DED" w:rsidR="00E43BB0" w:rsidRPr="00FE749C" w:rsidRDefault="00FE749C" w:rsidP="00E43BB0">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5</w:t>
      </w:r>
      <w:r w:rsidRPr="00FE749C">
        <w:rPr>
          <w:rFonts w:ascii="Verdana" w:eastAsia="Times New Roman" w:hAnsi="Verdana" w:cs="Arial"/>
          <w:sz w:val="24"/>
          <w:szCs w:val="24"/>
          <w:lang w:eastAsia="en-ZA"/>
        </w:rPr>
        <w:t>.</w:t>
      </w:r>
      <w:r w:rsidR="00E43BB0" w:rsidRPr="00FE749C">
        <w:rPr>
          <w:rFonts w:ascii="Verdana" w:eastAsia="Times New Roman" w:hAnsi="Verdana" w:cs="Arial"/>
          <w:sz w:val="24"/>
          <w:szCs w:val="24"/>
          <w:lang w:eastAsia="en-ZA"/>
        </w:rPr>
        <w:t xml:space="preserve"> It is </w:t>
      </w:r>
      <w:r>
        <w:rPr>
          <w:rFonts w:ascii="Verdana" w:eastAsia="Times New Roman" w:hAnsi="Verdana" w:cs="Arial"/>
          <w:sz w:val="24"/>
          <w:szCs w:val="24"/>
          <w:lang w:eastAsia="en-ZA"/>
        </w:rPr>
        <w:t>on this basis that it was therefore submitted that</w:t>
      </w:r>
      <w:r w:rsidR="00E43BB0" w:rsidRPr="00FE749C">
        <w:rPr>
          <w:rFonts w:ascii="Verdana" w:eastAsia="Times New Roman" w:hAnsi="Verdana" w:cs="Arial"/>
          <w:sz w:val="24"/>
          <w:szCs w:val="24"/>
          <w:lang w:eastAsia="en-ZA"/>
        </w:rPr>
        <w:t xml:space="preserve"> the Commissioner acted rationally and that it had a sound basis in law upon which to refuse the applications.</w:t>
      </w:r>
      <w:r w:rsidR="009C6846">
        <w:rPr>
          <w:rFonts w:ascii="Verdana" w:eastAsia="Times New Roman" w:hAnsi="Verdana" w:cs="Arial"/>
          <w:sz w:val="24"/>
          <w:szCs w:val="24"/>
          <w:lang w:eastAsia="en-ZA"/>
        </w:rPr>
        <w:t xml:space="preserve"> This position, this Court is </w:t>
      </w:r>
      <w:r w:rsidR="0061488B">
        <w:rPr>
          <w:rFonts w:ascii="Verdana" w:eastAsia="Times New Roman" w:hAnsi="Verdana" w:cs="Arial"/>
          <w:sz w:val="24"/>
          <w:szCs w:val="24"/>
          <w:lang w:eastAsia="en-ZA"/>
        </w:rPr>
        <w:t xml:space="preserve">also </w:t>
      </w:r>
      <w:r w:rsidR="009C6846">
        <w:rPr>
          <w:rFonts w:ascii="Verdana" w:eastAsia="Times New Roman" w:hAnsi="Verdana" w:cs="Arial"/>
          <w:sz w:val="24"/>
          <w:szCs w:val="24"/>
          <w:lang w:eastAsia="en-ZA"/>
        </w:rPr>
        <w:t>in agreement with.</w:t>
      </w:r>
    </w:p>
    <w:p w14:paraId="71838AE4" w14:textId="77777777" w:rsidR="00E43BB0" w:rsidRPr="00FE749C" w:rsidRDefault="00E43BB0" w:rsidP="00E43BB0">
      <w:pPr>
        <w:spacing w:after="240" w:line="480" w:lineRule="auto"/>
        <w:jc w:val="both"/>
        <w:rPr>
          <w:rFonts w:ascii="Verdana" w:eastAsia="Times New Roman" w:hAnsi="Verdana" w:cs="Arial"/>
          <w:sz w:val="24"/>
          <w:szCs w:val="24"/>
          <w:lang w:eastAsia="en-ZA"/>
        </w:rPr>
      </w:pPr>
    </w:p>
    <w:p w14:paraId="35AE3F69" w14:textId="626EC9DD" w:rsidR="008C7F63" w:rsidRDefault="009C6846" w:rsidP="001771A6">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6</w:t>
      </w:r>
      <w:r>
        <w:rPr>
          <w:rFonts w:ascii="Verdana" w:eastAsia="Times New Roman" w:hAnsi="Verdana" w:cs="Arial"/>
          <w:sz w:val="24"/>
          <w:szCs w:val="24"/>
          <w:lang w:eastAsia="en-ZA"/>
        </w:rPr>
        <w:t xml:space="preserve">. Therefore, </w:t>
      </w:r>
      <w:proofErr w:type="gramStart"/>
      <w:r w:rsidR="004C4045">
        <w:rPr>
          <w:rFonts w:ascii="Verdana" w:eastAsia="Times New Roman" w:hAnsi="Verdana" w:cs="Arial"/>
          <w:sz w:val="24"/>
          <w:szCs w:val="24"/>
          <w:lang w:eastAsia="en-ZA"/>
        </w:rPr>
        <w:t>in view of the fact</w:t>
      </w:r>
      <w:r>
        <w:rPr>
          <w:rFonts w:ascii="Verdana" w:eastAsia="Times New Roman" w:hAnsi="Verdana" w:cs="Arial"/>
          <w:sz w:val="24"/>
          <w:szCs w:val="24"/>
          <w:lang w:eastAsia="en-ZA"/>
        </w:rPr>
        <w:t xml:space="preserve"> that</w:t>
      </w:r>
      <w:proofErr w:type="gramEnd"/>
      <w:r>
        <w:rPr>
          <w:rFonts w:ascii="Verdana" w:eastAsia="Times New Roman" w:hAnsi="Verdana" w:cs="Arial"/>
          <w:sz w:val="24"/>
          <w:szCs w:val="24"/>
          <w:lang w:eastAsia="en-ZA"/>
        </w:rPr>
        <w:t xml:space="preserve"> the </w:t>
      </w:r>
      <w:r w:rsidR="00214B53">
        <w:rPr>
          <w:rFonts w:ascii="Verdana" w:eastAsia="Times New Roman" w:hAnsi="Verdana" w:cs="Arial"/>
          <w:sz w:val="24"/>
          <w:szCs w:val="24"/>
          <w:lang w:eastAsia="en-ZA"/>
        </w:rPr>
        <w:t xml:space="preserve">Applicant failed to </w:t>
      </w:r>
      <w:r>
        <w:rPr>
          <w:rFonts w:ascii="Verdana" w:eastAsia="Times New Roman" w:hAnsi="Verdana" w:cs="Arial"/>
          <w:sz w:val="24"/>
          <w:szCs w:val="24"/>
          <w:lang w:eastAsia="en-ZA"/>
        </w:rPr>
        <w:t>persuade this Court that the decision of the Commissioner is reviewable, in terms of PAJA, this Court cannot conclude that the decision so taken by the Responde</w:t>
      </w:r>
      <w:r w:rsidR="00D90762">
        <w:rPr>
          <w:rFonts w:ascii="Verdana" w:eastAsia="Times New Roman" w:hAnsi="Verdana" w:cs="Arial"/>
          <w:sz w:val="24"/>
          <w:szCs w:val="24"/>
          <w:lang w:eastAsia="en-ZA"/>
        </w:rPr>
        <w:t>nt</w:t>
      </w:r>
      <w:r w:rsidR="00214B53">
        <w:rPr>
          <w:rFonts w:ascii="Verdana" w:eastAsia="Times New Roman" w:hAnsi="Verdana" w:cs="Arial"/>
          <w:sz w:val="24"/>
          <w:szCs w:val="24"/>
          <w:lang w:eastAsia="en-ZA"/>
        </w:rPr>
        <w:t xml:space="preserve"> was wrong</w:t>
      </w:r>
      <w:r w:rsidR="001771A6">
        <w:rPr>
          <w:rFonts w:ascii="Verdana" w:eastAsia="Times New Roman" w:hAnsi="Verdana" w:cs="Arial"/>
          <w:sz w:val="24"/>
          <w:szCs w:val="24"/>
          <w:lang w:eastAsia="en-ZA"/>
        </w:rPr>
        <w:t>, or that the</w:t>
      </w:r>
      <w:r w:rsidR="008C7F63" w:rsidRPr="001771A6">
        <w:rPr>
          <w:rFonts w:ascii="Verdana" w:eastAsia="Times New Roman" w:hAnsi="Verdana" w:cs="Arial"/>
          <w:sz w:val="24"/>
          <w:szCs w:val="24"/>
          <w:lang w:eastAsia="en-ZA"/>
        </w:rPr>
        <w:t xml:space="preserve"> decision maker </w:t>
      </w:r>
      <w:r w:rsidR="001771A6">
        <w:rPr>
          <w:rFonts w:ascii="Verdana" w:eastAsia="Times New Roman" w:hAnsi="Verdana" w:cs="Arial"/>
          <w:sz w:val="24"/>
          <w:szCs w:val="24"/>
          <w:lang w:eastAsia="en-ZA"/>
        </w:rPr>
        <w:t xml:space="preserve">failed to </w:t>
      </w:r>
      <w:r w:rsidR="008C7F63" w:rsidRPr="001771A6">
        <w:rPr>
          <w:rFonts w:ascii="Verdana" w:eastAsia="Times New Roman" w:hAnsi="Verdana" w:cs="Arial"/>
          <w:sz w:val="24"/>
          <w:szCs w:val="24"/>
          <w:lang w:eastAsia="en-ZA"/>
        </w:rPr>
        <w:t xml:space="preserve">exercise </w:t>
      </w:r>
      <w:r w:rsidR="001771A6">
        <w:rPr>
          <w:rFonts w:ascii="Verdana" w:eastAsia="Times New Roman" w:hAnsi="Verdana" w:cs="Arial"/>
          <w:sz w:val="24"/>
          <w:szCs w:val="24"/>
          <w:lang w:eastAsia="en-ZA"/>
        </w:rPr>
        <w:t>his</w:t>
      </w:r>
      <w:r w:rsidR="008C7F63" w:rsidRPr="001771A6">
        <w:rPr>
          <w:rFonts w:ascii="Verdana" w:eastAsia="Times New Roman" w:hAnsi="Verdana" w:cs="Arial"/>
          <w:sz w:val="24"/>
          <w:szCs w:val="24"/>
          <w:lang w:eastAsia="en-ZA"/>
        </w:rPr>
        <w:t xml:space="preserve"> power and discretion honestly and properly.</w:t>
      </w:r>
    </w:p>
    <w:p w14:paraId="572BB0F7" w14:textId="77777777" w:rsidR="009A0670" w:rsidRPr="0086599F" w:rsidRDefault="009A0670" w:rsidP="001771A6">
      <w:pPr>
        <w:spacing w:after="240" w:line="480" w:lineRule="auto"/>
        <w:jc w:val="both"/>
        <w:rPr>
          <w:rFonts w:ascii="Verdana" w:eastAsia="Times New Roman" w:hAnsi="Verdana" w:cs="Arial"/>
          <w:color w:val="00B050"/>
          <w:sz w:val="24"/>
          <w:szCs w:val="24"/>
          <w:lang w:eastAsia="en-ZA"/>
        </w:rPr>
      </w:pPr>
    </w:p>
    <w:p w14:paraId="04B51C99" w14:textId="13C51754" w:rsidR="00986EA5" w:rsidRDefault="00986EA5" w:rsidP="00986EA5">
      <w:pPr>
        <w:spacing w:after="240" w:line="480" w:lineRule="auto"/>
        <w:jc w:val="both"/>
        <w:rPr>
          <w:rFonts w:ascii="Verdana" w:eastAsia="Times New Roman" w:hAnsi="Verdana" w:cs="Arial"/>
          <w:sz w:val="24"/>
          <w:szCs w:val="24"/>
          <w:lang w:eastAsia="en-ZA"/>
        </w:rPr>
      </w:pPr>
      <w:r w:rsidRPr="00986EA5">
        <w:rPr>
          <w:rFonts w:ascii="Verdana" w:eastAsia="Times New Roman" w:hAnsi="Verdana" w:cs="Arial"/>
          <w:sz w:val="24"/>
          <w:szCs w:val="24"/>
          <w:lang w:eastAsia="en-ZA"/>
        </w:rPr>
        <w:t>7</w:t>
      </w:r>
      <w:r w:rsidR="0061488B">
        <w:rPr>
          <w:rFonts w:ascii="Verdana" w:eastAsia="Times New Roman" w:hAnsi="Verdana" w:cs="Arial"/>
          <w:sz w:val="24"/>
          <w:szCs w:val="24"/>
          <w:lang w:eastAsia="en-ZA"/>
        </w:rPr>
        <w:t>7</w:t>
      </w:r>
      <w:r w:rsidRPr="00986EA5">
        <w:rPr>
          <w:rFonts w:ascii="Verdana" w:eastAsia="Times New Roman" w:hAnsi="Verdana" w:cs="Arial"/>
          <w:sz w:val="24"/>
          <w:szCs w:val="24"/>
          <w:lang w:eastAsia="en-ZA"/>
        </w:rPr>
        <w:t>. On the reasons alluded to above</w:t>
      </w:r>
      <w:r>
        <w:rPr>
          <w:rFonts w:ascii="Verdana" w:eastAsia="Times New Roman" w:hAnsi="Verdana" w:cs="Arial"/>
          <w:sz w:val="24"/>
          <w:szCs w:val="24"/>
          <w:lang w:eastAsia="en-ZA"/>
        </w:rPr>
        <w:t xml:space="preserve"> and having regard to</w:t>
      </w:r>
      <w:r w:rsidRPr="00986EA5">
        <w:rPr>
          <w:rFonts w:ascii="Verdana" w:eastAsia="Times New Roman" w:hAnsi="Verdana" w:cs="Arial"/>
          <w:sz w:val="24"/>
          <w:szCs w:val="24"/>
          <w:lang w:eastAsia="en-ZA"/>
        </w:rPr>
        <w:t xml:space="preserve"> the statutory </w:t>
      </w:r>
      <w:r>
        <w:rPr>
          <w:rFonts w:ascii="Verdana" w:eastAsia="Times New Roman" w:hAnsi="Verdana" w:cs="Arial"/>
          <w:sz w:val="24"/>
          <w:szCs w:val="24"/>
          <w:lang w:eastAsia="en-ZA"/>
        </w:rPr>
        <w:t>provisions</w:t>
      </w:r>
      <w:r w:rsidRPr="00986EA5">
        <w:rPr>
          <w:rFonts w:ascii="Verdana" w:eastAsia="Times New Roman" w:hAnsi="Verdana" w:cs="Arial"/>
          <w:sz w:val="24"/>
          <w:szCs w:val="24"/>
          <w:lang w:eastAsia="en-ZA"/>
        </w:rPr>
        <w:t xml:space="preserve"> </w:t>
      </w:r>
      <w:r>
        <w:rPr>
          <w:rFonts w:ascii="Verdana" w:eastAsia="Times New Roman" w:hAnsi="Verdana" w:cs="Arial"/>
          <w:sz w:val="24"/>
          <w:szCs w:val="24"/>
          <w:lang w:eastAsia="en-ZA"/>
        </w:rPr>
        <w:t xml:space="preserve">this Court concludes that the Commissioner </w:t>
      </w:r>
      <w:r w:rsidRPr="00986EA5">
        <w:rPr>
          <w:rFonts w:ascii="Verdana" w:eastAsia="Times New Roman" w:hAnsi="Verdana" w:cs="Arial"/>
          <w:sz w:val="24"/>
          <w:szCs w:val="24"/>
          <w:lang w:eastAsia="en-ZA"/>
        </w:rPr>
        <w:t>had a solid and sound basis to refuse the applications for the licenc</w:t>
      </w:r>
      <w:r>
        <w:rPr>
          <w:rFonts w:ascii="Verdana" w:eastAsia="Times New Roman" w:hAnsi="Verdana" w:cs="Arial"/>
          <w:sz w:val="24"/>
          <w:szCs w:val="24"/>
          <w:lang w:eastAsia="en-ZA"/>
        </w:rPr>
        <w:t xml:space="preserve">es. As alluded to above, the Applicant </w:t>
      </w:r>
      <w:r w:rsidRPr="00986EA5">
        <w:rPr>
          <w:rFonts w:ascii="Verdana" w:eastAsia="Times New Roman" w:hAnsi="Verdana" w:cs="Arial"/>
          <w:sz w:val="24"/>
          <w:szCs w:val="24"/>
          <w:lang w:eastAsia="en-ZA"/>
        </w:rPr>
        <w:t>contravened the provisions of the Act</w:t>
      </w:r>
      <w:r>
        <w:rPr>
          <w:rFonts w:ascii="Verdana" w:eastAsia="Times New Roman" w:hAnsi="Verdana" w:cs="Arial"/>
          <w:sz w:val="24"/>
          <w:szCs w:val="24"/>
          <w:lang w:eastAsia="en-ZA"/>
        </w:rPr>
        <w:t xml:space="preserve"> and on that</w:t>
      </w:r>
      <w:r w:rsidRPr="00986EA5">
        <w:rPr>
          <w:rFonts w:ascii="Verdana" w:eastAsia="Times New Roman" w:hAnsi="Verdana" w:cs="Arial"/>
          <w:sz w:val="24"/>
          <w:szCs w:val="24"/>
          <w:lang w:eastAsia="en-ZA"/>
        </w:rPr>
        <w:t xml:space="preserve"> basis alone the Commissioner was fully justified </w:t>
      </w:r>
      <w:r w:rsidR="004C4045">
        <w:rPr>
          <w:rFonts w:ascii="Verdana" w:eastAsia="Times New Roman" w:hAnsi="Verdana" w:cs="Arial"/>
          <w:sz w:val="24"/>
          <w:szCs w:val="24"/>
          <w:lang w:eastAsia="en-ZA"/>
        </w:rPr>
        <w:t>to refuse its</w:t>
      </w:r>
      <w:r w:rsidRPr="00986EA5">
        <w:rPr>
          <w:rFonts w:ascii="Verdana" w:eastAsia="Times New Roman" w:hAnsi="Verdana" w:cs="Arial"/>
          <w:sz w:val="24"/>
          <w:szCs w:val="24"/>
          <w:lang w:eastAsia="en-ZA"/>
        </w:rPr>
        <w:t xml:space="preserve"> applications for the licences. </w:t>
      </w:r>
    </w:p>
    <w:p w14:paraId="0B8F1817" w14:textId="77777777" w:rsidR="00986EA5" w:rsidRDefault="00986EA5" w:rsidP="00986EA5">
      <w:pPr>
        <w:spacing w:after="240" w:line="480" w:lineRule="auto"/>
        <w:jc w:val="both"/>
        <w:rPr>
          <w:rFonts w:ascii="Verdana" w:eastAsia="Times New Roman" w:hAnsi="Verdana" w:cs="Arial"/>
          <w:sz w:val="24"/>
          <w:szCs w:val="24"/>
          <w:lang w:eastAsia="en-ZA"/>
        </w:rPr>
      </w:pPr>
    </w:p>
    <w:p w14:paraId="0397F3FB" w14:textId="655FB107" w:rsidR="00986EA5" w:rsidRDefault="00986EA5" w:rsidP="00986EA5">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7</w:t>
      </w:r>
      <w:r w:rsidR="0061488B">
        <w:rPr>
          <w:rFonts w:ascii="Verdana" w:eastAsia="Times New Roman" w:hAnsi="Verdana" w:cs="Arial"/>
          <w:sz w:val="24"/>
          <w:szCs w:val="24"/>
          <w:lang w:eastAsia="en-ZA"/>
        </w:rPr>
        <w:t>8</w:t>
      </w:r>
      <w:r>
        <w:rPr>
          <w:rFonts w:ascii="Verdana" w:eastAsia="Times New Roman" w:hAnsi="Verdana" w:cs="Arial"/>
          <w:sz w:val="24"/>
          <w:szCs w:val="24"/>
          <w:lang w:eastAsia="en-ZA"/>
        </w:rPr>
        <w:t>.</w:t>
      </w:r>
      <w:r w:rsidR="000076EF">
        <w:rPr>
          <w:rFonts w:ascii="Verdana" w:eastAsia="Times New Roman" w:hAnsi="Verdana" w:cs="Arial"/>
          <w:sz w:val="24"/>
          <w:szCs w:val="24"/>
          <w:lang w:eastAsia="en-ZA"/>
        </w:rPr>
        <w:t xml:space="preserve"> </w:t>
      </w:r>
      <w:r w:rsidRPr="00986EA5">
        <w:rPr>
          <w:rFonts w:ascii="Verdana" w:eastAsia="Times New Roman" w:hAnsi="Verdana" w:cs="Arial"/>
          <w:sz w:val="24"/>
          <w:szCs w:val="24"/>
          <w:lang w:eastAsia="en-ZA"/>
        </w:rPr>
        <w:t xml:space="preserve">But, even if one assumes, at best for the Applicant, that the Commissioner’s findings that the Applicant had contravened the Act are subject to </w:t>
      </w:r>
      <w:r w:rsidR="004C4045">
        <w:rPr>
          <w:rFonts w:ascii="Verdana" w:eastAsia="Times New Roman" w:hAnsi="Verdana" w:cs="Arial"/>
          <w:sz w:val="24"/>
          <w:szCs w:val="24"/>
          <w:lang w:eastAsia="en-ZA"/>
        </w:rPr>
        <w:t xml:space="preserve">a </w:t>
      </w:r>
      <w:r w:rsidRPr="00986EA5">
        <w:rPr>
          <w:rFonts w:ascii="Verdana" w:eastAsia="Times New Roman" w:hAnsi="Verdana" w:cs="Arial"/>
          <w:sz w:val="24"/>
          <w:szCs w:val="24"/>
          <w:lang w:eastAsia="en-ZA"/>
        </w:rPr>
        <w:t>judicial challenge, then at the very least the Applicant ought to have explained and disclosed its prior unpleasant interactions with the Commissioner</w:t>
      </w:r>
      <w:r w:rsidR="004C4045">
        <w:rPr>
          <w:rFonts w:ascii="Verdana" w:eastAsia="Times New Roman" w:hAnsi="Verdana" w:cs="Arial"/>
          <w:sz w:val="24"/>
          <w:szCs w:val="24"/>
          <w:lang w:eastAsia="en-ZA"/>
        </w:rPr>
        <w:t>.</w:t>
      </w:r>
      <w:r w:rsidRPr="00986EA5">
        <w:rPr>
          <w:rFonts w:ascii="Verdana" w:eastAsia="Times New Roman" w:hAnsi="Verdana" w:cs="Arial"/>
          <w:sz w:val="24"/>
          <w:szCs w:val="24"/>
          <w:lang w:eastAsia="en-ZA"/>
        </w:rPr>
        <w:t xml:space="preserve"> </w:t>
      </w:r>
      <w:r w:rsidR="004C4045">
        <w:rPr>
          <w:rFonts w:ascii="Verdana" w:eastAsia="Times New Roman" w:hAnsi="Verdana" w:cs="Arial"/>
          <w:sz w:val="24"/>
          <w:szCs w:val="24"/>
          <w:lang w:eastAsia="en-ZA"/>
        </w:rPr>
        <w:t>T</w:t>
      </w:r>
      <w:r w:rsidRPr="00986EA5">
        <w:rPr>
          <w:rFonts w:ascii="Verdana" w:eastAsia="Times New Roman" w:hAnsi="Verdana" w:cs="Arial"/>
          <w:sz w:val="24"/>
          <w:szCs w:val="24"/>
          <w:lang w:eastAsia="en-ZA"/>
        </w:rPr>
        <w:t>here was a duty</w:t>
      </w:r>
      <w:r w:rsidR="004C4045">
        <w:rPr>
          <w:rFonts w:ascii="Verdana" w:eastAsia="Times New Roman" w:hAnsi="Verdana" w:cs="Arial"/>
          <w:sz w:val="24"/>
          <w:szCs w:val="24"/>
          <w:lang w:eastAsia="en-ZA"/>
        </w:rPr>
        <w:t xml:space="preserve"> on the applicant</w:t>
      </w:r>
      <w:r w:rsidRPr="00986EA5">
        <w:rPr>
          <w:rFonts w:ascii="Verdana" w:eastAsia="Times New Roman" w:hAnsi="Verdana" w:cs="Arial"/>
          <w:sz w:val="24"/>
          <w:szCs w:val="24"/>
          <w:lang w:eastAsia="en-ZA"/>
        </w:rPr>
        <w:t xml:space="preserve"> to disclose the findings arrived at by the Commissioner.</w:t>
      </w:r>
      <w:r w:rsidR="000076EF">
        <w:rPr>
          <w:rFonts w:ascii="Verdana" w:eastAsia="Times New Roman" w:hAnsi="Verdana" w:cs="Arial"/>
          <w:sz w:val="24"/>
          <w:szCs w:val="24"/>
          <w:lang w:eastAsia="en-ZA"/>
        </w:rPr>
        <w:t xml:space="preserve"> This the Applicant had failed to </w:t>
      </w:r>
      <w:proofErr w:type="gramStart"/>
      <w:r w:rsidR="000076EF">
        <w:rPr>
          <w:rFonts w:ascii="Verdana" w:eastAsia="Times New Roman" w:hAnsi="Verdana" w:cs="Arial"/>
          <w:sz w:val="24"/>
          <w:szCs w:val="24"/>
          <w:lang w:eastAsia="en-ZA"/>
        </w:rPr>
        <w:t>do</w:t>
      </w:r>
      <w:proofErr w:type="gramEnd"/>
      <w:r w:rsidR="000076EF">
        <w:rPr>
          <w:rFonts w:ascii="Verdana" w:eastAsia="Times New Roman" w:hAnsi="Verdana" w:cs="Arial"/>
          <w:sz w:val="24"/>
          <w:szCs w:val="24"/>
          <w:lang w:eastAsia="en-ZA"/>
        </w:rPr>
        <w:t xml:space="preserve"> and this Court draw</w:t>
      </w:r>
      <w:r w:rsidR="0061488B">
        <w:rPr>
          <w:rFonts w:ascii="Verdana" w:eastAsia="Times New Roman" w:hAnsi="Verdana" w:cs="Arial"/>
          <w:sz w:val="24"/>
          <w:szCs w:val="24"/>
          <w:lang w:eastAsia="en-ZA"/>
        </w:rPr>
        <w:t>s</w:t>
      </w:r>
      <w:r w:rsidR="000076EF">
        <w:rPr>
          <w:rFonts w:ascii="Verdana" w:eastAsia="Times New Roman" w:hAnsi="Verdana" w:cs="Arial"/>
          <w:sz w:val="24"/>
          <w:szCs w:val="24"/>
          <w:lang w:eastAsia="en-ZA"/>
        </w:rPr>
        <w:t xml:space="preserve"> a negative inference in this regard.</w:t>
      </w:r>
    </w:p>
    <w:p w14:paraId="46772515" w14:textId="77777777" w:rsidR="004B2D4A" w:rsidRDefault="004B2D4A" w:rsidP="00986EA5">
      <w:pPr>
        <w:spacing w:after="240" w:line="480" w:lineRule="auto"/>
        <w:jc w:val="both"/>
        <w:rPr>
          <w:rFonts w:ascii="Verdana" w:eastAsia="Times New Roman" w:hAnsi="Verdana" w:cs="Arial"/>
          <w:sz w:val="24"/>
          <w:szCs w:val="24"/>
          <w:lang w:eastAsia="en-ZA"/>
        </w:rPr>
      </w:pPr>
    </w:p>
    <w:p w14:paraId="682931E6" w14:textId="77777777" w:rsidR="004B2D4A" w:rsidRPr="00380682" w:rsidRDefault="004B2D4A" w:rsidP="004B2D4A">
      <w:pPr>
        <w:spacing w:after="240" w:line="480" w:lineRule="auto"/>
        <w:jc w:val="both"/>
        <w:rPr>
          <w:rFonts w:ascii="Verdana" w:eastAsia="Times New Roman" w:hAnsi="Verdana" w:cs="Arial"/>
          <w:bCs/>
          <w:sz w:val="24"/>
          <w:szCs w:val="24"/>
          <w:lang w:eastAsia="en-ZA"/>
        </w:rPr>
      </w:pPr>
      <w:r w:rsidRPr="00380682">
        <w:rPr>
          <w:rFonts w:ascii="Verdana" w:eastAsia="Times New Roman" w:hAnsi="Verdana" w:cs="Arial"/>
          <w:bCs/>
          <w:sz w:val="24"/>
          <w:szCs w:val="24"/>
          <w:lang w:eastAsia="en-ZA"/>
        </w:rPr>
        <w:t>UNREASONABLE CONDUCT</w:t>
      </w:r>
    </w:p>
    <w:p w14:paraId="1271691C" w14:textId="30ECD093" w:rsidR="000076EF" w:rsidRDefault="000076EF" w:rsidP="000076E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lastRenderedPageBreak/>
        <w:t>7</w:t>
      </w:r>
      <w:r w:rsidR="0061488B">
        <w:rPr>
          <w:rFonts w:ascii="Verdana" w:eastAsia="Times New Roman" w:hAnsi="Verdana" w:cs="Arial"/>
          <w:sz w:val="24"/>
          <w:szCs w:val="24"/>
          <w:lang w:eastAsia="en-ZA"/>
        </w:rPr>
        <w:t>9</w:t>
      </w:r>
      <w:r>
        <w:rPr>
          <w:rFonts w:ascii="Verdana" w:eastAsia="Times New Roman" w:hAnsi="Verdana" w:cs="Arial"/>
          <w:sz w:val="24"/>
          <w:szCs w:val="24"/>
          <w:lang w:eastAsia="en-ZA"/>
        </w:rPr>
        <w:t>. Lastly, the Applicant also contends that administrative action may also be set aside in terms of section 6(2)(h) of PAJA if the decision is one that a reasonable decision-maker could not reach.</w:t>
      </w:r>
      <w:r>
        <w:rPr>
          <w:rStyle w:val="FootnoteReference"/>
          <w:rFonts w:ascii="Verdana" w:eastAsia="Times New Roman" w:hAnsi="Verdana" w:cs="Arial"/>
          <w:sz w:val="24"/>
          <w:szCs w:val="24"/>
          <w:lang w:eastAsia="en-ZA"/>
        </w:rPr>
        <w:footnoteReference w:id="52"/>
      </w:r>
    </w:p>
    <w:p w14:paraId="23DA18F6" w14:textId="77777777" w:rsidR="000076EF" w:rsidRDefault="000076EF" w:rsidP="000076EF">
      <w:pPr>
        <w:spacing w:after="240" w:line="480" w:lineRule="auto"/>
        <w:jc w:val="both"/>
        <w:rPr>
          <w:rFonts w:ascii="Verdana" w:eastAsia="Times New Roman" w:hAnsi="Verdana" w:cs="Arial"/>
          <w:sz w:val="24"/>
          <w:szCs w:val="24"/>
          <w:lang w:eastAsia="en-ZA"/>
        </w:rPr>
      </w:pPr>
    </w:p>
    <w:p w14:paraId="00FC5B48" w14:textId="2B4C85B0" w:rsidR="000076EF" w:rsidRDefault="0061488B" w:rsidP="000076E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80</w:t>
      </w:r>
      <w:r w:rsidR="000076EF">
        <w:rPr>
          <w:rFonts w:ascii="Verdana" w:eastAsia="Times New Roman" w:hAnsi="Verdana" w:cs="Arial"/>
          <w:sz w:val="24"/>
          <w:szCs w:val="24"/>
          <w:lang w:eastAsia="en-ZA"/>
        </w:rPr>
        <w:t>. On this basis it was submitted that the Commissioner’s refusal of the SOS warehouse license applications, on the mere basis that SARS has previously issued a demand against Nu Africa (which is disputed in the High Court litigation), is unnecessarily disproportionate and unduly onerous.</w:t>
      </w:r>
      <w:r w:rsidR="000076EF">
        <w:rPr>
          <w:rStyle w:val="FootnoteReference"/>
          <w:rFonts w:ascii="Verdana" w:eastAsia="Times New Roman" w:hAnsi="Verdana" w:cs="Arial"/>
          <w:sz w:val="24"/>
          <w:szCs w:val="24"/>
          <w:lang w:eastAsia="en-ZA"/>
        </w:rPr>
        <w:footnoteReference w:id="53"/>
      </w:r>
      <w:r w:rsidR="000076EF">
        <w:rPr>
          <w:rFonts w:ascii="Verdana" w:eastAsia="Times New Roman" w:hAnsi="Verdana" w:cs="Arial"/>
          <w:sz w:val="24"/>
          <w:szCs w:val="24"/>
          <w:lang w:eastAsia="en-ZA"/>
        </w:rPr>
        <w:t xml:space="preserve"> As such, counsel had argued that the decisions ought to be set aside and referred back to SARS for reconsideration.</w:t>
      </w:r>
    </w:p>
    <w:p w14:paraId="27EA2303" w14:textId="77777777" w:rsidR="004B2D4A" w:rsidRDefault="004B2D4A" w:rsidP="000076EF">
      <w:pPr>
        <w:spacing w:after="240" w:line="480" w:lineRule="auto"/>
        <w:jc w:val="both"/>
        <w:rPr>
          <w:rFonts w:ascii="Verdana" w:eastAsia="Times New Roman" w:hAnsi="Verdana" w:cs="Arial"/>
          <w:sz w:val="24"/>
          <w:szCs w:val="24"/>
          <w:lang w:eastAsia="en-ZA"/>
        </w:rPr>
      </w:pPr>
    </w:p>
    <w:p w14:paraId="34C937DD" w14:textId="026884DD" w:rsidR="004B2D4A" w:rsidRDefault="004B2D4A" w:rsidP="000076EF">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8</w:t>
      </w:r>
      <w:r w:rsidR="0061488B">
        <w:rPr>
          <w:rFonts w:ascii="Verdana" w:eastAsia="Times New Roman" w:hAnsi="Verdana" w:cs="Arial"/>
          <w:sz w:val="24"/>
          <w:szCs w:val="24"/>
          <w:lang w:eastAsia="en-ZA"/>
        </w:rPr>
        <w:t>1</w:t>
      </w:r>
      <w:r>
        <w:rPr>
          <w:rFonts w:ascii="Verdana" w:eastAsia="Times New Roman" w:hAnsi="Verdana" w:cs="Arial"/>
          <w:sz w:val="24"/>
          <w:szCs w:val="24"/>
          <w:lang w:eastAsia="en-ZA"/>
        </w:rPr>
        <w:t xml:space="preserve">. On the conspectus of </w:t>
      </w:r>
      <w:r w:rsidR="004C4045">
        <w:rPr>
          <w:rFonts w:ascii="Verdana" w:eastAsia="Times New Roman" w:hAnsi="Verdana" w:cs="Arial"/>
          <w:sz w:val="24"/>
          <w:szCs w:val="24"/>
          <w:lang w:eastAsia="en-ZA"/>
        </w:rPr>
        <w:t xml:space="preserve">the </w:t>
      </w:r>
      <w:r>
        <w:rPr>
          <w:rFonts w:ascii="Verdana" w:eastAsia="Times New Roman" w:hAnsi="Verdana" w:cs="Arial"/>
          <w:sz w:val="24"/>
          <w:szCs w:val="24"/>
          <w:lang w:eastAsia="en-ZA"/>
        </w:rPr>
        <w:t xml:space="preserve">evidence placed before this Court, I cannot conclude that the decision so taken by the Commissioner amounted to </w:t>
      </w:r>
      <w:r w:rsidR="004C4045">
        <w:rPr>
          <w:rFonts w:ascii="Verdana" w:eastAsia="Times New Roman" w:hAnsi="Verdana" w:cs="Arial"/>
          <w:sz w:val="24"/>
          <w:szCs w:val="24"/>
          <w:lang w:eastAsia="en-ZA"/>
        </w:rPr>
        <w:t xml:space="preserve">an </w:t>
      </w:r>
      <w:r>
        <w:rPr>
          <w:rFonts w:ascii="Verdana" w:eastAsia="Times New Roman" w:hAnsi="Verdana" w:cs="Arial"/>
          <w:sz w:val="24"/>
          <w:szCs w:val="24"/>
          <w:lang w:eastAsia="en-ZA"/>
        </w:rPr>
        <w:t xml:space="preserve">unreasonable conduct, which </w:t>
      </w:r>
      <w:r w:rsidR="0061488B">
        <w:rPr>
          <w:rFonts w:ascii="Verdana" w:eastAsia="Times New Roman" w:hAnsi="Verdana" w:cs="Arial"/>
          <w:sz w:val="24"/>
          <w:szCs w:val="24"/>
          <w:lang w:eastAsia="en-ZA"/>
        </w:rPr>
        <w:t xml:space="preserve">decision </w:t>
      </w:r>
      <w:r>
        <w:rPr>
          <w:rFonts w:ascii="Verdana" w:eastAsia="Times New Roman" w:hAnsi="Verdana" w:cs="Arial"/>
          <w:sz w:val="24"/>
          <w:szCs w:val="24"/>
          <w:lang w:eastAsia="en-ZA"/>
        </w:rPr>
        <w:t xml:space="preserve">ought to be </w:t>
      </w:r>
      <w:proofErr w:type="gramStart"/>
      <w:r>
        <w:rPr>
          <w:rFonts w:ascii="Verdana" w:eastAsia="Times New Roman" w:hAnsi="Verdana" w:cs="Arial"/>
          <w:sz w:val="24"/>
          <w:szCs w:val="24"/>
          <w:lang w:eastAsia="en-ZA"/>
        </w:rPr>
        <w:t>referred back</w:t>
      </w:r>
      <w:proofErr w:type="gramEnd"/>
      <w:r>
        <w:rPr>
          <w:rFonts w:ascii="Verdana" w:eastAsia="Times New Roman" w:hAnsi="Verdana" w:cs="Arial"/>
          <w:sz w:val="24"/>
          <w:szCs w:val="24"/>
          <w:lang w:eastAsia="en-ZA"/>
        </w:rPr>
        <w:t xml:space="preserve"> SARS f</w:t>
      </w:r>
      <w:r w:rsidR="0061488B">
        <w:rPr>
          <w:rFonts w:ascii="Verdana" w:eastAsia="Times New Roman" w:hAnsi="Verdana" w:cs="Arial"/>
          <w:sz w:val="24"/>
          <w:szCs w:val="24"/>
          <w:lang w:eastAsia="en-ZA"/>
        </w:rPr>
        <w:t>o</w:t>
      </w:r>
      <w:r>
        <w:rPr>
          <w:rFonts w:ascii="Verdana" w:eastAsia="Times New Roman" w:hAnsi="Verdana" w:cs="Arial"/>
          <w:sz w:val="24"/>
          <w:szCs w:val="24"/>
          <w:lang w:eastAsia="en-ZA"/>
        </w:rPr>
        <w:t>r reconsideration.</w:t>
      </w:r>
    </w:p>
    <w:p w14:paraId="6C467853" w14:textId="77777777" w:rsidR="000076EF" w:rsidRPr="000C4AAD" w:rsidRDefault="000076EF" w:rsidP="000076EF">
      <w:pPr>
        <w:spacing w:after="240" w:line="480" w:lineRule="auto"/>
        <w:jc w:val="both"/>
        <w:rPr>
          <w:rFonts w:ascii="Verdana" w:eastAsia="Times New Roman" w:hAnsi="Verdana" w:cs="Arial"/>
          <w:bCs/>
          <w:sz w:val="24"/>
          <w:szCs w:val="24"/>
          <w:lang w:eastAsia="en-ZA"/>
        </w:rPr>
      </w:pPr>
    </w:p>
    <w:p w14:paraId="22C14DBF" w14:textId="43DCE964" w:rsidR="008C7F63" w:rsidRPr="004B2D4A" w:rsidRDefault="004B2D4A" w:rsidP="008C7F63">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8</w:t>
      </w:r>
      <w:r w:rsidR="0061488B">
        <w:rPr>
          <w:rFonts w:ascii="Verdana" w:eastAsia="Times New Roman" w:hAnsi="Verdana" w:cs="Arial"/>
          <w:sz w:val="24"/>
          <w:szCs w:val="24"/>
          <w:lang w:eastAsia="en-ZA"/>
        </w:rPr>
        <w:t>2</w:t>
      </w:r>
      <w:r>
        <w:rPr>
          <w:rFonts w:ascii="Verdana" w:eastAsia="Times New Roman" w:hAnsi="Verdana" w:cs="Arial"/>
          <w:sz w:val="24"/>
          <w:szCs w:val="24"/>
          <w:lang w:eastAsia="en-ZA"/>
        </w:rPr>
        <w:t>. For the reasons alluded to above, this Court concludes that the Commissioner correctly refused the applications.</w:t>
      </w:r>
    </w:p>
    <w:p w14:paraId="6CD067A9" w14:textId="77777777" w:rsidR="008C7F63" w:rsidRPr="0086599F" w:rsidRDefault="008C7F63" w:rsidP="008C7F63">
      <w:pPr>
        <w:spacing w:after="240" w:line="480" w:lineRule="auto"/>
        <w:jc w:val="both"/>
        <w:rPr>
          <w:rFonts w:ascii="Verdana" w:eastAsia="Times New Roman" w:hAnsi="Verdana" w:cs="Arial"/>
          <w:b/>
          <w:color w:val="00B050"/>
          <w:sz w:val="24"/>
          <w:szCs w:val="24"/>
          <w:lang w:eastAsia="en-ZA"/>
        </w:rPr>
      </w:pPr>
    </w:p>
    <w:p w14:paraId="4FED3373" w14:textId="3FB7A415" w:rsidR="00C25184" w:rsidRPr="0014509C" w:rsidRDefault="00081557" w:rsidP="00F91F12">
      <w:pPr>
        <w:spacing w:after="240" w:line="480" w:lineRule="auto"/>
        <w:jc w:val="both"/>
        <w:rPr>
          <w:rFonts w:ascii="Verdana" w:eastAsia="Times New Roman" w:hAnsi="Verdana" w:cs="Arial"/>
          <w:sz w:val="24"/>
          <w:szCs w:val="24"/>
          <w:lang w:eastAsia="en-ZA"/>
        </w:rPr>
      </w:pPr>
      <w:r w:rsidRPr="0014509C">
        <w:rPr>
          <w:rFonts w:ascii="Verdana" w:eastAsia="Times New Roman" w:hAnsi="Verdana" w:cs="Arial"/>
          <w:sz w:val="24"/>
          <w:szCs w:val="24"/>
          <w:lang w:eastAsia="en-ZA"/>
        </w:rPr>
        <w:t>ORDER</w:t>
      </w:r>
    </w:p>
    <w:p w14:paraId="306A5FEA" w14:textId="77777777" w:rsidR="00081557" w:rsidRPr="0014509C" w:rsidRDefault="00081557" w:rsidP="00081557">
      <w:pPr>
        <w:spacing w:after="240" w:line="480" w:lineRule="auto"/>
        <w:jc w:val="both"/>
        <w:rPr>
          <w:rFonts w:ascii="Verdana" w:eastAsia="Times New Roman" w:hAnsi="Verdana" w:cs="Arial"/>
          <w:sz w:val="24"/>
          <w:szCs w:val="24"/>
          <w:lang w:eastAsia="en-ZA"/>
        </w:rPr>
      </w:pPr>
    </w:p>
    <w:p w14:paraId="7BEE5F62" w14:textId="6195469F" w:rsidR="00081557" w:rsidRDefault="0014509C" w:rsidP="00081557">
      <w:pPr>
        <w:spacing w:after="240" w:line="480" w:lineRule="auto"/>
        <w:jc w:val="both"/>
        <w:rPr>
          <w:rFonts w:ascii="Verdana" w:eastAsia="Times New Roman" w:hAnsi="Verdana" w:cs="Arial"/>
          <w:sz w:val="24"/>
          <w:szCs w:val="24"/>
          <w:lang w:eastAsia="en-ZA"/>
        </w:rPr>
      </w:pPr>
      <w:r>
        <w:rPr>
          <w:rFonts w:ascii="Verdana" w:eastAsia="Times New Roman" w:hAnsi="Verdana" w:cs="Arial"/>
          <w:sz w:val="24"/>
          <w:szCs w:val="24"/>
          <w:lang w:eastAsia="en-ZA"/>
        </w:rPr>
        <w:t>8</w:t>
      </w:r>
      <w:r w:rsidR="0061488B">
        <w:rPr>
          <w:rFonts w:ascii="Verdana" w:eastAsia="Times New Roman" w:hAnsi="Verdana" w:cs="Arial"/>
          <w:sz w:val="24"/>
          <w:szCs w:val="24"/>
          <w:lang w:eastAsia="en-ZA"/>
        </w:rPr>
        <w:t>3</w:t>
      </w:r>
      <w:r w:rsidR="00081557" w:rsidRPr="0014509C">
        <w:rPr>
          <w:rFonts w:ascii="Verdana" w:eastAsia="Times New Roman" w:hAnsi="Verdana" w:cs="Arial"/>
          <w:sz w:val="24"/>
          <w:szCs w:val="24"/>
          <w:lang w:eastAsia="en-ZA"/>
        </w:rPr>
        <w:t>.</w:t>
      </w:r>
      <w:r w:rsidR="0086599F" w:rsidRPr="0014509C">
        <w:rPr>
          <w:rFonts w:ascii="Verdana" w:eastAsia="Times New Roman" w:hAnsi="Verdana" w:cs="Arial"/>
          <w:sz w:val="24"/>
          <w:szCs w:val="24"/>
          <w:lang w:eastAsia="en-ZA"/>
        </w:rPr>
        <w:t xml:space="preserve"> In the result the application is dismissed with costs, including the costs of </w:t>
      </w:r>
      <w:r>
        <w:rPr>
          <w:rFonts w:ascii="Verdana" w:eastAsia="Times New Roman" w:hAnsi="Verdana" w:cs="Arial"/>
          <w:sz w:val="24"/>
          <w:szCs w:val="24"/>
          <w:lang w:eastAsia="en-ZA"/>
        </w:rPr>
        <w:t>tw</w:t>
      </w:r>
      <w:r w:rsidR="0061488B">
        <w:rPr>
          <w:rFonts w:ascii="Verdana" w:eastAsia="Times New Roman" w:hAnsi="Verdana" w:cs="Arial"/>
          <w:sz w:val="24"/>
          <w:szCs w:val="24"/>
          <w:lang w:eastAsia="en-ZA"/>
        </w:rPr>
        <w:t>o</w:t>
      </w:r>
      <w:r>
        <w:rPr>
          <w:rFonts w:ascii="Verdana" w:eastAsia="Times New Roman" w:hAnsi="Verdana" w:cs="Arial"/>
          <w:sz w:val="24"/>
          <w:szCs w:val="24"/>
          <w:lang w:eastAsia="en-ZA"/>
        </w:rPr>
        <w:t xml:space="preserve"> </w:t>
      </w:r>
      <w:r w:rsidR="0086599F" w:rsidRPr="0014509C">
        <w:rPr>
          <w:rFonts w:ascii="Verdana" w:eastAsia="Times New Roman" w:hAnsi="Verdana" w:cs="Arial"/>
          <w:sz w:val="24"/>
          <w:szCs w:val="24"/>
          <w:lang w:eastAsia="en-ZA"/>
        </w:rPr>
        <w:t>counsel</w:t>
      </w:r>
      <w:r>
        <w:rPr>
          <w:rFonts w:ascii="Verdana" w:eastAsia="Times New Roman" w:hAnsi="Verdana" w:cs="Arial"/>
          <w:sz w:val="24"/>
          <w:szCs w:val="24"/>
          <w:lang w:eastAsia="en-ZA"/>
        </w:rPr>
        <w:t xml:space="preserve"> where so employed.</w:t>
      </w:r>
    </w:p>
    <w:p w14:paraId="26F0F890" w14:textId="77777777" w:rsidR="0014509C" w:rsidRPr="0014509C" w:rsidRDefault="0014509C" w:rsidP="00081557">
      <w:pPr>
        <w:spacing w:after="240" w:line="480" w:lineRule="auto"/>
        <w:jc w:val="both"/>
        <w:rPr>
          <w:rFonts w:ascii="Verdana" w:eastAsia="Times New Roman" w:hAnsi="Verdana" w:cs="Arial"/>
          <w:sz w:val="24"/>
          <w:szCs w:val="24"/>
          <w:lang w:eastAsia="en-ZA"/>
        </w:rPr>
      </w:pPr>
    </w:p>
    <w:p w14:paraId="57A79E38" w14:textId="21493FFC" w:rsidR="00CB58D1" w:rsidRPr="00F40CFB" w:rsidRDefault="00FF0DE8" w:rsidP="00C25184">
      <w:pPr>
        <w:spacing w:after="240" w:line="480" w:lineRule="auto"/>
        <w:jc w:val="both"/>
        <w:rPr>
          <w:rFonts w:ascii="Verdana" w:hAnsi="Verdana" w:cs="Arial"/>
          <w:lang w:val="en-GB"/>
        </w:rPr>
      </w:pPr>
      <w:r>
        <w:rPr>
          <w:rFonts w:ascii="Verdana" w:hAnsi="Verdana" w:cs="Arial"/>
          <w:lang w:val="en-GB"/>
        </w:rPr>
        <w:t xml:space="preserve">                                                   </w:t>
      </w:r>
      <w:r w:rsidR="00CB58D1" w:rsidRPr="00F40CFB">
        <w:rPr>
          <w:rFonts w:ascii="Verdana" w:hAnsi="Verdana" w:cs="Arial"/>
          <w:lang w:val="en-GB"/>
        </w:rPr>
        <w:t xml:space="preserve"> ___________________</w:t>
      </w:r>
    </w:p>
    <w:p w14:paraId="546DAA07" w14:textId="77777777" w:rsidR="00CB58D1" w:rsidRPr="003C3ADD" w:rsidRDefault="00CB58D1" w:rsidP="00CB58D1">
      <w:pPr>
        <w:spacing w:after="240"/>
        <w:rPr>
          <w:rFonts w:ascii="Verdana" w:hAnsi="Verdana" w:cs="Arial"/>
          <w:lang w:val="en-GB"/>
        </w:rPr>
      </w:pPr>
      <w:r w:rsidRPr="00F40CFB">
        <w:rPr>
          <w:rFonts w:ascii="Verdana" w:hAnsi="Verdana" w:cs="Arial"/>
          <w:lang w:val="en-GB"/>
        </w:rPr>
        <w:t xml:space="preserve">                                                      </w:t>
      </w:r>
      <w:r>
        <w:rPr>
          <w:rFonts w:ascii="Verdana" w:hAnsi="Verdana" w:cs="Arial"/>
          <w:lang w:val="en-GB"/>
        </w:rPr>
        <w:t xml:space="preserve"> C.J. </w:t>
      </w:r>
      <w:r w:rsidRPr="003C3ADD">
        <w:rPr>
          <w:rFonts w:ascii="Verdana" w:hAnsi="Verdana" w:cs="Arial"/>
          <w:lang w:val="en-GB"/>
        </w:rPr>
        <w:t xml:space="preserve">COLLIS </w:t>
      </w:r>
    </w:p>
    <w:p w14:paraId="0E20A6A9" w14:textId="77777777" w:rsidR="00CB58D1" w:rsidRPr="003C3ADD" w:rsidRDefault="00CB58D1" w:rsidP="00CB58D1">
      <w:pPr>
        <w:spacing w:after="240"/>
        <w:rPr>
          <w:rFonts w:ascii="Verdana" w:hAnsi="Verdana" w:cs="Arial"/>
          <w:lang w:val="en-GB"/>
        </w:rPr>
      </w:pPr>
      <w:r w:rsidRPr="003C3ADD">
        <w:rPr>
          <w:rFonts w:ascii="Verdana" w:hAnsi="Verdana" w:cs="Arial"/>
          <w:lang w:val="en-GB"/>
        </w:rPr>
        <w:t xml:space="preserve">                        </w:t>
      </w:r>
      <w:r>
        <w:rPr>
          <w:rFonts w:ascii="Verdana" w:hAnsi="Verdana" w:cs="Arial"/>
          <w:lang w:val="en-GB"/>
        </w:rPr>
        <w:t xml:space="preserve">                               </w:t>
      </w:r>
      <w:r w:rsidRPr="003C3ADD">
        <w:rPr>
          <w:rFonts w:ascii="Verdana" w:hAnsi="Verdana" w:cs="Arial"/>
          <w:lang w:val="en-GB"/>
        </w:rPr>
        <w:t>JUDGE OF THE HIGH COURT</w:t>
      </w:r>
    </w:p>
    <w:p w14:paraId="15A66C40" w14:textId="77777777" w:rsidR="00CB58D1" w:rsidRPr="003C3ADD" w:rsidRDefault="00CB58D1" w:rsidP="00CB58D1">
      <w:pPr>
        <w:spacing w:after="240" w:line="480" w:lineRule="auto"/>
        <w:rPr>
          <w:rFonts w:ascii="Verdana" w:hAnsi="Verdana" w:cs="Arial"/>
          <w:lang w:val="en-GB"/>
        </w:rPr>
      </w:pPr>
      <w:r w:rsidRPr="003C3ADD">
        <w:rPr>
          <w:rFonts w:ascii="Verdana" w:hAnsi="Verdana" w:cs="Arial"/>
          <w:lang w:val="en-GB"/>
        </w:rPr>
        <w:t xml:space="preserve">                                                  </w:t>
      </w:r>
      <w:r>
        <w:rPr>
          <w:rFonts w:ascii="Verdana" w:hAnsi="Verdana" w:cs="Arial"/>
          <w:lang w:val="en-GB"/>
        </w:rPr>
        <w:t xml:space="preserve">     </w:t>
      </w:r>
      <w:r w:rsidRPr="003C3ADD">
        <w:rPr>
          <w:rFonts w:ascii="Verdana" w:hAnsi="Verdana" w:cs="Arial"/>
          <w:lang w:val="en-GB"/>
        </w:rPr>
        <w:t xml:space="preserve">GAUTENG DIVISION PRETORIA </w:t>
      </w:r>
    </w:p>
    <w:p w14:paraId="2C939856" w14:textId="77777777" w:rsidR="00CB58D1" w:rsidRDefault="00CB58D1" w:rsidP="00CB58D1">
      <w:pPr>
        <w:spacing w:after="240" w:line="480" w:lineRule="auto"/>
        <w:rPr>
          <w:rFonts w:ascii="Verdana" w:hAnsi="Verdana" w:cs="Arial"/>
          <w:lang w:val="en-GB"/>
        </w:rPr>
      </w:pPr>
    </w:p>
    <w:p w14:paraId="54DEA3C1" w14:textId="1C8063EF" w:rsidR="000D0964" w:rsidRDefault="003B5550" w:rsidP="003B5550">
      <w:pPr>
        <w:widowControl w:val="0"/>
        <w:tabs>
          <w:tab w:val="left" w:pos="1962"/>
        </w:tabs>
        <w:autoSpaceDE w:val="0"/>
        <w:autoSpaceDN w:val="0"/>
        <w:spacing w:after="0" w:line="480" w:lineRule="auto"/>
        <w:ind w:right="158"/>
        <w:jc w:val="both"/>
        <w:rPr>
          <w:rFonts w:ascii="Verdana" w:hAnsi="Verdana"/>
          <w:sz w:val="24"/>
          <w:szCs w:val="24"/>
        </w:rPr>
      </w:pPr>
      <w:r w:rsidRPr="00811EE2">
        <w:rPr>
          <w:rFonts w:ascii="Verdana" w:hAnsi="Verdana"/>
          <w:sz w:val="24"/>
          <w:szCs w:val="24"/>
        </w:rPr>
        <w:t>COUNSEL FOR THE APPLICANT</w:t>
      </w:r>
      <w:r w:rsidR="00E80D3E" w:rsidRPr="00811EE2">
        <w:rPr>
          <w:rFonts w:ascii="Verdana" w:hAnsi="Verdana"/>
          <w:sz w:val="24"/>
          <w:szCs w:val="24"/>
        </w:rPr>
        <w:t xml:space="preserve">: </w:t>
      </w:r>
      <w:r w:rsidRPr="00811EE2">
        <w:rPr>
          <w:rFonts w:ascii="Verdana" w:hAnsi="Verdana"/>
          <w:sz w:val="24"/>
          <w:szCs w:val="24"/>
        </w:rPr>
        <w:t xml:space="preserve"> Adv. J. Vorster SC</w:t>
      </w:r>
    </w:p>
    <w:p w14:paraId="41257DE3" w14:textId="69854472" w:rsidR="00CD20B8" w:rsidRPr="00811EE2" w:rsidRDefault="00CD20B8" w:rsidP="003B5550">
      <w:pPr>
        <w:widowControl w:val="0"/>
        <w:tabs>
          <w:tab w:val="left" w:pos="1962"/>
        </w:tabs>
        <w:autoSpaceDE w:val="0"/>
        <w:autoSpaceDN w:val="0"/>
        <w:spacing w:after="0" w:line="480" w:lineRule="auto"/>
        <w:ind w:right="158"/>
        <w:jc w:val="both"/>
        <w:rPr>
          <w:rFonts w:ascii="Verdana" w:hAnsi="Verdana"/>
          <w:sz w:val="24"/>
          <w:szCs w:val="24"/>
        </w:rPr>
      </w:pPr>
      <w:r>
        <w:rPr>
          <w:rFonts w:ascii="Verdana" w:hAnsi="Verdana"/>
          <w:sz w:val="24"/>
          <w:szCs w:val="24"/>
        </w:rPr>
        <w:t xml:space="preserve">                                               Adv E. Muller</w:t>
      </w:r>
    </w:p>
    <w:p w14:paraId="303ADE08" w14:textId="77E2F45D" w:rsidR="00E80D3E" w:rsidRPr="00811EE2" w:rsidRDefault="009609F8" w:rsidP="002978BB">
      <w:pPr>
        <w:widowControl w:val="0"/>
        <w:tabs>
          <w:tab w:val="left" w:pos="1962"/>
        </w:tabs>
        <w:autoSpaceDE w:val="0"/>
        <w:autoSpaceDN w:val="0"/>
        <w:spacing w:after="0" w:line="480" w:lineRule="auto"/>
        <w:ind w:left="1212" w:right="158"/>
        <w:jc w:val="both"/>
        <w:rPr>
          <w:rFonts w:ascii="Verdana" w:hAnsi="Verdana"/>
          <w:sz w:val="24"/>
          <w:szCs w:val="24"/>
        </w:rPr>
      </w:pPr>
      <w:r w:rsidRPr="00811EE2">
        <w:rPr>
          <w:rFonts w:ascii="Verdana" w:hAnsi="Verdana"/>
          <w:sz w:val="24"/>
          <w:szCs w:val="24"/>
        </w:rPr>
        <w:tab/>
      </w:r>
      <w:r w:rsidRPr="00811EE2">
        <w:rPr>
          <w:rFonts w:ascii="Verdana" w:hAnsi="Verdana"/>
          <w:sz w:val="24"/>
          <w:szCs w:val="24"/>
        </w:rPr>
        <w:tab/>
      </w:r>
      <w:r w:rsidRPr="00811EE2">
        <w:rPr>
          <w:rFonts w:ascii="Verdana" w:hAnsi="Verdana"/>
          <w:sz w:val="24"/>
          <w:szCs w:val="24"/>
        </w:rPr>
        <w:tab/>
      </w:r>
      <w:r w:rsidRPr="00811EE2">
        <w:rPr>
          <w:rFonts w:ascii="Verdana" w:hAnsi="Verdana"/>
          <w:sz w:val="24"/>
          <w:szCs w:val="24"/>
        </w:rPr>
        <w:tab/>
      </w:r>
    </w:p>
    <w:p w14:paraId="4AA97E6A" w14:textId="12EADBD3" w:rsidR="00E80D3E" w:rsidRPr="00811EE2" w:rsidRDefault="00E80D3E" w:rsidP="0012369F">
      <w:pPr>
        <w:widowControl w:val="0"/>
        <w:tabs>
          <w:tab w:val="left" w:pos="1962"/>
        </w:tabs>
        <w:autoSpaceDE w:val="0"/>
        <w:autoSpaceDN w:val="0"/>
        <w:spacing w:after="0" w:line="480" w:lineRule="auto"/>
        <w:ind w:right="158"/>
        <w:jc w:val="both"/>
        <w:rPr>
          <w:rFonts w:ascii="Verdana" w:hAnsi="Verdana"/>
          <w:sz w:val="24"/>
          <w:szCs w:val="24"/>
        </w:rPr>
      </w:pPr>
      <w:r w:rsidRPr="00811EE2">
        <w:rPr>
          <w:rFonts w:ascii="Verdana" w:hAnsi="Verdana"/>
          <w:sz w:val="24"/>
          <w:szCs w:val="24"/>
        </w:rPr>
        <w:t xml:space="preserve">INSTRUCTED BY: </w:t>
      </w:r>
      <w:r w:rsidR="000D0964" w:rsidRPr="00811EE2">
        <w:rPr>
          <w:rFonts w:ascii="Verdana" w:hAnsi="Verdana"/>
          <w:sz w:val="24"/>
          <w:szCs w:val="24"/>
        </w:rPr>
        <w:t xml:space="preserve">  </w:t>
      </w:r>
      <w:r w:rsidR="003B5550" w:rsidRPr="00811EE2">
        <w:rPr>
          <w:rFonts w:ascii="Verdana" w:hAnsi="Verdana"/>
          <w:sz w:val="24"/>
          <w:szCs w:val="24"/>
        </w:rPr>
        <w:t>Savage Jooste &amp; Adams</w:t>
      </w:r>
    </w:p>
    <w:p w14:paraId="18BDCD78" w14:textId="67F8EA36" w:rsidR="000D0964" w:rsidRPr="00811EE2" w:rsidRDefault="000D0964" w:rsidP="002978BB">
      <w:pPr>
        <w:widowControl w:val="0"/>
        <w:tabs>
          <w:tab w:val="left" w:pos="1962"/>
        </w:tabs>
        <w:autoSpaceDE w:val="0"/>
        <w:autoSpaceDN w:val="0"/>
        <w:spacing w:after="0" w:line="480" w:lineRule="auto"/>
        <w:ind w:left="1212" w:right="158"/>
        <w:jc w:val="both"/>
        <w:rPr>
          <w:rFonts w:ascii="Verdana" w:hAnsi="Verdana"/>
          <w:sz w:val="24"/>
          <w:szCs w:val="24"/>
        </w:rPr>
      </w:pPr>
    </w:p>
    <w:p w14:paraId="0CDD0C34" w14:textId="77777777" w:rsidR="0014509C" w:rsidRDefault="000D0964" w:rsidP="0012369F">
      <w:pPr>
        <w:widowControl w:val="0"/>
        <w:tabs>
          <w:tab w:val="left" w:pos="1962"/>
        </w:tabs>
        <w:autoSpaceDE w:val="0"/>
        <w:autoSpaceDN w:val="0"/>
        <w:spacing w:after="0" w:line="480" w:lineRule="auto"/>
        <w:ind w:right="158"/>
        <w:jc w:val="both"/>
        <w:rPr>
          <w:rFonts w:ascii="Verdana" w:hAnsi="Verdana"/>
          <w:sz w:val="24"/>
          <w:szCs w:val="24"/>
        </w:rPr>
      </w:pPr>
      <w:r w:rsidRPr="00811EE2">
        <w:rPr>
          <w:rFonts w:ascii="Verdana" w:hAnsi="Verdana"/>
          <w:sz w:val="24"/>
          <w:szCs w:val="24"/>
        </w:rPr>
        <w:t>COUNS</w:t>
      </w:r>
      <w:r w:rsidR="003B5550" w:rsidRPr="00811EE2">
        <w:rPr>
          <w:rFonts w:ascii="Verdana" w:hAnsi="Verdana"/>
          <w:sz w:val="24"/>
          <w:szCs w:val="24"/>
        </w:rPr>
        <w:t>EL FOR THE RESPONDENT</w:t>
      </w:r>
      <w:r w:rsidRPr="00811EE2">
        <w:rPr>
          <w:rFonts w:ascii="Verdana" w:hAnsi="Verdana"/>
          <w:sz w:val="24"/>
          <w:szCs w:val="24"/>
        </w:rPr>
        <w:t>:</w:t>
      </w:r>
      <w:r w:rsidR="0012369F" w:rsidRPr="00811EE2">
        <w:rPr>
          <w:rFonts w:ascii="Verdana" w:hAnsi="Verdana"/>
          <w:sz w:val="24"/>
          <w:szCs w:val="24"/>
        </w:rPr>
        <w:t xml:space="preserve"> </w:t>
      </w:r>
      <w:r w:rsidRPr="00811EE2">
        <w:rPr>
          <w:rFonts w:ascii="Verdana" w:hAnsi="Verdana"/>
          <w:sz w:val="24"/>
          <w:szCs w:val="24"/>
        </w:rPr>
        <w:t xml:space="preserve">Adv. </w:t>
      </w:r>
      <w:r w:rsidR="003B5550" w:rsidRPr="00811EE2">
        <w:rPr>
          <w:rFonts w:ascii="Verdana" w:hAnsi="Verdana"/>
          <w:sz w:val="24"/>
          <w:szCs w:val="24"/>
        </w:rPr>
        <w:t>M.P Van Der Merwe SC</w:t>
      </w:r>
    </w:p>
    <w:p w14:paraId="21AC9A37" w14:textId="679ABE24" w:rsidR="000D0964" w:rsidRPr="00811EE2" w:rsidRDefault="0014509C" w:rsidP="0012369F">
      <w:pPr>
        <w:widowControl w:val="0"/>
        <w:tabs>
          <w:tab w:val="left" w:pos="1962"/>
        </w:tabs>
        <w:autoSpaceDE w:val="0"/>
        <w:autoSpaceDN w:val="0"/>
        <w:spacing w:after="0" w:line="480" w:lineRule="auto"/>
        <w:ind w:right="158"/>
        <w:jc w:val="both"/>
        <w:rPr>
          <w:rFonts w:ascii="Verdana" w:hAnsi="Verdana"/>
          <w:sz w:val="24"/>
          <w:szCs w:val="24"/>
        </w:rPr>
      </w:pPr>
      <w:r>
        <w:rPr>
          <w:rFonts w:ascii="Verdana" w:hAnsi="Verdana"/>
          <w:sz w:val="24"/>
          <w:szCs w:val="24"/>
        </w:rPr>
        <w:t xml:space="preserve">                                                  Adv M. Masilo  </w:t>
      </w:r>
      <w:r w:rsidR="000D0964" w:rsidRPr="00811EE2">
        <w:rPr>
          <w:rFonts w:ascii="Verdana" w:hAnsi="Verdana"/>
          <w:sz w:val="24"/>
          <w:szCs w:val="24"/>
        </w:rPr>
        <w:tab/>
      </w:r>
      <w:r w:rsidR="000D0964" w:rsidRPr="00811EE2">
        <w:rPr>
          <w:rFonts w:ascii="Verdana" w:hAnsi="Verdana"/>
          <w:sz w:val="24"/>
          <w:szCs w:val="24"/>
        </w:rPr>
        <w:tab/>
      </w:r>
      <w:r w:rsidR="000D0964" w:rsidRPr="00811EE2">
        <w:rPr>
          <w:rFonts w:ascii="Verdana" w:hAnsi="Verdana"/>
          <w:sz w:val="24"/>
          <w:szCs w:val="24"/>
        </w:rPr>
        <w:tab/>
      </w:r>
      <w:r w:rsidR="000D0964" w:rsidRPr="00811EE2">
        <w:rPr>
          <w:rFonts w:ascii="Verdana" w:hAnsi="Verdana"/>
          <w:sz w:val="24"/>
          <w:szCs w:val="24"/>
        </w:rPr>
        <w:tab/>
      </w:r>
      <w:r w:rsidR="000D0964" w:rsidRPr="00811EE2">
        <w:rPr>
          <w:rFonts w:ascii="Verdana" w:hAnsi="Verdana"/>
          <w:sz w:val="24"/>
          <w:szCs w:val="24"/>
        </w:rPr>
        <w:tab/>
        <w:t xml:space="preserve">                 </w:t>
      </w:r>
      <w:r w:rsidR="0012369F" w:rsidRPr="00811EE2">
        <w:rPr>
          <w:rFonts w:ascii="Verdana" w:hAnsi="Verdana"/>
          <w:sz w:val="24"/>
          <w:szCs w:val="24"/>
        </w:rPr>
        <w:t xml:space="preserve">         </w:t>
      </w:r>
      <w:r w:rsidR="00FF0DE8" w:rsidRPr="00811EE2">
        <w:rPr>
          <w:rFonts w:ascii="Verdana" w:hAnsi="Verdana"/>
          <w:sz w:val="24"/>
          <w:szCs w:val="24"/>
        </w:rPr>
        <w:t xml:space="preserve"> </w:t>
      </w:r>
    </w:p>
    <w:p w14:paraId="342B7F1A" w14:textId="52D4C16D" w:rsidR="001908C5" w:rsidRPr="00811EE2" w:rsidRDefault="001908C5" w:rsidP="0012369F">
      <w:pPr>
        <w:widowControl w:val="0"/>
        <w:tabs>
          <w:tab w:val="left" w:pos="1962"/>
        </w:tabs>
        <w:autoSpaceDE w:val="0"/>
        <w:autoSpaceDN w:val="0"/>
        <w:spacing w:after="0" w:line="480" w:lineRule="auto"/>
        <w:ind w:right="158"/>
        <w:jc w:val="both"/>
        <w:rPr>
          <w:rFonts w:ascii="Verdana" w:hAnsi="Verdana"/>
          <w:sz w:val="24"/>
          <w:szCs w:val="24"/>
        </w:rPr>
      </w:pPr>
      <w:r w:rsidRPr="00811EE2">
        <w:rPr>
          <w:rFonts w:ascii="Verdana" w:hAnsi="Verdana"/>
          <w:sz w:val="24"/>
          <w:szCs w:val="24"/>
        </w:rPr>
        <w:t>INSTRUCTED BY:</w:t>
      </w:r>
      <w:r w:rsidR="004A4FCC" w:rsidRPr="00811EE2">
        <w:rPr>
          <w:rFonts w:ascii="Verdana" w:hAnsi="Verdana"/>
          <w:sz w:val="24"/>
          <w:szCs w:val="24"/>
        </w:rPr>
        <w:t xml:space="preserve">  </w:t>
      </w:r>
      <w:r w:rsidR="003B5550" w:rsidRPr="00811EE2">
        <w:rPr>
          <w:rFonts w:ascii="Verdana" w:hAnsi="Verdana"/>
          <w:sz w:val="24"/>
          <w:szCs w:val="24"/>
        </w:rPr>
        <w:t xml:space="preserve">MacRobert </w:t>
      </w:r>
      <w:r w:rsidR="009A0670">
        <w:rPr>
          <w:rFonts w:ascii="Verdana" w:hAnsi="Verdana"/>
          <w:sz w:val="24"/>
          <w:szCs w:val="24"/>
        </w:rPr>
        <w:t>Attorneys</w:t>
      </w:r>
      <w:r w:rsidR="003B5550" w:rsidRPr="00811EE2">
        <w:rPr>
          <w:rFonts w:ascii="Verdana" w:hAnsi="Verdana"/>
          <w:sz w:val="24"/>
          <w:szCs w:val="24"/>
        </w:rPr>
        <w:t>.</w:t>
      </w:r>
    </w:p>
    <w:p w14:paraId="1D606984" w14:textId="59CA3ECB" w:rsidR="000D0964" w:rsidRPr="00811EE2" w:rsidRDefault="000D0964" w:rsidP="002978BB">
      <w:pPr>
        <w:widowControl w:val="0"/>
        <w:tabs>
          <w:tab w:val="left" w:pos="1962"/>
        </w:tabs>
        <w:autoSpaceDE w:val="0"/>
        <w:autoSpaceDN w:val="0"/>
        <w:spacing w:after="0" w:line="480" w:lineRule="auto"/>
        <w:ind w:left="1212" w:right="158"/>
        <w:jc w:val="both"/>
        <w:rPr>
          <w:rFonts w:ascii="Verdana" w:hAnsi="Verdana"/>
          <w:sz w:val="24"/>
          <w:szCs w:val="24"/>
        </w:rPr>
      </w:pPr>
    </w:p>
    <w:p w14:paraId="3ED7E43D" w14:textId="08809C1F" w:rsidR="000D0964" w:rsidRPr="00811EE2" w:rsidRDefault="000D0964" w:rsidP="00FF0DE8">
      <w:pPr>
        <w:widowControl w:val="0"/>
        <w:tabs>
          <w:tab w:val="left" w:pos="1962"/>
        </w:tabs>
        <w:autoSpaceDE w:val="0"/>
        <w:autoSpaceDN w:val="0"/>
        <w:spacing w:after="0" w:line="480" w:lineRule="auto"/>
        <w:ind w:right="158"/>
        <w:jc w:val="both"/>
        <w:rPr>
          <w:rFonts w:ascii="Verdana" w:hAnsi="Verdana"/>
          <w:sz w:val="24"/>
          <w:szCs w:val="24"/>
        </w:rPr>
      </w:pPr>
      <w:r w:rsidRPr="00811EE2">
        <w:rPr>
          <w:rFonts w:ascii="Verdana" w:hAnsi="Verdana"/>
          <w:sz w:val="24"/>
          <w:szCs w:val="24"/>
        </w:rPr>
        <w:lastRenderedPageBreak/>
        <w:t xml:space="preserve">DATE OF HEARING:  </w:t>
      </w:r>
      <w:r w:rsidR="003B5550" w:rsidRPr="00811EE2">
        <w:rPr>
          <w:rFonts w:ascii="Verdana" w:hAnsi="Verdana"/>
          <w:sz w:val="24"/>
          <w:szCs w:val="24"/>
        </w:rPr>
        <w:t>03</w:t>
      </w:r>
      <w:r w:rsidR="0086599F">
        <w:rPr>
          <w:rFonts w:ascii="Verdana" w:hAnsi="Verdana"/>
          <w:sz w:val="24"/>
          <w:szCs w:val="24"/>
          <w:vertAlign w:val="superscript"/>
        </w:rPr>
        <w:t xml:space="preserve"> </w:t>
      </w:r>
      <w:r w:rsidR="003B5550" w:rsidRPr="00811EE2">
        <w:rPr>
          <w:rFonts w:ascii="Verdana" w:hAnsi="Verdana"/>
          <w:sz w:val="24"/>
          <w:szCs w:val="24"/>
        </w:rPr>
        <w:t>November 2022</w:t>
      </w:r>
    </w:p>
    <w:p w14:paraId="1AE95315" w14:textId="2EC1639D" w:rsidR="000D0964" w:rsidRPr="00811EE2" w:rsidRDefault="000D0964" w:rsidP="002978BB">
      <w:pPr>
        <w:widowControl w:val="0"/>
        <w:tabs>
          <w:tab w:val="left" w:pos="1962"/>
        </w:tabs>
        <w:autoSpaceDE w:val="0"/>
        <w:autoSpaceDN w:val="0"/>
        <w:spacing w:after="0" w:line="480" w:lineRule="auto"/>
        <w:ind w:left="1212" w:right="158"/>
        <w:jc w:val="both"/>
        <w:rPr>
          <w:rFonts w:ascii="Verdana" w:hAnsi="Verdana"/>
          <w:sz w:val="24"/>
          <w:szCs w:val="24"/>
        </w:rPr>
      </w:pPr>
    </w:p>
    <w:p w14:paraId="4C17504E" w14:textId="0F911FEF" w:rsidR="000D0964" w:rsidRPr="00811EE2" w:rsidRDefault="000D0964" w:rsidP="00FF0DE8">
      <w:pPr>
        <w:widowControl w:val="0"/>
        <w:tabs>
          <w:tab w:val="left" w:pos="1962"/>
        </w:tabs>
        <w:autoSpaceDE w:val="0"/>
        <w:autoSpaceDN w:val="0"/>
        <w:spacing w:after="0" w:line="480" w:lineRule="auto"/>
        <w:ind w:right="158"/>
        <w:jc w:val="both"/>
        <w:rPr>
          <w:rFonts w:ascii="Verdana" w:hAnsi="Verdana"/>
          <w:sz w:val="24"/>
          <w:szCs w:val="24"/>
        </w:rPr>
      </w:pPr>
      <w:r w:rsidRPr="00811EE2">
        <w:rPr>
          <w:rFonts w:ascii="Verdana" w:hAnsi="Verdana"/>
          <w:sz w:val="24"/>
          <w:szCs w:val="24"/>
        </w:rPr>
        <w:t>DATE OF JUDGMENT:</w:t>
      </w:r>
      <w:r w:rsidR="0086599F">
        <w:rPr>
          <w:rFonts w:ascii="Verdana" w:hAnsi="Verdana"/>
          <w:sz w:val="24"/>
          <w:szCs w:val="24"/>
        </w:rPr>
        <w:t xml:space="preserve"> 08</w:t>
      </w:r>
      <w:r w:rsidR="00B47090" w:rsidRPr="00811EE2">
        <w:rPr>
          <w:rFonts w:ascii="Verdana" w:hAnsi="Verdana"/>
          <w:sz w:val="24"/>
          <w:szCs w:val="24"/>
        </w:rPr>
        <w:t xml:space="preserve"> </w:t>
      </w:r>
      <w:r w:rsidR="0086599F">
        <w:rPr>
          <w:rFonts w:ascii="Verdana" w:hAnsi="Verdana"/>
          <w:sz w:val="24"/>
          <w:szCs w:val="24"/>
        </w:rPr>
        <w:t xml:space="preserve">April </w:t>
      </w:r>
      <w:r w:rsidR="00B47090" w:rsidRPr="00811EE2">
        <w:rPr>
          <w:rFonts w:ascii="Verdana" w:hAnsi="Verdana"/>
          <w:sz w:val="24"/>
          <w:szCs w:val="24"/>
        </w:rPr>
        <w:t>202</w:t>
      </w:r>
      <w:r w:rsidR="0086599F">
        <w:rPr>
          <w:rFonts w:ascii="Verdana" w:hAnsi="Verdana"/>
          <w:sz w:val="24"/>
          <w:szCs w:val="24"/>
        </w:rPr>
        <w:t>4</w:t>
      </w:r>
    </w:p>
    <w:p w14:paraId="3FBD2208" w14:textId="63B8AB6F" w:rsidR="00E37044" w:rsidRPr="00811EE2" w:rsidRDefault="00E37044" w:rsidP="00FF5F00">
      <w:pPr>
        <w:widowControl w:val="0"/>
        <w:tabs>
          <w:tab w:val="left" w:pos="1962"/>
        </w:tabs>
        <w:autoSpaceDE w:val="0"/>
        <w:autoSpaceDN w:val="0"/>
        <w:spacing w:after="0" w:line="480" w:lineRule="auto"/>
        <w:ind w:left="1212" w:right="158"/>
        <w:jc w:val="both"/>
        <w:rPr>
          <w:rFonts w:ascii="Verdana" w:hAnsi="Verdana" w:cs="Arial"/>
          <w:b/>
          <w:bCs/>
          <w:sz w:val="24"/>
          <w:szCs w:val="24"/>
        </w:rPr>
      </w:pPr>
    </w:p>
    <w:p w14:paraId="28BD0F3E" w14:textId="494787EB" w:rsidR="00E90B4A" w:rsidRPr="00845C3A" w:rsidRDefault="00E90B4A" w:rsidP="00845C3A">
      <w:pPr>
        <w:pStyle w:val="ListParagraph"/>
        <w:spacing w:after="0" w:line="360" w:lineRule="auto"/>
        <w:ind w:left="0"/>
        <w:jc w:val="both"/>
        <w:rPr>
          <w:rFonts w:ascii="Verdana" w:hAnsi="Verdana" w:cs="Arial"/>
          <w:b/>
          <w:bCs/>
          <w:sz w:val="24"/>
          <w:szCs w:val="24"/>
        </w:rPr>
      </w:pPr>
    </w:p>
    <w:sectPr w:rsidR="00E90B4A" w:rsidRPr="00845C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F3B1F3" w14:textId="77777777" w:rsidR="00820F2B" w:rsidRDefault="00820F2B" w:rsidP="000A42E5">
      <w:pPr>
        <w:spacing w:after="0" w:line="240" w:lineRule="auto"/>
      </w:pPr>
      <w:r>
        <w:separator/>
      </w:r>
    </w:p>
  </w:endnote>
  <w:endnote w:type="continuationSeparator" w:id="0">
    <w:p w14:paraId="304538B7" w14:textId="77777777" w:rsidR="00820F2B" w:rsidRDefault="00820F2B" w:rsidP="000A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8519013"/>
      <w:docPartObj>
        <w:docPartGallery w:val="Page Numbers (Bottom of Page)"/>
        <w:docPartUnique/>
      </w:docPartObj>
    </w:sdtPr>
    <w:sdtEndPr>
      <w:rPr>
        <w:noProof/>
      </w:rPr>
    </w:sdtEndPr>
    <w:sdtContent>
      <w:p w14:paraId="61488BAA" w14:textId="3AEE823E" w:rsidR="00C80F0E" w:rsidRDefault="00C80F0E">
        <w:pPr>
          <w:pStyle w:val="Footer"/>
          <w:jc w:val="center"/>
        </w:pPr>
        <w:r>
          <w:fldChar w:fldCharType="begin"/>
        </w:r>
        <w:r>
          <w:instrText xml:space="preserve"> PAGE   \* MERGEFORMAT </w:instrText>
        </w:r>
        <w:r>
          <w:fldChar w:fldCharType="separate"/>
        </w:r>
        <w:r w:rsidR="00F505F3">
          <w:rPr>
            <w:noProof/>
          </w:rPr>
          <w:t>1</w:t>
        </w:r>
        <w:r>
          <w:rPr>
            <w:noProof/>
          </w:rPr>
          <w:fldChar w:fldCharType="end"/>
        </w:r>
      </w:p>
    </w:sdtContent>
  </w:sdt>
  <w:p w14:paraId="2F240755" w14:textId="77777777" w:rsidR="00C80F0E" w:rsidRDefault="00C80F0E">
    <w:pPr>
      <w:pStyle w:val="Footer"/>
    </w:pPr>
  </w:p>
  <w:p w14:paraId="5B1EB274" w14:textId="77777777" w:rsidR="00C80F0E" w:rsidRDefault="00C80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974AC8" w14:textId="77777777" w:rsidR="00820F2B" w:rsidRDefault="00820F2B" w:rsidP="000A42E5">
      <w:pPr>
        <w:spacing w:after="0" w:line="240" w:lineRule="auto"/>
      </w:pPr>
      <w:r>
        <w:separator/>
      </w:r>
    </w:p>
  </w:footnote>
  <w:footnote w:type="continuationSeparator" w:id="0">
    <w:p w14:paraId="64EF2D32" w14:textId="77777777" w:rsidR="00820F2B" w:rsidRDefault="00820F2B" w:rsidP="000A42E5">
      <w:pPr>
        <w:spacing w:after="0" w:line="240" w:lineRule="auto"/>
      </w:pPr>
      <w:r>
        <w:continuationSeparator/>
      </w:r>
    </w:p>
  </w:footnote>
  <w:footnote w:id="1">
    <w:p w14:paraId="6DAEDE84" w14:textId="77777777" w:rsidR="00FE14AF" w:rsidRPr="0095077A" w:rsidRDefault="00FE14AF" w:rsidP="00FE14AF">
      <w:pPr>
        <w:pStyle w:val="FootnoteText"/>
        <w:jc w:val="both"/>
        <w:rPr>
          <w:rFonts w:ascii="Verdana" w:hAnsi="Verdana"/>
          <w:sz w:val="22"/>
          <w:lang w:val="en-US"/>
        </w:rPr>
      </w:pPr>
      <w:r>
        <w:rPr>
          <w:rStyle w:val="FootnoteReference"/>
        </w:rPr>
        <w:footnoteRef/>
      </w:r>
      <w:r>
        <w:t xml:space="preserve"> </w:t>
      </w:r>
      <w:r w:rsidRPr="0095077A">
        <w:rPr>
          <w:rFonts w:ascii="Verdana" w:hAnsi="Verdana"/>
          <w:sz w:val="22"/>
          <w:lang w:val="en-US"/>
        </w:rPr>
        <w:t>Customs &amp; Excise Act 91 of 1964 (</w:t>
      </w:r>
      <w:r>
        <w:rPr>
          <w:rFonts w:ascii="Verdana" w:hAnsi="Verdana"/>
          <w:sz w:val="22"/>
          <w:lang w:val="en-US"/>
        </w:rPr>
        <w:t>“</w:t>
      </w:r>
      <w:r w:rsidRPr="0095077A">
        <w:rPr>
          <w:rFonts w:ascii="Verdana" w:hAnsi="Verdana"/>
          <w:sz w:val="22"/>
          <w:lang w:val="en-US"/>
        </w:rPr>
        <w:t>Customs Act”).</w:t>
      </w:r>
    </w:p>
  </w:footnote>
  <w:footnote w:id="2">
    <w:p w14:paraId="689B65C3" w14:textId="77777777" w:rsidR="00FE14AF" w:rsidRPr="0095077A" w:rsidRDefault="00FE14AF" w:rsidP="00FE14AF">
      <w:pPr>
        <w:pStyle w:val="FootnoteText"/>
        <w:jc w:val="both"/>
        <w:rPr>
          <w:rFonts w:ascii="Verdana" w:hAnsi="Verdana"/>
          <w:sz w:val="22"/>
          <w:lang w:val="en-US"/>
        </w:rPr>
      </w:pPr>
      <w:r>
        <w:rPr>
          <w:rStyle w:val="FootnoteReference"/>
        </w:rPr>
        <w:footnoteRef/>
      </w:r>
      <w:r>
        <w:t xml:space="preserve"> </w:t>
      </w:r>
      <w:r w:rsidRPr="0095077A">
        <w:rPr>
          <w:rFonts w:ascii="Verdana" w:hAnsi="Verdana"/>
          <w:sz w:val="22"/>
          <w:lang w:val="en-US"/>
        </w:rPr>
        <w:t>Customs Rule 60.04(</w:t>
      </w:r>
      <w:proofErr w:type="gramStart"/>
      <w:r w:rsidRPr="0095077A">
        <w:rPr>
          <w:rFonts w:ascii="Verdana" w:hAnsi="Verdana"/>
          <w:sz w:val="22"/>
          <w:lang w:val="en-US"/>
        </w:rPr>
        <w:t>2)(</w:t>
      </w:r>
      <w:proofErr w:type="gramEnd"/>
      <w:r w:rsidRPr="0095077A">
        <w:rPr>
          <w:rFonts w:ascii="Verdana" w:hAnsi="Verdana"/>
          <w:sz w:val="22"/>
          <w:lang w:val="en-US"/>
        </w:rPr>
        <w:t xml:space="preserve"> c)</w:t>
      </w:r>
      <w:r>
        <w:rPr>
          <w:rFonts w:ascii="Verdana" w:hAnsi="Verdana"/>
          <w:sz w:val="22"/>
          <w:lang w:val="en-US"/>
        </w:rPr>
        <w:t>.</w:t>
      </w:r>
      <w:r w:rsidRPr="0095077A">
        <w:rPr>
          <w:rFonts w:ascii="Verdana" w:hAnsi="Verdana"/>
          <w:sz w:val="22"/>
          <w:lang w:val="en-US"/>
        </w:rPr>
        <w:t xml:space="preserve"> </w:t>
      </w:r>
    </w:p>
  </w:footnote>
  <w:footnote w:id="3">
    <w:p w14:paraId="3E81B2EA" w14:textId="7BD41B30" w:rsidR="00C80F0E" w:rsidRPr="00841287" w:rsidRDefault="00C80F0E" w:rsidP="003B5550">
      <w:pPr>
        <w:pStyle w:val="FootnoteText"/>
        <w:jc w:val="both"/>
        <w:rPr>
          <w:rFonts w:ascii="Verdana" w:hAnsi="Verdana"/>
          <w:sz w:val="22"/>
          <w:lang w:val="en-US"/>
        </w:rPr>
      </w:pPr>
      <w:r>
        <w:rPr>
          <w:rStyle w:val="FootnoteReference"/>
        </w:rPr>
        <w:footnoteRef/>
      </w:r>
      <w:r>
        <w:t xml:space="preserve"> </w:t>
      </w:r>
      <w:r w:rsidRPr="00841287">
        <w:rPr>
          <w:rFonts w:ascii="Verdana" w:hAnsi="Verdana"/>
          <w:sz w:val="22"/>
          <w:lang w:val="en-US"/>
        </w:rPr>
        <w:t>Promotion of Administrative Justice Act 3 of 2000 (</w:t>
      </w:r>
      <w:r>
        <w:rPr>
          <w:rFonts w:ascii="Verdana" w:hAnsi="Verdana"/>
          <w:sz w:val="22"/>
          <w:lang w:val="en-US"/>
        </w:rPr>
        <w:t>“</w:t>
      </w:r>
      <w:r w:rsidRPr="00841287">
        <w:rPr>
          <w:rFonts w:ascii="Verdana" w:hAnsi="Verdana"/>
          <w:sz w:val="22"/>
          <w:lang w:val="en-US"/>
        </w:rPr>
        <w:t>PAJA</w:t>
      </w:r>
      <w:r>
        <w:rPr>
          <w:rFonts w:ascii="Verdana" w:hAnsi="Verdana"/>
          <w:sz w:val="22"/>
          <w:lang w:val="en-US"/>
        </w:rPr>
        <w:t>”</w:t>
      </w:r>
      <w:r w:rsidRPr="00841287">
        <w:rPr>
          <w:rFonts w:ascii="Verdana" w:hAnsi="Verdana"/>
          <w:sz w:val="22"/>
          <w:lang w:val="en-US"/>
        </w:rPr>
        <w:t>).</w:t>
      </w:r>
    </w:p>
  </w:footnote>
  <w:footnote w:id="4">
    <w:p w14:paraId="37CAF4CF" w14:textId="2C1EBA63" w:rsidR="00C80F0E" w:rsidRPr="0095077A" w:rsidRDefault="00C80F0E" w:rsidP="00E11FF6">
      <w:pPr>
        <w:pStyle w:val="FootnoteText"/>
        <w:jc w:val="both"/>
        <w:rPr>
          <w:rFonts w:ascii="Verdana" w:hAnsi="Verdana"/>
          <w:sz w:val="22"/>
          <w:lang w:val="en-US"/>
        </w:rPr>
      </w:pPr>
      <w:r>
        <w:rPr>
          <w:rStyle w:val="FootnoteReference"/>
        </w:rPr>
        <w:footnoteRef/>
      </w:r>
      <w:r>
        <w:t xml:space="preserve"> </w:t>
      </w:r>
      <w:r w:rsidRPr="0095077A">
        <w:rPr>
          <w:rFonts w:ascii="Verdana" w:hAnsi="Verdana"/>
          <w:sz w:val="22"/>
          <w:lang w:val="en-US"/>
        </w:rPr>
        <w:t>Annexure SARS [</w:t>
      </w:r>
      <w:proofErr w:type="spellStart"/>
      <w:r w:rsidRPr="0095077A">
        <w:rPr>
          <w:rFonts w:ascii="Verdana" w:hAnsi="Verdana"/>
          <w:sz w:val="22"/>
          <w:lang w:val="en-US"/>
        </w:rPr>
        <w:t>CaseLines</w:t>
      </w:r>
      <w:proofErr w:type="spellEnd"/>
      <w:r w:rsidRPr="0095077A">
        <w:rPr>
          <w:rFonts w:ascii="Verdana" w:hAnsi="Verdana"/>
          <w:sz w:val="22"/>
          <w:lang w:val="en-US"/>
        </w:rPr>
        <w:t xml:space="preserve"> 004-73].</w:t>
      </w:r>
    </w:p>
  </w:footnote>
  <w:footnote w:id="5">
    <w:p w14:paraId="4DB2E346" w14:textId="3D388435" w:rsidR="00C80F0E" w:rsidRPr="008D0535" w:rsidRDefault="00C80F0E" w:rsidP="00E11FF6">
      <w:pPr>
        <w:pStyle w:val="FootnoteText"/>
        <w:jc w:val="both"/>
        <w:rPr>
          <w:rFonts w:ascii="Verdana" w:hAnsi="Verdana"/>
          <w:sz w:val="22"/>
          <w:lang w:val="en-US"/>
        </w:rPr>
      </w:pPr>
      <w:r>
        <w:rPr>
          <w:rStyle w:val="FootnoteReference"/>
        </w:rPr>
        <w:footnoteRef/>
      </w:r>
      <w:r>
        <w:t xml:space="preserve"> </w:t>
      </w:r>
      <w:r w:rsidRPr="008D0535">
        <w:rPr>
          <w:rFonts w:ascii="Verdana" w:hAnsi="Verdana"/>
          <w:sz w:val="22"/>
          <w:lang w:val="en-US"/>
        </w:rPr>
        <w:t>Annexure PLS10 [</w:t>
      </w:r>
      <w:proofErr w:type="spellStart"/>
      <w:r w:rsidRPr="008D0535">
        <w:rPr>
          <w:rFonts w:ascii="Verdana" w:hAnsi="Verdana"/>
          <w:sz w:val="22"/>
          <w:lang w:val="en-US"/>
        </w:rPr>
        <w:t>CaseLines</w:t>
      </w:r>
      <w:proofErr w:type="spellEnd"/>
      <w:r w:rsidRPr="008D0535">
        <w:rPr>
          <w:rFonts w:ascii="Verdana" w:hAnsi="Verdana"/>
          <w:sz w:val="22"/>
          <w:lang w:val="en-US"/>
        </w:rPr>
        <w:t xml:space="preserve"> 001-407]</w:t>
      </w:r>
    </w:p>
  </w:footnote>
  <w:footnote w:id="6">
    <w:p w14:paraId="4D8C98CF" w14:textId="610C2897" w:rsidR="00C80F0E" w:rsidRPr="008D0535" w:rsidRDefault="00C80F0E" w:rsidP="00E11FF6">
      <w:pPr>
        <w:pStyle w:val="FootnoteText"/>
        <w:jc w:val="both"/>
        <w:rPr>
          <w:rFonts w:ascii="Verdana" w:hAnsi="Verdana"/>
          <w:sz w:val="22"/>
          <w:lang w:val="en-US"/>
        </w:rPr>
      </w:pPr>
      <w:r>
        <w:rPr>
          <w:rStyle w:val="FootnoteReference"/>
        </w:rPr>
        <w:footnoteRef/>
      </w:r>
      <w:r>
        <w:t xml:space="preserve"> </w:t>
      </w:r>
      <w:r w:rsidRPr="008D0535">
        <w:rPr>
          <w:rFonts w:ascii="Verdana" w:hAnsi="Verdana"/>
          <w:sz w:val="22"/>
          <w:lang w:val="en-US"/>
        </w:rPr>
        <w:t>See Particulars of Claim Annexure RA3 [</w:t>
      </w:r>
      <w:proofErr w:type="spellStart"/>
      <w:r w:rsidRPr="008D0535">
        <w:rPr>
          <w:rFonts w:ascii="Verdana" w:hAnsi="Verdana"/>
          <w:sz w:val="22"/>
          <w:lang w:val="en-US"/>
        </w:rPr>
        <w:t>CaseLines</w:t>
      </w:r>
      <w:proofErr w:type="spellEnd"/>
      <w:r w:rsidRPr="008D0535">
        <w:rPr>
          <w:rFonts w:ascii="Verdana" w:hAnsi="Verdana"/>
          <w:sz w:val="22"/>
          <w:lang w:val="en-US"/>
        </w:rPr>
        <w:t xml:space="preserve"> 003-18]</w:t>
      </w:r>
    </w:p>
  </w:footnote>
  <w:footnote w:id="7">
    <w:p w14:paraId="124E6D04" w14:textId="77777777" w:rsidR="00E65D06" w:rsidRPr="008747BE" w:rsidRDefault="00E65D06" w:rsidP="00E65D06">
      <w:pPr>
        <w:pStyle w:val="FootnoteText"/>
        <w:rPr>
          <w:rFonts w:ascii="Verdana" w:hAnsi="Verdana"/>
          <w:sz w:val="22"/>
          <w:lang w:val="en-US"/>
        </w:rPr>
      </w:pPr>
      <w:r w:rsidRPr="008747BE">
        <w:rPr>
          <w:rStyle w:val="FootnoteReference"/>
          <w:rFonts w:ascii="Verdana" w:hAnsi="Verdana"/>
          <w:sz w:val="22"/>
        </w:rPr>
        <w:footnoteRef/>
      </w:r>
      <w:r w:rsidRPr="008747BE">
        <w:rPr>
          <w:rFonts w:ascii="Verdana" w:hAnsi="Verdana"/>
          <w:sz w:val="22"/>
        </w:rPr>
        <w:t xml:space="preserve"> </w:t>
      </w:r>
      <w:r w:rsidRPr="008747BE">
        <w:rPr>
          <w:rFonts w:ascii="Verdana" w:hAnsi="Verdana"/>
          <w:sz w:val="22"/>
          <w:lang w:val="en-US"/>
        </w:rPr>
        <w:t xml:space="preserve">004-40, par.2 </w:t>
      </w:r>
    </w:p>
  </w:footnote>
  <w:footnote w:id="8">
    <w:p w14:paraId="65B8EFAB" w14:textId="77777777" w:rsidR="00E65D06" w:rsidRPr="008747BE" w:rsidRDefault="00E65D06" w:rsidP="00E65D06">
      <w:pPr>
        <w:pStyle w:val="FootnoteText"/>
        <w:rPr>
          <w:rFonts w:ascii="Verdana" w:hAnsi="Verdana"/>
          <w:sz w:val="22"/>
          <w:lang w:val="en-US"/>
        </w:rPr>
      </w:pPr>
      <w:r w:rsidRPr="008747BE">
        <w:rPr>
          <w:rStyle w:val="FootnoteReference"/>
          <w:rFonts w:ascii="Verdana" w:hAnsi="Verdana"/>
          <w:sz w:val="22"/>
        </w:rPr>
        <w:footnoteRef/>
      </w:r>
      <w:r w:rsidRPr="008747BE">
        <w:rPr>
          <w:rFonts w:ascii="Verdana" w:hAnsi="Verdana"/>
          <w:sz w:val="22"/>
        </w:rPr>
        <w:t xml:space="preserve"> </w:t>
      </w:r>
      <w:r w:rsidRPr="008747BE">
        <w:rPr>
          <w:rFonts w:ascii="Verdana" w:hAnsi="Verdana"/>
          <w:sz w:val="22"/>
          <w:lang w:val="en-US"/>
        </w:rPr>
        <w:t>004-51.par.15</w:t>
      </w:r>
      <w:r>
        <w:rPr>
          <w:rFonts w:ascii="Verdana" w:hAnsi="Verdana"/>
          <w:sz w:val="22"/>
          <w:lang w:val="en-US"/>
        </w:rPr>
        <w:t>.</w:t>
      </w:r>
    </w:p>
  </w:footnote>
  <w:footnote w:id="9">
    <w:p w14:paraId="145D2465" w14:textId="1CC23E1C" w:rsidR="00C80F0E" w:rsidRPr="008D0535" w:rsidRDefault="00C80F0E" w:rsidP="00E11FF6">
      <w:pPr>
        <w:pStyle w:val="FootnoteText"/>
        <w:jc w:val="both"/>
        <w:rPr>
          <w:rFonts w:ascii="Verdana" w:hAnsi="Verdana"/>
          <w:sz w:val="22"/>
          <w:lang w:val="en-US"/>
        </w:rPr>
      </w:pPr>
      <w:r>
        <w:rPr>
          <w:rStyle w:val="FootnoteReference"/>
        </w:rPr>
        <w:footnoteRef/>
      </w:r>
      <w:r>
        <w:t xml:space="preserve"> </w:t>
      </w:r>
      <w:r w:rsidRPr="008D0535">
        <w:rPr>
          <w:rFonts w:ascii="Verdana" w:hAnsi="Verdana"/>
          <w:sz w:val="22"/>
          <w:lang w:val="en-US"/>
        </w:rPr>
        <w:t>Supplementary Founding Affidavit para 30 [</w:t>
      </w:r>
      <w:proofErr w:type="spellStart"/>
      <w:r w:rsidRPr="008D0535">
        <w:rPr>
          <w:rFonts w:ascii="Verdana" w:hAnsi="Verdana"/>
          <w:sz w:val="22"/>
          <w:lang w:val="en-US"/>
        </w:rPr>
        <w:t>CaseLines</w:t>
      </w:r>
      <w:proofErr w:type="spellEnd"/>
      <w:r w:rsidRPr="008D0535">
        <w:rPr>
          <w:rFonts w:ascii="Verdana" w:hAnsi="Verdana"/>
          <w:sz w:val="22"/>
          <w:lang w:val="en-US"/>
        </w:rPr>
        <w:t xml:space="preserve"> 003-10].</w:t>
      </w:r>
    </w:p>
  </w:footnote>
  <w:footnote w:id="10">
    <w:p w14:paraId="224CCCD7" w14:textId="66B770BE" w:rsidR="00E65D06" w:rsidRPr="008747BE" w:rsidRDefault="00E65D06" w:rsidP="00E65D06">
      <w:pPr>
        <w:pStyle w:val="FootnoteText"/>
        <w:rPr>
          <w:rFonts w:ascii="Verdana" w:hAnsi="Verdana"/>
          <w:sz w:val="22"/>
          <w:lang w:val="en-US"/>
        </w:rPr>
      </w:pPr>
      <w:r w:rsidRPr="008747BE">
        <w:rPr>
          <w:rStyle w:val="FootnoteReference"/>
          <w:rFonts w:ascii="Verdana" w:hAnsi="Verdana"/>
          <w:sz w:val="22"/>
        </w:rPr>
        <w:footnoteRef/>
      </w:r>
      <w:r w:rsidRPr="008747BE">
        <w:rPr>
          <w:rFonts w:ascii="Verdana" w:hAnsi="Verdana"/>
          <w:sz w:val="22"/>
        </w:rPr>
        <w:t xml:space="preserve"> </w:t>
      </w:r>
      <w:r w:rsidRPr="008747BE">
        <w:rPr>
          <w:rFonts w:ascii="Verdana" w:hAnsi="Verdana"/>
          <w:sz w:val="22"/>
          <w:lang w:val="en-US"/>
        </w:rPr>
        <w:t>Answe</w:t>
      </w:r>
      <w:r>
        <w:rPr>
          <w:rFonts w:ascii="Verdana" w:hAnsi="Verdana"/>
          <w:sz w:val="22"/>
          <w:lang w:val="en-US"/>
        </w:rPr>
        <w:t>ring affidavit, 004-11, par. 20.</w:t>
      </w:r>
      <w:r w:rsidR="00205264">
        <w:rPr>
          <w:rFonts w:ascii="Verdana" w:hAnsi="Verdana"/>
          <w:sz w:val="22"/>
          <w:lang w:val="en-US"/>
        </w:rPr>
        <w:t xml:space="preserve"> L</w:t>
      </w:r>
      <w:r w:rsidRPr="008747BE">
        <w:rPr>
          <w:rFonts w:ascii="Verdana" w:hAnsi="Verdana"/>
          <w:sz w:val="22"/>
          <w:lang w:val="en-US"/>
        </w:rPr>
        <w:t>ines 1-6.</w:t>
      </w:r>
    </w:p>
  </w:footnote>
  <w:footnote w:id="11">
    <w:p w14:paraId="775B1571" w14:textId="77777777" w:rsidR="00E65D06" w:rsidRPr="008747BE" w:rsidRDefault="00E65D06" w:rsidP="00E65D06">
      <w:pPr>
        <w:pStyle w:val="FootnoteText"/>
        <w:rPr>
          <w:rFonts w:ascii="Verdana" w:hAnsi="Verdana"/>
          <w:sz w:val="22"/>
          <w:lang w:val="en-US"/>
        </w:rPr>
      </w:pPr>
      <w:r w:rsidRPr="008747BE">
        <w:rPr>
          <w:rStyle w:val="FootnoteReference"/>
          <w:rFonts w:ascii="Verdana" w:hAnsi="Verdana"/>
          <w:sz w:val="22"/>
        </w:rPr>
        <w:footnoteRef/>
      </w:r>
      <w:r w:rsidRPr="008747BE">
        <w:rPr>
          <w:rFonts w:ascii="Verdana" w:hAnsi="Verdana"/>
          <w:sz w:val="22"/>
        </w:rPr>
        <w:t xml:space="preserve"> </w:t>
      </w:r>
      <w:r w:rsidRPr="008747BE">
        <w:rPr>
          <w:rFonts w:ascii="Verdana" w:hAnsi="Verdana"/>
          <w:sz w:val="22"/>
          <w:lang w:val="en-US"/>
        </w:rPr>
        <w:t>001-450.</w:t>
      </w:r>
    </w:p>
  </w:footnote>
  <w:footnote w:id="12">
    <w:p w14:paraId="3D4315DC" w14:textId="77777777" w:rsidR="001D273F" w:rsidRPr="002E47A0" w:rsidRDefault="001D273F" w:rsidP="001D273F">
      <w:pPr>
        <w:pStyle w:val="FootnoteText"/>
        <w:jc w:val="both"/>
        <w:rPr>
          <w:rFonts w:ascii="Verdana" w:hAnsi="Verdana"/>
          <w:sz w:val="22"/>
          <w:lang w:val="en-US"/>
        </w:rPr>
      </w:pPr>
      <w:r>
        <w:rPr>
          <w:rStyle w:val="FootnoteReference"/>
        </w:rPr>
        <w:footnoteRef/>
      </w:r>
      <w:r>
        <w:t xml:space="preserve"> </w:t>
      </w:r>
      <w:r w:rsidRPr="002E47A0">
        <w:rPr>
          <w:rFonts w:ascii="Verdana" w:hAnsi="Verdana"/>
          <w:sz w:val="22"/>
          <w:lang w:val="en-US"/>
        </w:rPr>
        <w:t>Annexure PLS1[</w:t>
      </w:r>
      <w:proofErr w:type="spellStart"/>
      <w:r w:rsidRPr="002E47A0">
        <w:rPr>
          <w:rFonts w:ascii="Verdana" w:hAnsi="Verdana"/>
          <w:sz w:val="22"/>
          <w:lang w:val="en-US"/>
        </w:rPr>
        <w:t>CaseLines</w:t>
      </w:r>
      <w:proofErr w:type="spellEnd"/>
      <w:r w:rsidRPr="002E47A0">
        <w:rPr>
          <w:rFonts w:ascii="Verdana" w:hAnsi="Verdana"/>
          <w:sz w:val="22"/>
          <w:lang w:val="en-US"/>
        </w:rPr>
        <w:t>].</w:t>
      </w:r>
    </w:p>
  </w:footnote>
  <w:footnote w:id="13">
    <w:p w14:paraId="51AA7E4D" w14:textId="77777777" w:rsidR="001D273F" w:rsidRPr="002E47A0" w:rsidRDefault="001D273F" w:rsidP="001D273F">
      <w:pPr>
        <w:pStyle w:val="FootnoteText"/>
        <w:jc w:val="both"/>
        <w:rPr>
          <w:rFonts w:ascii="Verdana" w:hAnsi="Verdana"/>
          <w:sz w:val="22"/>
          <w:lang w:val="en-US"/>
        </w:rPr>
      </w:pPr>
      <w:r w:rsidRPr="002E47A0">
        <w:rPr>
          <w:rStyle w:val="FootnoteReference"/>
          <w:rFonts w:ascii="Verdana" w:hAnsi="Verdana"/>
          <w:sz w:val="22"/>
        </w:rPr>
        <w:footnoteRef/>
      </w:r>
      <w:r w:rsidRPr="002E47A0">
        <w:rPr>
          <w:rFonts w:ascii="Verdana" w:hAnsi="Verdana"/>
          <w:sz w:val="22"/>
        </w:rPr>
        <w:t xml:space="preserve"> </w:t>
      </w:r>
      <w:r w:rsidRPr="002E47A0">
        <w:rPr>
          <w:rFonts w:ascii="Verdana" w:hAnsi="Verdana"/>
          <w:sz w:val="22"/>
          <w:lang w:val="en-US"/>
        </w:rPr>
        <w:t xml:space="preserve">Annexure PLS2[ </w:t>
      </w:r>
      <w:proofErr w:type="spellStart"/>
      <w:r w:rsidRPr="002E47A0">
        <w:rPr>
          <w:rFonts w:ascii="Verdana" w:hAnsi="Verdana"/>
          <w:sz w:val="22"/>
          <w:lang w:val="en-US"/>
        </w:rPr>
        <w:t>CaseLines</w:t>
      </w:r>
      <w:proofErr w:type="spellEnd"/>
      <w:r w:rsidRPr="002E47A0">
        <w:rPr>
          <w:rFonts w:ascii="Verdana" w:hAnsi="Verdana"/>
          <w:sz w:val="22"/>
          <w:lang w:val="en-US"/>
        </w:rPr>
        <w:t xml:space="preserve"> 001-116].</w:t>
      </w:r>
    </w:p>
  </w:footnote>
  <w:footnote w:id="14">
    <w:p w14:paraId="14BC2099" w14:textId="4E3B0BAD" w:rsidR="001D273F" w:rsidRPr="00E11469" w:rsidRDefault="001D273F" w:rsidP="001D273F">
      <w:pPr>
        <w:pStyle w:val="FootnoteText"/>
        <w:jc w:val="both"/>
        <w:rPr>
          <w:rFonts w:ascii="Verdana" w:hAnsi="Verdana"/>
          <w:sz w:val="22"/>
          <w:lang w:val="en-US"/>
        </w:rPr>
      </w:pPr>
      <w:r w:rsidRPr="00E11469">
        <w:rPr>
          <w:rStyle w:val="FootnoteReference"/>
          <w:rFonts w:ascii="Verdana" w:hAnsi="Verdana"/>
          <w:sz w:val="22"/>
        </w:rPr>
        <w:footnoteRef/>
      </w:r>
      <w:r w:rsidRPr="00E11469">
        <w:rPr>
          <w:rFonts w:ascii="Verdana" w:hAnsi="Verdana"/>
          <w:sz w:val="22"/>
        </w:rPr>
        <w:t xml:space="preserve"> </w:t>
      </w:r>
      <w:r w:rsidRPr="00E11469">
        <w:rPr>
          <w:rFonts w:ascii="Verdana" w:hAnsi="Verdana"/>
          <w:sz w:val="22"/>
          <w:lang w:val="en-US"/>
        </w:rPr>
        <w:t>Annexure PLS3 [Case</w:t>
      </w:r>
      <w:r w:rsidR="004B6047">
        <w:rPr>
          <w:rFonts w:ascii="Verdana" w:hAnsi="Verdana"/>
          <w:sz w:val="22"/>
          <w:lang w:val="en-US"/>
        </w:rPr>
        <w:t>Lines</w:t>
      </w:r>
      <w:r w:rsidRPr="00E11469">
        <w:rPr>
          <w:rFonts w:ascii="Verdana" w:hAnsi="Verdana"/>
          <w:sz w:val="22"/>
          <w:lang w:val="en-US"/>
        </w:rPr>
        <w:t>001-191].</w:t>
      </w:r>
    </w:p>
  </w:footnote>
  <w:footnote w:id="15">
    <w:p w14:paraId="4ECB10A2" w14:textId="77777777" w:rsidR="001D273F" w:rsidRPr="00E11469" w:rsidRDefault="001D273F" w:rsidP="001D273F">
      <w:pPr>
        <w:pStyle w:val="FootnoteText"/>
        <w:jc w:val="both"/>
        <w:rPr>
          <w:rFonts w:ascii="Verdana" w:hAnsi="Verdana"/>
          <w:sz w:val="22"/>
          <w:lang w:val="en-US"/>
        </w:rPr>
      </w:pPr>
      <w:r w:rsidRPr="00E11469">
        <w:rPr>
          <w:rStyle w:val="FootnoteReference"/>
          <w:rFonts w:ascii="Verdana" w:hAnsi="Verdana"/>
          <w:sz w:val="22"/>
        </w:rPr>
        <w:footnoteRef/>
      </w:r>
      <w:r w:rsidRPr="00E11469">
        <w:rPr>
          <w:rFonts w:ascii="Verdana" w:hAnsi="Verdana"/>
          <w:sz w:val="22"/>
        </w:rPr>
        <w:t xml:space="preserve"> </w:t>
      </w:r>
      <w:proofErr w:type="spellStart"/>
      <w:r w:rsidRPr="00E11469">
        <w:rPr>
          <w:rFonts w:ascii="Verdana" w:hAnsi="Verdana"/>
          <w:sz w:val="22"/>
        </w:rPr>
        <w:t>CaseLines</w:t>
      </w:r>
      <w:proofErr w:type="spellEnd"/>
      <w:r w:rsidRPr="00E11469">
        <w:rPr>
          <w:rFonts w:ascii="Verdana" w:hAnsi="Verdana"/>
          <w:sz w:val="22"/>
        </w:rPr>
        <w:t xml:space="preserve"> 001-24; 001-118 and 001-194.</w:t>
      </w:r>
    </w:p>
  </w:footnote>
  <w:footnote w:id="16">
    <w:p w14:paraId="5F4A03B9" w14:textId="77777777" w:rsidR="001D273F" w:rsidRPr="00970843" w:rsidRDefault="001D273F" w:rsidP="001D273F">
      <w:pPr>
        <w:pStyle w:val="FootnoteText"/>
        <w:jc w:val="both"/>
        <w:rPr>
          <w:rFonts w:ascii="Verdana" w:hAnsi="Verdana"/>
          <w:sz w:val="22"/>
          <w:lang w:val="en-US"/>
        </w:rPr>
      </w:pPr>
      <w:r>
        <w:rPr>
          <w:rStyle w:val="FootnoteReference"/>
        </w:rPr>
        <w:footnoteRef/>
      </w:r>
      <w:r>
        <w:t xml:space="preserve"> </w:t>
      </w:r>
      <w:r w:rsidRPr="00970843">
        <w:rPr>
          <w:rFonts w:ascii="Verdana" w:hAnsi="Verdana"/>
          <w:sz w:val="22"/>
        </w:rPr>
        <w:t>Supplementary Founding Affidavit para 30.3 [</w:t>
      </w:r>
      <w:proofErr w:type="spellStart"/>
      <w:r w:rsidRPr="00970843">
        <w:rPr>
          <w:rFonts w:ascii="Verdana" w:hAnsi="Verdana"/>
          <w:sz w:val="22"/>
        </w:rPr>
        <w:t>CaseLines</w:t>
      </w:r>
      <w:proofErr w:type="spellEnd"/>
      <w:r w:rsidRPr="00970843">
        <w:rPr>
          <w:rFonts w:ascii="Verdana" w:hAnsi="Verdana"/>
          <w:sz w:val="22"/>
        </w:rPr>
        <w:t xml:space="preserve"> 003-10].</w:t>
      </w:r>
    </w:p>
  </w:footnote>
  <w:footnote w:id="17">
    <w:p w14:paraId="2AB19BA5" w14:textId="77777777" w:rsidR="002517C1" w:rsidRPr="00970843" w:rsidRDefault="002517C1" w:rsidP="002517C1">
      <w:pPr>
        <w:pStyle w:val="FootnoteText"/>
        <w:jc w:val="both"/>
        <w:rPr>
          <w:rFonts w:ascii="Verdana" w:hAnsi="Verdana"/>
          <w:sz w:val="22"/>
          <w:lang w:val="en-US"/>
        </w:rPr>
      </w:pPr>
      <w:r w:rsidRPr="00970843">
        <w:rPr>
          <w:rStyle w:val="FootnoteReference"/>
          <w:rFonts w:ascii="Verdana" w:hAnsi="Verdana"/>
          <w:sz w:val="22"/>
        </w:rPr>
        <w:footnoteRef/>
      </w:r>
      <w:r w:rsidRPr="00970843">
        <w:rPr>
          <w:rFonts w:ascii="Verdana" w:hAnsi="Verdana"/>
          <w:sz w:val="22"/>
        </w:rPr>
        <w:t xml:space="preserve"> </w:t>
      </w:r>
      <w:r w:rsidRPr="00970843">
        <w:rPr>
          <w:rFonts w:ascii="Verdana" w:hAnsi="Verdana"/>
          <w:sz w:val="22"/>
          <w:lang w:val="en-US"/>
        </w:rPr>
        <w:t xml:space="preserve">See vetting reports at </w:t>
      </w:r>
      <w:proofErr w:type="spellStart"/>
      <w:r w:rsidRPr="00970843">
        <w:rPr>
          <w:rFonts w:ascii="Verdana" w:hAnsi="Verdana"/>
          <w:sz w:val="22"/>
          <w:lang w:val="en-US"/>
        </w:rPr>
        <w:t>CaseLines</w:t>
      </w:r>
      <w:proofErr w:type="spellEnd"/>
      <w:r w:rsidRPr="00970843">
        <w:rPr>
          <w:rFonts w:ascii="Verdana" w:hAnsi="Verdana"/>
          <w:sz w:val="22"/>
          <w:lang w:val="en-US"/>
        </w:rPr>
        <w:t xml:space="preserve"> 002-170 and </w:t>
      </w:r>
      <w:proofErr w:type="spellStart"/>
      <w:r w:rsidRPr="00970843">
        <w:rPr>
          <w:rFonts w:ascii="Verdana" w:hAnsi="Verdana"/>
          <w:sz w:val="22"/>
          <w:lang w:val="en-US"/>
        </w:rPr>
        <w:t>CaseLines</w:t>
      </w:r>
      <w:proofErr w:type="spellEnd"/>
      <w:r w:rsidRPr="00970843">
        <w:rPr>
          <w:rFonts w:ascii="Verdana" w:hAnsi="Verdana"/>
          <w:sz w:val="22"/>
          <w:lang w:val="en-US"/>
        </w:rPr>
        <w:t xml:space="preserve"> 002-181.</w:t>
      </w:r>
    </w:p>
  </w:footnote>
  <w:footnote w:id="18">
    <w:p w14:paraId="7AACD54A" w14:textId="77777777" w:rsidR="002517C1" w:rsidRPr="00970843" w:rsidRDefault="002517C1" w:rsidP="002517C1">
      <w:pPr>
        <w:pStyle w:val="FootnoteText"/>
        <w:jc w:val="both"/>
        <w:rPr>
          <w:rFonts w:ascii="Verdana" w:hAnsi="Verdana"/>
          <w:sz w:val="22"/>
          <w:lang w:val="en-US"/>
        </w:rPr>
      </w:pPr>
      <w:r w:rsidRPr="00970843">
        <w:rPr>
          <w:rStyle w:val="FootnoteReference"/>
          <w:rFonts w:ascii="Verdana" w:hAnsi="Verdana"/>
          <w:sz w:val="22"/>
        </w:rPr>
        <w:footnoteRef/>
      </w:r>
      <w:r w:rsidRPr="00970843">
        <w:rPr>
          <w:rFonts w:ascii="Verdana" w:hAnsi="Verdana"/>
          <w:sz w:val="22"/>
        </w:rPr>
        <w:t xml:space="preserve"> </w:t>
      </w:r>
      <w:r w:rsidRPr="00970843">
        <w:rPr>
          <w:rFonts w:ascii="Verdana" w:hAnsi="Verdana"/>
          <w:sz w:val="22"/>
          <w:lang w:val="en-US"/>
        </w:rPr>
        <w:t>Record at pages 174 and 185, see [</w:t>
      </w:r>
      <w:proofErr w:type="spellStart"/>
      <w:r w:rsidRPr="00970843">
        <w:rPr>
          <w:rFonts w:ascii="Verdana" w:hAnsi="Verdana"/>
          <w:sz w:val="22"/>
          <w:lang w:val="en-US"/>
        </w:rPr>
        <w:t>CaseLines</w:t>
      </w:r>
      <w:proofErr w:type="spellEnd"/>
      <w:r w:rsidRPr="00970843">
        <w:rPr>
          <w:rFonts w:ascii="Verdana" w:hAnsi="Verdana"/>
          <w:sz w:val="22"/>
          <w:lang w:val="en-US"/>
        </w:rPr>
        <w:t xml:space="preserve"> 002-174 and 002-185]</w:t>
      </w:r>
    </w:p>
  </w:footnote>
  <w:footnote w:id="19">
    <w:p w14:paraId="537F7B9B" w14:textId="20B9ED26" w:rsidR="002517C1" w:rsidRPr="005168CE" w:rsidRDefault="002517C1" w:rsidP="002517C1">
      <w:pPr>
        <w:pStyle w:val="FootnoteText"/>
        <w:jc w:val="both"/>
        <w:rPr>
          <w:rFonts w:ascii="Verdana" w:hAnsi="Verdana"/>
          <w:sz w:val="22"/>
          <w:lang w:val="en-US"/>
        </w:rPr>
      </w:pPr>
      <w:r>
        <w:rPr>
          <w:rStyle w:val="FootnoteReference"/>
        </w:rPr>
        <w:footnoteRef/>
      </w:r>
      <w:r>
        <w:t xml:space="preserve"> </w:t>
      </w:r>
      <w:r w:rsidR="009A0670">
        <w:t xml:space="preserve"> </w:t>
      </w:r>
      <w:proofErr w:type="spellStart"/>
      <w:r w:rsidRPr="005168CE">
        <w:rPr>
          <w:rFonts w:ascii="Verdana" w:hAnsi="Verdana"/>
          <w:sz w:val="22"/>
          <w:lang w:val="en-US"/>
        </w:rPr>
        <w:t>CaseLines</w:t>
      </w:r>
      <w:proofErr w:type="spellEnd"/>
      <w:r w:rsidRPr="005168CE">
        <w:rPr>
          <w:rFonts w:ascii="Verdana" w:hAnsi="Verdana"/>
          <w:sz w:val="22"/>
          <w:lang w:val="en-US"/>
        </w:rPr>
        <w:t xml:space="preserve"> 001-289.</w:t>
      </w:r>
    </w:p>
  </w:footnote>
  <w:footnote w:id="20">
    <w:p w14:paraId="5CB5CFBC" w14:textId="77777777" w:rsidR="002517C1" w:rsidRPr="005168CE" w:rsidRDefault="002517C1" w:rsidP="002517C1">
      <w:pPr>
        <w:pStyle w:val="FootnoteText"/>
        <w:jc w:val="both"/>
        <w:rPr>
          <w:rFonts w:ascii="Verdana" w:hAnsi="Verdana"/>
          <w:sz w:val="22"/>
          <w:lang w:val="en-US"/>
        </w:rPr>
      </w:pPr>
      <w:r w:rsidRPr="005168CE">
        <w:rPr>
          <w:rStyle w:val="FootnoteReference"/>
          <w:rFonts w:ascii="Verdana" w:hAnsi="Verdana"/>
          <w:sz w:val="22"/>
        </w:rPr>
        <w:footnoteRef/>
      </w:r>
      <w:r w:rsidRPr="005168CE">
        <w:rPr>
          <w:rFonts w:ascii="Verdana" w:hAnsi="Verdana"/>
          <w:sz w:val="22"/>
        </w:rPr>
        <w:t xml:space="preserve"> </w:t>
      </w:r>
      <w:r w:rsidRPr="005168CE">
        <w:rPr>
          <w:rFonts w:ascii="Verdana" w:hAnsi="Verdana"/>
          <w:sz w:val="22"/>
          <w:lang w:val="en-US"/>
        </w:rPr>
        <w:t>Annexure PLS5 [</w:t>
      </w:r>
      <w:proofErr w:type="spellStart"/>
      <w:r w:rsidRPr="005168CE">
        <w:rPr>
          <w:rFonts w:ascii="Verdana" w:hAnsi="Verdana"/>
          <w:sz w:val="22"/>
          <w:lang w:val="en-US"/>
        </w:rPr>
        <w:t>CaseLines</w:t>
      </w:r>
      <w:proofErr w:type="spellEnd"/>
      <w:r w:rsidRPr="005168CE">
        <w:rPr>
          <w:rFonts w:ascii="Verdana" w:hAnsi="Verdana"/>
          <w:sz w:val="22"/>
          <w:lang w:val="en-US"/>
        </w:rPr>
        <w:t xml:space="preserve"> 001-290].</w:t>
      </w:r>
    </w:p>
  </w:footnote>
  <w:footnote w:id="21">
    <w:p w14:paraId="42896F8B" w14:textId="77777777" w:rsidR="00994BFC" w:rsidRDefault="002517C1" w:rsidP="002517C1">
      <w:pPr>
        <w:pStyle w:val="FootnoteText"/>
        <w:rPr>
          <w:rFonts w:ascii="Verdana" w:hAnsi="Verdana"/>
          <w:sz w:val="22"/>
          <w:lang w:val="en-US"/>
        </w:rPr>
      </w:pPr>
      <w:r w:rsidRPr="00C769AD">
        <w:rPr>
          <w:rStyle w:val="FootnoteReference"/>
          <w:rFonts w:ascii="Verdana" w:hAnsi="Verdana"/>
          <w:sz w:val="22"/>
        </w:rPr>
        <w:footnoteRef/>
      </w:r>
      <w:r w:rsidRPr="00C769AD">
        <w:rPr>
          <w:rFonts w:ascii="Verdana" w:hAnsi="Verdana"/>
          <w:sz w:val="22"/>
        </w:rPr>
        <w:t xml:space="preserve"> </w:t>
      </w:r>
      <w:r w:rsidRPr="00C769AD">
        <w:rPr>
          <w:rFonts w:ascii="Verdana" w:hAnsi="Verdana"/>
          <w:sz w:val="22"/>
          <w:lang w:val="en-US"/>
        </w:rPr>
        <w:t xml:space="preserve">003-11, par.30.7 which is not dealt with in the answering affidavit 004-35, par </w:t>
      </w:r>
    </w:p>
    <w:p w14:paraId="45EF44C0" w14:textId="5199490D" w:rsidR="002517C1" w:rsidRPr="00C769AD" w:rsidRDefault="00994BFC" w:rsidP="002517C1">
      <w:pPr>
        <w:pStyle w:val="FootnoteText"/>
        <w:rPr>
          <w:rFonts w:ascii="Verdana" w:hAnsi="Verdana"/>
          <w:sz w:val="22"/>
          <w:lang w:val="en-US"/>
        </w:rPr>
      </w:pPr>
      <w:r>
        <w:rPr>
          <w:rFonts w:ascii="Verdana" w:hAnsi="Verdana"/>
          <w:sz w:val="22"/>
          <w:lang w:val="en-US"/>
        </w:rPr>
        <w:t xml:space="preserve">   </w:t>
      </w:r>
      <w:r w:rsidR="002517C1" w:rsidRPr="00C769AD">
        <w:rPr>
          <w:rFonts w:ascii="Verdana" w:hAnsi="Verdana"/>
          <w:sz w:val="22"/>
          <w:lang w:val="en-US"/>
        </w:rPr>
        <w:t>87.</w:t>
      </w:r>
    </w:p>
  </w:footnote>
  <w:footnote w:id="22">
    <w:p w14:paraId="072D5158" w14:textId="1C840A4A" w:rsidR="002517C1" w:rsidRPr="005168CE" w:rsidRDefault="002517C1" w:rsidP="002517C1">
      <w:pPr>
        <w:pStyle w:val="FootnoteText"/>
        <w:jc w:val="both"/>
        <w:rPr>
          <w:rFonts w:ascii="Verdana" w:hAnsi="Verdana"/>
          <w:sz w:val="22"/>
          <w:lang w:val="en-US"/>
        </w:rPr>
      </w:pPr>
      <w:r w:rsidRPr="005168CE">
        <w:rPr>
          <w:rStyle w:val="FootnoteReference"/>
          <w:rFonts w:ascii="Verdana" w:hAnsi="Verdana"/>
          <w:sz w:val="22"/>
        </w:rPr>
        <w:footnoteRef/>
      </w:r>
      <w:r w:rsidRPr="005168CE">
        <w:rPr>
          <w:rFonts w:ascii="Verdana" w:hAnsi="Verdana"/>
          <w:sz w:val="22"/>
        </w:rPr>
        <w:t xml:space="preserve"> </w:t>
      </w:r>
      <w:r w:rsidRPr="005168CE">
        <w:rPr>
          <w:rFonts w:ascii="Verdana" w:hAnsi="Verdana"/>
          <w:sz w:val="22"/>
          <w:lang w:val="en-US"/>
        </w:rPr>
        <w:t>See SARS response to the request for reasons dated 4 March 2020 (An</w:t>
      </w:r>
      <w:r w:rsidR="00235353">
        <w:rPr>
          <w:rFonts w:ascii="Verdana" w:hAnsi="Verdana"/>
          <w:sz w:val="22"/>
          <w:lang w:val="en-US"/>
        </w:rPr>
        <w:t>n</w:t>
      </w:r>
      <w:r w:rsidRPr="005168CE">
        <w:rPr>
          <w:rFonts w:ascii="Verdana" w:hAnsi="Verdana"/>
          <w:sz w:val="22"/>
          <w:lang w:val="en-US"/>
        </w:rPr>
        <w:t>exure PLS8) [</w:t>
      </w:r>
      <w:proofErr w:type="spellStart"/>
      <w:r w:rsidRPr="005168CE">
        <w:rPr>
          <w:rFonts w:ascii="Verdana" w:hAnsi="Verdana"/>
          <w:sz w:val="22"/>
          <w:lang w:val="en-US"/>
        </w:rPr>
        <w:t>CaseLines</w:t>
      </w:r>
      <w:proofErr w:type="spellEnd"/>
      <w:r w:rsidRPr="005168CE">
        <w:rPr>
          <w:rFonts w:ascii="Verdana" w:hAnsi="Verdana"/>
          <w:sz w:val="22"/>
          <w:lang w:val="en-US"/>
        </w:rPr>
        <w:t xml:space="preserve"> 001-370].</w:t>
      </w:r>
    </w:p>
  </w:footnote>
  <w:footnote w:id="23">
    <w:p w14:paraId="6A5B1BBE" w14:textId="78F316AD" w:rsidR="00AA6D49" w:rsidRPr="005168CE" w:rsidRDefault="00AA6D49" w:rsidP="00AA6D49">
      <w:pPr>
        <w:pStyle w:val="FootnoteText"/>
        <w:jc w:val="both"/>
        <w:rPr>
          <w:rFonts w:ascii="Verdana" w:hAnsi="Verdana"/>
          <w:sz w:val="22"/>
          <w:lang w:val="en-US"/>
        </w:rPr>
      </w:pPr>
      <w:r w:rsidRPr="005168CE">
        <w:rPr>
          <w:rStyle w:val="FootnoteReference"/>
          <w:rFonts w:ascii="Verdana" w:hAnsi="Verdana"/>
          <w:sz w:val="22"/>
        </w:rPr>
        <w:footnoteRef/>
      </w:r>
      <w:r w:rsidR="009A0670">
        <w:rPr>
          <w:rFonts w:ascii="Verdana" w:hAnsi="Verdana"/>
          <w:sz w:val="22"/>
        </w:rPr>
        <w:t xml:space="preserve"> </w:t>
      </w:r>
      <w:r w:rsidRPr="005168CE">
        <w:rPr>
          <w:rFonts w:ascii="Verdana" w:hAnsi="Verdana"/>
          <w:sz w:val="22"/>
          <w:lang w:val="en-US"/>
        </w:rPr>
        <w:t>Annexure PLS9 [</w:t>
      </w:r>
      <w:proofErr w:type="spellStart"/>
      <w:r w:rsidRPr="005168CE">
        <w:rPr>
          <w:rFonts w:ascii="Verdana" w:hAnsi="Verdana"/>
          <w:sz w:val="22"/>
          <w:lang w:val="en-US"/>
        </w:rPr>
        <w:t>CaseLines</w:t>
      </w:r>
      <w:proofErr w:type="spellEnd"/>
      <w:r w:rsidRPr="005168CE">
        <w:rPr>
          <w:rFonts w:ascii="Verdana" w:hAnsi="Verdana"/>
          <w:sz w:val="22"/>
          <w:lang w:val="en-US"/>
        </w:rPr>
        <w:t xml:space="preserve"> 001-389.]</w:t>
      </w:r>
    </w:p>
  </w:footnote>
  <w:footnote w:id="24">
    <w:p w14:paraId="44443C03" w14:textId="77777777" w:rsidR="00AA6D49" w:rsidRPr="005168CE" w:rsidRDefault="00AA6D49" w:rsidP="00AA6D49">
      <w:pPr>
        <w:pStyle w:val="FootnoteText"/>
        <w:jc w:val="both"/>
        <w:rPr>
          <w:rFonts w:ascii="Verdana" w:hAnsi="Verdana"/>
          <w:sz w:val="22"/>
          <w:szCs w:val="22"/>
          <w:lang w:val="en-US"/>
        </w:rPr>
      </w:pPr>
      <w:r>
        <w:rPr>
          <w:rStyle w:val="FootnoteReference"/>
        </w:rPr>
        <w:footnoteRef/>
      </w:r>
      <w:r>
        <w:t xml:space="preserve"> </w:t>
      </w:r>
      <w:r w:rsidRPr="005168CE">
        <w:rPr>
          <w:rFonts w:ascii="Verdana" w:hAnsi="Verdana"/>
          <w:sz w:val="22"/>
          <w:szCs w:val="22"/>
          <w:lang w:val="en-US"/>
        </w:rPr>
        <w:t xml:space="preserve">Annexure PLS11 </w:t>
      </w:r>
      <w:proofErr w:type="spellStart"/>
      <w:r w:rsidRPr="005168CE">
        <w:rPr>
          <w:rFonts w:ascii="Verdana" w:hAnsi="Verdana"/>
          <w:sz w:val="22"/>
          <w:szCs w:val="22"/>
          <w:lang w:val="en-US"/>
        </w:rPr>
        <w:t>CaseLines</w:t>
      </w:r>
      <w:proofErr w:type="spellEnd"/>
      <w:r w:rsidRPr="005168CE">
        <w:rPr>
          <w:rFonts w:ascii="Verdana" w:hAnsi="Verdana"/>
          <w:sz w:val="22"/>
          <w:szCs w:val="22"/>
          <w:lang w:val="en-US"/>
        </w:rPr>
        <w:t xml:space="preserve"> 001-408]</w:t>
      </w:r>
    </w:p>
  </w:footnote>
  <w:footnote w:id="25">
    <w:p w14:paraId="087C8550" w14:textId="77777777" w:rsidR="00824A72" w:rsidRDefault="008C7F63" w:rsidP="008C7F63">
      <w:pPr>
        <w:pStyle w:val="FootnoteText"/>
        <w:rPr>
          <w:rFonts w:ascii="Verdana" w:hAnsi="Verdana"/>
          <w:sz w:val="22"/>
        </w:rPr>
      </w:pPr>
      <w:r w:rsidRPr="00542904">
        <w:rPr>
          <w:rStyle w:val="FootnoteReference"/>
          <w:rFonts w:ascii="Verdana" w:hAnsi="Verdana"/>
          <w:sz w:val="22"/>
        </w:rPr>
        <w:footnoteRef/>
      </w:r>
      <w:r w:rsidRPr="00542904">
        <w:rPr>
          <w:rFonts w:ascii="Verdana" w:hAnsi="Verdana"/>
          <w:sz w:val="22"/>
        </w:rPr>
        <w:t xml:space="preserve"> </w:t>
      </w:r>
      <w:proofErr w:type="spellStart"/>
      <w:r w:rsidRPr="00542904">
        <w:rPr>
          <w:rFonts w:ascii="Verdana" w:hAnsi="Verdana"/>
          <w:sz w:val="22"/>
        </w:rPr>
        <w:t>Oudekraal</w:t>
      </w:r>
      <w:proofErr w:type="spellEnd"/>
      <w:r w:rsidRPr="00542904">
        <w:rPr>
          <w:rFonts w:ascii="Verdana" w:hAnsi="Verdana"/>
          <w:sz w:val="22"/>
        </w:rPr>
        <w:t xml:space="preserve"> Estates (Pty) Ltd v City of Cape Town (2004) 3 All SA 1 (SCA) 28 </w:t>
      </w:r>
    </w:p>
    <w:p w14:paraId="12259EFB" w14:textId="25EA04DC" w:rsidR="008C7F63" w:rsidRPr="00542904" w:rsidRDefault="00824A72" w:rsidP="008C7F63">
      <w:pPr>
        <w:pStyle w:val="FootnoteText"/>
        <w:rPr>
          <w:rFonts w:ascii="Verdana" w:hAnsi="Verdana"/>
          <w:sz w:val="22"/>
          <w:lang w:val="en-US"/>
        </w:rPr>
      </w:pPr>
      <w:r>
        <w:rPr>
          <w:rFonts w:ascii="Verdana" w:hAnsi="Verdana"/>
          <w:sz w:val="22"/>
        </w:rPr>
        <w:t xml:space="preserve">   </w:t>
      </w:r>
      <w:r w:rsidR="008C7F63" w:rsidRPr="00542904">
        <w:rPr>
          <w:rFonts w:ascii="Verdana" w:hAnsi="Verdana"/>
          <w:sz w:val="22"/>
        </w:rPr>
        <w:t>May 2004 at par.36</w:t>
      </w:r>
      <w:r w:rsidR="008C7F63">
        <w:rPr>
          <w:rFonts w:ascii="Verdana" w:hAnsi="Verdana"/>
          <w:sz w:val="22"/>
        </w:rPr>
        <w:t>.</w:t>
      </w:r>
    </w:p>
  </w:footnote>
  <w:footnote w:id="26">
    <w:p w14:paraId="196434FB" w14:textId="77777777" w:rsidR="00B4081A" w:rsidRPr="00F10280" w:rsidRDefault="00B4081A" w:rsidP="00B4081A">
      <w:pPr>
        <w:pStyle w:val="FootnoteText"/>
        <w:jc w:val="both"/>
        <w:rPr>
          <w:rFonts w:ascii="Verdana" w:hAnsi="Verdana"/>
          <w:sz w:val="22"/>
          <w:lang w:val="en-US"/>
        </w:rPr>
      </w:pPr>
      <w:r w:rsidRPr="00F10280">
        <w:rPr>
          <w:rStyle w:val="FootnoteReference"/>
          <w:rFonts w:ascii="Verdana" w:hAnsi="Verdana"/>
          <w:sz w:val="22"/>
        </w:rPr>
        <w:footnoteRef/>
      </w:r>
      <w:r w:rsidRPr="00F10280">
        <w:rPr>
          <w:rFonts w:ascii="Verdana" w:hAnsi="Verdana"/>
          <w:sz w:val="22"/>
        </w:rPr>
        <w:t xml:space="preserve"> </w:t>
      </w:r>
      <w:r w:rsidRPr="00F10280">
        <w:rPr>
          <w:rFonts w:ascii="Verdana" w:hAnsi="Verdana"/>
          <w:sz w:val="22"/>
          <w:lang w:val="en-US"/>
        </w:rPr>
        <w:t>Minister of Justice v SA Restructuring and Insolvency Practitioners Association (“SAPIRA’) 2018 (5) SA 349 9(CC) at para 49.</w:t>
      </w:r>
    </w:p>
  </w:footnote>
  <w:footnote w:id="27">
    <w:p w14:paraId="34514BBD" w14:textId="77777777" w:rsidR="00B4081A" w:rsidRPr="00F10280" w:rsidRDefault="00B4081A" w:rsidP="00B4081A">
      <w:pPr>
        <w:pStyle w:val="FootnoteText"/>
        <w:jc w:val="both"/>
        <w:rPr>
          <w:rFonts w:ascii="Verdana" w:hAnsi="Verdana"/>
          <w:sz w:val="22"/>
          <w:lang w:val="en-US"/>
        </w:rPr>
      </w:pPr>
      <w:r>
        <w:rPr>
          <w:rStyle w:val="FootnoteReference"/>
        </w:rPr>
        <w:footnoteRef/>
      </w:r>
      <w:r>
        <w:t xml:space="preserve"> </w:t>
      </w:r>
      <w:r w:rsidRPr="00F10280">
        <w:rPr>
          <w:rFonts w:ascii="Verdana" w:hAnsi="Verdana"/>
          <w:sz w:val="22"/>
          <w:lang w:val="en-US"/>
        </w:rPr>
        <w:t>SAPIRA at para 52.</w:t>
      </w:r>
    </w:p>
  </w:footnote>
  <w:footnote w:id="28">
    <w:p w14:paraId="2DD3613C" w14:textId="77777777" w:rsidR="00B4081A" w:rsidRPr="00F10280" w:rsidRDefault="00B4081A" w:rsidP="00B4081A">
      <w:pPr>
        <w:pStyle w:val="FootnoteText"/>
        <w:jc w:val="both"/>
        <w:rPr>
          <w:rFonts w:ascii="Verdana" w:hAnsi="Verdana"/>
          <w:sz w:val="22"/>
          <w:lang w:val="en-US"/>
        </w:rPr>
      </w:pPr>
      <w:r w:rsidRPr="00F10280">
        <w:rPr>
          <w:rStyle w:val="FootnoteReference"/>
          <w:rFonts w:ascii="Verdana" w:hAnsi="Verdana"/>
          <w:sz w:val="22"/>
        </w:rPr>
        <w:footnoteRef/>
      </w:r>
      <w:r w:rsidRPr="00F10280">
        <w:rPr>
          <w:rFonts w:ascii="Verdana" w:hAnsi="Verdana"/>
          <w:sz w:val="22"/>
        </w:rPr>
        <w:t xml:space="preserve"> </w:t>
      </w:r>
      <w:r w:rsidRPr="00F10280">
        <w:rPr>
          <w:rFonts w:ascii="Verdana" w:hAnsi="Verdana"/>
          <w:sz w:val="22"/>
          <w:lang w:val="en-US"/>
        </w:rPr>
        <w:t>Airports Company South Africa SOC Ltd v Imperial Group Ltd 2020 (4) SA 17 (SCA) at para 30.</w:t>
      </w:r>
    </w:p>
  </w:footnote>
  <w:footnote w:id="29">
    <w:p w14:paraId="0937D610" w14:textId="15F1715F" w:rsidR="001409E1" w:rsidRPr="001409E1" w:rsidRDefault="001409E1">
      <w:pPr>
        <w:pStyle w:val="FootnoteText"/>
        <w:rPr>
          <w:rFonts w:ascii="Verdana" w:hAnsi="Verdana"/>
          <w:sz w:val="22"/>
          <w:szCs w:val="22"/>
        </w:rPr>
      </w:pPr>
      <w:r w:rsidRPr="001409E1">
        <w:rPr>
          <w:rStyle w:val="FootnoteReference"/>
          <w:rFonts w:ascii="Verdana" w:hAnsi="Verdana"/>
          <w:sz w:val="22"/>
          <w:szCs w:val="22"/>
        </w:rPr>
        <w:footnoteRef/>
      </w:r>
      <w:r w:rsidRPr="001409E1">
        <w:rPr>
          <w:rFonts w:ascii="Verdana" w:hAnsi="Verdana"/>
          <w:sz w:val="22"/>
          <w:szCs w:val="22"/>
        </w:rPr>
        <w:t xml:space="preserve"> Answering Affidavit para 7 &amp; 8 p 004-6.</w:t>
      </w:r>
    </w:p>
  </w:footnote>
  <w:footnote w:id="30">
    <w:p w14:paraId="2FE8CACB" w14:textId="225FF67C" w:rsidR="003919A0" w:rsidRPr="003919A0" w:rsidRDefault="003919A0">
      <w:pPr>
        <w:pStyle w:val="FootnoteText"/>
        <w:rPr>
          <w:rFonts w:ascii="Verdana" w:hAnsi="Verdana"/>
          <w:sz w:val="22"/>
          <w:szCs w:val="22"/>
        </w:rPr>
      </w:pPr>
      <w:r w:rsidRPr="003919A0">
        <w:rPr>
          <w:rStyle w:val="FootnoteReference"/>
          <w:rFonts w:ascii="Verdana" w:hAnsi="Verdana"/>
          <w:sz w:val="22"/>
          <w:szCs w:val="22"/>
        </w:rPr>
        <w:footnoteRef/>
      </w:r>
      <w:r w:rsidRPr="003919A0">
        <w:rPr>
          <w:rFonts w:ascii="Verdana" w:hAnsi="Verdana"/>
          <w:sz w:val="22"/>
          <w:szCs w:val="22"/>
        </w:rPr>
        <w:t>Replyi</w:t>
      </w:r>
      <w:r>
        <w:rPr>
          <w:rFonts w:ascii="Verdana" w:hAnsi="Verdana"/>
          <w:sz w:val="22"/>
          <w:szCs w:val="22"/>
        </w:rPr>
        <w:t>n</w:t>
      </w:r>
      <w:r w:rsidRPr="003919A0">
        <w:rPr>
          <w:rFonts w:ascii="Verdana" w:hAnsi="Verdana"/>
          <w:sz w:val="22"/>
          <w:szCs w:val="22"/>
        </w:rPr>
        <w:t>g Affidavit para 40 &amp; 41 p 005-11.</w:t>
      </w:r>
    </w:p>
  </w:footnote>
  <w:footnote w:id="31">
    <w:p w14:paraId="3DF36952" w14:textId="77777777" w:rsidR="00B4081A" w:rsidRPr="00DA5631" w:rsidRDefault="00B4081A" w:rsidP="00B4081A">
      <w:pPr>
        <w:pStyle w:val="FootnoteText"/>
        <w:rPr>
          <w:rFonts w:ascii="Verdana" w:hAnsi="Verdana"/>
          <w:sz w:val="22"/>
          <w:lang w:val="en-US"/>
        </w:rPr>
      </w:pPr>
      <w:r>
        <w:rPr>
          <w:rStyle w:val="FootnoteReference"/>
        </w:rPr>
        <w:footnoteRef/>
      </w:r>
      <w:r>
        <w:t xml:space="preserve"> </w:t>
      </w:r>
      <w:r w:rsidRPr="00DA5631">
        <w:rPr>
          <w:rFonts w:ascii="Verdana" w:hAnsi="Verdana"/>
          <w:sz w:val="22"/>
          <w:lang w:val="en-US"/>
        </w:rPr>
        <w:t>Founding Affidavit para 27 [</w:t>
      </w:r>
      <w:proofErr w:type="spellStart"/>
      <w:r w:rsidRPr="00DA5631">
        <w:rPr>
          <w:rFonts w:ascii="Verdana" w:hAnsi="Verdana"/>
          <w:sz w:val="22"/>
          <w:lang w:val="en-US"/>
        </w:rPr>
        <w:t>CaseLines</w:t>
      </w:r>
      <w:proofErr w:type="spellEnd"/>
      <w:r w:rsidRPr="00DA5631">
        <w:rPr>
          <w:rFonts w:ascii="Verdana" w:hAnsi="Verdana"/>
          <w:sz w:val="22"/>
          <w:lang w:val="en-US"/>
        </w:rPr>
        <w:t xml:space="preserve"> 001-13].</w:t>
      </w:r>
    </w:p>
  </w:footnote>
  <w:footnote w:id="32">
    <w:p w14:paraId="3E1C50A5" w14:textId="77777777" w:rsidR="00B4081A" w:rsidRPr="00E11FF6" w:rsidRDefault="00B4081A" w:rsidP="00B4081A">
      <w:pPr>
        <w:pStyle w:val="FootnoteText"/>
        <w:jc w:val="both"/>
        <w:rPr>
          <w:rFonts w:ascii="Verdana" w:hAnsi="Verdana"/>
          <w:sz w:val="22"/>
          <w:lang w:val="en-US"/>
        </w:rPr>
      </w:pPr>
      <w:r>
        <w:rPr>
          <w:rStyle w:val="FootnoteReference"/>
        </w:rPr>
        <w:footnoteRef/>
      </w:r>
      <w:r>
        <w:t xml:space="preserve"> </w:t>
      </w:r>
      <w:r w:rsidRPr="00E11FF6">
        <w:rPr>
          <w:rFonts w:ascii="Verdana" w:hAnsi="Verdana"/>
          <w:sz w:val="22"/>
          <w:lang w:val="en-US"/>
        </w:rPr>
        <w:t>Founding Affidavit para 28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001-13].</w:t>
      </w:r>
    </w:p>
  </w:footnote>
  <w:footnote w:id="33">
    <w:p w14:paraId="5F4EAC52" w14:textId="77777777" w:rsidR="00B4081A" w:rsidRPr="00DA5631" w:rsidRDefault="00B4081A" w:rsidP="00B4081A">
      <w:pPr>
        <w:pStyle w:val="FootnoteText"/>
        <w:jc w:val="both"/>
        <w:rPr>
          <w:rFonts w:ascii="Verdana" w:hAnsi="Verdana"/>
          <w:sz w:val="22"/>
          <w:lang w:val="en-US"/>
        </w:rPr>
      </w:pPr>
      <w:r>
        <w:rPr>
          <w:rStyle w:val="FootnoteReference"/>
        </w:rPr>
        <w:footnoteRef/>
      </w:r>
      <w:r>
        <w:t xml:space="preserve"> </w:t>
      </w:r>
      <w:r w:rsidRPr="00DA5631">
        <w:rPr>
          <w:rFonts w:ascii="Verdana" w:hAnsi="Verdana"/>
          <w:sz w:val="22"/>
          <w:lang w:val="en-US"/>
        </w:rPr>
        <w:t>Act 3 of 2000 (“PAJA”).</w:t>
      </w:r>
    </w:p>
  </w:footnote>
  <w:footnote w:id="34">
    <w:p w14:paraId="4CD189FD" w14:textId="377D9429" w:rsidR="00F20131" w:rsidRPr="00F20131" w:rsidRDefault="00F20131">
      <w:pPr>
        <w:pStyle w:val="FootnoteText"/>
        <w:rPr>
          <w:rFonts w:ascii="Verdana" w:hAnsi="Verdana"/>
          <w:sz w:val="22"/>
          <w:szCs w:val="22"/>
        </w:rPr>
      </w:pPr>
      <w:r w:rsidRPr="00F20131">
        <w:rPr>
          <w:rStyle w:val="FootnoteReference"/>
          <w:rFonts w:ascii="Verdana" w:hAnsi="Verdana"/>
          <w:sz w:val="22"/>
          <w:szCs w:val="22"/>
        </w:rPr>
        <w:footnoteRef/>
      </w:r>
      <w:r w:rsidRPr="00F20131">
        <w:rPr>
          <w:rFonts w:ascii="Verdana" w:hAnsi="Verdana"/>
          <w:sz w:val="22"/>
          <w:szCs w:val="22"/>
        </w:rPr>
        <w:t xml:space="preserve"> Answering Affidavit para 51 p 004-23.</w:t>
      </w:r>
    </w:p>
  </w:footnote>
  <w:footnote w:id="35">
    <w:p w14:paraId="5E744E9A" w14:textId="77777777" w:rsidR="00E43BB0" w:rsidRPr="00542904" w:rsidRDefault="00E43BB0" w:rsidP="00E43BB0">
      <w:pPr>
        <w:pStyle w:val="FootnoteText"/>
        <w:rPr>
          <w:rFonts w:ascii="Verdana" w:hAnsi="Verdana"/>
          <w:sz w:val="22"/>
          <w:lang w:val="en-US"/>
        </w:rPr>
      </w:pPr>
      <w:r w:rsidRPr="00542904">
        <w:rPr>
          <w:rStyle w:val="FootnoteReference"/>
          <w:rFonts w:ascii="Verdana" w:hAnsi="Verdana"/>
          <w:sz w:val="22"/>
        </w:rPr>
        <w:footnoteRef/>
      </w:r>
      <w:r w:rsidRPr="00542904">
        <w:rPr>
          <w:rFonts w:ascii="Verdana" w:hAnsi="Verdana"/>
          <w:sz w:val="22"/>
        </w:rPr>
        <w:t xml:space="preserve"> Founding affidavit, par.21</w:t>
      </w:r>
    </w:p>
  </w:footnote>
  <w:footnote w:id="36">
    <w:p w14:paraId="54C4F557"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 xml:space="preserve">1973 (4) SA 667 (N) at 685A-D; applied by the SCA in Esau v Minister of Co-Operative Governance and Traditional Affairs 2021 (3) SA 593 (SCA) at para 104 and Maharaj v </w:t>
      </w:r>
      <w:proofErr w:type="spellStart"/>
      <w:r w:rsidRPr="00E11FF6">
        <w:rPr>
          <w:rFonts w:ascii="Verdana" w:hAnsi="Verdana"/>
          <w:sz w:val="22"/>
          <w:lang w:val="en-US"/>
        </w:rPr>
        <w:t>Mandag</w:t>
      </w:r>
      <w:proofErr w:type="spellEnd"/>
      <w:r w:rsidRPr="00E11FF6">
        <w:rPr>
          <w:rFonts w:ascii="Verdana" w:hAnsi="Verdana"/>
          <w:sz w:val="22"/>
          <w:lang w:val="en-US"/>
        </w:rPr>
        <w:t xml:space="preserve"> Centre of Investigative Journalism NPC 2018)1) SA 471 (SCA) at para 25.</w:t>
      </w:r>
    </w:p>
  </w:footnote>
  <w:footnote w:id="37">
    <w:p w14:paraId="2304FBD3" w14:textId="77777777" w:rsidR="0025396F" w:rsidRPr="00E11FF6" w:rsidRDefault="0025396F" w:rsidP="0025396F">
      <w:pPr>
        <w:pStyle w:val="FootnoteText"/>
        <w:jc w:val="both"/>
        <w:rPr>
          <w:rFonts w:ascii="Verdana" w:hAnsi="Verdana"/>
          <w:sz w:val="22"/>
          <w:lang w:val="en-US"/>
        </w:rPr>
      </w:pPr>
      <w:r>
        <w:rPr>
          <w:rStyle w:val="FootnoteReference"/>
        </w:rPr>
        <w:footnoteRef/>
      </w:r>
      <w:r>
        <w:t xml:space="preserve"> </w:t>
      </w:r>
      <w:r w:rsidRPr="00E11FF6">
        <w:rPr>
          <w:rFonts w:ascii="Verdana" w:hAnsi="Verdana"/>
          <w:sz w:val="22"/>
          <w:lang w:val="en-US"/>
        </w:rPr>
        <w:t>The Particulars of Claim is included as item 58 in the record, see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002-6].</w:t>
      </w:r>
    </w:p>
  </w:footnote>
  <w:footnote w:id="38">
    <w:p w14:paraId="113D92BD"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Annexure PLS10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001-407]</w:t>
      </w:r>
    </w:p>
  </w:footnote>
  <w:footnote w:id="39">
    <w:p w14:paraId="02332246"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Answering Affidavit para 47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004-21].</w:t>
      </w:r>
    </w:p>
  </w:footnote>
  <w:footnote w:id="40">
    <w:p w14:paraId="7EB68116"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 xml:space="preserve">Supplementary </w:t>
      </w:r>
      <w:proofErr w:type="spellStart"/>
      <w:r w:rsidRPr="00E11FF6">
        <w:rPr>
          <w:rFonts w:ascii="Verdana" w:hAnsi="Verdana"/>
          <w:sz w:val="22"/>
          <w:lang w:val="en-US"/>
        </w:rPr>
        <w:t>Foundinf</w:t>
      </w:r>
      <w:proofErr w:type="spellEnd"/>
      <w:r w:rsidRPr="00E11FF6">
        <w:rPr>
          <w:rFonts w:ascii="Verdana" w:hAnsi="Verdana"/>
          <w:sz w:val="22"/>
          <w:lang w:val="en-US"/>
        </w:rPr>
        <w:t xml:space="preserve"> Affidavit para 31.2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003-12].</w:t>
      </w:r>
    </w:p>
  </w:footnote>
  <w:footnote w:id="41">
    <w:p w14:paraId="3A8328E6"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 xml:space="preserve">Supplementary Founding Affidavit para 31.1 [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003-12].</w:t>
      </w:r>
    </w:p>
  </w:footnote>
  <w:footnote w:id="42">
    <w:p w14:paraId="54C4CC5B"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Founding Affidavit para 23.5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001-12]</w:t>
      </w:r>
    </w:p>
  </w:footnote>
  <w:footnote w:id="43">
    <w:p w14:paraId="1CE09FDE"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Supplementary Founding Affidavit para 34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003-13].</w:t>
      </w:r>
    </w:p>
  </w:footnote>
  <w:footnote w:id="44">
    <w:p w14:paraId="7061D532"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Supplementary Founding Affidavit paras 12,13, 18 [</w:t>
      </w:r>
      <w:proofErr w:type="spellStart"/>
      <w:r w:rsidRPr="00E11FF6">
        <w:rPr>
          <w:rFonts w:ascii="Verdana" w:hAnsi="Verdana"/>
          <w:sz w:val="22"/>
        </w:rPr>
        <w:t>CaseLines</w:t>
      </w:r>
      <w:proofErr w:type="spellEnd"/>
      <w:r w:rsidRPr="00E11FF6">
        <w:rPr>
          <w:rFonts w:ascii="Verdana" w:hAnsi="Verdana"/>
          <w:sz w:val="22"/>
        </w:rPr>
        <w:t xml:space="preserve"> 003-5, 003-6].</w:t>
      </w:r>
    </w:p>
  </w:footnote>
  <w:footnote w:id="45">
    <w:p w14:paraId="743CDF4A" w14:textId="77777777" w:rsidR="0025396F" w:rsidRPr="00E11FF6" w:rsidRDefault="0025396F" w:rsidP="0025396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Supplementary Founding Affidavit para 21 [</w:t>
      </w:r>
      <w:proofErr w:type="spellStart"/>
      <w:r w:rsidRPr="00E11FF6">
        <w:rPr>
          <w:rFonts w:ascii="Verdana" w:hAnsi="Verdana"/>
          <w:sz w:val="22"/>
          <w:lang w:val="en-US"/>
        </w:rPr>
        <w:t>CaseLines</w:t>
      </w:r>
      <w:proofErr w:type="spellEnd"/>
      <w:r w:rsidRPr="00E11FF6">
        <w:rPr>
          <w:rFonts w:ascii="Verdana" w:hAnsi="Verdana"/>
          <w:sz w:val="22"/>
          <w:lang w:val="en-US"/>
        </w:rPr>
        <w:t xml:space="preserve"> 003-7].</w:t>
      </w:r>
    </w:p>
  </w:footnote>
  <w:footnote w:id="46">
    <w:p w14:paraId="66C69AA3" w14:textId="77777777" w:rsidR="009A0670" w:rsidRDefault="0025396F" w:rsidP="0025396F">
      <w:pPr>
        <w:pStyle w:val="FootnoteText"/>
        <w:jc w:val="both"/>
        <w:rPr>
          <w:rFonts w:ascii="Verdana" w:hAnsi="Verdana"/>
          <w:sz w:val="22"/>
          <w:szCs w:val="22"/>
          <w:lang w:val="en-US"/>
        </w:rPr>
      </w:pPr>
      <w:r w:rsidRPr="00E11FF6">
        <w:rPr>
          <w:rStyle w:val="FootnoteReference"/>
          <w:rFonts w:ascii="Verdana" w:hAnsi="Verdana"/>
          <w:sz w:val="22"/>
          <w:szCs w:val="22"/>
        </w:rPr>
        <w:footnoteRef/>
      </w:r>
      <w:r w:rsidRPr="00E11FF6">
        <w:rPr>
          <w:rFonts w:ascii="Verdana" w:hAnsi="Verdana"/>
          <w:sz w:val="22"/>
          <w:szCs w:val="22"/>
        </w:rPr>
        <w:t xml:space="preserve"> </w:t>
      </w:r>
      <w:r w:rsidRPr="00E11FF6">
        <w:rPr>
          <w:rFonts w:ascii="Verdana" w:hAnsi="Verdana"/>
          <w:sz w:val="22"/>
          <w:szCs w:val="22"/>
          <w:lang w:val="en-US"/>
        </w:rPr>
        <w:t xml:space="preserve">Supplementary Founding Affidavit para 23[ </w:t>
      </w:r>
      <w:proofErr w:type="spellStart"/>
      <w:r w:rsidRPr="00E11FF6">
        <w:rPr>
          <w:rFonts w:ascii="Verdana" w:hAnsi="Verdana"/>
          <w:sz w:val="22"/>
          <w:szCs w:val="22"/>
          <w:lang w:val="en-US"/>
        </w:rPr>
        <w:t>CaseLines</w:t>
      </w:r>
      <w:proofErr w:type="spellEnd"/>
      <w:r w:rsidRPr="00E11FF6">
        <w:rPr>
          <w:rFonts w:ascii="Verdana" w:hAnsi="Verdana"/>
          <w:sz w:val="22"/>
          <w:szCs w:val="22"/>
          <w:lang w:val="en-US"/>
        </w:rPr>
        <w:t xml:space="preserve"> 003-8], </w:t>
      </w:r>
      <w:r>
        <w:rPr>
          <w:rFonts w:ascii="Verdana" w:hAnsi="Verdana"/>
          <w:sz w:val="22"/>
          <w:szCs w:val="22"/>
          <w:lang w:val="en-US"/>
        </w:rPr>
        <w:t xml:space="preserve">Replying Affidavit </w:t>
      </w:r>
    </w:p>
    <w:p w14:paraId="5E4F0B19" w14:textId="652ACFE4" w:rsidR="0025396F" w:rsidRPr="00E11FF6" w:rsidRDefault="009A0670" w:rsidP="0025396F">
      <w:pPr>
        <w:pStyle w:val="FootnoteText"/>
        <w:jc w:val="both"/>
        <w:rPr>
          <w:rFonts w:ascii="Verdana" w:hAnsi="Verdana"/>
          <w:sz w:val="22"/>
          <w:szCs w:val="22"/>
          <w:lang w:val="en-US"/>
        </w:rPr>
      </w:pPr>
      <w:r>
        <w:rPr>
          <w:rFonts w:ascii="Verdana" w:hAnsi="Verdana"/>
          <w:sz w:val="22"/>
          <w:szCs w:val="22"/>
          <w:lang w:val="en-US"/>
        </w:rPr>
        <w:t xml:space="preserve">   </w:t>
      </w:r>
      <w:r w:rsidR="0025396F">
        <w:rPr>
          <w:rFonts w:ascii="Verdana" w:hAnsi="Verdana"/>
          <w:sz w:val="22"/>
          <w:szCs w:val="22"/>
          <w:lang w:val="en-US"/>
        </w:rPr>
        <w:t>paras 21-23 [</w:t>
      </w:r>
      <w:proofErr w:type="spellStart"/>
      <w:r w:rsidR="0025396F" w:rsidRPr="00E11FF6">
        <w:rPr>
          <w:rFonts w:ascii="Verdana" w:hAnsi="Verdana"/>
          <w:sz w:val="22"/>
          <w:szCs w:val="22"/>
          <w:lang w:val="en-US"/>
        </w:rPr>
        <w:t>CaseLines</w:t>
      </w:r>
      <w:proofErr w:type="spellEnd"/>
      <w:r w:rsidR="0025396F" w:rsidRPr="00E11FF6">
        <w:rPr>
          <w:rFonts w:ascii="Verdana" w:hAnsi="Verdana"/>
          <w:sz w:val="22"/>
          <w:szCs w:val="22"/>
          <w:lang w:val="en-US"/>
        </w:rPr>
        <w:t xml:space="preserve"> 005-8].</w:t>
      </w:r>
    </w:p>
  </w:footnote>
  <w:footnote w:id="47">
    <w:p w14:paraId="1969A99B" w14:textId="77777777" w:rsidR="0025396F" w:rsidRPr="00E11FF6" w:rsidRDefault="0025396F" w:rsidP="0025396F">
      <w:pPr>
        <w:pStyle w:val="FootnoteText"/>
        <w:jc w:val="both"/>
        <w:rPr>
          <w:rFonts w:ascii="Verdana" w:hAnsi="Verdana"/>
          <w:sz w:val="22"/>
          <w:szCs w:val="22"/>
          <w:lang w:val="en-US"/>
        </w:rPr>
      </w:pPr>
      <w:r w:rsidRPr="00E11FF6">
        <w:rPr>
          <w:rStyle w:val="FootnoteReference"/>
          <w:rFonts w:ascii="Verdana" w:hAnsi="Verdana"/>
          <w:sz w:val="22"/>
          <w:szCs w:val="22"/>
        </w:rPr>
        <w:footnoteRef/>
      </w:r>
      <w:r w:rsidRPr="00E11FF6">
        <w:rPr>
          <w:rFonts w:ascii="Verdana" w:hAnsi="Verdana"/>
          <w:sz w:val="22"/>
          <w:szCs w:val="22"/>
        </w:rPr>
        <w:t xml:space="preserve"> Supplementary Founding Affidavit para 24.1 [</w:t>
      </w:r>
      <w:proofErr w:type="spellStart"/>
      <w:r w:rsidRPr="00E11FF6">
        <w:rPr>
          <w:rFonts w:ascii="Verdana" w:hAnsi="Verdana"/>
          <w:sz w:val="22"/>
          <w:szCs w:val="22"/>
        </w:rPr>
        <w:t>CaseLines</w:t>
      </w:r>
      <w:proofErr w:type="spellEnd"/>
      <w:r w:rsidRPr="00E11FF6">
        <w:rPr>
          <w:rFonts w:ascii="Verdana" w:hAnsi="Verdana"/>
          <w:sz w:val="22"/>
          <w:szCs w:val="22"/>
        </w:rPr>
        <w:t xml:space="preserve"> 003-7].</w:t>
      </w:r>
    </w:p>
  </w:footnote>
  <w:footnote w:id="48">
    <w:p w14:paraId="059C6BE4" w14:textId="77777777" w:rsidR="0025396F" w:rsidRPr="00E11FF6" w:rsidRDefault="0025396F" w:rsidP="0025396F">
      <w:pPr>
        <w:pStyle w:val="FootnoteText"/>
        <w:jc w:val="both"/>
        <w:rPr>
          <w:rFonts w:ascii="Verdana" w:hAnsi="Verdana"/>
          <w:sz w:val="22"/>
          <w:szCs w:val="22"/>
          <w:lang w:val="en-US"/>
        </w:rPr>
      </w:pPr>
      <w:r w:rsidRPr="00E11FF6">
        <w:rPr>
          <w:rStyle w:val="FootnoteReference"/>
          <w:rFonts w:ascii="Verdana" w:hAnsi="Verdana"/>
          <w:sz w:val="22"/>
          <w:szCs w:val="22"/>
        </w:rPr>
        <w:footnoteRef/>
      </w:r>
      <w:r w:rsidRPr="00E11FF6">
        <w:rPr>
          <w:rFonts w:ascii="Verdana" w:hAnsi="Verdana"/>
          <w:sz w:val="22"/>
          <w:szCs w:val="22"/>
        </w:rPr>
        <w:t xml:space="preserve"> </w:t>
      </w:r>
      <w:r w:rsidRPr="00E11FF6">
        <w:rPr>
          <w:rFonts w:ascii="Verdana" w:hAnsi="Verdana"/>
          <w:sz w:val="22"/>
          <w:szCs w:val="22"/>
          <w:lang w:val="en-US"/>
        </w:rPr>
        <w:t>Supplementary Founding Affidavit para 36-38 [</w:t>
      </w:r>
      <w:proofErr w:type="spellStart"/>
      <w:r w:rsidRPr="00E11FF6">
        <w:rPr>
          <w:rFonts w:ascii="Verdana" w:hAnsi="Verdana"/>
          <w:sz w:val="22"/>
          <w:szCs w:val="22"/>
          <w:lang w:val="en-US"/>
        </w:rPr>
        <w:t>CaseLines</w:t>
      </w:r>
      <w:proofErr w:type="spellEnd"/>
      <w:r w:rsidRPr="00E11FF6">
        <w:rPr>
          <w:rFonts w:ascii="Verdana" w:hAnsi="Verdana"/>
          <w:sz w:val="22"/>
          <w:szCs w:val="22"/>
          <w:lang w:val="en-US"/>
        </w:rPr>
        <w:t xml:space="preserve"> 003-13].</w:t>
      </w:r>
    </w:p>
  </w:footnote>
  <w:footnote w:id="49">
    <w:p w14:paraId="5CE3AF5E" w14:textId="77777777" w:rsidR="0025396F" w:rsidRPr="00E11FF6" w:rsidRDefault="0025396F" w:rsidP="0025396F">
      <w:pPr>
        <w:pStyle w:val="FootnoteText"/>
        <w:jc w:val="both"/>
        <w:rPr>
          <w:rFonts w:ascii="Verdana" w:hAnsi="Verdana"/>
          <w:sz w:val="22"/>
          <w:szCs w:val="22"/>
          <w:lang w:val="en-US"/>
        </w:rPr>
      </w:pPr>
      <w:r w:rsidRPr="00E11FF6">
        <w:rPr>
          <w:rStyle w:val="FootnoteReference"/>
          <w:rFonts w:ascii="Verdana" w:hAnsi="Verdana"/>
          <w:sz w:val="22"/>
          <w:szCs w:val="22"/>
        </w:rPr>
        <w:footnoteRef/>
      </w:r>
      <w:r w:rsidRPr="00E11FF6">
        <w:rPr>
          <w:rFonts w:ascii="Verdana" w:hAnsi="Verdana"/>
          <w:sz w:val="22"/>
          <w:szCs w:val="22"/>
        </w:rPr>
        <w:t xml:space="preserve"> </w:t>
      </w:r>
      <w:r w:rsidRPr="00E11FF6">
        <w:rPr>
          <w:rFonts w:ascii="Verdana" w:hAnsi="Verdana"/>
          <w:sz w:val="22"/>
          <w:szCs w:val="22"/>
          <w:lang w:val="en-US"/>
        </w:rPr>
        <w:t>Supplementary Founding Affidavit para 24.2 [</w:t>
      </w:r>
      <w:proofErr w:type="spellStart"/>
      <w:r w:rsidRPr="00E11FF6">
        <w:rPr>
          <w:rFonts w:ascii="Verdana" w:hAnsi="Verdana"/>
          <w:sz w:val="22"/>
          <w:szCs w:val="22"/>
          <w:lang w:val="en-US"/>
        </w:rPr>
        <w:t>CaseLines</w:t>
      </w:r>
      <w:proofErr w:type="spellEnd"/>
      <w:r w:rsidRPr="00E11FF6">
        <w:rPr>
          <w:rFonts w:ascii="Verdana" w:hAnsi="Verdana"/>
          <w:sz w:val="22"/>
          <w:szCs w:val="22"/>
          <w:lang w:val="en-US"/>
        </w:rPr>
        <w:t xml:space="preserve"> 003-7]</w:t>
      </w:r>
    </w:p>
  </w:footnote>
  <w:footnote w:id="50">
    <w:p w14:paraId="25CB8310" w14:textId="77777777" w:rsidR="0025396F" w:rsidRPr="00E11FF6" w:rsidRDefault="0025396F" w:rsidP="0025396F">
      <w:pPr>
        <w:pStyle w:val="FootnoteText"/>
        <w:jc w:val="both"/>
        <w:rPr>
          <w:rFonts w:ascii="Verdana" w:hAnsi="Verdana"/>
          <w:sz w:val="22"/>
          <w:szCs w:val="22"/>
          <w:lang w:val="en-US"/>
        </w:rPr>
      </w:pPr>
      <w:r w:rsidRPr="00E11FF6">
        <w:rPr>
          <w:rStyle w:val="FootnoteReference"/>
          <w:rFonts w:ascii="Verdana" w:hAnsi="Verdana"/>
          <w:sz w:val="22"/>
          <w:szCs w:val="22"/>
        </w:rPr>
        <w:footnoteRef/>
      </w:r>
      <w:r w:rsidRPr="00E11FF6">
        <w:rPr>
          <w:rFonts w:ascii="Verdana" w:hAnsi="Verdana"/>
          <w:sz w:val="22"/>
          <w:szCs w:val="22"/>
        </w:rPr>
        <w:t xml:space="preserve"> </w:t>
      </w:r>
      <w:proofErr w:type="spellStart"/>
      <w:r w:rsidRPr="00E11FF6">
        <w:rPr>
          <w:rFonts w:ascii="Verdana" w:hAnsi="Verdana"/>
          <w:sz w:val="22"/>
          <w:szCs w:val="22"/>
          <w:lang w:val="en-US"/>
        </w:rPr>
        <w:t>CaseLines</w:t>
      </w:r>
      <w:proofErr w:type="spellEnd"/>
      <w:r w:rsidRPr="00E11FF6">
        <w:rPr>
          <w:rFonts w:ascii="Verdana" w:hAnsi="Verdana"/>
          <w:sz w:val="22"/>
          <w:szCs w:val="22"/>
          <w:lang w:val="en-US"/>
        </w:rPr>
        <w:t xml:space="preserve"> 004-73.</w:t>
      </w:r>
    </w:p>
  </w:footnote>
  <w:footnote w:id="51">
    <w:p w14:paraId="2EF85ADD" w14:textId="77777777" w:rsidR="00E43BB0" w:rsidRPr="00542904" w:rsidRDefault="00E43BB0" w:rsidP="00E43BB0">
      <w:pPr>
        <w:pStyle w:val="FootnoteText"/>
        <w:rPr>
          <w:rFonts w:ascii="Verdana" w:hAnsi="Verdana"/>
          <w:sz w:val="22"/>
          <w:lang w:val="en-US"/>
        </w:rPr>
      </w:pPr>
      <w:r>
        <w:rPr>
          <w:rStyle w:val="FootnoteReference"/>
        </w:rPr>
        <w:footnoteRef/>
      </w:r>
      <w:r>
        <w:t xml:space="preserve"> </w:t>
      </w:r>
      <w:r w:rsidRPr="00542904">
        <w:rPr>
          <w:rFonts w:ascii="Verdana" w:hAnsi="Verdana"/>
          <w:sz w:val="22"/>
        </w:rPr>
        <w:t>Rule 60.04(2)(c).</w:t>
      </w:r>
    </w:p>
  </w:footnote>
  <w:footnote w:id="52">
    <w:p w14:paraId="6525EBC1" w14:textId="77777777" w:rsidR="009A0670" w:rsidRDefault="000076EF" w:rsidP="000076E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 xml:space="preserve">Bato Star Fishing (Pty)Ltd v Minister of Environmental Affairs 2004(4) SA (CC) </w:t>
      </w:r>
    </w:p>
    <w:p w14:paraId="49608550" w14:textId="299FBF81" w:rsidR="000076EF" w:rsidRPr="00E11FF6" w:rsidRDefault="009A0670" w:rsidP="000076EF">
      <w:pPr>
        <w:pStyle w:val="FootnoteText"/>
        <w:jc w:val="both"/>
        <w:rPr>
          <w:rFonts w:ascii="Verdana" w:hAnsi="Verdana"/>
          <w:sz w:val="22"/>
          <w:lang w:val="en-US"/>
        </w:rPr>
      </w:pPr>
      <w:r>
        <w:rPr>
          <w:rFonts w:ascii="Verdana" w:hAnsi="Verdana"/>
          <w:sz w:val="22"/>
          <w:lang w:val="en-US"/>
        </w:rPr>
        <w:t xml:space="preserve">   </w:t>
      </w:r>
      <w:r w:rsidR="000076EF" w:rsidRPr="00E11FF6">
        <w:rPr>
          <w:rFonts w:ascii="Verdana" w:hAnsi="Verdana"/>
          <w:sz w:val="22"/>
          <w:lang w:val="en-US"/>
        </w:rPr>
        <w:t>at para 33.</w:t>
      </w:r>
    </w:p>
  </w:footnote>
  <w:footnote w:id="53">
    <w:p w14:paraId="16E72FC6" w14:textId="4F431ADF" w:rsidR="000076EF" w:rsidRPr="00E11FF6" w:rsidRDefault="000076EF" w:rsidP="000076EF">
      <w:pPr>
        <w:pStyle w:val="FootnoteText"/>
        <w:jc w:val="both"/>
        <w:rPr>
          <w:rFonts w:ascii="Verdana" w:hAnsi="Verdana"/>
          <w:sz w:val="22"/>
          <w:lang w:val="en-US"/>
        </w:rPr>
      </w:pPr>
      <w:r w:rsidRPr="00E11FF6">
        <w:rPr>
          <w:rStyle w:val="FootnoteReference"/>
          <w:rFonts w:ascii="Verdana" w:hAnsi="Verdana"/>
          <w:sz w:val="22"/>
        </w:rPr>
        <w:footnoteRef/>
      </w:r>
      <w:r w:rsidRPr="00E11FF6">
        <w:rPr>
          <w:rFonts w:ascii="Verdana" w:hAnsi="Verdana"/>
          <w:sz w:val="22"/>
        </w:rPr>
        <w:t xml:space="preserve"> </w:t>
      </w:r>
      <w:r w:rsidRPr="00E11FF6">
        <w:rPr>
          <w:rFonts w:ascii="Verdana" w:hAnsi="Verdana"/>
          <w:sz w:val="22"/>
          <w:lang w:val="en-US"/>
        </w:rPr>
        <w:t>Ehrlich v Minister of Correctional Services 2009 (2) SA 373 (E) at paras 43-44.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80572"/>
    <w:multiLevelType w:val="hybridMultilevel"/>
    <w:tmpl w:val="386CCF12"/>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0861977"/>
    <w:multiLevelType w:val="hybridMultilevel"/>
    <w:tmpl w:val="51A0C60A"/>
    <w:lvl w:ilvl="0" w:tplc="19FAE69E">
      <w:start w:val="1"/>
      <w:numFmt w:val="lowerLetter"/>
      <w:lvlText w:val="(%1)"/>
      <w:lvlJc w:val="left"/>
      <w:pPr>
        <w:ind w:left="1112" w:hanging="852"/>
      </w:pPr>
      <w:rPr>
        <w:rFonts w:ascii="Arial MT" w:eastAsia="Arial MT" w:hAnsi="Arial MT" w:cs="Arial MT" w:hint="default"/>
        <w:w w:val="99"/>
        <w:sz w:val="24"/>
        <w:szCs w:val="24"/>
        <w:lang w:val="en-US" w:eastAsia="en-US" w:bidi="ar-SA"/>
      </w:rPr>
    </w:lvl>
    <w:lvl w:ilvl="1" w:tplc="C5BEBA4E">
      <w:numFmt w:val="bullet"/>
      <w:lvlText w:val="•"/>
      <w:lvlJc w:val="left"/>
      <w:pPr>
        <w:ind w:left="1952" w:hanging="852"/>
      </w:pPr>
      <w:rPr>
        <w:rFonts w:hint="default"/>
        <w:lang w:val="en-US" w:eastAsia="en-US" w:bidi="ar-SA"/>
      </w:rPr>
    </w:lvl>
    <w:lvl w:ilvl="2" w:tplc="E8361C8E">
      <w:numFmt w:val="bullet"/>
      <w:lvlText w:val="•"/>
      <w:lvlJc w:val="left"/>
      <w:pPr>
        <w:ind w:left="2785" w:hanging="852"/>
      </w:pPr>
      <w:rPr>
        <w:rFonts w:hint="default"/>
        <w:lang w:val="en-US" w:eastAsia="en-US" w:bidi="ar-SA"/>
      </w:rPr>
    </w:lvl>
    <w:lvl w:ilvl="3" w:tplc="EDEE6308">
      <w:numFmt w:val="bullet"/>
      <w:lvlText w:val="•"/>
      <w:lvlJc w:val="left"/>
      <w:pPr>
        <w:ind w:left="3617" w:hanging="852"/>
      </w:pPr>
      <w:rPr>
        <w:rFonts w:hint="default"/>
        <w:lang w:val="en-US" w:eastAsia="en-US" w:bidi="ar-SA"/>
      </w:rPr>
    </w:lvl>
    <w:lvl w:ilvl="4" w:tplc="805018C2">
      <w:numFmt w:val="bullet"/>
      <w:lvlText w:val="•"/>
      <w:lvlJc w:val="left"/>
      <w:pPr>
        <w:ind w:left="4450" w:hanging="852"/>
      </w:pPr>
      <w:rPr>
        <w:rFonts w:hint="default"/>
        <w:lang w:val="en-US" w:eastAsia="en-US" w:bidi="ar-SA"/>
      </w:rPr>
    </w:lvl>
    <w:lvl w:ilvl="5" w:tplc="40C6449A">
      <w:numFmt w:val="bullet"/>
      <w:lvlText w:val="•"/>
      <w:lvlJc w:val="left"/>
      <w:pPr>
        <w:ind w:left="5283" w:hanging="852"/>
      </w:pPr>
      <w:rPr>
        <w:rFonts w:hint="default"/>
        <w:lang w:val="en-US" w:eastAsia="en-US" w:bidi="ar-SA"/>
      </w:rPr>
    </w:lvl>
    <w:lvl w:ilvl="6" w:tplc="2AAA3B1C">
      <w:numFmt w:val="bullet"/>
      <w:lvlText w:val="•"/>
      <w:lvlJc w:val="left"/>
      <w:pPr>
        <w:ind w:left="6115" w:hanging="852"/>
      </w:pPr>
      <w:rPr>
        <w:rFonts w:hint="default"/>
        <w:lang w:val="en-US" w:eastAsia="en-US" w:bidi="ar-SA"/>
      </w:rPr>
    </w:lvl>
    <w:lvl w:ilvl="7" w:tplc="1516694E">
      <w:numFmt w:val="bullet"/>
      <w:lvlText w:val="•"/>
      <w:lvlJc w:val="left"/>
      <w:pPr>
        <w:ind w:left="6948" w:hanging="852"/>
      </w:pPr>
      <w:rPr>
        <w:rFonts w:hint="default"/>
        <w:lang w:val="en-US" w:eastAsia="en-US" w:bidi="ar-SA"/>
      </w:rPr>
    </w:lvl>
    <w:lvl w:ilvl="8" w:tplc="41C82B4C">
      <w:numFmt w:val="bullet"/>
      <w:lvlText w:val="•"/>
      <w:lvlJc w:val="left"/>
      <w:pPr>
        <w:ind w:left="7781" w:hanging="852"/>
      </w:pPr>
      <w:rPr>
        <w:rFonts w:hint="default"/>
        <w:lang w:val="en-US" w:eastAsia="en-US" w:bidi="ar-SA"/>
      </w:rPr>
    </w:lvl>
  </w:abstractNum>
  <w:abstractNum w:abstractNumId="2" w15:restartNumberingAfterBreak="0">
    <w:nsid w:val="190A4FF5"/>
    <w:multiLevelType w:val="hybridMultilevel"/>
    <w:tmpl w:val="48E85DFA"/>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A5E419C"/>
    <w:multiLevelType w:val="multilevel"/>
    <w:tmpl w:val="C8A87904"/>
    <w:lvl w:ilvl="0">
      <w:start w:val="27"/>
      <w:numFmt w:val="decimal"/>
      <w:lvlText w:val="%1."/>
      <w:lvlJc w:val="left"/>
      <w:pPr>
        <w:ind w:left="852" w:hanging="852"/>
      </w:pPr>
      <w:rPr>
        <w:rFonts w:ascii="Arial MT" w:eastAsia="Arial MT" w:hAnsi="Arial MT" w:cs="Arial MT" w:hint="default"/>
        <w:w w:val="100"/>
        <w:sz w:val="24"/>
        <w:szCs w:val="24"/>
      </w:rPr>
    </w:lvl>
    <w:lvl w:ilvl="1">
      <w:start w:val="1"/>
      <w:numFmt w:val="decimal"/>
      <w:lvlText w:val="%1.%2."/>
      <w:lvlJc w:val="left"/>
      <w:pPr>
        <w:ind w:left="2200" w:hanging="850"/>
      </w:pPr>
      <w:rPr>
        <w:rFonts w:ascii="Verdana" w:eastAsia="Arial MT" w:hAnsi="Verdana" w:cs="Arial MT" w:hint="default"/>
        <w:spacing w:val="-1"/>
        <w:w w:val="99"/>
        <w:sz w:val="24"/>
        <w:szCs w:val="24"/>
      </w:rPr>
    </w:lvl>
    <w:lvl w:ilvl="2">
      <w:start w:val="1"/>
      <w:numFmt w:val="lowerLetter"/>
      <w:lvlText w:val="(%3)"/>
      <w:lvlJc w:val="left"/>
      <w:pPr>
        <w:ind w:left="2529" w:hanging="567"/>
      </w:pPr>
      <w:rPr>
        <w:rFonts w:ascii="Arial" w:eastAsia="Arial" w:hAnsi="Arial" w:cs="Arial" w:hint="default"/>
        <w:i/>
        <w:iCs/>
        <w:w w:val="99"/>
        <w:sz w:val="24"/>
        <w:szCs w:val="24"/>
      </w:rPr>
    </w:lvl>
    <w:lvl w:ilvl="3">
      <w:start w:val="1"/>
      <w:numFmt w:val="lowerRoman"/>
      <w:lvlText w:val="(%4)"/>
      <w:lvlJc w:val="left"/>
      <w:pPr>
        <w:ind w:left="3095" w:hanging="567"/>
      </w:pPr>
      <w:rPr>
        <w:rFonts w:ascii="Arial" w:eastAsia="Arial" w:hAnsi="Arial" w:cs="Arial" w:hint="default"/>
        <w:i/>
        <w:iCs/>
        <w:spacing w:val="-2"/>
        <w:w w:val="99"/>
        <w:sz w:val="24"/>
        <w:szCs w:val="24"/>
      </w:rPr>
    </w:lvl>
    <w:lvl w:ilvl="4">
      <w:numFmt w:val="bullet"/>
      <w:lvlText w:val="•"/>
      <w:lvlJc w:val="left"/>
      <w:pPr>
        <w:ind w:left="4006" w:hanging="567"/>
      </w:pPr>
      <w:rPr>
        <w:rFonts w:hint="default"/>
      </w:rPr>
    </w:lvl>
    <w:lvl w:ilvl="5">
      <w:numFmt w:val="bullet"/>
      <w:lvlText w:val="•"/>
      <w:lvlJc w:val="left"/>
      <w:pPr>
        <w:ind w:left="4913" w:hanging="567"/>
      </w:pPr>
      <w:rPr>
        <w:rFonts w:hint="default"/>
      </w:rPr>
    </w:lvl>
    <w:lvl w:ilvl="6">
      <w:numFmt w:val="bullet"/>
      <w:lvlText w:val="•"/>
      <w:lvlJc w:val="left"/>
      <w:pPr>
        <w:ind w:left="5819" w:hanging="567"/>
      </w:pPr>
      <w:rPr>
        <w:rFonts w:hint="default"/>
      </w:rPr>
    </w:lvl>
    <w:lvl w:ilvl="7">
      <w:numFmt w:val="bullet"/>
      <w:lvlText w:val="•"/>
      <w:lvlJc w:val="left"/>
      <w:pPr>
        <w:ind w:left="6726" w:hanging="567"/>
      </w:pPr>
      <w:rPr>
        <w:rFonts w:hint="default"/>
      </w:rPr>
    </w:lvl>
    <w:lvl w:ilvl="8">
      <w:numFmt w:val="bullet"/>
      <w:lvlText w:val="•"/>
      <w:lvlJc w:val="left"/>
      <w:pPr>
        <w:ind w:left="7633" w:hanging="567"/>
      </w:pPr>
      <w:rPr>
        <w:rFonts w:hint="default"/>
      </w:rPr>
    </w:lvl>
  </w:abstractNum>
  <w:abstractNum w:abstractNumId="4" w15:restartNumberingAfterBreak="0">
    <w:nsid w:val="1B862718"/>
    <w:multiLevelType w:val="hybridMultilevel"/>
    <w:tmpl w:val="65144F40"/>
    <w:lvl w:ilvl="0" w:tplc="740437EA">
      <w:start w:val="13"/>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F7A4197"/>
    <w:multiLevelType w:val="hybridMultilevel"/>
    <w:tmpl w:val="0AAE1B84"/>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BC1A3C"/>
    <w:multiLevelType w:val="hybridMultilevel"/>
    <w:tmpl w:val="60564122"/>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D917AB"/>
    <w:multiLevelType w:val="hybridMultilevel"/>
    <w:tmpl w:val="777EAEF6"/>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709364B"/>
    <w:multiLevelType w:val="hybridMultilevel"/>
    <w:tmpl w:val="390E3912"/>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81B51E5"/>
    <w:multiLevelType w:val="hybridMultilevel"/>
    <w:tmpl w:val="1B168F0E"/>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15:restartNumberingAfterBreak="0">
    <w:nsid w:val="2B2E2E38"/>
    <w:multiLevelType w:val="hybridMultilevel"/>
    <w:tmpl w:val="AC8A9968"/>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CDC21F4"/>
    <w:multiLevelType w:val="hybridMultilevel"/>
    <w:tmpl w:val="29448F74"/>
    <w:lvl w:ilvl="0" w:tplc="ACEA0C24">
      <w:start w:val="13"/>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1304B26"/>
    <w:multiLevelType w:val="multilevel"/>
    <w:tmpl w:val="F8DA6DCA"/>
    <w:lvl w:ilvl="0">
      <w:start w:val="27"/>
      <w:numFmt w:val="decimal"/>
      <w:lvlText w:val="%1."/>
      <w:lvlJc w:val="left"/>
      <w:pPr>
        <w:ind w:left="1112" w:hanging="852"/>
      </w:pPr>
      <w:rPr>
        <w:rFonts w:ascii="Arial MT" w:eastAsia="Arial MT" w:hAnsi="Arial MT" w:cs="Arial MT" w:hint="default"/>
        <w:w w:val="100"/>
        <w:sz w:val="24"/>
        <w:szCs w:val="24"/>
      </w:rPr>
    </w:lvl>
    <w:lvl w:ilvl="1">
      <w:start w:val="1"/>
      <w:numFmt w:val="decimal"/>
      <w:lvlText w:val="%1.%2."/>
      <w:lvlJc w:val="left"/>
      <w:pPr>
        <w:ind w:left="1962" w:hanging="850"/>
      </w:pPr>
      <w:rPr>
        <w:rFonts w:ascii="Arial MT" w:eastAsia="Arial MT" w:hAnsi="Arial MT" w:cs="Arial MT" w:hint="default"/>
        <w:spacing w:val="-1"/>
        <w:w w:val="99"/>
        <w:sz w:val="24"/>
        <w:szCs w:val="24"/>
      </w:rPr>
    </w:lvl>
    <w:lvl w:ilvl="2">
      <w:start w:val="1"/>
      <w:numFmt w:val="lowerLetter"/>
      <w:lvlText w:val="(%3)"/>
      <w:lvlJc w:val="left"/>
      <w:pPr>
        <w:ind w:left="2529" w:hanging="567"/>
      </w:pPr>
      <w:rPr>
        <w:rFonts w:ascii="Arial" w:eastAsia="Arial" w:hAnsi="Arial" w:cs="Arial" w:hint="default"/>
        <w:i/>
        <w:iCs/>
        <w:w w:val="99"/>
        <w:sz w:val="24"/>
        <w:szCs w:val="24"/>
      </w:rPr>
    </w:lvl>
    <w:lvl w:ilvl="3">
      <w:start w:val="1"/>
      <w:numFmt w:val="lowerRoman"/>
      <w:lvlText w:val="(%4)"/>
      <w:lvlJc w:val="left"/>
      <w:pPr>
        <w:ind w:left="3095" w:hanging="567"/>
      </w:pPr>
      <w:rPr>
        <w:rFonts w:ascii="Arial" w:eastAsia="Arial" w:hAnsi="Arial" w:cs="Arial" w:hint="default"/>
        <w:i/>
        <w:iCs/>
        <w:spacing w:val="-2"/>
        <w:w w:val="99"/>
        <w:sz w:val="24"/>
        <w:szCs w:val="24"/>
      </w:rPr>
    </w:lvl>
    <w:lvl w:ilvl="4">
      <w:numFmt w:val="bullet"/>
      <w:lvlText w:val="•"/>
      <w:lvlJc w:val="left"/>
      <w:pPr>
        <w:ind w:left="4006" w:hanging="567"/>
      </w:pPr>
      <w:rPr>
        <w:rFonts w:hint="default"/>
      </w:rPr>
    </w:lvl>
    <w:lvl w:ilvl="5">
      <w:numFmt w:val="bullet"/>
      <w:lvlText w:val="•"/>
      <w:lvlJc w:val="left"/>
      <w:pPr>
        <w:ind w:left="4913" w:hanging="567"/>
      </w:pPr>
      <w:rPr>
        <w:rFonts w:hint="default"/>
      </w:rPr>
    </w:lvl>
    <w:lvl w:ilvl="6">
      <w:numFmt w:val="bullet"/>
      <w:lvlText w:val="•"/>
      <w:lvlJc w:val="left"/>
      <w:pPr>
        <w:ind w:left="5819" w:hanging="567"/>
      </w:pPr>
      <w:rPr>
        <w:rFonts w:hint="default"/>
      </w:rPr>
    </w:lvl>
    <w:lvl w:ilvl="7">
      <w:numFmt w:val="bullet"/>
      <w:lvlText w:val="•"/>
      <w:lvlJc w:val="left"/>
      <w:pPr>
        <w:ind w:left="6726" w:hanging="567"/>
      </w:pPr>
      <w:rPr>
        <w:rFonts w:hint="default"/>
      </w:rPr>
    </w:lvl>
    <w:lvl w:ilvl="8">
      <w:numFmt w:val="bullet"/>
      <w:lvlText w:val="•"/>
      <w:lvlJc w:val="left"/>
      <w:pPr>
        <w:ind w:left="7633" w:hanging="567"/>
      </w:pPr>
      <w:rPr>
        <w:rFonts w:hint="default"/>
      </w:rPr>
    </w:lvl>
  </w:abstractNum>
  <w:abstractNum w:abstractNumId="14" w15:restartNumberingAfterBreak="0">
    <w:nsid w:val="32257584"/>
    <w:multiLevelType w:val="hybridMultilevel"/>
    <w:tmpl w:val="1C58AD74"/>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6E6EAC"/>
    <w:multiLevelType w:val="hybridMultilevel"/>
    <w:tmpl w:val="3B14BED6"/>
    <w:lvl w:ilvl="0" w:tplc="957888BC">
      <w:start w:val="1"/>
      <w:numFmt w:val="decimal"/>
      <w:lvlText w:val="[%1]"/>
      <w:lvlJc w:val="left"/>
      <w:pPr>
        <w:ind w:left="720" w:hanging="360"/>
      </w:pPr>
      <w:rPr>
        <w:rFonts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8624552"/>
    <w:multiLevelType w:val="multilevel"/>
    <w:tmpl w:val="1C09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6239EA"/>
    <w:multiLevelType w:val="multilevel"/>
    <w:tmpl w:val="1F881DE6"/>
    <w:lvl w:ilvl="0">
      <w:start w:val="25"/>
      <w:numFmt w:val="decimal"/>
      <w:lvlText w:val="%1."/>
      <w:lvlJc w:val="left"/>
      <w:pPr>
        <w:ind w:left="1112" w:hanging="852"/>
      </w:pPr>
      <w:rPr>
        <w:rFonts w:ascii="Arial MT" w:eastAsia="Arial MT" w:hAnsi="Arial MT" w:cs="Arial MT" w:hint="default"/>
        <w:w w:val="100"/>
        <w:sz w:val="24"/>
        <w:szCs w:val="24"/>
        <w:lang w:val="en-US" w:eastAsia="en-US" w:bidi="ar-SA"/>
      </w:rPr>
    </w:lvl>
    <w:lvl w:ilvl="1">
      <w:start w:val="1"/>
      <w:numFmt w:val="decimal"/>
      <w:lvlText w:val="%1.%2."/>
      <w:lvlJc w:val="left"/>
      <w:pPr>
        <w:ind w:left="1962" w:hanging="850"/>
      </w:pPr>
      <w:rPr>
        <w:rFonts w:ascii="Arial MT" w:eastAsia="Arial MT" w:hAnsi="Arial MT" w:cs="Arial MT" w:hint="default"/>
        <w:spacing w:val="-1"/>
        <w:w w:val="99"/>
        <w:sz w:val="24"/>
        <w:szCs w:val="24"/>
        <w:lang w:val="en-US" w:eastAsia="en-US" w:bidi="ar-SA"/>
      </w:rPr>
    </w:lvl>
    <w:lvl w:ilvl="2">
      <w:start w:val="1"/>
      <w:numFmt w:val="lowerLetter"/>
      <w:lvlText w:val="(%3)"/>
      <w:lvlJc w:val="left"/>
      <w:pPr>
        <w:ind w:left="2529" w:hanging="567"/>
      </w:pPr>
      <w:rPr>
        <w:rFonts w:ascii="Arial" w:eastAsia="Arial" w:hAnsi="Arial" w:cs="Arial" w:hint="default"/>
        <w:i/>
        <w:iCs/>
        <w:w w:val="99"/>
        <w:sz w:val="24"/>
        <w:szCs w:val="24"/>
        <w:lang w:val="en-US" w:eastAsia="en-US" w:bidi="ar-SA"/>
      </w:rPr>
    </w:lvl>
    <w:lvl w:ilvl="3">
      <w:start w:val="1"/>
      <w:numFmt w:val="lowerRoman"/>
      <w:lvlText w:val="(%4)"/>
      <w:lvlJc w:val="left"/>
      <w:pPr>
        <w:ind w:left="3095" w:hanging="567"/>
      </w:pPr>
      <w:rPr>
        <w:rFonts w:ascii="Arial" w:eastAsia="Arial" w:hAnsi="Arial" w:cs="Arial" w:hint="default"/>
        <w:i/>
        <w:iCs/>
        <w:spacing w:val="-2"/>
        <w:w w:val="99"/>
        <w:sz w:val="24"/>
        <w:szCs w:val="24"/>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913" w:hanging="567"/>
      </w:pPr>
      <w:rPr>
        <w:rFonts w:hint="default"/>
        <w:lang w:val="en-US" w:eastAsia="en-US" w:bidi="ar-SA"/>
      </w:rPr>
    </w:lvl>
    <w:lvl w:ilvl="6">
      <w:numFmt w:val="bullet"/>
      <w:lvlText w:val="•"/>
      <w:lvlJc w:val="left"/>
      <w:pPr>
        <w:ind w:left="5819" w:hanging="567"/>
      </w:pPr>
      <w:rPr>
        <w:rFonts w:hint="default"/>
        <w:lang w:val="en-US" w:eastAsia="en-US" w:bidi="ar-SA"/>
      </w:rPr>
    </w:lvl>
    <w:lvl w:ilvl="7">
      <w:numFmt w:val="bullet"/>
      <w:lvlText w:val="•"/>
      <w:lvlJc w:val="left"/>
      <w:pPr>
        <w:ind w:left="6726" w:hanging="567"/>
      </w:pPr>
      <w:rPr>
        <w:rFonts w:hint="default"/>
        <w:lang w:val="en-US" w:eastAsia="en-US" w:bidi="ar-SA"/>
      </w:rPr>
    </w:lvl>
    <w:lvl w:ilvl="8">
      <w:numFmt w:val="bullet"/>
      <w:lvlText w:val="•"/>
      <w:lvlJc w:val="left"/>
      <w:pPr>
        <w:ind w:left="7633" w:hanging="567"/>
      </w:pPr>
      <w:rPr>
        <w:rFonts w:hint="default"/>
        <w:lang w:val="en-US" w:eastAsia="en-US" w:bidi="ar-SA"/>
      </w:rPr>
    </w:lvl>
  </w:abstractNum>
  <w:abstractNum w:abstractNumId="18" w15:restartNumberingAfterBreak="0">
    <w:nsid w:val="406B0728"/>
    <w:multiLevelType w:val="multilevel"/>
    <w:tmpl w:val="1F881DE6"/>
    <w:lvl w:ilvl="0">
      <w:start w:val="25"/>
      <w:numFmt w:val="decimal"/>
      <w:lvlText w:val="%1."/>
      <w:lvlJc w:val="left"/>
      <w:pPr>
        <w:ind w:left="1112" w:hanging="852"/>
      </w:pPr>
      <w:rPr>
        <w:rFonts w:ascii="Arial MT" w:eastAsia="Arial MT" w:hAnsi="Arial MT" w:cs="Arial MT" w:hint="default"/>
        <w:w w:val="100"/>
        <w:sz w:val="24"/>
        <w:szCs w:val="24"/>
        <w:lang w:val="en-US" w:eastAsia="en-US" w:bidi="ar-SA"/>
      </w:rPr>
    </w:lvl>
    <w:lvl w:ilvl="1">
      <w:start w:val="1"/>
      <w:numFmt w:val="decimal"/>
      <w:lvlText w:val="%1.%2."/>
      <w:lvlJc w:val="left"/>
      <w:pPr>
        <w:ind w:left="1962" w:hanging="850"/>
      </w:pPr>
      <w:rPr>
        <w:rFonts w:ascii="Arial MT" w:eastAsia="Arial MT" w:hAnsi="Arial MT" w:cs="Arial MT" w:hint="default"/>
        <w:spacing w:val="-1"/>
        <w:w w:val="99"/>
        <w:sz w:val="24"/>
        <w:szCs w:val="24"/>
        <w:lang w:val="en-US" w:eastAsia="en-US" w:bidi="ar-SA"/>
      </w:rPr>
    </w:lvl>
    <w:lvl w:ilvl="2">
      <w:start w:val="1"/>
      <w:numFmt w:val="lowerLetter"/>
      <w:lvlText w:val="(%3)"/>
      <w:lvlJc w:val="left"/>
      <w:pPr>
        <w:ind w:left="2529" w:hanging="567"/>
      </w:pPr>
      <w:rPr>
        <w:rFonts w:ascii="Arial" w:eastAsia="Arial" w:hAnsi="Arial" w:cs="Arial" w:hint="default"/>
        <w:i/>
        <w:iCs/>
        <w:w w:val="99"/>
        <w:sz w:val="24"/>
        <w:szCs w:val="24"/>
        <w:lang w:val="en-US" w:eastAsia="en-US" w:bidi="ar-SA"/>
      </w:rPr>
    </w:lvl>
    <w:lvl w:ilvl="3">
      <w:start w:val="1"/>
      <w:numFmt w:val="lowerRoman"/>
      <w:lvlText w:val="(%4)"/>
      <w:lvlJc w:val="left"/>
      <w:pPr>
        <w:ind w:left="3095" w:hanging="567"/>
      </w:pPr>
      <w:rPr>
        <w:rFonts w:ascii="Arial" w:eastAsia="Arial" w:hAnsi="Arial" w:cs="Arial" w:hint="default"/>
        <w:i/>
        <w:iCs/>
        <w:spacing w:val="-2"/>
        <w:w w:val="99"/>
        <w:sz w:val="24"/>
        <w:szCs w:val="24"/>
        <w:lang w:val="en-US" w:eastAsia="en-US" w:bidi="ar-SA"/>
      </w:rPr>
    </w:lvl>
    <w:lvl w:ilvl="4">
      <w:numFmt w:val="bullet"/>
      <w:lvlText w:val="•"/>
      <w:lvlJc w:val="left"/>
      <w:pPr>
        <w:ind w:left="4006" w:hanging="567"/>
      </w:pPr>
      <w:rPr>
        <w:rFonts w:hint="default"/>
        <w:lang w:val="en-US" w:eastAsia="en-US" w:bidi="ar-SA"/>
      </w:rPr>
    </w:lvl>
    <w:lvl w:ilvl="5">
      <w:numFmt w:val="bullet"/>
      <w:lvlText w:val="•"/>
      <w:lvlJc w:val="left"/>
      <w:pPr>
        <w:ind w:left="4913" w:hanging="567"/>
      </w:pPr>
      <w:rPr>
        <w:rFonts w:hint="default"/>
        <w:lang w:val="en-US" w:eastAsia="en-US" w:bidi="ar-SA"/>
      </w:rPr>
    </w:lvl>
    <w:lvl w:ilvl="6">
      <w:numFmt w:val="bullet"/>
      <w:lvlText w:val="•"/>
      <w:lvlJc w:val="left"/>
      <w:pPr>
        <w:ind w:left="5819" w:hanging="567"/>
      </w:pPr>
      <w:rPr>
        <w:rFonts w:hint="default"/>
        <w:lang w:val="en-US" w:eastAsia="en-US" w:bidi="ar-SA"/>
      </w:rPr>
    </w:lvl>
    <w:lvl w:ilvl="7">
      <w:numFmt w:val="bullet"/>
      <w:lvlText w:val="•"/>
      <w:lvlJc w:val="left"/>
      <w:pPr>
        <w:ind w:left="6726" w:hanging="567"/>
      </w:pPr>
      <w:rPr>
        <w:rFonts w:hint="default"/>
        <w:lang w:val="en-US" w:eastAsia="en-US" w:bidi="ar-SA"/>
      </w:rPr>
    </w:lvl>
    <w:lvl w:ilvl="8">
      <w:numFmt w:val="bullet"/>
      <w:lvlText w:val="•"/>
      <w:lvlJc w:val="left"/>
      <w:pPr>
        <w:ind w:left="7633" w:hanging="567"/>
      </w:pPr>
      <w:rPr>
        <w:rFonts w:hint="default"/>
        <w:lang w:val="en-US" w:eastAsia="en-US" w:bidi="ar-SA"/>
      </w:rPr>
    </w:lvl>
  </w:abstractNum>
  <w:abstractNum w:abstractNumId="19" w15:restartNumberingAfterBreak="0">
    <w:nsid w:val="413B398A"/>
    <w:multiLevelType w:val="hybridMultilevel"/>
    <w:tmpl w:val="34B6AF36"/>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3055149"/>
    <w:multiLevelType w:val="multilevel"/>
    <w:tmpl w:val="089A45B4"/>
    <w:lvl w:ilvl="0">
      <w:start w:val="36"/>
      <w:numFmt w:val="decimal"/>
      <w:lvlText w:val="%1."/>
      <w:lvlJc w:val="left"/>
      <w:pPr>
        <w:ind w:left="1112" w:hanging="852"/>
      </w:pPr>
      <w:rPr>
        <w:rFonts w:ascii="Arial MT" w:eastAsia="Arial MT" w:hAnsi="Arial MT" w:cs="Arial MT" w:hint="default"/>
        <w:w w:val="100"/>
        <w:sz w:val="24"/>
        <w:szCs w:val="24"/>
      </w:rPr>
    </w:lvl>
    <w:lvl w:ilvl="1">
      <w:start w:val="1"/>
      <w:numFmt w:val="decimal"/>
      <w:lvlText w:val="%1.%2."/>
      <w:lvlJc w:val="left"/>
      <w:pPr>
        <w:ind w:left="1962" w:hanging="850"/>
      </w:pPr>
      <w:rPr>
        <w:rFonts w:ascii="Arial MT" w:eastAsia="Arial MT" w:hAnsi="Arial MT" w:cs="Arial MT" w:hint="default"/>
        <w:spacing w:val="-1"/>
        <w:w w:val="99"/>
        <w:sz w:val="24"/>
        <w:szCs w:val="24"/>
      </w:rPr>
    </w:lvl>
    <w:lvl w:ilvl="2">
      <w:start w:val="1"/>
      <w:numFmt w:val="lowerLetter"/>
      <w:lvlText w:val="(%3)"/>
      <w:lvlJc w:val="left"/>
      <w:pPr>
        <w:ind w:left="2529" w:hanging="567"/>
      </w:pPr>
      <w:rPr>
        <w:rFonts w:ascii="Arial" w:eastAsia="Arial" w:hAnsi="Arial" w:cs="Arial" w:hint="default"/>
        <w:i/>
        <w:iCs/>
        <w:w w:val="99"/>
        <w:sz w:val="24"/>
        <w:szCs w:val="24"/>
      </w:rPr>
    </w:lvl>
    <w:lvl w:ilvl="3">
      <w:start w:val="1"/>
      <w:numFmt w:val="lowerRoman"/>
      <w:lvlText w:val="(%4)"/>
      <w:lvlJc w:val="left"/>
      <w:pPr>
        <w:ind w:left="3095" w:hanging="567"/>
      </w:pPr>
      <w:rPr>
        <w:rFonts w:ascii="Arial" w:eastAsia="Arial" w:hAnsi="Arial" w:cs="Arial" w:hint="default"/>
        <w:i/>
        <w:iCs/>
        <w:spacing w:val="-2"/>
        <w:w w:val="99"/>
        <w:sz w:val="24"/>
        <w:szCs w:val="24"/>
      </w:rPr>
    </w:lvl>
    <w:lvl w:ilvl="4">
      <w:numFmt w:val="bullet"/>
      <w:lvlText w:val="•"/>
      <w:lvlJc w:val="left"/>
      <w:pPr>
        <w:ind w:left="4006" w:hanging="567"/>
      </w:pPr>
      <w:rPr>
        <w:rFonts w:hint="default"/>
      </w:rPr>
    </w:lvl>
    <w:lvl w:ilvl="5">
      <w:numFmt w:val="bullet"/>
      <w:lvlText w:val="•"/>
      <w:lvlJc w:val="left"/>
      <w:pPr>
        <w:ind w:left="4913" w:hanging="567"/>
      </w:pPr>
      <w:rPr>
        <w:rFonts w:hint="default"/>
      </w:rPr>
    </w:lvl>
    <w:lvl w:ilvl="6">
      <w:numFmt w:val="bullet"/>
      <w:lvlText w:val="•"/>
      <w:lvlJc w:val="left"/>
      <w:pPr>
        <w:ind w:left="5819" w:hanging="567"/>
      </w:pPr>
      <w:rPr>
        <w:rFonts w:hint="default"/>
      </w:rPr>
    </w:lvl>
    <w:lvl w:ilvl="7">
      <w:numFmt w:val="bullet"/>
      <w:lvlText w:val="•"/>
      <w:lvlJc w:val="left"/>
      <w:pPr>
        <w:ind w:left="6726" w:hanging="567"/>
      </w:pPr>
      <w:rPr>
        <w:rFonts w:hint="default"/>
      </w:rPr>
    </w:lvl>
    <w:lvl w:ilvl="8">
      <w:numFmt w:val="bullet"/>
      <w:lvlText w:val="•"/>
      <w:lvlJc w:val="left"/>
      <w:pPr>
        <w:ind w:left="7633" w:hanging="567"/>
      </w:pPr>
      <w:rPr>
        <w:rFonts w:hint="default"/>
      </w:rPr>
    </w:lvl>
  </w:abstractNum>
  <w:abstractNum w:abstractNumId="21" w15:restartNumberingAfterBreak="0">
    <w:nsid w:val="43AC5750"/>
    <w:multiLevelType w:val="hybridMultilevel"/>
    <w:tmpl w:val="DFBE1C8A"/>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64F7796"/>
    <w:multiLevelType w:val="multilevel"/>
    <w:tmpl w:val="034CBAB0"/>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0575112"/>
    <w:multiLevelType w:val="hybridMultilevel"/>
    <w:tmpl w:val="DDD013B2"/>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5FE4311"/>
    <w:multiLevelType w:val="multilevel"/>
    <w:tmpl w:val="7A625F40"/>
    <w:lvl w:ilvl="0">
      <w:start w:val="26"/>
      <w:numFmt w:val="decimal"/>
      <w:lvlText w:val="%1."/>
      <w:lvlJc w:val="left"/>
      <w:pPr>
        <w:ind w:left="1212" w:hanging="852"/>
      </w:pPr>
      <w:rPr>
        <w:rFonts w:ascii="Arial MT" w:eastAsia="Arial MT" w:hAnsi="Arial MT" w:cs="Arial MT" w:hint="default"/>
        <w:w w:val="100"/>
        <w:sz w:val="24"/>
        <w:szCs w:val="24"/>
        <w:lang w:val="en-US" w:eastAsia="en-US" w:bidi="ar-SA"/>
      </w:rPr>
    </w:lvl>
    <w:lvl w:ilvl="1">
      <w:start w:val="1"/>
      <w:numFmt w:val="decimal"/>
      <w:lvlText w:val="%1.%2."/>
      <w:lvlJc w:val="left"/>
      <w:pPr>
        <w:ind w:left="2062" w:hanging="850"/>
      </w:pPr>
      <w:rPr>
        <w:rFonts w:ascii="Arial MT" w:eastAsia="Arial MT" w:hAnsi="Arial MT" w:cs="Arial MT" w:hint="default"/>
        <w:b w:val="0"/>
        <w:spacing w:val="-1"/>
        <w:w w:val="99"/>
        <w:sz w:val="24"/>
        <w:szCs w:val="24"/>
        <w:lang w:val="en-US" w:eastAsia="en-US" w:bidi="ar-SA"/>
      </w:rPr>
    </w:lvl>
    <w:lvl w:ilvl="2">
      <w:start w:val="1"/>
      <w:numFmt w:val="lowerLetter"/>
      <w:lvlText w:val="(%3)"/>
      <w:lvlJc w:val="left"/>
      <w:pPr>
        <w:ind w:left="2629" w:hanging="567"/>
      </w:pPr>
      <w:rPr>
        <w:rFonts w:ascii="Arial" w:eastAsia="Arial" w:hAnsi="Arial" w:cs="Arial" w:hint="default"/>
        <w:i/>
        <w:iCs/>
        <w:w w:val="99"/>
        <w:sz w:val="24"/>
        <w:szCs w:val="24"/>
        <w:lang w:val="en-US" w:eastAsia="en-US" w:bidi="ar-SA"/>
      </w:rPr>
    </w:lvl>
    <w:lvl w:ilvl="3">
      <w:start w:val="1"/>
      <w:numFmt w:val="lowerRoman"/>
      <w:lvlText w:val="(%4)"/>
      <w:lvlJc w:val="left"/>
      <w:pPr>
        <w:ind w:left="3195" w:hanging="567"/>
      </w:pPr>
      <w:rPr>
        <w:rFonts w:ascii="Arial" w:eastAsia="Arial" w:hAnsi="Arial" w:cs="Arial" w:hint="default"/>
        <w:i/>
        <w:iCs/>
        <w:spacing w:val="-2"/>
        <w:w w:val="99"/>
        <w:sz w:val="24"/>
        <w:szCs w:val="24"/>
        <w:lang w:val="en-US" w:eastAsia="en-US" w:bidi="ar-SA"/>
      </w:rPr>
    </w:lvl>
    <w:lvl w:ilvl="4">
      <w:numFmt w:val="bullet"/>
      <w:lvlText w:val="•"/>
      <w:lvlJc w:val="left"/>
      <w:pPr>
        <w:ind w:left="4106" w:hanging="567"/>
      </w:pPr>
      <w:rPr>
        <w:rFonts w:hint="default"/>
        <w:lang w:val="en-US" w:eastAsia="en-US" w:bidi="ar-SA"/>
      </w:rPr>
    </w:lvl>
    <w:lvl w:ilvl="5">
      <w:numFmt w:val="bullet"/>
      <w:lvlText w:val="•"/>
      <w:lvlJc w:val="left"/>
      <w:pPr>
        <w:ind w:left="5013" w:hanging="567"/>
      </w:pPr>
      <w:rPr>
        <w:rFonts w:hint="default"/>
        <w:lang w:val="en-US" w:eastAsia="en-US" w:bidi="ar-SA"/>
      </w:rPr>
    </w:lvl>
    <w:lvl w:ilvl="6">
      <w:numFmt w:val="bullet"/>
      <w:lvlText w:val="•"/>
      <w:lvlJc w:val="left"/>
      <w:pPr>
        <w:ind w:left="5919" w:hanging="567"/>
      </w:pPr>
      <w:rPr>
        <w:rFonts w:hint="default"/>
        <w:lang w:val="en-US" w:eastAsia="en-US" w:bidi="ar-SA"/>
      </w:rPr>
    </w:lvl>
    <w:lvl w:ilvl="7">
      <w:numFmt w:val="bullet"/>
      <w:lvlText w:val="•"/>
      <w:lvlJc w:val="left"/>
      <w:pPr>
        <w:ind w:left="6826" w:hanging="567"/>
      </w:pPr>
      <w:rPr>
        <w:rFonts w:hint="default"/>
        <w:lang w:val="en-US" w:eastAsia="en-US" w:bidi="ar-SA"/>
      </w:rPr>
    </w:lvl>
    <w:lvl w:ilvl="8">
      <w:numFmt w:val="bullet"/>
      <w:lvlText w:val="•"/>
      <w:lvlJc w:val="left"/>
      <w:pPr>
        <w:ind w:left="7733" w:hanging="567"/>
      </w:pPr>
      <w:rPr>
        <w:rFonts w:hint="default"/>
        <w:lang w:val="en-US" w:eastAsia="en-US" w:bidi="ar-SA"/>
      </w:rPr>
    </w:lvl>
  </w:abstractNum>
  <w:abstractNum w:abstractNumId="25" w15:restartNumberingAfterBreak="0">
    <w:nsid w:val="57006399"/>
    <w:multiLevelType w:val="multilevel"/>
    <w:tmpl w:val="81CABDD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7D21F6"/>
    <w:multiLevelType w:val="hybridMultilevel"/>
    <w:tmpl w:val="11C2BDCE"/>
    <w:lvl w:ilvl="0" w:tplc="B5E6BF90">
      <w:start w:val="3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E51151D"/>
    <w:multiLevelType w:val="multilevel"/>
    <w:tmpl w:val="FAB82C52"/>
    <w:lvl w:ilvl="0">
      <w:start w:val="1"/>
      <w:numFmt w:val="upperLetter"/>
      <w:lvlText w:val="%1."/>
      <w:lvlJc w:val="left"/>
      <w:pPr>
        <w:ind w:left="1112" w:hanging="852"/>
      </w:pPr>
      <w:rPr>
        <w:rFonts w:ascii="Arial" w:eastAsia="Arial" w:hAnsi="Arial" w:cs="Arial" w:hint="default"/>
        <w:b/>
        <w:bCs/>
        <w:spacing w:val="-6"/>
        <w:w w:val="99"/>
        <w:sz w:val="24"/>
        <w:szCs w:val="24"/>
        <w:lang w:val="en-US" w:eastAsia="en-US" w:bidi="ar-SA"/>
      </w:rPr>
    </w:lvl>
    <w:lvl w:ilvl="1">
      <w:start w:val="17"/>
      <w:numFmt w:val="decimal"/>
      <w:lvlText w:val="%2."/>
      <w:lvlJc w:val="left"/>
      <w:pPr>
        <w:ind w:left="1112" w:hanging="852"/>
      </w:pPr>
      <w:rPr>
        <w:rFonts w:ascii="Arial MT" w:eastAsia="Arial MT" w:hAnsi="Arial MT" w:cs="Arial MT" w:hint="default"/>
        <w:w w:val="100"/>
        <w:sz w:val="24"/>
        <w:szCs w:val="24"/>
        <w:lang w:val="en-US" w:eastAsia="en-US" w:bidi="ar-SA"/>
      </w:rPr>
    </w:lvl>
    <w:lvl w:ilvl="2">
      <w:start w:val="1"/>
      <w:numFmt w:val="decimal"/>
      <w:lvlText w:val="%2.%3."/>
      <w:lvlJc w:val="left"/>
      <w:pPr>
        <w:ind w:left="1962" w:hanging="850"/>
      </w:pPr>
      <w:rPr>
        <w:rFonts w:ascii="Arial MT" w:eastAsia="Arial MT" w:hAnsi="Arial MT" w:cs="Arial MT" w:hint="default"/>
        <w:w w:val="99"/>
        <w:sz w:val="24"/>
        <w:szCs w:val="24"/>
        <w:lang w:val="en-US" w:eastAsia="en-US" w:bidi="ar-SA"/>
      </w:rPr>
    </w:lvl>
    <w:lvl w:ilvl="3">
      <w:numFmt w:val="bullet"/>
      <w:lvlText w:val="•"/>
      <w:lvlJc w:val="left"/>
      <w:pPr>
        <w:ind w:left="3623" w:hanging="850"/>
      </w:pPr>
      <w:rPr>
        <w:rFonts w:hint="default"/>
        <w:lang w:val="en-US" w:eastAsia="en-US" w:bidi="ar-SA"/>
      </w:rPr>
    </w:lvl>
    <w:lvl w:ilvl="4">
      <w:numFmt w:val="bullet"/>
      <w:lvlText w:val="•"/>
      <w:lvlJc w:val="left"/>
      <w:pPr>
        <w:ind w:left="4455" w:hanging="850"/>
      </w:pPr>
      <w:rPr>
        <w:rFonts w:hint="default"/>
        <w:lang w:val="en-US" w:eastAsia="en-US" w:bidi="ar-SA"/>
      </w:rPr>
    </w:lvl>
    <w:lvl w:ilvl="5">
      <w:numFmt w:val="bullet"/>
      <w:lvlText w:val="•"/>
      <w:lvlJc w:val="left"/>
      <w:pPr>
        <w:ind w:left="5287" w:hanging="850"/>
      </w:pPr>
      <w:rPr>
        <w:rFonts w:hint="default"/>
        <w:lang w:val="en-US" w:eastAsia="en-US" w:bidi="ar-SA"/>
      </w:rPr>
    </w:lvl>
    <w:lvl w:ilvl="6">
      <w:numFmt w:val="bullet"/>
      <w:lvlText w:val="•"/>
      <w:lvlJc w:val="left"/>
      <w:pPr>
        <w:ind w:left="6119" w:hanging="850"/>
      </w:pPr>
      <w:rPr>
        <w:rFonts w:hint="default"/>
        <w:lang w:val="en-US" w:eastAsia="en-US" w:bidi="ar-SA"/>
      </w:rPr>
    </w:lvl>
    <w:lvl w:ilvl="7">
      <w:numFmt w:val="bullet"/>
      <w:lvlText w:val="•"/>
      <w:lvlJc w:val="left"/>
      <w:pPr>
        <w:ind w:left="6950" w:hanging="850"/>
      </w:pPr>
      <w:rPr>
        <w:rFonts w:hint="default"/>
        <w:lang w:val="en-US" w:eastAsia="en-US" w:bidi="ar-SA"/>
      </w:rPr>
    </w:lvl>
    <w:lvl w:ilvl="8">
      <w:numFmt w:val="bullet"/>
      <w:lvlText w:val="•"/>
      <w:lvlJc w:val="left"/>
      <w:pPr>
        <w:ind w:left="7782" w:hanging="850"/>
      </w:pPr>
      <w:rPr>
        <w:rFonts w:hint="default"/>
        <w:lang w:val="en-US" w:eastAsia="en-US" w:bidi="ar-SA"/>
      </w:rPr>
    </w:lvl>
  </w:abstractNum>
  <w:abstractNum w:abstractNumId="28" w15:restartNumberingAfterBreak="0">
    <w:nsid w:val="606F3E93"/>
    <w:multiLevelType w:val="hybridMultilevel"/>
    <w:tmpl w:val="C136C8DE"/>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37541C5"/>
    <w:multiLevelType w:val="hybridMultilevel"/>
    <w:tmpl w:val="D174F11E"/>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5B23AE0"/>
    <w:multiLevelType w:val="hybridMultilevel"/>
    <w:tmpl w:val="A51A47FA"/>
    <w:lvl w:ilvl="0" w:tplc="A57E46DE">
      <w:start w:val="3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C92F2F"/>
    <w:multiLevelType w:val="hybridMultilevel"/>
    <w:tmpl w:val="8FB6E3CC"/>
    <w:lvl w:ilvl="0" w:tplc="655CF29A">
      <w:start w:val="3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AD2531E"/>
    <w:multiLevelType w:val="multilevel"/>
    <w:tmpl w:val="76528280"/>
    <w:lvl w:ilvl="0">
      <w:start w:val="28"/>
      <w:numFmt w:val="decimal"/>
      <w:lvlText w:val="%1."/>
      <w:lvlJc w:val="left"/>
      <w:pPr>
        <w:ind w:left="1112" w:hanging="852"/>
      </w:pPr>
      <w:rPr>
        <w:rFonts w:ascii="Arial MT" w:eastAsia="Arial MT" w:hAnsi="Arial MT" w:cs="Arial MT" w:hint="default"/>
        <w:w w:val="100"/>
        <w:sz w:val="24"/>
        <w:szCs w:val="24"/>
      </w:rPr>
    </w:lvl>
    <w:lvl w:ilvl="1">
      <w:start w:val="1"/>
      <w:numFmt w:val="decimal"/>
      <w:lvlText w:val="%1.%2."/>
      <w:lvlJc w:val="left"/>
      <w:pPr>
        <w:ind w:left="1962" w:hanging="850"/>
      </w:pPr>
      <w:rPr>
        <w:rFonts w:ascii="Arial MT" w:eastAsia="Arial MT" w:hAnsi="Arial MT" w:cs="Arial MT" w:hint="default"/>
        <w:spacing w:val="-1"/>
        <w:w w:val="99"/>
        <w:sz w:val="24"/>
        <w:szCs w:val="24"/>
      </w:rPr>
    </w:lvl>
    <w:lvl w:ilvl="2">
      <w:start w:val="1"/>
      <w:numFmt w:val="lowerLetter"/>
      <w:lvlText w:val="(%3)"/>
      <w:lvlJc w:val="left"/>
      <w:pPr>
        <w:ind w:left="2529" w:hanging="567"/>
      </w:pPr>
      <w:rPr>
        <w:rFonts w:ascii="Arial" w:eastAsia="Arial" w:hAnsi="Arial" w:cs="Arial" w:hint="default"/>
        <w:i/>
        <w:iCs/>
        <w:w w:val="99"/>
        <w:sz w:val="24"/>
        <w:szCs w:val="24"/>
      </w:rPr>
    </w:lvl>
    <w:lvl w:ilvl="3">
      <w:start w:val="1"/>
      <w:numFmt w:val="lowerRoman"/>
      <w:lvlText w:val="(%4)"/>
      <w:lvlJc w:val="left"/>
      <w:pPr>
        <w:ind w:left="3095" w:hanging="567"/>
      </w:pPr>
      <w:rPr>
        <w:rFonts w:ascii="Arial" w:eastAsia="Arial" w:hAnsi="Arial" w:cs="Arial" w:hint="default"/>
        <w:i/>
        <w:iCs/>
        <w:spacing w:val="-2"/>
        <w:w w:val="99"/>
        <w:sz w:val="24"/>
        <w:szCs w:val="24"/>
      </w:rPr>
    </w:lvl>
    <w:lvl w:ilvl="4">
      <w:numFmt w:val="bullet"/>
      <w:lvlText w:val="•"/>
      <w:lvlJc w:val="left"/>
      <w:pPr>
        <w:ind w:left="4006" w:hanging="567"/>
      </w:pPr>
      <w:rPr>
        <w:rFonts w:hint="default"/>
      </w:rPr>
    </w:lvl>
    <w:lvl w:ilvl="5">
      <w:numFmt w:val="bullet"/>
      <w:lvlText w:val="•"/>
      <w:lvlJc w:val="left"/>
      <w:pPr>
        <w:ind w:left="4913" w:hanging="567"/>
      </w:pPr>
      <w:rPr>
        <w:rFonts w:hint="default"/>
      </w:rPr>
    </w:lvl>
    <w:lvl w:ilvl="6">
      <w:numFmt w:val="bullet"/>
      <w:lvlText w:val="•"/>
      <w:lvlJc w:val="left"/>
      <w:pPr>
        <w:ind w:left="5819" w:hanging="567"/>
      </w:pPr>
      <w:rPr>
        <w:rFonts w:hint="default"/>
      </w:rPr>
    </w:lvl>
    <w:lvl w:ilvl="7">
      <w:numFmt w:val="bullet"/>
      <w:lvlText w:val="•"/>
      <w:lvlJc w:val="left"/>
      <w:pPr>
        <w:ind w:left="6726" w:hanging="567"/>
      </w:pPr>
      <w:rPr>
        <w:rFonts w:hint="default"/>
      </w:rPr>
    </w:lvl>
    <w:lvl w:ilvl="8">
      <w:numFmt w:val="bullet"/>
      <w:lvlText w:val="•"/>
      <w:lvlJc w:val="left"/>
      <w:pPr>
        <w:ind w:left="7633" w:hanging="567"/>
      </w:pPr>
      <w:rPr>
        <w:rFonts w:hint="default"/>
      </w:rPr>
    </w:lvl>
  </w:abstractNum>
  <w:abstractNum w:abstractNumId="33" w15:restartNumberingAfterBreak="0">
    <w:nsid w:val="6C7A6606"/>
    <w:multiLevelType w:val="hybridMultilevel"/>
    <w:tmpl w:val="67EAFF7E"/>
    <w:lvl w:ilvl="0" w:tplc="6F9C2B2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E557379"/>
    <w:multiLevelType w:val="hybridMultilevel"/>
    <w:tmpl w:val="D668E8EA"/>
    <w:lvl w:ilvl="0" w:tplc="C7BC33E8">
      <w:start w:val="1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F270995"/>
    <w:multiLevelType w:val="hybridMultilevel"/>
    <w:tmpl w:val="74BE1024"/>
    <w:lvl w:ilvl="0" w:tplc="51602348">
      <w:start w:val="3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7E67E5E"/>
    <w:multiLevelType w:val="hybridMultilevel"/>
    <w:tmpl w:val="54A0D308"/>
    <w:lvl w:ilvl="0" w:tplc="CEDC8B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1C22A9"/>
    <w:multiLevelType w:val="multilevel"/>
    <w:tmpl w:val="330E20C8"/>
    <w:lvl w:ilvl="0">
      <w:start w:val="32"/>
      <w:numFmt w:val="decimal"/>
      <w:lvlText w:val="%1."/>
      <w:lvlJc w:val="left"/>
      <w:pPr>
        <w:ind w:left="1112" w:hanging="852"/>
      </w:pPr>
      <w:rPr>
        <w:rFonts w:ascii="Arial MT" w:eastAsia="Arial MT" w:hAnsi="Arial MT" w:cs="Arial MT" w:hint="default"/>
        <w:w w:val="100"/>
        <w:sz w:val="24"/>
        <w:szCs w:val="24"/>
      </w:rPr>
    </w:lvl>
    <w:lvl w:ilvl="1">
      <w:start w:val="1"/>
      <w:numFmt w:val="decimal"/>
      <w:lvlText w:val="%1.%2."/>
      <w:lvlJc w:val="left"/>
      <w:pPr>
        <w:ind w:left="1962" w:hanging="850"/>
      </w:pPr>
      <w:rPr>
        <w:rFonts w:ascii="Arial MT" w:eastAsia="Arial MT" w:hAnsi="Arial MT" w:cs="Arial MT" w:hint="default"/>
        <w:spacing w:val="-1"/>
        <w:w w:val="99"/>
        <w:sz w:val="24"/>
        <w:szCs w:val="24"/>
      </w:rPr>
    </w:lvl>
    <w:lvl w:ilvl="2">
      <w:start w:val="1"/>
      <w:numFmt w:val="lowerLetter"/>
      <w:lvlText w:val="(%3)"/>
      <w:lvlJc w:val="left"/>
      <w:pPr>
        <w:ind w:left="2529" w:hanging="567"/>
      </w:pPr>
      <w:rPr>
        <w:rFonts w:ascii="Arial" w:eastAsia="Arial" w:hAnsi="Arial" w:cs="Arial" w:hint="default"/>
        <w:i/>
        <w:iCs/>
        <w:w w:val="99"/>
        <w:sz w:val="24"/>
        <w:szCs w:val="24"/>
      </w:rPr>
    </w:lvl>
    <w:lvl w:ilvl="3">
      <w:start w:val="1"/>
      <w:numFmt w:val="lowerRoman"/>
      <w:lvlText w:val="(%4)"/>
      <w:lvlJc w:val="left"/>
      <w:pPr>
        <w:ind w:left="3095" w:hanging="567"/>
      </w:pPr>
      <w:rPr>
        <w:rFonts w:ascii="Arial" w:eastAsia="Arial" w:hAnsi="Arial" w:cs="Arial" w:hint="default"/>
        <w:i/>
        <w:iCs/>
        <w:spacing w:val="-2"/>
        <w:w w:val="99"/>
        <w:sz w:val="24"/>
        <w:szCs w:val="24"/>
      </w:rPr>
    </w:lvl>
    <w:lvl w:ilvl="4">
      <w:numFmt w:val="bullet"/>
      <w:lvlText w:val="•"/>
      <w:lvlJc w:val="left"/>
      <w:pPr>
        <w:ind w:left="4006" w:hanging="567"/>
      </w:pPr>
      <w:rPr>
        <w:rFonts w:hint="default"/>
      </w:rPr>
    </w:lvl>
    <w:lvl w:ilvl="5">
      <w:numFmt w:val="bullet"/>
      <w:lvlText w:val="•"/>
      <w:lvlJc w:val="left"/>
      <w:pPr>
        <w:ind w:left="4913" w:hanging="567"/>
      </w:pPr>
      <w:rPr>
        <w:rFonts w:hint="default"/>
      </w:rPr>
    </w:lvl>
    <w:lvl w:ilvl="6">
      <w:numFmt w:val="bullet"/>
      <w:lvlText w:val="•"/>
      <w:lvlJc w:val="left"/>
      <w:pPr>
        <w:ind w:left="5819" w:hanging="567"/>
      </w:pPr>
      <w:rPr>
        <w:rFonts w:hint="default"/>
      </w:rPr>
    </w:lvl>
    <w:lvl w:ilvl="7">
      <w:numFmt w:val="bullet"/>
      <w:lvlText w:val="•"/>
      <w:lvlJc w:val="left"/>
      <w:pPr>
        <w:ind w:left="6726" w:hanging="567"/>
      </w:pPr>
      <w:rPr>
        <w:rFonts w:hint="default"/>
      </w:rPr>
    </w:lvl>
    <w:lvl w:ilvl="8">
      <w:numFmt w:val="bullet"/>
      <w:lvlText w:val="•"/>
      <w:lvlJc w:val="left"/>
      <w:pPr>
        <w:ind w:left="7633" w:hanging="567"/>
      </w:pPr>
      <w:rPr>
        <w:rFonts w:hint="default"/>
      </w:rPr>
    </w:lvl>
  </w:abstractNum>
  <w:num w:numId="1" w16cid:durableId="583730808">
    <w:abstractNumId w:val="15"/>
  </w:num>
  <w:num w:numId="2" w16cid:durableId="840582864">
    <w:abstractNumId w:val="8"/>
  </w:num>
  <w:num w:numId="3" w16cid:durableId="344750198">
    <w:abstractNumId w:val="36"/>
  </w:num>
  <w:num w:numId="4" w16cid:durableId="669989308">
    <w:abstractNumId w:val="26"/>
  </w:num>
  <w:num w:numId="5" w16cid:durableId="1486051505">
    <w:abstractNumId w:val="35"/>
  </w:num>
  <w:num w:numId="6" w16cid:durableId="141703705">
    <w:abstractNumId w:val="31"/>
  </w:num>
  <w:num w:numId="7" w16cid:durableId="79570810">
    <w:abstractNumId w:val="30"/>
  </w:num>
  <w:num w:numId="8" w16cid:durableId="2070348012">
    <w:abstractNumId w:val="0"/>
  </w:num>
  <w:num w:numId="9" w16cid:durableId="636961025">
    <w:abstractNumId w:val="11"/>
  </w:num>
  <w:num w:numId="10" w16cid:durableId="599609217">
    <w:abstractNumId w:val="6"/>
  </w:num>
  <w:num w:numId="11" w16cid:durableId="1837458283">
    <w:abstractNumId w:val="28"/>
  </w:num>
  <w:num w:numId="12" w16cid:durableId="605505633">
    <w:abstractNumId w:val="29"/>
  </w:num>
  <w:num w:numId="13" w16cid:durableId="1580670714">
    <w:abstractNumId w:val="9"/>
  </w:num>
  <w:num w:numId="14" w16cid:durableId="737021884">
    <w:abstractNumId w:val="21"/>
  </w:num>
  <w:num w:numId="15" w16cid:durableId="153693185">
    <w:abstractNumId w:val="14"/>
  </w:num>
  <w:num w:numId="16" w16cid:durableId="2025282511">
    <w:abstractNumId w:val="23"/>
  </w:num>
  <w:num w:numId="17" w16cid:durableId="182204912">
    <w:abstractNumId w:val="2"/>
  </w:num>
  <w:num w:numId="18" w16cid:durableId="278802718">
    <w:abstractNumId w:val="19"/>
  </w:num>
  <w:num w:numId="19" w16cid:durableId="395903614">
    <w:abstractNumId w:val="25"/>
  </w:num>
  <w:num w:numId="20" w16cid:durableId="2106266411">
    <w:abstractNumId w:val="33"/>
  </w:num>
  <w:num w:numId="21" w16cid:durableId="283729097">
    <w:abstractNumId w:val="10"/>
  </w:num>
  <w:num w:numId="22" w16cid:durableId="42607341">
    <w:abstractNumId w:val="5"/>
  </w:num>
  <w:num w:numId="23" w16cid:durableId="845823289">
    <w:abstractNumId w:val="7"/>
  </w:num>
  <w:num w:numId="24" w16cid:durableId="2020885484">
    <w:abstractNumId w:val="27"/>
  </w:num>
  <w:num w:numId="25" w16cid:durableId="2130783459">
    <w:abstractNumId w:val="18"/>
  </w:num>
  <w:num w:numId="26" w16cid:durableId="1204558048">
    <w:abstractNumId w:val="24"/>
  </w:num>
  <w:num w:numId="27" w16cid:durableId="1258059767">
    <w:abstractNumId w:val="16"/>
  </w:num>
  <w:num w:numId="28" w16cid:durableId="2004701583">
    <w:abstractNumId w:val="3"/>
  </w:num>
  <w:num w:numId="29" w16cid:durableId="506135433">
    <w:abstractNumId w:val="13"/>
  </w:num>
  <w:num w:numId="30" w16cid:durableId="849947801">
    <w:abstractNumId w:val="17"/>
  </w:num>
  <w:num w:numId="31" w16cid:durableId="63065265">
    <w:abstractNumId w:val="32"/>
  </w:num>
  <w:num w:numId="32" w16cid:durableId="1791242562">
    <w:abstractNumId w:val="37"/>
  </w:num>
  <w:num w:numId="33" w16cid:durableId="2079477778">
    <w:abstractNumId w:val="1"/>
  </w:num>
  <w:num w:numId="34" w16cid:durableId="491675890">
    <w:abstractNumId w:val="20"/>
  </w:num>
  <w:num w:numId="35" w16cid:durableId="190341889">
    <w:abstractNumId w:val="22"/>
  </w:num>
  <w:num w:numId="36" w16cid:durableId="276067426">
    <w:abstractNumId w:val="34"/>
  </w:num>
  <w:num w:numId="37" w16cid:durableId="1404452830">
    <w:abstractNumId w:val="12"/>
  </w:num>
  <w:num w:numId="38" w16cid:durableId="10510753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413"/>
    <w:rsid w:val="0000137C"/>
    <w:rsid w:val="000015E6"/>
    <w:rsid w:val="00001C8A"/>
    <w:rsid w:val="000053FD"/>
    <w:rsid w:val="00006837"/>
    <w:rsid w:val="000076EF"/>
    <w:rsid w:val="00013DDE"/>
    <w:rsid w:val="00015E35"/>
    <w:rsid w:val="000179FD"/>
    <w:rsid w:val="000231F3"/>
    <w:rsid w:val="000238A1"/>
    <w:rsid w:val="000270F7"/>
    <w:rsid w:val="00031877"/>
    <w:rsid w:val="00040944"/>
    <w:rsid w:val="0004327D"/>
    <w:rsid w:val="0004549B"/>
    <w:rsid w:val="00051FE3"/>
    <w:rsid w:val="0005252F"/>
    <w:rsid w:val="000569FC"/>
    <w:rsid w:val="00057A87"/>
    <w:rsid w:val="00057B02"/>
    <w:rsid w:val="00061291"/>
    <w:rsid w:val="000624AE"/>
    <w:rsid w:val="00072A3D"/>
    <w:rsid w:val="00074A09"/>
    <w:rsid w:val="000813F3"/>
    <w:rsid w:val="00081557"/>
    <w:rsid w:val="00085CDF"/>
    <w:rsid w:val="00087948"/>
    <w:rsid w:val="0009141F"/>
    <w:rsid w:val="000A42E5"/>
    <w:rsid w:val="000A557B"/>
    <w:rsid w:val="000B3342"/>
    <w:rsid w:val="000B6E15"/>
    <w:rsid w:val="000C07FB"/>
    <w:rsid w:val="000C22E2"/>
    <w:rsid w:val="000C4080"/>
    <w:rsid w:val="000C4AAD"/>
    <w:rsid w:val="000D0964"/>
    <w:rsid w:val="000D4044"/>
    <w:rsid w:val="000D46EC"/>
    <w:rsid w:val="000D6AF9"/>
    <w:rsid w:val="000D72D9"/>
    <w:rsid w:val="000E254C"/>
    <w:rsid w:val="000E46B9"/>
    <w:rsid w:val="000E7C38"/>
    <w:rsid w:val="000E7F2F"/>
    <w:rsid w:val="000F32B9"/>
    <w:rsid w:val="000F3E38"/>
    <w:rsid w:val="00106199"/>
    <w:rsid w:val="00110278"/>
    <w:rsid w:val="00112A93"/>
    <w:rsid w:val="0011350C"/>
    <w:rsid w:val="00116103"/>
    <w:rsid w:val="0012369F"/>
    <w:rsid w:val="00135049"/>
    <w:rsid w:val="00137892"/>
    <w:rsid w:val="001379D5"/>
    <w:rsid w:val="00137A03"/>
    <w:rsid w:val="001409E1"/>
    <w:rsid w:val="00142AB6"/>
    <w:rsid w:val="0014509C"/>
    <w:rsid w:val="001536D0"/>
    <w:rsid w:val="00157CAD"/>
    <w:rsid w:val="001640E6"/>
    <w:rsid w:val="00170358"/>
    <w:rsid w:val="0017054F"/>
    <w:rsid w:val="001771A6"/>
    <w:rsid w:val="0019043A"/>
    <w:rsid w:val="001908C5"/>
    <w:rsid w:val="00197C80"/>
    <w:rsid w:val="001B2D16"/>
    <w:rsid w:val="001B64DD"/>
    <w:rsid w:val="001C0A02"/>
    <w:rsid w:val="001C626B"/>
    <w:rsid w:val="001D003C"/>
    <w:rsid w:val="001D273F"/>
    <w:rsid w:val="001E1537"/>
    <w:rsid w:val="001E55FC"/>
    <w:rsid w:val="001E62BA"/>
    <w:rsid w:val="001E71A0"/>
    <w:rsid w:val="001F5070"/>
    <w:rsid w:val="001F734C"/>
    <w:rsid w:val="00205264"/>
    <w:rsid w:val="002108F4"/>
    <w:rsid w:val="00211AEF"/>
    <w:rsid w:val="00214B53"/>
    <w:rsid w:val="00216C55"/>
    <w:rsid w:val="002279DA"/>
    <w:rsid w:val="00231EF2"/>
    <w:rsid w:val="00233370"/>
    <w:rsid w:val="00234E68"/>
    <w:rsid w:val="00235353"/>
    <w:rsid w:val="00240354"/>
    <w:rsid w:val="00246C21"/>
    <w:rsid w:val="00247015"/>
    <w:rsid w:val="0025136A"/>
    <w:rsid w:val="002517C1"/>
    <w:rsid w:val="002529D9"/>
    <w:rsid w:val="002535EB"/>
    <w:rsid w:val="0025396F"/>
    <w:rsid w:val="00257C90"/>
    <w:rsid w:val="002645F9"/>
    <w:rsid w:val="002658A2"/>
    <w:rsid w:val="00265DA5"/>
    <w:rsid w:val="002802EB"/>
    <w:rsid w:val="00294487"/>
    <w:rsid w:val="002978BB"/>
    <w:rsid w:val="002A21F2"/>
    <w:rsid w:val="002A4836"/>
    <w:rsid w:val="002B1156"/>
    <w:rsid w:val="002B3433"/>
    <w:rsid w:val="002C023F"/>
    <w:rsid w:val="002C0F24"/>
    <w:rsid w:val="002C4969"/>
    <w:rsid w:val="002D1503"/>
    <w:rsid w:val="002D5067"/>
    <w:rsid w:val="002D597E"/>
    <w:rsid w:val="002E1292"/>
    <w:rsid w:val="002E47A0"/>
    <w:rsid w:val="002F10DB"/>
    <w:rsid w:val="003103D5"/>
    <w:rsid w:val="00311D1E"/>
    <w:rsid w:val="00312506"/>
    <w:rsid w:val="00313AD1"/>
    <w:rsid w:val="0031740F"/>
    <w:rsid w:val="00320D0E"/>
    <w:rsid w:val="0032586E"/>
    <w:rsid w:val="0033729D"/>
    <w:rsid w:val="0035374A"/>
    <w:rsid w:val="00354709"/>
    <w:rsid w:val="00363284"/>
    <w:rsid w:val="00367CD6"/>
    <w:rsid w:val="00367D98"/>
    <w:rsid w:val="00372BA0"/>
    <w:rsid w:val="00372EB3"/>
    <w:rsid w:val="00376F96"/>
    <w:rsid w:val="00380682"/>
    <w:rsid w:val="00380E36"/>
    <w:rsid w:val="003821F4"/>
    <w:rsid w:val="00382AC1"/>
    <w:rsid w:val="00387FB0"/>
    <w:rsid w:val="003919A0"/>
    <w:rsid w:val="00392F97"/>
    <w:rsid w:val="00394874"/>
    <w:rsid w:val="003A2EDA"/>
    <w:rsid w:val="003A3378"/>
    <w:rsid w:val="003A78C6"/>
    <w:rsid w:val="003A7C88"/>
    <w:rsid w:val="003B10BE"/>
    <w:rsid w:val="003B4E19"/>
    <w:rsid w:val="003B5550"/>
    <w:rsid w:val="003B603F"/>
    <w:rsid w:val="003B7723"/>
    <w:rsid w:val="003C58FF"/>
    <w:rsid w:val="003D4413"/>
    <w:rsid w:val="003E0AB9"/>
    <w:rsid w:val="003E144B"/>
    <w:rsid w:val="003E29F6"/>
    <w:rsid w:val="003F3626"/>
    <w:rsid w:val="003F3BE9"/>
    <w:rsid w:val="003F4F8B"/>
    <w:rsid w:val="00404E7B"/>
    <w:rsid w:val="00407133"/>
    <w:rsid w:val="00415C59"/>
    <w:rsid w:val="00416E03"/>
    <w:rsid w:val="00420406"/>
    <w:rsid w:val="004212DD"/>
    <w:rsid w:val="00423CA7"/>
    <w:rsid w:val="00427C6A"/>
    <w:rsid w:val="0043283A"/>
    <w:rsid w:val="00432D31"/>
    <w:rsid w:val="00442C93"/>
    <w:rsid w:val="00451944"/>
    <w:rsid w:val="00455F10"/>
    <w:rsid w:val="0045613F"/>
    <w:rsid w:val="0045738A"/>
    <w:rsid w:val="00472FBF"/>
    <w:rsid w:val="004730D7"/>
    <w:rsid w:val="00477DC4"/>
    <w:rsid w:val="0048259B"/>
    <w:rsid w:val="00483D36"/>
    <w:rsid w:val="004849FF"/>
    <w:rsid w:val="0049080F"/>
    <w:rsid w:val="00492A45"/>
    <w:rsid w:val="004A27C9"/>
    <w:rsid w:val="004A3B2C"/>
    <w:rsid w:val="004A48CE"/>
    <w:rsid w:val="004A4FCC"/>
    <w:rsid w:val="004A5D20"/>
    <w:rsid w:val="004A70A5"/>
    <w:rsid w:val="004B2D4A"/>
    <w:rsid w:val="004B3351"/>
    <w:rsid w:val="004B6047"/>
    <w:rsid w:val="004B65EF"/>
    <w:rsid w:val="004C06D3"/>
    <w:rsid w:val="004C3E51"/>
    <w:rsid w:val="004C4045"/>
    <w:rsid w:val="004D7629"/>
    <w:rsid w:val="004D79B2"/>
    <w:rsid w:val="004D7DFA"/>
    <w:rsid w:val="004D7F93"/>
    <w:rsid w:val="004E1AB2"/>
    <w:rsid w:val="004E1F4C"/>
    <w:rsid w:val="004F270E"/>
    <w:rsid w:val="004F4304"/>
    <w:rsid w:val="004F517D"/>
    <w:rsid w:val="004F7F62"/>
    <w:rsid w:val="00500EF2"/>
    <w:rsid w:val="005045FF"/>
    <w:rsid w:val="00514A5E"/>
    <w:rsid w:val="005168CE"/>
    <w:rsid w:val="005238C7"/>
    <w:rsid w:val="0053002D"/>
    <w:rsid w:val="0053186C"/>
    <w:rsid w:val="005376D3"/>
    <w:rsid w:val="00542904"/>
    <w:rsid w:val="0054768F"/>
    <w:rsid w:val="00556124"/>
    <w:rsid w:val="005714D1"/>
    <w:rsid w:val="00572FA7"/>
    <w:rsid w:val="00587855"/>
    <w:rsid w:val="0058791D"/>
    <w:rsid w:val="005907F0"/>
    <w:rsid w:val="005A7B2E"/>
    <w:rsid w:val="005B1932"/>
    <w:rsid w:val="005B437B"/>
    <w:rsid w:val="005C5038"/>
    <w:rsid w:val="005D6B89"/>
    <w:rsid w:val="005E25B9"/>
    <w:rsid w:val="005F62ED"/>
    <w:rsid w:val="0061488B"/>
    <w:rsid w:val="00622A85"/>
    <w:rsid w:val="00636A7E"/>
    <w:rsid w:val="00637D7C"/>
    <w:rsid w:val="0064153F"/>
    <w:rsid w:val="006458B0"/>
    <w:rsid w:val="00646C99"/>
    <w:rsid w:val="00654B3B"/>
    <w:rsid w:val="006575C5"/>
    <w:rsid w:val="006636A4"/>
    <w:rsid w:val="00663A61"/>
    <w:rsid w:val="00680C0F"/>
    <w:rsid w:val="0068415D"/>
    <w:rsid w:val="00684DD2"/>
    <w:rsid w:val="006854A8"/>
    <w:rsid w:val="00686B82"/>
    <w:rsid w:val="006A7A1C"/>
    <w:rsid w:val="006B1A20"/>
    <w:rsid w:val="006C208E"/>
    <w:rsid w:val="006C2E53"/>
    <w:rsid w:val="006C45C7"/>
    <w:rsid w:val="006D3526"/>
    <w:rsid w:val="006D472F"/>
    <w:rsid w:val="006E0459"/>
    <w:rsid w:val="006E44B5"/>
    <w:rsid w:val="00702274"/>
    <w:rsid w:val="007128A6"/>
    <w:rsid w:val="00712FF7"/>
    <w:rsid w:val="00721B42"/>
    <w:rsid w:val="00731FF6"/>
    <w:rsid w:val="00734A40"/>
    <w:rsid w:val="00737940"/>
    <w:rsid w:val="007403C1"/>
    <w:rsid w:val="007409D3"/>
    <w:rsid w:val="00740F0E"/>
    <w:rsid w:val="007539DE"/>
    <w:rsid w:val="00762CFD"/>
    <w:rsid w:val="0077253F"/>
    <w:rsid w:val="00776DA7"/>
    <w:rsid w:val="00781560"/>
    <w:rsid w:val="007821F5"/>
    <w:rsid w:val="00783176"/>
    <w:rsid w:val="0078339F"/>
    <w:rsid w:val="0078369F"/>
    <w:rsid w:val="00787E14"/>
    <w:rsid w:val="007969B2"/>
    <w:rsid w:val="007A0A09"/>
    <w:rsid w:val="007A66CD"/>
    <w:rsid w:val="007B1FD6"/>
    <w:rsid w:val="007C4509"/>
    <w:rsid w:val="007D56CA"/>
    <w:rsid w:val="007D6F3D"/>
    <w:rsid w:val="007E2055"/>
    <w:rsid w:val="007E2C88"/>
    <w:rsid w:val="007E6E48"/>
    <w:rsid w:val="007F544B"/>
    <w:rsid w:val="007F5C29"/>
    <w:rsid w:val="0080213A"/>
    <w:rsid w:val="00811EE2"/>
    <w:rsid w:val="00815E77"/>
    <w:rsid w:val="00820F2B"/>
    <w:rsid w:val="00824A72"/>
    <w:rsid w:val="0083238D"/>
    <w:rsid w:val="008367DE"/>
    <w:rsid w:val="00841287"/>
    <w:rsid w:val="008432CA"/>
    <w:rsid w:val="00845C3A"/>
    <w:rsid w:val="00847283"/>
    <w:rsid w:val="00854DC1"/>
    <w:rsid w:val="008577F0"/>
    <w:rsid w:val="008628C7"/>
    <w:rsid w:val="0086599F"/>
    <w:rsid w:val="00872867"/>
    <w:rsid w:val="008747BE"/>
    <w:rsid w:val="00874980"/>
    <w:rsid w:val="008751AA"/>
    <w:rsid w:val="00875F5F"/>
    <w:rsid w:val="008865DA"/>
    <w:rsid w:val="00886684"/>
    <w:rsid w:val="0089146E"/>
    <w:rsid w:val="00894BC2"/>
    <w:rsid w:val="008A1E58"/>
    <w:rsid w:val="008A5671"/>
    <w:rsid w:val="008C3FB9"/>
    <w:rsid w:val="008C7F63"/>
    <w:rsid w:val="008D0535"/>
    <w:rsid w:val="008D2EA4"/>
    <w:rsid w:val="008D67E3"/>
    <w:rsid w:val="008E1A63"/>
    <w:rsid w:val="008F7898"/>
    <w:rsid w:val="009022FA"/>
    <w:rsid w:val="009054B6"/>
    <w:rsid w:val="00912356"/>
    <w:rsid w:val="009177D4"/>
    <w:rsid w:val="009274DD"/>
    <w:rsid w:val="009458B5"/>
    <w:rsid w:val="0095077A"/>
    <w:rsid w:val="00952931"/>
    <w:rsid w:val="009609F8"/>
    <w:rsid w:val="009612AD"/>
    <w:rsid w:val="0096138D"/>
    <w:rsid w:val="00967624"/>
    <w:rsid w:val="00967EA7"/>
    <w:rsid w:val="00970843"/>
    <w:rsid w:val="00973D86"/>
    <w:rsid w:val="00975412"/>
    <w:rsid w:val="00977E88"/>
    <w:rsid w:val="00982B93"/>
    <w:rsid w:val="00983CB7"/>
    <w:rsid w:val="0098528C"/>
    <w:rsid w:val="00986EA5"/>
    <w:rsid w:val="00991EDA"/>
    <w:rsid w:val="00994015"/>
    <w:rsid w:val="00994BFC"/>
    <w:rsid w:val="009976E4"/>
    <w:rsid w:val="00997D83"/>
    <w:rsid w:val="009A061C"/>
    <w:rsid w:val="009A0670"/>
    <w:rsid w:val="009B4391"/>
    <w:rsid w:val="009B4451"/>
    <w:rsid w:val="009B4562"/>
    <w:rsid w:val="009C2441"/>
    <w:rsid w:val="009C44D4"/>
    <w:rsid w:val="009C6846"/>
    <w:rsid w:val="009D126D"/>
    <w:rsid w:val="009F4366"/>
    <w:rsid w:val="009F45A4"/>
    <w:rsid w:val="009F7341"/>
    <w:rsid w:val="00A02E46"/>
    <w:rsid w:val="00A04430"/>
    <w:rsid w:val="00A0663C"/>
    <w:rsid w:val="00A10D8D"/>
    <w:rsid w:val="00A123E4"/>
    <w:rsid w:val="00A12557"/>
    <w:rsid w:val="00A17561"/>
    <w:rsid w:val="00A21100"/>
    <w:rsid w:val="00A21E73"/>
    <w:rsid w:val="00A2675D"/>
    <w:rsid w:val="00A27DEA"/>
    <w:rsid w:val="00A40DD7"/>
    <w:rsid w:val="00A42D77"/>
    <w:rsid w:val="00A4302A"/>
    <w:rsid w:val="00A57320"/>
    <w:rsid w:val="00A57A9F"/>
    <w:rsid w:val="00A61AA0"/>
    <w:rsid w:val="00A643C0"/>
    <w:rsid w:val="00A702C5"/>
    <w:rsid w:val="00A7429F"/>
    <w:rsid w:val="00A80196"/>
    <w:rsid w:val="00A849CD"/>
    <w:rsid w:val="00A84D9B"/>
    <w:rsid w:val="00A93BC1"/>
    <w:rsid w:val="00A94544"/>
    <w:rsid w:val="00A94BF2"/>
    <w:rsid w:val="00A95010"/>
    <w:rsid w:val="00AA0E91"/>
    <w:rsid w:val="00AA2C2C"/>
    <w:rsid w:val="00AA3E87"/>
    <w:rsid w:val="00AA6D49"/>
    <w:rsid w:val="00AD0E4E"/>
    <w:rsid w:val="00AD1D39"/>
    <w:rsid w:val="00AD4E34"/>
    <w:rsid w:val="00AD6595"/>
    <w:rsid w:val="00AE0798"/>
    <w:rsid w:val="00AE20DF"/>
    <w:rsid w:val="00AE2393"/>
    <w:rsid w:val="00AE533B"/>
    <w:rsid w:val="00AF6472"/>
    <w:rsid w:val="00AF7C8F"/>
    <w:rsid w:val="00B008F5"/>
    <w:rsid w:val="00B068EA"/>
    <w:rsid w:val="00B12629"/>
    <w:rsid w:val="00B13C2E"/>
    <w:rsid w:val="00B178D0"/>
    <w:rsid w:val="00B217BE"/>
    <w:rsid w:val="00B2393F"/>
    <w:rsid w:val="00B24DEB"/>
    <w:rsid w:val="00B27F94"/>
    <w:rsid w:val="00B34781"/>
    <w:rsid w:val="00B35DD6"/>
    <w:rsid w:val="00B36051"/>
    <w:rsid w:val="00B37262"/>
    <w:rsid w:val="00B4081A"/>
    <w:rsid w:val="00B443C4"/>
    <w:rsid w:val="00B47090"/>
    <w:rsid w:val="00B553BD"/>
    <w:rsid w:val="00B6337F"/>
    <w:rsid w:val="00B70D07"/>
    <w:rsid w:val="00B732D1"/>
    <w:rsid w:val="00B90389"/>
    <w:rsid w:val="00B92CD5"/>
    <w:rsid w:val="00B97713"/>
    <w:rsid w:val="00BA4A73"/>
    <w:rsid w:val="00BA572C"/>
    <w:rsid w:val="00BB1E69"/>
    <w:rsid w:val="00BB296B"/>
    <w:rsid w:val="00BC17EA"/>
    <w:rsid w:val="00BC2BDC"/>
    <w:rsid w:val="00BC3999"/>
    <w:rsid w:val="00BC3A67"/>
    <w:rsid w:val="00BD00AA"/>
    <w:rsid w:val="00BD5061"/>
    <w:rsid w:val="00BD65A7"/>
    <w:rsid w:val="00C123A0"/>
    <w:rsid w:val="00C15188"/>
    <w:rsid w:val="00C22969"/>
    <w:rsid w:val="00C22E2A"/>
    <w:rsid w:val="00C25184"/>
    <w:rsid w:val="00C2694C"/>
    <w:rsid w:val="00C26A50"/>
    <w:rsid w:val="00C32533"/>
    <w:rsid w:val="00C3772C"/>
    <w:rsid w:val="00C460C6"/>
    <w:rsid w:val="00C47126"/>
    <w:rsid w:val="00C57145"/>
    <w:rsid w:val="00C578E2"/>
    <w:rsid w:val="00C66528"/>
    <w:rsid w:val="00C72CDC"/>
    <w:rsid w:val="00C769AD"/>
    <w:rsid w:val="00C770E2"/>
    <w:rsid w:val="00C7799E"/>
    <w:rsid w:val="00C80F0E"/>
    <w:rsid w:val="00C96EB7"/>
    <w:rsid w:val="00CA0C29"/>
    <w:rsid w:val="00CA3273"/>
    <w:rsid w:val="00CB58D1"/>
    <w:rsid w:val="00CC279C"/>
    <w:rsid w:val="00CC34C8"/>
    <w:rsid w:val="00CD20B8"/>
    <w:rsid w:val="00CD36F1"/>
    <w:rsid w:val="00CD3C98"/>
    <w:rsid w:val="00CD3CCC"/>
    <w:rsid w:val="00CE3DD8"/>
    <w:rsid w:val="00CE43F6"/>
    <w:rsid w:val="00CE4B37"/>
    <w:rsid w:val="00CE57D9"/>
    <w:rsid w:val="00CE6A49"/>
    <w:rsid w:val="00CE6DB1"/>
    <w:rsid w:val="00CE7562"/>
    <w:rsid w:val="00CF06BF"/>
    <w:rsid w:val="00CF0970"/>
    <w:rsid w:val="00D01F35"/>
    <w:rsid w:val="00D121BC"/>
    <w:rsid w:val="00D1346F"/>
    <w:rsid w:val="00D16F06"/>
    <w:rsid w:val="00D209E8"/>
    <w:rsid w:val="00D37C23"/>
    <w:rsid w:val="00D506DB"/>
    <w:rsid w:val="00D61C5C"/>
    <w:rsid w:val="00D6235A"/>
    <w:rsid w:val="00D646B4"/>
    <w:rsid w:val="00D7050C"/>
    <w:rsid w:val="00D755DA"/>
    <w:rsid w:val="00D8048E"/>
    <w:rsid w:val="00D8504C"/>
    <w:rsid w:val="00D877D7"/>
    <w:rsid w:val="00D90762"/>
    <w:rsid w:val="00D96362"/>
    <w:rsid w:val="00DA3C8A"/>
    <w:rsid w:val="00DA5631"/>
    <w:rsid w:val="00DA7DE0"/>
    <w:rsid w:val="00DB1A66"/>
    <w:rsid w:val="00DB5BF0"/>
    <w:rsid w:val="00DC549F"/>
    <w:rsid w:val="00DD72F6"/>
    <w:rsid w:val="00DF064F"/>
    <w:rsid w:val="00DF0971"/>
    <w:rsid w:val="00E025FC"/>
    <w:rsid w:val="00E02808"/>
    <w:rsid w:val="00E05A84"/>
    <w:rsid w:val="00E077E5"/>
    <w:rsid w:val="00E1028A"/>
    <w:rsid w:val="00E10FB6"/>
    <w:rsid w:val="00E11469"/>
    <w:rsid w:val="00E11FF6"/>
    <w:rsid w:val="00E13E56"/>
    <w:rsid w:val="00E37044"/>
    <w:rsid w:val="00E40928"/>
    <w:rsid w:val="00E40971"/>
    <w:rsid w:val="00E43BB0"/>
    <w:rsid w:val="00E4529E"/>
    <w:rsid w:val="00E46F33"/>
    <w:rsid w:val="00E61EAD"/>
    <w:rsid w:val="00E65D06"/>
    <w:rsid w:val="00E660C5"/>
    <w:rsid w:val="00E73431"/>
    <w:rsid w:val="00E80D3E"/>
    <w:rsid w:val="00E82155"/>
    <w:rsid w:val="00E90ACB"/>
    <w:rsid w:val="00E90B4A"/>
    <w:rsid w:val="00E92DBB"/>
    <w:rsid w:val="00EA414D"/>
    <w:rsid w:val="00EA576D"/>
    <w:rsid w:val="00EB2DFF"/>
    <w:rsid w:val="00EB3C87"/>
    <w:rsid w:val="00EC14CD"/>
    <w:rsid w:val="00EC4ECA"/>
    <w:rsid w:val="00EC51C5"/>
    <w:rsid w:val="00ED0A40"/>
    <w:rsid w:val="00ED6D4F"/>
    <w:rsid w:val="00EE5E92"/>
    <w:rsid w:val="00EE7448"/>
    <w:rsid w:val="00EF2D55"/>
    <w:rsid w:val="00F010E4"/>
    <w:rsid w:val="00F02768"/>
    <w:rsid w:val="00F10280"/>
    <w:rsid w:val="00F12A8A"/>
    <w:rsid w:val="00F13E4A"/>
    <w:rsid w:val="00F175AC"/>
    <w:rsid w:val="00F20131"/>
    <w:rsid w:val="00F21A9C"/>
    <w:rsid w:val="00F229DF"/>
    <w:rsid w:val="00F2485C"/>
    <w:rsid w:val="00F359DC"/>
    <w:rsid w:val="00F441D5"/>
    <w:rsid w:val="00F47A21"/>
    <w:rsid w:val="00F505F3"/>
    <w:rsid w:val="00F56E0A"/>
    <w:rsid w:val="00F61EC0"/>
    <w:rsid w:val="00F65810"/>
    <w:rsid w:val="00F67103"/>
    <w:rsid w:val="00F709E8"/>
    <w:rsid w:val="00F91C61"/>
    <w:rsid w:val="00F91F12"/>
    <w:rsid w:val="00F923D1"/>
    <w:rsid w:val="00F92E8A"/>
    <w:rsid w:val="00F94D75"/>
    <w:rsid w:val="00F97022"/>
    <w:rsid w:val="00FA0908"/>
    <w:rsid w:val="00FA2287"/>
    <w:rsid w:val="00FA4048"/>
    <w:rsid w:val="00FA4300"/>
    <w:rsid w:val="00FA4C86"/>
    <w:rsid w:val="00FB2153"/>
    <w:rsid w:val="00FB4181"/>
    <w:rsid w:val="00FB7715"/>
    <w:rsid w:val="00FB7FE1"/>
    <w:rsid w:val="00FC6E79"/>
    <w:rsid w:val="00FD069D"/>
    <w:rsid w:val="00FE14AF"/>
    <w:rsid w:val="00FE2022"/>
    <w:rsid w:val="00FE7131"/>
    <w:rsid w:val="00FE749C"/>
    <w:rsid w:val="00FF0DE8"/>
    <w:rsid w:val="00FF55A0"/>
    <w:rsid w:val="00FF5777"/>
    <w:rsid w:val="00FF5F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000C"/>
  <w15:chartTrackingRefBased/>
  <w15:docId w15:val="{0BD78358-6789-4869-9291-C58E427E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70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D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
    <w:name w:val="mc"/>
    <w:basedOn w:val="DefaultParagraphFont"/>
    <w:rsid w:val="006A7A1C"/>
  </w:style>
  <w:style w:type="character" w:customStyle="1" w:styleId="g1">
    <w:name w:val="g1"/>
    <w:basedOn w:val="DefaultParagraphFont"/>
    <w:rsid w:val="006A7A1C"/>
  </w:style>
  <w:style w:type="character" w:styleId="Hyperlink">
    <w:name w:val="Hyperlink"/>
    <w:basedOn w:val="DefaultParagraphFont"/>
    <w:uiPriority w:val="99"/>
    <w:unhideWhenUsed/>
    <w:rsid w:val="006A7A1C"/>
    <w:rPr>
      <w:color w:val="0000FF"/>
      <w:u w:val="single"/>
    </w:rPr>
  </w:style>
  <w:style w:type="paragraph" w:styleId="ListParagraph">
    <w:name w:val="List Paragraph"/>
    <w:basedOn w:val="Normal"/>
    <w:uiPriority w:val="1"/>
    <w:qFormat/>
    <w:rsid w:val="009F7341"/>
    <w:pPr>
      <w:ind w:left="720"/>
      <w:contextualSpacing/>
    </w:pPr>
  </w:style>
  <w:style w:type="character" w:styleId="CommentReference">
    <w:name w:val="annotation reference"/>
    <w:basedOn w:val="DefaultParagraphFont"/>
    <w:uiPriority w:val="99"/>
    <w:semiHidden/>
    <w:unhideWhenUsed/>
    <w:rsid w:val="000A42E5"/>
    <w:rPr>
      <w:sz w:val="16"/>
      <w:szCs w:val="16"/>
    </w:rPr>
  </w:style>
  <w:style w:type="paragraph" w:styleId="CommentText">
    <w:name w:val="annotation text"/>
    <w:basedOn w:val="Normal"/>
    <w:link w:val="CommentTextChar"/>
    <w:uiPriority w:val="99"/>
    <w:unhideWhenUsed/>
    <w:rsid w:val="000A42E5"/>
    <w:pPr>
      <w:spacing w:line="240" w:lineRule="auto"/>
    </w:pPr>
    <w:rPr>
      <w:sz w:val="20"/>
      <w:szCs w:val="20"/>
    </w:rPr>
  </w:style>
  <w:style w:type="character" w:customStyle="1" w:styleId="CommentTextChar">
    <w:name w:val="Comment Text Char"/>
    <w:basedOn w:val="DefaultParagraphFont"/>
    <w:link w:val="CommentText"/>
    <w:uiPriority w:val="99"/>
    <w:rsid w:val="000A42E5"/>
    <w:rPr>
      <w:sz w:val="20"/>
      <w:szCs w:val="20"/>
    </w:rPr>
  </w:style>
  <w:style w:type="paragraph" w:styleId="CommentSubject">
    <w:name w:val="annotation subject"/>
    <w:basedOn w:val="CommentText"/>
    <w:next w:val="CommentText"/>
    <w:link w:val="CommentSubjectChar"/>
    <w:uiPriority w:val="99"/>
    <w:semiHidden/>
    <w:unhideWhenUsed/>
    <w:rsid w:val="000A42E5"/>
    <w:rPr>
      <w:b/>
      <w:bCs/>
    </w:rPr>
  </w:style>
  <w:style w:type="character" w:customStyle="1" w:styleId="CommentSubjectChar">
    <w:name w:val="Comment Subject Char"/>
    <w:basedOn w:val="CommentTextChar"/>
    <w:link w:val="CommentSubject"/>
    <w:uiPriority w:val="99"/>
    <w:semiHidden/>
    <w:rsid w:val="000A42E5"/>
    <w:rPr>
      <w:b/>
      <w:bCs/>
      <w:sz w:val="20"/>
      <w:szCs w:val="20"/>
    </w:rPr>
  </w:style>
  <w:style w:type="paragraph" w:styleId="FootnoteText">
    <w:name w:val="footnote text"/>
    <w:basedOn w:val="Normal"/>
    <w:link w:val="FootnoteTextChar"/>
    <w:uiPriority w:val="99"/>
    <w:unhideWhenUsed/>
    <w:rsid w:val="000A42E5"/>
    <w:pPr>
      <w:spacing w:after="0" w:line="240" w:lineRule="auto"/>
    </w:pPr>
    <w:rPr>
      <w:sz w:val="20"/>
      <w:szCs w:val="20"/>
    </w:rPr>
  </w:style>
  <w:style w:type="character" w:customStyle="1" w:styleId="FootnoteTextChar">
    <w:name w:val="Footnote Text Char"/>
    <w:basedOn w:val="DefaultParagraphFont"/>
    <w:link w:val="FootnoteText"/>
    <w:uiPriority w:val="99"/>
    <w:rsid w:val="000A42E5"/>
    <w:rPr>
      <w:sz w:val="20"/>
      <w:szCs w:val="20"/>
    </w:rPr>
  </w:style>
  <w:style w:type="character" w:styleId="FootnoteReference">
    <w:name w:val="footnote reference"/>
    <w:basedOn w:val="DefaultParagraphFont"/>
    <w:uiPriority w:val="99"/>
    <w:unhideWhenUsed/>
    <w:rsid w:val="000A42E5"/>
    <w:rPr>
      <w:vertAlign w:val="superscript"/>
    </w:rPr>
  </w:style>
  <w:style w:type="paragraph" w:styleId="Header">
    <w:name w:val="header"/>
    <w:basedOn w:val="Normal"/>
    <w:link w:val="HeaderChar"/>
    <w:unhideWhenUsed/>
    <w:rsid w:val="00BD5061"/>
    <w:pPr>
      <w:tabs>
        <w:tab w:val="center" w:pos="4513"/>
        <w:tab w:val="right" w:pos="9026"/>
      </w:tabs>
      <w:spacing w:after="0" w:line="240" w:lineRule="auto"/>
    </w:pPr>
  </w:style>
  <w:style w:type="character" w:customStyle="1" w:styleId="HeaderChar">
    <w:name w:val="Header Char"/>
    <w:basedOn w:val="DefaultParagraphFont"/>
    <w:link w:val="Header"/>
    <w:rsid w:val="00BD5061"/>
  </w:style>
  <w:style w:type="paragraph" w:styleId="Footer">
    <w:name w:val="footer"/>
    <w:basedOn w:val="Normal"/>
    <w:link w:val="FooterChar"/>
    <w:uiPriority w:val="99"/>
    <w:unhideWhenUsed/>
    <w:rsid w:val="00BD5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061"/>
  </w:style>
  <w:style w:type="character" w:customStyle="1" w:styleId="Heading2Char">
    <w:name w:val="Heading 2 Char"/>
    <w:basedOn w:val="DefaultParagraphFont"/>
    <w:link w:val="Heading2"/>
    <w:uiPriority w:val="9"/>
    <w:rsid w:val="00E92DB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31FF6"/>
    <w:pPr>
      <w:spacing w:after="0" w:line="240" w:lineRule="auto"/>
    </w:pPr>
  </w:style>
  <w:style w:type="character" w:customStyle="1" w:styleId="UnresolvedMention1">
    <w:name w:val="Unresolved Mention1"/>
    <w:basedOn w:val="DefaultParagraphFont"/>
    <w:uiPriority w:val="99"/>
    <w:semiHidden/>
    <w:unhideWhenUsed/>
    <w:rsid w:val="00AE533B"/>
    <w:rPr>
      <w:color w:val="605E5C"/>
      <w:shd w:val="clear" w:color="auto" w:fill="E1DFDD"/>
    </w:rPr>
  </w:style>
  <w:style w:type="paragraph" w:styleId="BalloonText">
    <w:name w:val="Balloon Text"/>
    <w:basedOn w:val="Normal"/>
    <w:link w:val="BalloonTextChar"/>
    <w:uiPriority w:val="99"/>
    <w:semiHidden/>
    <w:unhideWhenUsed/>
    <w:rsid w:val="00EE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92"/>
    <w:rPr>
      <w:rFonts w:ascii="Segoe UI" w:hAnsi="Segoe UI" w:cs="Segoe UI"/>
      <w:sz w:val="18"/>
      <w:szCs w:val="18"/>
    </w:rPr>
  </w:style>
  <w:style w:type="character" w:customStyle="1" w:styleId="Heading1Char">
    <w:name w:val="Heading 1 Char"/>
    <w:basedOn w:val="DefaultParagraphFont"/>
    <w:link w:val="Heading1"/>
    <w:uiPriority w:val="9"/>
    <w:rsid w:val="00E37044"/>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E37044"/>
    <w:pPr>
      <w:widowControl w:val="0"/>
      <w:autoSpaceDE w:val="0"/>
      <w:autoSpaceDN w:val="0"/>
      <w:spacing w:after="0" w:line="240" w:lineRule="auto"/>
    </w:pPr>
    <w:rPr>
      <w:rFonts w:ascii="Arial MT" w:eastAsia="Arial MT" w:hAnsi="Arial MT" w:cs="Arial MT"/>
      <w:kern w:val="0"/>
      <w:sz w:val="24"/>
      <w:szCs w:val="24"/>
      <w:lang w:val="en-US"/>
      <w14:ligatures w14:val="none"/>
    </w:rPr>
  </w:style>
  <w:style w:type="character" w:customStyle="1" w:styleId="BodyTextChar">
    <w:name w:val="Body Text Char"/>
    <w:basedOn w:val="DefaultParagraphFont"/>
    <w:link w:val="BodyText"/>
    <w:uiPriority w:val="1"/>
    <w:rsid w:val="00E37044"/>
    <w:rPr>
      <w:rFonts w:ascii="Arial MT" w:eastAsia="Arial MT" w:hAnsi="Arial MT" w:cs="Arial MT"/>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725732">
      <w:bodyDiv w:val="1"/>
      <w:marLeft w:val="0"/>
      <w:marRight w:val="0"/>
      <w:marTop w:val="0"/>
      <w:marBottom w:val="0"/>
      <w:divBdr>
        <w:top w:val="none" w:sz="0" w:space="0" w:color="auto"/>
        <w:left w:val="none" w:sz="0" w:space="0" w:color="auto"/>
        <w:bottom w:val="none" w:sz="0" w:space="0" w:color="auto"/>
        <w:right w:val="none" w:sz="0" w:space="0" w:color="auto"/>
      </w:divBdr>
    </w:div>
    <w:div w:id="157354304">
      <w:bodyDiv w:val="1"/>
      <w:marLeft w:val="0"/>
      <w:marRight w:val="0"/>
      <w:marTop w:val="0"/>
      <w:marBottom w:val="0"/>
      <w:divBdr>
        <w:top w:val="none" w:sz="0" w:space="0" w:color="auto"/>
        <w:left w:val="none" w:sz="0" w:space="0" w:color="auto"/>
        <w:bottom w:val="none" w:sz="0" w:space="0" w:color="auto"/>
        <w:right w:val="none" w:sz="0" w:space="0" w:color="auto"/>
      </w:divBdr>
    </w:div>
    <w:div w:id="338316821">
      <w:bodyDiv w:val="1"/>
      <w:marLeft w:val="0"/>
      <w:marRight w:val="0"/>
      <w:marTop w:val="0"/>
      <w:marBottom w:val="0"/>
      <w:divBdr>
        <w:top w:val="none" w:sz="0" w:space="0" w:color="auto"/>
        <w:left w:val="none" w:sz="0" w:space="0" w:color="auto"/>
        <w:bottom w:val="none" w:sz="0" w:space="0" w:color="auto"/>
        <w:right w:val="none" w:sz="0" w:space="0" w:color="auto"/>
      </w:divBdr>
    </w:div>
    <w:div w:id="352611570">
      <w:bodyDiv w:val="1"/>
      <w:marLeft w:val="0"/>
      <w:marRight w:val="0"/>
      <w:marTop w:val="0"/>
      <w:marBottom w:val="0"/>
      <w:divBdr>
        <w:top w:val="none" w:sz="0" w:space="0" w:color="auto"/>
        <w:left w:val="none" w:sz="0" w:space="0" w:color="auto"/>
        <w:bottom w:val="none" w:sz="0" w:space="0" w:color="auto"/>
        <w:right w:val="none" w:sz="0" w:space="0" w:color="auto"/>
      </w:divBdr>
    </w:div>
    <w:div w:id="394204616">
      <w:bodyDiv w:val="1"/>
      <w:marLeft w:val="0"/>
      <w:marRight w:val="0"/>
      <w:marTop w:val="0"/>
      <w:marBottom w:val="0"/>
      <w:divBdr>
        <w:top w:val="none" w:sz="0" w:space="0" w:color="auto"/>
        <w:left w:val="none" w:sz="0" w:space="0" w:color="auto"/>
        <w:bottom w:val="none" w:sz="0" w:space="0" w:color="auto"/>
        <w:right w:val="none" w:sz="0" w:space="0" w:color="auto"/>
      </w:divBdr>
    </w:div>
    <w:div w:id="478616141">
      <w:bodyDiv w:val="1"/>
      <w:marLeft w:val="0"/>
      <w:marRight w:val="0"/>
      <w:marTop w:val="0"/>
      <w:marBottom w:val="0"/>
      <w:divBdr>
        <w:top w:val="none" w:sz="0" w:space="0" w:color="auto"/>
        <w:left w:val="none" w:sz="0" w:space="0" w:color="auto"/>
        <w:bottom w:val="none" w:sz="0" w:space="0" w:color="auto"/>
        <w:right w:val="none" w:sz="0" w:space="0" w:color="auto"/>
      </w:divBdr>
    </w:div>
    <w:div w:id="659505144">
      <w:bodyDiv w:val="1"/>
      <w:marLeft w:val="0"/>
      <w:marRight w:val="0"/>
      <w:marTop w:val="0"/>
      <w:marBottom w:val="0"/>
      <w:divBdr>
        <w:top w:val="none" w:sz="0" w:space="0" w:color="auto"/>
        <w:left w:val="none" w:sz="0" w:space="0" w:color="auto"/>
        <w:bottom w:val="none" w:sz="0" w:space="0" w:color="auto"/>
        <w:right w:val="none" w:sz="0" w:space="0" w:color="auto"/>
      </w:divBdr>
    </w:div>
    <w:div w:id="798885802">
      <w:bodyDiv w:val="1"/>
      <w:marLeft w:val="0"/>
      <w:marRight w:val="0"/>
      <w:marTop w:val="0"/>
      <w:marBottom w:val="0"/>
      <w:divBdr>
        <w:top w:val="none" w:sz="0" w:space="0" w:color="auto"/>
        <w:left w:val="none" w:sz="0" w:space="0" w:color="auto"/>
        <w:bottom w:val="none" w:sz="0" w:space="0" w:color="auto"/>
        <w:right w:val="none" w:sz="0" w:space="0" w:color="auto"/>
      </w:divBdr>
    </w:div>
    <w:div w:id="1038698916">
      <w:bodyDiv w:val="1"/>
      <w:marLeft w:val="0"/>
      <w:marRight w:val="0"/>
      <w:marTop w:val="0"/>
      <w:marBottom w:val="0"/>
      <w:divBdr>
        <w:top w:val="none" w:sz="0" w:space="0" w:color="auto"/>
        <w:left w:val="none" w:sz="0" w:space="0" w:color="auto"/>
        <w:bottom w:val="none" w:sz="0" w:space="0" w:color="auto"/>
        <w:right w:val="none" w:sz="0" w:space="0" w:color="auto"/>
      </w:divBdr>
    </w:div>
    <w:div w:id="1063404192">
      <w:bodyDiv w:val="1"/>
      <w:marLeft w:val="0"/>
      <w:marRight w:val="0"/>
      <w:marTop w:val="0"/>
      <w:marBottom w:val="0"/>
      <w:divBdr>
        <w:top w:val="none" w:sz="0" w:space="0" w:color="auto"/>
        <w:left w:val="none" w:sz="0" w:space="0" w:color="auto"/>
        <w:bottom w:val="none" w:sz="0" w:space="0" w:color="auto"/>
        <w:right w:val="none" w:sz="0" w:space="0" w:color="auto"/>
      </w:divBdr>
    </w:div>
    <w:div w:id="1126120357">
      <w:bodyDiv w:val="1"/>
      <w:marLeft w:val="0"/>
      <w:marRight w:val="0"/>
      <w:marTop w:val="0"/>
      <w:marBottom w:val="0"/>
      <w:divBdr>
        <w:top w:val="none" w:sz="0" w:space="0" w:color="auto"/>
        <w:left w:val="none" w:sz="0" w:space="0" w:color="auto"/>
        <w:bottom w:val="none" w:sz="0" w:space="0" w:color="auto"/>
        <w:right w:val="none" w:sz="0" w:space="0" w:color="auto"/>
      </w:divBdr>
    </w:div>
    <w:div w:id="1346900534">
      <w:bodyDiv w:val="1"/>
      <w:marLeft w:val="0"/>
      <w:marRight w:val="0"/>
      <w:marTop w:val="0"/>
      <w:marBottom w:val="0"/>
      <w:divBdr>
        <w:top w:val="none" w:sz="0" w:space="0" w:color="auto"/>
        <w:left w:val="none" w:sz="0" w:space="0" w:color="auto"/>
        <w:bottom w:val="none" w:sz="0" w:space="0" w:color="auto"/>
        <w:right w:val="none" w:sz="0" w:space="0" w:color="auto"/>
      </w:divBdr>
    </w:div>
    <w:div w:id="1411151772">
      <w:bodyDiv w:val="1"/>
      <w:marLeft w:val="0"/>
      <w:marRight w:val="0"/>
      <w:marTop w:val="0"/>
      <w:marBottom w:val="0"/>
      <w:divBdr>
        <w:top w:val="none" w:sz="0" w:space="0" w:color="auto"/>
        <w:left w:val="none" w:sz="0" w:space="0" w:color="auto"/>
        <w:bottom w:val="none" w:sz="0" w:space="0" w:color="auto"/>
        <w:right w:val="none" w:sz="0" w:space="0" w:color="auto"/>
      </w:divBdr>
    </w:div>
    <w:div w:id="1425154305">
      <w:bodyDiv w:val="1"/>
      <w:marLeft w:val="0"/>
      <w:marRight w:val="0"/>
      <w:marTop w:val="0"/>
      <w:marBottom w:val="0"/>
      <w:divBdr>
        <w:top w:val="none" w:sz="0" w:space="0" w:color="auto"/>
        <w:left w:val="none" w:sz="0" w:space="0" w:color="auto"/>
        <w:bottom w:val="none" w:sz="0" w:space="0" w:color="auto"/>
        <w:right w:val="none" w:sz="0" w:space="0" w:color="auto"/>
      </w:divBdr>
    </w:div>
    <w:div w:id="1441681875">
      <w:bodyDiv w:val="1"/>
      <w:marLeft w:val="0"/>
      <w:marRight w:val="0"/>
      <w:marTop w:val="0"/>
      <w:marBottom w:val="0"/>
      <w:divBdr>
        <w:top w:val="none" w:sz="0" w:space="0" w:color="auto"/>
        <w:left w:val="none" w:sz="0" w:space="0" w:color="auto"/>
        <w:bottom w:val="none" w:sz="0" w:space="0" w:color="auto"/>
        <w:right w:val="none" w:sz="0" w:space="0" w:color="auto"/>
      </w:divBdr>
    </w:div>
    <w:div w:id="1579319065">
      <w:bodyDiv w:val="1"/>
      <w:marLeft w:val="0"/>
      <w:marRight w:val="0"/>
      <w:marTop w:val="0"/>
      <w:marBottom w:val="0"/>
      <w:divBdr>
        <w:top w:val="none" w:sz="0" w:space="0" w:color="auto"/>
        <w:left w:val="none" w:sz="0" w:space="0" w:color="auto"/>
        <w:bottom w:val="none" w:sz="0" w:space="0" w:color="auto"/>
        <w:right w:val="none" w:sz="0" w:space="0" w:color="auto"/>
      </w:divBdr>
    </w:div>
    <w:div w:id="1898781963">
      <w:bodyDiv w:val="1"/>
      <w:marLeft w:val="0"/>
      <w:marRight w:val="0"/>
      <w:marTop w:val="0"/>
      <w:marBottom w:val="0"/>
      <w:divBdr>
        <w:top w:val="none" w:sz="0" w:space="0" w:color="auto"/>
        <w:left w:val="none" w:sz="0" w:space="0" w:color="auto"/>
        <w:bottom w:val="none" w:sz="0" w:space="0" w:color="auto"/>
        <w:right w:val="none" w:sz="0" w:space="0" w:color="auto"/>
      </w:divBdr>
    </w:div>
    <w:div w:id="2050375895">
      <w:bodyDiv w:val="1"/>
      <w:marLeft w:val="0"/>
      <w:marRight w:val="0"/>
      <w:marTop w:val="0"/>
      <w:marBottom w:val="0"/>
      <w:divBdr>
        <w:top w:val="none" w:sz="0" w:space="0" w:color="auto"/>
        <w:left w:val="none" w:sz="0" w:space="0" w:color="auto"/>
        <w:bottom w:val="none" w:sz="0" w:space="0" w:color="auto"/>
        <w:right w:val="none" w:sz="0" w:space="0" w:color="auto"/>
      </w:divBdr>
    </w:div>
    <w:div w:id="2068792769">
      <w:bodyDiv w:val="1"/>
      <w:marLeft w:val="0"/>
      <w:marRight w:val="0"/>
      <w:marTop w:val="0"/>
      <w:marBottom w:val="0"/>
      <w:divBdr>
        <w:top w:val="none" w:sz="0" w:space="0" w:color="auto"/>
        <w:left w:val="none" w:sz="0" w:space="0" w:color="auto"/>
        <w:bottom w:val="none" w:sz="0" w:space="0" w:color="auto"/>
        <w:right w:val="none" w:sz="0" w:space="0" w:color="auto"/>
      </w:divBdr>
    </w:div>
    <w:div w:id="214410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CDE56-AA5E-49E4-95DC-07A70C9B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4738</Words>
  <Characters>27010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Mandlenkosi Motha</dc:creator>
  <cp:keywords/>
  <dc:description/>
  <cp:lastModifiedBy>sathish sarshan  mohan</cp:lastModifiedBy>
  <cp:revision>5</cp:revision>
  <cp:lastPrinted>2023-12-18T05:42:00Z</cp:lastPrinted>
  <dcterms:created xsi:type="dcterms:W3CDTF">2024-04-09T09:50:00Z</dcterms:created>
  <dcterms:modified xsi:type="dcterms:W3CDTF">2024-04-23T15:54:00Z</dcterms:modified>
</cp:coreProperties>
</file>