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ECFDB" w14:textId="77777777" w:rsidR="000C5D76" w:rsidRPr="00694231" w:rsidRDefault="000C5D76" w:rsidP="0084545E">
      <w:pPr>
        <w:jc w:val="center"/>
        <w:rPr>
          <w:rFonts w:eastAsia="Times New Roman"/>
          <w:lang w:eastAsia="en-GB"/>
        </w:rPr>
      </w:pPr>
      <w:r w:rsidRPr="00694231">
        <w:rPr>
          <w:rFonts w:eastAsia="Times New Roman"/>
          <w:lang w:eastAsia="en-GB"/>
        </w:rPr>
        <w:t>REPUBLIC OF SOUTH AFRICA</w:t>
      </w:r>
    </w:p>
    <w:p w14:paraId="0518E1A0" w14:textId="77777777" w:rsidR="000C5D76" w:rsidRPr="00694231" w:rsidRDefault="000C5D76" w:rsidP="0084545E">
      <w:pPr>
        <w:jc w:val="center"/>
        <w:rPr>
          <w:rFonts w:eastAsia="Times New Roman"/>
          <w:lang w:eastAsia="en-GB"/>
        </w:rPr>
      </w:pPr>
      <w:r w:rsidRPr="00694231">
        <w:rPr>
          <w:b/>
          <w:noProof/>
        </w:rPr>
        <w:drawing>
          <wp:inline distT="0" distB="0" distL="0" distR="0" wp14:anchorId="2ED93B18" wp14:editId="5EBCCC20">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6945B2B" w14:textId="77777777" w:rsidR="000C5D76" w:rsidRPr="00694231" w:rsidRDefault="000C5D76" w:rsidP="0084545E">
      <w:pPr>
        <w:jc w:val="center"/>
        <w:rPr>
          <w:rFonts w:eastAsia="Times New Roman"/>
          <w:lang w:eastAsia="en-GB"/>
        </w:rPr>
      </w:pPr>
      <w:r w:rsidRPr="00694231">
        <w:rPr>
          <w:rFonts w:eastAsia="Times New Roman"/>
          <w:lang w:eastAsia="en-GB"/>
        </w:rPr>
        <w:t>IN THE HIGH COURT OF SOUTH AFRICA</w:t>
      </w:r>
    </w:p>
    <w:p w14:paraId="247A4243" w14:textId="77777777" w:rsidR="000C5D76" w:rsidRDefault="000C5D76" w:rsidP="0084545E">
      <w:pPr>
        <w:jc w:val="center"/>
        <w:rPr>
          <w:rFonts w:eastAsia="Times New Roman"/>
          <w:lang w:eastAsia="en-GB"/>
        </w:rPr>
      </w:pPr>
      <w:r w:rsidRPr="00694231">
        <w:rPr>
          <w:rFonts w:eastAsia="Times New Roman"/>
          <w:lang w:eastAsia="en-GB"/>
        </w:rPr>
        <w:t>GAUTENG DIVISION, PRETORIA</w:t>
      </w:r>
    </w:p>
    <w:p w14:paraId="014CBC51" w14:textId="77777777" w:rsidR="000C5D76" w:rsidRPr="00694231" w:rsidRDefault="000C5D76" w:rsidP="0084545E">
      <w:pPr>
        <w:rPr>
          <w:rFonts w:eastAsia="Times New Roman"/>
          <w:lang w:eastAsia="en-GB"/>
        </w:rPr>
      </w:pPr>
    </w:p>
    <w:p w14:paraId="77E116D6" w14:textId="77777777" w:rsidR="000C5D76" w:rsidRDefault="000C5D76" w:rsidP="0084545E">
      <w:pPr>
        <w:jc w:val="right"/>
      </w:pPr>
      <w:r>
        <w:t>CASE Number</w:t>
      </w:r>
      <w:r w:rsidRPr="00694231">
        <w:t>:</w:t>
      </w:r>
      <w:r>
        <w:t xml:space="preserve"> A236/2023</w:t>
      </w:r>
    </w:p>
    <w:p w14:paraId="1135FE6A" w14:textId="77777777" w:rsidR="000C5D76" w:rsidRPr="00694231" w:rsidRDefault="000C5D76" w:rsidP="0084545E">
      <w:r>
        <w:rPr>
          <w:noProof/>
        </w:rPr>
        <mc:AlternateContent>
          <mc:Choice Requires="wps">
            <w:drawing>
              <wp:anchor distT="0" distB="0" distL="114300" distR="114300" simplePos="0" relativeHeight="251659264" behindDoc="0" locked="0" layoutInCell="1" allowOverlap="1" wp14:anchorId="0BEFE19D" wp14:editId="0CAEEC6D">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5486071A" w14:textId="77777777" w:rsidR="000C5D76" w:rsidRDefault="000C5D76" w:rsidP="000C5D76">
                            <w:pPr>
                              <w:jc w:val="center"/>
                              <w:rPr>
                                <w:rFonts w:ascii="Century Gothic" w:hAnsi="Century Gothic"/>
                                <w:b/>
                                <w:sz w:val="20"/>
                                <w:szCs w:val="20"/>
                              </w:rPr>
                            </w:pPr>
                          </w:p>
                          <w:p w14:paraId="34CB4185" w14:textId="6A0262AD"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C5D76">
                              <w:rPr>
                                <w:rFonts w:ascii="Century Gothic" w:hAnsi="Century Gothic"/>
                                <w:sz w:val="20"/>
                                <w:szCs w:val="20"/>
                              </w:rPr>
                              <w:t>REPORTABLE: YES/NO</w:t>
                            </w:r>
                          </w:p>
                          <w:p w14:paraId="749D5352" w14:textId="487FCDAE"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C5D76">
                              <w:rPr>
                                <w:rFonts w:ascii="Century Gothic" w:hAnsi="Century Gothic"/>
                                <w:sz w:val="20"/>
                                <w:szCs w:val="20"/>
                              </w:rPr>
                              <w:t>OF INTEREST TO OTHER JUDGES: YES/NO</w:t>
                            </w:r>
                          </w:p>
                          <w:p w14:paraId="52925FFB" w14:textId="0AF73383"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C5D76">
                              <w:rPr>
                                <w:rFonts w:ascii="Century Gothic" w:hAnsi="Century Gothic"/>
                                <w:sz w:val="20"/>
                                <w:szCs w:val="20"/>
                              </w:rPr>
                              <w:t>REVISED: YES/NO</w:t>
                            </w:r>
                          </w:p>
                          <w:p w14:paraId="54790F4D" w14:textId="77777777" w:rsidR="000C5D76" w:rsidRDefault="000C5D76" w:rsidP="000C5D76">
                            <w:pPr>
                              <w:spacing w:after="0" w:line="240" w:lineRule="auto"/>
                              <w:rPr>
                                <w:rFonts w:ascii="Century Gothic" w:hAnsi="Century Gothic"/>
                                <w:sz w:val="20"/>
                                <w:szCs w:val="20"/>
                              </w:rPr>
                            </w:pPr>
                          </w:p>
                          <w:p w14:paraId="434CE520" w14:textId="77777777" w:rsidR="000C5D76" w:rsidRDefault="000C5D76" w:rsidP="000C5D76">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7FEC288" w14:textId="77777777" w:rsidR="000C5D76" w:rsidRDefault="000C5D76" w:rsidP="000C5D76">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0379C74F" w14:textId="77777777" w:rsidR="000C5D76" w:rsidRDefault="000C5D76" w:rsidP="000C5D7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E19D" id="_x0000_t202" coordsize="21600,21600" o:spt="202" path="m,l,21600r21600,l21600,xe">
                <v:stroke joinstyle="miter"/>
                <v:path gradientshapeok="t" o:connecttype="rect"/>
              </v:shapetype>
              <v:shape id="Text Box 2" o:spid="_x0000_s1026" type="#_x0000_t202" style="position:absolute;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5486071A" w14:textId="77777777" w:rsidR="000C5D76" w:rsidRDefault="000C5D76" w:rsidP="000C5D76">
                      <w:pPr>
                        <w:jc w:val="center"/>
                        <w:rPr>
                          <w:rFonts w:ascii="Century Gothic" w:hAnsi="Century Gothic"/>
                          <w:b/>
                          <w:sz w:val="20"/>
                          <w:szCs w:val="20"/>
                        </w:rPr>
                      </w:pPr>
                    </w:p>
                    <w:p w14:paraId="34CB4185" w14:textId="6A0262AD"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C5D76">
                        <w:rPr>
                          <w:rFonts w:ascii="Century Gothic" w:hAnsi="Century Gothic"/>
                          <w:sz w:val="20"/>
                          <w:szCs w:val="20"/>
                        </w:rPr>
                        <w:t>REPORTABLE: YES/NO</w:t>
                      </w:r>
                    </w:p>
                    <w:p w14:paraId="749D5352" w14:textId="487FCDAE"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C5D76">
                        <w:rPr>
                          <w:rFonts w:ascii="Century Gothic" w:hAnsi="Century Gothic"/>
                          <w:sz w:val="20"/>
                          <w:szCs w:val="20"/>
                        </w:rPr>
                        <w:t>OF INTEREST TO OTHER JUDGES: YES/NO</w:t>
                      </w:r>
                    </w:p>
                    <w:p w14:paraId="52925FFB" w14:textId="0AF73383" w:rsidR="000C5D76" w:rsidRDefault="004C361A" w:rsidP="004C36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C5D76">
                        <w:rPr>
                          <w:rFonts w:ascii="Century Gothic" w:hAnsi="Century Gothic"/>
                          <w:sz w:val="20"/>
                          <w:szCs w:val="20"/>
                        </w:rPr>
                        <w:t>REVISED: YES/NO</w:t>
                      </w:r>
                    </w:p>
                    <w:p w14:paraId="54790F4D" w14:textId="77777777" w:rsidR="000C5D76" w:rsidRDefault="000C5D76" w:rsidP="000C5D76">
                      <w:pPr>
                        <w:spacing w:after="0" w:line="240" w:lineRule="auto"/>
                        <w:rPr>
                          <w:rFonts w:ascii="Century Gothic" w:hAnsi="Century Gothic"/>
                          <w:sz w:val="20"/>
                          <w:szCs w:val="20"/>
                        </w:rPr>
                      </w:pPr>
                    </w:p>
                    <w:p w14:paraId="434CE520" w14:textId="77777777" w:rsidR="000C5D76" w:rsidRDefault="000C5D76" w:rsidP="000C5D76">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7FEC288" w14:textId="77777777" w:rsidR="000C5D76" w:rsidRDefault="000C5D76" w:rsidP="000C5D76">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0379C74F" w14:textId="77777777" w:rsidR="000C5D76" w:rsidRDefault="000C5D76" w:rsidP="000C5D7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F6DF276" w14:textId="77777777" w:rsidR="000C5D76" w:rsidRPr="00694231" w:rsidRDefault="000C5D76" w:rsidP="0084545E"/>
    <w:p w14:paraId="17FB7D6C" w14:textId="77777777" w:rsidR="000C5D76" w:rsidRPr="00694231" w:rsidRDefault="000C5D76" w:rsidP="0084545E">
      <w:pPr>
        <w:rPr>
          <w:b/>
          <w:u w:val="single"/>
        </w:rPr>
      </w:pPr>
    </w:p>
    <w:p w14:paraId="260768EF" w14:textId="77777777" w:rsidR="000C5D76" w:rsidRPr="00694231" w:rsidRDefault="000C5D76" w:rsidP="0084545E">
      <w:pPr>
        <w:rPr>
          <w:b/>
          <w:u w:val="single"/>
        </w:rPr>
      </w:pPr>
    </w:p>
    <w:p w14:paraId="0551645B" w14:textId="77777777" w:rsidR="000C5D76" w:rsidRPr="00694231" w:rsidRDefault="000C5D76" w:rsidP="0084545E">
      <w:pPr>
        <w:rPr>
          <w:b/>
          <w:u w:val="single"/>
        </w:rPr>
      </w:pPr>
    </w:p>
    <w:p w14:paraId="1E83AE22" w14:textId="77777777" w:rsidR="000C5D76" w:rsidRPr="00694231" w:rsidRDefault="000C5D76" w:rsidP="0084545E">
      <w:pPr>
        <w:rPr>
          <w:b/>
          <w:u w:val="single"/>
        </w:rPr>
      </w:pPr>
    </w:p>
    <w:p w14:paraId="3CBC153C" w14:textId="77777777" w:rsidR="000C5D76" w:rsidRPr="00694231" w:rsidRDefault="000C5D76" w:rsidP="0084545E">
      <w:pPr>
        <w:rPr>
          <w:b/>
          <w:u w:val="single"/>
        </w:rPr>
      </w:pPr>
    </w:p>
    <w:p w14:paraId="16877232" w14:textId="77777777" w:rsidR="000C5D76" w:rsidRPr="00694231" w:rsidRDefault="000C5D76" w:rsidP="0084545E">
      <w:pPr>
        <w:rPr>
          <w:b/>
          <w:u w:val="single"/>
        </w:rPr>
      </w:pPr>
    </w:p>
    <w:p w14:paraId="6534A202" w14:textId="77777777" w:rsidR="000C5D76" w:rsidRPr="00694231" w:rsidRDefault="000C5D76" w:rsidP="0084545E">
      <w:pPr>
        <w:rPr>
          <w:b/>
          <w:u w:val="single"/>
        </w:rPr>
      </w:pPr>
    </w:p>
    <w:p w14:paraId="2F380942" w14:textId="77777777" w:rsidR="000C5D76" w:rsidRDefault="000C5D76" w:rsidP="0084545E">
      <w:r w:rsidRPr="00694231">
        <w:t xml:space="preserve">In the </w:t>
      </w:r>
      <w:r>
        <w:t>matters</w:t>
      </w:r>
      <w:r w:rsidRPr="00694231">
        <w:t xml:space="preserve"> between:</w:t>
      </w:r>
      <w:r>
        <w:t xml:space="preserve"> -</w:t>
      </w:r>
    </w:p>
    <w:p w14:paraId="13C7FD59" w14:textId="77777777" w:rsidR="000C5D76" w:rsidRDefault="000C5D76" w:rsidP="0084545E"/>
    <w:p w14:paraId="7A4F0709" w14:textId="77777777" w:rsidR="000C5D76" w:rsidRPr="00CA5535" w:rsidRDefault="000C5D76" w:rsidP="0084545E">
      <w:pPr>
        <w:rPr>
          <w:b/>
        </w:rPr>
      </w:pPr>
      <w:r w:rsidRPr="00CA5535">
        <w:rPr>
          <w:b/>
        </w:rPr>
        <w:t>KING PRICE INSURANCE COMPANY                                    APPELLATE</w:t>
      </w:r>
    </w:p>
    <w:p w14:paraId="44CDDDF4" w14:textId="77777777" w:rsidR="000C5D76" w:rsidRPr="00CA5535" w:rsidRDefault="000C5D76" w:rsidP="0084545E">
      <w:pPr>
        <w:rPr>
          <w:b/>
        </w:rPr>
      </w:pPr>
      <w:r w:rsidRPr="00CA5535">
        <w:rPr>
          <w:b/>
        </w:rPr>
        <w:t xml:space="preserve"> LIMITED</w:t>
      </w:r>
      <w:r w:rsidRPr="00CA5535">
        <w:rPr>
          <w:b/>
        </w:rPr>
        <w:tab/>
      </w:r>
      <w:r w:rsidRPr="00CA5535">
        <w:rPr>
          <w:b/>
        </w:rPr>
        <w:tab/>
      </w:r>
      <w:r w:rsidRPr="00CA5535">
        <w:rPr>
          <w:b/>
        </w:rPr>
        <w:tab/>
      </w:r>
    </w:p>
    <w:p w14:paraId="28C8B2E2" w14:textId="77777777" w:rsidR="000C5D76" w:rsidRPr="00CA5535" w:rsidRDefault="000C5D76" w:rsidP="0084545E">
      <w:pPr>
        <w:rPr>
          <w:b/>
        </w:rPr>
      </w:pPr>
      <w:r w:rsidRPr="00CA5535">
        <w:rPr>
          <w:b/>
        </w:rPr>
        <w:t>And</w:t>
      </w:r>
    </w:p>
    <w:p w14:paraId="36834864" w14:textId="77777777" w:rsidR="000C5D76" w:rsidRPr="00CA5535" w:rsidRDefault="000C5D76" w:rsidP="0084545E">
      <w:pPr>
        <w:rPr>
          <w:b/>
        </w:rPr>
      </w:pPr>
      <w:r w:rsidRPr="00CA5535">
        <w:rPr>
          <w:b/>
        </w:rPr>
        <w:t xml:space="preserve">RENDANI MUAMBADZI                                    </w:t>
      </w:r>
      <w:r w:rsidRPr="00CA5535">
        <w:rPr>
          <w:b/>
        </w:rPr>
        <w:tab/>
      </w:r>
      <w:r w:rsidRPr="00CA5535">
        <w:rPr>
          <w:b/>
        </w:rPr>
        <w:tab/>
        <w:t>RESPONDENT</w:t>
      </w:r>
    </w:p>
    <w:p w14:paraId="657CF852" w14:textId="77777777" w:rsidR="000C5D76" w:rsidRPr="00694231" w:rsidRDefault="00000000" w:rsidP="0084545E">
      <w:r>
        <w:rPr>
          <w:b/>
        </w:rPr>
        <w:pict w14:anchorId="2DB0C167">
          <v:rect id="_x0000_i1025" style="width:0;height:1.5pt" o:hralign="center" o:hrstd="t" o:hr="t" fillcolor="#a0a0a0" stroked="f"/>
        </w:pict>
      </w:r>
    </w:p>
    <w:p w14:paraId="064F5362" w14:textId="77777777" w:rsidR="000C5D76" w:rsidRPr="006A500A" w:rsidRDefault="000C5D76" w:rsidP="0084545E">
      <w:pPr>
        <w:rPr>
          <w:b/>
        </w:rPr>
      </w:pPr>
      <w:r w:rsidRPr="006A500A">
        <w:rPr>
          <w:b/>
        </w:rPr>
        <w:t>JUDGMENT</w:t>
      </w:r>
    </w:p>
    <w:p w14:paraId="2C3E982A" w14:textId="77777777" w:rsidR="000C5D76" w:rsidRPr="00694231" w:rsidRDefault="00000000" w:rsidP="0084545E">
      <w:r>
        <w:rPr>
          <w:b/>
        </w:rPr>
        <w:pict w14:anchorId="70F861E9">
          <v:rect id="_x0000_i1026" style="width:0;height:1.5pt" o:hralign="center" o:hrstd="t" o:hr="t" fillcolor="#a0a0a0" stroked="f"/>
        </w:pict>
      </w:r>
    </w:p>
    <w:p w14:paraId="78605A9F" w14:textId="77777777" w:rsidR="000C5D76" w:rsidRDefault="000C5D76" w:rsidP="0084545E">
      <w:pPr>
        <w:rPr>
          <w:b/>
          <w:u w:val="single"/>
        </w:rPr>
      </w:pPr>
      <w:r>
        <w:rPr>
          <w:b/>
          <w:u w:val="single"/>
        </w:rPr>
        <w:lastRenderedPageBreak/>
        <w:t>BAQWA</w:t>
      </w:r>
      <w:r w:rsidRPr="0007638A">
        <w:rPr>
          <w:b/>
          <w:u w:val="single"/>
        </w:rPr>
        <w:t>, J</w:t>
      </w:r>
      <w:r w:rsidR="009962E6">
        <w:rPr>
          <w:b/>
          <w:u w:val="single"/>
        </w:rPr>
        <w:t xml:space="preserve"> et NKOSI AJ CONCURRING</w:t>
      </w:r>
    </w:p>
    <w:p w14:paraId="23817E06" w14:textId="77777777" w:rsidR="000C5D76" w:rsidRDefault="000C5D76" w:rsidP="0084545E">
      <w:pPr>
        <w:rPr>
          <w:b/>
          <w:u w:val="single"/>
        </w:rPr>
      </w:pPr>
    </w:p>
    <w:p w14:paraId="39CC7430" w14:textId="77777777" w:rsidR="000C5D76" w:rsidRPr="000C5D76" w:rsidRDefault="000C5D76" w:rsidP="0084545E">
      <w:pPr>
        <w:rPr>
          <w:rFonts w:eastAsiaTheme="minorHAnsi"/>
          <w:u w:val="single"/>
          <w:lang w:eastAsia="en-US"/>
        </w:rPr>
      </w:pPr>
      <w:r w:rsidRPr="000C5D76">
        <w:rPr>
          <w:rFonts w:eastAsiaTheme="minorHAnsi"/>
          <w:u w:val="single"/>
          <w:lang w:eastAsia="en-US"/>
        </w:rPr>
        <w:t>I</w:t>
      </w:r>
      <w:r w:rsidRPr="00304086">
        <w:rPr>
          <w:rFonts w:eastAsiaTheme="minorHAnsi"/>
          <w:u w:val="single"/>
          <w:lang w:eastAsia="en-US"/>
        </w:rPr>
        <w:t>ntroduction</w:t>
      </w:r>
    </w:p>
    <w:p w14:paraId="73921E44" w14:textId="77777777" w:rsidR="000C5D76" w:rsidRPr="000C5D76" w:rsidRDefault="000C5D76" w:rsidP="0084545E">
      <w:pPr>
        <w:rPr>
          <w:rFonts w:eastAsiaTheme="minorHAnsi"/>
          <w:lang w:eastAsia="en-US"/>
        </w:rPr>
      </w:pPr>
    </w:p>
    <w:p w14:paraId="47A005D2" w14:textId="77777777" w:rsidR="000C5D76" w:rsidRPr="00304086" w:rsidRDefault="000C5D76" w:rsidP="0084545E">
      <w:r w:rsidRPr="00304086">
        <w:t>[1] This is an appeal against the order granted by the regional court directing the appellant to make payment to the respondent for the damages he has suffered.</w:t>
      </w:r>
    </w:p>
    <w:p w14:paraId="610C3183" w14:textId="77777777" w:rsidR="000C5D76" w:rsidRPr="00304086" w:rsidRDefault="000C5D76" w:rsidP="0084545E"/>
    <w:p w14:paraId="2BD461D5" w14:textId="77777777" w:rsidR="000C5D76" w:rsidRPr="00304086" w:rsidRDefault="000C5D76" w:rsidP="0084545E">
      <w:r w:rsidRPr="00304086">
        <w:t xml:space="preserve">[2] The appeal revolves around the crisp issue of whether the respondent had proved the quantum claimed in the regional court against the appellant, </w:t>
      </w:r>
      <w:r w:rsidRPr="00CA5535">
        <w:t>his erstwhile insurer</w:t>
      </w:r>
      <w:r w:rsidR="009962E6">
        <w:t>,</w:t>
      </w:r>
      <w:r w:rsidRPr="00CA5535">
        <w:t xml:space="preserve"> after the appellant</w:t>
      </w:r>
      <w:r w:rsidRPr="00304086">
        <w:t xml:space="preserve"> repudiated the respondent’s claim for indemnity flowing from a motor vehicle accident. </w:t>
      </w:r>
    </w:p>
    <w:p w14:paraId="0DB9E9CB" w14:textId="77777777" w:rsidR="00410E13" w:rsidRPr="00304086" w:rsidRDefault="000C5D76" w:rsidP="0084545E">
      <w:pPr>
        <w:rPr>
          <w:u w:val="single"/>
        </w:rPr>
      </w:pPr>
      <w:r w:rsidRPr="00304086">
        <w:rPr>
          <w:u w:val="single"/>
        </w:rPr>
        <w:t>The resp</w:t>
      </w:r>
      <w:r w:rsidR="009962E6">
        <w:rPr>
          <w:u w:val="single"/>
        </w:rPr>
        <w:t>ondent’s case before the court</w:t>
      </w:r>
      <w:r w:rsidR="00EB15FE">
        <w:rPr>
          <w:u w:val="single"/>
        </w:rPr>
        <w:t xml:space="preserve"> a</w:t>
      </w:r>
      <w:r w:rsidR="009962E6">
        <w:rPr>
          <w:u w:val="single"/>
        </w:rPr>
        <w:t xml:space="preserve"> </w:t>
      </w:r>
      <w:r w:rsidRPr="00304086">
        <w:rPr>
          <w:u w:val="single"/>
        </w:rPr>
        <w:t>quo</w:t>
      </w:r>
    </w:p>
    <w:p w14:paraId="304ADA2D" w14:textId="77777777" w:rsidR="000C5D76" w:rsidRPr="00304086" w:rsidRDefault="00410E13" w:rsidP="0084545E">
      <w:r w:rsidRPr="00304086">
        <w:t>[3] The</w:t>
      </w:r>
      <w:r w:rsidR="000C5D76" w:rsidRPr="00304086">
        <w:t xml:space="preserve"> respondent’s claim in the particulars of claim was stated as follows. He had paid a sum “…of R213 792.00 being the reasonable and necessary repair cost of his motor vehicle to its pre-collision condition”, and this is the amount claimed from the insurer.</w:t>
      </w:r>
    </w:p>
    <w:p w14:paraId="42A0CA7D" w14:textId="77777777" w:rsidR="000C5D76" w:rsidRPr="00304086" w:rsidRDefault="00410E13" w:rsidP="0084545E">
      <w:pPr>
        <w:rPr>
          <w:i/>
        </w:rPr>
      </w:pPr>
      <w:r w:rsidRPr="00304086">
        <w:t>[4]</w:t>
      </w:r>
      <w:r w:rsidRPr="00304086">
        <w:rPr>
          <w:i/>
        </w:rPr>
        <w:t xml:space="preserve"> </w:t>
      </w:r>
      <w:r w:rsidR="000C5D76" w:rsidRPr="00304086">
        <w:rPr>
          <w:i/>
        </w:rPr>
        <w:t xml:space="preserve">Ex facie </w:t>
      </w:r>
      <w:r w:rsidR="000C5D76" w:rsidRPr="00304086">
        <w:t>the pleadings it is evident that proving that the amount that paid was reasonable or necessary was an intrinsic part of the plaintiff’s claim.</w:t>
      </w:r>
    </w:p>
    <w:p w14:paraId="2D84E498" w14:textId="77777777" w:rsidR="000C5D76" w:rsidRPr="00304086" w:rsidRDefault="00410E13" w:rsidP="0084545E">
      <w:pPr>
        <w:rPr>
          <w:i/>
        </w:rPr>
      </w:pPr>
      <w:r w:rsidRPr="00304086">
        <w:t xml:space="preserve">[5] </w:t>
      </w:r>
      <w:r w:rsidR="000C5D76" w:rsidRPr="00304086">
        <w:t xml:space="preserve">The particulars of claim </w:t>
      </w:r>
      <w:proofErr w:type="gramStart"/>
      <w:r w:rsidR="000C5D76" w:rsidRPr="00304086">
        <w:t>are in compliance with</w:t>
      </w:r>
      <w:proofErr w:type="gramEnd"/>
      <w:r w:rsidR="000C5D76" w:rsidRPr="00304086">
        <w:t xml:space="preserve"> Rule 18(4) in that they </w:t>
      </w:r>
      <w:r w:rsidR="009962E6">
        <w:t xml:space="preserve">plead </w:t>
      </w:r>
      <w:r w:rsidR="000C5D76" w:rsidRPr="00304086">
        <w:t>the “material facts upon which the pleader relies for his claim”.</w:t>
      </w:r>
    </w:p>
    <w:p w14:paraId="5E42641F" w14:textId="77777777" w:rsidR="000C5D76" w:rsidRPr="00304086" w:rsidRDefault="00410E13" w:rsidP="0084545E">
      <w:pPr>
        <w:rPr>
          <w:i/>
        </w:rPr>
      </w:pPr>
      <w:r w:rsidRPr="00304086">
        <w:t xml:space="preserve">[6] </w:t>
      </w:r>
      <w:r w:rsidR="000C5D76" w:rsidRPr="00304086">
        <w:t>It was agreed between the parties that there would be no separation of the merits and quantum and the plaintiff accepted the onus to begin.</w:t>
      </w:r>
    </w:p>
    <w:p w14:paraId="3407EF5A" w14:textId="77777777" w:rsidR="000C5D76" w:rsidRPr="00304086" w:rsidRDefault="000C5D76" w:rsidP="0084545E">
      <w:pPr>
        <w:rPr>
          <w:i/>
        </w:rPr>
      </w:pPr>
    </w:p>
    <w:p w14:paraId="2F760D5D" w14:textId="77777777" w:rsidR="000C5D76" w:rsidRPr="00304086" w:rsidRDefault="00410E13" w:rsidP="0084545E">
      <w:r w:rsidRPr="00304086">
        <w:t xml:space="preserve">[7] </w:t>
      </w:r>
      <w:r w:rsidR="000C5D76" w:rsidRPr="00304086">
        <w:t>It was therefore necessary for the respondent to tender evidence to establish the vehicle’s reasonable repair costs besides proving that the merits were in his favour.</w:t>
      </w:r>
    </w:p>
    <w:p w14:paraId="5EEB6F11" w14:textId="77777777" w:rsidR="000C5D76" w:rsidRPr="00304086" w:rsidRDefault="00410E13" w:rsidP="0084545E">
      <w:r w:rsidRPr="00304086">
        <w:t xml:space="preserve">[8] </w:t>
      </w:r>
      <w:r w:rsidR="000C5D76" w:rsidRPr="00304086">
        <w:t>Having accepted that the onus was on him and while under cross-examination, the respondent stated that he would not be calling any witness to testify or who would be capable of testifying on what was necessary to repair a motor vehicle to its pre-collision condition.</w:t>
      </w:r>
    </w:p>
    <w:p w14:paraId="0910C78E" w14:textId="77777777" w:rsidR="000C5D76" w:rsidRPr="00304086" w:rsidRDefault="00410E13" w:rsidP="0084545E">
      <w:r w:rsidRPr="00304086">
        <w:t xml:space="preserve">[9] </w:t>
      </w:r>
      <w:r w:rsidR="000C5D76" w:rsidRPr="00304086">
        <w:t xml:space="preserve">In responding to the question “will you be presenting any evidence in what </w:t>
      </w:r>
      <w:proofErr w:type="gramStart"/>
      <w:r w:rsidR="000C5D76" w:rsidRPr="00304086">
        <w:t>is the reasonable and necessary costs of the motor vehicle</w:t>
      </w:r>
      <w:proofErr w:type="gramEnd"/>
      <w:r w:rsidR="000C5D76" w:rsidRPr="00304086">
        <w:t>?” he replied “the answer is no”.</w:t>
      </w:r>
    </w:p>
    <w:p w14:paraId="63C44709" w14:textId="77777777" w:rsidR="000C5D76" w:rsidRPr="00304086" w:rsidRDefault="00410E13" w:rsidP="0084545E">
      <w:r w:rsidRPr="00304086">
        <w:t xml:space="preserve">[10] </w:t>
      </w:r>
      <w:r w:rsidR="000C5D76" w:rsidRPr="00304086">
        <w:t>Consequently, he never presented any evidence regarding whether the amount claimed was reasonable or necessary for the repair of the vehicle.</w:t>
      </w:r>
    </w:p>
    <w:p w14:paraId="7BE603CD" w14:textId="77777777" w:rsidR="000C5D76" w:rsidRPr="00304086" w:rsidRDefault="00410E13" w:rsidP="0084545E">
      <w:r w:rsidRPr="00304086">
        <w:t xml:space="preserve">[11] </w:t>
      </w:r>
      <w:r w:rsidR="000C5D76" w:rsidRPr="00304086">
        <w:t>More importantly, however, was the concession he made that the amount he paid for the repair was not necessarily the reasonable expense to repair the motor vehicle. This concession was also made during cross-examination.</w:t>
      </w:r>
    </w:p>
    <w:p w14:paraId="422CC004" w14:textId="77777777" w:rsidR="000C5D76" w:rsidRPr="00304086" w:rsidRDefault="00410E13" w:rsidP="0084545E">
      <w:r w:rsidRPr="00304086">
        <w:lastRenderedPageBreak/>
        <w:t xml:space="preserve">[12] </w:t>
      </w:r>
      <w:r w:rsidR="000C5D76" w:rsidRPr="00304086">
        <w:t xml:space="preserve">More specifically and upon being referred to his particulars of claim where he claims for the vehicle’s reasonable and necessary repair </w:t>
      </w:r>
      <w:proofErr w:type="gramStart"/>
      <w:r w:rsidR="000C5D76" w:rsidRPr="00304086">
        <w:t>costs</w:t>
      </w:r>
      <w:proofErr w:type="gramEnd"/>
      <w:r w:rsidR="000C5D76" w:rsidRPr="00304086">
        <w:t xml:space="preserve"> he stated that those were the only damages he was claiming from the appellant and that he would not be able to testify regarding whether the amount he paid was reasonable o</w:t>
      </w:r>
      <w:r w:rsidR="0009642A" w:rsidRPr="00304086">
        <w:t>r necessary for the repairs. He</w:t>
      </w:r>
      <w:r w:rsidR="000C5D76" w:rsidRPr="00304086">
        <w:t xml:space="preserve"> further stated that the amount he paid to the panel beater did not equate nor was it the same as the reasonable and necessary repair costs of a damaged vehicle.</w:t>
      </w:r>
    </w:p>
    <w:p w14:paraId="49CF2CB3" w14:textId="77777777" w:rsidR="000C5D76" w:rsidRPr="00304086" w:rsidRDefault="00410E13" w:rsidP="0084545E">
      <w:r w:rsidRPr="00304086">
        <w:t xml:space="preserve">[13] </w:t>
      </w:r>
      <w:r w:rsidR="000C5D76" w:rsidRPr="00304086">
        <w:t>The concessions made by the respondent were not dealt with in re-examination</w:t>
      </w:r>
      <w:r w:rsidR="009962E6">
        <w:t xml:space="preserve"> and</w:t>
      </w:r>
      <w:r w:rsidR="000C5D76" w:rsidRPr="00304086">
        <w:t xml:space="preserve"> were therefore</w:t>
      </w:r>
      <w:r w:rsidR="009962E6">
        <w:t xml:space="preserve"> not</w:t>
      </w:r>
      <w:r w:rsidR="000C5D76" w:rsidRPr="00304086">
        <w:t xml:space="preserve"> rectified or explained as an incorrect submissi</w:t>
      </w:r>
      <w:r w:rsidR="009962E6">
        <w:t>on by the respondent. They</w:t>
      </w:r>
      <w:r w:rsidR="000C5D76" w:rsidRPr="00304086">
        <w:t xml:space="preserve"> therefore remain as part of the record as originally testified by the respondent.</w:t>
      </w:r>
    </w:p>
    <w:p w14:paraId="2BF2A14D" w14:textId="77777777" w:rsidR="000C5D76" w:rsidRPr="00304086" w:rsidRDefault="00EB15FE" w:rsidP="0084545E">
      <w:pPr>
        <w:rPr>
          <w:u w:val="single"/>
        </w:rPr>
      </w:pPr>
      <w:r w:rsidRPr="00304086">
        <w:rPr>
          <w:u w:val="single"/>
        </w:rPr>
        <w:t>Quantum</w:t>
      </w:r>
      <w:r w:rsidR="00410E13" w:rsidRPr="00304086">
        <w:rPr>
          <w:u w:val="single"/>
        </w:rPr>
        <w:t xml:space="preserve"> </w:t>
      </w:r>
    </w:p>
    <w:p w14:paraId="1622CB63" w14:textId="77777777" w:rsidR="000C5D76" w:rsidRPr="00304086" w:rsidRDefault="00410E13" w:rsidP="0084545E">
      <w:r w:rsidRPr="00304086">
        <w:t xml:space="preserve">[14] </w:t>
      </w:r>
      <w:r w:rsidR="000C5D76" w:rsidRPr="00304086">
        <w:t xml:space="preserve">It is common cause that the respondent did not testify as an expert. He could therefore not testify regarding a motor vehicle’s necessary and reasonable costs of repair. Had he tried to do so, that would have constituted hearsay evidence. </w:t>
      </w:r>
    </w:p>
    <w:p w14:paraId="4FE14239" w14:textId="77777777" w:rsidR="000C5D76" w:rsidRPr="00304086" w:rsidRDefault="00410E13" w:rsidP="0084545E">
      <w:r w:rsidRPr="00304086">
        <w:t xml:space="preserve">[15] </w:t>
      </w:r>
      <w:r w:rsidR="009962E6">
        <w:t>It was</w:t>
      </w:r>
      <w:r w:rsidR="000C5D76" w:rsidRPr="00304086">
        <w:t xml:space="preserve"> imperative for the respondent to call an expert due to the latter’s knowledge a</w:t>
      </w:r>
      <w:r w:rsidR="009962E6">
        <w:t>nd skill and the fact that he</w:t>
      </w:r>
      <w:r w:rsidR="000C5D76" w:rsidRPr="00304086">
        <w:t xml:space="preserve"> would be better qualified to draw inferences than the parties themselves, their legal representatives or even the judicial officer. See </w:t>
      </w:r>
      <w:proofErr w:type="spellStart"/>
      <w:r w:rsidR="000C5D76" w:rsidRPr="00304086">
        <w:rPr>
          <w:i/>
        </w:rPr>
        <w:t>Holthauzen</w:t>
      </w:r>
      <w:proofErr w:type="spellEnd"/>
      <w:r w:rsidR="000C5D76" w:rsidRPr="00304086">
        <w:rPr>
          <w:i/>
        </w:rPr>
        <w:t xml:space="preserve"> v Roodt</w:t>
      </w:r>
      <w:r w:rsidR="000C5D76" w:rsidRPr="00304086">
        <w:t xml:space="preserve"> </w:t>
      </w:r>
      <w:r w:rsidR="000C5D76" w:rsidRPr="00304086">
        <w:rPr>
          <w:vertAlign w:val="superscript"/>
        </w:rPr>
        <w:footnoteReference w:id="1"/>
      </w:r>
      <w:r w:rsidR="000C5D76" w:rsidRPr="00304086">
        <w:t xml:space="preserve">. </w:t>
      </w:r>
    </w:p>
    <w:p w14:paraId="0FB65376" w14:textId="77777777" w:rsidR="000C5D76" w:rsidRPr="00304086" w:rsidRDefault="00410E13" w:rsidP="0084545E">
      <w:r w:rsidRPr="00304086">
        <w:t xml:space="preserve">[16] </w:t>
      </w:r>
      <w:r w:rsidR="009962E6">
        <w:t xml:space="preserve">An expert witness </w:t>
      </w:r>
      <w:proofErr w:type="gramStart"/>
      <w:r w:rsidR="009962E6">
        <w:t xml:space="preserve">was </w:t>
      </w:r>
      <w:r w:rsidR="000C5D76" w:rsidRPr="00304086">
        <w:t xml:space="preserve"> necessary</w:t>
      </w:r>
      <w:proofErr w:type="gramEnd"/>
      <w:r w:rsidR="000C5D76" w:rsidRPr="00304086">
        <w:t xml:space="preserve"> to enable the court a quo to make a finding to sustain the material facts pleaded by the respondent, that “the reasonable and necessary repair costs of the motor to its pre-collision condition” is the amount claimed by the appellant. </w:t>
      </w:r>
    </w:p>
    <w:p w14:paraId="60AC85AB" w14:textId="77777777" w:rsidR="000C5D76" w:rsidRPr="00304086" w:rsidRDefault="00410E13" w:rsidP="0084545E">
      <w:pPr>
        <w:rPr>
          <w:u w:val="single"/>
        </w:rPr>
      </w:pPr>
      <w:r w:rsidRPr="00304086">
        <w:rPr>
          <w:u w:val="single"/>
        </w:rPr>
        <w:t>The law</w:t>
      </w:r>
    </w:p>
    <w:p w14:paraId="5590ECFA" w14:textId="77777777" w:rsidR="000C5D76" w:rsidRPr="00304086" w:rsidRDefault="00410E13" w:rsidP="0084545E">
      <w:r w:rsidRPr="00304086">
        <w:t xml:space="preserve">[17] </w:t>
      </w:r>
      <w:r w:rsidR="000C5D76" w:rsidRPr="00304086">
        <w:t>Section 3(1)(c) of the Law of Evidence Amendment Act</w:t>
      </w:r>
      <w:r w:rsidR="000C5D76" w:rsidRPr="00304086">
        <w:rPr>
          <w:vertAlign w:val="superscript"/>
        </w:rPr>
        <w:footnoteReference w:id="2"/>
      </w:r>
      <w:r w:rsidR="000C5D76" w:rsidRPr="00304086">
        <w:t xml:space="preserve"> provides that subject to the provisions of any other law, hearsay evidence shall not be admitted as evidence at criminal or civil proceedings, unless the court, having regard to – </w:t>
      </w:r>
    </w:p>
    <w:p w14:paraId="33E01653" w14:textId="7E0E704D" w:rsidR="006966C0" w:rsidRPr="00304086" w:rsidRDefault="004C361A" w:rsidP="0084545E">
      <w:r w:rsidRPr="00304086">
        <w:t>I.</w:t>
      </w:r>
      <w:r w:rsidRPr="00304086">
        <w:tab/>
      </w:r>
      <w:r w:rsidR="000C5D76" w:rsidRPr="00304086">
        <w:t xml:space="preserve">The nature of the </w:t>
      </w:r>
      <w:proofErr w:type="gramStart"/>
      <w:r w:rsidR="000C5D76" w:rsidRPr="00304086">
        <w:t>proceedings;</w:t>
      </w:r>
      <w:proofErr w:type="gramEnd"/>
    </w:p>
    <w:p w14:paraId="36C55062" w14:textId="32478D8F" w:rsidR="006966C0" w:rsidRPr="00304086" w:rsidRDefault="004C361A" w:rsidP="0084545E">
      <w:r w:rsidRPr="00304086">
        <w:t>II.</w:t>
      </w:r>
      <w:r w:rsidRPr="00304086">
        <w:tab/>
      </w:r>
      <w:r w:rsidR="000C5D76" w:rsidRPr="00304086">
        <w:t xml:space="preserve">The nature of the </w:t>
      </w:r>
      <w:proofErr w:type="gramStart"/>
      <w:r w:rsidR="000C5D76" w:rsidRPr="00304086">
        <w:t>evidence;</w:t>
      </w:r>
      <w:proofErr w:type="gramEnd"/>
    </w:p>
    <w:p w14:paraId="4AA99E76" w14:textId="45DC5F79" w:rsidR="006966C0" w:rsidRPr="00304086" w:rsidRDefault="004C361A" w:rsidP="0084545E">
      <w:r w:rsidRPr="00304086">
        <w:t>III.</w:t>
      </w:r>
      <w:r w:rsidRPr="00304086">
        <w:tab/>
      </w:r>
      <w:r w:rsidR="000C5D76" w:rsidRPr="00304086">
        <w:t xml:space="preserve">The purpose for which the evidence is </w:t>
      </w:r>
      <w:proofErr w:type="gramStart"/>
      <w:r w:rsidR="000C5D76" w:rsidRPr="00304086">
        <w:t>tendered;</w:t>
      </w:r>
      <w:proofErr w:type="gramEnd"/>
    </w:p>
    <w:p w14:paraId="6830ED0E" w14:textId="207BBBB2" w:rsidR="006966C0" w:rsidRPr="00304086" w:rsidRDefault="004C361A" w:rsidP="0084545E">
      <w:r w:rsidRPr="00304086">
        <w:t>IV.</w:t>
      </w:r>
      <w:r w:rsidRPr="00304086">
        <w:tab/>
      </w:r>
      <w:r w:rsidR="000C5D76" w:rsidRPr="00304086">
        <w:t xml:space="preserve">The probative value of the </w:t>
      </w:r>
      <w:proofErr w:type="gramStart"/>
      <w:r w:rsidR="000C5D76" w:rsidRPr="00304086">
        <w:t>evidence;</w:t>
      </w:r>
      <w:proofErr w:type="gramEnd"/>
    </w:p>
    <w:p w14:paraId="38032A46" w14:textId="054418E5" w:rsidR="006966C0" w:rsidRPr="00304086" w:rsidRDefault="004C361A" w:rsidP="0084545E">
      <w:r w:rsidRPr="00304086">
        <w:t>V.</w:t>
      </w:r>
      <w:r w:rsidRPr="00304086">
        <w:tab/>
      </w:r>
      <w:r w:rsidR="000C5D76" w:rsidRPr="00304086">
        <w:t xml:space="preserve">The reason why the evidence is not given by the person upon whose credibility the probative value for such evidence </w:t>
      </w:r>
      <w:proofErr w:type="gramStart"/>
      <w:r w:rsidR="000C5D76" w:rsidRPr="00304086">
        <w:t>depends;</w:t>
      </w:r>
      <w:proofErr w:type="gramEnd"/>
    </w:p>
    <w:p w14:paraId="6C798064" w14:textId="2974EA0F" w:rsidR="006966C0" w:rsidRPr="00304086" w:rsidRDefault="004C361A" w:rsidP="0084545E">
      <w:r w:rsidRPr="00304086">
        <w:t>VI.</w:t>
      </w:r>
      <w:r w:rsidRPr="00304086">
        <w:tab/>
      </w:r>
      <w:r w:rsidR="000C5D76" w:rsidRPr="00304086">
        <w:t xml:space="preserve">Any prejudice to a party which the admission of such evidence might </w:t>
      </w:r>
      <w:proofErr w:type="gramStart"/>
      <w:r w:rsidR="000C5D76" w:rsidRPr="00304086">
        <w:t>entail;</w:t>
      </w:r>
      <w:proofErr w:type="gramEnd"/>
    </w:p>
    <w:p w14:paraId="0C3F68AE" w14:textId="7943648A" w:rsidR="000C5D76" w:rsidRPr="00304086" w:rsidRDefault="004C361A" w:rsidP="0084545E">
      <w:r w:rsidRPr="00304086">
        <w:t>VII.</w:t>
      </w:r>
      <w:r w:rsidRPr="00304086">
        <w:tab/>
      </w:r>
      <w:r w:rsidR="000C5D76" w:rsidRPr="00304086">
        <w:t xml:space="preserve">Any other factor which should in the opinion of the court be </w:t>
      </w:r>
      <w:proofErr w:type="gramStart"/>
      <w:r w:rsidR="000C5D76" w:rsidRPr="00304086">
        <w:t>taken into account</w:t>
      </w:r>
      <w:proofErr w:type="gramEnd"/>
      <w:r w:rsidR="000C5D76" w:rsidRPr="00304086">
        <w:t xml:space="preserve"> is of opinion that such evidence should be admitted in the interest of justice.</w:t>
      </w:r>
    </w:p>
    <w:p w14:paraId="779F817F" w14:textId="77777777" w:rsidR="000C5D76" w:rsidRPr="00304086" w:rsidRDefault="00F86183" w:rsidP="0084545E">
      <w:r w:rsidRPr="00304086">
        <w:lastRenderedPageBreak/>
        <w:t xml:space="preserve">[18] </w:t>
      </w:r>
      <w:r w:rsidR="000C5D76" w:rsidRPr="00304086">
        <w:t xml:space="preserve">The respondent was not prohibited by any factor from calling an expert to testify about the repair to his vehicle. In fact, the onus was on him to present such evidence </w:t>
      </w:r>
      <w:proofErr w:type="gramStart"/>
      <w:r w:rsidR="000C5D76" w:rsidRPr="00304086">
        <w:t>in order to</w:t>
      </w:r>
      <w:proofErr w:type="gramEnd"/>
      <w:r w:rsidR="000C5D76" w:rsidRPr="00304086">
        <w:t xml:space="preserve"> discharge such onus and prove his case on a balance of probabilities. </w:t>
      </w:r>
    </w:p>
    <w:p w14:paraId="3D37DE5F" w14:textId="77777777" w:rsidR="000C5D76" w:rsidRPr="00304086" w:rsidRDefault="00F86183" w:rsidP="0084545E">
      <w:r w:rsidRPr="00304086">
        <w:t xml:space="preserve">[19] </w:t>
      </w:r>
      <w:r w:rsidR="000C5D76" w:rsidRPr="00304086">
        <w:t>Counsel for the respondent submits that the most compelling justification for the admitting the hearsay evidence by the respondent in the present case is the numerous pointers to its truthfulness.</w:t>
      </w:r>
    </w:p>
    <w:p w14:paraId="235AB875" w14:textId="77777777" w:rsidR="000C5D76" w:rsidRPr="00304086" w:rsidRDefault="00F86183" w:rsidP="0084545E">
      <w:r w:rsidRPr="00304086">
        <w:t xml:space="preserve">[20] </w:t>
      </w:r>
      <w:r w:rsidR="000C5D76" w:rsidRPr="00304086">
        <w:t>In my view, the submission is not sustainable</w:t>
      </w:r>
      <w:r w:rsidR="009962E6">
        <w:t xml:space="preserve"> in law. A failure or </w:t>
      </w:r>
      <w:r w:rsidR="00EB15FE">
        <w:t xml:space="preserve">omission </w:t>
      </w:r>
      <w:r w:rsidR="00EB15FE" w:rsidRPr="00304086">
        <w:t>to</w:t>
      </w:r>
      <w:r w:rsidR="000C5D76" w:rsidRPr="00304086">
        <w:t xml:space="preserve"> tender a critical element of</w:t>
      </w:r>
      <w:r w:rsidR="009962E6">
        <w:t xml:space="preserve"> one’s</w:t>
      </w:r>
      <w:r w:rsidR="000C5D76" w:rsidRPr="00304086">
        <w:t xml:space="preserve"> case cannot be condoned by imbuin</w:t>
      </w:r>
      <w:r w:rsidR="009962E6">
        <w:t xml:space="preserve">g the evidence of a </w:t>
      </w:r>
      <w:r w:rsidR="00EB15FE">
        <w:t xml:space="preserve">person </w:t>
      </w:r>
      <w:r w:rsidR="009962E6">
        <w:t>who</w:t>
      </w:r>
      <w:r w:rsidR="000C5D76" w:rsidRPr="00304086">
        <w:t xml:space="preserve"> is not an expert with “truthfulness” which is not supported by real evidence. The provisions of the Law of Evidence Amendment Act are imperative and not permissive save in exceptional circumstances. Such circumstances do not exist in the present case. None were considered by the court a quo.</w:t>
      </w:r>
    </w:p>
    <w:p w14:paraId="6A632117" w14:textId="77777777" w:rsidR="000C5D76" w:rsidRPr="00304086" w:rsidRDefault="00F86183" w:rsidP="0084545E">
      <w:r w:rsidRPr="00304086">
        <w:t xml:space="preserve">[21] </w:t>
      </w:r>
      <w:r w:rsidR="000C5D76" w:rsidRPr="00304086">
        <w:t>It was not necessary for the court a quo to interpret the contract of insurance as the fact</w:t>
      </w:r>
      <w:r w:rsidR="009962E6">
        <w:t>s</w:t>
      </w:r>
      <w:r w:rsidR="000C5D76" w:rsidRPr="00304086">
        <w:t xml:space="preserve"> relating thereto were common cause between the parties. What was necessary was for the respondent to provide expert evidence regarding the necessary and reasonable repair costs to his motor vehicle.</w:t>
      </w:r>
    </w:p>
    <w:p w14:paraId="77F95F38" w14:textId="77777777" w:rsidR="000C5D76" w:rsidRPr="00304086" w:rsidRDefault="00F86183" w:rsidP="0084545E">
      <w:r w:rsidRPr="00304086">
        <w:t xml:space="preserve">[22] </w:t>
      </w:r>
      <w:r w:rsidR="000C5D76" w:rsidRPr="00304086">
        <w:t>It is not disputed that the respondent paid the amount he testified to and presented bank records in that regard. However, the act of payment could not be equated to constitute a reasonable amount as the probative value of whether the amount is reasonable depends on the credibility of the panel beater, a person other than the plaintiff. Absent the evidence of such a person, the plaintiff’s claim was doomed to fail.</w:t>
      </w:r>
    </w:p>
    <w:p w14:paraId="34C6EED1" w14:textId="77777777" w:rsidR="000C5D76" w:rsidRPr="00304086" w:rsidRDefault="00F86183" w:rsidP="0084545E">
      <w:pPr>
        <w:rPr>
          <w:u w:val="single"/>
        </w:rPr>
      </w:pPr>
      <w:r w:rsidRPr="00304086">
        <w:rPr>
          <w:u w:val="single"/>
        </w:rPr>
        <w:t>Misdirection by the court a quo</w:t>
      </w:r>
    </w:p>
    <w:p w14:paraId="4EC48AFC" w14:textId="77777777" w:rsidR="000C5D76" w:rsidRPr="00304086" w:rsidRDefault="00F86183" w:rsidP="0084545E">
      <w:r w:rsidRPr="00304086">
        <w:t xml:space="preserve">[23] </w:t>
      </w:r>
      <w:r w:rsidR="000C5D76" w:rsidRPr="00304086">
        <w:t>The onus of proof never shifted to the appellant since by the respondent’s concession, he never tendered evidence the reasonable repair amount. The finding by the court a quo that the reasonable repair costs h</w:t>
      </w:r>
      <w:r w:rsidR="009962E6">
        <w:t xml:space="preserve">ad been </w:t>
      </w:r>
      <w:proofErr w:type="gramStart"/>
      <w:r w:rsidR="009962E6">
        <w:t xml:space="preserve">proven </w:t>
      </w:r>
      <w:r w:rsidR="000C5D76" w:rsidRPr="00304086">
        <w:t xml:space="preserve"> was</w:t>
      </w:r>
      <w:proofErr w:type="gramEnd"/>
      <w:r w:rsidR="000C5D76" w:rsidRPr="00304086">
        <w:t xml:space="preserve"> a misdirection by the court a quo as it was inconsistent with evidence evinced under cross-examination.</w:t>
      </w:r>
    </w:p>
    <w:p w14:paraId="6514D530" w14:textId="77777777" w:rsidR="000C5D76" w:rsidRPr="00304086" w:rsidRDefault="00F86183" w:rsidP="0084545E">
      <w:r w:rsidRPr="00304086">
        <w:t>[24]</w:t>
      </w:r>
      <w:r w:rsidR="000C5D76" w:rsidRPr="00304086">
        <w:t>A party to an action may effectively prove his case by means of cross-examination, instead of calling witn</w:t>
      </w:r>
      <w:r w:rsidR="002F21ED">
        <w:t>esses himself because what</w:t>
      </w:r>
      <w:r w:rsidR="000C5D76" w:rsidRPr="00304086">
        <w:t xml:space="preserve"> </w:t>
      </w:r>
      <w:r w:rsidR="00DD3E93">
        <w:t xml:space="preserve">he </w:t>
      </w:r>
      <w:r w:rsidR="000C5D76" w:rsidRPr="00304086">
        <w:t>brings forth is evidence.</w:t>
      </w:r>
      <w:r w:rsidR="000C5D76" w:rsidRPr="00304086">
        <w:rPr>
          <w:vertAlign w:val="superscript"/>
        </w:rPr>
        <w:footnoteReference w:id="3"/>
      </w:r>
    </w:p>
    <w:p w14:paraId="6B438500" w14:textId="77777777" w:rsidR="000C5D76" w:rsidRPr="00304086" w:rsidRDefault="00F86183" w:rsidP="0084545E">
      <w:r w:rsidRPr="00304086">
        <w:t xml:space="preserve">[25] </w:t>
      </w:r>
      <w:r w:rsidR="000C5D76" w:rsidRPr="00304086">
        <w:t>It is possible for a cross-examiner to establish a formal admission by means of cross-examination.</w:t>
      </w:r>
      <w:r w:rsidR="000C5D76" w:rsidRPr="00304086">
        <w:rPr>
          <w:vertAlign w:val="superscript"/>
        </w:rPr>
        <w:footnoteReference w:id="4"/>
      </w:r>
    </w:p>
    <w:p w14:paraId="185246CA" w14:textId="77777777" w:rsidR="000C5D76" w:rsidRPr="00304086" w:rsidRDefault="00F86183" w:rsidP="0084545E">
      <w:r w:rsidRPr="00304086">
        <w:t xml:space="preserve">[26] </w:t>
      </w:r>
      <w:r w:rsidR="000C5D76" w:rsidRPr="00304086">
        <w:t>The appellant may therefore justifiably rely on the respondent’s admissions and that ought to have brought the matter to</w:t>
      </w:r>
      <w:r w:rsidR="002F21ED">
        <w:t xml:space="preserve"> a</w:t>
      </w:r>
      <w:r w:rsidR="00DB0C22">
        <w:t xml:space="preserve"> close before the cour</w:t>
      </w:r>
      <w:r w:rsidR="000C5D76" w:rsidRPr="00304086">
        <w:t xml:space="preserve">t a quo. Regrettably, it did not. </w:t>
      </w:r>
    </w:p>
    <w:p w14:paraId="27727B8A" w14:textId="77777777" w:rsidR="000C5D76" w:rsidRDefault="00F86183" w:rsidP="0084545E">
      <w:r w:rsidRPr="00304086">
        <w:t xml:space="preserve">[27] </w:t>
      </w:r>
      <w:r w:rsidR="000C5D76" w:rsidRPr="00304086">
        <w:t xml:space="preserve">The failure to refute the evidence by means of re-examination its conclusive proof that the respondent’s pleaded version was not sustained through the evidence presented at court. </w:t>
      </w:r>
    </w:p>
    <w:p w14:paraId="6DFA33E6" w14:textId="77777777" w:rsidR="00EB15FE" w:rsidRPr="00EB15FE" w:rsidRDefault="00EB15FE" w:rsidP="0084545E">
      <w:pPr>
        <w:rPr>
          <w:u w:val="single"/>
        </w:rPr>
      </w:pPr>
      <w:r w:rsidRPr="00EB15FE">
        <w:rPr>
          <w:u w:val="single"/>
        </w:rPr>
        <w:t>Order</w:t>
      </w:r>
    </w:p>
    <w:p w14:paraId="32A5E56F" w14:textId="77777777" w:rsidR="000C5D76" w:rsidRPr="00304086" w:rsidRDefault="00EB15FE" w:rsidP="0084545E">
      <w:r w:rsidRPr="00304086">
        <w:lastRenderedPageBreak/>
        <w:t xml:space="preserve"> </w:t>
      </w:r>
      <w:r w:rsidR="00F86183" w:rsidRPr="00304086">
        <w:t xml:space="preserve">[27] </w:t>
      </w:r>
      <w:r w:rsidR="000C5D76" w:rsidRPr="00304086">
        <w:t xml:space="preserve">In the circumstances, the appeal stands to </w:t>
      </w:r>
      <w:r w:rsidR="002F21ED">
        <w:t xml:space="preserve">succeed and in the </w:t>
      </w:r>
      <w:proofErr w:type="gramStart"/>
      <w:r w:rsidR="002F21ED">
        <w:t>result</w:t>
      </w:r>
      <w:proofErr w:type="gramEnd"/>
      <w:r w:rsidR="002F21ED">
        <w:t xml:space="preserve"> I propose that</w:t>
      </w:r>
      <w:r w:rsidR="000C5D76" w:rsidRPr="00304086">
        <w:t xml:space="preserve"> the following order</w:t>
      </w:r>
      <w:r w:rsidR="002F21ED">
        <w:t xml:space="preserve"> be made</w:t>
      </w:r>
      <w:r w:rsidR="000C5D76" w:rsidRPr="00304086">
        <w:t>:</w:t>
      </w:r>
    </w:p>
    <w:p w14:paraId="215F95F0" w14:textId="77777777" w:rsidR="006966C0" w:rsidRPr="00304086" w:rsidRDefault="006966C0" w:rsidP="0084545E">
      <w:r w:rsidRPr="00304086">
        <w:t xml:space="preserve">27.1 </w:t>
      </w:r>
      <w:r w:rsidR="000C5D76" w:rsidRPr="00304086">
        <w:t xml:space="preserve">The appeal is upheld with </w:t>
      </w:r>
      <w:proofErr w:type="gramStart"/>
      <w:r w:rsidR="000C5D76" w:rsidRPr="00304086">
        <w:t>costs;</w:t>
      </w:r>
      <w:proofErr w:type="gramEnd"/>
    </w:p>
    <w:p w14:paraId="6B07DE05" w14:textId="77777777" w:rsidR="006966C0" w:rsidRPr="00304086" w:rsidRDefault="006966C0" w:rsidP="0084545E">
      <w:r w:rsidRPr="00304086">
        <w:t xml:space="preserve">27.2 </w:t>
      </w:r>
      <w:r w:rsidR="000C5D76" w:rsidRPr="00304086">
        <w:t xml:space="preserve">The order of the Court a </w:t>
      </w:r>
      <w:r w:rsidR="002F21ED">
        <w:t>quo is set aside and is replaced</w:t>
      </w:r>
      <w:r w:rsidR="000C5D76" w:rsidRPr="00304086">
        <w:t xml:space="preserve"> with the </w:t>
      </w:r>
      <w:proofErr w:type="gramStart"/>
      <w:r w:rsidR="000C5D76" w:rsidRPr="00304086">
        <w:t>following</w:t>
      </w:r>
      <w:proofErr w:type="gramEnd"/>
    </w:p>
    <w:p w14:paraId="27DD4ABF" w14:textId="77777777" w:rsidR="000C5D76" w:rsidRPr="00304086" w:rsidRDefault="006966C0" w:rsidP="0084545E">
      <w:r w:rsidRPr="00304086">
        <w:t>27.3</w:t>
      </w:r>
      <w:r w:rsidR="000C5D76" w:rsidRPr="00304086">
        <w:t xml:space="preserve">The action is dismissed, including the costs of Counsel. </w:t>
      </w:r>
    </w:p>
    <w:p w14:paraId="6F894EA3" w14:textId="77777777" w:rsidR="000C5D76" w:rsidRPr="000C5D76" w:rsidRDefault="000C5D76" w:rsidP="0084545E"/>
    <w:p w14:paraId="019AA779" w14:textId="77777777" w:rsidR="000C5D76" w:rsidRPr="000C5D76" w:rsidRDefault="000C5D76" w:rsidP="0084545E"/>
    <w:p w14:paraId="251781EF" w14:textId="77777777" w:rsidR="006966C0" w:rsidRDefault="006966C0" w:rsidP="0084545E">
      <w:pPr>
        <w:rPr>
          <w:rFonts w:ascii="Arial" w:eastAsia="Calibri" w:hAnsi="Arial" w:cs="Arial"/>
          <w:b/>
          <w:iCs/>
          <w:sz w:val="24"/>
          <w:szCs w:val="24"/>
        </w:rPr>
      </w:pPr>
    </w:p>
    <w:p w14:paraId="11E0716A" w14:textId="77777777" w:rsidR="006966C0" w:rsidRPr="00884687" w:rsidRDefault="006966C0" w:rsidP="0084545E">
      <w:pPr>
        <w:rPr>
          <w:rFonts w:eastAsia="Calibri"/>
          <w:b/>
          <w:iCs/>
        </w:rPr>
      </w:pPr>
      <w:r w:rsidRPr="00884687">
        <w:rPr>
          <w:rFonts w:eastAsia="Calibri"/>
          <w:b/>
          <w:iCs/>
        </w:rPr>
        <w:t>__________________________</w:t>
      </w:r>
    </w:p>
    <w:p w14:paraId="6A6BA857" w14:textId="77777777" w:rsidR="006966C0" w:rsidRPr="00884687" w:rsidRDefault="006966C0" w:rsidP="0084545E">
      <w:pPr>
        <w:rPr>
          <w:rFonts w:eastAsia="Calibri"/>
          <w:b/>
          <w:iCs/>
        </w:rPr>
      </w:pPr>
      <w:r w:rsidRPr="00884687">
        <w:rPr>
          <w:rFonts w:eastAsia="Calibri"/>
          <w:b/>
          <w:iCs/>
        </w:rPr>
        <w:t xml:space="preserve">SELBY BAQWA </w:t>
      </w:r>
    </w:p>
    <w:p w14:paraId="3F25F5F9" w14:textId="77777777" w:rsidR="006966C0" w:rsidRPr="00884687" w:rsidRDefault="006966C0" w:rsidP="0084545E">
      <w:pPr>
        <w:rPr>
          <w:rFonts w:eastAsia="Calibri"/>
        </w:rPr>
      </w:pPr>
      <w:r w:rsidRPr="00884687">
        <w:rPr>
          <w:rFonts w:eastAsia="Calibri"/>
          <w:color w:val="000000"/>
        </w:rPr>
        <w:t xml:space="preserve">JUDGE OF THE HIGH COURT  </w:t>
      </w:r>
    </w:p>
    <w:p w14:paraId="2E5A23E1" w14:textId="77777777" w:rsidR="006966C0" w:rsidRDefault="006966C0" w:rsidP="0084545E">
      <w:pPr>
        <w:rPr>
          <w:rFonts w:eastAsia="Arial"/>
          <w:color w:val="000000"/>
        </w:rPr>
      </w:pPr>
      <w:r w:rsidRPr="00884687">
        <w:rPr>
          <w:rFonts w:eastAsia="Arial"/>
          <w:color w:val="000000"/>
        </w:rPr>
        <w:t xml:space="preserve">GAUTENG DIVISION, PRETORIA </w:t>
      </w:r>
    </w:p>
    <w:p w14:paraId="531F4115" w14:textId="77777777" w:rsidR="00C91854" w:rsidRDefault="00C91854" w:rsidP="0084545E">
      <w:pPr>
        <w:rPr>
          <w:rFonts w:eastAsia="Arial"/>
          <w:color w:val="000000"/>
        </w:rPr>
      </w:pPr>
      <w:r>
        <w:rPr>
          <w:rFonts w:eastAsia="Arial"/>
          <w:color w:val="000000"/>
        </w:rPr>
        <w:t xml:space="preserve">I </w:t>
      </w:r>
      <w:proofErr w:type="gramStart"/>
      <w:r>
        <w:rPr>
          <w:rFonts w:eastAsia="Arial"/>
          <w:color w:val="000000"/>
        </w:rPr>
        <w:t>concur</w:t>
      </w:r>
      <w:proofErr w:type="gramEnd"/>
    </w:p>
    <w:p w14:paraId="7110B45E" w14:textId="77777777" w:rsidR="00C91854" w:rsidRDefault="00C91854" w:rsidP="0084545E">
      <w:pPr>
        <w:rPr>
          <w:rFonts w:ascii="Arial" w:eastAsia="Calibri" w:hAnsi="Arial" w:cs="Arial"/>
          <w:b/>
          <w:iCs/>
          <w:sz w:val="24"/>
          <w:szCs w:val="24"/>
        </w:rPr>
      </w:pPr>
    </w:p>
    <w:p w14:paraId="28E47003" w14:textId="77777777" w:rsidR="00C91854" w:rsidRPr="00884687" w:rsidRDefault="00C91854" w:rsidP="0084545E">
      <w:pPr>
        <w:rPr>
          <w:rFonts w:eastAsia="Calibri"/>
          <w:b/>
          <w:iCs/>
        </w:rPr>
      </w:pPr>
      <w:r w:rsidRPr="00884687">
        <w:rPr>
          <w:rFonts w:eastAsia="Calibri"/>
          <w:b/>
          <w:iCs/>
        </w:rPr>
        <w:t>__________________________</w:t>
      </w:r>
    </w:p>
    <w:p w14:paraId="5EA9F24A" w14:textId="77777777" w:rsidR="00C91854" w:rsidRDefault="002F21ED" w:rsidP="0084545E">
      <w:pPr>
        <w:rPr>
          <w:rFonts w:eastAsia="Calibri"/>
          <w:b/>
          <w:iCs/>
        </w:rPr>
      </w:pPr>
      <w:r>
        <w:rPr>
          <w:rFonts w:eastAsia="Calibri"/>
          <w:b/>
          <w:iCs/>
        </w:rPr>
        <w:t>N. NKOSI</w:t>
      </w:r>
      <w:r w:rsidR="00C91854">
        <w:rPr>
          <w:rFonts w:eastAsia="Calibri"/>
          <w:b/>
          <w:iCs/>
        </w:rPr>
        <w:t xml:space="preserve"> </w:t>
      </w:r>
    </w:p>
    <w:p w14:paraId="38C0DA7F" w14:textId="77777777" w:rsidR="00C91854" w:rsidRPr="00884687" w:rsidRDefault="00C91854" w:rsidP="0084545E">
      <w:pPr>
        <w:rPr>
          <w:rFonts w:eastAsia="Calibri"/>
        </w:rPr>
      </w:pPr>
      <w:r w:rsidRPr="00C91854">
        <w:rPr>
          <w:rFonts w:eastAsia="Calibri"/>
          <w:iCs/>
        </w:rPr>
        <w:t xml:space="preserve">ACTING </w:t>
      </w:r>
      <w:r w:rsidRPr="00884687">
        <w:rPr>
          <w:rFonts w:eastAsia="Calibri"/>
          <w:color w:val="000000"/>
        </w:rPr>
        <w:t xml:space="preserve">JUDGE OF THE HIGH COURT  </w:t>
      </w:r>
    </w:p>
    <w:p w14:paraId="598B1D44" w14:textId="77777777" w:rsidR="00C91854" w:rsidRPr="00884687" w:rsidRDefault="00C91854" w:rsidP="0084545E">
      <w:pPr>
        <w:rPr>
          <w:rFonts w:eastAsia="Arial"/>
          <w:color w:val="000000"/>
        </w:rPr>
      </w:pPr>
      <w:r w:rsidRPr="00884687">
        <w:rPr>
          <w:rFonts w:eastAsia="Arial"/>
          <w:color w:val="000000"/>
        </w:rPr>
        <w:t xml:space="preserve">GAUTENG DIVISION, PRETORIA </w:t>
      </w:r>
    </w:p>
    <w:p w14:paraId="48EE9F75" w14:textId="77777777" w:rsidR="006966C0" w:rsidRPr="00884687" w:rsidRDefault="006966C0" w:rsidP="0084545E">
      <w:pPr>
        <w:rPr>
          <w:rFonts w:eastAsia="Calibri"/>
        </w:rPr>
      </w:pPr>
    </w:p>
    <w:p w14:paraId="0568189C" w14:textId="77777777" w:rsidR="006966C0" w:rsidRPr="00884687" w:rsidRDefault="006966C0" w:rsidP="0084545E">
      <w:pPr>
        <w:rPr>
          <w:rFonts w:eastAsia="Calibri"/>
          <w:iCs/>
        </w:rPr>
      </w:pPr>
      <w:r w:rsidRPr="00884687">
        <w:rPr>
          <w:rFonts w:eastAsia="Calibri"/>
          <w:iCs/>
        </w:rPr>
        <w:t>Date of hearing</w:t>
      </w:r>
      <w:r w:rsidR="00CA5535">
        <w:rPr>
          <w:rFonts w:eastAsia="Calibri"/>
          <w:iCs/>
        </w:rPr>
        <w:t>:</w:t>
      </w:r>
      <w:r w:rsidRPr="00884687">
        <w:rPr>
          <w:rFonts w:eastAsia="Calibri"/>
          <w:iCs/>
        </w:rPr>
        <w:t xml:space="preserve"> </w:t>
      </w:r>
      <w:r w:rsidR="002F21ED">
        <w:rPr>
          <w:rFonts w:eastAsia="Calibri"/>
          <w:iCs/>
        </w:rPr>
        <w:t xml:space="preserve"> 12</w:t>
      </w:r>
      <w:r w:rsidR="00CA5535">
        <w:rPr>
          <w:rFonts w:eastAsia="Calibri"/>
          <w:iCs/>
        </w:rPr>
        <w:t xml:space="preserve"> March 2024</w:t>
      </w:r>
    </w:p>
    <w:p w14:paraId="0584C8A1" w14:textId="77777777" w:rsidR="006966C0" w:rsidRDefault="00CA5535" w:rsidP="0084545E">
      <w:pPr>
        <w:rPr>
          <w:rFonts w:eastAsia="Calibri"/>
          <w:iCs/>
        </w:rPr>
      </w:pPr>
      <w:r>
        <w:rPr>
          <w:rFonts w:eastAsia="Calibri"/>
          <w:iCs/>
        </w:rPr>
        <w:t xml:space="preserve">Date of judgment: </w:t>
      </w:r>
    </w:p>
    <w:p w14:paraId="5211858E" w14:textId="77777777" w:rsidR="00CA5535" w:rsidRPr="00884687" w:rsidRDefault="00CA5535" w:rsidP="0084545E">
      <w:pPr>
        <w:rPr>
          <w:rFonts w:eastAsia="Calibri"/>
          <w:iCs/>
        </w:rPr>
      </w:pPr>
    </w:p>
    <w:p w14:paraId="053D73DA" w14:textId="77777777" w:rsidR="006966C0" w:rsidRPr="00884687" w:rsidRDefault="006966C0" w:rsidP="0084545E">
      <w:pPr>
        <w:rPr>
          <w:rFonts w:eastAsia="Calibri"/>
          <w:iCs/>
        </w:rPr>
      </w:pPr>
    </w:p>
    <w:p w14:paraId="21922ED1" w14:textId="77777777" w:rsidR="006966C0" w:rsidRPr="00884687" w:rsidRDefault="006966C0" w:rsidP="0084545E">
      <w:pPr>
        <w:rPr>
          <w:rFonts w:eastAsia="Calibri"/>
          <w:iCs/>
        </w:rPr>
      </w:pPr>
      <w:r w:rsidRPr="00884687">
        <w:rPr>
          <w:rFonts w:eastAsia="Calibri"/>
          <w:b/>
          <w:iCs/>
          <w:u w:val="single"/>
        </w:rPr>
        <w:t xml:space="preserve">Appearance </w:t>
      </w:r>
    </w:p>
    <w:p w14:paraId="001AB962" w14:textId="77777777" w:rsidR="006966C0" w:rsidRPr="00884687" w:rsidRDefault="006966C0" w:rsidP="0084545E">
      <w:pPr>
        <w:rPr>
          <w:rFonts w:eastAsia="Calibri"/>
          <w:iCs/>
        </w:rPr>
      </w:pPr>
      <w:r w:rsidRPr="00884687">
        <w:rPr>
          <w:rFonts w:eastAsia="Calibri"/>
          <w:iCs/>
        </w:rPr>
        <w:t xml:space="preserve"> On behalf of the Applicants              </w:t>
      </w:r>
      <w:r>
        <w:rPr>
          <w:rFonts w:eastAsia="Calibri"/>
          <w:iCs/>
        </w:rPr>
        <w:t xml:space="preserve">                 </w:t>
      </w:r>
      <w:r w:rsidR="00DB0C22">
        <w:rPr>
          <w:rFonts w:eastAsia="Calibri"/>
          <w:iCs/>
        </w:rPr>
        <w:t xml:space="preserve">    </w:t>
      </w:r>
      <w:r w:rsidR="002F21ED">
        <w:rPr>
          <w:rFonts w:eastAsia="Calibri"/>
          <w:iCs/>
        </w:rPr>
        <w:t>Adv C Richard</w:t>
      </w:r>
      <w:r w:rsidRPr="00884687">
        <w:rPr>
          <w:rFonts w:eastAsia="Calibri"/>
          <w:iCs/>
        </w:rPr>
        <w:t xml:space="preserve">                                                                                                    </w:t>
      </w:r>
    </w:p>
    <w:p w14:paraId="1C469396" w14:textId="77777777" w:rsidR="006966C0" w:rsidRPr="00884687" w:rsidRDefault="006966C0" w:rsidP="0084545E">
      <w:pPr>
        <w:rPr>
          <w:rFonts w:eastAsia="Calibri"/>
          <w:iCs/>
        </w:rPr>
      </w:pPr>
      <w:r w:rsidRPr="00884687">
        <w:rPr>
          <w:rFonts w:eastAsia="Calibri"/>
          <w:iCs/>
        </w:rPr>
        <w:t xml:space="preserve">Instructed by                                      </w:t>
      </w:r>
      <w:r>
        <w:rPr>
          <w:rFonts w:eastAsia="Calibri"/>
          <w:iCs/>
        </w:rPr>
        <w:t xml:space="preserve">                </w:t>
      </w:r>
      <w:r w:rsidRPr="00884687">
        <w:rPr>
          <w:rFonts w:eastAsia="Calibri"/>
          <w:iCs/>
        </w:rPr>
        <w:t xml:space="preserve"> </w:t>
      </w:r>
      <w:r w:rsidR="00DB0C22">
        <w:rPr>
          <w:rFonts w:eastAsia="Calibri"/>
          <w:iCs/>
        </w:rPr>
        <w:t xml:space="preserve">    </w:t>
      </w:r>
      <w:proofErr w:type="spellStart"/>
      <w:r w:rsidR="00B726A3">
        <w:rPr>
          <w:rFonts w:eastAsia="Calibri"/>
          <w:iCs/>
        </w:rPr>
        <w:t>Weavind</w:t>
      </w:r>
      <w:proofErr w:type="spellEnd"/>
      <w:r w:rsidR="00B726A3">
        <w:rPr>
          <w:rFonts w:eastAsia="Calibri"/>
          <w:iCs/>
        </w:rPr>
        <w:t xml:space="preserve"> &amp;Weavind Inc</w:t>
      </w:r>
    </w:p>
    <w:p w14:paraId="5A9890B2" w14:textId="77777777" w:rsidR="006966C0" w:rsidRDefault="006966C0" w:rsidP="0084545E">
      <w:pPr>
        <w:rPr>
          <w:rFonts w:eastAsia="Calibri"/>
          <w:iCs/>
        </w:rPr>
      </w:pPr>
      <w:r w:rsidRPr="00884687">
        <w:rPr>
          <w:rFonts w:eastAsia="Calibri"/>
          <w:iCs/>
        </w:rPr>
        <w:t xml:space="preserve">                                                    </w:t>
      </w:r>
      <w:r>
        <w:rPr>
          <w:rFonts w:eastAsia="Calibri"/>
          <w:iCs/>
        </w:rPr>
        <w:t xml:space="preserve">                        </w:t>
      </w:r>
      <w:r w:rsidRPr="00884687">
        <w:rPr>
          <w:rFonts w:eastAsia="Calibri"/>
          <w:iCs/>
        </w:rPr>
        <w:t xml:space="preserve"> </w:t>
      </w:r>
      <w:r w:rsidR="00DB0C22">
        <w:rPr>
          <w:rFonts w:eastAsia="Calibri"/>
          <w:iCs/>
        </w:rPr>
        <w:t xml:space="preserve">   </w:t>
      </w:r>
      <w:hyperlink r:id="rId9" w:history="1">
        <w:r w:rsidR="00B726A3" w:rsidRPr="003D28F1">
          <w:rPr>
            <w:rStyle w:val="Hyperlink"/>
            <w:rFonts w:ascii="Times New Roman" w:eastAsia="Calibri" w:hAnsi="Times New Roman" w:cs="Times New Roman"/>
            <w:iCs/>
            <w:sz w:val="28"/>
            <w:szCs w:val="28"/>
          </w:rPr>
          <w:t>nic@weavind.co.za</w:t>
        </w:r>
      </w:hyperlink>
    </w:p>
    <w:p w14:paraId="29F3F586" w14:textId="77777777" w:rsidR="006966C0" w:rsidRPr="00884687" w:rsidRDefault="006966C0" w:rsidP="0084545E">
      <w:pPr>
        <w:rPr>
          <w:rFonts w:eastAsia="Calibri"/>
          <w:iCs/>
        </w:rPr>
      </w:pPr>
      <w:r w:rsidRPr="00884687">
        <w:rPr>
          <w:rFonts w:eastAsia="Calibri"/>
          <w:iCs/>
        </w:rPr>
        <w:lastRenderedPageBreak/>
        <w:t xml:space="preserve">                                                                                                                                                     On behalf of the Respondents          </w:t>
      </w:r>
      <w:r>
        <w:rPr>
          <w:rFonts w:eastAsia="Calibri"/>
          <w:iCs/>
        </w:rPr>
        <w:t xml:space="preserve">                      </w:t>
      </w:r>
      <w:r w:rsidR="00DB0C22">
        <w:rPr>
          <w:rFonts w:eastAsia="Calibri"/>
          <w:iCs/>
        </w:rPr>
        <w:t>Adv S Mahabeer SC</w:t>
      </w:r>
      <w:r w:rsidR="00B726A3">
        <w:rPr>
          <w:rFonts w:eastAsia="Calibri"/>
          <w:iCs/>
        </w:rPr>
        <w:t xml:space="preserve">       </w:t>
      </w:r>
    </w:p>
    <w:p w14:paraId="0F1EEEFF" w14:textId="77777777" w:rsidR="006966C0" w:rsidRDefault="006966C0" w:rsidP="0084545E">
      <w:pPr>
        <w:rPr>
          <w:rFonts w:eastAsia="Calibri"/>
          <w:iCs/>
        </w:rPr>
      </w:pPr>
      <w:r w:rsidRPr="00884687">
        <w:rPr>
          <w:rFonts w:eastAsia="Calibri"/>
          <w:iCs/>
        </w:rPr>
        <w:t xml:space="preserve">Instructed by                                   </w:t>
      </w:r>
      <w:r w:rsidR="00B726A3">
        <w:rPr>
          <w:rFonts w:eastAsia="Calibri"/>
          <w:iCs/>
        </w:rPr>
        <w:t xml:space="preserve">                       </w:t>
      </w:r>
      <w:r>
        <w:rPr>
          <w:rFonts w:eastAsia="Calibri"/>
          <w:iCs/>
        </w:rPr>
        <w:t xml:space="preserve"> </w:t>
      </w:r>
      <w:proofErr w:type="spellStart"/>
      <w:r w:rsidR="00B726A3">
        <w:rPr>
          <w:rFonts w:eastAsia="Calibri"/>
          <w:iCs/>
        </w:rPr>
        <w:t>Mudua</w:t>
      </w:r>
      <w:proofErr w:type="spellEnd"/>
      <w:r w:rsidR="00B726A3">
        <w:rPr>
          <w:rFonts w:eastAsia="Calibri"/>
          <w:iCs/>
        </w:rPr>
        <w:t xml:space="preserve"> &amp; Ntshipise Attorneys</w:t>
      </w:r>
    </w:p>
    <w:p w14:paraId="30C373E5" w14:textId="77777777" w:rsidR="00B726A3" w:rsidRDefault="00B726A3" w:rsidP="0084545E">
      <w:pPr>
        <w:rPr>
          <w:rFonts w:eastAsia="Calibri"/>
          <w:iCs/>
        </w:rPr>
      </w:pPr>
      <w:r>
        <w:rPr>
          <w:rFonts w:eastAsia="Calibri"/>
          <w:iCs/>
        </w:rPr>
        <w:t xml:space="preserve">                                                                          </w:t>
      </w:r>
      <w:hyperlink r:id="rId10" w:history="1">
        <w:r w:rsidRPr="003D28F1">
          <w:rPr>
            <w:rStyle w:val="Hyperlink"/>
            <w:rFonts w:ascii="Times New Roman" w:eastAsia="Calibri" w:hAnsi="Times New Roman" w:cs="Times New Roman"/>
            <w:iCs/>
            <w:sz w:val="28"/>
            <w:szCs w:val="28"/>
          </w:rPr>
          <w:t>mmolawa@mandnattorneys.co.za</w:t>
        </w:r>
      </w:hyperlink>
    </w:p>
    <w:p w14:paraId="5541E810" w14:textId="77777777" w:rsidR="00B726A3" w:rsidRDefault="00B726A3" w:rsidP="0084545E">
      <w:pPr>
        <w:rPr>
          <w:rFonts w:eastAsia="Calibri"/>
          <w:iCs/>
        </w:rPr>
      </w:pPr>
    </w:p>
    <w:p w14:paraId="5C709FC7" w14:textId="77777777" w:rsidR="00B726A3" w:rsidRDefault="006966C0" w:rsidP="0084545E">
      <w:pPr>
        <w:rPr>
          <w:rFonts w:eastAsia="Calibri"/>
          <w:iCs/>
        </w:rPr>
      </w:pPr>
      <w:r>
        <w:rPr>
          <w:rFonts w:eastAsia="Calibri"/>
          <w:iCs/>
        </w:rPr>
        <w:t xml:space="preserve">                                                                                 </w:t>
      </w:r>
      <w:r w:rsidR="00B726A3">
        <w:rPr>
          <w:rFonts w:eastAsia="Calibri"/>
          <w:iCs/>
        </w:rPr>
        <w:t xml:space="preserve">           </w:t>
      </w:r>
    </w:p>
    <w:p w14:paraId="67AE79B2" w14:textId="77777777" w:rsidR="006966C0" w:rsidRPr="00884687" w:rsidRDefault="00B726A3" w:rsidP="0084545E">
      <w:pPr>
        <w:rPr>
          <w:rFonts w:eastAsia="Calibri"/>
          <w:iCs/>
        </w:rPr>
      </w:pPr>
      <w:r>
        <w:rPr>
          <w:rFonts w:eastAsia="Calibri"/>
          <w:iCs/>
        </w:rPr>
        <w:t xml:space="preserve">                                                                        </w:t>
      </w:r>
    </w:p>
    <w:p w14:paraId="2B7F8ACA" w14:textId="77777777" w:rsidR="006966C0" w:rsidRDefault="006966C0" w:rsidP="0084545E">
      <w:pPr>
        <w:rPr>
          <w:rFonts w:ascii="Arial" w:eastAsia="Calibri" w:hAnsi="Arial" w:cs="Arial"/>
          <w:iCs/>
          <w:sz w:val="24"/>
          <w:szCs w:val="24"/>
        </w:rPr>
      </w:pPr>
      <w:r>
        <w:rPr>
          <w:rFonts w:ascii="Arial" w:eastAsia="Calibri" w:hAnsi="Arial" w:cs="Arial"/>
          <w:iCs/>
          <w:sz w:val="24"/>
          <w:szCs w:val="24"/>
        </w:rPr>
        <w:t xml:space="preserve">                                                   </w:t>
      </w:r>
    </w:p>
    <w:p w14:paraId="56FC3B27" w14:textId="77777777" w:rsidR="006966C0" w:rsidRPr="00D9531B" w:rsidRDefault="006966C0" w:rsidP="0084545E">
      <w:pPr>
        <w:rPr>
          <w:rFonts w:ascii="Arial" w:eastAsia="Calibri" w:hAnsi="Arial" w:cs="Arial"/>
          <w:iCs/>
          <w:sz w:val="24"/>
          <w:szCs w:val="24"/>
        </w:rPr>
      </w:pPr>
      <w:r w:rsidRPr="005C67D7">
        <w:rPr>
          <w:rFonts w:ascii="Arial" w:eastAsia="Calibri" w:hAnsi="Arial" w:cs="Arial"/>
          <w:iCs/>
          <w:sz w:val="24"/>
          <w:szCs w:val="24"/>
        </w:rPr>
        <w:t xml:space="preserve">                          </w:t>
      </w:r>
    </w:p>
    <w:p w14:paraId="257623DB" w14:textId="77777777" w:rsidR="006966C0" w:rsidRPr="0086043B" w:rsidRDefault="006966C0" w:rsidP="0084545E">
      <w:pPr>
        <w:rPr>
          <w:rFonts w:ascii="Arial" w:hAnsi="Arial" w:cs="Arial"/>
          <w:highlight w:val="yellow"/>
        </w:rPr>
      </w:pPr>
    </w:p>
    <w:p w14:paraId="404A567C" w14:textId="77777777" w:rsidR="006966C0" w:rsidRPr="00BD71B6" w:rsidRDefault="006966C0" w:rsidP="0084545E"/>
    <w:p w14:paraId="7EE4A949" w14:textId="77777777" w:rsidR="000C5D76" w:rsidRPr="000C5D76" w:rsidRDefault="000C5D76" w:rsidP="0084545E"/>
    <w:p w14:paraId="253F5859" w14:textId="77777777" w:rsidR="000C5D76" w:rsidRPr="000C5D76" w:rsidRDefault="000C5D76" w:rsidP="0084545E"/>
    <w:p w14:paraId="0A2D0782" w14:textId="77777777" w:rsidR="000C5D76" w:rsidRPr="000C5D76" w:rsidRDefault="000C5D76" w:rsidP="0084545E"/>
    <w:p w14:paraId="7C85AA0A" w14:textId="77777777" w:rsidR="00E66E33" w:rsidRPr="000C5D76" w:rsidRDefault="00E66E33" w:rsidP="0084545E"/>
    <w:sectPr w:rsidR="00E66E33" w:rsidRPr="000C5D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59A7A" w14:textId="77777777" w:rsidR="00FE0926" w:rsidRDefault="00FE0926" w:rsidP="000C5D76">
      <w:pPr>
        <w:spacing w:after="0" w:line="240" w:lineRule="auto"/>
      </w:pPr>
      <w:r>
        <w:separator/>
      </w:r>
    </w:p>
  </w:endnote>
  <w:endnote w:type="continuationSeparator" w:id="0">
    <w:p w14:paraId="2CA06605" w14:textId="77777777" w:rsidR="00FE0926" w:rsidRDefault="00FE0926" w:rsidP="000C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2274" w14:textId="77777777" w:rsidR="00CA5535" w:rsidRDefault="00CA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508068"/>
      <w:docPartObj>
        <w:docPartGallery w:val="Page Numbers (Bottom of Page)"/>
        <w:docPartUnique/>
      </w:docPartObj>
    </w:sdtPr>
    <w:sdtEndPr>
      <w:rPr>
        <w:noProof/>
      </w:rPr>
    </w:sdtEndPr>
    <w:sdtContent>
      <w:p w14:paraId="088B0914" w14:textId="77777777" w:rsidR="00CA5535" w:rsidRDefault="00CA5535">
        <w:pPr>
          <w:pStyle w:val="Footer"/>
          <w:jc w:val="right"/>
        </w:pPr>
        <w:r>
          <w:fldChar w:fldCharType="begin"/>
        </w:r>
        <w:r>
          <w:instrText xml:space="preserve"> PAGE   \* MERGEFORMAT </w:instrText>
        </w:r>
        <w:r>
          <w:fldChar w:fldCharType="separate"/>
        </w:r>
        <w:r w:rsidR="00514051">
          <w:rPr>
            <w:noProof/>
          </w:rPr>
          <w:t>1</w:t>
        </w:r>
        <w:r>
          <w:rPr>
            <w:noProof/>
          </w:rPr>
          <w:fldChar w:fldCharType="end"/>
        </w:r>
      </w:p>
    </w:sdtContent>
  </w:sdt>
  <w:p w14:paraId="58E7F544" w14:textId="77777777" w:rsidR="00CA5535" w:rsidRDefault="00CA5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73FA3" w14:textId="77777777" w:rsidR="00CA5535" w:rsidRDefault="00CA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0FA54" w14:textId="77777777" w:rsidR="00FE0926" w:rsidRDefault="00FE0926" w:rsidP="000C5D76">
      <w:pPr>
        <w:spacing w:after="0" w:line="240" w:lineRule="auto"/>
      </w:pPr>
      <w:r>
        <w:separator/>
      </w:r>
    </w:p>
  </w:footnote>
  <w:footnote w:type="continuationSeparator" w:id="0">
    <w:p w14:paraId="0B134645" w14:textId="77777777" w:rsidR="00FE0926" w:rsidRDefault="00FE0926" w:rsidP="000C5D76">
      <w:pPr>
        <w:spacing w:after="0" w:line="240" w:lineRule="auto"/>
      </w:pPr>
      <w:r>
        <w:continuationSeparator/>
      </w:r>
    </w:p>
  </w:footnote>
  <w:footnote w:id="1">
    <w:p w14:paraId="36F2AB50" w14:textId="77777777" w:rsidR="000C5D76" w:rsidRDefault="000C5D76" w:rsidP="000C5D76">
      <w:pPr>
        <w:pStyle w:val="FootnoteText"/>
      </w:pPr>
      <w:r>
        <w:rPr>
          <w:rStyle w:val="FootnoteReference"/>
        </w:rPr>
        <w:footnoteRef/>
      </w:r>
      <w:r>
        <w:t xml:space="preserve"> 1997 (4) SA 766(W)</w:t>
      </w:r>
    </w:p>
  </w:footnote>
  <w:footnote w:id="2">
    <w:p w14:paraId="16A2E3FF" w14:textId="77777777" w:rsidR="000C5D76" w:rsidRDefault="000C5D76" w:rsidP="000C5D76">
      <w:pPr>
        <w:pStyle w:val="FootnoteText"/>
      </w:pPr>
      <w:r>
        <w:rPr>
          <w:rStyle w:val="FootnoteReference"/>
        </w:rPr>
        <w:footnoteRef/>
      </w:r>
      <w:r>
        <w:t xml:space="preserve"> Act 45 of 1988</w:t>
      </w:r>
    </w:p>
  </w:footnote>
  <w:footnote w:id="3">
    <w:p w14:paraId="02116F81" w14:textId="77777777" w:rsidR="000C5D76" w:rsidRDefault="000C5D76" w:rsidP="000C5D76">
      <w:pPr>
        <w:pStyle w:val="FootnoteText"/>
      </w:pPr>
      <w:r>
        <w:rPr>
          <w:rStyle w:val="FootnoteReference"/>
        </w:rPr>
        <w:footnoteRef/>
      </w:r>
      <w:r>
        <w:t xml:space="preserve"> Law of Evidence Chapter 9: Means of Proof: Witnesses, 9[2] CWH Schmidt et al </w:t>
      </w:r>
      <w:r>
        <w:t>5120</w:t>
      </w:r>
    </w:p>
  </w:footnote>
  <w:footnote w:id="4">
    <w:p w14:paraId="71EF4E60" w14:textId="77777777" w:rsidR="000C5D76" w:rsidRDefault="000C5D76" w:rsidP="000C5D76">
      <w:pPr>
        <w:pStyle w:val="FootnoteText"/>
      </w:pPr>
      <w:r>
        <w:rPr>
          <w:rStyle w:val="FootnoteReference"/>
        </w:rPr>
        <w:footnoteRef/>
      </w:r>
      <w:r>
        <w:t xml:space="preserve"> S v W 1963 [3] SA 516 A, S v GOUWS 1968 (4) SA 354 (G) 357 H, S v GOPE 1993 (2) SACR 92 (CK)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6976B" w14:textId="77777777" w:rsidR="00CA5535" w:rsidRDefault="00CA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087A" w14:textId="77777777" w:rsidR="00CA5535" w:rsidRDefault="00CA5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BB0AA" w14:textId="77777777" w:rsidR="00CA5535" w:rsidRDefault="00CA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2291A3D"/>
    <w:multiLevelType w:val="hybridMultilevel"/>
    <w:tmpl w:val="62327AF2"/>
    <w:lvl w:ilvl="0" w:tplc="CD34F5C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526C4834"/>
    <w:multiLevelType w:val="multilevel"/>
    <w:tmpl w:val="62ACCBA4"/>
    <w:lvl w:ilvl="0">
      <w:start w:val="27"/>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BF5B9B"/>
    <w:multiLevelType w:val="hybridMultilevel"/>
    <w:tmpl w:val="28AC9D4E"/>
    <w:lvl w:ilvl="0" w:tplc="1C090013">
      <w:start w:val="1"/>
      <w:numFmt w:val="upperRoman"/>
      <w:lvlText w:val="%1."/>
      <w:lvlJc w:val="right"/>
      <w:pPr>
        <w:ind w:left="1495"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744D6D5D"/>
    <w:multiLevelType w:val="multilevel"/>
    <w:tmpl w:val="BA725FDA"/>
    <w:lvl w:ilvl="0">
      <w:start w:val="1"/>
      <w:numFmt w:val="decimal"/>
      <w:lvlText w:val="%1."/>
      <w:lvlJc w:val="left"/>
      <w:pPr>
        <w:ind w:left="644" w:hanging="360"/>
      </w:pPr>
      <w:rPr>
        <w:rFonts w:hint="default"/>
        <w:i w:val="0"/>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1470319326">
    <w:abstractNumId w:val="2"/>
  </w:num>
  <w:num w:numId="2" w16cid:durableId="910114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324836">
    <w:abstractNumId w:val="6"/>
  </w:num>
  <w:num w:numId="4" w16cid:durableId="1578855934">
    <w:abstractNumId w:val="3"/>
  </w:num>
  <w:num w:numId="5" w16cid:durableId="1193542881">
    <w:abstractNumId w:val="4"/>
  </w:num>
  <w:num w:numId="6" w16cid:durableId="125271749">
    <w:abstractNumId w:val="5"/>
  </w:num>
  <w:num w:numId="7" w16cid:durableId="43772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76"/>
    <w:rsid w:val="0009642A"/>
    <w:rsid w:val="000C5D76"/>
    <w:rsid w:val="001C6EA9"/>
    <w:rsid w:val="002F21ED"/>
    <w:rsid w:val="00304086"/>
    <w:rsid w:val="00410E13"/>
    <w:rsid w:val="0045324F"/>
    <w:rsid w:val="004C361A"/>
    <w:rsid w:val="00514051"/>
    <w:rsid w:val="00656C50"/>
    <w:rsid w:val="00674074"/>
    <w:rsid w:val="006966C0"/>
    <w:rsid w:val="007451FF"/>
    <w:rsid w:val="008123B7"/>
    <w:rsid w:val="0084545E"/>
    <w:rsid w:val="008C4CE9"/>
    <w:rsid w:val="009962E6"/>
    <w:rsid w:val="009D63CE"/>
    <w:rsid w:val="00AE55B0"/>
    <w:rsid w:val="00B726A3"/>
    <w:rsid w:val="00C91854"/>
    <w:rsid w:val="00CA5535"/>
    <w:rsid w:val="00DB0C22"/>
    <w:rsid w:val="00DD3E93"/>
    <w:rsid w:val="00DF493E"/>
    <w:rsid w:val="00E66E33"/>
    <w:rsid w:val="00EB15FE"/>
    <w:rsid w:val="00F86183"/>
    <w:rsid w:val="00FA632A"/>
    <w:rsid w:val="00FE09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FCD"/>
  <w15:chartTrackingRefBased/>
  <w15:docId w15:val="{E014199A-C830-4A4D-AC1F-BD6E8E2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76"/>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FootnoteText">
    <w:name w:val="footnote text"/>
    <w:basedOn w:val="Normal"/>
    <w:link w:val="FootnoteTextChar"/>
    <w:uiPriority w:val="99"/>
    <w:semiHidden/>
    <w:unhideWhenUsed/>
    <w:rsid w:val="000C5D7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C5D76"/>
    <w:rPr>
      <w:sz w:val="20"/>
      <w:szCs w:val="20"/>
    </w:rPr>
  </w:style>
  <w:style w:type="character" w:styleId="FootnoteReference">
    <w:name w:val="footnote reference"/>
    <w:basedOn w:val="DefaultParagraphFont"/>
    <w:uiPriority w:val="99"/>
    <w:semiHidden/>
    <w:unhideWhenUsed/>
    <w:rsid w:val="000C5D76"/>
    <w:rPr>
      <w:vertAlign w:val="superscript"/>
    </w:rPr>
  </w:style>
  <w:style w:type="paragraph" w:styleId="ListParagraph">
    <w:name w:val="List Paragraph"/>
    <w:basedOn w:val="Normal"/>
    <w:uiPriority w:val="34"/>
    <w:qFormat/>
    <w:rsid w:val="00F86183"/>
    <w:pPr>
      <w:ind w:left="720"/>
      <w:contextualSpacing/>
    </w:pPr>
  </w:style>
  <w:style w:type="paragraph" w:customStyle="1" w:styleId="MEMONUMBERED">
    <w:name w:val="MEMO NUMBERED"/>
    <w:basedOn w:val="Normal"/>
    <w:link w:val="MEMONUMBEREDChar"/>
    <w:qFormat/>
    <w:rsid w:val="006966C0"/>
    <w:pPr>
      <w:numPr>
        <w:numId w:val="7"/>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6966C0"/>
    <w:rPr>
      <w:rFonts w:ascii="Times New Roman" w:eastAsia="Times New Roman" w:hAnsi="Times New Roman" w:cs="Times New Roman"/>
      <w:sz w:val="24"/>
      <w:szCs w:val="24"/>
      <w:lang w:val="en-US" w:eastAsia="en-ZA"/>
    </w:rPr>
  </w:style>
  <w:style w:type="character" w:styleId="Hyperlink">
    <w:name w:val="Hyperlink"/>
    <w:basedOn w:val="DefaultParagraphFont"/>
    <w:uiPriority w:val="99"/>
    <w:unhideWhenUsed/>
    <w:rsid w:val="006966C0"/>
    <w:rPr>
      <w:color w:val="0563C1" w:themeColor="hyperlink"/>
      <w:u w:val="single"/>
    </w:rPr>
  </w:style>
  <w:style w:type="paragraph" w:styleId="Header">
    <w:name w:val="header"/>
    <w:basedOn w:val="Normal"/>
    <w:link w:val="HeaderChar"/>
    <w:uiPriority w:val="99"/>
    <w:unhideWhenUsed/>
    <w:rsid w:val="00CA5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535"/>
    <w:rPr>
      <w:rFonts w:eastAsiaTheme="minorEastAsia"/>
      <w:lang w:eastAsia="en-ZA"/>
    </w:rPr>
  </w:style>
  <w:style w:type="paragraph" w:styleId="Footer">
    <w:name w:val="footer"/>
    <w:basedOn w:val="Normal"/>
    <w:link w:val="FooterChar"/>
    <w:uiPriority w:val="99"/>
    <w:unhideWhenUsed/>
    <w:rsid w:val="00CA5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535"/>
    <w:rPr>
      <w:rFonts w:eastAsiaTheme="minorEastAsia"/>
      <w:lang w:eastAsia="en-ZA"/>
    </w:rPr>
  </w:style>
  <w:style w:type="paragraph" w:styleId="BalloonText">
    <w:name w:val="Balloon Text"/>
    <w:basedOn w:val="Normal"/>
    <w:link w:val="BalloonTextChar"/>
    <w:uiPriority w:val="99"/>
    <w:semiHidden/>
    <w:unhideWhenUsed/>
    <w:rsid w:val="00FA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A"/>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molawa@mandnattorneys.co.za" TargetMode="External"/><Relationship Id="rId4" Type="http://schemas.openxmlformats.org/officeDocument/2006/relationships/webSettings" Target="webSettings.xml"/><Relationship Id="rId9" Type="http://schemas.openxmlformats.org/officeDocument/2006/relationships/hyperlink" Target="mailto:nic@weavind.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1389</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GAUTENG DIVISION, PRETORIA </vt:lpstr>
      <vt:lpstr>    I concur</vt:lpstr>
      <vt:lpstr>    GAUTENG DIVISION, PRETORIA </vt:lpstr>
    </vt:vector>
  </TitlesOfParts>
  <Company>HP Inc.</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sathish sarshan  mohan</cp:lastModifiedBy>
  <cp:revision>4</cp:revision>
  <cp:lastPrinted>2024-04-09T10:35:00Z</cp:lastPrinted>
  <dcterms:created xsi:type="dcterms:W3CDTF">2024-04-09T10:36:00Z</dcterms:created>
  <dcterms:modified xsi:type="dcterms:W3CDTF">2024-04-23T20:21:00Z</dcterms:modified>
</cp:coreProperties>
</file>