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DA4E5B" w14:textId="7AF81553" w:rsidR="00D72652" w:rsidRDefault="00D72652" w:rsidP="00AC3C83">
      <w:r>
        <w:rPr>
          <w:noProof/>
        </w:rPr>
        <w:drawing>
          <wp:inline distT="0" distB="0" distL="0" distR="0" wp14:anchorId="7C34EB62" wp14:editId="15370644">
            <wp:extent cx="4286250" cy="466725"/>
            <wp:effectExtent l="0" t="0" r="0" b="9525"/>
            <wp:docPr id="12771793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27B61D88" w14:textId="206DBC6B" w:rsidR="00027E87" w:rsidRPr="005D1AD7" w:rsidRDefault="00027E87" w:rsidP="00AC3C83">
      <w:pPr>
        <w:jc w:val="center"/>
      </w:pPr>
      <w:r w:rsidRPr="005D1AD7">
        <w:t>IN THE HIGH COURT OF SOUTH AFRICA</w:t>
      </w:r>
    </w:p>
    <w:p w14:paraId="1097AAFF" w14:textId="77777777" w:rsidR="00027E87" w:rsidRPr="00027E87" w:rsidRDefault="00027E87" w:rsidP="00AC3C83">
      <w:pPr>
        <w:jc w:val="center"/>
      </w:pPr>
      <w:r w:rsidRPr="00027E87">
        <w:t>GAUTENG DIVISION, PRETORIA</w:t>
      </w:r>
    </w:p>
    <w:p w14:paraId="2587C225" w14:textId="77777777" w:rsidR="00027E87" w:rsidRPr="00027E87" w:rsidRDefault="00027E87" w:rsidP="00AC3C83">
      <w:pPr>
        <w:rPr>
          <w:spacing w:val="-3"/>
        </w:rPr>
      </w:pPr>
    </w:p>
    <w:p w14:paraId="7370195C" w14:textId="5452E59F" w:rsidR="00517110" w:rsidRPr="00027E87" w:rsidRDefault="00027E87" w:rsidP="00AC3C83">
      <w:pPr>
        <w:rPr>
          <w:spacing w:val="-3"/>
        </w:rPr>
      </w:pPr>
      <w:r w:rsidRPr="00027E87">
        <w:rPr>
          <w:spacing w:val="-3"/>
        </w:rPr>
        <w:t>Before His Lordship Mr Justice Labuschagne AJ</w:t>
      </w:r>
      <w:r w:rsidR="00517110">
        <w:rPr>
          <w:spacing w:val="-3"/>
        </w:rPr>
        <w:t xml:space="preserve"> on </w:t>
      </w:r>
      <w:r w:rsidR="008B1DCB">
        <w:rPr>
          <w:spacing w:val="-3"/>
        </w:rPr>
        <w:t>5 April 2024</w:t>
      </w:r>
    </w:p>
    <w:p w14:paraId="3C826E59" w14:textId="243FF6BA" w:rsidR="00027E87" w:rsidRPr="00027E87" w:rsidRDefault="00027E87" w:rsidP="00AC3C83">
      <w:pPr>
        <w:jc w:val="right"/>
      </w:pPr>
      <w:r w:rsidRPr="00027E87">
        <w:t>Case No:</w:t>
      </w:r>
      <w:r w:rsidR="00652C23">
        <w:t xml:space="preserve">  </w:t>
      </w:r>
      <w:r w:rsidR="008B1DCB">
        <w:t>81131/2018</w:t>
      </w:r>
    </w:p>
    <w:p w14:paraId="72D0147C" w14:textId="77777777" w:rsidR="00027E87" w:rsidRPr="00027E87" w:rsidRDefault="00027E87" w:rsidP="00AC3C83">
      <w:r w:rsidRPr="00027E87">
        <w:t>In the matter between:</w:t>
      </w:r>
    </w:p>
    <w:p w14:paraId="4F8245ED" w14:textId="77777777" w:rsidR="00545B26" w:rsidRDefault="00545B26" w:rsidP="00AC3C83"/>
    <w:p w14:paraId="1609C156" w14:textId="2B1F2E0C" w:rsidR="006B1BC7" w:rsidRDefault="008B1DCB" w:rsidP="00AC3C83">
      <w:proofErr w:type="gramStart"/>
      <w:r>
        <w:t>T</w:t>
      </w:r>
      <w:r w:rsidR="0063164F">
        <w:t>[</w:t>
      </w:r>
      <w:proofErr w:type="gramEnd"/>
      <w:r w:rsidR="0063164F">
        <w:t>…]</w:t>
      </w:r>
      <w:r>
        <w:t xml:space="preserve"> </w:t>
      </w:r>
      <w:r w:rsidR="003F6290">
        <w:t>K</w:t>
      </w:r>
      <w:r w:rsidR="0063164F">
        <w:t>[…]</w:t>
      </w:r>
      <w:r w:rsidR="006635DE">
        <w:tab/>
        <w:t>A</w:t>
      </w:r>
      <w:r w:rsidR="00F76080">
        <w:t>pplica</w:t>
      </w:r>
      <w:r w:rsidR="006635DE">
        <w:t>n</w:t>
      </w:r>
      <w:r w:rsidR="006B1BC7">
        <w:t>t</w:t>
      </w:r>
    </w:p>
    <w:p w14:paraId="47FDB290" w14:textId="77777777" w:rsidR="00AF56DF" w:rsidRDefault="00AF56DF" w:rsidP="00AC3C83"/>
    <w:p w14:paraId="573E7EE8" w14:textId="427A0534" w:rsidR="006635DE" w:rsidRPr="006635DE" w:rsidRDefault="006635DE" w:rsidP="00AC3C83">
      <w:r>
        <w:tab/>
      </w:r>
    </w:p>
    <w:p w14:paraId="57657551" w14:textId="77777777" w:rsidR="00027E87" w:rsidRPr="00027E87" w:rsidRDefault="00027E87" w:rsidP="00AC3C83">
      <w:r w:rsidRPr="00027E87">
        <w:t>and</w:t>
      </w:r>
    </w:p>
    <w:p w14:paraId="6A528E39" w14:textId="77777777" w:rsidR="00027E87" w:rsidRPr="00027E87" w:rsidRDefault="00027E87" w:rsidP="00AC3C83"/>
    <w:p w14:paraId="0D6DBC8E" w14:textId="31797F55" w:rsidR="00545B26" w:rsidRDefault="003F6290" w:rsidP="00AC3C83">
      <w:proofErr w:type="gramStart"/>
      <w:r>
        <w:t>N</w:t>
      </w:r>
      <w:r w:rsidR="0063164F">
        <w:t>[</w:t>
      </w:r>
      <w:proofErr w:type="gramEnd"/>
      <w:r w:rsidR="0063164F">
        <w:t>…]</w:t>
      </w:r>
      <w:r>
        <w:t xml:space="preserve"> M</w:t>
      </w:r>
      <w:r w:rsidR="0063164F">
        <w:t>[…]</w:t>
      </w:r>
      <w:r>
        <w:t xml:space="preserve"> P</w:t>
      </w:r>
      <w:r w:rsidR="0063164F">
        <w:t>[…]</w:t>
      </w:r>
      <w:r w:rsidR="00F76080">
        <w:t xml:space="preserve"> </w:t>
      </w:r>
      <w:r w:rsidR="00027E87" w:rsidRPr="00027E87">
        <w:tab/>
      </w:r>
      <w:r w:rsidR="00545B26">
        <w:t>R</w:t>
      </w:r>
      <w:r w:rsidR="00F76080">
        <w:t>esponden</w:t>
      </w:r>
      <w:r w:rsidR="00545B26">
        <w:t>t</w:t>
      </w:r>
    </w:p>
    <w:p w14:paraId="4E60EA8E" w14:textId="77777777" w:rsidR="00027E87" w:rsidRPr="00027E87" w:rsidRDefault="00027E87" w:rsidP="00AC3C83">
      <w:pPr>
        <w:rPr>
          <w:rFonts w:cs="Times New Roman"/>
        </w:rPr>
      </w:pPr>
    </w:p>
    <w:p w14:paraId="77131D5A" w14:textId="77777777" w:rsidR="00027E87" w:rsidRPr="00027E87" w:rsidRDefault="00027E87" w:rsidP="00AC3C83">
      <w:pPr>
        <w:rPr>
          <w:rFonts w:cs="Times New Roman"/>
        </w:rPr>
      </w:pPr>
    </w:p>
    <w:p w14:paraId="335A08BF" w14:textId="77777777" w:rsidR="00027E87" w:rsidRPr="00027E87" w:rsidRDefault="00027E87" w:rsidP="00AC3C83">
      <w:pPr>
        <w:rPr>
          <w:rFonts w:cs="Times New Roman"/>
        </w:rPr>
      </w:pPr>
      <w:r w:rsidRPr="00027E87">
        <w:rPr>
          <w:rFonts w:cs="Times New Roman"/>
        </w:rPr>
        <w:t>JUDGMENT</w:t>
      </w:r>
    </w:p>
    <w:p w14:paraId="00147435" w14:textId="77777777" w:rsidR="0001468B" w:rsidRDefault="0001468B" w:rsidP="00AC3C83">
      <w:pPr>
        <w:rPr>
          <w:rFonts w:cs="Times New Roman"/>
        </w:rPr>
      </w:pPr>
    </w:p>
    <w:p w14:paraId="5773C761" w14:textId="00CC05F5" w:rsidR="009852CB" w:rsidRDefault="005E27E5" w:rsidP="00AC3C83">
      <w:pPr>
        <w:rPr>
          <w:rFonts w:cs="Times New Roman"/>
        </w:rPr>
      </w:pPr>
      <w:r>
        <w:rPr>
          <w:rFonts w:cs="Times New Roman"/>
        </w:rPr>
        <w:t>[1]</w:t>
      </w:r>
      <w:r>
        <w:rPr>
          <w:rFonts w:cs="Times New Roman"/>
        </w:rPr>
        <w:tab/>
      </w:r>
      <w:r w:rsidR="000812D8">
        <w:rPr>
          <w:rFonts w:cs="Times New Roman"/>
        </w:rPr>
        <w:t>This is an opposed motion that proceeded</w:t>
      </w:r>
      <w:r w:rsidR="00B8186D">
        <w:rPr>
          <w:rFonts w:cs="Times New Roman"/>
        </w:rPr>
        <w:t xml:space="preserve"> by default in the unopposed motion court</w:t>
      </w:r>
      <w:r w:rsidR="00FB7BD9">
        <w:rPr>
          <w:rFonts w:cs="Times New Roman"/>
        </w:rPr>
        <w:t xml:space="preserve"> on 2 April 2024.Full papers were </w:t>
      </w:r>
      <w:proofErr w:type="gramStart"/>
      <w:r w:rsidR="00FB7BD9">
        <w:rPr>
          <w:rFonts w:cs="Times New Roman"/>
        </w:rPr>
        <w:t>exchanged</w:t>
      </w:r>
      <w:proofErr w:type="gramEnd"/>
      <w:r w:rsidR="00FB7BD9">
        <w:rPr>
          <w:rFonts w:cs="Times New Roman"/>
        </w:rPr>
        <w:t xml:space="preserve"> </w:t>
      </w:r>
      <w:r w:rsidR="009852CB">
        <w:rPr>
          <w:rFonts w:cs="Times New Roman"/>
        </w:rPr>
        <w:t>and the applicant had filed heads as well.</w:t>
      </w:r>
    </w:p>
    <w:p w14:paraId="4897215B" w14:textId="77777777" w:rsidR="00811D9B" w:rsidRDefault="00811D9B" w:rsidP="00AC3C83">
      <w:pPr>
        <w:rPr>
          <w:rFonts w:cs="Times New Roman"/>
        </w:rPr>
      </w:pPr>
    </w:p>
    <w:p w14:paraId="4452071F" w14:textId="69DDE5F6" w:rsidR="003F6290" w:rsidRDefault="005E27E5" w:rsidP="00AC3C83">
      <w:pPr>
        <w:rPr>
          <w:rFonts w:cs="Times New Roman"/>
        </w:rPr>
      </w:pPr>
      <w:r>
        <w:rPr>
          <w:rFonts w:cs="Times New Roman"/>
        </w:rPr>
        <w:t>[2]</w:t>
      </w:r>
      <w:r>
        <w:rPr>
          <w:rFonts w:cs="Times New Roman"/>
        </w:rPr>
        <w:tab/>
      </w:r>
      <w:r w:rsidR="003F6290">
        <w:rPr>
          <w:rFonts w:cs="Times New Roman"/>
        </w:rPr>
        <w:t>The applicant and the respondent were married in community of property on 4 June 2004.  In 2008 divorce proceedings commenced and the parties were divorced on 20 October 2008.  The court order</w:t>
      </w:r>
      <w:r w:rsidR="00364E33">
        <w:rPr>
          <w:rFonts w:cs="Times New Roman"/>
        </w:rPr>
        <w:t xml:space="preserve"> dated 20 October 2008</w:t>
      </w:r>
      <w:r w:rsidR="003F6290">
        <w:rPr>
          <w:rFonts w:cs="Times New Roman"/>
        </w:rPr>
        <w:t xml:space="preserve"> provides firstly for the dissolution of the marriage.  Secondly, specific assets in the common estate </w:t>
      </w:r>
      <w:r w:rsidR="00E502DC">
        <w:rPr>
          <w:rFonts w:cs="Times New Roman"/>
        </w:rPr>
        <w:t>were</w:t>
      </w:r>
      <w:r w:rsidR="003F6290">
        <w:rPr>
          <w:rFonts w:cs="Times New Roman"/>
        </w:rPr>
        <w:t xml:space="preserve"> awarded to the applicant.  These include the movables in her possession, a television set which the respondent had to deliver to the applicant, a motor vehicle, all policies in the name of the applicant and an amount of R410 000.00 which the applicant had already received from the respondent’s pension.</w:t>
      </w:r>
    </w:p>
    <w:p w14:paraId="38DAF377" w14:textId="77777777" w:rsidR="003F6290" w:rsidRDefault="003F6290" w:rsidP="00AC3C83">
      <w:pPr>
        <w:rPr>
          <w:rFonts w:cs="Times New Roman"/>
        </w:rPr>
      </w:pPr>
    </w:p>
    <w:p w14:paraId="2BC31B6C" w14:textId="1AAC9507" w:rsidR="003F6290" w:rsidRPr="00286075" w:rsidRDefault="005E27E5" w:rsidP="00AC3C83">
      <w:pPr>
        <w:rPr>
          <w:rFonts w:cs="Times New Roman"/>
        </w:rPr>
      </w:pPr>
      <w:r w:rsidRPr="00286075">
        <w:rPr>
          <w:rFonts w:cs="Times New Roman"/>
        </w:rPr>
        <w:lastRenderedPageBreak/>
        <w:t>[3]</w:t>
      </w:r>
      <w:r w:rsidRPr="00286075">
        <w:rPr>
          <w:rFonts w:cs="Times New Roman"/>
        </w:rPr>
        <w:tab/>
      </w:r>
      <w:r w:rsidR="003F6290">
        <w:rPr>
          <w:rFonts w:cs="Times New Roman"/>
        </w:rPr>
        <w:t>The applicant and the respondent are the co-owners of immovable property which was not expressly referred to in the divorce order</w:t>
      </w:r>
      <w:r w:rsidR="00811D9B">
        <w:rPr>
          <w:rFonts w:cs="Times New Roman"/>
        </w:rPr>
        <w:t xml:space="preserve">.  </w:t>
      </w:r>
      <w:r w:rsidR="003F6290" w:rsidRPr="00286075">
        <w:rPr>
          <w:rFonts w:cs="Times New Roman"/>
        </w:rPr>
        <w:t xml:space="preserve">The applicant applies </w:t>
      </w:r>
      <w:r w:rsidR="00E03C27">
        <w:rPr>
          <w:rFonts w:cs="Times New Roman"/>
        </w:rPr>
        <w:t xml:space="preserve">in terms of Rule 42(1)(b) </w:t>
      </w:r>
      <w:r w:rsidR="003F6290" w:rsidRPr="00286075">
        <w:rPr>
          <w:rFonts w:cs="Times New Roman"/>
        </w:rPr>
        <w:t>for an order in the following terms:</w:t>
      </w:r>
    </w:p>
    <w:p w14:paraId="4519B5E0" w14:textId="77777777" w:rsidR="003F6290" w:rsidRDefault="003F6290" w:rsidP="00AC3C83">
      <w:pPr>
        <w:rPr>
          <w:rFonts w:cs="Times New Roman"/>
        </w:rPr>
      </w:pPr>
    </w:p>
    <w:p w14:paraId="7D0BB488" w14:textId="2888218C" w:rsidR="003F6290" w:rsidRDefault="003F6290" w:rsidP="00AC3C83">
      <w:pPr>
        <w:rPr>
          <w:rFonts w:cs="Times New Roman"/>
          <w:i/>
          <w:iCs/>
        </w:rPr>
      </w:pPr>
      <w:r>
        <w:rPr>
          <w:rFonts w:cs="Times New Roman"/>
          <w:i/>
          <w:iCs/>
        </w:rPr>
        <w:t>“1.</w:t>
      </w:r>
      <w:r>
        <w:rPr>
          <w:rFonts w:cs="Times New Roman"/>
          <w:i/>
          <w:iCs/>
        </w:rPr>
        <w:tab/>
        <w:t xml:space="preserve">That the court order granted by the above Honourable Court under case number 41023/2008 be varied and add </w:t>
      </w:r>
      <w:r w:rsidR="00616AD0">
        <w:rPr>
          <w:rFonts w:cs="Times New Roman"/>
        </w:rPr>
        <w:t>(sic)</w:t>
      </w:r>
      <w:r w:rsidR="00616AD0">
        <w:rPr>
          <w:rFonts w:cs="Times New Roman"/>
          <w:i/>
          <w:iCs/>
        </w:rPr>
        <w:t xml:space="preserve"> the following terms:</w:t>
      </w:r>
    </w:p>
    <w:p w14:paraId="6C5F8642" w14:textId="77777777" w:rsidR="00616AD0" w:rsidRDefault="00616AD0" w:rsidP="00AC3C83">
      <w:pPr>
        <w:rPr>
          <w:rFonts w:cs="Times New Roman"/>
          <w:i/>
          <w:iCs/>
        </w:rPr>
      </w:pPr>
    </w:p>
    <w:p w14:paraId="6F8F5C01" w14:textId="2C261FBF" w:rsidR="00616AD0" w:rsidRPr="005E27E5" w:rsidRDefault="005E27E5" w:rsidP="00AC3C83">
      <w:pPr>
        <w:rPr>
          <w:rFonts w:cs="Times New Roman"/>
          <w:i/>
          <w:iCs/>
        </w:rPr>
      </w:pPr>
      <w:r>
        <w:rPr>
          <w:rFonts w:cs="Times New Roman"/>
          <w:i/>
          <w:iCs/>
        </w:rPr>
        <w:t>1.1</w:t>
      </w:r>
      <w:r>
        <w:rPr>
          <w:rFonts w:cs="Times New Roman"/>
          <w:i/>
          <w:iCs/>
        </w:rPr>
        <w:tab/>
      </w:r>
      <w:r w:rsidR="00616AD0" w:rsidRPr="005E27E5">
        <w:rPr>
          <w:rFonts w:cs="Times New Roman"/>
          <w:i/>
          <w:iCs/>
        </w:rPr>
        <w:t xml:space="preserve">That the immovable property described as Erf </w:t>
      </w:r>
      <w:r w:rsidR="0063164F">
        <w:rPr>
          <w:rFonts w:cs="Times New Roman"/>
          <w:i/>
          <w:iCs/>
        </w:rPr>
        <w:t>[…]</w:t>
      </w:r>
      <w:r w:rsidR="00616AD0" w:rsidRPr="005E27E5">
        <w:rPr>
          <w:rFonts w:cs="Times New Roman"/>
          <w:i/>
          <w:iCs/>
        </w:rPr>
        <w:t xml:space="preserve">, </w:t>
      </w:r>
      <w:proofErr w:type="spellStart"/>
      <w:r w:rsidR="00616AD0" w:rsidRPr="005E27E5">
        <w:rPr>
          <w:rFonts w:cs="Times New Roman"/>
          <w:i/>
          <w:iCs/>
        </w:rPr>
        <w:t>D</w:t>
      </w:r>
      <w:r w:rsidR="0077423F" w:rsidRPr="005E27E5">
        <w:rPr>
          <w:rFonts w:cs="Times New Roman"/>
          <w:i/>
          <w:iCs/>
        </w:rPr>
        <w:t>orandia</w:t>
      </w:r>
      <w:proofErr w:type="spellEnd"/>
      <w:r w:rsidR="0077423F" w:rsidRPr="005E27E5">
        <w:rPr>
          <w:rFonts w:cs="Times New Roman"/>
          <w:i/>
          <w:iCs/>
        </w:rPr>
        <w:t xml:space="preserve"> Ext. 7, Pretoria, Gauteng Province be </w:t>
      </w:r>
      <w:proofErr w:type="gramStart"/>
      <w:r w:rsidR="0077423F" w:rsidRPr="005E27E5">
        <w:rPr>
          <w:rFonts w:cs="Times New Roman"/>
          <w:i/>
          <w:iCs/>
        </w:rPr>
        <w:t>sold</w:t>
      </w:r>
      <w:proofErr w:type="gramEnd"/>
      <w:r w:rsidR="0077423F" w:rsidRPr="005E27E5">
        <w:rPr>
          <w:rFonts w:cs="Times New Roman"/>
          <w:i/>
          <w:iCs/>
        </w:rPr>
        <w:t xml:space="preserve"> and the proceeds be shared equally between the parties;</w:t>
      </w:r>
    </w:p>
    <w:p w14:paraId="27DFFA5C" w14:textId="77777777" w:rsidR="0077423F" w:rsidRPr="0077423F" w:rsidRDefault="0077423F" w:rsidP="00AC3C83">
      <w:pPr>
        <w:rPr>
          <w:rFonts w:cs="Times New Roman"/>
          <w:i/>
          <w:iCs/>
        </w:rPr>
      </w:pPr>
    </w:p>
    <w:p w14:paraId="7E3FBB69" w14:textId="6C7C496B" w:rsidR="0077423F" w:rsidRPr="005E27E5" w:rsidRDefault="005E27E5" w:rsidP="00AC3C83">
      <w:pPr>
        <w:rPr>
          <w:rFonts w:cs="Times New Roman"/>
          <w:i/>
          <w:iCs/>
        </w:rPr>
      </w:pPr>
      <w:r>
        <w:rPr>
          <w:rFonts w:cs="Times New Roman"/>
          <w:i/>
          <w:iCs/>
        </w:rPr>
        <w:t>1.2</w:t>
      </w:r>
      <w:r>
        <w:rPr>
          <w:rFonts w:cs="Times New Roman"/>
          <w:i/>
          <w:iCs/>
        </w:rPr>
        <w:tab/>
      </w:r>
      <w:r w:rsidR="0077423F" w:rsidRPr="005E27E5">
        <w:rPr>
          <w:rFonts w:cs="Times New Roman"/>
          <w:i/>
          <w:iCs/>
        </w:rPr>
        <w:t>That both parties should endeavour to sign documents for the sale of the immovable property</w:t>
      </w:r>
      <w:r w:rsidR="005578C4" w:rsidRPr="005E27E5">
        <w:rPr>
          <w:rFonts w:cs="Times New Roman"/>
          <w:i/>
          <w:iCs/>
        </w:rPr>
        <w:t>.</w:t>
      </w:r>
    </w:p>
    <w:p w14:paraId="42AA098D" w14:textId="77777777" w:rsidR="005578C4" w:rsidRPr="005578C4" w:rsidRDefault="005578C4" w:rsidP="00AC3C83">
      <w:pPr>
        <w:rPr>
          <w:rFonts w:cs="Times New Roman"/>
          <w:i/>
          <w:iCs/>
        </w:rPr>
      </w:pPr>
    </w:p>
    <w:p w14:paraId="56C44A59" w14:textId="77777777" w:rsidR="005578C4" w:rsidRDefault="005578C4" w:rsidP="00AC3C83">
      <w:pPr>
        <w:rPr>
          <w:rFonts w:cs="Times New Roman"/>
          <w:i/>
          <w:iCs/>
        </w:rPr>
      </w:pPr>
      <w:r>
        <w:rPr>
          <w:rFonts w:cs="Times New Roman"/>
          <w:i/>
          <w:iCs/>
        </w:rPr>
        <w:tab/>
        <w:t>2.</w:t>
      </w:r>
      <w:r>
        <w:rPr>
          <w:rFonts w:cs="Times New Roman"/>
          <w:i/>
          <w:iCs/>
        </w:rPr>
        <w:tab/>
      </w:r>
      <w:r w:rsidR="0077423F" w:rsidRPr="005578C4">
        <w:rPr>
          <w:rFonts w:cs="Times New Roman"/>
          <w:i/>
          <w:iCs/>
        </w:rPr>
        <w:t>That should the respondent fail within 7 (seven) days of granting this order to take the necessary steps, the sheriff be authorised to take such steps on the respondent</w:t>
      </w:r>
      <w:r w:rsidR="00D84CC8" w:rsidRPr="005578C4">
        <w:rPr>
          <w:rFonts w:cs="Times New Roman"/>
          <w:i/>
          <w:iCs/>
        </w:rPr>
        <w:t>’s behalf.</w:t>
      </w:r>
    </w:p>
    <w:p w14:paraId="16ADBCB6" w14:textId="77777777" w:rsidR="005578C4" w:rsidRDefault="005578C4" w:rsidP="00AC3C83">
      <w:pPr>
        <w:rPr>
          <w:rFonts w:cs="Times New Roman"/>
          <w:i/>
          <w:iCs/>
        </w:rPr>
      </w:pPr>
    </w:p>
    <w:p w14:paraId="577F6B81" w14:textId="43650CED" w:rsidR="005578C4" w:rsidRDefault="005578C4" w:rsidP="00AC3C83">
      <w:pPr>
        <w:rPr>
          <w:rFonts w:cs="Times New Roman"/>
          <w:i/>
          <w:iCs/>
        </w:rPr>
      </w:pPr>
      <w:r>
        <w:rPr>
          <w:rFonts w:cs="Times New Roman"/>
          <w:i/>
          <w:iCs/>
        </w:rPr>
        <w:tab/>
        <w:t>3.</w:t>
      </w:r>
      <w:r>
        <w:rPr>
          <w:rFonts w:cs="Times New Roman"/>
          <w:i/>
          <w:iCs/>
        </w:rPr>
        <w:tab/>
        <w:t>That the respondent be ordered to pay occupational rent in the amount of R517 500.00 (Five hundred and Seventeenth Thousand Five Hundred Rand).</w:t>
      </w:r>
    </w:p>
    <w:p w14:paraId="142434D8" w14:textId="77777777" w:rsidR="005578C4" w:rsidRDefault="005578C4" w:rsidP="00AC3C83">
      <w:pPr>
        <w:rPr>
          <w:rFonts w:cs="Times New Roman"/>
          <w:i/>
          <w:iCs/>
        </w:rPr>
      </w:pPr>
    </w:p>
    <w:p w14:paraId="01AD992D" w14:textId="7897DDF8" w:rsidR="005578C4" w:rsidRDefault="005578C4" w:rsidP="00AC3C83">
      <w:pPr>
        <w:rPr>
          <w:rFonts w:cs="Times New Roman"/>
          <w:i/>
          <w:iCs/>
        </w:rPr>
      </w:pPr>
      <w:r>
        <w:rPr>
          <w:rFonts w:cs="Times New Roman"/>
          <w:i/>
          <w:iCs/>
        </w:rPr>
        <w:tab/>
        <w:t>4.</w:t>
      </w:r>
      <w:r>
        <w:rPr>
          <w:rFonts w:cs="Times New Roman"/>
          <w:i/>
          <w:iCs/>
        </w:rPr>
        <w:tab/>
        <w:t>Costs of suit.</w:t>
      </w:r>
    </w:p>
    <w:p w14:paraId="40BF0844" w14:textId="77777777" w:rsidR="005578C4" w:rsidRDefault="005578C4" w:rsidP="00AC3C83">
      <w:pPr>
        <w:rPr>
          <w:rFonts w:cs="Times New Roman"/>
          <w:i/>
          <w:iCs/>
        </w:rPr>
      </w:pPr>
    </w:p>
    <w:p w14:paraId="1EA83FB9" w14:textId="3848D2E3" w:rsidR="005578C4" w:rsidRPr="00D84CC8" w:rsidRDefault="005578C4" w:rsidP="00AC3C83">
      <w:pPr>
        <w:rPr>
          <w:rFonts w:cs="Times New Roman"/>
          <w:i/>
          <w:iCs/>
        </w:rPr>
      </w:pPr>
      <w:r>
        <w:rPr>
          <w:rFonts w:cs="Times New Roman"/>
          <w:i/>
          <w:iCs/>
        </w:rPr>
        <w:tab/>
        <w:t>5.</w:t>
      </w:r>
      <w:r>
        <w:rPr>
          <w:rFonts w:cs="Times New Roman"/>
          <w:i/>
          <w:iCs/>
        </w:rPr>
        <w:tab/>
        <w:t>Further and/or alternative relief.”</w:t>
      </w:r>
    </w:p>
    <w:p w14:paraId="1E4AA44E" w14:textId="000C6AE3" w:rsidR="003F6290" w:rsidRDefault="003F6290" w:rsidP="00AC3C83">
      <w:pPr>
        <w:rPr>
          <w:rFonts w:cs="Times New Roman"/>
        </w:rPr>
      </w:pPr>
    </w:p>
    <w:p w14:paraId="2C8C08C6" w14:textId="49735204" w:rsidR="00D12194" w:rsidRDefault="005E27E5" w:rsidP="00AC3C83">
      <w:pPr>
        <w:rPr>
          <w:rFonts w:cs="Times New Roman"/>
        </w:rPr>
      </w:pPr>
      <w:r>
        <w:rPr>
          <w:rFonts w:cs="Times New Roman"/>
        </w:rPr>
        <w:t>[4]</w:t>
      </w:r>
      <w:r>
        <w:rPr>
          <w:rFonts w:cs="Times New Roman"/>
        </w:rPr>
        <w:tab/>
      </w:r>
      <w:r w:rsidR="005578C4">
        <w:rPr>
          <w:rFonts w:cs="Times New Roman"/>
        </w:rPr>
        <w:t>In 2018 the parties tried to negotiate a contract in terms of which the applicant would sell her interest</w:t>
      </w:r>
      <w:r w:rsidR="006364DC">
        <w:rPr>
          <w:rFonts w:cs="Times New Roman"/>
        </w:rPr>
        <w:t xml:space="preserve"> in the immovable property</w:t>
      </w:r>
      <w:r w:rsidR="005578C4">
        <w:rPr>
          <w:rFonts w:cs="Times New Roman"/>
        </w:rPr>
        <w:t xml:space="preserve"> to the respondent, but this came to naught.</w:t>
      </w:r>
    </w:p>
    <w:p w14:paraId="1C99B739" w14:textId="77777777" w:rsidR="00D12194" w:rsidRDefault="00D12194" w:rsidP="00AC3C83">
      <w:pPr>
        <w:rPr>
          <w:rFonts w:cs="Times New Roman"/>
        </w:rPr>
      </w:pPr>
    </w:p>
    <w:p w14:paraId="65E375D4" w14:textId="18567FD8" w:rsidR="00D12194" w:rsidRDefault="005E27E5" w:rsidP="00AC3C83">
      <w:pPr>
        <w:rPr>
          <w:rFonts w:cs="Times New Roman"/>
        </w:rPr>
      </w:pPr>
      <w:r>
        <w:rPr>
          <w:rFonts w:cs="Times New Roman"/>
        </w:rPr>
        <w:t>[5]</w:t>
      </w:r>
      <w:r>
        <w:rPr>
          <w:rFonts w:cs="Times New Roman"/>
        </w:rPr>
        <w:tab/>
      </w:r>
      <w:r w:rsidR="00D12194">
        <w:rPr>
          <w:rFonts w:cs="Times New Roman"/>
        </w:rPr>
        <w:t xml:space="preserve">The respondent has remained in the property from the date of divorce.  The applicant feels aggrieved and is seeking </w:t>
      </w:r>
      <w:r w:rsidR="00D12194">
        <w:rPr>
          <w:rFonts w:cs="Times New Roman"/>
          <w:i/>
          <w:iCs/>
        </w:rPr>
        <w:t>“occupational rent”</w:t>
      </w:r>
      <w:r w:rsidR="00D12194">
        <w:rPr>
          <w:rFonts w:cs="Times New Roman"/>
        </w:rPr>
        <w:t>.</w:t>
      </w:r>
    </w:p>
    <w:p w14:paraId="622C215A" w14:textId="77777777" w:rsidR="00D12194" w:rsidRDefault="00D12194" w:rsidP="00AC3C83">
      <w:pPr>
        <w:rPr>
          <w:rFonts w:cs="Times New Roman"/>
        </w:rPr>
      </w:pPr>
    </w:p>
    <w:p w14:paraId="31643AB9" w14:textId="26369DF5" w:rsidR="0052170F" w:rsidRDefault="005E27E5" w:rsidP="00AC3C83">
      <w:pPr>
        <w:rPr>
          <w:rFonts w:cs="Times New Roman"/>
        </w:rPr>
      </w:pPr>
      <w:r>
        <w:rPr>
          <w:rFonts w:cs="Times New Roman"/>
        </w:rPr>
        <w:t>[6]</w:t>
      </w:r>
      <w:r>
        <w:rPr>
          <w:rFonts w:cs="Times New Roman"/>
        </w:rPr>
        <w:tab/>
      </w:r>
      <w:r w:rsidR="00D12194">
        <w:rPr>
          <w:rFonts w:cs="Times New Roman"/>
        </w:rPr>
        <w:t>Although this application was launched in 2018, there is no explanation in the papers as to why this matter comes to court only in 2024.</w:t>
      </w:r>
      <w:r w:rsidR="0052170F">
        <w:rPr>
          <w:rFonts w:cs="Times New Roman"/>
        </w:rPr>
        <w:t xml:space="preserve">  There is no explanation </w:t>
      </w:r>
      <w:r w:rsidR="0052170F">
        <w:rPr>
          <w:rFonts w:cs="Times New Roman"/>
        </w:rPr>
        <w:lastRenderedPageBreak/>
        <w:t>for the delay between 2008 up to 2018 as to why the parties did not resolve their dispute regarding the commonly owned immovable property.</w:t>
      </w:r>
    </w:p>
    <w:p w14:paraId="6D2DA053" w14:textId="77777777" w:rsidR="0052170F" w:rsidRDefault="0052170F" w:rsidP="00AC3C83">
      <w:pPr>
        <w:rPr>
          <w:rFonts w:cs="Times New Roman"/>
        </w:rPr>
      </w:pPr>
    </w:p>
    <w:p w14:paraId="61CF3557" w14:textId="24A6988A" w:rsidR="0052170F" w:rsidRPr="000456EF" w:rsidRDefault="005E27E5" w:rsidP="00AC3C83">
      <w:pPr>
        <w:rPr>
          <w:rFonts w:cs="Times New Roman"/>
        </w:rPr>
      </w:pPr>
      <w:r w:rsidRPr="000456EF">
        <w:rPr>
          <w:rFonts w:cs="Times New Roman"/>
        </w:rPr>
        <w:t>[7]</w:t>
      </w:r>
      <w:r w:rsidRPr="000456EF">
        <w:rPr>
          <w:rFonts w:cs="Times New Roman"/>
        </w:rPr>
        <w:tab/>
      </w:r>
      <w:r w:rsidR="0052170F">
        <w:rPr>
          <w:rFonts w:cs="Times New Roman"/>
        </w:rPr>
        <w:t>It is a requirement for</w:t>
      </w:r>
      <w:r w:rsidR="00776499">
        <w:rPr>
          <w:rFonts w:cs="Times New Roman"/>
        </w:rPr>
        <w:t xml:space="preserve"> relief </w:t>
      </w:r>
      <w:r w:rsidR="008A6D17">
        <w:rPr>
          <w:rFonts w:cs="Times New Roman"/>
        </w:rPr>
        <w:t>under</w:t>
      </w:r>
      <w:r w:rsidR="00776499">
        <w:rPr>
          <w:rFonts w:cs="Times New Roman"/>
        </w:rPr>
        <w:t xml:space="preserve"> </w:t>
      </w:r>
      <w:r w:rsidR="0052170F">
        <w:rPr>
          <w:rFonts w:cs="Times New Roman"/>
        </w:rPr>
        <w:t>Rule 42 that an application to correct or supplement a court order should be brought within a reasonable time.  (</w:t>
      </w:r>
      <w:proofErr w:type="spellStart"/>
      <w:proofErr w:type="gramStart"/>
      <w:r w:rsidR="0052170F">
        <w:rPr>
          <w:rFonts w:cs="Times New Roman"/>
        </w:rPr>
        <w:t>See:</w:t>
      </w:r>
      <w:r w:rsidR="009C5ED1">
        <w:rPr>
          <w:rFonts w:cs="Times New Roman"/>
        </w:rPr>
        <w:t>Mostert</w:t>
      </w:r>
      <w:proofErr w:type="spellEnd"/>
      <w:proofErr w:type="gramEnd"/>
      <w:r w:rsidR="009C5ED1">
        <w:rPr>
          <w:rFonts w:cs="Times New Roman"/>
        </w:rPr>
        <w:t xml:space="preserve"> v Nedbank</w:t>
      </w:r>
      <w:r w:rsidR="002B7972">
        <w:rPr>
          <w:rFonts w:cs="Times New Roman"/>
        </w:rPr>
        <w:t xml:space="preserve"> </w:t>
      </w:r>
      <w:r w:rsidR="002B7972" w:rsidRPr="00811D9B">
        <w:rPr>
          <w:rFonts w:cs="Times New Roman"/>
        </w:rPr>
        <w:t>2014 JDR 0760 (KZP)</w:t>
      </w:r>
      <w:r w:rsidR="00A05E13" w:rsidRPr="00811D9B">
        <w:rPr>
          <w:rFonts w:cs="Times New Roman"/>
        </w:rPr>
        <w:t xml:space="preserve"> at par [4]</w:t>
      </w:r>
      <w:r w:rsidR="00811D9B">
        <w:rPr>
          <w:rFonts w:cs="Times New Roman"/>
        </w:rPr>
        <w:t>)</w:t>
      </w:r>
      <w:r w:rsidR="000456EF" w:rsidRPr="00811D9B">
        <w:rPr>
          <w:rFonts w:cs="Times New Roman"/>
        </w:rPr>
        <w:t>.</w:t>
      </w:r>
    </w:p>
    <w:p w14:paraId="119B189C" w14:textId="77777777" w:rsidR="000456EF" w:rsidRDefault="000456EF" w:rsidP="00AC3C83">
      <w:pPr>
        <w:rPr>
          <w:rFonts w:cs="Times New Roman"/>
        </w:rPr>
      </w:pPr>
    </w:p>
    <w:p w14:paraId="62384658" w14:textId="2A915640" w:rsidR="000456EF" w:rsidRDefault="005E27E5" w:rsidP="00AC3C83">
      <w:pPr>
        <w:rPr>
          <w:rFonts w:cs="Times New Roman"/>
        </w:rPr>
      </w:pPr>
      <w:r>
        <w:rPr>
          <w:rFonts w:cs="Times New Roman"/>
        </w:rPr>
        <w:t>[8]</w:t>
      </w:r>
      <w:r>
        <w:rPr>
          <w:rFonts w:cs="Times New Roman"/>
        </w:rPr>
        <w:tab/>
      </w:r>
      <w:r w:rsidR="000456EF">
        <w:rPr>
          <w:rFonts w:cs="Times New Roman"/>
        </w:rPr>
        <w:t xml:space="preserve">Rule 42 is an exception to the general rule that a court is </w:t>
      </w:r>
      <w:r w:rsidR="000456EF">
        <w:rPr>
          <w:rFonts w:cs="Times New Roman"/>
          <w:i/>
          <w:iCs/>
        </w:rPr>
        <w:t xml:space="preserve">functus officio </w:t>
      </w:r>
      <w:r w:rsidR="000456EF">
        <w:rPr>
          <w:rFonts w:cs="Times New Roman"/>
        </w:rPr>
        <w:t>after it has pronounced on a matter by means of a judgment.</w:t>
      </w:r>
    </w:p>
    <w:p w14:paraId="23EF8F30" w14:textId="77777777" w:rsidR="000456EF" w:rsidRDefault="000456EF" w:rsidP="00AC3C83">
      <w:pPr>
        <w:rPr>
          <w:rFonts w:cs="Times New Roman"/>
        </w:rPr>
      </w:pPr>
    </w:p>
    <w:p w14:paraId="3854E986" w14:textId="3D060241" w:rsidR="000456EF" w:rsidRDefault="005E27E5" w:rsidP="00AC3C83">
      <w:pPr>
        <w:rPr>
          <w:rFonts w:cs="Times New Roman"/>
        </w:rPr>
      </w:pPr>
      <w:r>
        <w:rPr>
          <w:rFonts w:cs="Times New Roman"/>
        </w:rPr>
        <w:t>[9]</w:t>
      </w:r>
      <w:r>
        <w:rPr>
          <w:rFonts w:cs="Times New Roman"/>
        </w:rPr>
        <w:tab/>
      </w:r>
      <w:r w:rsidR="000456EF">
        <w:rPr>
          <w:rFonts w:cs="Times New Roman"/>
        </w:rPr>
        <w:t xml:space="preserve">Rule 42(1)(b) provides that a court may rescind or vary any order or judgment in which there is an ambiguity, or a patent error or omission, but only to the extent of such ambiguity, </w:t>
      </w:r>
      <w:proofErr w:type="gramStart"/>
      <w:r w:rsidR="000456EF">
        <w:rPr>
          <w:rFonts w:cs="Times New Roman"/>
        </w:rPr>
        <w:t>error</w:t>
      </w:r>
      <w:proofErr w:type="gramEnd"/>
      <w:r w:rsidR="000456EF">
        <w:rPr>
          <w:rFonts w:cs="Times New Roman"/>
        </w:rPr>
        <w:t xml:space="preserve"> or omission.  In T v B [2018] ZAFSHC 133 the Free State High Court stated the following at [26]:</w:t>
      </w:r>
    </w:p>
    <w:p w14:paraId="2C8F7F4A" w14:textId="77777777" w:rsidR="000456EF" w:rsidRDefault="000456EF" w:rsidP="00AC3C83">
      <w:pPr>
        <w:rPr>
          <w:rFonts w:cs="Times New Roman"/>
        </w:rPr>
      </w:pPr>
    </w:p>
    <w:p w14:paraId="181309E9" w14:textId="77777777" w:rsidR="000456EF" w:rsidRDefault="000456EF" w:rsidP="00AC3C83">
      <w:pPr>
        <w:rPr>
          <w:rFonts w:cs="Times New Roman"/>
          <w:i/>
          <w:iCs/>
        </w:rPr>
      </w:pPr>
      <w:r>
        <w:rPr>
          <w:rFonts w:cs="Times New Roman"/>
          <w:i/>
          <w:iCs/>
        </w:rPr>
        <w:t>“[26]</w:t>
      </w:r>
      <w:r>
        <w:rPr>
          <w:rFonts w:cs="Times New Roman"/>
          <w:i/>
          <w:iCs/>
        </w:rPr>
        <w:tab/>
        <w:t xml:space="preserve">Notwithstanding the general rule, our highest courts have also recognised </w:t>
      </w:r>
      <w:proofErr w:type="gramStart"/>
      <w:r>
        <w:rPr>
          <w:rFonts w:cs="Times New Roman"/>
          <w:i/>
          <w:iCs/>
        </w:rPr>
        <w:t>a number of</w:t>
      </w:r>
      <w:proofErr w:type="gramEnd"/>
      <w:r>
        <w:rPr>
          <w:rFonts w:cs="Times New Roman"/>
          <w:i/>
          <w:iCs/>
        </w:rPr>
        <w:t xml:space="preserve"> exceptions to the general rule which are not all inclusive and may be extended to meet the constraints of the particular case.  These courts weighed up the principle of finality of judgments against what is just, equitable and sound in law.  These exceptions include: </w:t>
      </w:r>
    </w:p>
    <w:p w14:paraId="2D6FE2D2" w14:textId="77777777" w:rsidR="000456EF" w:rsidRDefault="000456EF" w:rsidP="00AC3C83">
      <w:pPr>
        <w:rPr>
          <w:rFonts w:cs="Times New Roman"/>
          <w:i/>
          <w:iCs/>
        </w:rPr>
      </w:pPr>
    </w:p>
    <w:p w14:paraId="385D6E74" w14:textId="7B851F12" w:rsidR="000456EF" w:rsidRPr="005E27E5" w:rsidRDefault="005E27E5" w:rsidP="00AC3C83">
      <w:pPr>
        <w:rPr>
          <w:rFonts w:cs="Times New Roman"/>
          <w:i/>
          <w:iCs/>
        </w:rPr>
      </w:pPr>
      <w:r>
        <w:rPr>
          <w:rFonts w:cs="Times New Roman"/>
          <w:i/>
          <w:iCs/>
        </w:rPr>
        <w:t>(a)</w:t>
      </w:r>
      <w:r>
        <w:rPr>
          <w:rFonts w:cs="Times New Roman"/>
          <w:i/>
          <w:iCs/>
        </w:rPr>
        <w:tab/>
      </w:r>
      <w:r w:rsidR="000456EF" w:rsidRPr="005E27E5">
        <w:rPr>
          <w:rFonts w:cs="Times New Roman"/>
          <w:i/>
          <w:iCs/>
        </w:rPr>
        <w:t xml:space="preserve">Supplementing of judgment:  the principal judgment or order may be supplemented in respect of accessory or consequential matters, for example costs or interest on the judgment debt, which the court overlooked or inadvertently omitted to </w:t>
      </w:r>
      <w:proofErr w:type="gramStart"/>
      <w:r w:rsidR="000456EF" w:rsidRPr="005E27E5">
        <w:rPr>
          <w:rFonts w:cs="Times New Roman"/>
          <w:i/>
          <w:iCs/>
        </w:rPr>
        <w:t>grant;</w:t>
      </w:r>
      <w:proofErr w:type="gramEnd"/>
    </w:p>
    <w:p w14:paraId="73631BA6" w14:textId="77777777" w:rsidR="000456EF" w:rsidRDefault="000456EF" w:rsidP="00AC3C83">
      <w:pPr>
        <w:rPr>
          <w:rFonts w:cs="Times New Roman"/>
          <w:i/>
          <w:iCs/>
        </w:rPr>
      </w:pPr>
    </w:p>
    <w:p w14:paraId="3C28A265" w14:textId="3DD9E815" w:rsidR="000456EF" w:rsidRPr="005E27E5" w:rsidRDefault="005E27E5" w:rsidP="00AC3C83">
      <w:pPr>
        <w:rPr>
          <w:rFonts w:cs="Times New Roman"/>
          <w:i/>
          <w:iCs/>
        </w:rPr>
      </w:pPr>
      <w:r w:rsidRPr="005F520E">
        <w:rPr>
          <w:rFonts w:cs="Times New Roman"/>
          <w:i/>
          <w:iCs/>
        </w:rPr>
        <w:t>(b)</w:t>
      </w:r>
      <w:r w:rsidRPr="005F520E">
        <w:rPr>
          <w:rFonts w:cs="Times New Roman"/>
          <w:i/>
          <w:iCs/>
        </w:rPr>
        <w:tab/>
      </w:r>
      <w:r w:rsidR="000456EF" w:rsidRPr="005E27E5">
        <w:rPr>
          <w:rFonts w:cs="Times New Roman"/>
          <w:i/>
          <w:iCs/>
        </w:rPr>
        <w:t xml:space="preserve">Clarification of judgment:  the court may clarify its judgment or order if, on a proper interpretation, the meaning thereof remains obscure, </w:t>
      </w:r>
      <w:proofErr w:type="gramStart"/>
      <w:r w:rsidR="000456EF" w:rsidRPr="005E27E5">
        <w:rPr>
          <w:rFonts w:cs="Times New Roman"/>
          <w:i/>
          <w:iCs/>
        </w:rPr>
        <w:t>ambiguous</w:t>
      </w:r>
      <w:proofErr w:type="gramEnd"/>
      <w:r w:rsidR="000456EF" w:rsidRPr="005E27E5">
        <w:rPr>
          <w:rFonts w:cs="Times New Roman"/>
          <w:i/>
          <w:iCs/>
        </w:rPr>
        <w:t xml:space="preserve"> or otherwise uncertain, so as to give effect to its true intention, provided it does not thereby alter the ‘sense and substance’ of the judgment or order.” </w:t>
      </w:r>
    </w:p>
    <w:p w14:paraId="5704C66E" w14:textId="6946C663" w:rsidR="000456EF" w:rsidRDefault="000456EF" w:rsidP="00AC3C83">
      <w:pPr>
        <w:rPr>
          <w:rFonts w:cs="Times New Roman"/>
        </w:rPr>
      </w:pPr>
    </w:p>
    <w:p w14:paraId="35F8F6B8" w14:textId="77777777" w:rsidR="00F374C3" w:rsidRDefault="00F374C3" w:rsidP="00AC3C83">
      <w:pPr>
        <w:rPr>
          <w:rFonts w:cs="Times New Roman"/>
        </w:rPr>
      </w:pPr>
    </w:p>
    <w:p w14:paraId="317C872B" w14:textId="77777777" w:rsidR="00F374C3" w:rsidRDefault="00F374C3" w:rsidP="00AC3C83">
      <w:pPr>
        <w:rPr>
          <w:rFonts w:cs="Times New Roman"/>
        </w:rPr>
      </w:pPr>
    </w:p>
    <w:p w14:paraId="19A1912B" w14:textId="7A415F9D" w:rsidR="007D1A5A" w:rsidRPr="00F374C3" w:rsidRDefault="005E27E5" w:rsidP="00AC3C83">
      <w:pPr>
        <w:rPr>
          <w:rFonts w:cs="Times New Roman"/>
        </w:rPr>
      </w:pPr>
      <w:r w:rsidRPr="00F374C3">
        <w:rPr>
          <w:rFonts w:cs="Times New Roman"/>
        </w:rPr>
        <w:t>[10]</w:t>
      </w:r>
      <w:r w:rsidRPr="00F374C3">
        <w:rPr>
          <w:rFonts w:cs="Times New Roman"/>
        </w:rPr>
        <w:tab/>
      </w:r>
      <w:r w:rsidR="00684FE6" w:rsidRPr="00F374C3">
        <w:rPr>
          <w:rFonts w:cs="Times New Roman"/>
        </w:rPr>
        <w:t xml:space="preserve">It is further impermissible to utilise Rule 42 for purposes of changing the import and substance of the order granted. </w:t>
      </w:r>
    </w:p>
    <w:p w14:paraId="664AD192" w14:textId="77777777" w:rsidR="007D1A5A" w:rsidRDefault="007D1A5A" w:rsidP="00AC3C83">
      <w:pPr>
        <w:rPr>
          <w:rFonts w:cs="Times New Roman"/>
        </w:rPr>
      </w:pPr>
    </w:p>
    <w:p w14:paraId="6211B7F4" w14:textId="1046769F" w:rsidR="003C1489" w:rsidRDefault="005E27E5" w:rsidP="00AC3C83">
      <w:pPr>
        <w:rPr>
          <w:rFonts w:cs="Times New Roman"/>
        </w:rPr>
      </w:pPr>
      <w:r>
        <w:rPr>
          <w:rFonts w:cs="Times New Roman"/>
        </w:rPr>
        <w:lastRenderedPageBreak/>
        <w:t>[11]</w:t>
      </w:r>
      <w:r>
        <w:rPr>
          <w:rFonts w:cs="Times New Roman"/>
        </w:rPr>
        <w:tab/>
      </w:r>
      <w:r w:rsidR="007D1A5A">
        <w:rPr>
          <w:rFonts w:cs="Times New Roman"/>
        </w:rPr>
        <w:t xml:space="preserve">In this instance, the relief sought by the </w:t>
      </w:r>
      <w:r w:rsidR="00AB1C9C">
        <w:rPr>
          <w:rFonts w:cs="Times New Roman"/>
        </w:rPr>
        <w:t>applicant do</w:t>
      </w:r>
      <w:r w:rsidR="003617B6">
        <w:rPr>
          <w:rFonts w:cs="Times New Roman"/>
        </w:rPr>
        <w:t>es</w:t>
      </w:r>
      <w:r w:rsidR="00AB1C9C">
        <w:rPr>
          <w:rFonts w:cs="Times New Roman"/>
        </w:rPr>
        <w:t xml:space="preserve"> not flow from the particulars of claim that gave rise to the order</w:t>
      </w:r>
      <w:r w:rsidR="00F374C3">
        <w:rPr>
          <w:rFonts w:cs="Times New Roman"/>
        </w:rPr>
        <w:t xml:space="preserve">.  </w:t>
      </w:r>
      <w:r w:rsidR="003617B6">
        <w:rPr>
          <w:rFonts w:cs="Times New Roman"/>
        </w:rPr>
        <w:t>At best</w:t>
      </w:r>
      <w:r w:rsidR="009A4B0D">
        <w:rPr>
          <w:rFonts w:cs="Times New Roman"/>
        </w:rPr>
        <w:t xml:space="preserve"> an order directing the division of the joint estate</w:t>
      </w:r>
      <w:r w:rsidR="006E1AA9">
        <w:rPr>
          <w:rFonts w:cs="Times New Roman"/>
        </w:rPr>
        <w:t xml:space="preserve"> could be argu</w:t>
      </w:r>
      <w:r w:rsidR="00AE61F2">
        <w:rPr>
          <w:rFonts w:cs="Times New Roman"/>
        </w:rPr>
        <w:t>ed</w:t>
      </w:r>
      <w:r w:rsidR="006E1AA9">
        <w:rPr>
          <w:rFonts w:cs="Times New Roman"/>
        </w:rPr>
        <w:t>, but the parties had already recorded those aspects of such division in the court order</w:t>
      </w:r>
      <w:r w:rsidR="00AE61F2">
        <w:rPr>
          <w:rFonts w:cs="Times New Roman"/>
        </w:rPr>
        <w:t xml:space="preserve"> that was granted upon dissolution of the marriage.</w:t>
      </w:r>
      <w:r w:rsidR="008F38A7">
        <w:rPr>
          <w:rFonts w:cs="Times New Roman"/>
        </w:rPr>
        <w:t xml:space="preserve"> The applicant did not seek occupational rent </w:t>
      </w:r>
      <w:r w:rsidR="00A83E21">
        <w:rPr>
          <w:rFonts w:cs="Times New Roman"/>
        </w:rPr>
        <w:t>in the divorce</w:t>
      </w:r>
      <w:r w:rsidR="00F374C3">
        <w:rPr>
          <w:rFonts w:cs="Times New Roman"/>
        </w:rPr>
        <w:t xml:space="preserve">.  </w:t>
      </w:r>
      <w:r w:rsidR="00A83E21">
        <w:rPr>
          <w:rFonts w:cs="Times New Roman"/>
        </w:rPr>
        <w:t xml:space="preserve">That claim arises from </w:t>
      </w:r>
      <w:r w:rsidR="00E74F1C">
        <w:rPr>
          <w:rFonts w:cs="Times New Roman"/>
        </w:rPr>
        <w:t xml:space="preserve">time that has passed </w:t>
      </w:r>
      <w:proofErr w:type="gramStart"/>
      <w:r w:rsidR="00A83E21">
        <w:rPr>
          <w:rFonts w:cs="Times New Roman"/>
        </w:rPr>
        <w:t>subsequent to</w:t>
      </w:r>
      <w:proofErr w:type="gramEnd"/>
      <w:r w:rsidR="00A83E21">
        <w:rPr>
          <w:rFonts w:cs="Times New Roman"/>
        </w:rPr>
        <w:t xml:space="preserve"> the court order.</w:t>
      </w:r>
      <w:r w:rsidR="008669B8">
        <w:rPr>
          <w:rFonts w:cs="Times New Roman"/>
        </w:rPr>
        <w:t xml:space="preserve"> Subsequent</w:t>
      </w:r>
      <w:r w:rsidR="00535DE4">
        <w:rPr>
          <w:rFonts w:cs="Times New Roman"/>
        </w:rPr>
        <w:t xml:space="preserve"> conduct</w:t>
      </w:r>
      <w:r w:rsidR="008669B8">
        <w:rPr>
          <w:rFonts w:cs="Times New Roman"/>
        </w:rPr>
        <w:t xml:space="preserve"> cannot form the basis of an application to supplement or amend </w:t>
      </w:r>
      <w:r w:rsidR="00535DE4">
        <w:rPr>
          <w:rFonts w:cs="Times New Roman"/>
        </w:rPr>
        <w:t>a court order</w:t>
      </w:r>
      <w:r w:rsidR="00F374C3">
        <w:rPr>
          <w:rFonts w:cs="Times New Roman"/>
        </w:rPr>
        <w:t xml:space="preserve"> </w:t>
      </w:r>
      <w:r w:rsidR="003E68FB">
        <w:rPr>
          <w:rFonts w:cs="Times New Roman"/>
        </w:rPr>
        <w:t>retrospectively</w:t>
      </w:r>
      <w:r w:rsidR="00F374C3">
        <w:rPr>
          <w:rFonts w:cs="Times New Roman"/>
        </w:rPr>
        <w:t xml:space="preserve">.  </w:t>
      </w:r>
      <w:r w:rsidR="00535DE4">
        <w:rPr>
          <w:rFonts w:cs="Times New Roman"/>
        </w:rPr>
        <w:t>The court was simply unaware of facts yet to occur</w:t>
      </w:r>
      <w:r w:rsidR="00D41585">
        <w:rPr>
          <w:rFonts w:cs="Times New Roman"/>
        </w:rPr>
        <w:t>.</w:t>
      </w:r>
      <w:r w:rsidR="00AB1C9C">
        <w:rPr>
          <w:rFonts w:cs="Times New Roman"/>
        </w:rPr>
        <w:t xml:space="preserve">  To add relief not claimed w</w:t>
      </w:r>
      <w:r w:rsidR="003C1489">
        <w:rPr>
          <w:rFonts w:cs="Times New Roman"/>
        </w:rPr>
        <w:t>ould amount to the granting of relief in an un-pleaded case.  That is impermissible.  It suffices to state that the relief sought is not competent in terms of Rule 42</w:t>
      </w:r>
      <w:r w:rsidR="00E74F1C">
        <w:rPr>
          <w:rFonts w:cs="Times New Roman"/>
        </w:rPr>
        <w:t>(1)(b)</w:t>
      </w:r>
      <w:r w:rsidR="003C1489">
        <w:rPr>
          <w:rFonts w:cs="Times New Roman"/>
        </w:rPr>
        <w:t xml:space="preserve"> as </w:t>
      </w:r>
      <w:r w:rsidR="00F34FFF">
        <w:rPr>
          <w:rFonts w:cs="Times New Roman"/>
        </w:rPr>
        <w:t>the additions</w:t>
      </w:r>
      <w:r w:rsidR="003C1489">
        <w:rPr>
          <w:rFonts w:cs="Times New Roman"/>
        </w:rPr>
        <w:t xml:space="preserve"> </w:t>
      </w:r>
      <w:r w:rsidR="00F34FFF">
        <w:rPr>
          <w:rFonts w:cs="Times New Roman"/>
        </w:rPr>
        <w:t>are not true additions</w:t>
      </w:r>
      <w:r w:rsidR="00F374C3">
        <w:rPr>
          <w:rFonts w:cs="Times New Roman"/>
        </w:rPr>
        <w:t xml:space="preserve">.  </w:t>
      </w:r>
      <w:r w:rsidR="00027217">
        <w:rPr>
          <w:rFonts w:cs="Times New Roman"/>
        </w:rPr>
        <w:t xml:space="preserve">They </w:t>
      </w:r>
      <w:r w:rsidR="003C1489">
        <w:rPr>
          <w:rFonts w:cs="Times New Roman"/>
        </w:rPr>
        <w:t>change the import of the order granted</w:t>
      </w:r>
      <w:r w:rsidR="00F374C3">
        <w:rPr>
          <w:rFonts w:cs="Times New Roman"/>
        </w:rPr>
        <w:t xml:space="preserve">.  </w:t>
      </w:r>
      <w:r w:rsidR="00027217">
        <w:rPr>
          <w:rFonts w:cs="Times New Roman"/>
        </w:rPr>
        <w:t>And they are based on subsequent</w:t>
      </w:r>
      <w:r w:rsidR="008B4443">
        <w:rPr>
          <w:rFonts w:cs="Times New Roman"/>
        </w:rPr>
        <w:t xml:space="preserve"> facts.</w:t>
      </w:r>
      <w:r w:rsidR="00027217">
        <w:rPr>
          <w:rFonts w:cs="Times New Roman"/>
        </w:rPr>
        <w:t xml:space="preserve"> </w:t>
      </w:r>
    </w:p>
    <w:p w14:paraId="5CCAEC12" w14:textId="77777777" w:rsidR="003C1489" w:rsidRDefault="003C1489" w:rsidP="00AC3C83">
      <w:pPr>
        <w:rPr>
          <w:rFonts w:cs="Times New Roman"/>
        </w:rPr>
      </w:pPr>
    </w:p>
    <w:p w14:paraId="5F1891CD" w14:textId="67F3D530" w:rsidR="003C1489" w:rsidRDefault="005E27E5" w:rsidP="00AC3C83">
      <w:pPr>
        <w:rPr>
          <w:rFonts w:cs="Times New Roman"/>
        </w:rPr>
      </w:pPr>
      <w:r>
        <w:rPr>
          <w:rFonts w:cs="Times New Roman"/>
        </w:rPr>
        <w:t>[12]</w:t>
      </w:r>
      <w:r>
        <w:rPr>
          <w:rFonts w:cs="Times New Roman"/>
        </w:rPr>
        <w:tab/>
      </w:r>
      <w:r w:rsidR="00E74F1C">
        <w:rPr>
          <w:rFonts w:cs="Times New Roman"/>
        </w:rPr>
        <w:t xml:space="preserve">The Rule 42 application was therefore not brought </w:t>
      </w:r>
      <w:r w:rsidR="00B60D80">
        <w:rPr>
          <w:rFonts w:cs="Times New Roman"/>
        </w:rPr>
        <w:t xml:space="preserve">within a reasonable time and substantively it fails to establish a basis for the relief sought.  </w:t>
      </w:r>
      <w:r w:rsidR="003C1489">
        <w:rPr>
          <w:rFonts w:cs="Times New Roman"/>
        </w:rPr>
        <w:t>This does not mean that the applicant is without a remedy.</w:t>
      </w:r>
    </w:p>
    <w:p w14:paraId="4C9E4FDF" w14:textId="77777777" w:rsidR="003C1489" w:rsidRDefault="003C1489" w:rsidP="00AC3C83">
      <w:pPr>
        <w:rPr>
          <w:rFonts w:cs="Times New Roman"/>
        </w:rPr>
      </w:pPr>
    </w:p>
    <w:p w14:paraId="2E8B60E9" w14:textId="04299058" w:rsidR="0094442A" w:rsidRDefault="005E27E5" w:rsidP="00AC3C83">
      <w:pPr>
        <w:rPr>
          <w:rFonts w:cs="Times New Roman"/>
        </w:rPr>
      </w:pPr>
      <w:r>
        <w:rPr>
          <w:rFonts w:cs="Times New Roman"/>
        </w:rPr>
        <w:t>[13]</w:t>
      </w:r>
      <w:r>
        <w:rPr>
          <w:rFonts w:cs="Times New Roman"/>
        </w:rPr>
        <w:tab/>
      </w:r>
      <w:r w:rsidR="003C1489">
        <w:rPr>
          <w:rFonts w:cs="Times New Roman"/>
        </w:rPr>
        <w:t xml:space="preserve">When a marriage in </w:t>
      </w:r>
      <w:r w:rsidR="00106568">
        <w:rPr>
          <w:rFonts w:cs="Times New Roman"/>
        </w:rPr>
        <w:t>community of property is dissolved by divorce, that puts an end to the joint estate.  A plaintiff may claim for a division of the joint estate or may claim for a forfeiture of the benefits arising from the marriage in community of property.  In this instance, neither of the aforesaid took place.  However, the division of the joint estate flows as a matter of law from the de</w:t>
      </w:r>
      <w:r w:rsidR="00547F0D">
        <w:rPr>
          <w:rFonts w:cs="Times New Roman"/>
        </w:rPr>
        <w:t>c</w:t>
      </w:r>
      <w:r w:rsidR="00106568">
        <w:rPr>
          <w:rFonts w:cs="Times New Roman"/>
        </w:rPr>
        <w:t>ree</w:t>
      </w:r>
      <w:r w:rsidR="00547F0D">
        <w:rPr>
          <w:rFonts w:cs="Times New Roman"/>
        </w:rPr>
        <w:t xml:space="preserve"> of divorce, whether an order is granted directing the division or not.  (See:  </w:t>
      </w:r>
      <w:proofErr w:type="gramStart"/>
      <w:r w:rsidR="00C8340B">
        <w:rPr>
          <w:rFonts w:cs="Times New Roman"/>
        </w:rPr>
        <w:t>K</w:t>
      </w:r>
      <w:r w:rsidR="0063164F">
        <w:rPr>
          <w:rFonts w:cs="Times New Roman"/>
        </w:rPr>
        <w:t>[</w:t>
      </w:r>
      <w:proofErr w:type="gramEnd"/>
      <w:r w:rsidR="0063164F">
        <w:rPr>
          <w:rFonts w:cs="Times New Roman"/>
        </w:rPr>
        <w:t>…]</w:t>
      </w:r>
      <w:r w:rsidR="0060160E">
        <w:rPr>
          <w:rFonts w:cs="Times New Roman"/>
        </w:rPr>
        <w:t xml:space="preserve"> </w:t>
      </w:r>
      <w:r w:rsidR="00C8340B">
        <w:rPr>
          <w:rFonts w:cs="Times New Roman"/>
        </w:rPr>
        <w:t>v K</w:t>
      </w:r>
      <w:r w:rsidR="0063164F">
        <w:rPr>
          <w:rFonts w:cs="Times New Roman"/>
        </w:rPr>
        <w:t>[…]</w:t>
      </w:r>
      <w:r w:rsidR="0094442A">
        <w:rPr>
          <w:rFonts w:cs="Times New Roman"/>
        </w:rPr>
        <w:t xml:space="preserve"> 1979(4) SA 12 (T) at p 15 H).</w:t>
      </w:r>
    </w:p>
    <w:p w14:paraId="341186D0" w14:textId="77777777" w:rsidR="0094442A" w:rsidRDefault="0094442A" w:rsidP="00AC3C83">
      <w:pPr>
        <w:rPr>
          <w:rFonts w:cs="Times New Roman"/>
        </w:rPr>
      </w:pPr>
    </w:p>
    <w:p w14:paraId="47AA4A49" w14:textId="5983D623" w:rsidR="0094442A" w:rsidRDefault="005E27E5" w:rsidP="00AC3C83">
      <w:pPr>
        <w:rPr>
          <w:rFonts w:cs="Times New Roman"/>
        </w:rPr>
      </w:pPr>
      <w:r>
        <w:rPr>
          <w:rFonts w:cs="Times New Roman"/>
        </w:rPr>
        <w:t>[14]</w:t>
      </w:r>
      <w:r>
        <w:rPr>
          <w:rFonts w:cs="Times New Roman"/>
        </w:rPr>
        <w:tab/>
      </w:r>
      <w:r w:rsidR="0094442A">
        <w:rPr>
          <w:rFonts w:cs="Times New Roman"/>
        </w:rPr>
        <w:t>Regardless of whether an order is granted directing that the joint estate be divide</w:t>
      </w:r>
      <w:r w:rsidR="00FC63CE">
        <w:rPr>
          <w:rFonts w:cs="Times New Roman"/>
        </w:rPr>
        <w:t>d</w:t>
      </w:r>
      <w:r w:rsidR="0094442A">
        <w:rPr>
          <w:rFonts w:cs="Times New Roman"/>
        </w:rPr>
        <w:t xml:space="preserve"> upon divorce</w:t>
      </w:r>
      <w:r w:rsidR="00FC63CE">
        <w:rPr>
          <w:rFonts w:cs="Times New Roman"/>
        </w:rPr>
        <w:t xml:space="preserve"> or not</w:t>
      </w:r>
      <w:r w:rsidR="0094442A">
        <w:rPr>
          <w:rFonts w:cs="Times New Roman"/>
        </w:rPr>
        <w:t xml:space="preserve">, the estate is </w:t>
      </w:r>
      <w:r w:rsidR="006035FC">
        <w:rPr>
          <w:rFonts w:cs="Times New Roman"/>
        </w:rPr>
        <w:t xml:space="preserve">then </w:t>
      </w:r>
      <w:r w:rsidR="0094442A">
        <w:rPr>
          <w:rFonts w:cs="Times New Roman"/>
        </w:rPr>
        <w:t>divided into equal shares between the parties after all the debts of the joint estate have been paid.</w:t>
      </w:r>
      <w:r w:rsidR="003E23D4">
        <w:rPr>
          <w:rFonts w:cs="Times New Roman"/>
        </w:rPr>
        <w:t xml:space="preserve"> </w:t>
      </w:r>
      <w:r w:rsidR="00CA13AB">
        <w:rPr>
          <w:rFonts w:cs="Times New Roman"/>
        </w:rPr>
        <w:t>(</w:t>
      </w:r>
      <w:r w:rsidR="0094442A">
        <w:rPr>
          <w:rFonts w:cs="Times New Roman"/>
        </w:rPr>
        <w:t>Ibid).</w:t>
      </w:r>
    </w:p>
    <w:p w14:paraId="00652A4C" w14:textId="77777777" w:rsidR="0094442A" w:rsidRDefault="0094442A" w:rsidP="00AC3C83">
      <w:pPr>
        <w:rPr>
          <w:rFonts w:cs="Times New Roman"/>
        </w:rPr>
      </w:pPr>
    </w:p>
    <w:p w14:paraId="2B914DDF" w14:textId="6AC9C47D" w:rsidR="0094442A" w:rsidRDefault="005E27E5" w:rsidP="00AC3C83">
      <w:pPr>
        <w:rPr>
          <w:rFonts w:cs="Times New Roman"/>
        </w:rPr>
      </w:pPr>
      <w:r>
        <w:rPr>
          <w:rFonts w:cs="Times New Roman"/>
        </w:rPr>
        <w:t>[15]</w:t>
      </w:r>
      <w:r>
        <w:rPr>
          <w:rFonts w:cs="Times New Roman"/>
        </w:rPr>
        <w:tab/>
      </w:r>
      <w:r w:rsidR="0094442A">
        <w:rPr>
          <w:rFonts w:cs="Times New Roman"/>
        </w:rPr>
        <w:t>The applicant’s contention that she is entitled to occupational rent is a claim related to an accounting between co-owners when there has been a delay in effecting the division of the joint estate.  The respondent contends that he alone has, since 2008, been paying all the expenses including the bond payments, maintenance and municipal and utility costs related to the property.  This makes it apparent that the parties will require an accounting process which neither party has claimed in these proceedings.</w:t>
      </w:r>
    </w:p>
    <w:p w14:paraId="6BAC5F5A" w14:textId="77777777" w:rsidR="0094442A" w:rsidRDefault="0094442A" w:rsidP="00AC3C83">
      <w:pPr>
        <w:rPr>
          <w:rFonts w:cs="Times New Roman"/>
        </w:rPr>
      </w:pPr>
    </w:p>
    <w:p w14:paraId="14D933FE" w14:textId="0D4D5530" w:rsidR="0094442A" w:rsidRDefault="005E27E5" w:rsidP="00AC3C83">
      <w:pPr>
        <w:rPr>
          <w:rFonts w:cs="Times New Roman"/>
        </w:rPr>
      </w:pPr>
      <w:r>
        <w:rPr>
          <w:rFonts w:cs="Times New Roman"/>
        </w:rPr>
        <w:t>[16]</w:t>
      </w:r>
      <w:r>
        <w:rPr>
          <w:rFonts w:cs="Times New Roman"/>
        </w:rPr>
        <w:tab/>
      </w:r>
      <w:r w:rsidR="0094442A">
        <w:rPr>
          <w:rFonts w:cs="Times New Roman"/>
        </w:rPr>
        <w:t xml:space="preserve">The applicant tried to motivate alternative relief for a declarator that the joint estate be divided.  As already pointed out, such a division must occur as a matter of </w:t>
      </w:r>
      <w:r w:rsidR="0094442A">
        <w:rPr>
          <w:rFonts w:cs="Times New Roman"/>
        </w:rPr>
        <w:lastRenderedPageBreak/>
        <w:t xml:space="preserve">law upon the decree of the </w:t>
      </w:r>
      <w:r w:rsidR="000700EA">
        <w:rPr>
          <w:rFonts w:cs="Times New Roman"/>
        </w:rPr>
        <w:t>divorce, whether there is a specific order to that effect or not.</w:t>
      </w:r>
      <w:r w:rsidR="003E23D4">
        <w:rPr>
          <w:rFonts w:cs="Times New Roman"/>
        </w:rPr>
        <w:t xml:space="preserve"> </w:t>
      </w:r>
      <w:r w:rsidR="00FA297A">
        <w:rPr>
          <w:rFonts w:cs="Times New Roman"/>
        </w:rPr>
        <w:t>The relief is therefore unnecessary.</w:t>
      </w:r>
    </w:p>
    <w:p w14:paraId="300A460D" w14:textId="77777777" w:rsidR="000700EA" w:rsidRDefault="000700EA" w:rsidP="00AC3C83">
      <w:pPr>
        <w:rPr>
          <w:rFonts w:cs="Times New Roman"/>
        </w:rPr>
      </w:pPr>
    </w:p>
    <w:p w14:paraId="00329853" w14:textId="4F47B73C" w:rsidR="000700EA" w:rsidRDefault="005E27E5" w:rsidP="00AC3C83">
      <w:pPr>
        <w:rPr>
          <w:rFonts w:cs="Times New Roman"/>
        </w:rPr>
      </w:pPr>
      <w:r>
        <w:rPr>
          <w:rFonts w:cs="Times New Roman"/>
        </w:rPr>
        <w:t>[17]</w:t>
      </w:r>
      <w:r>
        <w:rPr>
          <w:rFonts w:cs="Times New Roman"/>
        </w:rPr>
        <w:tab/>
      </w:r>
      <w:r w:rsidR="000700EA">
        <w:rPr>
          <w:rFonts w:cs="Times New Roman"/>
        </w:rPr>
        <w:t xml:space="preserve"> The applicant and the respondent have all the rights</w:t>
      </w:r>
      <w:r w:rsidR="001E5794">
        <w:rPr>
          <w:rFonts w:cs="Times New Roman"/>
        </w:rPr>
        <w:t xml:space="preserve"> and obligations </w:t>
      </w:r>
      <w:r w:rsidR="000700EA">
        <w:rPr>
          <w:rFonts w:cs="Times New Roman"/>
        </w:rPr>
        <w:t>that flow from joint ownership</w:t>
      </w:r>
      <w:r w:rsidR="00C00D2A">
        <w:rPr>
          <w:rFonts w:cs="Times New Roman"/>
        </w:rPr>
        <w:t>.</w:t>
      </w:r>
    </w:p>
    <w:p w14:paraId="7A242C3C" w14:textId="77777777" w:rsidR="000700EA" w:rsidRDefault="000700EA" w:rsidP="00AC3C83">
      <w:pPr>
        <w:rPr>
          <w:rFonts w:cs="Times New Roman"/>
        </w:rPr>
      </w:pPr>
    </w:p>
    <w:p w14:paraId="6756706E" w14:textId="46A8A827" w:rsidR="000700EA" w:rsidRDefault="005E27E5" w:rsidP="00AC3C83">
      <w:pPr>
        <w:rPr>
          <w:rFonts w:cs="Times New Roman"/>
        </w:rPr>
      </w:pPr>
      <w:r>
        <w:rPr>
          <w:rFonts w:cs="Times New Roman"/>
        </w:rPr>
        <w:t>[18]</w:t>
      </w:r>
      <w:r>
        <w:rPr>
          <w:rFonts w:cs="Times New Roman"/>
        </w:rPr>
        <w:tab/>
      </w:r>
      <w:r w:rsidR="000700EA">
        <w:rPr>
          <w:rFonts w:cs="Times New Roman"/>
        </w:rPr>
        <w:t xml:space="preserve">Counsel for the applicant prepared </w:t>
      </w:r>
      <w:r w:rsidR="008923D5">
        <w:rPr>
          <w:rFonts w:cs="Times New Roman"/>
        </w:rPr>
        <w:t xml:space="preserve">helpful </w:t>
      </w:r>
      <w:r w:rsidR="000700EA">
        <w:rPr>
          <w:rFonts w:cs="Times New Roman"/>
        </w:rPr>
        <w:t xml:space="preserve">supplementary heads of argument.  The applicant readily concedes that the dispute about the sale of the immovable property is one that can be resolved by employing the </w:t>
      </w:r>
      <w:proofErr w:type="spellStart"/>
      <w:r w:rsidR="00AC5C62" w:rsidRPr="00AC5C62">
        <w:rPr>
          <w:rFonts w:cs="Times New Roman"/>
          <w:i/>
          <w:iCs/>
        </w:rPr>
        <w:t>actio</w:t>
      </w:r>
      <w:proofErr w:type="spellEnd"/>
      <w:r w:rsidR="00AC5C62" w:rsidRPr="00AC5C62">
        <w:rPr>
          <w:rFonts w:cs="Times New Roman"/>
          <w:i/>
          <w:iCs/>
        </w:rPr>
        <w:t xml:space="preserve"> </w:t>
      </w:r>
      <w:proofErr w:type="spellStart"/>
      <w:r w:rsidR="00AC5C62" w:rsidRPr="00AC5C62">
        <w:rPr>
          <w:rFonts w:cs="Times New Roman"/>
          <w:i/>
          <w:iCs/>
        </w:rPr>
        <w:t>communi</w:t>
      </w:r>
      <w:proofErr w:type="spellEnd"/>
      <w:r w:rsidR="00AC5C62" w:rsidRPr="00AC5C62">
        <w:rPr>
          <w:rFonts w:cs="Times New Roman"/>
          <w:i/>
          <w:iCs/>
        </w:rPr>
        <w:t xml:space="preserve"> </w:t>
      </w:r>
      <w:proofErr w:type="spellStart"/>
      <w:r w:rsidR="00AC5C62" w:rsidRPr="00AC5C62">
        <w:rPr>
          <w:rFonts w:cs="Times New Roman"/>
          <w:i/>
          <w:iCs/>
        </w:rPr>
        <w:t>dividundo</w:t>
      </w:r>
      <w:proofErr w:type="spellEnd"/>
      <w:r w:rsidR="00AC5C62">
        <w:rPr>
          <w:rFonts w:cs="Times New Roman"/>
        </w:rPr>
        <w:t>.  The applicant however contends that, where she has multiple causes of action, it is her choice which one to exercise.</w:t>
      </w:r>
      <w:r w:rsidR="003E23D4">
        <w:rPr>
          <w:rFonts w:cs="Times New Roman"/>
        </w:rPr>
        <w:t xml:space="preserve"> </w:t>
      </w:r>
      <w:r w:rsidR="00A76C0A">
        <w:rPr>
          <w:rFonts w:cs="Times New Roman"/>
        </w:rPr>
        <w:t>The proposition is correct, but</w:t>
      </w:r>
      <w:r w:rsidR="00AC5C62">
        <w:rPr>
          <w:rFonts w:cs="Times New Roman"/>
        </w:rPr>
        <w:t xml:space="preserve"> the remedy chosen is not available to the applicant insofar as she has not established an entitlement to relief under Rule 42. </w:t>
      </w:r>
    </w:p>
    <w:p w14:paraId="1F25B7D3" w14:textId="77777777" w:rsidR="00AC5C62" w:rsidRDefault="00AC5C62" w:rsidP="00AC3C83">
      <w:pPr>
        <w:rPr>
          <w:rFonts w:cs="Times New Roman"/>
        </w:rPr>
      </w:pPr>
    </w:p>
    <w:p w14:paraId="19E23DA0" w14:textId="655345C6" w:rsidR="00DC51F1" w:rsidRDefault="005E27E5" w:rsidP="00AC3C83">
      <w:pPr>
        <w:rPr>
          <w:rFonts w:cs="Times New Roman"/>
        </w:rPr>
      </w:pPr>
      <w:r>
        <w:rPr>
          <w:rFonts w:cs="Times New Roman"/>
        </w:rPr>
        <w:t>[19]</w:t>
      </w:r>
      <w:r>
        <w:rPr>
          <w:rFonts w:cs="Times New Roman"/>
        </w:rPr>
        <w:tab/>
      </w:r>
      <w:r w:rsidR="00DC51F1">
        <w:rPr>
          <w:rFonts w:cs="Times New Roman"/>
        </w:rPr>
        <w:t>The court order granted is</w:t>
      </w:r>
      <w:r w:rsidR="003E23D4">
        <w:rPr>
          <w:rFonts w:cs="Times New Roman"/>
        </w:rPr>
        <w:t xml:space="preserve"> </w:t>
      </w:r>
      <w:r w:rsidR="00DC51F1">
        <w:rPr>
          <w:rFonts w:cs="Times New Roman"/>
        </w:rPr>
        <w:t xml:space="preserve">not in need of clarification as it is not obscure, </w:t>
      </w:r>
      <w:proofErr w:type="gramStart"/>
      <w:r w:rsidR="00DC51F1">
        <w:rPr>
          <w:rFonts w:cs="Times New Roman"/>
        </w:rPr>
        <w:t>ambiguous</w:t>
      </w:r>
      <w:proofErr w:type="gramEnd"/>
      <w:r w:rsidR="00DC51F1">
        <w:rPr>
          <w:rFonts w:cs="Times New Roman"/>
        </w:rPr>
        <w:t xml:space="preserve"> or otherwise uncertain.</w:t>
      </w:r>
      <w:r w:rsidR="003E23D4">
        <w:rPr>
          <w:rFonts w:cs="Times New Roman"/>
        </w:rPr>
        <w:t xml:space="preserve"> </w:t>
      </w:r>
      <w:proofErr w:type="gramStart"/>
      <w:r w:rsidR="004F2C02">
        <w:rPr>
          <w:rFonts w:cs="Times New Roman"/>
        </w:rPr>
        <w:t>In order to</w:t>
      </w:r>
      <w:proofErr w:type="gramEnd"/>
      <w:r w:rsidR="004F2C02">
        <w:rPr>
          <w:rFonts w:cs="Times New Roman"/>
        </w:rPr>
        <w:t xml:space="preserve"> supplement</w:t>
      </w:r>
      <w:r w:rsidR="0035310D">
        <w:rPr>
          <w:rFonts w:cs="Times New Roman"/>
        </w:rPr>
        <w:t xml:space="preserve"> an order</w:t>
      </w:r>
      <w:r w:rsidR="004F2C02">
        <w:rPr>
          <w:rFonts w:cs="Times New Roman"/>
        </w:rPr>
        <w:t xml:space="preserve">, </w:t>
      </w:r>
      <w:r w:rsidR="000D55EF">
        <w:rPr>
          <w:rFonts w:cs="Times New Roman"/>
        </w:rPr>
        <w:t>the applicant must establish an oversight or omission by the court.</w:t>
      </w:r>
      <w:r w:rsidR="003E23D4">
        <w:rPr>
          <w:rFonts w:cs="Times New Roman"/>
        </w:rPr>
        <w:t xml:space="preserve"> </w:t>
      </w:r>
      <w:r w:rsidR="0035310D">
        <w:rPr>
          <w:rFonts w:cs="Times New Roman"/>
        </w:rPr>
        <w:t>There was none as far as the in</w:t>
      </w:r>
      <w:r w:rsidR="00DB4FED">
        <w:rPr>
          <w:rFonts w:cs="Times New Roman"/>
        </w:rPr>
        <w:t>t</w:t>
      </w:r>
      <w:r w:rsidR="0035310D">
        <w:rPr>
          <w:rFonts w:cs="Times New Roman"/>
        </w:rPr>
        <w:t>ended additions are concerned. They arose because the parties could not agree on the fate of the property</w:t>
      </w:r>
      <w:r w:rsidR="00BC25B5">
        <w:rPr>
          <w:rFonts w:cs="Times New Roman"/>
        </w:rPr>
        <w:t xml:space="preserve"> after the court order was made</w:t>
      </w:r>
      <w:r w:rsidR="0035310D">
        <w:rPr>
          <w:rFonts w:cs="Times New Roman"/>
        </w:rPr>
        <w:t>.</w:t>
      </w:r>
    </w:p>
    <w:p w14:paraId="08DE14A3" w14:textId="77777777" w:rsidR="00DC51F1" w:rsidRDefault="00DC51F1" w:rsidP="00AC3C83">
      <w:pPr>
        <w:rPr>
          <w:rFonts w:cs="Times New Roman"/>
        </w:rPr>
      </w:pPr>
    </w:p>
    <w:p w14:paraId="60851013" w14:textId="117F8D0F" w:rsidR="000D739C" w:rsidRDefault="005E27E5" w:rsidP="00AC3C83">
      <w:pPr>
        <w:rPr>
          <w:rFonts w:cs="Times New Roman"/>
        </w:rPr>
      </w:pPr>
      <w:r>
        <w:rPr>
          <w:rFonts w:cs="Times New Roman"/>
        </w:rPr>
        <w:t>[20]</w:t>
      </w:r>
      <w:r>
        <w:rPr>
          <w:rFonts w:cs="Times New Roman"/>
        </w:rPr>
        <w:tab/>
      </w:r>
      <w:r w:rsidR="000D739C">
        <w:rPr>
          <w:rFonts w:cs="Times New Roman"/>
        </w:rPr>
        <w:t>I therefore make the following order:</w:t>
      </w:r>
    </w:p>
    <w:p w14:paraId="362CE337" w14:textId="77777777" w:rsidR="000D739C" w:rsidRDefault="000D739C" w:rsidP="00AC3C83">
      <w:pPr>
        <w:rPr>
          <w:rFonts w:cs="Times New Roman"/>
        </w:rPr>
      </w:pPr>
    </w:p>
    <w:p w14:paraId="25407DF5" w14:textId="69E857DC" w:rsidR="000D739C" w:rsidRPr="005E27E5" w:rsidRDefault="005E27E5" w:rsidP="00AC3C83">
      <w:pPr>
        <w:rPr>
          <w:rFonts w:cs="Times New Roman"/>
        </w:rPr>
      </w:pPr>
      <w:r>
        <w:rPr>
          <w:rFonts w:cs="Times New Roman"/>
        </w:rPr>
        <w:t>1.</w:t>
      </w:r>
      <w:r>
        <w:rPr>
          <w:rFonts w:cs="Times New Roman"/>
        </w:rPr>
        <w:tab/>
      </w:r>
      <w:r w:rsidR="000D739C" w:rsidRPr="005E27E5">
        <w:rPr>
          <w:rFonts w:cs="Times New Roman"/>
        </w:rPr>
        <w:t>The application is dismissed.</w:t>
      </w:r>
    </w:p>
    <w:p w14:paraId="1CEB0724" w14:textId="77777777" w:rsidR="000D739C" w:rsidRPr="000D739C" w:rsidRDefault="000D739C" w:rsidP="00AC3C83">
      <w:pPr>
        <w:rPr>
          <w:rFonts w:cs="Times New Roman"/>
        </w:rPr>
      </w:pPr>
    </w:p>
    <w:p w14:paraId="5DC39E35" w14:textId="794FE304" w:rsidR="000D739C" w:rsidRPr="005E27E5" w:rsidRDefault="005E27E5" w:rsidP="00AC3C83">
      <w:pPr>
        <w:rPr>
          <w:rFonts w:cs="Times New Roman"/>
        </w:rPr>
      </w:pPr>
      <w:r>
        <w:rPr>
          <w:rFonts w:cs="Times New Roman"/>
        </w:rPr>
        <w:t>2.</w:t>
      </w:r>
      <w:r>
        <w:rPr>
          <w:rFonts w:cs="Times New Roman"/>
        </w:rPr>
        <w:tab/>
      </w:r>
      <w:r w:rsidR="000D739C" w:rsidRPr="005E27E5">
        <w:rPr>
          <w:rFonts w:cs="Times New Roman"/>
        </w:rPr>
        <w:t>No order as to costs.</w:t>
      </w:r>
    </w:p>
    <w:p w14:paraId="3EFB0EDD" w14:textId="77777777" w:rsidR="000D739C" w:rsidRDefault="000D739C" w:rsidP="00AC3C83">
      <w:pPr>
        <w:rPr>
          <w:rFonts w:cs="Times New Roman"/>
        </w:rPr>
      </w:pPr>
    </w:p>
    <w:p w14:paraId="564AF51A" w14:textId="77777777" w:rsidR="000D739C" w:rsidRDefault="000D739C" w:rsidP="00AC3C83">
      <w:pPr>
        <w:rPr>
          <w:rFonts w:cs="Times New Roman"/>
        </w:rPr>
      </w:pPr>
    </w:p>
    <w:p w14:paraId="6B08017C" w14:textId="08419056" w:rsidR="0041157D" w:rsidRPr="00D069C3" w:rsidRDefault="00D069C3" w:rsidP="00AC3C83">
      <w:pPr>
        <w:rPr>
          <w:rFonts w:cs="Times New Roman"/>
        </w:rPr>
      </w:pPr>
      <w:r>
        <w:rPr>
          <w:rFonts w:cs="Times New Roman"/>
        </w:rPr>
        <w:t>LABUSCHAGNE, AJ</w:t>
      </w:r>
    </w:p>
    <w:sectPr w:rsidR="0041157D" w:rsidRPr="00D069C3" w:rsidSect="00F45A5F">
      <w:head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EDE6AD" w14:textId="77777777" w:rsidR="00F45A5F" w:rsidRDefault="00F45A5F" w:rsidP="00027E87">
      <w:pPr>
        <w:spacing w:after="0" w:line="240" w:lineRule="auto"/>
      </w:pPr>
      <w:r>
        <w:separator/>
      </w:r>
    </w:p>
  </w:endnote>
  <w:endnote w:type="continuationSeparator" w:id="0">
    <w:p w14:paraId="18422EC6" w14:textId="77777777" w:rsidR="00F45A5F" w:rsidRDefault="00F45A5F" w:rsidP="00027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6FE794" w14:textId="4B9DE625" w:rsidR="00361F49" w:rsidRDefault="00361F49">
    <w:pPr>
      <w:pStyle w:val="Footer"/>
    </w:pPr>
  </w:p>
  <w:p w14:paraId="03930950" w14:textId="77777777" w:rsidR="00361F49" w:rsidRDefault="00361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680699" w14:textId="77777777" w:rsidR="00F45A5F" w:rsidRDefault="00F45A5F" w:rsidP="00027E87">
      <w:pPr>
        <w:spacing w:after="0" w:line="240" w:lineRule="auto"/>
      </w:pPr>
      <w:r>
        <w:separator/>
      </w:r>
    </w:p>
  </w:footnote>
  <w:footnote w:type="continuationSeparator" w:id="0">
    <w:p w14:paraId="0BFAD658" w14:textId="77777777" w:rsidR="00F45A5F" w:rsidRDefault="00F45A5F" w:rsidP="00027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14146493"/>
      <w:docPartObj>
        <w:docPartGallery w:val="Page Numbers (Top of Page)"/>
        <w:docPartUnique/>
      </w:docPartObj>
    </w:sdtPr>
    <w:sdtEndPr>
      <w:rPr>
        <w:noProof/>
      </w:rPr>
    </w:sdtEndPr>
    <w:sdtContent>
      <w:p w14:paraId="0BDEE6DD" w14:textId="4D4E20B4" w:rsidR="005D1AD7" w:rsidRDefault="005D1AD7">
        <w:pPr>
          <w:pStyle w:val="Header"/>
          <w:jc w:val="right"/>
          <w:rPr>
            <w:noProof/>
          </w:rPr>
        </w:pPr>
        <w:r>
          <w:t xml:space="preserve">Page </w:t>
        </w:r>
        <w:r>
          <w:fldChar w:fldCharType="begin"/>
        </w:r>
        <w:r>
          <w:instrText xml:space="preserve"> PAGE   \* MERGEFORMAT </w:instrText>
        </w:r>
        <w:r>
          <w:fldChar w:fldCharType="separate"/>
        </w:r>
        <w:r w:rsidR="00314E1B">
          <w:rPr>
            <w:noProof/>
          </w:rPr>
          <w:t>5</w:t>
        </w:r>
        <w:r>
          <w:rPr>
            <w:noProof/>
          </w:rPr>
          <w:fldChar w:fldCharType="end"/>
        </w:r>
      </w:p>
      <w:p w14:paraId="536507F4" w14:textId="77777777" w:rsidR="005D1AD7" w:rsidRDefault="005D1AD7">
        <w:pPr>
          <w:pStyle w:val="Header"/>
          <w:jc w:val="right"/>
          <w:rPr>
            <w:noProof/>
          </w:rPr>
        </w:pPr>
      </w:p>
      <w:p w14:paraId="5E30F167" w14:textId="154356C9" w:rsidR="005D1AD7" w:rsidRDefault="00000000">
        <w:pPr>
          <w:pStyle w:val="Header"/>
          <w:jc w:val="right"/>
        </w:pPr>
      </w:p>
    </w:sdtContent>
  </w:sdt>
  <w:p w14:paraId="35929FF4" w14:textId="77777777" w:rsidR="005D1AD7" w:rsidRDefault="005D1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6734E"/>
    <w:multiLevelType w:val="multilevel"/>
    <w:tmpl w:val="1D549402"/>
    <w:lvl w:ilvl="0">
      <w:start w:val="1"/>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F7219A"/>
    <w:multiLevelType w:val="hybridMultilevel"/>
    <w:tmpl w:val="4D760E58"/>
    <w:lvl w:ilvl="0" w:tplc="DF46FFD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 w15:restartNumberingAfterBreak="0">
    <w:nsid w:val="150D48C4"/>
    <w:multiLevelType w:val="hybridMultilevel"/>
    <w:tmpl w:val="E934F000"/>
    <w:lvl w:ilvl="0" w:tplc="ABB253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15:restartNumberingAfterBreak="0">
    <w:nsid w:val="17177397"/>
    <w:multiLevelType w:val="hybridMultilevel"/>
    <w:tmpl w:val="23E6B800"/>
    <w:lvl w:ilvl="0" w:tplc="2716FF06">
      <w:start w:val="1"/>
      <w:numFmt w:val="decimal"/>
      <w:lvlText w:val="%1."/>
      <w:lvlJc w:val="left"/>
      <w:pPr>
        <w:ind w:left="1421" w:hanging="57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 w15:restartNumberingAfterBreak="0">
    <w:nsid w:val="2576495F"/>
    <w:multiLevelType w:val="hybridMultilevel"/>
    <w:tmpl w:val="41F857B4"/>
    <w:lvl w:ilvl="0" w:tplc="80B289F0">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5" w15:restartNumberingAfterBreak="0">
    <w:nsid w:val="2BFE7DCD"/>
    <w:multiLevelType w:val="multilevel"/>
    <w:tmpl w:val="F238FEDA"/>
    <w:lvl w:ilvl="0">
      <w:start w:val="1"/>
      <w:numFmt w:val="decimal"/>
      <w:lvlText w:val="%1"/>
      <w:lvlJc w:val="left"/>
      <w:pPr>
        <w:ind w:left="840" w:hanging="840"/>
      </w:pPr>
      <w:rPr>
        <w:rFonts w:hint="default"/>
      </w:rPr>
    </w:lvl>
    <w:lvl w:ilvl="1">
      <w:start w:val="1"/>
      <w:numFmt w:val="decimal"/>
      <w:lvlText w:val="%1.%2"/>
      <w:lvlJc w:val="left"/>
      <w:pPr>
        <w:ind w:left="2261" w:hanging="840"/>
      </w:pPr>
      <w:rPr>
        <w:rFonts w:hint="default"/>
      </w:rPr>
    </w:lvl>
    <w:lvl w:ilvl="2">
      <w:start w:val="1"/>
      <w:numFmt w:val="decimal"/>
      <w:lvlText w:val="%1.%2.%3"/>
      <w:lvlJc w:val="left"/>
      <w:pPr>
        <w:ind w:left="3682" w:hanging="840"/>
      </w:pPr>
      <w:rPr>
        <w:rFonts w:hint="default"/>
      </w:rPr>
    </w:lvl>
    <w:lvl w:ilvl="3">
      <w:start w:val="1"/>
      <w:numFmt w:val="decimal"/>
      <w:lvlText w:val="%1.%2.%3.%4"/>
      <w:lvlJc w:val="left"/>
      <w:pPr>
        <w:ind w:left="5343" w:hanging="1080"/>
      </w:pPr>
      <w:rPr>
        <w:rFonts w:hint="default"/>
      </w:rPr>
    </w:lvl>
    <w:lvl w:ilvl="4">
      <w:start w:val="1"/>
      <w:numFmt w:val="decimal"/>
      <w:lvlText w:val="%1.%2.%3.%4.%5"/>
      <w:lvlJc w:val="left"/>
      <w:pPr>
        <w:ind w:left="6764" w:hanging="1080"/>
      </w:pPr>
      <w:rPr>
        <w:rFonts w:hint="default"/>
      </w:rPr>
    </w:lvl>
    <w:lvl w:ilvl="5">
      <w:start w:val="1"/>
      <w:numFmt w:val="decimal"/>
      <w:lvlText w:val="%1.%2.%3.%4.%5.%6"/>
      <w:lvlJc w:val="left"/>
      <w:pPr>
        <w:ind w:left="8545" w:hanging="1440"/>
      </w:pPr>
      <w:rPr>
        <w:rFonts w:hint="default"/>
      </w:rPr>
    </w:lvl>
    <w:lvl w:ilvl="6">
      <w:start w:val="1"/>
      <w:numFmt w:val="decimal"/>
      <w:lvlText w:val="%1.%2.%3.%4.%5.%6.%7"/>
      <w:lvlJc w:val="left"/>
      <w:pPr>
        <w:ind w:left="9966" w:hanging="1440"/>
      </w:pPr>
      <w:rPr>
        <w:rFonts w:hint="default"/>
      </w:rPr>
    </w:lvl>
    <w:lvl w:ilvl="7">
      <w:start w:val="1"/>
      <w:numFmt w:val="decimal"/>
      <w:lvlText w:val="%1.%2.%3.%4.%5.%6.%7.%8"/>
      <w:lvlJc w:val="left"/>
      <w:pPr>
        <w:ind w:left="11747" w:hanging="1800"/>
      </w:pPr>
      <w:rPr>
        <w:rFonts w:hint="default"/>
      </w:rPr>
    </w:lvl>
    <w:lvl w:ilvl="8">
      <w:start w:val="1"/>
      <w:numFmt w:val="decimal"/>
      <w:lvlText w:val="%1.%2.%3.%4.%5.%6.%7.%8.%9"/>
      <w:lvlJc w:val="left"/>
      <w:pPr>
        <w:ind w:left="13168" w:hanging="1800"/>
      </w:pPr>
      <w:rPr>
        <w:rFonts w:hint="default"/>
      </w:rPr>
    </w:lvl>
  </w:abstractNum>
  <w:abstractNum w:abstractNumId="6" w15:restartNumberingAfterBreak="0">
    <w:nsid w:val="2FB74EC3"/>
    <w:multiLevelType w:val="hybridMultilevel"/>
    <w:tmpl w:val="DEC6D3D2"/>
    <w:lvl w:ilvl="0" w:tplc="C274879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 w15:restartNumberingAfterBreak="0">
    <w:nsid w:val="495C1321"/>
    <w:multiLevelType w:val="hybridMultilevel"/>
    <w:tmpl w:val="27AA1C56"/>
    <w:lvl w:ilvl="0" w:tplc="0E760DC8">
      <w:start w:val="1"/>
      <w:numFmt w:val="decimal"/>
      <w:lvlText w:val="%1."/>
      <w:lvlJc w:val="left"/>
      <w:pPr>
        <w:ind w:left="1691" w:hanging="84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8" w15:restartNumberingAfterBreak="0">
    <w:nsid w:val="4D626F3C"/>
    <w:multiLevelType w:val="hybridMultilevel"/>
    <w:tmpl w:val="917E2554"/>
    <w:lvl w:ilvl="0" w:tplc="10BC7D62">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15:restartNumberingAfterBreak="0">
    <w:nsid w:val="507265A7"/>
    <w:multiLevelType w:val="hybridMultilevel"/>
    <w:tmpl w:val="5E3A2BEE"/>
    <w:lvl w:ilvl="0" w:tplc="C2585C6E">
      <w:start w:val="1"/>
      <w:numFmt w:val="decimal"/>
      <w:lvlText w:val="%1."/>
      <w:lvlJc w:val="left"/>
      <w:pPr>
        <w:ind w:left="928"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0" w15:restartNumberingAfterBreak="0">
    <w:nsid w:val="50A870BA"/>
    <w:multiLevelType w:val="hybridMultilevel"/>
    <w:tmpl w:val="3DCE8FB0"/>
    <w:lvl w:ilvl="0" w:tplc="D42C4486">
      <w:start w:val="1"/>
      <w:numFmt w:val="lowerLetter"/>
      <w:lvlText w:val="(%1)"/>
      <w:lvlJc w:val="left"/>
      <w:pPr>
        <w:ind w:left="2051" w:hanging="360"/>
      </w:pPr>
      <w:rPr>
        <w:rFonts w:hint="default"/>
      </w:rPr>
    </w:lvl>
    <w:lvl w:ilvl="1" w:tplc="1C090019" w:tentative="1">
      <w:start w:val="1"/>
      <w:numFmt w:val="lowerLetter"/>
      <w:lvlText w:val="%2."/>
      <w:lvlJc w:val="left"/>
      <w:pPr>
        <w:ind w:left="2771" w:hanging="360"/>
      </w:pPr>
    </w:lvl>
    <w:lvl w:ilvl="2" w:tplc="1C09001B" w:tentative="1">
      <w:start w:val="1"/>
      <w:numFmt w:val="lowerRoman"/>
      <w:lvlText w:val="%3."/>
      <w:lvlJc w:val="right"/>
      <w:pPr>
        <w:ind w:left="3491" w:hanging="180"/>
      </w:pPr>
    </w:lvl>
    <w:lvl w:ilvl="3" w:tplc="1C09000F" w:tentative="1">
      <w:start w:val="1"/>
      <w:numFmt w:val="decimal"/>
      <w:lvlText w:val="%4."/>
      <w:lvlJc w:val="left"/>
      <w:pPr>
        <w:ind w:left="4211" w:hanging="360"/>
      </w:pPr>
    </w:lvl>
    <w:lvl w:ilvl="4" w:tplc="1C090019" w:tentative="1">
      <w:start w:val="1"/>
      <w:numFmt w:val="lowerLetter"/>
      <w:lvlText w:val="%5."/>
      <w:lvlJc w:val="left"/>
      <w:pPr>
        <w:ind w:left="4931" w:hanging="360"/>
      </w:pPr>
    </w:lvl>
    <w:lvl w:ilvl="5" w:tplc="1C09001B" w:tentative="1">
      <w:start w:val="1"/>
      <w:numFmt w:val="lowerRoman"/>
      <w:lvlText w:val="%6."/>
      <w:lvlJc w:val="right"/>
      <w:pPr>
        <w:ind w:left="5651" w:hanging="180"/>
      </w:pPr>
    </w:lvl>
    <w:lvl w:ilvl="6" w:tplc="1C09000F" w:tentative="1">
      <w:start w:val="1"/>
      <w:numFmt w:val="decimal"/>
      <w:lvlText w:val="%7."/>
      <w:lvlJc w:val="left"/>
      <w:pPr>
        <w:ind w:left="6371" w:hanging="360"/>
      </w:pPr>
    </w:lvl>
    <w:lvl w:ilvl="7" w:tplc="1C090019" w:tentative="1">
      <w:start w:val="1"/>
      <w:numFmt w:val="lowerLetter"/>
      <w:lvlText w:val="%8."/>
      <w:lvlJc w:val="left"/>
      <w:pPr>
        <w:ind w:left="7091" w:hanging="360"/>
      </w:pPr>
    </w:lvl>
    <w:lvl w:ilvl="8" w:tplc="1C09001B" w:tentative="1">
      <w:start w:val="1"/>
      <w:numFmt w:val="lowerRoman"/>
      <w:lvlText w:val="%9."/>
      <w:lvlJc w:val="right"/>
      <w:pPr>
        <w:ind w:left="7811" w:hanging="180"/>
      </w:pPr>
    </w:lvl>
  </w:abstractNum>
  <w:abstractNum w:abstractNumId="11" w15:restartNumberingAfterBreak="0">
    <w:nsid w:val="65177EE1"/>
    <w:multiLevelType w:val="hybridMultilevel"/>
    <w:tmpl w:val="14822E2A"/>
    <w:lvl w:ilvl="0" w:tplc="7A5A67CA">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16cid:durableId="1724334179">
    <w:abstractNumId w:val="0"/>
  </w:num>
  <w:num w:numId="2" w16cid:durableId="1117797905">
    <w:abstractNumId w:val="9"/>
  </w:num>
  <w:num w:numId="3" w16cid:durableId="2006929803">
    <w:abstractNumId w:val="3"/>
  </w:num>
  <w:num w:numId="4" w16cid:durableId="137961228">
    <w:abstractNumId w:val="6"/>
  </w:num>
  <w:num w:numId="5" w16cid:durableId="697700033">
    <w:abstractNumId w:val="1"/>
  </w:num>
  <w:num w:numId="6" w16cid:durableId="624509283">
    <w:abstractNumId w:val="2"/>
  </w:num>
  <w:num w:numId="7" w16cid:durableId="1176075960">
    <w:abstractNumId w:val="8"/>
  </w:num>
  <w:num w:numId="8" w16cid:durableId="1343170521">
    <w:abstractNumId w:val="11"/>
  </w:num>
  <w:num w:numId="9" w16cid:durableId="1996714883">
    <w:abstractNumId w:val="4"/>
  </w:num>
  <w:num w:numId="10" w16cid:durableId="1405686835">
    <w:abstractNumId w:val="5"/>
  </w:num>
  <w:num w:numId="11" w16cid:durableId="496114341">
    <w:abstractNumId w:val="10"/>
  </w:num>
  <w:num w:numId="12" w16cid:durableId="13902225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E87"/>
    <w:rsid w:val="000011E5"/>
    <w:rsid w:val="00012525"/>
    <w:rsid w:val="0001468B"/>
    <w:rsid w:val="0001698D"/>
    <w:rsid w:val="00027217"/>
    <w:rsid w:val="00027E87"/>
    <w:rsid w:val="000456EF"/>
    <w:rsid w:val="00052661"/>
    <w:rsid w:val="00061E1B"/>
    <w:rsid w:val="000700EA"/>
    <w:rsid w:val="000812D8"/>
    <w:rsid w:val="00095C63"/>
    <w:rsid w:val="000A2994"/>
    <w:rsid w:val="000A6C8A"/>
    <w:rsid w:val="000B19F9"/>
    <w:rsid w:val="000B211A"/>
    <w:rsid w:val="000D16C3"/>
    <w:rsid w:val="000D55EF"/>
    <w:rsid w:val="000D64F2"/>
    <w:rsid w:val="000D739C"/>
    <w:rsid w:val="000D750B"/>
    <w:rsid w:val="000E4696"/>
    <w:rsid w:val="000E7D7D"/>
    <w:rsid w:val="000F2F89"/>
    <w:rsid w:val="000F318A"/>
    <w:rsid w:val="001044FA"/>
    <w:rsid w:val="00106568"/>
    <w:rsid w:val="00113A85"/>
    <w:rsid w:val="00123970"/>
    <w:rsid w:val="00132B97"/>
    <w:rsid w:val="00133B3C"/>
    <w:rsid w:val="00136EAA"/>
    <w:rsid w:val="001415B9"/>
    <w:rsid w:val="001474B7"/>
    <w:rsid w:val="00154028"/>
    <w:rsid w:val="00156A67"/>
    <w:rsid w:val="00166C8A"/>
    <w:rsid w:val="00172750"/>
    <w:rsid w:val="001745C6"/>
    <w:rsid w:val="00181D51"/>
    <w:rsid w:val="0018782D"/>
    <w:rsid w:val="001910EF"/>
    <w:rsid w:val="00191FEB"/>
    <w:rsid w:val="00194501"/>
    <w:rsid w:val="001959E3"/>
    <w:rsid w:val="001A0D1C"/>
    <w:rsid w:val="001A49BA"/>
    <w:rsid w:val="001A6287"/>
    <w:rsid w:val="001B5442"/>
    <w:rsid w:val="001B62C6"/>
    <w:rsid w:val="001B6DC1"/>
    <w:rsid w:val="001C302C"/>
    <w:rsid w:val="001D02FF"/>
    <w:rsid w:val="001D78CA"/>
    <w:rsid w:val="001E2F41"/>
    <w:rsid w:val="001E5794"/>
    <w:rsid w:val="001F4D36"/>
    <w:rsid w:val="00210154"/>
    <w:rsid w:val="002125BF"/>
    <w:rsid w:val="0021369A"/>
    <w:rsid w:val="0021633C"/>
    <w:rsid w:val="002171C9"/>
    <w:rsid w:val="0021721E"/>
    <w:rsid w:val="00225064"/>
    <w:rsid w:val="002265DF"/>
    <w:rsid w:val="0022775E"/>
    <w:rsid w:val="002449CB"/>
    <w:rsid w:val="00262408"/>
    <w:rsid w:val="0026727B"/>
    <w:rsid w:val="0027286D"/>
    <w:rsid w:val="00286075"/>
    <w:rsid w:val="00293C18"/>
    <w:rsid w:val="002942A3"/>
    <w:rsid w:val="002A14E3"/>
    <w:rsid w:val="002A57CE"/>
    <w:rsid w:val="002A6BCA"/>
    <w:rsid w:val="002A730C"/>
    <w:rsid w:val="002B0156"/>
    <w:rsid w:val="002B5DB7"/>
    <w:rsid w:val="002B7972"/>
    <w:rsid w:val="002C1ED7"/>
    <w:rsid w:val="002D4CD4"/>
    <w:rsid w:val="002D7B74"/>
    <w:rsid w:val="002F27CB"/>
    <w:rsid w:val="002F3FD8"/>
    <w:rsid w:val="002F4177"/>
    <w:rsid w:val="003014EF"/>
    <w:rsid w:val="003047CB"/>
    <w:rsid w:val="00305FCE"/>
    <w:rsid w:val="003074B1"/>
    <w:rsid w:val="00310633"/>
    <w:rsid w:val="00314E1B"/>
    <w:rsid w:val="0032663D"/>
    <w:rsid w:val="00347BC0"/>
    <w:rsid w:val="0035310D"/>
    <w:rsid w:val="003577D4"/>
    <w:rsid w:val="00360E48"/>
    <w:rsid w:val="003617B6"/>
    <w:rsid w:val="00361F49"/>
    <w:rsid w:val="00364E33"/>
    <w:rsid w:val="00371EBE"/>
    <w:rsid w:val="003722ED"/>
    <w:rsid w:val="00385066"/>
    <w:rsid w:val="003A68D5"/>
    <w:rsid w:val="003C1489"/>
    <w:rsid w:val="003C3CF3"/>
    <w:rsid w:val="003C40F6"/>
    <w:rsid w:val="003D041F"/>
    <w:rsid w:val="003D1C76"/>
    <w:rsid w:val="003D51EE"/>
    <w:rsid w:val="003E235A"/>
    <w:rsid w:val="003E2395"/>
    <w:rsid w:val="003E23D4"/>
    <w:rsid w:val="003E68FB"/>
    <w:rsid w:val="003F2456"/>
    <w:rsid w:val="003F6290"/>
    <w:rsid w:val="0040705E"/>
    <w:rsid w:val="0041157D"/>
    <w:rsid w:val="0041271B"/>
    <w:rsid w:val="00423D16"/>
    <w:rsid w:val="00426A28"/>
    <w:rsid w:val="00433DC3"/>
    <w:rsid w:val="00446161"/>
    <w:rsid w:val="00450170"/>
    <w:rsid w:val="00451211"/>
    <w:rsid w:val="00462D13"/>
    <w:rsid w:val="00472A7E"/>
    <w:rsid w:val="00473B6B"/>
    <w:rsid w:val="0047518F"/>
    <w:rsid w:val="0048393B"/>
    <w:rsid w:val="00487709"/>
    <w:rsid w:val="00492D20"/>
    <w:rsid w:val="004A1C74"/>
    <w:rsid w:val="004A6966"/>
    <w:rsid w:val="004A778E"/>
    <w:rsid w:val="004B3832"/>
    <w:rsid w:val="004C5225"/>
    <w:rsid w:val="004C5D34"/>
    <w:rsid w:val="004C7D6D"/>
    <w:rsid w:val="004D30B3"/>
    <w:rsid w:val="004D5FFA"/>
    <w:rsid w:val="004E357C"/>
    <w:rsid w:val="004E38F4"/>
    <w:rsid w:val="004F07D6"/>
    <w:rsid w:val="004F1218"/>
    <w:rsid w:val="004F27AF"/>
    <w:rsid w:val="004F2C02"/>
    <w:rsid w:val="00501743"/>
    <w:rsid w:val="005071C8"/>
    <w:rsid w:val="00517110"/>
    <w:rsid w:val="0052170F"/>
    <w:rsid w:val="00524506"/>
    <w:rsid w:val="00535DE4"/>
    <w:rsid w:val="00545B26"/>
    <w:rsid w:val="0054628E"/>
    <w:rsid w:val="00547F0D"/>
    <w:rsid w:val="005578C4"/>
    <w:rsid w:val="005605F9"/>
    <w:rsid w:val="00564887"/>
    <w:rsid w:val="0056720A"/>
    <w:rsid w:val="00580D48"/>
    <w:rsid w:val="00582A9D"/>
    <w:rsid w:val="005836F3"/>
    <w:rsid w:val="0058536B"/>
    <w:rsid w:val="0058653B"/>
    <w:rsid w:val="00592F86"/>
    <w:rsid w:val="0059368C"/>
    <w:rsid w:val="00596FB5"/>
    <w:rsid w:val="005A6CD6"/>
    <w:rsid w:val="005B1BC7"/>
    <w:rsid w:val="005C1192"/>
    <w:rsid w:val="005D107B"/>
    <w:rsid w:val="005D1AD7"/>
    <w:rsid w:val="005E139A"/>
    <w:rsid w:val="005E27E5"/>
    <w:rsid w:val="005E72C4"/>
    <w:rsid w:val="005F520E"/>
    <w:rsid w:val="0060104E"/>
    <w:rsid w:val="0060160E"/>
    <w:rsid w:val="006035FC"/>
    <w:rsid w:val="00605793"/>
    <w:rsid w:val="00607BC0"/>
    <w:rsid w:val="0061033C"/>
    <w:rsid w:val="00616AD0"/>
    <w:rsid w:val="0062613F"/>
    <w:rsid w:val="0063164F"/>
    <w:rsid w:val="00633571"/>
    <w:rsid w:val="006364DC"/>
    <w:rsid w:val="006375FB"/>
    <w:rsid w:val="00652C23"/>
    <w:rsid w:val="006635DE"/>
    <w:rsid w:val="0068057B"/>
    <w:rsid w:val="00681C18"/>
    <w:rsid w:val="00684FE6"/>
    <w:rsid w:val="00694488"/>
    <w:rsid w:val="006B1BC7"/>
    <w:rsid w:val="006B3E42"/>
    <w:rsid w:val="006B4DB0"/>
    <w:rsid w:val="006D074E"/>
    <w:rsid w:val="006D5419"/>
    <w:rsid w:val="006E1AA9"/>
    <w:rsid w:val="006E1CD1"/>
    <w:rsid w:val="006F604C"/>
    <w:rsid w:val="00702516"/>
    <w:rsid w:val="00703B61"/>
    <w:rsid w:val="00706499"/>
    <w:rsid w:val="00714015"/>
    <w:rsid w:val="0071450C"/>
    <w:rsid w:val="00716129"/>
    <w:rsid w:val="00731F8F"/>
    <w:rsid w:val="00733147"/>
    <w:rsid w:val="0073540F"/>
    <w:rsid w:val="00737318"/>
    <w:rsid w:val="00742BC6"/>
    <w:rsid w:val="00747960"/>
    <w:rsid w:val="0075241E"/>
    <w:rsid w:val="00762885"/>
    <w:rsid w:val="007635FE"/>
    <w:rsid w:val="00771E69"/>
    <w:rsid w:val="00772951"/>
    <w:rsid w:val="0077423F"/>
    <w:rsid w:val="00775A73"/>
    <w:rsid w:val="00776499"/>
    <w:rsid w:val="00783E10"/>
    <w:rsid w:val="0079360E"/>
    <w:rsid w:val="0079510B"/>
    <w:rsid w:val="007A1FA2"/>
    <w:rsid w:val="007B1D53"/>
    <w:rsid w:val="007C1AD6"/>
    <w:rsid w:val="007D00C2"/>
    <w:rsid w:val="007D0ED4"/>
    <w:rsid w:val="007D1A5A"/>
    <w:rsid w:val="007D6BBF"/>
    <w:rsid w:val="007E182F"/>
    <w:rsid w:val="007F14FE"/>
    <w:rsid w:val="007F3478"/>
    <w:rsid w:val="007F6E46"/>
    <w:rsid w:val="0080251E"/>
    <w:rsid w:val="00807DD0"/>
    <w:rsid w:val="00811D9B"/>
    <w:rsid w:val="008128BD"/>
    <w:rsid w:val="0082151E"/>
    <w:rsid w:val="0082296C"/>
    <w:rsid w:val="00825796"/>
    <w:rsid w:val="00833641"/>
    <w:rsid w:val="00845669"/>
    <w:rsid w:val="00852524"/>
    <w:rsid w:val="00863EFF"/>
    <w:rsid w:val="00865633"/>
    <w:rsid w:val="008669B8"/>
    <w:rsid w:val="00886E94"/>
    <w:rsid w:val="008923D5"/>
    <w:rsid w:val="008934A1"/>
    <w:rsid w:val="0089671A"/>
    <w:rsid w:val="008A49E3"/>
    <w:rsid w:val="008A52DF"/>
    <w:rsid w:val="008A6D17"/>
    <w:rsid w:val="008A7F14"/>
    <w:rsid w:val="008B1DCB"/>
    <w:rsid w:val="008B4443"/>
    <w:rsid w:val="008C49AE"/>
    <w:rsid w:val="008C6934"/>
    <w:rsid w:val="008E00FC"/>
    <w:rsid w:val="008E3486"/>
    <w:rsid w:val="008F2CE2"/>
    <w:rsid w:val="008F38A7"/>
    <w:rsid w:val="009030A3"/>
    <w:rsid w:val="009032A6"/>
    <w:rsid w:val="00904A84"/>
    <w:rsid w:val="00910FD9"/>
    <w:rsid w:val="00915643"/>
    <w:rsid w:val="00924561"/>
    <w:rsid w:val="00932F8F"/>
    <w:rsid w:val="009376D6"/>
    <w:rsid w:val="00943BDA"/>
    <w:rsid w:val="0094442A"/>
    <w:rsid w:val="009527FF"/>
    <w:rsid w:val="00953D0C"/>
    <w:rsid w:val="00961658"/>
    <w:rsid w:val="00963867"/>
    <w:rsid w:val="009663A2"/>
    <w:rsid w:val="009759EB"/>
    <w:rsid w:val="00977A90"/>
    <w:rsid w:val="00981AF8"/>
    <w:rsid w:val="00982769"/>
    <w:rsid w:val="009843F9"/>
    <w:rsid w:val="009852CB"/>
    <w:rsid w:val="00987D3D"/>
    <w:rsid w:val="00990E07"/>
    <w:rsid w:val="00996331"/>
    <w:rsid w:val="00997869"/>
    <w:rsid w:val="009A4B0D"/>
    <w:rsid w:val="009B59A0"/>
    <w:rsid w:val="009C1EF5"/>
    <w:rsid w:val="009C5ED1"/>
    <w:rsid w:val="009C6D1B"/>
    <w:rsid w:val="009D546F"/>
    <w:rsid w:val="009E7C0D"/>
    <w:rsid w:val="009F2900"/>
    <w:rsid w:val="00A04E73"/>
    <w:rsid w:val="00A05E13"/>
    <w:rsid w:val="00A13EF3"/>
    <w:rsid w:val="00A22C52"/>
    <w:rsid w:val="00A240FB"/>
    <w:rsid w:val="00A26251"/>
    <w:rsid w:val="00A30CA0"/>
    <w:rsid w:val="00A33D90"/>
    <w:rsid w:val="00A377F6"/>
    <w:rsid w:val="00A37B1C"/>
    <w:rsid w:val="00A40BC7"/>
    <w:rsid w:val="00A50B5E"/>
    <w:rsid w:val="00A648E6"/>
    <w:rsid w:val="00A707B5"/>
    <w:rsid w:val="00A71DFB"/>
    <w:rsid w:val="00A76C0A"/>
    <w:rsid w:val="00A8052C"/>
    <w:rsid w:val="00A83E21"/>
    <w:rsid w:val="00A917EA"/>
    <w:rsid w:val="00A92ABA"/>
    <w:rsid w:val="00AA39DE"/>
    <w:rsid w:val="00AA7945"/>
    <w:rsid w:val="00AB0CF4"/>
    <w:rsid w:val="00AB1C9C"/>
    <w:rsid w:val="00AB301A"/>
    <w:rsid w:val="00AB5D1D"/>
    <w:rsid w:val="00AC3C83"/>
    <w:rsid w:val="00AC5C62"/>
    <w:rsid w:val="00AE39A9"/>
    <w:rsid w:val="00AE4BA0"/>
    <w:rsid w:val="00AE61F2"/>
    <w:rsid w:val="00AF552C"/>
    <w:rsid w:val="00AF56DF"/>
    <w:rsid w:val="00B031A6"/>
    <w:rsid w:val="00B15CF3"/>
    <w:rsid w:val="00B46198"/>
    <w:rsid w:val="00B53473"/>
    <w:rsid w:val="00B60D80"/>
    <w:rsid w:val="00B63843"/>
    <w:rsid w:val="00B7798C"/>
    <w:rsid w:val="00B8186D"/>
    <w:rsid w:val="00B857F9"/>
    <w:rsid w:val="00B95999"/>
    <w:rsid w:val="00B97E26"/>
    <w:rsid w:val="00BA7CD7"/>
    <w:rsid w:val="00BB66BB"/>
    <w:rsid w:val="00BC0E58"/>
    <w:rsid w:val="00BC25B5"/>
    <w:rsid w:val="00BC466A"/>
    <w:rsid w:val="00BC4859"/>
    <w:rsid w:val="00BD5158"/>
    <w:rsid w:val="00BD5F30"/>
    <w:rsid w:val="00BD7314"/>
    <w:rsid w:val="00BE142D"/>
    <w:rsid w:val="00BE3BE6"/>
    <w:rsid w:val="00BE41D6"/>
    <w:rsid w:val="00BF1891"/>
    <w:rsid w:val="00BF1D4C"/>
    <w:rsid w:val="00BF31A1"/>
    <w:rsid w:val="00C00D2A"/>
    <w:rsid w:val="00C03238"/>
    <w:rsid w:val="00C05E1B"/>
    <w:rsid w:val="00C15E39"/>
    <w:rsid w:val="00C168AA"/>
    <w:rsid w:val="00C43A86"/>
    <w:rsid w:val="00C54C11"/>
    <w:rsid w:val="00C657D0"/>
    <w:rsid w:val="00C70695"/>
    <w:rsid w:val="00C71433"/>
    <w:rsid w:val="00C73C53"/>
    <w:rsid w:val="00C8340B"/>
    <w:rsid w:val="00C924A2"/>
    <w:rsid w:val="00C94217"/>
    <w:rsid w:val="00CA13AB"/>
    <w:rsid w:val="00CA5FF2"/>
    <w:rsid w:val="00CB4D23"/>
    <w:rsid w:val="00CD114C"/>
    <w:rsid w:val="00CD2D3A"/>
    <w:rsid w:val="00CD4088"/>
    <w:rsid w:val="00CE5882"/>
    <w:rsid w:val="00D05B51"/>
    <w:rsid w:val="00D069C3"/>
    <w:rsid w:val="00D06C92"/>
    <w:rsid w:val="00D1105B"/>
    <w:rsid w:val="00D12194"/>
    <w:rsid w:val="00D12799"/>
    <w:rsid w:val="00D14C19"/>
    <w:rsid w:val="00D27A49"/>
    <w:rsid w:val="00D354B8"/>
    <w:rsid w:val="00D369F2"/>
    <w:rsid w:val="00D40877"/>
    <w:rsid w:val="00D409AE"/>
    <w:rsid w:val="00D41585"/>
    <w:rsid w:val="00D60267"/>
    <w:rsid w:val="00D635EA"/>
    <w:rsid w:val="00D662D6"/>
    <w:rsid w:val="00D7217C"/>
    <w:rsid w:val="00D72652"/>
    <w:rsid w:val="00D73B12"/>
    <w:rsid w:val="00D84CC8"/>
    <w:rsid w:val="00DA08D2"/>
    <w:rsid w:val="00DA4AE4"/>
    <w:rsid w:val="00DB4FED"/>
    <w:rsid w:val="00DB748C"/>
    <w:rsid w:val="00DC51F1"/>
    <w:rsid w:val="00DD0107"/>
    <w:rsid w:val="00DD7F33"/>
    <w:rsid w:val="00DE750A"/>
    <w:rsid w:val="00E03A61"/>
    <w:rsid w:val="00E03C27"/>
    <w:rsid w:val="00E23DA0"/>
    <w:rsid w:val="00E265A3"/>
    <w:rsid w:val="00E502DC"/>
    <w:rsid w:val="00E64BAF"/>
    <w:rsid w:val="00E71200"/>
    <w:rsid w:val="00E72692"/>
    <w:rsid w:val="00E74F1C"/>
    <w:rsid w:val="00E81EA1"/>
    <w:rsid w:val="00E872ED"/>
    <w:rsid w:val="00E96DE0"/>
    <w:rsid w:val="00EA0BC0"/>
    <w:rsid w:val="00EA781A"/>
    <w:rsid w:val="00EC1340"/>
    <w:rsid w:val="00EC2EF1"/>
    <w:rsid w:val="00ED2BC7"/>
    <w:rsid w:val="00ED60B6"/>
    <w:rsid w:val="00EF17E4"/>
    <w:rsid w:val="00EF46BB"/>
    <w:rsid w:val="00EF7230"/>
    <w:rsid w:val="00F06368"/>
    <w:rsid w:val="00F06C58"/>
    <w:rsid w:val="00F157B0"/>
    <w:rsid w:val="00F15F56"/>
    <w:rsid w:val="00F27549"/>
    <w:rsid w:val="00F32C34"/>
    <w:rsid w:val="00F34205"/>
    <w:rsid w:val="00F34FFF"/>
    <w:rsid w:val="00F374C3"/>
    <w:rsid w:val="00F45A5F"/>
    <w:rsid w:val="00F52DFC"/>
    <w:rsid w:val="00F64C06"/>
    <w:rsid w:val="00F76080"/>
    <w:rsid w:val="00F8381B"/>
    <w:rsid w:val="00F90EBF"/>
    <w:rsid w:val="00FA05C2"/>
    <w:rsid w:val="00FA297A"/>
    <w:rsid w:val="00FA3A0A"/>
    <w:rsid w:val="00FB38EE"/>
    <w:rsid w:val="00FB3BD6"/>
    <w:rsid w:val="00FB7BD9"/>
    <w:rsid w:val="00FC634F"/>
    <w:rsid w:val="00FC63CE"/>
    <w:rsid w:val="00FD34C3"/>
    <w:rsid w:val="00FD3B87"/>
    <w:rsid w:val="00FD784D"/>
    <w:rsid w:val="00FF78E1"/>
    <w:rsid w:val="00FF79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32C09"/>
  <w15:chartTrackingRefBased/>
  <w15:docId w15:val="{9164F9E1-1275-42CF-AE28-B9E1441D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7E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7E87"/>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027E87"/>
    <w:pPr>
      <w:spacing w:after="0" w:line="240" w:lineRule="auto"/>
    </w:pPr>
    <w:rPr>
      <w:rFonts w:eastAsia="Times New Roman" w:cs="Times New Roman"/>
      <w:sz w:val="20"/>
      <w:szCs w:val="20"/>
      <w:u w:val="single"/>
      <w:lang w:val="en-GB"/>
    </w:rPr>
  </w:style>
  <w:style w:type="character" w:customStyle="1" w:styleId="FootnoteTextChar">
    <w:name w:val="Footnote Text Char"/>
    <w:basedOn w:val="DefaultParagraphFont"/>
    <w:link w:val="FootnoteText"/>
    <w:uiPriority w:val="99"/>
    <w:semiHidden/>
    <w:rsid w:val="00027E87"/>
    <w:rPr>
      <w:rFonts w:eastAsia="Times New Roman" w:cs="Times New Roman"/>
      <w:sz w:val="20"/>
      <w:szCs w:val="20"/>
      <w:u w:val="single"/>
      <w:lang w:val="en-GB"/>
    </w:rPr>
  </w:style>
  <w:style w:type="character" w:styleId="FootnoteReference">
    <w:name w:val="footnote reference"/>
    <w:basedOn w:val="DefaultParagraphFont"/>
    <w:uiPriority w:val="99"/>
    <w:semiHidden/>
    <w:unhideWhenUsed/>
    <w:rsid w:val="00027E87"/>
    <w:rPr>
      <w:vertAlign w:val="superscript"/>
    </w:rPr>
  </w:style>
  <w:style w:type="paragraph" w:styleId="Header">
    <w:name w:val="header"/>
    <w:basedOn w:val="Normal"/>
    <w:link w:val="HeaderChar"/>
    <w:uiPriority w:val="99"/>
    <w:unhideWhenUsed/>
    <w:rsid w:val="005D1A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AD7"/>
  </w:style>
  <w:style w:type="paragraph" w:styleId="Footer">
    <w:name w:val="footer"/>
    <w:basedOn w:val="Normal"/>
    <w:link w:val="FooterChar"/>
    <w:uiPriority w:val="99"/>
    <w:unhideWhenUsed/>
    <w:rsid w:val="005D1A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AD7"/>
  </w:style>
  <w:style w:type="paragraph" w:styleId="ListParagraph">
    <w:name w:val="List Paragraph"/>
    <w:basedOn w:val="Normal"/>
    <w:uiPriority w:val="34"/>
    <w:qFormat/>
    <w:rsid w:val="002A6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ECD2D-1B02-414C-8F1A-5BE764BE2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Meintjes</dc:creator>
  <cp:keywords/>
  <dc:description/>
  <cp:lastModifiedBy>sathish sarshan  mohan</cp:lastModifiedBy>
  <cp:revision>12</cp:revision>
  <dcterms:created xsi:type="dcterms:W3CDTF">2024-04-08T07:32:00Z</dcterms:created>
  <dcterms:modified xsi:type="dcterms:W3CDTF">2024-04-23T20:17:00Z</dcterms:modified>
</cp:coreProperties>
</file>