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C17B51" w14:textId="4FA3AF46" w:rsidR="000B3350" w:rsidRDefault="000B3350" w:rsidP="000B3350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1746AF57" wp14:editId="0DC16746">
            <wp:extent cx="4286250" cy="466725"/>
            <wp:effectExtent l="0" t="0" r="0" b="9525"/>
            <wp:docPr id="13563454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E4833" w14:textId="3E1689A4" w:rsidR="004C0C45" w:rsidRPr="00056EE2" w:rsidRDefault="004C0C45" w:rsidP="004C0C4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56EE2">
        <w:rPr>
          <w:rFonts w:ascii="Calibri" w:eastAsia="Calibri" w:hAnsi="Calibri" w:cs="Times New Roman"/>
          <w:b/>
          <w:sz w:val="28"/>
          <w:szCs w:val="28"/>
        </w:rPr>
        <w:t>REPUBLIC OF SOUTH AFRICA</w:t>
      </w:r>
    </w:p>
    <w:p w14:paraId="0574D1C1" w14:textId="77777777" w:rsidR="004C0C45" w:rsidRPr="00056EE2" w:rsidRDefault="004C0C45" w:rsidP="004C0C4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56EE2">
        <w:rPr>
          <w:rFonts w:ascii="Calibri" w:eastAsia="Calibri" w:hAnsi="Calibri" w:cs="Times New Roman"/>
          <w:b/>
          <w:noProof/>
          <w:sz w:val="28"/>
          <w:szCs w:val="28"/>
          <w:lang w:eastAsia="en-ZA"/>
        </w:rPr>
        <w:drawing>
          <wp:inline distT="0" distB="0" distL="0" distR="0" wp14:anchorId="7617D9DF" wp14:editId="0C0E452A">
            <wp:extent cx="1352550" cy="1352550"/>
            <wp:effectExtent l="0" t="0" r="0" b="0"/>
            <wp:docPr id="1" name="Picture 1" descr="cid:image001.png@01D102A3.6AE54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02A3.6AE544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F8B17" w14:textId="77777777" w:rsidR="004C0C45" w:rsidRPr="00056EE2" w:rsidRDefault="004C0C45" w:rsidP="004C0C4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56EE2">
        <w:rPr>
          <w:rFonts w:ascii="Calibri" w:eastAsia="Calibri" w:hAnsi="Calibri" w:cs="Times New Roman"/>
          <w:b/>
          <w:sz w:val="28"/>
          <w:szCs w:val="28"/>
        </w:rPr>
        <w:t>THE HIGH COURT OF SOUTH AFRICA</w:t>
      </w:r>
    </w:p>
    <w:p w14:paraId="1CA7D11E" w14:textId="77777777" w:rsidR="004C0C45" w:rsidRPr="00056EE2" w:rsidRDefault="004C0C45" w:rsidP="004C0C45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56EE2">
        <w:rPr>
          <w:rFonts w:ascii="Calibri" w:eastAsia="Calibri" w:hAnsi="Calibri" w:cs="Times New Roman"/>
          <w:b/>
          <w:sz w:val="28"/>
          <w:szCs w:val="28"/>
        </w:rPr>
        <w:t>GAUTENG DIVISION, PRETORIA</w:t>
      </w:r>
    </w:p>
    <w:p w14:paraId="6D0E24C4" w14:textId="77777777" w:rsidR="004C0C45" w:rsidRPr="00056EE2" w:rsidRDefault="004C0C45" w:rsidP="004C0C45">
      <w:pPr>
        <w:tabs>
          <w:tab w:val="left" w:pos="7445"/>
        </w:tabs>
        <w:rPr>
          <w:rFonts w:ascii="Calibri" w:eastAsia="Calibri" w:hAnsi="Calibri" w:cs="Times New Roman"/>
          <w:b/>
          <w:sz w:val="28"/>
          <w:szCs w:val="28"/>
        </w:rPr>
      </w:pPr>
      <w:r w:rsidRPr="00056EE2">
        <w:rPr>
          <w:rFonts w:ascii="Calibri" w:eastAsia="Calibri" w:hAnsi="Calibri" w:cs="Times New Roman"/>
          <w:b/>
          <w:sz w:val="28"/>
          <w:szCs w:val="28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C0C45" w:rsidRPr="00056EE2" w14:paraId="470FA18D" w14:textId="77777777" w:rsidTr="000D6C46">
        <w:tc>
          <w:tcPr>
            <w:tcW w:w="5382" w:type="dxa"/>
            <w:tcBorders>
              <w:right w:val="single" w:sz="4" w:space="0" w:color="auto"/>
            </w:tcBorders>
          </w:tcPr>
          <w:p w14:paraId="52A56E3C" w14:textId="77777777" w:rsidR="004C0C45" w:rsidRPr="00056EE2" w:rsidRDefault="004C0C45" w:rsidP="000D6C46">
            <w:pPr>
              <w:spacing w:before="120" w:after="120" w:line="360" w:lineRule="auto"/>
              <w:ind w:left="718" w:hanging="718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</w:p>
          <w:p w14:paraId="2F82D787" w14:textId="77777777" w:rsidR="004C0C45" w:rsidRPr="00056EE2" w:rsidRDefault="004C0C45" w:rsidP="000D6C46">
            <w:pPr>
              <w:spacing w:before="120" w:after="120" w:line="360" w:lineRule="auto"/>
              <w:ind w:left="718" w:hanging="718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lang w:eastAsia="en-ZA"/>
              </w:rPr>
            </w:pPr>
            <w:r w:rsidRPr="00056EE2">
              <w:rPr>
                <w:rFonts w:ascii="Arial" w:hAnsi="Arial" w:cs="Arial"/>
                <w:b/>
                <w:bCs/>
                <w:color w:val="000000"/>
                <w:lang w:eastAsia="en-ZA"/>
              </w:rPr>
              <w:t>DELETE WHICHEVER IS NOT APPLICABLE:</w:t>
            </w:r>
          </w:p>
          <w:p w14:paraId="499326D1" w14:textId="5A2EF7AC" w:rsidR="004C0C45" w:rsidRPr="00056EE2" w:rsidRDefault="00BE6C6F" w:rsidP="00BE6C6F">
            <w:pPr>
              <w:spacing w:before="120" w:after="120" w:line="360" w:lineRule="auto"/>
              <w:ind w:left="720" w:hanging="360"/>
              <w:contextualSpacing/>
              <w:jc w:val="both"/>
              <w:rPr>
                <w:rFonts w:cs="Arial"/>
                <w:color w:val="000000"/>
                <w:lang w:eastAsia="en-ZA"/>
              </w:rPr>
            </w:pPr>
            <w:r w:rsidRPr="00056EE2">
              <w:rPr>
                <w:rFonts w:cs="Arial"/>
                <w:color w:val="000000"/>
                <w:lang w:eastAsia="en-ZA"/>
              </w:rPr>
              <w:t>(1)</w:t>
            </w:r>
            <w:r w:rsidRPr="00056EE2">
              <w:rPr>
                <w:rFonts w:cs="Arial"/>
                <w:color w:val="000000"/>
                <w:lang w:eastAsia="en-ZA"/>
              </w:rPr>
              <w:tab/>
            </w:r>
            <w:r w:rsidR="004C0C45" w:rsidRPr="00056EE2">
              <w:rPr>
                <w:rFonts w:cs="Arial"/>
                <w:color w:val="000000"/>
                <w:lang w:eastAsia="en-ZA"/>
              </w:rPr>
              <w:t xml:space="preserve">REPORTABLE: </w:t>
            </w:r>
            <w:r w:rsidR="004C0C45" w:rsidRPr="00056EE2">
              <w:rPr>
                <w:rFonts w:cs="Arial"/>
                <w:color w:val="000000"/>
                <w:lang w:eastAsia="en-ZA"/>
              </w:rPr>
              <w:tab/>
            </w:r>
            <w:r w:rsidR="004C0C45" w:rsidRPr="00056EE2">
              <w:rPr>
                <w:rFonts w:cs="Arial"/>
                <w:color w:val="000000"/>
                <w:lang w:eastAsia="en-ZA"/>
              </w:rPr>
              <w:tab/>
            </w:r>
            <w:r w:rsidR="004C0C45" w:rsidRPr="00056EE2">
              <w:rPr>
                <w:rFonts w:cs="Arial"/>
                <w:color w:val="000000"/>
                <w:lang w:eastAsia="en-ZA"/>
              </w:rPr>
              <w:tab/>
            </w:r>
            <w:r w:rsidR="004C0C45" w:rsidRPr="00056EE2">
              <w:rPr>
                <w:rFonts w:cs="Arial"/>
                <w:color w:val="000000"/>
                <w:lang w:eastAsia="en-ZA"/>
              </w:rPr>
              <w:tab/>
              <w:t>YES/NO</w:t>
            </w:r>
          </w:p>
          <w:p w14:paraId="2D44F26C" w14:textId="0657323D" w:rsidR="004C0C45" w:rsidRPr="00056EE2" w:rsidRDefault="00BE6C6F" w:rsidP="00BE6C6F">
            <w:pPr>
              <w:spacing w:before="120" w:after="120" w:line="360" w:lineRule="auto"/>
              <w:ind w:left="720" w:hanging="360"/>
              <w:contextualSpacing/>
              <w:jc w:val="both"/>
              <w:rPr>
                <w:rFonts w:cs="Arial"/>
                <w:color w:val="000000"/>
                <w:lang w:eastAsia="en-ZA"/>
              </w:rPr>
            </w:pPr>
            <w:r w:rsidRPr="00056EE2">
              <w:rPr>
                <w:rFonts w:cs="Arial"/>
                <w:color w:val="000000"/>
                <w:lang w:eastAsia="en-ZA"/>
              </w:rPr>
              <w:t>(2)</w:t>
            </w:r>
            <w:r w:rsidRPr="00056EE2">
              <w:rPr>
                <w:rFonts w:cs="Arial"/>
                <w:color w:val="000000"/>
                <w:lang w:eastAsia="en-ZA"/>
              </w:rPr>
              <w:tab/>
            </w:r>
            <w:r w:rsidR="004C0C45" w:rsidRPr="00056EE2">
              <w:rPr>
                <w:rFonts w:cs="Arial"/>
                <w:color w:val="000000"/>
                <w:lang w:eastAsia="en-ZA"/>
              </w:rPr>
              <w:t>OF INTEREST TO OTHER JUDGES: YES/NO</w:t>
            </w:r>
          </w:p>
          <w:p w14:paraId="4914F28C" w14:textId="004C3343" w:rsidR="004C0C45" w:rsidRPr="00056EE2" w:rsidRDefault="00BE6C6F" w:rsidP="00BE6C6F">
            <w:pPr>
              <w:spacing w:before="120" w:after="120" w:line="360" w:lineRule="auto"/>
              <w:ind w:left="720" w:hanging="360"/>
              <w:contextualSpacing/>
              <w:jc w:val="both"/>
              <w:rPr>
                <w:rFonts w:cs="Arial"/>
                <w:color w:val="000000"/>
                <w:lang w:eastAsia="en-ZA"/>
              </w:rPr>
            </w:pPr>
            <w:r w:rsidRPr="00056EE2">
              <w:rPr>
                <w:rFonts w:cs="Arial"/>
                <w:color w:val="000000"/>
                <w:lang w:eastAsia="en-ZA"/>
              </w:rPr>
              <w:t>(3)</w:t>
            </w:r>
            <w:r w:rsidRPr="00056EE2">
              <w:rPr>
                <w:rFonts w:cs="Arial"/>
                <w:color w:val="000000"/>
                <w:lang w:eastAsia="en-ZA"/>
              </w:rPr>
              <w:tab/>
            </w:r>
            <w:r w:rsidR="004C0C45" w:rsidRPr="00056EE2">
              <w:rPr>
                <w:rFonts w:cs="Arial"/>
                <w:color w:val="000000"/>
                <w:lang w:eastAsia="en-ZA"/>
              </w:rPr>
              <w:t>REVISED:</w:t>
            </w:r>
            <w:r w:rsidR="004C0C45" w:rsidRPr="00056EE2">
              <w:rPr>
                <w:noProof/>
                <w:lang w:eastAsia="en-ZA"/>
              </w:rPr>
              <w:t xml:space="preserve"> </w:t>
            </w:r>
          </w:p>
          <w:p w14:paraId="43A9D27B" w14:textId="50B546C9" w:rsidR="004C0C45" w:rsidRPr="00056EE2" w:rsidRDefault="004C0C45" w:rsidP="000D6C46">
            <w:pPr>
              <w:spacing w:before="120" w:after="120" w:line="360" w:lineRule="auto"/>
              <w:ind w:left="360" w:hanging="718"/>
              <w:contextualSpacing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 w:rsidRPr="00056EE2">
              <w:rPr>
                <w:rFonts w:ascii="Arial" w:hAnsi="Arial" w:cs="Arial"/>
                <w:color w:val="000000"/>
                <w:lang w:eastAsia="en-ZA"/>
              </w:rPr>
              <w:t>14</w:t>
            </w:r>
            <w:r w:rsidRPr="00056EE2">
              <w:rPr>
                <w:rFonts w:ascii="Arial" w:hAnsi="Arial" w:cs="Arial"/>
                <w:color w:val="000000"/>
                <w:lang w:eastAsia="en-ZA"/>
              </w:rPr>
              <w:tab/>
              <w:t xml:space="preserve">…… </w:t>
            </w:r>
            <w:r w:rsidRPr="00056EE2">
              <w:rPr>
                <w:rFonts w:ascii="Arial" w:hAnsi="Arial" w:cs="Arial"/>
                <w:color w:val="000000"/>
                <w:lang w:eastAsia="en-ZA"/>
              </w:rPr>
              <w:tab/>
            </w:r>
          </w:p>
          <w:p w14:paraId="64FC888E" w14:textId="77777777" w:rsidR="004C0C45" w:rsidRPr="00056EE2" w:rsidRDefault="004C0C45" w:rsidP="00B13941">
            <w:pPr>
              <w:spacing w:before="120" w:after="120" w:line="360" w:lineRule="auto"/>
              <w:ind w:left="360" w:hanging="718"/>
              <w:contextualSpacing/>
              <w:jc w:val="both"/>
              <w:rPr>
                <w:rFonts w:ascii="Arial" w:hAnsi="Arial" w:cs="Arial"/>
                <w:color w:val="000000"/>
                <w:lang w:eastAsia="en-ZA"/>
              </w:rPr>
            </w:pPr>
            <w:r w:rsidRPr="00056EE2">
              <w:rPr>
                <w:rFonts w:ascii="Arial" w:hAnsi="Arial" w:cs="Arial"/>
                <w:color w:val="000000"/>
                <w:lang w:eastAsia="en-ZA"/>
              </w:rPr>
              <w:t xml:space="preserve">         </w:t>
            </w:r>
            <w:r w:rsidR="00B13941">
              <w:rPr>
                <w:rFonts w:ascii="Arial" w:hAnsi="Arial" w:cs="Arial"/>
                <w:color w:val="000000"/>
                <w:lang w:eastAsia="en-ZA"/>
              </w:rPr>
              <w:t>DATE 9</w:t>
            </w:r>
            <w:r>
              <w:rPr>
                <w:rFonts w:ascii="Arial" w:hAnsi="Arial" w:cs="Arial"/>
                <w:color w:val="000000"/>
                <w:lang w:eastAsia="en-ZA"/>
              </w:rPr>
              <w:t xml:space="preserve"> </w:t>
            </w:r>
            <w:r w:rsidR="00B13941">
              <w:rPr>
                <w:rFonts w:ascii="Arial" w:hAnsi="Arial" w:cs="Arial"/>
                <w:color w:val="000000"/>
                <w:lang w:eastAsia="en-ZA"/>
              </w:rPr>
              <w:t>APRIL 2024</w:t>
            </w:r>
            <w:r w:rsidRPr="00056EE2">
              <w:rPr>
                <w:rFonts w:ascii="Arial" w:hAnsi="Arial" w:cs="Arial"/>
                <w:color w:val="000000"/>
                <w:lang w:eastAsia="en-ZA"/>
              </w:rPr>
              <w:t>.</w:t>
            </w:r>
            <w:r w:rsidRPr="00056EE2">
              <w:rPr>
                <w:rFonts w:ascii="Arial" w:hAnsi="Arial" w:cs="Arial"/>
                <w:color w:val="000000"/>
                <w:lang w:eastAsia="en-ZA"/>
              </w:rPr>
              <w:tab/>
              <w:t xml:space="preserve">            SIGNATURE                                              </w:t>
            </w:r>
          </w:p>
        </w:tc>
      </w:tr>
    </w:tbl>
    <w:p w14:paraId="3DB582A1" w14:textId="77777777" w:rsidR="004C0C45" w:rsidRPr="00056EE2" w:rsidRDefault="004C0C45" w:rsidP="004C0C45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14:paraId="77611D3F" w14:textId="77777777" w:rsidR="004C0C45" w:rsidRPr="00F21C61" w:rsidRDefault="004C0C45" w:rsidP="004C0C45">
      <w:pPr>
        <w:spacing w:after="178" w:line="246" w:lineRule="auto"/>
        <w:ind w:left="10" w:right="-15" w:hanging="10"/>
        <w:jc w:val="right"/>
        <w:rPr>
          <w:rFonts w:ascii="Times New Roman" w:eastAsia="Arial" w:hAnsi="Times New Roman" w:cs="Times New Roman"/>
          <w:color w:val="000000"/>
          <w:sz w:val="24"/>
          <w:lang w:eastAsia="en-ZA"/>
        </w:rPr>
      </w:pPr>
      <w:bookmarkStart w:id="0" w:name="_Hlk150437223"/>
      <w:r w:rsidRPr="00F21C61">
        <w:rPr>
          <w:rFonts w:ascii="Times New Roman" w:eastAsia="Arial" w:hAnsi="Times New Roman" w:cs="Times New Roman"/>
          <w:color w:val="000000"/>
          <w:sz w:val="24"/>
          <w:lang w:eastAsia="en-ZA"/>
        </w:rPr>
        <w:t xml:space="preserve">CASE NUMBER: 42362/2021 </w:t>
      </w:r>
    </w:p>
    <w:p w14:paraId="63ABF405" w14:textId="77777777" w:rsidR="004C0C45" w:rsidRPr="00F21C61" w:rsidRDefault="004C0C45" w:rsidP="004C0C45">
      <w:pPr>
        <w:spacing w:after="175" w:line="240" w:lineRule="auto"/>
        <w:ind w:left="1003" w:hanging="10"/>
        <w:jc w:val="both"/>
        <w:rPr>
          <w:rFonts w:ascii="Times New Roman" w:eastAsia="Arial" w:hAnsi="Times New Roman" w:cs="Times New Roman"/>
          <w:color w:val="000000"/>
          <w:sz w:val="24"/>
          <w:lang w:eastAsia="en-ZA"/>
        </w:rPr>
      </w:pPr>
      <w:r w:rsidRPr="00F21C61">
        <w:rPr>
          <w:rFonts w:ascii="Times New Roman" w:eastAsia="Arial" w:hAnsi="Times New Roman" w:cs="Times New Roman"/>
          <w:color w:val="000000"/>
          <w:sz w:val="24"/>
          <w:lang w:eastAsia="en-ZA"/>
        </w:rPr>
        <w:t xml:space="preserve">In the matter between: </w:t>
      </w:r>
    </w:p>
    <w:p w14:paraId="56BD40A7" w14:textId="77777777" w:rsidR="004C0C45" w:rsidRPr="00F21C61" w:rsidRDefault="004C0C45" w:rsidP="004C0C45">
      <w:pPr>
        <w:spacing w:after="178" w:line="240" w:lineRule="auto"/>
        <w:ind w:left="1008"/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</w:pPr>
      <w:r w:rsidRPr="00F21C61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 xml:space="preserve"> </w:t>
      </w:r>
    </w:p>
    <w:p w14:paraId="35662288" w14:textId="77777777" w:rsidR="004C0C45" w:rsidRPr="004C0C45" w:rsidRDefault="004C0C45" w:rsidP="004C0C45">
      <w:pPr>
        <w:keepNext/>
        <w:keepLines/>
        <w:spacing w:after="175" w:line="240" w:lineRule="auto"/>
        <w:ind w:left="1003" w:hanging="10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</w:pP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 xml:space="preserve">ADÉ MEYER  </w:t>
      </w: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  <w:t xml:space="preserve"> </w:t>
      </w: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  <w:t xml:space="preserve">  </w:t>
      </w: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  <w:t xml:space="preserve"> </w:t>
      </w: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  <w:t xml:space="preserve">         APPLICANT </w:t>
      </w:r>
    </w:p>
    <w:p w14:paraId="2A478969" w14:textId="77777777" w:rsidR="004C0C45" w:rsidRPr="004C0C45" w:rsidRDefault="004C0C45" w:rsidP="00F21C61">
      <w:pPr>
        <w:spacing w:after="178" w:line="240" w:lineRule="auto"/>
        <w:ind w:left="1008"/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</w:pP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 xml:space="preserve"> and  </w:t>
      </w:r>
    </w:p>
    <w:p w14:paraId="156F37FF" w14:textId="77777777" w:rsidR="004C0C45" w:rsidRPr="004C0C45" w:rsidRDefault="004C0C45" w:rsidP="00F21C61">
      <w:pPr>
        <w:spacing w:after="178" w:line="240" w:lineRule="auto"/>
        <w:ind w:left="1008"/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</w:pP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 xml:space="preserve"> HEINER MEYER  </w:t>
      </w: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</w: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</w: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</w: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  <w:t xml:space="preserve">FIRST RESPONDENT  </w:t>
      </w:r>
    </w:p>
    <w:p w14:paraId="66C3E39D" w14:textId="77777777" w:rsidR="004C0C45" w:rsidRPr="004C0C45" w:rsidRDefault="004C0C45" w:rsidP="004C0C45">
      <w:pPr>
        <w:spacing w:after="178" w:line="240" w:lineRule="auto"/>
        <w:ind w:left="1008"/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</w:pP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 xml:space="preserve"> </w:t>
      </w:r>
    </w:p>
    <w:p w14:paraId="03FFDDCC" w14:textId="77777777" w:rsidR="004C0C45" w:rsidRPr="004C0C45" w:rsidRDefault="004C0C45" w:rsidP="004C0C45">
      <w:pPr>
        <w:keepNext/>
        <w:keepLines/>
        <w:spacing w:after="175" w:line="240" w:lineRule="auto"/>
        <w:ind w:left="1003" w:hanging="10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</w:pP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 xml:space="preserve">HEINER MEYER N.O. </w:t>
      </w: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</w: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 xml:space="preserve">SECOND RESPONDENT  </w:t>
      </w:r>
    </w:p>
    <w:p w14:paraId="09EC93D5" w14:textId="77777777" w:rsidR="004C0C45" w:rsidRPr="004C0C45" w:rsidRDefault="004C0C45" w:rsidP="004C0C45">
      <w:pPr>
        <w:spacing w:after="178" w:line="240" w:lineRule="auto"/>
        <w:ind w:left="1003" w:hanging="1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</w:pP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 xml:space="preserve">(In his capacity as trustee of the  </w:t>
      </w:r>
    </w:p>
    <w:p w14:paraId="53F0191C" w14:textId="77777777" w:rsidR="004C0C45" w:rsidRPr="004C0C45" w:rsidRDefault="004C0C45" w:rsidP="004C0C45">
      <w:pPr>
        <w:spacing w:after="175" w:line="240" w:lineRule="auto"/>
        <w:ind w:left="1003" w:hanging="1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</w:pP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 xml:space="preserve">Akkedis Trust:  IT8998/07) </w:t>
      </w:r>
    </w:p>
    <w:p w14:paraId="3D0032FF" w14:textId="77777777" w:rsidR="004C0C45" w:rsidRPr="004C0C45" w:rsidRDefault="004C0C45" w:rsidP="004C0C45">
      <w:pPr>
        <w:spacing w:after="178" w:line="240" w:lineRule="auto"/>
        <w:ind w:left="1008"/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</w:pP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 xml:space="preserve"> </w:t>
      </w:r>
    </w:p>
    <w:p w14:paraId="4BB122B9" w14:textId="77777777" w:rsidR="004C0C45" w:rsidRPr="004C0C45" w:rsidRDefault="004C0C45" w:rsidP="004C0C45">
      <w:pPr>
        <w:keepNext/>
        <w:keepLines/>
        <w:spacing w:after="175" w:line="240" w:lineRule="auto"/>
        <w:ind w:left="1003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</w:pP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lastRenderedPageBreak/>
        <w:t xml:space="preserve">ADÉ MEYER N.O. </w:t>
      </w: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</w: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</w: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</w: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  <w:t xml:space="preserve">THIRD RESPONDENT </w:t>
      </w:r>
    </w:p>
    <w:p w14:paraId="658DF4FD" w14:textId="77777777" w:rsidR="004C0C45" w:rsidRPr="004C0C45" w:rsidRDefault="004C0C45" w:rsidP="004C0C45">
      <w:pPr>
        <w:spacing w:after="178" w:line="240" w:lineRule="auto"/>
        <w:ind w:left="1003" w:hanging="1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</w:pP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 xml:space="preserve">(In her capacity as trustee of the  </w:t>
      </w:r>
    </w:p>
    <w:p w14:paraId="11FC6953" w14:textId="77777777" w:rsidR="004C0C45" w:rsidRPr="004C0C45" w:rsidRDefault="004C0C45" w:rsidP="004C0C45">
      <w:pPr>
        <w:spacing w:after="175" w:line="240" w:lineRule="auto"/>
        <w:ind w:left="1003" w:hanging="10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</w:pP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 xml:space="preserve">Akkedis Trust:  IT8998/07) </w:t>
      </w:r>
    </w:p>
    <w:p w14:paraId="1B615FB5" w14:textId="77777777" w:rsidR="004C0C45" w:rsidRPr="004C0C45" w:rsidRDefault="004C0C45" w:rsidP="004C0C45">
      <w:pPr>
        <w:spacing w:after="178" w:line="240" w:lineRule="auto"/>
        <w:ind w:left="1008"/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</w:pP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 xml:space="preserve"> </w:t>
      </w:r>
    </w:p>
    <w:p w14:paraId="01A17255" w14:textId="77777777" w:rsidR="004C0C45" w:rsidRDefault="004C0C45" w:rsidP="004C0C45">
      <w:pPr>
        <w:keepNext/>
        <w:keepLines/>
        <w:spacing w:after="175" w:line="240" w:lineRule="auto"/>
        <w:ind w:left="1003" w:hanging="10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</w:pP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>THE STANDARD BANK OF SOUTH</w:t>
      </w:r>
    </w:p>
    <w:p w14:paraId="29ABD69C" w14:textId="77777777" w:rsidR="004C0C45" w:rsidRPr="004C0C45" w:rsidRDefault="004C0C45" w:rsidP="004C0C45">
      <w:pPr>
        <w:keepNext/>
        <w:keepLines/>
        <w:spacing w:after="175" w:line="240" w:lineRule="auto"/>
        <w:ind w:left="1003" w:hanging="10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</w:pP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 xml:space="preserve"> AFRICA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</w: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  <w:t xml:space="preserve">FOURTH RESPONDENT </w:t>
      </w:r>
    </w:p>
    <w:p w14:paraId="4054ED33" w14:textId="77777777" w:rsidR="004C0C45" w:rsidRPr="004C0C45" w:rsidRDefault="004C0C45" w:rsidP="004C0C45">
      <w:pPr>
        <w:spacing w:after="178" w:line="240" w:lineRule="auto"/>
        <w:ind w:left="1008"/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</w:pP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 xml:space="preserve"> </w:t>
      </w:r>
    </w:p>
    <w:p w14:paraId="151C8A4B" w14:textId="77777777" w:rsidR="004C0C45" w:rsidRDefault="004C0C45" w:rsidP="004C0C45">
      <w:pPr>
        <w:keepNext/>
        <w:keepLines/>
        <w:spacing w:after="175" w:line="240" w:lineRule="auto"/>
        <w:ind w:left="1003" w:hanging="10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</w:pP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 xml:space="preserve">THE MASTER OF THE HIGH </w:t>
      </w:r>
    </w:p>
    <w:p w14:paraId="02F2296E" w14:textId="77777777" w:rsidR="004C0C45" w:rsidRPr="004C0C45" w:rsidRDefault="004C0C45" w:rsidP="004C0C45">
      <w:pPr>
        <w:keepNext/>
        <w:keepLines/>
        <w:spacing w:after="175" w:line="240" w:lineRule="auto"/>
        <w:ind w:left="1003" w:hanging="10"/>
        <w:outlineLvl w:val="0"/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</w:pP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 xml:space="preserve">COURT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</w: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 xml:space="preserve"> </w:t>
      </w: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</w: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ab/>
        <w:t xml:space="preserve">FIFTH RESPONDENT </w:t>
      </w:r>
    </w:p>
    <w:p w14:paraId="1F2C0DB2" w14:textId="77777777" w:rsidR="004C0C45" w:rsidRPr="004C0C45" w:rsidRDefault="004C0C45" w:rsidP="004C0C45">
      <w:pPr>
        <w:spacing w:after="144" w:line="240" w:lineRule="auto"/>
        <w:ind w:left="1008"/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</w:pPr>
      <w:r w:rsidRPr="004C0C45">
        <w:rPr>
          <w:rFonts w:ascii="Times New Roman" w:eastAsia="Arial" w:hAnsi="Times New Roman" w:cs="Times New Roman"/>
          <w:color w:val="000000"/>
          <w:sz w:val="28"/>
          <w:szCs w:val="28"/>
          <w:lang w:eastAsia="en-ZA"/>
        </w:rPr>
        <w:t xml:space="preserve"> </w:t>
      </w:r>
    </w:p>
    <w:bookmarkEnd w:id="0"/>
    <w:p w14:paraId="781629FF" w14:textId="77777777" w:rsidR="004C0C45" w:rsidRPr="00056EE2" w:rsidRDefault="004C0C45" w:rsidP="004C0C45">
      <w:pPr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56EE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r w:rsidRPr="00056EE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______________________________________________________________________ </w:t>
      </w:r>
    </w:p>
    <w:p w14:paraId="055625A9" w14:textId="77777777" w:rsidR="004C0C45" w:rsidRPr="004C0C45" w:rsidRDefault="004C0C45" w:rsidP="004C0C45">
      <w:pPr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</w:pPr>
      <w:r w:rsidRPr="004C0C45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JUDGMENT FOR LEAVE TO APPEAL</w:t>
      </w:r>
    </w:p>
    <w:p w14:paraId="54EF67FC" w14:textId="77777777" w:rsidR="004C0C45" w:rsidRPr="00056EE2" w:rsidRDefault="004C0C45" w:rsidP="004C0C45">
      <w:pPr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56EE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______________________________________________________________________ </w:t>
      </w:r>
    </w:p>
    <w:p w14:paraId="7F751319" w14:textId="77777777" w:rsidR="004C0C45" w:rsidRPr="004F29EB" w:rsidRDefault="004C0C45" w:rsidP="004C0C45">
      <w:pPr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4F29EB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BOKAKO AJ </w:t>
      </w:r>
    </w:p>
    <w:p w14:paraId="496A9D25" w14:textId="77777777" w:rsidR="004C0C45" w:rsidRPr="004C0C45" w:rsidRDefault="004C0C45" w:rsidP="004C0C45">
      <w:pPr>
        <w:spacing w:after="0" w:line="360" w:lineRule="auto"/>
        <w:ind w:left="1440" w:hanging="1440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en-ZA"/>
          <w14:ligatures w14:val="standardContextual"/>
        </w:rPr>
      </w:pPr>
      <w:r w:rsidRPr="00056EE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Pr="00056EE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en-ZA"/>
          <w14:ligatures w14:val="standardContextual"/>
        </w:rPr>
        <w:t>Delivered:</w:t>
      </w:r>
      <w:r w:rsidRPr="00056EE2"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en-ZA"/>
          <w14:ligatures w14:val="standardContextual"/>
        </w:rPr>
        <w:tab/>
      </w:r>
      <w:r w:rsidRPr="004C0C45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en-ZA"/>
          <w14:ligatures w14:val="standardContextual"/>
        </w:rPr>
        <w:t xml:space="preserve">This judgment was prepared and authored by the Judge whose name is reflected and is handed down electronically by circulation to Parties / their legal representatives by email and by uploading it to the electronic file of this matter on Case Lines. The date of the judgment is deemed to be </w:t>
      </w:r>
      <w:r w:rsidR="00B13941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en-ZA"/>
          <w14:ligatures w14:val="standardContextual"/>
        </w:rPr>
        <w:t>9</w:t>
      </w:r>
      <w:r w:rsidRPr="004C0C45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en-ZA"/>
          <w14:ligatures w14:val="standardContextual"/>
        </w:rPr>
        <w:t xml:space="preserve"> </w:t>
      </w:r>
      <w:r w:rsidR="00B13941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en-ZA"/>
          <w14:ligatures w14:val="standardContextual"/>
        </w:rPr>
        <w:t>April</w:t>
      </w:r>
      <w:r w:rsidRPr="004C0C45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en-ZA"/>
          <w14:ligatures w14:val="standardContextual"/>
        </w:rPr>
        <w:t xml:space="preserve"> 2024.</w:t>
      </w:r>
    </w:p>
    <w:p w14:paraId="1A1B600C" w14:textId="77777777" w:rsidR="004C0C45" w:rsidRPr="004C0C45" w:rsidRDefault="004C0C45" w:rsidP="004C0C45">
      <w:pPr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14:paraId="27406A67" w14:textId="77777777" w:rsidR="00004F2E" w:rsidRDefault="00004F2E" w:rsidP="004C0C45">
      <w:pPr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Contextual"/>
        </w:rPr>
      </w:pPr>
    </w:p>
    <w:p w14:paraId="6D3EB42D" w14:textId="77777777" w:rsidR="00004F2E" w:rsidRDefault="00004F2E" w:rsidP="004C0C45">
      <w:pPr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Contextual"/>
        </w:rPr>
      </w:pPr>
    </w:p>
    <w:p w14:paraId="19931C7C" w14:textId="77777777" w:rsidR="00004F2E" w:rsidRDefault="00004F2E" w:rsidP="004C0C45">
      <w:pPr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Contextual"/>
        </w:rPr>
      </w:pPr>
    </w:p>
    <w:p w14:paraId="3BB87785" w14:textId="77777777" w:rsidR="00004F2E" w:rsidRDefault="00004F2E" w:rsidP="004C0C45">
      <w:pPr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Contextual"/>
        </w:rPr>
      </w:pPr>
    </w:p>
    <w:p w14:paraId="2ECE052E" w14:textId="77777777" w:rsidR="00004F2E" w:rsidRDefault="00004F2E" w:rsidP="004C0C45">
      <w:pPr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Contextual"/>
        </w:rPr>
      </w:pPr>
    </w:p>
    <w:p w14:paraId="30A983B6" w14:textId="77777777" w:rsidR="00004F2E" w:rsidRDefault="00004F2E" w:rsidP="004C0C45">
      <w:pPr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Contextual"/>
        </w:rPr>
      </w:pPr>
    </w:p>
    <w:p w14:paraId="722EBA53" w14:textId="77777777" w:rsidR="00004F2E" w:rsidRDefault="00004F2E" w:rsidP="004C0C45">
      <w:pPr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Contextual"/>
        </w:rPr>
      </w:pPr>
    </w:p>
    <w:p w14:paraId="05AF00DC" w14:textId="77777777" w:rsidR="00004F2E" w:rsidRDefault="00004F2E" w:rsidP="004C0C45">
      <w:pPr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Contextual"/>
        </w:rPr>
      </w:pPr>
    </w:p>
    <w:p w14:paraId="25C0B165" w14:textId="77777777" w:rsidR="00004F2E" w:rsidRDefault="00004F2E" w:rsidP="004C0C45">
      <w:pPr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Contextual"/>
        </w:rPr>
      </w:pPr>
    </w:p>
    <w:p w14:paraId="6C622F61" w14:textId="77777777" w:rsidR="004C0C45" w:rsidRPr="00056EE2" w:rsidRDefault="004C0C45" w:rsidP="004C0C45">
      <w:pPr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056EE2">
        <w:rPr>
          <w:rFonts w:ascii="Times New Roman" w:eastAsia="Calibri" w:hAnsi="Times New Roman" w:cs="Times New Roman"/>
          <w:b/>
          <w:kern w:val="2"/>
          <w:sz w:val="24"/>
          <w:szCs w:val="24"/>
          <w:u w:val="single"/>
          <w14:ligatures w14:val="standardContextual"/>
        </w:rPr>
        <w:lastRenderedPageBreak/>
        <w:t>INTRODUCTION</w:t>
      </w:r>
      <w:r w:rsidRPr="00056EE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</w:p>
    <w:p w14:paraId="0DC08537" w14:textId="461720A5" w:rsidR="00167D2E" w:rsidRPr="00BE6C6F" w:rsidRDefault="00BE6C6F" w:rsidP="00BE6C6F">
      <w:pPr>
        <w:spacing w:line="360" w:lineRule="auto"/>
        <w:ind w:left="720" w:hanging="360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1.</w:t>
      </w:r>
      <w:r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</w:r>
      <w:r w:rsidR="004C0C45" w:rsidRPr="00BE6C6F">
        <w:rPr>
          <w:rFonts w:ascii="Times New Roman" w:eastAsia="Calibri" w:hAnsi="Times New Roman" w:cs="Times New Roman"/>
          <w:sz w:val="28"/>
          <w:szCs w:val="28"/>
        </w:rPr>
        <w:t xml:space="preserve">This is an application for leave to appeal the judgment and order of this Court handed down </w:t>
      </w:r>
      <w:r w:rsidR="004F29EB" w:rsidRPr="00BE6C6F">
        <w:rPr>
          <w:rFonts w:ascii="Times New Roman" w:eastAsia="Calibri" w:hAnsi="Times New Roman" w:cs="Times New Roman"/>
          <w:sz w:val="28"/>
          <w:szCs w:val="28"/>
        </w:rPr>
        <w:t>on 31 August</w:t>
      </w:r>
      <w:r w:rsidR="004C0C45" w:rsidRPr="00BE6C6F">
        <w:rPr>
          <w:rFonts w:ascii="Times New Roman" w:eastAsia="Calibri" w:hAnsi="Times New Roman" w:cs="Times New Roman"/>
          <w:sz w:val="28"/>
          <w:szCs w:val="28"/>
        </w:rPr>
        <w:t xml:space="preserve"> 2023. In that judgment, this court upheld the first to the sixth ground of exception. The applicant seeks to challenge that order </w:t>
      </w:r>
      <w:r w:rsidR="004C0C45" w:rsidRPr="00BE6C6F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before</w:t>
      </w:r>
      <w:r w:rsidR="009178E8" w:rsidRPr="00BE6C6F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the SCA or, alternatively, a full bench</w:t>
      </w:r>
      <w:r w:rsidR="004C0C45" w:rsidRPr="00BE6C6F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. The respondents opposed the application.</w:t>
      </w:r>
    </w:p>
    <w:p w14:paraId="2DC354E4" w14:textId="77777777" w:rsidR="004C0C45" w:rsidRPr="004C0C45" w:rsidRDefault="004C0C45" w:rsidP="004C0C45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14:paraId="399C745D" w14:textId="62200382" w:rsidR="004C0C45" w:rsidRPr="00BE6C6F" w:rsidRDefault="00BE6C6F" w:rsidP="00BE6C6F">
      <w:pPr>
        <w:spacing w:after="0" w:line="360" w:lineRule="auto"/>
        <w:ind w:left="795" w:hanging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304">
        <w:rPr>
          <w:rFonts w:ascii="Times New Roman" w:eastAsia="Calibri" w:hAnsi="Times New Roman" w:cs="Times New Roman"/>
          <w:sz w:val="28"/>
          <w:szCs w:val="28"/>
        </w:rPr>
        <w:t>2.</w:t>
      </w:r>
      <w:r w:rsidRPr="00257304">
        <w:rPr>
          <w:rFonts w:ascii="Times New Roman" w:eastAsia="Calibri" w:hAnsi="Times New Roman" w:cs="Times New Roman"/>
          <w:sz w:val="28"/>
          <w:szCs w:val="28"/>
        </w:rPr>
        <w:tab/>
      </w:r>
      <w:r w:rsidR="004C0C45" w:rsidRPr="00BE6C6F">
        <w:rPr>
          <w:rFonts w:ascii="Times New Roman" w:eastAsia="Calibri" w:hAnsi="Times New Roman" w:cs="Times New Roman"/>
          <w:sz w:val="28"/>
          <w:szCs w:val="28"/>
        </w:rPr>
        <w:t xml:space="preserve">It is a trite principle of our law that leave to appeal may only be given where the Judge or Judges concerned believe that the appeal would have a reasonable prospect of success or where there is some other compelling reason why the appeal should be heard, including conflicting judgments on the matter under consideration. </w:t>
      </w:r>
      <w:r w:rsidR="004C0C45" w:rsidRPr="00BE6C6F">
        <w:rPr>
          <w:rFonts w:ascii="Times New Roman" w:eastAsia="Calibri" w:hAnsi="Times New Roman" w:cs="Times New Roman"/>
          <w:i/>
          <w:sz w:val="28"/>
          <w:szCs w:val="28"/>
        </w:rPr>
        <w:t>(See section 17 (1)(a)(</w:t>
      </w:r>
      <w:proofErr w:type="spellStart"/>
      <w:r w:rsidR="004C0C45" w:rsidRPr="00BE6C6F">
        <w:rPr>
          <w:rFonts w:ascii="Times New Roman" w:eastAsia="Calibri" w:hAnsi="Times New Roman" w:cs="Times New Roman"/>
          <w:i/>
          <w:sz w:val="28"/>
          <w:szCs w:val="28"/>
        </w:rPr>
        <w:t>i</w:t>
      </w:r>
      <w:proofErr w:type="spellEnd"/>
      <w:r w:rsidR="004C0C45" w:rsidRPr="00BE6C6F">
        <w:rPr>
          <w:rFonts w:ascii="Times New Roman" w:eastAsia="Calibri" w:hAnsi="Times New Roman" w:cs="Times New Roman"/>
          <w:i/>
          <w:sz w:val="28"/>
          <w:szCs w:val="28"/>
        </w:rPr>
        <w:t>) and (ii) of the Superior Courts Act, 10 of 2013).</w:t>
      </w:r>
    </w:p>
    <w:p w14:paraId="4228DCD7" w14:textId="77777777" w:rsidR="004C0C45" w:rsidRPr="00257304" w:rsidRDefault="004C0C45" w:rsidP="004C0C45">
      <w:pPr>
        <w:spacing w:after="0" w:line="360" w:lineRule="auto"/>
        <w:ind w:left="795" w:hanging="7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AD01C4" w14:textId="7092BEC9" w:rsidR="004C0C45" w:rsidRPr="00BE6C6F" w:rsidRDefault="00BE6C6F" w:rsidP="00BE6C6F">
      <w:pPr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45">
        <w:rPr>
          <w:rFonts w:ascii="Times New Roman" w:eastAsia="Calibri" w:hAnsi="Times New Roman" w:cs="Times New Roman"/>
          <w:sz w:val="28"/>
          <w:szCs w:val="28"/>
        </w:rPr>
        <w:t>3.</w:t>
      </w:r>
      <w:r w:rsidRPr="004C0C45">
        <w:rPr>
          <w:rFonts w:ascii="Times New Roman" w:eastAsia="Calibri" w:hAnsi="Times New Roman" w:cs="Times New Roman"/>
          <w:sz w:val="28"/>
          <w:szCs w:val="28"/>
        </w:rPr>
        <w:tab/>
      </w:r>
      <w:r w:rsidR="004C0C45" w:rsidRPr="00BE6C6F">
        <w:rPr>
          <w:rFonts w:ascii="Times New Roman" w:eastAsia="Calibri" w:hAnsi="Times New Roman" w:cs="Times New Roman"/>
          <w:sz w:val="28"/>
          <w:szCs w:val="28"/>
        </w:rPr>
        <w:t>The grounds for the leave to appeal are succinctly stated in the notice of application for leave to appeal</w:t>
      </w:r>
      <w:r w:rsidR="00946AEC" w:rsidRPr="00BE6C6F">
        <w:rPr>
          <w:rFonts w:ascii="Times New Roman" w:eastAsia="Calibri" w:hAnsi="Times New Roman" w:cs="Times New Roman"/>
          <w:sz w:val="28"/>
          <w:szCs w:val="28"/>
        </w:rPr>
        <w:t>,</w:t>
      </w:r>
      <w:r w:rsidR="004C0C45" w:rsidRPr="00BE6C6F">
        <w:rPr>
          <w:rFonts w:ascii="Times New Roman" w:eastAsia="Calibri" w:hAnsi="Times New Roman" w:cs="Times New Roman"/>
          <w:sz w:val="28"/>
          <w:szCs w:val="28"/>
        </w:rPr>
        <w:t xml:space="preserve"> and I do not intend to restate them in this judgment. Furthermore, I would like to extend my gratitude and appreciation to both </w:t>
      </w:r>
      <w:r w:rsidR="00946AEC" w:rsidRPr="00BE6C6F">
        <w:rPr>
          <w:rFonts w:ascii="Times New Roman" w:eastAsia="Calibri" w:hAnsi="Times New Roman" w:cs="Times New Roman"/>
          <w:sz w:val="28"/>
          <w:szCs w:val="28"/>
        </w:rPr>
        <w:t>counsels</w:t>
      </w:r>
      <w:r w:rsidR="004C0C45" w:rsidRPr="00BE6C6F">
        <w:rPr>
          <w:rFonts w:ascii="Times New Roman" w:eastAsia="Calibri" w:hAnsi="Times New Roman" w:cs="Times New Roman"/>
          <w:sz w:val="28"/>
          <w:szCs w:val="28"/>
        </w:rPr>
        <w:t xml:space="preserve"> for the submissions made in their heads of argument and at the hearing of this application.</w:t>
      </w:r>
    </w:p>
    <w:p w14:paraId="6C2997FD" w14:textId="77777777" w:rsidR="004C0C45" w:rsidRPr="00257304" w:rsidRDefault="004C0C45" w:rsidP="004C0C45">
      <w:pPr>
        <w:spacing w:after="0" w:line="360" w:lineRule="auto"/>
        <w:ind w:left="795" w:hanging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B8B24F" w14:textId="2726A248" w:rsidR="004C0C45" w:rsidRPr="00BE6C6F" w:rsidRDefault="00BE6C6F" w:rsidP="00BE6C6F">
      <w:pPr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45">
        <w:rPr>
          <w:rFonts w:ascii="Times New Roman" w:eastAsia="Calibri" w:hAnsi="Times New Roman" w:cs="Times New Roman"/>
          <w:sz w:val="28"/>
          <w:szCs w:val="28"/>
        </w:rPr>
        <w:t>4.</w:t>
      </w:r>
      <w:r w:rsidRPr="004C0C45">
        <w:rPr>
          <w:rFonts w:ascii="Times New Roman" w:eastAsia="Calibri" w:hAnsi="Times New Roman" w:cs="Times New Roman"/>
          <w:sz w:val="28"/>
          <w:szCs w:val="28"/>
        </w:rPr>
        <w:tab/>
      </w:r>
      <w:r w:rsidR="004C0C45" w:rsidRPr="00BE6C6F">
        <w:rPr>
          <w:rFonts w:ascii="Times New Roman" w:eastAsia="Calibri" w:hAnsi="Times New Roman" w:cs="Times New Roman"/>
          <w:sz w:val="28"/>
          <w:szCs w:val="28"/>
        </w:rPr>
        <w:t xml:space="preserve">I </w:t>
      </w:r>
      <w:r w:rsidR="00946AEC" w:rsidRPr="00BE6C6F">
        <w:rPr>
          <w:rFonts w:ascii="Times New Roman" w:eastAsia="Calibri" w:hAnsi="Times New Roman" w:cs="Times New Roman"/>
          <w:sz w:val="28"/>
          <w:szCs w:val="28"/>
        </w:rPr>
        <w:t>believe</w:t>
      </w:r>
      <w:r w:rsidR="004C0C45" w:rsidRPr="00BE6C6F">
        <w:rPr>
          <w:rFonts w:ascii="Times New Roman" w:eastAsia="Calibri" w:hAnsi="Times New Roman" w:cs="Times New Roman"/>
          <w:sz w:val="28"/>
          <w:szCs w:val="28"/>
        </w:rPr>
        <w:t xml:space="preserve"> that I have considered all the issues raised in this application for leave to appeal in my judgment. I am therefore</w:t>
      </w:r>
      <w:r w:rsidR="00B13941" w:rsidRPr="00BE6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C45" w:rsidRPr="00BE6C6F">
        <w:rPr>
          <w:rFonts w:ascii="Times New Roman" w:eastAsia="Calibri" w:hAnsi="Times New Roman" w:cs="Times New Roman"/>
          <w:sz w:val="28"/>
          <w:szCs w:val="28"/>
        </w:rPr>
        <w:t>persuaded that another Court may come to a different conclusion in this case. Put in another way, I am of the considered view that there are</w:t>
      </w:r>
      <w:r w:rsidR="00B13941" w:rsidRPr="00BE6C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0C45" w:rsidRPr="00BE6C6F">
        <w:rPr>
          <w:rFonts w:ascii="Times New Roman" w:eastAsia="Calibri" w:hAnsi="Times New Roman" w:cs="Times New Roman"/>
          <w:sz w:val="28"/>
          <w:szCs w:val="28"/>
        </w:rPr>
        <w:t>reasonable prospects of success in this appeal. Therefore, the application for leave to appeal</w:t>
      </w:r>
      <w:r w:rsidR="00B13941" w:rsidRPr="00BE6C6F">
        <w:rPr>
          <w:rFonts w:ascii="Times New Roman" w:eastAsia="Calibri" w:hAnsi="Times New Roman" w:cs="Times New Roman"/>
          <w:sz w:val="28"/>
          <w:szCs w:val="28"/>
        </w:rPr>
        <w:t xml:space="preserve"> is granted.</w:t>
      </w:r>
    </w:p>
    <w:p w14:paraId="529D3BAB" w14:textId="77777777" w:rsidR="004C0C45" w:rsidRPr="00257304" w:rsidRDefault="004C0C45" w:rsidP="006C2119">
      <w:pPr>
        <w:spacing w:after="0" w:line="360" w:lineRule="auto"/>
        <w:ind w:left="795" w:hanging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506E716" w14:textId="7BFFE7F5" w:rsidR="004C0C45" w:rsidRPr="00BE6C6F" w:rsidRDefault="00BE6C6F" w:rsidP="00BE6C6F">
      <w:pPr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45">
        <w:rPr>
          <w:rFonts w:ascii="Times New Roman" w:eastAsia="Calibri" w:hAnsi="Times New Roman" w:cs="Times New Roman"/>
          <w:sz w:val="28"/>
          <w:szCs w:val="28"/>
        </w:rPr>
        <w:t>5.</w:t>
      </w:r>
      <w:r w:rsidRPr="004C0C45">
        <w:rPr>
          <w:rFonts w:ascii="Times New Roman" w:eastAsia="Calibri" w:hAnsi="Times New Roman" w:cs="Times New Roman"/>
          <w:sz w:val="28"/>
          <w:szCs w:val="28"/>
        </w:rPr>
        <w:tab/>
      </w:r>
      <w:r w:rsidR="004C0C45" w:rsidRPr="00BE6C6F">
        <w:rPr>
          <w:rFonts w:ascii="Times New Roman" w:eastAsia="Calibri" w:hAnsi="Times New Roman" w:cs="Times New Roman"/>
          <w:sz w:val="28"/>
          <w:szCs w:val="28"/>
        </w:rPr>
        <w:t>In the circumstances, I make the following order:</w:t>
      </w:r>
    </w:p>
    <w:p w14:paraId="24DC1A46" w14:textId="77777777" w:rsidR="004C0C45" w:rsidRPr="00257304" w:rsidRDefault="004C0C45" w:rsidP="004C0C4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E8BCD5" w14:textId="3AC65340" w:rsidR="00E24057" w:rsidRDefault="00BE6C6F" w:rsidP="00BE6C6F">
      <w:pPr>
        <w:spacing w:after="0" w:line="360" w:lineRule="auto"/>
        <w:ind w:left="1077" w:hanging="36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C0C45" w:rsidRPr="00E26C77">
        <w:rPr>
          <w:rFonts w:ascii="Times New Roman" w:eastAsia="Calibri" w:hAnsi="Times New Roman" w:cs="Times New Roman"/>
          <w:sz w:val="28"/>
          <w:szCs w:val="28"/>
        </w:rPr>
        <w:t xml:space="preserve">The application for leave to appeal </w:t>
      </w:r>
      <w:r w:rsidR="00E24057" w:rsidRPr="00E26C77">
        <w:rPr>
          <w:rFonts w:ascii="Times New Roman" w:eastAsia="Calibri" w:hAnsi="Times New Roman" w:cs="Times New Roman"/>
          <w:sz w:val="28"/>
          <w:szCs w:val="28"/>
        </w:rPr>
        <w:t>to the</w:t>
      </w:r>
      <w:r w:rsidR="00E26C77" w:rsidRPr="00E26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C77" w:rsidRPr="00E26C77">
        <w:rPr>
          <w:rFonts w:ascii="Times New Roman" w:eastAsia="Calibri" w:hAnsi="Times New Roman" w:cs="Times New Roman"/>
          <w:bCs/>
          <w:sz w:val="28"/>
          <w:szCs w:val="28"/>
        </w:rPr>
        <w:t xml:space="preserve">full </w:t>
      </w:r>
      <w:r w:rsidR="00247C63">
        <w:rPr>
          <w:rFonts w:ascii="Times New Roman" w:eastAsia="Calibri" w:hAnsi="Times New Roman" w:cs="Times New Roman"/>
          <w:bCs/>
          <w:sz w:val="28"/>
          <w:szCs w:val="28"/>
        </w:rPr>
        <w:t>bench</w:t>
      </w:r>
      <w:r w:rsidR="00E26C77" w:rsidRPr="00E26C77">
        <w:rPr>
          <w:rFonts w:ascii="Times New Roman" w:eastAsia="Calibri" w:hAnsi="Times New Roman" w:cs="Times New Roman"/>
          <w:sz w:val="28"/>
          <w:szCs w:val="28"/>
        </w:rPr>
        <w:t xml:space="preserve"> of this Division</w:t>
      </w:r>
      <w:r w:rsidR="00E26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4057">
        <w:rPr>
          <w:rFonts w:ascii="Times New Roman" w:eastAsia="Calibri" w:hAnsi="Times New Roman" w:cs="Times New Roman"/>
          <w:sz w:val="28"/>
          <w:szCs w:val="28"/>
        </w:rPr>
        <w:t>against the judgment and order of 31 August 2023 is granted</w:t>
      </w:r>
      <w:r w:rsidR="00E24057" w:rsidRPr="00E2405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DA10335" w14:textId="77777777" w:rsidR="00E24057" w:rsidRPr="00E24057" w:rsidRDefault="00247C63" w:rsidP="00E24057">
      <w:pPr>
        <w:spacing w:after="0" w:line="360" w:lineRule="auto"/>
        <w:ind w:left="107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1A47">
        <w:rPr>
          <w:rFonts w:ascii="Arial" w:eastAsia="Calibri" w:hAnsi="Arial" w:cs="Arial"/>
          <w:noProof/>
          <w:sz w:val="25"/>
          <w:szCs w:val="24"/>
          <w:lang w:eastAsia="en-ZA"/>
        </w:rPr>
        <w:drawing>
          <wp:anchor distT="0" distB="0" distL="114300" distR="114300" simplePos="0" relativeHeight="251659264" behindDoc="1" locked="0" layoutInCell="1" allowOverlap="1" wp14:anchorId="7DE78BF2" wp14:editId="36F0B328">
            <wp:simplePos x="0" y="0"/>
            <wp:positionH relativeFrom="column">
              <wp:posOffset>3743325</wp:posOffset>
            </wp:positionH>
            <wp:positionV relativeFrom="paragraph">
              <wp:posOffset>10795</wp:posOffset>
            </wp:positionV>
            <wp:extent cx="2924175" cy="1257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616643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5" t="43776" r="35919" b="40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04DB33" w14:textId="4B3B3E00" w:rsidR="00E24057" w:rsidRPr="00BE6C6F" w:rsidRDefault="00BE6C6F" w:rsidP="00BE6C6F">
      <w:pPr>
        <w:spacing w:line="360" w:lineRule="auto"/>
        <w:ind w:left="1077" w:hanging="360"/>
        <w:rPr>
          <w:rFonts w:ascii="Times New Roman" w:eastAsia="Calibri" w:hAnsi="Times New Roman" w:cs="Times New Roman"/>
          <w:sz w:val="28"/>
          <w:szCs w:val="28"/>
        </w:rPr>
      </w:pPr>
      <w:r w:rsidRPr="00E24057">
        <w:rPr>
          <w:rFonts w:ascii="Times New Roman" w:eastAsia="Calibri" w:hAnsi="Times New Roman" w:cs="Times New Roman"/>
          <w:sz w:val="28"/>
          <w:szCs w:val="28"/>
        </w:rPr>
        <w:t>2.</w:t>
      </w:r>
      <w:r w:rsidRPr="00E24057">
        <w:rPr>
          <w:rFonts w:ascii="Times New Roman" w:eastAsia="Calibri" w:hAnsi="Times New Roman" w:cs="Times New Roman"/>
          <w:sz w:val="28"/>
          <w:szCs w:val="28"/>
        </w:rPr>
        <w:tab/>
      </w:r>
      <w:r w:rsidR="00E24057" w:rsidRPr="00BE6C6F">
        <w:rPr>
          <w:rFonts w:ascii="Times New Roman" w:eastAsia="Calibri" w:hAnsi="Times New Roman" w:cs="Times New Roman"/>
          <w:sz w:val="28"/>
          <w:szCs w:val="28"/>
        </w:rPr>
        <w:t>Costs of the application for leave to appeal are costs in the appeal.</w:t>
      </w:r>
    </w:p>
    <w:p w14:paraId="065A104B" w14:textId="77777777" w:rsidR="00554B0D" w:rsidRPr="00554B0D" w:rsidRDefault="00554B0D" w:rsidP="00247C63">
      <w:pPr>
        <w:spacing w:after="0" w:line="360" w:lineRule="auto"/>
        <w:ind w:left="64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  <w:r w:rsidRPr="00554B0D"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  <w:t>____________________</w:t>
      </w:r>
    </w:p>
    <w:p w14:paraId="482FBBC7" w14:textId="77777777" w:rsidR="00554B0D" w:rsidRPr="00554B0D" w:rsidRDefault="00554B0D" w:rsidP="00554B0D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</w:pPr>
      <w:r w:rsidRPr="00554B0D">
        <w:rPr>
          <w:rFonts w:ascii="Times New Roman" w:eastAsia="Times New Roman" w:hAnsi="Times New Roman" w:cs="Times New Roman"/>
          <w:b/>
          <w:sz w:val="24"/>
          <w:szCs w:val="24"/>
          <w:lang w:val="en-GB" w:eastAsia="en-ZA"/>
        </w:rPr>
        <w:t>T BOKAKO</w:t>
      </w:r>
    </w:p>
    <w:p w14:paraId="6A43936A" w14:textId="77777777" w:rsidR="00554B0D" w:rsidRPr="00554B0D" w:rsidRDefault="00554B0D" w:rsidP="00554B0D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ZA"/>
        </w:rPr>
      </w:pPr>
      <w:r w:rsidRPr="00554B0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ZA"/>
        </w:rPr>
        <w:t>Acting Judge of the High Court</w:t>
      </w:r>
    </w:p>
    <w:p w14:paraId="3D7B2658" w14:textId="77777777" w:rsidR="00554B0D" w:rsidRPr="00554B0D" w:rsidRDefault="00554B0D" w:rsidP="00554B0D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ZA"/>
        </w:rPr>
      </w:pPr>
      <w:r w:rsidRPr="00554B0D">
        <w:rPr>
          <w:rFonts w:ascii="Times New Roman" w:eastAsia="Times New Roman" w:hAnsi="Times New Roman" w:cs="Times New Roman"/>
          <w:b/>
          <w:i/>
          <w:sz w:val="24"/>
          <w:szCs w:val="24"/>
          <w:lang w:val="en-GB" w:eastAsia="en-ZA"/>
        </w:rPr>
        <w:t>Gauteng Local Division, Pretoria</w:t>
      </w:r>
    </w:p>
    <w:p w14:paraId="387AD9D5" w14:textId="77777777" w:rsidR="00554B0D" w:rsidRPr="00554B0D" w:rsidRDefault="00554B0D" w:rsidP="00554B0D">
      <w:pPr>
        <w:spacing w:after="20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ZA"/>
        </w:rPr>
      </w:pPr>
    </w:p>
    <w:p w14:paraId="5C038E61" w14:textId="77777777" w:rsidR="00554B0D" w:rsidRPr="00004F2E" w:rsidRDefault="00554B0D" w:rsidP="00554B0D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ZA"/>
        </w:rPr>
      </w:pPr>
      <w:r w:rsidRPr="00004F2E">
        <w:rPr>
          <w:rFonts w:ascii="Times New Roman" w:eastAsia="Times New Roman" w:hAnsi="Times New Roman" w:cs="Times New Roman"/>
          <w:sz w:val="24"/>
          <w:szCs w:val="24"/>
          <w:u w:val="single"/>
          <w:lang w:eastAsia="en-ZA"/>
        </w:rPr>
        <w:t>APPEARANCES</w:t>
      </w:r>
    </w:p>
    <w:p w14:paraId="0F79FC74" w14:textId="77777777" w:rsidR="008E61B9" w:rsidRPr="00004F2E" w:rsidRDefault="008E61B9" w:rsidP="00554B0D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ZA"/>
        </w:rPr>
      </w:pPr>
    </w:p>
    <w:p w14:paraId="55D6A01E" w14:textId="77777777" w:rsidR="008E61B9" w:rsidRPr="00004F2E" w:rsidRDefault="008E61B9" w:rsidP="00554B0D">
      <w:pPr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04F2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Counsel for the Applicant </w:t>
      </w:r>
      <w:r w:rsidRPr="00004F2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</w:r>
      <w:r w:rsidRPr="00004F2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</w:r>
      <w:r w:rsidRPr="00004F2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</w:r>
      <w:r w:rsidRPr="00004F2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  <w:t>Adv Nicole Hartman</w:t>
      </w:r>
    </w:p>
    <w:p w14:paraId="25C97EA9" w14:textId="77777777" w:rsidR="008E61B9" w:rsidRPr="00004F2E" w:rsidRDefault="008E61B9" w:rsidP="004C0C45">
      <w:pPr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14:paraId="3E0CD21E" w14:textId="77777777" w:rsidR="008E61B9" w:rsidRPr="00004F2E" w:rsidRDefault="008E61B9" w:rsidP="004C0C45">
      <w:pPr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04F2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Schoeman Attorneys 083 728 0444 </w:t>
      </w:r>
    </w:p>
    <w:p w14:paraId="0CE58FA2" w14:textId="77777777" w:rsidR="008E61B9" w:rsidRPr="00004F2E" w:rsidRDefault="008E61B9" w:rsidP="004C0C45">
      <w:pPr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04F2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Email: </w:t>
      </w:r>
      <w:hyperlink r:id="rId9" w:history="1">
        <w:r w:rsidRPr="00004F2E">
          <w:rPr>
            <w:rStyle w:val="Hyperlink"/>
            <w:rFonts w:ascii="Times New Roman" w:eastAsia="Calibri" w:hAnsi="Times New Roman" w:cs="Times New Roman"/>
            <w:kern w:val="2"/>
            <w:sz w:val="28"/>
            <w:szCs w:val="28"/>
            <w14:ligatures w14:val="standardContextual"/>
          </w:rPr>
          <w:t>schoemanattorneys@gmail.com</w:t>
        </w:r>
      </w:hyperlink>
      <w:r w:rsidRPr="00004F2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</w:t>
      </w:r>
    </w:p>
    <w:p w14:paraId="5DC3FF4F" w14:textId="77777777" w:rsidR="008E61B9" w:rsidRPr="00004F2E" w:rsidRDefault="008E61B9" w:rsidP="004C0C45">
      <w:pPr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04F2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Ref: A Schoeman/A0465</w:t>
      </w:r>
    </w:p>
    <w:p w14:paraId="43266226" w14:textId="77777777" w:rsidR="008E61B9" w:rsidRPr="00004F2E" w:rsidRDefault="008E61B9" w:rsidP="004C0C45">
      <w:pPr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14:paraId="32902D96" w14:textId="77777777" w:rsidR="00554B0D" w:rsidRPr="00004F2E" w:rsidRDefault="008E61B9" w:rsidP="004C0C45">
      <w:pPr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04F2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Counsel for the 1</w:t>
      </w:r>
      <w:r w:rsidRPr="00004F2E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  <w14:ligatures w14:val="standardContextual"/>
        </w:rPr>
        <w:t>st</w:t>
      </w:r>
      <w:r w:rsidRPr="00004F2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and 2</w:t>
      </w:r>
      <w:r w:rsidRPr="00004F2E">
        <w:rPr>
          <w:rFonts w:ascii="Times New Roman" w:eastAsia="Calibri" w:hAnsi="Times New Roman" w:cs="Times New Roman"/>
          <w:kern w:val="2"/>
          <w:sz w:val="28"/>
          <w:szCs w:val="28"/>
          <w:vertAlign w:val="superscript"/>
          <w14:ligatures w14:val="standardContextual"/>
        </w:rPr>
        <w:t>nd</w:t>
      </w:r>
      <w:r w:rsidRPr="00004F2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 Respondent</w:t>
      </w:r>
      <w:r w:rsidRPr="00004F2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</w:r>
      <w:r w:rsidRPr="00004F2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</w:r>
      <w:r w:rsidR="00004F2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ab/>
      </w:r>
      <w:r w:rsidRPr="00004F2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Adv Collin Garvey</w:t>
      </w:r>
    </w:p>
    <w:p w14:paraId="6031AEE7" w14:textId="77777777" w:rsidR="008E61B9" w:rsidRPr="00004F2E" w:rsidRDefault="008E61B9" w:rsidP="004C0C45">
      <w:pPr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14:paraId="6D0FC4D5" w14:textId="77777777" w:rsidR="008E61B9" w:rsidRPr="00004F2E" w:rsidRDefault="008E61B9" w:rsidP="004C0C45">
      <w:pPr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04F2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Attorneys for the First and Second Defendants: </w:t>
      </w:r>
    </w:p>
    <w:p w14:paraId="10FF1552" w14:textId="77777777" w:rsidR="008E61B9" w:rsidRPr="00004F2E" w:rsidRDefault="008E61B9" w:rsidP="004C0C45">
      <w:pPr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04F2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 xml:space="preserve">Otto Krause Incorporated 011 675 2881 </w:t>
      </w:r>
    </w:p>
    <w:p w14:paraId="24E19AAC" w14:textId="77777777" w:rsidR="00004F2E" w:rsidRDefault="008E61B9" w:rsidP="004C0C45">
      <w:pPr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04F2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info@ottokrause.co.za Reference: Otto Krause/</w:t>
      </w:r>
    </w:p>
    <w:p w14:paraId="7DF76E94" w14:textId="77777777" w:rsidR="008E61B9" w:rsidRPr="00004F2E" w:rsidRDefault="008E61B9" w:rsidP="004C0C45">
      <w:pPr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  <w:r w:rsidRPr="00004F2E"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  <w:t>ADS/MAT2969</w:t>
      </w:r>
    </w:p>
    <w:p w14:paraId="185A2984" w14:textId="77777777" w:rsidR="008E61B9" w:rsidRPr="00004F2E" w:rsidRDefault="008E61B9" w:rsidP="004C0C45">
      <w:pPr>
        <w:jc w:val="both"/>
        <w:rPr>
          <w:rFonts w:ascii="Times New Roman" w:eastAsia="Calibri" w:hAnsi="Times New Roman" w:cs="Times New Roman"/>
          <w:kern w:val="2"/>
          <w:sz w:val="28"/>
          <w:szCs w:val="28"/>
          <w14:ligatures w14:val="standardContextual"/>
        </w:rPr>
      </w:pPr>
    </w:p>
    <w:p w14:paraId="55F76945" w14:textId="77777777" w:rsidR="00F363EE" w:rsidRPr="00004F2E" w:rsidRDefault="00F363EE" w:rsidP="00F363EE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F2E">
        <w:rPr>
          <w:rFonts w:ascii="Times New Roman" w:eastAsia="Times New Roman" w:hAnsi="Times New Roman" w:cs="Times New Roman"/>
          <w:sz w:val="28"/>
          <w:szCs w:val="28"/>
        </w:rPr>
        <w:t>Date of Hearing:</w:t>
      </w:r>
      <w:r w:rsidRPr="00004F2E">
        <w:rPr>
          <w:rFonts w:ascii="Times New Roman" w:eastAsia="Times New Roman" w:hAnsi="Times New Roman" w:cs="Times New Roman"/>
          <w:sz w:val="28"/>
          <w:szCs w:val="28"/>
        </w:rPr>
        <w:tab/>
      </w:r>
      <w:r w:rsidRPr="00004F2E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6C2119" w:rsidRPr="00004F2E">
        <w:rPr>
          <w:rFonts w:ascii="Times New Roman" w:eastAsia="Times New Roman" w:hAnsi="Times New Roman" w:cs="Times New Roman"/>
          <w:sz w:val="28"/>
          <w:szCs w:val="28"/>
        </w:rPr>
        <w:t>26 February</w:t>
      </w:r>
      <w:r w:rsidRPr="00004F2E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</w:p>
    <w:p w14:paraId="0F8E5E60" w14:textId="77777777" w:rsidR="00F363EE" w:rsidRPr="00004F2E" w:rsidRDefault="00F363EE" w:rsidP="00F363EE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C74856" w14:textId="77777777" w:rsidR="00004F2E" w:rsidRPr="00004F2E" w:rsidRDefault="00004F2E" w:rsidP="00F363EE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2F05AC" w14:textId="77777777" w:rsidR="00F363EE" w:rsidRPr="00004F2E" w:rsidRDefault="00F363EE" w:rsidP="00F363EE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F9900A" w14:textId="77777777" w:rsidR="00F363EE" w:rsidRPr="00004F2E" w:rsidRDefault="00F363EE" w:rsidP="00F363EE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F2E">
        <w:rPr>
          <w:rFonts w:ascii="Times New Roman" w:eastAsia="Times New Roman" w:hAnsi="Times New Roman" w:cs="Times New Roman"/>
          <w:sz w:val="28"/>
          <w:szCs w:val="28"/>
        </w:rPr>
        <w:lastRenderedPageBreak/>
        <w:t>Date of Judgment:</w:t>
      </w:r>
      <w:r w:rsidRPr="00004F2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8C1764" w:rsidRPr="00004F2E">
        <w:rPr>
          <w:rFonts w:ascii="Times New Roman" w:eastAsia="Times New Roman" w:hAnsi="Times New Roman" w:cs="Times New Roman"/>
          <w:sz w:val="28"/>
          <w:szCs w:val="28"/>
        </w:rPr>
        <w:t>9 April</w:t>
      </w:r>
      <w:r w:rsidRPr="00004F2E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</w:p>
    <w:sectPr w:rsidR="00F363EE" w:rsidRPr="00004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5"/>
    <w:multiLevelType w:val="multilevel"/>
    <w:tmpl w:val="FFFFFFFF"/>
    <w:lvl w:ilvl="0">
      <w:start w:val="1"/>
      <w:numFmt w:val="decimal"/>
      <w:lvlText w:val="(%1)"/>
      <w:lvlJc w:val="left"/>
      <w:pPr>
        <w:ind w:left="1533" w:hanging="561"/>
      </w:pPr>
      <w:rPr>
        <w:rFonts w:ascii="Arial" w:hAnsi="Arial" w:cs="Arial"/>
        <w:b w:val="0"/>
        <w:bCs w:val="0"/>
        <w:i w:val="0"/>
        <w:iCs w:val="0"/>
        <w:color w:val="1D1F1F"/>
        <w:spacing w:val="-1"/>
        <w:w w:val="102"/>
        <w:sz w:val="24"/>
        <w:szCs w:val="24"/>
      </w:rPr>
    </w:lvl>
    <w:lvl w:ilvl="1">
      <w:numFmt w:val="bullet"/>
      <w:lvlText w:val="•"/>
      <w:lvlJc w:val="left"/>
      <w:pPr>
        <w:ind w:left="2446" w:hanging="561"/>
      </w:pPr>
    </w:lvl>
    <w:lvl w:ilvl="2">
      <w:numFmt w:val="bullet"/>
      <w:lvlText w:val="•"/>
      <w:lvlJc w:val="left"/>
      <w:pPr>
        <w:ind w:left="3353" w:hanging="561"/>
      </w:pPr>
    </w:lvl>
    <w:lvl w:ilvl="3">
      <w:numFmt w:val="bullet"/>
      <w:lvlText w:val="•"/>
      <w:lvlJc w:val="left"/>
      <w:pPr>
        <w:ind w:left="4260" w:hanging="561"/>
      </w:pPr>
    </w:lvl>
    <w:lvl w:ilvl="4">
      <w:numFmt w:val="bullet"/>
      <w:lvlText w:val="•"/>
      <w:lvlJc w:val="left"/>
      <w:pPr>
        <w:ind w:left="5167" w:hanging="561"/>
      </w:pPr>
    </w:lvl>
    <w:lvl w:ilvl="5">
      <w:numFmt w:val="bullet"/>
      <w:lvlText w:val="•"/>
      <w:lvlJc w:val="left"/>
      <w:pPr>
        <w:ind w:left="6074" w:hanging="561"/>
      </w:pPr>
    </w:lvl>
    <w:lvl w:ilvl="6">
      <w:numFmt w:val="bullet"/>
      <w:lvlText w:val="•"/>
      <w:lvlJc w:val="left"/>
      <w:pPr>
        <w:ind w:left="6981" w:hanging="561"/>
      </w:pPr>
    </w:lvl>
    <w:lvl w:ilvl="7">
      <w:numFmt w:val="bullet"/>
      <w:lvlText w:val="•"/>
      <w:lvlJc w:val="left"/>
      <w:pPr>
        <w:ind w:left="7888" w:hanging="561"/>
      </w:pPr>
    </w:lvl>
    <w:lvl w:ilvl="8">
      <w:numFmt w:val="bullet"/>
      <w:lvlText w:val="•"/>
      <w:lvlJc w:val="left"/>
      <w:pPr>
        <w:ind w:left="8795" w:hanging="561"/>
      </w:pPr>
    </w:lvl>
  </w:abstractNum>
  <w:abstractNum w:abstractNumId="1" w15:restartNumberingAfterBreak="0">
    <w:nsid w:val="232C0DBC"/>
    <w:multiLevelType w:val="hybridMultilevel"/>
    <w:tmpl w:val="4A8E829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D1951"/>
    <w:multiLevelType w:val="hybridMultilevel"/>
    <w:tmpl w:val="AD1ECFE8"/>
    <w:lvl w:ilvl="0" w:tplc="CB4E0C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AA804EC" w:tentative="1">
      <w:start w:val="1"/>
      <w:numFmt w:val="lowerLetter"/>
      <w:lvlText w:val="%2."/>
      <w:lvlJc w:val="left"/>
      <w:pPr>
        <w:ind w:left="1440" w:hanging="360"/>
      </w:pPr>
    </w:lvl>
    <w:lvl w:ilvl="2" w:tplc="4724BE6E" w:tentative="1">
      <w:start w:val="1"/>
      <w:numFmt w:val="lowerRoman"/>
      <w:lvlText w:val="%3."/>
      <w:lvlJc w:val="right"/>
      <w:pPr>
        <w:ind w:left="2160" w:hanging="180"/>
      </w:pPr>
    </w:lvl>
    <w:lvl w:ilvl="3" w:tplc="FC24BD02" w:tentative="1">
      <w:start w:val="1"/>
      <w:numFmt w:val="decimal"/>
      <w:lvlText w:val="%4."/>
      <w:lvlJc w:val="left"/>
      <w:pPr>
        <w:ind w:left="2880" w:hanging="360"/>
      </w:pPr>
    </w:lvl>
    <w:lvl w:ilvl="4" w:tplc="8F1C9428" w:tentative="1">
      <w:start w:val="1"/>
      <w:numFmt w:val="lowerLetter"/>
      <w:lvlText w:val="%5."/>
      <w:lvlJc w:val="left"/>
      <w:pPr>
        <w:ind w:left="3600" w:hanging="360"/>
      </w:pPr>
    </w:lvl>
    <w:lvl w:ilvl="5" w:tplc="62DC0B40" w:tentative="1">
      <w:start w:val="1"/>
      <w:numFmt w:val="lowerRoman"/>
      <w:lvlText w:val="%6."/>
      <w:lvlJc w:val="right"/>
      <w:pPr>
        <w:ind w:left="4320" w:hanging="180"/>
      </w:pPr>
    </w:lvl>
    <w:lvl w:ilvl="6" w:tplc="F21C9B0E" w:tentative="1">
      <w:start w:val="1"/>
      <w:numFmt w:val="decimal"/>
      <w:lvlText w:val="%7."/>
      <w:lvlJc w:val="left"/>
      <w:pPr>
        <w:ind w:left="5040" w:hanging="360"/>
      </w:pPr>
    </w:lvl>
    <w:lvl w:ilvl="7" w:tplc="D6F871B6" w:tentative="1">
      <w:start w:val="1"/>
      <w:numFmt w:val="lowerLetter"/>
      <w:lvlText w:val="%8."/>
      <w:lvlJc w:val="left"/>
      <w:pPr>
        <w:ind w:left="5760" w:hanging="360"/>
      </w:pPr>
    </w:lvl>
    <w:lvl w:ilvl="8" w:tplc="E54893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E1889"/>
    <w:multiLevelType w:val="hybridMultilevel"/>
    <w:tmpl w:val="5186D0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C0B6F"/>
    <w:multiLevelType w:val="hybridMultilevel"/>
    <w:tmpl w:val="30C0917A"/>
    <w:lvl w:ilvl="0" w:tplc="AFC21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863217">
    <w:abstractNumId w:val="2"/>
  </w:num>
  <w:num w:numId="2" w16cid:durableId="1137063616">
    <w:abstractNumId w:val="4"/>
  </w:num>
  <w:num w:numId="3" w16cid:durableId="38207643">
    <w:abstractNumId w:val="1"/>
  </w:num>
  <w:num w:numId="4" w16cid:durableId="1064991998">
    <w:abstractNumId w:val="3"/>
  </w:num>
  <w:num w:numId="5" w16cid:durableId="1682899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45"/>
    <w:rsid w:val="00004F2E"/>
    <w:rsid w:val="000B3350"/>
    <w:rsid w:val="00167D2E"/>
    <w:rsid w:val="00247C63"/>
    <w:rsid w:val="004C0C45"/>
    <w:rsid w:val="004F29EB"/>
    <w:rsid w:val="00554B0D"/>
    <w:rsid w:val="006C2119"/>
    <w:rsid w:val="008C1764"/>
    <w:rsid w:val="008E61B9"/>
    <w:rsid w:val="009178E8"/>
    <w:rsid w:val="00946AEC"/>
    <w:rsid w:val="00A90FF0"/>
    <w:rsid w:val="00B13941"/>
    <w:rsid w:val="00B5480D"/>
    <w:rsid w:val="00BE6C6F"/>
    <w:rsid w:val="00E24057"/>
    <w:rsid w:val="00E26C77"/>
    <w:rsid w:val="00F21C61"/>
    <w:rsid w:val="00F3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893C7"/>
  <w15:chartTrackingRefBased/>
  <w15:docId w15:val="{EF2BF492-0B6C-4785-83D9-2CF50AA9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C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4C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1.png@01D102A3.6AE54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emanattorney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Thembi Bokako</dc:creator>
  <cp:keywords/>
  <dc:description/>
  <cp:lastModifiedBy>sathish sarshan  mohan</cp:lastModifiedBy>
  <cp:revision>16</cp:revision>
  <dcterms:created xsi:type="dcterms:W3CDTF">2024-03-20T07:11:00Z</dcterms:created>
  <dcterms:modified xsi:type="dcterms:W3CDTF">2024-04-25T09:55:00Z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691fce6c-4cc3-4d4f-9e26-4a6ac0ac459e</vt:lpwstr>
  </property>
</Properties>
</file>