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81A6D" w14:textId="77777777" w:rsidR="00CA502F" w:rsidRDefault="00CA502F" w:rsidP="00CA502F">
      <w:pPr>
        <w:pStyle w:val="Body"/>
        <w:spacing w:line="360" w:lineRule="auto"/>
        <w:jc w:val="center"/>
        <w:rPr>
          <w:rFonts w:ascii="Arial" w:hAnsi="Arial"/>
          <w:b/>
          <w:bCs/>
        </w:rPr>
      </w:pPr>
      <w:r>
        <w:rPr>
          <w:rStyle w:val="PageNumber"/>
          <w:noProof/>
          <w:lang w:val="en-ZA" w:eastAsia="en-ZA"/>
        </w:rPr>
        <w:drawing>
          <wp:inline distT="0" distB="0" distL="0" distR="0" wp14:anchorId="096C6CC3" wp14:editId="1F952B8A">
            <wp:extent cx="1354456" cy="1354456"/>
            <wp:effectExtent l="0" t="0" r="0" b="0"/>
            <wp:docPr id="1073741825"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Description: cid:image001.png@01D076AF.8E67B520" descr="Description: cid:image001.png@01D076AF.8E67B520"/>
                    <pic:cNvPicPr>
                      <a:picLocks noChangeAspect="1"/>
                    </pic:cNvPicPr>
                  </pic:nvPicPr>
                  <pic:blipFill>
                    <a:blip r:embed="rId8"/>
                    <a:stretch>
                      <a:fillRect/>
                    </a:stretch>
                  </pic:blipFill>
                  <pic:spPr>
                    <a:xfrm>
                      <a:off x="0" y="0"/>
                      <a:ext cx="1354456" cy="1354456"/>
                    </a:xfrm>
                    <a:prstGeom prst="rect">
                      <a:avLst/>
                    </a:prstGeom>
                    <a:ln w="12700" cap="flat">
                      <a:noFill/>
                      <a:miter lim="400000"/>
                    </a:ln>
                    <a:effectLst/>
                  </pic:spPr>
                </pic:pic>
              </a:graphicData>
            </a:graphic>
          </wp:inline>
        </w:drawing>
      </w:r>
    </w:p>
    <w:p w14:paraId="445AA2DC" w14:textId="77777777" w:rsidR="00CA502F" w:rsidRDefault="00CA502F" w:rsidP="00CA502F">
      <w:pPr>
        <w:pStyle w:val="Body"/>
        <w:spacing w:line="360" w:lineRule="auto"/>
        <w:jc w:val="center"/>
        <w:rPr>
          <w:rFonts w:ascii="Arial" w:eastAsia="Arial" w:hAnsi="Arial" w:cs="Arial"/>
          <w:b/>
          <w:bCs/>
        </w:rPr>
      </w:pPr>
      <w:r>
        <w:rPr>
          <w:rFonts w:ascii="Arial" w:hAnsi="Arial"/>
          <w:b/>
          <w:bCs/>
        </w:rPr>
        <w:t>IN THE HIGH COURT OF SOUTH AFRICA</w:t>
      </w:r>
    </w:p>
    <w:p w14:paraId="6426B4E6" w14:textId="77777777" w:rsidR="00CA502F" w:rsidRDefault="00CA502F" w:rsidP="00CA502F">
      <w:pPr>
        <w:pStyle w:val="Body"/>
        <w:spacing w:line="360" w:lineRule="auto"/>
        <w:jc w:val="center"/>
        <w:rPr>
          <w:rFonts w:ascii="Arial" w:eastAsia="Arial" w:hAnsi="Arial" w:cs="Arial"/>
          <w:b/>
          <w:bCs/>
        </w:rPr>
      </w:pPr>
      <w:r>
        <w:rPr>
          <w:rFonts w:ascii="Arial" w:hAnsi="Arial"/>
          <w:b/>
          <w:bCs/>
        </w:rPr>
        <w:t>GAUTENG DIVISION, PRETORIA</w:t>
      </w:r>
    </w:p>
    <w:p w14:paraId="3BF6D9BC" w14:textId="77777777" w:rsidR="00CA502F" w:rsidRDefault="00CA502F" w:rsidP="00CA502F">
      <w:pPr>
        <w:pStyle w:val="Body"/>
        <w:spacing w:line="360" w:lineRule="auto"/>
        <w:jc w:val="center"/>
        <w:rPr>
          <w:rFonts w:ascii="Arial" w:eastAsia="Arial" w:hAnsi="Arial" w:cs="Arial"/>
          <w:b/>
          <w:bCs/>
        </w:rPr>
      </w:pPr>
    </w:p>
    <w:p w14:paraId="080BD6A5" w14:textId="77777777" w:rsidR="00CA502F" w:rsidRDefault="00CA502F" w:rsidP="00CA502F">
      <w:pPr>
        <w:pStyle w:val="Body"/>
        <w:spacing w:line="360" w:lineRule="auto"/>
        <w:jc w:val="right"/>
      </w:pPr>
      <w:r>
        <w:rPr>
          <w:rFonts w:ascii="Arial" w:eastAsia="Arial" w:hAnsi="Arial" w:cs="Arial"/>
          <w:noProof/>
          <w:lang w:val="en-ZA" w:eastAsia="en-ZA"/>
        </w:rPr>
        <mc:AlternateContent>
          <mc:Choice Requires="wps">
            <w:drawing>
              <wp:anchor distT="0" distB="0" distL="0" distR="0" simplePos="0" relativeHeight="251659264" behindDoc="0" locked="0" layoutInCell="1" allowOverlap="1" wp14:anchorId="38B4178A" wp14:editId="6FF7CAC4">
                <wp:simplePos x="0" y="0"/>
                <wp:positionH relativeFrom="column">
                  <wp:posOffset>-133350</wp:posOffset>
                </wp:positionH>
                <wp:positionV relativeFrom="line">
                  <wp:posOffset>-2540</wp:posOffset>
                </wp:positionV>
                <wp:extent cx="3657600" cy="143065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657600" cy="1430656"/>
                        </a:xfrm>
                        <a:prstGeom prst="rect">
                          <a:avLst/>
                        </a:prstGeom>
                        <a:solidFill>
                          <a:srgbClr val="FFFFFF"/>
                        </a:solidFill>
                        <a:ln w="9525" cap="flat">
                          <a:solidFill>
                            <a:srgbClr val="000000"/>
                          </a:solidFill>
                          <a:prstDash val="solid"/>
                          <a:miter lim="800000"/>
                        </a:ln>
                        <a:effectLst/>
                      </wps:spPr>
                      <wps:txbx>
                        <w:txbxContent>
                          <w:p w14:paraId="6CAF6A8E" w14:textId="77777777" w:rsidR="00CA502F" w:rsidRDefault="00CA502F" w:rsidP="00CA502F">
                            <w:pPr>
                              <w:pStyle w:val="Body"/>
                              <w:rPr>
                                <w:rFonts w:ascii="Century Gothic" w:eastAsia="Century Gothic" w:hAnsi="Century Gothic" w:cs="Century Gothic"/>
                                <w:b/>
                                <w:bCs/>
                                <w:sz w:val="20"/>
                                <w:szCs w:val="20"/>
                              </w:rPr>
                            </w:pPr>
                            <w:r>
                              <w:rPr>
                                <w:rFonts w:ascii="Century Gothic" w:hAnsi="Century Gothic"/>
                                <w:b/>
                                <w:bCs/>
                                <w:sz w:val="20"/>
                                <w:szCs w:val="20"/>
                              </w:rPr>
                              <w:t>DELETE WHICHEVER IS NOT APPLICABLE</w:t>
                            </w:r>
                          </w:p>
                          <w:p w14:paraId="2097CA04" w14:textId="1317CF89" w:rsidR="00CA502F" w:rsidRDefault="00CA502F" w:rsidP="00CA502F">
                            <w:pPr>
                              <w:pStyle w:val="Body"/>
                              <w:numPr>
                                <w:ilvl w:val="0"/>
                                <w:numId w:val="1"/>
                              </w:numPr>
                              <w:rPr>
                                <w:rFonts w:ascii="Century Gothic" w:hAnsi="Century Gothic"/>
                                <w:sz w:val="20"/>
                                <w:szCs w:val="20"/>
                              </w:rPr>
                            </w:pPr>
                            <w:r>
                              <w:rPr>
                                <w:rStyle w:val="PageNumber"/>
                                <w:rFonts w:ascii="Century Gothic" w:hAnsi="Century Gothic"/>
                                <w:sz w:val="20"/>
                                <w:szCs w:val="20"/>
                              </w:rPr>
                              <w:t>REPORTABLE: YES</w:t>
                            </w:r>
                          </w:p>
                          <w:p w14:paraId="7A2DBBD0" w14:textId="77777777" w:rsidR="00CA502F" w:rsidRDefault="00CA502F" w:rsidP="00CA502F">
                            <w:pPr>
                              <w:pStyle w:val="Body"/>
                              <w:numPr>
                                <w:ilvl w:val="0"/>
                                <w:numId w:val="1"/>
                              </w:numPr>
                              <w:rPr>
                                <w:rFonts w:ascii="Century Gothic" w:hAnsi="Century Gothic"/>
                                <w:sz w:val="20"/>
                                <w:szCs w:val="20"/>
                                <w:lang w:val="de-DE"/>
                              </w:rPr>
                            </w:pPr>
                            <w:r>
                              <w:rPr>
                                <w:rStyle w:val="PageNumber"/>
                                <w:rFonts w:ascii="Century Gothic" w:hAnsi="Century Gothic"/>
                                <w:sz w:val="20"/>
                                <w:szCs w:val="20"/>
                                <w:lang w:val="de-DE"/>
                              </w:rPr>
                              <w:t>OF INTEREST TO OTHER JUDGES: YES/NO</w:t>
                            </w:r>
                          </w:p>
                          <w:p w14:paraId="478B1BE3" w14:textId="77777777" w:rsidR="00CA502F" w:rsidRDefault="00CA502F" w:rsidP="00CA502F">
                            <w:pPr>
                              <w:pStyle w:val="Body"/>
                              <w:numPr>
                                <w:ilvl w:val="0"/>
                                <w:numId w:val="1"/>
                              </w:numPr>
                              <w:rPr>
                                <w:rFonts w:ascii="Century Gothic" w:hAnsi="Century Gothic"/>
                                <w:sz w:val="20"/>
                                <w:szCs w:val="20"/>
                              </w:rPr>
                            </w:pPr>
                            <w:r>
                              <w:rPr>
                                <w:rStyle w:val="PageNumber"/>
                                <w:rFonts w:ascii="Century Gothic" w:hAnsi="Century Gothic"/>
                                <w:sz w:val="20"/>
                                <w:szCs w:val="20"/>
                              </w:rPr>
                              <w:t xml:space="preserve">REVISED: </w:t>
                            </w:r>
                          </w:p>
                          <w:p w14:paraId="3EB9C116" w14:textId="77777777" w:rsidR="00CA502F" w:rsidRDefault="00CA502F" w:rsidP="00CA502F">
                            <w:pPr>
                              <w:pStyle w:val="Body"/>
                              <w:ind w:left="900"/>
                              <w:rPr>
                                <w:rFonts w:ascii="Century Gothic" w:eastAsia="Century Gothic" w:hAnsi="Century Gothic" w:cs="Century Gothic"/>
                                <w:sz w:val="20"/>
                                <w:szCs w:val="20"/>
                              </w:rPr>
                            </w:pPr>
                          </w:p>
                          <w:p w14:paraId="773138DD" w14:textId="77777777" w:rsidR="00CA502F" w:rsidRDefault="00CA502F" w:rsidP="00CA502F">
                            <w:pPr>
                              <w:pStyle w:val="Body"/>
                              <w:ind w:left="180"/>
                              <w:rPr>
                                <w:rFonts w:ascii="Century Gothic" w:eastAsia="Century Gothic" w:hAnsi="Century Gothic" w:cs="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365F6841" w14:textId="77777777" w:rsidR="00CA502F" w:rsidRDefault="00CA502F" w:rsidP="00CA502F">
                            <w:pPr>
                              <w:pStyle w:val="Body"/>
                              <w:ind w:left="180"/>
                              <w:rPr>
                                <w:rFonts w:ascii="Century Gothic" w:eastAsia="Century Gothic" w:hAnsi="Century Gothic" w:cs="Century Gothic"/>
                                <w:sz w:val="20"/>
                                <w:szCs w:val="20"/>
                              </w:rPr>
                            </w:pPr>
                            <w:r>
                              <w:rPr>
                                <w:rFonts w:ascii="Century Gothic" w:eastAsia="Century Gothic" w:hAnsi="Century Gothic" w:cs="Century Gothic"/>
                                <w:sz w:val="20"/>
                                <w:szCs w:val="20"/>
                                <w:lang w:val="pt-PT"/>
                              </w:rPr>
                              <w:tab/>
                              <w:t>DATE</w:t>
                            </w:r>
                            <w:r>
                              <w:rPr>
                                <w:rFonts w:ascii="Century Gothic" w:eastAsia="Century Gothic" w:hAnsi="Century Gothic" w:cs="Century Gothic"/>
                                <w:sz w:val="20"/>
                                <w:szCs w:val="20"/>
                                <w:lang w:val="pt-PT"/>
                              </w:rPr>
                              <w:tab/>
                            </w:r>
                            <w:r>
                              <w:rPr>
                                <w:rFonts w:ascii="Century Gothic" w:eastAsia="Century Gothic" w:hAnsi="Century Gothic" w:cs="Century Gothic"/>
                                <w:sz w:val="20"/>
                                <w:szCs w:val="20"/>
                                <w:lang w:val="pt-PT"/>
                              </w:rPr>
                              <w:tab/>
                            </w:r>
                            <w:r>
                              <w:rPr>
                                <w:rFonts w:ascii="Century Gothic" w:eastAsia="Century Gothic" w:hAnsi="Century Gothic" w:cs="Century Gothic"/>
                                <w:sz w:val="20"/>
                                <w:szCs w:val="20"/>
                                <w:lang w:val="pt-PT"/>
                              </w:rPr>
                              <w:tab/>
                            </w:r>
                            <w:r>
                              <w:rPr>
                                <w:rFonts w:ascii="Century Gothic" w:eastAsia="Century Gothic" w:hAnsi="Century Gothic" w:cs="Century Gothic"/>
                                <w:sz w:val="20"/>
                                <w:szCs w:val="20"/>
                                <w:lang w:val="pt-PT"/>
                              </w:rPr>
                              <w:tab/>
                              <w:t>SIGNATURE</w:t>
                            </w:r>
                          </w:p>
                          <w:p w14:paraId="052F43BC" w14:textId="77777777" w:rsidR="00CA502F" w:rsidRDefault="00CA502F" w:rsidP="00CA502F">
                            <w:pPr>
                              <w:pStyle w:val="Body"/>
                              <w:rPr>
                                <w:rFonts w:ascii="Century Gothic" w:eastAsia="Century Gothic" w:hAnsi="Century Gothic" w:cs="Century Gothic"/>
                                <w:sz w:val="20"/>
                                <w:szCs w:val="20"/>
                              </w:rPr>
                            </w:pPr>
                          </w:p>
                          <w:p w14:paraId="014626AB" w14:textId="77777777" w:rsidR="00CA502F" w:rsidRDefault="00CA502F" w:rsidP="00CA502F">
                            <w:pPr>
                              <w:pStyle w:val="Body"/>
                              <w:rPr>
                                <w:rFonts w:ascii="Century Gothic" w:eastAsia="Century Gothic" w:hAnsi="Century Gothic" w:cs="Century Gothic"/>
                                <w:sz w:val="28"/>
                                <w:szCs w:val="28"/>
                              </w:rPr>
                            </w:pPr>
                          </w:p>
                          <w:p w14:paraId="7B461767" w14:textId="77777777" w:rsidR="00CA502F" w:rsidRDefault="00CA502F" w:rsidP="00CA502F">
                            <w:pPr>
                              <w:pStyle w:val="Body"/>
                              <w:rPr>
                                <w:rFonts w:ascii="Century Gothic" w:eastAsia="Century Gothic" w:hAnsi="Century Gothic" w:cs="Century Gothic"/>
                                <w:sz w:val="28"/>
                                <w:szCs w:val="28"/>
                              </w:rPr>
                            </w:pPr>
                          </w:p>
                          <w:p w14:paraId="4AFCCDD8" w14:textId="77777777" w:rsidR="00CA502F" w:rsidRDefault="00CA502F" w:rsidP="00CA502F">
                            <w:pPr>
                              <w:pStyle w:val="Body"/>
                              <w:rPr>
                                <w:rFonts w:ascii="Century Gothic" w:eastAsia="Century Gothic" w:hAnsi="Century Gothic" w:cs="Century Gothic"/>
                                <w:sz w:val="28"/>
                                <w:szCs w:val="28"/>
                              </w:rPr>
                            </w:pPr>
                            <w:r>
                              <w:rPr>
                                <w:rFonts w:ascii="Century Gothic" w:hAnsi="Century Gothic"/>
                                <w:sz w:val="28"/>
                                <w:szCs w:val="28"/>
                              </w:rPr>
                              <w:t>____________________        ____________________</w:t>
                            </w:r>
                          </w:p>
                          <w:p w14:paraId="5F71AD69" w14:textId="77777777" w:rsidR="00CA502F" w:rsidRDefault="00CA502F" w:rsidP="00CA502F">
                            <w:pPr>
                              <w:pStyle w:val="Body"/>
                              <w:rPr>
                                <w:rFonts w:ascii="Century Gothic" w:eastAsia="Century Gothic" w:hAnsi="Century Gothic" w:cs="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7167C19" w14:textId="77777777" w:rsidR="00CA502F" w:rsidRDefault="00CA502F" w:rsidP="00CA502F">
                            <w:pPr>
                              <w:pStyle w:val="Body"/>
                              <w:rPr>
                                <w:rFonts w:ascii="Century Gothic" w:eastAsia="Century Gothic" w:hAnsi="Century Gothic" w:cs="Century Gothic"/>
                                <w:sz w:val="28"/>
                                <w:szCs w:val="28"/>
                              </w:rPr>
                            </w:pPr>
                          </w:p>
                          <w:p w14:paraId="24A39497" w14:textId="77777777" w:rsidR="00CA502F" w:rsidRDefault="00CA502F" w:rsidP="00CA502F">
                            <w:pPr>
                              <w:pStyle w:val="Body"/>
                              <w:rPr>
                                <w:rFonts w:ascii="Century Gothic" w:eastAsia="Century Gothic" w:hAnsi="Century Gothic" w:cs="Century Gothic"/>
                                <w:sz w:val="28"/>
                                <w:szCs w:val="28"/>
                              </w:rPr>
                            </w:pPr>
                          </w:p>
                          <w:p w14:paraId="32881F9A" w14:textId="77777777" w:rsidR="00CA502F" w:rsidRDefault="00CA502F" w:rsidP="00CA502F">
                            <w:pPr>
                              <w:pStyle w:val="Body"/>
                              <w:rPr>
                                <w:rFonts w:ascii="Century Gothic" w:eastAsia="Century Gothic" w:hAnsi="Century Gothic" w:cs="Century Gothic"/>
                                <w:sz w:val="28"/>
                                <w:szCs w:val="28"/>
                              </w:rPr>
                            </w:pPr>
                          </w:p>
                          <w:p w14:paraId="2B311A02" w14:textId="77777777" w:rsidR="00CA502F" w:rsidRDefault="00CA502F" w:rsidP="00CA502F">
                            <w:pPr>
                              <w:pStyle w:val="Body"/>
                              <w:rPr>
                                <w:rFonts w:ascii="Century Gothic" w:eastAsia="Century Gothic" w:hAnsi="Century Gothic" w:cs="Century Gothic"/>
                                <w:sz w:val="28"/>
                                <w:szCs w:val="28"/>
                              </w:rPr>
                            </w:pPr>
                          </w:p>
                          <w:p w14:paraId="15BF8802" w14:textId="77777777" w:rsidR="00CA502F" w:rsidRDefault="00CA502F" w:rsidP="00CA502F">
                            <w:pPr>
                              <w:pStyle w:val="Body"/>
                              <w:rPr>
                                <w:rFonts w:ascii="Century Gothic" w:eastAsia="Century Gothic" w:hAnsi="Century Gothic" w:cs="Century Gothic"/>
                                <w:b/>
                                <w:bCs/>
                                <w:sz w:val="18"/>
                                <w:szCs w:val="18"/>
                              </w:rPr>
                            </w:pPr>
                          </w:p>
                          <w:p w14:paraId="6FD180ED" w14:textId="77777777" w:rsidR="00CA502F" w:rsidRDefault="00CA502F" w:rsidP="00CA502F">
                            <w:pPr>
                              <w:pStyle w:val="Body"/>
                              <w:rPr>
                                <w:rFonts w:ascii="Century Gothic" w:eastAsia="Century Gothic" w:hAnsi="Century Gothic" w:cs="Century Gothic"/>
                                <w:b/>
                                <w:bCs/>
                                <w:sz w:val="18"/>
                                <w:szCs w:val="18"/>
                              </w:rPr>
                            </w:pPr>
                          </w:p>
                          <w:p w14:paraId="534BF9E2" w14:textId="77777777" w:rsidR="00CA502F" w:rsidRDefault="00CA502F" w:rsidP="00CA502F">
                            <w:pPr>
                              <w:pStyle w:val="Body"/>
                              <w:rPr>
                                <w:rFonts w:ascii="Century Gothic" w:eastAsia="Century Gothic" w:hAnsi="Century Gothic" w:cs="Century Gothic"/>
                                <w:b/>
                                <w:bCs/>
                                <w:sz w:val="18"/>
                                <w:szCs w:val="18"/>
                              </w:rPr>
                            </w:pPr>
                          </w:p>
                          <w:p w14:paraId="24BE419F" w14:textId="77777777" w:rsidR="00CA502F" w:rsidRDefault="00CA502F" w:rsidP="00CA502F">
                            <w:pPr>
                              <w:pStyle w:val="Body"/>
                              <w:rPr>
                                <w:rFonts w:ascii="Century Gothic" w:eastAsia="Century Gothic" w:hAnsi="Century Gothic" w:cs="Century Gothic"/>
                                <w:b/>
                                <w:bCs/>
                                <w:sz w:val="18"/>
                                <w:szCs w:val="18"/>
                              </w:rPr>
                            </w:pPr>
                          </w:p>
                          <w:p w14:paraId="31E84788" w14:textId="77777777" w:rsidR="00CA502F" w:rsidRDefault="00CA502F" w:rsidP="00CA502F">
                            <w:pPr>
                              <w:pStyle w:val="Body"/>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4178A" id="_x0000_t202" coordsize="21600,21600" o:spt="202" path="m,l,21600r21600,l21600,xe">
                <v:stroke joinstyle="miter"/>
                <v:path gradientshapeok="t" o:connecttype="rect"/>
              </v:shapetype>
              <v:shape id="officeArt object" o:spid="_x0000_s1026" type="#_x0000_t202" alt="Text Box 2" style="position:absolute;left:0;text-align:left;margin-left:-10.5pt;margin-top:-.2pt;width:4in;height:112.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">
                <v:textbox inset="1.27mm,1.27mm,1.27mm,1.27mm">
                  <w:txbxContent>
                    <w:p w14:paraId="6CAF6A8E" w14:textId="77777777" w:rsidR="00CA502F" w:rsidRDefault="00CA502F" w:rsidP="00CA502F">
                      <w:pPr>
                        <w:pStyle w:val="Body"/>
                        <w:rPr>
                          <w:rFonts w:ascii="Century Gothic" w:eastAsia="Century Gothic" w:hAnsi="Century Gothic" w:cs="Century Gothic"/>
                          <w:b/>
                          <w:bCs/>
                          <w:sz w:val="20"/>
                          <w:szCs w:val="20"/>
                        </w:rPr>
                      </w:pPr>
                      <w:r>
                        <w:rPr>
                          <w:rFonts w:ascii="Century Gothic" w:hAnsi="Century Gothic"/>
                          <w:b/>
                          <w:bCs/>
                          <w:sz w:val="20"/>
                          <w:szCs w:val="20"/>
                        </w:rPr>
                        <w:t>DELETE WHICHEVER IS NOT APPLICABLE</w:t>
                      </w:r>
                    </w:p>
                    <w:p w14:paraId="2097CA04" w14:textId="1317CF89" w:rsidR="00CA502F" w:rsidRDefault="00CA502F" w:rsidP="00CA502F">
                      <w:pPr>
                        <w:pStyle w:val="Body"/>
                        <w:numPr>
                          <w:ilvl w:val="0"/>
                          <w:numId w:val="1"/>
                        </w:numPr>
                        <w:rPr>
                          <w:rFonts w:ascii="Century Gothic" w:hAnsi="Century Gothic"/>
                          <w:sz w:val="20"/>
                          <w:szCs w:val="20"/>
                        </w:rPr>
                      </w:pPr>
                      <w:r>
                        <w:rPr>
                          <w:rStyle w:val="PageNumber"/>
                          <w:rFonts w:ascii="Century Gothic" w:hAnsi="Century Gothic"/>
                          <w:sz w:val="20"/>
                          <w:szCs w:val="20"/>
                        </w:rPr>
                        <w:t>REPORTABLE: YES</w:t>
                      </w:r>
                    </w:p>
                    <w:p w14:paraId="7A2DBBD0" w14:textId="77777777" w:rsidR="00CA502F" w:rsidRDefault="00CA502F" w:rsidP="00CA502F">
                      <w:pPr>
                        <w:pStyle w:val="Body"/>
                        <w:numPr>
                          <w:ilvl w:val="0"/>
                          <w:numId w:val="1"/>
                        </w:numPr>
                        <w:rPr>
                          <w:rFonts w:ascii="Century Gothic" w:hAnsi="Century Gothic"/>
                          <w:sz w:val="20"/>
                          <w:szCs w:val="20"/>
                          <w:lang w:val="de-DE"/>
                        </w:rPr>
                      </w:pPr>
                      <w:r>
                        <w:rPr>
                          <w:rStyle w:val="PageNumber"/>
                          <w:rFonts w:ascii="Century Gothic" w:hAnsi="Century Gothic"/>
                          <w:sz w:val="20"/>
                          <w:szCs w:val="20"/>
                          <w:lang w:val="de-DE"/>
                        </w:rPr>
                        <w:t>OF INTEREST TO OTHER JUDGES: YES/NO</w:t>
                      </w:r>
                    </w:p>
                    <w:p w14:paraId="478B1BE3" w14:textId="77777777" w:rsidR="00CA502F" w:rsidRDefault="00CA502F" w:rsidP="00CA502F">
                      <w:pPr>
                        <w:pStyle w:val="Body"/>
                        <w:numPr>
                          <w:ilvl w:val="0"/>
                          <w:numId w:val="1"/>
                        </w:numPr>
                        <w:rPr>
                          <w:rFonts w:ascii="Century Gothic" w:hAnsi="Century Gothic"/>
                          <w:sz w:val="20"/>
                          <w:szCs w:val="20"/>
                        </w:rPr>
                      </w:pPr>
                      <w:r>
                        <w:rPr>
                          <w:rStyle w:val="PageNumber"/>
                          <w:rFonts w:ascii="Century Gothic" w:hAnsi="Century Gothic"/>
                          <w:sz w:val="20"/>
                          <w:szCs w:val="20"/>
                        </w:rPr>
                        <w:t xml:space="preserve">REVISED: </w:t>
                      </w:r>
                    </w:p>
                    <w:p w14:paraId="3EB9C116" w14:textId="77777777" w:rsidR="00CA502F" w:rsidRDefault="00CA502F" w:rsidP="00CA502F">
                      <w:pPr>
                        <w:pStyle w:val="Body"/>
                        <w:ind w:left="900"/>
                        <w:rPr>
                          <w:rFonts w:ascii="Century Gothic" w:eastAsia="Century Gothic" w:hAnsi="Century Gothic" w:cs="Century Gothic"/>
                          <w:sz w:val="20"/>
                          <w:szCs w:val="20"/>
                        </w:rPr>
                      </w:pPr>
                    </w:p>
                    <w:p w14:paraId="773138DD" w14:textId="77777777" w:rsidR="00CA502F" w:rsidRDefault="00CA502F" w:rsidP="00CA502F">
                      <w:pPr>
                        <w:pStyle w:val="Body"/>
                        <w:ind w:left="180"/>
                        <w:rPr>
                          <w:rFonts w:ascii="Century Gothic" w:eastAsia="Century Gothic" w:hAnsi="Century Gothic" w:cs="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365F6841" w14:textId="77777777" w:rsidR="00CA502F" w:rsidRDefault="00CA502F" w:rsidP="00CA502F">
                      <w:pPr>
                        <w:pStyle w:val="Body"/>
                        <w:ind w:left="180"/>
                        <w:rPr>
                          <w:rFonts w:ascii="Century Gothic" w:eastAsia="Century Gothic" w:hAnsi="Century Gothic" w:cs="Century Gothic"/>
                          <w:sz w:val="20"/>
                          <w:szCs w:val="20"/>
                        </w:rPr>
                      </w:pPr>
                      <w:r>
                        <w:rPr>
                          <w:rFonts w:ascii="Century Gothic" w:eastAsia="Century Gothic" w:hAnsi="Century Gothic" w:cs="Century Gothic"/>
                          <w:sz w:val="20"/>
                          <w:szCs w:val="20"/>
                          <w:lang w:val="pt-PT"/>
                        </w:rPr>
                        <w:tab/>
                        <w:t>DATE</w:t>
                      </w:r>
                      <w:r>
                        <w:rPr>
                          <w:rFonts w:ascii="Century Gothic" w:eastAsia="Century Gothic" w:hAnsi="Century Gothic" w:cs="Century Gothic"/>
                          <w:sz w:val="20"/>
                          <w:szCs w:val="20"/>
                          <w:lang w:val="pt-PT"/>
                        </w:rPr>
                        <w:tab/>
                      </w:r>
                      <w:r>
                        <w:rPr>
                          <w:rFonts w:ascii="Century Gothic" w:eastAsia="Century Gothic" w:hAnsi="Century Gothic" w:cs="Century Gothic"/>
                          <w:sz w:val="20"/>
                          <w:szCs w:val="20"/>
                          <w:lang w:val="pt-PT"/>
                        </w:rPr>
                        <w:tab/>
                      </w:r>
                      <w:r>
                        <w:rPr>
                          <w:rFonts w:ascii="Century Gothic" w:eastAsia="Century Gothic" w:hAnsi="Century Gothic" w:cs="Century Gothic"/>
                          <w:sz w:val="20"/>
                          <w:szCs w:val="20"/>
                          <w:lang w:val="pt-PT"/>
                        </w:rPr>
                        <w:tab/>
                      </w:r>
                      <w:r>
                        <w:rPr>
                          <w:rFonts w:ascii="Century Gothic" w:eastAsia="Century Gothic" w:hAnsi="Century Gothic" w:cs="Century Gothic"/>
                          <w:sz w:val="20"/>
                          <w:szCs w:val="20"/>
                          <w:lang w:val="pt-PT"/>
                        </w:rPr>
                        <w:tab/>
                        <w:t>SIGNATURE</w:t>
                      </w:r>
                    </w:p>
                    <w:p w14:paraId="052F43BC" w14:textId="77777777" w:rsidR="00CA502F" w:rsidRDefault="00CA502F" w:rsidP="00CA502F">
                      <w:pPr>
                        <w:pStyle w:val="Body"/>
                        <w:rPr>
                          <w:rFonts w:ascii="Century Gothic" w:eastAsia="Century Gothic" w:hAnsi="Century Gothic" w:cs="Century Gothic"/>
                          <w:sz w:val="20"/>
                          <w:szCs w:val="20"/>
                        </w:rPr>
                      </w:pPr>
                    </w:p>
                    <w:p w14:paraId="014626AB" w14:textId="77777777" w:rsidR="00CA502F" w:rsidRDefault="00CA502F" w:rsidP="00CA502F">
                      <w:pPr>
                        <w:pStyle w:val="Body"/>
                        <w:rPr>
                          <w:rFonts w:ascii="Century Gothic" w:eastAsia="Century Gothic" w:hAnsi="Century Gothic" w:cs="Century Gothic"/>
                          <w:sz w:val="28"/>
                          <w:szCs w:val="28"/>
                        </w:rPr>
                      </w:pPr>
                    </w:p>
                    <w:p w14:paraId="7B461767" w14:textId="77777777" w:rsidR="00CA502F" w:rsidRDefault="00CA502F" w:rsidP="00CA502F">
                      <w:pPr>
                        <w:pStyle w:val="Body"/>
                        <w:rPr>
                          <w:rFonts w:ascii="Century Gothic" w:eastAsia="Century Gothic" w:hAnsi="Century Gothic" w:cs="Century Gothic"/>
                          <w:sz w:val="28"/>
                          <w:szCs w:val="28"/>
                        </w:rPr>
                      </w:pPr>
                    </w:p>
                    <w:p w14:paraId="4AFCCDD8" w14:textId="77777777" w:rsidR="00CA502F" w:rsidRDefault="00CA502F" w:rsidP="00CA502F">
                      <w:pPr>
                        <w:pStyle w:val="Body"/>
                        <w:rPr>
                          <w:rFonts w:ascii="Century Gothic" w:eastAsia="Century Gothic" w:hAnsi="Century Gothic" w:cs="Century Gothic"/>
                          <w:sz w:val="28"/>
                          <w:szCs w:val="28"/>
                        </w:rPr>
                      </w:pPr>
                      <w:r>
                        <w:rPr>
                          <w:rFonts w:ascii="Century Gothic" w:hAnsi="Century Gothic"/>
                          <w:sz w:val="28"/>
                          <w:szCs w:val="28"/>
                        </w:rPr>
                        <w:t>____________________        ____________________</w:t>
                      </w:r>
                    </w:p>
                    <w:p w14:paraId="5F71AD69" w14:textId="77777777" w:rsidR="00CA502F" w:rsidRDefault="00CA502F" w:rsidP="00CA502F">
                      <w:pPr>
                        <w:pStyle w:val="Body"/>
                        <w:rPr>
                          <w:rFonts w:ascii="Century Gothic" w:eastAsia="Century Gothic" w:hAnsi="Century Gothic" w:cs="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27167C19" w14:textId="77777777" w:rsidR="00CA502F" w:rsidRDefault="00CA502F" w:rsidP="00CA502F">
                      <w:pPr>
                        <w:pStyle w:val="Body"/>
                        <w:rPr>
                          <w:rFonts w:ascii="Century Gothic" w:eastAsia="Century Gothic" w:hAnsi="Century Gothic" w:cs="Century Gothic"/>
                          <w:sz w:val="28"/>
                          <w:szCs w:val="28"/>
                        </w:rPr>
                      </w:pPr>
                    </w:p>
                    <w:p w14:paraId="24A39497" w14:textId="77777777" w:rsidR="00CA502F" w:rsidRDefault="00CA502F" w:rsidP="00CA502F">
                      <w:pPr>
                        <w:pStyle w:val="Body"/>
                        <w:rPr>
                          <w:rFonts w:ascii="Century Gothic" w:eastAsia="Century Gothic" w:hAnsi="Century Gothic" w:cs="Century Gothic"/>
                          <w:sz w:val="28"/>
                          <w:szCs w:val="28"/>
                        </w:rPr>
                      </w:pPr>
                    </w:p>
                    <w:p w14:paraId="32881F9A" w14:textId="77777777" w:rsidR="00CA502F" w:rsidRDefault="00CA502F" w:rsidP="00CA502F">
                      <w:pPr>
                        <w:pStyle w:val="Body"/>
                        <w:rPr>
                          <w:rFonts w:ascii="Century Gothic" w:eastAsia="Century Gothic" w:hAnsi="Century Gothic" w:cs="Century Gothic"/>
                          <w:sz w:val="28"/>
                          <w:szCs w:val="28"/>
                        </w:rPr>
                      </w:pPr>
                    </w:p>
                    <w:p w14:paraId="2B311A02" w14:textId="77777777" w:rsidR="00CA502F" w:rsidRDefault="00CA502F" w:rsidP="00CA502F">
                      <w:pPr>
                        <w:pStyle w:val="Body"/>
                        <w:rPr>
                          <w:rFonts w:ascii="Century Gothic" w:eastAsia="Century Gothic" w:hAnsi="Century Gothic" w:cs="Century Gothic"/>
                          <w:sz w:val="28"/>
                          <w:szCs w:val="28"/>
                        </w:rPr>
                      </w:pPr>
                    </w:p>
                    <w:p w14:paraId="15BF8802" w14:textId="77777777" w:rsidR="00CA502F" w:rsidRDefault="00CA502F" w:rsidP="00CA502F">
                      <w:pPr>
                        <w:pStyle w:val="Body"/>
                        <w:rPr>
                          <w:rFonts w:ascii="Century Gothic" w:eastAsia="Century Gothic" w:hAnsi="Century Gothic" w:cs="Century Gothic"/>
                          <w:b/>
                          <w:bCs/>
                          <w:sz w:val="18"/>
                          <w:szCs w:val="18"/>
                        </w:rPr>
                      </w:pPr>
                    </w:p>
                    <w:p w14:paraId="6FD180ED" w14:textId="77777777" w:rsidR="00CA502F" w:rsidRDefault="00CA502F" w:rsidP="00CA502F">
                      <w:pPr>
                        <w:pStyle w:val="Body"/>
                        <w:rPr>
                          <w:rFonts w:ascii="Century Gothic" w:eastAsia="Century Gothic" w:hAnsi="Century Gothic" w:cs="Century Gothic"/>
                          <w:b/>
                          <w:bCs/>
                          <w:sz w:val="18"/>
                          <w:szCs w:val="18"/>
                        </w:rPr>
                      </w:pPr>
                    </w:p>
                    <w:p w14:paraId="534BF9E2" w14:textId="77777777" w:rsidR="00CA502F" w:rsidRDefault="00CA502F" w:rsidP="00CA502F">
                      <w:pPr>
                        <w:pStyle w:val="Body"/>
                        <w:rPr>
                          <w:rFonts w:ascii="Century Gothic" w:eastAsia="Century Gothic" w:hAnsi="Century Gothic" w:cs="Century Gothic"/>
                          <w:b/>
                          <w:bCs/>
                          <w:sz w:val="18"/>
                          <w:szCs w:val="18"/>
                        </w:rPr>
                      </w:pPr>
                    </w:p>
                    <w:p w14:paraId="24BE419F" w14:textId="77777777" w:rsidR="00CA502F" w:rsidRDefault="00CA502F" w:rsidP="00CA502F">
                      <w:pPr>
                        <w:pStyle w:val="Body"/>
                        <w:rPr>
                          <w:rFonts w:ascii="Century Gothic" w:eastAsia="Century Gothic" w:hAnsi="Century Gothic" w:cs="Century Gothic"/>
                          <w:b/>
                          <w:bCs/>
                          <w:sz w:val="18"/>
                          <w:szCs w:val="18"/>
                        </w:rPr>
                      </w:pPr>
                    </w:p>
                    <w:p w14:paraId="31E84788" w14:textId="77777777" w:rsidR="00CA502F" w:rsidRDefault="00CA502F" w:rsidP="00CA502F">
                      <w:pPr>
                        <w:pStyle w:val="Body"/>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w10:wrap anchory="line"/>
              </v:shape>
            </w:pict>
          </mc:Fallback>
        </mc:AlternateContent>
      </w:r>
      <w:r>
        <w:rPr>
          <w:rFonts w:ascii="Arial" w:hAnsi="Arial"/>
        </w:rPr>
        <w:t xml:space="preserve">CASE NO: </w:t>
      </w:r>
      <w:r w:rsidR="00086A1C">
        <w:rPr>
          <w:rFonts w:ascii="Arial" w:hAnsi="Arial"/>
        </w:rPr>
        <w:t>62755/2018</w:t>
      </w:r>
    </w:p>
    <w:p w14:paraId="49362725" w14:textId="77777777" w:rsidR="00CA502F" w:rsidRDefault="00086A1C" w:rsidP="00CA502F">
      <w:pPr>
        <w:pStyle w:val="Body"/>
        <w:spacing w:line="360" w:lineRule="auto"/>
        <w:rPr>
          <w:rFonts w:ascii="Arial" w:eastAsia="Arial" w:hAnsi="Arial" w:cs="Arial"/>
        </w:rPr>
      </w:pPr>
      <w:r>
        <w:rPr>
          <w:rFonts w:ascii="Arial" w:eastAsia="Arial" w:hAnsi="Arial" w:cs="Arial"/>
        </w:rPr>
        <w:t>/</w:t>
      </w:r>
    </w:p>
    <w:p w14:paraId="3D88A0EA" w14:textId="77777777" w:rsidR="00CA502F" w:rsidRDefault="00CA502F" w:rsidP="00CA502F">
      <w:pPr>
        <w:pStyle w:val="Body"/>
        <w:spacing w:line="360" w:lineRule="auto"/>
        <w:rPr>
          <w:rFonts w:ascii="Arial" w:eastAsia="Arial" w:hAnsi="Arial" w:cs="Arial"/>
        </w:rPr>
      </w:pPr>
    </w:p>
    <w:p w14:paraId="3D920F1E" w14:textId="77777777" w:rsidR="00CA502F" w:rsidRDefault="00CA502F" w:rsidP="00CA502F">
      <w:pPr>
        <w:pStyle w:val="Body"/>
        <w:spacing w:line="360" w:lineRule="auto"/>
        <w:jc w:val="right"/>
        <w:rPr>
          <w:rFonts w:ascii="Arial" w:eastAsia="Arial" w:hAnsi="Arial" w:cs="Arial"/>
        </w:rPr>
      </w:pPr>
    </w:p>
    <w:p w14:paraId="275AD122" w14:textId="77777777" w:rsidR="00CA502F" w:rsidRDefault="00CA502F" w:rsidP="00CA502F">
      <w:pPr>
        <w:pStyle w:val="Body"/>
        <w:spacing w:line="360" w:lineRule="auto"/>
        <w:jc w:val="both"/>
        <w:rPr>
          <w:rFonts w:ascii="Arial" w:eastAsia="Arial" w:hAnsi="Arial" w:cs="Arial"/>
        </w:rPr>
      </w:pPr>
    </w:p>
    <w:p w14:paraId="6215DA05" w14:textId="77777777" w:rsidR="00CA502F" w:rsidRDefault="00CA502F" w:rsidP="00CA502F">
      <w:pPr>
        <w:pStyle w:val="Body"/>
        <w:spacing w:line="360" w:lineRule="auto"/>
        <w:jc w:val="both"/>
        <w:rPr>
          <w:rFonts w:ascii="Arial" w:eastAsia="Arial" w:hAnsi="Arial" w:cs="Arial"/>
        </w:rPr>
      </w:pPr>
    </w:p>
    <w:p w14:paraId="7B59D565" w14:textId="77777777" w:rsidR="00CA502F" w:rsidRDefault="00CA502F" w:rsidP="00CA502F">
      <w:pPr>
        <w:pStyle w:val="Body"/>
        <w:spacing w:line="360" w:lineRule="auto"/>
        <w:jc w:val="both"/>
        <w:rPr>
          <w:rFonts w:ascii="Arial" w:eastAsia="Arial" w:hAnsi="Arial" w:cs="Arial"/>
        </w:rPr>
      </w:pPr>
      <w:r>
        <w:rPr>
          <w:rFonts w:ascii="Arial" w:hAnsi="Arial"/>
        </w:rPr>
        <w:t>In the matter between:</w:t>
      </w:r>
    </w:p>
    <w:p w14:paraId="405C6CE4" w14:textId="77777777" w:rsidR="00CA502F" w:rsidRDefault="00CA502F" w:rsidP="00CA502F">
      <w:pPr>
        <w:pStyle w:val="Body"/>
        <w:spacing w:line="360" w:lineRule="auto"/>
        <w:jc w:val="both"/>
        <w:rPr>
          <w:rFonts w:ascii="Arial" w:eastAsia="Arial" w:hAnsi="Arial" w:cs="Arial"/>
        </w:rPr>
      </w:pPr>
    </w:p>
    <w:p w14:paraId="34CA4191" w14:textId="77777777" w:rsidR="00CA502F" w:rsidRDefault="00086A1C" w:rsidP="00CA502F">
      <w:pPr>
        <w:pStyle w:val="Body"/>
        <w:spacing w:after="120" w:line="360" w:lineRule="auto"/>
        <w:ind w:left="11" w:hanging="11"/>
        <w:rPr>
          <w:rFonts w:ascii="Arial" w:eastAsia="Arial" w:hAnsi="Arial" w:cs="Arial"/>
        </w:rPr>
      </w:pPr>
      <w:r>
        <w:rPr>
          <w:rFonts w:ascii="Arial" w:hAnsi="Arial"/>
          <w:b/>
          <w:bCs/>
        </w:rPr>
        <w:t>THE COMPANIES &amp; INTELLECTUAL PROPERTY COMMISSION</w:t>
      </w:r>
      <w:r w:rsidR="0088609D">
        <w:rPr>
          <w:rFonts w:ascii="Arial" w:hAnsi="Arial"/>
          <w:b/>
          <w:bCs/>
        </w:rPr>
        <w:t xml:space="preserve">  </w:t>
      </w:r>
      <w:r w:rsidR="003A083D">
        <w:rPr>
          <w:rFonts w:ascii="Arial" w:eastAsia="Arial" w:hAnsi="Arial" w:cs="Arial"/>
        </w:rPr>
        <w:t xml:space="preserve">          </w:t>
      </w:r>
      <w:r>
        <w:rPr>
          <w:rFonts w:ascii="Arial" w:eastAsia="Arial" w:hAnsi="Arial" w:cs="Arial"/>
        </w:rPr>
        <w:t xml:space="preserve">      </w:t>
      </w:r>
      <w:r w:rsidR="003A083D">
        <w:rPr>
          <w:rFonts w:ascii="Arial" w:eastAsia="Arial" w:hAnsi="Arial" w:cs="Arial"/>
        </w:rPr>
        <w:t>Applicant</w:t>
      </w:r>
      <w:r w:rsidR="00CA502F">
        <w:rPr>
          <w:rFonts w:ascii="Arial" w:eastAsia="Arial" w:hAnsi="Arial" w:cs="Arial"/>
        </w:rPr>
        <w:t xml:space="preserve"> </w:t>
      </w:r>
    </w:p>
    <w:p w14:paraId="4E42303E" w14:textId="77777777" w:rsidR="00CA502F" w:rsidRDefault="00CA502F" w:rsidP="00CA502F">
      <w:pPr>
        <w:pStyle w:val="Body"/>
        <w:spacing w:after="120" w:line="360" w:lineRule="auto"/>
        <w:ind w:left="10" w:hanging="10"/>
        <w:jc w:val="both"/>
        <w:rPr>
          <w:rFonts w:ascii="Arial" w:eastAsia="Arial" w:hAnsi="Arial" w:cs="Arial"/>
        </w:rPr>
      </w:pPr>
      <w:r>
        <w:rPr>
          <w:rFonts w:ascii="Arial" w:hAnsi="Arial"/>
        </w:rPr>
        <w:t>and</w:t>
      </w:r>
    </w:p>
    <w:p w14:paraId="5C4188D2" w14:textId="77777777" w:rsidR="00CA502F" w:rsidRDefault="003A083D" w:rsidP="00CA502F">
      <w:pPr>
        <w:pStyle w:val="Body"/>
        <w:spacing w:after="120" w:line="600" w:lineRule="auto"/>
        <w:ind w:left="10" w:hanging="10"/>
        <w:rPr>
          <w:rFonts w:ascii="Arial" w:eastAsia="Arial" w:hAnsi="Arial" w:cs="Arial"/>
        </w:rPr>
      </w:pPr>
      <w:r>
        <w:rPr>
          <w:rFonts w:ascii="Arial" w:eastAsia="Arial" w:hAnsi="Arial" w:cs="Arial"/>
          <w:b/>
          <w:bCs/>
        </w:rPr>
        <w:tab/>
      </w:r>
      <w:r w:rsidR="00086A1C">
        <w:rPr>
          <w:rFonts w:ascii="Arial" w:eastAsia="Arial" w:hAnsi="Arial" w:cs="Arial"/>
          <w:b/>
          <w:bCs/>
        </w:rPr>
        <w:t>M MAJA</w:t>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086A1C">
        <w:rPr>
          <w:rFonts w:ascii="Arial" w:eastAsia="Arial" w:hAnsi="Arial" w:cs="Arial"/>
          <w:b/>
          <w:bCs/>
        </w:rPr>
        <w:tab/>
      </w:r>
      <w:r w:rsidR="001052A3">
        <w:rPr>
          <w:rFonts w:ascii="Arial" w:eastAsia="Arial" w:hAnsi="Arial" w:cs="Arial"/>
          <w:b/>
          <w:bCs/>
        </w:rPr>
        <w:t xml:space="preserve"> </w:t>
      </w:r>
      <w:r w:rsidR="00086A1C">
        <w:rPr>
          <w:rFonts w:ascii="Arial" w:eastAsia="Arial" w:hAnsi="Arial" w:cs="Arial"/>
        </w:rPr>
        <w:t xml:space="preserve">   First </w:t>
      </w:r>
      <w:r w:rsidR="00C7221D">
        <w:rPr>
          <w:rFonts w:ascii="Arial" w:eastAsia="Arial" w:hAnsi="Arial" w:cs="Arial"/>
        </w:rPr>
        <w:t>Re</w:t>
      </w:r>
      <w:r w:rsidR="00CA502F">
        <w:rPr>
          <w:rFonts w:ascii="Arial" w:eastAsia="Arial" w:hAnsi="Arial" w:cs="Arial"/>
        </w:rPr>
        <w:t>spondent</w:t>
      </w:r>
    </w:p>
    <w:p w14:paraId="592AD95F" w14:textId="77777777" w:rsidR="00086A1C" w:rsidRPr="00086A1C" w:rsidRDefault="00086A1C" w:rsidP="00CA502F">
      <w:pPr>
        <w:pStyle w:val="Body"/>
        <w:spacing w:after="120" w:line="600" w:lineRule="auto"/>
        <w:ind w:left="10" w:hanging="10"/>
        <w:rPr>
          <w:rFonts w:ascii="Arial" w:eastAsia="Arial" w:hAnsi="Arial" w:cs="Arial"/>
          <w:bCs/>
        </w:rPr>
      </w:pPr>
      <w:r>
        <w:rPr>
          <w:rFonts w:ascii="Arial" w:eastAsia="Arial" w:hAnsi="Arial" w:cs="Arial"/>
          <w:b/>
          <w:bCs/>
        </w:rPr>
        <w:t>T N SINDANE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Pr="00086A1C">
        <w:rPr>
          <w:rFonts w:ascii="Arial" w:eastAsia="Arial" w:hAnsi="Arial" w:cs="Arial"/>
          <w:bCs/>
        </w:rPr>
        <w:t>Second</w:t>
      </w:r>
      <w:r>
        <w:rPr>
          <w:rFonts w:ascii="Arial" w:eastAsia="Arial" w:hAnsi="Arial" w:cs="Arial"/>
          <w:b/>
          <w:bCs/>
        </w:rPr>
        <w:t xml:space="preserve"> </w:t>
      </w:r>
      <w:r w:rsidRPr="00086A1C">
        <w:rPr>
          <w:rFonts w:ascii="Arial" w:eastAsia="Arial" w:hAnsi="Arial" w:cs="Arial"/>
          <w:bCs/>
        </w:rPr>
        <w:t>Respondent</w:t>
      </w:r>
    </w:p>
    <w:p w14:paraId="5BE1FFBB" w14:textId="77777777" w:rsidR="00086A1C" w:rsidRDefault="00086A1C" w:rsidP="00CA502F">
      <w:pPr>
        <w:pStyle w:val="Body"/>
        <w:spacing w:after="120" w:line="600" w:lineRule="auto"/>
        <w:ind w:left="10" w:hanging="10"/>
        <w:rPr>
          <w:rFonts w:ascii="Arial" w:eastAsia="Arial" w:hAnsi="Arial" w:cs="Arial"/>
          <w:b/>
          <w:bCs/>
        </w:rPr>
      </w:pPr>
      <w:r>
        <w:rPr>
          <w:rFonts w:ascii="Arial" w:eastAsia="Arial" w:hAnsi="Arial" w:cs="Arial"/>
          <w:b/>
          <w:bCs/>
        </w:rPr>
        <w:t>DR S S SIBIYA</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Pr="00086A1C">
        <w:rPr>
          <w:rFonts w:ascii="Arial" w:eastAsia="Arial" w:hAnsi="Arial" w:cs="Arial"/>
          <w:bCs/>
        </w:rPr>
        <w:t>Third Respondent</w:t>
      </w:r>
    </w:p>
    <w:p w14:paraId="081C8A32" w14:textId="77777777" w:rsidR="00086A1C" w:rsidRPr="00086A1C" w:rsidRDefault="00086A1C" w:rsidP="00CA502F">
      <w:pPr>
        <w:pStyle w:val="Body"/>
        <w:spacing w:after="120" w:line="600" w:lineRule="auto"/>
        <w:ind w:left="10" w:hanging="10"/>
        <w:rPr>
          <w:rFonts w:ascii="Arial" w:eastAsia="Arial" w:hAnsi="Arial" w:cs="Arial"/>
          <w:bCs/>
        </w:rPr>
      </w:pPr>
      <w:r>
        <w:rPr>
          <w:rFonts w:ascii="Arial" w:eastAsia="Arial" w:hAnsi="Arial" w:cs="Arial"/>
          <w:b/>
          <w:bCs/>
        </w:rPr>
        <w:t>M S TSIE</w:t>
      </w:r>
      <w:r>
        <w:rPr>
          <w:rFonts w:ascii="Arial" w:eastAsia="Arial" w:hAnsi="Arial" w:cs="Arial"/>
          <w:b/>
          <w:bCs/>
        </w:rPr>
        <w:tab/>
      </w:r>
      <w:r>
        <w:rPr>
          <w:rFonts w:ascii="Arial" w:eastAsia="Arial" w:hAnsi="Arial" w:cs="Arial"/>
          <w:b/>
          <w:bCs/>
        </w:rPr>
        <w:tab/>
      </w:r>
      <w:r>
        <w:rPr>
          <w:rFonts w:ascii="Arial" w:eastAsia="Arial" w:hAnsi="Arial" w:cs="Arial"/>
          <w:b/>
          <w:bCs/>
        </w:rPr>
        <w:tab/>
      </w:r>
      <w:r w:rsidRPr="00086A1C">
        <w:rPr>
          <w:rFonts w:ascii="Arial" w:eastAsia="Arial" w:hAnsi="Arial" w:cs="Arial"/>
          <w:bCs/>
        </w:rPr>
        <w:tab/>
      </w:r>
      <w:r w:rsidRPr="00086A1C">
        <w:rPr>
          <w:rFonts w:ascii="Arial" w:eastAsia="Arial" w:hAnsi="Arial" w:cs="Arial"/>
          <w:bCs/>
        </w:rPr>
        <w:tab/>
      </w:r>
      <w:r w:rsidRPr="00086A1C">
        <w:rPr>
          <w:rFonts w:ascii="Arial" w:eastAsia="Arial" w:hAnsi="Arial" w:cs="Arial"/>
          <w:bCs/>
        </w:rPr>
        <w:tab/>
      </w:r>
      <w:r w:rsidRPr="00086A1C">
        <w:rPr>
          <w:rFonts w:ascii="Arial" w:eastAsia="Arial" w:hAnsi="Arial" w:cs="Arial"/>
          <w:bCs/>
        </w:rPr>
        <w:tab/>
      </w:r>
      <w:r w:rsidRPr="00086A1C">
        <w:rPr>
          <w:rFonts w:ascii="Arial" w:eastAsia="Arial" w:hAnsi="Arial" w:cs="Arial"/>
          <w:bCs/>
        </w:rPr>
        <w:tab/>
      </w:r>
      <w:r w:rsidRPr="00086A1C">
        <w:rPr>
          <w:rFonts w:ascii="Arial" w:eastAsia="Arial" w:hAnsi="Arial" w:cs="Arial"/>
          <w:bCs/>
        </w:rPr>
        <w:tab/>
      </w:r>
      <w:r>
        <w:rPr>
          <w:rFonts w:ascii="Arial" w:eastAsia="Arial" w:hAnsi="Arial" w:cs="Arial"/>
          <w:bCs/>
        </w:rPr>
        <w:t xml:space="preserve"> </w:t>
      </w:r>
      <w:r w:rsidRPr="00086A1C">
        <w:rPr>
          <w:rFonts w:ascii="Arial" w:eastAsia="Arial" w:hAnsi="Arial" w:cs="Arial"/>
          <w:bCs/>
        </w:rPr>
        <w:t>Fourth Respondent</w:t>
      </w:r>
    </w:p>
    <w:p w14:paraId="49EE4ACC" w14:textId="77777777" w:rsidR="00086A1C" w:rsidRDefault="00086A1C" w:rsidP="00CA502F">
      <w:pPr>
        <w:pStyle w:val="Body"/>
        <w:spacing w:after="120" w:line="600" w:lineRule="auto"/>
        <w:ind w:left="10" w:hanging="10"/>
        <w:rPr>
          <w:rFonts w:ascii="Arial" w:eastAsia="Arial" w:hAnsi="Arial" w:cs="Arial"/>
          <w:b/>
          <w:bCs/>
        </w:rPr>
      </w:pPr>
      <w:r>
        <w:rPr>
          <w:rFonts w:ascii="Arial" w:eastAsia="Arial" w:hAnsi="Arial" w:cs="Arial"/>
          <w:b/>
          <w:bCs/>
        </w:rPr>
        <w:t>T MOTLOGELOA</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Pr="00086A1C">
        <w:rPr>
          <w:rFonts w:ascii="Arial" w:eastAsia="Arial" w:hAnsi="Arial" w:cs="Arial"/>
          <w:bCs/>
        </w:rPr>
        <w:t>Fifth Respondent</w:t>
      </w:r>
    </w:p>
    <w:p w14:paraId="55B85B82" w14:textId="77777777" w:rsidR="00086A1C" w:rsidRDefault="00086A1C" w:rsidP="00CA502F">
      <w:pPr>
        <w:pStyle w:val="Body"/>
        <w:spacing w:after="120" w:line="600" w:lineRule="auto"/>
        <w:ind w:left="10" w:hanging="10"/>
        <w:rPr>
          <w:rFonts w:ascii="Arial" w:eastAsia="Arial" w:hAnsi="Arial" w:cs="Arial"/>
          <w:b/>
          <w:bCs/>
        </w:rPr>
      </w:pPr>
      <w:r>
        <w:rPr>
          <w:rFonts w:ascii="Arial" w:eastAsia="Arial" w:hAnsi="Arial" w:cs="Arial"/>
          <w:b/>
          <w:bCs/>
        </w:rPr>
        <w:t>B G IMBOKODVO</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Pr="00086A1C">
        <w:rPr>
          <w:rFonts w:ascii="Arial" w:eastAsia="Arial" w:hAnsi="Arial" w:cs="Arial"/>
          <w:bCs/>
        </w:rPr>
        <w:t>Sixth Respondent</w:t>
      </w:r>
    </w:p>
    <w:p w14:paraId="1C9B7D8B" w14:textId="77777777" w:rsidR="00086A1C" w:rsidRDefault="00086A1C" w:rsidP="00CA502F">
      <w:pPr>
        <w:pStyle w:val="Body"/>
        <w:spacing w:after="120" w:line="600" w:lineRule="auto"/>
        <w:ind w:left="10" w:hanging="10"/>
        <w:rPr>
          <w:rFonts w:ascii="Arial" w:eastAsia="Arial" w:hAnsi="Arial" w:cs="Arial"/>
          <w:bCs/>
        </w:rPr>
      </w:pPr>
      <w:r>
        <w:rPr>
          <w:rFonts w:ascii="Arial" w:eastAsia="Arial" w:hAnsi="Arial" w:cs="Arial"/>
          <w:b/>
          <w:bCs/>
        </w:rPr>
        <w:t>M M TSHISHONGA</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Cs/>
        </w:rPr>
        <w:t xml:space="preserve">         </w:t>
      </w:r>
      <w:r w:rsidRPr="00086A1C">
        <w:rPr>
          <w:rFonts w:ascii="Arial" w:eastAsia="Arial" w:hAnsi="Arial" w:cs="Arial"/>
          <w:bCs/>
        </w:rPr>
        <w:t>Seventh Respondent</w:t>
      </w:r>
    </w:p>
    <w:p w14:paraId="17128FCD" w14:textId="55AF68C9" w:rsidR="00421D76" w:rsidRPr="001F48D0" w:rsidRDefault="00421D76" w:rsidP="001F48D0">
      <w:pPr>
        <w:spacing w:after="0" w:line="360" w:lineRule="auto"/>
        <w:jc w:val="both"/>
        <w:rPr>
          <w:rFonts w:ascii="Arial" w:hAnsi="Arial" w:cs="Arial"/>
          <w:bCs/>
          <w:sz w:val="24"/>
          <w:szCs w:val="24"/>
        </w:rPr>
      </w:pPr>
      <w:r w:rsidRPr="001F48D0">
        <w:rPr>
          <w:rFonts w:ascii="Arial" w:hAnsi="Arial" w:cs="Arial"/>
          <w:bCs/>
          <w:sz w:val="24"/>
          <w:szCs w:val="24"/>
        </w:rPr>
        <w:lastRenderedPageBreak/>
        <w:t>Summary:</w:t>
      </w:r>
      <w:r w:rsidR="001F48D0" w:rsidRPr="001F48D0">
        <w:rPr>
          <w:rFonts w:ascii="Arial" w:hAnsi="Arial" w:cs="Arial"/>
          <w:bCs/>
          <w:sz w:val="24"/>
          <w:szCs w:val="24"/>
        </w:rPr>
        <w:tab/>
      </w:r>
      <w:r w:rsidR="0096248B" w:rsidRPr="001F48D0">
        <w:rPr>
          <w:rFonts w:ascii="Arial" w:hAnsi="Arial" w:cs="Arial"/>
          <w:bCs/>
          <w:sz w:val="24"/>
          <w:szCs w:val="24"/>
        </w:rPr>
        <w:t>Company Law</w:t>
      </w:r>
      <w:r w:rsidR="001F48D0">
        <w:rPr>
          <w:rFonts w:ascii="Arial" w:hAnsi="Arial" w:cs="Arial"/>
          <w:bCs/>
          <w:sz w:val="24"/>
          <w:szCs w:val="24"/>
        </w:rPr>
        <w:t xml:space="preserve"> – </w:t>
      </w:r>
      <w:r w:rsidR="0096248B" w:rsidRPr="001F48D0">
        <w:rPr>
          <w:rFonts w:ascii="Arial" w:hAnsi="Arial" w:cs="Arial"/>
          <w:bCs/>
          <w:sz w:val="24"/>
          <w:szCs w:val="24"/>
        </w:rPr>
        <w:t>application declaration of delinquency</w:t>
      </w:r>
      <w:r w:rsidR="001F48D0">
        <w:rPr>
          <w:rFonts w:ascii="Arial" w:hAnsi="Arial" w:cs="Arial"/>
          <w:bCs/>
          <w:sz w:val="24"/>
          <w:szCs w:val="24"/>
        </w:rPr>
        <w:t xml:space="preserve"> – </w:t>
      </w:r>
      <w:r w:rsidR="0033686E" w:rsidRPr="001F48D0">
        <w:rPr>
          <w:rFonts w:ascii="Arial" w:hAnsi="Arial" w:cs="Arial"/>
          <w:bCs/>
          <w:sz w:val="24"/>
          <w:szCs w:val="24"/>
        </w:rPr>
        <w:t>s</w:t>
      </w:r>
      <w:r w:rsidR="001F48D0">
        <w:rPr>
          <w:rFonts w:ascii="Arial" w:hAnsi="Arial" w:cs="Arial"/>
          <w:bCs/>
          <w:sz w:val="24"/>
          <w:szCs w:val="24"/>
        </w:rPr>
        <w:t xml:space="preserve"> </w:t>
      </w:r>
      <w:r w:rsidR="0033686E" w:rsidRPr="001F48D0">
        <w:rPr>
          <w:rFonts w:ascii="Arial" w:hAnsi="Arial" w:cs="Arial"/>
          <w:bCs/>
          <w:sz w:val="24"/>
          <w:szCs w:val="24"/>
        </w:rPr>
        <w:t>1</w:t>
      </w:r>
      <w:r w:rsidR="007412B4" w:rsidRPr="001F48D0">
        <w:rPr>
          <w:rFonts w:ascii="Arial" w:hAnsi="Arial" w:cs="Arial"/>
          <w:bCs/>
          <w:sz w:val="24"/>
          <w:szCs w:val="24"/>
        </w:rPr>
        <w:t>62</w:t>
      </w:r>
      <w:r w:rsidR="001554E3" w:rsidRPr="001F48D0">
        <w:rPr>
          <w:rFonts w:ascii="Arial" w:hAnsi="Arial" w:cs="Arial"/>
          <w:bCs/>
          <w:sz w:val="24"/>
          <w:szCs w:val="24"/>
        </w:rPr>
        <w:t>(5)</w:t>
      </w:r>
      <w:r w:rsidR="00965709" w:rsidRPr="001F48D0">
        <w:rPr>
          <w:rFonts w:ascii="Arial" w:hAnsi="Arial" w:cs="Arial"/>
          <w:bCs/>
          <w:i/>
          <w:sz w:val="24"/>
          <w:szCs w:val="24"/>
        </w:rPr>
        <w:t>(c)(</w:t>
      </w:r>
      <w:r w:rsidR="00B64C4D" w:rsidRPr="001F48D0">
        <w:rPr>
          <w:rFonts w:ascii="Arial" w:hAnsi="Arial" w:cs="Arial"/>
          <w:bCs/>
          <w:i/>
          <w:sz w:val="24"/>
          <w:szCs w:val="24"/>
        </w:rPr>
        <w:t>aa)</w:t>
      </w:r>
      <w:r w:rsidR="00B64C4D" w:rsidRPr="001F48D0">
        <w:rPr>
          <w:rFonts w:ascii="Arial" w:hAnsi="Arial" w:cs="Arial"/>
          <w:bCs/>
          <w:sz w:val="24"/>
          <w:szCs w:val="24"/>
        </w:rPr>
        <w:t xml:space="preserve"> and 162(5)</w:t>
      </w:r>
      <w:r w:rsidR="00B64C4D" w:rsidRPr="001F48D0">
        <w:rPr>
          <w:rFonts w:ascii="Arial" w:hAnsi="Arial" w:cs="Arial"/>
          <w:bCs/>
          <w:i/>
          <w:sz w:val="24"/>
          <w:szCs w:val="24"/>
        </w:rPr>
        <w:t>(d)</w:t>
      </w:r>
      <w:r w:rsidR="007412B4" w:rsidRPr="001F48D0">
        <w:rPr>
          <w:rFonts w:ascii="Arial" w:hAnsi="Arial" w:cs="Arial"/>
          <w:bCs/>
          <w:sz w:val="24"/>
          <w:szCs w:val="24"/>
        </w:rPr>
        <w:t xml:space="preserve"> of Companies Act 71 of 2008</w:t>
      </w:r>
      <w:r w:rsidR="00867A27" w:rsidRPr="001F48D0">
        <w:rPr>
          <w:rFonts w:ascii="Arial" w:hAnsi="Arial" w:cs="Arial"/>
          <w:bCs/>
          <w:sz w:val="24"/>
          <w:szCs w:val="24"/>
        </w:rPr>
        <w:t xml:space="preserve"> considered and applied-</w:t>
      </w:r>
      <w:r w:rsidR="00531A31" w:rsidRPr="001F48D0">
        <w:rPr>
          <w:rFonts w:ascii="Arial" w:hAnsi="Arial" w:cs="Arial"/>
          <w:bCs/>
          <w:sz w:val="24"/>
          <w:szCs w:val="24"/>
        </w:rPr>
        <w:t xml:space="preserve">found </w:t>
      </w:r>
      <w:r w:rsidR="00527CD7" w:rsidRPr="001F48D0">
        <w:rPr>
          <w:rFonts w:ascii="Arial" w:hAnsi="Arial" w:cs="Arial"/>
          <w:bCs/>
          <w:sz w:val="24"/>
          <w:szCs w:val="24"/>
        </w:rPr>
        <w:t>directors</w:t>
      </w:r>
      <w:r w:rsidR="007525A5" w:rsidRPr="001F48D0">
        <w:rPr>
          <w:rFonts w:ascii="Arial" w:hAnsi="Arial" w:cs="Arial"/>
          <w:bCs/>
          <w:sz w:val="24"/>
          <w:szCs w:val="24"/>
        </w:rPr>
        <w:t xml:space="preserve"> entitled to fair hearing</w:t>
      </w:r>
      <w:r w:rsidR="001F48D0">
        <w:rPr>
          <w:rFonts w:ascii="Arial" w:hAnsi="Arial" w:cs="Arial"/>
          <w:bCs/>
          <w:sz w:val="24"/>
          <w:szCs w:val="24"/>
        </w:rPr>
        <w:t xml:space="preserve"> – </w:t>
      </w:r>
      <w:r w:rsidR="007525A5" w:rsidRPr="001F48D0">
        <w:rPr>
          <w:rFonts w:ascii="Arial" w:hAnsi="Arial" w:cs="Arial"/>
          <w:bCs/>
          <w:sz w:val="24"/>
          <w:szCs w:val="24"/>
        </w:rPr>
        <w:t>court not passive bystander</w:t>
      </w:r>
      <w:r w:rsidR="001F48D0">
        <w:rPr>
          <w:rFonts w:ascii="Arial" w:hAnsi="Arial" w:cs="Arial"/>
          <w:bCs/>
          <w:sz w:val="24"/>
          <w:szCs w:val="24"/>
        </w:rPr>
        <w:t xml:space="preserve"> – </w:t>
      </w:r>
      <w:r w:rsidR="00504005" w:rsidRPr="001F48D0">
        <w:rPr>
          <w:rFonts w:ascii="Arial" w:hAnsi="Arial" w:cs="Arial"/>
          <w:bCs/>
          <w:sz w:val="24"/>
          <w:szCs w:val="24"/>
        </w:rPr>
        <w:t>involved in inquiry whether requirements for declaration of delinquency were met</w:t>
      </w:r>
      <w:r w:rsidR="001F48D0">
        <w:rPr>
          <w:rFonts w:ascii="Arial" w:hAnsi="Arial" w:cs="Arial"/>
          <w:bCs/>
          <w:sz w:val="24"/>
          <w:szCs w:val="24"/>
        </w:rPr>
        <w:t xml:space="preserve"> – </w:t>
      </w:r>
      <w:r w:rsidR="00695F7E" w:rsidRPr="001F48D0">
        <w:rPr>
          <w:rFonts w:ascii="Arial" w:hAnsi="Arial" w:cs="Arial"/>
          <w:bCs/>
          <w:sz w:val="24"/>
          <w:szCs w:val="24"/>
        </w:rPr>
        <w:t>dispute of fact</w:t>
      </w:r>
      <w:r w:rsidR="001F48D0">
        <w:rPr>
          <w:rFonts w:ascii="Arial" w:hAnsi="Arial" w:cs="Arial"/>
          <w:bCs/>
          <w:sz w:val="24"/>
          <w:szCs w:val="24"/>
        </w:rPr>
        <w:t xml:space="preserve"> –</w:t>
      </w:r>
      <w:r w:rsidR="00695F7E" w:rsidRPr="001F48D0">
        <w:rPr>
          <w:rFonts w:ascii="Arial" w:hAnsi="Arial" w:cs="Arial"/>
          <w:bCs/>
          <w:sz w:val="24"/>
          <w:szCs w:val="24"/>
        </w:rPr>
        <w:t xml:space="preserve"> </w:t>
      </w:r>
      <w:r w:rsidR="00695F7E" w:rsidRPr="004B0513">
        <w:rPr>
          <w:rFonts w:ascii="Arial" w:hAnsi="Arial" w:cs="Arial"/>
          <w:bCs/>
          <w:i/>
          <w:sz w:val="24"/>
          <w:szCs w:val="24"/>
        </w:rPr>
        <w:t>Plascon</w:t>
      </w:r>
      <w:r w:rsidR="001F48D0" w:rsidRPr="004B0513">
        <w:rPr>
          <w:rFonts w:ascii="Arial" w:hAnsi="Arial" w:cs="Arial"/>
          <w:bCs/>
          <w:i/>
          <w:sz w:val="24"/>
          <w:szCs w:val="24"/>
        </w:rPr>
        <w:t>-</w:t>
      </w:r>
      <w:r w:rsidR="00695F7E" w:rsidRPr="004B0513">
        <w:rPr>
          <w:rFonts w:ascii="Arial" w:hAnsi="Arial" w:cs="Arial"/>
          <w:bCs/>
          <w:i/>
          <w:sz w:val="24"/>
          <w:szCs w:val="24"/>
        </w:rPr>
        <w:t>Evans</w:t>
      </w:r>
      <w:r w:rsidR="00695F7E" w:rsidRPr="001F48D0">
        <w:rPr>
          <w:rFonts w:ascii="Arial" w:hAnsi="Arial" w:cs="Arial"/>
          <w:bCs/>
          <w:sz w:val="24"/>
          <w:szCs w:val="24"/>
        </w:rPr>
        <w:t xml:space="preserve"> rule applied</w:t>
      </w:r>
      <w:r w:rsidR="001F48D0">
        <w:rPr>
          <w:rFonts w:ascii="Arial" w:hAnsi="Arial" w:cs="Arial"/>
          <w:bCs/>
          <w:sz w:val="24"/>
          <w:szCs w:val="24"/>
        </w:rPr>
        <w:t xml:space="preserve"> – </w:t>
      </w:r>
      <w:r w:rsidR="00E2254A" w:rsidRPr="001F48D0">
        <w:rPr>
          <w:rFonts w:ascii="Arial" w:hAnsi="Arial" w:cs="Arial"/>
          <w:bCs/>
          <w:sz w:val="24"/>
          <w:szCs w:val="24"/>
        </w:rPr>
        <w:t xml:space="preserve">found </w:t>
      </w:r>
      <w:r w:rsidR="00085E1D" w:rsidRPr="001F48D0">
        <w:rPr>
          <w:rFonts w:ascii="Arial" w:hAnsi="Arial" w:cs="Arial"/>
          <w:bCs/>
          <w:sz w:val="24"/>
          <w:szCs w:val="24"/>
        </w:rPr>
        <w:t>gross negligence</w:t>
      </w:r>
      <w:r w:rsidR="00A7068F" w:rsidRPr="001F48D0">
        <w:rPr>
          <w:rFonts w:ascii="Arial" w:hAnsi="Arial" w:cs="Arial"/>
          <w:bCs/>
          <w:sz w:val="24"/>
          <w:szCs w:val="24"/>
        </w:rPr>
        <w:t xml:space="preserve"> willful conduct and breach of trust envisaged in s162(5)</w:t>
      </w:r>
      <w:r w:rsidR="00F214CC" w:rsidRPr="001F48D0">
        <w:rPr>
          <w:rFonts w:ascii="Arial" w:hAnsi="Arial" w:cs="Arial"/>
          <w:bCs/>
          <w:i/>
          <w:sz w:val="24"/>
          <w:szCs w:val="24"/>
        </w:rPr>
        <w:t>(c)(aa)</w:t>
      </w:r>
      <w:r w:rsidR="00F214CC" w:rsidRPr="001F48D0">
        <w:rPr>
          <w:rFonts w:ascii="Arial" w:hAnsi="Arial" w:cs="Arial"/>
          <w:bCs/>
          <w:sz w:val="24"/>
          <w:szCs w:val="24"/>
        </w:rPr>
        <w:t xml:space="preserve"> not proven</w:t>
      </w:r>
      <w:r w:rsidR="001F48D0">
        <w:rPr>
          <w:rFonts w:ascii="Arial" w:hAnsi="Arial" w:cs="Arial"/>
          <w:bCs/>
          <w:sz w:val="24"/>
          <w:szCs w:val="24"/>
        </w:rPr>
        <w:t xml:space="preserve"> – </w:t>
      </w:r>
      <w:r w:rsidR="00F214CC" w:rsidRPr="001F48D0">
        <w:rPr>
          <w:rFonts w:ascii="Arial" w:hAnsi="Arial" w:cs="Arial"/>
          <w:bCs/>
          <w:sz w:val="24"/>
          <w:szCs w:val="24"/>
        </w:rPr>
        <w:t xml:space="preserve">further found that </w:t>
      </w:r>
      <w:r w:rsidR="009D5C2A" w:rsidRPr="001F48D0">
        <w:rPr>
          <w:rFonts w:ascii="Arial" w:hAnsi="Arial" w:cs="Arial"/>
          <w:bCs/>
          <w:sz w:val="24"/>
          <w:szCs w:val="24"/>
        </w:rPr>
        <w:t>s</w:t>
      </w:r>
      <w:r w:rsidR="001F48D0">
        <w:rPr>
          <w:rFonts w:ascii="Arial" w:hAnsi="Arial" w:cs="Arial"/>
          <w:bCs/>
          <w:sz w:val="24"/>
          <w:szCs w:val="24"/>
        </w:rPr>
        <w:t xml:space="preserve"> </w:t>
      </w:r>
      <w:r w:rsidR="009D5C2A" w:rsidRPr="001F48D0">
        <w:rPr>
          <w:rFonts w:ascii="Arial" w:hAnsi="Arial" w:cs="Arial"/>
          <w:bCs/>
          <w:sz w:val="24"/>
          <w:szCs w:val="24"/>
        </w:rPr>
        <w:t>162</w:t>
      </w:r>
      <w:r w:rsidR="009D5C2A" w:rsidRPr="001F48D0">
        <w:rPr>
          <w:rFonts w:ascii="Arial" w:hAnsi="Arial" w:cs="Arial"/>
          <w:bCs/>
          <w:i/>
          <w:sz w:val="24"/>
          <w:szCs w:val="24"/>
        </w:rPr>
        <w:t>(d)</w:t>
      </w:r>
      <w:r w:rsidR="001F48D0">
        <w:rPr>
          <w:rFonts w:ascii="Arial" w:hAnsi="Arial" w:cs="Arial"/>
          <w:bCs/>
          <w:sz w:val="24"/>
          <w:szCs w:val="24"/>
        </w:rPr>
        <w:t xml:space="preserve"> </w:t>
      </w:r>
      <w:r w:rsidR="009D5C2A" w:rsidRPr="001F48D0">
        <w:rPr>
          <w:rFonts w:ascii="Arial" w:hAnsi="Arial" w:cs="Arial"/>
          <w:bCs/>
          <w:sz w:val="24"/>
          <w:szCs w:val="24"/>
        </w:rPr>
        <w:t>to be interpreted in context of whole sect</w:t>
      </w:r>
      <w:r w:rsidR="00D74C40" w:rsidRPr="001F48D0">
        <w:rPr>
          <w:rFonts w:ascii="Arial" w:hAnsi="Arial" w:cs="Arial"/>
          <w:bCs/>
          <w:sz w:val="24"/>
          <w:szCs w:val="24"/>
        </w:rPr>
        <w:t>ion</w:t>
      </w:r>
      <w:r w:rsidR="001F48D0">
        <w:rPr>
          <w:rFonts w:ascii="Arial" w:hAnsi="Arial" w:cs="Arial"/>
          <w:bCs/>
          <w:sz w:val="24"/>
          <w:szCs w:val="24"/>
        </w:rPr>
        <w:t xml:space="preserve"> – </w:t>
      </w:r>
      <w:r w:rsidR="00D74C40" w:rsidRPr="001F48D0">
        <w:rPr>
          <w:rFonts w:ascii="Arial" w:hAnsi="Arial" w:cs="Arial"/>
          <w:bCs/>
          <w:sz w:val="24"/>
          <w:szCs w:val="24"/>
        </w:rPr>
        <w:t xml:space="preserve">the circumstances and evidence to be considered in order to determine whether declaration of delinquency </w:t>
      </w:r>
      <w:r w:rsidR="00085E1D" w:rsidRPr="001F48D0">
        <w:rPr>
          <w:rFonts w:ascii="Arial" w:hAnsi="Arial" w:cs="Arial"/>
          <w:bCs/>
          <w:sz w:val="24"/>
          <w:szCs w:val="24"/>
        </w:rPr>
        <w:t>appropriate.</w:t>
      </w:r>
      <w:r w:rsidR="001F48D0">
        <w:rPr>
          <w:rFonts w:ascii="Arial" w:hAnsi="Arial" w:cs="Arial"/>
          <w:bCs/>
          <w:sz w:val="24"/>
          <w:szCs w:val="24"/>
        </w:rPr>
        <w:t xml:space="preserve"> </w:t>
      </w:r>
      <w:r w:rsidR="00085E1D" w:rsidRPr="001F48D0">
        <w:rPr>
          <w:rFonts w:ascii="Arial" w:hAnsi="Arial" w:cs="Arial"/>
          <w:bCs/>
          <w:sz w:val="24"/>
          <w:szCs w:val="24"/>
        </w:rPr>
        <w:t>Application dismissed.</w:t>
      </w:r>
      <w:r w:rsidR="001F48D0">
        <w:rPr>
          <w:rFonts w:ascii="Arial" w:hAnsi="Arial" w:cs="Arial"/>
          <w:bCs/>
          <w:sz w:val="24"/>
          <w:szCs w:val="24"/>
        </w:rPr>
        <w:t xml:space="preserve"> </w:t>
      </w:r>
      <w:r w:rsidR="001F48D0">
        <w:rPr>
          <w:rFonts w:ascii="Arial" w:hAnsi="Arial" w:cs="Arial"/>
          <w:bCs/>
          <w:sz w:val="24"/>
          <w:szCs w:val="24"/>
        </w:rPr>
        <w:t xml:space="preserve">Counter </w:t>
      </w:r>
      <w:r w:rsidR="00085E1D" w:rsidRPr="001F48D0">
        <w:rPr>
          <w:rFonts w:ascii="Arial" w:hAnsi="Arial" w:cs="Arial"/>
          <w:bCs/>
          <w:sz w:val="24"/>
          <w:szCs w:val="24"/>
        </w:rPr>
        <w:t>application for declaratory relief that directors complied</w:t>
      </w:r>
      <w:r w:rsidR="009A2FC7" w:rsidRPr="001F48D0">
        <w:rPr>
          <w:rFonts w:ascii="Arial" w:hAnsi="Arial" w:cs="Arial"/>
          <w:bCs/>
          <w:sz w:val="24"/>
          <w:szCs w:val="24"/>
        </w:rPr>
        <w:t xml:space="preserve"> with</w:t>
      </w:r>
      <w:r w:rsidR="001F48D0">
        <w:rPr>
          <w:rFonts w:ascii="Arial" w:hAnsi="Arial" w:cs="Arial"/>
          <w:sz w:val="24"/>
          <w:szCs w:val="24"/>
        </w:rPr>
        <w:t>.</w:t>
      </w:r>
    </w:p>
    <w:p w14:paraId="169BDFAB" w14:textId="00D68CC9" w:rsidR="00421D76" w:rsidRPr="00421D76" w:rsidRDefault="00421D76" w:rsidP="001F48D0">
      <w:pPr>
        <w:spacing w:after="0" w:line="360" w:lineRule="auto"/>
        <w:rPr>
          <w:rFonts w:ascii="Arial" w:hAnsi="Arial" w:cs="Arial"/>
          <w:bCs/>
          <w:sz w:val="24"/>
          <w:szCs w:val="24"/>
        </w:rPr>
      </w:pPr>
    </w:p>
    <w:p w14:paraId="29B2678D" w14:textId="55E6989A" w:rsidR="00421D76" w:rsidRPr="00421D76" w:rsidRDefault="00421D76" w:rsidP="00421D76">
      <w:pPr>
        <w:spacing w:line="240" w:lineRule="auto"/>
        <w:rPr>
          <w:rFonts w:ascii="Arial" w:hAnsi="Arial" w:cs="Arial"/>
          <w:sz w:val="24"/>
          <w:szCs w:val="24"/>
          <w:lang w:val="en-GB"/>
        </w:rPr>
      </w:pPr>
      <w:r w:rsidRPr="00421D76">
        <w:rPr>
          <w:rFonts w:ascii="Arial" w:hAnsi="Arial" w:cs="Arial"/>
          <w:noProof/>
          <w:sz w:val="24"/>
          <w:szCs w:val="24"/>
          <w:lang w:val="en-ZA" w:eastAsia="en-ZA"/>
        </w:rPr>
        <mc:AlternateContent>
          <mc:Choice Requires="wps">
            <w:drawing>
              <wp:anchor distT="4294967291" distB="4294967291" distL="114300" distR="114300" simplePos="0" relativeHeight="251663360" behindDoc="0" locked="0" layoutInCell="1" allowOverlap="1" wp14:anchorId="5C7C7EB3" wp14:editId="2F157258">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A036C" id="Straight Connector 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">
                <o:lock v:ext="edit" shapetype="f"/>
              </v:line>
            </w:pict>
          </mc:Fallback>
        </mc:AlternateContent>
      </w:r>
      <w:r w:rsidRPr="00421D76">
        <w:rPr>
          <w:rFonts w:ascii="Arial" w:hAnsi="Arial" w:cs="Arial"/>
          <w:noProof/>
          <w:sz w:val="24"/>
          <w:szCs w:val="24"/>
          <w:lang w:val="en-ZA" w:eastAsia="en-ZA"/>
        </w:rPr>
        <mc:AlternateContent>
          <mc:Choice Requires="wps">
            <w:drawing>
              <wp:anchor distT="4294967291" distB="4294967291" distL="114295" distR="114295" simplePos="0" relativeHeight="251661312" behindDoc="0" locked="0" layoutInCell="1" allowOverlap="1" wp14:anchorId="64D06139" wp14:editId="292EBDF2">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94FF9" id="Straight Connector 5"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3C3B573A" w14:textId="77777777" w:rsidR="00421D76" w:rsidRPr="00421D76" w:rsidRDefault="00421D76" w:rsidP="00160815">
      <w:pPr>
        <w:spacing w:line="360" w:lineRule="auto"/>
        <w:jc w:val="center"/>
        <w:rPr>
          <w:rFonts w:ascii="Arial" w:hAnsi="Arial" w:cs="Arial"/>
          <w:b/>
          <w:iCs/>
          <w:sz w:val="24"/>
          <w:szCs w:val="24"/>
          <w:lang w:val="en-GB"/>
        </w:rPr>
      </w:pPr>
      <w:r w:rsidRPr="00421D76">
        <w:rPr>
          <w:rFonts w:ascii="Arial" w:hAnsi="Arial" w:cs="Arial"/>
          <w:b/>
          <w:iCs/>
          <w:sz w:val="24"/>
          <w:szCs w:val="24"/>
          <w:lang w:val="en-GB"/>
        </w:rPr>
        <w:t>ORDER</w:t>
      </w:r>
    </w:p>
    <w:p w14:paraId="264B9916" w14:textId="57EA549B" w:rsidR="00421D76" w:rsidRPr="009E59BE" w:rsidRDefault="00421D76" w:rsidP="009E59BE">
      <w:pPr>
        <w:rPr>
          <w:rFonts w:ascii="Arial" w:hAnsi="Arial" w:cs="Arial"/>
          <w:b/>
          <w:bCs/>
          <w:sz w:val="24"/>
          <w:szCs w:val="24"/>
          <w:lang w:val="en-GB"/>
        </w:rPr>
      </w:pPr>
      <w:r w:rsidRPr="00421D76">
        <w:rPr>
          <w:rFonts w:ascii="Arial" w:hAnsi="Arial" w:cs="Arial"/>
          <w:noProof/>
          <w:sz w:val="24"/>
          <w:szCs w:val="24"/>
          <w:lang w:val="en-ZA" w:eastAsia="en-ZA"/>
        </w:rPr>
        <mc:AlternateContent>
          <mc:Choice Requires="wps">
            <w:drawing>
              <wp:anchor distT="4294967291" distB="4294967291" distL="114300" distR="114300" simplePos="0" relativeHeight="251662336" behindDoc="0" locked="0" layoutInCell="1" allowOverlap="1" wp14:anchorId="0139B885" wp14:editId="1E68845C">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2D26C" id="Straight Connector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r w:rsidR="009E59BE">
        <w:rPr>
          <w:rFonts w:ascii="Arial" w:hAnsi="Arial" w:cs="Arial"/>
          <w:b/>
          <w:bCs/>
          <w:sz w:val="24"/>
          <w:szCs w:val="24"/>
          <w:lang w:val="en-GB"/>
        </w:rPr>
        <w:t xml:space="preserve">  </w:t>
      </w:r>
      <w:r w:rsidRPr="00421D76">
        <w:rPr>
          <w:rFonts w:ascii="Arial" w:hAnsi="Arial" w:cs="Arial"/>
          <w:sz w:val="24"/>
          <w:szCs w:val="24"/>
        </w:rPr>
        <w:t xml:space="preserve"> </w:t>
      </w:r>
    </w:p>
    <w:p w14:paraId="1FC43A49" w14:textId="77777777" w:rsidR="00421D76" w:rsidRDefault="00421D76" w:rsidP="00421D7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points in </w:t>
      </w:r>
      <w:r w:rsidRPr="00421D76">
        <w:rPr>
          <w:rFonts w:ascii="Arial" w:hAnsi="Arial" w:cs="Arial"/>
          <w:i/>
          <w:sz w:val="24"/>
          <w:szCs w:val="24"/>
        </w:rPr>
        <w:t>limine</w:t>
      </w:r>
      <w:r>
        <w:rPr>
          <w:rFonts w:ascii="Arial" w:hAnsi="Arial" w:cs="Arial"/>
          <w:sz w:val="24"/>
          <w:szCs w:val="24"/>
        </w:rPr>
        <w:t xml:space="preserve"> are dismissed.</w:t>
      </w:r>
    </w:p>
    <w:p w14:paraId="45FCC308" w14:textId="77777777" w:rsidR="00421D76" w:rsidRDefault="00421D76" w:rsidP="00421D76">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 supplementary affidavits are allowed.</w:t>
      </w:r>
    </w:p>
    <w:p w14:paraId="0CD2F2CF" w14:textId="77777777" w:rsidR="00421D76" w:rsidRDefault="00421D76" w:rsidP="001F48D0">
      <w:pPr>
        <w:spacing w:after="0" w:line="360" w:lineRule="auto"/>
        <w:ind w:left="720" w:hanging="72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The application is dismissed with costs, including costs of two counsel, where applicable.</w:t>
      </w:r>
    </w:p>
    <w:p w14:paraId="1990DF17" w14:textId="4553CCC6" w:rsidR="00421D76" w:rsidRDefault="00421D76" w:rsidP="00421D76">
      <w:pPr>
        <w:spacing w:after="0" w:line="36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The counter</w:t>
      </w:r>
      <w:r w:rsidR="001F48D0">
        <w:rPr>
          <w:rFonts w:ascii="Arial" w:hAnsi="Arial" w:cs="Arial"/>
          <w:sz w:val="24"/>
          <w:szCs w:val="24"/>
        </w:rPr>
        <w:t xml:space="preserve"> </w:t>
      </w:r>
      <w:r>
        <w:rPr>
          <w:rFonts w:ascii="Arial" w:hAnsi="Arial" w:cs="Arial"/>
          <w:sz w:val="24"/>
          <w:szCs w:val="24"/>
        </w:rPr>
        <w:t>application is dismissed with costs.</w:t>
      </w:r>
    </w:p>
    <w:p w14:paraId="24D30C28" w14:textId="77777777" w:rsidR="00421D76" w:rsidRDefault="00421D76" w:rsidP="00421D76">
      <w:pPr>
        <w:pStyle w:val="NoSpacing"/>
        <w:pBdr>
          <w:bottom w:val="single" w:sz="4" w:space="1" w:color="auto"/>
        </w:pBdr>
        <w:spacing w:line="360" w:lineRule="auto"/>
        <w:rPr>
          <w:rFonts w:ascii="Arial" w:hAnsi="Arial" w:cs="Arial"/>
          <w:sz w:val="24"/>
          <w:szCs w:val="24"/>
        </w:rPr>
      </w:pPr>
    </w:p>
    <w:p w14:paraId="33EB0208" w14:textId="77777777" w:rsidR="00421D76" w:rsidRPr="00421D76" w:rsidRDefault="00421D76" w:rsidP="00421D76">
      <w:pPr>
        <w:spacing w:line="240" w:lineRule="auto"/>
        <w:rPr>
          <w:rFonts w:ascii="Arial" w:hAnsi="Arial" w:cs="Arial"/>
          <w:sz w:val="24"/>
          <w:szCs w:val="24"/>
          <w:lang w:val="en-GB"/>
        </w:rPr>
      </w:pPr>
    </w:p>
    <w:p w14:paraId="59B9C672" w14:textId="695D8026" w:rsidR="00421D76" w:rsidRPr="00421D76" w:rsidRDefault="00421D76" w:rsidP="00160815">
      <w:pPr>
        <w:spacing w:line="360" w:lineRule="auto"/>
        <w:jc w:val="center"/>
        <w:rPr>
          <w:rFonts w:ascii="Arial" w:hAnsi="Arial" w:cs="Arial"/>
          <w:b/>
          <w:iCs/>
          <w:sz w:val="24"/>
          <w:szCs w:val="24"/>
          <w:lang w:val="en-GB"/>
        </w:rPr>
      </w:pPr>
      <w:r>
        <w:rPr>
          <w:rFonts w:ascii="Arial" w:hAnsi="Arial" w:cs="Arial"/>
          <w:b/>
          <w:iCs/>
          <w:sz w:val="24"/>
          <w:szCs w:val="24"/>
          <w:lang w:val="en-GB"/>
        </w:rPr>
        <w:t>JUDGMENT</w:t>
      </w:r>
    </w:p>
    <w:p w14:paraId="46FEDF93" w14:textId="76D1A38E" w:rsidR="00421D76" w:rsidRPr="00421D76" w:rsidRDefault="00421D76" w:rsidP="00421D76">
      <w:pPr>
        <w:rPr>
          <w:rFonts w:ascii="Arial" w:hAnsi="Arial" w:cs="Arial"/>
          <w:b/>
          <w:bCs/>
          <w:sz w:val="24"/>
          <w:szCs w:val="24"/>
          <w:lang w:val="en-GB"/>
        </w:rPr>
      </w:pPr>
      <w:r w:rsidRPr="00421D76">
        <w:rPr>
          <w:rFonts w:ascii="Arial" w:hAnsi="Arial" w:cs="Arial"/>
          <w:noProof/>
          <w:sz w:val="24"/>
          <w:szCs w:val="24"/>
          <w:lang w:val="en-ZA" w:eastAsia="en-ZA"/>
        </w:rPr>
        <mc:AlternateContent>
          <mc:Choice Requires="wps">
            <w:drawing>
              <wp:anchor distT="4294967291" distB="4294967291" distL="114300" distR="114300" simplePos="0" relativeHeight="251665408" behindDoc="0" locked="0" layoutInCell="1" allowOverlap="1" wp14:anchorId="3AD3F447" wp14:editId="704F1484">
                <wp:simplePos x="0" y="0"/>
                <wp:positionH relativeFrom="column">
                  <wp:posOffset>0</wp:posOffset>
                </wp:positionH>
                <wp:positionV relativeFrom="paragraph">
                  <wp:posOffset>89534</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39239" id="Straight Connector 3"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">
                <o:lock v:ext="edit" shapetype="f"/>
              </v:line>
            </w:pict>
          </mc:Fallback>
        </mc:AlternateContent>
      </w:r>
    </w:p>
    <w:p w14:paraId="70B1E108" w14:textId="77777777" w:rsidR="00EC66B6" w:rsidRDefault="00EC66B6">
      <w:pPr>
        <w:rPr>
          <w:rFonts w:ascii="Arial" w:hAnsi="Arial" w:cs="Arial"/>
          <w:b/>
          <w:sz w:val="24"/>
          <w:szCs w:val="24"/>
        </w:rPr>
      </w:pPr>
      <w:r w:rsidRPr="00EC66B6">
        <w:rPr>
          <w:rFonts w:ascii="Arial" w:hAnsi="Arial" w:cs="Arial"/>
          <w:b/>
          <w:sz w:val="24"/>
          <w:szCs w:val="24"/>
        </w:rPr>
        <w:t>TOLMAY J</w:t>
      </w:r>
    </w:p>
    <w:p w14:paraId="1EF720D4" w14:textId="77777777" w:rsidR="00CC6B45" w:rsidRDefault="00CC6B45">
      <w:pPr>
        <w:rPr>
          <w:rFonts w:ascii="Arial" w:hAnsi="Arial" w:cs="Arial"/>
          <w:b/>
          <w:sz w:val="24"/>
          <w:szCs w:val="24"/>
        </w:rPr>
      </w:pPr>
    </w:p>
    <w:p w14:paraId="79DEFC84" w14:textId="51811455" w:rsidR="00F11055" w:rsidRDefault="00F11055">
      <w:pPr>
        <w:rPr>
          <w:rFonts w:ascii="Arial" w:hAnsi="Arial" w:cs="Arial"/>
          <w:b/>
          <w:sz w:val="24"/>
          <w:szCs w:val="24"/>
        </w:rPr>
      </w:pPr>
      <w:r>
        <w:rPr>
          <w:rFonts w:ascii="Arial" w:hAnsi="Arial" w:cs="Arial"/>
          <w:b/>
          <w:sz w:val="24"/>
          <w:szCs w:val="24"/>
        </w:rPr>
        <w:t>INTRODUCTION</w:t>
      </w:r>
    </w:p>
    <w:p w14:paraId="11310C0C" w14:textId="76929EF3" w:rsidR="00F443B4" w:rsidRDefault="00893ED3" w:rsidP="00893ED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893ED3">
        <w:rPr>
          <w:rFonts w:ascii="Arial" w:hAnsi="Arial" w:cs="Arial"/>
          <w:sz w:val="24"/>
          <w:szCs w:val="24"/>
        </w:rPr>
        <w:t xml:space="preserve">The </w:t>
      </w:r>
      <w:r w:rsidRPr="00893ED3">
        <w:rPr>
          <w:rFonts w:ascii="Arial" w:hAnsi="Arial" w:cs="Arial"/>
          <w:sz w:val="24"/>
          <w:szCs w:val="24"/>
        </w:rPr>
        <w:t>applicant</w:t>
      </w:r>
      <w:r w:rsidR="009A2FC7">
        <w:rPr>
          <w:rFonts w:ascii="Arial" w:hAnsi="Arial" w:cs="Arial"/>
          <w:sz w:val="24"/>
          <w:szCs w:val="24"/>
        </w:rPr>
        <w:t>,</w:t>
      </w:r>
      <w:r w:rsidR="00CB5754">
        <w:rPr>
          <w:rFonts w:ascii="Arial" w:hAnsi="Arial" w:cs="Arial"/>
          <w:sz w:val="24"/>
          <w:szCs w:val="24"/>
        </w:rPr>
        <w:t xml:space="preserve"> </w:t>
      </w:r>
      <w:r w:rsidR="00B97589">
        <w:rPr>
          <w:rFonts w:ascii="Arial" w:hAnsi="Arial" w:cs="Arial"/>
          <w:sz w:val="24"/>
          <w:szCs w:val="24"/>
        </w:rPr>
        <w:t xml:space="preserve">the Companies and Intellectual </w:t>
      </w:r>
      <w:r w:rsidR="00EC3029">
        <w:rPr>
          <w:rFonts w:ascii="Arial" w:hAnsi="Arial" w:cs="Arial"/>
          <w:sz w:val="24"/>
          <w:szCs w:val="24"/>
        </w:rPr>
        <w:t>Property Commission</w:t>
      </w:r>
      <w:r w:rsidRPr="00893ED3">
        <w:rPr>
          <w:rFonts w:ascii="Arial" w:hAnsi="Arial" w:cs="Arial"/>
          <w:sz w:val="24"/>
          <w:szCs w:val="24"/>
        </w:rPr>
        <w:t xml:space="preserve"> (CIPC) brought an application to declare the </w:t>
      </w:r>
      <w:r w:rsidR="00852CA8" w:rsidRPr="00893ED3">
        <w:rPr>
          <w:rFonts w:ascii="Arial" w:hAnsi="Arial" w:cs="Arial"/>
          <w:sz w:val="24"/>
          <w:szCs w:val="24"/>
        </w:rPr>
        <w:t>respondents</w:t>
      </w:r>
      <w:r w:rsidRPr="00893ED3">
        <w:rPr>
          <w:rFonts w:ascii="Arial" w:hAnsi="Arial" w:cs="Arial"/>
          <w:sz w:val="24"/>
          <w:szCs w:val="24"/>
        </w:rPr>
        <w:t xml:space="preserve"> delinqu</w:t>
      </w:r>
      <w:r w:rsidR="001F48D0">
        <w:rPr>
          <w:rFonts w:ascii="Arial" w:hAnsi="Arial" w:cs="Arial"/>
          <w:sz w:val="24"/>
          <w:szCs w:val="24"/>
        </w:rPr>
        <w:t xml:space="preserve">ent directors in terms of s 162 </w:t>
      </w:r>
      <w:r w:rsidRPr="00893ED3">
        <w:rPr>
          <w:rFonts w:ascii="Arial" w:hAnsi="Arial" w:cs="Arial"/>
          <w:sz w:val="24"/>
          <w:szCs w:val="24"/>
        </w:rPr>
        <w:t xml:space="preserve">of the Companies Act 71 of 2008 (the Act). </w:t>
      </w:r>
      <w:r w:rsidRPr="00893ED3">
        <w:rPr>
          <w:rFonts w:ascii="Arial" w:hAnsi="Arial" w:cs="Arial"/>
          <w:sz w:val="24"/>
          <w:szCs w:val="24"/>
        </w:rPr>
        <w:t>The application was opposed by the first to fifth and the seventh respondents.</w:t>
      </w:r>
      <w:r w:rsidR="00CC6B45">
        <w:rPr>
          <w:rFonts w:ascii="Arial" w:hAnsi="Arial" w:cs="Arial"/>
          <w:sz w:val="24"/>
          <w:szCs w:val="24"/>
        </w:rPr>
        <w:t xml:space="preserve"> </w:t>
      </w:r>
      <w:r w:rsidR="00A66777">
        <w:rPr>
          <w:rFonts w:ascii="Arial" w:hAnsi="Arial" w:cs="Arial"/>
          <w:sz w:val="24"/>
          <w:szCs w:val="24"/>
        </w:rPr>
        <w:t>Selective Empowerment Investments Ltd,</w:t>
      </w:r>
      <w:r w:rsidR="00AD46A5">
        <w:rPr>
          <w:rFonts w:ascii="Arial" w:hAnsi="Arial" w:cs="Arial"/>
          <w:sz w:val="24"/>
          <w:szCs w:val="24"/>
        </w:rPr>
        <w:t xml:space="preserve"> </w:t>
      </w:r>
      <w:r w:rsidR="00A66777">
        <w:rPr>
          <w:rFonts w:ascii="Arial" w:hAnsi="Arial" w:cs="Arial"/>
          <w:sz w:val="24"/>
          <w:szCs w:val="24"/>
        </w:rPr>
        <w:t>(SEI</w:t>
      </w:r>
      <w:r w:rsidR="00AD46A5">
        <w:rPr>
          <w:rFonts w:ascii="Arial" w:hAnsi="Arial" w:cs="Arial"/>
          <w:sz w:val="24"/>
          <w:szCs w:val="24"/>
        </w:rPr>
        <w:t xml:space="preserve"> </w:t>
      </w:r>
      <w:r w:rsidR="00A66777">
        <w:rPr>
          <w:rFonts w:ascii="Arial" w:hAnsi="Arial" w:cs="Arial"/>
          <w:sz w:val="24"/>
          <w:szCs w:val="24"/>
        </w:rPr>
        <w:t>1</w:t>
      </w:r>
      <w:r w:rsidR="00AA35B1">
        <w:rPr>
          <w:rFonts w:ascii="Arial" w:hAnsi="Arial" w:cs="Arial"/>
          <w:sz w:val="24"/>
          <w:szCs w:val="24"/>
        </w:rPr>
        <w:t>) was incorporated during 2007 and all the respondents</w:t>
      </w:r>
      <w:r w:rsidR="00B54C35">
        <w:rPr>
          <w:rFonts w:ascii="Arial" w:hAnsi="Arial" w:cs="Arial"/>
          <w:sz w:val="24"/>
          <w:szCs w:val="24"/>
        </w:rPr>
        <w:t xml:space="preserve"> were directors of SEI</w:t>
      </w:r>
      <w:r w:rsidR="00AD46A5">
        <w:rPr>
          <w:rFonts w:ascii="Arial" w:hAnsi="Arial" w:cs="Arial"/>
          <w:sz w:val="24"/>
          <w:szCs w:val="24"/>
        </w:rPr>
        <w:t xml:space="preserve"> </w:t>
      </w:r>
      <w:r w:rsidR="00B54C35">
        <w:rPr>
          <w:rFonts w:ascii="Arial" w:hAnsi="Arial" w:cs="Arial"/>
          <w:sz w:val="24"/>
          <w:szCs w:val="24"/>
        </w:rPr>
        <w:t>1 at</w:t>
      </w:r>
      <w:r w:rsidR="00BC4FE6">
        <w:rPr>
          <w:rFonts w:ascii="Arial" w:hAnsi="Arial" w:cs="Arial"/>
          <w:sz w:val="24"/>
          <w:szCs w:val="24"/>
        </w:rPr>
        <w:t xml:space="preserve"> one time or </w:t>
      </w:r>
      <w:r w:rsidR="00BC4FE6">
        <w:rPr>
          <w:rFonts w:ascii="Arial" w:hAnsi="Arial" w:cs="Arial"/>
          <w:sz w:val="24"/>
          <w:szCs w:val="24"/>
        </w:rPr>
        <w:lastRenderedPageBreak/>
        <w:t>the other.</w:t>
      </w:r>
      <w:r w:rsidR="00CC6B45">
        <w:rPr>
          <w:rFonts w:ascii="Arial" w:hAnsi="Arial" w:cs="Arial"/>
          <w:sz w:val="24"/>
          <w:szCs w:val="24"/>
        </w:rPr>
        <w:t xml:space="preserve"> </w:t>
      </w:r>
      <w:r w:rsidR="008A05B3">
        <w:rPr>
          <w:rFonts w:ascii="Arial" w:hAnsi="Arial" w:cs="Arial"/>
          <w:sz w:val="24"/>
          <w:szCs w:val="24"/>
        </w:rPr>
        <w:t xml:space="preserve">The alleged mismanagement of SEI 1 </w:t>
      </w:r>
      <w:r w:rsidR="007539D7">
        <w:rPr>
          <w:rFonts w:ascii="Arial" w:hAnsi="Arial" w:cs="Arial"/>
          <w:sz w:val="24"/>
          <w:szCs w:val="24"/>
        </w:rPr>
        <w:t>premised</w:t>
      </w:r>
      <w:r w:rsidR="008A05B3">
        <w:rPr>
          <w:rFonts w:ascii="Arial" w:hAnsi="Arial" w:cs="Arial"/>
          <w:sz w:val="24"/>
          <w:szCs w:val="24"/>
        </w:rPr>
        <w:t xml:space="preserve"> the launching of this application</w:t>
      </w:r>
      <w:r w:rsidR="005B3ADD">
        <w:rPr>
          <w:rFonts w:ascii="Arial" w:hAnsi="Arial" w:cs="Arial"/>
          <w:sz w:val="24"/>
          <w:szCs w:val="24"/>
        </w:rPr>
        <w:t xml:space="preserve"> during </w:t>
      </w:r>
      <w:r w:rsidR="00160815">
        <w:rPr>
          <w:rFonts w:ascii="Arial" w:hAnsi="Arial" w:cs="Arial"/>
          <w:sz w:val="24"/>
          <w:szCs w:val="24"/>
        </w:rPr>
        <w:t>2018.</w:t>
      </w:r>
    </w:p>
    <w:p w14:paraId="24026C15" w14:textId="77777777" w:rsidR="00893ED3" w:rsidRDefault="00893ED3" w:rsidP="00893ED3">
      <w:pPr>
        <w:spacing w:after="0" w:line="360" w:lineRule="auto"/>
        <w:jc w:val="both"/>
        <w:rPr>
          <w:rFonts w:ascii="Arial" w:hAnsi="Arial" w:cs="Arial"/>
          <w:sz w:val="24"/>
          <w:szCs w:val="24"/>
        </w:rPr>
      </w:pPr>
    </w:p>
    <w:p w14:paraId="0BF91961" w14:textId="13765AFE" w:rsidR="00893ED3" w:rsidRDefault="00CC6B45" w:rsidP="00893ED3">
      <w:pPr>
        <w:spacing w:after="0" w:line="360" w:lineRule="auto"/>
        <w:jc w:val="both"/>
        <w:rPr>
          <w:rFonts w:ascii="Arial" w:hAnsi="Arial" w:cs="Arial"/>
          <w:sz w:val="24"/>
          <w:szCs w:val="24"/>
        </w:rPr>
      </w:pPr>
      <w:r>
        <w:rPr>
          <w:rFonts w:ascii="Arial" w:hAnsi="Arial" w:cs="Arial"/>
          <w:sz w:val="24"/>
          <w:szCs w:val="24"/>
        </w:rPr>
        <w:t>2</w:t>
      </w:r>
      <w:r w:rsidR="00893ED3">
        <w:rPr>
          <w:rFonts w:ascii="Arial" w:hAnsi="Arial" w:cs="Arial"/>
          <w:sz w:val="24"/>
          <w:szCs w:val="24"/>
        </w:rPr>
        <w:t>.</w:t>
      </w:r>
      <w:r w:rsidR="00893ED3">
        <w:rPr>
          <w:rFonts w:ascii="Arial" w:hAnsi="Arial" w:cs="Arial"/>
          <w:sz w:val="24"/>
          <w:szCs w:val="24"/>
        </w:rPr>
        <w:tab/>
      </w:r>
      <w:r w:rsidR="00893ED3" w:rsidRPr="00893ED3">
        <w:rPr>
          <w:rFonts w:ascii="Arial" w:hAnsi="Arial" w:cs="Arial"/>
          <w:sz w:val="24"/>
          <w:szCs w:val="24"/>
        </w:rPr>
        <w:t>During the hearing counsel for CIPC indicated that he abandon</w:t>
      </w:r>
      <w:r w:rsidR="002013CF">
        <w:rPr>
          <w:rFonts w:ascii="Arial" w:hAnsi="Arial" w:cs="Arial"/>
          <w:sz w:val="24"/>
          <w:szCs w:val="24"/>
        </w:rPr>
        <w:t>ed</w:t>
      </w:r>
      <w:r w:rsidR="00893ED3" w:rsidRPr="00893ED3">
        <w:rPr>
          <w:rFonts w:ascii="Arial" w:hAnsi="Arial" w:cs="Arial"/>
          <w:sz w:val="24"/>
          <w:szCs w:val="24"/>
        </w:rPr>
        <w:t xml:space="preserve"> the case against the second to fifth respondents and only </w:t>
      </w:r>
      <w:r w:rsidR="006C4638">
        <w:rPr>
          <w:rFonts w:ascii="Arial" w:hAnsi="Arial" w:cs="Arial"/>
          <w:sz w:val="24"/>
          <w:szCs w:val="24"/>
        </w:rPr>
        <w:t>sought</w:t>
      </w:r>
      <w:r w:rsidR="00893ED3" w:rsidRPr="00893ED3">
        <w:rPr>
          <w:rFonts w:ascii="Arial" w:hAnsi="Arial" w:cs="Arial"/>
          <w:sz w:val="24"/>
          <w:szCs w:val="24"/>
        </w:rPr>
        <w:t xml:space="preserve"> relief against the first and the seventh respondents.</w:t>
      </w:r>
    </w:p>
    <w:p w14:paraId="0319AB71" w14:textId="77777777" w:rsidR="004B61FF" w:rsidRDefault="004B61FF" w:rsidP="00893ED3">
      <w:pPr>
        <w:spacing w:after="0" w:line="360" w:lineRule="auto"/>
        <w:jc w:val="both"/>
        <w:rPr>
          <w:rFonts w:ascii="Arial" w:hAnsi="Arial" w:cs="Arial"/>
          <w:sz w:val="24"/>
          <w:szCs w:val="24"/>
        </w:rPr>
      </w:pPr>
    </w:p>
    <w:p w14:paraId="6C2F21FC" w14:textId="0FD56125" w:rsidR="004B61FF" w:rsidRPr="00CC6B45" w:rsidRDefault="004B61FF" w:rsidP="00893ED3">
      <w:pPr>
        <w:spacing w:after="0" w:line="360" w:lineRule="auto"/>
        <w:jc w:val="both"/>
        <w:rPr>
          <w:rFonts w:ascii="Arial" w:hAnsi="Arial" w:cs="Arial"/>
          <w:b/>
          <w:sz w:val="24"/>
          <w:szCs w:val="24"/>
        </w:rPr>
      </w:pPr>
      <w:r w:rsidRPr="00CC6B45">
        <w:rPr>
          <w:rFonts w:ascii="Arial" w:hAnsi="Arial" w:cs="Arial"/>
          <w:b/>
          <w:sz w:val="24"/>
          <w:szCs w:val="24"/>
        </w:rPr>
        <w:t xml:space="preserve">POINTS IN </w:t>
      </w:r>
      <w:r w:rsidRPr="00421D76">
        <w:rPr>
          <w:rFonts w:ascii="Arial" w:hAnsi="Arial" w:cs="Arial"/>
          <w:b/>
          <w:i/>
          <w:sz w:val="24"/>
          <w:szCs w:val="24"/>
        </w:rPr>
        <w:t>LIMINE</w:t>
      </w:r>
    </w:p>
    <w:p w14:paraId="10C7A301" w14:textId="752507D7" w:rsidR="00954F1A" w:rsidRDefault="00CC6B45" w:rsidP="00893ED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C3AE6">
        <w:rPr>
          <w:rFonts w:ascii="Arial" w:hAnsi="Arial" w:cs="Arial"/>
          <w:sz w:val="24"/>
          <w:szCs w:val="24"/>
        </w:rPr>
        <w:t xml:space="preserve">In the answering affidavit the first to </w:t>
      </w:r>
      <w:r>
        <w:rPr>
          <w:rFonts w:ascii="Arial" w:hAnsi="Arial" w:cs="Arial"/>
          <w:sz w:val="24"/>
          <w:szCs w:val="24"/>
        </w:rPr>
        <w:t>fifth</w:t>
      </w:r>
      <w:r w:rsidR="002C3AE6">
        <w:rPr>
          <w:rFonts w:ascii="Arial" w:hAnsi="Arial" w:cs="Arial"/>
          <w:sz w:val="24"/>
          <w:szCs w:val="24"/>
        </w:rPr>
        <w:t xml:space="preserve"> respondents raised several points in </w:t>
      </w:r>
      <w:r w:rsidR="002C3AE6" w:rsidRPr="00421D76">
        <w:rPr>
          <w:rFonts w:ascii="Arial" w:hAnsi="Arial" w:cs="Arial"/>
          <w:i/>
          <w:sz w:val="24"/>
          <w:szCs w:val="24"/>
        </w:rPr>
        <w:t>limine</w:t>
      </w:r>
      <w:r w:rsidR="00961C0D">
        <w:rPr>
          <w:rFonts w:ascii="Arial" w:hAnsi="Arial" w:cs="Arial"/>
          <w:sz w:val="24"/>
          <w:szCs w:val="24"/>
        </w:rPr>
        <w:t>.</w:t>
      </w:r>
      <w:r w:rsidR="00750377">
        <w:rPr>
          <w:rFonts w:ascii="Arial" w:hAnsi="Arial" w:cs="Arial"/>
          <w:sz w:val="24"/>
          <w:szCs w:val="24"/>
        </w:rPr>
        <w:t xml:space="preserve"> None of these were dealt with in the respondents</w:t>
      </w:r>
      <w:r w:rsidR="00FC11EA">
        <w:rPr>
          <w:rFonts w:ascii="Arial" w:hAnsi="Arial" w:cs="Arial"/>
          <w:sz w:val="24"/>
          <w:szCs w:val="24"/>
        </w:rPr>
        <w:t>’</w:t>
      </w:r>
      <w:r w:rsidR="00750377">
        <w:rPr>
          <w:rFonts w:ascii="Arial" w:hAnsi="Arial" w:cs="Arial"/>
          <w:sz w:val="24"/>
          <w:szCs w:val="24"/>
        </w:rPr>
        <w:t xml:space="preserve"> heads of </w:t>
      </w:r>
      <w:r w:rsidR="003454D3">
        <w:rPr>
          <w:rFonts w:ascii="Arial" w:hAnsi="Arial" w:cs="Arial"/>
          <w:sz w:val="24"/>
          <w:szCs w:val="24"/>
        </w:rPr>
        <w:t>argument or</w:t>
      </w:r>
      <w:r w:rsidR="00FC11EA">
        <w:rPr>
          <w:rFonts w:ascii="Arial" w:hAnsi="Arial" w:cs="Arial"/>
          <w:sz w:val="24"/>
          <w:szCs w:val="24"/>
        </w:rPr>
        <w:t xml:space="preserve"> argued </w:t>
      </w:r>
      <w:r w:rsidR="004627B4">
        <w:rPr>
          <w:rFonts w:ascii="Arial" w:hAnsi="Arial" w:cs="Arial"/>
          <w:sz w:val="24"/>
          <w:szCs w:val="24"/>
        </w:rPr>
        <w:t>during the hearing.</w:t>
      </w:r>
      <w:r>
        <w:rPr>
          <w:rFonts w:ascii="Arial" w:hAnsi="Arial" w:cs="Arial"/>
          <w:sz w:val="24"/>
          <w:szCs w:val="24"/>
        </w:rPr>
        <w:t xml:space="preserve"> </w:t>
      </w:r>
      <w:r w:rsidR="004627B4">
        <w:rPr>
          <w:rFonts w:ascii="Arial" w:hAnsi="Arial" w:cs="Arial"/>
          <w:sz w:val="24"/>
          <w:szCs w:val="24"/>
        </w:rPr>
        <w:t>I therefore deal with it only for the sake of completeness</w:t>
      </w:r>
      <w:r w:rsidR="00954F1A">
        <w:rPr>
          <w:rFonts w:ascii="Arial" w:hAnsi="Arial" w:cs="Arial"/>
          <w:sz w:val="24"/>
          <w:szCs w:val="24"/>
        </w:rPr>
        <w:t>.</w:t>
      </w:r>
    </w:p>
    <w:p w14:paraId="50CA44D3" w14:textId="77777777" w:rsidR="00CC6B45" w:rsidRDefault="00CC6B45" w:rsidP="00893ED3">
      <w:pPr>
        <w:spacing w:after="0" w:line="360" w:lineRule="auto"/>
        <w:jc w:val="both"/>
        <w:rPr>
          <w:rFonts w:ascii="Arial" w:hAnsi="Arial" w:cs="Arial"/>
          <w:sz w:val="24"/>
          <w:szCs w:val="24"/>
        </w:rPr>
      </w:pPr>
    </w:p>
    <w:p w14:paraId="5690D005" w14:textId="1EA0A212" w:rsidR="006551BF" w:rsidRDefault="00CC6B45" w:rsidP="00893ED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61C0D">
        <w:rPr>
          <w:rFonts w:ascii="Arial" w:hAnsi="Arial" w:cs="Arial"/>
          <w:sz w:val="24"/>
          <w:szCs w:val="24"/>
        </w:rPr>
        <w:t>The first was that</w:t>
      </w:r>
      <w:r w:rsidR="003E3BC3">
        <w:rPr>
          <w:rFonts w:ascii="Arial" w:hAnsi="Arial" w:cs="Arial"/>
          <w:sz w:val="24"/>
          <w:szCs w:val="24"/>
        </w:rPr>
        <w:t xml:space="preserve"> the sixth respondent does not exist.</w:t>
      </w:r>
      <w:r>
        <w:rPr>
          <w:rFonts w:ascii="Arial" w:hAnsi="Arial" w:cs="Arial"/>
          <w:sz w:val="24"/>
          <w:szCs w:val="24"/>
        </w:rPr>
        <w:t xml:space="preserve"> </w:t>
      </w:r>
      <w:r w:rsidR="003E3BC3">
        <w:rPr>
          <w:rFonts w:ascii="Arial" w:hAnsi="Arial" w:cs="Arial"/>
          <w:sz w:val="24"/>
          <w:szCs w:val="24"/>
        </w:rPr>
        <w:t xml:space="preserve">It is common cause that Bethany Governance </w:t>
      </w:r>
      <w:r w:rsidR="006C4638">
        <w:rPr>
          <w:rFonts w:ascii="Arial" w:hAnsi="Arial" w:cs="Arial"/>
          <w:sz w:val="24"/>
          <w:szCs w:val="24"/>
        </w:rPr>
        <w:t xml:space="preserve">Imbokodvo indeed </w:t>
      </w:r>
      <w:r w:rsidR="00BE6607">
        <w:rPr>
          <w:rFonts w:ascii="Arial" w:hAnsi="Arial" w:cs="Arial"/>
          <w:sz w:val="24"/>
          <w:szCs w:val="24"/>
        </w:rPr>
        <w:t xml:space="preserve">does not exist </w:t>
      </w:r>
      <w:r w:rsidR="00FF0B1D">
        <w:rPr>
          <w:rFonts w:ascii="Arial" w:hAnsi="Arial" w:cs="Arial"/>
          <w:sz w:val="24"/>
          <w:szCs w:val="24"/>
        </w:rPr>
        <w:t>and does not require determination</w:t>
      </w:r>
      <w:r w:rsidR="000C3544">
        <w:rPr>
          <w:rFonts w:ascii="Arial" w:hAnsi="Arial" w:cs="Arial"/>
          <w:sz w:val="24"/>
          <w:szCs w:val="24"/>
        </w:rPr>
        <w:t>.</w:t>
      </w:r>
      <w:r w:rsidR="004C6A6F">
        <w:rPr>
          <w:rFonts w:ascii="Arial" w:hAnsi="Arial" w:cs="Arial"/>
          <w:sz w:val="24"/>
          <w:szCs w:val="24"/>
        </w:rPr>
        <w:t xml:space="preserve"> </w:t>
      </w:r>
      <w:r w:rsidR="00BE6607">
        <w:rPr>
          <w:rFonts w:ascii="Arial" w:hAnsi="Arial" w:cs="Arial"/>
          <w:sz w:val="24"/>
          <w:szCs w:val="24"/>
        </w:rPr>
        <w:t>The second point was that</w:t>
      </w:r>
      <w:r w:rsidR="00623599">
        <w:rPr>
          <w:rFonts w:ascii="Arial" w:hAnsi="Arial" w:cs="Arial"/>
          <w:sz w:val="24"/>
          <w:szCs w:val="24"/>
        </w:rPr>
        <w:t xml:space="preserve"> there was no proper service of the application </w:t>
      </w:r>
      <w:r w:rsidR="00F6437E">
        <w:rPr>
          <w:rFonts w:ascii="Arial" w:hAnsi="Arial" w:cs="Arial"/>
          <w:sz w:val="24"/>
          <w:szCs w:val="24"/>
        </w:rPr>
        <w:t>on</w:t>
      </w:r>
      <w:r w:rsidR="00BE6607">
        <w:rPr>
          <w:rFonts w:ascii="Arial" w:hAnsi="Arial" w:cs="Arial"/>
          <w:sz w:val="24"/>
          <w:szCs w:val="24"/>
        </w:rPr>
        <w:t xml:space="preserve"> the </w:t>
      </w:r>
      <w:r w:rsidR="004C6A6F">
        <w:rPr>
          <w:rFonts w:ascii="Arial" w:hAnsi="Arial" w:cs="Arial"/>
          <w:sz w:val="24"/>
          <w:szCs w:val="24"/>
        </w:rPr>
        <w:t>first, second</w:t>
      </w:r>
      <w:r w:rsidR="00BE6607">
        <w:rPr>
          <w:rFonts w:ascii="Arial" w:hAnsi="Arial" w:cs="Arial"/>
          <w:sz w:val="24"/>
          <w:szCs w:val="24"/>
        </w:rPr>
        <w:t xml:space="preserve"> and fourth </w:t>
      </w:r>
      <w:r w:rsidR="00BC00A2">
        <w:rPr>
          <w:rFonts w:ascii="Arial" w:hAnsi="Arial" w:cs="Arial"/>
          <w:sz w:val="24"/>
          <w:szCs w:val="24"/>
        </w:rPr>
        <w:t>to sixth respondent</w:t>
      </w:r>
      <w:r w:rsidR="00F6437E">
        <w:rPr>
          <w:rFonts w:ascii="Arial" w:hAnsi="Arial" w:cs="Arial"/>
          <w:sz w:val="24"/>
          <w:szCs w:val="24"/>
        </w:rPr>
        <w:t>s</w:t>
      </w:r>
      <w:r w:rsidR="00BC00A2">
        <w:rPr>
          <w:rFonts w:ascii="Arial" w:hAnsi="Arial" w:cs="Arial"/>
          <w:sz w:val="24"/>
          <w:szCs w:val="24"/>
        </w:rPr>
        <w:t>.</w:t>
      </w:r>
      <w:r>
        <w:rPr>
          <w:rFonts w:ascii="Arial" w:hAnsi="Arial" w:cs="Arial"/>
          <w:sz w:val="24"/>
          <w:szCs w:val="24"/>
        </w:rPr>
        <w:t xml:space="preserve"> </w:t>
      </w:r>
      <w:r w:rsidR="00BC00A2">
        <w:rPr>
          <w:rFonts w:ascii="Arial" w:hAnsi="Arial" w:cs="Arial"/>
          <w:sz w:val="24"/>
          <w:szCs w:val="24"/>
        </w:rPr>
        <w:t xml:space="preserve">It is abundantly clear that all the respondents </w:t>
      </w:r>
      <w:r w:rsidR="003D434C">
        <w:rPr>
          <w:rFonts w:ascii="Arial" w:hAnsi="Arial" w:cs="Arial"/>
          <w:sz w:val="24"/>
          <w:szCs w:val="24"/>
        </w:rPr>
        <w:t xml:space="preserve">were well aware of the </w:t>
      </w:r>
      <w:r w:rsidR="006A49F5">
        <w:rPr>
          <w:rFonts w:ascii="Arial" w:hAnsi="Arial" w:cs="Arial"/>
          <w:sz w:val="24"/>
          <w:szCs w:val="24"/>
        </w:rPr>
        <w:t>application opposed</w:t>
      </w:r>
      <w:r w:rsidR="000C3544">
        <w:rPr>
          <w:rFonts w:ascii="Arial" w:hAnsi="Arial" w:cs="Arial"/>
          <w:sz w:val="24"/>
          <w:szCs w:val="24"/>
        </w:rPr>
        <w:t xml:space="preserve"> it and filed affidavits</w:t>
      </w:r>
      <w:r>
        <w:rPr>
          <w:rFonts w:ascii="Arial" w:hAnsi="Arial" w:cs="Arial"/>
          <w:sz w:val="24"/>
          <w:szCs w:val="24"/>
        </w:rPr>
        <w:t xml:space="preserve"> </w:t>
      </w:r>
      <w:r w:rsidR="00374324">
        <w:rPr>
          <w:rFonts w:ascii="Arial" w:hAnsi="Arial" w:cs="Arial"/>
          <w:sz w:val="24"/>
          <w:szCs w:val="24"/>
        </w:rPr>
        <w:t>The</w:t>
      </w:r>
      <w:r w:rsidR="003D434C">
        <w:rPr>
          <w:rFonts w:ascii="Arial" w:hAnsi="Arial" w:cs="Arial"/>
          <w:sz w:val="24"/>
          <w:szCs w:val="24"/>
        </w:rPr>
        <w:t xml:space="preserve"> purpose for service is to bring a lawsuit under the attention of the parties,</w:t>
      </w:r>
      <w:r>
        <w:rPr>
          <w:rFonts w:ascii="Arial" w:hAnsi="Arial" w:cs="Arial"/>
          <w:sz w:val="24"/>
          <w:szCs w:val="24"/>
        </w:rPr>
        <w:t xml:space="preserve"> </w:t>
      </w:r>
      <w:r w:rsidR="003D434C">
        <w:rPr>
          <w:rFonts w:ascii="Arial" w:hAnsi="Arial" w:cs="Arial"/>
          <w:sz w:val="24"/>
          <w:szCs w:val="24"/>
        </w:rPr>
        <w:t>if that is accomplished a technical</w:t>
      </w:r>
      <w:r w:rsidR="00750377">
        <w:rPr>
          <w:rFonts w:ascii="Arial" w:hAnsi="Arial" w:cs="Arial"/>
          <w:sz w:val="24"/>
          <w:szCs w:val="24"/>
        </w:rPr>
        <w:t xml:space="preserve"> objection should not be entertained by the court</w:t>
      </w:r>
      <w:r w:rsidR="00954F1A">
        <w:rPr>
          <w:rFonts w:ascii="Arial" w:hAnsi="Arial" w:cs="Arial"/>
          <w:sz w:val="24"/>
          <w:szCs w:val="24"/>
        </w:rPr>
        <w:t>.</w:t>
      </w:r>
    </w:p>
    <w:p w14:paraId="52F9F945" w14:textId="77777777" w:rsidR="00CC6B45" w:rsidRDefault="00CC6B45" w:rsidP="00893ED3">
      <w:pPr>
        <w:spacing w:after="0" w:line="360" w:lineRule="auto"/>
        <w:jc w:val="both"/>
        <w:rPr>
          <w:rFonts w:ascii="Arial" w:hAnsi="Arial" w:cs="Arial"/>
          <w:sz w:val="24"/>
          <w:szCs w:val="24"/>
        </w:rPr>
      </w:pPr>
    </w:p>
    <w:p w14:paraId="2E666CAD" w14:textId="54F0ACA7" w:rsidR="00BE6607" w:rsidRDefault="00CC6B45" w:rsidP="00893ED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531E9">
        <w:rPr>
          <w:rFonts w:ascii="Arial" w:hAnsi="Arial" w:cs="Arial"/>
          <w:sz w:val="24"/>
          <w:szCs w:val="24"/>
        </w:rPr>
        <w:t>The third was that the former directors M</w:t>
      </w:r>
      <w:r w:rsidR="00210F86">
        <w:rPr>
          <w:rFonts w:ascii="Arial" w:hAnsi="Arial" w:cs="Arial"/>
          <w:sz w:val="24"/>
          <w:szCs w:val="24"/>
        </w:rPr>
        <w:t>r</w:t>
      </w:r>
      <w:r w:rsidR="003531E9">
        <w:rPr>
          <w:rFonts w:ascii="Arial" w:hAnsi="Arial" w:cs="Arial"/>
          <w:sz w:val="24"/>
          <w:szCs w:val="24"/>
        </w:rPr>
        <w:t>. Goosen</w:t>
      </w:r>
      <w:r w:rsidR="00210F86">
        <w:rPr>
          <w:rFonts w:ascii="Arial" w:hAnsi="Arial" w:cs="Arial"/>
          <w:sz w:val="24"/>
          <w:szCs w:val="24"/>
        </w:rPr>
        <w:t xml:space="preserve"> (Goosen)</w:t>
      </w:r>
      <w:r w:rsidR="003531E9">
        <w:rPr>
          <w:rFonts w:ascii="Arial" w:hAnsi="Arial" w:cs="Arial"/>
          <w:sz w:val="24"/>
          <w:szCs w:val="24"/>
        </w:rPr>
        <w:t xml:space="preserve"> and</w:t>
      </w:r>
      <w:r w:rsidR="00210F86">
        <w:rPr>
          <w:rFonts w:ascii="Arial" w:hAnsi="Arial" w:cs="Arial"/>
          <w:sz w:val="24"/>
          <w:szCs w:val="24"/>
        </w:rPr>
        <w:t xml:space="preserve"> Mr.</w:t>
      </w:r>
      <w:r w:rsidR="003531E9">
        <w:rPr>
          <w:rFonts w:ascii="Arial" w:hAnsi="Arial" w:cs="Arial"/>
          <w:sz w:val="24"/>
          <w:szCs w:val="24"/>
        </w:rPr>
        <w:t xml:space="preserve"> Preller</w:t>
      </w:r>
      <w:r w:rsidR="00210F86">
        <w:rPr>
          <w:rFonts w:ascii="Arial" w:hAnsi="Arial" w:cs="Arial"/>
          <w:sz w:val="24"/>
          <w:szCs w:val="24"/>
        </w:rPr>
        <w:t xml:space="preserve"> (Preller)</w:t>
      </w:r>
      <w:r w:rsidR="00606A65">
        <w:rPr>
          <w:rFonts w:ascii="Arial" w:hAnsi="Arial" w:cs="Arial"/>
          <w:sz w:val="24"/>
          <w:szCs w:val="24"/>
        </w:rPr>
        <w:t xml:space="preserve"> should also have been cited</w:t>
      </w:r>
      <w:r w:rsidR="00EA0E72">
        <w:rPr>
          <w:rFonts w:ascii="Arial" w:hAnsi="Arial" w:cs="Arial"/>
          <w:sz w:val="24"/>
          <w:szCs w:val="24"/>
        </w:rPr>
        <w:t xml:space="preserve"> as they were directors within 24 months from the institution of the application and according to the respondents they were the real</w:t>
      </w:r>
      <w:r w:rsidR="004B356D">
        <w:rPr>
          <w:rFonts w:ascii="Arial" w:hAnsi="Arial" w:cs="Arial"/>
          <w:sz w:val="24"/>
          <w:szCs w:val="24"/>
        </w:rPr>
        <w:t xml:space="preserve"> culprits who caused the </w:t>
      </w:r>
      <w:r w:rsidR="00BA5FD2">
        <w:rPr>
          <w:rFonts w:ascii="Arial" w:hAnsi="Arial" w:cs="Arial"/>
          <w:sz w:val="24"/>
          <w:szCs w:val="24"/>
        </w:rPr>
        <w:t>failure to comply with the provisions</w:t>
      </w:r>
      <w:r w:rsidR="00E46428">
        <w:rPr>
          <w:rFonts w:ascii="Arial" w:hAnsi="Arial" w:cs="Arial"/>
          <w:sz w:val="24"/>
          <w:szCs w:val="24"/>
        </w:rPr>
        <w:t xml:space="preserve"> of the Act.</w:t>
      </w:r>
      <w:r w:rsidR="00160815">
        <w:rPr>
          <w:rFonts w:ascii="Arial" w:hAnsi="Arial" w:cs="Arial"/>
          <w:sz w:val="24"/>
          <w:szCs w:val="24"/>
        </w:rPr>
        <w:t xml:space="preserve"> </w:t>
      </w:r>
      <w:r w:rsidR="004B356D">
        <w:rPr>
          <w:rFonts w:ascii="Arial" w:hAnsi="Arial" w:cs="Arial"/>
          <w:sz w:val="24"/>
          <w:szCs w:val="24"/>
        </w:rPr>
        <w:t xml:space="preserve">Although the respondents persisted with blaming Preller and Goosen and suspects that CIPC did not </w:t>
      </w:r>
      <w:r w:rsidR="00055A66">
        <w:rPr>
          <w:rFonts w:ascii="Arial" w:hAnsi="Arial" w:cs="Arial"/>
          <w:sz w:val="24"/>
          <w:szCs w:val="24"/>
        </w:rPr>
        <w:t>pursue</w:t>
      </w:r>
      <w:r w:rsidR="004B356D">
        <w:rPr>
          <w:rFonts w:ascii="Arial" w:hAnsi="Arial" w:cs="Arial"/>
          <w:sz w:val="24"/>
          <w:szCs w:val="24"/>
        </w:rPr>
        <w:t xml:space="preserve"> a similar application against them</w:t>
      </w:r>
      <w:r w:rsidR="00A771B9">
        <w:rPr>
          <w:rFonts w:ascii="Arial" w:hAnsi="Arial" w:cs="Arial"/>
          <w:sz w:val="24"/>
          <w:szCs w:val="24"/>
        </w:rPr>
        <w:t xml:space="preserve"> for nefarious </w:t>
      </w:r>
      <w:r w:rsidR="0027451E">
        <w:rPr>
          <w:rFonts w:ascii="Arial" w:hAnsi="Arial" w:cs="Arial"/>
          <w:sz w:val="24"/>
          <w:szCs w:val="24"/>
        </w:rPr>
        <w:t>reasons, the</w:t>
      </w:r>
      <w:r w:rsidR="00A771B9">
        <w:rPr>
          <w:rFonts w:ascii="Arial" w:hAnsi="Arial" w:cs="Arial"/>
          <w:sz w:val="24"/>
          <w:szCs w:val="24"/>
        </w:rPr>
        <w:t xml:space="preserve"> point of non-joinder was not raised in argument and seems to have been abandoned by the </w:t>
      </w:r>
      <w:r w:rsidR="0027451E">
        <w:rPr>
          <w:rFonts w:ascii="Arial" w:hAnsi="Arial" w:cs="Arial"/>
          <w:sz w:val="24"/>
          <w:szCs w:val="24"/>
        </w:rPr>
        <w:t>respondents. The</w:t>
      </w:r>
      <w:r w:rsidR="006551BF">
        <w:rPr>
          <w:rFonts w:ascii="Arial" w:hAnsi="Arial" w:cs="Arial"/>
          <w:sz w:val="24"/>
          <w:szCs w:val="24"/>
        </w:rPr>
        <w:t xml:space="preserve"> sixth point was that the deponent to </w:t>
      </w:r>
      <w:r w:rsidR="000D5752">
        <w:rPr>
          <w:rFonts w:ascii="Arial" w:hAnsi="Arial" w:cs="Arial"/>
          <w:sz w:val="24"/>
          <w:szCs w:val="24"/>
        </w:rPr>
        <w:t>the founding affidavit was not duly authorised to depose to</w:t>
      </w:r>
      <w:r w:rsidR="00C13A71">
        <w:rPr>
          <w:rFonts w:ascii="Arial" w:hAnsi="Arial" w:cs="Arial"/>
          <w:sz w:val="24"/>
          <w:szCs w:val="24"/>
        </w:rPr>
        <w:t xml:space="preserve"> it.</w:t>
      </w:r>
      <w:r>
        <w:rPr>
          <w:rFonts w:ascii="Arial" w:hAnsi="Arial" w:cs="Arial"/>
          <w:sz w:val="24"/>
          <w:szCs w:val="24"/>
        </w:rPr>
        <w:t xml:space="preserve"> </w:t>
      </w:r>
      <w:r w:rsidR="00C13A71">
        <w:rPr>
          <w:rFonts w:ascii="Arial" w:hAnsi="Arial" w:cs="Arial"/>
          <w:sz w:val="24"/>
          <w:szCs w:val="24"/>
        </w:rPr>
        <w:t>This point was also not addressed in argument o</w:t>
      </w:r>
      <w:r w:rsidR="008932F0">
        <w:rPr>
          <w:rFonts w:ascii="Arial" w:hAnsi="Arial" w:cs="Arial"/>
          <w:sz w:val="24"/>
          <w:szCs w:val="24"/>
        </w:rPr>
        <w:t xml:space="preserve">r in the heads and </w:t>
      </w:r>
      <w:r w:rsidR="00A44108">
        <w:rPr>
          <w:rFonts w:ascii="Arial" w:hAnsi="Arial" w:cs="Arial"/>
          <w:sz w:val="24"/>
          <w:szCs w:val="24"/>
        </w:rPr>
        <w:t>seems to be</w:t>
      </w:r>
      <w:r w:rsidR="008932F0">
        <w:rPr>
          <w:rFonts w:ascii="Arial" w:hAnsi="Arial" w:cs="Arial"/>
          <w:sz w:val="24"/>
          <w:szCs w:val="24"/>
        </w:rPr>
        <w:t xml:space="preserve"> abandoned</w:t>
      </w:r>
      <w:r w:rsidR="00EF60DA">
        <w:rPr>
          <w:rFonts w:ascii="Arial" w:hAnsi="Arial" w:cs="Arial"/>
          <w:sz w:val="24"/>
          <w:szCs w:val="24"/>
        </w:rPr>
        <w:t>.</w:t>
      </w:r>
      <w:r w:rsidR="00160815">
        <w:rPr>
          <w:rFonts w:ascii="Arial" w:hAnsi="Arial" w:cs="Arial"/>
          <w:sz w:val="24"/>
          <w:szCs w:val="24"/>
        </w:rPr>
        <w:t xml:space="preserve"> </w:t>
      </w:r>
      <w:r w:rsidR="0094729B">
        <w:rPr>
          <w:rFonts w:ascii="Arial" w:hAnsi="Arial" w:cs="Arial"/>
          <w:sz w:val="24"/>
          <w:szCs w:val="24"/>
        </w:rPr>
        <w:t xml:space="preserve">None of the points in </w:t>
      </w:r>
      <w:r w:rsidR="0094729B" w:rsidRPr="00421D76">
        <w:rPr>
          <w:rFonts w:ascii="Arial" w:hAnsi="Arial" w:cs="Arial"/>
          <w:i/>
          <w:sz w:val="24"/>
          <w:szCs w:val="24"/>
        </w:rPr>
        <w:t>limine</w:t>
      </w:r>
      <w:r w:rsidR="0094729B">
        <w:rPr>
          <w:rFonts w:ascii="Arial" w:hAnsi="Arial" w:cs="Arial"/>
          <w:sz w:val="24"/>
          <w:szCs w:val="24"/>
        </w:rPr>
        <w:t xml:space="preserve"> have any merit</w:t>
      </w:r>
      <w:r w:rsidR="00071765">
        <w:rPr>
          <w:rFonts w:ascii="Arial" w:hAnsi="Arial" w:cs="Arial"/>
          <w:sz w:val="24"/>
          <w:szCs w:val="24"/>
        </w:rPr>
        <w:t xml:space="preserve"> and shou</w:t>
      </w:r>
      <w:r w:rsidR="00173EE4">
        <w:rPr>
          <w:rFonts w:ascii="Arial" w:hAnsi="Arial" w:cs="Arial"/>
          <w:sz w:val="24"/>
          <w:szCs w:val="24"/>
        </w:rPr>
        <w:t>ld in any event be dismissed.</w:t>
      </w:r>
    </w:p>
    <w:p w14:paraId="262DE0C4" w14:textId="77777777" w:rsidR="00CC6B45" w:rsidRDefault="00CC6B45" w:rsidP="00893ED3">
      <w:pPr>
        <w:spacing w:after="0" w:line="360" w:lineRule="auto"/>
        <w:jc w:val="both"/>
        <w:rPr>
          <w:rFonts w:ascii="Arial" w:hAnsi="Arial" w:cs="Arial"/>
          <w:sz w:val="24"/>
          <w:szCs w:val="24"/>
        </w:rPr>
      </w:pPr>
    </w:p>
    <w:p w14:paraId="6BA3D906" w14:textId="38DAE6D1" w:rsidR="00173EE4" w:rsidRPr="00CC6B45" w:rsidRDefault="00173EE4" w:rsidP="00893ED3">
      <w:pPr>
        <w:spacing w:after="0" w:line="360" w:lineRule="auto"/>
        <w:jc w:val="both"/>
        <w:rPr>
          <w:rFonts w:ascii="Arial" w:hAnsi="Arial" w:cs="Arial"/>
          <w:b/>
          <w:sz w:val="24"/>
          <w:szCs w:val="24"/>
        </w:rPr>
      </w:pPr>
      <w:r w:rsidRPr="00CC6B45">
        <w:rPr>
          <w:rFonts w:ascii="Arial" w:hAnsi="Arial" w:cs="Arial"/>
          <w:b/>
          <w:sz w:val="24"/>
          <w:szCs w:val="24"/>
        </w:rPr>
        <w:lastRenderedPageBreak/>
        <w:t>THE</w:t>
      </w:r>
      <w:r w:rsidR="00021119" w:rsidRPr="00CC6B45">
        <w:rPr>
          <w:rFonts w:ascii="Arial" w:hAnsi="Arial" w:cs="Arial"/>
          <w:b/>
          <w:sz w:val="24"/>
          <w:szCs w:val="24"/>
        </w:rPr>
        <w:t xml:space="preserve"> ISSUES</w:t>
      </w:r>
    </w:p>
    <w:p w14:paraId="74CDA1D7" w14:textId="330CD187" w:rsidR="00893ED3" w:rsidRPr="00893ED3" w:rsidRDefault="00CC6B45" w:rsidP="00893ED3">
      <w:pPr>
        <w:spacing w:after="0" w:line="360" w:lineRule="auto"/>
        <w:jc w:val="both"/>
        <w:rPr>
          <w:rFonts w:ascii="Arial" w:hAnsi="Arial" w:cs="Arial"/>
          <w:sz w:val="24"/>
          <w:szCs w:val="24"/>
        </w:rPr>
      </w:pPr>
      <w:r>
        <w:rPr>
          <w:rFonts w:ascii="Arial" w:hAnsi="Arial" w:cs="Arial"/>
          <w:sz w:val="24"/>
          <w:szCs w:val="24"/>
        </w:rPr>
        <w:t>6</w:t>
      </w:r>
      <w:r w:rsidR="00893ED3">
        <w:rPr>
          <w:rFonts w:ascii="Arial" w:hAnsi="Arial" w:cs="Arial"/>
          <w:sz w:val="24"/>
          <w:szCs w:val="24"/>
        </w:rPr>
        <w:t>.</w:t>
      </w:r>
      <w:r w:rsidR="00893ED3">
        <w:rPr>
          <w:rFonts w:ascii="Arial" w:hAnsi="Arial" w:cs="Arial"/>
          <w:sz w:val="24"/>
          <w:szCs w:val="24"/>
        </w:rPr>
        <w:tab/>
      </w:r>
      <w:r w:rsidR="00893ED3" w:rsidRPr="00893ED3">
        <w:rPr>
          <w:rFonts w:ascii="Arial" w:hAnsi="Arial" w:cs="Arial"/>
          <w:sz w:val="24"/>
          <w:szCs w:val="24"/>
        </w:rPr>
        <w:t>The following issues</w:t>
      </w:r>
      <w:r w:rsidR="00154F11">
        <w:rPr>
          <w:rFonts w:ascii="Arial" w:hAnsi="Arial" w:cs="Arial"/>
          <w:sz w:val="24"/>
          <w:szCs w:val="24"/>
        </w:rPr>
        <w:t xml:space="preserve"> </w:t>
      </w:r>
      <w:r w:rsidR="00021119">
        <w:rPr>
          <w:rFonts w:ascii="Arial" w:hAnsi="Arial" w:cs="Arial"/>
          <w:sz w:val="24"/>
          <w:szCs w:val="24"/>
        </w:rPr>
        <w:t>remain</w:t>
      </w:r>
      <w:r w:rsidR="00893ED3" w:rsidRPr="00893ED3">
        <w:rPr>
          <w:rFonts w:ascii="Arial" w:hAnsi="Arial" w:cs="Arial"/>
          <w:sz w:val="24"/>
          <w:szCs w:val="24"/>
        </w:rPr>
        <w:t xml:space="preserve"> to be decided:</w:t>
      </w:r>
    </w:p>
    <w:p w14:paraId="0FC698D7" w14:textId="57408707" w:rsidR="00893ED3" w:rsidRPr="00893ED3" w:rsidRDefault="00CC6B45" w:rsidP="00893ED3">
      <w:pPr>
        <w:spacing w:after="0" w:line="360" w:lineRule="auto"/>
        <w:jc w:val="both"/>
        <w:rPr>
          <w:rFonts w:ascii="Arial" w:hAnsi="Arial" w:cs="Arial"/>
          <w:sz w:val="24"/>
          <w:szCs w:val="24"/>
        </w:rPr>
      </w:pPr>
      <w:r>
        <w:rPr>
          <w:rFonts w:ascii="Arial" w:hAnsi="Arial" w:cs="Arial"/>
          <w:sz w:val="24"/>
          <w:szCs w:val="24"/>
        </w:rPr>
        <w:t>a</w:t>
      </w:r>
      <w:r w:rsidR="00893ED3">
        <w:rPr>
          <w:rFonts w:ascii="Arial" w:hAnsi="Arial" w:cs="Arial"/>
          <w:sz w:val="24"/>
          <w:szCs w:val="24"/>
        </w:rPr>
        <w:t>)</w:t>
      </w:r>
      <w:r w:rsidR="00893ED3">
        <w:rPr>
          <w:rFonts w:ascii="Arial" w:hAnsi="Arial" w:cs="Arial"/>
          <w:sz w:val="24"/>
          <w:szCs w:val="24"/>
        </w:rPr>
        <w:tab/>
      </w:r>
      <w:r w:rsidR="00893ED3" w:rsidRPr="00893ED3">
        <w:rPr>
          <w:rFonts w:ascii="Arial" w:hAnsi="Arial" w:cs="Arial"/>
          <w:sz w:val="24"/>
          <w:szCs w:val="24"/>
        </w:rPr>
        <w:t>Whether the supplementary affidavits should be struck.</w:t>
      </w:r>
    </w:p>
    <w:p w14:paraId="50E21A97" w14:textId="5C733BDA" w:rsidR="00893ED3" w:rsidRPr="00893ED3" w:rsidRDefault="00CC6B45" w:rsidP="001F48D0">
      <w:pPr>
        <w:spacing w:after="0" w:line="360" w:lineRule="auto"/>
        <w:ind w:left="720" w:hanging="720"/>
        <w:jc w:val="both"/>
        <w:rPr>
          <w:rFonts w:ascii="Arial" w:hAnsi="Arial" w:cs="Arial"/>
          <w:sz w:val="24"/>
          <w:szCs w:val="24"/>
        </w:rPr>
      </w:pPr>
      <w:r>
        <w:rPr>
          <w:rFonts w:ascii="Arial" w:hAnsi="Arial" w:cs="Arial"/>
          <w:sz w:val="24"/>
          <w:szCs w:val="24"/>
        </w:rPr>
        <w:t>b</w:t>
      </w:r>
      <w:r w:rsidR="00893ED3">
        <w:rPr>
          <w:rFonts w:ascii="Arial" w:hAnsi="Arial" w:cs="Arial"/>
          <w:sz w:val="24"/>
          <w:szCs w:val="24"/>
        </w:rPr>
        <w:t>)</w:t>
      </w:r>
      <w:r w:rsidR="00893ED3">
        <w:rPr>
          <w:rFonts w:ascii="Arial" w:hAnsi="Arial" w:cs="Arial"/>
          <w:sz w:val="24"/>
          <w:szCs w:val="24"/>
        </w:rPr>
        <w:tab/>
      </w:r>
      <w:r w:rsidR="00893ED3" w:rsidRPr="00893ED3">
        <w:rPr>
          <w:rFonts w:ascii="Arial" w:hAnsi="Arial" w:cs="Arial"/>
          <w:sz w:val="24"/>
          <w:szCs w:val="24"/>
        </w:rPr>
        <w:t>Whether the first and seventh respondents should be declared delinquent directors.</w:t>
      </w:r>
    </w:p>
    <w:p w14:paraId="0D22EC53" w14:textId="6BE79D39" w:rsidR="00893ED3" w:rsidRPr="00893ED3" w:rsidRDefault="00CC6B45" w:rsidP="00893ED3">
      <w:pPr>
        <w:spacing w:after="0" w:line="360" w:lineRule="auto"/>
        <w:jc w:val="both"/>
        <w:rPr>
          <w:rFonts w:ascii="Arial" w:hAnsi="Arial" w:cs="Arial"/>
          <w:sz w:val="24"/>
          <w:szCs w:val="24"/>
        </w:rPr>
      </w:pPr>
      <w:r>
        <w:rPr>
          <w:rFonts w:ascii="Arial" w:hAnsi="Arial" w:cs="Arial"/>
          <w:sz w:val="24"/>
          <w:szCs w:val="24"/>
        </w:rPr>
        <w:t>c</w:t>
      </w:r>
      <w:r w:rsidR="00893ED3">
        <w:rPr>
          <w:rFonts w:ascii="Arial" w:hAnsi="Arial" w:cs="Arial"/>
          <w:sz w:val="24"/>
          <w:szCs w:val="24"/>
        </w:rPr>
        <w:t>)</w:t>
      </w:r>
      <w:r w:rsidR="00893ED3">
        <w:rPr>
          <w:rFonts w:ascii="Arial" w:hAnsi="Arial" w:cs="Arial"/>
          <w:sz w:val="24"/>
          <w:szCs w:val="24"/>
        </w:rPr>
        <w:tab/>
      </w:r>
      <w:r w:rsidR="00893ED3" w:rsidRPr="00893ED3">
        <w:rPr>
          <w:rFonts w:ascii="Arial" w:hAnsi="Arial" w:cs="Arial"/>
          <w:sz w:val="24"/>
          <w:szCs w:val="24"/>
        </w:rPr>
        <w:t>Whether declaratory relief should be granted as set out in the counter application.</w:t>
      </w:r>
    </w:p>
    <w:p w14:paraId="3D9F04DB" w14:textId="77777777" w:rsidR="00893ED3" w:rsidRDefault="00893ED3" w:rsidP="00893ED3">
      <w:pPr>
        <w:spacing w:after="0" w:line="360" w:lineRule="auto"/>
        <w:jc w:val="both"/>
        <w:rPr>
          <w:rFonts w:ascii="Arial" w:hAnsi="Arial" w:cs="Arial"/>
          <w:sz w:val="24"/>
          <w:szCs w:val="24"/>
        </w:rPr>
      </w:pPr>
    </w:p>
    <w:p w14:paraId="26359C9B" w14:textId="77777777" w:rsidR="00160815" w:rsidRDefault="00160815" w:rsidP="00893ED3">
      <w:pPr>
        <w:spacing w:after="0" w:line="360" w:lineRule="auto"/>
        <w:jc w:val="both"/>
        <w:rPr>
          <w:rFonts w:ascii="Arial" w:hAnsi="Arial" w:cs="Arial"/>
          <w:sz w:val="24"/>
          <w:szCs w:val="24"/>
        </w:rPr>
      </w:pPr>
    </w:p>
    <w:p w14:paraId="188A2565" w14:textId="77777777" w:rsidR="00893ED3" w:rsidRPr="00893ED3" w:rsidRDefault="00893ED3" w:rsidP="00893ED3">
      <w:pPr>
        <w:spacing w:after="0" w:line="360" w:lineRule="auto"/>
        <w:jc w:val="both"/>
        <w:rPr>
          <w:rFonts w:ascii="Arial" w:hAnsi="Arial" w:cs="Arial"/>
          <w:b/>
          <w:sz w:val="24"/>
          <w:szCs w:val="24"/>
        </w:rPr>
      </w:pPr>
      <w:r w:rsidRPr="00893ED3">
        <w:rPr>
          <w:rFonts w:ascii="Arial" w:hAnsi="Arial" w:cs="Arial"/>
          <w:b/>
          <w:sz w:val="24"/>
          <w:szCs w:val="24"/>
        </w:rPr>
        <w:t>THE MERITS</w:t>
      </w:r>
    </w:p>
    <w:p w14:paraId="06C95362" w14:textId="301C64AD" w:rsidR="00893ED3" w:rsidRPr="00893ED3" w:rsidRDefault="00893ED3" w:rsidP="00893ED3">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66E3A">
        <w:rPr>
          <w:rFonts w:ascii="Arial" w:hAnsi="Arial" w:cs="Arial"/>
          <w:sz w:val="24"/>
          <w:szCs w:val="24"/>
        </w:rPr>
        <w:t>SEI 1</w:t>
      </w:r>
      <w:r w:rsidRPr="00893ED3">
        <w:rPr>
          <w:rFonts w:ascii="Arial" w:hAnsi="Arial" w:cs="Arial"/>
          <w:sz w:val="24"/>
          <w:szCs w:val="24"/>
        </w:rPr>
        <w:t xml:space="preserve"> was incorporated during 2007 and was established to be an investment company for small investors to invest primarily in the Johannesburg Stock Exchange (JSE) and to take advantage of Broad Based Black Economic Empowerment (BBBEE) and other investment opportunities. SEI 1 invested in both listed and unlisted instruments. It subscribed to BBBEE transactions and invested in collective investment schemes and money market investments. It had approximately 26000 shareholders, mainly black and only a small percentage of shares</w:t>
      </w:r>
      <w:r w:rsidR="00D26FD3">
        <w:rPr>
          <w:rFonts w:ascii="Arial" w:hAnsi="Arial" w:cs="Arial"/>
          <w:sz w:val="24"/>
          <w:szCs w:val="24"/>
        </w:rPr>
        <w:t xml:space="preserve"> are</w:t>
      </w:r>
      <w:r w:rsidRPr="00893ED3">
        <w:rPr>
          <w:rFonts w:ascii="Arial" w:hAnsi="Arial" w:cs="Arial"/>
          <w:sz w:val="24"/>
          <w:szCs w:val="24"/>
        </w:rPr>
        <w:t xml:space="preserve"> held by other races</w:t>
      </w:r>
      <w:r w:rsidRPr="00893ED3">
        <w:rPr>
          <w:rFonts w:ascii="Arial" w:hAnsi="Arial" w:cs="Arial"/>
          <w:sz w:val="24"/>
          <w:szCs w:val="24"/>
        </w:rPr>
        <w:t>.</w:t>
      </w:r>
    </w:p>
    <w:p w14:paraId="74909936" w14:textId="77777777" w:rsidR="00893ED3" w:rsidRDefault="00893ED3" w:rsidP="00893ED3">
      <w:pPr>
        <w:spacing w:after="0" w:line="360" w:lineRule="auto"/>
        <w:jc w:val="both"/>
        <w:rPr>
          <w:rFonts w:ascii="Arial" w:hAnsi="Arial" w:cs="Arial"/>
          <w:sz w:val="24"/>
          <w:szCs w:val="24"/>
        </w:rPr>
      </w:pPr>
    </w:p>
    <w:p w14:paraId="6A5298D0" w14:textId="77777777" w:rsidR="00893ED3" w:rsidRPr="00893ED3" w:rsidRDefault="00893ED3" w:rsidP="00893ED3">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893ED3">
        <w:rPr>
          <w:rFonts w:ascii="Arial" w:hAnsi="Arial" w:cs="Arial"/>
          <w:sz w:val="24"/>
          <w:szCs w:val="24"/>
        </w:rPr>
        <w:t>The seventh respondent became a director of SEI 1 during 2007 until 30 April 2018, and the first respondent became a director during November</w:t>
      </w:r>
      <w:r w:rsidR="0039584A">
        <w:rPr>
          <w:rFonts w:ascii="Arial" w:hAnsi="Arial" w:cs="Arial"/>
          <w:sz w:val="24"/>
          <w:szCs w:val="24"/>
        </w:rPr>
        <w:t xml:space="preserve"> </w:t>
      </w:r>
      <w:r w:rsidRPr="00893ED3">
        <w:rPr>
          <w:rFonts w:ascii="Arial" w:hAnsi="Arial" w:cs="Arial"/>
          <w:sz w:val="24"/>
          <w:szCs w:val="24"/>
        </w:rPr>
        <w:t>2013.</w:t>
      </w:r>
      <w:r>
        <w:rPr>
          <w:rFonts w:ascii="Arial" w:hAnsi="Arial" w:cs="Arial"/>
          <w:sz w:val="24"/>
          <w:szCs w:val="24"/>
        </w:rPr>
        <w:t xml:space="preserve"> </w:t>
      </w:r>
      <w:r w:rsidRPr="00893ED3">
        <w:rPr>
          <w:rFonts w:ascii="Arial" w:hAnsi="Arial" w:cs="Arial"/>
          <w:sz w:val="24"/>
          <w:szCs w:val="24"/>
        </w:rPr>
        <w:t>The second to fifth respondents only became directors during 2017.</w:t>
      </w:r>
    </w:p>
    <w:p w14:paraId="7DBD487D" w14:textId="77777777" w:rsidR="00893ED3" w:rsidRDefault="00893ED3" w:rsidP="00893ED3">
      <w:pPr>
        <w:spacing w:after="0" w:line="360" w:lineRule="auto"/>
        <w:jc w:val="both"/>
        <w:rPr>
          <w:rFonts w:ascii="Arial" w:hAnsi="Arial" w:cs="Arial"/>
          <w:sz w:val="24"/>
          <w:szCs w:val="24"/>
        </w:rPr>
      </w:pPr>
    </w:p>
    <w:p w14:paraId="6192D6F3" w14:textId="2CBA607F" w:rsidR="00893ED3" w:rsidRPr="00893ED3" w:rsidRDefault="00CC6B45" w:rsidP="00893ED3">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893ED3" w:rsidRPr="00893ED3">
        <w:rPr>
          <w:rFonts w:ascii="Arial" w:hAnsi="Arial" w:cs="Arial"/>
          <w:sz w:val="24"/>
          <w:szCs w:val="24"/>
        </w:rPr>
        <w:t>During 2020 CIPC launched a liquidation application against SEI 1, and it was placed under liquidation by order of court on 24 April 2023.</w:t>
      </w:r>
      <w:r>
        <w:rPr>
          <w:rFonts w:ascii="Arial" w:hAnsi="Arial" w:cs="Arial"/>
          <w:sz w:val="24"/>
          <w:szCs w:val="24"/>
        </w:rPr>
        <w:t xml:space="preserve"> </w:t>
      </w:r>
      <w:r w:rsidR="00893ED3" w:rsidRPr="00893ED3">
        <w:rPr>
          <w:rFonts w:ascii="Arial" w:hAnsi="Arial" w:cs="Arial"/>
          <w:sz w:val="24"/>
          <w:szCs w:val="24"/>
        </w:rPr>
        <w:t>The court was informed during the hearing that an appeal against that order was pending in the Supreme Court of Appeal.</w:t>
      </w:r>
    </w:p>
    <w:p w14:paraId="594D05B6" w14:textId="77777777" w:rsidR="00893ED3" w:rsidRDefault="00893ED3" w:rsidP="00893ED3">
      <w:pPr>
        <w:spacing w:after="0" w:line="360" w:lineRule="auto"/>
        <w:jc w:val="both"/>
        <w:rPr>
          <w:rFonts w:ascii="Arial" w:hAnsi="Arial" w:cs="Arial"/>
          <w:sz w:val="24"/>
          <w:szCs w:val="24"/>
        </w:rPr>
      </w:pPr>
    </w:p>
    <w:p w14:paraId="7AE1045C" w14:textId="084E4667" w:rsidR="00893ED3" w:rsidRPr="00893ED3" w:rsidRDefault="00893ED3" w:rsidP="00893ED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Pr="00893ED3">
        <w:rPr>
          <w:rFonts w:ascii="Arial" w:hAnsi="Arial" w:cs="Arial"/>
          <w:sz w:val="24"/>
          <w:szCs w:val="24"/>
        </w:rPr>
        <w:t>CIPC alleges several contraventions of the Act by the respondents, including non-compliance with s 30 of the Act, which deals with the preparation of annual financial statements, a failure to maintain a share-register, non-compliance with s 61(7) of the Act, dealing with the convening of Annual General Meetings (AGM’s).</w:t>
      </w:r>
      <w:r w:rsidR="00CC6B45">
        <w:rPr>
          <w:rFonts w:ascii="Arial" w:hAnsi="Arial" w:cs="Arial"/>
          <w:sz w:val="24"/>
          <w:szCs w:val="24"/>
        </w:rPr>
        <w:t xml:space="preserve"> </w:t>
      </w:r>
      <w:r w:rsidRPr="00893ED3">
        <w:rPr>
          <w:rFonts w:ascii="Arial" w:hAnsi="Arial" w:cs="Arial"/>
          <w:sz w:val="24"/>
          <w:szCs w:val="24"/>
        </w:rPr>
        <w:t>Various other irregularities are also alleged. It is common cause that at least some of the non-</w:t>
      </w:r>
      <w:r w:rsidRPr="00893ED3">
        <w:rPr>
          <w:rFonts w:ascii="Arial" w:hAnsi="Arial" w:cs="Arial"/>
          <w:sz w:val="24"/>
          <w:szCs w:val="24"/>
        </w:rPr>
        <w:lastRenderedPageBreak/>
        <w:t>compliances and irregularities did occur. There is no point in listing all the irregularities and the parties’ respective versions</w:t>
      </w:r>
      <w:r w:rsidR="00DF609D">
        <w:rPr>
          <w:rFonts w:ascii="Arial" w:hAnsi="Arial" w:cs="Arial"/>
          <w:sz w:val="24"/>
          <w:szCs w:val="24"/>
        </w:rPr>
        <w:t xml:space="preserve"> thereof</w:t>
      </w:r>
      <w:r w:rsidRPr="00893ED3">
        <w:rPr>
          <w:rFonts w:ascii="Arial" w:hAnsi="Arial" w:cs="Arial"/>
          <w:sz w:val="24"/>
          <w:szCs w:val="24"/>
        </w:rPr>
        <w:t xml:space="preserve"> here. </w:t>
      </w:r>
    </w:p>
    <w:p w14:paraId="2571372F" w14:textId="77777777" w:rsidR="00893ED3" w:rsidRDefault="00893ED3" w:rsidP="00893ED3">
      <w:pPr>
        <w:spacing w:after="0" w:line="360" w:lineRule="auto"/>
        <w:jc w:val="both"/>
        <w:rPr>
          <w:rFonts w:ascii="Arial" w:hAnsi="Arial" w:cs="Arial"/>
          <w:sz w:val="24"/>
          <w:szCs w:val="24"/>
        </w:rPr>
      </w:pPr>
    </w:p>
    <w:p w14:paraId="035EBFFF" w14:textId="1EEFAC65" w:rsidR="00893ED3" w:rsidRPr="00893ED3" w:rsidRDefault="00893ED3" w:rsidP="00893ED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893ED3">
        <w:rPr>
          <w:rFonts w:ascii="Arial" w:hAnsi="Arial" w:cs="Arial"/>
          <w:sz w:val="24"/>
          <w:szCs w:val="24"/>
        </w:rPr>
        <w:t xml:space="preserve">The respondents blame the previous board, primarily Goosen and </w:t>
      </w:r>
      <w:r w:rsidR="00CB1A94">
        <w:rPr>
          <w:rFonts w:ascii="Arial" w:hAnsi="Arial" w:cs="Arial"/>
          <w:sz w:val="24"/>
          <w:szCs w:val="24"/>
        </w:rPr>
        <w:t>Preller</w:t>
      </w:r>
      <w:r w:rsidRPr="00893ED3">
        <w:rPr>
          <w:rFonts w:ascii="Arial" w:hAnsi="Arial" w:cs="Arial"/>
          <w:sz w:val="24"/>
          <w:szCs w:val="24"/>
        </w:rPr>
        <w:t xml:space="preserve"> for the sorry state of affairs that SEI 1 finds itself in.</w:t>
      </w:r>
      <w:r>
        <w:rPr>
          <w:rFonts w:ascii="Arial" w:hAnsi="Arial" w:cs="Arial"/>
          <w:sz w:val="24"/>
          <w:szCs w:val="24"/>
        </w:rPr>
        <w:t xml:space="preserve"> </w:t>
      </w:r>
      <w:r w:rsidRPr="00893ED3">
        <w:rPr>
          <w:rFonts w:ascii="Arial" w:hAnsi="Arial" w:cs="Arial"/>
          <w:sz w:val="24"/>
          <w:szCs w:val="24"/>
        </w:rPr>
        <w:t xml:space="preserve">It was argued on behalf of the first respondent, that he joined the board long after the malfeasance had begun and although it continued during his tenure, he made numerous attempts to address the problems. The affidavits that he deposed to are replete with examples of the attempts he made to call in the assistance of all involved, including CIPC, all to no avail. He also explains how he and the second to fifth respondents </w:t>
      </w:r>
      <w:r w:rsidR="00E35DF7" w:rsidRPr="00893ED3">
        <w:rPr>
          <w:rFonts w:ascii="Arial" w:hAnsi="Arial" w:cs="Arial"/>
          <w:sz w:val="24"/>
          <w:szCs w:val="24"/>
        </w:rPr>
        <w:t>brought</w:t>
      </w:r>
      <w:r w:rsidRPr="00893ED3">
        <w:rPr>
          <w:rFonts w:ascii="Arial" w:hAnsi="Arial" w:cs="Arial"/>
          <w:sz w:val="24"/>
          <w:szCs w:val="24"/>
        </w:rPr>
        <w:t xml:space="preserve"> SEI 1</w:t>
      </w:r>
      <w:r w:rsidR="00812ACE">
        <w:rPr>
          <w:rFonts w:ascii="Arial" w:hAnsi="Arial" w:cs="Arial"/>
          <w:sz w:val="24"/>
          <w:szCs w:val="24"/>
        </w:rPr>
        <w:t xml:space="preserve"> ultimately</w:t>
      </w:r>
      <w:r w:rsidRPr="00893ED3">
        <w:rPr>
          <w:rFonts w:ascii="Arial" w:hAnsi="Arial" w:cs="Arial"/>
          <w:sz w:val="24"/>
          <w:szCs w:val="24"/>
        </w:rPr>
        <w:t xml:space="preserve"> to compliance. </w:t>
      </w:r>
    </w:p>
    <w:p w14:paraId="64F85CC5" w14:textId="77777777" w:rsidR="00893ED3" w:rsidRDefault="00893ED3" w:rsidP="00893ED3">
      <w:pPr>
        <w:spacing w:after="0" w:line="360" w:lineRule="auto"/>
        <w:jc w:val="both"/>
        <w:rPr>
          <w:rFonts w:ascii="Arial" w:hAnsi="Arial" w:cs="Arial"/>
          <w:sz w:val="24"/>
          <w:szCs w:val="24"/>
        </w:rPr>
      </w:pPr>
    </w:p>
    <w:p w14:paraId="270BE82E" w14:textId="01F296BE" w:rsidR="00893ED3" w:rsidRDefault="00893ED3" w:rsidP="00893ED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893ED3">
        <w:rPr>
          <w:rFonts w:ascii="Arial" w:hAnsi="Arial" w:cs="Arial"/>
          <w:sz w:val="24"/>
          <w:szCs w:val="24"/>
        </w:rPr>
        <w:t xml:space="preserve">The seventh respondent alleges that he raised the problems at SEI 1 with the CIPC. He also blames Goosen and Preller for the initial problems and questioned why they </w:t>
      </w:r>
      <w:r w:rsidR="008B04EB">
        <w:rPr>
          <w:rFonts w:ascii="Arial" w:hAnsi="Arial" w:cs="Arial"/>
          <w:sz w:val="24"/>
          <w:szCs w:val="24"/>
        </w:rPr>
        <w:t>had</w:t>
      </w:r>
      <w:r w:rsidRPr="00893ED3">
        <w:rPr>
          <w:rFonts w:ascii="Arial" w:hAnsi="Arial" w:cs="Arial"/>
          <w:sz w:val="24"/>
          <w:szCs w:val="24"/>
        </w:rPr>
        <w:t xml:space="preserve"> not been cited or joined in this application. His relationship with the other respondents has also broken down and he blames the first respondent for the </w:t>
      </w:r>
      <w:r w:rsidR="00B40134">
        <w:rPr>
          <w:rFonts w:ascii="Arial" w:hAnsi="Arial" w:cs="Arial"/>
          <w:sz w:val="24"/>
          <w:szCs w:val="24"/>
        </w:rPr>
        <w:t>numerous problems</w:t>
      </w:r>
      <w:r w:rsidR="00ED7A0C">
        <w:rPr>
          <w:rFonts w:ascii="Arial" w:hAnsi="Arial" w:cs="Arial"/>
          <w:sz w:val="24"/>
          <w:szCs w:val="24"/>
        </w:rPr>
        <w:t xml:space="preserve"> at SEI 1.</w:t>
      </w:r>
    </w:p>
    <w:p w14:paraId="0FECDA18" w14:textId="77777777" w:rsidR="00CB51C0" w:rsidRDefault="00CB51C0" w:rsidP="00893ED3">
      <w:pPr>
        <w:spacing w:after="0" w:line="360" w:lineRule="auto"/>
        <w:jc w:val="both"/>
        <w:rPr>
          <w:rFonts w:ascii="Arial" w:hAnsi="Arial" w:cs="Arial"/>
          <w:sz w:val="24"/>
          <w:szCs w:val="24"/>
        </w:rPr>
      </w:pPr>
    </w:p>
    <w:p w14:paraId="24F95551" w14:textId="528DA494" w:rsidR="00CB51C0" w:rsidRPr="00893ED3" w:rsidRDefault="00CC6B45" w:rsidP="00893ED3">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B51C0">
        <w:rPr>
          <w:rFonts w:ascii="Arial" w:hAnsi="Arial" w:cs="Arial"/>
          <w:sz w:val="24"/>
          <w:szCs w:val="24"/>
        </w:rPr>
        <w:t>There is a</w:t>
      </w:r>
      <w:r w:rsidR="00395931">
        <w:rPr>
          <w:rFonts w:ascii="Arial" w:hAnsi="Arial" w:cs="Arial"/>
          <w:sz w:val="24"/>
          <w:szCs w:val="24"/>
        </w:rPr>
        <w:t xml:space="preserve"> dispute of fact between all the parties as to whom should carry the blame for the</w:t>
      </w:r>
      <w:r w:rsidR="00D053C3">
        <w:rPr>
          <w:rFonts w:ascii="Arial" w:hAnsi="Arial" w:cs="Arial"/>
          <w:sz w:val="24"/>
          <w:szCs w:val="24"/>
        </w:rPr>
        <w:t xml:space="preserve"> demise of SEI 1 and who caused and/or contributed to the </w:t>
      </w:r>
      <w:r w:rsidR="00B71402">
        <w:rPr>
          <w:rFonts w:ascii="Arial" w:hAnsi="Arial" w:cs="Arial"/>
          <w:sz w:val="24"/>
          <w:szCs w:val="24"/>
        </w:rPr>
        <w:t>non</w:t>
      </w:r>
      <w:r w:rsidR="00F3776C">
        <w:rPr>
          <w:rFonts w:ascii="Arial" w:hAnsi="Arial" w:cs="Arial"/>
          <w:sz w:val="24"/>
          <w:szCs w:val="24"/>
        </w:rPr>
        <w:t>-</w:t>
      </w:r>
      <w:r w:rsidR="00B71402">
        <w:rPr>
          <w:rFonts w:ascii="Arial" w:hAnsi="Arial" w:cs="Arial"/>
          <w:sz w:val="24"/>
          <w:szCs w:val="24"/>
        </w:rPr>
        <w:t xml:space="preserve">compliance with the statutory requirements and even whether there </w:t>
      </w:r>
      <w:r w:rsidR="008B04EB">
        <w:rPr>
          <w:rFonts w:ascii="Arial" w:hAnsi="Arial" w:cs="Arial"/>
          <w:sz w:val="24"/>
          <w:szCs w:val="24"/>
        </w:rPr>
        <w:t>was</w:t>
      </w:r>
      <w:r w:rsidR="00B71402">
        <w:rPr>
          <w:rFonts w:ascii="Arial" w:hAnsi="Arial" w:cs="Arial"/>
          <w:sz w:val="24"/>
          <w:szCs w:val="24"/>
        </w:rPr>
        <w:t xml:space="preserve"> actual </w:t>
      </w:r>
      <w:r w:rsidR="00B71402">
        <w:rPr>
          <w:rFonts w:ascii="Arial" w:hAnsi="Arial" w:cs="Arial"/>
          <w:sz w:val="24"/>
          <w:szCs w:val="24"/>
        </w:rPr>
        <w:t>non-compliance.</w:t>
      </w:r>
    </w:p>
    <w:p w14:paraId="0ED6F4CC" w14:textId="77777777" w:rsidR="00893ED3" w:rsidRDefault="00893ED3" w:rsidP="00893ED3">
      <w:pPr>
        <w:spacing w:after="0" w:line="360" w:lineRule="auto"/>
        <w:jc w:val="both"/>
        <w:rPr>
          <w:rFonts w:ascii="Arial" w:hAnsi="Arial" w:cs="Arial"/>
          <w:sz w:val="24"/>
          <w:szCs w:val="24"/>
        </w:rPr>
      </w:pPr>
    </w:p>
    <w:p w14:paraId="6779DF8B" w14:textId="77777777" w:rsidR="00893ED3" w:rsidRPr="00893ED3" w:rsidRDefault="00893ED3" w:rsidP="00893ED3">
      <w:pPr>
        <w:spacing w:after="0" w:line="360" w:lineRule="auto"/>
        <w:jc w:val="both"/>
        <w:rPr>
          <w:rFonts w:ascii="Arial" w:hAnsi="Arial" w:cs="Arial"/>
          <w:b/>
          <w:sz w:val="24"/>
          <w:szCs w:val="24"/>
        </w:rPr>
      </w:pPr>
      <w:r w:rsidRPr="00893ED3">
        <w:rPr>
          <w:rFonts w:ascii="Arial" w:hAnsi="Arial" w:cs="Arial"/>
          <w:b/>
          <w:sz w:val="24"/>
          <w:szCs w:val="24"/>
        </w:rPr>
        <w:t>LEGAL FRAMEWORK</w:t>
      </w:r>
    </w:p>
    <w:p w14:paraId="4981C27E" w14:textId="2F236A11" w:rsidR="00893ED3" w:rsidRDefault="00893ED3" w:rsidP="00893ED3">
      <w:pPr>
        <w:spacing w:after="0" w:line="360" w:lineRule="auto"/>
        <w:jc w:val="both"/>
        <w:rPr>
          <w:rFonts w:ascii="Arial" w:hAnsi="Arial" w:cs="Arial"/>
          <w:sz w:val="24"/>
          <w:szCs w:val="24"/>
        </w:rPr>
      </w:pPr>
      <w:r>
        <w:rPr>
          <w:rFonts w:ascii="Arial" w:hAnsi="Arial" w:cs="Arial"/>
          <w:sz w:val="24"/>
          <w:szCs w:val="24"/>
        </w:rPr>
        <w:t>1</w:t>
      </w:r>
      <w:r w:rsidR="00CC6B45">
        <w:rPr>
          <w:rFonts w:ascii="Arial" w:hAnsi="Arial" w:cs="Arial"/>
          <w:sz w:val="24"/>
          <w:szCs w:val="24"/>
        </w:rPr>
        <w:t>4</w:t>
      </w:r>
      <w:r>
        <w:rPr>
          <w:rFonts w:ascii="Arial" w:hAnsi="Arial" w:cs="Arial"/>
          <w:sz w:val="24"/>
          <w:szCs w:val="24"/>
        </w:rPr>
        <w:t>.</w:t>
      </w:r>
      <w:r>
        <w:rPr>
          <w:rFonts w:ascii="Arial" w:hAnsi="Arial" w:cs="Arial"/>
          <w:sz w:val="24"/>
          <w:szCs w:val="24"/>
        </w:rPr>
        <w:tab/>
      </w:r>
      <w:r w:rsidRPr="00893ED3">
        <w:rPr>
          <w:rFonts w:ascii="Arial" w:hAnsi="Arial" w:cs="Arial"/>
          <w:sz w:val="24"/>
          <w:szCs w:val="24"/>
        </w:rPr>
        <w:t>Section</w:t>
      </w:r>
      <w:r>
        <w:rPr>
          <w:rFonts w:ascii="Arial" w:hAnsi="Arial" w:cs="Arial"/>
          <w:sz w:val="24"/>
          <w:szCs w:val="24"/>
        </w:rPr>
        <w:t xml:space="preserve"> </w:t>
      </w:r>
      <w:r w:rsidRPr="00893ED3">
        <w:rPr>
          <w:rFonts w:ascii="Arial" w:hAnsi="Arial" w:cs="Arial"/>
          <w:sz w:val="24"/>
          <w:szCs w:val="24"/>
        </w:rPr>
        <w:t>162(3) of the Act reads as follows:</w:t>
      </w:r>
    </w:p>
    <w:p w14:paraId="120F444D" w14:textId="77777777" w:rsidR="0039584A" w:rsidRPr="0039584A" w:rsidRDefault="0039584A" w:rsidP="00893ED3">
      <w:pPr>
        <w:spacing w:after="0" w:line="360" w:lineRule="auto"/>
        <w:jc w:val="both"/>
        <w:rPr>
          <w:rFonts w:ascii="Arial" w:hAnsi="Arial" w:cs="Arial"/>
          <w:szCs w:val="24"/>
        </w:rPr>
      </w:pPr>
      <w:r w:rsidRPr="0039584A">
        <w:rPr>
          <w:rFonts w:ascii="Arial" w:hAnsi="Arial" w:cs="Arial"/>
          <w:szCs w:val="24"/>
        </w:rPr>
        <w:t>‘162</w:t>
      </w:r>
      <w:r>
        <w:rPr>
          <w:rFonts w:ascii="Arial" w:hAnsi="Arial" w:cs="Arial"/>
          <w:szCs w:val="24"/>
        </w:rPr>
        <w:t>.</w:t>
      </w:r>
      <w:r>
        <w:rPr>
          <w:rFonts w:ascii="Arial" w:hAnsi="Arial" w:cs="Arial"/>
          <w:szCs w:val="24"/>
        </w:rPr>
        <w:tab/>
      </w:r>
      <w:r w:rsidRPr="0039584A">
        <w:rPr>
          <w:rFonts w:ascii="Arial" w:hAnsi="Arial" w:cs="Arial"/>
          <w:b/>
          <w:szCs w:val="24"/>
        </w:rPr>
        <w:t>Application to declare director delinquent or under probation</w:t>
      </w:r>
    </w:p>
    <w:p w14:paraId="6EBC005B" w14:textId="77777777" w:rsidR="0039584A" w:rsidRPr="0039584A" w:rsidRDefault="0039584A" w:rsidP="0039584A">
      <w:pPr>
        <w:spacing w:after="0" w:line="360" w:lineRule="auto"/>
        <w:jc w:val="both"/>
        <w:rPr>
          <w:rFonts w:ascii="Arial" w:hAnsi="Arial" w:cs="Arial"/>
          <w:szCs w:val="24"/>
        </w:rPr>
      </w:pPr>
      <w:r w:rsidRPr="0039584A">
        <w:rPr>
          <w:rFonts w:ascii="Arial" w:hAnsi="Arial" w:cs="Arial"/>
          <w:szCs w:val="24"/>
        </w:rPr>
        <w:t>(1)</w:t>
      </w:r>
      <w:r w:rsidRPr="0039584A">
        <w:rPr>
          <w:rFonts w:ascii="Arial" w:hAnsi="Arial" w:cs="Arial"/>
          <w:szCs w:val="24"/>
        </w:rPr>
        <w:tab/>
        <w:t xml:space="preserve">. . . </w:t>
      </w:r>
      <w:bookmarkStart w:id="0" w:name="0-0-0-69253"/>
      <w:bookmarkEnd w:id="0"/>
    </w:p>
    <w:p w14:paraId="3D66A0B7" w14:textId="77777777" w:rsidR="0039584A" w:rsidRPr="0039584A" w:rsidRDefault="0039584A" w:rsidP="0039584A">
      <w:pPr>
        <w:spacing w:after="0" w:line="360" w:lineRule="auto"/>
        <w:jc w:val="both"/>
        <w:rPr>
          <w:rFonts w:ascii="Arial" w:hAnsi="Arial" w:cs="Arial"/>
          <w:szCs w:val="24"/>
        </w:rPr>
      </w:pPr>
      <w:r w:rsidRPr="0039584A">
        <w:rPr>
          <w:rFonts w:ascii="Arial" w:hAnsi="Arial" w:cs="Arial"/>
          <w:szCs w:val="24"/>
        </w:rPr>
        <w:t>(2)</w:t>
      </w:r>
      <w:r w:rsidRPr="0039584A">
        <w:rPr>
          <w:rFonts w:ascii="Arial" w:hAnsi="Arial" w:cs="Arial"/>
          <w:szCs w:val="24"/>
        </w:rPr>
        <w:tab/>
        <w:t xml:space="preserve">. . . </w:t>
      </w:r>
    </w:p>
    <w:p w14:paraId="2530577C" w14:textId="77777777" w:rsidR="0039584A" w:rsidRPr="0039584A" w:rsidRDefault="00893ED3" w:rsidP="0039584A">
      <w:pPr>
        <w:spacing w:after="0" w:line="360" w:lineRule="auto"/>
        <w:jc w:val="both"/>
        <w:rPr>
          <w:rFonts w:ascii="Arial" w:eastAsia="Times New Roman" w:hAnsi="Arial" w:cs="Arial"/>
          <w:color w:val="000000"/>
          <w:kern w:val="0"/>
          <w:szCs w:val="24"/>
          <w:lang w:val="en-ZA" w:eastAsia="en-ZA"/>
          <w14:ligatures w14:val="none"/>
        </w:rPr>
      </w:pPr>
      <w:r w:rsidRPr="00893ED3">
        <w:rPr>
          <w:rFonts w:ascii="Arial" w:eastAsia="Times New Roman" w:hAnsi="Arial" w:cs="Arial"/>
          <w:color w:val="000000"/>
          <w:kern w:val="0"/>
          <w:szCs w:val="24"/>
          <w:lang w:val="en-ZA" w:eastAsia="en-ZA"/>
          <w14:ligatures w14:val="none"/>
        </w:rPr>
        <w:t>(3)</w:t>
      </w:r>
      <w:r w:rsidR="0039584A" w:rsidRPr="0039584A">
        <w:rPr>
          <w:rFonts w:ascii="Arial" w:eastAsia="Times New Roman" w:hAnsi="Arial" w:cs="Arial"/>
          <w:color w:val="000000"/>
          <w:kern w:val="0"/>
          <w:szCs w:val="24"/>
          <w:lang w:val="en-ZA" w:eastAsia="en-ZA"/>
          <w14:ligatures w14:val="none"/>
        </w:rPr>
        <w:tab/>
      </w:r>
      <w:r w:rsidRPr="00893ED3">
        <w:rPr>
          <w:rFonts w:ascii="Arial" w:eastAsia="Times New Roman" w:hAnsi="Arial" w:cs="Arial"/>
          <w:color w:val="000000"/>
          <w:kern w:val="0"/>
          <w:szCs w:val="24"/>
          <w:lang w:val="en-ZA" w:eastAsia="en-ZA"/>
          <w14:ligatures w14:val="none"/>
        </w:rPr>
        <w:t>The Commission or the Panel may apply to a court for an order declaring a person d</w:t>
      </w:r>
      <w:r w:rsidR="0039584A" w:rsidRPr="0039584A">
        <w:rPr>
          <w:rFonts w:ascii="Arial" w:eastAsia="Times New Roman" w:hAnsi="Arial" w:cs="Arial"/>
          <w:color w:val="000000"/>
          <w:kern w:val="0"/>
          <w:szCs w:val="24"/>
          <w:lang w:val="en-ZA" w:eastAsia="en-ZA"/>
          <w14:ligatures w14:val="none"/>
        </w:rPr>
        <w:t>elinquent or under probation if –</w:t>
      </w:r>
      <w:bookmarkStart w:id="1" w:name="0-0-0-69255"/>
      <w:bookmarkEnd w:id="1"/>
    </w:p>
    <w:p w14:paraId="4A990311" w14:textId="77777777" w:rsidR="0039584A" w:rsidRPr="0039584A" w:rsidRDefault="0039584A" w:rsidP="0039584A">
      <w:pPr>
        <w:spacing w:after="0" w:line="360" w:lineRule="auto"/>
        <w:ind w:left="720"/>
        <w:jc w:val="both"/>
        <w:rPr>
          <w:rFonts w:ascii="Arial" w:eastAsia="Times New Roman" w:hAnsi="Arial" w:cs="Arial"/>
          <w:color w:val="000000"/>
          <w:kern w:val="0"/>
          <w:szCs w:val="24"/>
          <w:lang w:val="en-ZA" w:eastAsia="en-ZA"/>
          <w14:ligatures w14:val="none"/>
        </w:rPr>
      </w:pPr>
      <w:r w:rsidRPr="0039584A">
        <w:rPr>
          <w:rFonts w:ascii="Arial" w:eastAsia="Times New Roman" w:hAnsi="Arial" w:cs="Arial"/>
          <w:color w:val="000000"/>
          <w:kern w:val="0"/>
          <w:szCs w:val="24"/>
          <w:lang w:val="en-ZA" w:eastAsia="en-ZA"/>
          <w14:ligatures w14:val="none"/>
        </w:rPr>
        <w:t>(a)</w:t>
      </w:r>
      <w:r w:rsidRPr="0039584A">
        <w:rPr>
          <w:rFonts w:ascii="Arial" w:eastAsia="Times New Roman" w:hAnsi="Arial" w:cs="Arial"/>
          <w:color w:val="000000"/>
          <w:kern w:val="0"/>
          <w:szCs w:val="24"/>
          <w:lang w:val="en-ZA" w:eastAsia="en-ZA"/>
          <w14:ligatures w14:val="none"/>
        </w:rPr>
        <w:tab/>
      </w:r>
      <w:r w:rsidR="00893ED3" w:rsidRPr="00893ED3">
        <w:rPr>
          <w:rFonts w:ascii="Arial" w:eastAsia="Times New Roman" w:hAnsi="Arial" w:cs="Arial"/>
          <w:color w:val="000000"/>
          <w:kern w:val="0"/>
          <w:szCs w:val="24"/>
          <w:lang w:val="en-ZA" w:eastAsia="en-ZA"/>
          <w14:ligatures w14:val="none"/>
        </w:rPr>
        <w:t>the person is a director of a company or, within the 24 months immediately preceding the application, was a director of a company; and</w:t>
      </w:r>
      <w:bookmarkStart w:id="2" w:name="0-0-0-69257"/>
      <w:bookmarkEnd w:id="2"/>
    </w:p>
    <w:p w14:paraId="6B1786E7" w14:textId="77777777" w:rsidR="0039584A" w:rsidRPr="0039584A" w:rsidRDefault="0039584A" w:rsidP="0039584A">
      <w:pPr>
        <w:spacing w:after="0" w:line="360" w:lineRule="auto"/>
        <w:ind w:firstLine="720"/>
        <w:jc w:val="both"/>
        <w:rPr>
          <w:rFonts w:ascii="Arial" w:eastAsia="Times New Roman" w:hAnsi="Arial" w:cs="Arial"/>
          <w:color w:val="000000"/>
          <w:kern w:val="0"/>
          <w:szCs w:val="24"/>
          <w:lang w:val="en-ZA" w:eastAsia="en-ZA"/>
          <w14:ligatures w14:val="none"/>
        </w:rPr>
      </w:pPr>
      <w:r w:rsidRPr="0039584A">
        <w:rPr>
          <w:rFonts w:ascii="Arial" w:eastAsia="Times New Roman" w:hAnsi="Arial" w:cs="Arial"/>
          <w:color w:val="000000"/>
          <w:kern w:val="0"/>
          <w:szCs w:val="24"/>
          <w:lang w:val="en-ZA" w:eastAsia="en-ZA"/>
          <w14:ligatures w14:val="none"/>
        </w:rPr>
        <w:t>(b)</w:t>
      </w:r>
      <w:r w:rsidRPr="0039584A">
        <w:rPr>
          <w:rFonts w:ascii="Arial" w:eastAsia="Times New Roman" w:hAnsi="Arial" w:cs="Arial"/>
          <w:color w:val="000000"/>
          <w:kern w:val="0"/>
          <w:szCs w:val="24"/>
          <w:lang w:val="en-ZA" w:eastAsia="en-ZA"/>
          <w14:ligatures w14:val="none"/>
        </w:rPr>
        <w:tab/>
      </w:r>
      <w:r w:rsidR="00893ED3" w:rsidRPr="00893ED3">
        <w:rPr>
          <w:rFonts w:ascii="Arial" w:eastAsia="Times New Roman" w:hAnsi="Arial" w:cs="Arial"/>
          <w:color w:val="000000"/>
          <w:kern w:val="0"/>
          <w:szCs w:val="24"/>
          <w:lang w:val="en-ZA" w:eastAsia="en-ZA"/>
          <w14:ligatures w14:val="none"/>
        </w:rPr>
        <w:t>any of the circumstances contemplated in</w:t>
      </w:r>
      <w:bookmarkStart w:id="3" w:name="0-0-0-69259"/>
      <w:bookmarkEnd w:id="3"/>
      <w:r w:rsidRPr="0039584A">
        <w:rPr>
          <w:rFonts w:ascii="Arial" w:eastAsia="Times New Roman" w:hAnsi="Arial" w:cs="Arial"/>
          <w:color w:val="000000"/>
          <w:kern w:val="0"/>
          <w:szCs w:val="24"/>
          <w:lang w:val="en-ZA" w:eastAsia="en-ZA"/>
          <w14:ligatures w14:val="none"/>
        </w:rPr>
        <w:t xml:space="preserve"> –</w:t>
      </w:r>
    </w:p>
    <w:p w14:paraId="009F430F" w14:textId="77777777" w:rsidR="0039584A" w:rsidRPr="0039584A" w:rsidRDefault="0039584A" w:rsidP="0039584A">
      <w:pPr>
        <w:spacing w:after="0" w:line="360" w:lineRule="auto"/>
        <w:ind w:left="1440"/>
        <w:jc w:val="both"/>
        <w:rPr>
          <w:rFonts w:ascii="Arial" w:eastAsia="Times New Roman" w:hAnsi="Arial" w:cs="Arial"/>
          <w:color w:val="000000"/>
          <w:kern w:val="0"/>
          <w:szCs w:val="24"/>
          <w:lang w:val="en-ZA" w:eastAsia="en-ZA"/>
          <w14:ligatures w14:val="none"/>
        </w:rPr>
      </w:pPr>
      <w:r w:rsidRPr="0039584A">
        <w:rPr>
          <w:rFonts w:ascii="Arial" w:eastAsia="Times New Roman" w:hAnsi="Arial" w:cs="Arial"/>
          <w:color w:val="000000"/>
          <w:kern w:val="0"/>
          <w:szCs w:val="24"/>
          <w:lang w:val="en-ZA" w:eastAsia="en-ZA"/>
          <w14:ligatures w14:val="none"/>
        </w:rPr>
        <w:t>(i)</w:t>
      </w:r>
      <w:r w:rsidRPr="0039584A">
        <w:rPr>
          <w:rFonts w:ascii="Arial" w:eastAsia="Times New Roman" w:hAnsi="Arial" w:cs="Arial"/>
          <w:color w:val="000000"/>
          <w:kern w:val="0"/>
          <w:szCs w:val="24"/>
          <w:lang w:val="en-ZA" w:eastAsia="en-ZA"/>
          <w14:ligatures w14:val="none"/>
        </w:rPr>
        <w:tab/>
      </w:r>
      <w:r w:rsidR="00893ED3" w:rsidRPr="00893ED3">
        <w:rPr>
          <w:rFonts w:ascii="Arial" w:eastAsia="Times New Roman" w:hAnsi="Arial" w:cs="Arial"/>
          <w:color w:val="000000"/>
          <w:kern w:val="0"/>
          <w:szCs w:val="24"/>
          <w:lang w:val="en-ZA" w:eastAsia="en-ZA"/>
          <w14:ligatures w14:val="none"/>
        </w:rPr>
        <w:t>subsection (5) apply, in the case of an application for a declaration of delinquency; or</w:t>
      </w:r>
      <w:bookmarkStart w:id="4" w:name="0-0-0-69261"/>
      <w:bookmarkEnd w:id="4"/>
    </w:p>
    <w:p w14:paraId="78DC42BB" w14:textId="77777777" w:rsidR="00893ED3" w:rsidRPr="00893ED3" w:rsidRDefault="0039584A" w:rsidP="0039584A">
      <w:pPr>
        <w:spacing w:after="0" w:line="360" w:lineRule="auto"/>
        <w:ind w:left="720" w:firstLine="720"/>
        <w:jc w:val="both"/>
        <w:rPr>
          <w:rFonts w:ascii="Arial" w:eastAsia="Times New Roman" w:hAnsi="Arial" w:cs="Arial"/>
          <w:color w:val="000000"/>
          <w:kern w:val="0"/>
          <w:szCs w:val="24"/>
          <w:lang w:val="en-ZA" w:eastAsia="en-ZA"/>
          <w14:ligatures w14:val="none"/>
        </w:rPr>
      </w:pPr>
      <w:r w:rsidRPr="0039584A">
        <w:rPr>
          <w:rFonts w:ascii="Arial" w:eastAsia="Times New Roman" w:hAnsi="Arial" w:cs="Arial"/>
          <w:color w:val="000000"/>
          <w:kern w:val="0"/>
          <w:szCs w:val="24"/>
          <w:lang w:val="en-ZA" w:eastAsia="en-ZA"/>
          <w14:ligatures w14:val="none"/>
        </w:rPr>
        <w:lastRenderedPageBreak/>
        <w:t>(ii)</w:t>
      </w:r>
      <w:r w:rsidRPr="0039584A">
        <w:rPr>
          <w:rFonts w:ascii="Arial" w:eastAsia="Times New Roman" w:hAnsi="Arial" w:cs="Arial"/>
          <w:color w:val="000000"/>
          <w:kern w:val="0"/>
          <w:szCs w:val="24"/>
          <w:lang w:val="en-ZA" w:eastAsia="en-ZA"/>
          <w14:ligatures w14:val="none"/>
        </w:rPr>
        <w:tab/>
      </w:r>
      <w:r w:rsidR="00893ED3" w:rsidRPr="00893ED3">
        <w:rPr>
          <w:rFonts w:ascii="Arial" w:eastAsia="Times New Roman" w:hAnsi="Arial" w:cs="Arial"/>
          <w:color w:val="000000"/>
          <w:kern w:val="0"/>
          <w:szCs w:val="24"/>
          <w:lang w:val="en-ZA" w:eastAsia="en-ZA"/>
          <w14:ligatures w14:val="none"/>
        </w:rPr>
        <w:t>subsections (7) and (8) apply, in the case of an application for probation.</w:t>
      </w:r>
      <w:r w:rsidRPr="0039584A">
        <w:rPr>
          <w:rFonts w:ascii="Arial" w:eastAsia="Times New Roman" w:hAnsi="Arial" w:cs="Arial"/>
          <w:color w:val="000000"/>
          <w:kern w:val="0"/>
          <w:szCs w:val="24"/>
          <w:lang w:val="en-ZA" w:eastAsia="en-ZA"/>
          <w14:ligatures w14:val="none"/>
        </w:rPr>
        <w:t>’</w:t>
      </w:r>
    </w:p>
    <w:p w14:paraId="34F8E730" w14:textId="77777777" w:rsidR="00893ED3" w:rsidRPr="00893ED3" w:rsidRDefault="00893ED3" w:rsidP="00893ED3">
      <w:pPr>
        <w:spacing w:after="0" w:line="360" w:lineRule="auto"/>
        <w:jc w:val="both"/>
        <w:rPr>
          <w:rFonts w:ascii="Arial" w:hAnsi="Arial" w:cs="Arial"/>
          <w:sz w:val="24"/>
          <w:szCs w:val="24"/>
        </w:rPr>
      </w:pPr>
    </w:p>
    <w:p w14:paraId="4BC9E6FE" w14:textId="764FB954" w:rsidR="0039584A" w:rsidRDefault="0039584A" w:rsidP="0039584A">
      <w:pPr>
        <w:spacing w:after="0" w:line="360" w:lineRule="auto"/>
        <w:jc w:val="both"/>
        <w:rPr>
          <w:rFonts w:ascii="Arial" w:hAnsi="Arial" w:cs="Arial"/>
          <w:sz w:val="24"/>
          <w:szCs w:val="24"/>
        </w:rPr>
      </w:pPr>
      <w:r>
        <w:rPr>
          <w:rFonts w:ascii="Arial" w:hAnsi="Arial" w:cs="Arial"/>
          <w:sz w:val="24"/>
          <w:szCs w:val="24"/>
        </w:rPr>
        <w:t>1</w:t>
      </w:r>
      <w:r w:rsidR="00CC6B45">
        <w:rPr>
          <w:rFonts w:ascii="Arial" w:hAnsi="Arial" w:cs="Arial"/>
          <w:sz w:val="24"/>
          <w:szCs w:val="24"/>
        </w:rPr>
        <w:t>5</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CIPC relies on sections 162(5</w:t>
      </w:r>
      <w:r w:rsidR="00893ED3" w:rsidRPr="0039584A">
        <w:rPr>
          <w:rFonts w:ascii="Arial" w:hAnsi="Arial" w:cs="Arial"/>
          <w:sz w:val="24"/>
          <w:szCs w:val="24"/>
        </w:rPr>
        <w:t>)</w:t>
      </w:r>
      <w:r w:rsidR="00893ED3" w:rsidRPr="0039584A">
        <w:rPr>
          <w:rFonts w:ascii="Arial" w:hAnsi="Arial" w:cs="Arial"/>
          <w:i/>
          <w:sz w:val="24"/>
          <w:szCs w:val="24"/>
        </w:rPr>
        <w:t xml:space="preserve">(c)(aa) </w:t>
      </w:r>
      <w:r w:rsidR="00893ED3" w:rsidRPr="00893ED3">
        <w:rPr>
          <w:rFonts w:ascii="Arial" w:hAnsi="Arial" w:cs="Arial"/>
          <w:sz w:val="24"/>
          <w:szCs w:val="24"/>
        </w:rPr>
        <w:t xml:space="preserve">and </w:t>
      </w:r>
      <w:r w:rsidR="00893ED3" w:rsidRPr="0039584A">
        <w:rPr>
          <w:rFonts w:ascii="Arial" w:hAnsi="Arial" w:cs="Arial"/>
          <w:i/>
          <w:sz w:val="24"/>
          <w:szCs w:val="24"/>
        </w:rPr>
        <w:t xml:space="preserve">(d) </w:t>
      </w:r>
      <w:r w:rsidR="00893ED3" w:rsidRPr="00893ED3">
        <w:rPr>
          <w:rFonts w:ascii="Arial" w:hAnsi="Arial" w:cs="Arial"/>
          <w:sz w:val="24"/>
          <w:szCs w:val="24"/>
        </w:rPr>
        <w:t>of the Act</w:t>
      </w:r>
      <w:r w:rsidR="00F61291">
        <w:rPr>
          <w:rFonts w:ascii="Arial" w:hAnsi="Arial" w:cs="Arial"/>
          <w:sz w:val="24"/>
          <w:szCs w:val="24"/>
        </w:rPr>
        <w:t xml:space="preserve"> </w:t>
      </w:r>
      <w:r w:rsidR="004E37E3">
        <w:rPr>
          <w:rFonts w:ascii="Arial" w:hAnsi="Arial" w:cs="Arial"/>
          <w:sz w:val="24"/>
          <w:szCs w:val="24"/>
        </w:rPr>
        <w:t>for the declaration of delinquency</w:t>
      </w:r>
      <w:r w:rsidR="00893ED3" w:rsidRPr="00893ED3">
        <w:rPr>
          <w:rFonts w:ascii="Arial" w:hAnsi="Arial" w:cs="Arial"/>
          <w:sz w:val="24"/>
          <w:szCs w:val="24"/>
        </w:rPr>
        <w:t xml:space="preserve"> that reads as follows:</w:t>
      </w:r>
    </w:p>
    <w:p w14:paraId="1BAF6DDA" w14:textId="77777777" w:rsidR="0039584A" w:rsidRDefault="0039584A" w:rsidP="0039584A">
      <w:pPr>
        <w:spacing w:after="0" w:line="360" w:lineRule="auto"/>
        <w:jc w:val="both"/>
        <w:rPr>
          <w:rFonts w:ascii="Arial" w:hAnsi="Arial" w:cs="Arial"/>
        </w:rPr>
      </w:pPr>
      <w:r>
        <w:rPr>
          <w:rFonts w:ascii="Arial" w:hAnsi="Arial" w:cs="Arial"/>
          <w:sz w:val="24"/>
          <w:szCs w:val="24"/>
        </w:rPr>
        <w:t>‘</w:t>
      </w:r>
      <w:r w:rsidRPr="0039584A">
        <w:rPr>
          <w:rFonts w:ascii="Arial" w:hAnsi="Arial" w:cs="Arial"/>
        </w:rPr>
        <w:t>(5)</w:t>
      </w:r>
      <w:r>
        <w:rPr>
          <w:rFonts w:ascii="Arial" w:hAnsi="Arial" w:cs="Arial"/>
        </w:rPr>
        <w:tab/>
      </w:r>
      <w:r w:rsidRPr="0039584A">
        <w:rPr>
          <w:rFonts w:ascii="Arial" w:hAnsi="Arial" w:cs="Arial"/>
        </w:rPr>
        <w:t>A court must make an order declaring a person to be a delinquent director if the person</w:t>
      </w:r>
      <w:bookmarkStart w:id="5" w:name="0-0-0-69279"/>
      <w:bookmarkEnd w:id="5"/>
      <w:r>
        <w:rPr>
          <w:rFonts w:ascii="Arial" w:hAnsi="Arial" w:cs="Arial"/>
        </w:rPr>
        <w:t xml:space="preserve"> –</w:t>
      </w:r>
    </w:p>
    <w:p w14:paraId="3415F3ED" w14:textId="77777777" w:rsidR="0039584A" w:rsidRDefault="0039584A" w:rsidP="0039584A">
      <w:pPr>
        <w:spacing w:after="0" w:line="360" w:lineRule="auto"/>
        <w:jc w:val="both"/>
        <w:rPr>
          <w:rFonts w:ascii="Arial" w:hAnsi="Arial" w:cs="Arial"/>
        </w:rPr>
      </w:pPr>
      <w:r>
        <w:rPr>
          <w:rFonts w:ascii="Arial" w:hAnsi="Arial" w:cs="Arial"/>
        </w:rPr>
        <w:t xml:space="preserve">. . . </w:t>
      </w:r>
    </w:p>
    <w:p w14:paraId="493B999F" w14:textId="77777777" w:rsidR="0039584A" w:rsidRDefault="00184F59" w:rsidP="0039584A">
      <w:pPr>
        <w:spacing w:after="0" w:line="360" w:lineRule="auto"/>
        <w:ind w:firstLine="720"/>
        <w:jc w:val="both"/>
        <w:rPr>
          <w:rFonts w:ascii="Arial" w:hAnsi="Arial" w:cs="Arial"/>
        </w:rPr>
      </w:pPr>
      <w:hyperlink r:id="rId9" w:tgtFrame="main" w:history="1">
        <w:r w:rsidR="0039584A" w:rsidRPr="0039584A">
          <w:rPr>
            <w:rStyle w:val="Hyperlink"/>
            <w:rFonts w:ascii="Arial" w:hAnsi="Arial" w:cs="Arial"/>
            <w:i/>
            <w:iCs/>
            <w:color w:val="auto"/>
            <w:u w:val="none"/>
          </w:rPr>
          <w:t>(c)</w:t>
        </w:r>
      </w:hyperlink>
      <w:r w:rsidR="0039584A">
        <w:rPr>
          <w:rFonts w:ascii="Arial" w:hAnsi="Arial" w:cs="Arial"/>
        </w:rPr>
        <w:tab/>
      </w:r>
      <w:r w:rsidR="0039584A" w:rsidRPr="0039584A">
        <w:rPr>
          <w:rFonts w:ascii="Arial" w:hAnsi="Arial" w:cs="Arial"/>
        </w:rPr>
        <w:t>while a director</w:t>
      </w:r>
      <w:r w:rsidR="0039584A">
        <w:rPr>
          <w:rFonts w:ascii="Arial" w:hAnsi="Arial" w:cs="Arial"/>
        </w:rPr>
        <w:t xml:space="preserve"> –</w:t>
      </w:r>
      <w:bookmarkStart w:id="6" w:name="0-0-0-69291"/>
      <w:bookmarkEnd w:id="6"/>
    </w:p>
    <w:p w14:paraId="0E815064" w14:textId="77777777" w:rsidR="0039584A" w:rsidRDefault="0039584A" w:rsidP="0039584A">
      <w:pPr>
        <w:spacing w:after="0" w:line="360" w:lineRule="auto"/>
        <w:ind w:firstLine="720"/>
        <w:jc w:val="both"/>
        <w:rPr>
          <w:rFonts w:ascii="Arial" w:hAnsi="Arial" w:cs="Arial"/>
        </w:rPr>
      </w:pPr>
      <w:r>
        <w:rPr>
          <w:rFonts w:ascii="Arial" w:hAnsi="Arial" w:cs="Arial"/>
        </w:rPr>
        <w:t xml:space="preserve">. . . </w:t>
      </w:r>
    </w:p>
    <w:p w14:paraId="11F5C7D3" w14:textId="77777777" w:rsidR="0039584A" w:rsidRDefault="0039584A" w:rsidP="0039584A">
      <w:pPr>
        <w:spacing w:after="0" w:line="360" w:lineRule="auto"/>
        <w:ind w:left="1440"/>
        <w:jc w:val="both"/>
        <w:rPr>
          <w:rFonts w:ascii="Arial" w:hAnsi="Arial" w:cs="Arial"/>
        </w:rPr>
      </w:pPr>
      <w:r w:rsidRPr="0039584A">
        <w:rPr>
          <w:rFonts w:ascii="Arial" w:hAnsi="Arial" w:cs="Arial"/>
          <w:i/>
          <w:iCs/>
        </w:rPr>
        <w:t>(aa)</w:t>
      </w:r>
      <w:r w:rsidRPr="0039584A">
        <w:rPr>
          <w:rFonts w:ascii="Arial" w:hAnsi="Arial" w:cs="Arial"/>
        </w:rPr>
        <w:t>   that amounted to gross negligence, willful misconduct or breach of trust in relation to the performance of the director's functions within, and duties to, the company; or</w:t>
      </w:r>
    </w:p>
    <w:p w14:paraId="1CFFA5AC" w14:textId="77777777" w:rsidR="0039584A" w:rsidRPr="0039584A" w:rsidRDefault="0039584A" w:rsidP="0039584A">
      <w:pPr>
        <w:spacing w:after="0" w:line="360" w:lineRule="auto"/>
        <w:jc w:val="both"/>
        <w:rPr>
          <w:rFonts w:ascii="Arial" w:hAnsi="Arial" w:cs="Arial"/>
        </w:rPr>
      </w:pPr>
      <w:r>
        <w:rPr>
          <w:rFonts w:ascii="Arial" w:hAnsi="Arial" w:cs="Arial"/>
          <w:i/>
          <w:iCs/>
        </w:rPr>
        <w:tab/>
      </w:r>
      <w:r>
        <w:rPr>
          <w:rFonts w:ascii="Arial" w:hAnsi="Arial" w:cs="Arial"/>
          <w:iCs/>
        </w:rPr>
        <w:t xml:space="preserve">. . . </w:t>
      </w:r>
    </w:p>
    <w:p w14:paraId="16837DEB" w14:textId="77777777" w:rsidR="0039584A" w:rsidRPr="0039584A" w:rsidRDefault="0039584A" w:rsidP="0039584A">
      <w:pPr>
        <w:spacing w:after="0" w:line="360" w:lineRule="auto"/>
        <w:jc w:val="both"/>
        <w:rPr>
          <w:rFonts w:ascii="Arial" w:hAnsi="Arial" w:cs="Arial"/>
        </w:rPr>
      </w:pPr>
      <w:r w:rsidRPr="0039584A">
        <w:rPr>
          <w:rFonts w:ascii="Arial" w:hAnsi="Arial" w:cs="Arial"/>
        </w:rPr>
        <w:t> </w:t>
      </w:r>
      <w:bookmarkStart w:id="7" w:name="0-0-0-69297"/>
      <w:bookmarkEnd w:id="7"/>
      <w:r>
        <w:rPr>
          <w:rFonts w:ascii="Arial" w:hAnsi="Arial" w:cs="Arial"/>
        </w:rPr>
        <w:tab/>
      </w:r>
      <w:r w:rsidRPr="0039584A">
        <w:rPr>
          <w:rFonts w:ascii="Arial" w:hAnsi="Arial" w:cs="Arial"/>
          <w:i/>
          <w:iCs/>
        </w:rPr>
        <w:t>(d)</w:t>
      </w:r>
      <w:r w:rsidRPr="0039584A">
        <w:rPr>
          <w:rFonts w:ascii="Arial" w:hAnsi="Arial" w:cs="Arial"/>
        </w:rPr>
        <w:t>   has repeatedly been personally subject to a compliance notice or similar enforcement mechanism, for substantially similar conduct, in terms of any legislation</w:t>
      </w:r>
      <w:r>
        <w:rPr>
          <w:rFonts w:ascii="Arial" w:hAnsi="Arial" w:cs="Arial"/>
        </w:rPr>
        <w:t>.’</w:t>
      </w:r>
    </w:p>
    <w:p w14:paraId="4D827052" w14:textId="77777777" w:rsidR="00893ED3" w:rsidRPr="00893ED3" w:rsidRDefault="00893ED3" w:rsidP="00893ED3">
      <w:pPr>
        <w:spacing w:after="0" w:line="360" w:lineRule="auto"/>
        <w:jc w:val="both"/>
        <w:rPr>
          <w:rFonts w:ascii="Arial" w:hAnsi="Arial" w:cs="Arial"/>
          <w:sz w:val="24"/>
          <w:szCs w:val="24"/>
        </w:rPr>
      </w:pPr>
    </w:p>
    <w:p w14:paraId="201BCC5D" w14:textId="07BF99C4" w:rsidR="00893ED3" w:rsidRPr="003662E9" w:rsidRDefault="0039584A" w:rsidP="003662E9">
      <w:pPr>
        <w:pStyle w:val="Heading2"/>
        <w:shd w:val="clear" w:color="auto" w:fill="FFFFFF"/>
        <w:spacing w:before="0" w:after="0" w:line="360" w:lineRule="auto"/>
        <w:jc w:val="both"/>
        <w:rPr>
          <w:rFonts w:ascii="Arial" w:hAnsi="Arial" w:cs="Arial"/>
          <w:b w:val="0"/>
          <w:i w:val="0"/>
          <w:sz w:val="24"/>
          <w:szCs w:val="24"/>
        </w:rPr>
      </w:pPr>
      <w:r w:rsidRPr="0039584A">
        <w:rPr>
          <w:rFonts w:ascii="Arial" w:hAnsi="Arial" w:cs="Arial"/>
          <w:b w:val="0"/>
          <w:i w:val="0"/>
          <w:sz w:val="24"/>
          <w:szCs w:val="24"/>
        </w:rPr>
        <w:t>1</w:t>
      </w:r>
      <w:r w:rsidR="00CC6B45">
        <w:rPr>
          <w:rFonts w:ascii="Arial" w:hAnsi="Arial" w:cs="Arial"/>
          <w:b w:val="0"/>
          <w:i w:val="0"/>
          <w:sz w:val="24"/>
          <w:szCs w:val="24"/>
        </w:rPr>
        <w:t>6</w:t>
      </w:r>
      <w:r w:rsidRPr="0039584A">
        <w:rPr>
          <w:rFonts w:ascii="Arial" w:hAnsi="Arial" w:cs="Arial"/>
          <w:b w:val="0"/>
          <w:i w:val="0"/>
          <w:sz w:val="24"/>
          <w:szCs w:val="24"/>
        </w:rPr>
        <w:t>.</w:t>
      </w:r>
      <w:r w:rsidRPr="0039584A">
        <w:rPr>
          <w:rFonts w:ascii="Arial" w:hAnsi="Arial" w:cs="Arial"/>
          <w:b w:val="0"/>
          <w:i w:val="0"/>
          <w:sz w:val="24"/>
          <w:szCs w:val="24"/>
        </w:rPr>
        <w:tab/>
      </w:r>
      <w:r w:rsidR="00893ED3" w:rsidRPr="0039584A">
        <w:rPr>
          <w:rFonts w:ascii="Arial" w:hAnsi="Arial" w:cs="Arial"/>
          <w:b w:val="0"/>
          <w:i w:val="0"/>
          <w:sz w:val="24"/>
          <w:szCs w:val="24"/>
        </w:rPr>
        <w:t>It was argued on behalf of CIPC that the aforesaid section is prescriptive and does not afford the court</w:t>
      </w:r>
      <w:r w:rsidR="00BD6AC1">
        <w:rPr>
          <w:rFonts w:ascii="Arial" w:hAnsi="Arial" w:cs="Arial"/>
          <w:b w:val="0"/>
          <w:i w:val="0"/>
          <w:sz w:val="24"/>
          <w:szCs w:val="24"/>
        </w:rPr>
        <w:t xml:space="preserve"> any</w:t>
      </w:r>
      <w:r w:rsidR="00893ED3" w:rsidRPr="0039584A">
        <w:rPr>
          <w:rFonts w:ascii="Arial" w:hAnsi="Arial" w:cs="Arial"/>
          <w:b w:val="0"/>
          <w:i w:val="0"/>
          <w:sz w:val="24"/>
          <w:szCs w:val="24"/>
        </w:rPr>
        <w:t xml:space="preserve"> discretion. In </w:t>
      </w:r>
      <w:r w:rsidRPr="003662E9">
        <w:rPr>
          <w:rFonts w:ascii="Arial" w:hAnsi="Arial" w:cs="Arial"/>
          <w:b w:val="0"/>
          <w:bCs w:val="0"/>
          <w:color w:val="auto"/>
          <w:sz w:val="24"/>
          <w:szCs w:val="24"/>
        </w:rPr>
        <w:t>Gihwala and Others v Grancy Property Ltd and Others</w:t>
      </w:r>
      <w:r w:rsidR="00A36B7C" w:rsidRPr="00A36B7C">
        <w:rPr>
          <w:rStyle w:val="FootnoteReference"/>
          <w:rFonts w:ascii="Arial" w:hAnsi="Arial" w:cs="Arial"/>
          <w:b w:val="0"/>
          <w:bCs w:val="0"/>
          <w:i w:val="0"/>
          <w:color w:val="auto"/>
          <w:sz w:val="24"/>
          <w:szCs w:val="24"/>
        </w:rPr>
        <w:footnoteReference w:id="1"/>
      </w:r>
      <w:r w:rsidR="00A36B7C" w:rsidRPr="00A36B7C">
        <w:rPr>
          <w:rFonts w:ascii="Arial" w:hAnsi="Arial" w:cs="Arial"/>
          <w:b w:val="0"/>
          <w:bCs w:val="0"/>
          <w:i w:val="0"/>
          <w:color w:val="auto"/>
          <w:sz w:val="24"/>
          <w:szCs w:val="24"/>
        </w:rPr>
        <w:t xml:space="preserve"> </w:t>
      </w:r>
      <w:r w:rsidR="00893ED3" w:rsidRPr="003662E9">
        <w:rPr>
          <w:rFonts w:ascii="Arial" w:hAnsi="Arial" w:cs="Arial"/>
          <w:b w:val="0"/>
          <w:i w:val="0"/>
          <w:sz w:val="24"/>
          <w:szCs w:val="24"/>
        </w:rPr>
        <w:t>(</w:t>
      </w:r>
      <w:r w:rsidR="00893ED3" w:rsidRPr="003662E9">
        <w:rPr>
          <w:rFonts w:ascii="Arial" w:hAnsi="Arial" w:cs="Arial"/>
          <w:b w:val="0"/>
          <w:sz w:val="24"/>
          <w:szCs w:val="24"/>
        </w:rPr>
        <w:t>Gihwala</w:t>
      </w:r>
      <w:r w:rsidR="00893ED3" w:rsidRPr="003662E9">
        <w:rPr>
          <w:rFonts w:ascii="Arial" w:hAnsi="Arial" w:cs="Arial"/>
          <w:b w:val="0"/>
          <w:i w:val="0"/>
          <w:sz w:val="24"/>
          <w:szCs w:val="24"/>
        </w:rPr>
        <w:t>) the Supreme Court of Appeal ruled that a delinquency order against two directors were justified as their conduct fell within the scope of s 162(5)</w:t>
      </w:r>
      <w:r w:rsidR="00893ED3" w:rsidRPr="003662E9">
        <w:rPr>
          <w:rFonts w:ascii="Arial" w:hAnsi="Arial" w:cs="Arial"/>
          <w:b w:val="0"/>
          <w:sz w:val="24"/>
          <w:szCs w:val="24"/>
        </w:rPr>
        <w:t>(c)</w:t>
      </w:r>
      <w:r w:rsidR="00893ED3" w:rsidRPr="003662E9">
        <w:rPr>
          <w:rFonts w:ascii="Arial" w:hAnsi="Arial" w:cs="Arial"/>
          <w:b w:val="0"/>
          <w:i w:val="0"/>
          <w:sz w:val="24"/>
          <w:szCs w:val="24"/>
        </w:rPr>
        <w:t>. S</w:t>
      </w:r>
      <w:r w:rsidR="003662E9">
        <w:rPr>
          <w:rFonts w:ascii="Arial" w:hAnsi="Arial" w:cs="Arial"/>
          <w:b w:val="0"/>
          <w:i w:val="0"/>
          <w:sz w:val="24"/>
          <w:szCs w:val="24"/>
        </w:rPr>
        <w:t>ection</w:t>
      </w:r>
      <w:r w:rsidR="00893ED3" w:rsidRPr="003662E9">
        <w:rPr>
          <w:rFonts w:ascii="Arial" w:hAnsi="Arial" w:cs="Arial"/>
          <w:b w:val="0"/>
          <w:i w:val="0"/>
          <w:sz w:val="24"/>
          <w:szCs w:val="24"/>
        </w:rPr>
        <w:t xml:space="preserve"> 162(5)</w:t>
      </w:r>
      <w:r w:rsidR="00893ED3" w:rsidRPr="003662E9">
        <w:rPr>
          <w:rFonts w:ascii="Arial" w:hAnsi="Arial" w:cs="Arial"/>
          <w:b w:val="0"/>
          <w:sz w:val="24"/>
          <w:szCs w:val="24"/>
        </w:rPr>
        <w:t>(c)</w:t>
      </w:r>
      <w:r w:rsidR="00893ED3" w:rsidRPr="003662E9">
        <w:rPr>
          <w:rFonts w:ascii="Arial" w:hAnsi="Arial" w:cs="Arial"/>
          <w:b w:val="0"/>
          <w:i w:val="0"/>
          <w:sz w:val="24"/>
          <w:szCs w:val="24"/>
        </w:rPr>
        <w:t xml:space="preserve"> read with s 162(6)</w:t>
      </w:r>
      <w:r w:rsidR="00893ED3" w:rsidRPr="003662E9">
        <w:rPr>
          <w:rFonts w:ascii="Arial" w:hAnsi="Arial" w:cs="Arial"/>
          <w:b w:val="0"/>
          <w:sz w:val="24"/>
          <w:szCs w:val="24"/>
        </w:rPr>
        <w:t>(b)</w:t>
      </w:r>
      <w:r w:rsidR="00893ED3" w:rsidRPr="003662E9">
        <w:rPr>
          <w:rFonts w:ascii="Arial" w:hAnsi="Arial" w:cs="Arial"/>
          <w:b w:val="0"/>
          <w:i w:val="0"/>
          <w:sz w:val="24"/>
          <w:szCs w:val="24"/>
        </w:rPr>
        <w:t>(ii) does not give a court a discretion</w:t>
      </w:r>
      <w:r w:rsidR="00CA5ACC">
        <w:rPr>
          <w:rFonts w:ascii="Arial" w:hAnsi="Arial" w:cs="Arial"/>
          <w:b w:val="0"/>
          <w:i w:val="0"/>
          <w:sz w:val="24"/>
          <w:szCs w:val="24"/>
        </w:rPr>
        <w:t xml:space="preserve"> to refuse a </w:t>
      </w:r>
      <w:r w:rsidR="00A84600">
        <w:rPr>
          <w:rFonts w:ascii="Arial" w:hAnsi="Arial" w:cs="Arial"/>
          <w:b w:val="0"/>
          <w:i w:val="0"/>
          <w:sz w:val="24"/>
          <w:szCs w:val="24"/>
        </w:rPr>
        <w:t>declaration of delinquency</w:t>
      </w:r>
      <w:r w:rsidR="00893ED3" w:rsidRPr="003662E9">
        <w:rPr>
          <w:rFonts w:ascii="Arial" w:hAnsi="Arial" w:cs="Arial"/>
          <w:b w:val="0"/>
          <w:i w:val="0"/>
          <w:sz w:val="24"/>
          <w:szCs w:val="24"/>
        </w:rPr>
        <w:t xml:space="preserve"> if the requirements of the section are met. The court held that s</w:t>
      </w:r>
      <w:r w:rsidR="003662E9">
        <w:rPr>
          <w:rFonts w:ascii="Arial" w:hAnsi="Arial" w:cs="Arial"/>
          <w:b w:val="0"/>
          <w:i w:val="0"/>
          <w:sz w:val="24"/>
          <w:szCs w:val="24"/>
        </w:rPr>
        <w:t xml:space="preserve"> </w:t>
      </w:r>
      <w:r w:rsidR="00893ED3" w:rsidRPr="003662E9">
        <w:rPr>
          <w:rFonts w:ascii="Arial" w:hAnsi="Arial" w:cs="Arial"/>
          <w:b w:val="0"/>
          <w:i w:val="0"/>
          <w:sz w:val="24"/>
          <w:szCs w:val="24"/>
        </w:rPr>
        <w:t>162 passes constitutional muster it was stated as follows: ‘Patently it is an appropriate and proportionate response by the legislature to the problem of delinquent directors and the harm they may cause to the public who place their trust in them’ and ‘</w:t>
      </w:r>
      <w:r w:rsidR="00A36B7C">
        <w:rPr>
          <w:rFonts w:ascii="Arial" w:hAnsi="Arial" w:cs="Arial"/>
          <w:b w:val="0"/>
          <w:i w:val="0"/>
          <w:sz w:val="24"/>
          <w:szCs w:val="24"/>
        </w:rPr>
        <w:t>r</w:t>
      </w:r>
      <w:r w:rsidR="00893ED3" w:rsidRPr="003662E9">
        <w:rPr>
          <w:rFonts w:ascii="Arial" w:hAnsi="Arial" w:cs="Arial"/>
          <w:b w:val="0"/>
          <w:i w:val="0"/>
          <w:sz w:val="24"/>
          <w:szCs w:val="24"/>
        </w:rPr>
        <w:t>ationality is the touchstone of legislative validity, and</w:t>
      </w:r>
      <w:r w:rsidR="003662E9">
        <w:rPr>
          <w:rFonts w:ascii="Arial" w:hAnsi="Arial" w:cs="Arial"/>
          <w:b w:val="0"/>
          <w:i w:val="0"/>
          <w:sz w:val="24"/>
          <w:szCs w:val="24"/>
        </w:rPr>
        <w:t xml:space="preserve"> s 162(5)</w:t>
      </w:r>
      <w:r w:rsidR="00893ED3" w:rsidRPr="003662E9">
        <w:rPr>
          <w:rFonts w:ascii="Arial" w:hAnsi="Arial" w:cs="Arial"/>
          <w:b w:val="0"/>
          <w:sz w:val="24"/>
          <w:szCs w:val="24"/>
        </w:rPr>
        <w:t>(c)</w:t>
      </w:r>
      <w:r w:rsidR="00893ED3" w:rsidRPr="003662E9">
        <w:rPr>
          <w:rFonts w:ascii="Arial" w:hAnsi="Arial" w:cs="Arial"/>
          <w:b w:val="0"/>
          <w:i w:val="0"/>
          <w:sz w:val="24"/>
          <w:szCs w:val="24"/>
        </w:rPr>
        <w:t xml:space="preserve"> read with s 162(6)</w:t>
      </w:r>
      <w:r w:rsidR="00893ED3" w:rsidRPr="003662E9">
        <w:rPr>
          <w:rFonts w:ascii="Arial" w:hAnsi="Arial" w:cs="Arial"/>
          <w:b w:val="0"/>
          <w:sz w:val="24"/>
          <w:szCs w:val="24"/>
        </w:rPr>
        <w:t>(b)</w:t>
      </w:r>
      <w:r w:rsidR="00893ED3" w:rsidRPr="003662E9">
        <w:rPr>
          <w:rFonts w:ascii="Arial" w:hAnsi="Arial" w:cs="Arial"/>
          <w:b w:val="0"/>
          <w:i w:val="0"/>
          <w:sz w:val="24"/>
          <w:szCs w:val="24"/>
        </w:rPr>
        <w:t>(ii),</w:t>
      </w:r>
      <w:r w:rsidR="003662E9">
        <w:rPr>
          <w:rFonts w:ascii="Arial" w:hAnsi="Arial" w:cs="Arial"/>
          <w:b w:val="0"/>
          <w:i w:val="0"/>
          <w:sz w:val="24"/>
          <w:szCs w:val="24"/>
        </w:rPr>
        <w:t xml:space="preserve"> is rational’.</w:t>
      </w:r>
      <w:r w:rsidR="00A36B7C">
        <w:rPr>
          <w:rStyle w:val="FootnoteReference"/>
          <w:rFonts w:ascii="Arial" w:hAnsi="Arial" w:cs="Arial"/>
          <w:b w:val="0"/>
          <w:i w:val="0"/>
          <w:sz w:val="24"/>
          <w:szCs w:val="24"/>
        </w:rPr>
        <w:footnoteReference w:id="2"/>
      </w:r>
      <w:r w:rsidR="003662E9">
        <w:rPr>
          <w:rFonts w:ascii="Arial" w:hAnsi="Arial" w:cs="Arial"/>
          <w:b w:val="0"/>
          <w:i w:val="0"/>
          <w:sz w:val="24"/>
          <w:szCs w:val="24"/>
        </w:rPr>
        <w:t xml:space="preserve"> </w:t>
      </w:r>
    </w:p>
    <w:p w14:paraId="657BC5B4" w14:textId="77777777" w:rsidR="003662E9" w:rsidRDefault="003662E9" w:rsidP="00893ED3">
      <w:pPr>
        <w:spacing w:after="0" w:line="360" w:lineRule="auto"/>
        <w:jc w:val="both"/>
        <w:rPr>
          <w:rFonts w:ascii="Arial" w:hAnsi="Arial" w:cs="Arial"/>
          <w:sz w:val="24"/>
          <w:szCs w:val="24"/>
        </w:rPr>
      </w:pPr>
    </w:p>
    <w:p w14:paraId="585C73E3" w14:textId="72CCF95B" w:rsidR="00893ED3" w:rsidRDefault="003662E9" w:rsidP="00893ED3">
      <w:pPr>
        <w:spacing w:after="0" w:line="360" w:lineRule="auto"/>
        <w:jc w:val="both"/>
        <w:rPr>
          <w:rFonts w:ascii="Arial" w:hAnsi="Arial" w:cs="Arial"/>
          <w:sz w:val="24"/>
          <w:szCs w:val="24"/>
        </w:rPr>
      </w:pPr>
      <w:r>
        <w:rPr>
          <w:rFonts w:ascii="Arial" w:hAnsi="Arial" w:cs="Arial"/>
          <w:sz w:val="24"/>
          <w:szCs w:val="24"/>
        </w:rPr>
        <w:t>1</w:t>
      </w:r>
      <w:r w:rsidR="00CC6B45">
        <w:rPr>
          <w:rFonts w:ascii="Arial" w:hAnsi="Arial" w:cs="Arial"/>
          <w:sz w:val="24"/>
          <w:szCs w:val="24"/>
        </w:rPr>
        <w:t>7</w:t>
      </w:r>
      <w:r>
        <w:rPr>
          <w:rFonts w:ascii="Arial" w:hAnsi="Arial" w:cs="Arial"/>
          <w:sz w:val="24"/>
          <w:szCs w:val="24"/>
        </w:rPr>
        <w:t>.</w:t>
      </w:r>
      <w:r w:rsidR="00CC6B45">
        <w:rPr>
          <w:rFonts w:ascii="Arial" w:hAnsi="Arial" w:cs="Arial"/>
          <w:sz w:val="24"/>
          <w:szCs w:val="24"/>
        </w:rPr>
        <w:tab/>
      </w:r>
      <w:r w:rsidR="00893ED3" w:rsidRPr="00893ED3">
        <w:rPr>
          <w:rFonts w:ascii="Arial" w:hAnsi="Arial" w:cs="Arial"/>
          <w:sz w:val="24"/>
          <w:szCs w:val="24"/>
        </w:rPr>
        <w:t>Regarding the challenge under s</w:t>
      </w:r>
      <w:r>
        <w:rPr>
          <w:rFonts w:ascii="Arial" w:hAnsi="Arial" w:cs="Arial"/>
          <w:sz w:val="24"/>
          <w:szCs w:val="24"/>
        </w:rPr>
        <w:t xml:space="preserve"> </w:t>
      </w:r>
      <w:r w:rsidR="00893ED3" w:rsidRPr="00893ED3">
        <w:rPr>
          <w:rFonts w:ascii="Arial" w:hAnsi="Arial" w:cs="Arial"/>
          <w:sz w:val="24"/>
          <w:szCs w:val="24"/>
        </w:rPr>
        <w:t>34 of the Constitution the court said the following</w:t>
      </w:r>
      <w:r w:rsidR="00A36B7C">
        <w:rPr>
          <w:rFonts w:ascii="Arial" w:hAnsi="Arial" w:cs="Arial"/>
          <w:sz w:val="24"/>
          <w:szCs w:val="24"/>
        </w:rPr>
        <w:t>:</w:t>
      </w:r>
      <w:r w:rsidR="00A36B7C">
        <w:rPr>
          <w:rStyle w:val="FootnoteReference"/>
          <w:rFonts w:ascii="Arial" w:hAnsi="Arial" w:cs="Arial"/>
          <w:sz w:val="24"/>
          <w:szCs w:val="24"/>
        </w:rPr>
        <w:footnoteReference w:id="3"/>
      </w:r>
    </w:p>
    <w:p w14:paraId="6DD6C213" w14:textId="77777777" w:rsidR="003662E9" w:rsidRPr="003662E9" w:rsidRDefault="003662E9" w:rsidP="003662E9">
      <w:pPr>
        <w:pStyle w:val="NoSpacing"/>
        <w:spacing w:line="360" w:lineRule="auto"/>
        <w:jc w:val="both"/>
        <w:rPr>
          <w:rFonts w:ascii="Arial" w:hAnsi="Arial" w:cs="Arial"/>
        </w:rPr>
      </w:pPr>
      <w:r>
        <w:rPr>
          <w:rFonts w:ascii="Arial" w:hAnsi="Arial" w:cs="Arial"/>
        </w:rPr>
        <w:t>‘</w:t>
      </w:r>
      <w:r w:rsidRPr="003662E9">
        <w:rPr>
          <w:rFonts w:ascii="Arial" w:hAnsi="Arial" w:cs="Arial"/>
        </w:rPr>
        <w:t xml:space="preserve">The challenge under s 34 was misconceived. The court is involved at every stage of an enquiry under s 162(5). It is the court that makes the findings on which a delinquency order rests. It is the </w:t>
      </w:r>
      <w:r w:rsidRPr="003662E9">
        <w:rPr>
          <w:rFonts w:ascii="Arial" w:hAnsi="Arial" w:cs="Arial"/>
        </w:rPr>
        <w:lastRenderedPageBreak/>
        <w:t>court that decides whether the period of delinquency should be greater than seven years or should be limited to particular categories of company and whether conditions should be attached to a delinquency order and, if so, their terms. It is to the court that a delinquent director turns if they believe that the period of delinquency should be converted into one of probation. The fact that a delinquency order of a specific duration follows upon the factual finding by a court that the director is delinquent is no different from any other provision that provides for a statutory consequence to follow upon a finding in judicial proceedings. It is apparent therefore that before a declaration of delinquency is made the errant director has an entirely fair hearing before a court. It is not the absence of a fair hearing that is in issue but the consequences of an adverse decision. That consequence cannot be challenged under s 34 on the basis that the delinquent director has been deprived of a right of access to court. It can only be challenged on the basis that it is an irrational legislative response to the particular problem, in this case that of directors’ delinquency. It stands on the same footing as any statutory provision that disqualifies a person from pursuing a trade, occupation or profession in consequence of their disability or misconduct. Countless examples of such disqualifications such as minority, insanity, insolvency, criminal conduct, other misconduct or absence of qualification are to be found in legislation.</w:t>
      </w:r>
      <w:r w:rsidRPr="003662E9">
        <w:rPr>
          <w:rStyle w:val="FootnoteReference"/>
          <w:rFonts w:ascii="Arial" w:hAnsi="Arial" w:cs="Arial"/>
        </w:rPr>
        <w:footnoteReference w:id="4"/>
      </w:r>
    </w:p>
    <w:p w14:paraId="62E04158" w14:textId="77777777" w:rsidR="003662E9" w:rsidRPr="00893ED3" w:rsidRDefault="003662E9" w:rsidP="00893ED3">
      <w:pPr>
        <w:spacing w:after="0" w:line="360" w:lineRule="auto"/>
        <w:jc w:val="both"/>
        <w:rPr>
          <w:rFonts w:ascii="Arial" w:hAnsi="Arial" w:cs="Arial"/>
          <w:sz w:val="24"/>
          <w:szCs w:val="24"/>
        </w:rPr>
      </w:pPr>
    </w:p>
    <w:p w14:paraId="5037C348" w14:textId="622BA8D3" w:rsidR="00893ED3" w:rsidRPr="00893ED3" w:rsidRDefault="003662E9" w:rsidP="00893ED3">
      <w:pPr>
        <w:spacing w:after="0" w:line="360" w:lineRule="auto"/>
        <w:jc w:val="both"/>
        <w:rPr>
          <w:rFonts w:ascii="Arial" w:hAnsi="Arial" w:cs="Arial"/>
          <w:sz w:val="24"/>
          <w:szCs w:val="24"/>
        </w:rPr>
      </w:pPr>
      <w:r>
        <w:rPr>
          <w:rFonts w:ascii="Arial" w:hAnsi="Arial" w:cs="Arial"/>
          <w:sz w:val="24"/>
          <w:szCs w:val="24"/>
        </w:rPr>
        <w:t>1</w:t>
      </w:r>
      <w:r w:rsidR="00CC6B45">
        <w:rPr>
          <w:rFonts w:ascii="Arial" w:hAnsi="Arial" w:cs="Arial"/>
          <w:sz w:val="24"/>
          <w:szCs w:val="24"/>
        </w:rPr>
        <w:t>8</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 xml:space="preserve">The following is important to note from the above. In a declaration of delinquency, the court is not a passive bystander that merely rubberstamps the order. The errant directors are entitled to a fair hearing. It is the court that considers the evidence and determines whether the </w:t>
      </w:r>
      <w:r w:rsidR="00893ED3" w:rsidRPr="00893ED3">
        <w:rPr>
          <w:rFonts w:ascii="Arial" w:hAnsi="Arial" w:cs="Arial"/>
          <w:sz w:val="24"/>
          <w:szCs w:val="24"/>
        </w:rPr>
        <w:t xml:space="preserve">requirements are met. It is the court that makes the findings that </w:t>
      </w:r>
      <w:r w:rsidR="002C6789" w:rsidRPr="00893ED3">
        <w:rPr>
          <w:rFonts w:ascii="Arial" w:hAnsi="Arial" w:cs="Arial"/>
          <w:sz w:val="24"/>
          <w:szCs w:val="24"/>
        </w:rPr>
        <w:t>lead</w:t>
      </w:r>
      <w:r w:rsidR="00893ED3" w:rsidRPr="00893ED3">
        <w:rPr>
          <w:rFonts w:ascii="Arial" w:hAnsi="Arial" w:cs="Arial"/>
          <w:sz w:val="24"/>
          <w:szCs w:val="24"/>
        </w:rPr>
        <w:t xml:space="preserve"> to the declaration of delinquency. It is only when the court finds that all the requirements are met that the court must declare a director delinquent</w:t>
      </w:r>
      <w:r w:rsidR="00C6667C">
        <w:rPr>
          <w:rFonts w:ascii="Arial" w:hAnsi="Arial" w:cs="Arial"/>
          <w:sz w:val="24"/>
          <w:szCs w:val="24"/>
        </w:rPr>
        <w:t>.</w:t>
      </w:r>
    </w:p>
    <w:p w14:paraId="064B73BB" w14:textId="77777777" w:rsidR="003662E9" w:rsidRDefault="003662E9" w:rsidP="00893ED3">
      <w:pPr>
        <w:spacing w:after="0" w:line="360" w:lineRule="auto"/>
        <w:jc w:val="both"/>
        <w:rPr>
          <w:rFonts w:ascii="Arial" w:hAnsi="Arial" w:cs="Arial"/>
          <w:sz w:val="24"/>
          <w:szCs w:val="24"/>
        </w:rPr>
      </w:pPr>
    </w:p>
    <w:p w14:paraId="17A386DB" w14:textId="772047AC" w:rsidR="00893ED3" w:rsidRPr="00893ED3" w:rsidRDefault="003662E9" w:rsidP="00893ED3">
      <w:pPr>
        <w:spacing w:after="0" w:line="360" w:lineRule="auto"/>
        <w:jc w:val="both"/>
        <w:rPr>
          <w:rFonts w:ascii="Arial" w:hAnsi="Arial" w:cs="Arial"/>
          <w:sz w:val="24"/>
          <w:szCs w:val="24"/>
        </w:rPr>
      </w:pPr>
      <w:r>
        <w:rPr>
          <w:rFonts w:ascii="Arial" w:hAnsi="Arial" w:cs="Arial"/>
          <w:sz w:val="24"/>
          <w:szCs w:val="24"/>
        </w:rPr>
        <w:t>1</w:t>
      </w:r>
      <w:r w:rsidR="00CC6B45">
        <w:rPr>
          <w:rFonts w:ascii="Arial" w:hAnsi="Arial" w:cs="Arial"/>
          <w:sz w:val="24"/>
          <w:szCs w:val="24"/>
        </w:rPr>
        <w:t>9</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 xml:space="preserve">In this instance there is a factual dispute between CIPC and even between the respondents </w:t>
      </w:r>
      <w:r w:rsidR="00474A90">
        <w:rPr>
          <w:rFonts w:ascii="Arial" w:hAnsi="Arial" w:cs="Arial"/>
          <w:sz w:val="24"/>
          <w:szCs w:val="24"/>
        </w:rPr>
        <w:t>about</w:t>
      </w:r>
      <w:r w:rsidR="00893ED3" w:rsidRPr="00893ED3">
        <w:rPr>
          <w:rFonts w:ascii="Arial" w:hAnsi="Arial" w:cs="Arial"/>
          <w:sz w:val="24"/>
          <w:szCs w:val="24"/>
        </w:rPr>
        <w:t xml:space="preserve"> what</w:t>
      </w:r>
      <w:r w:rsidR="00FA4919">
        <w:rPr>
          <w:rFonts w:ascii="Arial" w:hAnsi="Arial" w:cs="Arial"/>
          <w:sz w:val="24"/>
          <w:szCs w:val="24"/>
        </w:rPr>
        <w:t xml:space="preserve"> irregularities did occur</w:t>
      </w:r>
      <w:r w:rsidR="00893ED3" w:rsidRPr="00893ED3">
        <w:rPr>
          <w:rFonts w:ascii="Arial" w:hAnsi="Arial" w:cs="Arial"/>
          <w:sz w:val="24"/>
          <w:szCs w:val="24"/>
        </w:rPr>
        <w:t xml:space="preserve"> and who is responsible for the mess SEI 1 ended up in, which is, to put it lightly, regrettable considering the laudable intentions that led to the setting up of the company.</w:t>
      </w:r>
    </w:p>
    <w:p w14:paraId="777942B1" w14:textId="77777777" w:rsidR="003662E9" w:rsidRDefault="003662E9" w:rsidP="00893ED3">
      <w:pPr>
        <w:spacing w:after="0" w:line="360" w:lineRule="auto"/>
        <w:jc w:val="both"/>
        <w:rPr>
          <w:rFonts w:ascii="Arial" w:hAnsi="Arial" w:cs="Arial"/>
          <w:sz w:val="24"/>
          <w:szCs w:val="24"/>
        </w:rPr>
      </w:pPr>
    </w:p>
    <w:p w14:paraId="020076EB" w14:textId="0D729523" w:rsidR="00893ED3" w:rsidRDefault="00CC6B45" w:rsidP="003662E9">
      <w:pPr>
        <w:pStyle w:val="Heading2"/>
        <w:shd w:val="clear" w:color="auto" w:fill="FFFFFF"/>
        <w:spacing w:before="0" w:after="0" w:line="360" w:lineRule="auto"/>
        <w:jc w:val="both"/>
        <w:rPr>
          <w:rFonts w:ascii="Arial" w:hAnsi="Arial" w:cs="Arial"/>
          <w:b w:val="0"/>
          <w:i w:val="0"/>
          <w:color w:val="auto"/>
          <w:sz w:val="24"/>
          <w:szCs w:val="24"/>
        </w:rPr>
      </w:pPr>
      <w:r>
        <w:rPr>
          <w:rFonts w:ascii="Arial" w:hAnsi="Arial" w:cs="Arial"/>
          <w:b w:val="0"/>
          <w:i w:val="0"/>
          <w:color w:val="auto"/>
          <w:sz w:val="24"/>
          <w:szCs w:val="24"/>
        </w:rPr>
        <w:lastRenderedPageBreak/>
        <w:t>20</w:t>
      </w:r>
      <w:r w:rsidR="003662E9" w:rsidRPr="003662E9">
        <w:rPr>
          <w:rFonts w:ascii="Arial" w:hAnsi="Arial" w:cs="Arial"/>
          <w:b w:val="0"/>
          <w:i w:val="0"/>
          <w:color w:val="auto"/>
          <w:sz w:val="24"/>
          <w:szCs w:val="24"/>
        </w:rPr>
        <w:t>.</w:t>
      </w:r>
      <w:r w:rsidR="003662E9" w:rsidRPr="003662E9">
        <w:rPr>
          <w:rFonts w:ascii="Arial" w:hAnsi="Arial" w:cs="Arial"/>
          <w:b w:val="0"/>
          <w:i w:val="0"/>
          <w:color w:val="auto"/>
          <w:sz w:val="24"/>
          <w:szCs w:val="24"/>
        </w:rPr>
        <w:tab/>
      </w:r>
      <w:r w:rsidR="00893ED3" w:rsidRPr="003662E9">
        <w:rPr>
          <w:rFonts w:ascii="Arial" w:hAnsi="Arial" w:cs="Arial"/>
          <w:b w:val="0"/>
          <w:i w:val="0"/>
          <w:color w:val="auto"/>
          <w:sz w:val="24"/>
          <w:szCs w:val="24"/>
        </w:rPr>
        <w:t xml:space="preserve">Section 165(c) is premised on gross negligence, willful conduct or breach of </w:t>
      </w:r>
      <w:r w:rsidR="003662E9" w:rsidRPr="003662E9">
        <w:rPr>
          <w:rFonts w:ascii="Arial" w:hAnsi="Arial" w:cs="Arial"/>
          <w:b w:val="0"/>
          <w:i w:val="0"/>
          <w:color w:val="auto"/>
          <w:sz w:val="24"/>
          <w:szCs w:val="24"/>
        </w:rPr>
        <w:t xml:space="preserve">trust. </w:t>
      </w:r>
      <w:r w:rsidR="00893ED3" w:rsidRPr="003662E9">
        <w:rPr>
          <w:rFonts w:ascii="Arial" w:hAnsi="Arial" w:cs="Arial"/>
          <w:b w:val="0"/>
          <w:i w:val="0"/>
          <w:color w:val="auto"/>
          <w:sz w:val="24"/>
          <w:szCs w:val="24"/>
        </w:rPr>
        <w:t xml:space="preserve">In </w:t>
      </w:r>
      <w:r w:rsidR="003662E9" w:rsidRPr="003662E9">
        <w:rPr>
          <w:rFonts w:ascii="Arial" w:hAnsi="Arial" w:cs="Arial"/>
          <w:b w:val="0"/>
          <w:bCs w:val="0"/>
          <w:color w:val="auto"/>
          <w:sz w:val="24"/>
          <w:szCs w:val="24"/>
        </w:rPr>
        <w:t>Msimang NO and Another v Katuliiba and Others</w:t>
      </w:r>
      <w:r w:rsidR="00A36B7C" w:rsidRPr="00A36B7C">
        <w:rPr>
          <w:rStyle w:val="FootnoteReference"/>
          <w:rFonts w:ascii="Arial" w:hAnsi="Arial" w:cs="Arial"/>
          <w:b w:val="0"/>
          <w:bCs w:val="0"/>
          <w:i w:val="0"/>
          <w:color w:val="auto"/>
          <w:sz w:val="24"/>
          <w:szCs w:val="24"/>
        </w:rPr>
        <w:footnoteReference w:id="5"/>
      </w:r>
      <w:r w:rsidR="00A36B7C">
        <w:rPr>
          <w:rFonts w:ascii="Arial" w:hAnsi="Arial" w:cs="Arial"/>
          <w:b w:val="0"/>
          <w:bCs w:val="0"/>
          <w:i w:val="0"/>
          <w:color w:val="auto"/>
          <w:sz w:val="24"/>
          <w:szCs w:val="24"/>
        </w:rPr>
        <w:t xml:space="preserve"> (</w:t>
      </w:r>
      <w:r w:rsidR="00A36B7C" w:rsidRPr="00A36B7C">
        <w:rPr>
          <w:rFonts w:ascii="Arial" w:hAnsi="Arial" w:cs="Arial"/>
          <w:b w:val="0"/>
          <w:bCs w:val="0"/>
          <w:color w:val="auto"/>
          <w:sz w:val="24"/>
          <w:szCs w:val="24"/>
        </w:rPr>
        <w:t>Msimang</w:t>
      </w:r>
      <w:r w:rsidR="00A36B7C">
        <w:rPr>
          <w:rFonts w:ascii="Arial" w:hAnsi="Arial" w:cs="Arial"/>
          <w:b w:val="0"/>
          <w:bCs w:val="0"/>
          <w:i w:val="0"/>
          <w:color w:val="auto"/>
          <w:sz w:val="24"/>
          <w:szCs w:val="24"/>
        </w:rPr>
        <w:t xml:space="preserve">) </w:t>
      </w:r>
      <w:r w:rsidR="003662E9">
        <w:rPr>
          <w:rFonts w:ascii="Arial" w:hAnsi="Arial" w:cs="Arial"/>
          <w:b w:val="0"/>
          <w:i w:val="0"/>
          <w:color w:val="auto"/>
          <w:sz w:val="24"/>
          <w:szCs w:val="24"/>
        </w:rPr>
        <w:t>t</w:t>
      </w:r>
      <w:r w:rsidR="00893ED3" w:rsidRPr="003662E9">
        <w:rPr>
          <w:rFonts w:ascii="Arial" w:hAnsi="Arial" w:cs="Arial"/>
          <w:b w:val="0"/>
          <w:i w:val="0"/>
          <w:color w:val="auto"/>
          <w:sz w:val="24"/>
          <w:szCs w:val="24"/>
        </w:rPr>
        <w:t>he court considered the development of the concept</w:t>
      </w:r>
      <w:r w:rsidR="003662E9">
        <w:rPr>
          <w:rFonts w:ascii="Arial" w:hAnsi="Arial" w:cs="Arial"/>
          <w:b w:val="0"/>
          <w:i w:val="0"/>
          <w:color w:val="auto"/>
          <w:sz w:val="24"/>
          <w:szCs w:val="24"/>
        </w:rPr>
        <w:t>s of ‘</w:t>
      </w:r>
      <w:r w:rsidR="00893ED3" w:rsidRPr="003662E9">
        <w:rPr>
          <w:rFonts w:ascii="Arial" w:hAnsi="Arial" w:cs="Arial"/>
          <w:b w:val="0"/>
          <w:i w:val="0"/>
          <w:color w:val="auto"/>
          <w:sz w:val="24"/>
          <w:szCs w:val="24"/>
        </w:rPr>
        <w:t>gross negligence,</w:t>
      </w:r>
      <w:r w:rsidR="003662E9">
        <w:rPr>
          <w:rFonts w:ascii="Arial" w:hAnsi="Arial" w:cs="Arial"/>
          <w:b w:val="0"/>
          <w:i w:val="0"/>
          <w:color w:val="auto"/>
          <w:sz w:val="24"/>
          <w:szCs w:val="24"/>
        </w:rPr>
        <w:t xml:space="preserve"> </w:t>
      </w:r>
      <w:r w:rsidR="00893ED3" w:rsidRPr="003662E9">
        <w:rPr>
          <w:rFonts w:ascii="Arial" w:hAnsi="Arial" w:cs="Arial"/>
          <w:b w:val="0"/>
          <w:i w:val="0"/>
          <w:color w:val="auto"/>
          <w:sz w:val="24"/>
          <w:szCs w:val="24"/>
        </w:rPr>
        <w:t>willful conduct and recklessness</w:t>
      </w:r>
      <w:r w:rsidR="003662E9">
        <w:rPr>
          <w:rFonts w:ascii="Arial" w:hAnsi="Arial" w:cs="Arial"/>
          <w:b w:val="0"/>
          <w:i w:val="0"/>
          <w:color w:val="auto"/>
          <w:sz w:val="24"/>
          <w:szCs w:val="24"/>
        </w:rPr>
        <w:t>’</w:t>
      </w:r>
      <w:r w:rsidR="00893ED3" w:rsidRPr="003662E9">
        <w:rPr>
          <w:rFonts w:ascii="Arial" w:hAnsi="Arial" w:cs="Arial"/>
          <w:b w:val="0"/>
          <w:i w:val="0"/>
          <w:color w:val="auto"/>
          <w:sz w:val="24"/>
          <w:szCs w:val="24"/>
        </w:rPr>
        <w:t xml:space="preserve"> and said the following:</w:t>
      </w:r>
    </w:p>
    <w:p w14:paraId="66DEB729" w14:textId="77777777" w:rsidR="003662E9" w:rsidRPr="003662E9" w:rsidRDefault="001551B0" w:rsidP="003662E9">
      <w:pPr>
        <w:spacing w:after="0" w:line="360" w:lineRule="auto"/>
        <w:jc w:val="both"/>
        <w:rPr>
          <w:rFonts w:ascii="Arial" w:hAnsi="Arial" w:cs="Arial"/>
        </w:rPr>
      </w:pPr>
      <w:r>
        <w:rPr>
          <w:rFonts w:ascii="Arial" w:hAnsi="Arial" w:cs="Arial"/>
        </w:rPr>
        <w:t>‘</w:t>
      </w:r>
      <w:r w:rsidR="003662E9" w:rsidRPr="003662E9">
        <w:rPr>
          <w:rFonts w:ascii="Arial" w:hAnsi="Arial" w:cs="Arial"/>
        </w:rPr>
        <w:t>[36</w:t>
      </w:r>
      <w:r>
        <w:rPr>
          <w:rFonts w:ascii="Arial" w:hAnsi="Arial" w:cs="Arial"/>
        </w:rPr>
        <w:t>]</w:t>
      </w:r>
      <w:r>
        <w:rPr>
          <w:rFonts w:ascii="Arial" w:hAnsi="Arial" w:cs="Arial"/>
        </w:rPr>
        <w:tab/>
      </w:r>
      <w:r w:rsidR="003662E9" w:rsidRPr="003662E9">
        <w:rPr>
          <w:rFonts w:ascii="Arial" w:hAnsi="Arial" w:cs="Arial"/>
        </w:rPr>
        <w:t xml:space="preserve">Our courts have had occasion to consider and develop the </w:t>
      </w:r>
      <w:r>
        <w:rPr>
          <w:rFonts w:ascii="Arial" w:hAnsi="Arial" w:cs="Arial"/>
        </w:rPr>
        <w:t>concept of “</w:t>
      </w:r>
      <w:r w:rsidR="003662E9" w:rsidRPr="003662E9">
        <w:rPr>
          <w:rFonts w:ascii="Arial" w:hAnsi="Arial" w:cs="Arial"/>
        </w:rPr>
        <w:t>gross negligence</w:t>
      </w:r>
      <w:r>
        <w:rPr>
          <w:rFonts w:ascii="Arial" w:hAnsi="Arial" w:cs="Arial"/>
        </w:rPr>
        <w:t>”</w:t>
      </w:r>
      <w:r w:rsidR="003662E9" w:rsidRPr="003662E9">
        <w:rPr>
          <w:rFonts w:ascii="Arial" w:hAnsi="Arial" w:cs="Arial"/>
        </w:rPr>
        <w:t xml:space="preserve"> in numerous cases.  In </w:t>
      </w:r>
      <w:r w:rsidR="003662E9" w:rsidRPr="003662E9">
        <w:rPr>
          <w:rFonts w:ascii="Arial" w:hAnsi="Arial" w:cs="Arial"/>
          <w:i/>
        </w:rPr>
        <w:t>Transnet Ltd t/a Portnet v Owners of the MV “Stella Tingas” and Another</w:t>
      </w:r>
      <w:r>
        <w:rPr>
          <w:rFonts w:ascii="Arial" w:hAnsi="Arial" w:cs="Arial"/>
          <w:i/>
        </w:rPr>
        <w:t xml:space="preserve"> </w:t>
      </w:r>
      <w:r>
        <w:rPr>
          <w:rFonts w:ascii="Arial" w:hAnsi="Arial" w:cs="Arial"/>
        </w:rPr>
        <w:t xml:space="preserve">2003 (2) SA 473 (SCA) </w:t>
      </w:r>
      <w:r w:rsidR="003662E9" w:rsidRPr="003662E9">
        <w:rPr>
          <w:rFonts w:ascii="Arial" w:hAnsi="Arial" w:cs="Arial"/>
        </w:rPr>
        <w:t>para 7, the Supreme Court of Appeal observed:</w:t>
      </w:r>
    </w:p>
    <w:p w14:paraId="09259D08" w14:textId="77777777" w:rsidR="001551B0" w:rsidRDefault="003662E9" w:rsidP="003662E9">
      <w:pPr>
        <w:spacing w:after="0" w:line="360" w:lineRule="auto"/>
        <w:jc w:val="both"/>
        <w:rPr>
          <w:rFonts w:ascii="Arial" w:hAnsi="Arial" w:cs="Arial"/>
        </w:rPr>
      </w:pPr>
      <w:r w:rsidRPr="001551B0">
        <w:rPr>
          <w:rFonts w:ascii="Arial" w:hAnsi="Arial" w:cs="Arial"/>
        </w:rPr>
        <w:t>“</w:t>
      </w:r>
      <w:r w:rsidR="001551B0">
        <w:rPr>
          <w:rFonts w:ascii="Arial" w:hAnsi="Arial" w:cs="Arial"/>
        </w:rPr>
        <w:t>. . . I</w:t>
      </w:r>
      <w:r w:rsidRPr="001551B0">
        <w:rPr>
          <w:rFonts w:ascii="Arial" w:hAnsi="Arial" w:cs="Arial"/>
        </w:rPr>
        <w:t xml:space="preserve">t follows, I think, that to qualify as gross negligence the conduct in question, although falling short of </w:t>
      </w:r>
      <w:r w:rsidRPr="001551B0">
        <w:rPr>
          <w:rFonts w:ascii="Arial" w:hAnsi="Arial" w:cs="Arial"/>
          <w:i/>
        </w:rPr>
        <w:t>dolus eventualis</w:t>
      </w:r>
      <w:r w:rsidRPr="001551B0">
        <w:rPr>
          <w:rFonts w:ascii="Arial" w:hAnsi="Arial" w:cs="Arial"/>
        </w:rPr>
        <w:t xml:space="preserve">, must involve a departure from the standard of the reasonable person to such an extent that it may properly be categorised as extreme; it must demonstrate, where there is found to be conscious risk taking, a complete obtuseness of mind or, where there is no conscious risk-taking, a total failure to take care. If something less were required, the distinction between ordinary and gross negligence would lose its validity.”  </w:t>
      </w:r>
    </w:p>
    <w:p w14:paraId="0305ED10" w14:textId="77777777" w:rsidR="003662E9" w:rsidRPr="003662E9" w:rsidRDefault="003662E9" w:rsidP="003662E9">
      <w:pPr>
        <w:spacing w:after="0" w:line="360" w:lineRule="auto"/>
        <w:jc w:val="both"/>
        <w:rPr>
          <w:rFonts w:ascii="Arial" w:hAnsi="Arial" w:cs="Arial"/>
        </w:rPr>
      </w:pPr>
      <w:r w:rsidRPr="003662E9">
        <w:rPr>
          <w:rFonts w:ascii="Arial" w:hAnsi="Arial" w:cs="Arial"/>
        </w:rPr>
        <w:t>[37]</w:t>
      </w:r>
      <w:r w:rsidR="001551B0">
        <w:rPr>
          <w:rFonts w:ascii="Arial" w:hAnsi="Arial" w:cs="Arial"/>
        </w:rPr>
        <w:tab/>
      </w:r>
      <w:r w:rsidRPr="003662E9">
        <w:rPr>
          <w:rFonts w:ascii="Arial" w:hAnsi="Arial" w:cs="Arial"/>
        </w:rPr>
        <w:t xml:space="preserve">In the earlier judgment of </w:t>
      </w:r>
      <w:r w:rsidRPr="003662E9">
        <w:rPr>
          <w:rFonts w:ascii="Arial" w:hAnsi="Arial" w:cs="Arial"/>
          <w:i/>
        </w:rPr>
        <w:t>S v Dhlamini</w:t>
      </w:r>
      <w:r w:rsidRPr="003662E9">
        <w:rPr>
          <w:rFonts w:ascii="Arial" w:hAnsi="Arial" w:cs="Arial"/>
        </w:rPr>
        <w:t xml:space="preserve"> 1988 (2) SA 302 (A) at 308D-E</w:t>
      </w:r>
      <w:r w:rsidR="001551B0">
        <w:rPr>
          <w:rFonts w:ascii="Arial" w:hAnsi="Arial" w:cs="Arial"/>
        </w:rPr>
        <w:t>, “</w:t>
      </w:r>
      <w:r w:rsidRPr="003662E9">
        <w:rPr>
          <w:rFonts w:ascii="Arial" w:hAnsi="Arial" w:cs="Arial"/>
        </w:rPr>
        <w:t>gross negligence</w:t>
      </w:r>
      <w:r w:rsidR="001551B0">
        <w:rPr>
          <w:rFonts w:ascii="Arial" w:hAnsi="Arial" w:cs="Arial"/>
        </w:rPr>
        <w:t xml:space="preserve">” </w:t>
      </w:r>
      <w:r w:rsidRPr="003662E9">
        <w:rPr>
          <w:rFonts w:ascii="Arial" w:hAnsi="Arial" w:cs="Arial"/>
        </w:rPr>
        <w:t>was described as follows:</w:t>
      </w:r>
    </w:p>
    <w:p w14:paraId="15643849" w14:textId="77777777" w:rsidR="003662E9" w:rsidRPr="003662E9" w:rsidRDefault="003662E9" w:rsidP="003662E9">
      <w:pPr>
        <w:spacing w:after="0" w:line="360" w:lineRule="auto"/>
        <w:jc w:val="both"/>
        <w:rPr>
          <w:rFonts w:ascii="Arial" w:hAnsi="Arial" w:cs="Arial"/>
        </w:rPr>
      </w:pPr>
      <w:r w:rsidRPr="003662E9">
        <w:rPr>
          <w:rFonts w:ascii="Arial" w:hAnsi="Arial" w:cs="Arial"/>
          <w:i/>
        </w:rPr>
        <w:t>“</w:t>
      </w:r>
      <w:r w:rsidRPr="001551B0">
        <w:rPr>
          <w:rFonts w:ascii="Arial" w:hAnsi="Arial" w:cs="Arial"/>
        </w:rPr>
        <w:t>Gross negligence in our common law, both criminal and civil, connotes a particular attitude or state of mind characterised by an entire failure to give consideration to the consequences of one’s actions, in other words, an attitude of reckless disregard of such consequences.</w:t>
      </w:r>
      <w:r w:rsidRPr="003662E9">
        <w:rPr>
          <w:rFonts w:ascii="Arial" w:hAnsi="Arial" w:cs="Arial"/>
          <w:i/>
        </w:rPr>
        <w:t>”</w:t>
      </w:r>
      <w:r w:rsidRPr="003662E9">
        <w:rPr>
          <w:rFonts w:ascii="Arial" w:hAnsi="Arial" w:cs="Arial"/>
        </w:rPr>
        <w:t xml:space="preserve"> </w:t>
      </w:r>
    </w:p>
    <w:p w14:paraId="40D00836" w14:textId="77777777" w:rsidR="003662E9" w:rsidRPr="003662E9" w:rsidRDefault="003662E9" w:rsidP="003662E9">
      <w:pPr>
        <w:spacing w:after="0" w:line="360" w:lineRule="auto"/>
        <w:jc w:val="both"/>
        <w:rPr>
          <w:rFonts w:ascii="Arial" w:hAnsi="Arial" w:cs="Arial"/>
        </w:rPr>
      </w:pPr>
      <w:r w:rsidRPr="003662E9">
        <w:rPr>
          <w:rFonts w:ascii="Arial" w:hAnsi="Arial" w:cs="Arial"/>
        </w:rPr>
        <w:t xml:space="preserve">The Supreme Court of Appeal, in considering the reference to “reckless disregard” in </w:t>
      </w:r>
      <w:r w:rsidRPr="003662E9">
        <w:rPr>
          <w:rFonts w:ascii="Arial" w:hAnsi="Arial" w:cs="Arial"/>
          <w:i/>
        </w:rPr>
        <w:t>S v Dhlamini</w:t>
      </w:r>
      <w:r w:rsidRPr="003662E9">
        <w:rPr>
          <w:rFonts w:ascii="Arial" w:hAnsi="Arial" w:cs="Arial"/>
        </w:rPr>
        <w:t xml:space="preserve">  observed, in </w:t>
      </w:r>
      <w:r w:rsidRPr="003662E9">
        <w:rPr>
          <w:rFonts w:ascii="Arial" w:hAnsi="Arial" w:cs="Arial"/>
          <w:i/>
        </w:rPr>
        <w:t xml:space="preserve">Philotex (Pty) Ltd and Others; Braitex (Pty) Ltd  and Others v Snyman and Others </w:t>
      </w:r>
      <w:r w:rsidRPr="003662E9">
        <w:rPr>
          <w:rFonts w:ascii="Arial" w:hAnsi="Arial" w:cs="Arial"/>
        </w:rPr>
        <w:t>1998(2) SA 138 (SCA) at 143G-J to 144A-B, that:</w:t>
      </w:r>
    </w:p>
    <w:p w14:paraId="07D7D93C" w14:textId="77777777" w:rsidR="003662E9" w:rsidRPr="001551B0" w:rsidRDefault="003662E9" w:rsidP="003662E9">
      <w:pPr>
        <w:spacing w:after="0" w:line="360" w:lineRule="auto"/>
        <w:jc w:val="both"/>
        <w:rPr>
          <w:rFonts w:ascii="Arial" w:hAnsi="Arial" w:cs="Arial"/>
        </w:rPr>
      </w:pPr>
      <w:r w:rsidRPr="003662E9">
        <w:rPr>
          <w:rFonts w:ascii="Arial" w:hAnsi="Arial" w:cs="Arial"/>
          <w:i/>
        </w:rPr>
        <w:t>“</w:t>
      </w:r>
      <w:r w:rsidRPr="001551B0">
        <w:rPr>
          <w:rFonts w:ascii="Arial" w:hAnsi="Arial" w:cs="Arial"/>
        </w:rPr>
        <w:t>The test for recklessness is objective insofar as the defendant’s actions are measured against the standard of conduct of the notional reasonable person and it is subjective insofar as one has to postulate that notional being as belonging to the same group or class as the defendant, moving in the same spheres and having the same knowledge or means to knowledge: S v Van As 1976 (2) SA 921 (A) at 928C-E. One should add that there may also be a subjective element present if the defendant has the risk-consciousness mentioned in [S v Van Zyl 1969 (1) SA 553 (A) at 559D-G] but that, as indicated, is not an essential component of recklessness and its existence is no impediment to the application of the objective test referred to the above.</w:t>
      </w:r>
    </w:p>
    <w:p w14:paraId="7EB58F8F" w14:textId="77777777" w:rsidR="003662E9" w:rsidRPr="001551B0" w:rsidRDefault="003662E9" w:rsidP="003662E9">
      <w:pPr>
        <w:spacing w:after="0" w:line="360" w:lineRule="auto"/>
        <w:jc w:val="both"/>
        <w:rPr>
          <w:rFonts w:ascii="Arial" w:hAnsi="Arial" w:cs="Arial"/>
        </w:rPr>
      </w:pPr>
      <w:r w:rsidRPr="001551B0">
        <w:rPr>
          <w:rFonts w:ascii="Arial" w:hAnsi="Arial" w:cs="Arial"/>
        </w:rPr>
        <w:t xml:space="preserve">It remains, as far as subjectivity is concerned, to warn that risk-consciousness in the realm of recklessness does not amount to or include that foresight of the consequences (‘gevolgsbewustheid’) which is necessary for </w:t>
      </w:r>
      <w:r w:rsidRPr="001551B0">
        <w:rPr>
          <w:rFonts w:ascii="Arial" w:hAnsi="Arial" w:cs="Arial"/>
          <w:i/>
        </w:rPr>
        <w:t>dolus eventualis</w:t>
      </w:r>
      <w:r w:rsidRPr="001551B0">
        <w:rPr>
          <w:rFonts w:ascii="Arial" w:hAnsi="Arial" w:cs="Arial"/>
        </w:rPr>
        <w:t xml:space="preserve">: Van Zyl at 558, 559E-F. </w:t>
      </w:r>
      <w:r w:rsidRPr="001551B0">
        <w:rPr>
          <w:rFonts w:ascii="Arial" w:hAnsi="Arial" w:cs="Arial"/>
        </w:rPr>
        <w:lastRenderedPageBreak/>
        <w:t>Accordingly, the expression ‘reckless disregard of the consequences’ in Dhlamini must not be understood as pertaining to foreseen consequences but unforeseen consequences –</w:t>
      </w:r>
      <w:r w:rsidR="001551B0">
        <w:rPr>
          <w:rFonts w:ascii="Arial" w:hAnsi="Arial" w:cs="Arial"/>
        </w:rPr>
        <w:t xml:space="preserve"> culpably unforeseen –</w:t>
      </w:r>
      <w:r w:rsidRPr="001551B0">
        <w:rPr>
          <w:rFonts w:ascii="Arial" w:hAnsi="Arial" w:cs="Arial"/>
        </w:rPr>
        <w:t xml:space="preserve"> whatever they might be.</w:t>
      </w:r>
    </w:p>
    <w:p w14:paraId="16516D11" w14:textId="77777777" w:rsidR="003662E9" w:rsidRPr="003662E9" w:rsidRDefault="003662E9" w:rsidP="003662E9">
      <w:pPr>
        <w:spacing w:after="0" w:line="360" w:lineRule="auto"/>
        <w:jc w:val="both"/>
        <w:rPr>
          <w:rFonts w:ascii="Arial" w:hAnsi="Arial" w:cs="Arial"/>
          <w:i/>
        </w:rPr>
      </w:pPr>
      <w:r w:rsidRPr="001551B0">
        <w:rPr>
          <w:rFonts w:ascii="Arial" w:hAnsi="Arial" w:cs="Arial"/>
        </w:rPr>
        <w:t>In its ordinary meaning, therefore, ‘recklessly’ does not connote mere negligence but at the very least gross negligence and nothing in s 424 warrants the words being given anything but its ordinary meaning.</w:t>
      </w:r>
      <w:r w:rsidRPr="003662E9">
        <w:rPr>
          <w:rFonts w:ascii="Arial" w:hAnsi="Arial" w:cs="Arial"/>
          <w:i/>
        </w:rPr>
        <w:t xml:space="preserve">” </w:t>
      </w:r>
    </w:p>
    <w:p w14:paraId="4CD1F26D" w14:textId="77777777" w:rsidR="003662E9" w:rsidRPr="003662E9" w:rsidRDefault="003662E9" w:rsidP="003662E9">
      <w:pPr>
        <w:spacing w:after="0" w:line="360" w:lineRule="auto"/>
        <w:jc w:val="both"/>
        <w:rPr>
          <w:rFonts w:ascii="Arial" w:hAnsi="Arial" w:cs="Arial"/>
        </w:rPr>
      </w:pPr>
      <w:r w:rsidRPr="003662E9">
        <w:rPr>
          <w:rFonts w:ascii="Arial" w:hAnsi="Arial" w:cs="Arial"/>
        </w:rPr>
        <w:t>[38]</w:t>
      </w:r>
      <w:r w:rsidR="001551B0">
        <w:rPr>
          <w:rFonts w:ascii="Arial" w:hAnsi="Arial" w:cs="Arial"/>
        </w:rPr>
        <w:tab/>
      </w:r>
      <w:r w:rsidRPr="003662E9">
        <w:rPr>
          <w:rFonts w:ascii="Arial" w:hAnsi="Arial" w:cs="Arial"/>
        </w:rPr>
        <w:t xml:space="preserve">The meaning of the concept </w:t>
      </w:r>
      <w:r w:rsidR="001551B0">
        <w:rPr>
          <w:rFonts w:ascii="Arial" w:hAnsi="Arial" w:cs="Arial"/>
        </w:rPr>
        <w:t>“</w:t>
      </w:r>
      <w:r w:rsidRPr="003662E9">
        <w:rPr>
          <w:rFonts w:ascii="Arial" w:hAnsi="Arial" w:cs="Arial"/>
        </w:rPr>
        <w:t>wi</w:t>
      </w:r>
      <w:r w:rsidR="001551B0">
        <w:rPr>
          <w:rFonts w:ascii="Arial" w:hAnsi="Arial" w:cs="Arial"/>
        </w:rPr>
        <w:t>l</w:t>
      </w:r>
      <w:r w:rsidRPr="003662E9">
        <w:rPr>
          <w:rFonts w:ascii="Arial" w:hAnsi="Arial" w:cs="Arial"/>
        </w:rPr>
        <w:t>lful misconduct</w:t>
      </w:r>
      <w:r w:rsidR="001551B0">
        <w:rPr>
          <w:rFonts w:ascii="Arial" w:hAnsi="Arial" w:cs="Arial"/>
        </w:rPr>
        <w:t>”</w:t>
      </w:r>
      <w:r w:rsidRPr="003662E9">
        <w:rPr>
          <w:rFonts w:ascii="Arial" w:hAnsi="Arial" w:cs="Arial"/>
        </w:rPr>
        <w:t xml:space="preserve"> has also been considered by our courts in the past. In </w:t>
      </w:r>
      <w:r w:rsidRPr="003662E9">
        <w:rPr>
          <w:rFonts w:ascii="Arial" w:hAnsi="Arial" w:cs="Arial"/>
          <w:i/>
        </w:rPr>
        <w:t>Rustenburg Platinum Mines Ltd v South African Airways</w:t>
      </w:r>
      <w:r w:rsidRPr="003662E9">
        <w:rPr>
          <w:rFonts w:ascii="Arial" w:hAnsi="Arial" w:cs="Arial"/>
        </w:rPr>
        <w:t xml:space="preserve"> and </w:t>
      </w:r>
      <w:r w:rsidRPr="001551B0">
        <w:rPr>
          <w:rFonts w:ascii="Arial" w:hAnsi="Arial" w:cs="Arial"/>
          <w:i/>
        </w:rPr>
        <w:t xml:space="preserve">Pan American World Airways Inc </w:t>
      </w:r>
      <w:r w:rsidRPr="003662E9">
        <w:rPr>
          <w:rFonts w:ascii="Arial" w:hAnsi="Arial" w:cs="Arial"/>
        </w:rPr>
        <w:t>1977 (1) Lloyds LR 19, (Q.B (Com.Ct.) 564, Ackner J (at 569) held:</w:t>
      </w:r>
    </w:p>
    <w:p w14:paraId="2D4E23DA" w14:textId="77777777" w:rsidR="003662E9" w:rsidRPr="003662E9" w:rsidRDefault="003662E9" w:rsidP="003662E9">
      <w:pPr>
        <w:spacing w:after="0" w:line="360" w:lineRule="auto"/>
        <w:jc w:val="both"/>
        <w:rPr>
          <w:rFonts w:ascii="Arial" w:hAnsi="Arial" w:cs="Arial"/>
          <w:i/>
        </w:rPr>
      </w:pPr>
      <w:r w:rsidRPr="003662E9">
        <w:rPr>
          <w:rFonts w:ascii="Arial" w:hAnsi="Arial" w:cs="Arial"/>
          <w:i/>
        </w:rPr>
        <w:t>“</w:t>
      </w:r>
      <w:r w:rsidRPr="001551B0">
        <w:rPr>
          <w:rFonts w:ascii="Arial" w:hAnsi="Arial" w:cs="Arial"/>
        </w:rPr>
        <w:t>it is common ground that ‘wi</w:t>
      </w:r>
      <w:r w:rsidR="001551B0">
        <w:rPr>
          <w:rFonts w:ascii="Arial" w:hAnsi="Arial" w:cs="Arial"/>
        </w:rPr>
        <w:t>l</w:t>
      </w:r>
      <w:r w:rsidRPr="001551B0">
        <w:rPr>
          <w:rFonts w:ascii="Arial" w:hAnsi="Arial" w:cs="Arial"/>
        </w:rPr>
        <w:t>lful misconduct’ goes far beyond negligence, even gross or culpable negligence, and involves a person doing or omitting to do that which is not only negligent but which he knows and appreciates is wrong, and is done or omitted regardless of the consequences, not caring what the result of his carelessness maybe.</w:t>
      </w:r>
      <w:r w:rsidRPr="003662E9">
        <w:rPr>
          <w:rFonts w:ascii="Arial" w:hAnsi="Arial" w:cs="Arial"/>
          <w:i/>
        </w:rPr>
        <w:t xml:space="preserve">” </w:t>
      </w:r>
    </w:p>
    <w:p w14:paraId="29C23D62" w14:textId="77777777" w:rsidR="003662E9" w:rsidRPr="003662E9" w:rsidRDefault="003662E9" w:rsidP="003662E9">
      <w:pPr>
        <w:spacing w:after="0" w:line="360" w:lineRule="auto"/>
        <w:jc w:val="both"/>
        <w:rPr>
          <w:rFonts w:ascii="Arial" w:hAnsi="Arial" w:cs="Arial"/>
        </w:rPr>
      </w:pPr>
      <w:r w:rsidRPr="003662E9">
        <w:rPr>
          <w:rFonts w:ascii="Arial" w:hAnsi="Arial" w:cs="Arial"/>
        </w:rPr>
        <w:t xml:space="preserve">The above dictum was approved and adopted into our law in </w:t>
      </w:r>
      <w:r w:rsidRPr="003662E9">
        <w:rPr>
          <w:rFonts w:ascii="Arial" w:hAnsi="Arial" w:cs="Arial"/>
          <w:i/>
        </w:rPr>
        <w:t xml:space="preserve">KLM Royal Dutch Airlines v Hamman </w:t>
      </w:r>
      <w:r w:rsidRPr="001551B0">
        <w:rPr>
          <w:rFonts w:ascii="Arial" w:hAnsi="Arial" w:cs="Arial"/>
        </w:rPr>
        <w:t>2002 (3) SA 818 (W),</w:t>
      </w:r>
      <w:r w:rsidRPr="003662E9">
        <w:rPr>
          <w:rFonts w:ascii="Arial" w:hAnsi="Arial" w:cs="Arial"/>
        </w:rPr>
        <w:t xml:space="preserve"> at para 17.’</w:t>
      </w:r>
    </w:p>
    <w:p w14:paraId="1BB9B49E" w14:textId="77777777" w:rsidR="003662E9" w:rsidRDefault="003662E9" w:rsidP="00893ED3">
      <w:pPr>
        <w:spacing w:after="0" w:line="360" w:lineRule="auto"/>
        <w:jc w:val="both"/>
        <w:rPr>
          <w:rFonts w:ascii="Arial" w:hAnsi="Arial" w:cs="Arial"/>
          <w:sz w:val="24"/>
          <w:szCs w:val="24"/>
        </w:rPr>
      </w:pPr>
    </w:p>
    <w:p w14:paraId="3E52C6F9" w14:textId="5C925648" w:rsidR="00893ED3" w:rsidRPr="00893ED3" w:rsidRDefault="003662E9" w:rsidP="00893ED3">
      <w:pPr>
        <w:spacing w:after="0" w:line="360" w:lineRule="auto"/>
        <w:jc w:val="both"/>
        <w:rPr>
          <w:rFonts w:ascii="Arial" w:hAnsi="Arial" w:cs="Arial"/>
          <w:sz w:val="24"/>
          <w:szCs w:val="24"/>
        </w:rPr>
      </w:pPr>
      <w:r>
        <w:rPr>
          <w:rFonts w:ascii="Arial" w:hAnsi="Arial" w:cs="Arial"/>
          <w:sz w:val="24"/>
          <w:szCs w:val="24"/>
        </w:rPr>
        <w:t>2</w:t>
      </w:r>
      <w:r w:rsidR="00CC6B45">
        <w:rPr>
          <w:rFonts w:ascii="Arial" w:hAnsi="Arial" w:cs="Arial"/>
          <w:sz w:val="24"/>
          <w:szCs w:val="24"/>
        </w:rPr>
        <w:t>1</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 xml:space="preserve">The seventh respondent sets out why he was not always involved in the </w:t>
      </w:r>
      <w:r w:rsidR="00BA1D1E" w:rsidRPr="00893ED3">
        <w:rPr>
          <w:rFonts w:ascii="Arial" w:hAnsi="Arial" w:cs="Arial"/>
          <w:sz w:val="24"/>
          <w:szCs w:val="24"/>
        </w:rPr>
        <w:t>day-to-day</w:t>
      </w:r>
      <w:r w:rsidR="00893ED3" w:rsidRPr="00893ED3">
        <w:rPr>
          <w:rFonts w:ascii="Arial" w:hAnsi="Arial" w:cs="Arial"/>
          <w:sz w:val="24"/>
          <w:szCs w:val="24"/>
        </w:rPr>
        <w:t xml:space="preserve"> running of the company, how he relied heavily on the expertise of Goosen </w:t>
      </w:r>
      <w:r w:rsidR="00BA48C0">
        <w:rPr>
          <w:rFonts w:ascii="Arial" w:hAnsi="Arial" w:cs="Arial"/>
          <w:sz w:val="24"/>
          <w:szCs w:val="24"/>
        </w:rPr>
        <w:t>the Chief Executive Officer and only executive director at the time</w:t>
      </w:r>
      <w:r w:rsidR="00893ED3" w:rsidRPr="00893ED3">
        <w:rPr>
          <w:rFonts w:ascii="Arial" w:hAnsi="Arial" w:cs="Arial"/>
          <w:sz w:val="24"/>
          <w:szCs w:val="24"/>
        </w:rPr>
        <w:t xml:space="preserve"> He further sets out how he turned to CIPC for assistance in respect of the material deficiency of the company register which prevented the calling and holding of AGM’s. He explains the history behind the deficiency of the company’s share register, which on his version cannot be attributed to him. He gives various examples of the measures taken by him to secure proper governance of SEI 1. He concedes that he was unable to resolve the problems at SEI</w:t>
      </w:r>
      <w:r w:rsidR="001551B0">
        <w:rPr>
          <w:rFonts w:ascii="Arial" w:hAnsi="Arial" w:cs="Arial"/>
          <w:sz w:val="24"/>
          <w:szCs w:val="24"/>
        </w:rPr>
        <w:t xml:space="preserve"> </w:t>
      </w:r>
      <w:r w:rsidR="00893ED3" w:rsidRPr="00893ED3">
        <w:rPr>
          <w:rFonts w:ascii="Arial" w:hAnsi="Arial" w:cs="Arial"/>
          <w:sz w:val="24"/>
          <w:szCs w:val="24"/>
        </w:rPr>
        <w:t>1</w:t>
      </w:r>
      <w:r w:rsidR="001551B0">
        <w:rPr>
          <w:rFonts w:ascii="Arial" w:hAnsi="Arial" w:cs="Arial"/>
          <w:sz w:val="24"/>
          <w:szCs w:val="24"/>
        </w:rPr>
        <w:t xml:space="preserve"> </w:t>
      </w:r>
      <w:r w:rsidR="00893ED3" w:rsidRPr="00893ED3">
        <w:rPr>
          <w:rFonts w:ascii="Arial" w:hAnsi="Arial" w:cs="Arial"/>
          <w:sz w:val="24"/>
          <w:szCs w:val="24"/>
        </w:rPr>
        <w:t>and to remedy it with the compliance notices issued by CIPC. He blames CIPC who failed to act timeously when the problems were brought to its attention and failed to hold the people responsible for it accountable.</w:t>
      </w:r>
    </w:p>
    <w:p w14:paraId="08A8136E" w14:textId="77777777" w:rsidR="001551B0" w:rsidRDefault="001551B0" w:rsidP="00893ED3">
      <w:pPr>
        <w:spacing w:after="0" w:line="360" w:lineRule="auto"/>
        <w:jc w:val="both"/>
        <w:rPr>
          <w:rFonts w:ascii="Arial" w:hAnsi="Arial" w:cs="Arial"/>
          <w:sz w:val="24"/>
          <w:szCs w:val="24"/>
        </w:rPr>
      </w:pPr>
    </w:p>
    <w:p w14:paraId="32FE15B0" w14:textId="7504F420" w:rsidR="00893ED3" w:rsidRPr="00893ED3" w:rsidRDefault="001551B0" w:rsidP="00893ED3">
      <w:pPr>
        <w:spacing w:after="0" w:line="360" w:lineRule="auto"/>
        <w:jc w:val="both"/>
        <w:rPr>
          <w:rFonts w:ascii="Arial" w:hAnsi="Arial" w:cs="Arial"/>
          <w:sz w:val="24"/>
          <w:szCs w:val="24"/>
        </w:rPr>
      </w:pPr>
      <w:r>
        <w:rPr>
          <w:rFonts w:ascii="Arial" w:hAnsi="Arial" w:cs="Arial"/>
          <w:sz w:val="24"/>
          <w:szCs w:val="24"/>
        </w:rPr>
        <w:t>2</w:t>
      </w:r>
      <w:r w:rsidR="00CC6B45">
        <w:rPr>
          <w:rFonts w:ascii="Arial" w:hAnsi="Arial" w:cs="Arial"/>
          <w:sz w:val="24"/>
          <w:szCs w:val="24"/>
        </w:rPr>
        <w:t>2</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 xml:space="preserve">The first respondent asserts that he is being punished for joining Preller and Goosen’s </w:t>
      </w:r>
      <w:r>
        <w:rPr>
          <w:rFonts w:ascii="Arial" w:hAnsi="Arial" w:cs="Arial"/>
          <w:sz w:val="24"/>
          <w:szCs w:val="24"/>
        </w:rPr>
        <w:t>‘</w:t>
      </w:r>
      <w:r w:rsidR="00893ED3" w:rsidRPr="00893ED3">
        <w:rPr>
          <w:rFonts w:ascii="Arial" w:hAnsi="Arial" w:cs="Arial"/>
          <w:sz w:val="24"/>
          <w:szCs w:val="24"/>
        </w:rPr>
        <w:t>delinquent</w:t>
      </w:r>
      <w:r>
        <w:rPr>
          <w:rFonts w:ascii="Arial" w:hAnsi="Arial" w:cs="Arial"/>
          <w:sz w:val="24"/>
          <w:szCs w:val="24"/>
        </w:rPr>
        <w:t>’</w:t>
      </w:r>
      <w:r w:rsidR="00893ED3" w:rsidRPr="00893ED3">
        <w:rPr>
          <w:rFonts w:ascii="Arial" w:hAnsi="Arial" w:cs="Arial"/>
          <w:sz w:val="24"/>
          <w:szCs w:val="24"/>
        </w:rPr>
        <w:t xml:space="preserve"> board while CIPC deems it fit not to include the real culprits in this application.</w:t>
      </w:r>
      <w:r>
        <w:rPr>
          <w:rFonts w:ascii="Arial" w:hAnsi="Arial" w:cs="Arial"/>
          <w:sz w:val="24"/>
          <w:szCs w:val="24"/>
        </w:rPr>
        <w:t xml:space="preserve"> </w:t>
      </w:r>
      <w:r w:rsidR="00893ED3" w:rsidRPr="00893ED3">
        <w:rPr>
          <w:rFonts w:ascii="Arial" w:hAnsi="Arial" w:cs="Arial"/>
          <w:sz w:val="24"/>
          <w:szCs w:val="24"/>
        </w:rPr>
        <w:t>He asserts that the SEI</w:t>
      </w:r>
      <w:r w:rsidR="00160815">
        <w:rPr>
          <w:rFonts w:ascii="Arial" w:hAnsi="Arial" w:cs="Arial"/>
          <w:sz w:val="24"/>
          <w:szCs w:val="24"/>
        </w:rPr>
        <w:t xml:space="preserve"> </w:t>
      </w:r>
      <w:r w:rsidR="00893ED3" w:rsidRPr="00893ED3">
        <w:rPr>
          <w:rFonts w:ascii="Arial" w:hAnsi="Arial" w:cs="Arial"/>
          <w:sz w:val="24"/>
          <w:szCs w:val="24"/>
        </w:rPr>
        <w:t xml:space="preserve">1 was already non-compliant when he joined it and although the non-compliance continued during his tenure, it was also him and the second to fifth respondents that brought the company to compliance as set out in the further </w:t>
      </w:r>
      <w:r w:rsidR="00893ED3" w:rsidRPr="00893ED3">
        <w:rPr>
          <w:rFonts w:ascii="Arial" w:hAnsi="Arial" w:cs="Arial"/>
          <w:sz w:val="24"/>
          <w:szCs w:val="24"/>
        </w:rPr>
        <w:lastRenderedPageBreak/>
        <w:t>affidavit filed during July 2021.</w:t>
      </w:r>
      <w:r>
        <w:rPr>
          <w:rFonts w:ascii="Arial" w:hAnsi="Arial" w:cs="Arial"/>
          <w:sz w:val="24"/>
          <w:szCs w:val="24"/>
        </w:rPr>
        <w:t xml:space="preserve"> </w:t>
      </w:r>
      <w:r w:rsidR="00893ED3" w:rsidRPr="00893ED3">
        <w:rPr>
          <w:rFonts w:ascii="Arial" w:hAnsi="Arial" w:cs="Arial"/>
          <w:sz w:val="24"/>
          <w:szCs w:val="24"/>
        </w:rPr>
        <w:t xml:space="preserve">It was also alleged that this application </w:t>
      </w:r>
      <w:r w:rsidR="00E72F41" w:rsidRPr="00893ED3">
        <w:rPr>
          <w:rFonts w:ascii="Arial" w:hAnsi="Arial" w:cs="Arial"/>
          <w:sz w:val="24"/>
          <w:szCs w:val="24"/>
        </w:rPr>
        <w:t>was</w:t>
      </w:r>
      <w:r w:rsidR="00893ED3" w:rsidRPr="00893ED3">
        <w:rPr>
          <w:rFonts w:ascii="Arial" w:hAnsi="Arial" w:cs="Arial"/>
          <w:sz w:val="24"/>
          <w:szCs w:val="24"/>
        </w:rPr>
        <w:t xml:space="preserve"> motivated by ulterior motives and not by a desire to comply with its statutory duty.</w:t>
      </w:r>
    </w:p>
    <w:p w14:paraId="5892D9A7" w14:textId="77777777" w:rsidR="001551B0" w:rsidRDefault="001551B0" w:rsidP="00893ED3">
      <w:pPr>
        <w:spacing w:after="0" w:line="360" w:lineRule="auto"/>
        <w:jc w:val="both"/>
        <w:rPr>
          <w:rFonts w:ascii="Arial" w:hAnsi="Arial" w:cs="Arial"/>
          <w:sz w:val="24"/>
          <w:szCs w:val="24"/>
        </w:rPr>
      </w:pPr>
    </w:p>
    <w:p w14:paraId="14B4B7E8" w14:textId="2BA53443" w:rsidR="00893ED3" w:rsidRPr="00893ED3" w:rsidRDefault="00CC6B45" w:rsidP="00893ED3">
      <w:pPr>
        <w:spacing w:after="0" w:line="360" w:lineRule="auto"/>
        <w:jc w:val="both"/>
        <w:rPr>
          <w:rFonts w:ascii="Arial" w:hAnsi="Arial" w:cs="Arial"/>
          <w:sz w:val="24"/>
          <w:szCs w:val="24"/>
        </w:rPr>
      </w:pPr>
      <w:r>
        <w:rPr>
          <w:rFonts w:ascii="Arial" w:hAnsi="Arial" w:cs="Arial"/>
          <w:sz w:val="24"/>
          <w:szCs w:val="24"/>
        </w:rPr>
        <w:t>23</w:t>
      </w:r>
      <w:r w:rsidR="001551B0">
        <w:rPr>
          <w:rFonts w:ascii="Arial" w:hAnsi="Arial" w:cs="Arial"/>
          <w:sz w:val="24"/>
          <w:szCs w:val="24"/>
        </w:rPr>
        <w:t>.</w:t>
      </w:r>
      <w:r w:rsidR="001551B0">
        <w:rPr>
          <w:rFonts w:ascii="Arial" w:hAnsi="Arial" w:cs="Arial"/>
          <w:sz w:val="24"/>
          <w:szCs w:val="24"/>
        </w:rPr>
        <w:tab/>
      </w:r>
      <w:r w:rsidR="00893ED3" w:rsidRPr="00893ED3">
        <w:rPr>
          <w:rFonts w:ascii="Arial" w:hAnsi="Arial" w:cs="Arial"/>
          <w:sz w:val="24"/>
          <w:szCs w:val="24"/>
        </w:rPr>
        <w:t>The question arises if, considering the facts of this case, the court can find that the first and seventh respondents were grossly negligent, willful and reckless in the execution of their duties as directors.</w:t>
      </w:r>
      <w:r w:rsidR="001551B0">
        <w:rPr>
          <w:rFonts w:ascii="Arial" w:hAnsi="Arial" w:cs="Arial"/>
          <w:sz w:val="24"/>
          <w:szCs w:val="24"/>
        </w:rPr>
        <w:t xml:space="preserve"> </w:t>
      </w:r>
      <w:r w:rsidR="00893ED3" w:rsidRPr="00893ED3">
        <w:rPr>
          <w:rFonts w:ascii="Arial" w:hAnsi="Arial" w:cs="Arial"/>
          <w:sz w:val="24"/>
          <w:szCs w:val="24"/>
        </w:rPr>
        <w:t xml:space="preserve">I think not. Seeing that CIPC chose to bring this application on motion proceedings the court is constrained to apply the so called </w:t>
      </w:r>
      <w:r w:rsidR="00893ED3" w:rsidRPr="00DF1AE0">
        <w:rPr>
          <w:rFonts w:ascii="Arial" w:hAnsi="Arial" w:cs="Arial"/>
          <w:i/>
          <w:sz w:val="24"/>
          <w:szCs w:val="24"/>
        </w:rPr>
        <w:t>Plascon</w:t>
      </w:r>
      <w:r w:rsidR="001551B0" w:rsidRPr="00DF1AE0">
        <w:rPr>
          <w:rFonts w:ascii="Arial" w:hAnsi="Arial" w:cs="Arial"/>
          <w:i/>
          <w:sz w:val="24"/>
          <w:szCs w:val="24"/>
        </w:rPr>
        <w:t>-</w:t>
      </w:r>
      <w:r w:rsidR="00893ED3" w:rsidRPr="00DF1AE0">
        <w:rPr>
          <w:rFonts w:ascii="Arial" w:hAnsi="Arial" w:cs="Arial"/>
          <w:i/>
          <w:sz w:val="24"/>
          <w:szCs w:val="24"/>
        </w:rPr>
        <w:t>Evans</w:t>
      </w:r>
      <w:r w:rsidR="00893ED3" w:rsidRPr="00893ED3">
        <w:rPr>
          <w:rFonts w:ascii="Arial" w:hAnsi="Arial" w:cs="Arial"/>
          <w:sz w:val="24"/>
          <w:szCs w:val="24"/>
        </w:rPr>
        <w:t xml:space="preserve"> rule that final relief may be granted if those facts averred in the applicant’s affidavits which have been admitted by the respondent, together with the facts alleged by the respondent justify such an </w:t>
      </w:r>
      <w:r w:rsidR="00893ED3" w:rsidRPr="001551B0">
        <w:rPr>
          <w:rFonts w:ascii="Arial" w:hAnsi="Arial" w:cs="Arial"/>
          <w:sz w:val="24"/>
          <w:szCs w:val="24"/>
        </w:rPr>
        <w:t>order.</w:t>
      </w:r>
      <w:r w:rsidR="001551B0">
        <w:rPr>
          <w:rStyle w:val="FootnoteReference"/>
          <w:rFonts w:ascii="Arial" w:hAnsi="Arial" w:cs="Arial"/>
          <w:sz w:val="24"/>
          <w:szCs w:val="24"/>
        </w:rPr>
        <w:footnoteReference w:id="6"/>
      </w:r>
      <w:r w:rsidR="001551B0">
        <w:rPr>
          <w:rFonts w:ascii="Arial" w:hAnsi="Arial" w:cs="Arial"/>
          <w:sz w:val="24"/>
          <w:szCs w:val="24"/>
        </w:rPr>
        <w:t xml:space="preserve"> </w:t>
      </w:r>
      <w:r w:rsidR="00893ED3" w:rsidRPr="00893ED3">
        <w:rPr>
          <w:rFonts w:ascii="Arial" w:hAnsi="Arial" w:cs="Arial"/>
          <w:sz w:val="24"/>
          <w:szCs w:val="24"/>
        </w:rPr>
        <w:t xml:space="preserve">On the papers before me it cannot be said that CIPC made out a case that the respondents acted in the way envisaged </w:t>
      </w:r>
      <w:r w:rsidR="00E454CD">
        <w:rPr>
          <w:rFonts w:ascii="Arial" w:hAnsi="Arial" w:cs="Arial"/>
          <w:sz w:val="24"/>
          <w:szCs w:val="24"/>
        </w:rPr>
        <w:t>in</w:t>
      </w:r>
      <w:r w:rsidR="00893ED3" w:rsidRPr="00893ED3">
        <w:rPr>
          <w:rFonts w:ascii="Arial" w:hAnsi="Arial" w:cs="Arial"/>
          <w:sz w:val="24"/>
          <w:szCs w:val="24"/>
        </w:rPr>
        <w:t xml:space="preserve"> s 1</w:t>
      </w:r>
      <w:r w:rsidR="00893ED3" w:rsidRPr="00893ED3">
        <w:rPr>
          <w:rFonts w:ascii="Arial" w:hAnsi="Arial" w:cs="Arial"/>
          <w:sz w:val="24"/>
          <w:szCs w:val="24"/>
        </w:rPr>
        <w:t>62(5)</w:t>
      </w:r>
      <w:r w:rsidR="00893ED3" w:rsidRPr="00DF1AE0">
        <w:rPr>
          <w:rFonts w:ascii="Arial" w:hAnsi="Arial" w:cs="Arial"/>
          <w:i/>
          <w:sz w:val="24"/>
          <w:szCs w:val="24"/>
        </w:rPr>
        <w:t>(c)</w:t>
      </w:r>
      <w:r w:rsidR="00893ED3" w:rsidRPr="00893ED3">
        <w:rPr>
          <w:rFonts w:ascii="Arial" w:hAnsi="Arial" w:cs="Arial"/>
          <w:sz w:val="24"/>
          <w:szCs w:val="24"/>
        </w:rPr>
        <w:t>.</w:t>
      </w:r>
    </w:p>
    <w:p w14:paraId="740009C2" w14:textId="77777777" w:rsidR="00893ED3" w:rsidRDefault="00893ED3" w:rsidP="00893ED3">
      <w:pPr>
        <w:spacing w:after="0" w:line="360" w:lineRule="auto"/>
        <w:jc w:val="both"/>
        <w:rPr>
          <w:rFonts w:ascii="Arial" w:hAnsi="Arial" w:cs="Arial"/>
          <w:sz w:val="24"/>
          <w:szCs w:val="24"/>
        </w:rPr>
      </w:pPr>
    </w:p>
    <w:p w14:paraId="2EB2D851" w14:textId="7BD2AD34" w:rsidR="002E561B" w:rsidRDefault="001551B0" w:rsidP="00893ED3">
      <w:pPr>
        <w:spacing w:after="0" w:line="360" w:lineRule="auto"/>
        <w:jc w:val="both"/>
        <w:rPr>
          <w:rFonts w:ascii="Arial" w:hAnsi="Arial" w:cs="Arial"/>
          <w:sz w:val="24"/>
          <w:szCs w:val="24"/>
        </w:rPr>
      </w:pPr>
      <w:r>
        <w:rPr>
          <w:rFonts w:ascii="Arial" w:hAnsi="Arial" w:cs="Arial"/>
          <w:sz w:val="24"/>
          <w:szCs w:val="24"/>
        </w:rPr>
        <w:t>2</w:t>
      </w:r>
      <w:r w:rsidR="00CC6B45">
        <w:rPr>
          <w:rFonts w:ascii="Arial" w:hAnsi="Arial" w:cs="Arial"/>
          <w:sz w:val="24"/>
          <w:szCs w:val="24"/>
        </w:rPr>
        <w:t>4</w:t>
      </w:r>
      <w:r>
        <w:rPr>
          <w:rFonts w:ascii="Arial" w:hAnsi="Arial" w:cs="Arial"/>
          <w:sz w:val="24"/>
          <w:szCs w:val="24"/>
        </w:rPr>
        <w:t>.</w:t>
      </w:r>
      <w:r w:rsidR="001236C1">
        <w:rPr>
          <w:rFonts w:ascii="Arial" w:hAnsi="Arial" w:cs="Arial"/>
          <w:sz w:val="24"/>
          <w:szCs w:val="24"/>
        </w:rPr>
        <w:t xml:space="preserve">   </w:t>
      </w:r>
      <w:r w:rsidR="008604FA">
        <w:rPr>
          <w:rFonts w:ascii="Arial" w:hAnsi="Arial" w:cs="Arial"/>
          <w:sz w:val="24"/>
          <w:szCs w:val="24"/>
        </w:rPr>
        <w:t>CIPC relied also on s162(5)(d) of the Act.</w:t>
      </w:r>
      <w:r>
        <w:rPr>
          <w:rFonts w:ascii="Arial" w:hAnsi="Arial" w:cs="Arial"/>
          <w:sz w:val="24"/>
          <w:szCs w:val="24"/>
        </w:rPr>
        <w:tab/>
      </w:r>
      <w:r w:rsidR="00893ED3" w:rsidRPr="00893ED3">
        <w:rPr>
          <w:rFonts w:ascii="Arial" w:hAnsi="Arial" w:cs="Arial"/>
          <w:sz w:val="24"/>
          <w:szCs w:val="24"/>
        </w:rPr>
        <w:t>It was argued on behalf of the seventh respondent that it remains to be determined whether section 162(5)</w:t>
      </w:r>
      <w:r w:rsidR="00893ED3" w:rsidRPr="00DF1AE0">
        <w:rPr>
          <w:rFonts w:ascii="Arial" w:hAnsi="Arial" w:cs="Arial"/>
          <w:i/>
          <w:sz w:val="24"/>
          <w:szCs w:val="24"/>
        </w:rPr>
        <w:t>(d)</w:t>
      </w:r>
      <w:r w:rsidR="00DF1AE0">
        <w:rPr>
          <w:rFonts w:ascii="Arial" w:hAnsi="Arial" w:cs="Arial"/>
          <w:sz w:val="24"/>
          <w:szCs w:val="24"/>
        </w:rPr>
        <w:t xml:space="preserve"> </w:t>
      </w:r>
      <w:r w:rsidR="00893ED3" w:rsidRPr="00893ED3">
        <w:rPr>
          <w:rFonts w:ascii="Arial" w:hAnsi="Arial" w:cs="Arial"/>
          <w:sz w:val="24"/>
          <w:szCs w:val="24"/>
        </w:rPr>
        <w:t>likewise contemplates that there should be no judicial discretion at all insofar as the provision requires that previous compliance notices have been delivered and does not allow for the court’s adjudication as to the merits of such notices in the first place. The argument</w:t>
      </w:r>
      <w:r w:rsidR="002E561B">
        <w:rPr>
          <w:rFonts w:ascii="Arial" w:hAnsi="Arial" w:cs="Arial"/>
          <w:sz w:val="24"/>
          <w:szCs w:val="24"/>
        </w:rPr>
        <w:t xml:space="preserve"> by CIPC </w:t>
      </w:r>
      <w:r w:rsidR="00893ED3" w:rsidRPr="00893ED3">
        <w:rPr>
          <w:rFonts w:ascii="Arial" w:hAnsi="Arial" w:cs="Arial"/>
          <w:sz w:val="24"/>
          <w:szCs w:val="24"/>
        </w:rPr>
        <w:t>was that s</w:t>
      </w:r>
      <w:r w:rsidR="00DF1AE0">
        <w:rPr>
          <w:rFonts w:ascii="Arial" w:hAnsi="Arial" w:cs="Arial"/>
          <w:sz w:val="24"/>
          <w:szCs w:val="24"/>
        </w:rPr>
        <w:t xml:space="preserve"> 162(5)</w:t>
      </w:r>
      <w:r w:rsidR="00893ED3" w:rsidRPr="00DF1AE0">
        <w:rPr>
          <w:rFonts w:ascii="Arial" w:hAnsi="Arial" w:cs="Arial"/>
          <w:i/>
          <w:sz w:val="24"/>
          <w:szCs w:val="24"/>
        </w:rPr>
        <w:t>(d)</w:t>
      </w:r>
      <w:r w:rsidR="00893ED3" w:rsidRPr="00893ED3">
        <w:rPr>
          <w:rFonts w:ascii="Arial" w:hAnsi="Arial" w:cs="Arial"/>
          <w:sz w:val="24"/>
          <w:szCs w:val="24"/>
        </w:rPr>
        <w:t xml:space="preserve"> stand</w:t>
      </w:r>
      <w:r w:rsidR="001236C1">
        <w:rPr>
          <w:rFonts w:ascii="Arial" w:hAnsi="Arial" w:cs="Arial"/>
          <w:sz w:val="24"/>
          <w:szCs w:val="24"/>
        </w:rPr>
        <w:t>s</w:t>
      </w:r>
      <w:r w:rsidR="00893ED3" w:rsidRPr="00893ED3">
        <w:rPr>
          <w:rFonts w:ascii="Arial" w:hAnsi="Arial" w:cs="Arial"/>
          <w:sz w:val="24"/>
          <w:szCs w:val="24"/>
        </w:rPr>
        <w:t xml:space="preserve"> to be distinguished on the basis that it does not contemplate any enquiry by the court as to the existence of any willful or grossly negligent conduct, but simply contemplates that previous complian</w:t>
      </w:r>
      <w:r w:rsidR="00DF1AE0">
        <w:rPr>
          <w:rFonts w:ascii="Arial" w:hAnsi="Arial" w:cs="Arial"/>
          <w:sz w:val="24"/>
          <w:szCs w:val="24"/>
        </w:rPr>
        <w:t>ce notices have been delivered ‘</w:t>
      </w:r>
      <w:r w:rsidR="00893ED3" w:rsidRPr="00893ED3">
        <w:rPr>
          <w:rFonts w:ascii="Arial" w:hAnsi="Arial" w:cs="Arial"/>
          <w:sz w:val="24"/>
          <w:szCs w:val="24"/>
        </w:rPr>
        <w:t>repeatedly</w:t>
      </w:r>
      <w:r w:rsidR="00DF1AE0">
        <w:rPr>
          <w:rFonts w:ascii="Arial" w:hAnsi="Arial" w:cs="Arial"/>
          <w:sz w:val="24"/>
          <w:szCs w:val="24"/>
        </w:rPr>
        <w:t>’</w:t>
      </w:r>
    </w:p>
    <w:p w14:paraId="460CF4F0" w14:textId="77777777" w:rsidR="002E561B" w:rsidRDefault="002E561B" w:rsidP="00893ED3">
      <w:pPr>
        <w:spacing w:after="0" w:line="360" w:lineRule="auto"/>
        <w:jc w:val="both"/>
        <w:rPr>
          <w:rFonts w:ascii="Arial" w:hAnsi="Arial" w:cs="Arial"/>
          <w:sz w:val="24"/>
          <w:szCs w:val="24"/>
        </w:rPr>
      </w:pPr>
    </w:p>
    <w:p w14:paraId="7423F2C7" w14:textId="3E8F99C1" w:rsidR="003F3277" w:rsidRDefault="001F48D0" w:rsidP="00893ED3">
      <w:pPr>
        <w:spacing w:after="0" w:line="360" w:lineRule="auto"/>
        <w:jc w:val="both"/>
        <w:rPr>
          <w:rFonts w:ascii="Arial" w:hAnsi="Arial" w:cs="Arial"/>
          <w:sz w:val="24"/>
          <w:szCs w:val="24"/>
        </w:rPr>
      </w:pPr>
      <w:r>
        <w:rPr>
          <w:rFonts w:ascii="Arial" w:hAnsi="Arial" w:cs="Arial"/>
          <w:sz w:val="24"/>
          <w:szCs w:val="24"/>
        </w:rPr>
        <w:t>25</w:t>
      </w:r>
      <w:r w:rsidR="00893ED3" w:rsidRPr="00893ED3">
        <w:rPr>
          <w:rFonts w:ascii="Arial" w:hAnsi="Arial" w:cs="Arial"/>
          <w:sz w:val="24"/>
          <w:szCs w:val="24"/>
        </w:rPr>
        <w:t>.</w:t>
      </w:r>
      <w:r>
        <w:rPr>
          <w:rFonts w:ascii="Arial" w:hAnsi="Arial" w:cs="Arial"/>
          <w:sz w:val="24"/>
          <w:szCs w:val="24"/>
        </w:rPr>
        <w:tab/>
      </w:r>
      <w:r w:rsidR="00C76AC5">
        <w:rPr>
          <w:rFonts w:ascii="Arial" w:hAnsi="Arial" w:cs="Arial"/>
          <w:sz w:val="24"/>
          <w:szCs w:val="24"/>
        </w:rPr>
        <w:t xml:space="preserve">On 17 </w:t>
      </w:r>
      <w:r w:rsidR="00E6401E">
        <w:rPr>
          <w:rFonts w:ascii="Arial" w:hAnsi="Arial" w:cs="Arial"/>
          <w:sz w:val="24"/>
          <w:szCs w:val="24"/>
        </w:rPr>
        <w:t xml:space="preserve">September 2017 a compliance notice was issued calling on SEI 1 </w:t>
      </w:r>
      <w:r w:rsidR="007D45D5">
        <w:rPr>
          <w:rFonts w:ascii="Arial" w:hAnsi="Arial" w:cs="Arial"/>
          <w:sz w:val="24"/>
          <w:szCs w:val="24"/>
        </w:rPr>
        <w:t>to comply</w:t>
      </w:r>
      <w:r w:rsidR="00475A22">
        <w:rPr>
          <w:rFonts w:ascii="Arial" w:hAnsi="Arial" w:cs="Arial"/>
          <w:sz w:val="24"/>
          <w:szCs w:val="24"/>
        </w:rPr>
        <w:t xml:space="preserve"> with</w:t>
      </w:r>
      <w:r w:rsidR="0011453E">
        <w:rPr>
          <w:rFonts w:ascii="Arial" w:hAnsi="Arial" w:cs="Arial"/>
          <w:sz w:val="24"/>
          <w:szCs w:val="24"/>
        </w:rPr>
        <w:t xml:space="preserve"> certain matters </w:t>
      </w:r>
      <w:r w:rsidR="00334E94">
        <w:rPr>
          <w:rFonts w:ascii="Arial" w:hAnsi="Arial" w:cs="Arial"/>
          <w:sz w:val="24"/>
          <w:szCs w:val="24"/>
        </w:rPr>
        <w:t>set out in the notice</w:t>
      </w:r>
      <w:r w:rsidR="00CB249C">
        <w:rPr>
          <w:rFonts w:ascii="Arial" w:hAnsi="Arial" w:cs="Arial"/>
          <w:sz w:val="24"/>
          <w:szCs w:val="24"/>
        </w:rPr>
        <w:t>.</w:t>
      </w:r>
      <w:r w:rsidR="00CC6B45">
        <w:rPr>
          <w:rFonts w:ascii="Arial" w:hAnsi="Arial" w:cs="Arial"/>
          <w:sz w:val="24"/>
          <w:szCs w:val="24"/>
        </w:rPr>
        <w:t xml:space="preserve"> </w:t>
      </w:r>
      <w:r w:rsidR="003C679F">
        <w:rPr>
          <w:rFonts w:ascii="Arial" w:hAnsi="Arial" w:cs="Arial"/>
          <w:sz w:val="24"/>
          <w:szCs w:val="24"/>
        </w:rPr>
        <w:t>On</w:t>
      </w:r>
      <w:r w:rsidR="000B2738">
        <w:rPr>
          <w:rFonts w:ascii="Arial" w:hAnsi="Arial" w:cs="Arial"/>
          <w:sz w:val="24"/>
          <w:szCs w:val="24"/>
        </w:rPr>
        <w:t xml:space="preserve"> 7 December 2017 an inspector’s report was</w:t>
      </w:r>
      <w:r w:rsidR="00783AF0">
        <w:rPr>
          <w:rFonts w:ascii="Arial" w:hAnsi="Arial" w:cs="Arial"/>
          <w:sz w:val="24"/>
          <w:szCs w:val="24"/>
        </w:rPr>
        <w:t xml:space="preserve"> issued against SEI 1 </w:t>
      </w:r>
      <w:r w:rsidR="00743C0B">
        <w:rPr>
          <w:rFonts w:ascii="Arial" w:hAnsi="Arial" w:cs="Arial"/>
          <w:sz w:val="24"/>
          <w:szCs w:val="24"/>
        </w:rPr>
        <w:t>aligned to the Financial Services Board</w:t>
      </w:r>
      <w:r w:rsidR="00CC6B45">
        <w:rPr>
          <w:rFonts w:ascii="Arial" w:hAnsi="Arial" w:cs="Arial"/>
          <w:sz w:val="24"/>
          <w:szCs w:val="24"/>
        </w:rPr>
        <w:t xml:space="preserve"> </w:t>
      </w:r>
      <w:r w:rsidR="00743C0B">
        <w:rPr>
          <w:rFonts w:ascii="Arial" w:hAnsi="Arial" w:cs="Arial"/>
          <w:sz w:val="24"/>
          <w:szCs w:val="24"/>
        </w:rPr>
        <w:t>(FS</w:t>
      </w:r>
      <w:r w:rsidR="006A5F4A">
        <w:rPr>
          <w:rFonts w:ascii="Arial" w:hAnsi="Arial" w:cs="Arial"/>
          <w:sz w:val="24"/>
          <w:szCs w:val="24"/>
        </w:rPr>
        <w:t>B).</w:t>
      </w:r>
      <w:r w:rsidR="00CC6B45">
        <w:rPr>
          <w:rFonts w:ascii="Arial" w:hAnsi="Arial" w:cs="Arial"/>
          <w:sz w:val="24"/>
          <w:szCs w:val="24"/>
        </w:rPr>
        <w:t xml:space="preserve"> </w:t>
      </w:r>
      <w:r w:rsidR="006A5F4A">
        <w:rPr>
          <w:rFonts w:ascii="Arial" w:hAnsi="Arial" w:cs="Arial"/>
          <w:sz w:val="24"/>
          <w:szCs w:val="24"/>
        </w:rPr>
        <w:t>On</w:t>
      </w:r>
      <w:r w:rsidR="00CC3DA7">
        <w:rPr>
          <w:rFonts w:ascii="Arial" w:hAnsi="Arial" w:cs="Arial"/>
          <w:sz w:val="24"/>
          <w:szCs w:val="24"/>
        </w:rPr>
        <w:t xml:space="preserve"> the same date CIPC issued a notice regarding reck</w:t>
      </w:r>
      <w:r w:rsidR="00182BCA">
        <w:rPr>
          <w:rFonts w:ascii="Arial" w:hAnsi="Arial" w:cs="Arial"/>
          <w:sz w:val="24"/>
          <w:szCs w:val="24"/>
        </w:rPr>
        <w:t>less trading or trading under insolvent circumstance</w:t>
      </w:r>
      <w:r w:rsidR="00CD7E0D">
        <w:rPr>
          <w:rFonts w:ascii="Arial" w:hAnsi="Arial" w:cs="Arial"/>
          <w:sz w:val="24"/>
          <w:szCs w:val="24"/>
        </w:rPr>
        <w:t>s.</w:t>
      </w:r>
      <w:r w:rsidR="00CC6B45">
        <w:rPr>
          <w:rFonts w:ascii="Arial" w:hAnsi="Arial" w:cs="Arial"/>
          <w:sz w:val="24"/>
          <w:szCs w:val="24"/>
        </w:rPr>
        <w:t xml:space="preserve"> </w:t>
      </w:r>
      <w:r w:rsidR="00CD7E0D">
        <w:rPr>
          <w:rFonts w:ascii="Arial" w:hAnsi="Arial" w:cs="Arial"/>
          <w:sz w:val="24"/>
          <w:szCs w:val="24"/>
        </w:rPr>
        <w:t>SEI 1 responded on 16 January and denied</w:t>
      </w:r>
      <w:r w:rsidR="008451CF">
        <w:rPr>
          <w:rFonts w:ascii="Arial" w:hAnsi="Arial" w:cs="Arial"/>
          <w:sz w:val="24"/>
          <w:szCs w:val="24"/>
        </w:rPr>
        <w:t xml:space="preserve"> any conduct</w:t>
      </w:r>
      <w:r w:rsidR="00910521">
        <w:rPr>
          <w:rFonts w:ascii="Arial" w:hAnsi="Arial" w:cs="Arial"/>
          <w:sz w:val="24"/>
          <w:szCs w:val="24"/>
        </w:rPr>
        <w:t xml:space="preserve"> described in terms of s</w:t>
      </w:r>
      <w:r w:rsidR="00CC6B45">
        <w:rPr>
          <w:rFonts w:ascii="Arial" w:hAnsi="Arial" w:cs="Arial"/>
          <w:sz w:val="24"/>
          <w:szCs w:val="24"/>
        </w:rPr>
        <w:t xml:space="preserve"> </w:t>
      </w:r>
      <w:r w:rsidR="00910521">
        <w:rPr>
          <w:rFonts w:ascii="Arial" w:hAnsi="Arial" w:cs="Arial"/>
          <w:sz w:val="24"/>
          <w:szCs w:val="24"/>
        </w:rPr>
        <w:t>22(1) of the Act</w:t>
      </w:r>
      <w:r w:rsidR="009C4D9B">
        <w:rPr>
          <w:rFonts w:ascii="Arial" w:hAnsi="Arial" w:cs="Arial"/>
          <w:sz w:val="24"/>
          <w:szCs w:val="24"/>
        </w:rPr>
        <w:t>.</w:t>
      </w:r>
      <w:r w:rsidR="00CC6B45">
        <w:rPr>
          <w:rFonts w:ascii="Arial" w:hAnsi="Arial" w:cs="Arial"/>
          <w:sz w:val="24"/>
          <w:szCs w:val="24"/>
        </w:rPr>
        <w:t xml:space="preserve"> </w:t>
      </w:r>
      <w:r w:rsidR="009C4D9B">
        <w:rPr>
          <w:rFonts w:ascii="Arial" w:hAnsi="Arial" w:cs="Arial"/>
          <w:sz w:val="24"/>
          <w:szCs w:val="24"/>
        </w:rPr>
        <w:t>CIPC on 14 February 2018 issued a report</w:t>
      </w:r>
      <w:r w:rsidR="007E65C2">
        <w:rPr>
          <w:rFonts w:ascii="Arial" w:hAnsi="Arial" w:cs="Arial"/>
          <w:sz w:val="24"/>
          <w:szCs w:val="24"/>
        </w:rPr>
        <w:t xml:space="preserve"> in which various findings were made against SEI</w:t>
      </w:r>
      <w:r w:rsidR="0029143A">
        <w:rPr>
          <w:rFonts w:ascii="Arial" w:hAnsi="Arial" w:cs="Arial"/>
          <w:sz w:val="24"/>
          <w:szCs w:val="24"/>
        </w:rPr>
        <w:t xml:space="preserve"> 1 and also issued a further notice</w:t>
      </w:r>
      <w:r w:rsidR="00481F3F">
        <w:rPr>
          <w:rFonts w:ascii="Arial" w:hAnsi="Arial" w:cs="Arial"/>
          <w:sz w:val="24"/>
          <w:szCs w:val="24"/>
        </w:rPr>
        <w:t>.</w:t>
      </w:r>
      <w:r w:rsidR="00CC6B45">
        <w:rPr>
          <w:rFonts w:ascii="Arial" w:hAnsi="Arial" w:cs="Arial"/>
          <w:sz w:val="24"/>
          <w:szCs w:val="24"/>
        </w:rPr>
        <w:t xml:space="preserve"> </w:t>
      </w:r>
      <w:r w:rsidR="00481F3F">
        <w:rPr>
          <w:rFonts w:ascii="Arial" w:hAnsi="Arial" w:cs="Arial"/>
          <w:sz w:val="24"/>
          <w:szCs w:val="24"/>
        </w:rPr>
        <w:t>The notices and contents of it</w:t>
      </w:r>
      <w:r w:rsidR="00E1062B">
        <w:rPr>
          <w:rFonts w:ascii="Arial" w:hAnsi="Arial" w:cs="Arial"/>
          <w:sz w:val="24"/>
          <w:szCs w:val="24"/>
        </w:rPr>
        <w:t xml:space="preserve"> </w:t>
      </w:r>
      <w:r w:rsidR="00526E58">
        <w:rPr>
          <w:rFonts w:ascii="Arial" w:hAnsi="Arial" w:cs="Arial"/>
          <w:sz w:val="24"/>
          <w:szCs w:val="24"/>
        </w:rPr>
        <w:t>were</w:t>
      </w:r>
      <w:r w:rsidR="00E1062B">
        <w:rPr>
          <w:rFonts w:ascii="Arial" w:hAnsi="Arial" w:cs="Arial"/>
          <w:sz w:val="24"/>
          <w:szCs w:val="24"/>
        </w:rPr>
        <w:t xml:space="preserve"> placed in dispute and it was brought under the</w:t>
      </w:r>
      <w:r w:rsidR="003E438F">
        <w:rPr>
          <w:rFonts w:ascii="Arial" w:hAnsi="Arial" w:cs="Arial"/>
          <w:sz w:val="24"/>
          <w:szCs w:val="24"/>
        </w:rPr>
        <w:t xml:space="preserve"> attention </w:t>
      </w:r>
      <w:r w:rsidR="003E438F">
        <w:rPr>
          <w:rFonts w:ascii="Arial" w:hAnsi="Arial" w:cs="Arial"/>
          <w:sz w:val="24"/>
          <w:szCs w:val="24"/>
        </w:rPr>
        <w:t>of CIPC.</w:t>
      </w:r>
      <w:r w:rsidR="00CC6B45">
        <w:rPr>
          <w:rFonts w:ascii="Arial" w:hAnsi="Arial" w:cs="Arial"/>
          <w:sz w:val="24"/>
          <w:szCs w:val="24"/>
        </w:rPr>
        <w:t xml:space="preserve"> </w:t>
      </w:r>
      <w:r w:rsidR="003E438F">
        <w:rPr>
          <w:rFonts w:ascii="Arial" w:hAnsi="Arial" w:cs="Arial"/>
          <w:sz w:val="24"/>
          <w:szCs w:val="24"/>
        </w:rPr>
        <w:t>In subsequent years</w:t>
      </w:r>
      <w:r w:rsidR="0076566D">
        <w:rPr>
          <w:rFonts w:ascii="Arial" w:hAnsi="Arial" w:cs="Arial"/>
          <w:sz w:val="24"/>
          <w:szCs w:val="24"/>
        </w:rPr>
        <w:t xml:space="preserve"> SEI 1 </w:t>
      </w:r>
      <w:r w:rsidR="0076566D">
        <w:rPr>
          <w:rFonts w:ascii="Arial" w:hAnsi="Arial" w:cs="Arial"/>
          <w:sz w:val="24"/>
          <w:szCs w:val="24"/>
        </w:rPr>
        <w:lastRenderedPageBreak/>
        <w:t>alleges that it complied and filed all annual statements</w:t>
      </w:r>
      <w:r w:rsidR="00435E6A">
        <w:rPr>
          <w:rFonts w:ascii="Arial" w:hAnsi="Arial" w:cs="Arial"/>
          <w:sz w:val="24"/>
          <w:szCs w:val="24"/>
        </w:rPr>
        <w:t xml:space="preserve"> and documents for compliance purposes.</w:t>
      </w:r>
      <w:r w:rsidR="00CC6B45">
        <w:rPr>
          <w:rFonts w:ascii="Arial" w:hAnsi="Arial" w:cs="Arial"/>
          <w:sz w:val="24"/>
          <w:szCs w:val="24"/>
        </w:rPr>
        <w:t xml:space="preserve"> </w:t>
      </w:r>
      <w:r w:rsidR="00435E6A">
        <w:rPr>
          <w:rFonts w:ascii="Arial" w:hAnsi="Arial" w:cs="Arial"/>
          <w:sz w:val="24"/>
          <w:szCs w:val="24"/>
        </w:rPr>
        <w:t>No further compliance</w:t>
      </w:r>
      <w:r w:rsidR="004B156B">
        <w:rPr>
          <w:rFonts w:ascii="Arial" w:hAnsi="Arial" w:cs="Arial"/>
          <w:sz w:val="24"/>
          <w:szCs w:val="24"/>
        </w:rPr>
        <w:t xml:space="preserve"> notices were issued by CIPC</w:t>
      </w:r>
      <w:r w:rsidR="00526E58">
        <w:rPr>
          <w:rFonts w:ascii="Arial" w:hAnsi="Arial" w:cs="Arial"/>
          <w:sz w:val="24"/>
          <w:szCs w:val="24"/>
        </w:rPr>
        <w:t xml:space="preserve"> after that.</w:t>
      </w:r>
    </w:p>
    <w:p w14:paraId="440DDDB9" w14:textId="77777777" w:rsidR="00CC6B45" w:rsidRDefault="00CC6B45" w:rsidP="00893ED3">
      <w:pPr>
        <w:spacing w:after="0" w:line="360" w:lineRule="auto"/>
        <w:jc w:val="both"/>
        <w:rPr>
          <w:rFonts w:ascii="Arial" w:hAnsi="Arial" w:cs="Arial"/>
          <w:sz w:val="24"/>
          <w:szCs w:val="24"/>
        </w:rPr>
      </w:pPr>
    </w:p>
    <w:p w14:paraId="40834672" w14:textId="5B25EF31" w:rsidR="00893ED3" w:rsidRPr="00893ED3" w:rsidRDefault="00CC6B45" w:rsidP="00893ED3">
      <w:pPr>
        <w:spacing w:after="0" w:line="360" w:lineRule="auto"/>
        <w:jc w:val="both"/>
        <w:rPr>
          <w:rFonts w:ascii="Arial" w:hAnsi="Arial" w:cs="Arial"/>
          <w:sz w:val="24"/>
          <w:szCs w:val="24"/>
        </w:rPr>
      </w:pPr>
      <w:r>
        <w:rPr>
          <w:rFonts w:ascii="Arial" w:hAnsi="Arial" w:cs="Arial"/>
          <w:sz w:val="24"/>
          <w:szCs w:val="24"/>
        </w:rPr>
        <w:t>2</w:t>
      </w:r>
      <w:r w:rsidR="001F48D0">
        <w:rPr>
          <w:rFonts w:ascii="Arial" w:hAnsi="Arial" w:cs="Arial"/>
          <w:sz w:val="24"/>
          <w:szCs w:val="24"/>
        </w:rPr>
        <w:t>6</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 xml:space="preserve">The analysis in </w:t>
      </w:r>
      <w:r w:rsidR="00893ED3" w:rsidRPr="00DF1AE0">
        <w:rPr>
          <w:rFonts w:ascii="Arial" w:hAnsi="Arial" w:cs="Arial"/>
          <w:i/>
          <w:sz w:val="24"/>
          <w:szCs w:val="24"/>
        </w:rPr>
        <w:t>Gihwala</w:t>
      </w:r>
      <w:r w:rsidR="00893ED3" w:rsidRPr="00893ED3">
        <w:rPr>
          <w:rFonts w:ascii="Arial" w:hAnsi="Arial" w:cs="Arial"/>
          <w:sz w:val="24"/>
          <w:szCs w:val="24"/>
        </w:rPr>
        <w:t xml:space="preserve"> requires a court to first make certain factual findings.</w:t>
      </w:r>
      <w:r w:rsidR="00DF1AE0">
        <w:rPr>
          <w:rFonts w:ascii="Arial" w:hAnsi="Arial" w:cs="Arial"/>
          <w:sz w:val="24"/>
          <w:szCs w:val="24"/>
        </w:rPr>
        <w:t xml:space="preserve"> </w:t>
      </w:r>
      <w:r w:rsidR="00893ED3" w:rsidRPr="00893ED3">
        <w:rPr>
          <w:rFonts w:ascii="Arial" w:hAnsi="Arial" w:cs="Arial"/>
          <w:sz w:val="24"/>
          <w:szCs w:val="24"/>
        </w:rPr>
        <w:t xml:space="preserve">Once the factual findings are made, the court is mandated to make a declaration of delinquency. It was argued </w:t>
      </w:r>
      <w:r w:rsidR="003F3277" w:rsidRPr="00893ED3">
        <w:rPr>
          <w:rFonts w:ascii="Arial" w:hAnsi="Arial" w:cs="Arial"/>
          <w:sz w:val="24"/>
          <w:szCs w:val="24"/>
        </w:rPr>
        <w:t>that</w:t>
      </w:r>
      <w:r w:rsidR="00893ED3" w:rsidRPr="00893ED3">
        <w:rPr>
          <w:rFonts w:ascii="Arial" w:hAnsi="Arial" w:cs="Arial"/>
          <w:sz w:val="24"/>
          <w:szCs w:val="24"/>
        </w:rPr>
        <w:t xml:space="preserve"> contrary to the circumstances contemplated in s 162(5) in </w:t>
      </w:r>
      <w:r w:rsidR="0028634A" w:rsidRPr="00893ED3">
        <w:rPr>
          <w:rFonts w:ascii="Arial" w:hAnsi="Arial" w:cs="Arial"/>
          <w:sz w:val="24"/>
          <w:szCs w:val="24"/>
        </w:rPr>
        <w:t>general,</w:t>
      </w:r>
      <w:r>
        <w:rPr>
          <w:rFonts w:ascii="Arial" w:hAnsi="Arial" w:cs="Arial"/>
          <w:sz w:val="24"/>
          <w:szCs w:val="24"/>
        </w:rPr>
        <w:t xml:space="preserve"> </w:t>
      </w:r>
      <w:r w:rsidR="001F48D0">
        <w:rPr>
          <w:rFonts w:ascii="Arial" w:hAnsi="Arial" w:cs="Arial"/>
          <w:sz w:val="24"/>
          <w:szCs w:val="24"/>
        </w:rPr>
        <w:t xml:space="preserve">       </w:t>
      </w:r>
      <w:r w:rsidR="00893ED3" w:rsidRPr="00893ED3">
        <w:rPr>
          <w:rFonts w:ascii="Arial" w:hAnsi="Arial" w:cs="Arial"/>
          <w:sz w:val="24"/>
          <w:szCs w:val="24"/>
        </w:rPr>
        <w:t>s</w:t>
      </w:r>
      <w:r w:rsidR="00DF1AE0">
        <w:rPr>
          <w:rFonts w:ascii="Arial" w:hAnsi="Arial" w:cs="Arial"/>
          <w:sz w:val="24"/>
          <w:szCs w:val="24"/>
        </w:rPr>
        <w:t xml:space="preserve"> </w:t>
      </w:r>
      <w:r w:rsidR="00893ED3" w:rsidRPr="00893ED3">
        <w:rPr>
          <w:rFonts w:ascii="Arial" w:hAnsi="Arial" w:cs="Arial"/>
          <w:sz w:val="24"/>
          <w:szCs w:val="24"/>
        </w:rPr>
        <w:t>162(5)</w:t>
      </w:r>
      <w:r w:rsidR="00893ED3" w:rsidRPr="00DF1AE0">
        <w:rPr>
          <w:rFonts w:ascii="Arial" w:hAnsi="Arial" w:cs="Arial"/>
          <w:i/>
          <w:sz w:val="24"/>
          <w:szCs w:val="24"/>
        </w:rPr>
        <w:t>(d)</w:t>
      </w:r>
      <w:r w:rsidR="00893ED3" w:rsidRPr="00893ED3">
        <w:rPr>
          <w:rFonts w:ascii="Arial" w:hAnsi="Arial" w:cs="Arial"/>
          <w:sz w:val="24"/>
          <w:szCs w:val="24"/>
        </w:rPr>
        <w:t xml:space="preserve"> requires only that a director has been repeatedly and personally subjected to a compliance notice</w:t>
      </w:r>
      <w:r w:rsidR="00DB2B40">
        <w:rPr>
          <w:rFonts w:ascii="Arial" w:hAnsi="Arial" w:cs="Arial"/>
          <w:sz w:val="24"/>
          <w:szCs w:val="24"/>
        </w:rPr>
        <w:t>,</w:t>
      </w:r>
      <w:r w:rsidR="00893ED3" w:rsidRPr="00893ED3">
        <w:rPr>
          <w:rFonts w:ascii="Arial" w:hAnsi="Arial" w:cs="Arial"/>
          <w:sz w:val="24"/>
          <w:szCs w:val="24"/>
        </w:rPr>
        <w:t xml:space="preserve"> or similar enforcement mechanism for substantially similar conduct in terms of any applicable legislation</w:t>
      </w:r>
      <w:r w:rsidR="00893ED3" w:rsidRPr="00893ED3">
        <w:rPr>
          <w:rFonts w:ascii="Arial" w:hAnsi="Arial" w:cs="Arial"/>
          <w:sz w:val="24"/>
          <w:szCs w:val="24"/>
        </w:rPr>
        <w:t>. No enquiry</w:t>
      </w:r>
      <w:r w:rsidR="00786D46">
        <w:rPr>
          <w:rFonts w:ascii="Arial" w:hAnsi="Arial" w:cs="Arial"/>
          <w:sz w:val="24"/>
          <w:szCs w:val="24"/>
        </w:rPr>
        <w:t>,</w:t>
      </w:r>
      <w:r w:rsidR="00421D76">
        <w:rPr>
          <w:rFonts w:ascii="Arial" w:hAnsi="Arial" w:cs="Arial"/>
          <w:sz w:val="24"/>
          <w:szCs w:val="24"/>
        </w:rPr>
        <w:t xml:space="preserve"> </w:t>
      </w:r>
      <w:r w:rsidR="00786D46">
        <w:rPr>
          <w:rFonts w:ascii="Arial" w:hAnsi="Arial" w:cs="Arial"/>
          <w:sz w:val="24"/>
          <w:szCs w:val="24"/>
        </w:rPr>
        <w:t>it was argued,</w:t>
      </w:r>
      <w:r w:rsidR="00893ED3" w:rsidRPr="00893ED3">
        <w:rPr>
          <w:rFonts w:ascii="Arial" w:hAnsi="Arial" w:cs="Arial"/>
          <w:sz w:val="24"/>
          <w:szCs w:val="24"/>
        </w:rPr>
        <w:t xml:space="preserve"> is contemplated as to the nature, seriousness or merit of the notice or enforcement mechanism.</w:t>
      </w:r>
    </w:p>
    <w:p w14:paraId="07325DB5" w14:textId="77777777" w:rsidR="00DF1AE0" w:rsidRDefault="00DF1AE0" w:rsidP="00893ED3">
      <w:pPr>
        <w:spacing w:after="0" w:line="360" w:lineRule="auto"/>
        <w:jc w:val="both"/>
        <w:rPr>
          <w:rFonts w:ascii="Arial" w:hAnsi="Arial" w:cs="Arial"/>
          <w:sz w:val="24"/>
          <w:szCs w:val="24"/>
        </w:rPr>
      </w:pPr>
    </w:p>
    <w:p w14:paraId="32419783" w14:textId="7921AC60" w:rsidR="00893ED3" w:rsidRPr="00893ED3" w:rsidRDefault="00DF1AE0" w:rsidP="00893ED3">
      <w:pPr>
        <w:spacing w:after="0" w:line="360" w:lineRule="auto"/>
        <w:jc w:val="both"/>
        <w:rPr>
          <w:rFonts w:ascii="Arial" w:hAnsi="Arial" w:cs="Arial"/>
          <w:sz w:val="24"/>
          <w:szCs w:val="24"/>
        </w:rPr>
      </w:pPr>
      <w:r>
        <w:rPr>
          <w:rFonts w:ascii="Arial" w:hAnsi="Arial" w:cs="Arial"/>
          <w:sz w:val="24"/>
          <w:szCs w:val="24"/>
        </w:rPr>
        <w:t>2</w:t>
      </w:r>
      <w:r w:rsidR="001F48D0">
        <w:rPr>
          <w:rFonts w:ascii="Arial" w:hAnsi="Arial" w:cs="Arial"/>
          <w:sz w:val="24"/>
          <w:szCs w:val="24"/>
        </w:rPr>
        <w:t>7</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It was a</w:t>
      </w:r>
      <w:r>
        <w:rPr>
          <w:rFonts w:ascii="Arial" w:hAnsi="Arial" w:cs="Arial"/>
          <w:sz w:val="24"/>
          <w:szCs w:val="24"/>
        </w:rPr>
        <w:t>rgued</w:t>
      </w:r>
      <w:r w:rsidR="0097173E">
        <w:rPr>
          <w:rFonts w:ascii="Arial" w:hAnsi="Arial" w:cs="Arial"/>
          <w:sz w:val="24"/>
          <w:szCs w:val="24"/>
        </w:rPr>
        <w:t xml:space="preserve"> on behalf of the </w:t>
      </w:r>
      <w:r w:rsidR="00421D76">
        <w:rPr>
          <w:rFonts w:ascii="Arial" w:hAnsi="Arial" w:cs="Arial"/>
          <w:sz w:val="24"/>
          <w:szCs w:val="24"/>
        </w:rPr>
        <w:t>respondents</w:t>
      </w:r>
      <w:r>
        <w:rPr>
          <w:rFonts w:ascii="Arial" w:hAnsi="Arial" w:cs="Arial"/>
          <w:sz w:val="24"/>
          <w:szCs w:val="24"/>
        </w:rPr>
        <w:t xml:space="preserve"> that the use of the term ‘</w:t>
      </w:r>
      <w:r w:rsidR="00893ED3" w:rsidRPr="00893ED3">
        <w:rPr>
          <w:rFonts w:ascii="Arial" w:hAnsi="Arial" w:cs="Arial"/>
          <w:sz w:val="24"/>
          <w:szCs w:val="24"/>
        </w:rPr>
        <w:t>repeatedly</w:t>
      </w:r>
      <w:r>
        <w:rPr>
          <w:rFonts w:ascii="Arial" w:hAnsi="Arial" w:cs="Arial"/>
          <w:sz w:val="24"/>
          <w:szCs w:val="24"/>
        </w:rPr>
        <w:t>’</w:t>
      </w:r>
      <w:r w:rsidR="00893ED3" w:rsidRPr="00893ED3">
        <w:rPr>
          <w:rFonts w:ascii="Arial" w:hAnsi="Arial" w:cs="Arial"/>
          <w:sz w:val="24"/>
          <w:szCs w:val="24"/>
        </w:rPr>
        <w:t xml:space="preserve"> is inherently </w:t>
      </w:r>
      <w:r w:rsidR="00421D76" w:rsidRPr="00893ED3">
        <w:rPr>
          <w:rFonts w:ascii="Arial" w:hAnsi="Arial" w:cs="Arial"/>
          <w:sz w:val="24"/>
          <w:szCs w:val="24"/>
        </w:rPr>
        <w:t>ambiguous</w:t>
      </w:r>
      <w:r w:rsidR="00832482">
        <w:rPr>
          <w:rFonts w:ascii="Arial" w:hAnsi="Arial" w:cs="Arial"/>
          <w:sz w:val="24"/>
          <w:szCs w:val="24"/>
        </w:rPr>
        <w:t>.</w:t>
      </w:r>
      <w:r w:rsidR="00421D76">
        <w:rPr>
          <w:rFonts w:ascii="Arial" w:hAnsi="Arial" w:cs="Arial"/>
          <w:sz w:val="24"/>
          <w:szCs w:val="24"/>
        </w:rPr>
        <w:t xml:space="preserve"> </w:t>
      </w:r>
      <w:r w:rsidR="00832482">
        <w:rPr>
          <w:rFonts w:ascii="Arial" w:hAnsi="Arial" w:cs="Arial"/>
          <w:sz w:val="24"/>
          <w:szCs w:val="24"/>
        </w:rPr>
        <w:t>T</w:t>
      </w:r>
      <w:r w:rsidR="00893ED3" w:rsidRPr="00893ED3">
        <w:rPr>
          <w:rFonts w:ascii="Arial" w:hAnsi="Arial" w:cs="Arial"/>
          <w:sz w:val="24"/>
          <w:szCs w:val="24"/>
        </w:rPr>
        <w:t xml:space="preserve">he question arises how many notices shall </w:t>
      </w:r>
      <w:r>
        <w:rPr>
          <w:rFonts w:ascii="Arial" w:hAnsi="Arial" w:cs="Arial"/>
          <w:sz w:val="24"/>
          <w:szCs w:val="24"/>
        </w:rPr>
        <w:t>be deemed to have constituted ‘repeated’</w:t>
      </w:r>
      <w:r w:rsidR="00893ED3" w:rsidRPr="00893ED3">
        <w:rPr>
          <w:rFonts w:ascii="Arial" w:hAnsi="Arial" w:cs="Arial"/>
          <w:sz w:val="24"/>
          <w:szCs w:val="24"/>
        </w:rPr>
        <w:t xml:space="preserve"> notices. No enquiry</w:t>
      </w:r>
      <w:r w:rsidR="008A09F6">
        <w:rPr>
          <w:rFonts w:ascii="Arial" w:hAnsi="Arial" w:cs="Arial"/>
          <w:sz w:val="24"/>
          <w:szCs w:val="24"/>
        </w:rPr>
        <w:t xml:space="preserve"> as to the facts and circumstances would curtail the court’s function and role</w:t>
      </w:r>
      <w:r w:rsidR="007A3A8E">
        <w:rPr>
          <w:rFonts w:ascii="Arial" w:hAnsi="Arial" w:cs="Arial"/>
          <w:sz w:val="24"/>
          <w:szCs w:val="24"/>
        </w:rPr>
        <w:t xml:space="preserve"> significantly.</w:t>
      </w:r>
      <w:r w:rsidR="00893ED3" w:rsidRPr="00893ED3">
        <w:rPr>
          <w:rFonts w:ascii="Arial" w:hAnsi="Arial" w:cs="Arial"/>
          <w:sz w:val="24"/>
          <w:szCs w:val="24"/>
        </w:rPr>
        <w:t xml:space="preserve"> It was furthermore arg</w:t>
      </w:r>
      <w:r>
        <w:rPr>
          <w:rFonts w:ascii="Arial" w:hAnsi="Arial" w:cs="Arial"/>
          <w:sz w:val="24"/>
          <w:szCs w:val="24"/>
        </w:rPr>
        <w:t>ued that the use of the phrase ‘</w:t>
      </w:r>
      <w:r w:rsidR="00893ED3" w:rsidRPr="00893ED3">
        <w:rPr>
          <w:rFonts w:ascii="Arial" w:hAnsi="Arial" w:cs="Arial"/>
          <w:sz w:val="24"/>
          <w:szCs w:val="24"/>
        </w:rPr>
        <w:t>personally subject to a compliance notice</w:t>
      </w:r>
      <w:r>
        <w:rPr>
          <w:rFonts w:ascii="Arial" w:hAnsi="Arial" w:cs="Arial"/>
          <w:sz w:val="24"/>
          <w:szCs w:val="24"/>
        </w:rPr>
        <w:t xml:space="preserve"> . . .’</w:t>
      </w:r>
      <w:r w:rsidR="00893ED3" w:rsidRPr="00893ED3">
        <w:rPr>
          <w:rFonts w:ascii="Arial" w:hAnsi="Arial" w:cs="Arial"/>
          <w:sz w:val="24"/>
          <w:szCs w:val="24"/>
        </w:rPr>
        <w:t xml:space="preserve"> calls into question whether it should suffice for purposes of a declaration of delinquency that a compliance notice has been sent to an individual in his capacity as an office bearer at the time. It was submitted that where a compliance notice is delivered to all directors in their capacities </w:t>
      </w:r>
      <w:r w:rsidR="00893ED3" w:rsidRPr="00893ED3">
        <w:rPr>
          <w:rFonts w:ascii="Arial" w:hAnsi="Arial" w:cs="Arial"/>
          <w:sz w:val="24"/>
          <w:szCs w:val="24"/>
        </w:rPr>
        <w:t xml:space="preserve">as </w:t>
      </w:r>
      <w:r w:rsidR="0031312F" w:rsidRPr="00893ED3">
        <w:rPr>
          <w:rFonts w:ascii="Arial" w:hAnsi="Arial" w:cs="Arial"/>
          <w:sz w:val="24"/>
          <w:szCs w:val="24"/>
        </w:rPr>
        <w:t>such,</w:t>
      </w:r>
      <w:r w:rsidR="00893ED3" w:rsidRPr="00893ED3">
        <w:rPr>
          <w:rFonts w:ascii="Arial" w:hAnsi="Arial" w:cs="Arial"/>
          <w:sz w:val="24"/>
          <w:szCs w:val="24"/>
        </w:rPr>
        <w:t xml:space="preserve"> it </w:t>
      </w:r>
      <w:r w:rsidR="007A3A8E">
        <w:rPr>
          <w:rFonts w:ascii="Arial" w:hAnsi="Arial" w:cs="Arial"/>
          <w:sz w:val="24"/>
          <w:szCs w:val="24"/>
        </w:rPr>
        <w:t>should</w:t>
      </w:r>
      <w:r w:rsidR="00893ED3" w:rsidRPr="00893ED3">
        <w:rPr>
          <w:rFonts w:ascii="Arial" w:hAnsi="Arial" w:cs="Arial"/>
          <w:sz w:val="24"/>
          <w:szCs w:val="24"/>
        </w:rPr>
        <w:t xml:space="preserve"> be distinguished from an instance in which a comp</w:t>
      </w:r>
      <w:r w:rsidR="00421D76">
        <w:rPr>
          <w:rFonts w:ascii="Arial" w:hAnsi="Arial" w:cs="Arial"/>
          <w:sz w:val="24"/>
          <w:szCs w:val="24"/>
        </w:rPr>
        <w:t xml:space="preserve">liance notice is delivered in a </w:t>
      </w:r>
      <w:r w:rsidR="00893ED3" w:rsidRPr="00893ED3">
        <w:rPr>
          <w:rFonts w:ascii="Arial" w:hAnsi="Arial" w:cs="Arial"/>
          <w:sz w:val="24"/>
          <w:szCs w:val="24"/>
        </w:rPr>
        <w:t xml:space="preserve">director’s personal capacity </w:t>
      </w:r>
      <w:r w:rsidR="00893ED3" w:rsidRPr="00DF1AE0">
        <w:rPr>
          <w:rFonts w:ascii="Arial" w:hAnsi="Arial" w:cs="Arial"/>
          <w:i/>
          <w:sz w:val="24"/>
          <w:szCs w:val="24"/>
        </w:rPr>
        <w:t>per se</w:t>
      </w:r>
      <w:r w:rsidR="00893ED3" w:rsidRPr="00893ED3">
        <w:rPr>
          <w:rFonts w:ascii="Arial" w:hAnsi="Arial" w:cs="Arial"/>
          <w:sz w:val="24"/>
          <w:szCs w:val="24"/>
        </w:rPr>
        <w:t xml:space="preserve">. </w:t>
      </w:r>
    </w:p>
    <w:p w14:paraId="195E3D41" w14:textId="77777777" w:rsidR="00DF1AE0" w:rsidRPr="00DF1AE0" w:rsidRDefault="00DF1AE0" w:rsidP="00893ED3">
      <w:pPr>
        <w:spacing w:after="0" w:line="360" w:lineRule="auto"/>
        <w:jc w:val="both"/>
        <w:rPr>
          <w:rFonts w:ascii="Arial" w:hAnsi="Arial" w:cs="Arial"/>
          <w:sz w:val="24"/>
          <w:szCs w:val="24"/>
        </w:rPr>
      </w:pPr>
    </w:p>
    <w:p w14:paraId="4F60B716" w14:textId="5006F540" w:rsidR="00DF1AE0" w:rsidRDefault="00DF1AE0" w:rsidP="00893ED3">
      <w:pPr>
        <w:spacing w:after="0" w:line="360" w:lineRule="auto"/>
        <w:jc w:val="both"/>
        <w:rPr>
          <w:rFonts w:ascii="Arial" w:hAnsi="Arial" w:cs="Arial"/>
          <w:sz w:val="24"/>
          <w:szCs w:val="24"/>
        </w:rPr>
      </w:pPr>
      <w:r w:rsidRPr="00DF1AE0">
        <w:rPr>
          <w:rFonts w:ascii="Arial" w:hAnsi="Arial" w:cs="Arial"/>
          <w:sz w:val="24"/>
          <w:szCs w:val="24"/>
        </w:rPr>
        <w:t>2</w:t>
      </w:r>
      <w:r w:rsidR="001F48D0">
        <w:rPr>
          <w:rFonts w:ascii="Arial" w:hAnsi="Arial" w:cs="Arial"/>
          <w:sz w:val="24"/>
          <w:szCs w:val="24"/>
        </w:rPr>
        <w:t>8</w:t>
      </w:r>
      <w:r w:rsidRPr="00DF1AE0">
        <w:rPr>
          <w:rFonts w:ascii="Arial" w:hAnsi="Arial" w:cs="Arial"/>
          <w:sz w:val="24"/>
          <w:szCs w:val="24"/>
        </w:rPr>
        <w:t>.</w:t>
      </w:r>
      <w:r w:rsidR="00421D76">
        <w:rPr>
          <w:rFonts w:ascii="Arial" w:hAnsi="Arial" w:cs="Arial"/>
          <w:sz w:val="24"/>
          <w:szCs w:val="24"/>
        </w:rPr>
        <w:tab/>
      </w:r>
      <w:r w:rsidR="00653BBA">
        <w:rPr>
          <w:rFonts w:ascii="Arial" w:hAnsi="Arial" w:cs="Arial"/>
          <w:sz w:val="24"/>
          <w:szCs w:val="24"/>
        </w:rPr>
        <w:t>The aforesaid indicates that</w:t>
      </w:r>
      <w:r w:rsidR="00421D76">
        <w:rPr>
          <w:rFonts w:ascii="Arial" w:hAnsi="Arial" w:cs="Arial"/>
          <w:sz w:val="24"/>
          <w:szCs w:val="24"/>
        </w:rPr>
        <w:t xml:space="preserve"> </w:t>
      </w:r>
      <w:r w:rsidR="00F0799E">
        <w:rPr>
          <w:rFonts w:ascii="Arial" w:hAnsi="Arial" w:cs="Arial"/>
          <w:sz w:val="24"/>
          <w:szCs w:val="24"/>
        </w:rPr>
        <w:t>s</w:t>
      </w:r>
      <w:r w:rsidRPr="00DF1AE0">
        <w:rPr>
          <w:rFonts w:ascii="Arial" w:hAnsi="Arial" w:cs="Arial"/>
          <w:sz w:val="24"/>
          <w:szCs w:val="24"/>
        </w:rPr>
        <w:t xml:space="preserve"> </w:t>
      </w:r>
      <w:r w:rsidR="00893ED3" w:rsidRPr="00DF1AE0">
        <w:rPr>
          <w:rFonts w:ascii="Arial" w:hAnsi="Arial" w:cs="Arial"/>
          <w:sz w:val="24"/>
          <w:szCs w:val="24"/>
        </w:rPr>
        <w:t>162(5)</w:t>
      </w:r>
      <w:r w:rsidR="00893ED3" w:rsidRPr="00DF1AE0">
        <w:rPr>
          <w:rFonts w:ascii="Arial" w:hAnsi="Arial" w:cs="Arial"/>
          <w:i/>
          <w:sz w:val="24"/>
          <w:szCs w:val="24"/>
        </w:rPr>
        <w:t>(d)</w:t>
      </w:r>
      <w:r w:rsidR="00421D76">
        <w:rPr>
          <w:rFonts w:ascii="Arial" w:hAnsi="Arial" w:cs="Arial"/>
          <w:i/>
          <w:sz w:val="24"/>
          <w:szCs w:val="24"/>
        </w:rPr>
        <w:t xml:space="preserve"> </w:t>
      </w:r>
      <w:r w:rsidR="00F0799E">
        <w:rPr>
          <w:rFonts w:ascii="Arial" w:hAnsi="Arial" w:cs="Arial"/>
          <w:sz w:val="24"/>
          <w:szCs w:val="24"/>
        </w:rPr>
        <w:t>requires</w:t>
      </w:r>
      <w:r w:rsidR="00893ED3" w:rsidRPr="00DF1AE0">
        <w:rPr>
          <w:rFonts w:ascii="Arial" w:hAnsi="Arial" w:cs="Arial"/>
          <w:sz w:val="24"/>
          <w:szCs w:val="24"/>
        </w:rPr>
        <w:t xml:space="preserve"> interpretation</w:t>
      </w:r>
      <w:r w:rsidR="00F0799E">
        <w:rPr>
          <w:rFonts w:ascii="Arial" w:hAnsi="Arial" w:cs="Arial"/>
          <w:sz w:val="24"/>
          <w:szCs w:val="24"/>
        </w:rPr>
        <w:t>.</w:t>
      </w:r>
      <w:r w:rsidR="00421D76">
        <w:rPr>
          <w:rFonts w:ascii="Arial" w:hAnsi="Arial" w:cs="Arial"/>
          <w:sz w:val="24"/>
          <w:szCs w:val="24"/>
        </w:rPr>
        <w:t xml:space="preserve"> </w:t>
      </w:r>
      <w:r w:rsidR="00F0799E">
        <w:rPr>
          <w:rFonts w:ascii="Arial" w:hAnsi="Arial" w:cs="Arial"/>
          <w:sz w:val="24"/>
          <w:szCs w:val="24"/>
        </w:rPr>
        <w:t>In</w:t>
      </w:r>
      <w:r w:rsidR="00893ED3" w:rsidRPr="00DF1AE0">
        <w:rPr>
          <w:rFonts w:ascii="Arial" w:hAnsi="Arial" w:cs="Arial"/>
          <w:sz w:val="24"/>
          <w:szCs w:val="24"/>
        </w:rPr>
        <w:t xml:space="preserve"> </w:t>
      </w:r>
      <w:r w:rsidRPr="00DF1AE0">
        <w:rPr>
          <w:rFonts w:ascii="Arial" w:hAnsi="Arial" w:cs="Arial"/>
          <w:bCs/>
          <w:i/>
          <w:sz w:val="24"/>
          <w:szCs w:val="24"/>
        </w:rPr>
        <w:t>Natal Joint Municipal Pension Fund v Endumeni Municipality</w:t>
      </w:r>
      <w:r w:rsidR="00A36B7C" w:rsidRPr="00A36B7C">
        <w:rPr>
          <w:rStyle w:val="FootnoteReference"/>
          <w:rFonts w:ascii="Arial" w:hAnsi="Arial" w:cs="Arial"/>
          <w:bCs/>
          <w:sz w:val="24"/>
          <w:szCs w:val="24"/>
        </w:rPr>
        <w:footnoteReference w:id="7"/>
      </w:r>
      <w:r w:rsidR="00A36B7C">
        <w:rPr>
          <w:rFonts w:ascii="Arial" w:hAnsi="Arial" w:cs="Arial"/>
          <w:bCs/>
          <w:i/>
          <w:sz w:val="24"/>
          <w:szCs w:val="24"/>
        </w:rPr>
        <w:t xml:space="preserve"> </w:t>
      </w:r>
      <w:r w:rsidR="00893ED3" w:rsidRPr="00893ED3">
        <w:rPr>
          <w:rFonts w:ascii="Arial" w:hAnsi="Arial" w:cs="Arial"/>
          <w:sz w:val="24"/>
          <w:szCs w:val="24"/>
        </w:rPr>
        <w:t>(</w:t>
      </w:r>
      <w:r w:rsidR="00893ED3" w:rsidRPr="00421D76">
        <w:rPr>
          <w:rFonts w:ascii="Arial" w:hAnsi="Arial" w:cs="Arial"/>
          <w:i/>
          <w:sz w:val="24"/>
          <w:szCs w:val="24"/>
        </w:rPr>
        <w:t>Endumeni</w:t>
      </w:r>
      <w:r w:rsidR="00893ED3" w:rsidRPr="00893ED3">
        <w:rPr>
          <w:rFonts w:ascii="Arial" w:hAnsi="Arial" w:cs="Arial"/>
          <w:sz w:val="24"/>
          <w:szCs w:val="24"/>
        </w:rPr>
        <w:t>)</w:t>
      </w:r>
      <w:r>
        <w:rPr>
          <w:rFonts w:ascii="Arial" w:hAnsi="Arial" w:cs="Arial"/>
          <w:sz w:val="24"/>
          <w:szCs w:val="24"/>
        </w:rPr>
        <w:t xml:space="preserve"> </w:t>
      </w:r>
      <w:r w:rsidR="00893ED3" w:rsidRPr="00893ED3">
        <w:rPr>
          <w:rFonts w:ascii="Arial" w:hAnsi="Arial" w:cs="Arial"/>
          <w:sz w:val="24"/>
          <w:szCs w:val="24"/>
        </w:rPr>
        <w:t>the court expressed itself as follows regarding the interpretation of statutes:</w:t>
      </w:r>
    </w:p>
    <w:p w14:paraId="4C5CA3FA" w14:textId="77777777" w:rsidR="00DF1AE0" w:rsidRPr="00DF1AE0" w:rsidRDefault="00DF1AE0" w:rsidP="00DF1AE0">
      <w:pPr>
        <w:pStyle w:val="BodyText3"/>
        <w:spacing w:line="360" w:lineRule="auto"/>
        <w:rPr>
          <w:rFonts w:ascii="Arial" w:hAnsi="Arial" w:cs="Arial"/>
          <w:sz w:val="22"/>
          <w:szCs w:val="24"/>
        </w:rPr>
      </w:pPr>
      <w:r w:rsidRPr="00DF1AE0">
        <w:rPr>
          <w:rFonts w:ascii="Arial" w:hAnsi="Arial" w:cs="Arial"/>
          <w:sz w:val="22"/>
          <w:szCs w:val="24"/>
        </w:rPr>
        <w:t>‘Over the last century there have been significant developments in the law relating to the interpretation of documents, both in this country and in others that follow similar rules to our own.</w:t>
      </w:r>
      <w:r w:rsidRPr="00DF1AE0">
        <w:rPr>
          <w:rStyle w:val="FootnoteReference"/>
          <w:rFonts w:ascii="Arial" w:hAnsi="Arial" w:cs="Arial"/>
          <w:sz w:val="22"/>
          <w:szCs w:val="24"/>
        </w:rPr>
        <w:footnoteReference w:id="8"/>
      </w:r>
      <w:r w:rsidRPr="00DF1AE0">
        <w:rPr>
          <w:rFonts w:ascii="Arial" w:hAnsi="Arial" w:cs="Arial"/>
          <w:sz w:val="22"/>
          <w:szCs w:val="24"/>
        </w:rPr>
        <w:t xml:space="preserve"> </w:t>
      </w:r>
      <w:r w:rsidRPr="00DF1AE0">
        <w:rPr>
          <w:rFonts w:ascii="Arial" w:hAnsi="Arial" w:cs="Arial"/>
          <w:sz w:val="22"/>
          <w:szCs w:val="24"/>
        </w:rPr>
        <w:lastRenderedPageBreak/>
        <w:t xml:space="preserve">It is unnecessary to add unduly to the burden of annotations by trawling through the case law on the construction of documents in order to trace those developments. The relevant authorities are collected and summarised in </w:t>
      </w:r>
      <w:r w:rsidRPr="00DF1AE0">
        <w:rPr>
          <w:rFonts w:ascii="Arial" w:hAnsi="Arial" w:cs="Arial"/>
          <w:i/>
          <w:iCs/>
          <w:sz w:val="22"/>
          <w:szCs w:val="24"/>
        </w:rPr>
        <w:t>Bastian Financial Services (Pty) Ltd v General Hendrik Schoeman Primary School.</w:t>
      </w:r>
      <w:r w:rsidRPr="00DF1AE0">
        <w:rPr>
          <w:rStyle w:val="FootnoteReference"/>
          <w:rFonts w:ascii="Arial" w:hAnsi="Arial" w:cs="Arial"/>
          <w:sz w:val="22"/>
          <w:szCs w:val="24"/>
        </w:rPr>
        <w:footnoteReference w:id="9"/>
      </w:r>
      <w:r w:rsidRPr="00DF1AE0">
        <w:rPr>
          <w:rFonts w:ascii="Arial" w:hAnsi="Arial" w:cs="Arial"/>
          <w:sz w:val="22"/>
          <w:szCs w:val="24"/>
        </w:rPr>
        <w:t xml:space="preserve"> 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w:t>
      </w:r>
      <w:r w:rsidRPr="00DF1AE0">
        <w:rPr>
          <w:rStyle w:val="FootnoteReference"/>
          <w:rFonts w:ascii="Arial" w:hAnsi="Arial" w:cs="Arial"/>
          <w:sz w:val="22"/>
          <w:szCs w:val="24"/>
        </w:rPr>
        <w:footnoteReference w:id="10"/>
      </w:r>
      <w:r w:rsidRPr="00DF1AE0">
        <w:rPr>
          <w:rFonts w:ascii="Arial" w:hAnsi="Arial" w:cs="Arial"/>
          <w:sz w:val="22"/>
          <w:szCs w:val="24"/>
        </w:rPr>
        <w:t xml:space="preserve">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r w:rsidRPr="00DF1AE0">
        <w:rPr>
          <w:rStyle w:val="FootnoteReference"/>
          <w:rFonts w:ascii="Arial" w:hAnsi="Arial" w:cs="Arial"/>
          <w:sz w:val="22"/>
          <w:szCs w:val="24"/>
        </w:rPr>
        <w:footnoteReference w:id="11"/>
      </w:r>
      <w:r w:rsidRPr="00DF1AE0">
        <w:rPr>
          <w:rFonts w:ascii="Arial" w:hAnsi="Arial" w:cs="Arial"/>
          <w:sz w:val="22"/>
          <w:szCs w:val="24"/>
        </w:rPr>
        <w:t xml:space="preserve"> read in context and having regard to the purpose of the provision and the background to the preparation and production of the document.’ </w:t>
      </w:r>
    </w:p>
    <w:p w14:paraId="190B979F" w14:textId="77777777" w:rsidR="00DF1AE0" w:rsidRDefault="00DF1AE0" w:rsidP="00893ED3">
      <w:pPr>
        <w:spacing w:after="0" w:line="360" w:lineRule="auto"/>
        <w:jc w:val="both"/>
        <w:rPr>
          <w:rFonts w:ascii="Arial" w:hAnsi="Arial" w:cs="Arial"/>
          <w:sz w:val="24"/>
          <w:szCs w:val="24"/>
        </w:rPr>
      </w:pPr>
    </w:p>
    <w:p w14:paraId="6CC47484" w14:textId="5D3EF5DF" w:rsidR="00893ED3" w:rsidRPr="00893ED3" w:rsidRDefault="00DF1AE0" w:rsidP="00893ED3">
      <w:pPr>
        <w:spacing w:after="0" w:line="360" w:lineRule="auto"/>
        <w:jc w:val="both"/>
        <w:rPr>
          <w:rFonts w:ascii="Arial" w:hAnsi="Arial" w:cs="Arial"/>
          <w:sz w:val="24"/>
          <w:szCs w:val="24"/>
        </w:rPr>
      </w:pPr>
      <w:r>
        <w:rPr>
          <w:rFonts w:ascii="Arial" w:hAnsi="Arial" w:cs="Arial"/>
          <w:sz w:val="24"/>
          <w:szCs w:val="24"/>
        </w:rPr>
        <w:t>2</w:t>
      </w:r>
      <w:r w:rsidR="001F48D0">
        <w:rPr>
          <w:rFonts w:ascii="Arial" w:hAnsi="Arial" w:cs="Arial"/>
          <w:sz w:val="24"/>
          <w:szCs w:val="24"/>
        </w:rPr>
        <w:t>9</w:t>
      </w:r>
      <w:r>
        <w:rPr>
          <w:rFonts w:ascii="Arial" w:hAnsi="Arial" w:cs="Arial"/>
          <w:sz w:val="24"/>
          <w:szCs w:val="24"/>
        </w:rPr>
        <w:t>.</w:t>
      </w:r>
      <w:r>
        <w:rPr>
          <w:rFonts w:ascii="Arial" w:hAnsi="Arial" w:cs="Arial"/>
          <w:sz w:val="24"/>
          <w:szCs w:val="24"/>
        </w:rPr>
        <w:tab/>
      </w:r>
      <w:r w:rsidR="00893ED3" w:rsidRPr="00893ED3">
        <w:rPr>
          <w:rFonts w:ascii="Arial" w:hAnsi="Arial" w:cs="Arial"/>
          <w:sz w:val="24"/>
          <w:szCs w:val="24"/>
        </w:rPr>
        <w:t>S</w:t>
      </w:r>
      <w:r>
        <w:rPr>
          <w:rFonts w:ascii="Arial" w:hAnsi="Arial" w:cs="Arial"/>
          <w:sz w:val="24"/>
          <w:szCs w:val="24"/>
        </w:rPr>
        <w:t>ection</w:t>
      </w:r>
      <w:r w:rsidR="00893ED3" w:rsidRPr="00893ED3">
        <w:rPr>
          <w:rFonts w:ascii="Arial" w:hAnsi="Arial" w:cs="Arial"/>
          <w:sz w:val="24"/>
          <w:szCs w:val="24"/>
        </w:rPr>
        <w:t xml:space="preserve"> 162</w:t>
      </w:r>
      <w:r w:rsidR="00893ED3" w:rsidRPr="00DF1AE0">
        <w:rPr>
          <w:rFonts w:ascii="Arial" w:hAnsi="Arial" w:cs="Arial"/>
          <w:i/>
          <w:sz w:val="24"/>
          <w:szCs w:val="24"/>
        </w:rPr>
        <w:t>(d)</w:t>
      </w:r>
      <w:r w:rsidR="00893ED3" w:rsidRPr="00893ED3">
        <w:rPr>
          <w:rFonts w:ascii="Arial" w:hAnsi="Arial" w:cs="Arial"/>
          <w:sz w:val="24"/>
          <w:szCs w:val="24"/>
        </w:rPr>
        <w:t xml:space="preserve"> must be interpreted in the context of the whole section. It will lead to an absurdity if the court is required to determine whether the requirements of the section have been met in terms of </w:t>
      </w:r>
      <w:r w:rsidR="00893ED3" w:rsidRPr="00893ED3">
        <w:rPr>
          <w:rFonts w:ascii="Arial" w:hAnsi="Arial" w:cs="Arial"/>
          <w:sz w:val="24"/>
          <w:szCs w:val="24"/>
        </w:rPr>
        <w:t>s</w:t>
      </w:r>
      <w:r>
        <w:rPr>
          <w:rFonts w:ascii="Arial" w:hAnsi="Arial" w:cs="Arial"/>
          <w:sz w:val="24"/>
          <w:szCs w:val="24"/>
        </w:rPr>
        <w:t xml:space="preserve"> </w:t>
      </w:r>
      <w:r w:rsidR="00893ED3" w:rsidRPr="00893ED3">
        <w:rPr>
          <w:rFonts w:ascii="Arial" w:hAnsi="Arial" w:cs="Arial"/>
          <w:sz w:val="24"/>
          <w:szCs w:val="24"/>
        </w:rPr>
        <w:t>162</w:t>
      </w:r>
      <w:r w:rsidR="003B74CE">
        <w:rPr>
          <w:rFonts w:ascii="Arial" w:hAnsi="Arial" w:cs="Arial"/>
          <w:sz w:val="24"/>
          <w:szCs w:val="24"/>
        </w:rPr>
        <w:t>(5)</w:t>
      </w:r>
      <w:r w:rsidR="003B74CE" w:rsidRPr="001F48D0">
        <w:rPr>
          <w:rFonts w:ascii="Arial" w:hAnsi="Arial" w:cs="Arial"/>
          <w:i/>
          <w:sz w:val="24"/>
          <w:szCs w:val="24"/>
        </w:rPr>
        <w:t>(c)</w:t>
      </w:r>
      <w:r w:rsidR="00921B2D">
        <w:rPr>
          <w:rFonts w:ascii="Arial" w:hAnsi="Arial" w:cs="Arial"/>
          <w:sz w:val="24"/>
          <w:szCs w:val="24"/>
        </w:rPr>
        <w:t xml:space="preserve"> but is on the other hand called upon to follow a mere literal </w:t>
      </w:r>
      <w:r w:rsidR="00382EF3">
        <w:rPr>
          <w:rFonts w:ascii="Arial" w:hAnsi="Arial" w:cs="Arial"/>
          <w:sz w:val="24"/>
          <w:szCs w:val="24"/>
        </w:rPr>
        <w:t>interpretation of s</w:t>
      </w:r>
      <w:r w:rsidR="004B0513">
        <w:rPr>
          <w:rFonts w:ascii="Arial" w:hAnsi="Arial" w:cs="Arial"/>
          <w:sz w:val="24"/>
          <w:szCs w:val="24"/>
        </w:rPr>
        <w:t xml:space="preserve"> </w:t>
      </w:r>
      <w:r w:rsidR="00382EF3">
        <w:rPr>
          <w:rFonts w:ascii="Arial" w:hAnsi="Arial" w:cs="Arial"/>
          <w:sz w:val="24"/>
          <w:szCs w:val="24"/>
        </w:rPr>
        <w:t>162(5)</w:t>
      </w:r>
      <w:r w:rsidR="00382EF3" w:rsidRPr="001F48D0">
        <w:rPr>
          <w:rFonts w:ascii="Arial" w:hAnsi="Arial" w:cs="Arial"/>
          <w:i/>
          <w:sz w:val="24"/>
          <w:szCs w:val="24"/>
        </w:rPr>
        <w:t>(d)</w:t>
      </w:r>
      <w:r>
        <w:rPr>
          <w:rFonts w:ascii="Arial" w:hAnsi="Arial" w:cs="Arial"/>
          <w:sz w:val="24"/>
          <w:szCs w:val="24"/>
        </w:rPr>
        <w:t xml:space="preserve"> </w:t>
      </w:r>
      <w:r w:rsidR="00893ED3" w:rsidRPr="00893ED3">
        <w:rPr>
          <w:rFonts w:ascii="Arial" w:hAnsi="Arial" w:cs="Arial"/>
          <w:sz w:val="24"/>
          <w:szCs w:val="24"/>
        </w:rPr>
        <w:t xml:space="preserve">without considering the relevant facts </w:t>
      </w:r>
      <w:r w:rsidR="00893ED3" w:rsidRPr="00893ED3">
        <w:rPr>
          <w:rFonts w:ascii="Arial" w:hAnsi="Arial" w:cs="Arial"/>
          <w:sz w:val="24"/>
          <w:szCs w:val="24"/>
        </w:rPr>
        <w:lastRenderedPageBreak/>
        <w:t xml:space="preserve">and circumstances relevant to </w:t>
      </w:r>
      <w:r w:rsidR="00382EF3">
        <w:rPr>
          <w:rFonts w:ascii="Arial" w:hAnsi="Arial" w:cs="Arial"/>
          <w:sz w:val="24"/>
          <w:szCs w:val="24"/>
        </w:rPr>
        <w:t xml:space="preserve"> the non-compliance</w:t>
      </w:r>
      <w:r w:rsidR="00241303">
        <w:rPr>
          <w:rFonts w:ascii="Arial" w:hAnsi="Arial" w:cs="Arial"/>
          <w:sz w:val="24"/>
          <w:szCs w:val="24"/>
        </w:rPr>
        <w:t xml:space="preserve"> with the section.</w:t>
      </w:r>
      <w:r w:rsidR="004B0513">
        <w:rPr>
          <w:rFonts w:ascii="Arial" w:hAnsi="Arial" w:cs="Arial"/>
          <w:sz w:val="24"/>
          <w:szCs w:val="24"/>
        </w:rPr>
        <w:t xml:space="preserve"> </w:t>
      </w:r>
      <w:r w:rsidR="00893ED3" w:rsidRPr="00DF1AE0">
        <w:rPr>
          <w:rFonts w:ascii="Arial" w:hAnsi="Arial" w:cs="Arial"/>
          <w:i/>
          <w:sz w:val="24"/>
          <w:szCs w:val="24"/>
        </w:rPr>
        <w:t>Gihwala</w:t>
      </w:r>
      <w:r w:rsidR="00893ED3" w:rsidRPr="00893ED3">
        <w:rPr>
          <w:rFonts w:ascii="Arial" w:hAnsi="Arial" w:cs="Arial"/>
          <w:sz w:val="24"/>
          <w:szCs w:val="24"/>
        </w:rPr>
        <w:t xml:space="preserve"> </w:t>
      </w:r>
      <w:r w:rsidR="00241303">
        <w:rPr>
          <w:rFonts w:ascii="Arial" w:hAnsi="Arial" w:cs="Arial"/>
          <w:sz w:val="24"/>
          <w:szCs w:val="24"/>
        </w:rPr>
        <w:t>envisaged</w:t>
      </w:r>
      <w:r w:rsidR="00483D9B">
        <w:rPr>
          <w:rFonts w:ascii="Arial" w:hAnsi="Arial" w:cs="Arial"/>
          <w:sz w:val="24"/>
          <w:szCs w:val="24"/>
        </w:rPr>
        <w:t xml:space="preserve"> the court</w:t>
      </w:r>
      <w:r w:rsidR="00242B4D">
        <w:rPr>
          <w:rFonts w:ascii="Arial" w:hAnsi="Arial" w:cs="Arial"/>
          <w:sz w:val="24"/>
          <w:szCs w:val="24"/>
        </w:rPr>
        <w:t>’</w:t>
      </w:r>
      <w:r w:rsidR="00483D9B">
        <w:rPr>
          <w:rFonts w:ascii="Arial" w:hAnsi="Arial" w:cs="Arial"/>
          <w:sz w:val="24"/>
          <w:szCs w:val="24"/>
        </w:rPr>
        <w:t>s involvement during the inquiry in terms of s 162</w:t>
      </w:r>
      <w:r w:rsidR="00893ED3" w:rsidRPr="00893ED3">
        <w:rPr>
          <w:rFonts w:ascii="Arial" w:hAnsi="Arial" w:cs="Arial"/>
          <w:sz w:val="24"/>
          <w:szCs w:val="24"/>
        </w:rPr>
        <w:t>, the court will have to investigate in what capacity the compliance notice was sent to the director</w:t>
      </w:r>
      <w:r w:rsidR="00242B4D">
        <w:rPr>
          <w:rFonts w:ascii="Arial" w:hAnsi="Arial" w:cs="Arial"/>
          <w:sz w:val="24"/>
          <w:szCs w:val="24"/>
        </w:rPr>
        <w:t>.</w:t>
      </w:r>
      <w:r w:rsidR="00893ED3" w:rsidRPr="00893ED3">
        <w:rPr>
          <w:rFonts w:ascii="Arial" w:hAnsi="Arial" w:cs="Arial"/>
          <w:sz w:val="24"/>
          <w:szCs w:val="24"/>
        </w:rPr>
        <w:t xml:space="preserve">  </w:t>
      </w:r>
      <w:r w:rsidR="007317FD">
        <w:rPr>
          <w:rFonts w:ascii="Arial" w:hAnsi="Arial" w:cs="Arial"/>
          <w:sz w:val="24"/>
          <w:szCs w:val="24"/>
        </w:rPr>
        <w:t>W</w:t>
      </w:r>
      <w:r w:rsidR="00893ED3" w:rsidRPr="00893ED3">
        <w:rPr>
          <w:rFonts w:ascii="Arial" w:hAnsi="Arial" w:cs="Arial"/>
          <w:sz w:val="24"/>
          <w:szCs w:val="24"/>
        </w:rPr>
        <w:t xml:space="preserve">hat is meant by the word </w:t>
      </w:r>
      <w:r w:rsidR="00202823">
        <w:rPr>
          <w:rFonts w:ascii="Arial" w:hAnsi="Arial" w:cs="Arial"/>
          <w:sz w:val="24"/>
          <w:szCs w:val="24"/>
        </w:rPr>
        <w:t>‘</w:t>
      </w:r>
      <w:r w:rsidR="00893ED3" w:rsidRPr="00893ED3">
        <w:rPr>
          <w:rFonts w:ascii="Arial" w:hAnsi="Arial" w:cs="Arial"/>
          <w:sz w:val="24"/>
          <w:szCs w:val="24"/>
        </w:rPr>
        <w:t>repeatedly</w:t>
      </w:r>
      <w:r w:rsidR="00202823">
        <w:rPr>
          <w:rFonts w:ascii="Arial" w:hAnsi="Arial" w:cs="Arial"/>
          <w:sz w:val="24"/>
          <w:szCs w:val="24"/>
        </w:rPr>
        <w:t>’</w:t>
      </w:r>
      <w:r w:rsidR="00893ED3" w:rsidRPr="00893ED3">
        <w:rPr>
          <w:rFonts w:ascii="Arial" w:hAnsi="Arial" w:cs="Arial"/>
          <w:sz w:val="24"/>
          <w:szCs w:val="24"/>
        </w:rPr>
        <w:t xml:space="preserve"> </w:t>
      </w:r>
      <w:r w:rsidR="007317FD">
        <w:rPr>
          <w:rFonts w:ascii="Arial" w:hAnsi="Arial" w:cs="Arial"/>
          <w:sz w:val="24"/>
          <w:szCs w:val="24"/>
        </w:rPr>
        <w:t>will be determined by</w:t>
      </w:r>
      <w:r w:rsidR="00014A9E">
        <w:rPr>
          <w:rFonts w:ascii="Arial" w:hAnsi="Arial" w:cs="Arial"/>
          <w:sz w:val="24"/>
          <w:szCs w:val="24"/>
        </w:rPr>
        <w:t xml:space="preserve"> the circumstances of the matter</w:t>
      </w:r>
      <w:r w:rsidR="00893ED3" w:rsidRPr="00893ED3">
        <w:rPr>
          <w:rFonts w:ascii="Arial" w:hAnsi="Arial" w:cs="Arial"/>
          <w:sz w:val="24"/>
          <w:szCs w:val="24"/>
        </w:rPr>
        <w:t>. The objective of a declaration of delinquency is to protect the public and the company from abuse of power by directors and not to punish directors without considering the evidence</w:t>
      </w:r>
      <w:r w:rsidR="007F7011">
        <w:rPr>
          <w:rFonts w:ascii="Arial" w:hAnsi="Arial" w:cs="Arial"/>
          <w:sz w:val="24"/>
          <w:szCs w:val="24"/>
        </w:rPr>
        <w:t>,</w:t>
      </w:r>
      <w:r w:rsidR="004B0513">
        <w:rPr>
          <w:rFonts w:ascii="Arial" w:hAnsi="Arial" w:cs="Arial"/>
          <w:sz w:val="24"/>
          <w:szCs w:val="24"/>
        </w:rPr>
        <w:t xml:space="preserve"> </w:t>
      </w:r>
      <w:r w:rsidR="007F7011">
        <w:rPr>
          <w:rFonts w:ascii="Arial" w:hAnsi="Arial" w:cs="Arial"/>
          <w:sz w:val="24"/>
          <w:szCs w:val="24"/>
        </w:rPr>
        <w:t>not to allow for a fair hearing will constitute a transgression of s 34 of the Constitution.</w:t>
      </w:r>
    </w:p>
    <w:p w14:paraId="47B6F047" w14:textId="77777777" w:rsidR="00202823" w:rsidRDefault="00202823" w:rsidP="00893ED3">
      <w:pPr>
        <w:spacing w:after="0" w:line="360" w:lineRule="auto"/>
        <w:jc w:val="both"/>
        <w:rPr>
          <w:rFonts w:ascii="Arial" w:hAnsi="Arial" w:cs="Arial"/>
          <w:sz w:val="24"/>
          <w:szCs w:val="24"/>
        </w:rPr>
      </w:pPr>
    </w:p>
    <w:p w14:paraId="502CA53D" w14:textId="342D232E" w:rsidR="00893ED3" w:rsidRPr="00893ED3" w:rsidRDefault="004B0513" w:rsidP="00893ED3">
      <w:pPr>
        <w:spacing w:after="0" w:line="360" w:lineRule="auto"/>
        <w:jc w:val="both"/>
        <w:rPr>
          <w:rFonts w:ascii="Arial" w:hAnsi="Arial" w:cs="Arial"/>
          <w:sz w:val="24"/>
          <w:szCs w:val="24"/>
        </w:rPr>
      </w:pPr>
      <w:r>
        <w:rPr>
          <w:rFonts w:ascii="Arial" w:hAnsi="Arial" w:cs="Arial"/>
          <w:sz w:val="24"/>
          <w:szCs w:val="24"/>
        </w:rPr>
        <w:t>30</w:t>
      </w:r>
      <w:r w:rsidR="00202823">
        <w:rPr>
          <w:rFonts w:ascii="Arial" w:hAnsi="Arial" w:cs="Arial"/>
          <w:sz w:val="24"/>
          <w:szCs w:val="24"/>
        </w:rPr>
        <w:t>.</w:t>
      </w:r>
      <w:r w:rsidR="00202823">
        <w:rPr>
          <w:rFonts w:ascii="Arial" w:hAnsi="Arial" w:cs="Arial"/>
          <w:sz w:val="24"/>
          <w:szCs w:val="24"/>
        </w:rPr>
        <w:tab/>
      </w:r>
      <w:r w:rsidR="00893ED3" w:rsidRPr="00893ED3">
        <w:rPr>
          <w:rFonts w:ascii="Arial" w:hAnsi="Arial" w:cs="Arial"/>
          <w:sz w:val="24"/>
          <w:szCs w:val="24"/>
        </w:rPr>
        <w:t xml:space="preserve">There is no evidence regarding any willful non-compliance by the directors with reference to these notices. To the contrary they all explain what they attempted to do to rectify the situation and </w:t>
      </w:r>
      <w:r w:rsidR="00234525" w:rsidRPr="00893ED3">
        <w:rPr>
          <w:rFonts w:ascii="Arial" w:hAnsi="Arial" w:cs="Arial"/>
          <w:sz w:val="24"/>
          <w:szCs w:val="24"/>
        </w:rPr>
        <w:t>accuse</w:t>
      </w:r>
      <w:r w:rsidR="00893ED3" w:rsidRPr="00893ED3">
        <w:rPr>
          <w:rFonts w:ascii="Arial" w:hAnsi="Arial" w:cs="Arial"/>
          <w:sz w:val="24"/>
          <w:szCs w:val="24"/>
        </w:rPr>
        <w:t xml:space="preserve"> </w:t>
      </w:r>
      <w:r w:rsidR="00893ED3" w:rsidRPr="00893ED3">
        <w:rPr>
          <w:rFonts w:ascii="Arial" w:hAnsi="Arial" w:cs="Arial"/>
          <w:sz w:val="24"/>
          <w:szCs w:val="24"/>
        </w:rPr>
        <w:t xml:space="preserve">CIPC </w:t>
      </w:r>
      <w:r w:rsidR="00307981" w:rsidRPr="00893ED3">
        <w:rPr>
          <w:rFonts w:ascii="Arial" w:hAnsi="Arial" w:cs="Arial"/>
          <w:sz w:val="24"/>
          <w:szCs w:val="24"/>
        </w:rPr>
        <w:t>of</w:t>
      </w:r>
      <w:r w:rsidR="00893ED3" w:rsidRPr="00893ED3">
        <w:rPr>
          <w:rFonts w:ascii="Arial" w:hAnsi="Arial" w:cs="Arial"/>
          <w:sz w:val="24"/>
          <w:szCs w:val="24"/>
        </w:rPr>
        <w:t xml:space="preserve"> non-responsiveness</w:t>
      </w:r>
      <w:r w:rsidR="00893ED3" w:rsidRPr="00893ED3">
        <w:rPr>
          <w:rFonts w:ascii="Arial" w:hAnsi="Arial" w:cs="Arial"/>
          <w:sz w:val="24"/>
          <w:szCs w:val="24"/>
        </w:rPr>
        <w:t>, having an ulterior motive, and going after the wrong directors.</w:t>
      </w:r>
      <w:r w:rsidR="00202823">
        <w:rPr>
          <w:rFonts w:ascii="Arial" w:hAnsi="Arial" w:cs="Arial"/>
          <w:sz w:val="24"/>
          <w:szCs w:val="24"/>
        </w:rPr>
        <w:t xml:space="preserve"> </w:t>
      </w:r>
      <w:r w:rsidR="00893ED3" w:rsidRPr="00893ED3">
        <w:rPr>
          <w:rFonts w:ascii="Arial" w:hAnsi="Arial" w:cs="Arial"/>
          <w:sz w:val="24"/>
          <w:szCs w:val="24"/>
        </w:rPr>
        <w:t>To summarily declare the respondents delinquent on these facts, without the benefit of evidence will be manifestly unjust and will defeat the purpose the section.</w:t>
      </w:r>
    </w:p>
    <w:p w14:paraId="5BCC0002" w14:textId="77777777" w:rsidR="00202823" w:rsidRDefault="00202823" w:rsidP="00893ED3">
      <w:pPr>
        <w:spacing w:after="0" w:line="360" w:lineRule="auto"/>
        <w:jc w:val="both"/>
        <w:rPr>
          <w:rFonts w:ascii="Arial" w:hAnsi="Arial" w:cs="Arial"/>
          <w:sz w:val="24"/>
          <w:szCs w:val="24"/>
        </w:rPr>
      </w:pPr>
    </w:p>
    <w:p w14:paraId="7AD6F0A5" w14:textId="77777777" w:rsidR="00CC6B45" w:rsidRPr="00893ED3" w:rsidRDefault="00CC6B45" w:rsidP="00CC6B45">
      <w:pPr>
        <w:spacing w:after="0" w:line="360" w:lineRule="auto"/>
        <w:jc w:val="both"/>
        <w:rPr>
          <w:rFonts w:ascii="Arial" w:hAnsi="Arial" w:cs="Arial"/>
          <w:b/>
          <w:sz w:val="24"/>
          <w:szCs w:val="24"/>
        </w:rPr>
      </w:pPr>
      <w:r w:rsidRPr="00893ED3">
        <w:rPr>
          <w:rFonts w:ascii="Arial" w:hAnsi="Arial" w:cs="Arial"/>
          <w:b/>
          <w:sz w:val="24"/>
          <w:szCs w:val="24"/>
        </w:rPr>
        <w:t>THE SUPPLEMENTARY AFFIDAVIT AND COUNTER APPLICATION</w:t>
      </w:r>
    </w:p>
    <w:p w14:paraId="22DAD790" w14:textId="47F46672" w:rsidR="00CC6B45" w:rsidRPr="00893ED3" w:rsidRDefault="00421D76" w:rsidP="00CC6B45">
      <w:pPr>
        <w:spacing w:after="0" w:line="360" w:lineRule="auto"/>
        <w:jc w:val="both"/>
        <w:rPr>
          <w:rFonts w:ascii="Arial" w:hAnsi="Arial" w:cs="Arial"/>
          <w:sz w:val="24"/>
          <w:szCs w:val="24"/>
        </w:rPr>
      </w:pPr>
      <w:r>
        <w:rPr>
          <w:rFonts w:ascii="Arial" w:hAnsi="Arial" w:cs="Arial"/>
          <w:sz w:val="24"/>
          <w:szCs w:val="24"/>
        </w:rPr>
        <w:t>3</w:t>
      </w:r>
      <w:r w:rsidR="004B0513">
        <w:rPr>
          <w:rFonts w:ascii="Arial" w:hAnsi="Arial" w:cs="Arial"/>
          <w:sz w:val="24"/>
          <w:szCs w:val="24"/>
        </w:rPr>
        <w:t>1</w:t>
      </w:r>
      <w:r w:rsidR="00CC6B45">
        <w:rPr>
          <w:rFonts w:ascii="Arial" w:hAnsi="Arial" w:cs="Arial"/>
          <w:sz w:val="24"/>
          <w:szCs w:val="24"/>
        </w:rPr>
        <w:t>.</w:t>
      </w:r>
      <w:r w:rsidR="00CC6B45">
        <w:rPr>
          <w:rFonts w:ascii="Arial" w:hAnsi="Arial" w:cs="Arial"/>
          <w:sz w:val="24"/>
          <w:szCs w:val="24"/>
        </w:rPr>
        <w:tab/>
      </w:r>
      <w:r w:rsidR="00CC6B45" w:rsidRPr="00893ED3">
        <w:rPr>
          <w:rFonts w:ascii="Arial" w:hAnsi="Arial" w:cs="Arial"/>
          <w:sz w:val="24"/>
          <w:szCs w:val="24"/>
        </w:rPr>
        <w:t xml:space="preserve">The first to fifth </w:t>
      </w:r>
      <w:r w:rsidR="00CC6B45">
        <w:rPr>
          <w:rFonts w:ascii="Arial" w:hAnsi="Arial" w:cs="Arial"/>
          <w:sz w:val="24"/>
          <w:szCs w:val="24"/>
        </w:rPr>
        <w:t>r</w:t>
      </w:r>
      <w:r w:rsidR="00CC6B45" w:rsidRPr="00893ED3">
        <w:rPr>
          <w:rFonts w:ascii="Arial" w:hAnsi="Arial" w:cs="Arial"/>
          <w:sz w:val="24"/>
          <w:szCs w:val="24"/>
        </w:rPr>
        <w:t>espondents proceeded to file</w:t>
      </w:r>
      <w:r w:rsidR="00CC6B45">
        <w:rPr>
          <w:rFonts w:ascii="Arial" w:hAnsi="Arial" w:cs="Arial"/>
          <w:sz w:val="24"/>
          <w:szCs w:val="24"/>
        </w:rPr>
        <w:t xml:space="preserve"> a</w:t>
      </w:r>
      <w:r w:rsidR="00CC6B45" w:rsidRPr="00893ED3">
        <w:rPr>
          <w:rFonts w:ascii="Arial" w:hAnsi="Arial" w:cs="Arial"/>
          <w:sz w:val="24"/>
          <w:szCs w:val="24"/>
        </w:rPr>
        <w:t xml:space="preserve"> supplementary founding affidavit, which expanded on the original founding affidavit.</w:t>
      </w:r>
      <w:r w:rsidR="00CC6B45">
        <w:rPr>
          <w:rFonts w:ascii="Arial" w:hAnsi="Arial" w:cs="Arial"/>
          <w:sz w:val="24"/>
          <w:szCs w:val="24"/>
        </w:rPr>
        <w:t xml:space="preserve"> A counter </w:t>
      </w:r>
      <w:r w:rsidR="00CC6B45" w:rsidRPr="00893ED3">
        <w:rPr>
          <w:rFonts w:ascii="Arial" w:hAnsi="Arial" w:cs="Arial"/>
          <w:sz w:val="24"/>
          <w:szCs w:val="24"/>
        </w:rPr>
        <w:t>application was also included in this. This led unavoidably to CIPC also filing a further affidavit.</w:t>
      </w:r>
    </w:p>
    <w:p w14:paraId="408C7F43" w14:textId="77777777" w:rsidR="00CC6B45" w:rsidRDefault="00CC6B45" w:rsidP="00CC6B45">
      <w:pPr>
        <w:spacing w:after="0" w:line="360" w:lineRule="auto"/>
        <w:jc w:val="both"/>
        <w:rPr>
          <w:rFonts w:ascii="Arial" w:hAnsi="Arial" w:cs="Arial"/>
          <w:sz w:val="24"/>
          <w:szCs w:val="24"/>
        </w:rPr>
      </w:pPr>
    </w:p>
    <w:p w14:paraId="68FAFFE9" w14:textId="6D944470" w:rsidR="00CC6B45" w:rsidRDefault="00421D76" w:rsidP="00CC6B45">
      <w:pPr>
        <w:spacing w:after="0" w:line="360" w:lineRule="auto"/>
        <w:jc w:val="both"/>
        <w:rPr>
          <w:rFonts w:ascii="Arial" w:hAnsi="Arial" w:cs="Arial"/>
          <w:sz w:val="24"/>
          <w:szCs w:val="24"/>
        </w:rPr>
      </w:pPr>
      <w:r>
        <w:rPr>
          <w:rFonts w:ascii="Arial" w:hAnsi="Arial" w:cs="Arial"/>
          <w:sz w:val="24"/>
          <w:szCs w:val="24"/>
        </w:rPr>
        <w:t>3</w:t>
      </w:r>
      <w:r w:rsidR="004B0513">
        <w:rPr>
          <w:rFonts w:ascii="Arial" w:hAnsi="Arial" w:cs="Arial"/>
          <w:sz w:val="24"/>
          <w:szCs w:val="24"/>
        </w:rPr>
        <w:t>2</w:t>
      </w:r>
      <w:r w:rsidR="00CC6B45">
        <w:rPr>
          <w:rFonts w:ascii="Arial" w:hAnsi="Arial" w:cs="Arial"/>
          <w:sz w:val="24"/>
          <w:szCs w:val="24"/>
        </w:rPr>
        <w:t>.</w:t>
      </w:r>
      <w:r w:rsidR="00CC6B45">
        <w:rPr>
          <w:rFonts w:ascii="Arial" w:hAnsi="Arial" w:cs="Arial"/>
          <w:sz w:val="24"/>
          <w:szCs w:val="24"/>
        </w:rPr>
        <w:tab/>
      </w:r>
      <w:r w:rsidR="00CC6B45" w:rsidRPr="00893ED3">
        <w:rPr>
          <w:rFonts w:ascii="Arial" w:hAnsi="Arial" w:cs="Arial"/>
          <w:sz w:val="24"/>
          <w:szCs w:val="24"/>
        </w:rPr>
        <w:t>It is by now trite that only three sets of affidavits should generally be filed in application proceedings, unless the court allows another set and that should only be allowed if a proper explanation is given on why the issues raised were not raised from the onset. The respondents argue for some flexibility primarily because CIPC only set the application down approximately two years after it was issued. I have perused these affidavits. This application was issued during 2018 and it is evident that a lot of water would have run in the sea since then. I am inclined to allow the supplementary affidavits, but whether the counter application should be granted is another matter altogether.</w:t>
      </w:r>
    </w:p>
    <w:p w14:paraId="00386DEE" w14:textId="77777777" w:rsidR="00CC6B45" w:rsidRDefault="00CC6B45" w:rsidP="00CC6B45">
      <w:pPr>
        <w:spacing w:after="0" w:line="360" w:lineRule="auto"/>
        <w:jc w:val="both"/>
        <w:rPr>
          <w:rFonts w:ascii="Arial" w:hAnsi="Arial" w:cs="Arial"/>
          <w:sz w:val="24"/>
          <w:szCs w:val="24"/>
        </w:rPr>
      </w:pPr>
    </w:p>
    <w:p w14:paraId="0FDE069A" w14:textId="6CC60306" w:rsidR="00CC6B45" w:rsidRDefault="00421D76" w:rsidP="00CC6B45">
      <w:pPr>
        <w:spacing w:after="0" w:line="360" w:lineRule="auto"/>
        <w:jc w:val="both"/>
        <w:rPr>
          <w:rFonts w:ascii="Arial" w:hAnsi="Arial" w:cs="Arial"/>
          <w:sz w:val="24"/>
          <w:szCs w:val="24"/>
        </w:rPr>
      </w:pPr>
      <w:r>
        <w:rPr>
          <w:rFonts w:ascii="Arial" w:hAnsi="Arial" w:cs="Arial"/>
          <w:sz w:val="24"/>
          <w:szCs w:val="24"/>
        </w:rPr>
        <w:t>3</w:t>
      </w:r>
      <w:r w:rsidR="004B0513">
        <w:rPr>
          <w:rFonts w:ascii="Arial" w:hAnsi="Arial" w:cs="Arial"/>
          <w:sz w:val="24"/>
          <w:szCs w:val="24"/>
        </w:rPr>
        <w:t>3</w:t>
      </w:r>
      <w:r>
        <w:rPr>
          <w:rFonts w:ascii="Arial" w:hAnsi="Arial" w:cs="Arial"/>
          <w:sz w:val="24"/>
          <w:szCs w:val="24"/>
        </w:rPr>
        <w:t>.</w:t>
      </w:r>
      <w:r>
        <w:rPr>
          <w:rFonts w:ascii="Arial" w:hAnsi="Arial" w:cs="Arial"/>
          <w:sz w:val="24"/>
          <w:szCs w:val="24"/>
        </w:rPr>
        <w:tab/>
      </w:r>
      <w:r w:rsidR="00CC6B45">
        <w:rPr>
          <w:rFonts w:ascii="Arial" w:hAnsi="Arial" w:cs="Arial"/>
          <w:sz w:val="24"/>
          <w:szCs w:val="24"/>
        </w:rPr>
        <w:t xml:space="preserve">The first and seventh respondents do not sing from the </w:t>
      </w:r>
      <w:r w:rsidR="00CC6B45">
        <w:rPr>
          <w:rFonts w:ascii="Arial" w:hAnsi="Arial" w:cs="Arial"/>
          <w:sz w:val="24"/>
          <w:szCs w:val="24"/>
        </w:rPr>
        <w:t xml:space="preserve">same hymn sheet. </w:t>
      </w:r>
      <w:r w:rsidR="00E0326C">
        <w:rPr>
          <w:rFonts w:ascii="Arial" w:hAnsi="Arial" w:cs="Arial"/>
          <w:sz w:val="24"/>
          <w:szCs w:val="24"/>
        </w:rPr>
        <w:t>The seventh</w:t>
      </w:r>
      <w:r w:rsidR="00CC6B45">
        <w:rPr>
          <w:rFonts w:ascii="Arial" w:hAnsi="Arial" w:cs="Arial"/>
          <w:sz w:val="24"/>
          <w:szCs w:val="24"/>
        </w:rPr>
        <w:t xml:space="preserve"> respondent blames not only CIPC  for its failure </w:t>
      </w:r>
      <w:r w:rsidR="00CC6B45">
        <w:rPr>
          <w:rFonts w:ascii="Arial" w:hAnsi="Arial" w:cs="Arial"/>
          <w:sz w:val="24"/>
          <w:szCs w:val="24"/>
        </w:rPr>
        <w:t>to act when the malfeasance was brought to its attention, but also blame the first respondent for some of the non-</w:t>
      </w:r>
      <w:r w:rsidR="00CC6B45">
        <w:rPr>
          <w:rFonts w:ascii="Arial" w:hAnsi="Arial" w:cs="Arial"/>
          <w:sz w:val="24"/>
          <w:szCs w:val="24"/>
        </w:rPr>
        <w:lastRenderedPageBreak/>
        <w:t>compliance and irregularities that occurred.</w:t>
      </w:r>
      <w:r w:rsidR="00CC6B45" w:rsidRPr="00893ED3">
        <w:rPr>
          <w:rFonts w:ascii="Arial" w:hAnsi="Arial" w:cs="Arial"/>
          <w:sz w:val="24"/>
          <w:szCs w:val="24"/>
        </w:rPr>
        <w:t xml:space="preserve"> Due to the dispute of facts that exists between the parties it is not possible to grant any declaratory </w:t>
      </w:r>
      <w:r w:rsidRPr="00893ED3">
        <w:rPr>
          <w:rFonts w:ascii="Arial" w:hAnsi="Arial" w:cs="Arial"/>
          <w:sz w:val="24"/>
          <w:szCs w:val="24"/>
        </w:rPr>
        <w:t>relief</w:t>
      </w:r>
      <w:r>
        <w:rPr>
          <w:rFonts w:ascii="Arial" w:hAnsi="Arial" w:cs="Arial"/>
          <w:sz w:val="24"/>
          <w:szCs w:val="24"/>
        </w:rPr>
        <w:t xml:space="preserve"> that</w:t>
      </w:r>
      <w:r w:rsidR="00CC6B45">
        <w:rPr>
          <w:rFonts w:ascii="Arial" w:hAnsi="Arial" w:cs="Arial"/>
          <w:sz w:val="24"/>
          <w:szCs w:val="24"/>
        </w:rPr>
        <w:t xml:space="preserve"> the respondents</w:t>
      </w:r>
      <w:r w:rsidR="00CC6B45" w:rsidRPr="00893ED3">
        <w:rPr>
          <w:rFonts w:ascii="Arial" w:hAnsi="Arial" w:cs="Arial"/>
          <w:sz w:val="24"/>
          <w:szCs w:val="24"/>
        </w:rPr>
        <w:t xml:space="preserve"> have complied with their obligations in terms of the Act.</w:t>
      </w:r>
      <w:r w:rsidR="00CC6B45">
        <w:rPr>
          <w:rFonts w:ascii="Arial" w:hAnsi="Arial" w:cs="Arial"/>
          <w:sz w:val="24"/>
          <w:szCs w:val="24"/>
        </w:rPr>
        <w:t xml:space="preserve"> </w:t>
      </w:r>
      <w:r w:rsidR="00CC6B45" w:rsidRPr="00893ED3">
        <w:rPr>
          <w:rFonts w:ascii="Arial" w:hAnsi="Arial" w:cs="Arial"/>
          <w:sz w:val="24"/>
          <w:szCs w:val="24"/>
        </w:rPr>
        <w:t>The counter application should therefore be dismissed.</w:t>
      </w:r>
    </w:p>
    <w:p w14:paraId="3341B559" w14:textId="77777777" w:rsidR="00CC6B45" w:rsidRDefault="00CC6B45" w:rsidP="00893ED3">
      <w:pPr>
        <w:spacing w:after="0" w:line="360" w:lineRule="auto"/>
        <w:jc w:val="both"/>
        <w:rPr>
          <w:rFonts w:ascii="Arial" w:hAnsi="Arial" w:cs="Arial"/>
          <w:sz w:val="24"/>
          <w:szCs w:val="24"/>
        </w:rPr>
      </w:pPr>
    </w:p>
    <w:p w14:paraId="5C0256DD" w14:textId="4F63BF51" w:rsidR="00C03151" w:rsidRDefault="00421D76" w:rsidP="00893ED3">
      <w:pPr>
        <w:spacing w:after="0" w:line="360" w:lineRule="auto"/>
        <w:jc w:val="both"/>
        <w:rPr>
          <w:rFonts w:ascii="Arial" w:hAnsi="Arial" w:cs="Arial"/>
          <w:sz w:val="24"/>
          <w:szCs w:val="24"/>
        </w:rPr>
      </w:pPr>
      <w:r>
        <w:rPr>
          <w:rFonts w:ascii="Arial" w:hAnsi="Arial" w:cs="Arial"/>
          <w:sz w:val="24"/>
          <w:szCs w:val="24"/>
        </w:rPr>
        <w:t>3</w:t>
      </w:r>
      <w:r w:rsidR="004B0513">
        <w:rPr>
          <w:rFonts w:ascii="Arial" w:hAnsi="Arial" w:cs="Arial"/>
          <w:sz w:val="24"/>
          <w:szCs w:val="24"/>
        </w:rPr>
        <w:t>4</w:t>
      </w:r>
      <w:r w:rsidR="00202823">
        <w:rPr>
          <w:rFonts w:ascii="Arial" w:hAnsi="Arial" w:cs="Arial"/>
          <w:sz w:val="24"/>
          <w:szCs w:val="24"/>
        </w:rPr>
        <w:t>.</w:t>
      </w:r>
      <w:r w:rsidR="00202823">
        <w:rPr>
          <w:rFonts w:ascii="Arial" w:hAnsi="Arial" w:cs="Arial"/>
          <w:sz w:val="24"/>
          <w:szCs w:val="24"/>
        </w:rPr>
        <w:tab/>
      </w:r>
      <w:r w:rsidR="000F48D6" w:rsidRPr="00893ED3">
        <w:rPr>
          <w:rFonts w:ascii="Arial" w:hAnsi="Arial" w:cs="Arial"/>
          <w:sz w:val="24"/>
          <w:szCs w:val="24"/>
        </w:rPr>
        <w:t xml:space="preserve">The </w:t>
      </w:r>
      <w:r w:rsidR="000F48D6">
        <w:rPr>
          <w:rFonts w:ascii="Arial" w:hAnsi="Arial" w:cs="Arial"/>
          <w:sz w:val="24"/>
          <w:szCs w:val="24"/>
        </w:rPr>
        <w:t>following</w:t>
      </w:r>
      <w:r w:rsidR="00C03151">
        <w:rPr>
          <w:rFonts w:ascii="Arial" w:hAnsi="Arial" w:cs="Arial"/>
          <w:sz w:val="24"/>
          <w:szCs w:val="24"/>
        </w:rPr>
        <w:t xml:space="preserve"> order is made:</w:t>
      </w:r>
    </w:p>
    <w:p w14:paraId="15AFE99A" w14:textId="29DDD165" w:rsidR="000374DE" w:rsidRDefault="00C03151" w:rsidP="00893ED3">
      <w:pPr>
        <w:spacing w:after="0" w:line="360" w:lineRule="auto"/>
        <w:jc w:val="both"/>
        <w:rPr>
          <w:rFonts w:ascii="Arial" w:hAnsi="Arial" w:cs="Arial"/>
          <w:sz w:val="24"/>
          <w:szCs w:val="24"/>
        </w:rPr>
      </w:pPr>
      <w:r>
        <w:rPr>
          <w:rFonts w:ascii="Arial" w:hAnsi="Arial" w:cs="Arial"/>
          <w:sz w:val="24"/>
          <w:szCs w:val="24"/>
        </w:rPr>
        <w:t>1)</w:t>
      </w:r>
      <w:r w:rsidR="00421D76">
        <w:rPr>
          <w:rFonts w:ascii="Arial" w:hAnsi="Arial" w:cs="Arial"/>
          <w:sz w:val="24"/>
          <w:szCs w:val="24"/>
        </w:rPr>
        <w:tab/>
      </w:r>
      <w:r>
        <w:rPr>
          <w:rFonts w:ascii="Arial" w:hAnsi="Arial" w:cs="Arial"/>
          <w:sz w:val="24"/>
          <w:szCs w:val="24"/>
        </w:rPr>
        <w:t>The po</w:t>
      </w:r>
      <w:r w:rsidR="000374DE">
        <w:rPr>
          <w:rFonts w:ascii="Arial" w:hAnsi="Arial" w:cs="Arial"/>
          <w:sz w:val="24"/>
          <w:szCs w:val="24"/>
        </w:rPr>
        <w:t>ints</w:t>
      </w:r>
      <w:r>
        <w:rPr>
          <w:rFonts w:ascii="Arial" w:hAnsi="Arial" w:cs="Arial"/>
          <w:sz w:val="24"/>
          <w:szCs w:val="24"/>
        </w:rPr>
        <w:t xml:space="preserve"> in </w:t>
      </w:r>
      <w:r w:rsidRPr="00421D76">
        <w:rPr>
          <w:rFonts w:ascii="Arial" w:hAnsi="Arial" w:cs="Arial"/>
          <w:i/>
          <w:sz w:val="24"/>
          <w:szCs w:val="24"/>
        </w:rPr>
        <w:t>limine</w:t>
      </w:r>
      <w:r>
        <w:rPr>
          <w:rFonts w:ascii="Arial" w:hAnsi="Arial" w:cs="Arial"/>
          <w:sz w:val="24"/>
          <w:szCs w:val="24"/>
        </w:rPr>
        <w:t xml:space="preserve"> are</w:t>
      </w:r>
      <w:r w:rsidR="000374DE">
        <w:rPr>
          <w:rFonts w:ascii="Arial" w:hAnsi="Arial" w:cs="Arial"/>
          <w:sz w:val="24"/>
          <w:szCs w:val="24"/>
        </w:rPr>
        <w:t xml:space="preserve"> dismissed.</w:t>
      </w:r>
    </w:p>
    <w:p w14:paraId="11AC13BA" w14:textId="3DB6CD82" w:rsidR="004424DA" w:rsidRDefault="004424DA" w:rsidP="00893ED3">
      <w:pPr>
        <w:spacing w:after="0" w:line="360" w:lineRule="auto"/>
        <w:jc w:val="both"/>
        <w:rPr>
          <w:rFonts w:ascii="Arial" w:hAnsi="Arial" w:cs="Arial"/>
          <w:sz w:val="24"/>
          <w:szCs w:val="24"/>
        </w:rPr>
      </w:pPr>
      <w:r>
        <w:rPr>
          <w:rFonts w:ascii="Arial" w:hAnsi="Arial" w:cs="Arial"/>
          <w:sz w:val="24"/>
          <w:szCs w:val="24"/>
        </w:rPr>
        <w:t xml:space="preserve">2) </w:t>
      </w:r>
      <w:r w:rsidR="00421D76">
        <w:rPr>
          <w:rFonts w:ascii="Arial" w:hAnsi="Arial" w:cs="Arial"/>
          <w:sz w:val="24"/>
          <w:szCs w:val="24"/>
        </w:rPr>
        <w:tab/>
      </w:r>
      <w:r>
        <w:rPr>
          <w:rFonts w:ascii="Arial" w:hAnsi="Arial" w:cs="Arial"/>
          <w:sz w:val="24"/>
          <w:szCs w:val="24"/>
        </w:rPr>
        <w:t xml:space="preserve">The supplementary </w:t>
      </w:r>
      <w:r w:rsidR="00BA752D">
        <w:rPr>
          <w:rFonts w:ascii="Arial" w:hAnsi="Arial" w:cs="Arial"/>
          <w:sz w:val="24"/>
          <w:szCs w:val="24"/>
        </w:rPr>
        <w:t>affidavits are allowed.</w:t>
      </w:r>
    </w:p>
    <w:p w14:paraId="3C292751" w14:textId="28F6C873" w:rsidR="00893ED3" w:rsidRDefault="00A50F1C" w:rsidP="004B0513">
      <w:pPr>
        <w:spacing w:after="0" w:line="360" w:lineRule="auto"/>
        <w:ind w:left="720" w:hanging="720"/>
        <w:jc w:val="both"/>
        <w:rPr>
          <w:rFonts w:ascii="Arial" w:hAnsi="Arial" w:cs="Arial"/>
          <w:sz w:val="24"/>
          <w:szCs w:val="24"/>
        </w:rPr>
      </w:pPr>
      <w:r>
        <w:rPr>
          <w:rFonts w:ascii="Arial" w:hAnsi="Arial" w:cs="Arial"/>
          <w:sz w:val="24"/>
          <w:szCs w:val="24"/>
        </w:rPr>
        <w:t>3</w:t>
      </w:r>
      <w:r w:rsidR="00E4498C">
        <w:rPr>
          <w:rFonts w:ascii="Arial" w:hAnsi="Arial" w:cs="Arial"/>
          <w:sz w:val="24"/>
          <w:szCs w:val="24"/>
        </w:rPr>
        <w:t xml:space="preserve">) </w:t>
      </w:r>
      <w:r w:rsidR="00421D76">
        <w:rPr>
          <w:rFonts w:ascii="Arial" w:hAnsi="Arial" w:cs="Arial"/>
          <w:sz w:val="24"/>
          <w:szCs w:val="24"/>
        </w:rPr>
        <w:tab/>
      </w:r>
      <w:r w:rsidR="00E4498C">
        <w:rPr>
          <w:rFonts w:ascii="Arial" w:hAnsi="Arial" w:cs="Arial"/>
          <w:sz w:val="24"/>
          <w:szCs w:val="24"/>
        </w:rPr>
        <w:t>The application is dismissed</w:t>
      </w:r>
      <w:r w:rsidR="009E74C0">
        <w:rPr>
          <w:rFonts w:ascii="Arial" w:hAnsi="Arial" w:cs="Arial"/>
          <w:sz w:val="24"/>
          <w:szCs w:val="24"/>
        </w:rPr>
        <w:t xml:space="preserve"> with </w:t>
      </w:r>
      <w:r w:rsidR="004424DA">
        <w:rPr>
          <w:rFonts w:ascii="Arial" w:hAnsi="Arial" w:cs="Arial"/>
          <w:sz w:val="24"/>
          <w:szCs w:val="24"/>
        </w:rPr>
        <w:t>costs, including</w:t>
      </w:r>
      <w:r w:rsidR="0055267C">
        <w:rPr>
          <w:rFonts w:ascii="Arial" w:hAnsi="Arial" w:cs="Arial"/>
          <w:sz w:val="24"/>
          <w:szCs w:val="24"/>
        </w:rPr>
        <w:t xml:space="preserve"> costs of two </w:t>
      </w:r>
      <w:r>
        <w:rPr>
          <w:rFonts w:ascii="Arial" w:hAnsi="Arial" w:cs="Arial"/>
          <w:sz w:val="24"/>
          <w:szCs w:val="24"/>
        </w:rPr>
        <w:t>counsel, where</w:t>
      </w:r>
      <w:r w:rsidR="0055267C">
        <w:rPr>
          <w:rFonts w:ascii="Arial" w:hAnsi="Arial" w:cs="Arial"/>
          <w:sz w:val="24"/>
          <w:szCs w:val="24"/>
        </w:rPr>
        <w:t xml:space="preserve"> applicable</w:t>
      </w:r>
      <w:r w:rsidR="009542AC">
        <w:rPr>
          <w:rFonts w:ascii="Arial" w:hAnsi="Arial" w:cs="Arial"/>
          <w:sz w:val="24"/>
          <w:szCs w:val="24"/>
        </w:rPr>
        <w:t>.</w:t>
      </w:r>
    </w:p>
    <w:p w14:paraId="3274DBB5" w14:textId="3AE39508" w:rsidR="00A50F1C" w:rsidRDefault="00A50F1C" w:rsidP="00893ED3">
      <w:pPr>
        <w:spacing w:after="0" w:line="360" w:lineRule="auto"/>
        <w:jc w:val="both"/>
        <w:rPr>
          <w:rFonts w:ascii="Arial" w:hAnsi="Arial" w:cs="Arial"/>
          <w:sz w:val="24"/>
          <w:szCs w:val="24"/>
        </w:rPr>
      </w:pPr>
      <w:r>
        <w:rPr>
          <w:rFonts w:ascii="Arial" w:hAnsi="Arial" w:cs="Arial"/>
          <w:sz w:val="24"/>
          <w:szCs w:val="24"/>
        </w:rPr>
        <w:t xml:space="preserve">4) </w:t>
      </w:r>
      <w:r w:rsidR="00421D76">
        <w:rPr>
          <w:rFonts w:ascii="Arial" w:hAnsi="Arial" w:cs="Arial"/>
          <w:sz w:val="24"/>
          <w:szCs w:val="24"/>
        </w:rPr>
        <w:tab/>
      </w:r>
      <w:r w:rsidR="00385C54">
        <w:rPr>
          <w:rFonts w:ascii="Arial" w:hAnsi="Arial" w:cs="Arial"/>
          <w:sz w:val="24"/>
          <w:szCs w:val="24"/>
        </w:rPr>
        <w:t>The counter</w:t>
      </w:r>
      <w:r w:rsidR="001F48D0">
        <w:rPr>
          <w:rFonts w:ascii="Arial" w:hAnsi="Arial" w:cs="Arial"/>
          <w:sz w:val="24"/>
          <w:szCs w:val="24"/>
        </w:rPr>
        <w:t xml:space="preserve"> </w:t>
      </w:r>
      <w:r w:rsidR="00385C54">
        <w:rPr>
          <w:rFonts w:ascii="Arial" w:hAnsi="Arial" w:cs="Arial"/>
          <w:sz w:val="24"/>
          <w:szCs w:val="24"/>
        </w:rPr>
        <w:t>application is dismissed</w:t>
      </w:r>
      <w:r w:rsidR="00132F2E">
        <w:rPr>
          <w:rFonts w:ascii="Arial" w:hAnsi="Arial" w:cs="Arial"/>
          <w:sz w:val="24"/>
          <w:szCs w:val="24"/>
        </w:rPr>
        <w:t xml:space="preserve"> with costs.</w:t>
      </w:r>
    </w:p>
    <w:p w14:paraId="4B80ACB3" w14:textId="77777777" w:rsidR="008261C5" w:rsidRDefault="008261C5" w:rsidP="00893ED3">
      <w:pPr>
        <w:spacing w:after="0" w:line="360" w:lineRule="auto"/>
        <w:jc w:val="both"/>
        <w:rPr>
          <w:rFonts w:ascii="Arial" w:hAnsi="Arial" w:cs="Arial"/>
          <w:sz w:val="24"/>
          <w:szCs w:val="24"/>
        </w:rPr>
      </w:pPr>
    </w:p>
    <w:p w14:paraId="20A40ABA" w14:textId="77777777" w:rsidR="00421D76" w:rsidRPr="00893ED3" w:rsidRDefault="00421D76" w:rsidP="00893ED3">
      <w:pPr>
        <w:spacing w:after="0" w:line="360" w:lineRule="auto"/>
        <w:jc w:val="both"/>
        <w:rPr>
          <w:rFonts w:ascii="Arial" w:hAnsi="Arial" w:cs="Arial"/>
          <w:sz w:val="24"/>
          <w:szCs w:val="24"/>
        </w:rPr>
      </w:pPr>
    </w:p>
    <w:p w14:paraId="11D6190F" w14:textId="77777777" w:rsidR="00AF2DEB" w:rsidRDefault="00AF2DEB" w:rsidP="00A4253C">
      <w:pPr>
        <w:spacing w:after="0" w:line="360" w:lineRule="auto"/>
        <w:jc w:val="both"/>
        <w:rPr>
          <w:rFonts w:ascii="Arial" w:hAnsi="Arial" w:cs="Arial"/>
          <w:sz w:val="24"/>
          <w:szCs w:val="24"/>
        </w:rPr>
      </w:pPr>
    </w:p>
    <w:p w14:paraId="5D8C04A0" w14:textId="77777777" w:rsidR="00AF2DEB" w:rsidRDefault="00AF2DEB" w:rsidP="00A4253C">
      <w:pPr>
        <w:spacing w:after="0" w:line="360" w:lineRule="auto"/>
        <w:jc w:val="both"/>
        <w:rPr>
          <w:rFonts w:ascii="Arial" w:hAnsi="Arial" w:cs="Arial"/>
          <w:sz w:val="24"/>
          <w:szCs w:val="24"/>
        </w:rPr>
      </w:pPr>
    </w:p>
    <w:p w14:paraId="5F9A6675" w14:textId="77777777" w:rsidR="0088609D" w:rsidRDefault="0088609D">
      <w:pPr>
        <w:rPr>
          <w:rFonts w:ascii="Arial" w:hAnsi="Arial" w:cs="Arial"/>
          <w:b/>
          <w:sz w:val="24"/>
          <w:szCs w:val="24"/>
        </w:rPr>
      </w:pPr>
    </w:p>
    <w:p w14:paraId="41598BC4" w14:textId="77777777" w:rsidR="006553A7" w:rsidRDefault="009057ED" w:rsidP="009F6FDD">
      <w:pPr>
        <w:spacing w:after="0" w:line="480" w:lineRule="auto"/>
        <w:jc w:val="right"/>
        <w:rPr>
          <w:rFonts w:ascii="Arial" w:hAnsi="Arial" w:cs="Arial"/>
          <w:sz w:val="24"/>
          <w:szCs w:val="24"/>
        </w:rPr>
      </w:pPr>
      <w:r>
        <w:rPr>
          <w:rFonts w:ascii="Arial" w:hAnsi="Arial" w:cs="Arial"/>
          <w:sz w:val="24"/>
          <w:szCs w:val="24"/>
        </w:rPr>
        <w:t>____________________________</w:t>
      </w:r>
    </w:p>
    <w:p w14:paraId="2353C24F" w14:textId="77777777" w:rsidR="009057ED" w:rsidRPr="00EE5243" w:rsidRDefault="009057ED" w:rsidP="009F6FDD">
      <w:pPr>
        <w:pStyle w:val="NoSpacing"/>
        <w:spacing w:line="360" w:lineRule="auto"/>
        <w:jc w:val="right"/>
        <w:rPr>
          <w:rFonts w:ascii="Arial" w:hAnsi="Arial" w:cs="Arial"/>
          <w:sz w:val="24"/>
          <w:szCs w:val="24"/>
        </w:rPr>
      </w:pPr>
      <w:r w:rsidRPr="00EE5243">
        <w:rPr>
          <w:rFonts w:ascii="Arial" w:hAnsi="Arial" w:cs="Arial"/>
          <w:sz w:val="24"/>
          <w:szCs w:val="24"/>
        </w:rPr>
        <w:t xml:space="preserve">R </w:t>
      </w:r>
      <w:r w:rsidR="006F561A">
        <w:rPr>
          <w:rFonts w:ascii="Arial" w:hAnsi="Arial" w:cs="Arial"/>
          <w:sz w:val="24"/>
          <w:szCs w:val="24"/>
        </w:rPr>
        <w:t xml:space="preserve">G </w:t>
      </w:r>
      <w:r w:rsidRPr="00EE5243">
        <w:rPr>
          <w:rFonts w:ascii="Arial" w:hAnsi="Arial" w:cs="Arial"/>
          <w:sz w:val="24"/>
          <w:szCs w:val="24"/>
        </w:rPr>
        <w:t xml:space="preserve">TOLMAY </w:t>
      </w:r>
    </w:p>
    <w:p w14:paraId="5F521DF3" w14:textId="77777777" w:rsidR="009057ED" w:rsidRPr="00EE5243" w:rsidRDefault="009057ED" w:rsidP="009F6FDD">
      <w:pPr>
        <w:pStyle w:val="NoSpacing"/>
        <w:spacing w:line="360" w:lineRule="auto"/>
        <w:jc w:val="right"/>
        <w:rPr>
          <w:rFonts w:ascii="Arial" w:hAnsi="Arial" w:cs="Arial"/>
          <w:sz w:val="24"/>
          <w:szCs w:val="24"/>
        </w:rPr>
      </w:pPr>
      <w:r w:rsidRPr="00EE5243">
        <w:rPr>
          <w:rFonts w:ascii="Arial" w:hAnsi="Arial" w:cs="Arial"/>
          <w:sz w:val="24"/>
          <w:szCs w:val="24"/>
        </w:rPr>
        <w:t>JUDGE OF THE HIGH COURT</w:t>
      </w:r>
      <w:r w:rsidR="00EE5243" w:rsidRPr="00EE5243">
        <w:rPr>
          <w:rFonts w:ascii="Arial" w:hAnsi="Arial" w:cs="Arial"/>
          <w:sz w:val="24"/>
          <w:szCs w:val="24"/>
        </w:rPr>
        <w:t xml:space="preserve"> </w:t>
      </w:r>
    </w:p>
    <w:p w14:paraId="6C53D787" w14:textId="77777777" w:rsidR="00EE5243" w:rsidRDefault="00EE5243" w:rsidP="00EE5243">
      <w:pPr>
        <w:pStyle w:val="NoSpacing"/>
        <w:spacing w:line="360" w:lineRule="auto"/>
        <w:jc w:val="right"/>
        <w:rPr>
          <w:rFonts w:ascii="Arial" w:hAnsi="Arial" w:cs="Arial"/>
          <w:sz w:val="24"/>
          <w:szCs w:val="24"/>
        </w:rPr>
      </w:pPr>
      <w:r w:rsidRPr="00EE5243">
        <w:rPr>
          <w:rFonts w:ascii="Arial" w:hAnsi="Arial" w:cs="Arial"/>
          <w:sz w:val="24"/>
          <w:szCs w:val="24"/>
        </w:rPr>
        <w:t>GAUTENG DIVISION, PRETORIA</w:t>
      </w:r>
    </w:p>
    <w:p w14:paraId="67805798" w14:textId="77777777" w:rsidR="004F2B5B" w:rsidRDefault="004F2B5B" w:rsidP="00EE5243">
      <w:pPr>
        <w:pStyle w:val="NoSpacing"/>
        <w:spacing w:line="360" w:lineRule="auto"/>
        <w:rPr>
          <w:rFonts w:ascii="Arial" w:hAnsi="Arial" w:cs="Arial"/>
          <w:b/>
          <w:sz w:val="24"/>
          <w:szCs w:val="24"/>
        </w:rPr>
      </w:pPr>
    </w:p>
    <w:p w14:paraId="126CDE87" w14:textId="77777777" w:rsidR="003A5BC0" w:rsidRDefault="003A5BC0" w:rsidP="00EE5243">
      <w:pPr>
        <w:pStyle w:val="NoSpacing"/>
        <w:spacing w:line="360" w:lineRule="auto"/>
        <w:rPr>
          <w:rFonts w:ascii="Arial" w:hAnsi="Arial" w:cs="Arial"/>
          <w:b/>
          <w:sz w:val="24"/>
          <w:szCs w:val="24"/>
        </w:rPr>
      </w:pPr>
    </w:p>
    <w:p w14:paraId="75A19DBB" w14:textId="77777777" w:rsidR="003A5BC0" w:rsidRDefault="003A5BC0" w:rsidP="00EE5243">
      <w:pPr>
        <w:pStyle w:val="NoSpacing"/>
        <w:spacing w:line="360" w:lineRule="auto"/>
        <w:rPr>
          <w:rFonts w:ascii="Arial" w:hAnsi="Arial" w:cs="Arial"/>
          <w:b/>
          <w:sz w:val="24"/>
          <w:szCs w:val="24"/>
        </w:rPr>
      </w:pPr>
    </w:p>
    <w:p w14:paraId="542D1415" w14:textId="77777777" w:rsidR="003A5BC0" w:rsidRDefault="003A5BC0" w:rsidP="00EE5243">
      <w:pPr>
        <w:pStyle w:val="NoSpacing"/>
        <w:spacing w:line="360" w:lineRule="auto"/>
        <w:rPr>
          <w:rFonts w:ascii="Arial" w:hAnsi="Arial" w:cs="Arial"/>
          <w:b/>
          <w:sz w:val="24"/>
          <w:szCs w:val="24"/>
        </w:rPr>
      </w:pPr>
    </w:p>
    <w:p w14:paraId="60683AED" w14:textId="77777777" w:rsidR="003A5BC0" w:rsidRDefault="003A5BC0" w:rsidP="00EE5243">
      <w:pPr>
        <w:pStyle w:val="NoSpacing"/>
        <w:spacing w:line="360" w:lineRule="auto"/>
        <w:rPr>
          <w:rFonts w:ascii="Arial" w:hAnsi="Arial" w:cs="Arial"/>
          <w:b/>
          <w:sz w:val="24"/>
          <w:szCs w:val="24"/>
        </w:rPr>
      </w:pPr>
    </w:p>
    <w:p w14:paraId="19A97303" w14:textId="77777777" w:rsidR="003A5BC0" w:rsidRDefault="003A5BC0" w:rsidP="00EE5243">
      <w:pPr>
        <w:pStyle w:val="NoSpacing"/>
        <w:spacing w:line="360" w:lineRule="auto"/>
        <w:rPr>
          <w:rFonts w:ascii="Arial" w:hAnsi="Arial" w:cs="Arial"/>
          <w:b/>
          <w:sz w:val="24"/>
          <w:szCs w:val="24"/>
        </w:rPr>
      </w:pPr>
    </w:p>
    <w:p w14:paraId="14ADF68F" w14:textId="77777777" w:rsidR="003A5BC0" w:rsidRDefault="003A5BC0" w:rsidP="00EE5243">
      <w:pPr>
        <w:pStyle w:val="NoSpacing"/>
        <w:spacing w:line="360" w:lineRule="auto"/>
        <w:rPr>
          <w:rFonts w:ascii="Arial" w:hAnsi="Arial" w:cs="Arial"/>
          <w:b/>
          <w:sz w:val="24"/>
          <w:szCs w:val="24"/>
        </w:rPr>
      </w:pPr>
    </w:p>
    <w:p w14:paraId="70D895D3" w14:textId="77777777" w:rsidR="003A5BC0" w:rsidRDefault="003A5BC0" w:rsidP="00EE5243">
      <w:pPr>
        <w:pStyle w:val="NoSpacing"/>
        <w:spacing w:line="360" w:lineRule="auto"/>
        <w:rPr>
          <w:rFonts w:ascii="Arial" w:hAnsi="Arial" w:cs="Arial"/>
          <w:b/>
          <w:sz w:val="24"/>
          <w:szCs w:val="24"/>
        </w:rPr>
      </w:pPr>
    </w:p>
    <w:p w14:paraId="3FF8C39A" w14:textId="77777777" w:rsidR="003A5BC0" w:rsidRDefault="003A5BC0" w:rsidP="00EE5243">
      <w:pPr>
        <w:pStyle w:val="NoSpacing"/>
        <w:spacing w:line="360" w:lineRule="auto"/>
        <w:rPr>
          <w:rFonts w:ascii="Arial" w:hAnsi="Arial" w:cs="Arial"/>
          <w:b/>
          <w:sz w:val="24"/>
          <w:szCs w:val="24"/>
        </w:rPr>
      </w:pPr>
    </w:p>
    <w:p w14:paraId="4574BFD7" w14:textId="77777777" w:rsidR="003A5BC0" w:rsidRDefault="003A5BC0" w:rsidP="00EE5243">
      <w:pPr>
        <w:pStyle w:val="NoSpacing"/>
        <w:spacing w:line="360" w:lineRule="auto"/>
        <w:rPr>
          <w:rFonts w:ascii="Arial" w:hAnsi="Arial" w:cs="Arial"/>
          <w:b/>
          <w:sz w:val="24"/>
          <w:szCs w:val="24"/>
        </w:rPr>
      </w:pPr>
    </w:p>
    <w:p w14:paraId="2AF06D3A" w14:textId="77777777" w:rsidR="003A5BC0" w:rsidRDefault="003A5BC0" w:rsidP="00EE5243">
      <w:pPr>
        <w:pStyle w:val="NoSpacing"/>
        <w:spacing w:line="360" w:lineRule="auto"/>
        <w:rPr>
          <w:rFonts w:ascii="Arial" w:hAnsi="Arial" w:cs="Arial"/>
          <w:b/>
          <w:sz w:val="24"/>
          <w:szCs w:val="24"/>
        </w:rPr>
      </w:pPr>
    </w:p>
    <w:p w14:paraId="5497667E" w14:textId="77777777" w:rsidR="00EE5243" w:rsidRPr="006978C4" w:rsidRDefault="00202823" w:rsidP="00202823">
      <w:pPr>
        <w:pStyle w:val="NoSpacing"/>
        <w:spacing w:line="360" w:lineRule="auto"/>
        <w:rPr>
          <w:rFonts w:ascii="Arial" w:hAnsi="Arial" w:cs="Arial"/>
          <w:b/>
          <w:sz w:val="24"/>
          <w:szCs w:val="24"/>
        </w:rPr>
      </w:pPr>
      <w:r>
        <w:rPr>
          <w:rFonts w:ascii="Arial" w:hAnsi="Arial" w:cs="Arial"/>
          <w:b/>
          <w:sz w:val="24"/>
          <w:szCs w:val="24"/>
        </w:rPr>
        <w:lastRenderedPageBreak/>
        <w:t xml:space="preserve">  </w:t>
      </w:r>
      <w:r w:rsidR="00EE5243" w:rsidRPr="006978C4">
        <w:rPr>
          <w:rFonts w:ascii="Arial" w:hAnsi="Arial" w:cs="Arial"/>
          <w:b/>
          <w:sz w:val="24"/>
          <w:szCs w:val="24"/>
        </w:rPr>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C27BE4" w14:paraId="71A3AF84" w14:textId="77777777" w:rsidTr="006978C4">
        <w:tc>
          <w:tcPr>
            <w:tcW w:w="3955" w:type="dxa"/>
          </w:tcPr>
          <w:p w14:paraId="4F43CB69" w14:textId="77777777" w:rsidR="00C27BE4" w:rsidRDefault="00C27BE4" w:rsidP="00EE5243">
            <w:pPr>
              <w:pStyle w:val="NoSpacing"/>
              <w:spacing w:line="360" w:lineRule="auto"/>
              <w:rPr>
                <w:rFonts w:ascii="Arial" w:hAnsi="Arial" w:cs="Arial"/>
                <w:sz w:val="24"/>
                <w:szCs w:val="24"/>
              </w:rPr>
            </w:pPr>
            <w:r>
              <w:rPr>
                <w:rFonts w:ascii="Arial" w:hAnsi="Arial" w:cs="Arial"/>
                <w:sz w:val="24"/>
                <w:szCs w:val="24"/>
              </w:rPr>
              <w:t>Counsel for Applicant</w:t>
            </w:r>
          </w:p>
        </w:tc>
        <w:tc>
          <w:tcPr>
            <w:tcW w:w="5395" w:type="dxa"/>
          </w:tcPr>
          <w:p w14:paraId="76DF5A9A" w14:textId="77777777" w:rsidR="00C27BE4" w:rsidRDefault="00B67A95" w:rsidP="00086A1C">
            <w:pPr>
              <w:pStyle w:val="NoSpacing"/>
              <w:spacing w:line="360" w:lineRule="auto"/>
              <w:rPr>
                <w:rFonts w:ascii="Arial" w:hAnsi="Arial" w:cs="Arial"/>
                <w:sz w:val="24"/>
                <w:szCs w:val="24"/>
              </w:rPr>
            </w:pPr>
            <w:r>
              <w:rPr>
                <w:rFonts w:ascii="Arial" w:hAnsi="Arial" w:cs="Arial"/>
                <w:sz w:val="24"/>
                <w:szCs w:val="24"/>
              </w:rPr>
              <w:t xml:space="preserve">: </w:t>
            </w:r>
            <w:r w:rsidR="00086A1C">
              <w:rPr>
                <w:rFonts w:ascii="Arial" w:hAnsi="Arial" w:cs="Arial"/>
                <w:sz w:val="24"/>
                <w:szCs w:val="24"/>
              </w:rPr>
              <w:t>H C (Christoff) Janse van Rensburg</w:t>
            </w:r>
          </w:p>
        </w:tc>
      </w:tr>
      <w:tr w:rsidR="00C27BE4" w14:paraId="24C276DF" w14:textId="77777777" w:rsidTr="006978C4">
        <w:tc>
          <w:tcPr>
            <w:tcW w:w="3955" w:type="dxa"/>
          </w:tcPr>
          <w:p w14:paraId="2F91589C" w14:textId="77777777" w:rsidR="00C27BE4" w:rsidRDefault="006978C4" w:rsidP="00EE5243">
            <w:pPr>
              <w:pStyle w:val="NoSpacing"/>
              <w:spacing w:line="360" w:lineRule="auto"/>
              <w:rPr>
                <w:rFonts w:ascii="Arial" w:hAnsi="Arial" w:cs="Arial"/>
                <w:sz w:val="24"/>
                <w:szCs w:val="24"/>
              </w:rPr>
            </w:pPr>
            <w:r>
              <w:rPr>
                <w:rFonts w:ascii="Arial" w:hAnsi="Arial" w:cs="Arial"/>
                <w:sz w:val="24"/>
                <w:szCs w:val="24"/>
              </w:rPr>
              <w:t>Attorney for Applicant</w:t>
            </w:r>
          </w:p>
        </w:tc>
        <w:tc>
          <w:tcPr>
            <w:tcW w:w="5395" w:type="dxa"/>
          </w:tcPr>
          <w:p w14:paraId="760123AC" w14:textId="77777777" w:rsidR="00C27BE4" w:rsidRDefault="006978C4" w:rsidP="00086A1C">
            <w:pPr>
              <w:pStyle w:val="NoSpacing"/>
              <w:spacing w:line="360" w:lineRule="auto"/>
              <w:rPr>
                <w:rFonts w:ascii="Arial" w:hAnsi="Arial" w:cs="Arial"/>
                <w:sz w:val="24"/>
                <w:szCs w:val="24"/>
              </w:rPr>
            </w:pPr>
            <w:r>
              <w:rPr>
                <w:rFonts w:ascii="Arial" w:hAnsi="Arial" w:cs="Arial"/>
                <w:sz w:val="24"/>
                <w:szCs w:val="24"/>
              </w:rPr>
              <w:t xml:space="preserve">: </w:t>
            </w:r>
            <w:r w:rsidR="00086A1C">
              <w:rPr>
                <w:rFonts w:ascii="Arial" w:hAnsi="Arial" w:cs="Arial"/>
                <w:sz w:val="24"/>
                <w:szCs w:val="24"/>
              </w:rPr>
              <w:t>W (William) Motsepe</w:t>
            </w:r>
          </w:p>
        </w:tc>
      </w:tr>
      <w:tr w:rsidR="00C27BE4" w14:paraId="2C1AAD96" w14:textId="77777777" w:rsidTr="006978C4">
        <w:tc>
          <w:tcPr>
            <w:tcW w:w="3955" w:type="dxa"/>
          </w:tcPr>
          <w:p w14:paraId="53570661" w14:textId="77777777" w:rsidR="00C27BE4" w:rsidRDefault="00C27BE4" w:rsidP="009F6FDD">
            <w:pPr>
              <w:pStyle w:val="NoSpacing"/>
              <w:spacing w:line="360" w:lineRule="auto"/>
              <w:rPr>
                <w:rFonts w:ascii="Arial" w:hAnsi="Arial" w:cs="Arial"/>
                <w:sz w:val="24"/>
                <w:szCs w:val="24"/>
              </w:rPr>
            </w:pPr>
            <w:r>
              <w:rPr>
                <w:rFonts w:ascii="Arial" w:hAnsi="Arial" w:cs="Arial"/>
                <w:sz w:val="24"/>
                <w:szCs w:val="24"/>
              </w:rPr>
              <w:t xml:space="preserve">Counsel for </w:t>
            </w:r>
            <w:r w:rsidR="00086A1C">
              <w:rPr>
                <w:rFonts w:ascii="Arial" w:hAnsi="Arial" w:cs="Arial"/>
                <w:sz w:val="24"/>
                <w:szCs w:val="24"/>
              </w:rPr>
              <w:t>1</w:t>
            </w:r>
            <w:r w:rsidR="00086A1C" w:rsidRPr="00086A1C">
              <w:rPr>
                <w:rFonts w:ascii="Arial" w:hAnsi="Arial" w:cs="Arial"/>
                <w:sz w:val="24"/>
                <w:szCs w:val="24"/>
                <w:vertAlign w:val="superscript"/>
              </w:rPr>
              <w:t>st</w:t>
            </w:r>
            <w:r w:rsidR="00086A1C">
              <w:rPr>
                <w:rFonts w:ascii="Arial" w:hAnsi="Arial" w:cs="Arial"/>
                <w:sz w:val="24"/>
                <w:szCs w:val="24"/>
              </w:rPr>
              <w:t xml:space="preserve"> to 5</w:t>
            </w:r>
            <w:r w:rsidR="00086A1C" w:rsidRPr="00086A1C">
              <w:rPr>
                <w:rFonts w:ascii="Arial" w:hAnsi="Arial" w:cs="Arial"/>
                <w:sz w:val="24"/>
                <w:szCs w:val="24"/>
                <w:vertAlign w:val="superscript"/>
              </w:rPr>
              <w:t>th</w:t>
            </w:r>
            <w:r w:rsidR="00086A1C">
              <w:rPr>
                <w:rFonts w:ascii="Arial" w:hAnsi="Arial" w:cs="Arial"/>
                <w:sz w:val="24"/>
                <w:szCs w:val="24"/>
              </w:rPr>
              <w:t xml:space="preserve"> </w:t>
            </w:r>
            <w:r>
              <w:rPr>
                <w:rFonts w:ascii="Arial" w:hAnsi="Arial" w:cs="Arial"/>
                <w:sz w:val="24"/>
                <w:szCs w:val="24"/>
              </w:rPr>
              <w:t>Respondent</w:t>
            </w:r>
          </w:p>
        </w:tc>
        <w:tc>
          <w:tcPr>
            <w:tcW w:w="5395" w:type="dxa"/>
          </w:tcPr>
          <w:p w14:paraId="4C9C8803" w14:textId="77777777" w:rsidR="00C27BE4" w:rsidRDefault="006978C4" w:rsidP="00086A1C">
            <w:pPr>
              <w:pStyle w:val="NoSpacing"/>
              <w:spacing w:line="360" w:lineRule="auto"/>
              <w:rPr>
                <w:rFonts w:ascii="Arial" w:hAnsi="Arial" w:cs="Arial"/>
                <w:sz w:val="24"/>
                <w:szCs w:val="24"/>
              </w:rPr>
            </w:pPr>
            <w:r>
              <w:rPr>
                <w:rFonts w:ascii="Arial" w:hAnsi="Arial" w:cs="Arial"/>
                <w:sz w:val="24"/>
                <w:szCs w:val="24"/>
              </w:rPr>
              <w:t xml:space="preserve">: </w:t>
            </w:r>
            <w:r w:rsidR="00086A1C">
              <w:rPr>
                <w:rFonts w:ascii="Arial" w:hAnsi="Arial" w:cs="Arial"/>
                <w:sz w:val="24"/>
                <w:szCs w:val="24"/>
              </w:rPr>
              <w:t>Adv M R Maphutha</w:t>
            </w:r>
          </w:p>
        </w:tc>
      </w:tr>
      <w:tr w:rsidR="00C27BE4" w14:paraId="15000061" w14:textId="77777777" w:rsidTr="006978C4">
        <w:tc>
          <w:tcPr>
            <w:tcW w:w="3955" w:type="dxa"/>
          </w:tcPr>
          <w:p w14:paraId="16822CCF" w14:textId="77777777" w:rsidR="00C27BE4" w:rsidRDefault="00C27BE4" w:rsidP="009F6FDD">
            <w:pPr>
              <w:pStyle w:val="NoSpacing"/>
              <w:spacing w:line="360" w:lineRule="auto"/>
              <w:rPr>
                <w:rFonts w:ascii="Arial" w:hAnsi="Arial" w:cs="Arial"/>
                <w:sz w:val="24"/>
                <w:szCs w:val="24"/>
              </w:rPr>
            </w:pPr>
            <w:r>
              <w:rPr>
                <w:rFonts w:ascii="Arial" w:hAnsi="Arial" w:cs="Arial"/>
                <w:sz w:val="24"/>
                <w:szCs w:val="24"/>
              </w:rPr>
              <w:t xml:space="preserve">Attorney for </w:t>
            </w:r>
            <w:r w:rsidR="00086A1C">
              <w:rPr>
                <w:rFonts w:ascii="Arial" w:hAnsi="Arial" w:cs="Arial"/>
                <w:sz w:val="24"/>
                <w:szCs w:val="24"/>
              </w:rPr>
              <w:t>1</w:t>
            </w:r>
            <w:r w:rsidR="00086A1C" w:rsidRPr="00086A1C">
              <w:rPr>
                <w:rFonts w:ascii="Arial" w:hAnsi="Arial" w:cs="Arial"/>
                <w:sz w:val="24"/>
                <w:szCs w:val="24"/>
                <w:vertAlign w:val="superscript"/>
              </w:rPr>
              <w:t>st</w:t>
            </w:r>
            <w:r w:rsidR="00086A1C">
              <w:rPr>
                <w:rFonts w:ascii="Arial" w:hAnsi="Arial" w:cs="Arial"/>
                <w:sz w:val="24"/>
                <w:szCs w:val="24"/>
              </w:rPr>
              <w:t xml:space="preserve"> to 5</w:t>
            </w:r>
            <w:r w:rsidR="00086A1C" w:rsidRPr="00086A1C">
              <w:rPr>
                <w:rFonts w:ascii="Arial" w:hAnsi="Arial" w:cs="Arial"/>
                <w:sz w:val="24"/>
                <w:szCs w:val="24"/>
                <w:vertAlign w:val="superscript"/>
              </w:rPr>
              <w:t>th</w:t>
            </w:r>
            <w:r w:rsidR="00086A1C">
              <w:rPr>
                <w:rFonts w:ascii="Arial" w:hAnsi="Arial" w:cs="Arial"/>
                <w:sz w:val="24"/>
                <w:szCs w:val="24"/>
              </w:rPr>
              <w:t xml:space="preserve"> </w:t>
            </w:r>
            <w:r>
              <w:rPr>
                <w:rFonts w:ascii="Arial" w:hAnsi="Arial" w:cs="Arial"/>
                <w:sz w:val="24"/>
                <w:szCs w:val="24"/>
              </w:rPr>
              <w:t>Respondent</w:t>
            </w:r>
          </w:p>
        </w:tc>
        <w:tc>
          <w:tcPr>
            <w:tcW w:w="5395" w:type="dxa"/>
          </w:tcPr>
          <w:p w14:paraId="1AFDC875" w14:textId="77777777" w:rsidR="00086A1C" w:rsidRDefault="006978C4" w:rsidP="00086A1C">
            <w:pPr>
              <w:pStyle w:val="NoSpacing"/>
              <w:spacing w:line="360" w:lineRule="auto"/>
              <w:rPr>
                <w:rFonts w:ascii="Arial" w:hAnsi="Arial" w:cs="Arial"/>
                <w:sz w:val="24"/>
                <w:szCs w:val="24"/>
              </w:rPr>
            </w:pPr>
            <w:r>
              <w:rPr>
                <w:rFonts w:ascii="Arial" w:hAnsi="Arial" w:cs="Arial"/>
                <w:sz w:val="24"/>
                <w:szCs w:val="24"/>
              </w:rPr>
              <w:t xml:space="preserve">: </w:t>
            </w:r>
            <w:r w:rsidR="00086A1C">
              <w:rPr>
                <w:rFonts w:ascii="Arial" w:hAnsi="Arial" w:cs="Arial"/>
                <w:sz w:val="24"/>
                <w:szCs w:val="24"/>
              </w:rPr>
              <w:t>M M Matlala</w:t>
            </w:r>
          </w:p>
        </w:tc>
      </w:tr>
      <w:tr w:rsidR="00086A1C" w14:paraId="3724845A" w14:textId="77777777" w:rsidTr="006978C4">
        <w:tc>
          <w:tcPr>
            <w:tcW w:w="3955" w:type="dxa"/>
          </w:tcPr>
          <w:p w14:paraId="3C1B54D7" w14:textId="77777777" w:rsidR="00086A1C" w:rsidRDefault="00086A1C" w:rsidP="00086A1C">
            <w:pPr>
              <w:pStyle w:val="NoSpacing"/>
              <w:spacing w:line="360" w:lineRule="auto"/>
              <w:rPr>
                <w:rFonts w:ascii="Arial" w:hAnsi="Arial" w:cs="Arial"/>
                <w:sz w:val="24"/>
                <w:szCs w:val="24"/>
              </w:rPr>
            </w:pPr>
            <w:r>
              <w:rPr>
                <w:rFonts w:ascii="Arial" w:hAnsi="Arial" w:cs="Arial"/>
                <w:sz w:val="24"/>
                <w:szCs w:val="24"/>
              </w:rPr>
              <w:t>Counsel for 7</w:t>
            </w:r>
            <w:r w:rsidRPr="00086A1C">
              <w:rPr>
                <w:rFonts w:ascii="Arial" w:hAnsi="Arial" w:cs="Arial"/>
                <w:sz w:val="24"/>
                <w:szCs w:val="24"/>
                <w:vertAlign w:val="superscript"/>
              </w:rPr>
              <w:t>th</w:t>
            </w:r>
            <w:r>
              <w:rPr>
                <w:rFonts w:ascii="Arial" w:hAnsi="Arial" w:cs="Arial"/>
                <w:sz w:val="24"/>
                <w:szCs w:val="24"/>
              </w:rPr>
              <w:t xml:space="preserve"> Respondent</w:t>
            </w:r>
          </w:p>
        </w:tc>
        <w:tc>
          <w:tcPr>
            <w:tcW w:w="5395" w:type="dxa"/>
          </w:tcPr>
          <w:p w14:paraId="7F92A081" w14:textId="77777777" w:rsidR="00086A1C" w:rsidRDefault="00086A1C" w:rsidP="00086A1C">
            <w:pPr>
              <w:pStyle w:val="NoSpacing"/>
              <w:spacing w:line="360" w:lineRule="auto"/>
              <w:rPr>
                <w:rFonts w:ascii="Arial" w:hAnsi="Arial" w:cs="Arial"/>
                <w:sz w:val="24"/>
                <w:szCs w:val="24"/>
              </w:rPr>
            </w:pPr>
            <w:r>
              <w:rPr>
                <w:rFonts w:ascii="Arial" w:hAnsi="Arial" w:cs="Arial"/>
                <w:sz w:val="24"/>
                <w:szCs w:val="24"/>
              </w:rPr>
              <w:t>: R S (Reg) Willis</w:t>
            </w:r>
          </w:p>
        </w:tc>
      </w:tr>
      <w:tr w:rsidR="00086A1C" w14:paraId="3D722030" w14:textId="77777777" w:rsidTr="006978C4">
        <w:tc>
          <w:tcPr>
            <w:tcW w:w="3955" w:type="dxa"/>
          </w:tcPr>
          <w:p w14:paraId="0EF6448B" w14:textId="77777777" w:rsidR="00086A1C" w:rsidRDefault="00086A1C" w:rsidP="00086A1C">
            <w:pPr>
              <w:pStyle w:val="NoSpacing"/>
              <w:spacing w:line="360" w:lineRule="auto"/>
              <w:rPr>
                <w:rFonts w:ascii="Arial" w:hAnsi="Arial" w:cs="Arial"/>
                <w:sz w:val="24"/>
                <w:szCs w:val="24"/>
              </w:rPr>
            </w:pPr>
            <w:r>
              <w:rPr>
                <w:rFonts w:ascii="Arial" w:hAnsi="Arial" w:cs="Arial"/>
                <w:sz w:val="24"/>
                <w:szCs w:val="24"/>
              </w:rPr>
              <w:t>Date of Hearing</w:t>
            </w:r>
          </w:p>
        </w:tc>
        <w:tc>
          <w:tcPr>
            <w:tcW w:w="5395" w:type="dxa"/>
          </w:tcPr>
          <w:p w14:paraId="18B045CA" w14:textId="77777777" w:rsidR="00086A1C" w:rsidRDefault="00086A1C" w:rsidP="00086A1C">
            <w:pPr>
              <w:pStyle w:val="NoSpacing"/>
              <w:spacing w:line="360" w:lineRule="auto"/>
              <w:rPr>
                <w:rFonts w:ascii="Arial" w:hAnsi="Arial" w:cs="Arial"/>
                <w:sz w:val="24"/>
                <w:szCs w:val="24"/>
              </w:rPr>
            </w:pPr>
            <w:r>
              <w:rPr>
                <w:rFonts w:ascii="Arial" w:hAnsi="Arial" w:cs="Arial"/>
                <w:sz w:val="24"/>
                <w:szCs w:val="24"/>
              </w:rPr>
              <w:t>:</w:t>
            </w:r>
            <w:r w:rsidR="00461B78">
              <w:rPr>
                <w:rFonts w:ascii="Arial" w:hAnsi="Arial" w:cs="Arial"/>
                <w:sz w:val="24"/>
                <w:szCs w:val="24"/>
              </w:rPr>
              <w:t xml:space="preserve"> 28 November 2023</w:t>
            </w:r>
          </w:p>
        </w:tc>
      </w:tr>
      <w:tr w:rsidR="00086A1C" w14:paraId="6844A952" w14:textId="77777777" w:rsidTr="006978C4">
        <w:tc>
          <w:tcPr>
            <w:tcW w:w="3955" w:type="dxa"/>
          </w:tcPr>
          <w:p w14:paraId="5E49A80E" w14:textId="77777777" w:rsidR="00086A1C" w:rsidRDefault="00086A1C" w:rsidP="00086A1C">
            <w:pPr>
              <w:pStyle w:val="NoSpacing"/>
              <w:spacing w:line="360" w:lineRule="auto"/>
              <w:rPr>
                <w:rFonts w:ascii="Arial" w:hAnsi="Arial" w:cs="Arial"/>
                <w:sz w:val="24"/>
                <w:szCs w:val="24"/>
              </w:rPr>
            </w:pPr>
            <w:r>
              <w:rPr>
                <w:rFonts w:ascii="Arial" w:hAnsi="Arial" w:cs="Arial"/>
                <w:sz w:val="24"/>
                <w:szCs w:val="24"/>
              </w:rPr>
              <w:t>Date of Judgment</w:t>
            </w:r>
          </w:p>
        </w:tc>
        <w:tc>
          <w:tcPr>
            <w:tcW w:w="5395" w:type="dxa"/>
          </w:tcPr>
          <w:p w14:paraId="4AC0FA07" w14:textId="057339A7" w:rsidR="00086A1C" w:rsidRDefault="00086A1C" w:rsidP="00421D76">
            <w:pPr>
              <w:pStyle w:val="NoSpacing"/>
              <w:spacing w:line="360" w:lineRule="auto"/>
              <w:rPr>
                <w:rFonts w:ascii="Arial" w:hAnsi="Arial" w:cs="Arial"/>
                <w:sz w:val="24"/>
                <w:szCs w:val="24"/>
              </w:rPr>
            </w:pPr>
            <w:r>
              <w:rPr>
                <w:rFonts w:ascii="Arial" w:hAnsi="Arial" w:cs="Arial"/>
                <w:sz w:val="24"/>
                <w:szCs w:val="24"/>
              </w:rPr>
              <w:t xml:space="preserve">: </w:t>
            </w:r>
            <w:r w:rsidR="00421D76">
              <w:rPr>
                <w:rFonts w:ascii="Arial" w:hAnsi="Arial" w:cs="Arial"/>
                <w:sz w:val="24"/>
                <w:szCs w:val="24"/>
              </w:rPr>
              <w:t>2 April</w:t>
            </w:r>
            <w:r>
              <w:rPr>
                <w:rFonts w:ascii="Arial" w:hAnsi="Arial" w:cs="Arial"/>
                <w:sz w:val="24"/>
                <w:szCs w:val="24"/>
              </w:rPr>
              <w:t xml:space="preserve"> 2024</w:t>
            </w:r>
          </w:p>
        </w:tc>
      </w:tr>
    </w:tbl>
    <w:p w14:paraId="2D209345" w14:textId="77777777" w:rsidR="00EE5243" w:rsidRPr="00EE5243" w:rsidRDefault="00EE5243" w:rsidP="00EE5243">
      <w:pPr>
        <w:pStyle w:val="NoSpacing"/>
        <w:spacing w:line="360" w:lineRule="auto"/>
        <w:rPr>
          <w:rFonts w:ascii="Arial" w:hAnsi="Arial" w:cs="Arial"/>
          <w:sz w:val="24"/>
          <w:szCs w:val="24"/>
        </w:rPr>
      </w:pPr>
    </w:p>
    <w:p w14:paraId="55BE87CB" w14:textId="77777777" w:rsidR="00391C8C" w:rsidRPr="00D25710" w:rsidRDefault="00391C8C" w:rsidP="00E96C61">
      <w:pPr>
        <w:spacing w:line="480" w:lineRule="auto"/>
        <w:jc w:val="both"/>
      </w:pPr>
    </w:p>
    <w:sectPr w:rsidR="00391C8C" w:rsidRPr="00D25710" w:rsidSect="00E1586D">
      <w:headerReference w:type="default" r:id="rId10"/>
      <w:pgSz w:w="12240" w:h="15840"/>
      <w:pgMar w:top="1035" w:right="1440" w:bottom="1328"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06C6B3" w16cex:dateUtc="2024-04-03T09:40:00Z"/>
  <w16cex:commentExtensible w16cex:durableId="4CD58D49" w16cex:dateUtc="2024-04-03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798E5" w16cid:durableId="6206C6B3"/>
  <w16cid:commentId w16cid:paraId="7DED94F2" w16cid:durableId="4CD58D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6EA2" w14:textId="77777777" w:rsidR="00184F59" w:rsidRDefault="00184F59" w:rsidP="00D645D6">
      <w:pPr>
        <w:spacing w:after="0" w:line="240" w:lineRule="auto"/>
      </w:pPr>
      <w:r>
        <w:separator/>
      </w:r>
    </w:p>
  </w:endnote>
  <w:endnote w:type="continuationSeparator" w:id="0">
    <w:p w14:paraId="0C810616" w14:textId="77777777" w:rsidR="00184F59" w:rsidRDefault="00184F59" w:rsidP="00D6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0597" w14:textId="77777777" w:rsidR="00184F59" w:rsidRDefault="00184F59" w:rsidP="00D645D6">
      <w:pPr>
        <w:spacing w:after="0" w:line="240" w:lineRule="auto"/>
      </w:pPr>
      <w:r>
        <w:separator/>
      </w:r>
    </w:p>
  </w:footnote>
  <w:footnote w:type="continuationSeparator" w:id="0">
    <w:p w14:paraId="468BA378" w14:textId="77777777" w:rsidR="00184F59" w:rsidRDefault="00184F59" w:rsidP="00D645D6">
      <w:pPr>
        <w:spacing w:after="0" w:line="240" w:lineRule="auto"/>
      </w:pPr>
      <w:r>
        <w:continuationSeparator/>
      </w:r>
    </w:p>
  </w:footnote>
  <w:footnote w:id="1">
    <w:p w14:paraId="665446FC" w14:textId="77777777" w:rsidR="00A36B7C" w:rsidRPr="00A36B7C" w:rsidRDefault="00A36B7C" w:rsidP="00A36B7C">
      <w:pPr>
        <w:pStyle w:val="FootnoteText"/>
        <w:jc w:val="both"/>
        <w:rPr>
          <w:rFonts w:ascii="Arial" w:hAnsi="Arial" w:cs="Arial"/>
          <w:lang w:val="en-ZA"/>
        </w:rPr>
      </w:pPr>
      <w:r w:rsidRPr="00A36B7C">
        <w:rPr>
          <w:rStyle w:val="FootnoteReference"/>
          <w:rFonts w:ascii="Arial" w:hAnsi="Arial" w:cs="Arial"/>
        </w:rPr>
        <w:footnoteRef/>
      </w:r>
      <w:r w:rsidRPr="00A36B7C">
        <w:rPr>
          <w:rFonts w:ascii="Arial" w:hAnsi="Arial" w:cs="Arial"/>
        </w:rPr>
        <w:t xml:space="preserve"> </w:t>
      </w:r>
      <w:r w:rsidRPr="00A36B7C">
        <w:rPr>
          <w:rFonts w:ascii="Arial" w:hAnsi="Arial" w:cs="Arial"/>
          <w:bCs/>
          <w:i/>
        </w:rPr>
        <w:t xml:space="preserve">Gihwala and Others v Grancy Property Ltd and Others </w:t>
      </w:r>
      <w:r w:rsidRPr="00A36B7C">
        <w:rPr>
          <w:rFonts w:ascii="Arial" w:hAnsi="Arial" w:cs="Arial"/>
          <w:bCs/>
        </w:rPr>
        <w:t>[2016] ZASCA 35; [2016] 2 All SA 649 (SCA); 2017 (2) SA 337 (SCA)</w:t>
      </w:r>
      <w:r w:rsidRPr="00A36B7C">
        <w:rPr>
          <w:rFonts w:ascii="Arial" w:hAnsi="Arial" w:cs="Arial"/>
        </w:rPr>
        <w:t xml:space="preserve"> paras 142-145 and para 150.</w:t>
      </w:r>
    </w:p>
  </w:footnote>
  <w:footnote w:id="2">
    <w:p w14:paraId="4A342649" w14:textId="77777777" w:rsidR="00A36B7C" w:rsidRPr="00A36B7C" w:rsidRDefault="00A36B7C" w:rsidP="00A36B7C">
      <w:pPr>
        <w:pStyle w:val="FootnoteText"/>
        <w:jc w:val="both"/>
        <w:rPr>
          <w:rFonts w:ascii="Arial" w:hAnsi="Arial" w:cs="Arial"/>
          <w:lang w:val="en-ZA"/>
        </w:rPr>
      </w:pPr>
      <w:r w:rsidRPr="00A36B7C">
        <w:rPr>
          <w:rStyle w:val="FootnoteReference"/>
          <w:rFonts w:ascii="Arial" w:hAnsi="Arial" w:cs="Arial"/>
        </w:rPr>
        <w:footnoteRef/>
      </w:r>
      <w:r w:rsidRPr="00A36B7C">
        <w:rPr>
          <w:rFonts w:ascii="Arial" w:hAnsi="Arial" w:cs="Arial"/>
        </w:rPr>
        <w:t xml:space="preserve"> </w:t>
      </w:r>
      <w:r w:rsidRPr="00A36B7C">
        <w:rPr>
          <w:rFonts w:ascii="Arial" w:hAnsi="Arial" w:cs="Arial"/>
          <w:lang w:val="en-ZA"/>
        </w:rPr>
        <w:t>Ibid para 145.</w:t>
      </w:r>
    </w:p>
  </w:footnote>
  <w:footnote w:id="3">
    <w:p w14:paraId="4DAD9835" w14:textId="77777777" w:rsidR="00A36B7C" w:rsidRPr="00A36B7C" w:rsidRDefault="00A36B7C" w:rsidP="00A36B7C">
      <w:pPr>
        <w:pStyle w:val="FootnoteText"/>
        <w:jc w:val="both"/>
        <w:rPr>
          <w:rFonts w:ascii="Arial" w:hAnsi="Arial" w:cs="Arial"/>
          <w:lang w:val="en-ZA"/>
        </w:rPr>
      </w:pPr>
      <w:r w:rsidRPr="00A36B7C">
        <w:rPr>
          <w:rStyle w:val="FootnoteReference"/>
          <w:rFonts w:ascii="Arial" w:hAnsi="Arial" w:cs="Arial"/>
        </w:rPr>
        <w:footnoteRef/>
      </w:r>
      <w:r w:rsidRPr="00A36B7C">
        <w:rPr>
          <w:rFonts w:ascii="Arial" w:hAnsi="Arial" w:cs="Arial"/>
        </w:rPr>
        <w:t xml:space="preserve"> </w:t>
      </w:r>
      <w:r w:rsidRPr="00A36B7C">
        <w:rPr>
          <w:rFonts w:ascii="Arial" w:hAnsi="Arial" w:cs="Arial"/>
          <w:lang w:val="en-ZA"/>
        </w:rPr>
        <w:t>Ibid para 147.</w:t>
      </w:r>
    </w:p>
  </w:footnote>
  <w:footnote w:id="4">
    <w:p w14:paraId="17B5135B" w14:textId="77777777" w:rsidR="003662E9" w:rsidRPr="003662E9" w:rsidRDefault="003662E9" w:rsidP="003662E9">
      <w:pPr>
        <w:pStyle w:val="FootnoteText"/>
        <w:jc w:val="both"/>
        <w:rPr>
          <w:rFonts w:ascii="Arial" w:hAnsi="Arial" w:cs="Arial"/>
        </w:rPr>
      </w:pPr>
      <w:r w:rsidRPr="003662E9">
        <w:rPr>
          <w:rStyle w:val="FootnoteReference"/>
          <w:rFonts w:ascii="Arial" w:hAnsi="Arial" w:cs="Arial"/>
        </w:rPr>
        <w:footnoteRef/>
      </w:r>
      <w:r w:rsidRPr="003662E9">
        <w:rPr>
          <w:rFonts w:ascii="Arial" w:hAnsi="Arial" w:cs="Arial"/>
        </w:rPr>
        <w:t xml:space="preserve"> The constitutionality of citizenship as a requirement for registration as a security guard was upheld in </w:t>
      </w:r>
      <w:r w:rsidRPr="003662E9">
        <w:rPr>
          <w:rFonts w:ascii="Arial" w:hAnsi="Arial" w:cs="Arial"/>
          <w:i/>
        </w:rPr>
        <w:t>Union of Refugee Women and Others v Director: Private Security Industry Regulatory Authority and Others</w:t>
      </w:r>
      <w:r w:rsidRPr="003662E9">
        <w:rPr>
          <w:rFonts w:ascii="Arial" w:hAnsi="Arial" w:cs="Arial"/>
        </w:rPr>
        <w:t xml:space="preserve"> [2006] ZACC 23; 2007 (4) SA 395 (CC).</w:t>
      </w:r>
    </w:p>
  </w:footnote>
  <w:footnote w:id="5">
    <w:p w14:paraId="18B44554" w14:textId="77777777" w:rsidR="00A36B7C" w:rsidRPr="00A36B7C" w:rsidRDefault="00A36B7C" w:rsidP="00A36B7C">
      <w:pPr>
        <w:pStyle w:val="FootnoteText"/>
        <w:jc w:val="both"/>
        <w:rPr>
          <w:rFonts w:ascii="Arial" w:hAnsi="Arial" w:cs="Arial"/>
          <w:lang w:val="en-ZA"/>
        </w:rPr>
      </w:pPr>
      <w:r w:rsidRPr="00A36B7C">
        <w:rPr>
          <w:rStyle w:val="FootnoteReference"/>
          <w:rFonts w:ascii="Arial" w:hAnsi="Arial" w:cs="Arial"/>
        </w:rPr>
        <w:footnoteRef/>
      </w:r>
      <w:r w:rsidRPr="00A36B7C">
        <w:rPr>
          <w:rFonts w:ascii="Arial" w:hAnsi="Arial" w:cs="Arial"/>
        </w:rPr>
        <w:t xml:space="preserve"> </w:t>
      </w:r>
      <w:r w:rsidRPr="00A36B7C">
        <w:rPr>
          <w:rFonts w:ascii="Arial" w:hAnsi="Arial" w:cs="Arial"/>
          <w:bCs/>
          <w:i/>
        </w:rPr>
        <w:t xml:space="preserve">Msimang NO and Another v Katuliiba and Others </w:t>
      </w:r>
      <w:r w:rsidRPr="00A36B7C">
        <w:rPr>
          <w:rFonts w:ascii="Arial" w:hAnsi="Arial" w:cs="Arial"/>
          <w:bCs/>
        </w:rPr>
        <w:t>[2012] ZAGPJHC 240; [2013] 1 All SA 580 (GSJ) para</w:t>
      </w:r>
      <w:r>
        <w:rPr>
          <w:rFonts w:ascii="Arial" w:hAnsi="Arial" w:cs="Arial"/>
          <w:bCs/>
        </w:rPr>
        <w:t>s</w:t>
      </w:r>
      <w:r w:rsidRPr="00A36B7C">
        <w:rPr>
          <w:rFonts w:ascii="Arial" w:hAnsi="Arial" w:cs="Arial"/>
          <w:bCs/>
        </w:rPr>
        <w:t xml:space="preserve"> 36-38.</w:t>
      </w:r>
    </w:p>
  </w:footnote>
  <w:footnote w:id="6">
    <w:p w14:paraId="56D474FE" w14:textId="77777777" w:rsidR="001551B0" w:rsidRPr="001551B0" w:rsidRDefault="001551B0" w:rsidP="001551B0">
      <w:pPr>
        <w:pStyle w:val="FootnoteText"/>
        <w:jc w:val="both"/>
        <w:rPr>
          <w:rFonts w:ascii="Arial" w:hAnsi="Arial" w:cs="Arial"/>
          <w:lang w:val="en-ZA"/>
        </w:rPr>
      </w:pPr>
      <w:r w:rsidRPr="001551B0">
        <w:rPr>
          <w:rStyle w:val="FootnoteReference"/>
          <w:rFonts w:ascii="Arial" w:hAnsi="Arial" w:cs="Arial"/>
        </w:rPr>
        <w:footnoteRef/>
      </w:r>
      <w:r w:rsidRPr="001551B0">
        <w:rPr>
          <w:rFonts w:ascii="Arial" w:hAnsi="Arial" w:cs="Arial"/>
        </w:rPr>
        <w:t xml:space="preserve"> </w:t>
      </w:r>
      <w:bookmarkStart w:id="8" w:name="_GoBack"/>
      <w:r w:rsidRPr="001551B0">
        <w:rPr>
          <w:rFonts w:ascii="Arial" w:hAnsi="Arial" w:cs="Arial"/>
          <w:bCs/>
          <w:i/>
        </w:rPr>
        <w:t>Plascon</w:t>
      </w:r>
      <w:bookmarkEnd w:id="8"/>
      <w:r w:rsidRPr="001551B0">
        <w:rPr>
          <w:rFonts w:ascii="Arial" w:hAnsi="Arial" w:cs="Arial"/>
          <w:bCs/>
          <w:i/>
        </w:rPr>
        <w:t xml:space="preserve">-Evans Paints (TVL) Ltd v Van Riebeck Paints (Pty) Ltd </w:t>
      </w:r>
      <w:r w:rsidRPr="001551B0">
        <w:rPr>
          <w:rFonts w:ascii="Arial" w:hAnsi="Arial" w:cs="Arial"/>
          <w:bCs/>
        </w:rPr>
        <w:t>[1984] ZASCA 51; [1984] 2 All SA 366 (A); 1984 (3) SA 623; 1984 (3) SA 620.</w:t>
      </w:r>
    </w:p>
  </w:footnote>
  <w:footnote w:id="7">
    <w:p w14:paraId="2F990712" w14:textId="77777777" w:rsidR="00A36B7C" w:rsidRPr="00A36B7C" w:rsidRDefault="00A36B7C" w:rsidP="00A36B7C">
      <w:pPr>
        <w:pStyle w:val="FootnoteText"/>
        <w:jc w:val="both"/>
        <w:rPr>
          <w:rFonts w:ascii="Arial" w:hAnsi="Arial" w:cs="Arial"/>
          <w:lang w:val="en-ZA"/>
        </w:rPr>
      </w:pPr>
      <w:r w:rsidRPr="00A36B7C">
        <w:rPr>
          <w:rStyle w:val="FootnoteReference"/>
          <w:rFonts w:ascii="Arial" w:hAnsi="Arial" w:cs="Arial"/>
        </w:rPr>
        <w:footnoteRef/>
      </w:r>
      <w:r w:rsidRPr="00A36B7C">
        <w:rPr>
          <w:rFonts w:ascii="Arial" w:hAnsi="Arial" w:cs="Arial"/>
        </w:rPr>
        <w:t xml:space="preserve"> </w:t>
      </w:r>
      <w:r w:rsidRPr="00A36B7C">
        <w:rPr>
          <w:rFonts w:ascii="Arial" w:hAnsi="Arial" w:cs="Arial"/>
          <w:bCs/>
          <w:i/>
        </w:rPr>
        <w:t>Natal Joint Municipal Pension Fund v Endumeni Municipality</w:t>
      </w:r>
      <w:r w:rsidRPr="00A36B7C">
        <w:rPr>
          <w:rFonts w:ascii="Arial" w:hAnsi="Arial" w:cs="Arial"/>
          <w:bCs/>
        </w:rPr>
        <w:t xml:space="preserve"> [2012] ZASCA 13; [2012] 2 All SA 262 (SCA); 2012 (4) SA 593 (SCA) para 18.</w:t>
      </w:r>
    </w:p>
  </w:footnote>
  <w:footnote w:id="8">
    <w:p w14:paraId="1CB10C5E" w14:textId="6540BCC2" w:rsidR="00DF1AE0" w:rsidRPr="00DF1AE0" w:rsidRDefault="00DF1AE0" w:rsidP="00DF1AE0">
      <w:pPr>
        <w:pStyle w:val="FootnoteText"/>
        <w:jc w:val="both"/>
        <w:rPr>
          <w:rFonts w:ascii="Arial" w:hAnsi="Arial" w:cs="Arial"/>
        </w:rPr>
      </w:pPr>
      <w:r w:rsidRPr="00DF1AE0">
        <w:rPr>
          <w:rStyle w:val="FootnoteReference"/>
          <w:rFonts w:ascii="Arial" w:hAnsi="Arial" w:cs="Arial"/>
        </w:rPr>
        <w:footnoteRef/>
      </w:r>
      <w:r w:rsidRPr="00DF1AE0">
        <w:rPr>
          <w:rFonts w:ascii="Arial" w:hAnsi="Arial" w:cs="Arial"/>
        </w:rPr>
        <w:t xml:space="preserve"> Spigelman CJ describes this as a shift from text to context. See ‘From Text to Context: Contemporary Contractual Interpretation’, an address to the Risky Business Conference in Sydney, 21 March 2007 published in J J Spigelman </w:t>
      </w:r>
      <w:r w:rsidRPr="00DF1AE0">
        <w:rPr>
          <w:rFonts w:ascii="Arial" w:hAnsi="Arial" w:cs="Arial"/>
          <w:i/>
          <w:iCs/>
        </w:rPr>
        <w:t xml:space="preserve">Speeches </w:t>
      </w:r>
      <w:r>
        <w:rPr>
          <w:rFonts w:ascii="Arial" w:hAnsi="Arial" w:cs="Arial"/>
          <w:i/>
          <w:iCs/>
        </w:rPr>
        <w:t>of a Chief Justice 1998–</w:t>
      </w:r>
      <w:r w:rsidRPr="00DF1AE0">
        <w:rPr>
          <w:rFonts w:ascii="Arial" w:hAnsi="Arial" w:cs="Arial"/>
          <w:i/>
          <w:iCs/>
        </w:rPr>
        <w:t xml:space="preserve">2008 </w:t>
      </w:r>
      <w:r w:rsidRPr="00DF1AE0">
        <w:rPr>
          <w:rFonts w:ascii="Arial" w:hAnsi="Arial" w:cs="Arial"/>
        </w:rPr>
        <w:t>239 at 240. The shift is apparent from a comparison betwe</w:t>
      </w:r>
      <w:r>
        <w:rPr>
          <w:rFonts w:ascii="Arial" w:hAnsi="Arial" w:cs="Arial"/>
        </w:rPr>
        <w:t>en the first edition of Lewison</w:t>
      </w:r>
      <w:r w:rsidR="001F48D0">
        <w:rPr>
          <w:rFonts w:ascii="Arial" w:hAnsi="Arial" w:cs="Arial"/>
        </w:rPr>
        <w:t xml:space="preserve"> </w:t>
      </w:r>
      <w:r w:rsidRPr="00DF1AE0">
        <w:rPr>
          <w:rFonts w:ascii="Arial" w:hAnsi="Arial" w:cs="Arial"/>
          <w:i/>
        </w:rPr>
        <w:t xml:space="preserve">The Interpretation of Contracts </w:t>
      </w:r>
      <w:r w:rsidRPr="00DF1AE0">
        <w:rPr>
          <w:rFonts w:ascii="Arial" w:hAnsi="Arial" w:cs="Arial"/>
        </w:rPr>
        <w:t xml:space="preserve">and the current fifth edition. So much has changed that the author, now a judge in the Court of Appeal in England, has introduced a new opening chapter summarising the background to and a summary of the modern approach to interpretation that has to a great extent been driven by Lord Hoffmann.   </w:t>
      </w:r>
    </w:p>
  </w:footnote>
  <w:footnote w:id="9">
    <w:p w14:paraId="4F3428EC" w14:textId="77777777" w:rsidR="00DF1AE0" w:rsidRPr="00DF1AE0" w:rsidRDefault="00DF1AE0" w:rsidP="00DF1AE0">
      <w:pPr>
        <w:pStyle w:val="FootnoteText"/>
        <w:jc w:val="both"/>
        <w:rPr>
          <w:rFonts w:ascii="Arial" w:hAnsi="Arial" w:cs="Arial"/>
        </w:rPr>
      </w:pPr>
      <w:r w:rsidRPr="00DF1AE0">
        <w:rPr>
          <w:rStyle w:val="FootnoteReference"/>
          <w:rFonts w:ascii="Arial" w:hAnsi="Arial" w:cs="Arial"/>
          <w:lang w:val="en-ZA"/>
        </w:rPr>
        <w:footnoteRef/>
      </w:r>
      <w:r w:rsidRPr="00DF1AE0">
        <w:rPr>
          <w:rFonts w:ascii="Arial" w:hAnsi="Arial" w:cs="Arial"/>
          <w:lang w:val="en-ZA"/>
        </w:rPr>
        <w:t xml:space="preserve"> </w:t>
      </w:r>
      <w:r w:rsidRPr="00DF1AE0">
        <w:rPr>
          <w:rFonts w:ascii="Arial" w:hAnsi="Arial" w:cs="Arial"/>
          <w:i/>
          <w:iCs/>
          <w:lang w:val="en-ZA"/>
        </w:rPr>
        <w:t xml:space="preserve">Bastian Financial Services (Pty) Ltd v General Hendrik Schoeman Primary School </w:t>
      </w:r>
      <w:r w:rsidRPr="00DF1AE0">
        <w:rPr>
          <w:rFonts w:ascii="Arial" w:hAnsi="Arial" w:cs="Arial"/>
          <w:lang w:val="en-ZA"/>
        </w:rPr>
        <w:t>2008 (5) SA 1 (SCA) paras 16</w:t>
      </w:r>
      <w:r>
        <w:rPr>
          <w:rFonts w:ascii="Arial" w:hAnsi="Arial" w:cs="Arial"/>
          <w:lang w:val="en-ZA"/>
        </w:rPr>
        <w:t>-</w:t>
      </w:r>
      <w:r w:rsidRPr="00DF1AE0">
        <w:rPr>
          <w:rFonts w:ascii="Arial" w:hAnsi="Arial" w:cs="Arial"/>
          <w:lang w:val="en-ZA"/>
        </w:rPr>
        <w:t xml:space="preserve">19. That there is little or no difference between contracts, statutes and other documents emerges from </w:t>
      </w:r>
      <w:r w:rsidRPr="00DF1AE0">
        <w:rPr>
          <w:rFonts w:ascii="Arial" w:hAnsi="Arial" w:cs="Arial"/>
          <w:i/>
          <w:iCs/>
          <w:lang w:val="en-ZA"/>
        </w:rPr>
        <w:t xml:space="preserve">KPMG Chartered Accountants (SA) v Securefin Ltd &amp; </w:t>
      </w:r>
      <w:r>
        <w:rPr>
          <w:rFonts w:ascii="Arial" w:hAnsi="Arial" w:cs="Arial"/>
          <w:i/>
          <w:iCs/>
          <w:lang w:val="en-ZA"/>
        </w:rPr>
        <w:t>A</w:t>
      </w:r>
      <w:r w:rsidRPr="00DF1AE0">
        <w:rPr>
          <w:rFonts w:ascii="Arial" w:hAnsi="Arial" w:cs="Arial"/>
          <w:i/>
          <w:iCs/>
          <w:lang w:val="en-ZA"/>
        </w:rPr>
        <w:t xml:space="preserve">nother </w:t>
      </w:r>
      <w:r w:rsidRPr="00DF1AE0">
        <w:rPr>
          <w:rFonts w:ascii="Arial" w:hAnsi="Arial" w:cs="Arial"/>
          <w:lang w:val="en-ZA"/>
        </w:rPr>
        <w:t>2009 (4) SA 399 (SCA) para 39.</w:t>
      </w:r>
    </w:p>
  </w:footnote>
  <w:footnote w:id="10">
    <w:p w14:paraId="1F12B71C" w14:textId="77777777" w:rsidR="00DF1AE0" w:rsidRPr="00DF1AE0" w:rsidRDefault="00DF1AE0" w:rsidP="00DF1AE0">
      <w:pPr>
        <w:pStyle w:val="FootnoteText"/>
        <w:jc w:val="both"/>
        <w:rPr>
          <w:rFonts w:ascii="Arial" w:hAnsi="Arial" w:cs="Arial"/>
        </w:rPr>
      </w:pPr>
      <w:r w:rsidRPr="00DF1AE0">
        <w:rPr>
          <w:rStyle w:val="FootnoteReference"/>
          <w:rFonts w:ascii="Arial" w:hAnsi="Arial" w:cs="Arial"/>
          <w:lang w:val="en-ZA"/>
        </w:rPr>
        <w:footnoteRef/>
      </w:r>
      <w:r w:rsidRPr="00DF1AE0">
        <w:rPr>
          <w:rFonts w:ascii="Arial" w:hAnsi="Arial" w:cs="Arial"/>
          <w:lang w:val="en-ZA"/>
        </w:rPr>
        <w:t xml:space="preserve"> Described by Lord Neuberger MR in </w:t>
      </w:r>
      <w:r w:rsidRPr="00DF1AE0">
        <w:rPr>
          <w:rFonts w:ascii="Arial" w:hAnsi="Arial" w:cs="Arial"/>
          <w:i/>
          <w:iCs/>
          <w:lang w:val="en-ZA"/>
        </w:rPr>
        <w:t xml:space="preserve">Re Sigma Finance Corp </w:t>
      </w:r>
      <w:r w:rsidRPr="00DF1AE0">
        <w:rPr>
          <w:rFonts w:ascii="Arial" w:hAnsi="Arial" w:cs="Arial"/>
          <w:lang w:val="en-ZA"/>
        </w:rPr>
        <w:t xml:space="preserve">[2008] EWCA Civ 1303 (CA) para 98 as an iterative process. The expression has been approved by Lord Mance SCJ in the appeal </w:t>
      </w:r>
      <w:r w:rsidRPr="00DF1AE0">
        <w:rPr>
          <w:rFonts w:ascii="Arial" w:hAnsi="Arial" w:cs="Arial"/>
          <w:i/>
          <w:iCs/>
          <w:lang w:val="en-ZA"/>
        </w:rPr>
        <w:t xml:space="preserve">Re Sigma Finance Corp (in administrative receivership) Re the Insolvency Act 1986 </w:t>
      </w:r>
      <w:r w:rsidRPr="00DF1AE0">
        <w:rPr>
          <w:rFonts w:ascii="Arial" w:hAnsi="Arial" w:cs="Arial"/>
          <w:lang w:val="en-ZA"/>
        </w:rPr>
        <w:t xml:space="preserve">[2010] 1 All ER 571 (SC) para 12 and by Lord Clarke SCJ in </w:t>
      </w:r>
      <w:r w:rsidRPr="00DF1AE0">
        <w:rPr>
          <w:rFonts w:ascii="Arial" w:hAnsi="Arial" w:cs="Arial"/>
          <w:i/>
          <w:iCs/>
          <w:lang w:val="en-ZA"/>
        </w:rPr>
        <w:t xml:space="preserve">Rainy Sky SA and others v Kookmin Bank </w:t>
      </w:r>
      <w:r w:rsidRPr="00DF1AE0">
        <w:rPr>
          <w:rFonts w:ascii="Arial" w:hAnsi="Arial" w:cs="Arial"/>
          <w:lang w:val="en-ZA"/>
        </w:rPr>
        <w:t xml:space="preserve">[2011] UKSC 50; [2012] Lloyds Rep 34 (SC) para 28. See the article by Lord Grabiner QC ‘The Iterative Process of Contractual Interpretation’ (2012) 128 </w:t>
      </w:r>
      <w:r w:rsidRPr="00DF1AE0">
        <w:rPr>
          <w:rFonts w:ascii="Arial" w:hAnsi="Arial" w:cs="Arial"/>
          <w:i/>
          <w:iCs/>
          <w:lang w:val="en-ZA"/>
        </w:rPr>
        <w:t>LQR</w:t>
      </w:r>
      <w:r w:rsidRPr="00DF1AE0">
        <w:rPr>
          <w:rFonts w:ascii="Arial" w:hAnsi="Arial" w:cs="Arial"/>
          <w:lang w:val="en-ZA"/>
        </w:rPr>
        <w:t xml:space="preserve"> 41</w:t>
      </w:r>
      <w:r w:rsidRPr="00DF1AE0">
        <w:rPr>
          <w:rFonts w:ascii="Arial" w:hAnsi="Arial" w:cs="Arial"/>
          <w:i/>
          <w:iCs/>
          <w:lang w:val="en-ZA"/>
        </w:rPr>
        <w:t>.</w:t>
      </w:r>
      <w:r w:rsidRPr="00DF1AE0">
        <w:rPr>
          <w:rFonts w:ascii="Arial" w:hAnsi="Arial" w:cs="Arial"/>
          <w:lang w:val="en-ZA"/>
        </w:rPr>
        <w:t xml:space="preserve"> </w:t>
      </w:r>
    </w:p>
  </w:footnote>
  <w:footnote w:id="11">
    <w:p w14:paraId="2C076AB1" w14:textId="77777777" w:rsidR="00DF1AE0" w:rsidRPr="00DF1AE0" w:rsidRDefault="00DF1AE0" w:rsidP="00DF1AE0">
      <w:pPr>
        <w:pStyle w:val="FootnoteText"/>
        <w:jc w:val="both"/>
        <w:rPr>
          <w:rFonts w:ascii="Arial" w:hAnsi="Arial" w:cs="Arial"/>
        </w:rPr>
      </w:pPr>
      <w:r w:rsidRPr="00DF1AE0">
        <w:rPr>
          <w:rStyle w:val="FootnoteReference"/>
          <w:rFonts w:ascii="Arial" w:hAnsi="Arial" w:cs="Arial"/>
          <w:lang w:val="en-ZA"/>
        </w:rPr>
        <w:footnoteRef/>
      </w:r>
      <w:r w:rsidRPr="00DF1AE0">
        <w:rPr>
          <w:rFonts w:ascii="Arial" w:hAnsi="Arial" w:cs="Arial"/>
          <w:lang w:val="en-ZA"/>
        </w:rPr>
        <w:t xml:space="preserve"> Per Lord Neuberger MR in </w:t>
      </w:r>
      <w:r w:rsidRPr="00DF1AE0">
        <w:rPr>
          <w:rFonts w:ascii="Arial" w:hAnsi="Arial" w:cs="Arial"/>
          <w:i/>
          <w:iCs/>
          <w:lang w:val="en-ZA"/>
        </w:rPr>
        <w:t xml:space="preserve">Re Sigma Finance Corp </w:t>
      </w:r>
      <w:r w:rsidRPr="00DF1AE0">
        <w:rPr>
          <w:rFonts w:ascii="Arial" w:hAnsi="Arial" w:cs="Arial"/>
          <w:lang w:val="en-ZA"/>
        </w:rPr>
        <w:t xml:space="preserve">[2008] EWCA Civ 1303 (CA) para 98. The importance of the words used was stressed by this court in </w:t>
      </w:r>
      <w:r w:rsidRPr="00DF1AE0">
        <w:rPr>
          <w:rFonts w:ascii="Arial" w:hAnsi="Arial" w:cs="Arial"/>
          <w:i/>
          <w:iCs/>
          <w:lang w:val="en-ZA"/>
        </w:rPr>
        <w:t xml:space="preserve">South African Airways (Pty) Ltd  v Aviation Union of South Africa &amp; others </w:t>
      </w:r>
      <w:r w:rsidRPr="00DF1AE0">
        <w:rPr>
          <w:rFonts w:ascii="Arial" w:hAnsi="Arial" w:cs="Arial"/>
          <w:lang w:val="en-ZA"/>
        </w:rPr>
        <w:t>2011 (3) SA 148 (SCA) paras 25 to 30.</w:t>
      </w:r>
      <w:r w:rsidRPr="00DF1AE0">
        <w:rPr>
          <w:rFonts w:ascii="Arial" w:hAnsi="Arial" w:cs="Arial"/>
          <w:i/>
          <w:iCs/>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81397"/>
      <w:docPartObj>
        <w:docPartGallery w:val="Page Numbers (Top of Page)"/>
        <w:docPartUnique/>
      </w:docPartObj>
    </w:sdtPr>
    <w:sdtEndPr>
      <w:rPr>
        <w:rFonts w:ascii="Arial" w:hAnsi="Arial" w:cs="Arial"/>
        <w:noProof/>
        <w:sz w:val="24"/>
        <w:szCs w:val="24"/>
      </w:rPr>
    </w:sdtEndPr>
    <w:sdtContent>
      <w:p w14:paraId="7B3036A6" w14:textId="77777777" w:rsidR="00461B78" w:rsidRPr="003A5BC0" w:rsidRDefault="00461B78" w:rsidP="00461B78">
        <w:pPr>
          <w:pStyle w:val="Header"/>
          <w:jc w:val="right"/>
          <w:rPr>
            <w:rFonts w:ascii="Arial" w:hAnsi="Arial" w:cs="Arial"/>
            <w:noProof/>
            <w:sz w:val="24"/>
            <w:szCs w:val="24"/>
          </w:rPr>
        </w:pPr>
        <w:r w:rsidRPr="003A5BC0">
          <w:rPr>
            <w:rFonts w:ascii="Arial" w:hAnsi="Arial" w:cs="Arial"/>
            <w:sz w:val="24"/>
            <w:szCs w:val="24"/>
          </w:rPr>
          <w:fldChar w:fldCharType="begin"/>
        </w:r>
        <w:r w:rsidRPr="003A5BC0">
          <w:rPr>
            <w:rFonts w:ascii="Arial" w:hAnsi="Arial" w:cs="Arial"/>
            <w:sz w:val="24"/>
            <w:szCs w:val="24"/>
          </w:rPr>
          <w:instrText xml:space="preserve"> PAGE   \* MERGEFORMAT </w:instrText>
        </w:r>
        <w:r w:rsidRPr="003A5BC0">
          <w:rPr>
            <w:rFonts w:ascii="Arial" w:hAnsi="Arial" w:cs="Arial"/>
            <w:sz w:val="24"/>
            <w:szCs w:val="24"/>
          </w:rPr>
          <w:fldChar w:fldCharType="separate"/>
        </w:r>
        <w:r w:rsidR="004B0513">
          <w:rPr>
            <w:rFonts w:ascii="Arial" w:hAnsi="Arial" w:cs="Arial"/>
            <w:noProof/>
            <w:sz w:val="24"/>
            <w:szCs w:val="24"/>
          </w:rPr>
          <w:t>15</w:t>
        </w:r>
        <w:r w:rsidRPr="003A5BC0">
          <w:rPr>
            <w:rFonts w:ascii="Arial" w:hAnsi="Arial" w:cs="Arial"/>
            <w:noProof/>
            <w:sz w:val="24"/>
            <w:szCs w:val="24"/>
          </w:rPr>
          <w:fldChar w:fldCharType="end"/>
        </w:r>
      </w:p>
    </w:sdtContent>
  </w:sdt>
  <w:p w14:paraId="03AD693C" w14:textId="77777777" w:rsidR="00461B78" w:rsidRDefault="0046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0AA"/>
    <w:multiLevelType w:val="hybridMultilevel"/>
    <w:tmpl w:val="B9D4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3143"/>
    <w:multiLevelType w:val="hybridMultilevel"/>
    <w:tmpl w:val="9C38B93C"/>
    <w:lvl w:ilvl="0" w:tplc="6EA076D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D199C"/>
    <w:multiLevelType w:val="hybridMultilevel"/>
    <w:tmpl w:val="47E0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35636"/>
    <w:multiLevelType w:val="hybridMultilevel"/>
    <w:tmpl w:val="CD34F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C4F33"/>
    <w:multiLevelType w:val="hybridMultilevel"/>
    <w:tmpl w:val="A1A60A60"/>
    <w:lvl w:ilvl="0" w:tplc="0F6CFA2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2194B88"/>
    <w:multiLevelType w:val="hybridMultilevel"/>
    <w:tmpl w:val="EF10C6D8"/>
    <w:lvl w:ilvl="0" w:tplc="E682BEDA">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BF209C6">
      <w:start w:val="1"/>
      <w:numFmt w:val="decimal"/>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48B3DE">
      <w:start w:val="1"/>
      <w:numFmt w:val="decimal"/>
      <w:lvlText w:val="%3."/>
      <w:lvlJc w:val="left"/>
      <w:pPr>
        <w:tabs>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D006C2">
      <w:start w:val="1"/>
      <w:numFmt w:val="decimal"/>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632FE">
      <w:start w:val="1"/>
      <w:numFmt w:val="decimal"/>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7C633C">
      <w:start w:val="1"/>
      <w:numFmt w:val="decimal"/>
      <w:lvlText w:val="%6."/>
      <w:lvlJc w:val="left"/>
      <w:pPr>
        <w:tabs>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40F980">
      <w:start w:val="1"/>
      <w:numFmt w:val="decimal"/>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4AEF5A">
      <w:start w:val="1"/>
      <w:numFmt w:val="decimal"/>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1C89BE">
      <w:start w:val="1"/>
      <w:numFmt w:val="decimal"/>
      <w:lvlText w:val="%9."/>
      <w:lvlJc w:val="left"/>
      <w:pPr>
        <w:tabs>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B926D8"/>
    <w:multiLevelType w:val="hybridMultilevel"/>
    <w:tmpl w:val="447A6626"/>
    <w:lvl w:ilvl="0" w:tplc="59662F0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27F1B"/>
    <w:multiLevelType w:val="hybridMultilevel"/>
    <w:tmpl w:val="0D7EDE68"/>
    <w:lvl w:ilvl="0" w:tplc="7A686E96">
      <w:start w:val="14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10"/>
    <w:rsid w:val="00006E05"/>
    <w:rsid w:val="0001357D"/>
    <w:rsid w:val="00014A9E"/>
    <w:rsid w:val="00014B26"/>
    <w:rsid w:val="00015EC9"/>
    <w:rsid w:val="0001723C"/>
    <w:rsid w:val="00021119"/>
    <w:rsid w:val="000258BB"/>
    <w:rsid w:val="000278CC"/>
    <w:rsid w:val="00034303"/>
    <w:rsid w:val="00034E1F"/>
    <w:rsid w:val="000374DE"/>
    <w:rsid w:val="00042C08"/>
    <w:rsid w:val="00055A66"/>
    <w:rsid w:val="000573EE"/>
    <w:rsid w:val="0006782A"/>
    <w:rsid w:val="00071765"/>
    <w:rsid w:val="00081170"/>
    <w:rsid w:val="00083051"/>
    <w:rsid w:val="00083308"/>
    <w:rsid w:val="000846C2"/>
    <w:rsid w:val="00085E1D"/>
    <w:rsid w:val="00086A1C"/>
    <w:rsid w:val="00087C4D"/>
    <w:rsid w:val="00087F23"/>
    <w:rsid w:val="000A6987"/>
    <w:rsid w:val="000B1D6F"/>
    <w:rsid w:val="000B2738"/>
    <w:rsid w:val="000B7B22"/>
    <w:rsid w:val="000B7D75"/>
    <w:rsid w:val="000C2513"/>
    <w:rsid w:val="000C26D0"/>
    <w:rsid w:val="000C2A1D"/>
    <w:rsid w:val="000C3544"/>
    <w:rsid w:val="000C4E8E"/>
    <w:rsid w:val="000D18ED"/>
    <w:rsid w:val="000D561D"/>
    <w:rsid w:val="000D5752"/>
    <w:rsid w:val="000E48C6"/>
    <w:rsid w:val="000F48D6"/>
    <w:rsid w:val="00103729"/>
    <w:rsid w:val="001052A3"/>
    <w:rsid w:val="00112029"/>
    <w:rsid w:val="00113620"/>
    <w:rsid w:val="0011453E"/>
    <w:rsid w:val="001236C1"/>
    <w:rsid w:val="001256DC"/>
    <w:rsid w:val="00132F2E"/>
    <w:rsid w:val="00135995"/>
    <w:rsid w:val="00140E89"/>
    <w:rsid w:val="001441F4"/>
    <w:rsid w:val="001450F4"/>
    <w:rsid w:val="00153F50"/>
    <w:rsid w:val="00154F11"/>
    <w:rsid w:val="001551B0"/>
    <w:rsid w:val="001553E3"/>
    <w:rsid w:val="001554E3"/>
    <w:rsid w:val="00156FCE"/>
    <w:rsid w:val="00160815"/>
    <w:rsid w:val="00163F93"/>
    <w:rsid w:val="00165477"/>
    <w:rsid w:val="00167DAE"/>
    <w:rsid w:val="00173EE4"/>
    <w:rsid w:val="00177A9C"/>
    <w:rsid w:val="001800E7"/>
    <w:rsid w:val="00182BCA"/>
    <w:rsid w:val="00182E51"/>
    <w:rsid w:val="00184F59"/>
    <w:rsid w:val="00190A59"/>
    <w:rsid w:val="00190B93"/>
    <w:rsid w:val="001A4EB9"/>
    <w:rsid w:val="001B5F45"/>
    <w:rsid w:val="001C3CCD"/>
    <w:rsid w:val="001C64F9"/>
    <w:rsid w:val="001D2C17"/>
    <w:rsid w:val="001D3254"/>
    <w:rsid w:val="001D5DB3"/>
    <w:rsid w:val="001D6418"/>
    <w:rsid w:val="001E0176"/>
    <w:rsid w:val="001F48D0"/>
    <w:rsid w:val="001F5FAD"/>
    <w:rsid w:val="001F6FC3"/>
    <w:rsid w:val="002013CF"/>
    <w:rsid w:val="0020192F"/>
    <w:rsid w:val="00202823"/>
    <w:rsid w:val="002034C0"/>
    <w:rsid w:val="00210F86"/>
    <w:rsid w:val="002112F0"/>
    <w:rsid w:val="002131F0"/>
    <w:rsid w:val="00214167"/>
    <w:rsid w:val="00216F7E"/>
    <w:rsid w:val="0022180E"/>
    <w:rsid w:val="002328AE"/>
    <w:rsid w:val="0023352D"/>
    <w:rsid w:val="00234525"/>
    <w:rsid w:val="00241303"/>
    <w:rsid w:val="00241C5C"/>
    <w:rsid w:val="00242B4D"/>
    <w:rsid w:val="00242CD5"/>
    <w:rsid w:val="00256968"/>
    <w:rsid w:val="0026164F"/>
    <w:rsid w:val="00261E20"/>
    <w:rsid w:val="00266C88"/>
    <w:rsid w:val="00273441"/>
    <w:rsid w:val="0027451E"/>
    <w:rsid w:val="002746B9"/>
    <w:rsid w:val="00277635"/>
    <w:rsid w:val="00277676"/>
    <w:rsid w:val="0028019D"/>
    <w:rsid w:val="0028337D"/>
    <w:rsid w:val="0028634A"/>
    <w:rsid w:val="0029143A"/>
    <w:rsid w:val="00293830"/>
    <w:rsid w:val="002A53BA"/>
    <w:rsid w:val="002A680C"/>
    <w:rsid w:val="002A7A68"/>
    <w:rsid w:val="002B4875"/>
    <w:rsid w:val="002B5150"/>
    <w:rsid w:val="002B5945"/>
    <w:rsid w:val="002C0C2A"/>
    <w:rsid w:val="002C3AE6"/>
    <w:rsid w:val="002C6789"/>
    <w:rsid w:val="002C7A40"/>
    <w:rsid w:val="002E27EF"/>
    <w:rsid w:val="002E561B"/>
    <w:rsid w:val="002F0DF2"/>
    <w:rsid w:val="002F4133"/>
    <w:rsid w:val="002F56C0"/>
    <w:rsid w:val="002F620F"/>
    <w:rsid w:val="002F621F"/>
    <w:rsid w:val="00305145"/>
    <w:rsid w:val="00307981"/>
    <w:rsid w:val="0031312F"/>
    <w:rsid w:val="00316FAD"/>
    <w:rsid w:val="0032177D"/>
    <w:rsid w:val="00323BE5"/>
    <w:rsid w:val="00330344"/>
    <w:rsid w:val="00334E94"/>
    <w:rsid w:val="003350E5"/>
    <w:rsid w:val="0033606E"/>
    <w:rsid w:val="0033686E"/>
    <w:rsid w:val="003454D3"/>
    <w:rsid w:val="00345CAE"/>
    <w:rsid w:val="00352766"/>
    <w:rsid w:val="003531E9"/>
    <w:rsid w:val="0035378E"/>
    <w:rsid w:val="003576C7"/>
    <w:rsid w:val="00357AEE"/>
    <w:rsid w:val="00361444"/>
    <w:rsid w:val="003629E0"/>
    <w:rsid w:val="00362D8C"/>
    <w:rsid w:val="003633FA"/>
    <w:rsid w:val="003662E9"/>
    <w:rsid w:val="003735C9"/>
    <w:rsid w:val="00373679"/>
    <w:rsid w:val="00374324"/>
    <w:rsid w:val="00375598"/>
    <w:rsid w:val="00377D0E"/>
    <w:rsid w:val="00382EF3"/>
    <w:rsid w:val="00385C54"/>
    <w:rsid w:val="00390154"/>
    <w:rsid w:val="00391C8C"/>
    <w:rsid w:val="00393573"/>
    <w:rsid w:val="0039584A"/>
    <w:rsid w:val="00395931"/>
    <w:rsid w:val="003A083D"/>
    <w:rsid w:val="003A5BC0"/>
    <w:rsid w:val="003A730D"/>
    <w:rsid w:val="003B2413"/>
    <w:rsid w:val="003B46FE"/>
    <w:rsid w:val="003B5C4E"/>
    <w:rsid w:val="003B61B4"/>
    <w:rsid w:val="003B74CE"/>
    <w:rsid w:val="003C1051"/>
    <w:rsid w:val="003C21D7"/>
    <w:rsid w:val="003C679F"/>
    <w:rsid w:val="003D14A6"/>
    <w:rsid w:val="003D1DF9"/>
    <w:rsid w:val="003D434C"/>
    <w:rsid w:val="003D4C1A"/>
    <w:rsid w:val="003D4EA7"/>
    <w:rsid w:val="003D627B"/>
    <w:rsid w:val="003D7FCA"/>
    <w:rsid w:val="003E3BC3"/>
    <w:rsid w:val="003E438F"/>
    <w:rsid w:val="003F1D5B"/>
    <w:rsid w:val="003F3277"/>
    <w:rsid w:val="003F3B6A"/>
    <w:rsid w:val="003F6AE1"/>
    <w:rsid w:val="00400923"/>
    <w:rsid w:val="00406443"/>
    <w:rsid w:val="00412277"/>
    <w:rsid w:val="00413214"/>
    <w:rsid w:val="004160B2"/>
    <w:rsid w:val="004211C6"/>
    <w:rsid w:val="00421D76"/>
    <w:rsid w:val="00435E6A"/>
    <w:rsid w:val="00440642"/>
    <w:rsid w:val="004424DA"/>
    <w:rsid w:val="00446ABB"/>
    <w:rsid w:val="00446EF6"/>
    <w:rsid w:val="00453B08"/>
    <w:rsid w:val="00455809"/>
    <w:rsid w:val="00461B78"/>
    <w:rsid w:val="00461C41"/>
    <w:rsid w:val="004627B4"/>
    <w:rsid w:val="00466967"/>
    <w:rsid w:val="00470187"/>
    <w:rsid w:val="004733C6"/>
    <w:rsid w:val="004745A9"/>
    <w:rsid w:val="00474947"/>
    <w:rsid w:val="00474A90"/>
    <w:rsid w:val="00475A22"/>
    <w:rsid w:val="0047746D"/>
    <w:rsid w:val="00481936"/>
    <w:rsid w:val="00481F3F"/>
    <w:rsid w:val="004825A1"/>
    <w:rsid w:val="00483D9B"/>
    <w:rsid w:val="00484E66"/>
    <w:rsid w:val="004A0C7F"/>
    <w:rsid w:val="004A5929"/>
    <w:rsid w:val="004B0513"/>
    <w:rsid w:val="004B156B"/>
    <w:rsid w:val="004B301F"/>
    <w:rsid w:val="004B356D"/>
    <w:rsid w:val="004B4773"/>
    <w:rsid w:val="004B61FF"/>
    <w:rsid w:val="004C1CF4"/>
    <w:rsid w:val="004C6A6F"/>
    <w:rsid w:val="004D200D"/>
    <w:rsid w:val="004D24F9"/>
    <w:rsid w:val="004D5FA0"/>
    <w:rsid w:val="004D7A76"/>
    <w:rsid w:val="004E37E3"/>
    <w:rsid w:val="004E59D4"/>
    <w:rsid w:val="004F2B5B"/>
    <w:rsid w:val="00502966"/>
    <w:rsid w:val="00504005"/>
    <w:rsid w:val="00505783"/>
    <w:rsid w:val="0050593E"/>
    <w:rsid w:val="00506B1C"/>
    <w:rsid w:val="00507F00"/>
    <w:rsid w:val="00510EAC"/>
    <w:rsid w:val="00511263"/>
    <w:rsid w:val="00512F2E"/>
    <w:rsid w:val="00526E58"/>
    <w:rsid w:val="00527CD7"/>
    <w:rsid w:val="00531A31"/>
    <w:rsid w:val="00531A49"/>
    <w:rsid w:val="00533497"/>
    <w:rsid w:val="005369DD"/>
    <w:rsid w:val="00540AD3"/>
    <w:rsid w:val="00545CA1"/>
    <w:rsid w:val="00551276"/>
    <w:rsid w:val="005525F9"/>
    <w:rsid w:val="0055267C"/>
    <w:rsid w:val="00565FC5"/>
    <w:rsid w:val="00567A34"/>
    <w:rsid w:val="00567BB0"/>
    <w:rsid w:val="00576791"/>
    <w:rsid w:val="0057749E"/>
    <w:rsid w:val="00585998"/>
    <w:rsid w:val="00594109"/>
    <w:rsid w:val="0059729D"/>
    <w:rsid w:val="005A1585"/>
    <w:rsid w:val="005A4132"/>
    <w:rsid w:val="005A567D"/>
    <w:rsid w:val="005B3ADD"/>
    <w:rsid w:val="005B497F"/>
    <w:rsid w:val="005C2B41"/>
    <w:rsid w:val="005C3BD0"/>
    <w:rsid w:val="005C7F25"/>
    <w:rsid w:val="005D3AE6"/>
    <w:rsid w:val="005D50DF"/>
    <w:rsid w:val="005D5CD3"/>
    <w:rsid w:val="005D77E1"/>
    <w:rsid w:val="005F01F3"/>
    <w:rsid w:val="005F319F"/>
    <w:rsid w:val="00604222"/>
    <w:rsid w:val="00606A65"/>
    <w:rsid w:val="00606FDF"/>
    <w:rsid w:val="00607384"/>
    <w:rsid w:val="00610159"/>
    <w:rsid w:val="00623599"/>
    <w:rsid w:val="006275B2"/>
    <w:rsid w:val="00644F91"/>
    <w:rsid w:val="006500AA"/>
    <w:rsid w:val="00650FCB"/>
    <w:rsid w:val="00653BBA"/>
    <w:rsid w:val="006551BF"/>
    <w:rsid w:val="006553A7"/>
    <w:rsid w:val="00657969"/>
    <w:rsid w:val="006633A6"/>
    <w:rsid w:val="00665858"/>
    <w:rsid w:val="00676AE2"/>
    <w:rsid w:val="00676D5C"/>
    <w:rsid w:val="006771C8"/>
    <w:rsid w:val="00681BBA"/>
    <w:rsid w:val="00686328"/>
    <w:rsid w:val="00686CEC"/>
    <w:rsid w:val="00691E5E"/>
    <w:rsid w:val="00693330"/>
    <w:rsid w:val="00695F7E"/>
    <w:rsid w:val="006978C4"/>
    <w:rsid w:val="006A2F7C"/>
    <w:rsid w:val="006A46BB"/>
    <w:rsid w:val="006A49F5"/>
    <w:rsid w:val="006A4E91"/>
    <w:rsid w:val="006A5F4A"/>
    <w:rsid w:val="006B7299"/>
    <w:rsid w:val="006C316F"/>
    <w:rsid w:val="006C4638"/>
    <w:rsid w:val="006C5E95"/>
    <w:rsid w:val="006C6173"/>
    <w:rsid w:val="006E70D0"/>
    <w:rsid w:val="006F1CCD"/>
    <w:rsid w:val="006F2258"/>
    <w:rsid w:val="006F3B3D"/>
    <w:rsid w:val="006F561A"/>
    <w:rsid w:val="006F7940"/>
    <w:rsid w:val="00700C0F"/>
    <w:rsid w:val="00704413"/>
    <w:rsid w:val="00704648"/>
    <w:rsid w:val="00704DAF"/>
    <w:rsid w:val="00706261"/>
    <w:rsid w:val="007102B2"/>
    <w:rsid w:val="00715C53"/>
    <w:rsid w:val="00717D38"/>
    <w:rsid w:val="00720D6E"/>
    <w:rsid w:val="0072265B"/>
    <w:rsid w:val="00723D94"/>
    <w:rsid w:val="007317FD"/>
    <w:rsid w:val="00732C10"/>
    <w:rsid w:val="00732F2E"/>
    <w:rsid w:val="00734509"/>
    <w:rsid w:val="007347A6"/>
    <w:rsid w:val="0073560C"/>
    <w:rsid w:val="007412B4"/>
    <w:rsid w:val="00741C51"/>
    <w:rsid w:val="00742654"/>
    <w:rsid w:val="00743C0B"/>
    <w:rsid w:val="00744311"/>
    <w:rsid w:val="00750377"/>
    <w:rsid w:val="0075083B"/>
    <w:rsid w:val="007525A5"/>
    <w:rsid w:val="007535E8"/>
    <w:rsid w:val="007539D7"/>
    <w:rsid w:val="00762EA3"/>
    <w:rsid w:val="0076460F"/>
    <w:rsid w:val="0076566D"/>
    <w:rsid w:val="007700B7"/>
    <w:rsid w:val="00772379"/>
    <w:rsid w:val="00775A48"/>
    <w:rsid w:val="00775AC8"/>
    <w:rsid w:val="00783AF0"/>
    <w:rsid w:val="007856B7"/>
    <w:rsid w:val="00786D46"/>
    <w:rsid w:val="0079727C"/>
    <w:rsid w:val="007A0165"/>
    <w:rsid w:val="007A1834"/>
    <w:rsid w:val="007A3A8E"/>
    <w:rsid w:val="007A686B"/>
    <w:rsid w:val="007C49E9"/>
    <w:rsid w:val="007D0DA2"/>
    <w:rsid w:val="007D37A3"/>
    <w:rsid w:val="007D3E30"/>
    <w:rsid w:val="007D3F79"/>
    <w:rsid w:val="007D45D5"/>
    <w:rsid w:val="007D4B88"/>
    <w:rsid w:val="007D678D"/>
    <w:rsid w:val="007D67C8"/>
    <w:rsid w:val="007E336C"/>
    <w:rsid w:val="007E65C2"/>
    <w:rsid w:val="007F113B"/>
    <w:rsid w:val="007F470B"/>
    <w:rsid w:val="007F616F"/>
    <w:rsid w:val="007F625A"/>
    <w:rsid w:val="007F7011"/>
    <w:rsid w:val="00806123"/>
    <w:rsid w:val="00807265"/>
    <w:rsid w:val="008101F1"/>
    <w:rsid w:val="00812ACE"/>
    <w:rsid w:val="008139AD"/>
    <w:rsid w:val="008140CB"/>
    <w:rsid w:val="008146A9"/>
    <w:rsid w:val="0081624E"/>
    <w:rsid w:val="008261C5"/>
    <w:rsid w:val="00832482"/>
    <w:rsid w:val="00836DDD"/>
    <w:rsid w:val="00836DE1"/>
    <w:rsid w:val="008451CF"/>
    <w:rsid w:val="00851986"/>
    <w:rsid w:val="00852CA8"/>
    <w:rsid w:val="00853F14"/>
    <w:rsid w:val="00855E99"/>
    <w:rsid w:val="00856324"/>
    <w:rsid w:val="00857C21"/>
    <w:rsid w:val="00860318"/>
    <w:rsid w:val="008604FA"/>
    <w:rsid w:val="00861B37"/>
    <w:rsid w:val="00864E17"/>
    <w:rsid w:val="0086783D"/>
    <w:rsid w:val="00867A27"/>
    <w:rsid w:val="008703DA"/>
    <w:rsid w:val="008713CD"/>
    <w:rsid w:val="0087210F"/>
    <w:rsid w:val="00875198"/>
    <w:rsid w:val="00875CF4"/>
    <w:rsid w:val="00883E97"/>
    <w:rsid w:val="00884223"/>
    <w:rsid w:val="00884428"/>
    <w:rsid w:val="00884D52"/>
    <w:rsid w:val="0088609D"/>
    <w:rsid w:val="008900BB"/>
    <w:rsid w:val="008932F0"/>
    <w:rsid w:val="00893ED3"/>
    <w:rsid w:val="008A05B3"/>
    <w:rsid w:val="008A09F6"/>
    <w:rsid w:val="008B04EB"/>
    <w:rsid w:val="008B2DBC"/>
    <w:rsid w:val="008C19CD"/>
    <w:rsid w:val="008C743D"/>
    <w:rsid w:val="008D105C"/>
    <w:rsid w:val="008E0DDF"/>
    <w:rsid w:val="008E3AAC"/>
    <w:rsid w:val="008F0196"/>
    <w:rsid w:val="008F15C6"/>
    <w:rsid w:val="008F1ADD"/>
    <w:rsid w:val="008F4488"/>
    <w:rsid w:val="009003F8"/>
    <w:rsid w:val="009057ED"/>
    <w:rsid w:val="00907510"/>
    <w:rsid w:val="00910521"/>
    <w:rsid w:val="009210E6"/>
    <w:rsid w:val="00921B2D"/>
    <w:rsid w:val="009220C0"/>
    <w:rsid w:val="009242E9"/>
    <w:rsid w:val="00932E89"/>
    <w:rsid w:val="0093767F"/>
    <w:rsid w:val="00945ED9"/>
    <w:rsid w:val="0094729B"/>
    <w:rsid w:val="009542AC"/>
    <w:rsid w:val="00954F1A"/>
    <w:rsid w:val="009558E7"/>
    <w:rsid w:val="00957A51"/>
    <w:rsid w:val="00961226"/>
    <w:rsid w:val="00961C0D"/>
    <w:rsid w:val="0096248B"/>
    <w:rsid w:val="0096342E"/>
    <w:rsid w:val="00963D3C"/>
    <w:rsid w:val="00965709"/>
    <w:rsid w:val="009659CC"/>
    <w:rsid w:val="0097173E"/>
    <w:rsid w:val="00977B83"/>
    <w:rsid w:val="00987084"/>
    <w:rsid w:val="00991FED"/>
    <w:rsid w:val="009A0565"/>
    <w:rsid w:val="009A2DB1"/>
    <w:rsid w:val="009A2FC7"/>
    <w:rsid w:val="009B15DF"/>
    <w:rsid w:val="009C2629"/>
    <w:rsid w:val="009C3997"/>
    <w:rsid w:val="009C46FE"/>
    <w:rsid w:val="009C4D9B"/>
    <w:rsid w:val="009D03A4"/>
    <w:rsid w:val="009D535B"/>
    <w:rsid w:val="009D5C2A"/>
    <w:rsid w:val="009E59BE"/>
    <w:rsid w:val="009E74C0"/>
    <w:rsid w:val="009F08B9"/>
    <w:rsid w:val="009F19A2"/>
    <w:rsid w:val="009F1C6F"/>
    <w:rsid w:val="009F26AC"/>
    <w:rsid w:val="009F32A8"/>
    <w:rsid w:val="009F6FDD"/>
    <w:rsid w:val="00A009E6"/>
    <w:rsid w:val="00A05467"/>
    <w:rsid w:val="00A10832"/>
    <w:rsid w:val="00A17E46"/>
    <w:rsid w:val="00A2694C"/>
    <w:rsid w:val="00A27CC1"/>
    <w:rsid w:val="00A32B02"/>
    <w:rsid w:val="00A34603"/>
    <w:rsid w:val="00A349AE"/>
    <w:rsid w:val="00A36620"/>
    <w:rsid w:val="00A36B7C"/>
    <w:rsid w:val="00A4253C"/>
    <w:rsid w:val="00A43344"/>
    <w:rsid w:val="00A4335A"/>
    <w:rsid w:val="00A44108"/>
    <w:rsid w:val="00A46F43"/>
    <w:rsid w:val="00A50F1C"/>
    <w:rsid w:val="00A6167C"/>
    <w:rsid w:val="00A61A17"/>
    <w:rsid w:val="00A63EF7"/>
    <w:rsid w:val="00A66777"/>
    <w:rsid w:val="00A70472"/>
    <w:rsid w:val="00A7068F"/>
    <w:rsid w:val="00A7171C"/>
    <w:rsid w:val="00A72A2A"/>
    <w:rsid w:val="00A7654B"/>
    <w:rsid w:val="00A771B9"/>
    <w:rsid w:val="00A80804"/>
    <w:rsid w:val="00A84600"/>
    <w:rsid w:val="00A9535D"/>
    <w:rsid w:val="00AA35B1"/>
    <w:rsid w:val="00AC0B38"/>
    <w:rsid w:val="00AC5128"/>
    <w:rsid w:val="00AC59C0"/>
    <w:rsid w:val="00AD21F0"/>
    <w:rsid w:val="00AD25FC"/>
    <w:rsid w:val="00AD46A5"/>
    <w:rsid w:val="00AE12F0"/>
    <w:rsid w:val="00AF2DEB"/>
    <w:rsid w:val="00AF69E2"/>
    <w:rsid w:val="00AF6E7E"/>
    <w:rsid w:val="00B03224"/>
    <w:rsid w:val="00B05165"/>
    <w:rsid w:val="00B057B9"/>
    <w:rsid w:val="00B10B4D"/>
    <w:rsid w:val="00B1740B"/>
    <w:rsid w:val="00B2695C"/>
    <w:rsid w:val="00B31E12"/>
    <w:rsid w:val="00B40134"/>
    <w:rsid w:val="00B413B4"/>
    <w:rsid w:val="00B47F61"/>
    <w:rsid w:val="00B51014"/>
    <w:rsid w:val="00B516FB"/>
    <w:rsid w:val="00B52E64"/>
    <w:rsid w:val="00B54C35"/>
    <w:rsid w:val="00B5788C"/>
    <w:rsid w:val="00B579D9"/>
    <w:rsid w:val="00B57AE7"/>
    <w:rsid w:val="00B64C4D"/>
    <w:rsid w:val="00B6599E"/>
    <w:rsid w:val="00B66A81"/>
    <w:rsid w:val="00B67292"/>
    <w:rsid w:val="00B67A95"/>
    <w:rsid w:val="00B70A3C"/>
    <w:rsid w:val="00B71402"/>
    <w:rsid w:val="00B81646"/>
    <w:rsid w:val="00B86825"/>
    <w:rsid w:val="00B86FFF"/>
    <w:rsid w:val="00B95D22"/>
    <w:rsid w:val="00B97589"/>
    <w:rsid w:val="00BA1D1E"/>
    <w:rsid w:val="00BA26AE"/>
    <w:rsid w:val="00BA2910"/>
    <w:rsid w:val="00BA3921"/>
    <w:rsid w:val="00BA48C0"/>
    <w:rsid w:val="00BA5FD2"/>
    <w:rsid w:val="00BA6C2E"/>
    <w:rsid w:val="00BA752D"/>
    <w:rsid w:val="00BB19CC"/>
    <w:rsid w:val="00BC00A2"/>
    <w:rsid w:val="00BC39EF"/>
    <w:rsid w:val="00BC4FE6"/>
    <w:rsid w:val="00BD107A"/>
    <w:rsid w:val="00BD284D"/>
    <w:rsid w:val="00BD2A1A"/>
    <w:rsid w:val="00BD565F"/>
    <w:rsid w:val="00BD6AC1"/>
    <w:rsid w:val="00BE1715"/>
    <w:rsid w:val="00BE4576"/>
    <w:rsid w:val="00BE647E"/>
    <w:rsid w:val="00BE6607"/>
    <w:rsid w:val="00BE7413"/>
    <w:rsid w:val="00BF600A"/>
    <w:rsid w:val="00BF7966"/>
    <w:rsid w:val="00C03151"/>
    <w:rsid w:val="00C04979"/>
    <w:rsid w:val="00C06824"/>
    <w:rsid w:val="00C13A71"/>
    <w:rsid w:val="00C14B3C"/>
    <w:rsid w:val="00C20E19"/>
    <w:rsid w:val="00C22CF4"/>
    <w:rsid w:val="00C27AE2"/>
    <w:rsid w:val="00C27BE4"/>
    <w:rsid w:val="00C27E39"/>
    <w:rsid w:val="00C34151"/>
    <w:rsid w:val="00C36BDD"/>
    <w:rsid w:val="00C423C4"/>
    <w:rsid w:val="00C4329E"/>
    <w:rsid w:val="00C4546F"/>
    <w:rsid w:val="00C45B5A"/>
    <w:rsid w:val="00C45DDA"/>
    <w:rsid w:val="00C54E43"/>
    <w:rsid w:val="00C55348"/>
    <w:rsid w:val="00C5668D"/>
    <w:rsid w:val="00C6591A"/>
    <w:rsid w:val="00C6667C"/>
    <w:rsid w:val="00C66E3A"/>
    <w:rsid w:val="00C67EAA"/>
    <w:rsid w:val="00C7221D"/>
    <w:rsid w:val="00C744CB"/>
    <w:rsid w:val="00C76AC5"/>
    <w:rsid w:val="00C87344"/>
    <w:rsid w:val="00C914FF"/>
    <w:rsid w:val="00C91583"/>
    <w:rsid w:val="00C92D1C"/>
    <w:rsid w:val="00C95C87"/>
    <w:rsid w:val="00C95E4F"/>
    <w:rsid w:val="00C96BA4"/>
    <w:rsid w:val="00CA3413"/>
    <w:rsid w:val="00CA41F2"/>
    <w:rsid w:val="00CA484D"/>
    <w:rsid w:val="00CA502F"/>
    <w:rsid w:val="00CA5465"/>
    <w:rsid w:val="00CA5ACC"/>
    <w:rsid w:val="00CA5C80"/>
    <w:rsid w:val="00CB1A94"/>
    <w:rsid w:val="00CB249C"/>
    <w:rsid w:val="00CB3664"/>
    <w:rsid w:val="00CB429C"/>
    <w:rsid w:val="00CB4D9D"/>
    <w:rsid w:val="00CB5005"/>
    <w:rsid w:val="00CB51C0"/>
    <w:rsid w:val="00CB5754"/>
    <w:rsid w:val="00CC3DA7"/>
    <w:rsid w:val="00CC6B45"/>
    <w:rsid w:val="00CD5F48"/>
    <w:rsid w:val="00CD6DE2"/>
    <w:rsid w:val="00CD7E0D"/>
    <w:rsid w:val="00CF02FD"/>
    <w:rsid w:val="00CF0701"/>
    <w:rsid w:val="00CF7766"/>
    <w:rsid w:val="00D053C3"/>
    <w:rsid w:val="00D060FC"/>
    <w:rsid w:val="00D11F05"/>
    <w:rsid w:val="00D14EA8"/>
    <w:rsid w:val="00D16767"/>
    <w:rsid w:val="00D16F70"/>
    <w:rsid w:val="00D20EC6"/>
    <w:rsid w:val="00D24E9C"/>
    <w:rsid w:val="00D25710"/>
    <w:rsid w:val="00D26FD3"/>
    <w:rsid w:val="00D332E1"/>
    <w:rsid w:val="00D35687"/>
    <w:rsid w:val="00D3655B"/>
    <w:rsid w:val="00D4619C"/>
    <w:rsid w:val="00D54916"/>
    <w:rsid w:val="00D5709C"/>
    <w:rsid w:val="00D57835"/>
    <w:rsid w:val="00D645D6"/>
    <w:rsid w:val="00D7160E"/>
    <w:rsid w:val="00D74C40"/>
    <w:rsid w:val="00D77B2D"/>
    <w:rsid w:val="00D82FF3"/>
    <w:rsid w:val="00D838CF"/>
    <w:rsid w:val="00D91831"/>
    <w:rsid w:val="00D93822"/>
    <w:rsid w:val="00D93CE6"/>
    <w:rsid w:val="00D97C9E"/>
    <w:rsid w:val="00DA488A"/>
    <w:rsid w:val="00DB0DCF"/>
    <w:rsid w:val="00DB2B40"/>
    <w:rsid w:val="00DB5DDD"/>
    <w:rsid w:val="00DB6868"/>
    <w:rsid w:val="00DE272F"/>
    <w:rsid w:val="00DE284B"/>
    <w:rsid w:val="00DE6C59"/>
    <w:rsid w:val="00DF1AE0"/>
    <w:rsid w:val="00DF5C1E"/>
    <w:rsid w:val="00DF609D"/>
    <w:rsid w:val="00E0326C"/>
    <w:rsid w:val="00E03A82"/>
    <w:rsid w:val="00E062AF"/>
    <w:rsid w:val="00E1062B"/>
    <w:rsid w:val="00E148D1"/>
    <w:rsid w:val="00E1586D"/>
    <w:rsid w:val="00E175DE"/>
    <w:rsid w:val="00E2254A"/>
    <w:rsid w:val="00E2727A"/>
    <w:rsid w:val="00E3264E"/>
    <w:rsid w:val="00E3454A"/>
    <w:rsid w:val="00E35DF7"/>
    <w:rsid w:val="00E40C95"/>
    <w:rsid w:val="00E4498C"/>
    <w:rsid w:val="00E454CD"/>
    <w:rsid w:val="00E46428"/>
    <w:rsid w:val="00E517E3"/>
    <w:rsid w:val="00E53143"/>
    <w:rsid w:val="00E561F0"/>
    <w:rsid w:val="00E62A42"/>
    <w:rsid w:val="00E6401E"/>
    <w:rsid w:val="00E647C7"/>
    <w:rsid w:val="00E67C9C"/>
    <w:rsid w:val="00E7094E"/>
    <w:rsid w:val="00E72F41"/>
    <w:rsid w:val="00E75F37"/>
    <w:rsid w:val="00E7625C"/>
    <w:rsid w:val="00E83F90"/>
    <w:rsid w:val="00E85BA3"/>
    <w:rsid w:val="00E90407"/>
    <w:rsid w:val="00E91389"/>
    <w:rsid w:val="00E917EF"/>
    <w:rsid w:val="00E96085"/>
    <w:rsid w:val="00E96C61"/>
    <w:rsid w:val="00E97124"/>
    <w:rsid w:val="00EA0E72"/>
    <w:rsid w:val="00EA3479"/>
    <w:rsid w:val="00EB17B9"/>
    <w:rsid w:val="00EB5F4D"/>
    <w:rsid w:val="00EB77DE"/>
    <w:rsid w:val="00EC1669"/>
    <w:rsid w:val="00EC3029"/>
    <w:rsid w:val="00EC43E8"/>
    <w:rsid w:val="00EC66B6"/>
    <w:rsid w:val="00EC7108"/>
    <w:rsid w:val="00ED21A7"/>
    <w:rsid w:val="00ED5991"/>
    <w:rsid w:val="00ED652D"/>
    <w:rsid w:val="00ED6808"/>
    <w:rsid w:val="00ED73B6"/>
    <w:rsid w:val="00ED7A0C"/>
    <w:rsid w:val="00ED7C2C"/>
    <w:rsid w:val="00EE16E8"/>
    <w:rsid w:val="00EE444D"/>
    <w:rsid w:val="00EE5243"/>
    <w:rsid w:val="00EE70B7"/>
    <w:rsid w:val="00EF60DA"/>
    <w:rsid w:val="00F0130A"/>
    <w:rsid w:val="00F01631"/>
    <w:rsid w:val="00F0482E"/>
    <w:rsid w:val="00F0799E"/>
    <w:rsid w:val="00F11055"/>
    <w:rsid w:val="00F204AA"/>
    <w:rsid w:val="00F214CC"/>
    <w:rsid w:val="00F36167"/>
    <w:rsid w:val="00F3776C"/>
    <w:rsid w:val="00F41AEE"/>
    <w:rsid w:val="00F443B4"/>
    <w:rsid w:val="00F4743A"/>
    <w:rsid w:val="00F47909"/>
    <w:rsid w:val="00F572D5"/>
    <w:rsid w:val="00F5779B"/>
    <w:rsid w:val="00F61291"/>
    <w:rsid w:val="00F6437E"/>
    <w:rsid w:val="00F64999"/>
    <w:rsid w:val="00F66E8B"/>
    <w:rsid w:val="00F67930"/>
    <w:rsid w:val="00F709D1"/>
    <w:rsid w:val="00F72E8C"/>
    <w:rsid w:val="00F816F8"/>
    <w:rsid w:val="00F825C7"/>
    <w:rsid w:val="00F83166"/>
    <w:rsid w:val="00F92FDF"/>
    <w:rsid w:val="00FA4919"/>
    <w:rsid w:val="00FA5A25"/>
    <w:rsid w:val="00FB47D6"/>
    <w:rsid w:val="00FB4B70"/>
    <w:rsid w:val="00FC11EA"/>
    <w:rsid w:val="00FC66AC"/>
    <w:rsid w:val="00FD1133"/>
    <w:rsid w:val="00FE1E22"/>
    <w:rsid w:val="00FE26B1"/>
    <w:rsid w:val="00FE2BD7"/>
    <w:rsid w:val="00FE6B54"/>
    <w:rsid w:val="00FF0B1D"/>
    <w:rsid w:val="00FF538B"/>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AE4B"/>
  <w15:chartTrackingRefBased/>
  <w15:docId w15:val="{CCF92C12-1DB4-4433-8E65-895090C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rsid w:val="00CA502F"/>
    <w:pPr>
      <w:keepNext/>
      <w:pBdr>
        <w:top w:val="nil"/>
        <w:left w:val="nil"/>
        <w:bottom w:val="nil"/>
        <w:right w:val="nil"/>
        <w:between w:val="nil"/>
        <w:bar w:val="nil"/>
      </w:pBdr>
      <w:spacing w:before="240" w:after="60" w:line="240" w:lineRule="auto"/>
      <w:outlineLvl w:val="1"/>
    </w:pPr>
    <w:rPr>
      <w:rFonts w:ascii="Cambria" w:eastAsia="Arial Unicode MS" w:hAnsi="Cambria" w:cs="Arial Unicode MS"/>
      <w:b/>
      <w:bCs/>
      <w:i/>
      <w:iCs/>
      <w:color w:val="000000"/>
      <w:kern w:val="0"/>
      <w:sz w:val="28"/>
      <w:szCs w:val="28"/>
      <w:u w:color="000000"/>
      <w:bdr w:val="nil"/>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02F"/>
    <w:rPr>
      <w:rFonts w:ascii="Cambria" w:eastAsia="Arial Unicode MS" w:hAnsi="Cambria" w:cs="Arial Unicode MS"/>
      <w:b/>
      <w:bCs/>
      <w:i/>
      <w:iCs/>
      <w:color w:val="000000"/>
      <w:kern w:val="0"/>
      <w:sz w:val="28"/>
      <w:szCs w:val="28"/>
      <w:u w:color="000000"/>
      <w:bdr w:val="nil"/>
      <w14:textOutline w14:w="0" w14:cap="flat" w14:cmpd="sng" w14:algn="ctr">
        <w14:noFill/>
        <w14:prstDash w14:val="solid"/>
        <w14:bevel/>
      </w14:textOutline>
      <w14:ligatures w14:val="none"/>
    </w:rPr>
  </w:style>
  <w:style w:type="character" w:styleId="PageNumber">
    <w:name w:val="page number"/>
    <w:rsid w:val="00CA502F"/>
  </w:style>
  <w:style w:type="paragraph" w:customStyle="1" w:styleId="Body">
    <w:name w:val="Body"/>
    <w:rsid w:val="00CA502F"/>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1D5DB3"/>
    <w:pPr>
      <w:ind w:left="720"/>
      <w:contextualSpacing/>
    </w:pPr>
  </w:style>
  <w:style w:type="paragraph" w:styleId="FootnoteText">
    <w:name w:val="footnote text"/>
    <w:basedOn w:val="Normal"/>
    <w:link w:val="FootnoteTextChar"/>
    <w:uiPriority w:val="99"/>
    <w:unhideWhenUsed/>
    <w:rsid w:val="00D645D6"/>
    <w:pPr>
      <w:spacing w:after="0" w:line="240" w:lineRule="auto"/>
    </w:pPr>
    <w:rPr>
      <w:sz w:val="20"/>
      <w:szCs w:val="20"/>
    </w:rPr>
  </w:style>
  <w:style w:type="character" w:customStyle="1" w:styleId="FootnoteTextChar">
    <w:name w:val="Footnote Text Char"/>
    <w:basedOn w:val="DefaultParagraphFont"/>
    <w:link w:val="FootnoteText"/>
    <w:uiPriority w:val="99"/>
    <w:rsid w:val="00D645D6"/>
    <w:rPr>
      <w:sz w:val="20"/>
      <w:szCs w:val="20"/>
    </w:rPr>
  </w:style>
  <w:style w:type="character" w:styleId="FootnoteReference">
    <w:name w:val="footnote reference"/>
    <w:basedOn w:val="DefaultParagraphFont"/>
    <w:uiPriority w:val="99"/>
    <w:unhideWhenUsed/>
    <w:rsid w:val="00D645D6"/>
    <w:rPr>
      <w:vertAlign w:val="superscript"/>
    </w:rPr>
  </w:style>
  <w:style w:type="paragraph" w:styleId="NoSpacing">
    <w:name w:val="No Spacing"/>
    <w:uiPriority w:val="1"/>
    <w:qFormat/>
    <w:rsid w:val="00EE5243"/>
    <w:pPr>
      <w:spacing w:after="0" w:line="240" w:lineRule="auto"/>
    </w:pPr>
  </w:style>
  <w:style w:type="table" w:styleId="TableGrid">
    <w:name w:val="Table Grid"/>
    <w:basedOn w:val="TableNormal"/>
    <w:uiPriority w:val="39"/>
    <w:rsid w:val="00C2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824"/>
    <w:rPr>
      <w:sz w:val="16"/>
      <w:szCs w:val="16"/>
    </w:rPr>
  </w:style>
  <w:style w:type="paragraph" w:styleId="CommentText">
    <w:name w:val="annotation text"/>
    <w:basedOn w:val="Normal"/>
    <w:link w:val="CommentTextChar"/>
    <w:uiPriority w:val="99"/>
    <w:unhideWhenUsed/>
    <w:rsid w:val="00C06824"/>
    <w:pPr>
      <w:spacing w:line="240" w:lineRule="auto"/>
    </w:pPr>
    <w:rPr>
      <w:sz w:val="20"/>
      <w:szCs w:val="20"/>
    </w:rPr>
  </w:style>
  <w:style w:type="character" w:customStyle="1" w:styleId="CommentTextChar">
    <w:name w:val="Comment Text Char"/>
    <w:basedOn w:val="DefaultParagraphFont"/>
    <w:link w:val="CommentText"/>
    <w:uiPriority w:val="99"/>
    <w:rsid w:val="00C06824"/>
    <w:rPr>
      <w:sz w:val="20"/>
      <w:szCs w:val="20"/>
    </w:rPr>
  </w:style>
  <w:style w:type="paragraph" w:styleId="CommentSubject">
    <w:name w:val="annotation subject"/>
    <w:basedOn w:val="CommentText"/>
    <w:next w:val="CommentText"/>
    <w:link w:val="CommentSubjectChar"/>
    <w:uiPriority w:val="99"/>
    <w:semiHidden/>
    <w:unhideWhenUsed/>
    <w:rsid w:val="00C06824"/>
    <w:rPr>
      <w:b/>
      <w:bCs/>
    </w:rPr>
  </w:style>
  <w:style w:type="character" w:customStyle="1" w:styleId="CommentSubjectChar">
    <w:name w:val="Comment Subject Char"/>
    <w:basedOn w:val="CommentTextChar"/>
    <w:link w:val="CommentSubject"/>
    <w:uiPriority w:val="99"/>
    <w:semiHidden/>
    <w:rsid w:val="00C06824"/>
    <w:rPr>
      <w:b/>
      <w:bCs/>
      <w:sz w:val="20"/>
      <w:szCs w:val="20"/>
    </w:rPr>
  </w:style>
  <w:style w:type="paragraph" w:styleId="BalloonText">
    <w:name w:val="Balloon Text"/>
    <w:basedOn w:val="Normal"/>
    <w:link w:val="BalloonTextChar"/>
    <w:uiPriority w:val="99"/>
    <w:semiHidden/>
    <w:unhideWhenUsed/>
    <w:rsid w:val="00DE2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2F"/>
    <w:rPr>
      <w:rFonts w:ascii="Segoe UI" w:hAnsi="Segoe UI" w:cs="Segoe UI"/>
      <w:sz w:val="18"/>
      <w:szCs w:val="18"/>
    </w:rPr>
  </w:style>
  <w:style w:type="character" w:styleId="Hyperlink">
    <w:name w:val="Hyperlink"/>
    <w:basedOn w:val="DefaultParagraphFont"/>
    <w:uiPriority w:val="99"/>
    <w:semiHidden/>
    <w:unhideWhenUsed/>
    <w:rsid w:val="00893ED3"/>
    <w:rPr>
      <w:color w:val="0000FF"/>
      <w:u w:val="single"/>
    </w:rPr>
  </w:style>
  <w:style w:type="paragraph" w:styleId="BodyText3">
    <w:name w:val="Body Text 3"/>
    <w:basedOn w:val="Normal"/>
    <w:link w:val="BodyText3Char"/>
    <w:uiPriority w:val="99"/>
    <w:semiHidden/>
    <w:rsid w:val="00DF1AE0"/>
    <w:pPr>
      <w:spacing w:after="0" w:line="480" w:lineRule="auto"/>
      <w:jc w:val="both"/>
    </w:pPr>
    <w:rPr>
      <w:rFonts w:ascii="Times New Roman" w:eastAsia="Times New Roman" w:hAnsi="Times New Roman" w:cs="Times New Roman"/>
      <w:kern w:val="0"/>
      <w:sz w:val="28"/>
      <w:szCs w:val="28"/>
      <w:lang w:val="en-ZA"/>
      <w14:ligatures w14:val="none"/>
    </w:rPr>
  </w:style>
  <w:style w:type="character" w:customStyle="1" w:styleId="BodyText3Char">
    <w:name w:val="Body Text 3 Char"/>
    <w:basedOn w:val="DefaultParagraphFont"/>
    <w:link w:val="BodyText3"/>
    <w:uiPriority w:val="99"/>
    <w:semiHidden/>
    <w:rsid w:val="00DF1AE0"/>
    <w:rPr>
      <w:rFonts w:ascii="Times New Roman" w:eastAsia="Times New Roman" w:hAnsi="Times New Roman" w:cs="Times New Roman"/>
      <w:kern w:val="0"/>
      <w:sz w:val="28"/>
      <w:szCs w:val="28"/>
      <w:lang w:val="en-ZA"/>
      <w14:ligatures w14:val="none"/>
    </w:rPr>
  </w:style>
  <w:style w:type="paragraph" w:styleId="Header">
    <w:name w:val="header"/>
    <w:basedOn w:val="Normal"/>
    <w:link w:val="HeaderChar"/>
    <w:uiPriority w:val="99"/>
    <w:unhideWhenUsed/>
    <w:rsid w:val="00461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B78"/>
  </w:style>
  <w:style w:type="paragraph" w:styleId="Footer">
    <w:name w:val="footer"/>
    <w:basedOn w:val="Normal"/>
    <w:link w:val="FooterChar"/>
    <w:uiPriority w:val="99"/>
    <w:unhideWhenUsed/>
    <w:rsid w:val="00461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78"/>
  </w:style>
  <w:style w:type="paragraph" w:styleId="Revision">
    <w:name w:val="Revision"/>
    <w:hidden/>
    <w:uiPriority w:val="99"/>
    <w:semiHidden/>
    <w:rsid w:val="0028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464">
      <w:bodyDiv w:val="1"/>
      <w:marLeft w:val="0"/>
      <w:marRight w:val="0"/>
      <w:marTop w:val="0"/>
      <w:marBottom w:val="0"/>
      <w:divBdr>
        <w:top w:val="none" w:sz="0" w:space="0" w:color="auto"/>
        <w:left w:val="none" w:sz="0" w:space="0" w:color="auto"/>
        <w:bottom w:val="none" w:sz="0" w:space="0" w:color="auto"/>
        <w:right w:val="none" w:sz="0" w:space="0" w:color="auto"/>
      </w:divBdr>
    </w:div>
    <w:div w:id="187647042">
      <w:bodyDiv w:val="1"/>
      <w:marLeft w:val="0"/>
      <w:marRight w:val="0"/>
      <w:marTop w:val="0"/>
      <w:marBottom w:val="0"/>
      <w:divBdr>
        <w:top w:val="none" w:sz="0" w:space="0" w:color="auto"/>
        <w:left w:val="none" w:sz="0" w:space="0" w:color="auto"/>
        <w:bottom w:val="none" w:sz="0" w:space="0" w:color="auto"/>
        <w:right w:val="none" w:sz="0" w:space="0" w:color="auto"/>
      </w:divBdr>
    </w:div>
    <w:div w:id="223225229">
      <w:bodyDiv w:val="1"/>
      <w:marLeft w:val="0"/>
      <w:marRight w:val="0"/>
      <w:marTop w:val="0"/>
      <w:marBottom w:val="0"/>
      <w:divBdr>
        <w:top w:val="none" w:sz="0" w:space="0" w:color="auto"/>
        <w:left w:val="none" w:sz="0" w:space="0" w:color="auto"/>
        <w:bottom w:val="none" w:sz="0" w:space="0" w:color="auto"/>
        <w:right w:val="none" w:sz="0" w:space="0" w:color="auto"/>
      </w:divBdr>
    </w:div>
    <w:div w:id="248929432">
      <w:bodyDiv w:val="1"/>
      <w:marLeft w:val="0"/>
      <w:marRight w:val="0"/>
      <w:marTop w:val="0"/>
      <w:marBottom w:val="0"/>
      <w:divBdr>
        <w:top w:val="none" w:sz="0" w:space="0" w:color="auto"/>
        <w:left w:val="none" w:sz="0" w:space="0" w:color="auto"/>
        <w:bottom w:val="none" w:sz="0" w:space="0" w:color="auto"/>
        <w:right w:val="none" w:sz="0" w:space="0" w:color="auto"/>
      </w:divBdr>
    </w:div>
    <w:div w:id="274483480">
      <w:bodyDiv w:val="1"/>
      <w:marLeft w:val="0"/>
      <w:marRight w:val="0"/>
      <w:marTop w:val="0"/>
      <w:marBottom w:val="0"/>
      <w:divBdr>
        <w:top w:val="none" w:sz="0" w:space="0" w:color="auto"/>
        <w:left w:val="none" w:sz="0" w:space="0" w:color="auto"/>
        <w:bottom w:val="none" w:sz="0" w:space="0" w:color="auto"/>
        <w:right w:val="none" w:sz="0" w:space="0" w:color="auto"/>
      </w:divBdr>
    </w:div>
    <w:div w:id="335353722">
      <w:bodyDiv w:val="1"/>
      <w:marLeft w:val="0"/>
      <w:marRight w:val="0"/>
      <w:marTop w:val="0"/>
      <w:marBottom w:val="0"/>
      <w:divBdr>
        <w:top w:val="none" w:sz="0" w:space="0" w:color="auto"/>
        <w:left w:val="none" w:sz="0" w:space="0" w:color="auto"/>
        <w:bottom w:val="none" w:sz="0" w:space="0" w:color="auto"/>
        <w:right w:val="none" w:sz="0" w:space="0" w:color="auto"/>
      </w:divBdr>
    </w:div>
    <w:div w:id="549878474">
      <w:bodyDiv w:val="1"/>
      <w:marLeft w:val="0"/>
      <w:marRight w:val="0"/>
      <w:marTop w:val="0"/>
      <w:marBottom w:val="0"/>
      <w:divBdr>
        <w:top w:val="none" w:sz="0" w:space="0" w:color="auto"/>
        <w:left w:val="none" w:sz="0" w:space="0" w:color="auto"/>
        <w:bottom w:val="none" w:sz="0" w:space="0" w:color="auto"/>
        <w:right w:val="none" w:sz="0" w:space="0" w:color="auto"/>
      </w:divBdr>
    </w:div>
    <w:div w:id="741634173">
      <w:bodyDiv w:val="1"/>
      <w:marLeft w:val="0"/>
      <w:marRight w:val="0"/>
      <w:marTop w:val="0"/>
      <w:marBottom w:val="0"/>
      <w:divBdr>
        <w:top w:val="none" w:sz="0" w:space="0" w:color="auto"/>
        <w:left w:val="none" w:sz="0" w:space="0" w:color="auto"/>
        <w:bottom w:val="none" w:sz="0" w:space="0" w:color="auto"/>
        <w:right w:val="none" w:sz="0" w:space="0" w:color="auto"/>
      </w:divBdr>
    </w:div>
    <w:div w:id="958028845">
      <w:bodyDiv w:val="1"/>
      <w:marLeft w:val="0"/>
      <w:marRight w:val="0"/>
      <w:marTop w:val="0"/>
      <w:marBottom w:val="0"/>
      <w:divBdr>
        <w:top w:val="none" w:sz="0" w:space="0" w:color="auto"/>
        <w:left w:val="none" w:sz="0" w:space="0" w:color="auto"/>
        <w:bottom w:val="none" w:sz="0" w:space="0" w:color="auto"/>
        <w:right w:val="none" w:sz="0" w:space="0" w:color="auto"/>
      </w:divBdr>
      <w:divsChild>
        <w:div w:id="856849327">
          <w:marLeft w:val="0"/>
          <w:marRight w:val="0"/>
          <w:marTop w:val="240"/>
          <w:marBottom w:val="0"/>
          <w:divBdr>
            <w:top w:val="none" w:sz="0" w:space="0" w:color="auto"/>
            <w:left w:val="none" w:sz="0" w:space="0" w:color="auto"/>
            <w:bottom w:val="none" w:sz="0" w:space="0" w:color="auto"/>
            <w:right w:val="none" w:sz="0" w:space="0" w:color="auto"/>
          </w:divBdr>
        </w:div>
        <w:div w:id="52777116">
          <w:marLeft w:val="0"/>
          <w:marRight w:val="0"/>
          <w:marTop w:val="120"/>
          <w:marBottom w:val="0"/>
          <w:divBdr>
            <w:top w:val="none" w:sz="0" w:space="0" w:color="auto"/>
            <w:left w:val="none" w:sz="0" w:space="0" w:color="auto"/>
            <w:bottom w:val="none" w:sz="0" w:space="0" w:color="auto"/>
            <w:right w:val="none" w:sz="0" w:space="0" w:color="auto"/>
          </w:divBdr>
        </w:div>
        <w:div w:id="68307130">
          <w:marLeft w:val="1134"/>
          <w:marRight w:val="0"/>
          <w:marTop w:val="60"/>
          <w:marBottom w:val="0"/>
          <w:divBdr>
            <w:top w:val="none" w:sz="0" w:space="0" w:color="auto"/>
            <w:left w:val="none" w:sz="0" w:space="0" w:color="auto"/>
            <w:bottom w:val="none" w:sz="0" w:space="0" w:color="auto"/>
            <w:right w:val="none" w:sz="0" w:space="0" w:color="auto"/>
          </w:divBdr>
        </w:div>
        <w:div w:id="890654445">
          <w:marLeft w:val="1134"/>
          <w:marRight w:val="0"/>
          <w:marTop w:val="60"/>
          <w:marBottom w:val="0"/>
          <w:divBdr>
            <w:top w:val="none" w:sz="0" w:space="0" w:color="auto"/>
            <w:left w:val="none" w:sz="0" w:space="0" w:color="auto"/>
            <w:bottom w:val="none" w:sz="0" w:space="0" w:color="auto"/>
            <w:right w:val="none" w:sz="0" w:space="0" w:color="auto"/>
          </w:divBdr>
        </w:div>
        <w:div w:id="1858276297">
          <w:marLeft w:val="1134"/>
          <w:marRight w:val="0"/>
          <w:marTop w:val="60"/>
          <w:marBottom w:val="0"/>
          <w:divBdr>
            <w:top w:val="none" w:sz="0" w:space="0" w:color="auto"/>
            <w:left w:val="none" w:sz="0" w:space="0" w:color="auto"/>
            <w:bottom w:val="none" w:sz="0" w:space="0" w:color="auto"/>
            <w:right w:val="none" w:sz="0" w:space="0" w:color="auto"/>
          </w:divBdr>
        </w:div>
        <w:div w:id="410852710">
          <w:marLeft w:val="0"/>
          <w:marRight w:val="0"/>
          <w:marTop w:val="120"/>
          <w:marBottom w:val="0"/>
          <w:divBdr>
            <w:top w:val="none" w:sz="0" w:space="0" w:color="auto"/>
            <w:left w:val="none" w:sz="0" w:space="0" w:color="auto"/>
            <w:bottom w:val="none" w:sz="0" w:space="0" w:color="auto"/>
            <w:right w:val="none" w:sz="0" w:space="0" w:color="auto"/>
          </w:divBdr>
        </w:div>
        <w:div w:id="1487935346">
          <w:marLeft w:val="1134"/>
          <w:marRight w:val="0"/>
          <w:marTop w:val="60"/>
          <w:marBottom w:val="0"/>
          <w:divBdr>
            <w:top w:val="none" w:sz="0" w:space="0" w:color="auto"/>
            <w:left w:val="none" w:sz="0" w:space="0" w:color="auto"/>
            <w:bottom w:val="none" w:sz="0" w:space="0" w:color="auto"/>
            <w:right w:val="none" w:sz="0" w:space="0" w:color="auto"/>
          </w:divBdr>
        </w:div>
        <w:div w:id="2018145669">
          <w:marLeft w:val="1134"/>
          <w:marRight w:val="0"/>
          <w:marTop w:val="60"/>
          <w:marBottom w:val="0"/>
          <w:divBdr>
            <w:top w:val="none" w:sz="0" w:space="0" w:color="auto"/>
            <w:left w:val="none" w:sz="0" w:space="0" w:color="auto"/>
            <w:bottom w:val="none" w:sz="0" w:space="0" w:color="auto"/>
            <w:right w:val="none" w:sz="0" w:space="0" w:color="auto"/>
          </w:divBdr>
        </w:div>
        <w:div w:id="214396599">
          <w:marLeft w:val="1985"/>
          <w:marRight w:val="0"/>
          <w:marTop w:val="60"/>
          <w:marBottom w:val="0"/>
          <w:divBdr>
            <w:top w:val="none" w:sz="0" w:space="0" w:color="auto"/>
            <w:left w:val="none" w:sz="0" w:space="0" w:color="auto"/>
            <w:bottom w:val="none" w:sz="0" w:space="0" w:color="auto"/>
            <w:right w:val="none" w:sz="0" w:space="0" w:color="auto"/>
          </w:divBdr>
        </w:div>
        <w:div w:id="2101292945">
          <w:marLeft w:val="1985"/>
          <w:marRight w:val="0"/>
          <w:marTop w:val="60"/>
          <w:marBottom w:val="0"/>
          <w:divBdr>
            <w:top w:val="none" w:sz="0" w:space="0" w:color="auto"/>
            <w:left w:val="none" w:sz="0" w:space="0" w:color="auto"/>
            <w:bottom w:val="none" w:sz="0" w:space="0" w:color="auto"/>
            <w:right w:val="none" w:sz="0" w:space="0" w:color="auto"/>
          </w:divBdr>
        </w:div>
        <w:div w:id="1820263622">
          <w:marLeft w:val="567"/>
          <w:marRight w:val="567"/>
          <w:marTop w:val="20"/>
          <w:marBottom w:val="20"/>
          <w:divBdr>
            <w:top w:val="none" w:sz="0" w:space="0" w:color="auto"/>
            <w:left w:val="none" w:sz="0" w:space="0" w:color="auto"/>
            <w:bottom w:val="none" w:sz="0" w:space="0" w:color="auto"/>
            <w:right w:val="none" w:sz="0" w:space="0" w:color="auto"/>
          </w:divBdr>
        </w:div>
        <w:div w:id="884214628">
          <w:marLeft w:val="0"/>
          <w:marRight w:val="0"/>
          <w:marTop w:val="120"/>
          <w:marBottom w:val="0"/>
          <w:divBdr>
            <w:top w:val="none" w:sz="0" w:space="0" w:color="auto"/>
            <w:left w:val="none" w:sz="0" w:space="0" w:color="auto"/>
            <w:bottom w:val="none" w:sz="0" w:space="0" w:color="auto"/>
            <w:right w:val="none" w:sz="0" w:space="0" w:color="auto"/>
          </w:divBdr>
        </w:div>
        <w:div w:id="11763149">
          <w:marLeft w:val="1134"/>
          <w:marRight w:val="0"/>
          <w:marTop w:val="60"/>
          <w:marBottom w:val="0"/>
          <w:divBdr>
            <w:top w:val="none" w:sz="0" w:space="0" w:color="auto"/>
            <w:left w:val="none" w:sz="0" w:space="0" w:color="auto"/>
            <w:bottom w:val="none" w:sz="0" w:space="0" w:color="auto"/>
            <w:right w:val="none" w:sz="0" w:space="0" w:color="auto"/>
          </w:divBdr>
        </w:div>
        <w:div w:id="1613513496">
          <w:marLeft w:val="1134"/>
          <w:marRight w:val="0"/>
          <w:marTop w:val="60"/>
          <w:marBottom w:val="0"/>
          <w:divBdr>
            <w:top w:val="none" w:sz="0" w:space="0" w:color="auto"/>
            <w:left w:val="none" w:sz="0" w:space="0" w:color="auto"/>
            <w:bottom w:val="none" w:sz="0" w:space="0" w:color="auto"/>
            <w:right w:val="none" w:sz="0" w:space="0" w:color="auto"/>
          </w:divBdr>
        </w:div>
        <w:div w:id="2046784667">
          <w:marLeft w:val="1985"/>
          <w:marRight w:val="0"/>
          <w:marTop w:val="60"/>
          <w:marBottom w:val="0"/>
          <w:divBdr>
            <w:top w:val="none" w:sz="0" w:space="0" w:color="auto"/>
            <w:left w:val="none" w:sz="0" w:space="0" w:color="auto"/>
            <w:bottom w:val="none" w:sz="0" w:space="0" w:color="auto"/>
            <w:right w:val="none" w:sz="0" w:space="0" w:color="auto"/>
          </w:divBdr>
        </w:div>
        <w:div w:id="111170587">
          <w:marLeft w:val="1985"/>
          <w:marRight w:val="0"/>
          <w:marTop w:val="60"/>
          <w:marBottom w:val="0"/>
          <w:divBdr>
            <w:top w:val="none" w:sz="0" w:space="0" w:color="auto"/>
            <w:left w:val="none" w:sz="0" w:space="0" w:color="auto"/>
            <w:bottom w:val="none" w:sz="0" w:space="0" w:color="auto"/>
            <w:right w:val="none" w:sz="0" w:space="0" w:color="auto"/>
          </w:divBdr>
        </w:div>
      </w:divsChild>
    </w:div>
    <w:div w:id="981151610">
      <w:bodyDiv w:val="1"/>
      <w:marLeft w:val="0"/>
      <w:marRight w:val="0"/>
      <w:marTop w:val="0"/>
      <w:marBottom w:val="0"/>
      <w:divBdr>
        <w:top w:val="none" w:sz="0" w:space="0" w:color="auto"/>
        <w:left w:val="none" w:sz="0" w:space="0" w:color="auto"/>
        <w:bottom w:val="none" w:sz="0" w:space="0" w:color="auto"/>
        <w:right w:val="none" w:sz="0" w:space="0" w:color="auto"/>
      </w:divBdr>
    </w:div>
    <w:div w:id="1473521743">
      <w:bodyDiv w:val="1"/>
      <w:marLeft w:val="0"/>
      <w:marRight w:val="0"/>
      <w:marTop w:val="0"/>
      <w:marBottom w:val="0"/>
      <w:divBdr>
        <w:top w:val="none" w:sz="0" w:space="0" w:color="auto"/>
        <w:left w:val="none" w:sz="0" w:space="0" w:color="auto"/>
        <w:bottom w:val="none" w:sz="0" w:space="0" w:color="auto"/>
        <w:right w:val="none" w:sz="0" w:space="0" w:color="auto"/>
      </w:divBdr>
    </w:div>
    <w:div w:id="1496340987">
      <w:bodyDiv w:val="1"/>
      <w:marLeft w:val="0"/>
      <w:marRight w:val="0"/>
      <w:marTop w:val="0"/>
      <w:marBottom w:val="0"/>
      <w:divBdr>
        <w:top w:val="none" w:sz="0" w:space="0" w:color="auto"/>
        <w:left w:val="none" w:sz="0" w:space="0" w:color="auto"/>
        <w:bottom w:val="none" w:sz="0" w:space="0" w:color="auto"/>
        <w:right w:val="none" w:sz="0" w:space="0" w:color="auto"/>
      </w:divBdr>
    </w:div>
    <w:div w:id="1652322433">
      <w:bodyDiv w:val="1"/>
      <w:marLeft w:val="0"/>
      <w:marRight w:val="0"/>
      <w:marTop w:val="0"/>
      <w:marBottom w:val="0"/>
      <w:divBdr>
        <w:top w:val="none" w:sz="0" w:space="0" w:color="auto"/>
        <w:left w:val="none" w:sz="0" w:space="0" w:color="auto"/>
        <w:bottom w:val="none" w:sz="0" w:space="0" w:color="auto"/>
        <w:right w:val="none" w:sz="0" w:space="0" w:color="auto"/>
      </w:divBdr>
    </w:div>
    <w:div w:id="1838616598">
      <w:bodyDiv w:val="1"/>
      <w:marLeft w:val="0"/>
      <w:marRight w:val="0"/>
      <w:marTop w:val="0"/>
      <w:marBottom w:val="0"/>
      <w:divBdr>
        <w:top w:val="none" w:sz="0" w:space="0" w:color="auto"/>
        <w:left w:val="none" w:sz="0" w:space="0" w:color="auto"/>
        <w:bottom w:val="none" w:sz="0" w:space="0" w:color="auto"/>
        <w:right w:val="none" w:sz="0" w:space="0" w:color="auto"/>
      </w:divBdr>
    </w:div>
    <w:div w:id="1891915028">
      <w:bodyDiv w:val="1"/>
      <w:marLeft w:val="0"/>
      <w:marRight w:val="0"/>
      <w:marTop w:val="0"/>
      <w:marBottom w:val="0"/>
      <w:divBdr>
        <w:top w:val="none" w:sz="0" w:space="0" w:color="auto"/>
        <w:left w:val="none" w:sz="0" w:space="0" w:color="auto"/>
        <w:bottom w:val="none" w:sz="0" w:space="0" w:color="auto"/>
        <w:right w:val="none" w:sz="0" w:space="0" w:color="auto"/>
      </w:divBdr>
    </w:div>
    <w:div w:id="1973556617">
      <w:bodyDiv w:val="1"/>
      <w:marLeft w:val="0"/>
      <w:marRight w:val="0"/>
      <w:marTop w:val="0"/>
      <w:marBottom w:val="0"/>
      <w:divBdr>
        <w:top w:val="none" w:sz="0" w:space="0" w:color="auto"/>
        <w:left w:val="none" w:sz="0" w:space="0" w:color="auto"/>
        <w:bottom w:val="none" w:sz="0" w:space="0" w:color="auto"/>
        <w:right w:val="none" w:sz="0" w:space="0" w:color="auto"/>
      </w:divBdr>
    </w:div>
    <w:div w:id="2009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71y2008s162(5)(c)%27%5d&amp;xhitlist_md=target-id=0-0-0-69281"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6947-0595-48A0-8A37-CC55EFAD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Veruschka DeKlerk</cp:lastModifiedBy>
  <cp:revision>2</cp:revision>
  <cp:lastPrinted>2024-04-03T10:32:00Z</cp:lastPrinted>
  <dcterms:created xsi:type="dcterms:W3CDTF">2024-04-03T12:34:00Z</dcterms:created>
  <dcterms:modified xsi:type="dcterms:W3CDTF">2024-04-03T12:34:00Z</dcterms:modified>
</cp:coreProperties>
</file>