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7E74D" w14:textId="77777777" w:rsidR="00E97474" w:rsidRDefault="003D5935" w:rsidP="00E97474">
      <w:pPr>
        <w:spacing w:after="0" w:line="360" w:lineRule="auto"/>
        <w:jc w:val="center"/>
      </w:pPr>
      <w:r w:rsidRPr="003C28F1">
        <w:rPr>
          <w:rFonts w:ascii="Bookman Old Style" w:hAnsi="Bookman Old Style"/>
          <w:noProof/>
          <w:color w:val="1F497D"/>
          <w:lang w:eastAsia="en-ZA"/>
        </w:rPr>
        <w:drawing>
          <wp:inline distT="0" distB="0" distL="0" distR="0" wp14:anchorId="726B3B7C" wp14:editId="16D5FE08">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20815BA0" w14:textId="77777777" w:rsidR="00E97474" w:rsidRPr="00437385" w:rsidRDefault="00E97474" w:rsidP="00E97474">
      <w:pPr>
        <w:spacing w:after="0" w:line="360" w:lineRule="auto"/>
        <w:jc w:val="center"/>
      </w:pPr>
      <w:r>
        <w:t>IN THE HI</w:t>
      </w:r>
      <w:r w:rsidRPr="00437385">
        <w:t>G</w:t>
      </w:r>
      <w:r>
        <w:t>H</w:t>
      </w:r>
      <w:r w:rsidRPr="00437385">
        <w:t xml:space="preserve"> COURT OF SOUTH AFRICA</w:t>
      </w:r>
    </w:p>
    <w:p w14:paraId="1DA4DD1F" w14:textId="77777777" w:rsidR="00E97474" w:rsidRPr="00437385" w:rsidRDefault="00E97474" w:rsidP="00E97474">
      <w:pPr>
        <w:spacing w:after="0" w:line="360" w:lineRule="auto"/>
        <w:jc w:val="center"/>
      </w:pPr>
      <w:r w:rsidRPr="00437385">
        <w:t>GAUTENG DIVISION, PRETORIA</w:t>
      </w:r>
    </w:p>
    <w:p w14:paraId="58C3B97D" w14:textId="77777777" w:rsidR="00E97474" w:rsidRDefault="00E97474" w:rsidP="00E97474">
      <w:pPr>
        <w:spacing w:after="0" w:line="360" w:lineRule="auto"/>
        <w:jc w:val="right"/>
      </w:pPr>
      <w:r>
        <w:tab/>
      </w:r>
      <w:r>
        <w:tab/>
      </w:r>
      <w:r>
        <w:tab/>
      </w:r>
      <w:r>
        <w:tab/>
      </w:r>
      <w:r>
        <w:tab/>
      </w:r>
      <w:r>
        <w:tab/>
      </w:r>
      <w:r>
        <w:tab/>
      </w:r>
      <w:r>
        <w:tab/>
      </w:r>
    </w:p>
    <w:p w14:paraId="67AFD855" w14:textId="4458F5D8" w:rsidR="00E97474" w:rsidRPr="000A0967" w:rsidRDefault="00E97474" w:rsidP="00E97474">
      <w:pPr>
        <w:spacing w:after="0" w:line="360" w:lineRule="auto"/>
        <w:jc w:val="right"/>
        <w:rPr>
          <w:b/>
        </w:rPr>
      </w:pPr>
      <w:r>
        <w:rPr>
          <w:b/>
        </w:rPr>
        <w:t xml:space="preserve">CASE NO: </w:t>
      </w:r>
      <w:r w:rsidR="00040CE6">
        <w:rPr>
          <w:b/>
        </w:rPr>
        <w:t>A141/2022</w:t>
      </w:r>
    </w:p>
    <w:p w14:paraId="600B329B" w14:textId="77777777" w:rsidR="00E97474" w:rsidRPr="000A0967" w:rsidRDefault="00E97474" w:rsidP="00E97474">
      <w:pPr>
        <w:jc w:val="center"/>
        <w:rPr>
          <w:b/>
        </w:rPr>
      </w:pPr>
      <w:r w:rsidRPr="000A0967">
        <w:rPr>
          <w:b/>
          <w:noProof/>
          <w:lang w:eastAsia="en-ZA"/>
        </w:rPr>
        <mc:AlternateContent>
          <mc:Choice Requires="wps">
            <w:drawing>
              <wp:anchor distT="0" distB="0" distL="114300" distR="114300" simplePos="0" relativeHeight="251659264" behindDoc="0" locked="0" layoutInCell="1" allowOverlap="1" wp14:anchorId="2A7F47A8" wp14:editId="66E62632">
                <wp:simplePos x="0" y="0"/>
                <wp:positionH relativeFrom="column">
                  <wp:posOffset>-30480</wp:posOffset>
                </wp:positionH>
                <wp:positionV relativeFrom="paragraph">
                  <wp:posOffset>78105</wp:posOffset>
                </wp:positionV>
                <wp:extent cx="3371850" cy="1333500"/>
                <wp:effectExtent l="0" t="0" r="190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333500"/>
                        </a:xfrm>
                        <a:prstGeom prst="rect">
                          <a:avLst/>
                        </a:prstGeom>
                        <a:solidFill>
                          <a:srgbClr val="FFFFFF"/>
                        </a:solidFill>
                        <a:ln w="9525">
                          <a:solidFill>
                            <a:srgbClr val="000000"/>
                          </a:solidFill>
                          <a:miter lim="800000"/>
                          <a:headEnd/>
                          <a:tailEnd/>
                        </a:ln>
                      </wps:spPr>
                      <wps:txbx>
                        <w:txbxContent>
                          <w:p w14:paraId="0CCEC4BC" w14:textId="223BE68A" w:rsidR="003E19AE" w:rsidRPr="00702912" w:rsidRDefault="00702912" w:rsidP="00702912">
                            <w:pPr>
                              <w:spacing w:after="0" w:line="240" w:lineRule="auto"/>
                              <w:ind w:left="900" w:hanging="720"/>
                              <w:rPr>
                                <w:rFonts w:ascii="Century Gothic" w:hAnsi="Century Gothic"/>
                                <w:sz w:val="18"/>
                                <w:szCs w:val="18"/>
                              </w:rPr>
                            </w:pPr>
                            <w:r w:rsidRPr="00A75EE1">
                              <w:rPr>
                                <w:rFonts w:ascii="Century Gothic" w:hAnsi="Century Gothic" w:cstheme="minorBidi"/>
                                <w:sz w:val="18"/>
                                <w:szCs w:val="18"/>
                              </w:rPr>
                              <w:t>(1)</w:t>
                            </w:r>
                            <w:r w:rsidRPr="00A75EE1">
                              <w:rPr>
                                <w:rFonts w:ascii="Century Gothic" w:hAnsi="Century Gothic" w:cstheme="minorBidi"/>
                                <w:sz w:val="18"/>
                                <w:szCs w:val="18"/>
                              </w:rPr>
                              <w:tab/>
                            </w:r>
                            <w:r w:rsidR="003E19AE" w:rsidRPr="00702912">
                              <w:rPr>
                                <w:rFonts w:ascii="Century Gothic" w:hAnsi="Century Gothic"/>
                                <w:sz w:val="18"/>
                                <w:szCs w:val="18"/>
                              </w:rPr>
                              <w:t xml:space="preserve">REPORTABLE: </w:t>
                            </w:r>
                            <w:r w:rsidR="006D7FF7" w:rsidRPr="00702912">
                              <w:rPr>
                                <w:rFonts w:ascii="Century Gothic" w:hAnsi="Century Gothic"/>
                                <w:b/>
                                <w:sz w:val="18"/>
                                <w:szCs w:val="18"/>
                              </w:rPr>
                              <w:t>NO</w:t>
                            </w:r>
                          </w:p>
                          <w:p w14:paraId="735E0E00" w14:textId="3A289E31" w:rsidR="003E19AE" w:rsidRPr="00A75EE1" w:rsidRDefault="00702912" w:rsidP="00702912">
                            <w:pPr>
                              <w:spacing w:after="0" w:line="240" w:lineRule="auto"/>
                              <w:ind w:left="900" w:hanging="720"/>
                              <w:rPr>
                                <w:rFonts w:ascii="Century Gothic" w:hAnsi="Century Gothic"/>
                                <w:sz w:val="18"/>
                                <w:szCs w:val="18"/>
                              </w:rPr>
                            </w:pPr>
                            <w:r w:rsidRPr="00A75EE1">
                              <w:rPr>
                                <w:rFonts w:ascii="Century Gothic" w:hAnsi="Century Gothic" w:cstheme="minorBidi"/>
                                <w:sz w:val="18"/>
                                <w:szCs w:val="18"/>
                              </w:rPr>
                              <w:t>(2)</w:t>
                            </w:r>
                            <w:r w:rsidRPr="00A75EE1">
                              <w:rPr>
                                <w:rFonts w:ascii="Century Gothic" w:hAnsi="Century Gothic" w:cstheme="minorBidi"/>
                                <w:sz w:val="18"/>
                                <w:szCs w:val="18"/>
                              </w:rPr>
                              <w:tab/>
                            </w:r>
                            <w:r w:rsidR="003E19AE" w:rsidRPr="00A75EE1">
                              <w:rPr>
                                <w:rFonts w:ascii="Century Gothic" w:hAnsi="Century Gothic"/>
                                <w:sz w:val="18"/>
                                <w:szCs w:val="18"/>
                              </w:rPr>
                              <w:t xml:space="preserve">OF INTEREST TO OTHER JUDGES: </w:t>
                            </w:r>
                            <w:r w:rsidR="006D7FF7" w:rsidRPr="006D7FF7">
                              <w:rPr>
                                <w:rFonts w:ascii="Century Gothic" w:hAnsi="Century Gothic"/>
                                <w:b/>
                                <w:sz w:val="18"/>
                                <w:szCs w:val="18"/>
                              </w:rPr>
                              <w:t>NO</w:t>
                            </w:r>
                          </w:p>
                          <w:p w14:paraId="7A4C0E8E" w14:textId="253D4263" w:rsidR="003E19AE" w:rsidRPr="00A75EE1" w:rsidRDefault="00702912" w:rsidP="00702912">
                            <w:pPr>
                              <w:spacing w:after="0" w:line="240" w:lineRule="auto"/>
                              <w:ind w:left="900" w:hanging="720"/>
                              <w:rPr>
                                <w:rFonts w:ascii="Century Gothic" w:hAnsi="Century Gothic"/>
                                <w:sz w:val="18"/>
                                <w:szCs w:val="18"/>
                              </w:rPr>
                            </w:pPr>
                            <w:r w:rsidRPr="00A75EE1">
                              <w:rPr>
                                <w:rFonts w:ascii="Century Gothic" w:hAnsi="Century Gothic" w:cstheme="minorBidi"/>
                                <w:sz w:val="18"/>
                                <w:szCs w:val="18"/>
                              </w:rPr>
                              <w:t>(3)</w:t>
                            </w:r>
                            <w:r w:rsidRPr="00A75EE1">
                              <w:rPr>
                                <w:rFonts w:ascii="Century Gothic" w:hAnsi="Century Gothic" w:cstheme="minorBidi"/>
                                <w:sz w:val="18"/>
                                <w:szCs w:val="18"/>
                              </w:rPr>
                              <w:tab/>
                            </w:r>
                            <w:r w:rsidR="003E19AE" w:rsidRPr="00A75EE1">
                              <w:rPr>
                                <w:rFonts w:ascii="Century Gothic" w:hAnsi="Century Gothic"/>
                                <w:sz w:val="18"/>
                                <w:szCs w:val="18"/>
                              </w:rPr>
                              <w:t>REVISED</w:t>
                            </w:r>
                            <w:r w:rsidR="003E19AE">
                              <w:rPr>
                                <w:rFonts w:ascii="Century Gothic" w:hAnsi="Century Gothic"/>
                                <w:sz w:val="18"/>
                                <w:szCs w:val="18"/>
                              </w:rPr>
                              <w:t>:</w:t>
                            </w:r>
                            <w:r w:rsidR="003E19AE" w:rsidRPr="00A75EE1">
                              <w:rPr>
                                <w:rFonts w:ascii="Century Gothic" w:hAnsi="Century Gothic"/>
                                <w:sz w:val="18"/>
                                <w:szCs w:val="18"/>
                              </w:rPr>
                              <w:t xml:space="preserve"> </w:t>
                            </w:r>
                            <w:r w:rsidR="003E19AE" w:rsidRPr="00A75EE1">
                              <w:rPr>
                                <w:rFonts w:ascii="Century Gothic" w:hAnsi="Century Gothic"/>
                                <w:b/>
                                <w:sz w:val="18"/>
                                <w:szCs w:val="18"/>
                              </w:rPr>
                              <w:t>YES</w:t>
                            </w:r>
                          </w:p>
                          <w:p w14:paraId="5EF47923" w14:textId="77777777" w:rsidR="00477604" w:rsidRDefault="00477604" w:rsidP="00477604">
                            <w:pPr>
                              <w:spacing w:after="0" w:line="240" w:lineRule="auto"/>
                              <w:rPr>
                                <w:rFonts w:ascii="Century Gothic" w:hAnsi="Century Gothic"/>
                                <w:sz w:val="18"/>
                                <w:szCs w:val="18"/>
                              </w:rPr>
                            </w:pPr>
                          </w:p>
                          <w:p w14:paraId="49C6B448" w14:textId="23B62ECD" w:rsidR="00477604" w:rsidRDefault="00477604" w:rsidP="00477604">
                            <w:pPr>
                              <w:spacing w:after="0" w:line="240" w:lineRule="auto"/>
                              <w:rPr>
                                <w:rFonts w:ascii="Century Gothic" w:hAnsi="Century Gothic"/>
                                <w:sz w:val="18"/>
                                <w:szCs w:val="18"/>
                              </w:rPr>
                            </w:pPr>
                          </w:p>
                          <w:p w14:paraId="1F2E3CA0" w14:textId="77777777" w:rsidR="004770F6" w:rsidRDefault="004770F6" w:rsidP="00477604">
                            <w:pPr>
                              <w:spacing w:after="0" w:line="240" w:lineRule="auto"/>
                              <w:rPr>
                                <w:rFonts w:ascii="Century Gothic" w:hAnsi="Century Gothic"/>
                                <w:sz w:val="18"/>
                                <w:szCs w:val="18"/>
                              </w:rPr>
                            </w:pPr>
                          </w:p>
                          <w:p w14:paraId="51AD6044" w14:textId="7616563F" w:rsidR="004770F6" w:rsidRPr="004770F6" w:rsidRDefault="004770F6" w:rsidP="00E97474">
                            <w:pPr>
                              <w:spacing w:after="0" w:line="240" w:lineRule="auto"/>
                              <w:rPr>
                                <w:rFonts w:ascii="Century Gothic" w:hAnsi="Century Gothic"/>
                                <w:b/>
                                <w:sz w:val="18"/>
                                <w:szCs w:val="18"/>
                              </w:rPr>
                            </w:pPr>
                            <w:r w:rsidRPr="004770F6">
                              <w:rPr>
                                <w:rFonts w:ascii="Century Gothic" w:hAnsi="Century Gothic"/>
                                <w:b/>
                                <w:sz w:val="18"/>
                                <w:szCs w:val="18"/>
                              </w:rPr>
                              <w:t>___________________________         _______________________</w:t>
                            </w:r>
                          </w:p>
                          <w:p w14:paraId="235E459C" w14:textId="0566BEAB" w:rsidR="003E19AE" w:rsidRPr="004770F6" w:rsidRDefault="003E19AE" w:rsidP="00E97474">
                            <w:pPr>
                              <w:spacing w:after="0" w:line="240" w:lineRule="auto"/>
                              <w:rPr>
                                <w:rFonts w:ascii="Century Gothic" w:hAnsi="Century Gothic"/>
                                <w:b/>
                                <w:sz w:val="18"/>
                                <w:szCs w:val="18"/>
                              </w:rPr>
                            </w:pPr>
                            <w:r w:rsidRPr="004770F6">
                              <w:rPr>
                                <w:rFonts w:ascii="Century Gothic" w:hAnsi="Century Gothic"/>
                                <w:b/>
                                <w:sz w:val="18"/>
                                <w:szCs w:val="18"/>
                              </w:rPr>
                              <w:t>DATE</w:t>
                            </w:r>
                            <w:r w:rsidRPr="004770F6">
                              <w:rPr>
                                <w:rFonts w:ascii="Century Gothic" w:hAnsi="Century Gothic"/>
                                <w:b/>
                                <w:sz w:val="18"/>
                                <w:szCs w:val="18"/>
                              </w:rPr>
                              <w:tab/>
                            </w:r>
                            <w:r w:rsidRPr="004770F6">
                              <w:rPr>
                                <w:rFonts w:ascii="Century Gothic" w:hAnsi="Century Gothic"/>
                                <w:b/>
                                <w:sz w:val="18"/>
                                <w:szCs w:val="18"/>
                              </w:rPr>
                              <w:tab/>
                              <w:t xml:space="preserve">                  </w:t>
                            </w:r>
                            <w:r w:rsidRPr="004770F6">
                              <w:rPr>
                                <w:rFonts w:ascii="Century Gothic" w:hAnsi="Century Gothic"/>
                                <w:b/>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F47A8" id="_x0000_t202" coordsize="21600,21600" o:spt="202" path="m,l,21600r21600,l21600,xe">
                <v:stroke joinstyle="miter"/>
                <v:path gradientshapeok="t" o:connecttype="rect"/>
              </v:shapetype>
              <v:shape id="Text Box 5" o:spid="_x0000_s1026" type="#_x0000_t202" style="position:absolute;left:0;text-align:left;margin-left:-2.4pt;margin-top:6.15pt;width:265.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Z2FwIAACwEAAAOAAAAZHJzL2Uyb0RvYy54bWysU9tu2zAMfR+wfxD0vti5rakRp+jSZRjQ&#10;XYBuH6DIcixMFjVKiZ19fSk5TYNuexmmB0EUqSPy8HB507eGHRR6Dbbk41HOmbISKm13Jf/+bfNm&#10;wZkPwlbCgFUlPyrPb1avXy07V6gJNGAqhYxArC86V/ImBFdkmZeNaoUfgVOWnDVgKwKZuMsqFB2h&#10;tyab5PnbrAOsHIJU3tPt3eDkq4Rf10qGL3XtVWCm5JRbSDumfRv3bLUUxQ6Fa7Q8pSH+IYtWaEuf&#10;nqHuRBBsj/o3qFZLBA91GEloM6hrLVWqgaoZ5y+qeWiEU6kWIse7M03+/8HKz4cH9xVZ6N9BTw1M&#10;RXh3D/KHZxbWjbA7dYsIXaNERR+PI2VZ53xxehqp9oWPINvuE1TUZLEPkID6GtvICtXJCJ0acDyT&#10;rvrAJF1Op1fjxZxcknzj6XQ6z1NbMlE8PXfowwcFLYuHkiN1NcGLw70PMR1RPIXE3zwYXW20McnA&#10;3XZtkB0EKWCTVqrgRZixrCv59XwyHxj4K0Se1p8gWh1Iyka3JV+cg0QReXtvqyS0ILQZzpSysSci&#10;I3cDi6Hf9hQYCd1CdSRKEQbJ0ojRoQH8xVlHci25/7kXqDgzHy215Xo8m0V9J2M2v5qQgZee7aVH&#10;WElQJQ+cDcd1GGZi71DvGvppEIKFW2plrRPJz1md8iZJJu5P4xM1f2mnqOchXz0CAAD//wMAUEsD&#10;BBQABgAIAAAAIQBVZLnE3gAAAAkBAAAPAAAAZHJzL2Rvd25yZXYueG1sTI/BTsMwEETvSPyDtUhc&#10;UOvgllBCnAohgegNCoKrG2+TCHsdYjcNf89yguPMrGbeluvJOzHiELtAGi7nGQikOtiOGg1vrw+z&#10;FYiYDFnjAqGGb4ywrk5PSlPYcKQXHLepEVxCsTAa2pT6QspYt+hNnIceibN9GLxJLIdG2sEcudw7&#10;qbIsl950xAut6fG+xfpze/AaVsun8SNuFs/vdb53N+nienz8GrQ+P5vubkEknNLfMfziMzpUzLQL&#10;B7JROA2zJZMn9tUCBOdXKlcgdhqUYkdWpfz/QfUDAAD//wMAUEsBAi0AFAAGAAgAAAAhALaDOJL+&#10;AAAA4QEAABMAAAAAAAAAAAAAAAAAAAAAAFtDb250ZW50X1R5cGVzXS54bWxQSwECLQAUAAYACAAA&#10;ACEAOP0h/9YAAACUAQAACwAAAAAAAAAAAAAAAAAvAQAAX3JlbHMvLnJlbHNQSwECLQAUAAYACAAA&#10;ACEAGY6WdhcCAAAsBAAADgAAAAAAAAAAAAAAAAAuAgAAZHJzL2Uyb0RvYy54bWxQSwECLQAUAAYA&#10;CAAAACEAVWS5xN4AAAAJAQAADwAAAAAAAAAAAAAAAABxBAAAZHJzL2Rvd25yZXYueG1sUEsFBgAA&#10;AAAEAAQA8wAAAHwFAAAAAA==&#10;">
                <v:textbox>
                  <w:txbxContent>
                    <w:p w14:paraId="0CCEC4BC" w14:textId="223BE68A" w:rsidR="003E19AE" w:rsidRPr="00702912" w:rsidRDefault="00702912" w:rsidP="00702912">
                      <w:pPr>
                        <w:spacing w:after="0" w:line="240" w:lineRule="auto"/>
                        <w:ind w:left="900" w:hanging="720"/>
                        <w:rPr>
                          <w:rFonts w:ascii="Century Gothic" w:hAnsi="Century Gothic"/>
                          <w:sz w:val="18"/>
                          <w:szCs w:val="18"/>
                        </w:rPr>
                      </w:pPr>
                      <w:r w:rsidRPr="00A75EE1">
                        <w:rPr>
                          <w:rFonts w:ascii="Century Gothic" w:hAnsi="Century Gothic" w:cstheme="minorBidi"/>
                          <w:sz w:val="18"/>
                          <w:szCs w:val="18"/>
                        </w:rPr>
                        <w:t>(1)</w:t>
                      </w:r>
                      <w:r w:rsidRPr="00A75EE1">
                        <w:rPr>
                          <w:rFonts w:ascii="Century Gothic" w:hAnsi="Century Gothic" w:cstheme="minorBidi"/>
                          <w:sz w:val="18"/>
                          <w:szCs w:val="18"/>
                        </w:rPr>
                        <w:tab/>
                      </w:r>
                      <w:r w:rsidR="003E19AE" w:rsidRPr="00702912">
                        <w:rPr>
                          <w:rFonts w:ascii="Century Gothic" w:hAnsi="Century Gothic"/>
                          <w:sz w:val="18"/>
                          <w:szCs w:val="18"/>
                        </w:rPr>
                        <w:t xml:space="preserve">REPORTABLE: </w:t>
                      </w:r>
                      <w:r w:rsidR="006D7FF7" w:rsidRPr="00702912">
                        <w:rPr>
                          <w:rFonts w:ascii="Century Gothic" w:hAnsi="Century Gothic"/>
                          <w:b/>
                          <w:sz w:val="18"/>
                          <w:szCs w:val="18"/>
                        </w:rPr>
                        <w:t>NO</w:t>
                      </w:r>
                    </w:p>
                    <w:p w14:paraId="735E0E00" w14:textId="3A289E31" w:rsidR="003E19AE" w:rsidRPr="00A75EE1" w:rsidRDefault="00702912" w:rsidP="00702912">
                      <w:pPr>
                        <w:spacing w:after="0" w:line="240" w:lineRule="auto"/>
                        <w:ind w:left="900" w:hanging="720"/>
                        <w:rPr>
                          <w:rFonts w:ascii="Century Gothic" w:hAnsi="Century Gothic"/>
                          <w:sz w:val="18"/>
                          <w:szCs w:val="18"/>
                        </w:rPr>
                      </w:pPr>
                      <w:r w:rsidRPr="00A75EE1">
                        <w:rPr>
                          <w:rFonts w:ascii="Century Gothic" w:hAnsi="Century Gothic" w:cstheme="minorBidi"/>
                          <w:sz w:val="18"/>
                          <w:szCs w:val="18"/>
                        </w:rPr>
                        <w:t>(2)</w:t>
                      </w:r>
                      <w:r w:rsidRPr="00A75EE1">
                        <w:rPr>
                          <w:rFonts w:ascii="Century Gothic" w:hAnsi="Century Gothic" w:cstheme="minorBidi"/>
                          <w:sz w:val="18"/>
                          <w:szCs w:val="18"/>
                        </w:rPr>
                        <w:tab/>
                      </w:r>
                      <w:r w:rsidR="003E19AE" w:rsidRPr="00A75EE1">
                        <w:rPr>
                          <w:rFonts w:ascii="Century Gothic" w:hAnsi="Century Gothic"/>
                          <w:sz w:val="18"/>
                          <w:szCs w:val="18"/>
                        </w:rPr>
                        <w:t xml:space="preserve">OF INTEREST TO OTHER JUDGES: </w:t>
                      </w:r>
                      <w:r w:rsidR="006D7FF7" w:rsidRPr="006D7FF7">
                        <w:rPr>
                          <w:rFonts w:ascii="Century Gothic" w:hAnsi="Century Gothic"/>
                          <w:b/>
                          <w:sz w:val="18"/>
                          <w:szCs w:val="18"/>
                        </w:rPr>
                        <w:t>NO</w:t>
                      </w:r>
                    </w:p>
                    <w:p w14:paraId="7A4C0E8E" w14:textId="253D4263" w:rsidR="003E19AE" w:rsidRPr="00A75EE1" w:rsidRDefault="00702912" w:rsidP="00702912">
                      <w:pPr>
                        <w:spacing w:after="0" w:line="240" w:lineRule="auto"/>
                        <w:ind w:left="900" w:hanging="720"/>
                        <w:rPr>
                          <w:rFonts w:ascii="Century Gothic" w:hAnsi="Century Gothic"/>
                          <w:sz w:val="18"/>
                          <w:szCs w:val="18"/>
                        </w:rPr>
                      </w:pPr>
                      <w:r w:rsidRPr="00A75EE1">
                        <w:rPr>
                          <w:rFonts w:ascii="Century Gothic" w:hAnsi="Century Gothic" w:cstheme="minorBidi"/>
                          <w:sz w:val="18"/>
                          <w:szCs w:val="18"/>
                        </w:rPr>
                        <w:t>(3)</w:t>
                      </w:r>
                      <w:r w:rsidRPr="00A75EE1">
                        <w:rPr>
                          <w:rFonts w:ascii="Century Gothic" w:hAnsi="Century Gothic" w:cstheme="minorBidi"/>
                          <w:sz w:val="18"/>
                          <w:szCs w:val="18"/>
                        </w:rPr>
                        <w:tab/>
                      </w:r>
                      <w:r w:rsidR="003E19AE" w:rsidRPr="00A75EE1">
                        <w:rPr>
                          <w:rFonts w:ascii="Century Gothic" w:hAnsi="Century Gothic"/>
                          <w:sz w:val="18"/>
                          <w:szCs w:val="18"/>
                        </w:rPr>
                        <w:t>REVISED</w:t>
                      </w:r>
                      <w:r w:rsidR="003E19AE">
                        <w:rPr>
                          <w:rFonts w:ascii="Century Gothic" w:hAnsi="Century Gothic"/>
                          <w:sz w:val="18"/>
                          <w:szCs w:val="18"/>
                        </w:rPr>
                        <w:t>:</w:t>
                      </w:r>
                      <w:r w:rsidR="003E19AE" w:rsidRPr="00A75EE1">
                        <w:rPr>
                          <w:rFonts w:ascii="Century Gothic" w:hAnsi="Century Gothic"/>
                          <w:sz w:val="18"/>
                          <w:szCs w:val="18"/>
                        </w:rPr>
                        <w:t xml:space="preserve"> </w:t>
                      </w:r>
                      <w:r w:rsidR="003E19AE" w:rsidRPr="00A75EE1">
                        <w:rPr>
                          <w:rFonts w:ascii="Century Gothic" w:hAnsi="Century Gothic"/>
                          <w:b/>
                          <w:sz w:val="18"/>
                          <w:szCs w:val="18"/>
                        </w:rPr>
                        <w:t>YES</w:t>
                      </w:r>
                    </w:p>
                    <w:p w14:paraId="5EF47923" w14:textId="77777777" w:rsidR="00477604" w:rsidRDefault="00477604" w:rsidP="00477604">
                      <w:pPr>
                        <w:spacing w:after="0" w:line="240" w:lineRule="auto"/>
                        <w:rPr>
                          <w:rFonts w:ascii="Century Gothic" w:hAnsi="Century Gothic"/>
                          <w:sz w:val="18"/>
                          <w:szCs w:val="18"/>
                        </w:rPr>
                      </w:pPr>
                    </w:p>
                    <w:p w14:paraId="49C6B448" w14:textId="23B62ECD" w:rsidR="00477604" w:rsidRDefault="00477604" w:rsidP="00477604">
                      <w:pPr>
                        <w:spacing w:after="0" w:line="240" w:lineRule="auto"/>
                        <w:rPr>
                          <w:rFonts w:ascii="Century Gothic" w:hAnsi="Century Gothic"/>
                          <w:sz w:val="18"/>
                          <w:szCs w:val="18"/>
                        </w:rPr>
                      </w:pPr>
                    </w:p>
                    <w:p w14:paraId="1F2E3CA0" w14:textId="77777777" w:rsidR="004770F6" w:rsidRDefault="004770F6" w:rsidP="00477604">
                      <w:pPr>
                        <w:spacing w:after="0" w:line="240" w:lineRule="auto"/>
                        <w:rPr>
                          <w:rFonts w:ascii="Century Gothic" w:hAnsi="Century Gothic"/>
                          <w:sz w:val="18"/>
                          <w:szCs w:val="18"/>
                        </w:rPr>
                      </w:pPr>
                    </w:p>
                    <w:p w14:paraId="51AD6044" w14:textId="7616563F" w:rsidR="004770F6" w:rsidRPr="004770F6" w:rsidRDefault="004770F6" w:rsidP="00E97474">
                      <w:pPr>
                        <w:spacing w:after="0" w:line="240" w:lineRule="auto"/>
                        <w:rPr>
                          <w:rFonts w:ascii="Century Gothic" w:hAnsi="Century Gothic"/>
                          <w:b/>
                          <w:sz w:val="18"/>
                          <w:szCs w:val="18"/>
                        </w:rPr>
                      </w:pPr>
                      <w:r w:rsidRPr="004770F6">
                        <w:rPr>
                          <w:rFonts w:ascii="Century Gothic" w:hAnsi="Century Gothic"/>
                          <w:b/>
                          <w:sz w:val="18"/>
                          <w:szCs w:val="18"/>
                        </w:rPr>
                        <w:t>___________________________         _______________________</w:t>
                      </w:r>
                    </w:p>
                    <w:p w14:paraId="235E459C" w14:textId="0566BEAB" w:rsidR="003E19AE" w:rsidRPr="004770F6" w:rsidRDefault="003E19AE" w:rsidP="00E97474">
                      <w:pPr>
                        <w:spacing w:after="0" w:line="240" w:lineRule="auto"/>
                        <w:rPr>
                          <w:rFonts w:ascii="Century Gothic" w:hAnsi="Century Gothic"/>
                          <w:b/>
                          <w:sz w:val="18"/>
                          <w:szCs w:val="18"/>
                        </w:rPr>
                      </w:pPr>
                      <w:r w:rsidRPr="004770F6">
                        <w:rPr>
                          <w:rFonts w:ascii="Century Gothic" w:hAnsi="Century Gothic"/>
                          <w:b/>
                          <w:sz w:val="18"/>
                          <w:szCs w:val="18"/>
                        </w:rPr>
                        <w:t>DATE</w:t>
                      </w:r>
                      <w:r w:rsidRPr="004770F6">
                        <w:rPr>
                          <w:rFonts w:ascii="Century Gothic" w:hAnsi="Century Gothic"/>
                          <w:b/>
                          <w:sz w:val="18"/>
                          <w:szCs w:val="18"/>
                        </w:rPr>
                        <w:tab/>
                      </w:r>
                      <w:r w:rsidRPr="004770F6">
                        <w:rPr>
                          <w:rFonts w:ascii="Century Gothic" w:hAnsi="Century Gothic"/>
                          <w:b/>
                          <w:sz w:val="18"/>
                          <w:szCs w:val="18"/>
                        </w:rPr>
                        <w:tab/>
                        <w:t xml:space="preserve">                  </w:t>
                      </w:r>
                      <w:r w:rsidRPr="004770F6">
                        <w:rPr>
                          <w:rFonts w:ascii="Century Gothic" w:hAnsi="Century Gothic"/>
                          <w:b/>
                          <w:sz w:val="18"/>
                          <w:szCs w:val="18"/>
                        </w:rPr>
                        <w:tab/>
                        <w:t>SIGNATURE</w:t>
                      </w:r>
                    </w:p>
                  </w:txbxContent>
                </v:textbox>
              </v:shape>
            </w:pict>
          </mc:Fallback>
        </mc:AlternateContent>
      </w:r>
    </w:p>
    <w:p w14:paraId="28A15C92" w14:textId="77777777" w:rsidR="00E97474" w:rsidRPr="000A0967" w:rsidRDefault="00E97474" w:rsidP="00E97474">
      <w:pPr>
        <w:spacing w:after="0" w:line="360" w:lineRule="auto"/>
      </w:pPr>
    </w:p>
    <w:p w14:paraId="516914F8" w14:textId="77777777" w:rsidR="00E97474" w:rsidRPr="000A0967" w:rsidRDefault="00E97474" w:rsidP="00E97474">
      <w:pPr>
        <w:spacing w:after="0" w:line="360" w:lineRule="auto"/>
      </w:pPr>
    </w:p>
    <w:p w14:paraId="47565652" w14:textId="77777777" w:rsidR="00E97474" w:rsidRPr="000A0967" w:rsidRDefault="00E97474" w:rsidP="00E97474">
      <w:pPr>
        <w:spacing w:after="0" w:line="360" w:lineRule="auto"/>
      </w:pPr>
      <w:r w:rsidRPr="000A0967">
        <w:t>In the matter between:</w:t>
      </w:r>
    </w:p>
    <w:p w14:paraId="563A54AA" w14:textId="77777777" w:rsidR="00E97474" w:rsidRPr="000A0967" w:rsidRDefault="00E97474" w:rsidP="00E97474">
      <w:pPr>
        <w:spacing w:after="0" w:line="360" w:lineRule="auto"/>
      </w:pPr>
    </w:p>
    <w:p w14:paraId="16CEE589" w14:textId="77777777" w:rsidR="00E97474" w:rsidRPr="000A0967" w:rsidRDefault="00E97474" w:rsidP="00E97474">
      <w:pPr>
        <w:spacing w:after="0" w:line="360" w:lineRule="auto"/>
      </w:pPr>
    </w:p>
    <w:p w14:paraId="1A488234" w14:textId="77777777" w:rsidR="00E97474" w:rsidRPr="000A0967" w:rsidRDefault="00E97474" w:rsidP="00E97474">
      <w:pPr>
        <w:tabs>
          <w:tab w:val="right" w:pos="8931"/>
        </w:tabs>
        <w:spacing w:after="0" w:line="480" w:lineRule="auto"/>
        <w:jc w:val="both"/>
        <w:rPr>
          <w:rFonts w:eastAsia="Times New Roman"/>
          <w:b/>
          <w:bCs/>
        </w:rPr>
      </w:pPr>
    </w:p>
    <w:p w14:paraId="6AB7B8AA" w14:textId="2053897C" w:rsidR="00E97474" w:rsidRPr="00C52500" w:rsidRDefault="002652F2" w:rsidP="00E97474">
      <w:pPr>
        <w:tabs>
          <w:tab w:val="right" w:pos="8931"/>
        </w:tabs>
        <w:spacing w:after="0" w:line="480" w:lineRule="auto"/>
        <w:jc w:val="both"/>
        <w:rPr>
          <w:rFonts w:eastAsia="Times New Roman"/>
        </w:rPr>
      </w:pPr>
      <w:r w:rsidRPr="00C52500">
        <w:rPr>
          <w:rFonts w:eastAsia="Times New Roman"/>
          <w:b/>
          <w:bCs/>
        </w:rPr>
        <w:t>DORKING AFRICA (PTY) LTD</w:t>
      </w:r>
      <w:r w:rsidR="00B87793" w:rsidRPr="00C52500">
        <w:rPr>
          <w:rFonts w:eastAsia="Times New Roman"/>
          <w:bCs/>
        </w:rPr>
        <w:tab/>
      </w:r>
      <w:r w:rsidRPr="00C52500">
        <w:rPr>
          <w:rFonts w:eastAsia="Times New Roman"/>
          <w:bCs/>
        </w:rPr>
        <w:t>Appellant</w:t>
      </w:r>
    </w:p>
    <w:p w14:paraId="25343F4E" w14:textId="77777777" w:rsidR="00E97474" w:rsidRPr="00C52500" w:rsidRDefault="00E97474" w:rsidP="00E97474">
      <w:pPr>
        <w:spacing w:after="0" w:line="360" w:lineRule="auto"/>
      </w:pPr>
    </w:p>
    <w:p w14:paraId="606D5C3D" w14:textId="77777777" w:rsidR="00E97474" w:rsidRPr="00C52500" w:rsidRDefault="00E97474" w:rsidP="00E97474">
      <w:pPr>
        <w:spacing w:after="0" w:line="360" w:lineRule="auto"/>
      </w:pPr>
      <w:r w:rsidRPr="00C52500">
        <w:t>and</w:t>
      </w:r>
    </w:p>
    <w:p w14:paraId="5E78863F" w14:textId="77777777" w:rsidR="00E97474" w:rsidRPr="00C52500" w:rsidRDefault="00E97474" w:rsidP="00E97474">
      <w:pPr>
        <w:spacing w:after="0" w:line="360" w:lineRule="auto"/>
      </w:pPr>
    </w:p>
    <w:p w14:paraId="33211ABE" w14:textId="77777777" w:rsidR="002652F2" w:rsidRPr="00C52500" w:rsidRDefault="002652F2" w:rsidP="00E97474">
      <w:pPr>
        <w:tabs>
          <w:tab w:val="right" w:pos="8931"/>
        </w:tabs>
        <w:spacing w:after="0" w:line="480" w:lineRule="auto"/>
        <w:jc w:val="both"/>
        <w:rPr>
          <w:rFonts w:eastAsia="Times New Roman"/>
          <w:b/>
        </w:rPr>
      </w:pPr>
      <w:r w:rsidRPr="00C52500">
        <w:rPr>
          <w:rFonts w:eastAsia="Times New Roman"/>
          <w:b/>
        </w:rPr>
        <w:t xml:space="preserve">COMMISSIONER FOR THE SOUTH AFRICAN </w:t>
      </w:r>
    </w:p>
    <w:p w14:paraId="50C302EA" w14:textId="77708812" w:rsidR="00E97474" w:rsidRPr="00C52500" w:rsidRDefault="002652F2" w:rsidP="00E97474">
      <w:pPr>
        <w:tabs>
          <w:tab w:val="right" w:pos="8931"/>
        </w:tabs>
        <w:spacing w:after="0" w:line="480" w:lineRule="auto"/>
        <w:jc w:val="both"/>
        <w:rPr>
          <w:rFonts w:eastAsia="Times New Roman"/>
        </w:rPr>
      </w:pPr>
      <w:r w:rsidRPr="00C52500">
        <w:rPr>
          <w:rFonts w:eastAsia="Times New Roman"/>
          <w:b/>
        </w:rPr>
        <w:t>REVENUE SERVICE</w:t>
      </w:r>
      <w:r w:rsidR="00E97474" w:rsidRPr="00C52500">
        <w:rPr>
          <w:rFonts w:eastAsia="Times New Roman"/>
        </w:rPr>
        <w:tab/>
        <w:t>Respondent</w:t>
      </w:r>
    </w:p>
    <w:p w14:paraId="6453B7A7" w14:textId="77777777" w:rsidR="00E97474" w:rsidRPr="00C52500" w:rsidRDefault="00E97474" w:rsidP="00E97474">
      <w:pPr>
        <w:tabs>
          <w:tab w:val="right" w:pos="8931"/>
        </w:tabs>
        <w:spacing w:after="0" w:line="480" w:lineRule="auto"/>
        <w:jc w:val="both"/>
        <w:rPr>
          <w:rFonts w:eastAsia="Times New Roman"/>
        </w:rPr>
      </w:pPr>
      <w:r w:rsidRPr="00C52500">
        <w:rPr>
          <w:rFonts w:eastAsia="Times New Roman"/>
        </w:rPr>
        <w:t>___________________________________________________________________</w:t>
      </w:r>
    </w:p>
    <w:p w14:paraId="7AB96A0A" w14:textId="68B7320E" w:rsidR="00E97474" w:rsidRPr="00C52500" w:rsidRDefault="00E97474" w:rsidP="00E97474">
      <w:pPr>
        <w:tabs>
          <w:tab w:val="right" w:pos="8931"/>
        </w:tabs>
        <w:spacing w:after="0" w:line="480" w:lineRule="auto"/>
        <w:jc w:val="both"/>
        <w:rPr>
          <w:rFonts w:eastAsia="Times New Roman"/>
          <w:b/>
          <w:u w:val="single"/>
        </w:rPr>
      </w:pPr>
      <w:r w:rsidRPr="00C52500">
        <w:rPr>
          <w:rFonts w:eastAsia="Times New Roman"/>
          <w:b/>
          <w:u w:val="single"/>
        </w:rPr>
        <w:t>NEUKIRCHER J</w:t>
      </w:r>
      <w:r w:rsidR="002652F2" w:rsidRPr="00C52500">
        <w:rPr>
          <w:rFonts w:eastAsia="Times New Roman"/>
          <w:b/>
          <w:u w:val="single"/>
        </w:rPr>
        <w:t xml:space="preserve"> (HOLLAND –MUTER J AND MOOKI AJ CONCURRING):</w:t>
      </w:r>
    </w:p>
    <w:p w14:paraId="7B8C9F77" w14:textId="00179F0C" w:rsidR="003E25AC" w:rsidRDefault="00702912" w:rsidP="00702912">
      <w:pPr>
        <w:spacing w:after="0" w:line="480" w:lineRule="auto"/>
        <w:jc w:val="both"/>
      </w:pPr>
      <w:r>
        <w:rPr>
          <w:rFonts w:hAnsi="Arial Unicode MS"/>
        </w:rPr>
        <w:t>[1]</w:t>
      </w:r>
      <w:r>
        <w:rPr>
          <w:rFonts w:hAnsi="Arial Unicode MS"/>
        </w:rPr>
        <w:tab/>
      </w:r>
      <w:r w:rsidR="004E32A5" w:rsidRPr="00C52500">
        <w:t>This appeal comes before us by way of leave granted by Mali J</w:t>
      </w:r>
      <w:r w:rsidR="004E32A5" w:rsidRPr="00C52500">
        <w:rPr>
          <w:rStyle w:val="FootnoteReference"/>
        </w:rPr>
        <w:footnoteReference w:id="1"/>
      </w:r>
      <w:r w:rsidR="004E32A5" w:rsidRPr="00C52500">
        <w:t xml:space="preserve">, against the whole of her judgment and order delivered on 19 November 2021. The court a quo </w:t>
      </w:r>
      <w:r w:rsidR="004E32A5" w:rsidRPr="00C52500">
        <w:lastRenderedPageBreak/>
        <w:t>dismissed the appellant’s application for final relief under Section 129(2) of the Tax Administration Act 28 of 2011</w:t>
      </w:r>
      <w:r w:rsidR="00C52500" w:rsidRPr="00C52500">
        <w:t xml:space="preserve"> (the TAA).</w:t>
      </w:r>
      <w:r w:rsidR="0063222B">
        <w:t xml:space="preserve"> </w:t>
      </w:r>
    </w:p>
    <w:p w14:paraId="41CF67FD" w14:textId="77777777" w:rsidR="00244981" w:rsidRDefault="00244981" w:rsidP="00244981">
      <w:pPr>
        <w:pStyle w:val="ListParagraph"/>
        <w:spacing w:after="0" w:line="480" w:lineRule="auto"/>
        <w:ind w:left="0"/>
        <w:jc w:val="both"/>
      </w:pPr>
    </w:p>
    <w:p w14:paraId="1B0C9260" w14:textId="62F2998B" w:rsidR="0063222B" w:rsidRDefault="00702912" w:rsidP="00702912">
      <w:pPr>
        <w:spacing w:after="0" w:line="480" w:lineRule="auto"/>
        <w:jc w:val="both"/>
      </w:pPr>
      <w:r>
        <w:rPr>
          <w:rFonts w:hAnsi="Arial Unicode MS"/>
        </w:rPr>
        <w:t>[2]</w:t>
      </w:r>
      <w:r>
        <w:rPr>
          <w:rFonts w:hAnsi="Arial Unicode MS"/>
        </w:rPr>
        <w:tab/>
      </w:r>
      <w:r w:rsidR="0063222B">
        <w:t>The appellant had applied for condonation and reinstatement of the appeal as it had failed to timeously apply for a date of hearing within 60 days of delivery of the Notice of Appeal</w:t>
      </w:r>
      <w:r w:rsidR="0063222B">
        <w:rPr>
          <w:rStyle w:val="FootnoteReference"/>
        </w:rPr>
        <w:footnoteReference w:id="2"/>
      </w:r>
      <w:r w:rsidR="00244981">
        <w:t>. This was not opposed and condonation was granted at the hearing of the appeal.</w:t>
      </w:r>
    </w:p>
    <w:p w14:paraId="50D2F166" w14:textId="77777777" w:rsidR="00244981" w:rsidRDefault="00244981" w:rsidP="00244981">
      <w:pPr>
        <w:pStyle w:val="ListParagraph"/>
        <w:spacing w:after="0" w:line="480" w:lineRule="auto"/>
        <w:ind w:left="0"/>
        <w:jc w:val="both"/>
        <w:rPr>
          <w:b/>
          <w:u w:val="single"/>
        </w:rPr>
      </w:pPr>
    </w:p>
    <w:p w14:paraId="10D969BB" w14:textId="3203A4B8" w:rsidR="00244981" w:rsidRPr="00244981" w:rsidRDefault="00244981" w:rsidP="00244981">
      <w:pPr>
        <w:pStyle w:val="ListParagraph"/>
        <w:spacing w:after="0" w:line="480" w:lineRule="auto"/>
        <w:ind w:left="0"/>
        <w:jc w:val="both"/>
        <w:rPr>
          <w:b/>
          <w:u w:val="single"/>
        </w:rPr>
      </w:pPr>
      <w:r w:rsidRPr="00244981">
        <w:rPr>
          <w:b/>
          <w:u w:val="single"/>
        </w:rPr>
        <w:t>THE FACTS</w:t>
      </w:r>
    </w:p>
    <w:p w14:paraId="136A85E9" w14:textId="54385C69" w:rsidR="00435D60" w:rsidRDefault="00702912" w:rsidP="00702912">
      <w:pPr>
        <w:spacing w:after="0" w:line="480" w:lineRule="auto"/>
        <w:jc w:val="both"/>
      </w:pPr>
      <w:r>
        <w:rPr>
          <w:rFonts w:hAnsi="Arial Unicode MS"/>
        </w:rPr>
        <w:t>[3]</w:t>
      </w:r>
      <w:r>
        <w:rPr>
          <w:rFonts w:hAnsi="Arial Unicode MS"/>
        </w:rPr>
        <w:tab/>
      </w:r>
      <w:r w:rsidR="00310A54">
        <w:t xml:space="preserve">The respondent issued an additional assessment </w:t>
      </w:r>
      <w:r w:rsidR="009043E6">
        <w:t>with respect to</w:t>
      </w:r>
      <w:r w:rsidR="00310A54">
        <w:t xml:space="preserve"> the appellant’s 2012 income tax year of assessment</w:t>
      </w:r>
      <w:r w:rsidR="009043E6">
        <w:t>. In this,</w:t>
      </w:r>
      <w:r w:rsidR="00310A54">
        <w:t xml:space="preserve"> it disallowed the appellant’s assess</w:t>
      </w:r>
      <w:r w:rsidR="00BB5F76">
        <w:t xml:space="preserve">ed </w:t>
      </w:r>
      <w:r w:rsidR="00310A54">
        <w:t>loss of R38 587 720-00</w:t>
      </w:r>
      <w:r w:rsidR="00C940EE">
        <w:t>. As a result of the disallowance, the appellant was assessed as owing the respondent an amount of R1 357 322-85</w:t>
      </w:r>
      <w:r w:rsidR="00310A54">
        <w:rPr>
          <w:rStyle w:val="FootnoteReference"/>
        </w:rPr>
        <w:footnoteReference w:id="3"/>
      </w:r>
      <w:r w:rsidR="00310A54">
        <w:t>.</w:t>
      </w:r>
    </w:p>
    <w:p w14:paraId="2D94C894" w14:textId="77777777" w:rsidR="00435D60" w:rsidRDefault="00435D60" w:rsidP="00435D60">
      <w:pPr>
        <w:pStyle w:val="ListParagraph"/>
        <w:spacing w:after="0" w:line="480" w:lineRule="auto"/>
        <w:ind w:left="0"/>
        <w:jc w:val="both"/>
      </w:pPr>
    </w:p>
    <w:p w14:paraId="10256624" w14:textId="58AA445B" w:rsidR="00435D60" w:rsidRDefault="00702912" w:rsidP="00702912">
      <w:pPr>
        <w:spacing w:after="0" w:line="480" w:lineRule="auto"/>
        <w:jc w:val="both"/>
      </w:pPr>
      <w:r>
        <w:rPr>
          <w:rFonts w:hAnsi="Arial Unicode MS"/>
        </w:rPr>
        <w:t>[4]</w:t>
      </w:r>
      <w:r>
        <w:rPr>
          <w:rFonts w:hAnsi="Arial Unicode MS"/>
        </w:rPr>
        <w:tab/>
      </w:r>
      <w:r w:rsidR="00435D60">
        <w:t>The appellant’s objection to this assessment was rejected by respondent on 10 June 2016 as it alleged that appellant had failed to fully discharge its onus of proof as required by section 102</w:t>
      </w:r>
      <w:r w:rsidR="00435D60">
        <w:rPr>
          <w:rStyle w:val="FootnoteReference"/>
        </w:rPr>
        <w:footnoteReference w:id="4"/>
      </w:r>
      <w:r w:rsidR="00435D60">
        <w:t xml:space="preserve"> of the TAA. This prompted an appeal which was delivered via the e-filing portal on 22 July 2016 and a reference number of CN207618167</w:t>
      </w:r>
      <w:r w:rsidR="00812B3C">
        <w:t xml:space="preserve"> was generated.</w:t>
      </w:r>
    </w:p>
    <w:p w14:paraId="2E247139" w14:textId="77777777" w:rsidR="00812B3C" w:rsidRDefault="00812B3C" w:rsidP="00812B3C">
      <w:pPr>
        <w:pStyle w:val="ListParagraph"/>
      </w:pPr>
    </w:p>
    <w:p w14:paraId="772B7A3E" w14:textId="48F1A40B" w:rsidR="00812B3C" w:rsidRDefault="00702912" w:rsidP="00702912">
      <w:pPr>
        <w:spacing w:after="0" w:line="480" w:lineRule="auto"/>
        <w:jc w:val="both"/>
      </w:pPr>
      <w:r>
        <w:rPr>
          <w:rFonts w:hAnsi="Arial Unicode MS"/>
        </w:rPr>
        <w:lastRenderedPageBreak/>
        <w:t>[5]</w:t>
      </w:r>
      <w:r>
        <w:rPr>
          <w:rFonts w:hAnsi="Arial Unicode MS"/>
        </w:rPr>
        <w:tab/>
      </w:r>
      <w:r w:rsidR="00812B3C">
        <w:t>It is this Notice of Appeal that forms the subject matter of the present proceedings as the appellant alleges that:</w:t>
      </w:r>
    </w:p>
    <w:p w14:paraId="50A1EB9D" w14:textId="455231CB" w:rsidR="00564E00" w:rsidRDefault="00702912" w:rsidP="00702912">
      <w:pPr>
        <w:spacing w:after="0" w:line="480" w:lineRule="auto"/>
        <w:ind w:left="1070" w:hanging="360"/>
        <w:jc w:val="both"/>
      </w:pPr>
      <w:r>
        <w:t>a)</w:t>
      </w:r>
      <w:r>
        <w:tab/>
      </w:r>
      <w:r w:rsidR="00564E00">
        <w:t>the Notice of Appeal complies with Tax Court Rule 10(2)(a);</w:t>
      </w:r>
    </w:p>
    <w:p w14:paraId="6ED8C51E" w14:textId="1F201889" w:rsidR="00564E00" w:rsidRDefault="00702912" w:rsidP="00702912">
      <w:pPr>
        <w:spacing w:after="0" w:line="480" w:lineRule="auto"/>
        <w:ind w:left="1070" w:hanging="360"/>
        <w:jc w:val="both"/>
      </w:pPr>
      <w:r>
        <w:t>b)</w:t>
      </w:r>
      <w:r>
        <w:tab/>
      </w:r>
      <w:r w:rsidR="00564E00">
        <w:t>that the respondent failed to provide their statement of grounds of assessment and/or opposition to the appeal as Tax Court Rule 31 provides;</w:t>
      </w:r>
    </w:p>
    <w:p w14:paraId="4446F5B9" w14:textId="77777777" w:rsidR="004C7D02" w:rsidRDefault="004C7D02" w:rsidP="004C7D02">
      <w:pPr>
        <w:pStyle w:val="ListParagraph"/>
        <w:spacing w:after="0" w:line="480" w:lineRule="auto"/>
        <w:ind w:left="1070"/>
        <w:jc w:val="both"/>
      </w:pPr>
    </w:p>
    <w:p w14:paraId="0D0EFCFF" w14:textId="0417344E" w:rsidR="00564E00" w:rsidRDefault="00702912" w:rsidP="00702912">
      <w:pPr>
        <w:spacing w:after="0" w:line="480" w:lineRule="auto"/>
        <w:jc w:val="both"/>
      </w:pPr>
      <w:r>
        <w:rPr>
          <w:rFonts w:hAnsi="Arial Unicode MS"/>
        </w:rPr>
        <w:t>[6]</w:t>
      </w:r>
      <w:r>
        <w:rPr>
          <w:rFonts w:hAnsi="Arial Unicode MS"/>
        </w:rPr>
        <w:tab/>
      </w:r>
      <w:r w:rsidR="004C7D02">
        <w:t>T</w:t>
      </w:r>
      <w:r w:rsidR="00564E00">
        <w:t>he respondent alleges that Tax Court R</w:t>
      </w:r>
      <w:r w:rsidR="004C7D02">
        <w:t xml:space="preserve">ule 31 was not triggered as the </w:t>
      </w:r>
      <w:r w:rsidR="00564E00">
        <w:t>appellant failed to set out their grounds of appeal in their Notice of Appeal: ie the Notice of Appeal is fatally defective.</w:t>
      </w:r>
    </w:p>
    <w:p w14:paraId="5CDB258D" w14:textId="77777777" w:rsidR="00564E00" w:rsidRDefault="00564E00" w:rsidP="00564E00">
      <w:pPr>
        <w:pStyle w:val="ListParagraph"/>
      </w:pPr>
    </w:p>
    <w:p w14:paraId="19D37DB9" w14:textId="2A1CE649" w:rsidR="00C05D56" w:rsidRDefault="00702912" w:rsidP="00702912">
      <w:pPr>
        <w:spacing w:after="0" w:line="480" w:lineRule="auto"/>
        <w:jc w:val="both"/>
      </w:pPr>
      <w:r>
        <w:rPr>
          <w:rFonts w:hAnsi="Arial Unicode MS"/>
        </w:rPr>
        <w:t>[7]</w:t>
      </w:r>
      <w:r>
        <w:rPr>
          <w:rFonts w:hAnsi="Arial Unicode MS"/>
        </w:rPr>
        <w:tab/>
      </w:r>
      <w:r w:rsidR="00C05D56">
        <w:t>With the factual situation such that respondent had failed to respond to appellant’s Notice of Appeal, the appellant delivered a Notice in terms of Tax Court Rule 56(1)(a)</w:t>
      </w:r>
      <w:r w:rsidR="00C05D56">
        <w:rPr>
          <w:rStyle w:val="FootnoteReference"/>
        </w:rPr>
        <w:footnoteReference w:id="5"/>
      </w:r>
      <w:r w:rsidR="00C05D56">
        <w:t xml:space="preserve"> to respondent on 2 July 2019. This informed respondent that appellant intended to apply to the Tax Court for a final order in terms of section 129 of the TAA should respondent fail to file its Rule 31 statement within 15 days. The respondent did not comply</w:t>
      </w:r>
      <w:r w:rsidR="00984C07">
        <w:t>,</w:t>
      </w:r>
      <w:r w:rsidR="00C05D56">
        <w:t xml:space="preserve"> and on 14 August 2020 the appellant delivered </w:t>
      </w:r>
      <w:r w:rsidR="00BC540A">
        <w:t>it’s the threatened application.</w:t>
      </w:r>
    </w:p>
    <w:p w14:paraId="3265BEE0" w14:textId="77777777" w:rsidR="00564E00" w:rsidRDefault="00564E00" w:rsidP="00564E00">
      <w:pPr>
        <w:pStyle w:val="ListParagraph"/>
      </w:pPr>
    </w:p>
    <w:p w14:paraId="66C3418D" w14:textId="47A8E03B" w:rsidR="00C05D56" w:rsidRDefault="00702912" w:rsidP="00702912">
      <w:pPr>
        <w:spacing w:after="0" w:line="480" w:lineRule="auto"/>
        <w:jc w:val="both"/>
      </w:pPr>
      <w:r>
        <w:rPr>
          <w:rFonts w:hAnsi="Arial Unicode MS"/>
        </w:rPr>
        <w:t>[8]</w:t>
      </w:r>
      <w:r>
        <w:rPr>
          <w:rFonts w:hAnsi="Arial Unicode MS"/>
        </w:rPr>
        <w:tab/>
      </w:r>
      <w:r w:rsidR="00C05D56">
        <w:t>Prayer 1 of th</w:t>
      </w:r>
      <w:r w:rsidR="004B762C">
        <w:t>at</w:t>
      </w:r>
      <w:r w:rsidR="00C05D56">
        <w:t xml:space="preserve"> Notice of Motion reads as follows:</w:t>
      </w:r>
    </w:p>
    <w:p w14:paraId="4D1431AC" w14:textId="224E0353" w:rsidR="00C05D56" w:rsidRPr="00F857BE" w:rsidRDefault="00C05D56" w:rsidP="00F857BE">
      <w:pPr>
        <w:pStyle w:val="ListParagraph"/>
        <w:spacing w:after="0" w:line="480" w:lineRule="auto"/>
        <w:jc w:val="both"/>
        <w:rPr>
          <w:i/>
        </w:rPr>
      </w:pPr>
      <w:r w:rsidRPr="00F857BE">
        <w:rPr>
          <w:i/>
        </w:rPr>
        <w:lastRenderedPageBreak/>
        <w:t>“1. That final relief be granted in favour of the Applicant, as contemplated in Section 129(2) of the Tax Administration Act, 28 of 2011 (as amended), and that it be ordered that the Respondent's additional assessment in respect of the Applicant's 2012 income tax year of assessment (in terms whereof the Applicant's assessed loss in the amount of R38 587 720.00 was disallowed) be set aside.”</w:t>
      </w:r>
    </w:p>
    <w:p w14:paraId="003DDDCE" w14:textId="77777777" w:rsidR="00564E00" w:rsidRDefault="00564E00" w:rsidP="00564E00">
      <w:pPr>
        <w:pStyle w:val="ListParagraph"/>
      </w:pPr>
    </w:p>
    <w:p w14:paraId="573BFAF1" w14:textId="490F2FF6" w:rsidR="00564E00" w:rsidRDefault="00702912" w:rsidP="00702912">
      <w:pPr>
        <w:spacing w:after="0" w:line="480" w:lineRule="auto"/>
        <w:jc w:val="both"/>
      </w:pPr>
      <w:r>
        <w:rPr>
          <w:rFonts w:hAnsi="Arial Unicode MS"/>
        </w:rPr>
        <w:t>[9]</w:t>
      </w:r>
      <w:r>
        <w:rPr>
          <w:rFonts w:hAnsi="Arial Unicode MS"/>
        </w:rPr>
        <w:tab/>
      </w:r>
      <w:r w:rsidR="005556BA">
        <w:t>As stated, that application was unsuccessful a quo.</w:t>
      </w:r>
    </w:p>
    <w:p w14:paraId="746BEC07" w14:textId="319C022B" w:rsidR="005556BA" w:rsidRDefault="005556BA" w:rsidP="005556BA">
      <w:pPr>
        <w:pStyle w:val="ListParagraph"/>
        <w:spacing w:after="0" w:line="480" w:lineRule="auto"/>
        <w:ind w:left="0"/>
        <w:jc w:val="both"/>
      </w:pPr>
    </w:p>
    <w:p w14:paraId="289E5F0F" w14:textId="37BA067A" w:rsidR="00564E00" w:rsidRPr="005556BA" w:rsidRDefault="005556BA" w:rsidP="005556BA">
      <w:pPr>
        <w:pStyle w:val="ListParagraph"/>
        <w:spacing w:after="0" w:line="480" w:lineRule="auto"/>
        <w:ind w:left="0"/>
        <w:jc w:val="both"/>
        <w:rPr>
          <w:b/>
          <w:u w:val="single"/>
        </w:rPr>
      </w:pPr>
      <w:r w:rsidRPr="005556BA">
        <w:rPr>
          <w:b/>
          <w:u w:val="single"/>
        </w:rPr>
        <w:t>THE MAIN CONTENTIOUS ISSUE</w:t>
      </w:r>
    </w:p>
    <w:p w14:paraId="35622848" w14:textId="24D96EF1" w:rsidR="005556BA" w:rsidRDefault="00702912" w:rsidP="00702912">
      <w:pPr>
        <w:spacing w:after="0" w:line="480" w:lineRule="auto"/>
        <w:jc w:val="both"/>
      </w:pPr>
      <w:r>
        <w:rPr>
          <w:rFonts w:hAnsi="Arial Unicode MS"/>
        </w:rPr>
        <w:t>[10]</w:t>
      </w:r>
      <w:r>
        <w:rPr>
          <w:rFonts w:hAnsi="Arial Unicode MS"/>
        </w:rPr>
        <w:tab/>
      </w:r>
      <w:r w:rsidR="005556BA">
        <w:t>The essence of this dispute revolves around whether or not the appellant’s</w:t>
      </w:r>
      <w:r w:rsidR="00491C21">
        <w:t xml:space="preserve"> </w:t>
      </w:r>
      <w:r w:rsidR="005556BA">
        <w:t>Notice of Appeal complied with Tax Court Rule 10(2)(a).</w:t>
      </w:r>
    </w:p>
    <w:p w14:paraId="1D59AB6A" w14:textId="77777777" w:rsidR="005556BA" w:rsidRDefault="005556BA" w:rsidP="005556BA">
      <w:pPr>
        <w:pStyle w:val="ListParagraph"/>
        <w:spacing w:after="0" w:line="360" w:lineRule="auto"/>
        <w:ind w:left="0"/>
        <w:jc w:val="both"/>
      </w:pPr>
    </w:p>
    <w:p w14:paraId="415781A2" w14:textId="3E71A39D" w:rsidR="005556BA" w:rsidRDefault="00702912" w:rsidP="00702912">
      <w:pPr>
        <w:spacing w:after="0" w:line="480" w:lineRule="auto"/>
        <w:jc w:val="both"/>
      </w:pPr>
      <w:r>
        <w:rPr>
          <w:rFonts w:hAnsi="Arial Unicode MS"/>
        </w:rPr>
        <w:t>[11]</w:t>
      </w:r>
      <w:r>
        <w:rPr>
          <w:rFonts w:hAnsi="Arial Unicode MS"/>
        </w:rPr>
        <w:tab/>
      </w:r>
      <w:r w:rsidR="00362228">
        <w:t xml:space="preserve">Tax Court Rule 10(2)(a) provides: </w:t>
      </w:r>
    </w:p>
    <w:p w14:paraId="080CBFA4" w14:textId="1FAADD44" w:rsidR="006F155D" w:rsidRPr="009559A6" w:rsidRDefault="00E45EA6" w:rsidP="006F155D">
      <w:pPr>
        <w:pStyle w:val="ListParagraph"/>
        <w:spacing w:after="0" w:line="480" w:lineRule="auto"/>
        <w:jc w:val="both"/>
        <w:rPr>
          <w:i/>
        </w:rPr>
      </w:pPr>
      <w:r w:rsidRPr="009559A6">
        <w:rPr>
          <w:i/>
        </w:rPr>
        <w:t>“</w:t>
      </w:r>
      <w:r w:rsidR="006F155D" w:rsidRPr="009559A6">
        <w:rPr>
          <w:i/>
        </w:rPr>
        <w:t>10. Appeal against assessment</w:t>
      </w:r>
    </w:p>
    <w:p w14:paraId="759CDBB0" w14:textId="563AD208" w:rsidR="006F155D" w:rsidRPr="00E45EA6" w:rsidRDefault="006F155D" w:rsidP="006F155D">
      <w:pPr>
        <w:pStyle w:val="ListParagraph"/>
        <w:spacing w:after="0" w:line="480" w:lineRule="auto"/>
        <w:jc w:val="both"/>
        <w:rPr>
          <w:i/>
        </w:rPr>
      </w:pPr>
      <w:r w:rsidRPr="00E45EA6">
        <w:rPr>
          <w:i/>
        </w:rPr>
        <w:t>…</w:t>
      </w:r>
    </w:p>
    <w:p w14:paraId="29985686" w14:textId="5DA353C1" w:rsidR="006F155D" w:rsidRPr="00E45EA6" w:rsidRDefault="006F155D" w:rsidP="006F155D">
      <w:pPr>
        <w:pStyle w:val="ListParagraph"/>
        <w:spacing w:after="0" w:line="480" w:lineRule="auto"/>
        <w:jc w:val="both"/>
        <w:rPr>
          <w:i/>
        </w:rPr>
      </w:pPr>
      <w:r w:rsidRPr="00E45EA6">
        <w:rPr>
          <w:i/>
        </w:rPr>
        <w:t>(2)</w:t>
      </w:r>
      <w:r w:rsidRPr="00E45EA6">
        <w:rPr>
          <w:i/>
        </w:rPr>
        <w:tab/>
        <w:t xml:space="preserve">A notice of appeal must – </w:t>
      </w:r>
    </w:p>
    <w:p w14:paraId="2F0E149F" w14:textId="29403070" w:rsidR="006F155D" w:rsidRPr="00E45EA6" w:rsidRDefault="006F155D" w:rsidP="006F155D">
      <w:pPr>
        <w:pStyle w:val="ListParagraph"/>
        <w:spacing w:after="0" w:line="480" w:lineRule="auto"/>
        <w:jc w:val="both"/>
        <w:rPr>
          <w:i/>
        </w:rPr>
      </w:pPr>
      <w:r w:rsidRPr="00E45EA6">
        <w:rPr>
          <w:i/>
        </w:rPr>
        <w:t>(a)</w:t>
      </w:r>
      <w:r w:rsidR="007A6F41">
        <w:rPr>
          <w:i/>
        </w:rPr>
        <w:tab/>
        <w:t>be made in the prescribed form; …”</w:t>
      </w:r>
    </w:p>
    <w:p w14:paraId="70DDD725" w14:textId="77777777" w:rsidR="00362228" w:rsidRDefault="00362228" w:rsidP="00362228">
      <w:pPr>
        <w:pStyle w:val="ListParagraph"/>
      </w:pPr>
    </w:p>
    <w:p w14:paraId="43D381E1" w14:textId="094E7B8B" w:rsidR="00362228" w:rsidRDefault="00702912" w:rsidP="00702912">
      <w:pPr>
        <w:spacing w:after="0" w:line="480" w:lineRule="auto"/>
        <w:jc w:val="both"/>
      </w:pPr>
      <w:r>
        <w:rPr>
          <w:rFonts w:hAnsi="Arial Unicode MS"/>
        </w:rPr>
        <w:t>[12]</w:t>
      </w:r>
      <w:r>
        <w:rPr>
          <w:rFonts w:hAnsi="Arial Unicode MS"/>
        </w:rPr>
        <w:tab/>
      </w:r>
      <w:r w:rsidR="00565365">
        <w:t>It is not in dispute that a Notice of Appeal was in fact filed. However, it is in dispute that the Notice of Appeal complied w</w:t>
      </w:r>
      <w:r w:rsidR="002335CD">
        <w:t xml:space="preserve">ith Tax Court Rule 10(2)(a) </w:t>
      </w:r>
      <w:r w:rsidR="00565365">
        <w:t xml:space="preserve">specifically in that </w:t>
      </w:r>
      <w:r w:rsidR="002335CD">
        <w:t>it</w:t>
      </w:r>
      <w:r w:rsidR="00565365">
        <w:t xml:space="preserve"> failed to set out the grounds of appeal. It is for this reason that the respondent argues Tax Court Rule 31 was not triggered. </w:t>
      </w:r>
    </w:p>
    <w:p w14:paraId="2CC582DE" w14:textId="77777777" w:rsidR="00362228" w:rsidRDefault="00362228" w:rsidP="00362228">
      <w:pPr>
        <w:pStyle w:val="ListParagraph"/>
      </w:pPr>
    </w:p>
    <w:p w14:paraId="7B332A41" w14:textId="2ED0B1E0" w:rsidR="00362228" w:rsidRDefault="00702912" w:rsidP="00702912">
      <w:pPr>
        <w:spacing w:after="0" w:line="480" w:lineRule="auto"/>
        <w:jc w:val="both"/>
      </w:pPr>
      <w:r>
        <w:rPr>
          <w:rFonts w:hAnsi="Arial Unicode MS"/>
        </w:rPr>
        <w:t>[13]</w:t>
      </w:r>
      <w:r>
        <w:rPr>
          <w:rFonts w:hAnsi="Arial Unicode MS"/>
        </w:rPr>
        <w:tab/>
      </w:r>
      <w:r w:rsidR="00565365">
        <w:t>Tax Court Rule 31 provides:</w:t>
      </w:r>
    </w:p>
    <w:p w14:paraId="29724B5F" w14:textId="155A5967" w:rsidR="00565365" w:rsidRPr="008348BE" w:rsidRDefault="00565365" w:rsidP="00565365">
      <w:pPr>
        <w:pStyle w:val="ListParagraph"/>
        <w:spacing w:after="0" w:line="480" w:lineRule="auto"/>
        <w:jc w:val="both"/>
        <w:rPr>
          <w:i/>
        </w:rPr>
      </w:pPr>
      <w:r w:rsidRPr="008348BE">
        <w:rPr>
          <w:i/>
        </w:rPr>
        <w:t xml:space="preserve">“31. Statement of grounds of assessment and opposing appeal </w:t>
      </w:r>
    </w:p>
    <w:p w14:paraId="77090ED7" w14:textId="77777777" w:rsidR="00565365" w:rsidRPr="00E20F73" w:rsidRDefault="00565365" w:rsidP="00565365">
      <w:pPr>
        <w:pStyle w:val="ListParagraph"/>
        <w:spacing w:after="0" w:line="480" w:lineRule="auto"/>
        <w:jc w:val="both"/>
        <w:rPr>
          <w:i/>
        </w:rPr>
      </w:pPr>
      <w:r w:rsidRPr="00E20F73">
        <w:rPr>
          <w:i/>
        </w:rPr>
        <w:lastRenderedPageBreak/>
        <w:t xml:space="preserve">(1) SARS must deliver to the appellant a statement of the grounds of assessment and opposing the appeal within 45 days after delivery of— </w:t>
      </w:r>
    </w:p>
    <w:p w14:paraId="6150980F" w14:textId="77777777" w:rsidR="00565365" w:rsidRPr="00E20F73" w:rsidRDefault="00565365" w:rsidP="00565365">
      <w:pPr>
        <w:pStyle w:val="ListParagraph"/>
        <w:spacing w:after="0" w:line="480" w:lineRule="auto"/>
        <w:jc w:val="both"/>
        <w:rPr>
          <w:i/>
        </w:rPr>
      </w:pPr>
      <w:r w:rsidRPr="00E20F73">
        <w:rPr>
          <w:i/>
        </w:rPr>
        <w:t xml:space="preserve">(a) the documents required by SARS under rule 10(5); </w:t>
      </w:r>
    </w:p>
    <w:p w14:paraId="44644435" w14:textId="77777777" w:rsidR="00565365" w:rsidRPr="00E20F73" w:rsidRDefault="00565365" w:rsidP="00565365">
      <w:pPr>
        <w:pStyle w:val="ListParagraph"/>
        <w:spacing w:after="0" w:line="480" w:lineRule="auto"/>
        <w:jc w:val="both"/>
        <w:rPr>
          <w:i/>
        </w:rPr>
      </w:pPr>
      <w:r w:rsidRPr="00E20F73">
        <w:rPr>
          <w:i/>
        </w:rPr>
        <w:t xml:space="preserve">(b) if alternative dispute resolution proceedings were followed under Part C, the notice by the appellant of proceeding with the appeal under rule 24(4) or 25(3); (c) if the matter was decided by the tax board, the notice of a de novo referral of the appeal to the tax court under rule 29(2); or </w:t>
      </w:r>
    </w:p>
    <w:p w14:paraId="0EF7094E" w14:textId="77777777" w:rsidR="00565365" w:rsidRPr="00E20F73" w:rsidRDefault="00565365" w:rsidP="00565365">
      <w:pPr>
        <w:pStyle w:val="ListParagraph"/>
        <w:spacing w:after="0" w:line="480" w:lineRule="auto"/>
        <w:jc w:val="both"/>
        <w:rPr>
          <w:i/>
        </w:rPr>
      </w:pPr>
      <w:r w:rsidRPr="00E20F73">
        <w:rPr>
          <w:i/>
        </w:rPr>
        <w:t xml:space="preserve">(d) in any other case, the notice of appeal under rule 10. </w:t>
      </w:r>
    </w:p>
    <w:p w14:paraId="216A1832" w14:textId="77777777" w:rsidR="00565365" w:rsidRPr="00E20F73" w:rsidRDefault="00565365" w:rsidP="00565365">
      <w:pPr>
        <w:pStyle w:val="ListParagraph"/>
        <w:spacing w:after="0" w:line="480" w:lineRule="auto"/>
        <w:jc w:val="both"/>
        <w:rPr>
          <w:i/>
        </w:rPr>
      </w:pPr>
      <w:r w:rsidRPr="00E20F73">
        <w:rPr>
          <w:i/>
        </w:rPr>
        <w:t xml:space="preserve">(2) The statement of the grounds of opposing the appeal must set out a clear and concise statement of— </w:t>
      </w:r>
    </w:p>
    <w:p w14:paraId="26A570AA" w14:textId="77777777" w:rsidR="00565365" w:rsidRPr="00E20F73" w:rsidRDefault="00565365" w:rsidP="00565365">
      <w:pPr>
        <w:pStyle w:val="ListParagraph"/>
        <w:spacing w:after="0" w:line="480" w:lineRule="auto"/>
        <w:jc w:val="both"/>
        <w:rPr>
          <w:i/>
        </w:rPr>
      </w:pPr>
      <w:r w:rsidRPr="00E20F73">
        <w:rPr>
          <w:i/>
        </w:rPr>
        <w:t xml:space="preserve">(a) the consolidated grounds of the disputed assessment; </w:t>
      </w:r>
    </w:p>
    <w:p w14:paraId="53FF6275" w14:textId="77777777" w:rsidR="00565365" w:rsidRPr="00E20F73" w:rsidRDefault="00565365" w:rsidP="00565365">
      <w:pPr>
        <w:pStyle w:val="ListParagraph"/>
        <w:spacing w:after="0" w:line="480" w:lineRule="auto"/>
        <w:jc w:val="both"/>
        <w:rPr>
          <w:i/>
        </w:rPr>
      </w:pPr>
      <w:r w:rsidRPr="00E20F73">
        <w:rPr>
          <w:i/>
        </w:rPr>
        <w:t xml:space="preserve">(b) which of the facts or the legal grounds in the notice of appeal under rule 10 are admitted and which of those facts or legal grounds are opposed; and </w:t>
      </w:r>
    </w:p>
    <w:p w14:paraId="0C5C680F" w14:textId="77777777" w:rsidR="00565365" w:rsidRPr="00E20F73" w:rsidRDefault="00565365" w:rsidP="00565365">
      <w:pPr>
        <w:pStyle w:val="ListParagraph"/>
        <w:spacing w:after="0" w:line="480" w:lineRule="auto"/>
        <w:jc w:val="both"/>
        <w:rPr>
          <w:i/>
        </w:rPr>
      </w:pPr>
      <w:r w:rsidRPr="00E20F73">
        <w:rPr>
          <w:i/>
        </w:rPr>
        <w:t xml:space="preserve">(c) the material facts and legal grounds upon which SARS relies in opposing the appeal. </w:t>
      </w:r>
    </w:p>
    <w:p w14:paraId="00CB7AC1" w14:textId="56EADA15" w:rsidR="00565365" w:rsidRPr="00E20F73" w:rsidRDefault="00565365" w:rsidP="00565365">
      <w:pPr>
        <w:pStyle w:val="ListParagraph"/>
        <w:spacing w:after="0" w:line="480" w:lineRule="auto"/>
        <w:jc w:val="both"/>
        <w:rPr>
          <w:i/>
        </w:rPr>
      </w:pPr>
      <w:r w:rsidRPr="00E20F73">
        <w:rPr>
          <w:i/>
        </w:rPr>
        <w:t>(3) SARS may include in the statement a new ground of assessment or basis for the partial allowance or disallowance of the objection unless it constitutes a novation of the whole of the factual or legal basis of the disputed assessment or which requires the issue of a revised assessment.”</w:t>
      </w:r>
    </w:p>
    <w:p w14:paraId="32A2B366" w14:textId="77777777" w:rsidR="00362228" w:rsidRDefault="00362228" w:rsidP="00362228">
      <w:pPr>
        <w:pStyle w:val="ListParagraph"/>
      </w:pPr>
    </w:p>
    <w:p w14:paraId="516A794B" w14:textId="053812E8" w:rsidR="00362228" w:rsidRDefault="00702912" w:rsidP="00702912">
      <w:pPr>
        <w:spacing w:after="0" w:line="480" w:lineRule="auto"/>
        <w:jc w:val="both"/>
      </w:pPr>
      <w:r>
        <w:rPr>
          <w:rFonts w:hAnsi="Arial Unicode MS"/>
        </w:rPr>
        <w:t>[14]</w:t>
      </w:r>
      <w:r>
        <w:rPr>
          <w:rFonts w:hAnsi="Arial Unicode MS"/>
        </w:rPr>
        <w:tab/>
      </w:r>
      <w:r w:rsidR="009559A6">
        <w:t>The argument is a logical one: Tax Court Rule 31 calls for a “statement of grounds of assessment and opposing appeal.” Where no proper grounds upon which the appeal is founded are set out in the Notice of Appeal, there is no case to which an answer is required. Therefore, the Rule 56</w:t>
      </w:r>
      <w:r w:rsidR="00217E17">
        <w:t xml:space="preserve"> application is stillborn.</w:t>
      </w:r>
    </w:p>
    <w:p w14:paraId="2F29289F" w14:textId="77777777" w:rsidR="00362228" w:rsidRDefault="00362228" w:rsidP="00362228">
      <w:pPr>
        <w:pStyle w:val="ListParagraph"/>
      </w:pPr>
    </w:p>
    <w:p w14:paraId="184F3DCE" w14:textId="6F6BC3C3" w:rsidR="00362228" w:rsidRDefault="00702912" w:rsidP="00702912">
      <w:pPr>
        <w:spacing w:after="0" w:line="480" w:lineRule="auto"/>
        <w:jc w:val="both"/>
      </w:pPr>
      <w:r>
        <w:rPr>
          <w:rFonts w:hAnsi="Arial Unicode MS"/>
        </w:rPr>
        <w:lastRenderedPageBreak/>
        <w:t>[15]</w:t>
      </w:r>
      <w:r>
        <w:rPr>
          <w:rFonts w:hAnsi="Arial Unicode MS"/>
        </w:rPr>
        <w:tab/>
      </w:r>
      <w:r w:rsidR="00217E17">
        <w:t>In support of its argument that a Notice of Appeal in terms of Tax Court Rule 10(2)(a) was submitted, the appellant relies on the affidavit of its chartered accountant Mr Tromp who</w:t>
      </w:r>
      <w:r w:rsidR="00835526">
        <w:t xml:space="preserve"> </w:t>
      </w:r>
      <w:r w:rsidR="00835526" w:rsidRPr="00702912">
        <w:rPr>
          <w:i/>
        </w:rPr>
        <w:t>inter alia</w:t>
      </w:r>
      <w:r w:rsidR="00217E17">
        <w:t xml:space="preserve"> states:</w:t>
      </w:r>
    </w:p>
    <w:p w14:paraId="6FD5BBFB" w14:textId="0D073969" w:rsidR="00504666" w:rsidRPr="00C20C70" w:rsidRDefault="00C20C70" w:rsidP="00217E17">
      <w:pPr>
        <w:pStyle w:val="ListParagraph"/>
        <w:spacing w:after="0" w:line="480" w:lineRule="auto"/>
        <w:jc w:val="both"/>
        <w:rPr>
          <w:i/>
        </w:rPr>
      </w:pPr>
      <w:r w:rsidRPr="00C20C70">
        <w:rPr>
          <w:i/>
        </w:rPr>
        <w:t>“</w:t>
      </w:r>
      <w:r w:rsidR="001B49C8">
        <w:rPr>
          <w:i/>
        </w:rPr>
        <w:t xml:space="preserve">9.9.1 </w:t>
      </w:r>
      <w:r w:rsidR="00217E17" w:rsidRPr="00C20C70">
        <w:rPr>
          <w:i/>
        </w:rPr>
        <w:t>The Applicant 's notice of appeal was delivered via SARS'</w:t>
      </w:r>
      <w:r w:rsidR="00504666" w:rsidRPr="00C20C70">
        <w:rPr>
          <w:i/>
        </w:rPr>
        <w:t xml:space="preserve"> e</w:t>
      </w:r>
      <w:r w:rsidR="001B49C8">
        <w:rPr>
          <w:i/>
        </w:rPr>
        <w:t>Filing portal on 22 July 2016.</w:t>
      </w:r>
    </w:p>
    <w:p w14:paraId="7946E1CC" w14:textId="5158D90C" w:rsidR="00504666" w:rsidRPr="00C20C70" w:rsidRDefault="001B49C8" w:rsidP="00217E17">
      <w:pPr>
        <w:pStyle w:val="ListParagraph"/>
        <w:spacing w:after="0" w:line="480" w:lineRule="auto"/>
        <w:jc w:val="both"/>
        <w:rPr>
          <w:i/>
        </w:rPr>
      </w:pPr>
      <w:r>
        <w:rPr>
          <w:i/>
        </w:rPr>
        <w:t xml:space="preserve">9.9.2 </w:t>
      </w:r>
      <w:r w:rsidR="00217E17" w:rsidRPr="00C20C70">
        <w:rPr>
          <w:i/>
        </w:rPr>
        <w:t>A true copy of the Applicant's notice of appeal is attached to Mr Van Niekerk's founding af</w:t>
      </w:r>
      <w:r w:rsidR="00504666" w:rsidRPr="00C20C70">
        <w:rPr>
          <w:i/>
        </w:rPr>
        <w:t>fidavit marked annexure 'D’</w:t>
      </w:r>
      <w:r>
        <w:rPr>
          <w:i/>
        </w:rPr>
        <w:t>.</w:t>
      </w:r>
    </w:p>
    <w:p w14:paraId="2FD39ABF" w14:textId="4D0BD16E" w:rsidR="00217E17" w:rsidRPr="00C20C70" w:rsidRDefault="001B49C8" w:rsidP="00217E17">
      <w:pPr>
        <w:pStyle w:val="ListParagraph"/>
        <w:spacing w:after="0" w:line="480" w:lineRule="auto"/>
        <w:jc w:val="both"/>
        <w:rPr>
          <w:i/>
        </w:rPr>
      </w:pPr>
      <w:r>
        <w:rPr>
          <w:i/>
        </w:rPr>
        <w:t xml:space="preserve">9.3 </w:t>
      </w:r>
      <w:r w:rsidR="00217E17" w:rsidRPr="00C20C70">
        <w:rPr>
          <w:i/>
        </w:rPr>
        <w:t>At the time of</w:t>
      </w:r>
      <w:r w:rsidR="00504666" w:rsidRPr="00C20C70">
        <w:rPr>
          <w:i/>
        </w:rPr>
        <w:t xml:space="preserve"> </w:t>
      </w:r>
      <w:r w:rsidR="00217E17" w:rsidRPr="00C20C70">
        <w:rPr>
          <w:i/>
        </w:rPr>
        <w:t>delivery of the applicant's notice of appeal (22 July 2016), the due date for filing of</w:t>
      </w:r>
      <w:r w:rsidR="00504666" w:rsidRPr="00C20C70">
        <w:rPr>
          <w:i/>
        </w:rPr>
        <w:t xml:space="preserve"> </w:t>
      </w:r>
      <w:r w:rsidR="00217E17" w:rsidRPr="00C20C70">
        <w:rPr>
          <w:i/>
        </w:rPr>
        <w:t>the notice of</w:t>
      </w:r>
      <w:r w:rsidR="00504666" w:rsidRPr="00C20C70">
        <w:rPr>
          <w:i/>
        </w:rPr>
        <w:t xml:space="preserve"> </w:t>
      </w:r>
      <w:r>
        <w:rPr>
          <w:i/>
        </w:rPr>
        <w:t xml:space="preserve">appeal had not lapsed. </w:t>
      </w:r>
    </w:p>
    <w:p w14:paraId="4C379994" w14:textId="1599013D" w:rsidR="00217E17" w:rsidRPr="00C20C70" w:rsidRDefault="001B49C8" w:rsidP="00CD0478">
      <w:pPr>
        <w:pStyle w:val="ListParagraph"/>
        <w:spacing w:after="0" w:line="480" w:lineRule="auto"/>
        <w:jc w:val="both"/>
        <w:rPr>
          <w:i/>
        </w:rPr>
      </w:pPr>
      <w:r>
        <w:rPr>
          <w:i/>
        </w:rPr>
        <w:t xml:space="preserve">9.9.4 </w:t>
      </w:r>
      <w:r w:rsidR="00217E17" w:rsidRPr="00C20C70">
        <w:rPr>
          <w:i/>
        </w:rPr>
        <w:t>As c</w:t>
      </w:r>
      <w:r w:rsidR="00CD0478" w:rsidRPr="00C20C70">
        <w:rPr>
          <w:i/>
        </w:rPr>
        <w:t>an be seen from annexure 'JPT1’ a</w:t>
      </w:r>
      <w:r w:rsidR="00217E17" w:rsidRPr="00C20C70">
        <w:rPr>
          <w:i/>
        </w:rPr>
        <w:t>ttached hereunto, which is a copy of the screenshot of the 'dispute work page', the Applicant's notice of appeal was sent to SARS on 22 July 2016 and the 'dispute supporting documents'</w:t>
      </w:r>
      <w:r w:rsidR="00CD0478" w:rsidRPr="00C20C70">
        <w:rPr>
          <w:i/>
        </w:rPr>
        <w:t xml:space="preserve"> w</w:t>
      </w:r>
      <w:r w:rsidR="00217E17" w:rsidRPr="00C20C70">
        <w:rPr>
          <w:i/>
        </w:rPr>
        <w:t xml:space="preserve">hich included the Applicant's grounds of appeal, were attached </w:t>
      </w:r>
      <w:r w:rsidR="00CD0478" w:rsidRPr="00C20C70">
        <w:rPr>
          <w:i/>
        </w:rPr>
        <w:t>as an annexure and consisted of f</w:t>
      </w:r>
      <w:r w:rsidR="00217E17" w:rsidRPr="00C20C70">
        <w:rPr>
          <w:i/>
        </w:rPr>
        <w:t>our documents, with a kilobyte (KB) size of 1488. I also attach hereunto as annexure 'JPT2' screenshot</w:t>
      </w:r>
      <w:r w:rsidR="00CD0478" w:rsidRPr="00C20C70">
        <w:rPr>
          <w:i/>
        </w:rPr>
        <w:t xml:space="preserve"> </w:t>
      </w:r>
      <w:r w:rsidR="00217E17" w:rsidRPr="00C20C70">
        <w:rPr>
          <w:i/>
        </w:rPr>
        <w:t>depicting the information contained on SARS</w:t>
      </w:r>
      <w:r w:rsidR="00CD0478" w:rsidRPr="00C20C70">
        <w:rPr>
          <w:i/>
        </w:rPr>
        <w:t xml:space="preserve"> e'Filing profile where I</w:t>
      </w:r>
      <w:r w:rsidR="00217E17" w:rsidRPr="00C20C70">
        <w:rPr>
          <w:i/>
        </w:rPr>
        <w:t xml:space="preserve"> prompted a 'dispute search'. </w:t>
      </w:r>
      <w:r w:rsidR="00CD0478" w:rsidRPr="00C20C70">
        <w:rPr>
          <w:i/>
        </w:rPr>
        <w:t>Thereon I have highlighted in r</w:t>
      </w:r>
      <w:r w:rsidR="00217E17" w:rsidRPr="00C20C70">
        <w:rPr>
          <w:i/>
        </w:rPr>
        <w:t xml:space="preserve">ed </w:t>
      </w:r>
      <w:r w:rsidR="00CD0478" w:rsidRPr="00C20C70">
        <w:rPr>
          <w:i/>
        </w:rPr>
        <w:t>the reference to the Applicant's</w:t>
      </w:r>
      <w:r w:rsidR="00217E17" w:rsidRPr="00C20C70">
        <w:rPr>
          <w:i/>
        </w:rPr>
        <w:t xml:space="preserve"> 'notice of appeal'</w:t>
      </w:r>
      <w:r w:rsidR="00CD0478" w:rsidRPr="00C20C70">
        <w:rPr>
          <w:i/>
        </w:rPr>
        <w:t xml:space="preserve"> w</w:t>
      </w:r>
      <w:r w:rsidR="00217E17" w:rsidRPr="00C20C70">
        <w:rPr>
          <w:i/>
        </w:rPr>
        <w:t>here it can be noted that the status was indicated as 'sent to SARS'</w:t>
      </w:r>
      <w:r w:rsidR="00CD0478" w:rsidRPr="00C20C70">
        <w:rPr>
          <w:i/>
        </w:rPr>
        <w:t xml:space="preserve"> a</w:t>
      </w:r>
      <w:r w:rsidR="00217E17" w:rsidRPr="00C20C70">
        <w:rPr>
          <w:i/>
        </w:rPr>
        <w:t>n</w:t>
      </w:r>
      <w:r w:rsidR="00CD0478" w:rsidRPr="00C20C70">
        <w:rPr>
          <w:i/>
        </w:rPr>
        <w:t>d under the column h</w:t>
      </w:r>
      <w:r w:rsidR="00217E17" w:rsidRPr="00C20C70">
        <w:rPr>
          <w:i/>
        </w:rPr>
        <w:t xml:space="preserve">eaded 'Supporting Documents </w:t>
      </w:r>
      <w:r w:rsidR="00CD0478" w:rsidRPr="00C20C70">
        <w:rPr>
          <w:i/>
        </w:rPr>
        <w:t>it was recorded as b</w:t>
      </w:r>
      <w:r w:rsidR="00217E17" w:rsidRPr="00C20C70">
        <w:rPr>
          <w:i/>
        </w:rPr>
        <w:t>eing 'submitted'.</w:t>
      </w:r>
      <w:r w:rsidR="00CD0478" w:rsidRPr="00C20C70">
        <w:rPr>
          <w:i/>
        </w:rPr>
        <w:t>”</w:t>
      </w:r>
    </w:p>
    <w:p w14:paraId="740E3521" w14:textId="77777777" w:rsidR="00217E17" w:rsidRDefault="00217E17" w:rsidP="00217E17">
      <w:pPr>
        <w:pStyle w:val="ListParagraph"/>
      </w:pPr>
    </w:p>
    <w:p w14:paraId="73B192AF" w14:textId="037329B3" w:rsidR="00217E17" w:rsidRDefault="00702912" w:rsidP="00702912">
      <w:pPr>
        <w:spacing w:after="0" w:line="480" w:lineRule="auto"/>
        <w:jc w:val="both"/>
      </w:pPr>
      <w:r>
        <w:rPr>
          <w:rFonts w:hAnsi="Arial Unicode MS"/>
        </w:rPr>
        <w:t>[16]</w:t>
      </w:r>
      <w:r>
        <w:rPr>
          <w:rFonts w:hAnsi="Arial Unicode MS"/>
        </w:rPr>
        <w:tab/>
      </w:r>
      <w:r w:rsidR="009241F4">
        <w:t>It may well be that Mr Tromp’s evidence is uncontested</w:t>
      </w:r>
      <w:r w:rsidR="00FE3CFD">
        <w:t>,</w:t>
      </w:r>
      <w:r w:rsidR="009241F4">
        <w:t xml:space="preserve"> but that is not the end of the inquiry as the true question is - what “dispute supporting documents” were filed on 22 July 2016</w:t>
      </w:r>
      <w:r w:rsidR="00BF15A2">
        <w:t>?</w:t>
      </w:r>
      <w:r w:rsidR="009241F4">
        <w:t xml:space="preserve"> According to Mr Tromp these </w:t>
      </w:r>
    </w:p>
    <w:p w14:paraId="5CD3591A" w14:textId="0CA2AC11" w:rsidR="009241F4" w:rsidRPr="005D570C" w:rsidRDefault="009241F4" w:rsidP="009241F4">
      <w:pPr>
        <w:pStyle w:val="ListParagraph"/>
        <w:spacing w:after="0" w:line="480" w:lineRule="auto"/>
        <w:jc w:val="both"/>
        <w:rPr>
          <w:i/>
        </w:rPr>
      </w:pPr>
      <w:r w:rsidRPr="005D570C">
        <w:rPr>
          <w:i/>
        </w:rPr>
        <w:t xml:space="preserve">“… included the Applicant’s grounds of appeal, </w:t>
      </w:r>
      <w:r w:rsidR="00BF15A2">
        <w:rPr>
          <w:i/>
        </w:rPr>
        <w:t xml:space="preserve">[which] </w:t>
      </w:r>
      <w:r w:rsidRPr="005D570C">
        <w:rPr>
          <w:i/>
        </w:rPr>
        <w:t xml:space="preserve">were attached as an annexure and consisted </w:t>
      </w:r>
      <w:r w:rsidR="005D570C" w:rsidRPr="005D570C">
        <w:rPr>
          <w:i/>
        </w:rPr>
        <w:t>of four documents…”</w:t>
      </w:r>
    </w:p>
    <w:p w14:paraId="50334934" w14:textId="52DFE5E4" w:rsidR="005D570C" w:rsidRDefault="005D570C" w:rsidP="005D570C">
      <w:pPr>
        <w:spacing w:after="0" w:line="480" w:lineRule="auto"/>
        <w:jc w:val="both"/>
      </w:pPr>
      <w:r>
        <w:lastRenderedPageBreak/>
        <w:t xml:space="preserve">As this presently </w:t>
      </w:r>
      <w:r w:rsidR="00992292">
        <w:t>reads, the four documents consisted of the grounds of appeal and three other documents - but nowhere does he mention what these</w:t>
      </w:r>
      <w:r w:rsidR="00583A67">
        <w:t xml:space="preserve"> documents</w:t>
      </w:r>
      <w:r w:rsidR="00992292">
        <w:t xml:space="preserve"> were. All he says is that they were 1488kb and the screenshot on the SARS eFiling profile is given. There it states that according to SARS t</w:t>
      </w:r>
      <w:r w:rsidR="00583A67">
        <w:t>he Notice of Appeal was sent as were the</w:t>
      </w:r>
      <w:r w:rsidR="00992292">
        <w:t xml:space="preserve"> supporting documents</w:t>
      </w:r>
      <w:r w:rsidR="00992292">
        <w:rPr>
          <w:rStyle w:val="FootnoteReference"/>
        </w:rPr>
        <w:footnoteReference w:id="6"/>
      </w:r>
      <w:r w:rsidR="00F77A79">
        <w:t>. Mr Tromp says that these constitute the appellant’s grounds of appeal.</w:t>
      </w:r>
    </w:p>
    <w:p w14:paraId="0EB59EC2" w14:textId="77777777" w:rsidR="00217E17" w:rsidRDefault="00217E17" w:rsidP="00217E17">
      <w:pPr>
        <w:pStyle w:val="ListParagraph"/>
      </w:pPr>
    </w:p>
    <w:p w14:paraId="3850F9F1" w14:textId="2BB9424E" w:rsidR="00217E17" w:rsidRDefault="00702912" w:rsidP="00702912">
      <w:pPr>
        <w:spacing w:after="0" w:line="480" w:lineRule="auto"/>
        <w:jc w:val="both"/>
      </w:pPr>
      <w:r>
        <w:rPr>
          <w:rFonts w:hAnsi="Arial Unicode MS"/>
        </w:rPr>
        <w:t>[17]</w:t>
      </w:r>
      <w:r>
        <w:rPr>
          <w:rFonts w:hAnsi="Arial Unicode MS"/>
        </w:rPr>
        <w:tab/>
      </w:r>
      <w:r w:rsidR="00F77A79">
        <w:t>But the respondent has provided proof of the four documents that were submitted with the Notice of Appeal</w:t>
      </w:r>
      <w:r w:rsidR="00593C72">
        <w:t>. There were</w:t>
      </w:r>
      <w:r w:rsidR="008335C4">
        <w:t>:</w:t>
      </w:r>
      <w:r w:rsidR="00593C72">
        <w:t xml:space="preserve"> </w:t>
      </w:r>
    </w:p>
    <w:p w14:paraId="455BDECA" w14:textId="7257CB05" w:rsidR="00593C72" w:rsidRDefault="00702912" w:rsidP="00702912">
      <w:pPr>
        <w:spacing w:after="0" w:line="480" w:lineRule="auto"/>
        <w:ind w:left="1080" w:hanging="360"/>
        <w:jc w:val="both"/>
      </w:pPr>
      <w:r>
        <w:t>a)</w:t>
      </w:r>
      <w:r>
        <w:tab/>
      </w:r>
      <w:r w:rsidR="00593C72">
        <w:t>the identity document of one William Hermanus van Niekerk;</w:t>
      </w:r>
    </w:p>
    <w:p w14:paraId="57E19002" w14:textId="59F98AF6" w:rsidR="00593C72" w:rsidRDefault="00702912" w:rsidP="00702912">
      <w:pPr>
        <w:spacing w:after="0" w:line="480" w:lineRule="auto"/>
        <w:ind w:left="1080" w:hanging="360"/>
        <w:jc w:val="both"/>
      </w:pPr>
      <w:r>
        <w:t>b)</w:t>
      </w:r>
      <w:r>
        <w:tab/>
      </w:r>
      <w:r w:rsidR="00593C72">
        <w:t>the identity document of Mt Tromp;</w:t>
      </w:r>
    </w:p>
    <w:p w14:paraId="4D52461C" w14:textId="2AD225E2" w:rsidR="00593C72" w:rsidRDefault="00702912" w:rsidP="00702912">
      <w:pPr>
        <w:spacing w:after="0" w:line="480" w:lineRule="auto"/>
        <w:ind w:left="1080" w:hanging="360"/>
        <w:jc w:val="both"/>
      </w:pPr>
      <w:r>
        <w:t>c)</w:t>
      </w:r>
      <w:r>
        <w:tab/>
      </w:r>
      <w:r w:rsidR="00593C72">
        <w:t xml:space="preserve">a special power of attorney to the tax practitioner; and </w:t>
      </w:r>
    </w:p>
    <w:p w14:paraId="4DE51A36" w14:textId="22C902E3" w:rsidR="00593C72" w:rsidRDefault="00702912" w:rsidP="00702912">
      <w:pPr>
        <w:spacing w:after="0" w:line="480" w:lineRule="auto"/>
        <w:ind w:left="1080" w:hanging="360"/>
        <w:jc w:val="both"/>
      </w:pPr>
      <w:r>
        <w:t>d)</w:t>
      </w:r>
      <w:r>
        <w:tab/>
      </w:r>
      <w:r w:rsidR="00593C72">
        <w:t>a letter dated 4 July 2016.</w:t>
      </w:r>
    </w:p>
    <w:p w14:paraId="0BA99761" w14:textId="77777777" w:rsidR="00217E17" w:rsidRDefault="00217E17" w:rsidP="00217E17">
      <w:pPr>
        <w:pStyle w:val="ListParagraph"/>
      </w:pPr>
    </w:p>
    <w:p w14:paraId="58D1A90D" w14:textId="2A4BE225" w:rsidR="0055411D" w:rsidRDefault="00702912" w:rsidP="00702912">
      <w:pPr>
        <w:spacing w:after="0" w:line="480" w:lineRule="auto"/>
        <w:jc w:val="both"/>
      </w:pPr>
      <w:r>
        <w:rPr>
          <w:rFonts w:hAnsi="Arial Unicode MS"/>
        </w:rPr>
        <w:t>[18]</w:t>
      </w:r>
      <w:r>
        <w:rPr>
          <w:rFonts w:hAnsi="Arial Unicode MS"/>
        </w:rPr>
        <w:tab/>
      </w:r>
      <w:r w:rsidR="0055411D">
        <w:t>The letter dated 4 July 2016 states:</w:t>
      </w:r>
    </w:p>
    <w:p w14:paraId="3C2D0FF7" w14:textId="06A0E4EB" w:rsidR="002B4CCD" w:rsidRPr="00C06A6C" w:rsidRDefault="00C06A6C" w:rsidP="0055411D">
      <w:pPr>
        <w:pStyle w:val="ListParagraph"/>
        <w:spacing w:after="0" w:line="480" w:lineRule="auto"/>
        <w:jc w:val="both"/>
        <w:rPr>
          <w:i/>
        </w:rPr>
      </w:pPr>
      <w:r w:rsidRPr="00C06A6C">
        <w:rPr>
          <w:i/>
        </w:rPr>
        <w:t>“</w:t>
      </w:r>
      <w:r w:rsidR="002B4CCD" w:rsidRPr="00C06A6C">
        <w:rPr>
          <w:i/>
        </w:rPr>
        <w:t>I refer to your outcome letter dated 10 June 2016 notifying the taxpayer (“Dorking”) of the disallowance of the Objection (“NOO1”) submitted 5 May 2016.</w:t>
      </w:r>
    </w:p>
    <w:p w14:paraId="0F64EDF2" w14:textId="77777777" w:rsidR="002B4CCD" w:rsidRPr="00C06A6C" w:rsidRDefault="002B4CCD" w:rsidP="0055411D">
      <w:pPr>
        <w:pStyle w:val="ListParagraph"/>
        <w:spacing w:after="0" w:line="480" w:lineRule="auto"/>
        <w:jc w:val="both"/>
        <w:rPr>
          <w:i/>
        </w:rPr>
      </w:pPr>
      <w:r w:rsidRPr="00C06A6C">
        <w:rPr>
          <w:i/>
        </w:rPr>
        <w:t>I herewith confirm that I have been appointed by the taxpayer in terms of a Special Power of Attorney to advise and deal with the further processes as detailed in Chapter 99, Dispute Resolution, of the Tax Administration Act, Act 28 of 2011 (“TAACT”).</w:t>
      </w:r>
    </w:p>
    <w:p w14:paraId="32AFBCA4" w14:textId="3DCD600A" w:rsidR="002B4CCD" w:rsidRPr="00C06A6C" w:rsidRDefault="002B4CCD" w:rsidP="0055411D">
      <w:pPr>
        <w:pStyle w:val="ListParagraph"/>
        <w:spacing w:after="0" w:line="480" w:lineRule="auto"/>
        <w:jc w:val="both"/>
        <w:rPr>
          <w:i/>
        </w:rPr>
      </w:pPr>
      <w:r w:rsidRPr="00C06A6C">
        <w:rPr>
          <w:i/>
        </w:rPr>
        <w:t xml:space="preserve">The taxpayer feel aggrieved about the outcome of the NOO1 and are of the opinion that sadly, all the facts and circumstances have not been fully </w:t>
      </w:r>
      <w:r w:rsidRPr="00C06A6C">
        <w:rPr>
          <w:i/>
        </w:rPr>
        <w:lastRenderedPageBreak/>
        <w:t>understood and/or incorporated when the decision to disallow the NOO1 was considered.</w:t>
      </w:r>
    </w:p>
    <w:p w14:paraId="0AEA380D" w14:textId="7D276C9B" w:rsidR="00424EAB" w:rsidRPr="00C06A6C" w:rsidRDefault="00424EAB" w:rsidP="0055411D">
      <w:pPr>
        <w:pStyle w:val="ListParagraph"/>
        <w:spacing w:after="0" w:line="480" w:lineRule="auto"/>
        <w:jc w:val="both"/>
        <w:rPr>
          <w:i/>
        </w:rPr>
      </w:pPr>
      <w:r w:rsidRPr="00C06A6C">
        <w:rPr>
          <w:i/>
        </w:rPr>
        <w:t>In terms of sec 107(2) of the TAACT the company has a minimum of 45 business days in which to submit a Notice of Appeal (“NOA”) should the taxpayer feel aggrieved with the infavourable outcome of the NOO1. It also addresses the fact that there must be exceptional circumstances to warrant the later submission.</w:t>
      </w:r>
    </w:p>
    <w:p w14:paraId="6C7E6E44" w14:textId="10DA3522" w:rsidR="00424EAB" w:rsidRPr="00C06A6C" w:rsidRDefault="00424EAB" w:rsidP="0055411D">
      <w:pPr>
        <w:pStyle w:val="ListParagraph"/>
        <w:spacing w:after="0" w:line="480" w:lineRule="auto"/>
        <w:jc w:val="both"/>
        <w:rPr>
          <w:i/>
        </w:rPr>
      </w:pPr>
      <w:r w:rsidRPr="00C06A6C">
        <w:rPr>
          <w:i/>
        </w:rPr>
        <w:t>It is therefore desirous of the taxpayer to advise SARS accordingly that Dorking is in the process of preparing a NOA. However, due to the complexity of the matters as wella s materiality of the amounts in dispute, Dorking appointed additional service providers as well as ‘exceptional circumstances’. Furthermore, the Promotion of Administrative Justice Act 3 of 2000 (“PAJA”) also allow rights to the taxpayer in terms of a fair process.</w:t>
      </w:r>
    </w:p>
    <w:p w14:paraId="5573A5CA" w14:textId="2DA9DB88" w:rsidR="0055411D" w:rsidRPr="00C06A6C" w:rsidRDefault="000679FF" w:rsidP="00BF3750">
      <w:pPr>
        <w:pStyle w:val="ListParagraph"/>
        <w:spacing w:after="0" w:line="480" w:lineRule="auto"/>
        <w:jc w:val="both"/>
        <w:rPr>
          <w:i/>
        </w:rPr>
      </w:pPr>
      <w:r w:rsidRPr="00C06A6C">
        <w:rPr>
          <w:i/>
        </w:rPr>
        <w:t>Please note herewith our intention to submit an NOA within the taxp</w:t>
      </w:r>
      <w:r w:rsidR="00C06A6C" w:rsidRPr="00C06A6C">
        <w:rPr>
          <w:i/>
        </w:rPr>
        <w:t>ayer’s tights as per the TAACT.”</w:t>
      </w:r>
    </w:p>
    <w:p w14:paraId="492F4CB5" w14:textId="77777777" w:rsidR="00217E17" w:rsidRDefault="00217E17" w:rsidP="00217E17">
      <w:pPr>
        <w:pStyle w:val="ListParagraph"/>
      </w:pPr>
    </w:p>
    <w:p w14:paraId="690ECD32" w14:textId="701CB365" w:rsidR="00217E17" w:rsidRDefault="00702912" w:rsidP="00702912">
      <w:pPr>
        <w:spacing w:after="0" w:line="480" w:lineRule="auto"/>
        <w:jc w:val="both"/>
      </w:pPr>
      <w:r>
        <w:rPr>
          <w:rFonts w:hAnsi="Arial Unicode MS"/>
        </w:rPr>
        <w:t>[19]</w:t>
      </w:r>
      <w:r>
        <w:rPr>
          <w:rFonts w:hAnsi="Arial Unicode MS"/>
        </w:rPr>
        <w:tab/>
      </w:r>
      <w:r w:rsidR="00BF3750">
        <w:t xml:space="preserve">Thus, these being the documents received by SARS, no grounds of appeal </w:t>
      </w:r>
      <w:r w:rsidR="00901599">
        <w:t>were sent or received.</w:t>
      </w:r>
    </w:p>
    <w:p w14:paraId="18B65C93" w14:textId="77777777" w:rsidR="00217E17" w:rsidRDefault="00217E17" w:rsidP="00217E17">
      <w:pPr>
        <w:pStyle w:val="ListParagraph"/>
      </w:pPr>
    </w:p>
    <w:p w14:paraId="37851C60" w14:textId="7C314A5B" w:rsidR="00217E17" w:rsidRDefault="00702912" w:rsidP="00702912">
      <w:pPr>
        <w:spacing w:after="0" w:line="480" w:lineRule="auto"/>
        <w:jc w:val="both"/>
      </w:pPr>
      <w:r>
        <w:rPr>
          <w:rFonts w:hAnsi="Arial Unicode MS"/>
        </w:rPr>
        <w:t>[20]</w:t>
      </w:r>
      <w:r>
        <w:rPr>
          <w:rFonts w:hAnsi="Arial Unicode MS"/>
        </w:rPr>
        <w:tab/>
      </w:r>
      <w:r w:rsidR="00BF3750">
        <w:t xml:space="preserve">This being so, it is our view that the Tax Court correctly found that the respondent was not obliged to file a Rule 31 statement as no proper Notice of Appeal </w:t>
      </w:r>
      <w:r w:rsidR="00901599">
        <w:t xml:space="preserve">was </w:t>
      </w:r>
      <w:r w:rsidR="00BF3750">
        <w:t>filed in terms of Tax Court Rule</w:t>
      </w:r>
      <w:r w:rsidR="0070574E">
        <w:t xml:space="preserve"> 10(2)(a)</w:t>
      </w:r>
      <w:r w:rsidR="00901599">
        <w:t>,</w:t>
      </w:r>
      <w:r w:rsidR="0070574E">
        <w:t xml:space="preserve"> and it correctly dismissed the </w:t>
      </w:r>
      <w:r w:rsidR="00901599">
        <w:t xml:space="preserve">appellant’s </w:t>
      </w:r>
      <w:r w:rsidR="0070574E">
        <w:t xml:space="preserve">Rule 56 application. </w:t>
      </w:r>
    </w:p>
    <w:p w14:paraId="06DEFBD8" w14:textId="77777777" w:rsidR="00217E17" w:rsidRDefault="00217E17" w:rsidP="00217E17">
      <w:pPr>
        <w:pStyle w:val="ListParagraph"/>
      </w:pPr>
    </w:p>
    <w:p w14:paraId="71C59E96" w14:textId="638AE5AA" w:rsidR="00217E17" w:rsidRDefault="00702912" w:rsidP="00702912">
      <w:pPr>
        <w:spacing w:after="0" w:line="480" w:lineRule="auto"/>
        <w:jc w:val="both"/>
      </w:pPr>
      <w:r>
        <w:rPr>
          <w:rFonts w:hAnsi="Arial Unicode MS"/>
        </w:rPr>
        <w:t>[21]</w:t>
      </w:r>
      <w:r>
        <w:rPr>
          <w:rFonts w:hAnsi="Arial Unicode MS"/>
        </w:rPr>
        <w:tab/>
      </w:r>
      <w:r w:rsidR="00215360">
        <w:t>This being so</w:t>
      </w:r>
      <w:r w:rsidR="0070574E">
        <w:t xml:space="preserve"> the present appeal must, too, fail.</w:t>
      </w:r>
    </w:p>
    <w:p w14:paraId="5158CBB0" w14:textId="77777777" w:rsidR="0070574E" w:rsidRDefault="0070574E" w:rsidP="0070574E">
      <w:pPr>
        <w:pStyle w:val="ListParagraph"/>
      </w:pPr>
    </w:p>
    <w:p w14:paraId="633CA9E6" w14:textId="77777777" w:rsidR="000E5231" w:rsidRDefault="000E5231" w:rsidP="0070574E">
      <w:pPr>
        <w:pStyle w:val="ListParagraph"/>
        <w:spacing w:after="0" w:line="480" w:lineRule="auto"/>
        <w:ind w:left="0"/>
        <w:jc w:val="both"/>
        <w:rPr>
          <w:b/>
        </w:rPr>
      </w:pPr>
    </w:p>
    <w:p w14:paraId="3B935164" w14:textId="0988E16C" w:rsidR="0070574E" w:rsidRPr="0070574E" w:rsidRDefault="0070574E" w:rsidP="0070574E">
      <w:pPr>
        <w:pStyle w:val="ListParagraph"/>
        <w:spacing w:after="0" w:line="480" w:lineRule="auto"/>
        <w:ind w:left="0"/>
        <w:jc w:val="both"/>
        <w:rPr>
          <w:b/>
        </w:rPr>
      </w:pPr>
      <w:r w:rsidRPr="0070574E">
        <w:rPr>
          <w:b/>
        </w:rPr>
        <w:lastRenderedPageBreak/>
        <w:t>ORDER</w:t>
      </w:r>
    </w:p>
    <w:p w14:paraId="26B2A000" w14:textId="16C2E476" w:rsidR="00036264" w:rsidRDefault="00702912" w:rsidP="00702912">
      <w:pPr>
        <w:spacing w:after="0" w:line="480" w:lineRule="auto"/>
        <w:ind w:left="360" w:hanging="360"/>
        <w:jc w:val="both"/>
      </w:pPr>
      <w:r>
        <w:t>1.</w:t>
      </w:r>
      <w:r>
        <w:tab/>
      </w:r>
      <w:r w:rsidR="0070574E">
        <w:t>The appeal is dismissed with costs.</w:t>
      </w:r>
    </w:p>
    <w:p w14:paraId="72EAC19A" w14:textId="77777777" w:rsidR="00050E26" w:rsidRPr="007810C3" w:rsidRDefault="00050E26" w:rsidP="00050E26">
      <w:pPr>
        <w:pStyle w:val="ListParagraph"/>
        <w:spacing w:after="0" w:line="480" w:lineRule="auto"/>
        <w:ind w:left="360"/>
        <w:jc w:val="both"/>
      </w:pPr>
    </w:p>
    <w:p w14:paraId="3B6714A9" w14:textId="02271D4F" w:rsidR="004B0502" w:rsidRPr="00815BE4" w:rsidRDefault="0070574E" w:rsidP="0070574E">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Calibri" w:hAnsi="Calibri" w:cs="Calibri"/>
          <w:lang w:val="en-GB"/>
        </w:rPr>
      </w:pPr>
      <w:r>
        <w:rPr>
          <w:rFonts w:ascii="Calibri" w:hAnsi="Calibri" w:cs="Calibri"/>
          <w:noProof/>
          <w:lang w:eastAsia="en-ZA"/>
        </w:rPr>
        <w:tab/>
      </w:r>
      <w:r>
        <w:rPr>
          <w:rFonts w:ascii="Calibri" w:hAnsi="Calibri" w:cs="Calibri"/>
          <w:noProof/>
          <w:lang w:eastAsia="en-ZA"/>
        </w:rPr>
        <w:tab/>
      </w:r>
      <w:r>
        <w:rPr>
          <w:rFonts w:ascii="Calibri" w:hAnsi="Calibri" w:cs="Calibri"/>
          <w:noProof/>
          <w:lang w:eastAsia="en-ZA"/>
        </w:rPr>
        <w:tab/>
      </w:r>
      <w:r>
        <w:rPr>
          <w:rFonts w:ascii="Calibri" w:hAnsi="Calibri" w:cs="Calibri"/>
          <w:noProof/>
          <w:lang w:eastAsia="en-ZA"/>
        </w:rPr>
        <w:tab/>
      </w:r>
      <w:r>
        <w:rPr>
          <w:rFonts w:ascii="Calibri" w:hAnsi="Calibri" w:cs="Calibri"/>
          <w:noProof/>
          <w:lang w:eastAsia="en-ZA"/>
        </w:rPr>
        <w:tab/>
      </w:r>
      <w:r>
        <w:rPr>
          <w:rFonts w:ascii="Calibri" w:hAnsi="Calibri" w:cs="Calibri"/>
          <w:noProof/>
          <w:lang w:eastAsia="en-ZA"/>
        </w:rPr>
        <w:tab/>
      </w:r>
      <w:r>
        <w:rPr>
          <w:rFonts w:ascii="Calibri" w:hAnsi="Calibri" w:cs="Calibri"/>
          <w:noProof/>
          <w:lang w:eastAsia="en-ZA"/>
        </w:rPr>
        <w:tab/>
      </w:r>
      <w:r w:rsidR="004B0502">
        <w:rPr>
          <w:rFonts w:ascii="Calibri" w:hAnsi="Calibri" w:cs="Calibri"/>
          <w:noProof/>
          <w:lang w:eastAsia="en-ZA"/>
        </w:rPr>
        <w:t>___________________________</w:t>
      </w:r>
    </w:p>
    <w:p w14:paraId="7C90622C" w14:textId="77777777" w:rsidR="004B0502" w:rsidRDefault="004B0502" w:rsidP="004B050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b/>
          <w:lang w:val="en-GB"/>
        </w:rPr>
      </w:pPr>
      <w:r w:rsidRPr="00992F34">
        <w:rPr>
          <w:b/>
          <w:lang w:val="en-GB"/>
        </w:rPr>
        <w:t xml:space="preserve"> NEUKIRCHER J</w:t>
      </w:r>
    </w:p>
    <w:p w14:paraId="4A1321ED" w14:textId="77777777" w:rsidR="004B0502" w:rsidRPr="00992F34" w:rsidRDefault="004B0502" w:rsidP="004B050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b/>
          <w:lang w:val="en-GB"/>
        </w:rPr>
      </w:pPr>
      <w:r w:rsidRPr="00992F34">
        <w:rPr>
          <w:b/>
          <w:lang w:val="en-GB"/>
        </w:rPr>
        <w:t>JUDGE OF THE HIGH COURT</w:t>
      </w:r>
    </w:p>
    <w:p w14:paraId="5B096952" w14:textId="572FCA11" w:rsidR="004B0502" w:rsidRDefault="004B0502" w:rsidP="004B050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b/>
          <w:lang w:val="en-GB"/>
        </w:rPr>
      </w:pPr>
      <w:r w:rsidRPr="00992F34">
        <w:rPr>
          <w:b/>
          <w:lang w:val="en-GB"/>
        </w:rPr>
        <w:t>GAUTENG DIVISION, PRETORIA</w:t>
      </w:r>
    </w:p>
    <w:p w14:paraId="5F67C40B" w14:textId="125FD437" w:rsidR="003B2FED" w:rsidRDefault="00C76ABA" w:rsidP="00C76ABA">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rPr>
          <w:lang w:val="en-GB"/>
        </w:rPr>
      </w:pPr>
      <w:r w:rsidRPr="00C76ABA">
        <w:rPr>
          <w:lang w:val="en-GB"/>
        </w:rPr>
        <w:t>I agree</w:t>
      </w:r>
    </w:p>
    <w:p w14:paraId="015D0545" w14:textId="0936E6D6" w:rsidR="00C76ABA" w:rsidRDefault="00C76ABA" w:rsidP="00C76ABA">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rPr>
          <w:lang w:val="en-GB"/>
        </w:rPr>
      </w:pPr>
    </w:p>
    <w:p w14:paraId="1A42643B" w14:textId="77777777" w:rsidR="00C76ABA" w:rsidRPr="00C76ABA" w:rsidRDefault="00C76ABA" w:rsidP="00C76ABA">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rPr>
          <w:lang w:val="en-GB"/>
        </w:rPr>
      </w:pPr>
    </w:p>
    <w:p w14:paraId="229815F0" w14:textId="7AA79793" w:rsidR="003B2FED" w:rsidRPr="00815BE4" w:rsidRDefault="003B2FED" w:rsidP="003B2FED">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Calibri" w:hAnsi="Calibri" w:cs="Calibri"/>
          <w:lang w:val="en-GB"/>
        </w:rPr>
      </w:pPr>
      <w:r>
        <w:rPr>
          <w:rFonts w:ascii="Calibri" w:hAnsi="Calibri" w:cs="Calibri"/>
          <w:noProof/>
          <w:lang w:eastAsia="en-ZA"/>
        </w:rPr>
        <w:tab/>
      </w:r>
      <w:r>
        <w:rPr>
          <w:rFonts w:ascii="Calibri" w:hAnsi="Calibri" w:cs="Calibri"/>
          <w:noProof/>
          <w:lang w:eastAsia="en-ZA"/>
        </w:rPr>
        <w:tab/>
      </w:r>
      <w:r>
        <w:rPr>
          <w:rFonts w:ascii="Calibri" w:hAnsi="Calibri" w:cs="Calibri"/>
          <w:noProof/>
          <w:lang w:eastAsia="en-ZA"/>
        </w:rPr>
        <w:tab/>
      </w:r>
      <w:r>
        <w:rPr>
          <w:rFonts w:ascii="Calibri" w:hAnsi="Calibri" w:cs="Calibri"/>
          <w:noProof/>
          <w:lang w:eastAsia="en-ZA"/>
        </w:rPr>
        <w:tab/>
      </w:r>
      <w:r>
        <w:rPr>
          <w:rFonts w:ascii="Calibri" w:hAnsi="Calibri" w:cs="Calibri"/>
          <w:noProof/>
          <w:lang w:eastAsia="en-ZA"/>
        </w:rPr>
        <w:tab/>
      </w:r>
      <w:r>
        <w:rPr>
          <w:rFonts w:ascii="Calibri" w:hAnsi="Calibri" w:cs="Calibri"/>
          <w:noProof/>
          <w:lang w:eastAsia="en-ZA"/>
        </w:rPr>
        <w:tab/>
      </w:r>
      <w:r>
        <w:rPr>
          <w:rFonts w:ascii="Calibri" w:hAnsi="Calibri" w:cs="Calibri"/>
          <w:noProof/>
          <w:lang w:eastAsia="en-ZA"/>
        </w:rPr>
        <w:tab/>
        <w:t>___________________________</w:t>
      </w:r>
    </w:p>
    <w:p w14:paraId="3F8E5149" w14:textId="4B19AC2C" w:rsidR="003B2FED" w:rsidRDefault="003B2FED" w:rsidP="003B2FED">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b/>
          <w:lang w:val="en-GB"/>
        </w:rPr>
      </w:pPr>
      <w:r>
        <w:rPr>
          <w:b/>
          <w:lang w:val="en-GB"/>
        </w:rPr>
        <w:t xml:space="preserve"> HOLLAND-MUTER</w:t>
      </w:r>
      <w:r w:rsidRPr="00992F34">
        <w:rPr>
          <w:b/>
          <w:lang w:val="en-GB"/>
        </w:rPr>
        <w:t xml:space="preserve"> J</w:t>
      </w:r>
    </w:p>
    <w:p w14:paraId="51D120BB" w14:textId="77777777" w:rsidR="003B2FED" w:rsidRPr="00992F34" w:rsidRDefault="003B2FED" w:rsidP="003B2FED">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b/>
          <w:lang w:val="en-GB"/>
        </w:rPr>
      </w:pPr>
      <w:r w:rsidRPr="00992F34">
        <w:rPr>
          <w:b/>
          <w:lang w:val="en-GB"/>
        </w:rPr>
        <w:t>JUDGE OF THE HIGH COURT</w:t>
      </w:r>
    </w:p>
    <w:p w14:paraId="5EE17D26" w14:textId="77777777" w:rsidR="003B2FED" w:rsidRDefault="003B2FED" w:rsidP="003B2FED">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b/>
          <w:lang w:val="en-GB"/>
        </w:rPr>
      </w:pPr>
      <w:r w:rsidRPr="00992F34">
        <w:rPr>
          <w:b/>
          <w:lang w:val="en-GB"/>
        </w:rPr>
        <w:t>GAUTENG DIVISION, PRETORIA</w:t>
      </w:r>
    </w:p>
    <w:p w14:paraId="16869ED8" w14:textId="2D9EE18E" w:rsidR="003B2FED" w:rsidRPr="00C76ABA" w:rsidRDefault="00C76ABA" w:rsidP="00C76ABA">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rPr>
          <w:lang w:val="en-GB"/>
        </w:rPr>
      </w:pPr>
      <w:r w:rsidRPr="00C76ABA">
        <w:rPr>
          <w:lang w:val="en-GB"/>
        </w:rPr>
        <w:t>I agree</w:t>
      </w:r>
    </w:p>
    <w:p w14:paraId="609E7681" w14:textId="246297EC" w:rsidR="003B2FED" w:rsidRDefault="003B2FED" w:rsidP="004B050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b/>
          <w:lang w:val="en-GB"/>
        </w:rPr>
      </w:pPr>
    </w:p>
    <w:p w14:paraId="1AB4ADF9" w14:textId="5CEBEC8D" w:rsidR="00C76ABA" w:rsidRDefault="00C76ABA" w:rsidP="00050E26">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rPr>
          <w:b/>
          <w:lang w:val="en-GB"/>
        </w:rPr>
      </w:pPr>
    </w:p>
    <w:p w14:paraId="4D86C966" w14:textId="636ED2DC" w:rsidR="003B2FED" w:rsidRPr="00815BE4" w:rsidRDefault="003B2FED" w:rsidP="003B2FED">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Calibri" w:hAnsi="Calibri" w:cs="Calibri"/>
          <w:lang w:val="en-GB"/>
        </w:rPr>
      </w:pPr>
      <w:r>
        <w:rPr>
          <w:rFonts w:ascii="Calibri" w:hAnsi="Calibri" w:cs="Calibri"/>
          <w:noProof/>
          <w:lang w:eastAsia="en-ZA"/>
        </w:rPr>
        <w:tab/>
      </w:r>
      <w:r>
        <w:rPr>
          <w:rFonts w:ascii="Calibri" w:hAnsi="Calibri" w:cs="Calibri"/>
          <w:noProof/>
          <w:lang w:eastAsia="en-ZA"/>
        </w:rPr>
        <w:tab/>
      </w:r>
      <w:r>
        <w:rPr>
          <w:rFonts w:ascii="Calibri" w:hAnsi="Calibri" w:cs="Calibri"/>
          <w:noProof/>
          <w:lang w:eastAsia="en-ZA"/>
        </w:rPr>
        <w:tab/>
      </w:r>
      <w:r>
        <w:rPr>
          <w:rFonts w:ascii="Calibri" w:hAnsi="Calibri" w:cs="Calibri"/>
          <w:noProof/>
          <w:lang w:eastAsia="en-ZA"/>
        </w:rPr>
        <w:tab/>
      </w:r>
      <w:r>
        <w:rPr>
          <w:rFonts w:ascii="Calibri" w:hAnsi="Calibri" w:cs="Calibri"/>
          <w:noProof/>
          <w:lang w:eastAsia="en-ZA"/>
        </w:rPr>
        <w:tab/>
      </w:r>
      <w:r>
        <w:rPr>
          <w:rFonts w:ascii="Calibri" w:hAnsi="Calibri" w:cs="Calibri"/>
          <w:noProof/>
          <w:lang w:eastAsia="en-ZA"/>
        </w:rPr>
        <w:tab/>
      </w:r>
      <w:r>
        <w:rPr>
          <w:rFonts w:ascii="Calibri" w:hAnsi="Calibri" w:cs="Calibri"/>
          <w:noProof/>
          <w:lang w:eastAsia="en-ZA"/>
        </w:rPr>
        <w:tab/>
        <w:t>___________________________</w:t>
      </w:r>
    </w:p>
    <w:p w14:paraId="46E91C0E" w14:textId="36C6D08B" w:rsidR="003B2FED" w:rsidRDefault="003B2FED" w:rsidP="003B2FED">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b/>
          <w:lang w:val="en-GB"/>
        </w:rPr>
      </w:pPr>
      <w:r w:rsidRPr="00992F34">
        <w:rPr>
          <w:b/>
          <w:lang w:val="en-GB"/>
        </w:rPr>
        <w:t xml:space="preserve"> </w:t>
      </w:r>
      <w:r>
        <w:rPr>
          <w:b/>
          <w:lang w:val="en-GB"/>
        </w:rPr>
        <w:t>MOOKI AJ</w:t>
      </w:r>
    </w:p>
    <w:p w14:paraId="77E6224B" w14:textId="68BB144D" w:rsidR="003B2FED" w:rsidRPr="00992F34" w:rsidRDefault="003B2FED" w:rsidP="003B2FED">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b/>
          <w:lang w:val="en-GB"/>
        </w:rPr>
      </w:pPr>
      <w:r>
        <w:rPr>
          <w:b/>
          <w:lang w:val="en-GB"/>
        </w:rPr>
        <w:t xml:space="preserve">ACTING </w:t>
      </w:r>
      <w:r w:rsidRPr="00992F34">
        <w:rPr>
          <w:b/>
          <w:lang w:val="en-GB"/>
        </w:rPr>
        <w:t>JUDGE OF THE HIGH COURT</w:t>
      </w:r>
    </w:p>
    <w:p w14:paraId="54488CEA" w14:textId="15D5870E" w:rsidR="003B2FED" w:rsidRDefault="003B2FED" w:rsidP="00050E26">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b/>
          <w:lang w:val="en-GB"/>
        </w:rPr>
      </w:pPr>
      <w:r w:rsidRPr="00992F34">
        <w:rPr>
          <w:b/>
          <w:lang w:val="en-GB"/>
        </w:rPr>
        <w:t>GAUTENG DIVISION, PRETORIA</w:t>
      </w:r>
    </w:p>
    <w:p w14:paraId="131A6208" w14:textId="77777777" w:rsidR="004B0502" w:rsidRDefault="004B0502" w:rsidP="004B050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both"/>
        <w:rPr>
          <w:lang w:val="en-GB"/>
        </w:rPr>
      </w:pPr>
    </w:p>
    <w:p w14:paraId="762F8E51" w14:textId="7A4DB637" w:rsidR="004B0502" w:rsidRPr="00050E26" w:rsidRDefault="004B0502" w:rsidP="004B050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both"/>
        <w:rPr>
          <w:sz w:val="20"/>
          <w:szCs w:val="20"/>
          <w:lang w:val="en-GB"/>
        </w:rPr>
      </w:pPr>
      <w:r w:rsidRPr="00050E26">
        <w:rPr>
          <w:sz w:val="20"/>
          <w:szCs w:val="20"/>
          <w:lang w:val="en-GB"/>
        </w:rPr>
        <w:t xml:space="preserve">Delivered:  This judgment was prepared and authored by the Judge whose name </w:t>
      </w:r>
      <w:r w:rsidR="00FB7367" w:rsidRPr="00050E26">
        <w:rPr>
          <w:sz w:val="20"/>
          <w:szCs w:val="20"/>
          <w:lang w:val="en-GB"/>
        </w:rPr>
        <w:t>is</w:t>
      </w:r>
      <w:r w:rsidRPr="00050E26">
        <w:rPr>
          <w:sz w:val="20"/>
          <w:szCs w:val="20"/>
          <w:lang w:val="en-GB"/>
        </w:rPr>
        <w:t xml:space="preserve"> reflected and is handed down electronically by circulation to the parties/their legal representatives by email and by uploading it to the electronic file of this matter on CaseLines.  The date for hand-down is deemed to be </w:t>
      </w:r>
      <w:r w:rsidR="004E4B5B" w:rsidRPr="00050E26">
        <w:rPr>
          <w:sz w:val="20"/>
          <w:szCs w:val="20"/>
          <w:lang w:val="en-GB"/>
        </w:rPr>
        <w:t>_____ January 2024</w:t>
      </w:r>
    </w:p>
    <w:p w14:paraId="1973A939" w14:textId="77777777" w:rsidR="004B0502" w:rsidRDefault="004B0502" w:rsidP="004B0502">
      <w:pPr>
        <w:widowControl w:val="0"/>
        <w:autoSpaceDE w:val="0"/>
        <w:autoSpaceDN w:val="0"/>
        <w:adjustRightInd w:val="0"/>
        <w:spacing w:after="0" w:line="360" w:lineRule="auto"/>
        <w:jc w:val="both"/>
      </w:pPr>
    </w:p>
    <w:p w14:paraId="0F9F933B" w14:textId="6813BF6A" w:rsidR="004B0502" w:rsidRPr="00050E26" w:rsidRDefault="004B0502" w:rsidP="00C63292">
      <w:pPr>
        <w:widowControl w:val="0"/>
        <w:autoSpaceDE w:val="0"/>
        <w:autoSpaceDN w:val="0"/>
        <w:adjustRightInd w:val="0"/>
        <w:spacing w:after="0" w:line="360" w:lineRule="auto"/>
        <w:ind w:left="3600" w:hanging="3600"/>
        <w:jc w:val="both"/>
        <w:rPr>
          <w:sz w:val="20"/>
          <w:szCs w:val="20"/>
        </w:rPr>
      </w:pPr>
      <w:r w:rsidRPr="00050E26">
        <w:rPr>
          <w:sz w:val="20"/>
          <w:szCs w:val="20"/>
        </w:rPr>
        <w:t>For the appellant</w:t>
      </w:r>
      <w:r w:rsidRPr="00050E26">
        <w:rPr>
          <w:sz w:val="20"/>
          <w:szCs w:val="20"/>
        </w:rPr>
        <w:tab/>
        <w:t xml:space="preserve">: </w:t>
      </w:r>
      <w:r w:rsidRPr="00050E26">
        <w:rPr>
          <w:sz w:val="20"/>
          <w:szCs w:val="20"/>
        </w:rPr>
        <w:tab/>
      </w:r>
      <w:r w:rsidR="00B935FC" w:rsidRPr="00050E26">
        <w:rPr>
          <w:sz w:val="20"/>
          <w:szCs w:val="20"/>
        </w:rPr>
        <w:t>ADV PA SWANEPOEL</w:t>
      </w:r>
      <w:r w:rsidR="00B935FC" w:rsidRPr="00050E26">
        <w:rPr>
          <w:sz w:val="20"/>
          <w:szCs w:val="20"/>
        </w:rPr>
        <w:tab/>
      </w:r>
      <w:r w:rsidR="00B935FC" w:rsidRPr="00050E26">
        <w:rPr>
          <w:sz w:val="20"/>
          <w:szCs w:val="20"/>
        </w:rPr>
        <w:tab/>
      </w:r>
    </w:p>
    <w:p w14:paraId="77E00756" w14:textId="65C4C4E9" w:rsidR="004B0502" w:rsidRPr="00050E26" w:rsidRDefault="004B0502" w:rsidP="004B0502">
      <w:pPr>
        <w:widowControl w:val="0"/>
        <w:autoSpaceDE w:val="0"/>
        <w:autoSpaceDN w:val="0"/>
        <w:adjustRightInd w:val="0"/>
        <w:spacing w:after="0" w:line="360" w:lineRule="auto"/>
        <w:jc w:val="both"/>
        <w:rPr>
          <w:sz w:val="20"/>
          <w:szCs w:val="20"/>
        </w:rPr>
      </w:pPr>
      <w:r w:rsidRPr="00050E26">
        <w:rPr>
          <w:sz w:val="20"/>
          <w:szCs w:val="20"/>
        </w:rPr>
        <w:t>Instructed by</w:t>
      </w:r>
      <w:r w:rsidRPr="00050E26">
        <w:rPr>
          <w:sz w:val="20"/>
          <w:szCs w:val="20"/>
        </w:rPr>
        <w:tab/>
      </w:r>
      <w:r w:rsidRPr="00050E26">
        <w:rPr>
          <w:sz w:val="20"/>
          <w:szCs w:val="20"/>
        </w:rPr>
        <w:tab/>
      </w:r>
      <w:r w:rsidRPr="00050E26">
        <w:rPr>
          <w:sz w:val="20"/>
          <w:szCs w:val="20"/>
        </w:rPr>
        <w:tab/>
      </w:r>
      <w:r w:rsidRPr="00050E26">
        <w:rPr>
          <w:sz w:val="20"/>
          <w:szCs w:val="20"/>
        </w:rPr>
        <w:tab/>
        <w:t>:</w:t>
      </w:r>
      <w:r w:rsidRPr="00050E26">
        <w:rPr>
          <w:sz w:val="20"/>
          <w:szCs w:val="20"/>
        </w:rPr>
        <w:tab/>
      </w:r>
      <w:r w:rsidR="00B935FC" w:rsidRPr="00050E26">
        <w:rPr>
          <w:sz w:val="20"/>
          <w:szCs w:val="20"/>
        </w:rPr>
        <w:t>JI VAN NIEKERK INC</w:t>
      </w:r>
    </w:p>
    <w:p w14:paraId="06C3CE8C" w14:textId="5368E54E" w:rsidR="004B0502" w:rsidRPr="00050E26" w:rsidRDefault="004B0502" w:rsidP="00C63292">
      <w:pPr>
        <w:widowControl w:val="0"/>
        <w:autoSpaceDE w:val="0"/>
        <w:autoSpaceDN w:val="0"/>
        <w:adjustRightInd w:val="0"/>
        <w:spacing w:after="0" w:line="360" w:lineRule="auto"/>
        <w:jc w:val="both"/>
        <w:rPr>
          <w:sz w:val="20"/>
          <w:szCs w:val="20"/>
        </w:rPr>
      </w:pPr>
      <w:r w:rsidRPr="00050E26">
        <w:rPr>
          <w:sz w:val="20"/>
          <w:szCs w:val="20"/>
        </w:rPr>
        <w:t>For the respondent</w:t>
      </w:r>
      <w:r w:rsidRPr="00050E26">
        <w:rPr>
          <w:sz w:val="20"/>
          <w:szCs w:val="20"/>
        </w:rPr>
        <w:tab/>
      </w:r>
      <w:r w:rsidRPr="00050E26">
        <w:rPr>
          <w:sz w:val="20"/>
          <w:szCs w:val="20"/>
        </w:rPr>
        <w:tab/>
      </w:r>
      <w:r w:rsidRPr="00050E26">
        <w:rPr>
          <w:sz w:val="20"/>
          <w:szCs w:val="20"/>
        </w:rPr>
        <w:tab/>
        <w:t>:</w:t>
      </w:r>
      <w:r w:rsidRPr="00050E26">
        <w:rPr>
          <w:sz w:val="20"/>
          <w:szCs w:val="20"/>
        </w:rPr>
        <w:tab/>
      </w:r>
      <w:r w:rsidR="00B935FC" w:rsidRPr="00050E26">
        <w:rPr>
          <w:sz w:val="20"/>
          <w:szCs w:val="20"/>
        </w:rPr>
        <w:t>ADV HASKINS</w:t>
      </w:r>
    </w:p>
    <w:p w14:paraId="09CE2875" w14:textId="2EB97E7A" w:rsidR="004B0502" w:rsidRPr="00050E26" w:rsidRDefault="004B0502" w:rsidP="004B0502">
      <w:pPr>
        <w:widowControl w:val="0"/>
        <w:autoSpaceDE w:val="0"/>
        <w:autoSpaceDN w:val="0"/>
        <w:adjustRightInd w:val="0"/>
        <w:spacing w:after="0" w:line="360" w:lineRule="auto"/>
        <w:jc w:val="both"/>
        <w:rPr>
          <w:sz w:val="20"/>
          <w:szCs w:val="20"/>
        </w:rPr>
      </w:pPr>
      <w:r w:rsidRPr="00050E26">
        <w:rPr>
          <w:sz w:val="20"/>
          <w:szCs w:val="20"/>
        </w:rPr>
        <w:t>Instructed by</w:t>
      </w:r>
      <w:r w:rsidRPr="00050E26">
        <w:rPr>
          <w:sz w:val="20"/>
          <w:szCs w:val="20"/>
        </w:rPr>
        <w:tab/>
      </w:r>
      <w:r w:rsidRPr="00050E26">
        <w:rPr>
          <w:sz w:val="20"/>
          <w:szCs w:val="20"/>
        </w:rPr>
        <w:tab/>
      </w:r>
      <w:r w:rsidRPr="00050E26">
        <w:rPr>
          <w:sz w:val="20"/>
          <w:szCs w:val="20"/>
        </w:rPr>
        <w:tab/>
      </w:r>
      <w:r w:rsidRPr="00050E26">
        <w:rPr>
          <w:sz w:val="20"/>
          <w:szCs w:val="20"/>
        </w:rPr>
        <w:tab/>
        <w:t xml:space="preserve">: </w:t>
      </w:r>
      <w:r w:rsidRPr="00050E26">
        <w:rPr>
          <w:sz w:val="20"/>
          <w:szCs w:val="20"/>
        </w:rPr>
        <w:tab/>
      </w:r>
      <w:r w:rsidR="00B935FC" w:rsidRPr="00050E26">
        <w:rPr>
          <w:sz w:val="20"/>
          <w:szCs w:val="20"/>
        </w:rPr>
        <w:t>S MANAKA</w:t>
      </w:r>
    </w:p>
    <w:p w14:paraId="44F2C4F4" w14:textId="04A38F18" w:rsidR="004B0502" w:rsidRPr="00050E26" w:rsidRDefault="004B0502" w:rsidP="004B0502">
      <w:pPr>
        <w:widowControl w:val="0"/>
        <w:autoSpaceDE w:val="0"/>
        <w:autoSpaceDN w:val="0"/>
        <w:adjustRightInd w:val="0"/>
        <w:spacing w:after="0" w:line="360" w:lineRule="auto"/>
        <w:jc w:val="both"/>
        <w:rPr>
          <w:sz w:val="20"/>
          <w:szCs w:val="20"/>
        </w:rPr>
      </w:pPr>
      <w:r w:rsidRPr="00050E26">
        <w:rPr>
          <w:sz w:val="20"/>
          <w:szCs w:val="20"/>
        </w:rPr>
        <w:t xml:space="preserve">Matter heard on      </w:t>
      </w:r>
      <w:r w:rsidRPr="00050E26">
        <w:rPr>
          <w:sz w:val="20"/>
          <w:szCs w:val="20"/>
        </w:rPr>
        <w:tab/>
      </w:r>
      <w:r w:rsidRPr="00050E26">
        <w:rPr>
          <w:sz w:val="20"/>
          <w:szCs w:val="20"/>
        </w:rPr>
        <w:tab/>
      </w:r>
      <w:r w:rsidRPr="00050E26">
        <w:rPr>
          <w:sz w:val="20"/>
          <w:szCs w:val="20"/>
        </w:rPr>
        <w:tab/>
        <w:t xml:space="preserve">: </w:t>
      </w:r>
      <w:r w:rsidRPr="00050E26">
        <w:rPr>
          <w:sz w:val="20"/>
          <w:szCs w:val="20"/>
        </w:rPr>
        <w:tab/>
      </w:r>
      <w:r w:rsidR="00B935FC" w:rsidRPr="00050E26">
        <w:rPr>
          <w:sz w:val="20"/>
          <w:szCs w:val="20"/>
        </w:rPr>
        <w:t>30 AUGUST 2023</w:t>
      </w:r>
    </w:p>
    <w:p w14:paraId="4EC83A23" w14:textId="7A3D1936" w:rsidR="004B0502" w:rsidRPr="00050E26" w:rsidRDefault="004B0502" w:rsidP="00E37AE9">
      <w:pPr>
        <w:widowControl w:val="0"/>
        <w:autoSpaceDE w:val="0"/>
        <w:autoSpaceDN w:val="0"/>
        <w:adjustRightInd w:val="0"/>
        <w:spacing w:after="0" w:line="360" w:lineRule="auto"/>
        <w:jc w:val="both"/>
        <w:rPr>
          <w:sz w:val="20"/>
          <w:szCs w:val="20"/>
        </w:rPr>
      </w:pPr>
      <w:r w:rsidRPr="00050E26">
        <w:rPr>
          <w:sz w:val="20"/>
          <w:szCs w:val="20"/>
        </w:rPr>
        <w:t>Judgment date</w:t>
      </w:r>
      <w:r w:rsidRPr="00050E26">
        <w:rPr>
          <w:sz w:val="20"/>
          <w:szCs w:val="20"/>
        </w:rPr>
        <w:tab/>
      </w:r>
      <w:r w:rsidRPr="00050E26">
        <w:rPr>
          <w:sz w:val="20"/>
          <w:szCs w:val="20"/>
        </w:rPr>
        <w:tab/>
      </w:r>
      <w:r w:rsidRPr="00050E26">
        <w:rPr>
          <w:sz w:val="20"/>
          <w:szCs w:val="20"/>
        </w:rPr>
        <w:tab/>
      </w:r>
      <w:r w:rsidRPr="00050E26">
        <w:rPr>
          <w:sz w:val="20"/>
          <w:szCs w:val="20"/>
        </w:rPr>
        <w:tab/>
        <w:t>:</w:t>
      </w:r>
      <w:r w:rsidRPr="00050E26">
        <w:rPr>
          <w:sz w:val="20"/>
          <w:szCs w:val="20"/>
        </w:rPr>
        <w:tab/>
      </w:r>
      <w:r w:rsidR="00050E26">
        <w:rPr>
          <w:sz w:val="20"/>
          <w:szCs w:val="20"/>
        </w:rPr>
        <w:t>___ JANUARY 2024</w:t>
      </w:r>
    </w:p>
    <w:sectPr w:rsidR="004B0502" w:rsidRPr="00050E2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7902B" w14:textId="77777777" w:rsidR="00807C00" w:rsidRDefault="00807C00" w:rsidP="00EE0C65">
      <w:pPr>
        <w:spacing w:after="0" w:line="240" w:lineRule="auto"/>
      </w:pPr>
      <w:r>
        <w:separator/>
      </w:r>
    </w:p>
  </w:endnote>
  <w:endnote w:type="continuationSeparator" w:id="0">
    <w:p w14:paraId="41235A92" w14:textId="77777777" w:rsidR="00807C00" w:rsidRDefault="00807C00" w:rsidP="00EE0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F038E" w14:textId="77777777" w:rsidR="00807C00" w:rsidRDefault="00807C00" w:rsidP="00EE0C65">
      <w:pPr>
        <w:spacing w:after="0" w:line="240" w:lineRule="auto"/>
      </w:pPr>
      <w:r>
        <w:separator/>
      </w:r>
    </w:p>
  </w:footnote>
  <w:footnote w:type="continuationSeparator" w:id="0">
    <w:p w14:paraId="23C8657B" w14:textId="77777777" w:rsidR="00807C00" w:rsidRDefault="00807C00" w:rsidP="00EE0C65">
      <w:pPr>
        <w:spacing w:after="0" w:line="240" w:lineRule="auto"/>
      </w:pPr>
      <w:r>
        <w:continuationSeparator/>
      </w:r>
    </w:p>
  </w:footnote>
  <w:footnote w:id="1">
    <w:p w14:paraId="54A783C1" w14:textId="6D4DDF84" w:rsidR="004E32A5" w:rsidRDefault="004E32A5">
      <w:pPr>
        <w:pStyle w:val="FootnoteText"/>
      </w:pPr>
      <w:r>
        <w:rPr>
          <w:rStyle w:val="FootnoteReference"/>
        </w:rPr>
        <w:footnoteRef/>
      </w:r>
      <w:r>
        <w:t xml:space="preserve"> Sitting as the Tax Court a quo</w:t>
      </w:r>
    </w:p>
  </w:footnote>
  <w:footnote w:id="2">
    <w:p w14:paraId="67EC3C1A" w14:textId="6F14CDB8" w:rsidR="0063222B" w:rsidRDefault="0063222B">
      <w:pPr>
        <w:pStyle w:val="FootnoteText"/>
      </w:pPr>
      <w:r>
        <w:rPr>
          <w:rStyle w:val="FootnoteReference"/>
        </w:rPr>
        <w:footnoteRef/>
      </w:r>
      <w:r>
        <w:t xml:space="preserve"> Rule 49(6)(a)</w:t>
      </w:r>
    </w:p>
  </w:footnote>
  <w:footnote w:id="3">
    <w:p w14:paraId="53D151F5" w14:textId="2ECD4FDD" w:rsidR="00310A54" w:rsidRDefault="00310A54">
      <w:pPr>
        <w:pStyle w:val="FootnoteText"/>
      </w:pPr>
      <w:r>
        <w:rPr>
          <w:rStyle w:val="FootnoteReference"/>
        </w:rPr>
        <w:footnoteRef/>
      </w:r>
      <w:r>
        <w:t xml:space="preserve"> In addition, an under</w:t>
      </w:r>
      <w:r w:rsidR="00406CB2">
        <w:t>statement penalty and interest wa</w:t>
      </w:r>
      <w:r>
        <w:t>s payable by appellant.</w:t>
      </w:r>
    </w:p>
  </w:footnote>
  <w:footnote w:id="4">
    <w:p w14:paraId="2C4B87A8" w14:textId="77777777" w:rsidR="0006784C" w:rsidRPr="0006784C" w:rsidRDefault="00435D60" w:rsidP="0006784C">
      <w:pPr>
        <w:spacing w:after="0" w:line="240" w:lineRule="auto"/>
        <w:jc w:val="both"/>
        <w:rPr>
          <w:sz w:val="20"/>
          <w:szCs w:val="20"/>
        </w:rPr>
      </w:pPr>
      <w:r w:rsidRPr="0006784C">
        <w:rPr>
          <w:rStyle w:val="FootnoteReference"/>
          <w:sz w:val="20"/>
          <w:szCs w:val="20"/>
        </w:rPr>
        <w:footnoteRef/>
      </w:r>
      <w:r w:rsidRPr="0006784C">
        <w:rPr>
          <w:sz w:val="20"/>
          <w:szCs w:val="20"/>
        </w:rPr>
        <w:t xml:space="preserve"> Section 10</w:t>
      </w:r>
      <w:r w:rsidR="0006784C" w:rsidRPr="0006784C">
        <w:rPr>
          <w:sz w:val="20"/>
          <w:szCs w:val="20"/>
        </w:rPr>
        <w:t>2</w:t>
      </w:r>
      <w:r w:rsidRPr="0006784C">
        <w:rPr>
          <w:sz w:val="20"/>
          <w:szCs w:val="20"/>
        </w:rPr>
        <w:t xml:space="preserve"> states: </w:t>
      </w:r>
    </w:p>
    <w:p w14:paraId="37AD345C" w14:textId="77777777" w:rsidR="00E021BD" w:rsidRDefault="0006784C" w:rsidP="0006784C">
      <w:pPr>
        <w:spacing w:after="0" w:line="240" w:lineRule="auto"/>
        <w:jc w:val="both"/>
        <w:rPr>
          <w:sz w:val="20"/>
          <w:szCs w:val="20"/>
        </w:rPr>
      </w:pPr>
      <w:r w:rsidRPr="0006784C">
        <w:rPr>
          <w:sz w:val="20"/>
          <w:szCs w:val="20"/>
        </w:rPr>
        <w:t>(1) A taxpayer bears the burden of proving— (a) that an amount, transaction, event or item is exempt or otherwise not taxable; (b) that an amount or item is deductible or may be set-off; (c) the rate of tax applicable to a transaction, event, item or class of tax</w:t>
      </w:r>
      <w:r>
        <w:rPr>
          <w:sz w:val="20"/>
          <w:szCs w:val="20"/>
        </w:rPr>
        <w:t>payer; (d) that an amount qualifi</w:t>
      </w:r>
      <w:r w:rsidRPr="0006784C">
        <w:rPr>
          <w:sz w:val="20"/>
          <w:szCs w:val="20"/>
        </w:rPr>
        <w:t xml:space="preserve">es as a reduction of tax payable; (e) that a valuation is correct; or (f) whether a ‘decision’ that is subject to objection and appeal under a tax Act, is incorrect. </w:t>
      </w:r>
    </w:p>
    <w:p w14:paraId="2F06F91A" w14:textId="27A67397" w:rsidR="0006784C" w:rsidRPr="0006784C" w:rsidRDefault="0006784C" w:rsidP="0006784C">
      <w:pPr>
        <w:spacing w:after="0" w:line="240" w:lineRule="auto"/>
        <w:jc w:val="both"/>
        <w:rPr>
          <w:sz w:val="20"/>
          <w:szCs w:val="20"/>
        </w:rPr>
      </w:pPr>
      <w:r w:rsidRPr="0006784C">
        <w:rPr>
          <w:sz w:val="20"/>
          <w:szCs w:val="20"/>
        </w:rPr>
        <w:t>(2) The burden of proving whether an estimate under section 95 is reasonable or the facts on which SARS based the imposition of an understatement penalty under Chapter 16, is upon SARS.</w:t>
      </w:r>
    </w:p>
    <w:p w14:paraId="67DEC095" w14:textId="4DA2FC9B" w:rsidR="00435D60" w:rsidRDefault="00435D60">
      <w:pPr>
        <w:pStyle w:val="FootnoteText"/>
      </w:pPr>
    </w:p>
  </w:footnote>
  <w:footnote w:id="5">
    <w:p w14:paraId="7BA76D2A" w14:textId="77777777" w:rsidR="00A64F93" w:rsidRDefault="00C05D56" w:rsidP="00A64F93">
      <w:pPr>
        <w:pStyle w:val="FootnoteText"/>
      </w:pPr>
      <w:r w:rsidRPr="00984C07">
        <w:rPr>
          <w:rStyle w:val="FootnoteReference"/>
        </w:rPr>
        <w:footnoteRef/>
      </w:r>
      <w:r w:rsidRPr="00984C07">
        <w:t xml:space="preserve"> </w:t>
      </w:r>
      <w:r w:rsidR="00A64F93">
        <w:t xml:space="preserve">56. Application for default judgment in the event of non-compliance with rules </w:t>
      </w:r>
    </w:p>
    <w:p w14:paraId="6113EC2D" w14:textId="77777777" w:rsidR="00A64F93" w:rsidRDefault="00A64F93" w:rsidP="00A64F93">
      <w:pPr>
        <w:pStyle w:val="FootnoteText"/>
      </w:pPr>
      <w:r>
        <w:t xml:space="preserve">(1) If a party has failed to comply with a period or obligation prescribed under these rules or an order by the tax court under this Part, the other party may— </w:t>
      </w:r>
    </w:p>
    <w:p w14:paraId="5458675E" w14:textId="77777777" w:rsidR="00A64F93" w:rsidRDefault="00A64F93" w:rsidP="00A64F93">
      <w:pPr>
        <w:pStyle w:val="FootnoteText"/>
      </w:pPr>
      <w:r>
        <w:t xml:space="preserve">(a) deliver a notice to the defaulting party informing the party of the intention to apply to the tax court for a final order under section 129(2) of the Act in the event that the defaulting party fails to remedy the default within 15 days of delivery of the notice; and </w:t>
      </w:r>
    </w:p>
    <w:p w14:paraId="5E826600" w14:textId="77777777" w:rsidR="00A64F93" w:rsidRDefault="00A64F93" w:rsidP="00A64F93">
      <w:pPr>
        <w:pStyle w:val="FootnoteText"/>
      </w:pPr>
      <w:r>
        <w:t xml:space="preserve">(b) if the defaulting party fails to remedy the default within the prescribed period, apply, on notice to the defaulting party, to the tax court for a final order under section 129(2). </w:t>
      </w:r>
    </w:p>
    <w:p w14:paraId="4B8FFA92" w14:textId="77777777" w:rsidR="00A64F93" w:rsidRDefault="00A64F93" w:rsidP="00A64F93">
      <w:pPr>
        <w:pStyle w:val="FootnoteText"/>
      </w:pPr>
      <w:r>
        <w:t xml:space="preserve">(2) The tax court may, on hearing the application— </w:t>
      </w:r>
    </w:p>
    <w:p w14:paraId="6D8C9472" w14:textId="77777777" w:rsidR="00A64F93" w:rsidRDefault="00A64F93" w:rsidP="00A64F93">
      <w:pPr>
        <w:pStyle w:val="FootnoteText"/>
      </w:pPr>
      <w:r>
        <w:t xml:space="preserve">(a) in the absence of good cause shown by the defaulting party for the default in issue make an order under section 129(2); or </w:t>
      </w:r>
    </w:p>
    <w:p w14:paraId="407E3595" w14:textId="4527B859" w:rsidR="00C05D56" w:rsidRDefault="00A64F93" w:rsidP="00A64F93">
      <w:pPr>
        <w:pStyle w:val="FootnoteText"/>
      </w:pPr>
      <w:r>
        <w:t>(b) make an order compelling the defaulting party to comply with the relevant requirement within such time as the court considers appropriate and, if the defaulting party fails to abide by the court’s order by the due date, make an order under section 129(2) without further notice to the defaulting party.</w:t>
      </w:r>
    </w:p>
  </w:footnote>
  <w:footnote w:id="6">
    <w:p w14:paraId="23BA8016" w14:textId="27FCCB14" w:rsidR="00992292" w:rsidRDefault="00992292">
      <w:pPr>
        <w:pStyle w:val="FootnoteText"/>
      </w:pPr>
      <w:r>
        <w:rPr>
          <w:rStyle w:val="FootnoteReference"/>
        </w:rPr>
        <w:footnoteRef/>
      </w:r>
      <w:r>
        <w:t xml:space="preserve"> This is attached as Annexure JPT2.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095156"/>
      <w:docPartObj>
        <w:docPartGallery w:val="Page Numbers (Top of Page)"/>
        <w:docPartUnique/>
      </w:docPartObj>
    </w:sdtPr>
    <w:sdtEndPr>
      <w:rPr>
        <w:noProof/>
      </w:rPr>
    </w:sdtEndPr>
    <w:sdtContent>
      <w:p w14:paraId="4461935F" w14:textId="2F2FB1D1" w:rsidR="003E19AE" w:rsidRDefault="003E19AE">
        <w:pPr>
          <w:pStyle w:val="Header"/>
          <w:jc w:val="right"/>
        </w:pPr>
        <w:r>
          <w:fldChar w:fldCharType="begin"/>
        </w:r>
        <w:r>
          <w:instrText xml:space="preserve"> PAGE   \* MERGEFORMAT </w:instrText>
        </w:r>
        <w:r>
          <w:fldChar w:fldCharType="separate"/>
        </w:r>
        <w:r w:rsidR="00640CAE">
          <w:rPr>
            <w:noProof/>
          </w:rPr>
          <w:t>9</w:t>
        </w:r>
        <w:r>
          <w:rPr>
            <w:noProof/>
          </w:rPr>
          <w:fldChar w:fldCharType="end"/>
        </w:r>
      </w:p>
    </w:sdtContent>
  </w:sdt>
  <w:p w14:paraId="6E5F7149" w14:textId="77777777" w:rsidR="003E19AE" w:rsidRDefault="003E1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A132429"/>
    <w:multiLevelType w:val="hybridMultilevel"/>
    <w:tmpl w:val="2498475C"/>
    <w:lvl w:ilvl="0" w:tplc="FD229878">
      <w:start w:val="1"/>
      <w:numFmt w:val="decimal"/>
      <w:lvlText w:val="(%1)"/>
      <w:lvlJc w:val="left"/>
      <w:pPr>
        <w:tabs>
          <w:tab w:val="num" w:pos="900"/>
        </w:tabs>
        <w:ind w:left="900" w:hanging="720"/>
      </w:pPr>
      <w:rPr>
        <w:rFonts w:ascii="Century Gothic" w:eastAsiaTheme="minorHAnsi" w:hAnsi="Century Gothic" w:cstheme="minorBid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E52245A"/>
    <w:multiLevelType w:val="hybridMultilevel"/>
    <w:tmpl w:val="9A540B2E"/>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EEB7109"/>
    <w:multiLevelType w:val="hybridMultilevel"/>
    <w:tmpl w:val="48A2D34A"/>
    <w:lvl w:ilvl="0" w:tplc="1C090017">
      <w:start w:val="1"/>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4" w15:restartNumberingAfterBreak="0">
    <w:nsid w:val="12B85EFC"/>
    <w:multiLevelType w:val="multilevel"/>
    <w:tmpl w:val="CD98E9B8"/>
    <w:lvl w:ilvl="0">
      <w:start w:val="1"/>
      <w:numFmt w:val="decimal"/>
      <w:lvlText w:val="%1."/>
      <w:lvlJc w:val="left"/>
      <w:pPr>
        <w:tabs>
          <w:tab w:val="num" w:pos="1077"/>
        </w:tabs>
        <w:ind w:left="1077" w:hanging="360"/>
      </w:pPr>
      <w:rPr>
        <w:rFonts w:ascii="Arial" w:eastAsia="Times New Roman" w:hAnsi="Arial" w:cs="Arial"/>
      </w:rPr>
    </w:lvl>
    <w:lvl w:ilvl="1" w:tentative="1">
      <w:start w:val="1"/>
      <w:numFmt w:val="decimal"/>
      <w:lvlText w:val="%2."/>
      <w:lvlJc w:val="left"/>
      <w:pPr>
        <w:tabs>
          <w:tab w:val="num" w:pos="1797"/>
        </w:tabs>
        <w:ind w:left="1797" w:hanging="360"/>
      </w:pPr>
    </w:lvl>
    <w:lvl w:ilvl="2" w:tentative="1">
      <w:start w:val="1"/>
      <w:numFmt w:val="decimal"/>
      <w:lvlText w:val="%3."/>
      <w:lvlJc w:val="left"/>
      <w:pPr>
        <w:tabs>
          <w:tab w:val="num" w:pos="2517"/>
        </w:tabs>
        <w:ind w:left="2517" w:hanging="360"/>
      </w:pPr>
    </w:lvl>
    <w:lvl w:ilvl="3" w:tentative="1">
      <w:start w:val="1"/>
      <w:numFmt w:val="decimal"/>
      <w:lvlText w:val="%4."/>
      <w:lvlJc w:val="left"/>
      <w:pPr>
        <w:tabs>
          <w:tab w:val="num" w:pos="3237"/>
        </w:tabs>
        <w:ind w:left="3237" w:hanging="360"/>
      </w:pPr>
    </w:lvl>
    <w:lvl w:ilvl="4" w:tentative="1">
      <w:start w:val="1"/>
      <w:numFmt w:val="decimal"/>
      <w:lvlText w:val="%5."/>
      <w:lvlJc w:val="left"/>
      <w:pPr>
        <w:tabs>
          <w:tab w:val="num" w:pos="3957"/>
        </w:tabs>
        <w:ind w:left="3957" w:hanging="360"/>
      </w:pPr>
    </w:lvl>
    <w:lvl w:ilvl="5" w:tentative="1">
      <w:start w:val="1"/>
      <w:numFmt w:val="decimal"/>
      <w:lvlText w:val="%6."/>
      <w:lvlJc w:val="left"/>
      <w:pPr>
        <w:tabs>
          <w:tab w:val="num" w:pos="4677"/>
        </w:tabs>
        <w:ind w:left="4677" w:hanging="360"/>
      </w:pPr>
    </w:lvl>
    <w:lvl w:ilvl="6" w:tentative="1">
      <w:start w:val="1"/>
      <w:numFmt w:val="decimal"/>
      <w:lvlText w:val="%7."/>
      <w:lvlJc w:val="left"/>
      <w:pPr>
        <w:tabs>
          <w:tab w:val="num" w:pos="5397"/>
        </w:tabs>
        <w:ind w:left="5397" w:hanging="360"/>
      </w:pPr>
    </w:lvl>
    <w:lvl w:ilvl="7" w:tentative="1">
      <w:start w:val="1"/>
      <w:numFmt w:val="decimal"/>
      <w:lvlText w:val="%8."/>
      <w:lvlJc w:val="left"/>
      <w:pPr>
        <w:tabs>
          <w:tab w:val="num" w:pos="6117"/>
        </w:tabs>
        <w:ind w:left="6117" w:hanging="360"/>
      </w:pPr>
    </w:lvl>
    <w:lvl w:ilvl="8" w:tentative="1">
      <w:start w:val="1"/>
      <w:numFmt w:val="decimal"/>
      <w:lvlText w:val="%9."/>
      <w:lvlJc w:val="left"/>
      <w:pPr>
        <w:tabs>
          <w:tab w:val="num" w:pos="6837"/>
        </w:tabs>
        <w:ind w:left="6837" w:hanging="360"/>
      </w:pPr>
    </w:lvl>
  </w:abstractNum>
  <w:abstractNum w:abstractNumId="5" w15:restartNumberingAfterBreak="0">
    <w:nsid w:val="19FD375E"/>
    <w:multiLevelType w:val="multilevel"/>
    <w:tmpl w:val="7DDAB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AB331F"/>
    <w:multiLevelType w:val="hybridMultilevel"/>
    <w:tmpl w:val="DB306486"/>
    <w:lvl w:ilvl="0" w:tplc="FF225B98">
      <w:start w:val="1"/>
      <w:numFmt w:val="lowerLetter"/>
      <w:lvlText w:val="(%1)"/>
      <w:lvlJc w:val="left"/>
      <w:pPr>
        <w:ind w:left="2880" w:hanging="720"/>
      </w:pPr>
      <w:rPr>
        <w:rFonts w:ascii="Arial" w:eastAsiaTheme="minorHAnsi" w:hAnsi="Arial" w:cs="Arial"/>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7" w15:restartNumberingAfterBreak="0">
    <w:nsid w:val="366E471B"/>
    <w:multiLevelType w:val="hybridMultilevel"/>
    <w:tmpl w:val="902C73B2"/>
    <w:lvl w:ilvl="0" w:tplc="3DB0E36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3D494A37"/>
    <w:multiLevelType w:val="multilevel"/>
    <w:tmpl w:val="BAF26536"/>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cs="Times New Roman" w:hint="default"/>
      </w:rPr>
    </w:lvl>
    <w:lvl w:ilvl="2">
      <w:start w:val="1"/>
      <w:numFmt w:val="decimal"/>
      <w:lvlText w:val="[3.%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3F0A22B5"/>
    <w:multiLevelType w:val="multilevel"/>
    <w:tmpl w:val="60A897F6"/>
    <w:lvl w:ilvl="0">
      <w:start w:val="39"/>
      <w:numFmt w:val="decimal"/>
      <w:lvlText w:val="%1."/>
      <w:lvlJc w:val="left"/>
      <w:pPr>
        <w:tabs>
          <w:tab w:val="num" w:pos="1077"/>
        </w:tabs>
        <w:ind w:left="1077" w:hanging="360"/>
      </w:pPr>
    </w:lvl>
    <w:lvl w:ilvl="1" w:tentative="1">
      <w:start w:val="1"/>
      <w:numFmt w:val="decimal"/>
      <w:lvlText w:val="%2."/>
      <w:lvlJc w:val="left"/>
      <w:pPr>
        <w:tabs>
          <w:tab w:val="num" w:pos="1797"/>
        </w:tabs>
        <w:ind w:left="1797" w:hanging="360"/>
      </w:pPr>
    </w:lvl>
    <w:lvl w:ilvl="2" w:tentative="1">
      <w:start w:val="1"/>
      <w:numFmt w:val="decimal"/>
      <w:lvlText w:val="%3."/>
      <w:lvlJc w:val="left"/>
      <w:pPr>
        <w:tabs>
          <w:tab w:val="num" w:pos="2517"/>
        </w:tabs>
        <w:ind w:left="2517" w:hanging="360"/>
      </w:pPr>
    </w:lvl>
    <w:lvl w:ilvl="3" w:tentative="1">
      <w:start w:val="1"/>
      <w:numFmt w:val="decimal"/>
      <w:lvlText w:val="%4."/>
      <w:lvlJc w:val="left"/>
      <w:pPr>
        <w:tabs>
          <w:tab w:val="num" w:pos="3237"/>
        </w:tabs>
        <w:ind w:left="3237" w:hanging="360"/>
      </w:pPr>
    </w:lvl>
    <w:lvl w:ilvl="4" w:tentative="1">
      <w:start w:val="1"/>
      <w:numFmt w:val="decimal"/>
      <w:lvlText w:val="%5."/>
      <w:lvlJc w:val="left"/>
      <w:pPr>
        <w:tabs>
          <w:tab w:val="num" w:pos="3957"/>
        </w:tabs>
        <w:ind w:left="3957" w:hanging="360"/>
      </w:pPr>
    </w:lvl>
    <w:lvl w:ilvl="5" w:tentative="1">
      <w:start w:val="1"/>
      <w:numFmt w:val="decimal"/>
      <w:lvlText w:val="%6."/>
      <w:lvlJc w:val="left"/>
      <w:pPr>
        <w:tabs>
          <w:tab w:val="num" w:pos="4677"/>
        </w:tabs>
        <w:ind w:left="4677" w:hanging="360"/>
      </w:pPr>
    </w:lvl>
    <w:lvl w:ilvl="6" w:tentative="1">
      <w:start w:val="1"/>
      <w:numFmt w:val="decimal"/>
      <w:lvlText w:val="%7."/>
      <w:lvlJc w:val="left"/>
      <w:pPr>
        <w:tabs>
          <w:tab w:val="num" w:pos="5397"/>
        </w:tabs>
        <w:ind w:left="5397" w:hanging="360"/>
      </w:pPr>
    </w:lvl>
    <w:lvl w:ilvl="7" w:tentative="1">
      <w:start w:val="1"/>
      <w:numFmt w:val="decimal"/>
      <w:lvlText w:val="%8."/>
      <w:lvlJc w:val="left"/>
      <w:pPr>
        <w:tabs>
          <w:tab w:val="num" w:pos="6117"/>
        </w:tabs>
        <w:ind w:left="6117" w:hanging="360"/>
      </w:pPr>
    </w:lvl>
    <w:lvl w:ilvl="8" w:tentative="1">
      <w:start w:val="1"/>
      <w:numFmt w:val="decimal"/>
      <w:lvlText w:val="%9."/>
      <w:lvlJc w:val="left"/>
      <w:pPr>
        <w:tabs>
          <w:tab w:val="num" w:pos="6837"/>
        </w:tabs>
        <w:ind w:left="6837" w:hanging="360"/>
      </w:pPr>
    </w:lvl>
  </w:abstractNum>
  <w:abstractNum w:abstractNumId="10" w15:restartNumberingAfterBreak="0">
    <w:nsid w:val="3F7C2FA6"/>
    <w:multiLevelType w:val="hybridMultilevel"/>
    <w:tmpl w:val="5D9491A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3FE62AF7"/>
    <w:multiLevelType w:val="hybridMultilevel"/>
    <w:tmpl w:val="FDAA222A"/>
    <w:lvl w:ilvl="0" w:tplc="E3804D72">
      <w:start w:val="1"/>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634228D8"/>
    <w:multiLevelType w:val="hybridMultilevel"/>
    <w:tmpl w:val="32E27C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4864719"/>
    <w:multiLevelType w:val="hybridMultilevel"/>
    <w:tmpl w:val="A4246E14"/>
    <w:lvl w:ilvl="0" w:tplc="1C090017">
      <w:start w:val="1"/>
      <w:numFmt w:val="lowerLetter"/>
      <w:lvlText w:val="%1)"/>
      <w:lvlJc w:val="left"/>
      <w:pPr>
        <w:ind w:left="1070" w:hanging="360"/>
      </w:pPr>
    </w:lvl>
    <w:lvl w:ilvl="1" w:tplc="1C090017">
      <w:start w:val="1"/>
      <w:numFmt w:val="lowerLetter"/>
      <w:lvlText w:val="%2)"/>
      <w:lvlJc w:val="left"/>
      <w:pPr>
        <w:ind w:left="107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7ED4A5C"/>
    <w:multiLevelType w:val="multilevel"/>
    <w:tmpl w:val="E4DC5658"/>
    <w:lvl w:ilvl="0">
      <w:start w:val="39"/>
      <w:numFmt w:val="decimal"/>
      <w:lvlText w:val="%1."/>
      <w:lvlJc w:val="left"/>
      <w:pPr>
        <w:tabs>
          <w:tab w:val="num" w:pos="1678"/>
        </w:tabs>
        <w:ind w:left="1678" w:hanging="360"/>
      </w:pPr>
    </w:lvl>
    <w:lvl w:ilvl="1" w:tentative="1">
      <w:start w:val="1"/>
      <w:numFmt w:val="decimal"/>
      <w:lvlText w:val="%2."/>
      <w:lvlJc w:val="left"/>
      <w:pPr>
        <w:tabs>
          <w:tab w:val="num" w:pos="2398"/>
        </w:tabs>
        <w:ind w:left="2398" w:hanging="360"/>
      </w:pPr>
    </w:lvl>
    <w:lvl w:ilvl="2" w:tentative="1">
      <w:start w:val="1"/>
      <w:numFmt w:val="decimal"/>
      <w:lvlText w:val="%3."/>
      <w:lvlJc w:val="left"/>
      <w:pPr>
        <w:tabs>
          <w:tab w:val="num" w:pos="3118"/>
        </w:tabs>
        <w:ind w:left="3118" w:hanging="360"/>
      </w:pPr>
    </w:lvl>
    <w:lvl w:ilvl="3" w:tentative="1">
      <w:start w:val="1"/>
      <w:numFmt w:val="decimal"/>
      <w:lvlText w:val="%4."/>
      <w:lvlJc w:val="left"/>
      <w:pPr>
        <w:tabs>
          <w:tab w:val="num" w:pos="3838"/>
        </w:tabs>
        <w:ind w:left="3838" w:hanging="360"/>
      </w:pPr>
    </w:lvl>
    <w:lvl w:ilvl="4" w:tentative="1">
      <w:start w:val="1"/>
      <w:numFmt w:val="decimal"/>
      <w:lvlText w:val="%5."/>
      <w:lvlJc w:val="left"/>
      <w:pPr>
        <w:tabs>
          <w:tab w:val="num" w:pos="4558"/>
        </w:tabs>
        <w:ind w:left="4558" w:hanging="360"/>
      </w:pPr>
    </w:lvl>
    <w:lvl w:ilvl="5" w:tentative="1">
      <w:start w:val="1"/>
      <w:numFmt w:val="decimal"/>
      <w:lvlText w:val="%6."/>
      <w:lvlJc w:val="left"/>
      <w:pPr>
        <w:tabs>
          <w:tab w:val="num" w:pos="5278"/>
        </w:tabs>
        <w:ind w:left="5278" w:hanging="360"/>
      </w:pPr>
    </w:lvl>
    <w:lvl w:ilvl="6" w:tentative="1">
      <w:start w:val="1"/>
      <w:numFmt w:val="decimal"/>
      <w:lvlText w:val="%7."/>
      <w:lvlJc w:val="left"/>
      <w:pPr>
        <w:tabs>
          <w:tab w:val="num" w:pos="5998"/>
        </w:tabs>
        <w:ind w:left="5998" w:hanging="360"/>
      </w:pPr>
    </w:lvl>
    <w:lvl w:ilvl="7" w:tentative="1">
      <w:start w:val="1"/>
      <w:numFmt w:val="decimal"/>
      <w:lvlText w:val="%8."/>
      <w:lvlJc w:val="left"/>
      <w:pPr>
        <w:tabs>
          <w:tab w:val="num" w:pos="6718"/>
        </w:tabs>
        <w:ind w:left="6718" w:hanging="360"/>
      </w:pPr>
    </w:lvl>
    <w:lvl w:ilvl="8" w:tentative="1">
      <w:start w:val="1"/>
      <w:numFmt w:val="decimal"/>
      <w:lvlText w:val="%9."/>
      <w:lvlJc w:val="left"/>
      <w:pPr>
        <w:tabs>
          <w:tab w:val="num" w:pos="7438"/>
        </w:tabs>
        <w:ind w:left="7438" w:hanging="360"/>
      </w:pPr>
    </w:lvl>
  </w:abstractNum>
  <w:abstractNum w:abstractNumId="15" w15:restartNumberingAfterBreak="0">
    <w:nsid w:val="71257775"/>
    <w:multiLevelType w:val="multilevel"/>
    <w:tmpl w:val="2636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B37DCC"/>
    <w:multiLevelType w:val="hybridMultilevel"/>
    <w:tmpl w:val="F3AA86C6"/>
    <w:lvl w:ilvl="0" w:tplc="E3804D72">
      <w:start w:val="1"/>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3320C0A0">
      <w:start w:val="1"/>
      <w:numFmt w:val="lowerLetter"/>
      <w:lvlText w:val="%2)"/>
      <w:lvlJc w:val="left"/>
      <w:pPr>
        <w:ind w:left="1080" w:hanging="36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16cid:durableId="3792880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7731548">
    <w:abstractNumId w:val="15"/>
  </w:num>
  <w:num w:numId="3" w16cid:durableId="398214724">
    <w:abstractNumId w:val="8"/>
  </w:num>
  <w:num w:numId="4" w16cid:durableId="1576162651">
    <w:abstractNumId w:val="0"/>
  </w:num>
  <w:num w:numId="5" w16cid:durableId="1472477037">
    <w:abstractNumId w:val="14"/>
  </w:num>
  <w:num w:numId="6" w16cid:durableId="1693220243">
    <w:abstractNumId w:val="5"/>
  </w:num>
  <w:num w:numId="7" w16cid:durableId="1372456316">
    <w:abstractNumId w:val="12"/>
  </w:num>
  <w:num w:numId="8" w16cid:durableId="461729915">
    <w:abstractNumId w:val="9"/>
  </w:num>
  <w:num w:numId="9" w16cid:durableId="1550340664">
    <w:abstractNumId w:val="4"/>
  </w:num>
  <w:num w:numId="10" w16cid:durableId="1681274750">
    <w:abstractNumId w:val="6"/>
  </w:num>
  <w:num w:numId="11" w16cid:durableId="1349064090">
    <w:abstractNumId w:val="16"/>
  </w:num>
  <w:num w:numId="12" w16cid:durableId="1955594902">
    <w:abstractNumId w:val="3"/>
  </w:num>
  <w:num w:numId="13" w16cid:durableId="1865165708">
    <w:abstractNumId w:val="2"/>
  </w:num>
  <w:num w:numId="14" w16cid:durableId="1002199361">
    <w:abstractNumId w:val="13"/>
  </w:num>
  <w:num w:numId="15" w16cid:durableId="1432778294">
    <w:abstractNumId w:val="7"/>
  </w:num>
  <w:num w:numId="16" w16cid:durableId="881283683">
    <w:abstractNumId w:val="10"/>
  </w:num>
  <w:num w:numId="17" w16cid:durableId="5034761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474"/>
    <w:rsid w:val="00002C2E"/>
    <w:rsid w:val="00003E20"/>
    <w:rsid w:val="0001509A"/>
    <w:rsid w:val="00025CBF"/>
    <w:rsid w:val="00027A4C"/>
    <w:rsid w:val="00027FA0"/>
    <w:rsid w:val="00036264"/>
    <w:rsid w:val="000409F2"/>
    <w:rsid w:val="00040CE6"/>
    <w:rsid w:val="00044DD1"/>
    <w:rsid w:val="00050E26"/>
    <w:rsid w:val="00057B1E"/>
    <w:rsid w:val="0006726F"/>
    <w:rsid w:val="0006784C"/>
    <w:rsid w:val="000679FF"/>
    <w:rsid w:val="00091E4F"/>
    <w:rsid w:val="00096293"/>
    <w:rsid w:val="00097412"/>
    <w:rsid w:val="000A4A71"/>
    <w:rsid w:val="000A5135"/>
    <w:rsid w:val="000A7B92"/>
    <w:rsid w:val="000B7C1F"/>
    <w:rsid w:val="000C29E8"/>
    <w:rsid w:val="000C5F05"/>
    <w:rsid w:val="000C7B32"/>
    <w:rsid w:val="000D0A3E"/>
    <w:rsid w:val="000D1684"/>
    <w:rsid w:val="000D7E0D"/>
    <w:rsid w:val="000E5231"/>
    <w:rsid w:val="00105C42"/>
    <w:rsid w:val="001076C3"/>
    <w:rsid w:val="001143BB"/>
    <w:rsid w:val="00114809"/>
    <w:rsid w:val="001156B3"/>
    <w:rsid w:val="001254A8"/>
    <w:rsid w:val="0013113A"/>
    <w:rsid w:val="00134EE3"/>
    <w:rsid w:val="00145149"/>
    <w:rsid w:val="0014725C"/>
    <w:rsid w:val="00151939"/>
    <w:rsid w:val="00153323"/>
    <w:rsid w:val="001766BE"/>
    <w:rsid w:val="001A60DD"/>
    <w:rsid w:val="001B49C8"/>
    <w:rsid w:val="001B7CE4"/>
    <w:rsid w:val="001C26DF"/>
    <w:rsid w:val="001C4D55"/>
    <w:rsid w:val="001C5D15"/>
    <w:rsid w:val="001C642A"/>
    <w:rsid w:val="001D3FE4"/>
    <w:rsid w:val="001E017B"/>
    <w:rsid w:val="001E0C00"/>
    <w:rsid w:val="001E5736"/>
    <w:rsid w:val="001E6DBE"/>
    <w:rsid w:val="00203D34"/>
    <w:rsid w:val="00214979"/>
    <w:rsid w:val="00215360"/>
    <w:rsid w:val="00216D49"/>
    <w:rsid w:val="002176B8"/>
    <w:rsid w:val="00217E17"/>
    <w:rsid w:val="00223C33"/>
    <w:rsid w:val="0022720A"/>
    <w:rsid w:val="00230AD0"/>
    <w:rsid w:val="002312D6"/>
    <w:rsid w:val="002335CD"/>
    <w:rsid w:val="00233C6C"/>
    <w:rsid w:val="00243C0E"/>
    <w:rsid w:val="00244981"/>
    <w:rsid w:val="00253BD2"/>
    <w:rsid w:val="00261757"/>
    <w:rsid w:val="0026347E"/>
    <w:rsid w:val="002652F2"/>
    <w:rsid w:val="002660A6"/>
    <w:rsid w:val="002673C7"/>
    <w:rsid w:val="00271918"/>
    <w:rsid w:val="00271C93"/>
    <w:rsid w:val="00277751"/>
    <w:rsid w:val="00283439"/>
    <w:rsid w:val="002920B5"/>
    <w:rsid w:val="00294903"/>
    <w:rsid w:val="002A1782"/>
    <w:rsid w:val="002B363A"/>
    <w:rsid w:val="002B4CCD"/>
    <w:rsid w:val="002B5C6F"/>
    <w:rsid w:val="002B6D43"/>
    <w:rsid w:val="002D1D80"/>
    <w:rsid w:val="002D4ABB"/>
    <w:rsid w:val="002D50AF"/>
    <w:rsid w:val="002D7BB5"/>
    <w:rsid w:val="002E5AF9"/>
    <w:rsid w:val="002E7F11"/>
    <w:rsid w:val="002F35DF"/>
    <w:rsid w:val="002F685F"/>
    <w:rsid w:val="002F6F1B"/>
    <w:rsid w:val="003029C6"/>
    <w:rsid w:val="00305354"/>
    <w:rsid w:val="00310A54"/>
    <w:rsid w:val="0031105E"/>
    <w:rsid w:val="0031785E"/>
    <w:rsid w:val="00320542"/>
    <w:rsid w:val="00333F8E"/>
    <w:rsid w:val="00353558"/>
    <w:rsid w:val="00362228"/>
    <w:rsid w:val="003652DC"/>
    <w:rsid w:val="00371C59"/>
    <w:rsid w:val="003723C3"/>
    <w:rsid w:val="00380219"/>
    <w:rsid w:val="00380D84"/>
    <w:rsid w:val="00384B58"/>
    <w:rsid w:val="003868BC"/>
    <w:rsid w:val="003B2FED"/>
    <w:rsid w:val="003B556E"/>
    <w:rsid w:val="003D1062"/>
    <w:rsid w:val="003D4D61"/>
    <w:rsid w:val="003D5935"/>
    <w:rsid w:val="003E115E"/>
    <w:rsid w:val="003E19AE"/>
    <w:rsid w:val="003E25AC"/>
    <w:rsid w:val="003E2D1D"/>
    <w:rsid w:val="003E3017"/>
    <w:rsid w:val="003E58BB"/>
    <w:rsid w:val="003F1096"/>
    <w:rsid w:val="004001FF"/>
    <w:rsid w:val="00401418"/>
    <w:rsid w:val="00402669"/>
    <w:rsid w:val="00404FD9"/>
    <w:rsid w:val="00406CB2"/>
    <w:rsid w:val="0041185F"/>
    <w:rsid w:val="00417BA6"/>
    <w:rsid w:val="00420659"/>
    <w:rsid w:val="00424EAB"/>
    <w:rsid w:val="004272E6"/>
    <w:rsid w:val="004341C0"/>
    <w:rsid w:val="004359A6"/>
    <w:rsid w:val="00435CFE"/>
    <w:rsid w:val="00435D60"/>
    <w:rsid w:val="004412B9"/>
    <w:rsid w:val="00442292"/>
    <w:rsid w:val="00445F3E"/>
    <w:rsid w:val="00447E4F"/>
    <w:rsid w:val="00450C5E"/>
    <w:rsid w:val="00454A06"/>
    <w:rsid w:val="00457CF4"/>
    <w:rsid w:val="00460EC6"/>
    <w:rsid w:val="004770F6"/>
    <w:rsid w:val="00477604"/>
    <w:rsid w:val="00480450"/>
    <w:rsid w:val="00482696"/>
    <w:rsid w:val="00483A93"/>
    <w:rsid w:val="00491C21"/>
    <w:rsid w:val="00495D60"/>
    <w:rsid w:val="00497DDD"/>
    <w:rsid w:val="004B0502"/>
    <w:rsid w:val="004B34CF"/>
    <w:rsid w:val="004B6587"/>
    <w:rsid w:val="004B762C"/>
    <w:rsid w:val="004C7D02"/>
    <w:rsid w:val="004E10BF"/>
    <w:rsid w:val="004E27E9"/>
    <w:rsid w:val="004E32A5"/>
    <w:rsid w:val="004E4B5B"/>
    <w:rsid w:val="004F2D31"/>
    <w:rsid w:val="00503380"/>
    <w:rsid w:val="00504666"/>
    <w:rsid w:val="00505D08"/>
    <w:rsid w:val="00515AD5"/>
    <w:rsid w:val="00515E06"/>
    <w:rsid w:val="005221B2"/>
    <w:rsid w:val="00523BAF"/>
    <w:rsid w:val="005271EA"/>
    <w:rsid w:val="00533BE1"/>
    <w:rsid w:val="00540CBF"/>
    <w:rsid w:val="00541895"/>
    <w:rsid w:val="00546259"/>
    <w:rsid w:val="00546571"/>
    <w:rsid w:val="005466DC"/>
    <w:rsid w:val="00547890"/>
    <w:rsid w:val="005536DB"/>
    <w:rsid w:val="0055411D"/>
    <w:rsid w:val="005556BA"/>
    <w:rsid w:val="00556A08"/>
    <w:rsid w:val="00564E00"/>
    <w:rsid w:val="00565365"/>
    <w:rsid w:val="005664B3"/>
    <w:rsid w:val="005703EF"/>
    <w:rsid w:val="00572866"/>
    <w:rsid w:val="00573D8C"/>
    <w:rsid w:val="00575E62"/>
    <w:rsid w:val="0058035D"/>
    <w:rsid w:val="00583A67"/>
    <w:rsid w:val="0058652B"/>
    <w:rsid w:val="00593C72"/>
    <w:rsid w:val="005A55AA"/>
    <w:rsid w:val="005A6C27"/>
    <w:rsid w:val="005B081D"/>
    <w:rsid w:val="005B5732"/>
    <w:rsid w:val="005B7669"/>
    <w:rsid w:val="005C09FE"/>
    <w:rsid w:val="005C30F1"/>
    <w:rsid w:val="005C3A9F"/>
    <w:rsid w:val="005C63FE"/>
    <w:rsid w:val="005C7556"/>
    <w:rsid w:val="005D4F15"/>
    <w:rsid w:val="005D570C"/>
    <w:rsid w:val="005E0485"/>
    <w:rsid w:val="005E4491"/>
    <w:rsid w:val="005E6E31"/>
    <w:rsid w:val="005F0820"/>
    <w:rsid w:val="005F522E"/>
    <w:rsid w:val="005F65F5"/>
    <w:rsid w:val="0060550E"/>
    <w:rsid w:val="00605D74"/>
    <w:rsid w:val="0061483E"/>
    <w:rsid w:val="006217A1"/>
    <w:rsid w:val="0063169F"/>
    <w:rsid w:val="0063222B"/>
    <w:rsid w:val="00635A24"/>
    <w:rsid w:val="00636674"/>
    <w:rsid w:val="00640CAE"/>
    <w:rsid w:val="006437F4"/>
    <w:rsid w:val="00654ACF"/>
    <w:rsid w:val="0065611F"/>
    <w:rsid w:val="00661080"/>
    <w:rsid w:val="0066415F"/>
    <w:rsid w:val="00667733"/>
    <w:rsid w:val="00672C92"/>
    <w:rsid w:val="00674E57"/>
    <w:rsid w:val="00685C2D"/>
    <w:rsid w:val="006964B9"/>
    <w:rsid w:val="006970BB"/>
    <w:rsid w:val="006A1C2D"/>
    <w:rsid w:val="006A6793"/>
    <w:rsid w:val="006B3733"/>
    <w:rsid w:val="006B4147"/>
    <w:rsid w:val="006C1097"/>
    <w:rsid w:val="006C3BD7"/>
    <w:rsid w:val="006C7405"/>
    <w:rsid w:val="006D66CF"/>
    <w:rsid w:val="006D74C4"/>
    <w:rsid w:val="006D7FF7"/>
    <w:rsid w:val="006E1474"/>
    <w:rsid w:val="006F155D"/>
    <w:rsid w:val="006F2D4B"/>
    <w:rsid w:val="00701BF8"/>
    <w:rsid w:val="00702912"/>
    <w:rsid w:val="00704F4C"/>
    <w:rsid w:val="0070574E"/>
    <w:rsid w:val="007068DD"/>
    <w:rsid w:val="00710717"/>
    <w:rsid w:val="007205FA"/>
    <w:rsid w:val="00722F71"/>
    <w:rsid w:val="007333D1"/>
    <w:rsid w:val="00733A5D"/>
    <w:rsid w:val="0074683B"/>
    <w:rsid w:val="00756523"/>
    <w:rsid w:val="00760ADA"/>
    <w:rsid w:val="00763DD6"/>
    <w:rsid w:val="00766509"/>
    <w:rsid w:val="00767702"/>
    <w:rsid w:val="00770DBA"/>
    <w:rsid w:val="007722F3"/>
    <w:rsid w:val="00772B96"/>
    <w:rsid w:val="007733E8"/>
    <w:rsid w:val="007747E7"/>
    <w:rsid w:val="00776D52"/>
    <w:rsid w:val="007810C3"/>
    <w:rsid w:val="00784845"/>
    <w:rsid w:val="00784DA6"/>
    <w:rsid w:val="007868A4"/>
    <w:rsid w:val="007A4D24"/>
    <w:rsid w:val="007A6F41"/>
    <w:rsid w:val="007B0681"/>
    <w:rsid w:val="007B38CD"/>
    <w:rsid w:val="007B43F8"/>
    <w:rsid w:val="007B4DAE"/>
    <w:rsid w:val="007C049E"/>
    <w:rsid w:val="007C2A4A"/>
    <w:rsid w:val="007C790F"/>
    <w:rsid w:val="007D15AC"/>
    <w:rsid w:val="007E1443"/>
    <w:rsid w:val="007E3C57"/>
    <w:rsid w:val="007F06F0"/>
    <w:rsid w:val="00801110"/>
    <w:rsid w:val="00801880"/>
    <w:rsid w:val="00805B15"/>
    <w:rsid w:val="00807C00"/>
    <w:rsid w:val="00810A89"/>
    <w:rsid w:val="00812B3C"/>
    <w:rsid w:val="00830FED"/>
    <w:rsid w:val="00832CE0"/>
    <w:rsid w:val="008335C4"/>
    <w:rsid w:val="008348BE"/>
    <w:rsid w:val="00834DBF"/>
    <w:rsid w:val="00835526"/>
    <w:rsid w:val="008402AE"/>
    <w:rsid w:val="0084099F"/>
    <w:rsid w:val="008412FA"/>
    <w:rsid w:val="00844941"/>
    <w:rsid w:val="0085259C"/>
    <w:rsid w:val="0086411A"/>
    <w:rsid w:val="008742F7"/>
    <w:rsid w:val="008902D1"/>
    <w:rsid w:val="0089184E"/>
    <w:rsid w:val="00892339"/>
    <w:rsid w:val="00892A79"/>
    <w:rsid w:val="008A08E9"/>
    <w:rsid w:val="008A20FD"/>
    <w:rsid w:val="008A32E2"/>
    <w:rsid w:val="008B2772"/>
    <w:rsid w:val="008C3DF2"/>
    <w:rsid w:val="008C50A6"/>
    <w:rsid w:val="008D15A4"/>
    <w:rsid w:val="008D3C36"/>
    <w:rsid w:val="008E5B2E"/>
    <w:rsid w:val="008F369A"/>
    <w:rsid w:val="008F4113"/>
    <w:rsid w:val="008F596B"/>
    <w:rsid w:val="0090153E"/>
    <w:rsid w:val="00901599"/>
    <w:rsid w:val="00903D9E"/>
    <w:rsid w:val="009043E6"/>
    <w:rsid w:val="00904682"/>
    <w:rsid w:val="00913631"/>
    <w:rsid w:val="009241F4"/>
    <w:rsid w:val="00936D8F"/>
    <w:rsid w:val="00937A0C"/>
    <w:rsid w:val="00941206"/>
    <w:rsid w:val="00942552"/>
    <w:rsid w:val="00942D4C"/>
    <w:rsid w:val="00944C43"/>
    <w:rsid w:val="00945734"/>
    <w:rsid w:val="00953307"/>
    <w:rsid w:val="009534D7"/>
    <w:rsid w:val="009559A6"/>
    <w:rsid w:val="00967B20"/>
    <w:rsid w:val="00967DFD"/>
    <w:rsid w:val="0097661C"/>
    <w:rsid w:val="00980176"/>
    <w:rsid w:val="00981020"/>
    <w:rsid w:val="00982BF5"/>
    <w:rsid w:val="00984C07"/>
    <w:rsid w:val="00992292"/>
    <w:rsid w:val="00996283"/>
    <w:rsid w:val="009A03BF"/>
    <w:rsid w:val="009A6716"/>
    <w:rsid w:val="009A7C12"/>
    <w:rsid w:val="009C22D1"/>
    <w:rsid w:val="009C4A54"/>
    <w:rsid w:val="009C7DF0"/>
    <w:rsid w:val="009D0E47"/>
    <w:rsid w:val="009D1364"/>
    <w:rsid w:val="009D141B"/>
    <w:rsid w:val="009D16C9"/>
    <w:rsid w:val="009F1E39"/>
    <w:rsid w:val="009F2928"/>
    <w:rsid w:val="009F6DEB"/>
    <w:rsid w:val="00A01927"/>
    <w:rsid w:val="00A0234F"/>
    <w:rsid w:val="00A1349C"/>
    <w:rsid w:val="00A164EA"/>
    <w:rsid w:val="00A179B3"/>
    <w:rsid w:val="00A20147"/>
    <w:rsid w:val="00A413FA"/>
    <w:rsid w:val="00A41CE0"/>
    <w:rsid w:val="00A44F6D"/>
    <w:rsid w:val="00A57209"/>
    <w:rsid w:val="00A57521"/>
    <w:rsid w:val="00A64F93"/>
    <w:rsid w:val="00A74770"/>
    <w:rsid w:val="00A75E11"/>
    <w:rsid w:val="00A773EF"/>
    <w:rsid w:val="00A8077A"/>
    <w:rsid w:val="00A80C31"/>
    <w:rsid w:val="00A84B10"/>
    <w:rsid w:val="00A851BF"/>
    <w:rsid w:val="00A91B17"/>
    <w:rsid w:val="00AB0CED"/>
    <w:rsid w:val="00AB11B2"/>
    <w:rsid w:val="00AB467B"/>
    <w:rsid w:val="00AE46C7"/>
    <w:rsid w:val="00AF4917"/>
    <w:rsid w:val="00B0316A"/>
    <w:rsid w:val="00B13067"/>
    <w:rsid w:val="00B13137"/>
    <w:rsid w:val="00B1365D"/>
    <w:rsid w:val="00B13BA6"/>
    <w:rsid w:val="00B25071"/>
    <w:rsid w:val="00B40052"/>
    <w:rsid w:val="00B436D3"/>
    <w:rsid w:val="00B43D47"/>
    <w:rsid w:val="00B54D06"/>
    <w:rsid w:val="00B553C7"/>
    <w:rsid w:val="00B56D8E"/>
    <w:rsid w:val="00B84469"/>
    <w:rsid w:val="00B853E3"/>
    <w:rsid w:val="00B87793"/>
    <w:rsid w:val="00B90FE4"/>
    <w:rsid w:val="00B935FC"/>
    <w:rsid w:val="00BA4570"/>
    <w:rsid w:val="00BB514A"/>
    <w:rsid w:val="00BB5B58"/>
    <w:rsid w:val="00BB5F76"/>
    <w:rsid w:val="00BC540A"/>
    <w:rsid w:val="00BD2CD4"/>
    <w:rsid w:val="00BE122B"/>
    <w:rsid w:val="00BE3E1F"/>
    <w:rsid w:val="00BE604E"/>
    <w:rsid w:val="00BF15A2"/>
    <w:rsid w:val="00BF1800"/>
    <w:rsid w:val="00BF3750"/>
    <w:rsid w:val="00BF578A"/>
    <w:rsid w:val="00BF681D"/>
    <w:rsid w:val="00BF72EC"/>
    <w:rsid w:val="00C01135"/>
    <w:rsid w:val="00C05996"/>
    <w:rsid w:val="00C05D56"/>
    <w:rsid w:val="00C06A6C"/>
    <w:rsid w:val="00C11FD1"/>
    <w:rsid w:val="00C1310D"/>
    <w:rsid w:val="00C1330E"/>
    <w:rsid w:val="00C149C2"/>
    <w:rsid w:val="00C16DC2"/>
    <w:rsid w:val="00C20C70"/>
    <w:rsid w:val="00C216E3"/>
    <w:rsid w:val="00C23BED"/>
    <w:rsid w:val="00C3311B"/>
    <w:rsid w:val="00C367C4"/>
    <w:rsid w:val="00C43D29"/>
    <w:rsid w:val="00C50690"/>
    <w:rsid w:val="00C52500"/>
    <w:rsid w:val="00C5362C"/>
    <w:rsid w:val="00C53D62"/>
    <w:rsid w:val="00C63292"/>
    <w:rsid w:val="00C640A7"/>
    <w:rsid w:val="00C6505C"/>
    <w:rsid w:val="00C71879"/>
    <w:rsid w:val="00C753EF"/>
    <w:rsid w:val="00C76ABA"/>
    <w:rsid w:val="00C77033"/>
    <w:rsid w:val="00C779E1"/>
    <w:rsid w:val="00C8622E"/>
    <w:rsid w:val="00C909F6"/>
    <w:rsid w:val="00C940EE"/>
    <w:rsid w:val="00C94975"/>
    <w:rsid w:val="00CA0583"/>
    <w:rsid w:val="00CA2E86"/>
    <w:rsid w:val="00CA4E98"/>
    <w:rsid w:val="00CA5917"/>
    <w:rsid w:val="00CB12AA"/>
    <w:rsid w:val="00CB6725"/>
    <w:rsid w:val="00CC4B5F"/>
    <w:rsid w:val="00CC4CAB"/>
    <w:rsid w:val="00CD0478"/>
    <w:rsid w:val="00CD52C9"/>
    <w:rsid w:val="00CE0DA7"/>
    <w:rsid w:val="00CE5196"/>
    <w:rsid w:val="00CE7502"/>
    <w:rsid w:val="00CF4FB7"/>
    <w:rsid w:val="00D00E48"/>
    <w:rsid w:val="00D068A3"/>
    <w:rsid w:val="00D06962"/>
    <w:rsid w:val="00D07B28"/>
    <w:rsid w:val="00D2787A"/>
    <w:rsid w:val="00D41E75"/>
    <w:rsid w:val="00D42DE1"/>
    <w:rsid w:val="00D43320"/>
    <w:rsid w:val="00D526FB"/>
    <w:rsid w:val="00D52F3B"/>
    <w:rsid w:val="00D55A37"/>
    <w:rsid w:val="00D572D5"/>
    <w:rsid w:val="00D62E60"/>
    <w:rsid w:val="00D64014"/>
    <w:rsid w:val="00D659E9"/>
    <w:rsid w:val="00D66C7D"/>
    <w:rsid w:val="00D70AF6"/>
    <w:rsid w:val="00D717CB"/>
    <w:rsid w:val="00D7402E"/>
    <w:rsid w:val="00D752C0"/>
    <w:rsid w:val="00D764E6"/>
    <w:rsid w:val="00D8687E"/>
    <w:rsid w:val="00D924BA"/>
    <w:rsid w:val="00D9315D"/>
    <w:rsid w:val="00DB13D2"/>
    <w:rsid w:val="00DB1477"/>
    <w:rsid w:val="00DB2A53"/>
    <w:rsid w:val="00DB2F53"/>
    <w:rsid w:val="00DC0ABD"/>
    <w:rsid w:val="00DD75F0"/>
    <w:rsid w:val="00DE3308"/>
    <w:rsid w:val="00DE5621"/>
    <w:rsid w:val="00DE7CE3"/>
    <w:rsid w:val="00DF017F"/>
    <w:rsid w:val="00DF14DA"/>
    <w:rsid w:val="00DF637E"/>
    <w:rsid w:val="00DF73A5"/>
    <w:rsid w:val="00E021BD"/>
    <w:rsid w:val="00E037F1"/>
    <w:rsid w:val="00E20A8B"/>
    <w:rsid w:val="00E20F73"/>
    <w:rsid w:val="00E24B7E"/>
    <w:rsid w:val="00E37AE9"/>
    <w:rsid w:val="00E436ED"/>
    <w:rsid w:val="00E45EA6"/>
    <w:rsid w:val="00E519DC"/>
    <w:rsid w:val="00E5657E"/>
    <w:rsid w:val="00E57623"/>
    <w:rsid w:val="00E86991"/>
    <w:rsid w:val="00E96C88"/>
    <w:rsid w:val="00E97474"/>
    <w:rsid w:val="00EA2C1C"/>
    <w:rsid w:val="00EB203C"/>
    <w:rsid w:val="00EC2184"/>
    <w:rsid w:val="00ED1DDE"/>
    <w:rsid w:val="00ED394C"/>
    <w:rsid w:val="00ED7818"/>
    <w:rsid w:val="00EE0C22"/>
    <w:rsid w:val="00EE0C65"/>
    <w:rsid w:val="00EE4764"/>
    <w:rsid w:val="00EF7502"/>
    <w:rsid w:val="00F043BD"/>
    <w:rsid w:val="00F06693"/>
    <w:rsid w:val="00F07D84"/>
    <w:rsid w:val="00F15823"/>
    <w:rsid w:val="00F15AEF"/>
    <w:rsid w:val="00F21E79"/>
    <w:rsid w:val="00F22FF8"/>
    <w:rsid w:val="00F3701E"/>
    <w:rsid w:val="00F42512"/>
    <w:rsid w:val="00F42FD0"/>
    <w:rsid w:val="00F440AC"/>
    <w:rsid w:val="00F46D10"/>
    <w:rsid w:val="00F5094E"/>
    <w:rsid w:val="00F571D2"/>
    <w:rsid w:val="00F641B1"/>
    <w:rsid w:val="00F65F63"/>
    <w:rsid w:val="00F77A79"/>
    <w:rsid w:val="00F857BE"/>
    <w:rsid w:val="00F90015"/>
    <w:rsid w:val="00F90A93"/>
    <w:rsid w:val="00F90DB1"/>
    <w:rsid w:val="00F9359F"/>
    <w:rsid w:val="00F96BFF"/>
    <w:rsid w:val="00FA18C7"/>
    <w:rsid w:val="00FB2343"/>
    <w:rsid w:val="00FB2623"/>
    <w:rsid w:val="00FB4C8A"/>
    <w:rsid w:val="00FB5E75"/>
    <w:rsid w:val="00FB704C"/>
    <w:rsid w:val="00FB7367"/>
    <w:rsid w:val="00FC0444"/>
    <w:rsid w:val="00FC15D2"/>
    <w:rsid w:val="00FC27BD"/>
    <w:rsid w:val="00FC493C"/>
    <w:rsid w:val="00FC4A1D"/>
    <w:rsid w:val="00FC608C"/>
    <w:rsid w:val="00FC79B1"/>
    <w:rsid w:val="00FE0D6D"/>
    <w:rsid w:val="00FE3CFD"/>
    <w:rsid w:val="00FE6742"/>
    <w:rsid w:val="00FE717F"/>
    <w:rsid w:val="00FE7C6F"/>
    <w:rsid w:val="00FF1EAB"/>
    <w:rsid w:val="00FF2B51"/>
    <w:rsid w:val="00FF358C"/>
    <w:rsid w:val="00FF78F7"/>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559D"/>
  <w15:chartTrackingRefBased/>
  <w15:docId w15:val="{B4D14595-C3AA-49C1-84D9-2B991257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474"/>
    <w:rPr>
      <w:rFonts w:ascii="Arial" w:hAnsi="Arial" w:cs="Arial"/>
      <w:sz w:val="24"/>
      <w:szCs w:val="24"/>
    </w:rPr>
  </w:style>
  <w:style w:type="paragraph" w:styleId="Heading1">
    <w:name w:val="heading 1"/>
    <w:basedOn w:val="Normal"/>
    <w:link w:val="Heading1Char"/>
    <w:uiPriority w:val="9"/>
    <w:qFormat/>
    <w:rsid w:val="00FE7C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uiPriority w:val="9"/>
    <w:qFormat/>
    <w:rsid w:val="00FE7C6F"/>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474"/>
    <w:pPr>
      <w:ind w:left="720"/>
      <w:contextualSpacing/>
    </w:pPr>
  </w:style>
  <w:style w:type="paragraph" w:styleId="FootnoteText">
    <w:name w:val="footnote text"/>
    <w:basedOn w:val="Normal"/>
    <w:link w:val="FootnoteTextChar"/>
    <w:uiPriority w:val="99"/>
    <w:unhideWhenUsed/>
    <w:rsid w:val="00EE0C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C65"/>
    <w:rPr>
      <w:rFonts w:ascii="Arial" w:hAnsi="Arial" w:cs="Arial"/>
      <w:sz w:val="20"/>
      <w:szCs w:val="20"/>
    </w:rPr>
  </w:style>
  <w:style w:type="character" w:styleId="FootnoteReference">
    <w:name w:val="footnote reference"/>
    <w:basedOn w:val="DefaultParagraphFont"/>
    <w:uiPriority w:val="99"/>
    <w:semiHidden/>
    <w:unhideWhenUsed/>
    <w:rsid w:val="00EE0C65"/>
    <w:rPr>
      <w:vertAlign w:val="superscript"/>
    </w:rPr>
  </w:style>
  <w:style w:type="paragraph" w:styleId="Header">
    <w:name w:val="header"/>
    <w:basedOn w:val="Normal"/>
    <w:link w:val="HeaderChar"/>
    <w:uiPriority w:val="99"/>
    <w:unhideWhenUsed/>
    <w:rsid w:val="00E57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623"/>
    <w:rPr>
      <w:rFonts w:ascii="Arial" w:hAnsi="Arial" w:cs="Arial"/>
      <w:sz w:val="24"/>
      <w:szCs w:val="24"/>
    </w:rPr>
  </w:style>
  <w:style w:type="paragraph" w:styleId="Footer">
    <w:name w:val="footer"/>
    <w:basedOn w:val="Normal"/>
    <w:link w:val="FooterChar"/>
    <w:uiPriority w:val="99"/>
    <w:unhideWhenUsed/>
    <w:rsid w:val="00E57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623"/>
    <w:rPr>
      <w:rFonts w:ascii="Arial" w:hAnsi="Arial" w:cs="Arial"/>
      <w:sz w:val="24"/>
      <w:szCs w:val="24"/>
    </w:rPr>
  </w:style>
  <w:style w:type="character" w:styleId="CommentReference">
    <w:name w:val="annotation reference"/>
    <w:basedOn w:val="DefaultParagraphFont"/>
    <w:uiPriority w:val="99"/>
    <w:semiHidden/>
    <w:unhideWhenUsed/>
    <w:rsid w:val="006B3733"/>
    <w:rPr>
      <w:sz w:val="16"/>
      <w:szCs w:val="16"/>
    </w:rPr>
  </w:style>
  <w:style w:type="paragraph" w:styleId="CommentText">
    <w:name w:val="annotation text"/>
    <w:basedOn w:val="Normal"/>
    <w:link w:val="CommentTextChar"/>
    <w:uiPriority w:val="99"/>
    <w:semiHidden/>
    <w:unhideWhenUsed/>
    <w:rsid w:val="006B3733"/>
    <w:pPr>
      <w:spacing w:line="240" w:lineRule="auto"/>
    </w:pPr>
    <w:rPr>
      <w:sz w:val="20"/>
      <w:szCs w:val="20"/>
    </w:rPr>
  </w:style>
  <w:style w:type="character" w:customStyle="1" w:styleId="CommentTextChar">
    <w:name w:val="Comment Text Char"/>
    <w:basedOn w:val="DefaultParagraphFont"/>
    <w:link w:val="CommentText"/>
    <w:uiPriority w:val="99"/>
    <w:semiHidden/>
    <w:rsid w:val="006B373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B3733"/>
    <w:rPr>
      <w:b/>
      <w:bCs/>
    </w:rPr>
  </w:style>
  <w:style w:type="character" w:customStyle="1" w:styleId="CommentSubjectChar">
    <w:name w:val="Comment Subject Char"/>
    <w:basedOn w:val="CommentTextChar"/>
    <w:link w:val="CommentSubject"/>
    <w:uiPriority w:val="99"/>
    <w:semiHidden/>
    <w:rsid w:val="006B3733"/>
    <w:rPr>
      <w:rFonts w:ascii="Arial" w:hAnsi="Arial" w:cs="Arial"/>
      <w:b/>
      <w:bCs/>
      <w:sz w:val="20"/>
      <w:szCs w:val="20"/>
    </w:rPr>
  </w:style>
  <w:style w:type="paragraph" w:styleId="BalloonText">
    <w:name w:val="Balloon Text"/>
    <w:basedOn w:val="Normal"/>
    <w:link w:val="BalloonTextChar"/>
    <w:uiPriority w:val="99"/>
    <w:semiHidden/>
    <w:unhideWhenUsed/>
    <w:rsid w:val="006B3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733"/>
    <w:rPr>
      <w:rFonts w:ascii="Segoe UI" w:hAnsi="Segoe UI" w:cs="Segoe UI"/>
      <w:sz w:val="18"/>
      <w:szCs w:val="18"/>
    </w:rPr>
  </w:style>
  <w:style w:type="character" w:customStyle="1" w:styleId="Heading1Char">
    <w:name w:val="Heading 1 Char"/>
    <w:basedOn w:val="DefaultParagraphFont"/>
    <w:link w:val="Heading1"/>
    <w:uiPriority w:val="9"/>
    <w:rsid w:val="00FE7C6F"/>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FE7C6F"/>
    <w:rPr>
      <w:rFonts w:ascii="Times New Roman" w:eastAsia="Times New Roman" w:hAnsi="Times New Roman" w:cs="Times New Roman"/>
      <w:b/>
      <w:bCs/>
      <w:sz w:val="36"/>
      <w:szCs w:val="36"/>
      <w:lang w:eastAsia="en-ZA"/>
    </w:rPr>
  </w:style>
  <w:style w:type="character" w:styleId="Hyperlink">
    <w:name w:val="Hyperlink"/>
    <w:basedOn w:val="DefaultParagraphFont"/>
    <w:uiPriority w:val="99"/>
    <w:semiHidden/>
    <w:unhideWhenUsed/>
    <w:rsid w:val="00FE7C6F"/>
    <w:rPr>
      <w:color w:val="0000FF"/>
      <w:u w:val="single"/>
    </w:rPr>
  </w:style>
  <w:style w:type="paragraph" w:styleId="NormalWeb">
    <w:name w:val="Normal (Web)"/>
    <w:basedOn w:val="Normal"/>
    <w:uiPriority w:val="99"/>
    <w:unhideWhenUsed/>
    <w:rsid w:val="00FE7C6F"/>
    <w:pPr>
      <w:spacing w:before="100" w:beforeAutospacing="1" w:after="100" w:afterAutospacing="1" w:line="240" w:lineRule="auto"/>
    </w:pPr>
    <w:rPr>
      <w:rFonts w:ascii="Times New Roman" w:eastAsia="Times New Roman" w:hAnsi="Times New Roman" w:cs="Times New Roman"/>
      <w:lang w:eastAsia="en-ZA"/>
    </w:rPr>
  </w:style>
  <w:style w:type="paragraph" w:customStyle="1" w:styleId="western">
    <w:name w:val="western"/>
    <w:basedOn w:val="Normal"/>
    <w:rsid w:val="003029C6"/>
    <w:pPr>
      <w:spacing w:before="100" w:beforeAutospacing="1" w:after="100" w:afterAutospacing="1" w:line="240" w:lineRule="auto"/>
    </w:pPr>
    <w:rPr>
      <w:rFonts w:ascii="Times New Roman" w:eastAsia="Times New Roman" w:hAnsi="Times New Roman"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0127">
      <w:bodyDiv w:val="1"/>
      <w:marLeft w:val="0"/>
      <w:marRight w:val="0"/>
      <w:marTop w:val="0"/>
      <w:marBottom w:val="0"/>
      <w:divBdr>
        <w:top w:val="none" w:sz="0" w:space="0" w:color="auto"/>
        <w:left w:val="none" w:sz="0" w:space="0" w:color="auto"/>
        <w:bottom w:val="none" w:sz="0" w:space="0" w:color="auto"/>
        <w:right w:val="none" w:sz="0" w:space="0" w:color="auto"/>
      </w:divBdr>
    </w:div>
    <w:div w:id="494495043">
      <w:bodyDiv w:val="1"/>
      <w:marLeft w:val="0"/>
      <w:marRight w:val="0"/>
      <w:marTop w:val="0"/>
      <w:marBottom w:val="0"/>
      <w:divBdr>
        <w:top w:val="none" w:sz="0" w:space="0" w:color="auto"/>
        <w:left w:val="none" w:sz="0" w:space="0" w:color="auto"/>
        <w:bottom w:val="none" w:sz="0" w:space="0" w:color="auto"/>
        <w:right w:val="none" w:sz="0" w:space="0" w:color="auto"/>
      </w:divBdr>
    </w:div>
    <w:div w:id="514614326">
      <w:bodyDiv w:val="1"/>
      <w:marLeft w:val="0"/>
      <w:marRight w:val="0"/>
      <w:marTop w:val="0"/>
      <w:marBottom w:val="0"/>
      <w:divBdr>
        <w:top w:val="none" w:sz="0" w:space="0" w:color="auto"/>
        <w:left w:val="none" w:sz="0" w:space="0" w:color="auto"/>
        <w:bottom w:val="none" w:sz="0" w:space="0" w:color="auto"/>
        <w:right w:val="none" w:sz="0" w:space="0" w:color="auto"/>
      </w:divBdr>
    </w:div>
    <w:div w:id="524826621">
      <w:bodyDiv w:val="1"/>
      <w:marLeft w:val="0"/>
      <w:marRight w:val="0"/>
      <w:marTop w:val="0"/>
      <w:marBottom w:val="0"/>
      <w:divBdr>
        <w:top w:val="none" w:sz="0" w:space="0" w:color="auto"/>
        <w:left w:val="none" w:sz="0" w:space="0" w:color="auto"/>
        <w:bottom w:val="none" w:sz="0" w:space="0" w:color="auto"/>
        <w:right w:val="none" w:sz="0" w:space="0" w:color="auto"/>
      </w:divBdr>
    </w:div>
    <w:div w:id="710303111">
      <w:bodyDiv w:val="1"/>
      <w:marLeft w:val="0"/>
      <w:marRight w:val="0"/>
      <w:marTop w:val="0"/>
      <w:marBottom w:val="0"/>
      <w:divBdr>
        <w:top w:val="none" w:sz="0" w:space="0" w:color="auto"/>
        <w:left w:val="none" w:sz="0" w:space="0" w:color="auto"/>
        <w:bottom w:val="none" w:sz="0" w:space="0" w:color="auto"/>
        <w:right w:val="none" w:sz="0" w:space="0" w:color="auto"/>
      </w:divBdr>
    </w:div>
    <w:div w:id="1241014554">
      <w:bodyDiv w:val="1"/>
      <w:marLeft w:val="0"/>
      <w:marRight w:val="0"/>
      <w:marTop w:val="0"/>
      <w:marBottom w:val="0"/>
      <w:divBdr>
        <w:top w:val="none" w:sz="0" w:space="0" w:color="auto"/>
        <w:left w:val="none" w:sz="0" w:space="0" w:color="auto"/>
        <w:bottom w:val="none" w:sz="0" w:space="0" w:color="auto"/>
        <w:right w:val="none" w:sz="0" w:space="0" w:color="auto"/>
      </w:divBdr>
      <w:divsChild>
        <w:div w:id="1167669666">
          <w:marLeft w:val="0"/>
          <w:marRight w:val="0"/>
          <w:marTop w:val="0"/>
          <w:marBottom w:val="225"/>
          <w:divBdr>
            <w:top w:val="single" w:sz="24" w:space="0" w:color="auto"/>
            <w:left w:val="single" w:sz="24" w:space="0" w:color="auto"/>
            <w:bottom w:val="single" w:sz="36" w:space="0" w:color="003300"/>
            <w:right w:val="single" w:sz="24" w:space="0" w:color="auto"/>
          </w:divBdr>
          <w:divsChild>
            <w:div w:id="68618917">
              <w:marLeft w:val="0"/>
              <w:marRight w:val="0"/>
              <w:marTop w:val="0"/>
              <w:marBottom w:val="0"/>
              <w:divBdr>
                <w:top w:val="none" w:sz="0" w:space="0" w:color="auto"/>
                <w:left w:val="none" w:sz="0" w:space="0" w:color="auto"/>
                <w:bottom w:val="none" w:sz="0" w:space="0" w:color="auto"/>
                <w:right w:val="none" w:sz="0" w:space="0" w:color="auto"/>
              </w:divBdr>
            </w:div>
          </w:divsChild>
        </w:div>
        <w:div w:id="2071224625">
          <w:marLeft w:val="0"/>
          <w:marRight w:val="0"/>
          <w:marTop w:val="0"/>
          <w:marBottom w:val="0"/>
          <w:divBdr>
            <w:top w:val="none" w:sz="0" w:space="0" w:color="auto"/>
            <w:left w:val="none" w:sz="0" w:space="0" w:color="auto"/>
            <w:bottom w:val="none" w:sz="0" w:space="0" w:color="auto"/>
            <w:right w:val="none" w:sz="0" w:space="0" w:color="auto"/>
          </w:divBdr>
          <w:divsChild>
            <w:div w:id="918750028">
              <w:marLeft w:val="0"/>
              <w:marRight w:val="0"/>
              <w:marTop w:val="0"/>
              <w:marBottom w:val="0"/>
              <w:divBdr>
                <w:top w:val="none" w:sz="0" w:space="0" w:color="auto"/>
                <w:left w:val="none" w:sz="0" w:space="0" w:color="auto"/>
                <w:bottom w:val="none" w:sz="0" w:space="0" w:color="auto"/>
                <w:right w:val="none" w:sz="0" w:space="0" w:color="auto"/>
              </w:divBdr>
              <w:divsChild>
                <w:div w:id="1945577643">
                  <w:marLeft w:val="0"/>
                  <w:marRight w:val="0"/>
                  <w:marTop w:val="0"/>
                  <w:marBottom w:val="0"/>
                  <w:divBdr>
                    <w:top w:val="none" w:sz="0" w:space="0" w:color="auto"/>
                    <w:left w:val="none" w:sz="0" w:space="0" w:color="auto"/>
                    <w:bottom w:val="none" w:sz="0" w:space="0" w:color="auto"/>
                    <w:right w:val="none" w:sz="0" w:space="0" w:color="auto"/>
                  </w:divBdr>
                  <w:divsChild>
                    <w:div w:id="1890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0230">
      <w:bodyDiv w:val="1"/>
      <w:marLeft w:val="0"/>
      <w:marRight w:val="0"/>
      <w:marTop w:val="0"/>
      <w:marBottom w:val="0"/>
      <w:divBdr>
        <w:top w:val="none" w:sz="0" w:space="0" w:color="auto"/>
        <w:left w:val="none" w:sz="0" w:space="0" w:color="auto"/>
        <w:bottom w:val="none" w:sz="0" w:space="0" w:color="auto"/>
        <w:right w:val="none" w:sz="0" w:space="0" w:color="auto"/>
      </w:divBdr>
    </w:div>
    <w:div w:id="1340355886">
      <w:bodyDiv w:val="1"/>
      <w:marLeft w:val="0"/>
      <w:marRight w:val="0"/>
      <w:marTop w:val="0"/>
      <w:marBottom w:val="0"/>
      <w:divBdr>
        <w:top w:val="none" w:sz="0" w:space="0" w:color="auto"/>
        <w:left w:val="none" w:sz="0" w:space="0" w:color="auto"/>
        <w:bottom w:val="none" w:sz="0" w:space="0" w:color="auto"/>
        <w:right w:val="none" w:sz="0" w:space="0" w:color="auto"/>
      </w:divBdr>
    </w:div>
    <w:div w:id="1592860827">
      <w:bodyDiv w:val="1"/>
      <w:marLeft w:val="0"/>
      <w:marRight w:val="0"/>
      <w:marTop w:val="0"/>
      <w:marBottom w:val="0"/>
      <w:divBdr>
        <w:top w:val="none" w:sz="0" w:space="0" w:color="auto"/>
        <w:left w:val="none" w:sz="0" w:space="0" w:color="auto"/>
        <w:bottom w:val="none" w:sz="0" w:space="0" w:color="auto"/>
        <w:right w:val="none" w:sz="0" w:space="0" w:color="auto"/>
      </w:divBdr>
    </w:div>
    <w:div w:id="1756434865">
      <w:bodyDiv w:val="1"/>
      <w:marLeft w:val="0"/>
      <w:marRight w:val="0"/>
      <w:marTop w:val="0"/>
      <w:marBottom w:val="0"/>
      <w:divBdr>
        <w:top w:val="none" w:sz="0" w:space="0" w:color="auto"/>
        <w:left w:val="none" w:sz="0" w:space="0" w:color="auto"/>
        <w:bottom w:val="none" w:sz="0" w:space="0" w:color="auto"/>
        <w:right w:val="none" w:sz="0" w:space="0" w:color="auto"/>
      </w:divBdr>
    </w:div>
    <w:div w:id="208040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5C021-FE1F-4812-B794-06F37AEE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Lilitha Mdleleni</cp:lastModifiedBy>
  <cp:revision>6</cp:revision>
  <cp:lastPrinted>2024-01-24T09:05:00Z</cp:lastPrinted>
  <dcterms:created xsi:type="dcterms:W3CDTF">2024-01-24T09:00:00Z</dcterms:created>
  <dcterms:modified xsi:type="dcterms:W3CDTF">2024-01-28T17:19:00Z</dcterms:modified>
</cp:coreProperties>
</file>