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15FB0" w14:textId="77777777" w:rsidR="00AB30DE" w:rsidRPr="006C4511" w:rsidRDefault="00AB30DE" w:rsidP="006C4511">
      <w:pPr>
        <w:spacing w:after="0" w:line="360" w:lineRule="auto"/>
        <w:jc w:val="center"/>
        <w:rPr>
          <w:rFonts w:ascii="Arial" w:hAnsi="Arial" w:cs="Arial"/>
          <w:b/>
          <w:bCs/>
          <w:sz w:val="28"/>
          <w:szCs w:val="28"/>
        </w:rPr>
      </w:pPr>
      <w:r w:rsidRPr="006C4511">
        <w:rPr>
          <w:rFonts w:ascii="Arial" w:hAnsi="Arial" w:cs="Arial"/>
          <w:b/>
          <w:bCs/>
          <w:sz w:val="28"/>
          <w:szCs w:val="28"/>
        </w:rPr>
        <w:t>REPUBLIC OF SOUTH AFRICA</w:t>
      </w:r>
    </w:p>
    <w:p w14:paraId="1940CCBD" w14:textId="77777777" w:rsidR="00AB30DE" w:rsidRPr="006C4511" w:rsidRDefault="00AB30DE" w:rsidP="006C4511">
      <w:pPr>
        <w:spacing w:after="0" w:line="360" w:lineRule="auto"/>
        <w:jc w:val="center"/>
        <w:rPr>
          <w:rFonts w:ascii="Arial" w:hAnsi="Arial" w:cs="Arial"/>
          <w:b/>
          <w:bCs/>
        </w:rPr>
      </w:pPr>
    </w:p>
    <w:p w14:paraId="65FB346B" w14:textId="77777777" w:rsidR="00AB30DE" w:rsidRPr="006C4511" w:rsidRDefault="00AB30DE" w:rsidP="006C4511">
      <w:pPr>
        <w:spacing w:after="0" w:line="360" w:lineRule="auto"/>
        <w:jc w:val="center"/>
        <w:rPr>
          <w:rFonts w:ascii="Arial" w:hAnsi="Arial" w:cs="Arial"/>
        </w:rPr>
      </w:pPr>
      <w:r w:rsidRPr="006C4511">
        <w:rPr>
          <w:rFonts w:ascii="Arial" w:hAnsi="Arial" w:cs="Arial"/>
          <w:noProof/>
        </w:rPr>
        <w:drawing>
          <wp:inline distT="0" distB="0" distL="0" distR="0" wp14:anchorId="3EA98BF2" wp14:editId="096AA6A6">
            <wp:extent cx="2877820" cy="1865630"/>
            <wp:effectExtent l="0" t="0" r="0" b="1270"/>
            <wp:docPr id="974299596" name="Picture 974299596" descr="A logo of a law fi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299596" name="Picture 974299596" descr="A logo of a law fir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7820" cy="1865630"/>
                    </a:xfrm>
                    <a:prstGeom prst="rect">
                      <a:avLst/>
                    </a:prstGeom>
                    <a:noFill/>
                  </pic:spPr>
                </pic:pic>
              </a:graphicData>
            </a:graphic>
          </wp:inline>
        </w:drawing>
      </w:r>
    </w:p>
    <w:p w14:paraId="7116CAD4" w14:textId="77777777" w:rsidR="00AB30DE" w:rsidRPr="006C4511" w:rsidRDefault="00AB30DE" w:rsidP="006C4511">
      <w:pPr>
        <w:spacing w:after="0" w:line="360" w:lineRule="auto"/>
        <w:rPr>
          <w:rFonts w:ascii="Arial" w:hAnsi="Arial" w:cs="Arial"/>
        </w:rPr>
      </w:pPr>
    </w:p>
    <w:p w14:paraId="12701EAE" w14:textId="77777777" w:rsidR="00AB30DE" w:rsidRPr="006C4511" w:rsidRDefault="00AB30DE" w:rsidP="006C4511">
      <w:pPr>
        <w:widowControl w:val="0"/>
        <w:tabs>
          <w:tab w:val="center" w:pos="4512"/>
        </w:tabs>
        <w:autoSpaceDE w:val="0"/>
        <w:autoSpaceDN w:val="0"/>
        <w:adjustRightInd w:val="0"/>
        <w:spacing w:after="0" w:line="360" w:lineRule="auto"/>
        <w:jc w:val="center"/>
        <w:rPr>
          <w:rFonts w:ascii="Arial" w:eastAsia="Times New Roman" w:hAnsi="Arial" w:cs="Arial"/>
          <w:b/>
          <w:lang w:eastAsia="en-GB"/>
        </w:rPr>
      </w:pPr>
      <w:r w:rsidRPr="006C4511">
        <w:rPr>
          <w:rFonts w:ascii="Arial" w:eastAsia="Times New Roman" w:hAnsi="Arial" w:cs="Arial"/>
          <w:b/>
          <w:lang w:eastAsia="en-GB"/>
        </w:rPr>
        <w:t>IN THE HIGH COURT OF SOUTH AFRICA</w:t>
      </w:r>
    </w:p>
    <w:p w14:paraId="7255AFD5" w14:textId="77777777" w:rsidR="00AB30DE" w:rsidRPr="006C4511" w:rsidRDefault="00AB30DE" w:rsidP="006C4511">
      <w:pPr>
        <w:widowControl w:val="0"/>
        <w:tabs>
          <w:tab w:val="center" w:pos="4512"/>
        </w:tabs>
        <w:autoSpaceDE w:val="0"/>
        <w:autoSpaceDN w:val="0"/>
        <w:adjustRightInd w:val="0"/>
        <w:spacing w:after="0" w:line="360" w:lineRule="auto"/>
        <w:jc w:val="center"/>
        <w:rPr>
          <w:rFonts w:ascii="Arial" w:eastAsia="Times New Roman" w:hAnsi="Arial" w:cs="Arial"/>
          <w:lang w:eastAsia="en-GB"/>
        </w:rPr>
      </w:pPr>
      <w:r w:rsidRPr="006C4511">
        <w:rPr>
          <w:rFonts w:ascii="Arial" w:eastAsia="Times New Roman" w:hAnsi="Arial" w:cs="Arial"/>
          <w:b/>
          <w:lang w:eastAsia="en-GB"/>
        </w:rPr>
        <w:t>GAUTENG DIVISION, PRETORIA</w:t>
      </w:r>
    </w:p>
    <w:p w14:paraId="5C47682D" w14:textId="77777777" w:rsidR="00AB30DE" w:rsidRPr="006C4511" w:rsidRDefault="00AB30DE" w:rsidP="006C4511">
      <w:pPr>
        <w:widowControl w:val="0"/>
        <w:autoSpaceDE w:val="0"/>
        <w:autoSpaceDN w:val="0"/>
        <w:adjustRightInd w:val="0"/>
        <w:spacing w:after="0" w:line="360" w:lineRule="auto"/>
        <w:jc w:val="both"/>
        <w:rPr>
          <w:rFonts w:ascii="Arial" w:eastAsia="Times New Roman" w:hAnsi="Arial" w:cs="Arial"/>
          <w:lang w:eastAsia="en-GB"/>
        </w:rPr>
      </w:pPr>
    </w:p>
    <w:tbl>
      <w:tblPr>
        <w:tblW w:w="4860" w:type="dxa"/>
        <w:tblInd w:w="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tblGrid>
      <w:tr w:rsidR="00AB30DE" w:rsidRPr="006C4511" w14:paraId="03D4069E" w14:textId="77777777" w:rsidTr="00843D10">
        <w:trPr>
          <w:trHeight w:val="2033"/>
        </w:trPr>
        <w:tc>
          <w:tcPr>
            <w:tcW w:w="4860" w:type="dxa"/>
            <w:tcBorders>
              <w:top w:val="single" w:sz="4" w:space="0" w:color="auto"/>
              <w:left w:val="single" w:sz="4" w:space="0" w:color="auto"/>
              <w:bottom w:val="single" w:sz="4" w:space="0" w:color="auto"/>
              <w:right w:val="single" w:sz="4" w:space="0" w:color="auto"/>
            </w:tcBorders>
            <w:hideMark/>
          </w:tcPr>
          <w:p w14:paraId="3A747278" w14:textId="77777777" w:rsidR="00AB30DE" w:rsidRPr="006C4511" w:rsidRDefault="00AB30DE" w:rsidP="006C4511">
            <w:pPr>
              <w:spacing w:after="0" w:line="360" w:lineRule="auto"/>
              <w:jc w:val="right"/>
              <w:rPr>
                <w:rFonts w:ascii="Arial" w:hAnsi="Arial" w:cs="Arial"/>
                <w:b/>
                <w:lang w:val="en-GB"/>
              </w:rPr>
            </w:pPr>
          </w:p>
          <w:p w14:paraId="2058438E" w14:textId="77777777" w:rsidR="00AB30DE" w:rsidRPr="006C4511" w:rsidRDefault="00AB30DE" w:rsidP="006C4511">
            <w:pPr>
              <w:spacing w:after="0" w:line="360" w:lineRule="auto"/>
              <w:jc w:val="both"/>
              <w:rPr>
                <w:rFonts w:ascii="Arial" w:hAnsi="Arial" w:cs="Arial"/>
                <w:b/>
                <w:lang w:val="en-GB"/>
              </w:rPr>
            </w:pPr>
            <w:r w:rsidRPr="006C4511">
              <w:rPr>
                <w:rFonts w:ascii="Arial" w:hAnsi="Arial" w:cs="Arial"/>
                <w:b/>
                <w:lang w:val="en-GB"/>
              </w:rPr>
              <w:t>(1) REPORTABLE: YES</w:t>
            </w:r>
          </w:p>
          <w:p w14:paraId="75246FE1" w14:textId="77777777" w:rsidR="00AB30DE" w:rsidRPr="006C4511" w:rsidRDefault="00AB30DE" w:rsidP="006C4511">
            <w:pPr>
              <w:spacing w:after="0" w:line="360" w:lineRule="auto"/>
              <w:jc w:val="both"/>
              <w:rPr>
                <w:rFonts w:ascii="Arial" w:hAnsi="Arial" w:cs="Arial"/>
                <w:b/>
                <w:lang w:val="en-GB"/>
              </w:rPr>
            </w:pPr>
            <w:r w:rsidRPr="006C4511">
              <w:rPr>
                <w:rFonts w:ascii="Arial" w:hAnsi="Arial" w:cs="Arial"/>
                <w:b/>
                <w:lang w:val="en-GB"/>
              </w:rPr>
              <w:t>(2) OF INTEREST TO OTHER JUDGES: YES</w:t>
            </w:r>
          </w:p>
          <w:p w14:paraId="11E50E04" w14:textId="5DCA566C" w:rsidR="00AB30DE" w:rsidRPr="006C4511" w:rsidRDefault="00AB30DE" w:rsidP="006C4511">
            <w:pPr>
              <w:spacing w:after="0" w:line="360" w:lineRule="auto"/>
              <w:jc w:val="both"/>
              <w:rPr>
                <w:rFonts w:ascii="Arial" w:hAnsi="Arial" w:cs="Arial"/>
                <w:b/>
                <w:lang w:val="en-GB"/>
              </w:rPr>
            </w:pPr>
            <w:r w:rsidRPr="006C4511">
              <w:rPr>
                <w:rFonts w:ascii="Arial" w:hAnsi="Arial" w:cs="Arial"/>
                <w:b/>
                <w:lang w:val="en-GB"/>
              </w:rPr>
              <w:t>DATE: 1</w:t>
            </w:r>
            <w:r w:rsidR="008C3DA6">
              <w:rPr>
                <w:rFonts w:ascii="Arial" w:hAnsi="Arial" w:cs="Arial"/>
                <w:b/>
                <w:lang w:val="en-GB"/>
              </w:rPr>
              <w:t>5</w:t>
            </w:r>
            <w:r w:rsidR="0038243D">
              <w:rPr>
                <w:rFonts w:ascii="Arial" w:hAnsi="Arial" w:cs="Arial"/>
                <w:b/>
                <w:lang w:val="en-GB"/>
              </w:rPr>
              <w:t xml:space="preserve"> January</w:t>
            </w:r>
            <w:r w:rsidRPr="006C4511">
              <w:rPr>
                <w:rFonts w:ascii="Arial" w:hAnsi="Arial" w:cs="Arial"/>
                <w:b/>
                <w:lang w:val="en-GB"/>
              </w:rPr>
              <w:t xml:space="preserve"> 202</w:t>
            </w:r>
            <w:r w:rsidR="0038243D">
              <w:rPr>
                <w:rFonts w:ascii="Arial" w:hAnsi="Arial" w:cs="Arial"/>
                <w:b/>
                <w:lang w:val="en-GB"/>
              </w:rPr>
              <w:t>4</w:t>
            </w:r>
          </w:p>
          <w:p w14:paraId="1B576BEC" w14:textId="77777777" w:rsidR="00AB30DE" w:rsidRPr="006C4511" w:rsidRDefault="00AB30DE" w:rsidP="006C4511">
            <w:pPr>
              <w:spacing w:after="0" w:line="360" w:lineRule="auto"/>
              <w:jc w:val="both"/>
              <w:rPr>
                <w:rFonts w:ascii="Arial" w:hAnsi="Arial" w:cs="Arial"/>
                <w:b/>
                <w:lang w:val="en-GB"/>
              </w:rPr>
            </w:pPr>
            <w:r w:rsidRPr="006C4511">
              <w:rPr>
                <w:rFonts w:ascii="Arial" w:hAnsi="Arial" w:cs="Arial"/>
                <w:b/>
                <w:lang w:val="en-GB"/>
              </w:rPr>
              <w:t xml:space="preserve">SIGNATURE: ……………………………………. </w:t>
            </w:r>
          </w:p>
        </w:tc>
      </w:tr>
    </w:tbl>
    <w:p w14:paraId="780E929E" w14:textId="77777777" w:rsidR="00AB30DE" w:rsidRPr="006C4511" w:rsidRDefault="00AB30DE" w:rsidP="006C4511">
      <w:pPr>
        <w:spacing w:after="0" w:line="360" w:lineRule="auto"/>
        <w:ind w:right="-188"/>
        <w:contextualSpacing/>
        <w:rPr>
          <w:rFonts w:ascii="Arial" w:hAnsi="Arial" w:cs="Arial"/>
          <w:b/>
          <w:bCs/>
          <w:color w:val="000000" w:themeColor="text1"/>
        </w:rPr>
      </w:pPr>
    </w:p>
    <w:p w14:paraId="621BB294" w14:textId="578FA2DE" w:rsidR="00AB30DE" w:rsidRPr="006C4511" w:rsidRDefault="00AB30DE" w:rsidP="006C4511">
      <w:pPr>
        <w:spacing w:after="0" w:line="360" w:lineRule="auto"/>
        <w:ind w:right="-188"/>
        <w:contextualSpacing/>
        <w:jc w:val="right"/>
        <w:rPr>
          <w:rFonts w:ascii="Arial" w:hAnsi="Arial" w:cs="Arial"/>
          <w:b/>
          <w:bCs/>
          <w:color w:val="000000" w:themeColor="text1"/>
        </w:rPr>
      </w:pPr>
      <w:r w:rsidRPr="006C4511">
        <w:rPr>
          <w:rFonts w:ascii="Arial" w:hAnsi="Arial" w:cs="Arial"/>
          <w:b/>
          <w:bCs/>
          <w:color w:val="000000" w:themeColor="text1"/>
        </w:rPr>
        <w:t>CASE NUMBER: 018914/2</w:t>
      </w:r>
      <w:r w:rsidR="008C3DA6">
        <w:rPr>
          <w:rFonts w:ascii="Arial" w:hAnsi="Arial" w:cs="Arial"/>
          <w:b/>
          <w:bCs/>
          <w:color w:val="000000" w:themeColor="text1"/>
        </w:rPr>
        <w:t>023</w:t>
      </w:r>
    </w:p>
    <w:p w14:paraId="5B9EC948" w14:textId="77777777" w:rsidR="00AB30DE" w:rsidRPr="006C4511" w:rsidRDefault="00AB30DE" w:rsidP="006C4511">
      <w:pPr>
        <w:spacing w:after="0" w:line="360" w:lineRule="auto"/>
        <w:rPr>
          <w:rFonts w:ascii="Arial" w:hAnsi="Arial" w:cs="Arial"/>
          <w:b/>
          <w:bCs/>
        </w:rPr>
      </w:pPr>
      <w:r w:rsidRPr="006C4511">
        <w:rPr>
          <w:rFonts w:ascii="Arial" w:hAnsi="Arial" w:cs="Arial"/>
          <w:b/>
          <w:bCs/>
        </w:rPr>
        <w:t>In the matter between:</w:t>
      </w:r>
    </w:p>
    <w:p w14:paraId="759CB01C" w14:textId="77777777" w:rsidR="00AB30DE" w:rsidRPr="006C4511" w:rsidRDefault="00AB30DE" w:rsidP="006C4511">
      <w:pPr>
        <w:spacing w:after="0" w:line="360" w:lineRule="auto"/>
        <w:rPr>
          <w:rFonts w:ascii="Arial" w:hAnsi="Arial" w:cs="Arial"/>
          <w:b/>
          <w:bCs/>
        </w:rPr>
      </w:pPr>
    </w:p>
    <w:p w14:paraId="53FBCBC7" w14:textId="27DA8C8C" w:rsidR="00AB30DE" w:rsidRPr="006C4511" w:rsidRDefault="00AB30DE" w:rsidP="006C4511">
      <w:pPr>
        <w:spacing w:after="0" w:line="360" w:lineRule="auto"/>
        <w:rPr>
          <w:rFonts w:ascii="Arial" w:hAnsi="Arial" w:cs="Arial"/>
          <w:b/>
          <w:bCs/>
        </w:rPr>
      </w:pPr>
      <w:r w:rsidRPr="006C4511">
        <w:rPr>
          <w:rFonts w:ascii="Arial" w:hAnsi="Arial" w:cs="Arial"/>
          <w:b/>
          <w:bCs/>
        </w:rPr>
        <w:t>BUSINESS VENTURE</w:t>
      </w:r>
      <w:r w:rsidR="004E359C">
        <w:rPr>
          <w:rFonts w:ascii="Arial" w:hAnsi="Arial" w:cs="Arial"/>
          <w:b/>
          <w:bCs/>
        </w:rPr>
        <w:t xml:space="preserve"> INVESTMENTS</w:t>
      </w:r>
      <w:r w:rsidR="00A4401F">
        <w:rPr>
          <w:rFonts w:ascii="Arial" w:hAnsi="Arial" w:cs="Arial"/>
          <w:b/>
          <w:bCs/>
        </w:rPr>
        <w:t xml:space="preserve"> (PTY) LTD</w:t>
      </w:r>
      <w:r w:rsidRPr="006C4511">
        <w:rPr>
          <w:rFonts w:ascii="Arial" w:hAnsi="Arial" w:cs="Arial"/>
          <w:b/>
          <w:bCs/>
        </w:rPr>
        <w:tab/>
      </w:r>
      <w:r w:rsidRPr="006C4511">
        <w:rPr>
          <w:rFonts w:ascii="Arial" w:hAnsi="Arial" w:cs="Arial"/>
          <w:b/>
          <w:bCs/>
        </w:rPr>
        <w:tab/>
      </w:r>
      <w:r w:rsidRPr="006C4511">
        <w:rPr>
          <w:rFonts w:ascii="Arial" w:hAnsi="Arial" w:cs="Arial"/>
          <w:b/>
          <w:bCs/>
        </w:rPr>
        <w:tab/>
      </w:r>
      <w:r w:rsidRPr="006C4511">
        <w:rPr>
          <w:rFonts w:ascii="Arial" w:hAnsi="Arial" w:cs="Arial"/>
          <w:b/>
          <w:bCs/>
        </w:rPr>
        <w:tab/>
        <w:t>PLAINTIFF</w:t>
      </w:r>
    </w:p>
    <w:p w14:paraId="7DC563B6" w14:textId="77777777" w:rsidR="00AB30DE" w:rsidRPr="006C4511" w:rsidRDefault="00AB30DE" w:rsidP="006C4511">
      <w:pPr>
        <w:spacing w:after="0" w:line="360" w:lineRule="auto"/>
        <w:rPr>
          <w:rFonts w:ascii="Arial" w:hAnsi="Arial" w:cs="Arial"/>
          <w:b/>
          <w:bCs/>
        </w:rPr>
      </w:pPr>
    </w:p>
    <w:p w14:paraId="188F35D4" w14:textId="77777777" w:rsidR="00AB30DE" w:rsidRPr="006C4511" w:rsidRDefault="00AB30DE" w:rsidP="006C4511">
      <w:pPr>
        <w:spacing w:after="0" w:line="360" w:lineRule="auto"/>
        <w:rPr>
          <w:rFonts w:ascii="Arial" w:hAnsi="Arial" w:cs="Arial"/>
          <w:b/>
          <w:bCs/>
        </w:rPr>
      </w:pPr>
      <w:r w:rsidRPr="006C4511">
        <w:rPr>
          <w:rFonts w:ascii="Arial" w:hAnsi="Arial" w:cs="Arial"/>
          <w:b/>
          <w:bCs/>
        </w:rPr>
        <w:t>And</w:t>
      </w:r>
    </w:p>
    <w:p w14:paraId="4910D178" w14:textId="77777777" w:rsidR="00AB30DE" w:rsidRPr="006C4511" w:rsidRDefault="00AB30DE" w:rsidP="006C4511">
      <w:pPr>
        <w:spacing w:after="0" w:line="360" w:lineRule="auto"/>
        <w:rPr>
          <w:rFonts w:ascii="Arial" w:hAnsi="Arial" w:cs="Arial"/>
          <w:b/>
          <w:bCs/>
        </w:rPr>
      </w:pPr>
    </w:p>
    <w:p w14:paraId="2540BF10" w14:textId="6C887267" w:rsidR="00AB30DE" w:rsidRPr="006C4511" w:rsidRDefault="00817CE8" w:rsidP="006C4511">
      <w:pPr>
        <w:spacing w:after="0" w:line="360" w:lineRule="auto"/>
        <w:rPr>
          <w:rFonts w:ascii="Arial" w:hAnsi="Arial" w:cs="Arial"/>
          <w:b/>
          <w:bCs/>
        </w:rPr>
      </w:pPr>
      <w:r>
        <w:rPr>
          <w:rFonts w:ascii="Arial" w:hAnsi="Arial" w:cs="Arial"/>
          <w:b/>
          <w:bCs/>
        </w:rPr>
        <w:t xml:space="preserve">MENLYN </w:t>
      </w:r>
      <w:r w:rsidR="00582EFC">
        <w:rPr>
          <w:rFonts w:ascii="Arial" w:hAnsi="Arial" w:cs="Arial"/>
          <w:b/>
          <w:bCs/>
        </w:rPr>
        <w:t>MOZ (PTY) LTD</w:t>
      </w:r>
      <w:r w:rsidR="00AB30DE" w:rsidRPr="006C4511">
        <w:rPr>
          <w:rFonts w:ascii="Arial" w:hAnsi="Arial" w:cs="Arial"/>
          <w:b/>
          <w:bCs/>
        </w:rPr>
        <w:tab/>
      </w:r>
      <w:r w:rsidR="00AB30DE" w:rsidRPr="006C4511">
        <w:rPr>
          <w:rFonts w:ascii="Arial" w:hAnsi="Arial" w:cs="Arial"/>
          <w:b/>
          <w:bCs/>
        </w:rPr>
        <w:tab/>
      </w:r>
      <w:r w:rsidR="00AB30DE" w:rsidRPr="006C4511">
        <w:rPr>
          <w:rFonts w:ascii="Arial" w:hAnsi="Arial" w:cs="Arial"/>
          <w:b/>
          <w:bCs/>
        </w:rPr>
        <w:tab/>
      </w:r>
      <w:r w:rsidR="00AB30DE" w:rsidRPr="006C4511">
        <w:rPr>
          <w:rFonts w:ascii="Arial" w:hAnsi="Arial" w:cs="Arial"/>
          <w:b/>
          <w:bCs/>
        </w:rPr>
        <w:tab/>
      </w:r>
      <w:r w:rsidR="00AB30DE" w:rsidRPr="006C4511">
        <w:rPr>
          <w:rFonts w:ascii="Arial" w:hAnsi="Arial" w:cs="Arial"/>
          <w:b/>
          <w:bCs/>
        </w:rPr>
        <w:tab/>
      </w:r>
      <w:r w:rsidR="00AB30DE" w:rsidRPr="006C4511">
        <w:rPr>
          <w:rFonts w:ascii="Arial" w:hAnsi="Arial" w:cs="Arial"/>
          <w:b/>
          <w:bCs/>
        </w:rPr>
        <w:tab/>
      </w:r>
      <w:r w:rsidR="00AB30DE" w:rsidRPr="006C4511">
        <w:rPr>
          <w:rFonts w:ascii="Arial" w:hAnsi="Arial" w:cs="Arial"/>
          <w:b/>
          <w:bCs/>
        </w:rPr>
        <w:tab/>
        <w:t>DEFENDANT</w:t>
      </w:r>
    </w:p>
    <w:p w14:paraId="3FEE93D1" w14:textId="43ED9B05" w:rsidR="00AB30DE" w:rsidRPr="006C4511" w:rsidRDefault="00AB30DE" w:rsidP="006C4511">
      <w:pPr>
        <w:spacing w:after="0" w:line="360" w:lineRule="auto"/>
        <w:rPr>
          <w:rFonts w:ascii="Arial" w:hAnsi="Arial" w:cs="Arial"/>
        </w:rPr>
      </w:pPr>
    </w:p>
    <w:p w14:paraId="5FC1D6E6" w14:textId="7CB75970" w:rsidR="006C4511" w:rsidRPr="005F2655" w:rsidRDefault="006C4511" w:rsidP="006C4511">
      <w:pPr>
        <w:spacing w:after="0" w:line="360" w:lineRule="auto"/>
        <w:contextualSpacing/>
        <w:jc w:val="both"/>
        <w:rPr>
          <w:rFonts w:ascii="Arial" w:hAnsi="Arial" w:cs="Arial"/>
        </w:rPr>
      </w:pPr>
      <w:r w:rsidRPr="006C4511">
        <w:rPr>
          <w:rFonts w:ascii="Arial" w:hAnsi="Arial" w:cs="Arial"/>
          <w:b/>
          <w:bCs/>
        </w:rPr>
        <w:t>Delivery</w:t>
      </w:r>
      <w:r w:rsidRPr="006C4511">
        <w:rPr>
          <w:rFonts w:ascii="Arial" w:hAnsi="Arial" w:cs="Arial"/>
        </w:rPr>
        <w:t>:</w:t>
      </w:r>
      <w:r>
        <w:rPr>
          <w:rFonts w:ascii="Arial" w:hAnsi="Arial" w:cs="Arial"/>
        </w:rPr>
        <w:t xml:space="preserve"> </w:t>
      </w:r>
      <w:r w:rsidRPr="00834488">
        <w:rPr>
          <w:rFonts w:ascii="Arial" w:hAnsi="Arial" w:cs="Arial"/>
          <w:i/>
          <w:iCs/>
        </w:rPr>
        <w:t xml:space="preserve">This judgment is issued by the Judge whose name appears herein and is submitted electronically to the parties /legal representatives by email. It is also uploaded on </w:t>
      </w:r>
      <w:proofErr w:type="spellStart"/>
      <w:r w:rsidRPr="00834488">
        <w:rPr>
          <w:rFonts w:ascii="Arial" w:hAnsi="Arial" w:cs="Arial"/>
          <w:i/>
          <w:iCs/>
        </w:rPr>
        <w:t>CaseLines</w:t>
      </w:r>
      <w:proofErr w:type="spellEnd"/>
      <w:r w:rsidRPr="00834488">
        <w:rPr>
          <w:rFonts w:ascii="Arial" w:hAnsi="Arial" w:cs="Arial"/>
          <w:i/>
          <w:iCs/>
        </w:rPr>
        <w:t xml:space="preserve"> and its date of delivery is deemed</w:t>
      </w:r>
      <w:r>
        <w:rPr>
          <w:rFonts w:ascii="Arial" w:hAnsi="Arial" w:cs="Arial"/>
          <w:i/>
          <w:iCs/>
        </w:rPr>
        <w:t xml:space="preserve"> </w:t>
      </w:r>
      <w:r w:rsidR="0038243D">
        <w:rPr>
          <w:rFonts w:ascii="Arial" w:hAnsi="Arial" w:cs="Arial"/>
          <w:i/>
          <w:iCs/>
        </w:rPr>
        <w:t>1</w:t>
      </w:r>
      <w:r w:rsidR="008C3DA6">
        <w:rPr>
          <w:rFonts w:ascii="Arial" w:hAnsi="Arial" w:cs="Arial"/>
          <w:i/>
          <w:iCs/>
        </w:rPr>
        <w:t>5</w:t>
      </w:r>
      <w:r w:rsidR="0038243D">
        <w:rPr>
          <w:rFonts w:ascii="Arial" w:hAnsi="Arial" w:cs="Arial"/>
          <w:i/>
          <w:iCs/>
        </w:rPr>
        <w:t xml:space="preserve"> January</w:t>
      </w:r>
      <w:r w:rsidRPr="00834488">
        <w:rPr>
          <w:rFonts w:ascii="Arial" w:hAnsi="Arial" w:cs="Arial"/>
          <w:i/>
          <w:iCs/>
        </w:rPr>
        <w:t xml:space="preserve"> 202</w:t>
      </w:r>
      <w:r w:rsidR="0038243D">
        <w:rPr>
          <w:rFonts w:ascii="Arial" w:hAnsi="Arial" w:cs="Arial"/>
          <w:i/>
          <w:iCs/>
        </w:rPr>
        <w:t>4</w:t>
      </w:r>
      <w:r>
        <w:rPr>
          <w:rFonts w:ascii="Arial" w:hAnsi="Arial" w:cs="Arial"/>
        </w:rPr>
        <w:t>.</w:t>
      </w:r>
    </w:p>
    <w:p w14:paraId="0D60F22D" w14:textId="2A5E2BDE" w:rsidR="006C4511" w:rsidRPr="006C4511" w:rsidRDefault="006C4511" w:rsidP="006C4511">
      <w:pPr>
        <w:spacing w:after="0" w:line="360" w:lineRule="auto"/>
        <w:rPr>
          <w:rFonts w:ascii="Arial" w:hAnsi="Arial" w:cs="Arial"/>
        </w:rPr>
      </w:pPr>
    </w:p>
    <w:p w14:paraId="60F3FEB8" w14:textId="0B7FD587" w:rsidR="006C4511" w:rsidRPr="006C4511" w:rsidRDefault="006C4511" w:rsidP="006C4511">
      <w:pPr>
        <w:spacing w:after="0" w:line="360" w:lineRule="auto"/>
        <w:rPr>
          <w:rFonts w:ascii="Arial" w:hAnsi="Arial" w:cs="Arial"/>
        </w:rPr>
      </w:pPr>
    </w:p>
    <w:p w14:paraId="422F591C" w14:textId="74173B96" w:rsidR="006C4511" w:rsidRPr="00782CE6" w:rsidRDefault="006C4511" w:rsidP="006C4511">
      <w:pPr>
        <w:spacing w:after="0" w:line="360" w:lineRule="auto"/>
        <w:rPr>
          <w:rFonts w:ascii="Arial" w:hAnsi="Arial" w:cs="Arial"/>
          <w:i/>
          <w:iCs/>
        </w:rPr>
      </w:pPr>
      <w:r w:rsidRPr="006C4511">
        <w:rPr>
          <w:rFonts w:ascii="Arial" w:hAnsi="Arial" w:cs="Arial"/>
          <w:b/>
          <w:bCs/>
        </w:rPr>
        <w:t>Summary:</w:t>
      </w:r>
      <w:r w:rsidR="0051324A">
        <w:rPr>
          <w:rFonts w:ascii="Arial" w:hAnsi="Arial" w:cs="Arial"/>
          <w:b/>
          <w:bCs/>
        </w:rPr>
        <w:t xml:space="preserve"> </w:t>
      </w:r>
      <w:r w:rsidR="0051324A" w:rsidRPr="00782CE6">
        <w:rPr>
          <w:rFonts w:ascii="Arial" w:hAnsi="Arial" w:cs="Arial"/>
          <w:i/>
          <w:iCs/>
        </w:rPr>
        <w:t xml:space="preserve">Rule </w:t>
      </w:r>
      <w:r w:rsidR="005A60E8" w:rsidRPr="00782CE6">
        <w:rPr>
          <w:rFonts w:ascii="Arial" w:hAnsi="Arial" w:cs="Arial"/>
          <w:i/>
          <w:iCs/>
        </w:rPr>
        <w:t>3</w:t>
      </w:r>
      <w:r w:rsidR="001344C9">
        <w:rPr>
          <w:rFonts w:ascii="Arial" w:hAnsi="Arial" w:cs="Arial"/>
          <w:i/>
          <w:iCs/>
        </w:rPr>
        <w:t>2</w:t>
      </w:r>
      <w:r w:rsidR="005A60E8" w:rsidRPr="00782CE6">
        <w:rPr>
          <w:rFonts w:ascii="Arial" w:hAnsi="Arial" w:cs="Arial"/>
          <w:i/>
          <w:iCs/>
        </w:rPr>
        <w:t xml:space="preserve">-summary judgment; breach </w:t>
      </w:r>
      <w:r w:rsidR="003B25F8">
        <w:rPr>
          <w:rFonts w:ascii="Arial" w:hAnsi="Arial" w:cs="Arial"/>
          <w:i/>
          <w:iCs/>
        </w:rPr>
        <w:t>-</w:t>
      </w:r>
      <w:r w:rsidR="008C6FB0">
        <w:rPr>
          <w:rFonts w:ascii="Arial" w:hAnsi="Arial" w:cs="Arial"/>
          <w:i/>
          <w:iCs/>
        </w:rPr>
        <w:t xml:space="preserve"> </w:t>
      </w:r>
      <w:r w:rsidR="005A60E8" w:rsidRPr="00782CE6">
        <w:rPr>
          <w:rFonts w:ascii="Arial" w:hAnsi="Arial" w:cs="Arial"/>
          <w:i/>
          <w:iCs/>
        </w:rPr>
        <w:t>lease agreement</w:t>
      </w:r>
      <w:r w:rsidR="005758A3">
        <w:rPr>
          <w:rFonts w:ascii="Arial" w:hAnsi="Arial" w:cs="Arial"/>
          <w:i/>
          <w:iCs/>
        </w:rPr>
        <w:t xml:space="preserve"> and suretyship agreement</w:t>
      </w:r>
      <w:r w:rsidR="002B18C4">
        <w:rPr>
          <w:rFonts w:ascii="Arial" w:hAnsi="Arial" w:cs="Arial"/>
          <w:i/>
          <w:iCs/>
        </w:rPr>
        <w:t xml:space="preserve"> – commercial premises</w:t>
      </w:r>
      <w:r w:rsidR="002E1203">
        <w:rPr>
          <w:rFonts w:ascii="Arial" w:hAnsi="Arial" w:cs="Arial"/>
          <w:i/>
          <w:iCs/>
        </w:rPr>
        <w:t xml:space="preserve">. Resistance </w:t>
      </w:r>
      <w:r w:rsidR="00A331C1">
        <w:rPr>
          <w:rFonts w:ascii="Arial" w:hAnsi="Arial" w:cs="Arial"/>
          <w:i/>
          <w:iCs/>
        </w:rPr>
        <w:t>-</w:t>
      </w:r>
      <w:r w:rsidR="002E1203">
        <w:rPr>
          <w:rFonts w:ascii="Arial" w:hAnsi="Arial" w:cs="Arial"/>
          <w:i/>
          <w:iCs/>
        </w:rPr>
        <w:t xml:space="preserve"> summary judgment – </w:t>
      </w:r>
      <w:r w:rsidR="00AF3C3F">
        <w:rPr>
          <w:rFonts w:ascii="Arial" w:hAnsi="Arial" w:cs="Arial"/>
          <w:i/>
          <w:iCs/>
        </w:rPr>
        <w:t>tacit agreement</w:t>
      </w:r>
      <w:r w:rsidR="00EC54B8">
        <w:rPr>
          <w:rFonts w:ascii="Arial" w:hAnsi="Arial" w:cs="Arial"/>
          <w:i/>
          <w:iCs/>
        </w:rPr>
        <w:t>- reduced rent</w:t>
      </w:r>
      <w:r w:rsidR="00912248">
        <w:rPr>
          <w:rFonts w:ascii="Arial" w:hAnsi="Arial" w:cs="Arial"/>
          <w:i/>
          <w:iCs/>
        </w:rPr>
        <w:t xml:space="preserve"> (</w:t>
      </w:r>
      <w:r w:rsidR="00912248" w:rsidRPr="00693B18">
        <w:rPr>
          <w:rFonts w:ascii="Arial" w:hAnsi="Arial" w:cs="Arial"/>
          <w:i/>
          <w:iCs/>
        </w:rPr>
        <w:t xml:space="preserve">pactum de non </w:t>
      </w:r>
      <w:r w:rsidR="00912248">
        <w:rPr>
          <w:rFonts w:ascii="Arial" w:hAnsi="Arial" w:cs="Arial"/>
          <w:i/>
          <w:iCs/>
        </w:rPr>
        <w:t>pretend)</w:t>
      </w:r>
      <w:r w:rsidR="00EC54B8">
        <w:rPr>
          <w:rFonts w:ascii="Arial" w:hAnsi="Arial" w:cs="Arial"/>
          <w:i/>
          <w:iCs/>
        </w:rPr>
        <w:t xml:space="preserve">; </w:t>
      </w:r>
      <w:r w:rsidR="002E1203">
        <w:rPr>
          <w:rFonts w:ascii="Arial" w:hAnsi="Arial" w:cs="Arial"/>
          <w:i/>
          <w:iCs/>
        </w:rPr>
        <w:t xml:space="preserve">COVID-19 </w:t>
      </w:r>
      <w:r w:rsidR="005758A3">
        <w:rPr>
          <w:rFonts w:ascii="Arial" w:hAnsi="Arial" w:cs="Arial"/>
          <w:i/>
          <w:iCs/>
        </w:rPr>
        <w:t>economic activity</w:t>
      </w:r>
      <w:r w:rsidR="00AF3C3F">
        <w:rPr>
          <w:rFonts w:ascii="Arial" w:hAnsi="Arial" w:cs="Arial"/>
          <w:i/>
          <w:iCs/>
        </w:rPr>
        <w:t xml:space="preserve">; </w:t>
      </w:r>
      <w:r w:rsidR="00E21683">
        <w:rPr>
          <w:rFonts w:ascii="Arial" w:hAnsi="Arial" w:cs="Arial"/>
          <w:i/>
          <w:iCs/>
        </w:rPr>
        <w:t>s22 Constitution 1996, sanctity-agreement</w:t>
      </w:r>
      <w:r w:rsidR="00A331C1">
        <w:rPr>
          <w:rFonts w:ascii="Arial" w:hAnsi="Arial" w:cs="Arial"/>
          <w:i/>
          <w:iCs/>
        </w:rPr>
        <w:t xml:space="preserve"> and application granted.</w:t>
      </w:r>
    </w:p>
    <w:p w14:paraId="171D9140" w14:textId="77777777" w:rsidR="006C4511" w:rsidRPr="006C4511" w:rsidRDefault="006C4511" w:rsidP="006C4511">
      <w:pPr>
        <w:spacing w:after="0" w:line="360" w:lineRule="auto"/>
        <w:rPr>
          <w:rFonts w:ascii="Arial" w:hAnsi="Arial" w:cs="Arial"/>
        </w:rPr>
      </w:pPr>
    </w:p>
    <w:p w14:paraId="74F5C8E4" w14:textId="4AD35A34" w:rsidR="006C4511" w:rsidRPr="006C4511" w:rsidRDefault="006C4511" w:rsidP="006C4511">
      <w:pPr>
        <w:spacing w:after="0" w:line="360" w:lineRule="auto"/>
        <w:rPr>
          <w:rFonts w:ascii="Arial" w:hAnsi="Arial" w:cs="Arial"/>
        </w:rPr>
      </w:pPr>
      <w:r w:rsidRPr="006C4511">
        <w:rPr>
          <w:rFonts w:ascii="Arial" w:hAnsi="Arial" w:cs="Arial"/>
        </w:rPr>
        <w:t>____________________________________________________________________________</w:t>
      </w:r>
    </w:p>
    <w:p w14:paraId="7CD8AFCA" w14:textId="73156C3B" w:rsidR="006C4511" w:rsidRPr="006C4511" w:rsidRDefault="006C4511" w:rsidP="006C4511">
      <w:pPr>
        <w:spacing w:after="0" w:line="360" w:lineRule="auto"/>
        <w:jc w:val="center"/>
        <w:rPr>
          <w:rFonts w:ascii="Arial" w:hAnsi="Arial" w:cs="Arial"/>
          <w:b/>
          <w:bCs/>
        </w:rPr>
      </w:pPr>
      <w:r w:rsidRPr="006C4511">
        <w:rPr>
          <w:rFonts w:ascii="Arial" w:hAnsi="Arial" w:cs="Arial"/>
          <w:b/>
          <w:bCs/>
        </w:rPr>
        <w:t>JUDGMENT</w:t>
      </w:r>
    </w:p>
    <w:p w14:paraId="742BFE4E" w14:textId="3CABF70E" w:rsidR="006C4511" w:rsidRPr="006C4511" w:rsidRDefault="006C4511" w:rsidP="006C4511">
      <w:pPr>
        <w:spacing w:after="0" w:line="360" w:lineRule="auto"/>
        <w:rPr>
          <w:rFonts w:ascii="Arial" w:hAnsi="Arial" w:cs="Arial"/>
        </w:rPr>
      </w:pPr>
      <w:r w:rsidRPr="006C4511">
        <w:rPr>
          <w:rFonts w:ascii="Arial" w:hAnsi="Arial" w:cs="Arial"/>
        </w:rPr>
        <w:t>____________________________________________________________________________</w:t>
      </w:r>
    </w:p>
    <w:p w14:paraId="13061554" w14:textId="0A62B435" w:rsidR="008128D8" w:rsidRPr="006C4511" w:rsidRDefault="006C4511" w:rsidP="006C4511">
      <w:pPr>
        <w:spacing w:after="0" w:line="360" w:lineRule="auto"/>
        <w:rPr>
          <w:rFonts w:ascii="Arial" w:hAnsi="Arial" w:cs="Arial"/>
          <w:b/>
          <w:bCs/>
        </w:rPr>
      </w:pPr>
      <w:r w:rsidRPr="006C4511">
        <w:rPr>
          <w:rFonts w:ascii="Arial" w:hAnsi="Arial" w:cs="Arial"/>
          <w:b/>
          <w:bCs/>
        </w:rPr>
        <w:t>NTLAMA-MAKHANYA AJ</w:t>
      </w:r>
    </w:p>
    <w:p w14:paraId="07A7FAA6" w14:textId="524757EB" w:rsidR="006C4511" w:rsidRPr="006C4511" w:rsidRDefault="006C4511" w:rsidP="006C4511">
      <w:pPr>
        <w:spacing w:after="0" w:line="360" w:lineRule="auto"/>
        <w:rPr>
          <w:rFonts w:ascii="Arial" w:hAnsi="Arial" w:cs="Arial"/>
        </w:rPr>
      </w:pPr>
    </w:p>
    <w:p w14:paraId="1604B342" w14:textId="65C9A346" w:rsidR="006C4511" w:rsidRPr="006C4511" w:rsidRDefault="009A0FA8" w:rsidP="00DE05FC">
      <w:pPr>
        <w:spacing w:after="0" w:line="360" w:lineRule="auto"/>
        <w:ind w:left="720" w:hanging="720"/>
        <w:jc w:val="both"/>
        <w:rPr>
          <w:rFonts w:ascii="Arial" w:hAnsi="Arial" w:cs="Arial"/>
        </w:rPr>
      </w:pPr>
      <w:r>
        <w:rPr>
          <w:rFonts w:ascii="Arial" w:hAnsi="Arial" w:cs="Arial"/>
        </w:rPr>
        <w:t>[1]</w:t>
      </w:r>
      <w:r>
        <w:rPr>
          <w:rFonts w:ascii="Arial" w:hAnsi="Arial" w:cs="Arial"/>
        </w:rPr>
        <w:tab/>
        <w:t xml:space="preserve">This is an application </w:t>
      </w:r>
      <w:r w:rsidR="005E431B">
        <w:rPr>
          <w:rFonts w:ascii="Arial" w:hAnsi="Arial" w:cs="Arial"/>
        </w:rPr>
        <w:t xml:space="preserve">in terms of Rule 32 of the Uniform Rules of the Court </w:t>
      </w:r>
      <w:r>
        <w:rPr>
          <w:rFonts w:ascii="Arial" w:hAnsi="Arial" w:cs="Arial"/>
        </w:rPr>
        <w:t xml:space="preserve">for a summary judgment in respect of the breach of a lease agreement </w:t>
      </w:r>
      <w:r w:rsidR="00302A3A">
        <w:rPr>
          <w:rFonts w:ascii="Arial" w:hAnsi="Arial" w:cs="Arial"/>
        </w:rPr>
        <w:t>regarding</w:t>
      </w:r>
      <w:r>
        <w:rPr>
          <w:rFonts w:ascii="Arial" w:hAnsi="Arial" w:cs="Arial"/>
        </w:rPr>
        <w:t xml:space="preserve"> the failure to pay</w:t>
      </w:r>
      <w:r w:rsidR="00C41083">
        <w:rPr>
          <w:rFonts w:ascii="Arial" w:hAnsi="Arial" w:cs="Arial"/>
        </w:rPr>
        <w:t xml:space="preserve"> </w:t>
      </w:r>
      <w:r w:rsidR="00B17334">
        <w:rPr>
          <w:rFonts w:ascii="Arial" w:hAnsi="Arial" w:cs="Arial"/>
        </w:rPr>
        <w:t xml:space="preserve">the </w:t>
      </w:r>
      <w:r w:rsidR="00C41083">
        <w:rPr>
          <w:rFonts w:ascii="Arial" w:hAnsi="Arial" w:cs="Arial"/>
        </w:rPr>
        <w:t>monthly</w:t>
      </w:r>
      <w:r>
        <w:rPr>
          <w:rFonts w:ascii="Arial" w:hAnsi="Arial" w:cs="Arial"/>
        </w:rPr>
        <w:t xml:space="preserve"> rent</w:t>
      </w:r>
      <w:r w:rsidR="00C41083">
        <w:rPr>
          <w:rFonts w:ascii="Arial" w:hAnsi="Arial" w:cs="Arial"/>
        </w:rPr>
        <w:t>al</w:t>
      </w:r>
      <w:r>
        <w:rPr>
          <w:rFonts w:ascii="Arial" w:hAnsi="Arial" w:cs="Arial"/>
        </w:rPr>
        <w:t>.</w:t>
      </w:r>
      <w:r w:rsidR="00452DEA">
        <w:rPr>
          <w:rFonts w:ascii="Arial" w:hAnsi="Arial" w:cs="Arial"/>
        </w:rPr>
        <w:t xml:space="preserve"> </w:t>
      </w:r>
      <w:r w:rsidR="00BA375B">
        <w:rPr>
          <w:rFonts w:ascii="Arial" w:hAnsi="Arial" w:cs="Arial"/>
        </w:rPr>
        <w:t>The breach relates to</w:t>
      </w:r>
      <w:r w:rsidR="00F07593">
        <w:rPr>
          <w:rFonts w:ascii="Arial" w:hAnsi="Arial" w:cs="Arial"/>
        </w:rPr>
        <w:t xml:space="preserve"> the use of commercial </w:t>
      </w:r>
      <w:r w:rsidR="00412D24">
        <w:rPr>
          <w:rFonts w:ascii="Arial" w:hAnsi="Arial" w:cs="Arial"/>
        </w:rPr>
        <w:t xml:space="preserve">leased premises in which the </w:t>
      </w:r>
      <w:r w:rsidR="005577E7">
        <w:rPr>
          <w:rFonts w:ascii="Arial" w:hAnsi="Arial" w:cs="Arial"/>
        </w:rPr>
        <w:t>defendant</w:t>
      </w:r>
      <w:r w:rsidR="00FF3095">
        <w:rPr>
          <w:rFonts w:ascii="Arial" w:hAnsi="Arial" w:cs="Arial"/>
        </w:rPr>
        <w:t>s</w:t>
      </w:r>
      <w:r w:rsidR="005577E7">
        <w:rPr>
          <w:rFonts w:ascii="Arial" w:hAnsi="Arial" w:cs="Arial"/>
        </w:rPr>
        <w:t xml:space="preserve"> ha</w:t>
      </w:r>
      <w:r w:rsidR="005C500B">
        <w:rPr>
          <w:rFonts w:ascii="Arial" w:hAnsi="Arial" w:cs="Arial"/>
        </w:rPr>
        <w:t>d</w:t>
      </w:r>
      <w:r w:rsidR="00AF6A98">
        <w:rPr>
          <w:rFonts w:ascii="Arial" w:hAnsi="Arial" w:cs="Arial"/>
        </w:rPr>
        <w:t xml:space="preserve"> not</w:t>
      </w:r>
      <w:r w:rsidR="005577E7">
        <w:rPr>
          <w:rFonts w:ascii="Arial" w:hAnsi="Arial" w:cs="Arial"/>
        </w:rPr>
        <w:t xml:space="preserve"> honoured the terms of the lease agreement. The parties entered into </w:t>
      </w:r>
      <w:r w:rsidR="00757623">
        <w:rPr>
          <w:rFonts w:ascii="Arial" w:hAnsi="Arial" w:cs="Arial"/>
        </w:rPr>
        <w:t>the said</w:t>
      </w:r>
      <w:r w:rsidR="005577E7">
        <w:rPr>
          <w:rFonts w:ascii="Arial" w:hAnsi="Arial" w:cs="Arial"/>
        </w:rPr>
        <w:t xml:space="preserve"> agreement on </w:t>
      </w:r>
      <w:r w:rsidR="00E61077">
        <w:rPr>
          <w:rFonts w:ascii="Arial" w:hAnsi="Arial" w:cs="Arial"/>
        </w:rPr>
        <w:t xml:space="preserve">or about </w:t>
      </w:r>
      <w:r w:rsidR="00C62DBF">
        <w:rPr>
          <w:rFonts w:ascii="Arial" w:hAnsi="Arial" w:cs="Arial"/>
        </w:rPr>
        <w:t>0</w:t>
      </w:r>
      <w:r w:rsidR="00E61077">
        <w:rPr>
          <w:rFonts w:ascii="Arial" w:hAnsi="Arial" w:cs="Arial"/>
        </w:rPr>
        <w:t>5</w:t>
      </w:r>
      <w:r w:rsidR="00C62DBF">
        <w:rPr>
          <w:rFonts w:ascii="Arial" w:hAnsi="Arial" w:cs="Arial"/>
        </w:rPr>
        <w:t xml:space="preserve"> March 202</w:t>
      </w:r>
      <w:r w:rsidR="00BE02CC">
        <w:rPr>
          <w:rFonts w:ascii="Arial" w:hAnsi="Arial" w:cs="Arial"/>
        </w:rPr>
        <w:t>0</w:t>
      </w:r>
      <w:r w:rsidR="00C62DBF">
        <w:rPr>
          <w:rFonts w:ascii="Arial" w:hAnsi="Arial" w:cs="Arial"/>
        </w:rPr>
        <w:t>.</w:t>
      </w:r>
      <w:r w:rsidR="005577E7">
        <w:rPr>
          <w:rFonts w:ascii="Arial" w:hAnsi="Arial" w:cs="Arial"/>
        </w:rPr>
        <w:t xml:space="preserve"> </w:t>
      </w:r>
    </w:p>
    <w:p w14:paraId="1AC882FF" w14:textId="19563BB8" w:rsidR="006C4511" w:rsidRPr="006C4511" w:rsidRDefault="006C4511" w:rsidP="006C4511">
      <w:pPr>
        <w:spacing w:after="0" w:line="360" w:lineRule="auto"/>
        <w:rPr>
          <w:rFonts w:ascii="Arial" w:hAnsi="Arial" w:cs="Arial"/>
        </w:rPr>
      </w:pPr>
    </w:p>
    <w:p w14:paraId="1C3DB579" w14:textId="7B0D1E46" w:rsidR="006C4511" w:rsidRPr="006C4511" w:rsidRDefault="00ED5199" w:rsidP="00BF7F2C">
      <w:pPr>
        <w:spacing w:after="0" w:line="360" w:lineRule="auto"/>
        <w:ind w:left="720" w:hanging="720"/>
        <w:jc w:val="both"/>
        <w:rPr>
          <w:rFonts w:ascii="Arial" w:hAnsi="Arial" w:cs="Arial"/>
        </w:rPr>
      </w:pPr>
      <w:r>
        <w:rPr>
          <w:rFonts w:ascii="Arial" w:hAnsi="Arial" w:cs="Arial"/>
        </w:rPr>
        <w:t>[2]</w:t>
      </w:r>
      <w:r>
        <w:rPr>
          <w:rFonts w:ascii="Arial" w:hAnsi="Arial" w:cs="Arial"/>
        </w:rPr>
        <w:tab/>
        <w:t xml:space="preserve">The </w:t>
      </w:r>
      <w:r w:rsidR="00791859">
        <w:rPr>
          <w:rFonts w:ascii="Arial" w:hAnsi="Arial" w:cs="Arial"/>
        </w:rPr>
        <w:t xml:space="preserve">respondents opposed the </w:t>
      </w:r>
      <w:r w:rsidR="00AA2DEC">
        <w:rPr>
          <w:rFonts w:ascii="Arial" w:hAnsi="Arial" w:cs="Arial"/>
        </w:rPr>
        <w:t>application,</w:t>
      </w:r>
      <w:r w:rsidR="00791859">
        <w:rPr>
          <w:rFonts w:ascii="Arial" w:hAnsi="Arial" w:cs="Arial"/>
        </w:rPr>
        <w:t xml:space="preserve"> </w:t>
      </w:r>
      <w:r w:rsidR="00AA2DEC">
        <w:rPr>
          <w:rFonts w:ascii="Arial" w:hAnsi="Arial" w:cs="Arial"/>
        </w:rPr>
        <w:t xml:space="preserve">and </w:t>
      </w:r>
      <w:r w:rsidR="00791859">
        <w:rPr>
          <w:rFonts w:ascii="Arial" w:hAnsi="Arial" w:cs="Arial"/>
        </w:rPr>
        <w:t xml:space="preserve">I will deal with </w:t>
      </w:r>
      <w:r w:rsidR="006C1F03">
        <w:rPr>
          <w:rFonts w:ascii="Arial" w:hAnsi="Arial" w:cs="Arial"/>
        </w:rPr>
        <w:t>the</w:t>
      </w:r>
      <w:r w:rsidR="00CF6740">
        <w:rPr>
          <w:rFonts w:ascii="Arial" w:hAnsi="Arial" w:cs="Arial"/>
        </w:rPr>
        <w:t xml:space="preserve"> </w:t>
      </w:r>
      <w:r w:rsidR="00791859">
        <w:rPr>
          <w:rFonts w:ascii="Arial" w:hAnsi="Arial" w:cs="Arial"/>
        </w:rPr>
        <w:t>grounds hereunder</w:t>
      </w:r>
      <w:r w:rsidR="000A5FE5">
        <w:rPr>
          <w:rFonts w:ascii="Arial" w:hAnsi="Arial" w:cs="Arial"/>
        </w:rPr>
        <w:t>.</w:t>
      </w:r>
      <w:r>
        <w:rPr>
          <w:rFonts w:ascii="Arial" w:hAnsi="Arial" w:cs="Arial"/>
        </w:rPr>
        <w:t xml:space="preserve"> </w:t>
      </w:r>
    </w:p>
    <w:p w14:paraId="4FE0480A" w14:textId="6A38769B" w:rsidR="006C4511" w:rsidRPr="006C4511" w:rsidRDefault="006C4511" w:rsidP="006C4511">
      <w:pPr>
        <w:spacing w:after="0" w:line="360" w:lineRule="auto"/>
        <w:rPr>
          <w:rFonts w:ascii="Arial" w:hAnsi="Arial" w:cs="Arial"/>
        </w:rPr>
      </w:pPr>
    </w:p>
    <w:p w14:paraId="132B0362" w14:textId="135871C2" w:rsidR="006C4511" w:rsidRPr="006C4511" w:rsidRDefault="000A5FE5" w:rsidP="00B1198E">
      <w:pPr>
        <w:spacing w:after="0" w:line="360" w:lineRule="auto"/>
        <w:ind w:left="720" w:hanging="720"/>
        <w:rPr>
          <w:rFonts w:ascii="Arial" w:hAnsi="Arial" w:cs="Arial"/>
        </w:rPr>
      </w:pPr>
      <w:r>
        <w:rPr>
          <w:rFonts w:ascii="Arial" w:hAnsi="Arial" w:cs="Arial"/>
        </w:rPr>
        <w:t>[3]</w:t>
      </w:r>
      <w:r>
        <w:rPr>
          <w:rFonts w:ascii="Arial" w:hAnsi="Arial" w:cs="Arial"/>
        </w:rPr>
        <w:tab/>
      </w:r>
      <w:r w:rsidR="00382774">
        <w:rPr>
          <w:rFonts w:ascii="Arial" w:hAnsi="Arial" w:cs="Arial"/>
        </w:rPr>
        <w:t>The plaintiff contended that the defendant</w:t>
      </w:r>
      <w:r w:rsidR="001812F7">
        <w:rPr>
          <w:rFonts w:ascii="Arial" w:hAnsi="Arial" w:cs="Arial"/>
        </w:rPr>
        <w:t>s</w:t>
      </w:r>
      <w:r w:rsidR="00382774">
        <w:rPr>
          <w:rFonts w:ascii="Arial" w:hAnsi="Arial" w:cs="Arial"/>
        </w:rPr>
        <w:t xml:space="preserve"> breached the terms of the lease agreement </w:t>
      </w:r>
      <w:r w:rsidR="00E25FDB">
        <w:rPr>
          <w:rFonts w:ascii="Arial" w:hAnsi="Arial" w:cs="Arial"/>
        </w:rPr>
        <w:t xml:space="preserve">by </w:t>
      </w:r>
      <w:r w:rsidR="00DB6D86">
        <w:rPr>
          <w:rFonts w:ascii="Arial" w:hAnsi="Arial" w:cs="Arial"/>
        </w:rPr>
        <w:t xml:space="preserve">failing to </w:t>
      </w:r>
      <w:r w:rsidR="00E25FDB">
        <w:rPr>
          <w:rFonts w:ascii="Arial" w:hAnsi="Arial" w:cs="Arial"/>
        </w:rPr>
        <w:t xml:space="preserve">pay the due monthly rental </w:t>
      </w:r>
      <w:r w:rsidR="00C6588C">
        <w:rPr>
          <w:rFonts w:ascii="Arial" w:hAnsi="Arial" w:cs="Arial"/>
        </w:rPr>
        <w:t xml:space="preserve">and whereof </w:t>
      </w:r>
      <w:r w:rsidR="000C3930">
        <w:rPr>
          <w:rFonts w:ascii="Arial" w:hAnsi="Arial" w:cs="Arial"/>
        </w:rPr>
        <w:t>sought</w:t>
      </w:r>
      <w:r w:rsidR="00C6588C">
        <w:rPr>
          <w:rFonts w:ascii="Arial" w:hAnsi="Arial" w:cs="Arial"/>
        </w:rPr>
        <w:t>:</w:t>
      </w:r>
    </w:p>
    <w:p w14:paraId="12EFDD91" w14:textId="1713B50E" w:rsidR="006C4511" w:rsidRDefault="006C4511" w:rsidP="006C4511">
      <w:pPr>
        <w:spacing w:after="0" w:line="360" w:lineRule="auto"/>
        <w:rPr>
          <w:rFonts w:ascii="Arial" w:hAnsi="Arial" w:cs="Arial"/>
        </w:rPr>
      </w:pPr>
    </w:p>
    <w:p w14:paraId="007C8B5A" w14:textId="68B4A335" w:rsidR="00577928" w:rsidRDefault="000F60CC" w:rsidP="00DB6D86">
      <w:pPr>
        <w:spacing w:after="0" w:line="360" w:lineRule="auto"/>
        <w:ind w:left="720" w:firstLine="720"/>
        <w:rPr>
          <w:rFonts w:ascii="Arial" w:hAnsi="Arial" w:cs="Arial"/>
        </w:rPr>
      </w:pPr>
      <w:r>
        <w:rPr>
          <w:rFonts w:ascii="Arial" w:hAnsi="Arial" w:cs="Arial"/>
        </w:rPr>
        <w:t>[3.1]</w:t>
      </w:r>
      <w:r>
        <w:rPr>
          <w:rFonts w:ascii="Arial" w:hAnsi="Arial" w:cs="Arial"/>
        </w:rPr>
        <w:tab/>
      </w:r>
      <w:r w:rsidR="00A12F13">
        <w:rPr>
          <w:rFonts w:ascii="Arial" w:hAnsi="Arial" w:cs="Arial"/>
        </w:rPr>
        <w:t>p</w:t>
      </w:r>
      <w:r w:rsidR="00A83899">
        <w:rPr>
          <w:rFonts w:ascii="Arial" w:hAnsi="Arial" w:cs="Arial"/>
        </w:rPr>
        <w:t>ayment of the sum of R414</w:t>
      </w:r>
      <w:r w:rsidR="00674380">
        <w:rPr>
          <w:rFonts w:ascii="Arial" w:hAnsi="Arial" w:cs="Arial"/>
        </w:rPr>
        <w:t xml:space="preserve"> 530.08.</w:t>
      </w:r>
    </w:p>
    <w:p w14:paraId="76A29BD5" w14:textId="207C7429" w:rsidR="00674380" w:rsidRDefault="000F60CC" w:rsidP="00DB6D86">
      <w:pPr>
        <w:spacing w:after="0" w:line="360" w:lineRule="auto"/>
        <w:ind w:left="2160" w:hanging="720"/>
        <w:rPr>
          <w:rFonts w:ascii="Arial" w:hAnsi="Arial" w:cs="Arial"/>
        </w:rPr>
      </w:pPr>
      <w:r>
        <w:rPr>
          <w:rFonts w:ascii="Arial" w:hAnsi="Arial" w:cs="Arial"/>
        </w:rPr>
        <w:t>[3.2]</w:t>
      </w:r>
      <w:r>
        <w:rPr>
          <w:rFonts w:ascii="Arial" w:hAnsi="Arial" w:cs="Arial"/>
        </w:rPr>
        <w:tab/>
      </w:r>
      <w:r w:rsidR="00A12F13">
        <w:rPr>
          <w:rFonts w:ascii="Arial" w:hAnsi="Arial" w:cs="Arial"/>
        </w:rPr>
        <w:t>i</w:t>
      </w:r>
      <w:r w:rsidR="00674380">
        <w:rPr>
          <w:rFonts w:ascii="Arial" w:hAnsi="Arial" w:cs="Arial"/>
        </w:rPr>
        <w:t>nterest o</w:t>
      </w:r>
      <w:r w:rsidR="00645DCA">
        <w:rPr>
          <w:rFonts w:ascii="Arial" w:hAnsi="Arial" w:cs="Arial"/>
        </w:rPr>
        <w:t>n</w:t>
      </w:r>
      <w:r w:rsidR="00674380">
        <w:rPr>
          <w:rFonts w:ascii="Arial" w:hAnsi="Arial" w:cs="Arial"/>
        </w:rPr>
        <w:t xml:space="preserve"> the said sum of R414 530.08 </w:t>
      </w:r>
      <w:r w:rsidR="00B128B6">
        <w:rPr>
          <w:rFonts w:ascii="Arial" w:hAnsi="Arial" w:cs="Arial"/>
        </w:rPr>
        <w:t xml:space="preserve">at the rate of 10.75% per annum a </w:t>
      </w:r>
      <w:proofErr w:type="spellStart"/>
      <w:r w:rsidR="00B128B6" w:rsidRPr="001812F7">
        <w:rPr>
          <w:rFonts w:ascii="Arial" w:hAnsi="Arial" w:cs="Arial"/>
          <w:i/>
          <w:iCs/>
        </w:rPr>
        <w:t>temp</w:t>
      </w:r>
      <w:r w:rsidR="00A82F90" w:rsidRPr="001812F7">
        <w:rPr>
          <w:rFonts w:ascii="Arial" w:hAnsi="Arial" w:cs="Arial"/>
          <w:i/>
          <w:iCs/>
        </w:rPr>
        <w:t>orae</w:t>
      </w:r>
      <w:proofErr w:type="spellEnd"/>
      <w:r w:rsidR="00A82F90" w:rsidRPr="001812F7">
        <w:rPr>
          <w:rFonts w:ascii="Arial" w:hAnsi="Arial" w:cs="Arial"/>
          <w:i/>
          <w:iCs/>
        </w:rPr>
        <w:t xml:space="preserve"> morae</w:t>
      </w:r>
      <w:r w:rsidR="001812F7">
        <w:rPr>
          <w:rFonts w:ascii="Arial" w:hAnsi="Arial" w:cs="Arial"/>
        </w:rPr>
        <w:t>.</w:t>
      </w:r>
    </w:p>
    <w:p w14:paraId="5E4D519B" w14:textId="486ACF8B" w:rsidR="00577928" w:rsidRDefault="000F60CC" w:rsidP="00DB6D86">
      <w:pPr>
        <w:spacing w:after="0" w:line="360" w:lineRule="auto"/>
        <w:ind w:left="720" w:firstLine="720"/>
        <w:rPr>
          <w:rFonts w:ascii="Arial" w:hAnsi="Arial" w:cs="Arial"/>
        </w:rPr>
      </w:pPr>
      <w:r>
        <w:rPr>
          <w:rFonts w:ascii="Arial" w:hAnsi="Arial" w:cs="Arial"/>
        </w:rPr>
        <w:t>[3.3]</w:t>
      </w:r>
      <w:r>
        <w:rPr>
          <w:rFonts w:ascii="Arial" w:hAnsi="Arial" w:cs="Arial"/>
        </w:rPr>
        <w:tab/>
      </w:r>
      <w:r w:rsidR="00A12F13">
        <w:rPr>
          <w:rFonts w:ascii="Arial" w:hAnsi="Arial" w:cs="Arial"/>
        </w:rPr>
        <w:t>c</w:t>
      </w:r>
      <w:r w:rsidR="00A82F90">
        <w:rPr>
          <w:rFonts w:ascii="Arial" w:hAnsi="Arial" w:cs="Arial"/>
        </w:rPr>
        <w:t>onfirmation of the cancellation of the lease agreement.</w:t>
      </w:r>
    </w:p>
    <w:p w14:paraId="04C5B3E8" w14:textId="1DEAB124" w:rsidR="00A82F90" w:rsidRDefault="000F60CC" w:rsidP="00DB6D86">
      <w:pPr>
        <w:spacing w:after="0" w:line="360" w:lineRule="auto"/>
        <w:ind w:left="2160" w:hanging="720"/>
        <w:rPr>
          <w:rFonts w:ascii="Arial" w:hAnsi="Arial" w:cs="Arial"/>
        </w:rPr>
      </w:pPr>
      <w:r>
        <w:rPr>
          <w:rFonts w:ascii="Arial" w:hAnsi="Arial" w:cs="Arial"/>
        </w:rPr>
        <w:t>[3.4]</w:t>
      </w:r>
      <w:r>
        <w:rPr>
          <w:rFonts w:ascii="Arial" w:hAnsi="Arial" w:cs="Arial"/>
        </w:rPr>
        <w:tab/>
      </w:r>
      <w:r w:rsidR="00A12F13">
        <w:rPr>
          <w:rFonts w:ascii="Arial" w:hAnsi="Arial" w:cs="Arial"/>
        </w:rPr>
        <w:t>e</w:t>
      </w:r>
      <w:r w:rsidR="00621B13">
        <w:rPr>
          <w:rFonts w:ascii="Arial" w:hAnsi="Arial" w:cs="Arial"/>
        </w:rPr>
        <w:t xml:space="preserve">viction of the first defendant and or any other occupant </w:t>
      </w:r>
      <w:r w:rsidR="00770CD4">
        <w:rPr>
          <w:rFonts w:ascii="Arial" w:hAnsi="Arial" w:cs="Arial"/>
        </w:rPr>
        <w:t>from the leased premises.</w:t>
      </w:r>
    </w:p>
    <w:p w14:paraId="4A953300" w14:textId="7330B37E" w:rsidR="00770CD4" w:rsidRDefault="000F60CC" w:rsidP="00DB6D86">
      <w:pPr>
        <w:spacing w:after="0" w:line="360" w:lineRule="auto"/>
        <w:ind w:left="720" w:firstLine="720"/>
        <w:rPr>
          <w:rFonts w:ascii="Arial" w:hAnsi="Arial" w:cs="Arial"/>
        </w:rPr>
      </w:pPr>
      <w:r>
        <w:rPr>
          <w:rFonts w:ascii="Arial" w:hAnsi="Arial" w:cs="Arial"/>
        </w:rPr>
        <w:t>[3.5]</w:t>
      </w:r>
      <w:r>
        <w:rPr>
          <w:rFonts w:ascii="Arial" w:hAnsi="Arial" w:cs="Arial"/>
        </w:rPr>
        <w:tab/>
      </w:r>
      <w:r w:rsidR="00A12F13">
        <w:rPr>
          <w:rFonts w:ascii="Arial" w:hAnsi="Arial" w:cs="Arial"/>
        </w:rPr>
        <w:t>p</w:t>
      </w:r>
      <w:r w:rsidR="00770CD4">
        <w:rPr>
          <w:rFonts w:ascii="Arial" w:hAnsi="Arial" w:cs="Arial"/>
        </w:rPr>
        <w:t xml:space="preserve">laintiff’s damages to be postponed </w:t>
      </w:r>
      <w:r w:rsidR="00770CD4" w:rsidRPr="00097C48">
        <w:rPr>
          <w:rFonts w:ascii="Arial" w:hAnsi="Arial" w:cs="Arial"/>
          <w:i/>
          <w:iCs/>
        </w:rPr>
        <w:t>sine die</w:t>
      </w:r>
      <w:r w:rsidR="00097C48">
        <w:rPr>
          <w:rFonts w:ascii="Arial" w:hAnsi="Arial" w:cs="Arial"/>
        </w:rPr>
        <w:t>.</w:t>
      </w:r>
    </w:p>
    <w:p w14:paraId="5B84750F" w14:textId="24094B23" w:rsidR="00097C48" w:rsidRDefault="000F60CC" w:rsidP="00DB6D86">
      <w:pPr>
        <w:spacing w:after="0" w:line="360" w:lineRule="auto"/>
        <w:ind w:left="720" w:firstLine="720"/>
        <w:rPr>
          <w:rFonts w:ascii="Arial" w:hAnsi="Arial" w:cs="Arial"/>
        </w:rPr>
      </w:pPr>
      <w:r>
        <w:rPr>
          <w:rFonts w:ascii="Arial" w:hAnsi="Arial" w:cs="Arial"/>
        </w:rPr>
        <w:t>[3.6]</w:t>
      </w:r>
      <w:r>
        <w:rPr>
          <w:rFonts w:ascii="Arial" w:hAnsi="Arial" w:cs="Arial"/>
        </w:rPr>
        <w:tab/>
      </w:r>
      <w:r w:rsidR="00A12F13">
        <w:rPr>
          <w:rFonts w:ascii="Arial" w:hAnsi="Arial" w:cs="Arial"/>
        </w:rPr>
        <w:t>c</w:t>
      </w:r>
      <w:r w:rsidR="00097C48">
        <w:rPr>
          <w:rFonts w:ascii="Arial" w:hAnsi="Arial" w:cs="Arial"/>
        </w:rPr>
        <w:t>osts of suite on an attorney and client scale.</w:t>
      </w:r>
    </w:p>
    <w:p w14:paraId="0DA7C64F" w14:textId="3AF8AAE4" w:rsidR="00097C48" w:rsidRDefault="000F60CC" w:rsidP="00DB6D86">
      <w:pPr>
        <w:spacing w:after="0" w:line="360" w:lineRule="auto"/>
        <w:ind w:left="720" w:firstLine="720"/>
        <w:rPr>
          <w:rFonts w:ascii="Arial" w:hAnsi="Arial" w:cs="Arial"/>
        </w:rPr>
      </w:pPr>
      <w:r>
        <w:rPr>
          <w:rFonts w:ascii="Arial" w:hAnsi="Arial" w:cs="Arial"/>
        </w:rPr>
        <w:t>[3.7]</w:t>
      </w:r>
      <w:r>
        <w:rPr>
          <w:rFonts w:ascii="Arial" w:hAnsi="Arial" w:cs="Arial"/>
        </w:rPr>
        <w:tab/>
      </w:r>
      <w:r w:rsidR="00A12F13">
        <w:rPr>
          <w:rFonts w:ascii="Arial" w:hAnsi="Arial" w:cs="Arial"/>
        </w:rPr>
        <w:t>f</w:t>
      </w:r>
      <w:r>
        <w:rPr>
          <w:rFonts w:ascii="Arial" w:hAnsi="Arial" w:cs="Arial"/>
        </w:rPr>
        <w:t>urther and or alternative relief.</w:t>
      </w:r>
    </w:p>
    <w:p w14:paraId="418D31B5" w14:textId="77777777" w:rsidR="00CF6740" w:rsidRDefault="00CF6740" w:rsidP="006C4511">
      <w:pPr>
        <w:spacing w:after="0" w:line="360" w:lineRule="auto"/>
        <w:rPr>
          <w:rFonts w:ascii="Arial" w:hAnsi="Arial" w:cs="Arial"/>
        </w:rPr>
      </w:pPr>
    </w:p>
    <w:p w14:paraId="336E0E08" w14:textId="77777777" w:rsidR="00A331C1" w:rsidRDefault="00A331C1" w:rsidP="006C4511">
      <w:pPr>
        <w:spacing w:after="0" w:line="360" w:lineRule="auto"/>
        <w:rPr>
          <w:rFonts w:ascii="Arial" w:hAnsi="Arial" w:cs="Arial"/>
        </w:rPr>
      </w:pPr>
    </w:p>
    <w:p w14:paraId="156F51BB" w14:textId="77777777" w:rsidR="00A331C1" w:rsidRDefault="00A331C1" w:rsidP="006C4511">
      <w:pPr>
        <w:spacing w:after="0" w:line="360" w:lineRule="auto"/>
        <w:rPr>
          <w:rFonts w:ascii="Arial" w:hAnsi="Arial" w:cs="Arial"/>
        </w:rPr>
      </w:pPr>
    </w:p>
    <w:p w14:paraId="772F74B3" w14:textId="77777777" w:rsidR="00A331C1" w:rsidRDefault="00A331C1" w:rsidP="006C4511">
      <w:pPr>
        <w:spacing w:after="0" w:line="360" w:lineRule="auto"/>
        <w:rPr>
          <w:rFonts w:ascii="Arial" w:hAnsi="Arial" w:cs="Arial"/>
        </w:rPr>
      </w:pPr>
    </w:p>
    <w:p w14:paraId="4802A61F" w14:textId="657F5D33" w:rsidR="00B437DA" w:rsidRPr="00D20A14" w:rsidRDefault="0011672E" w:rsidP="006C4511">
      <w:pPr>
        <w:spacing w:after="0" w:line="360" w:lineRule="auto"/>
        <w:rPr>
          <w:rFonts w:ascii="Arial" w:hAnsi="Arial" w:cs="Arial"/>
          <w:b/>
          <w:bCs/>
          <w:i/>
          <w:iCs/>
        </w:rPr>
      </w:pPr>
      <w:r w:rsidRPr="00D20A14">
        <w:rPr>
          <w:rFonts w:ascii="Arial" w:hAnsi="Arial" w:cs="Arial"/>
          <w:b/>
          <w:bCs/>
          <w:i/>
          <w:iCs/>
        </w:rPr>
        <w:t>Background</w:t>
      </w:r>
    </w:p>
    <w:p w14:paraId="2BC2777A" w14:textId="77777777" w:rsidR="001F3232" w:rsidRDefault="001F3232" w:rsidP="006C4511">
      <w:pPr>
        <w:spacing w:after="0" w:line="360" w:lineRule="auto"/>
        <w:rPr>
          <w:rFonts w:ascii="Arial" w:hAnsi="Arial" w:cs="Arial"/>
        </w:rPr>
      </w:pPr>
    </w:p>
    <w:p w14:paraId="0C5B06D7" w14:textId="31BABEBC" w:rsidR="00614034" w:rsidRDefault="00614034" w:rsidP="003B10CA">
      <w:pPr>
        <w:spacing w:after="0" w:line="360" w:lineRule="auto"/>
        <w:ind w:left="720" w:hanging="720"/>
        <w:jc w:val="both"/>
        <w:rPr>
          <w:rFonts w:ascii="Arial" w:hAnsi="Arial" w:cs="Arial"/>
        </w:rPr>
      </w:pPr>
      <w:r>
        <w:rPr>
          <w:rFonts w:ascii="Arial" w:hAnsi="Arial" w:cs="Arial"/>
        </w:rPr>
        <w:t>[</w:t>
      </w:r>
      <w:r w:rsidR="0036782D">
        <w:rPr>
          <w:rFonts w:ascii="Arial" w:hAnsi="Arial" w:cs="Arial"/>
        </w:rPr>
        <w:t>4</w:t>
      </w:r>
      <w:r>
        <w:rPr>
          <w:rFonts w:ascii="Arial" w:hAnsi="Arial" w:cs="Arial"/>
        </w:rPr>
        <w:t>]</w:t>
      </w:r>
      <w:r>
        <w:rPr>
          <w:rFonts w:ascii="Arial" w:hAnsi="Arial" w:cs="Arial"/>
        </w:rPr>
        <w:tab/>
      </w:r>
      <w:r w:rsidR="00C1625B">
        <w:rPr>
          <w:rFonts w:ascii="Arial" w:hAnsi="Arial" w:cs="Arial"/>
        </w:rPr>
        <w:t xml:space="preserve">The parties entered into a </w:t>
      </w:r>
      <w:r w:rsidR="00C511BA">
        <w:rPr>
          <w:rFonts w:ascii="Arial" w:hAnsi="Arial" w:cs="Arial"/>
        </w:rPr>
        <w:t xml:space="preserve">commercial </w:t>
      </w:r>
      <w:r w:rsidR="00C1625B">
        <w:rPr>
          <w:rFonts w:ascii="Arial" w:hAnsi="Arial" w:cs="Arial"/>
        </w:rPr>
        <w:t>lease agreement as noted above</w:t>
      </w:r>
      <w:r w:rsidR="00DD3785">
        <w:rPr>
          <w:rFonts w:ascii="Arial" w:hAnsi="Arial" w:cs="Arial"/>
        </w:rPr>
        <w:t xml:space="preserve"> that entails the shop and outside seating rental</w:t>
      </w:r>
      <w:r w:rsidR="005A6F66">
        <w:rPr>
          <w:rFonts w:ascii="Arial" w:hAnsi="Arial" w:cs="Arial"/>
        </w:rPr>
        <w:t>s</w:t>
      </w:r>
      <w:r w:rsidR="00DD3785">
        <w:rPr>
          <w:rFonts w:ascii="Arial" w:hAnsi="Arial" w:cs="Arial"/>
        </w:rPr>
        <w:t>.</w:t>
      </w:r>
      <w:r w:rsidR="008A2AA3">
        <w:rPr>
          <w:rFonts w:ascii="Arial" w:hAnsi="Arial" w:cs="Arial"/>
        </w:rPr>
        <w:t xml:space="preserve"> </w:t>
      </w:r>
      <w:r w:rsidR="00DD4F0B">
        <w:rPr>
          <w:rFonts w:ascii="Arial" w:hAnsi="Arial" w:cs="Arial"/>
        </w:rPr>
        <w:t xml:space="preserve">The terms of the agreement were that the </w:t>
      </w:r>
      <w:r w:rsidR="00D67BB7">
        <w:rPr>
          <w:rFonts w:ascii="Arial" w:hAnsi="Arial" w:cs="Arial"/>
        </w:rPr>
        <w:t>plaintiff</w:t>
      </w:r>
      <w:r w:rsidR="003B10CA">
        <w:rPr>
          <w:rFonts w:ascii="Arial" w:hAnsi="Arial" w:cs="Arial"/>
        </w:rPr>
        <w:t>,</w:t>
      </w:r>
      <w:r w:rsidR="00DD4F0B">
        <w:rPr>
          <w:rFonts w:ascii="Arial" w:hAnsi="Arial" w:cs="Arial"/>
        </w:rPr>
        <w:t xml:space="preserve"> </w:t>
      </w:r>
      <w:r w:rsidR="003B10CA">
        <w:rPr>
          <w:rFonts w:ascii="Arial" w:hAnsi="Arial" w:cs="Arial"/>
        </w:rPr>
        <w:t xml:space="preserve">as the landlord, </w:t>
      </w:r>
      <w:r w:rsidR="00DD4F0B">
        <w:rPr>
          <w:rFonts w:ascii="Arial" w:hAnsi="Arial" w:cs="Arial"/>
        </w:rPr>
        <w:t>would le</w:t>
      </w:r>
      <w:r w:rsidR="00E850E7">
        <w:rPr>
          <w:rFonts w:ascii="Arial" w:hAnsi="Arial" w:cs="Arial"/>
        </w:rPr>
        <w:t xml:space="preserve">t commercial premises known as </w:t>
      </w:r>
      <w:r w:rsidR="00376AD2">
        <w:rPr>
          <w:rFonts w:ascii="Arial" w:hAnsi="Arial" w:cs="Arial"/>
        </w:rPr>
        <w:t>S</w:t>
      </w:r>
      <w:r w:rsidR="00E850E7">
        <w:rPr>
          <w:rFonts w:ascii="Arial" w:hAnsi="Arial" w:cs="Arial"/>
        </w:rPr>
        <w:t xml:space="preserve">hop </w:t>
      </w:r>
      <w:r w:rsidR="00376AD2">
        <w:rPr>
          <w:rFonts w:ascii="Arial" w:hAnsi="Arial" w:cs="Arial"/>
        </w:rPr>
        <w:t xml:space="preserve">LF133 of the Menlyn Park Shopping Centre </w:t>
      </w:r>
      <w:r w:rsidR="00A45952">
        <w:rPr>
          <w:rFonts w:ascii="Arial" w:hAnsi="Arial" w:cs="Arial"/>
        </w:rPr>
        <w:t>with effect from 01 April 2020 until 31 March 2025</w:t>
      </w:r>
      <w:r w:rsidR="00856AAB">
        <w:rPr>
          <w:rFonts w:ascii="Arial" w:hAnsi="Arial" w:cs="Arial"/>
        </w:rPr>
        <w:t xml:space="preserve"> to the defendants</w:t>
      </w:r>
      <w:r w:rsidR="00A45952">
        <w:rPr>
          <w:rFonts w:ascii="Arial" w:hAnsi="Arial" w:cs="Arial"/>
        </w:rPr>
        <w:t>.</w:t>
      </w:r>
      <w:r w:rsidR="00E850E7">
        <w:rPr>
          <w:rFonts w:ascii="Arial" w:hAnsi="Arial" w:cs="Arial"/>
        </w:rPr>
        <w:t xml:space="preserve"> </w:t>
      </w:r>
      <w:r w:rsidR="0019220E">
        <w:rPr>
          <w:rFonts w:ascii="Arial" w:hAnsi="Arial" w:cs="Arial"/>
        </w:rPr>
        <w:t xml:space="preserve">Before the signage of the lease agreement, on </w:t>
      </w:r>
      <w:r w:rsidR="002F2E68">
        <w:rPr>
          <w:rFonts w:ascii="Arial" w:hAnsi="Arial" w:cs="Arial"/>
        </w:rPr>
        <w:t xml:space="preserve">31 October 2019, the second defendant signed a </w:t>
      </w:r>
      <w:r w:rsidR="004A4303">
        <w:rPr>
          <w:rFonts w:ascii="Arial" w:hAnsi="Arial" w:cs="Arial"/>
        </w:rPr>
        <w:t>D</w:t>
      </w:r>
      <w:r w:rsidR="002F2E68">
        <w:rPr>
          <w:rFonts w:ascii="Arial" w:hAnsi="Arial" w:cs="Arial"/>
        </w:rPr>
        <w:t xml:space="preserve">eed of </w:t>
      </w:r>
      <w:r w:rsidR="004A4303">
        <w:rPr>
          <w:rFonts w:ascii="Arial" w:hAnsi="Arial" w:cs="Arial"/>
        </w:rPr>
        <w:t>S</w:t>
      </w:r>
      <w:r w:rsidR="002F2E68">
        <w:rPr>
          <w:rFonts w:ascii="Arial" w:hAnsi="Arial" w:cs="Arial"/>
        </w:rPr>
        <w:t xml:space="preserve">uretyship </w:t>
      </w:r>
      <w:r w:rsidR="004A4303">
        <w:rPr>
          <w:rFonts w:ascii="Arial" w:hAnsi="Arial" w:cs="Arial"/>
        </w:rPr>
        <w:t xml:space="preserve">binding herself as surety and co-principal debtor </w:t>
      </w:r>
      <w:r w:rsidR="000714D5">
        <w:rPr>
          <w:rFonts w:ascii="Arial" w:hAnsi="Arial" w:cs="Arial"/>
        </w:rPr>
        <w:t>jointly and severally for the fulfilment of the obligations</w:t>
      </w:r>
      <w:r w:rsidR="00062CEF">
        <w:rPr>
          <w:rFonts w:ascii="Arial" w:hAnsi="Arial" w:cs="Arial"/>
        </w:rPr>
        <w:t xml:space="preserve"> of the first defendant ari</w:t>
      </w:r>
      <w:r w:rsidR="00DC0FD2">
        <w:rPr>
          <w:rFonts w:ascii="Arial" w:hAnsi="Arial" w:cs="Arial"/>
        </w:rPr>
        <w:t xml:space="preserve">sing from the said lease agreement. </w:t>
      </w:r>
      <w:r w:rsidR="00FE0422">
        <w:rPr>
          <w:rFonts w:ascii="Arial" w:hAnsi="Arial" w:cs="Arial"/>
        </w:rPr>
        <w:t xml:space="preserve">The defendants, with effect from 01 April 2020 </w:t>
      </w:r>
      <w:r w:rsidR="00D022B8">
        <w:rPr>
          <w:rFonts w:ascii="Arial" w:hAnsi="Arial" w:cs="Arial"/>
        </w:rPr>
        <w:t xml:space="preserve">in addition to </w:t>
      </w:r>
      <w:r w:rsidR="004219BB">
        <w:rPr>
          <w:rFonts w:ascii="Arial" w:hAnsi="Arial" w:cs="Arial"/>
        </w:rPr>
        <w:t xml:space="preserve">the </w:t>
      </w:r>
      <w:r w:rsidR="00FE0422">
        <w:rPr>
          <w:rFonts w:ascii="Arial" w:hAnsi="Arial" w:cs="Arial"/>
        </w:rPr>
        <w:t>monthly rental</w:t>
      </w:r>
      <w:r w:rsidR="00453B7F">
        <w:rPr>
          <w:rFonts w:ascii="Arial" w:hAnsi="Arial" w:cs="Arial"/>
        </w:rPr>
        <w:t xml:space="preserve"> </w:t>
      </w:r>
      <w:r w:rsidR="00D754A7">
        <w:rPr>
          <w:rFonts w:ascii="Arial" w:hAnsi="Arial" w:cs="Arial"/>
        </w:rPr>
        <w:t xml:space="preserve">which is payable in advance or the first day of </w:t>
      </w:r>
      <w:r w:rsidR="00676F8B">
        <w:rPr>
          <w:rFonts w:ascii="Arial" w:hAnsi="Arial" w:cs="Arial"/>
        </w:rPr>
        <w:t xml:space="preserve">each </w:t>
      </w:r>
      <w:r w:rsidR="00D754A7">
        <w:rPr>
          <w:rFonts w:ascii="Arial" w:hAnsi="Arial" w:cs="Arial"/>
        </w:rPr>
        <w:t>calendar month</w:t>
      </w:r>
      <w:r w:rsidR="00091505">
        <w:rPr>
          <w:rFonts w:ascii="Arial" w:hAnsi="Arial" w:cs="Arial"/>
        </w:rPr>
        <w:t xml:space="preserve"> (clause 6.1)</w:t>
      </w:r>
      <w:r w:rsidR="00D754A7">
        <w:rPr>
          <w:rFonts w:ascii="Arial" w:hAnsi="Arial" w:cs="Arial"/>
        </w:rPr>
        <w:t xml:space="preserve">, </w:t>
      </w:r>
      <w:r w:rsidR="00E323FE">
        <w:rPr>
          <w:rFonts w:ascii="Arial" w:hAnsi="Arial" w:cs="Arial"/>
        </w:rPr>
        <w:t>w</w:t>
      </w:r>
      <w:r w:rsidR="00332D1A">
        <w:rPr>
          <w:rFonts w:ascii="Arial" w:hAnsi="Arial" w:cs="Arial"/>
        </w:rPr>
        <w:t>ere</w:t>
      </w:r>
      <w:r w:rsidR="00E323FE">
        <w:rPr>
          <w:rFonts w:ascii="Arial" w:hAnsi="Arial" w:cs="Arial"/>
        </w:rPr>
        <w:t xml:space="preserve"> liable for operating costs, </w:t>
      </w:r>
      <w:r w:rsidR="0064001B">
        <w:rPr>
          <w:rFonts w:ascii="Arial" w:hAnsi="Arial" w:cs="Arial"/>
        </w:rPr>
        <w:t>marketing fund for contribution to rates / taxes;</w:t>
      </w:r>
      <w:r w:rsidR="00ED5575">
        <w:rPr>
          <w:rFonts w:ascii="Arial" w:hAnsi="Arial" w:cs="Arial"/>
        </w:rPr>
        <w:t xml:space="preserve"> liable for any charges arising out of the use of electricity; </w:t>
      </w:r>
      <w:r w:rsidR="004A1CD7">
        <w:rPr>
          <w:rFonts w:ascii="Arial" w:hAnsi="Arial" w:cs="Arial"/>
        </w:rPr>
        <w:t xml:space="preserve">emergency power system; gas and water </w:t>
      </w:r>
      <w:r w:rsidR="006035CA">
        <w:rPr>
          <w:rFonts w:ascii="Arial" w:hAnsi="Arial" w:cs="Arial"/>
        </w:rPr>
        <w:t>in respect of the premises</w:t>
      </w:r>
      <w:r w:rsidR="00236675">
        <w:rPr>
          <w:rFonts w:ascii="Arial" w:hAnsi="Arial" w:cs="Arial"/>
        </w:rPr>
        <w:t xml:space="preserve"> including signage and air-conditioning based on consumption as metered</w:t>
      </w:r>
      <w:r w:rsidR="00F9485C">
        <w:rPr>
          <w:rFonts w:ascii="Arial" w:hAnsi="Arial" w:cs="Arial"/>
        </w:rPr>
        <w:t xml:space="preserve"> (clause 9.1)</w:t>
      </w:r>
      <w:r w:rsidR="00236675">
        <w:rPr>
          <w:rFonts w:ascii="Arial" w:hAnsi="Arial" w:cs="Arial"/>
        </w:rPr>
        <w:t>.</w:t>
      </w:r>
      <w:r w:rsidR="00FC3695">
        <w:rPr>
          <w:rFonts w:ascii="Arial" w:hAnsi="Arial" w:cs="Arial"/>
        </w:rPr>
        <w:t xml:space="preserve"> The </w:t>
      </w:r>
      <w:r w:rsidR="008F04BE">
        <w:rPr>
          <w:rFonts w:ascii="Arial" w:hAnsi="Arial" w:cs="Arial"/>
        </w:rPr>
        <w:t xml:space="preserve">plaintiff placed before this court that the </w:t>
      </w:r>
      <w:r w:rsidR="00FC3695">
        <w:rPr>
          <w:rFonts w:ascii="Arial" w:hAnsi="Arial" w:cs="Arial"/>
        </w:rPr>
        <w:t>defendants have since been indebted for arrear rental</w:t>
      </w:r>
      <w:r w:rsidR="007505DD">
        <w:rPr>
          <w:rFonts w:ascii="Arial" w:hAnsi="Arial" w:cs="Arial"/>
        </w:rPr>
        <w:t xml:space="preserve"> and other charges </w:t>
      </w:r>
      <w:r w:rsidR="006A2755">
        <w:rPr>
          <w:rFonts w:ascii="Arial" w:hAnsi="Arial" w:cs="Arial"/>
        </w:rPr>
        <w:t xml:space="preserve">in the amount of R414 530.08 </w:t>
      </w:r>
      <w:r w:rsidR="00791CC3">
        <w:rPr>
          <w:rFonts w:ascii="Arial" w:hAnsi="Arial" w:cs="Arial"/>
        </w:rPr>
        <w:t xml:space="preserve">for the period of April 2020 </w:t>
      </w:r>
      <w:r w:rsidR="000720FC">
        <w:rPr>
          <w:rFonts w:ascii="Arial" w:hAnsi="Arial" w:cs="Arial"/>
        </w:rPr>
        <w:t xml:space="preserve">to February 2023. </w:t>
      </w:r>
      <w:r w:rsidR="00CD12C2">
        <w:rPr>
          <w:rFonts w:ascii="Arial" w:hAnsi="Arial" w:cs="Arial"/>
        </w:rPr>
        <w:t>The plaintiff pleaded for cancellation of the lease agreement</w:t>
      </w:r>
      <w:r w:rsidR="00CE32BF">
        <w:rPr>
          <w:rFonts w:ascii="Arial" w:hAnsi="Arial" w:cs="Arial"/>
        </w:rPr>
        <w:t xml:space="preserve">; </w:t>
      </w:r>
      <w:r w:rsidR="00CD12C2">
        <w:rPr>
          <w:rFonts w:ascii="Arial" w:hAnsi="Arial" w:cs="Arial"/>
        </w:rPr>
        <w:t>eviction of the defendants</w:t>
      </w:r>
      <w:r w:rsidR="00927010">
        <w:rPr>
          <w:rFonts w:ascii="Arial" w:hAnsi="Arial" w:cs="Arial"/>
        </w:rPr>
        <w:t xml:space="preserve"> </w:t>
      </w:r>
      <w:r w:rsidR="00241BC2">
        <w:rPr>
          <w:rFonts w:ascii="Arial" w:hAnsi="Arial" w:cs="Arial"/>
        </w:rPr>
        <w:t xml:space="preserve">and claim </w:t>
      </w:r>
      <w:r w:rsidR="00CE32BF">
        <w:rPr>
          <w:rFonts w:ascii="Arial" w:hAnsi="Arial" w:cs="Arial"/>
        </w:rPr>
        <w:t xml:space="preserve">for </w:t>
      </w:r>
      <w:r w:rsidR="00241BC2">
        <w:rPr>
          <w:rFonts w:ascii="Arial" w:hAnsi="Arial" w:cs="Arial"/>
        </w:rPr>
        <w:t>damages</w:t>
      </w:r>
      <w:r w:rsidR="002D32AA">
        <w:rPr>
          <w:rFonts w:ascii="Arial" w:hAnsi="Arial" w:cs="Arial"/>
        </w:rPr>
        <w:t xml:space="preserve"> from the defendants</w:t>
      </w:r>
      <w:r w:rsidR="000D1FEB">
        <w:rPr>
          <w:rFonts w:ascii="Arial" w:hAnsi="Arial" w:cs="Arial"/>
        </w:rPr>
        <w:t xml:space="preserve"> (clause 40)</w:t>
      </w:r>
      <w:r w:rsidR="002D32AA">
        <w:rPr>
          <w:rFonts w:ascii="Arial" w:hAnsi="Arial" w:cs="Arial"/>
        </w:rPr>
        <w:t xml:space="preserve"> until </w:t>
      </w:r>
      <w:r w:rsidR="006452E1">
        <w:rPr>
          <w:rFonts w:ascii="Arial" w:hAnsi="Arial" w:cs="Arial"/>
        </w:rPr>
        <w:t>a</w:t>
      </w:r>
      <w:r w:rsidR="0031190A">
        <w:rPr>
          <w:rFonts w:ascii="Arial" w:hAnsi="Arial" w:cs="Arial"/>
        </w:rPr>
        <w:t xml:space="preserve"> new tenant </w:t>
      </w:r>
      <w:r w:rsidR="00DD4876">
        <w:rPr>
          <w:rFonts w:ascii="Arial" w:hAnsi="Arial" w:cs="Arial"/>
        </w:rPr>
        <w:t>is</w:t>
      </w:r>
      <w:r w:rsidR="0031190A">
        <w:rPr>
          <w:rFonts w:ascii="Arial" w:hAnsi="Arial" w:cs="Arial"/>
        </w:rPr>
        <w:t xml:space="preserve"> found to take over the rental of the </w:t>
      </w:r>
      <w:r w:rsidR="002D32AA">
        <w:rPr>
          <w:rFonts w:ascii="Arial" w:hAnsi="Arial" w:cs="Arial"/>
        </w:rPr>
        <w:t xml:space="preserve">premises. </w:t>
      </w:r>
    </w:p>
    <w:p w14:paraId="052B2717" w14:textId="77777777" w:rsidR="00614034" w:rsidRDefault="00614034" w:rsidP="00A45952">
      <w:pPr>
        <w:spacing w:after="0" w:line="360" w:lineRule="auto"/>
        <w:jc w:val="both"/>
        <w:rPr>
          <w:rFonts w:ascii="Arial" w:hAnsi="Arial" w:cs="Arial"/>
        </w:rPr>
      </w:pPr>
    </w:p>
    <w:p w14:paraId="7D9D8EED" w14:textId="4A5F26ED" w:rsidR="00E15A71" w:rsidRPr="00881642" w:rsidRDefault="00134CDE" w:rsidP="00F62762">
      <w:pPr>
        <w:spacing w:after="0" w:line="360" w:lineRule="auto"/>
        <w:ind w:left="720" w:hanging="720"/>
        <w:jc w:val="both"/>
        <w:rPr>
          <w:rFonts w:ascii="Arial" w:hAnsi="Arial" w:cs="Arial"/>
        </w:rPr>
      </w:pPr>
      <w:r>
        <w:rPr>
          <w:rFonts w:ascii="Arial" w:hAnsi="Arial" w:cs="Arial"/>
        </w:rPr>
        <w:t>[</w:t>
      </w:r>
      <w:r w:rsidR="0036782D">
        <w:rPr>
          <w:rFonts w:ascii="Arial" w:hAnsi="Arial" w:cs="Arial"/>
        </w:rPr>
        <w:t>5</w:t>
      </w:r>
      <w:r>
        <w:rPr>
          <w:rFonts w:ascii="Arial" w:hAnsi="Arial" w:cs="Arial"/>
        </w:rPr>
        <w:t>]</w:t>
      </w:r>
      <w:r>
        <w:rPr>
          <w:rFonts w:ascii="Arial" w:hAnsi="Arial" w:cs="Arial"/>
        </w:rPr>
        <w:tab/>
      </w:r>
      <w:r w:rsidR="00874520">
        <w:rPr>
          <w:rFonts w:ascii="Arial" w:hAnsi="Arial" w:cs="Arial"/>
        </w:rPr>
        <w:t>The defendants</w:t>
      </w:r>
      <w:r w:rsidR="002B39B0">
        <w:rPr>
          <w:rFonts w:ascii="Arial" w:hAnsi="Arial" w:cs="Arial"/>
        </w:rPr>
        <w:t>, on the other hand,</w:t>
      </w:r>
      <w:r w:rsidR="00874520">
        <w:rPr>
          <w:rFonts w:ascii="Arial" w:hAnsi="Arial" w:cs="Arial"/>
        </w:rPr>
        <w:t xml:space="preserve"> </w:t>
      </w:r>
      <w:r w:rsidR="00355B17">
        <w:rPr>
          <w:rFonts w:ascii="Arial" w:hAnsi="Arial" w:cs="Arial"/>
        </w:rPr>
        <w:t xml:space="preserve">having filed their notice </w:t>
      </w:r>
      <w:r w:rsidR="00EE2C1A">
        <w:rPr>
          <w:rFonts w:ascii="Arial" w:hAnsi="Arial" w:cs="Arial"/>
        </w:rPr>
        <w:t xml:space="preserve">to </w:t>
      </w:r>
      <w:r w:rsidR="00754BD0">
        <w:rPr>
          <w:rFonts w:ascii="Arial" w:hAnsi="Arial" w:cs="Arial"/>
        </w:rPr>
        <w:t>defend,</w:t>
      </w:r>
      <w:r w:rsidR="00EE2C1A">
        <w:rPr>
          <w:rFonts w:ascii="Arial" w:hAnsi="Arial" w:cs="Arial"/>
        </w:rPr>
        <w:t xml:space="preserve"> </w:t>
      </w:r>
      <w:r w:rsidR="00355B17">
        <w:rPr>
          <w:rFonts w:ascii="Arial" w:hAnsi="Arial" w:cs="Arial"/>
        </w:rPr>
        <w:t xml:space="preserve">and </w:t>
      </w:r>
      <w:r w:rsidR="00A643D7">
        <w:rPr>
          <w:rFonts w:ascii="Arial" w:hAnsi="Arial" w:cs="Arial"/>
        </w:rPr>
        <w:t xml:space="preserve">affidavits raised various </w:t>
      </w:r>
      <w:proofErr w:type="spellStart"/>
      <w:r w:rsidR="00A643D7">
        <w:rPr>
          <w:rFonts w:ascii="Arial" w:hAnsi="Arial" w:cs="Arial"/>
        </w:rPr>
        <w:t>defences</w:t>
      </w:r>
      <w:proofErr w:type="spellEnd"/>
      <w:r w:rsidR="00A643D7">
        <w:rPr>
          <w:rFonts w:ascii="Arial" w:hAnsi="Arial" w:cs="Arial"/>
        </w:rPr>
        <w:t xml:space="preserve"> </w:t>
      </w:r>
      <w:r w:rsidR="00033058">
        <w:rPr>
          <w:rFonts w:ascii="Arial" w:hAnsi="Arial" w:cs="Arial"/>
        </w:rPr>
        <w:t>denying the</w:t>
      </w:r>
      <w:r w:rsidR="000924A6">
        <w:rPr>
          <w:rFonts w:ascii="Arial" w:hAnsi="Arial" w:cs="Arial"/>
        </w:rPr>
        <w:t xml:space="preserve">ir indebtedness </w:t>
      </w:r>
      <w:r w:rsidR="00D55C14">
        <w:rPr>
          <w:rFonts w:ascii="Arial" w:hAnsi="Arial" w:cs="Arial"/>
        </w:rPr>
        <w:t xml:space="preserve">to the </w:t>
      </w:r>
      <w:r w:rsidR="000924A6">
        <w:rPr>
          <w:rFonts w:ascii="Arial" w:hAnsi="Arial" w:cs="Arial"/>
        </w:rPr>
        <w:t xml:space="preserve">plaintiff. </w:t>
      </w:r>
      <w:r w:rsidR="003A55AE">
        <w:rPr>
          <w:rFonts w:ascii="Arial" w:hAnsi="Arial" w:cs="Arial"/>
        </w:rPr>
        <w:t xml:space="preserve">They </w:t>
      </w:r>
      <w:r w:rsidR="00E07819">
        <w:rPr>
          <w:rFonts w:ascii="Arial" w:hAnsi="Arial" w:cs="Arial"/>
        </w:rPr>
        <w:t xml:space="preserve">disagreed with the correctness of the </w:t>
      </w:r>
      <w:r w:rsidR="001D4DC7">
        <w:rPr>
          <w:rFonts w:ascii="Arial" w:hAnsi="Arial" w:cs="Arial"/>
        </w:rPr>
        <w:t xml:space="preserve">claimed </w:t>
      </w:r>
      <w:r w:rsidR="00E07819">
        <w:rPr>
          <w:rFonts w:ascii="Arial" w:hAnsi="Arial" w:cs="Arial"/>
        </w:rPr>
        <w:t>ar</w:t>
      </w:r>
      <w:r w:rsidR="001D4DC7">
        <w:rPr>
          <w:rFonts w:ascii="Arial" w:hAnsi="Arial" w:cs="Arial"/>
        </w:rPr>
        <w:t>r</w:t>
      </w:r>
      <w:r w:rsidR="00E07819">
        <w:rPr>
          <w:rFonts w:ascii="Arial" w:hAnsi="Arial" w:cs="Arial"/>
        </w:rPr>
        <w:t>ear</w:t>
      </w:r>
      <w:r w:rsidR="001D4DC7">
        <w:rPr>
          <w:rFonts w:ascii="Arial" w:hAnsi="Arial" w:cs="Arial"/>
        </w:rPr>
        <w:t xml:space="preserve"> amount. </w:t>
      </w:r>
      <w:r w:rsidR="00737D31">
        <w:rPr>
          <w:rFonts w:ascii="Arial" w:hAnsi="Arial" w:cs="Arial"/>
        </w:rPr>
        <w:t xml:space="preserve">They alleged that the </w:t>
      </w:r>
      <w:r w:rsidR="009D1728">
        <w:rPr>
          <w:rFonts w:ascii="Arial" w:hAnsi="Arial" w:cs="Arial"/>
        </w:rPr>
        <w:t xml:space="preserve">original </w:t>
      </w:r>
      <w:r w:rsidR="00737D31">
        <w:rPr>
          <w:rFonts w:ascii="Arial" w:hAnsi="Arial" w:cs="Arial"/>
        </w:rPr>
        <w:t xml:space="preserve">date </w:t>
      </w:r>
      <w:r w:rsidR="004A0569">
        <w:rPr>
          <w:rFonts w:ascii="Arial" w:hAnsi="Arial" w:cs="Arial"/>
        </w:rPr>
        <w:t>for</w:t>
      </w:r>
      <w:r w:rsidR="00737D31">
        <w:rPr>
          <w:rFonts w:ascii="Arial" w:hAnsi="Arial" w:cs="Arial"/>
        </w:rPr>
        <w:t xml:space="preserve"> occupation of the leased property</w:t>
      </w:r>
      <w:r w:rsidR="00FF4BF3">
        <w:rPr>
          <w:rFonts w:ascii="Arial" w:hAnsi="Arial" w:cs="Arial"/>
        </w:rPr>
        <w:t xml:space="preserve"> was suspended </w:t>
      </w:r>
      <w:r w:rsidR="00FF4BF3" w:rsidRPr="003014B5">
        <w:rPr>
          <w:rFonts w:ascii="Arial" w:hAnsi="Arial" w:cs="Arial"/>
        </w:rPr>
        <w:t xml:space="preserve">from 01 April 2020 to </w:t>
      </w:r>
      <w:r w:rsidR="00737D31" w:rsidRPr="003014B5">
        <w:rPr>
          <w:rFonts w:ascii="Arial" w:hAnsi="Arial" w:cs="Arial"/>
        </w:rPr>
        <w:t xml:space="preserve">01 November 2020 </w:t>
      </w:r>
      <w:r w:rsidR="00A24FCF" w:rsidRPr="003014B5">
        <w:rPr>
          <w:rFonts w:ascii="Arial" w:hAnsi="Arial" w:cs="Arial"/>
        </w:rPr>
        <w:t>due to the</w:t>
      </w:r>
      <w:r w:rsidR="000D7733" w:rsidRPr="003014B5">
        <w:rPr>
          <w:rFonts w:ascii="Arial" w:hAnsi="Arial" w:cs="Arial"/>
        </w:rPr>
        <w:t xml:space="preserve"> global wave of the</w:t>
      </w:r>
      <w:r w:rsidR="00A24FCF" w:rsidRPr="003014B5">
        <w:rPr>
          <w:rFonts w:ascii="Arial" w:hAnsi="Arial" w:cs="Arial"/>
        </w:rPr>
        <w:t xml:space="preserve"> COVID-19 pandemic. </w:t>
      </w:r>
      <w:r w:rsidR="009615B1" w:rsidRPr="003014B5">
        <w:rPr>
          <w:rFonts w:ascii="Arial" w:hAnsi="Arial" w:cs="Arial"/>
        </w:rPr>
        <w:t>They,</w:t>
      </w:r>
      <w:r w:rsidR="00A24FCF" w:rsidRPr="003014B5">
        <w:rPr>
          <w:rFonts w:ascii="Arial" w:hAnsi="Arial" w:cs="Arial"/>
        </w:rPr>
        <w:t xml:space="preserve"> therefore, occupied the premises on 01 November 2020 and not </w:t>
      </w:r>
      <w:r w:rsidR="007D5D50" w:rsidRPr="003014B5">
        <w:rPr>
          <w:rFonts w:ascii="Arial" w:hAnsi="Arial" w:cs="Arial"/>
        </w:rPr>
        <w:t xml:space="preserve">on </w:t>
      </w:r>
      <w:r w:rsidR="009615B1" w:rsidRPr="003014B5">
        <w:rPr>
          <w:rFonts w:ascii="Arial" w:hAnsi="Arial" w:cs="Arial"/>
        </w:rPr>
        <w:t xml:space="preserve">01 April 2020 </w:t>
      </w:r>
      <w:r w:rsidR="00A24FCF" w:rsidRPr="003014B5">
        <w:rPr>
          <w:rFonts w:ascii="Arial" w:hAnsi="Arial" w:cs="Arial"/>
        </w:rPr>
        <w:t>as contended by the plaintiff</w:t>
      </w:r>
      <w:r w:rsidR="001720E4">
        <w:rPr>
          <w:rFonts w:ascii="Arial" w:hAnsi="Arial" w:cs="Arial"/>
        </w:rPr>
        <w:t xml:space="preserve"> which meant that they have been in occupation since the former date</w:t>
      </w:r>
      <w:r w:rsidR="00A24FCF" w:rsidRPr="003014B5">
        <w:rPr>
          <w:rFonts w:ascii="Arial" w:hAnsi="Arial" w:cs="Arial"/>
        </w:rPr>
        <w:t xml:space="preserve">. </w:t>
      </w:r>
      <w:r w:rsidR="00083D81" w:rsidRPr="003014B5">
        <w:rPr>
          <w:rFonts w:ascii="Arial" w:hAnsi="Arial" w:cs="Arial"/>
        </w:rPr>
        <w:t xml:space="preserve">They deny that the plaintiff is entitled to the legal redress </w:t>
      </w:r>
      <w:r w:rsidR="00B77E59" w:rsidRPr="003014B5">
        <w:rPr>
          <w:rFonts w:ascii="Arial" w:hAnsi="Arial" w:cs="Arial"/>
        </w:rPr>
        <w:t>in the context of the cancellation of the lease agreemen</w:t>
      </w:r>
      <w:r w:rsidR="00AD7A2F" w:rsidRPr="003014B5">
        <w:rPr>
          <w:rFonts w:ascii="Arial" w:hAnsi="Arial" w:cs="Arial"/>
        </w:rPr>
        <w:t>t and eviction of the defendants or any other person that might be in occupation of the leased premises</w:t>
      </w:r>
      <w:r w:rsidR="00A605CE" w:rsidRPr="003014B5">
        <w:rPr>
          <w:rFonts w:ascii="Arial" w:hAnsi="Arial" w:cs="Arial"/>
        </w:rPr>
        <w:t>. The</w:t>
      </w:r>
      <w:r w:rsidR="00A27595">
        <w:rPr>
          <w:rFonts w:ascii="Arial" w:hAnsi="Arial" w:cs="Arial"/>
        </w:rPr>
        <w:t>y contend that th</w:t>
      </w:r>
      <w:r w:rsidR="00F177FE">
        <w:rPr>
          <w:rFonts w:ascii="Arial" w:hAnsi="Arial" w:cs="Arial"/>
        </w:rPr>
        <w:t>e</w:t>
      </w:r>
      <w:r w:rsidR="00A605CE" w:rsidRPr="003014B5">
        <w:rPr>
          <w:rFonts w:ascii="Arial" w:hAnsi="Arial" w:cs="Arial"/>
        </w:rPr>
        <w:t xml:space="preserve"> plaintiff</w:t>
      </w:r>
      <w:r w:rsidR="00F177FE">
        <w:rPr>
          <w:rFonts w:ascii="Arial" w:hAnsi="Arial" w:cs="Arial"/>
        </w:rPr>
        <w:t xml:space="preserve"> was not entitled </w:t>
      </w:r>
      <w:r w:rsidR="00A605CE">
        <w:rPr>
          <w:rFonts w:ascii="Arial" w:hAnsi="Arial" w:cs="Arial"/>
        </w:rPr>
        <w:t xml:space="preserve">to the </w:t>
      </w:r>
      <w:r w:rsidR="00AB4D04">
        <w:rPr>
          <w:rFonts w:ascii="Arial" w:hAnsi="Arial" w:cs="Arial"/>
        </w:rPr>
        <w:t>‘</w:t>
      </w:r>
      <w:r w:rsidR="00A605CE">
        <w:rPr>
          <w:rFonts w:ascii="Arial" w:hAnsi="Arial" w:cs="Arial"/>
        </w:rPr>
        <w:t>once</w:t>
      </w:r>
      <w:r w:rsidR="00A02007">
        <w:rPr>
          <w:rFonts w:ascii="Arial" w:hAnsi="Arial" w:cs="Arial"/>
        </w:rPr>
        <w:t xml:space="preserve"> and for all rule</w:t>
      </w:r>
      <w:r w:rsidR="006F2D97">
        <w:rPr>
          <w:rFonts w:ascii="Arial" w:hAnsi="Arial" w:cs="Arial"/>
        </w:rPr>
        <w:t>’</w:t>
      </w:r>
      <w:r w:rsidR="00A02007">
        <w:rPr>
          <w:rFonts w:ascii="Arial" w:hAnsi="Arial" w:cs="Arial"/>
        </w:rPr>
        <w:t xml:space="preserve"> in litigation and claim unquantified </w:t>
      </w:r>
      <w:r w:rsidR="00C160F5">
        <w:rPr>
          <w:rFonts w:ascii="Arial" w:hAnsi="Arial" w:cs="Arial"/>
        </w:rPr>
        <w:t xml:space="preserve">and alleged </w:t>
      </w:r>
      <w:r w:rsidR="00A02007">
        <w:rPr>
          <w:rFonts w:ascii="Arial" w:hAnsi="Arial" w:cs="Arial"/>
        </w:rPr>
        <w:t>damages</w:t>
      </w:r>
      <w:r w:rsidR="00C160F5">
        <w:rPr>
          <w:rFonts w:ascii="Arial" w:hAnsi="Arial" w:cs="Arial"/>
        </w:rPr>
        <w:t>. Further, deny any entitlement of the plaintiff to the costs</w:t>
      </w:r>
      <w:r w:rsidR="00CD4371">
        <w:rPr>
          <w:rFonts w:ascii="Arial" w:hAnsi="Arial" w:cs="Arial"/>
        </w:rPr>
        <w:t xml:space="preserve"> whatsoever. </w:t>
      </w:r>
      <w:r w:rsidR="0025645E">
        <w:rPr>
          <w:rFonts w:ascii="Arial" w:hAnsi="Arial" w:cs="Arial"/>
        </w:rPr>
        <w:t xml:space="preserve">The defendants submitted special pleas before this court </w:t>
      </w:r>
      <w:r w:rsidR="007571C9">
        <w:rPr>
          <w:rFonts w:ascii="Arial" w:hAnsi="Arial" w:cs="Arial"/>
        </w:rPr>
        <w:t xml:space="preserve">in that they engaged </w:t>
      </w:r>
      <w:r w:rsidR="006B5605">
        <w:rPr>
          <w:rFonts w:ascii="Arial" w:hAnsi="Arial" w:cs="Arial"/>
        </w:rPr>
        <w:t xml:space="preserve">in discussions with the plaintiff in resolving the </w:t>
      </w:r>
      <w:r w:rsidR="006B5605">
        <w:rPr>
          <w:rFonts w:ascii="Arial" w:hAnsi="Arial" w:cs="Arial"/>
        </w:rPr>
        <w:lastRenderedPageBreak/>
        <w:t>impasse and a rebate or a discounted payba</w:t>
      </w:r>
      <w:r w:rsidR="00CB7BF7">
        <w:rPr>
          <w:rFonts w:ascii="Arial" w:hAnsi="Arial" w:cs="Arial"/>
        </w:rPr>
        <w:t>c</w:t>
      </w:r>
      <w:r w:rsidR="006B5605">
        <w:rPr>
          <w:rFonts w:ascii="Arial" w:hAnsi="Arial" w:cs="Arial"/>
        </w:rPr>
        <w:t xml:space="preserve">k </w:t>
      </w:r>
      <w:r w:rsidR="00BE0B32">
        <w:rPr>
          <w:rFonts w:ascii="Arial" w:hAnsi="Arial" w:cs="Arial"/>
        </w:rPr>
        <w:t>of the</w:t>
      </w:r>
      <w:r w:rsidR="004E6F7B">
        <w:rPr>
          <w:rFonts w:ascii="Arial" w:hAnsi="Arial" w:cs="Arial"/>
        </w:rPr>
        <w:t xml:space="preserve"> arrear rental </w:t>
      </w:r>
      <w:r w:rsidR="006B5605">
        <w:rPr>
          <w:rFonts w:ascii="Arial" w:hAnsi="Arial" w:cs="Arial"/>
        </w:rPr>
        <w:t xml:space="preserve">was agreed upon. </w:t>
      </w:r>
      <w:r w:rsidR="00FE7E29">
        <w:rPr>
          <w:rFonts w:ascii="Arial" w:hAnsi="Arial" w:cs="Arial"/>
        </w:rPr>
        <w:t xml:space="preserve">The first related to the </w:t>
      </w:r>
      <w:r w:rsidR="00FE7E29" w:rsidRPr="00693B18">
        <w:rPr>
          <w:rFonts w:ascii="Arial" w:hAnsi="Arial" w:cs="Arial"/>
          <w:i/>
          <w:iCs/>
        </w:rPr>
        <w:t xml:space="preserve">pactum </w:t>
      </w:r>
      <w:r w:rsidR="00F2605D" w:rsidRPr="00693B18">
        <w:rPr>
          <w:rFonts w:ascii="Arial" w:hAnsi="Arial" w:cs="Arial"/>
          <w:i/>
          <w:iCs/>
        </w:rPr>
        <w:t xml:space="preserve">de </w:t>
      </w:r>
      <w:r w:rsidR="00FE7E29" w:rsidRPr="00693B18">
        <w:rPr>
          <w:rFonts w:ascii="Arial" w:hAnsi="Arial" w:cs="Arial"/>
          <w:i/>
          <w:iCs/>
        </w:rPr>
        <w:t xml:space="preserve">non </w:t>
      </w:r>
      <w:proofErr w:type="spellStart"/>
      <w:r w:rsidR="00FE7E29" w:rsidRPr="00693B18">
        <w:rPr>
          <w:rFonts w:ascii="Arial" w:hAnsi="Arial" w:cs="Arial"/>
          <w:i/>
          <w:iCs/>
        </w:rPr>
        <w:t>pretend</w:t>
      </w:r>
      <w:r w:rsidR="00F2605D" w:rsidRPr="00693B18">
        <w:rPr>
          <w:rFonts w:ascii="Arial" w:hAnsi="Arial" w:cs="Arial"/>
          <w:i/>
          <w:iCs/>
        </w:rPr>
        <w:t>o</w:t>
      </w:r>
      <w:proofErr w:type="spellEnd"/>
      <w:r w:rsidR="00F2605D">
        <w:rPr>
          <w:rFonts w:ascii="Arial" w:hAnsi="Arial" w:cs="Arial"/>
        </w:rPr>
        <w:t xml:space="preserve"> </w:t>
      </w:r>
      <w:r w:rsidR="00BF30AF">
        <w:rPr>
          <w:rFonts w:ascii="Arial" w:hAnsi="Arial" w:cs="Arial"/>
        </w:rPr>
        <w:t>whereby an arrear rental of R493</w:t>
      </w:r>
      <w:r w:rsidR="00E57FEB">
        <w:rPr>
          <w:rFonts w:ascii="Arial" w:hAnsi="Arial" w:cs="Arial"/>
        </w:rPr>
        <w:t xml:space="preserve"> </w:t>
      </w:r>
      <w:r w:rsidR="00535F0C">
        <w:rPr>
          <w:rFonts w:ascii="Arial" w:hAnsi="Arial" w:cs="Arial"/>
        </w:rPr>
        <w:t>986.96 would</w:t>
      </w:r>
      <w:r w:rsidR="00E57FEB">
        <w:rPr>
          <w:rFonts w:ascii="Arial" w:hAnsi="Arial" w:cs="Arial"/>
        </w:rPr>
        <w:t xml:space="preserve"> be played in three</w:t>
      </w:r>
      <w:r w:rsidR="00AE47DD">
        <w:rPr>
          <w:rFonts w:ascii="Arial" w:hAnsi="Arial" w:cs="Arial"/>
        </w:rPr>
        <w:t xml:space="preserve"> tranches until July 2022.</w:t>
      </w:r>
      <w:r w:rsidR="00FE7E29">
        <w:rPr>
          <w:rFonts w:ascii="Arial" w:hAnsi="Arial" w:cs="Arial"/>
        </w:rPr>
        <w:t xml:space="preserve"> </w:t>
      </w:r>
      <w:r w:rsidR="00535F0C">
        <w:rPr>
          <w:rFonts w:ascii="Arial" w:hAnsi="Arial" w:cs="Arial"/>
        </w:rPr>
        <w:t xml:space="preserve">The second </w:t>
      </w:r>
      <w:r w:rsidR="00535F0C" w:rsidRPr="00693B18">
        <w:rPr>
          <w:rFonts w:ascii="Arial" w:hAnsi="Arial" w:cs="Arial"/>
          <w:i/>
          <w:iCs/>
        </w:rPr>
        <w:t xml:space="preserve">pactum de non </w:t>
      </w:r>
      <w:proofErr w:type="spellStart"/>
      <w:r w:rsidR="00535F0C" w:rsidRPr="009A5F2B">
        <w:rPr>
          <w:rFonts w:ascii="Arial" w:hAnsi="Arial" w:cs="Arial"/>
          <w:i/>
          <w:iCs/>
        </w:rPr>
        <w:t>pretend</w:t>
      </w:r>
      <w:r w:rsidR="009A5F2B" w:rsidRPr="009A5F2B">
        <w:rPr>
          <w:rFonts w:ascii="Arial" w:hAnsi="Arial" w:cs="Arial"/>
          <w:i/>
          <w:iCs/>
        </w:rPr>
        <w:t>o</w:t>
      </w:r>
      <w:proofErr w:type="spellEnd"/>
      <w:r w:rsidR="00535F0C" w:rsidRPr="009A5F2B">
        <w:rPr>
          <w:rFonts w:ascii="Arial" w:hAnsi="Arial" w:cs="Arial"/>
          <w:i/>
          <w:iCs/>
        </w:rPr>
        <w:t xml:space="preserve"> </w:t>
      </w:r>
      <w:r w:rsidR="002E1305">
        <w:rPr>
          <w:rFonts w:ascii="Arial" w:hAnsi="Arial" w:cs="Arial"/>
        </w:rPr>
        <w:t>was entered on or 04 August 2022</w:t>
      </w:r>
      <w:r w:rsidR="00B77CFB">
        <w:rPr>
          <w:rFonts w:ascii="Arial" w:hAnsi="Arial" w:cs="Arial"/>
        </w:rPr>
        <w:t xml:space="preserve"> for the </w:t>
      </w:r>
      <w:proofErr w:type="spellStart"/>
      <w:r w:rsidR="00B77CFB" w:rsidRPr="00693B18">
        <w:rPr>
          <w:rFonts w:ascii="Arial" w:hAnsi="Arial" w:cs="Arial"/>
          <w:i/>
          <w:iCs/>
        </w:rPr>
        <w:t>adhoc</w:t>
      </w:r>
      <w:proofErr w:type="spellEnd"/>
      <w:r w:rsidR="00B77CFB">
        <w:rPr>
          <w:rFonts w:ascii="Arial" w:hAnsi="Arial" w:cs="Arial"/>
        </w:rPr>
        <w:t xml:space="preserve"> rental for the months of August-</w:t>
      </w:r>
      <w:r w:rsidR="002C2594">
        <w:rPr>
          <w:rFonts w:ascii="Arial" w:hAnsi="Arial" w:cs="Arial"/>
        </w:rPr>
        <w:t xml:space="preserve">October </w:t>
      </w:r>
      <w:r w:rsidR="00B77CFB">
        <w:rPr>
          <w:rFonts w:ascii="Arial" w:hAnsi="Arial" w:cs="Arial"/>
        </w:rPr>
        <w:t xml:space="preserve">capped at </w:t>
      </w:r>
      <w:r w:rsidR="002C2594">
        <w:rPr>
          <w:rFonts w:ascii="Arial" w:hAnsi="Arial" w:cs="Arial"/>
        </w:rPr>
        <w:t xml:space="preserve">R76 </w:t>
      </w:r>
      <w:r w:rsidR="00A866EA">
        <w:rPr>
          <w:rFonts w:ascii="Arial" w:hAnsi="Arial" w:cs="Arial"/>
        </w:rPr>
        <w:t>2</w:t>
      </w:r>
      <w:r w:rsidR="002C2594">
        <w:rPr>
          <w:rFonts w:ascii="Arial" w:hAnsi="Arial" w:cs="Arial"/>
        </w:rPr>
        <w:t>44</w:t>
      </w:r>
      <w:r w:rsidR="00A866EA">
        <w:rPr>
          <w:rFonts w:ascii="Arial" w:hAnsi="Arial" w:cs="Arial"/>
        </w:rPr>
        <w:t>.00 per month</w:t>
      </w:r>
      <w:r w:rsidR="002C2594">
        <w:rPr>
          <w:rFonts w:ascii="Arial" w:hAnsi="Arial" w:cs="Arial"/>
        </w:rPr>
        <w:t xml:space="preserve"> excluding vat</w:t>
      </w:r>
      <w:r w:rsidR="004371B7">
        <w:rPr>
          <w:rFonts w:ascii="Arial" w:hAnsi="Arial" w:cs="Arial"/>
        </w:rPr>
        <w:t>.</w:t>
      </w:r>
      <w:r w:rsidR="00B77CFB">
        <w:rPr>
          <w:rFonts w:ascii="Arial" w:hAnsi="Arial" w:cs="Arial"/>
        </w:rPr>
        <w:t xml:space="preserve"> </w:t>
      </w:r>
      <w:r w:rsidR="00B7190D">
        <w:rPr>
          <w:rFonts w:ascii="Arial" w:hAnsi="Arial" w:cs="Arial"/>
        </w:rPr>
        <w:t>T</w:t>
      </w:r>
      <w:r w:rsidR="007740AC">
        <w:rPr>
          <w:rFonts w:ascii="Arial" w:hAnsi="Arial" w:cs="Arial"/>
        </w:rPr>
        <w:t xml:space="preserve">he defendants </w:t>
      </w:r>
      <w:r w:rsidR="00FE14FC">
        <w:rPr>
          <w:rFonts w:ascii="Arial" w:hAnsi="Arial" w:cs="Arial"/>
        </w:rPr>
        <w:t xml:space="preserve">ended with paying </w:t>
      </w:r>
      <w:r w:rsidR="00557B86">
        <w:rPr>
          <w:rFonts w:ascii="Arial" w:hAnsi="Arial" w:cs="Arial"/>
        </w:rPr>
        <w:t xml:space="preserve">a </w:t>
      </w:r>
      <w:r w:rsidR="007740AC">
        <w:rPr>
          <w:rFonts w:ascii="Arial" w:hAnsi="Arial" w:cs="Arial"/>
        </w:rPr>
        <w:t xml:space="preserve">discounted </w:t>
      </w:r>
      <w:r w:rsidR="00557B86">
        <w:rPr>
          <w:rFonts w:ascii="Arial" w:hAnsi="Arial" w:cs="Arial"/>
        </w:rPr>
        <w:t xml:space="preserve">monthly rental </w:t>
      </w:r>
      <w:r w:rsidR="007740AC">
        <w:rPr>
          <w:rFonts w:ascii="Arial" w:hAnsi="Arial" w:cs="Arial"/>
        </w:rPr>
        <w:t>which w</w:t>
      </w:r>
      <w:r w:rsidR="00131A54">
        <w:rPr>
          <w:rFonts w:ascii="Arial" w:hAnsi="Arial" w:cs="Arial"/>
        </w:rPr>
        <w:t xml:space="preserve">as </w:t>
      </w:r>
      <w:r w:rsidR="007740AC">
        <w:rPr>
          <w:rFonts w:ascii="Arial" w:hAnsi="Arial" w:cs="Arial"/>
        </w:rPr>
        <w:t>accepted by the plaintiff</w:t>
      </w:r>
      <w:r w:rsidR="00234F93">
        <w:rPr>
          <w:rFonts w:ascii="Arial" w:hAnsi="Arial" w:cs="Arial"/>
        </w:rPr>
        <w:t xml:space="preserve"> without protest</w:t>
      </w:r>
      <w:r w:rsidR="00CA7FCE">
        <w:rPr>
          <w:rFonts w:ascii="Arial" w:hAnsi="Arial" w:cs="Arial"/>
        </w:rPr>
        <w:t xml:space="preserve">. This meant, as per the defendant’s view and </w:t>
      </w:r>
      <w:r w:rsidR="005E03EB">
        <w:rPr>
          <w:rFonts w:ascii="Arial" w:hAnsi="Arial" w:cs="Arial"/>
        </w:rPr>
        <w:t>understanding the</w:t>
      </w:r>
      <w:r w:rsidR="007740AC">
        <w:rPr>
          <w:rFonts w:ascii="Arial" w:hAnsi="Arial" w:cs="Arial"/>
        </w:rPr>
        <w:t xml:space="preserve"> review </w:t>
      </w:r>
      <w:r w:rsidR="00404C9A">
        <w:rPr>
          <w:rFonts w:ascii="Arial" w:hAnsi="Arial" w:cs="Arial"/>
        </w:rPr>
        <w:t xml:space="preserve">or waiver of the terms </w:t>
      </w:r>
      <w:r w:rsidR="007740AC">
        <w:rPr>
          <w:rFonts w:ascii="Arial" w:hAnsi="Arial" w:cs="Arial"/>
        </w:rPr>
        <w:t>of the original lease by conduct.</w:t>
      </w:r>
      <w:r w:rsidR="00404C9A">
        <w:rPr>
          <w:rFonts w:ascii="Arial" w:hAnsi="Arial" w:cs="Arial"/>
        </w:rPr>
        <w:t xml:space="preserve"> </w:t>
      </w:r>
      <w:r w:rsidR="00620843">
        <w:rPr>
          <w:rFonts w:ascii="Arial" w:hAnsi="Arial" w:cs="Arial"/>
        </w:rPr>
        <w:t xml:space="preserve">By virtue of the </w:t>
      </w:r>
      <w:r w:rsidR="005E03EB">
        <w:rPr>
          <w:rFonts w:ascii="Arial" w:hAnsi="Arial" w:cs="Arial"/>
        </w:rPr>
        <w:t>plaintiff’s conduct, this</w:t>
      </w:r>
      <w:r w:rsidR="00A445FA">
        <w:rPr>
          <w:rFonts w:ascii="Arial" w:hAnsi="Arial" w:cs="Arial"/>
        </w:rPr>
        <w:t xml:space="preserve"> meant that </w:t>
      </w:r>
      <w:r w:rsidR="006611EB">
        <w:rPr>
          <w:rFonts w:ascii="Arial" w:hAnsi="Arial" w:cs="Arial"/>
        </w:rPr>
        <w:t xml:space="preserve">a </w:t>
      </w:r>
      <w:r w:rsidR="00A445FA">
        <w:rPr>
          <w:rFonts w:ascii="Arial" w:hAnsi="Arial" w:cs="Arial"/>
        </w:rPr>
        <w:t xml:space="preserve">tacit lease agreement or by conduct was entered into as </w:t>
      </w:r>
      <w:r w:rsidR="007318FE">
        <w:rPr>
          <w:rFonts w:ascii="Arial" w:hAnsi="Arial" w:cs="Arial"/>
        </w:rPr>
        <w:t>a third an</w:t>
      </w:r>
      <w:r w:rsidR="001C52ED">
        <w:rPr>
          <w:rFonts w:ascii="Arial" w:hAnsi="Arial" w:cs="Arial"/>
        </w:rPr>
        <w:t xml:space="preserve">d implied </w:t>
      </w:r>
      <w:r w:rsidR="001C52ED" w:rsidRPr="00693B18">
        <w:rPr>
          <w:rFonts w:ascii="Arial" w:hAnsi="Arial" w:cs="Arial"/>
          <w:i/>
          <w:iCs/>
        </w:rPr>
        <w:t xml:space="preserve">pactum de non </w:t>
      </w:r>
      <w:proofErr w:type="spellStart"/>
      <w:r w:rsidR="001C52ED" w:rsidRPr="00693B18">
        <w:rPr>
          <w:rFonts w:ascii="Arial" w:hAnsi="Arial" w:cs="Arial"/>
          <w:i/>
          <w:iCs/>
        </w:rPr>
        <w:t>pretend</w:t>
      </w:r>
      <w:r w:rsidR="009A5F2B">
        <w:rPr>
          <w:rFonts w:ascii="Arial" w:hAnsi="Arial" w:cs="Arial"/>
          <w:i/>
          <w:iCs/>
        </w:rPr>
        <w:t>o</w:t>
      </w:r>
      <w:proofErr w:type="spellEnd"/>
      <w:r w:rsidR="009A7287">
        <w:rPr>
          <w:rFonts w:ascii="Arial" w:hAnsi="Arial" w:cs="Arial"/>
          <w:i/>
          <w:iCs/>
        </w:rPr>
        <w:t xml:space="preserve">. </w:t>
      </w:r>
      <w:r w:rsidR="00F62762">
        <w:rPr>
          <w:rFonts w:ascii="Arial" w:hAnsi="Arial" w:cs="Arial"/>
        </w:rPr>
        <w:t xml:space="preserve">However, on 30 November 2022 the plaintiff unilaterally reneged from the </w:t>
      </w:r>
      <w:r w:rsidR="009F62D3">
        <w:rPr>
          <w:rFonts w:ascii="Arial" w:hAnsi="Arial" w:cs="Arial"/>
        </w:rPr>
        <w:t xml:space="preserve">tacit </w:t>
      </w:r>
      <w:r w:rsidR="00F62762">
        <w:rPr>
          <w:rFonts w:ascii="Arial" w:hAnsi="Arial" w:cs="Arial"/>
        </w:rPr>
        <w:t xml:space="preserve">agreement. </w:t>
      </w:r>
      <w:r w:rsidR="001F0BCA" w:rsidRPr="00881642">
        <w:rPr>
          <w:rFonts w:ascii="Arial" w:hAnsi="Arial" w:cs="Arial"/>
        </w:rPr>
        <w:t xml:space="preserve">The second plea relates to </w:t>
      </w:r>
      <w:r w:rsidR="00441A09">
        <w:rPr>
          <w:rFonts w:ascii="Arial" w:hAnsi="Arial" w:cs="Arial"/>
        </w:rPr>
        <w:t>the plaintiff</w:t>
      </w:r>
      <w:r w:rsidR="00D07BFE">
        <w:rPr>
          <w:rFonts w:ascii="Arial" w:hAnsi="Arial" w:cs="Arial"/>
        </w:rPr>
        <w:t xml:space="preserve">’s </w:t>
      </w:r>
      <w:r w:rsidR="001F0BCA" w:rsidRPr="00881642">
        <w:rPr>
          <w:rFonts w:ascii="Arial" w:hAnsi="Arial" w:cs="Arial"/>
        </w:rPr>
        <w:t xml:space="preserve">compliance with Rule 41A of the Rules of the Court </w:t>
      </w:r>
      <w:r w:rsidR="00EF4D39">
        <w:rPr>
          <w:rFonts w:ascii="Arial" w:hAnsi="Arial" w:cs="Arial"/>
        </w:rPr>
        <w:t>re</w:t>
      </w:r>
      <w:r w:rsidR="00234E91">
        <w:rPr>
          <w:rFonts w:ascii="Arial" w:hAnsi="Arial" w:cs="Arial"/>
        </w:rPr>
        <w:t>garding the consideration of the matter through the mediation process which was de</w:t>
      </w:r>
      <w:r w:rsidR="009333A4">
        <w:rPr>
          <w:rFonts w:ascii="Arial" w:hAnsi="Arial" w:cs="Arial"/>
        </w:rPr>
        <w:t>clined</w:t>
      </w:r>
      <w:r w:rsidR="00462353">
        <w:rPr>
          <w:rFonts w:ascii="Arial" w:hAnsi="Arial" w:cs="Arial"/>
        </w:rPr>
        <w:t xml:space="preserve"> </w:t>
      </w:r>
      <w:r w:rsidR="00234E91">
        <w:rPr>
          <w:rFonts w:ascii="Arial" w:hAnsi="Arial" w:cs="Arial"/>
        </w:rPr>
        <w:t>by the</w:t>
      </w:r>
      <w:r w:rsidR="0033309C">
        <w:rPr>
          <w:rFonts w:ascii="Arial" w:hAnsi="Arial" w:cs="Arial"/>
        </w:rPr>
        <w:t xml:space="preserve"> plaintiff</w:t>
      </w:r>
      <w:r w:rsidR="001F0BCA" w:rsidRPr="00881642">
        <w:rPr>
          <w:rFonts w:ascii="Arial" w:hAnsi="Arial" w:cs="Arial"/>
        </w:rPr>
        <w:t>.</w:t>
      </w:r>
      <w:r w:rsidR="006611EB">
        <w:rPr>
          <w:rFonts w:ascii="Arial" w:hAnsi="Arial" w:cs="Arial"/>
        </w:rPr>
        <w:t xml:space="preserve"> </w:t>
      </w:r>
      <w:r w:rsidR="00E15A71" w:rsidRPr="00881642">
        <w:rPr>
          <w:rFonts w:ascii="Arial" w:hAnsi="Arial" w:cs="Arial"/>
        </w:rPr>
        <w:t>The</w:t>
      </w:r>
      <w:r w:rsidR="008734FA">
        <w:rPr>
          <w:rFonts w:ascii="Arial" w:hAnsi="Arial" w:cs="Arial"/>
        </w:rPr>
        <w:t xml:space="preserve"> defendants</w:t>
      </w:r>
      <w:r w:rsidR="00E15A71" w:rsidRPr="00881642">
        <w:rPr>
          <w:rFonts w:ascii="Arial" w:hAnsi="Arial" w:cs="Arial"/>
        </w:rPr>
        <w:t xml:space="preserve"> also den</w:t>
      </w:r>
      <w:r w:rsidR="00462353">
        <w:rPr>
          <w:rFonts w:ascii="Arial" w:hAnsi="Arial" w:cs="Arial"/>
        </w:rPr>
        <w:t xml:space="preserve">ied </w:t>
      </w:r>
      <w:r w:rsidR="00E15A71" w:rsidRPr="00881642">
        <w:rPr>
          <w:rFonts w:ascii="Arial" w:hAnsi="Arial" w:cs="Arial"/>
        </w:rPr>
        <w:t>the enforceability of the suretyship agreement in that it was entered into before the</w:t>
      </w:r>
      <w:r w:rsidR="0033309C">
        <w:rPr>
          <w:rFonts w:ascii="Arial" w:hAnsi="Arial" w:cs="Arial"/>
        </w:rPr>
        <w:t xml:space="preserve"> signage of the</w:t>
      </w:r>
      <w:r w:rsidR="00E15A71" w:rsidRPr="00881642">
        <w:rPr>
          <w:rFonts w:ascii="Arial" w:hAnsi="Arial" w:cs="Arial"/>
        </w:rPr>
        <w:t xml:space="preserve"> original lease.</w:t>
      </w:r>
      <w:r w:rsidR="00E15A71">
        <w:rPr>
          <w:rFonts w:ascii="Arial" w:hAnsi="Arial" w:cs="Arial"/>
        </w:rPr>
        <w:t xml:space="preserve"> They contended that the s</w:t>
      </w:r>
      <w:r w:rsidR="00E15A71" w:rsidRPr="00881642">
        <w:rPr>
          <w:rFonts w:ascii="Arial" w:hAnsi="Arial" w:cs="Arial"/>
        </w:rPr>
        <w:t xml:space="preserve">econd defendant </w:t>
      </w:r>
      <w:r w:rsidR="00E15A71">
        <w:rPr>
          <w:rFonts w:ascii="Arial" w:hAnsi="Arial" w:cs="Arial"/>
        </w:rPr>
        <w:t xml:space="preserve">was </w:t>
      </w:r>
      <w:r w:rsidR="00E15A71" w:rsidRPr="00881642">
        <w:rPr>
          <w:rFonts w:ascii="Arial" w:hAnsi="Arial" w:cs="Arial"/>
        </w:rPr>
        <w:t xml:space="preserve">not advised of the renunciation benefits of </w:t>
      </w:r>
      <w:r w:rsidR="001F22FA" w:rsidRPr="00881642">
        <w:rPr>
          <w:rFonts w:ascii="Arial" w:hAnsi="Arial" w:cs="Arial"/>
        </w:rPr>
        <w:t>excursion</w:t>
      </w:r>
      <w:r w:rsidR="00E15A71" w:rsidRPr="00881642">
        <w:rPr>
          <w:rFonts w:ascii="Arial" w:hAnsi="Arial" w:cs="Arial"/>
        </w:rPr>
        <w:t>, and division and cession of action.</w:t>
      </w:r>
      <w:r w:rsidR="00D87FDB">
        <w:rPr>
          <w:rFonts w:ascii="Arial" w:hAnsi="Arial" w:cs="Arial"/>
        </w:rPr>
        <w:t xml:space="preserve"> </w:t>
      </w:r>
      <w:r w:rsidR="00E15A71">
        <w:rPr>
          <w:rFonts w:ascii="Arial" w:hAnsi="Arial" w:cs="Arial"/>
        </w:rPr>
        <w:t xml:space="preserve">They further contended that the application was </w:t>
      </w:r>
      <w:r w:rsidR="00657E11">
        <w:rPr>
          <w:rFonts w:ascii="Arial" w:hAnsi="Arial" w:cs="Arial"/>
        </w:rPr>
        <w:t>‘</w:t>
      </w:r>
      <w:r w:rsidR="00E15A71" w:rsidRPr="00C1503F">
        <w:rPr>
          <w:rFonts w:ascii="Arial" w:hAnsi="Arial" w:cs="Arial"/>
          <w:b/>
          <w:bCs/>
          <w:i/>
          <w:iCs/>
        </w:rPr>
        <w:t>on a piece-meal fashion</w:t>
      </w:r>
      <w:r w:rsidR="00657E11" w:rsidRPr="00C1503F">
        <w:rPr>
          <w:rFonts w:ascii="Arial" w:hAnsi="Arial" w:cs="Arial"/>
          <w:b/>
          <w:bCs/>
          <w:i/>
          <w:iCs/>
        </w:rPr>
        <w:t>’</w:t>
      </w:r>
      <w:r w:rsidR="00E15A71">
        <w:rPr>
          <w:rFonts w:ascii="Arial" w:hAnsi="Arial" w:cs="Arial"/>
        </w:rPr>
        <w:t xml:space="preserve"> in that: </w:t>
      </w:r>
    </w:p>
    <w:p w14:paraId="20810CE4" w14:textId="77777777" w:rsidR="00E15A71" w:rsidRPr="008222C7" w:rsidRDefault="00E15A71" w:rsidP="00E15A71">
      <w:pPr>
        <w:spacing w:after="0" w:line="360" w:lineRule="auto"/>
        <w:rPr>
          <w:rFonts w:ascii="Arial" w:hAnsi="Arial" w:cs="Arial"/>
        </w:rPr>
      </w:pPr>
    </w:p>
    <w:p w14:paraId="11D844CC" w14:textId="7F022917" w:rsidR="00E15A71" w:rsidRPr="000463B5" w:rsidRDefault="000463B5" w:rsidP="000463B5">
      <w:pPr>
        <w:spacing w:after="0" w:line="360" w:lineRule="auto"/>
        <w:ind w:left="2880" w:hanging="720"/>
        <w:rPr>
          <w:rFonts w:ascii="Arial" w:hAnsi="Arial" w:cs="Arial"/>
        </w:rPr>
      </w:pPr>
      <w:r w:rsidRPr="00BC2196">
        <w:rPr>
          <w:rFonts w:ascii="Arial" w:hAnsi="Arial" w:cs="Arial"/>
        </w:rPr>
        <w:t>(</w:t>
      </w:r>
      <w:proofErr w:type="spellStart"/>
      <w:r w:rsidRPr="00BC2196">
        <w:rPr>
          <w:rFonts w:ascii="Arial" w:hAnsi="Arial" w:cs="Arial"/>
        </w:rPr>
        <w:t>i</w:t>
      </w:r>
      <w:proofErr w:type="spellEnd"/>
      <w:r w:rsidRPr="00BC2196">
        <w:rPr>
          <w:rFonts w:ascii="Arial" w:hAnsi="Arial" w:cs="Arial"/>
        </w:rPr>
        <w:t>)</w:t>
      </w:r>
      <w:r w:rsidRPr="00BC2196">
        <w:rPr>
          <w:rFonts w:ascii="Arial" w:hAnsi="Arial" w:cs="Arial"/>
        </w:rPr>
        <w:tab/>
      </w:r>
      <w:r w:rsidR="00657E11" w:rsidRPr="000463B5">
        <w:rPr>
          <w:rFonts w:ascii="Arial" w:hAnsi="Arial" w:cs="Arial"/>
        </w:rPr>
        <w:t>i</w:t>
      </w:r>
      <w:r w:rsidR="00E15A71" w:rsidRPr="000463B5">
        <w:rPr>
          <w:rFonts w:ascii="Arial" w:hAnsi="Arial" w:cs="Arial"/>
        </w:rPr>
        <w:t>t would constitute a fragmentation fraction against finality in one hearing.</w:t>
      </w:r>
    </w:p>
    <w:p w14:paraId="30D401E7" w14:textId="563DB2AD" w:rsidR="00E15A71" w:rsidRPr="000463B5" w:rsidRDefault="000463B5" w:rsidP="000463B5">
      <w:pPr>
        <w:spacing w:after="0" w:line="360" w:lineRule="auto"/>
        <w:ind w:left="2880" w:hanging="720"/>
        <w:rPr>
          <w:rFonts w:ascii="Arial" w:hAnsi="Arial" w:cs="Arial"/>
        </w:rPr>
      </w:pPr>
      <w:r w:rsidRPr="00BC2196">
        <w:rPr>
          <w:rFonts w:ascii="Arial" w:hAnsi="Arial" w:cs="Arial"/>
        </w:rPr>
        <w:t>(ii)</w:t>
      </w:r>
      <w:r w:rsidRPr="00BC2196">
        <w:rPr>
          <w:rFonts w:ascii="Arial" w:hAnsi="Arial" w:cs="Arial"/>
        </w:rPr>
        <w:tab/>
      </w:r>
      <w:r w:rsidR="00657E11" w:rsidRPr="000463B5">
        <w:rPr>
          <w:rFonts w:ascii="Arial" w:hAnsi="Arial" w:cs="Arial"/>
        </w:rPr>
        <w:t>c</w:t>
      </w:r>
      <w:r w:rsidR="00E15A71" w:rsidRPr="000463B5">
        <w:rPr>
          <w:rFonts w:ascii="Arial" w:hAnsi="Arial" w:cs="Arial"/>
        </w:rPr>
        <w:t>onstitutes an abuse of the uniform rules of the court.</w:t>
      </w:r>
    </w:p>
    <w:p w14:paraId="5059D2CF" w14:textId="0D21F6D2" w:rsidR="00E15A71" w:rsidRPr="000463B5" w:rsidRDefault="000463B5" w:rsidP="000463B5">
      <w:pPr>
        <w:spacing w:after="0" w:line="360" w:lineRule="auto"/>
        <w:ind w:left="2880" w:hanging="720"/>
        <w:rPr>
          <w:rFonts w:ascii="Arial" w:hAnsi="Arial" w:cs="Arial"/>
        </w:rPr>
      </w:pPr>
      <w:r w:rsidRPr="00BC2196">
        <w:rPr>
          <w:rFonts w:ascii="Arial" w:hAnsi="Arial" w:cs="Arial"/>
        </w:rPr>
        <w:t>(iii)</w:t>
      </w:r>
      <w:r w:rsidRPr="00BC2196">
        <w:rPr>
          <w:rFonts w:ascii="Arial" w:hAnsi="Arial" w:cs="Arial"/>
        </w:rPr>
        <w:tab/>
      </w:r>
      <w:r w:rsidR="00657E11" w:rsidRPr="000463B5">
        <w:rPr>
          <w:rFonts w:ascii="Arial" w:hAnsi="Arial" w:cs="Arial"/>
        </w:rPr>
        <w:t>s</w:t>
      </w:r>
      <w:r w:rsidR="00E15A71" w:rsidRPr="000463B5">
        <w:rPr>
          <w:rFonts w:ascii="Arial" w:hAnsi="Arial" w:cs="Arial"/>
        </w:rPr>
        <w:t xml:space="preserve">eeks an unfair advantage of the defendants a monetary claim whilst being evicted and incurring further costs in defending the alleged damages costs. </w:t>
      </w:r>
    </w:p>
    <w:p w14:paraId="013D6972" w14:textId="77777777" w:rsidR="006A0E26" w:rsidRPr="006A0E26" w:rsidRDefault="006A0E26" w:rsidP="00E15A71">
      <w:pPr>
        <w:spacing w:after="0" w:line="360" w:lineRule="auto"/>
        <w:rPr>
          <w:rFonts w:ascii="Arial" w:hAnsi="Arial" w:cs="Arial"/>
        </w:rPr>
      </w:pPr>
    </w:p>
    <w:p w14:paraId="20F92B83" w14:textId="1FEF4A26" w:rsidR="00E15A71" w:rsidRPr="006A0E26" w:rsidRDefault="006A0E26" w:rsidP="005A7B13">
      <w:pPr>
        <w:spacing w:after="0" w:line="360" w:lineRule="auto"/>
        <w:ind w:left="720" w:hanging="720"/>
        <w:jc w:val="both"/>
        <w:rPr>
          <w:rFonts w:ascii="Arial" w:hAnsi="Arial" w:cs="Arial"/>
        </w:rPr>
      </w:pPr>
      <w:r w:rsidRPr="006A0E26">
        <w:rPr>
          <w:rFonts w:ascii="Arial" w:hAnsi="Arial" w:cs="Arial"/>
        </w:rPr>
        <w:t>[</w:t>
      </w:r>
      <w:r w:rsidR="0036782D">
        <w:rPr>
          <w:rFonts w:ascii="Arial" w:hAnsi="Arial" w:cs="Arial"/>
        </w:rPr>
        <w:t>6</w:t>
      </w:r>
      <w:r w:rsidRPr="006A0E26">
        <w:rPr>
          <w:rFonts w:ascii="Arial" w:hAnsi="Arial" w:cs="Arial"/>
        </w:rPr>
        <w:t>]</w:t>
      </w:r>
      <w:r w:rsidRPr="006A0E26">
        <w:rPr>
          <w:rFonts w:ascii="Arial" w:hAnsi="Arial" w:cs="Arial"/>
        </w:rPr>
        <w:tab/>
        <w:t xml:space="preserve">With these facts, the summons </w:t>
      </w:r>
      <w:proofErr w:type="gramStart"/>
      <w:r w:rsidRPr="006A0E26">
        <w:rPr>
          <w:rFonts w:ascii="Arial" w:hAnsi="Arial" w:cs="Arial"/>
        </w:rPr>
        <w:t>were</w:t>
      </w:r>
      <w:proofErr w:type="gramEnd"/>
      <w:r w:rsidRPr="006A0E26">
        <w:rPr>
          <w:rFonts w:ascii="Arial" w:hAnsi="Arial" w:cs="Arial"/>
        </w:rPr>
        <w:t xml:space="preserve"> issued against the defendants</w:t>
      </w:r>
      <w:r w:rsidR="00D5502E">
        <w:rPr>
          <w:rFonts w:ascii="Arial" w:hAnsi="Arial" w:cs="Arial"/>
        </w:rPr>
        <w:t xml:space="preserve"> and in turn entered a notice to defend inclusive </w:t>
      </w:r>
      <w:r w:rsidR="00587F2A">
        <w:rPr>
          <w:rFonts w:ascii="Arial" w:hAnsi="Arial" w:cs="Arial"/>
        </w:rPr>
        <w:t xml:space="preserve">of </w:t>
      </w:r>
      <w:r w:rsidR="00D5502E">
        <w:rPr>
          <w:rFonts w:ascii="Arial" w:hAnsi="Arial" w:cs="Arial"/>
        </w:rPr>
        <w:t xml:space="preserve">an affidavit that resisted </w:t>
      </w:r>
      <w:r w:rsidR="00C7571D">
        <w:rPr>
          <w:rFonts w:ascii="Arial" w:hAnsi="Arial" w:cs="Arial"/>
        </w:rPr>
        <w:t>and pleaded the plaintiff’s action.</w:t>
      </w:r>
      <w:r w:rsidR="00D36206">
        <w:rPr>
          <w:rFonts w:ascii="Arial" w:hAnsi="Arial" w:cs="Arial"/>
        </w:rPr>
        <w:t xml:space="preserve"> </w:t>
      </w:r>
      <w:r w:rsidR="00512624">
        <w:rPr>
          <w:rFonts w:ascii="Arial" w:hAnsi="Arial" w:cs="Arial"/>
        </w:rPr>
        <w:t xml:space="preserve">Of particular importance from these facts is whether </w:t>
      </w:r>
      <w:r w:rsidR="00920B9A">
        <w:rPr>
          <w:rFonts w:ascii="Arial" w:hAnsi="Arial" w:cs="Arial"/>
        </w:rPr>
        <w:t xml:space="preserve">the resistance of the application by the defendants is </w:t>
      </w:r>
      <w:r w:rsidR="00920B9A" w:rsidRPr="005F7D83">
        <w:rPr>
          <w:rFonts w:ascii="Arial" w:hAnsi="Arial" w:cs="Arial"/>
          <w:i/>
          <w:iCs/>
        </w:rPr>
        <w:t>bona fide</w:t>
      </w:r>
      <w:r w:rsidR="00920B9A">
        <w:rPr>
          <w:rFonts w:ascii="Arial" w:hAnsi="Arial" w:cs="Arial"/>
        </w:rPr>
        <w:t xml:space="preserve">? In addition, whether </w:t>
      </w:r>
      <w:r w:rsidR="005904D9">
        <w:rPr>
          <w:rFonts w:ascii="Arial" w:hAnsi="Arial" w:cs="Arial"/>
        </w:rPr>
        <w:t xml:space="preserve">the alleged tacit agreement </w:t>
      </w:r>
      <w:r w:rsidR="00CE6E7F">
        <w:rPr>
          <w:rFonts w:ascii="Arial" w:hAnsi="Arial" w:cs="Arial"/>
        </w:rPr>
        <w:t>amounts to the waiver of the original lease agreement?</w:t>
      </w:r>
      <w:r w:rsidR="00920B9A">
        <w:rPr>
          <w:rFonts w:ascii="Arial" w:hAnsi="Arial" w:cs="Arial"/>
        </w:rPr>
        <w:t xml:space="preserve"> </w:t>
      </w:r>
    </w:p>
    <w:p w14:paraId="420ED822" w14:textId="77777777" w:rsidR="009B4A2B" w:rsidRDefault="009B4A2B" w:rsidP="009B4A2B">
      <w:pPr>
        <w:spacing w:after="0" w:line="360" w:lineRule="auto"/>
        <w:ind w:left="720" w:hanging="720"/>
        <w:jc w:val="both"/>
        <w:rPr>
          <w:rFonts w:ascii="Arial" w:hAnsi="Arial" w:cs="Arial"/>
        </w:rPr>
      </w:pPr>
    </w:p>
    <w:p w14:paraId="64247B8C" w14:textId="77777777" w:rsidR="005B497D" w:rsidRDefault="005B497D" w:rsidP="009B4A2B">
      <w:pPr>
        <w:spacing w:after="0" w:line="360" w:lineRule="auto"/>
        <w:ind w:left="720" w:hanging="720"/>
        <w:jc w:val="both"/>
        <w:rPr>
          <w:rFonts w:ascii="Arial" w:hAnsi="Arial" w:cs="Arial"/>
        </w:rPr>
      </w:pPr>
    </w:p>
    <w:p w14:paraId="527103C6" w14:textId="77777777" w:rsidR="005B497D" w:rsidRDefault="005B497D" w:rsidP="009B4A2B">
      <w:pPr>
        <w:spacing w:after="0" w:line="360" w:lineRule="auto"/>
        <w:ind w:left="720" w:hanging="720"/>
        <w:jc w:val="both"/>
        <w:rPr>
          <w:rFonts w:ascii="Arial" w:hAnsi="Arial" w:cs="Arial"/>
        </w:rPr>
      </w:pPr>
    </w:p>
    <w:p w14:paraId="30F69B9C" w14:textId="77777777" w:rsidR="005B497D" w:rsidRPr="006A0E26" w:rsidRDefault="005B497D" w:rsidP="009B4A2B">
      <w:pPr>
        <w:spacing w:after="0" w:line="360" w:lineRule="auto"/>
        <w:ind w:left="720" w:hanging="720"/>
        <w:jc w:val="both"/>
        <w:rPr>
          <w:rFonts w:ascii="Arial" w:hAnsi="Arial" w:cs="Arial"/>
        </w:rPr>
      </w:pPr>
    </w:p>
    <w:p w14:paraId="0FB018D8" w14:textId="580D110C" w:rsidR="001F3232" w:rsidRPr="00463EEF" w:rsidRDefault="00463EEF" w:rsidP="006C4511">
      <w:pPr>
        <w:spacing w:after="0" w:line="360" w:lineRule="auto"/>
        <w:rPr>
          <w:rFonts w:ascii="Arial" w:hAnsi="Arial" w:cs="Arial"/>
          <w:b/>
          <w:bCs/>
          <w:i/>
          <w:iCs/>
        </w:rPr>
      </w:pPr>
      <w:r w:rsidRPr="00463EEF">
        <w:rPr>
          <w:rFonts w:ascii="Arial" w:hAnsi="Arial" w:cs="Arial"/>
          <w:b/>
          <w:bCs/>
          <w:i/>
          <w:iCs/>
        </w:rPr>
        <w:lastRenderedPageBreak/>
        <w:t>Assessment</w:t>
      </w:r>
    </w:p>
    <w:p w14:paraId="4911CD30" w14:textId="77777777" w:rsidR="005B6985" w:rsidRDefault="005B6985" w:rsidP="006C4511">
      <w:pPr>
        <w:spacing w:after="0" w:line="360" w:lineRule="auto"/>
        <w:rPr>
          <w:rFonts w:ascii="Arial" w:hAnsi="Arial" w:cs="Arial"/>
        </w:rPr>
      </w:pPr>
    </w:p>
    <w:p w14:paraId="605774D8" w14:textId="6186BEFD" w:rsidR="005B6985" w:rsidRPr="000B5138" w:rsidRDefault="003708B3" w:rsidP="00DB6B52">
      <w:pPr>
        <w:spacing w:after="0" w:line="360" w:lineRule="auto"/>
        <w:ind w:left="720" w:hanging="720"/>
        <w:jc w:val="both"/>
        <w:rPr>
          <w:rFonts w:ascii="Arial" w:hAnsi="Arial" w:cs="Arial"/>
        </w:rPr>
      </w:pPr>
      <w:r>
        <w:rPr>
          <w:rFonts w:ascii="Arial" w:hAnsi="Arial" w:cs="Arial"/>
        </w:rPr>
        <w:t>[</w:t>
      </w:r>
      <w:r w:rsidR="0036782D">
        <w:rPr>
          <w:rFonts w:ascii="Arial" w:hAnsi="Arial" w:cs="Arial"/>
        </w:rPr>
        <w:t>7</w:t>
      </w:r>
      <w:r w:rsidR="00074DAD">
        <w:rPr>
          <w:rFonts w:ascii="Arial" w:hAnsi="Arial" w:cs="Arial"/>
        </w:rPr>
        <w:t>]</w:t>
      </w:r>
      <w:r w:rsidR="00074DAD">
        <w:rPr>
          <w:rFonts w:ascii="Arial" w:hAnsi="Arial" w:cs="Arial"/>
        </w:rPr>
        <w:tab/>
      </w:r>
      <w:r w:rsidR="00241F23">
        <w:rPr>
          <w:rFonts w:ascii="Arial" w:hAnsi="Arial" w:cs="Arial"/>
        </w:rPr>
        <w:t xml:space="preserve">The </w:t>
      </w:r>
      <w:r w:rsidR="004C0275">
        <w:rPr>
          <w:rFonts w:ascii="Arial" w:hAnsi="Arial" w:cs="Arial"/>
        </w:rPr>
        <w:t xml:space="preserve">application for a summary judgment is grounded on the prescripts of </w:t>
      </w:r>
      <w:r w:rsidR="00074DAD" w:rsidRPr="000B5138">
        <w:rPr>
          <w:rFonts w:ascii="Arial" w:hAnsi="Arial" w:cs="Arial"/>
        </w:rPr>
        <w:t>Rule 32 as amended</w:t>
      </w:r>
      <w:r w:rsidR="00EF1E43">
        <w:rPr>
          <w:rFonts w:ascii="Arial" w:hAnsi="Arial" w:cs="Arial"/>
        </w:rPr>
        <w:t xml:space="preserve"> on 01 July 2019</w:t>
      </w:r>
      <w:r w:rsidR="00074DAD" w:rsidRPr="000B5138">
        <w:rPr>
          <w:rFonts w:ascii="Arial" w:hAnsi="Arial" w:cs="Arial"/>
        </w:rPr>
        <w:t xml:space="preserve"> </w:t>
      </w:r>
      <w:r w:rsidR="00DB6B52">
        <w:rPr>
          <w:rFonts w:ascii="Arial" w:hAnsi="Arial" w:cs="Arial"/>
        </w:rPr>
        <w:t>of the Uniform Rules of the Court as noted above.</w:t>
      </w:r>
      <w:r w:rsidR="00B41733" w:rsidRPr="000B5138">
        <w:rPr>
          <w:rFonts w:ascii="Arial" w:hAnsi="Arial" w:cs="Arial"/>
        </w:rPr>
        <w:t xml:space="preserve"> </w:t>
      </w:r>
      <w:r w:rsidR="00264D15" w:rsidRPr="000B5138">
        <w:rPr>
          <w:rFonts w:ascii="Arial" w:hAnsi="Arial" w:cs="Arial"/>
        </w:rPr>
        <w:t xml:space="preserve">The said Rule states that: </w:t>
      </w:r>
    </w:p>
    <w:p w14:paraId="6BC2D009" w14:textId="77777777" w:rsidR="00C04512" w:rsidRPr="002743F0" w:rsidRDefault="004B2471" w:rsidP="002F27CC">
      <w:pPr>
        <w:spacing w:after="0" w:line="360" w:lineRule="auto"/>
        <w:ind w:left="2160" w:hanging="720"/>
        <w:rPr>
          <w:rFonts w:ascii="Arial" w:hAnsi="Arial" w:cs="Arial"/>
          <w:i/>
          <w:iCs/>
        </w:rPr>
      </w:pPr>
      <w:r w:rsidRPr="002743F0">
        <w:rPr>
          <w:rFonts w:ascii="Arial" w:hAnsi="Arial" w:cs="Arial"/>
          <w:i/>
          <w:iCs/>
        </w:rPr>
        <w:t>(1)</w:t>
      </w:r>
      <w:r w:rsidR="002F27CC" w:rsidRPr="002743F0">
        <w:rPr>
          <w:rFonts w:ascii="Arial" w:hAnsi="Arial" w:cs="Arial"/>
          <w:i/>
          <w:iCs/>
        </w:rPr>
        <w:tab/>
      </w:r>
      <w:r w:rsidRPr="002743F0">
        <w:rPr>
          <w:rFonts w:ascii="Arial" w:hAnsi="Arial" w:cs="Arial"/>
          <w:i/>
          <w:iCs/>
        </w:rPr>
        <w:t>The plaintiff may, after the defendant has delivered a plea, apply to court for summary judgment on each of such claims in the summons as is only</w:t>
      </w:r>
      <w:r w:rsidR="00C04512" w:rsidRPr="002743F0">
        <w:rPr>
          <w:rFonts w:ascii="Arial" w:hAnsi="Arial" w:cs="Arial"/>
          <w:i/>
          <w:iCs/>
        </w:rPr>
        <w:t>:</w:t>
      </w:r>
    </w:p>
    <w:p w14:paraId="2659252C" w14:textId="77777777" w:rsidR="00C04512" w:rsidRPr="002743F0" w:rsidRDefault="004B2471" w:rsidP="00BC6A59">
      <w:pPr>
        <w:spacing w:after="0" w:line="360" w:lineRule="auto"/>
        <w:ind w:left="2160" w:firstLine="720"/>
        <w:rPr>
          <w:rFonts w:ascii="Arial" w:hAnsi="Arial" w:cs="Arial"/>
          <w:i/>
          <w:iCs/>
        </w:rPr>
      </w:pPr>
      <w:r w:rsidRPr="002743F0">
        <w:rPr>
          <w:rFonts w:ascii="Arial" w:hAnsi="Arial" w:cs="Arial"/>
          <w:i/>
          <w:iCs/>
        </w:rPr>
        <w:t>(a)</w:t>
      </w:r>
      <w:r w:rsidR="00C04512" w:rsidRPr="002743F0">
        <w:rPr>
          <w:rFonts w:ascii="Arial" w:hAnsi="Arial" w:cs="Arial"/>
          <w:i/>
          <w:iCs/>
        </w:rPr>
        <w:tab/>
      </w:r>
      <w:r w:rsidRPr="002743F0">
        <w:rPr>
          <w:rFonts w:ascii="Arial" w:hAnsi="Arial" w:cs="Arial"/>
          <w:i/>
          <w:iCs/>
        </w:rPr>
        <w:t xml:space="preserve">on a liquid document; </w:t>
      </w:r>
    </w:p>
    <w:p w14:paraId="66C5503A" w14:textId="77777777" w:rsidR="00C04512" w:rsidRPr="002743F0" w:rsidRDefault="004B2471" w:rsidP="00BC6A59">
      <w:pPr>
        <w:spacing w:after="0" w:line="360" w:lineRule="auto"/>
        <w:ind w:left="2160" w:firstLine="720"/>
        <w:rPr>
          <w:rFonts w:ascii="Arial" w:hAnsi="Arial" w:cs="Arial"/>
          <w:i/>
          <w:iCs/>
        </w:rPr>
      </w:pPr>
      <w:r w:rsidRPr="002743F0">
        <w:rPr>
          <w:rFonts w:ascii="Arial" w:hAnsi="Arial" w:cs="Arial"/>
          <w:i/>
          <w:iCs/>
        </w:rPr>
        <w:t>(b)</w:t>
      </w:r>
      <w:r w:rsidR="00C04512" w:rsidRPr="002743F0">
        <w:rPr>
          <w:rFonts w:ascii="Arial" w:hAnsi="Arial" w:cs="Arial"/>
          <w:i/>
          <w:iCs/>
        </w:rPr>
        <w:tab/>
      </w:r>
      <w:r w:rsidRPr="002743F0">
        <w:rPr>
          <w:rFonts w:ascii="Arial" w:hAnsi="Arial" w:cs="Arial"/>
          <w:i/>
          <w:iCs/>
        </w:rPr>
        <w:t xml:space="preserve">for a liquidated amount in money; </w:t>
      </w:r>
    </w:p>
    <w:p w14:paraId="41C582B5" w14:textId="77777777" w:rsidR="00BC6A59" w:rsidRPr="002743F0" w:rsidRDefault="004B2471" w:rsidP="00BC6A59">
      <w:pPr>
        <w:spacing w:after="0" w:line="360" w:lineRule="auto"/>
        <w:ind w:left="2160" w:firstLine="720"/>
        <w:rPr>
          <w:rFonts w:ascii="Arial" w:hAnsi="Arial" w:cs="Arial"/>
          <w:i/>
          <w:iCs/>
        </w:rPr>
      </w:pPr>
      <w:r w:rsidRPr="002743F0">
        <w:rPr>
          <w:rFonts w:ascii="Arial" w:hAnsi="Arial" w:cs="Arial"/>
          <w:i/>
          <w:iCs/>
        </w:rPr>
        <w:t>(c)</w:t>
      </w:r>
      <w:r w:rsidR="00BC6A59" w:rsidRPr="002743F0">
        <w:rPr>
          <w:rFonts w:ascii="Arial" w:hAnsi="Arial" w:cs="Arial"/>
          <w:i/>
          <w:iCs/>
        </w:rPr>
        <w:tab/>
      </w:r>
      <w:r w:rsidRPr="002743F0">
        <w:rPr>
          <w:rFonts w:ascii="Arial" w:hAnsi="Arial" w:cs="Arial"/>
          <w:i/>
          <w:iCs/>
        </w:rPr>
        <w:t xml:space="preserve">for delivery of specified movable property; or </w:t>
      </w:r>
    </w:p>
    <w:p w14:paraId="44CD262F" w14:textId="59C34A5D" w:rsidR="002F27CC" w:rsidRPr="002743F0" w:rsidRDefault="004B2471" w:rsidP="000B5138">
      <w:pPr>
        <w:spacing w:after="0" w:line="360" w:lineRule="auto"/>
        <w:ind w:left="3600" w:hanging="720"/>
        <w:rPr>
          <w:rFonts w:ascii="Arial" w:hAnsi="Arial" w:cs="Arial"/>
          <w:i/>
          <w:iCs/>
        </w:rPr>
      </w:pPr>
      <w:r w:rsidRPr="002743F0">
        <w:rPr>
          <w:rFonts w:ascii="Arial" w:hAnsi="Arial" w:cs="Arial"/>
          <w:i/>
          <w:iCs/>
        </w:rPr>
        <w:t>(d)</w:t>
      </w:r>
      <w:r w:rsidR="00BC6A59" w:rsidRPr="002743F0">
        <w:rPr>
          <w:rFonts w:ascii="Arial" w:hAnsi="Arial" w:cs="Arial"/>
          <w:i/>
          <w:iCs/>
        </w:rPr>
        <w:tab/>
      </w:r>
      <w:r w:rsidRPr="002743F0">
        <w:rPr>
          <w:rFonts w:ascii="Arial" w:hAnsi="Arial" w:cs="Arial"/>
          <w:i/>
          <w:iCs/>
        </w:rPr>
        <w:t xml:space="preserve">for ejectment; together with any claim for interest and costs. </w:t>
      </w:r>
    </w:p>
    <w:p w14:paraId="258B0E4C" w14:textId="77777777" w:rsidR="00200416" w:rsidRPr="002743F0" w:rsidRDefault="00BC6A59" w:rsidP="00200416">
      <w:pPr>
        <w:spacing w:after="0" w:line="360" w:lineRule="auto"/>
        <w:ind w:left="2160" w:hanging="720"/>
        <w:rPr>
          <w:rFonts w:ascii="Arial" w:hAnsi="Arial" w:cs="Arial"/>
          <w:i/>
          <w:iCs/>
        </w:rPr>
      </w:pPr>
      <w:r w:rsidRPr="002743F0">
        <w:rPr>
          <w:rFonts w:ascii="Arial" w:hAnsi="Arial" w:cs="Arial"/>
          <w:i/>
          <w:iCs/>
        </w:rPr>
        <w:t>(</w:t>
      </w:r>
      <w:r w:rsidR="004B2471" w:rsidRPr="002743F0">
        <w:rPr>
          <w:rFonts w:ascii="Arial" w:hAnsi="Arial" w:cs="Arial"/>
          <w:i/>
          <w:iCs/>
        </w:rPr>
        <w:t>2) (a)</w:t>
      </w:r>
      <w:r w:rsidR="00200416" w:rsidRPr="002743F0">
        <w:rPr>
          <w:rFonts w:ascii="Arial" w:hAnsi="Arial" w:cs="Arial"/>
          <w:i/>
          <w:iCs/>
        </w:rPr>
        <w:tab/>
      </w:r>
      <w:r w:rsidR="004B2471" w:rsidRPr="002743F0">
        <w:rPr>
          <w:rFonts w:ascii="Arial" w:hAnsi="Arial" w:cs="Arial"/>
          <w:i/>
          <w:iCs/>
        </w:rPr>
        <w:t xml:space="preserve">Within 15 days after the date of delivery of the plea, the plaintiff shall deliver a notice of application for summary judgment, together with an affidavit made by the plaintiff or by any other person who can swear positively to the facts. </w:t>
      </w:r>
    </w:p>
    <w:p w14:paraId="759C94A8" w14:textId="0A9588AF" w:rsidR="0011143F" w:rsidRPr="002743F0" w:rsidRDefault="004B2471" w:rsidP="00200416">
      <w:pPr>
        <w:spacing w:after="0" w:line="360" w:lineRule="auto"/>
        <w:ind w:left="2160" w:hanging="720"/>
        <w:rPr>
          <w:rFonts w:ascii="Arial" w:hAnsi="Arial" w:cs="Arial"/>
          <w:i/>
          <w:iCs/>
        </w:rPr>
      </w:pPr>
      <w:r w:rsidRPr="002743F0">
        <w:rPr>
          <w:rFonts w:ascii="Arial" w:hAnsi="Arial" w:cs="Arial"/>
          <w:i/>
          <w:iCs/>
        </w:rPr>
        <w:t>(b)</w:t>
      </w:r>
      <w:r w:rsidR="00200416" w:rsidRPr="002743F0">
        <w:rPr>
          <w:rFonts w:ascii="Arial" w:hAnsi="Arial" w:cs="Arial"/>
          <w:i/>
          <w:iCs/>
        </w:rPr>
        <w:tab/>
      </w:r>
      <w:r w:rsidRPr="002743F0">
        <w:rPr>
          <w:rFonts w:ascii="Arial" w:hAnsi="Arial" w:cs="Arial"/>
          <w:i/>
          <w:iCs/>
        </w:rPr>
        <w:t xml:space="preserve">The plaintiff shall, in the affidavit referred to in subrule (2)(a), verify the cause of action and the amount, if any, claimed, and identify any point of law relied upon and the facts upon which the plaintiff’s claim is based, and explain briefly why the defence as pleaded does not raise any issue for trial. </w:t>
      </w:r>
      <w:r w:rsidR="00802228" w:rsidRPr="002743F0">
        <w:rPr>
          <w:rFonts w:ascii="Arial" w:hAnsi="Arial" w:cs="Arial"/>
          <w:i/>
          <w:iCs/>
        </w:rPr>
        <w:t xml:space="preserve">… </w:t>
      </w:r>
    </w:p>
    <w:p w14:paraId="552CABA9" w14:textId="77777777" w:rsidR="0011143F" w:rsidRPr="002743F0" w:rsidRDefault="004B2471" w:rsidP="00200416">
      <w:pPr>
        <w:spacing w:after="0" w:line="360" w:lineRule="auto"/>
        <w:ind w:left="2160" w:hanging="720"/>
        <w:rPr>
          <w:rFonts w:ascii="Arial" w:hAnsi="Arial" w:cs="Arial"/>
          <w:i/>
          <w:iCs/>
        </w:rPr>
      </w:pPr>
      <w:r w:rsidRPr="002743F0">
        <w:rPr>
          <w:rFonts w:ascii="Arial" w:hAnsi="Arial" w:cs="Arial"/>
          <w:i/>
          <w:iCs/>
        </w:rPr>
        <w:t>(3)</w:t>
      </w:r>
      <w:r w:rsidR="0011143F" w:rsidRPr="002743F0">
        <w:rPr>
          <w:rFonts w:ascii="Arial" w:hAnsi="Arial" w:cs="Arial"/>
          <w:i/>
          <w:iCs/>
        </w:rPr>
        <w:tab/>
      </w:r>
      <w:r w:rsidRPr="002743F0">
        <w:rPr>
          <w:rFonts w:ascii="Arial" w:hAnsi="Arial" w:cs="Arial"/>
          <w:i/>
          <w:iCs/>
        </w:rPr>
        <w:t>The defendant may</w:t>
      </w:r>
      <w:r w:rsidR="0011143F" w:rsidRPr="002743F0">
        <w:rPr>
          <w:rFonts w:ascii="Arial" w:hAnsi="Arial" w:cs="Arial"/>
          <w:i/>
          <w:iCs/>
        </w:rPr>
        <w:t>:</w:t>
      </w:r>
    </w:p>
    <w:p w14:paraId="4FBF4115" w14:textId="77777777" w:rsidR="0011143F" w:rsidRPr="002743F0" w:rsidRDefault="004B2471" w:rsidP="0011143F">
      <w:pPr>
        <w:spacing w:after="0" w:line="360" w:lineRule="auto"/>
        <w:ind w:left="3600" w:hanging="720"/>
        <w:rPr>
          <w:rFonts w:ascii="Arial" w:hAnsi="Arial" w:cs="Arial"/>
          <w:i/>
          <w:iCs/>
        </w:rPr>
      </w:pPr>
      <w:r w:rsidRPr="002743F0">
        <w:rPr>
          <w:rFonts w:ascii="Arial" w:hAnsi="Arial" w:cs="Arial"/>
          <w:i/>
          <w:iCs/>
        </w:rPr>
        <w:t>(a)</w:t>
      </w:r>
      <w:r w:rsidR="0011143F" w:rsidRPr="002743F0">
        <w:rPr>
          <w:rFonts w:ascii="Arial" w:hAnsi="Arial" w:cs="Arial"/>
          <w:i/>
          <w:iCs/>
        </w:rPr>
        <w:tab/>
      </w:r>
      <w:r w:rsidRPr="002743F0">
        <w:rPr>
          <w:rFonts w:ascii="Arial" w:hAnsi="Arial" w:cs="Arial"/>
          <w:i/>
          <w:iCs/>
        </w:rPr>
        <w:t xml:space="preserve">give security to the plaintiff to the satisfaction of the court for any judgment including costs which may be given; or </w:t>
      </w:r>
    </w:p>
    <w:p w14:paraId="1E24C214" w14:textId="77777777" w:rsidR="00A6350A" w:rsidRPr="002743F0" w:rsidRDefault="004B2471" w:rsidP="00A6350A">
      <w:pPr>
        <w:spacing w:after="0" w:line="360" w:lineRule="auto"/>
        <w:ind w:left="3600" w:hanging="720"/>
        <w:rPr>
          <w:rFonts w:ascii="Arial" w:hAnsi="Arial" w:cs="Arial"/>
          <w:i/>
          <w:iCs/>
        </w:rPr>
      </w:pPr>
      <w:r w:rsidRPr="002743F0">
        <w:rPr>
          <w:rFonts w:ascii="Arial" w:hAnsi="Arial" w:cs="Arial"/>
          <w:i/>
          <w:iCs/>
        </w:rPr>
        <w:t>(b)</w:t>
      </w:r>
      <w:r w:rsidR="0011143F" w:rsidRPr="002743F0">
        <w:rPr>
          <w:rFonts w:ascii="Arial" w:hAnsi="Arial" w:cs="Arial"/>
          <w:i/>
          <w:iCs/>
        </w:rPr>
        <w:tab/>
      </w:r>
      <w:r w:rsidRPr="002743F0">
        <w:rPr>
          <w:rFonts w:ascii="Arial" w:hAnsi="Arial" w:cs="Arial"/>
          <w:i/>
          <w:iCs/>
        </w:rPr>
        <w:t xml:space="preserve">satisfy the court by affidavit (which shall be delivered five days before the day on which the application is to be heard), or with the leave of the court by oral evidence of such defendant or of any other person who can swear positively to the fact that the defendant has a bona fide defence to the action; such affidavit or evidence shall disclose fully the nature and grounds of the defence and the material facts relied upon therefor. </w:t>
      </w:r>
    </w:p>
    <w:p w14:paraId="74ADB724" w14:textId="55F385F9" w:rsidR="005B6985" w:rsidRPr="000B5138" w:rsidRDefault="004B2471" w:rsidP="00802228">
      <w:pPr>
        <w:spacing w:after="0" w:line="360" w:lineRule="auto"/>
        <w:ind w:left="2160" w:hanging="720"/>
        <w:rPr>
          <w:rFonts w:ascii="Arial" w:hAnsi="Arial" w:cs="Arial"/>
        </w:rPr>
      </w:pPr>
      <w:r w:rsidRPr="002743F0">
        <w:rPr>
          <w:rFonts w:ascii="Arial" w:hAnsi="Arial" w:cs="Arial"/>
          <w:i/>
          <w:iCs/>
        </w:rPr>
        <w:t>(4)</w:t>
      </w:r>
      <w:r w:rsidR="00A6350A" w:rsidRPr="002743F0">
        <w:rPr>
          <w:rFonts w:ascii="Arial" w:hAnsi="Arial" w:cs="Arial"/>
          <w:i/>
          <w:iCs/>
        </w:rPr>
        <w:tab/>
      </w:r>
      <w:r w:rsidRPr="002743F0">
        <w:rPr>
          <w:rFonts w:ascii="Arial" w:hAnsi="Arial" w:cs="Arial"/>
          <w:i/>
          <w:iCs/>
        </w:rPr>
        <w:t xml:space="preserve">No evidence may be adduced by the plaintiff otherwise than by the affidavit referred to in subrule (2), nor may either party cross-examine any </w:t>
      </w:r>
      <w:r w:rsidRPr="002743F0">
        <w:rPr>
          <w:rFonts w:ascii="Arial" w:hAnsi="Arial" w:cs="Arial"/>
          <w:i/>
          <w:iCs/>
        </w:rPr>
        <w:lastRenderedPageBreak/>
        <w:t>person who gives evidence orally or on affidavit: Provided that the court may put to any person who gives oral evidence such questions as it considers may elucidate the matter</w:t>
      </w:r>
      <w:r w:rsidR="00802228" w:rsidRPr="002743F0">
        <w:rPr>
          <w:rFonts w:ascii="Arial" w:hAnsi="Arial" w:cs="Arial"/>
          <w:i/>
          <w:iCs/>
        </w:rPr>
        <w:t>’</w:t>
      </w:r>
      <w:r w:rsidRPr="000B5138">
        <w:rPr>
          <w:rFonts w:ascii="Arial" w:hAnsi="Arial" w:cs="Arial"/>
        </w:rPr>
        <w:t>.</w:t>
      </w:r>
      <w:r w:rsidR="00802228" w:rsidRPr="000B5138">
        <w:rPr>
          <w:rFonts w:ascii="Arial" w:hAnsi="Arial" w:cs="Arial"/>
        </w:rPr>
        <w:t xml:space="preserve"> … </w:t>
      </w:r>
      <w:r w:rsidR="002743F0">
        <w:rPr>
          <w:rFonts w:ascii="Arial" w:hAnsi="Arial" w:cs="Arial"/>
        </w:rPr>
        <w:t>(further provisions omitted</w:t>
      </w:r>
      <w:r w:rsidR="00E47696">
        <w:rPr>
          <w:rFonts w:ascii="Arial" w:hAnsi="Arial" w:cs="Arial"/>
        </w:rPr>
        <w:t>).</w:t>
      </w:r>
    </w:p>
    <w:p w14:paraId="662AF96C" w14:textId="69DF071C" w:rsidR="001F3232" w:rsidRDefault="001F3232" w:rsidP="005E16E5">
      <w:pPr>
        <w:spacing w:after="0" w:line="360" w:lineRule="auto"/>
        <w:jc w:val="both"/>
        <w:rPr>
          <w:rFonts w:ascii="Arial" w:hAnsi="Arial" w:cs="Arial"/>
        </w:rPr>
      </w:pPr>
    </w:p>
    <w:p w14:paraId="7F025E10" w14:textId="79AE9587" w:rsidR="00C87A7D" w:rsidRDefault="00C87A7D" w:rsidP="005E16E5">
      <w:pPr>
        <w:spacing w:after="0" w:line="360" w:lineRule="auto"/>
        <w:ind w:left="720" w:hanging="720"/>
        <w:jc w:val="both"/>
        <w:rPr>
          <w:rFonts w:ascii="Arial" w:hAnsi="Arial" w:cs="Arial"/>
        </w:rPr>
      </w:pPr>
      <w:r>
        <w:rPr>
          <w:rFonts w:ascii="Arial" w:hAnsi="Arial" w:cs="Arial"/>
        </w:rPr>
        <w:t>[</w:t>
      </w:r>
      <w:r w:rsidR="0036782D">
        <w:rPr>
          <w:rFonts w:ascii="Arial" w:hAnsi="Arial" w:cs="Arial"/>
        </w:rPr>
        <w:t>8</w:t>
      </w:r>
      <w:r>
        <w:rPr>
          <w:rFonts w:ascii="Arial" w:hAnsi="Arial" w:cs="Arial"/>
        </w:rPr>
        <w:t>]</w:t>
      </w:r>
      <w:r>
        <w:rPr>
          <w:rFonts w:ascii="Arial" w:hAnsi="Arial" w:cs="Arial"/>
        </w:rPr>
        <w:tab/>
        <w:t xml:space="preserve">What is drawn from the above Rule is that the defendant </w:t>
      </w:r>
      <w:r w:rsidR="005D16D3">
        <w:rPr>
          <w:rFonts w:ascii="Arial" w:hAnsi="Arial" w:cs="Arial"/>
        </w:rPr>
        <w:t>must</w:t>
      </w:r>
      <w:r>
        <w:rPr>
          <w:rFonts w:ascii="Arial" w:hAnsi="Arial" w:cs="Arial"/>
        </w:rPr>
        <w:t xml:space="preserve"> deliver </w:t>
      </w:r>
      <w:r w:rsidR="008D665B">
        <w:rPr>
          <w:rFonts w:ascii="Arial" w:hAnsi="Arial" w:cs="Arial"/>
        </w:rPr>
        <w:t>the plea before the plaintiff can proceed with the appli</w:t>
      </w:r>
      <w:r w:rsidR="00807070">
        <w:rPr>
          <w:rFonts w:ascii="Arial" w:hAnsi="Arial" w:cs="Arial"/>
        </w:rPr>
        <w:t xml:space="preserve">cation for </w:t>
      </w:r>
      <w:r w:rsidR="00DD7C18">
        <w:rPr>
          <w:rFonts w:ascii="Arial" w:hAnsi="Arial" w:cs="Arial"/>
        </w:rPr>
        <w:t xml:space="preserve">a </w:t>
      </w:r>
      <w:r w:rsidR="00807070">
        <w:rPr>
          <w:rFonts w:ascii="Arial" w:hAnsi="Arial" w:cs="Arial"/>
        </w:rPr>
        <w:t>summary judgment.</w:t>
      </w:r>
      <w:r>
        <w:rPr>
          <w:rFonts w:ascii="Arial" w:hAnsi="Arial" w:cs="Arial"/>
        </w:rPr>
        <w:t xml:space="preserve"> </w:t>
      </w:r>
      <w:r w:rsidR="00FE1398">
        <w:rPr>
          <w:rFonts w:ascii="Arial" w:hAnsi="Arial" w:cs="Arial"/>
        </w:rPr>
        <w:t xml:space="preserve">It is also </w:t>
      </w:r>
      <w:r w:rsidR="00102B90">
        <w:rPr>
          <w:rFonts w:ascii="Arial" w:hAnsi="Arial" w:cs="Arial"/>
        </w:rPr>
        <w:t>evident</w:t>
      </w:r>
      <w:r w:rsidR="00FE1398">
        <w:rPr>
          <w:rFonts w:ascii="Arial" w:hAnsi="Arial" w:cs="Arial"/>
        </w:rPr>
        <w:t xml:space="preserve"> from the </w:t>
      </w:r>
      <w:r w:rsidR="007C0E11">
        <w:rPr>
          <w:rFonts w:ascii="Arial" w:hAnsi="Arial" w:cs="Arial"/>
        </w:rPr>
        <w:t>15-day</w:t>
      </w:r>
      <w:r w:rsidR="00FE1398">
        <w:rPr>
          <w:rFonts w:ascii="Arial" w:hAnsi="Arial" w:cs="Arial"/>
        </w:rPr>
        <w:t xml:space="preserve"> period </w:t>
      </w:r>
      <w:r w:rsidR="008B2F42">
        <w:rPr>
          <w:rFonts w:ascii="Arial" w:hAnsi="Arial" w:cs="Arial"/>
        </w:rPr>
        <w:t xml:space="preserve">that the plaintiff may approach the </w:t>
      </w:r>
      <w:r w:rsidR="003116B2">
        <w:rPr>
          <w:rFonts w:ascii="Arial" w:hAnsi="Arial" w:cs="Arial"/>
        </w:rPr>
        <w:t xml:space="preserve">court for a summary judgment which in turn gives an opportunity </w:t>
      </w:r>
      <w:r w:rsidR="0024183E">
        <w:rPr>
          <w:rFonts w:ascii="Arial" w:hAnsi="Arial" w:cs="Arial"/>
        </w:rPr>
        <w:t>for</w:t>
      </w:r>
      <w:r w:rsidR="00FD3FC9">
        <w:rPr>
          <w:rFonts w:ascii="Arial" w:hAnsi="Arial" w:cs="Arial"/>
        </w:rPr>
        <w:t xml:space="preserve"> </w:t>
      </w:r>
      <w:r w:rsidR="003116B2">
        <w:rPr>
          <w:rFonts w:ascii="Arial" w:hAnsi="Arial" w:cs="Arial"/>
        </w:rPr>
        <w:t xml:space="preserve">the defendant </w:t>
      </w:r>
      <w:r w:rsidR="00263192">
        <w:rPr>
          <w:rFonts w:ascii="Arial" w:hAnsi="Arial" w:cs="Arial"/>
        </w:rPr>
        <w:t xml:space="preserve">to state </w:t>
      </w:r>
      <w:r w:rsidR="00443C18">
        <w:rPr>
          <w:rFonts w:ascii="Arial" w:hAnsi="Arial" w:cs="Arial"/>
        </w:rPr>
        <w:t>the</w:t>
      </w:r>
      <w:r w:rsidR="0050360A">
        <w:rPr>
          <w:rFonts w:ascii="Arial" w:hAnsi="Arial" w:cs="Arial"/>
        </w:rPr>
        <w:t xml:space="preserve"> case</w:t>
      </w:r>
      <w:r w:rsidR="00AB732B">
        <w:rPr>
          <w:rFonts w:ascii="Arial" w:hAnsi="Arial" w:cs="Arial"/>
        </w:rPr>
        <w:t xml:space="preserve"> </w:t>
      </w:r>
      <w:r w:rsidR="00FD3FC9">
        <w:rPr>
          <w:rFonts w:ascii="Arial" w:hAnsi="Arial" w:cs="Arial"/>
        </w:rPr>
        <w:t xml:space="preserve">and </w:t>
      </w:r>
      <w:r w:rsidR="00AB732B">
        <w:rPr>
          <w:rFonts w:ascii="Arial" w:hAnsi="Arial" w:cs="Arial"/>
        </w:rPr>
        <w:t>provid</w:t>
      </w:r>
      <w:r w:rsidR="00BD7A77">
        <w:rPr>
          <w:rFonts w:ascii="Arial" w:hAnsi="Arial" w:cs="Arial"/>
        </w:rPr>
        <w:t>e</w:t>
      </w:r>
      <w:r w:rsidR="00AB732B">
        <w:rPr>
          <w:rFonts w:ascii="Arial" w:hAnsi="Arial" w:cs="Arial"/>
        </w:rPr>
        <w:t xml:space="preserve"> an insight on the existence of a </w:t>
      </w:r>
      <w:r w:rsidR="00AB732B" w:rsidRPr="000A114C">
        <w:rPr>
          <w:rFonts w:ascii="Arial" w:hAnsi="Arial" w:cs="Arial"/>
          <w:i/>
          <w:iCs/>
        </w:rPr>
        <w:t>bona fide</w:t>
      </w:r>
      <w:r w:rsidR="00AB732B">
        <w:rPr>
          <w:rFonts w:ascii="Arial" w:hAnsi="Arial" w:cs="Arial"/>
        </w:rPr>
        <w:t xml:space="preserve"> </w:t>
      </w:r>
      <w:r w:rsidR="000A114C">
        <w:rPr>
          <w:rFonts w:ascii="Arial" w:hAnsi="Arial" w:cs="Arial"/>
        </w:rPr>
        <w:t xml:space="preserve">defence </w:t>
      </w:r>
      <w:r w:rsidR="00AB732B">
        <w:rPr>
          <w:rFonts w:ascii="Arial" w:hAnsi="Arial" w:cs="Arial"/>
        </w:rPr>
        <w:t>on the claim</w:t>
      </w:r>
      <w:r w:rsidR="005E16E5">
        <w:rPr>
          <w:rFonts w:ascii="Arial" w:hAnsi="Arial" w:cs="Arial"/>
        </w:rPr>
        <w:t xml:space="preserve"> and absence of prejudice against the plaintiff</w:t>
      </w:r>
      <w:r w:rsidR="00AB732B">
        <w:rPr>
          <w:rFonts w:ascii="Arial" w:hAnsi="Arial" w:cs="Arial"/>
        </w:rPr>
        <w:t>.</w:t>
      </w:r>
      <w:r w:rsidR="0050360A">
        <w:rPr>
          <w:rFonts w:ascii="Arial" w:hAnsi="Arial" w:cs="Arial"/>
        </w:rPr>
        <w:t xml:space="preserve"> </w:t>
      </w:r>
      <w:r w:rsidR="00001218">
        <w:rPr>
          <w:rFonts w:ascii="Arial" w:hAnsi="Arial" w:cs="Arial"/>
        </w:rPr>
        <w:t>These fact</w:t>
      </w:r>
      <w:r w:rsidR="008F7EB5">
        <w:rPr>
          <w:rFonts w:ascii="Arial" w:hAnsi="Arial" w:cs="Arial"/>
        </w:rPr>
        <w:t xml:space="preserve">ors are a justification </w:t>
      </w:r>
      <w:r w:rsidR="002B0061">
        <w:rPr>
          <w:rFonts w:ascii="Arial" w:hAnsi="Arial" w:cs="Arial"/>
        </w:rPr>
        <w:t xml:space="preserve">for the determination </w:t>
      </w:r>
      <w:r w:rsidR="008F7EB5">
        <w:rPr>
          <w:rFonts w:ascii="Arial" w:hAnsi="Arial" w:cs="Arial"/>
        </w:rPr>
        <w:t xml:space="preserve">of the existence of a legitimate claim for a summary judgment. However, </w:t>
      </w:r>
      <w:proofErr w:type="spellStart"/>
      <w:r w:rsidR="00072312">
        <w:rPr>
          <w:rFonts w:ascii="Arial" w:hAnsi="Arial" w:cs="Arial"/>
        </w:rPr>
        <w:t>Kesevitsky</w:t>
      </w:r>
      <w:proofErr w:type="spellEnd"/>
      <w:r w:rsidR="00072312">
        <w:rPr>
          <w:rFonts w:ascii="Arial" w:hAnsi="Arial" w:cs="Arial"/>
        </w:rPr>
        <w:t xml:space="preserve"> J in </w:t>
      </w:r>
      <w:r w:rsidR="00072312" w:rsidRPr="000A7E3A">
        <w:rPr>
          <w:rFonts w:ascii="Arial" w:hAnsi="Arial" w:cs="Arial"/>
          <w:b/>
          <w:bCs/>
          <w:i/>
          <w:iCs/>
        </w:rPr>
        <w:t xml:space="preserve">AHMR Hospitality (Pty) Ltd </w:t>
      </w:r>
      <w:r w:rsidR="00D302B2" w:rsidRPr="000A7E3A">
        <w:rPr>
          <w:rFonts w:ascii="Arial" w:hAnsi="Arial" w:cs="Arial"/>
          <w:b/>
          <w:bCs/>
          <w:i/>
          <w:iCs/>
        </w:rPr>
        <w:t>v Da Silva</w:t>
      </w:r>
      <w:r w:rsidR="00D302B2" w:rsidRPr="000A7E3A">
        <w:rPr>
          <w:rFonts w:ascii="Arial" w:hAnsi="Arial" w:cs="Arial"/>
          <w:b/>
          <w:bCs/>
        </w:rPr>
        <w:t xml:space="preserve"> (A161/</w:t>
      </w:r>
      <w:r w:rsidR="001A003B" w:rsidRPr="000A7E3A">
        <w:rPr>
          <w:rFonts w:ascii="Arial" w:hAnsi="Arial" w:cs="Arial"/>
          <w:b/>
          <w:bCs/>
        </w:rPr>
        <w:t>2022) [</w:t>
      </w:r>
      <w:r w:rsidR="00D302B2" w:rsidRPr="000A7E3A">
        <w:rPr>
          <w:rFonts w:ascii="Arial" w:hAnsi="Arial" w:cs="Arial"/>
          <w:b/>
          <w:bCs/>
        </w:rPr>
        <w:t>2023</w:t>
      </w:r>
      <w:r w:rsidR="00E455F3" w:rsidRPr="000A7E3A">
        <w:rPr>
          <w:rFonts w:ascii="Arial" w:hAnsi="Arial" w:cs="Arial"/>
          <w:b/>
          <w:bCs/>
        </w:rPr>
        <w:t>] ZAWCHC 206</w:t>
      </w:r>
      <w:r w:rsidR="00E455F3">
        <w:rPr>
          <w:rFonts w:ascii="Arial" w:hAnsi="Arial" w:cs="Arial"/>
        </w:rPr>
        <w:t xml:space="preserve"> </w:t>
      </w:r>
      <w:r w:rsidR="004B0E30">
        <w:rPr>
          <w:rFonts w:ascii="Arial" w:hAnsi="Arial" w:cs="Arial"/>
        </w:rPr>
        <w:t xml:space="preserve">highlighted the difficulty associated with the </w:t>
      </w:r>
      <w:r w:rsidR="00337002">
        <w:rPr>
          <w:rFonts w:ascii="Arial" w:hAnsi="Arial" w:cs="Arial"/>
        </w:rPr>
        <w:t xml:space="preserve">application and interpretation of the summary judgment principles and </w:t>
      </w:r>
      <w:r w:rsidR="00E455F3">
        <w:rPr>
          <w:rFonts w:ascii="Arial" w:hAnsi="Arial" w:cs="Arial"/>
        </w:rPr>
        <w:t xml:space="preserve">stated that </w:t>
      </w:r>
      <w:r w:rsidR="00E455F3" w:rsidRPr="000A7E3A">
        <w:rPr>
          <w:rFonts w:ascii="Arial" w:hAnsi="Arial" w:cs="Arial"/>
          <w:i/>
          <w:iCs/>
        </w:rPr>
        <w:t>‘the rules relating to summary judgment need no restatement</w:t>
      </w:r>
      <w:r w:rsidR="00247F8A" w:rsidRPr="000A7E3A">
        <w:rPr>
          <w:rFonts w:ascii="Arial" w:hAnsi="Arial" w:cs="Arial"/>
          <w:i/>
          <w:iCs/>
        </w:rPr>
        <w:t>, [</w:t>
      </w:r>
      <w:r w:rsidR="00AB1456">
        <w:rPr>
          <w:rFonts w:ascii="Arial" w:hAnsi="Arial" w:cs="Arial"/>
          <w:i/>
          <w:iCs/>
        </w:rPr>
        <w:t>thus</w:t>
      </w:r>
      <w:r w:rsidR="007F7EFD">
        <w:rPr>
          <w:rFonts w:ascii="Arial" w:hAnsi="Arial" w:cs="Arial"/>
          <w:i/>
          <w:iCs/>
        </w:rPr>
        <w:t xml:space="preserve">, </w:t>
      </w:r>
      <w:r w:rsidR="00247F8A" w:rsidRPr="000A7E3A">
        <w:rPr>
          <w:rFonts w:ascii="Arial" w:hAnsi="Arial" w:cs="Arial"/>
          <w:i/>
          <w:iCs/>
        </w:rPr>
        <w:t>they are not clear</w:t>
      </w:r>
      <w:r w:rsidR="00BE50FC" w:rsidRPr="000A7E3A">
        <w:rPr>
          <w:rFonts w:ascii="Arial" w:hAnsi="Arial" w:cs="Arial"/>
          <w:i/>
          <w:iCs/>
        </w:rPr>
        <w:t xml:space="preserve"> as] </w:t>
      </w:r>
      <w:r w:rsidR="000A7E3A" w:rsidRPr="00DF473F">
        <w:rPr>
          <w:rFonts w:ascii="Arial" w:hAnsi="Arial" w:cs="Arial"/>
          <w:b/>
          <w:bCs/>
          <w:i/>
          <w:iCs/>
        </w:rPr>
        <w:t>it is an exercise of sorting out the wheat from the chaff’</w:t>
      </w:r>
      <w:r w:rsidR="000A7E3A">
        <w:rPr>
          <w:rFonts w:ascii="Arial" w:hAnsi="Arial" w:cs="Arial"/>
        </w:rPr>
        <w:t>, (</w:t>
      </w:r>
      <w:r w:rsidR="000A7E3A" w:rsidRPr="000A7E3A">
        <w:rPr>
          <w:rFonts w:ascii="Arial" w:hAnsi="Arial" w:cs="Arial"/>
          <w:b/>
          <w:bCs/>
          <w:i/>
          <w:iCs/>
        </w:rPr>
        <w:t>para 13</w:t>
      </w:r>
      <w:r w:rsidR="00DF473F">
        <w:rPr>
          <w:rFonts w:ascii="Arial" w:hAnsi="Arial" w:cs="Arial"/>
          <w:b/>
          <w:bCs/>
          <w:i/>
          <w:iCs/>
        </w:rPr>
        <w:t xml:space="preserve">, </w:t>
      </w:r>
      <w:r w:rsidR="00DF473F" w:rsidRPr="00DF473F">
        <w:rPr>
          <w:rFonts w:ascii="Arial" w:hAnsi="Arial" w:cs="Arial"/>
          <w:i/>
          <w:iCs/>
        </w:rPr>
        <w:t>my emphasis</w:t>
      </w:r>
      <w:r w:rsidR="000A7E3A" w:rsidRPr="00DF473F">
        <w:rPr>
          <w:rFonts w:ascii="Arial" w:hAnsi="Arial" w:cs="Arial"/>
        </w:rPr>
        <w:t>).</w:t>
      </w:r>
      <w:r w:rsidR="00BE50FC">
        <w:rPr>
          <w:rFonts w:ascii="Arial" w:hAnsi="Arial" w:cs="Arial"/>
        </w:rPr>
        <w:t xml:space="preserve"> </w:t>
      </w:r>
      <w:proofErr w:type="spellStart"/>
      <w:r w:rsidR="00117792">
        <w:rPr>
          <w:rFonts w:ascii="Arial" w:hAnsi="Arial" w:cs="Arial"/>
        </w:rPr>
        <w:t>Kesevitsky</w:t>
      </w:r>
      <w:proofErr w:type="spellEnd"/>
      <w:r w:rsidR="00117792">
        <w:rPr>
          <w:rFonts w:ascii="Arial" w:hAnsi="Arial" w:cs="Arial"/>
        </w:rPr>
        <w:t xml:space="preserve"> J </w:t>
      </w:r>
      <w:r w:rsidR="00DF473F">
        <w:rPr>
          <w:rFonts w:ascii="Arial" w:hAnsi="Arial" w:cs="Arial"/>
        </w:rPr>
        <w:t xml:space="preserve">in the same judgment </w:t>
      </w:r>
      <w:r w:rsidR="009129DC">
        <w:rPr>
          <w:rFonts w:ascii="Arial" w:hAnsi="Arial" w:cs="Arial"/>
        </w:rPr>
        <w:t xml:space="preserve">contextualised the new amendment </w:t>
      </w:r>
      <w:r w:rsidR="00F0234E">
        <w:rPr>
          <w:rFonts w:ascii="Arial" w:hAnsi="Arial" w:cs="Arial"/>
        </w:rPr>
        <w:t xml:space="preserve">and its implications on the </w:t>
      </w:r>
      <w:r w:rsidR="00692859">
        <w:rPr>
          <w:rFonts w:ascii="Arial" w:hAnsi="Arial" w:cs="Arial"/>
        </w:rPr>
        <w:t xml:space="preserve">adjudication </w:t>
      </w:r>
      <w:r w:rsidR="00F0234E">
        <w:rPr>
          <w:rFonts w:ascii="Arial" w:hAnsi="Arial" w:cs="Arial"/>
        </w:rPr>
        <w:t>of summary judgements and held</w:t>
      </w:r>
      <w:r w:rsidR="003975F7">
        <w:rPr>
          <w:rFonts w:ascii="Arial" w:hAnsi="Arial" w:cs="Arial"/>
        </w:rPr>
        <w:t>:</w:t>
      </w:r>
      <w:r w:rsidR="00BE50FC">
        <w:rPr>
          <w:rFonts w:ascii="Arial" w:hAnsi="Arial" w:cs="Arial"/>
        </w:rPr>
        <w:t xml:space="preserve"> </w:t>
      </w:r>
    </w:p>
    <w:p w14:paraId="344699AB" w14:textId="77777777" w:rsidR="003975F7" w:rsidRDefault="003975F7" w:rsidP="007E489B">
      <w:pPr>
        <w:spacing w:after="0" w:line="360" w:lineRule="auto"/>
        <w:jc w:val="both"/>
        <w:rPr>
          <w:rFonts w:ascii="Arial" w:hAnsi="Arial" w:cs="Arial"/>
        </w:rPr>
      </w:pPr>
    </w:p>
    <w:p w14:paraId="292C12DB" w14:textId="167D74B3" w:rsidR="00D15DDF" w:rsidRPr="007E489B" w:rsidRDefault="003975F7" w:rsidP="003975F7">
      <w:pPr>
        <w:spacing w:after="0" w:line="360" w:lineRule="auto"/>
        <w:ind w:left="1440"/>
        <w:jc w:val="both"/>
        <w:rPr>
          <w:rFonts w:ascii="Arial" w:hAnsi="Arial" w:cs="Arial"/>
        </w:rPr>
      </w:pPr>
      <w:r w:rsidRPr="00D6028C">
        <w:rPr>
          <w:rFonts w:ascii="Arial" w:hAnsi="Arial" w:cs="Arial"/>
          <w:i/>
          <w:iCs/>
        </w:rPr>
        <w:t>u</w:t>
      </w:r>
      <w:r w:rsidR="007E489B" w:rsidRPr="00D6028C">
        <w:rPr>
          <w:rFonts w:ascii="Arial" w:hAnsi="Arial" w:cs="Arial"/>
          <w:i/>
          <w:iCs/>
        </w:rPr>
        <w:t xml:space="preserve">nlike in the past, a plaintiff, as well as a presiding officer, will now have the benefit of having both the defendant’s plea and affidavit resisting summary judgment at its disposal; in the case of the former, to decide whether or not to proceed with the summary judgment application in light of the </w:t>
      </w:r>
      <w:proofErr w:type="spellStart"/>
      <w:r w:rsidR="007E489B" w:rsidRPr="00D6028C">
        <w:rPr>
          <w:rFonts w:ascii="Arial" w:hAnsi="Arial" w:cs="Arial"/>
          <w:i/>
          <w:iCs/>
        </w:rPr>
        <w:t>defences</w:t>
      </w:r>
      <w:proofErr w:type="spellEnd"/>
      <w:r w:rsidR="007E489B" w:rsidRPr="00D6028C">
        <w:rPr>
          <w:rFonts w:ascii="Arial" w:hAnsi="Arial" w:cs="Arial"/>
          <w:i/>
          <w:iCs/>
        </w:rPr>
        <w:t xml:space="preserve"> so raised by the defendant in its plea; and in the case of the latter, to decide whether or not a defendant is entitled to have its </w:t>
      </w:r>
      <w:proofErr w:type="spellStart"/>
      <w:r w:rsidR="007E489B" w:rsidRPr="00D6028C">
        <w:rPr>
          <w:rFonts w:ascii="Arial" w:hAnsi="Arial" w:cs="Arial"/>
          <w:i/>
          <w:iCs/>
        </w:rPr>
        <w:t>defences</w:t>
      </w:r>
      <w:proofErr w:type="spellEnd"/>
      <w:r w:rsidR="007E489B" w:rsidRPr="00D6028C">
        <w:rPr>
          <w:rFonts w:ascii="Arial" w:hAnsi="Arial" w:cs="Arial"/>
          <w:i/>
          <w:iCs/>
        </w:rPr>
        <w:t xml:space="preserve"> which it has raised in its plea, adjudicated at a trial. It is also trite that the defence so pleaded need not be an exercise of mastery or model of precision. All that is required from a defendant is to put forward a bona fide defence and to fully disclose the material facts relied upon for such a defence in order for the parties and ultimately the court, to make a determination as to whether the door should be shut on a time-wasting recalcitrant defendant, or whether the </w:t>
      </w:r>
      <w:proofErr w:type="spellStart"/>
      <w:r w:rsidR="007E489B" w:rsidRPr="00D6028C">
        <w:rPr>
          <w:rFonts w:ascii="Arial" w:hAnsi="Arial" w:cs="Arial"/>
          <w:i/>
          <w:iCs/>
        </w:rPr>
        <w:t>defences</w:t>
      </w:r>
      <w:proofErr w:type="spellEnd"/>
      <w:r w:rsidR="007E489B" w:rsidRPr="00D6028C">
        <w:rPr>
          <w:rFonts w:ascii="Arial" w:hAnsi="Arial" w:cs="Arial"/>
          <w:i/>
          <w:iCs/>
        </w:rPr>
        <w:t xml:space="preserve"> so raised, if it is proved at trial, would constitute a defence to the plaintiff’s claim. If a court is of the view that a defendant has an unanswerable case to answer, much less no case as pleaded, then a plaintiff will be entitled to summary judgment</w:t>
      </w:r>
      <w:r w:rsidR="00FF0C24">
        <w:rPr>
          <w:rFonts w:ascii="Arial" w:hAnsi="Arial" w:cs="Arial"/>
        </w:rPr>
        <w:t>, (</w:t>
      </w:r>
      <w:r w:rsidR="00FF0C24" w:rsidRPr="00D6028C">
        <w:rPr>
          <w:rFonts w:ascii="Arial" w:hAnsi="Arial" w:cs="Arial"/>
          <w:b/>
          <w:bCs/>
          <w:i/>
          <w:iCs/>
        </w:rPr>
        <w:t>para 13</w:t>
      </w:r>
      <w:r w:rsidR="00FF0C24">
        <w:rPr>
          <w:rFonts w:ascii="Arial" w:hAnsi="Arial" w:cs="Arial"/>
        </w:rPr>
        <w:t>)</w:t>
      </w:r>
      <w:r w:rsidR="007E489B" w:rsidRPr="007E489B">
        <w:rPr>
          <w:rFonts w:ascii="Arial" w:hAnsi="Arial" w:cs="Arial"/>
        </w:rPr>
        <w:t>.</w:t>
      </w:r>
    </w:p>
    <w:p w14:paraId="0A24FC52" w14:textId="77777777" w:rsidR="00D15DDF" w:rsidRPr="007E489B" w:rsidRDefault="00D15DDF" w:rsidP="007E489B">
      <w:pPr>
        <w:spacing w:after="0" w:line="360" w:lineRule="auto"/>
        <w:jc w:val="both"/>
        <w:rPr>
          <w:rFonts w:ascii="Arial" w:hAnsi="Arial" w:cs="Arial"/>
        </w:rPr>
      </w:pPr>
    </w:p>
    <w:p w14:paraId="2D6C8920" w14:textId="3B680652" w:rsidR="00853C0B" w:rsidRDefault="00463EEF" w:rsidP="00ED6135">
      <w:pPr>
        <w:spacing w:after="0" w:line="360" w:lineRule="auto"/>
        <w:ind w:left="720" w:hanging="720"/>
        <w:jc w:val="both"/>
        <w:rPr>
          <w:rFonts w:ascii="Arial" w:hAnsi="Arial" w:cs="Arial"/>
        </w:rPr>
      </w:pPr>
      <w:r>
        <w:rPr>
          <w:rFonts w:ascii="Arial" w:hAnsi="Arial" w:cs="Arial"/>
        </w:rPr>
        <w:lastRenderedPageBreak/>
        <w:t>[</w:t>
      </w:r>
      <w:r w:rsidR="0036782D">
        <w:rPr>
          <w:rFonts w:ascii="Arial" w:hAnsi="Arial" w:cs="Arial"/>
        </w:rPr>
        <w:t>9</w:t>
      </w:r>
      <w:r>
        <w:rPr>
          <w:rFonts w:ascii="Arial" w:hAnsi="Arial" w:cs="Arial"/>
        </w:rPr>
        <w:t>]</w:t>
      </w:r>
      <w:r>
        <w:rPr>
          <w:rFonts w:ascii="Arial" w:hAnsi="Arial" w:cs="Arial"/>
        </w:rPr>
        <w:tab/>
      </w:r>
      <w:r w:rsidR="003A436E">
        <w:rPr>
          <w:rFonts w:ascii="Arial" w:hAnsi="Arial" w:cs="Arial"/>
        </w:rPr>
        <w:t>In this case, t</w:t>
      </w:r>
      <w:r>
        <w:rPr>
          <w:rFonts w:ascii="Arial" w:hAnsi="Arial" w:cs="Arial"/>
        </w:rPr>
        <w:t>he</w:t>
      </w:r>
      <w:r w:rsidR="003A436E">
        <w:rPr>
          <w:rFonts w:ascii="Arial" w:hAnsi="Arial" w:cs="Arial"/>
        </w:rPr>
        <w:t xml:space="preserve"> resistance of the summary ju</w:t>
      </w:r>
      <w:r w:rsidR="00A77B44">
        <w:rPr>
          <w:rFonts w:ascii="Arial" w:hAnsi="Arial" w:cs="Arial"/>
        </w:rPr>
        <w:t>dgment by the</w:t>
      </w:r>
      <w:r>
        <w:rPr>
          <w:rFonts w:ascii="Arial" w:hAnsi="Arial" w:cs="Arial"/>
        </w:rPr>
        <w:t xml:space="preserve"> defendant</w:t>
      </w:r>
      <w:r w:rsidR="00D20A14">
        <w:rPr>
          <w:rFonts w:ascii="Arial" w:hAnsi="Arial" w:cs="Arial"/>
        </w:rPr>
        <w:t>s</w:t>
      </w:r>
      <w:r>
        <w:rPr>
          <w:rFonts w:ascii="Arial" w:hAnsi="Arial" w:cs="Arial"/>
        </w:rPr>
        <w:t xml:space="preserve"> </w:t>
      </w:r>
      <w:r w:rsidR="006244C0">
        <w:rPr>
          <w:rFonts w:ascii="Arial" w:hAnsi="Arial" w:cs="Arial"/>
        </w:rPr>
        <w:t xml:space="preserve">and </w:t>
      </w:r>
      <w:r w:rsidR="00A77B44">
        <w:rPr>
          <w:rFonts w:ascii="Arial" w:hAnsi="Arial" w:cs="Arial"/>
        </w:rPr>
        <w:t xml:space="preserve">their continued occupation of the leased premises </w:t>
      </w:r>
      <w:r w:rsidR="009C6604">
        <w:rPr>
          <w:rFonts w:ascii="Arial" w:hAnsi="Arial" w:cs="Arial"/>
        </w:rPr>
        <w:t xml:space="preserve">requires this court to immediately address </w:t>
      </w:r>
      <w:r w:rsidR="00652B3A">
        <w:rPr>
          <w:rFonts w:ascii="Arial" w:hAnsi="Arial" w:cs="Arial"/>
        </w:rPr>
        <w:t xml:space="preserve">the contention </w:t>
      </w:r>
      <w:r w:rsidR="009C6604">
        <w:rPr>
          <w:rFonts w:ascii="Arial" w:hAnsi="Arial" w:cs="Arial"/>
        </w:rPr>
        <w:t>whe</w:t>
      </w:r>
      <w:r w:rsidR="00EE380F">
        <w:rPr>
          <w:rFonts w:ascii="Arial" w:hAnsi="Arial" w:cs="Arial"/>
        </w:rPr>
        <w:t>ther the alleged variation of the original</w:t>
      </w:r>
      <w:r w:rsidR="0080515D">
        <w:rPr>
          <w:rFonts w:ascii="Arial" w:hAnsi="Arial" w:cs="Arial"/>
        </w:rPr>
        <w:t xml:space="preserve"> lease agreement amounted to the waiver of the terms of the latter agreement</w:t>
      </w:r>
      <w:r w:rsidR="0093587F">
        <w:rPr>
          <w:rFonts w:ascii="Arial" w:hAnsi="Arial" w:cs="Arial"/>
        </w:rPr>
        <w:t>.</w:t>
      </w:r>
      <w:r w:rsidR="00D00E76">
        <w:rPr>
          <w:rFonts w:ascii="Arial" w:hAnsi="Arial" w:cs="Arial"/>
        </w:rPr>
        <w:t xml:space="preserve"> </w:t>
      </w:r>
      <w:r w:rsidR="00623EA5">
        <w:rPr>
          <w:rFonts w:ascii="Arial" w:hAnsi="Arial" w:cs="Arial"/>
        </w:rPr>
        <w:t xml:space="preserve">I </w:t>
      </w:r>
      <w:r w:rsidR="005D133C">
        <w:rPr>
          <w:rFonts w:ascii="Arial" w:hAnsi="Arial" w:cs="Arial"/>
        </w:rPr>
        <w:t xml:space="preserve">acknowledge that </w:t>
      </w:r>
      <w:r w:rsidR="001163C9">
        <w:rPr>
          <w:rFonts w:ascii="Arial" w:hAnsi="Arial" w:cs="Arial"/>
        </w:rPr>
        <w:t xml:space="preserve">with the </w:t>
      </w:r>
      <w:r w:rsidR="00260173">
        <w:rPr>
          <w:rFonts w:ascii="Arial" w:hAnsi="Arial" w:cs="Arial"/>
        </w:rPr>
        <w:t>requisites</w:t>
      </w:r>
      <w:r w:rsidR="00E44C24">
        <w:rPr>
          <w:rFonts w:ascii="Arial" w:hAnsi="Arial" w:cs="Arial"/>
        </w:rPr>
        <w:t xml:space="preserve"> of the new dispensation</w:t>
      </w:r>
      <w:r w:rsidR="00260173">
        <w:rPr>
          <w:rFonts w:ascii="Arial" w:hAnsi="Arial" w:cs="Arial"/>
        </w:rPr>
        <w:t xml:space="preserve"> for the </w:t>
      </w:r>
      <w:r w:rsidR="001163C9">
        <w:rPr>
          <w:rFonts w:ascii="Arial" w:hAnsi="Arial" w:cs="Arial"/>
        </w:rPr>
        <w:t>transformative imperatives of the branches of the law</w:t>
      </w:r>
      <w:r w:rsidR="0086036D">
        <w:rPr>
          <w:rFonts w:ascii="Arial" w:hAnsi="Arial" w:cs="Arial"/>
        </w:rPr>
        <w:t>,</w:t>
      </w:r>
      <w:r w:rsidR="001163C9">
        <w:rPr>
          <w:rFonts w:ascii="Arial" w:hAnsi="Arial" w:cs="Arial"/>
        </w:rPr>
        <w:t xml:space="preserve"> </w:t>
      </w:r>
      <w:r w:rsidR="001E3EE5">
        <w:rPr>
          <w:rFonts w:ascii="Arial" w:hAnsi="Arial" w:cs="Arial"/>
        </w:rPr>
        <w:t xml:space="preserve">contract law is </w:t>
      </w:r>
      <w:r w:rsidR="00AB28B9">
        <w:rPr>
          <w:rFonts w:ascii="Arial" w:hAnsi="Arial" w:cs="Arial"/>
        </w:rPr>
        <w:t xml:space="preserve">also </w:t>
      </w:r>
      <w:r w:rsidR="00426ABA">
        <w:rPr>
          <w:rFonts w:ascii="Arial" w:hAnsi="Arial" w:cs="Arial"/>
        </w:rPr>
        <w:t xml:space="preserve">in a trajectory </w:t>
      </w:r>
      <w:r w:rsidR="003F7155">
        <w:rPr>
          <w:rFonts w:ascii="Arial" w:hAnsi="Arial" w:cs="Arial"/>
        </w:rPr>
        <w:t xml:space="preserve">for reform and development from the concept </w:t>
      </w:r>
      <w:r w:rsidR="0086036D">
        <w:rPr>
          <w:rFonts w:ascii="Arial" w:hAnsi="Arial" w:cs="Arial"/>
        </w:rPr>
        <w:t xml:space="preserve">of </w:t>
      </w:r>
      <w:r w:rsidR="003F7155">
        <w:rPr>
          <w:rFonts w:ascii="Arial" w:hAnsi="Arial" w:cs="Arial"/>
        </w:rPr>
        <w:t xml:space="preserve">a </w:t>
      </w:r>
      <w:r w:rsidR="000A1C86">
        <w:rPr>
          <w:rFonts w:ascii="Arial" w:hAnsi="Arial" w:cs="Arial"/>
        </w:rPr>
        <w:t>‘</w:t>
      </w:r>
      <w:r w:rsidR="000A1C86" w:rsidRPr="00F43701">
        <w:rPr>
          <w:rFonts w:ascii="Arial" w:hAnsi="Arial" w:cs="Arial"/>
          <w:b/>
          <w:bCs/>
          <w:i/>
          <w:iCs/>
        </w:rPr>
        <w:t>gentlemen’s agreement’</w:t>
      </w:r>
      <w:r w:rsidR="000A1C86">
        <w:rPr>
          <w:rFonts w:ascii="Arial" w:hAnsi="Arial" w:cs="Arial"/>
        </w:rPr>
        <w:t xml:space="preserve"> that will constitute a binding contract between the parties.</w:t>
      </w:r>
      <w:r w:rsidR="00ED6135">
        <w:rPr>
          <w:rFonts w:ascii="Arial" w:hAnsi="Arial" w:cs="Arial"/>
        </w:rPr>
        <w:t xml:space="preserve"> </w:t>
      </w:r>
      <w:r w:rsidR="005246CB">
        <w:rPr>
          <w:rFonts w:ascii="Arial" w:hAnsi="Arial" w:cs="Arial"/>
        </w:rPr>
        <w:t>The defendant’s reliance o</w:t>
      </w:r>
      <w:r w:rsidR="00786934">
        <w:rPr>
          <w:rFonts w:ascii="Arial" w:hAnsi="Arial" w:cs="Arial"/>
        </w:rPr>
        <w:t>n</w:t>
      </w:r>
      <w:r w:rsidR="005246CB">
        <w:rPr>
          <w:rFonts w:ascii="Arial" w:hAnsi="Arial" w:cs="Arial"/>
        </w:rPr>
        <w:t xml:space="preserve"> the plaintiff’s conduct</w:t>
      </w:r>
      <w:r w:rsidR="0055091F">
        <w:rPr>
          <w:rFonts w:ascii="Arial" w:hAnsi="Arial" w:cs="Arial"/>
        </w:rPr>
        <w:t xml:space="preserve"> on acceptance of the </w:t>
      </w:r>
      <w:r w:rsidR="00CE7291">
        <w:rPr>
          <w:rFonts w:ascii="Arial" w:hAnsi="Arial" w:cs="Arial"/>
        </w:rPr>
        <w:t>discounted</w:t>
      </w:r>
      <w:r w:rsidR="0055091F">
        <w:rPr>
          <w:rFonts w:ascii="Arial" w:hAnsi="Arial" w:cs="Arial"/>
        </w:rPr>
        <w:t xml:space="preserve"> monthly rental without being reduced into writing</w:t>
      </w:r>
      <w:r w:rsidR="00105D59">
        <w:rPr>
          <w:rFonts w:ascii="Arial" w:hAnsi="Arial" w:cs="Arial"/>
        </w:rPr>
        <w:t xml:space="preserve"> amounted to waiver of the rights and obligations attached in the original agreement</w:t>
      </w:r>
      <w:r w:rsidR="0074524F">
        <w:rPr>
          <w:rFonts w:ascii="Arial" w:hAnsi="Arial" w:cs="Arial"/>
        </w:rPr>
        <w:t xml:space="preserve"> is without merit. </w:t>
      </w:r>
      <w:r w:rsidR="006A4744">
        <w:rPr>
          <w:rFonts w:ascii="Arial" w:hAnsi="Arial" w:cs="Arial"/>
        </w:rPr>
        <w:t>Counsel for the applicant</w:t>
      </w:r>
      <w:r w:rsidR="00853C0B">
        <w:rPr>
          <w:rFonts w:ascii="Arial" w:hAnsi="Arial" w:cs="Arial"/>
        </w:rPr>
        <w:t xml:space="preserve"> provided this court with the </w:t>
      </w:r>
      <w:r w:rsidR="00407E64">
        <w:rPr>
          <w:rFonts w:ascii="Arial" w:hAnsi="Arial" w:cs="Arial"/>
        </w:rPr>
        <w:t xml:space="preserve">Supreme Court of Appeal </w:t>
      </w:r>
      <w:r w:rsidR="00C762AB">
        <w:rPr>
          <w:rFonts w:ascii="Arial" w:hAnsi="Arial" w:cs="Arial"/>
        </w:rPr>
        <w:t>(</w:t>
      </w:r>
      <w:r w:rsidR="00853C0B">
        <w:rPr>
          <w:rFonts w:ascii="Arial" w:hAnsi="Arial" w:cs="Arial"/>
        </w:rPr>
        <w:t>SCA</w:t>
      </w:r>
      <w:r w:rsidR="00C762AB">
        <w:rPr>
          <w:rFonts w:ascii="Arial" w:hAnsi="Arial" w:cs="Arial"/>
        </w:rPr>
        <w:t>)</w:t>
      </w:r>
      <w:r w:rsidR="00853C0B">
        <w:rPr>
          <w:rFonts w:ascii="Arial" w:hAnsi="Arial" w:cs="Arial"/>
        </w:rPr>
        <w:t xml:space="preserve"> judgment in </w:t>
      </w:r>
      <w:r w:rsidR="00853C0B" w:rsidRPr="005F4EE1">
        <w:rPr>
          <w:rFonts w:ascii="Arial" w:hAnsi="Arial" w:cs="Arial"/>
          <w:b/>
          <w:bCs/>
          <w:i/>
          <w:iCs/>
        </w:rPr>
        <w:t>Ba-</w:t>
      </w:r>
      <w:r w:rsidR="00853C0B" w:rsidRPr="005B25A3">
        <w:rPr>
          <w:rFonts w:ascii="Arial" w:hAnsi="Arial" w:cs="Arial"/>
          <w:b/>
          <w:bCs/>
          <w:i/>
          <w:iCs/>
        </w:rPr>
        <w:t>Gat Motors CC t/a v Kempster Sedgwick (Pty) Ltd</w:t>
      </w:r>
      <w:r w:rsidR="00853C0B" w:rsidRPr="005B25A3">
        <w:rPr>
          <w:rFonts w:ascii="Arial" w:hAnsi="Arial" w:cs="Arial"/>
          <w:b/>
          <w:bCs/>
        </w:rPr>
        <w:t xml:space="preserve"> (511/2022) [2023] ZASCA 137 </w:t>
      </w:r>
      <w:r w:rsidR="0062236A" w:rsidRPr="0062236A">
        <w:rPr>
          <w:rFonts w:ascii="Arial" w:hAnsi="Arial" w:cs="Arial"/>
        </w:rPr>
        <w:t>quoting the</w:t>
      </w:r>
      <w:r w:rsidR="0062236A">
        <w:rPr>
          <w:rFonts w:ascii="Arial" w:hAnsi="Arial" w:cs="Arial"/>
          <w:b/>
          <w:bCs/>
        </w:rPr>
        <w:t xml:space="preserve"> </w:t>
      </w:r>
      <w:r w:rsidR="00853C0B" w:rsidRPr="005B25A3">
        <w:rPr>
          <w:rFonts w:ascii="Arial" w:hAnsi="Arial" w:cs="Arial"/>
          <w:b/>
          <w:bCs/>
          <w:i/>
          <w:iCs/>
          <w:color w:val="444444"/>
        </w:rPr>
        <w:t xml:space="preserve">SA </w:t>
      </w:r>
      <w:proofErr w:type="spellStart"/>
      <w:r w:rsidR="00853C0B" w:rsidRPr="005B25A3">
        <w:rPr>
          <w:rFonts w:ascii="Arial" w:hAnsi="Arial" w:cs="Arial"/>
          <w:b/>
          <w:bCs/>
          <w:i/>
          <w:iCs/>
          <w:color w:val="444444"/>
        </w:rPr>
        <w:t>Sentrale</w:t>
      </w:r>
      <w:proofErr w:type="spellEnd"/>
      <w:r w:rsidR="00853C0B" w:rsidRPr="005B25A3">
        <w:rPr>
          <w:rFonts w:ascii="Arial" w:hAnsi="Arial" w:cs="Arial"/>
          <w:b/>
          <w:bCs/>
          <w:i/>
          <w:iCs/>
          <w:color w:val="444444"/>
        </w:rPr>
        <w:t xml:space="preserve"> Ko-op </w:t>
      </w:r>
      <w:proofErr w:type="spellStart"/>
      <w:r w:rsidR="00853C0B" w:rsidRPr="005B25A3">
        <w:rPr>
          <w:rFonts w:ascii="Arial" w:hAnsi="Arial" w:cs="Arial"/>
          <w:b/>
          <w:bCs/>
          <w:i/>
          <w:iCs/>
          <w:color w:val="444444"/>
        </w:rPr>
        <w:t>Graanmaatskappy</w:t>
      </w:r>
      <w:proofErr w:type="spellEnd"/>
      <w:r w:rsidR="00853C0B" w:rsidRPr="005B25A3">
        <w:rPr>
          <w:rFonts w:ascii="Arial" w:hAnsi="Arial" w:cs="Arial"/>
          <w:b/>
          <w:bCs/>
          <w:i/>
          <w:iCs/>
          <w:color w:val="444444"/>
        </w:rPr>
        <w:t xml:space="preserve"> </w:t>
      </w:r>
      <w:proofErr w:type="spellStart"/>
      <w:r w:rsidR="00853C0B" w:rsidRPr="005B25A3">
        <w:rPr>
          <w:rFonts w:ascii="Arial" w:hAnsi="Arial" w:cs="Arial"/>
          <w:b/>
          <w:bCs/>
          <w:i/>
          <w:iCs/>
          <w:color w:val="444444"/>
        </w:rPr>
        <w:t>Bpk</w:t>
      </w:r>
      <w:proofErr w:type="spellEnd"/>
      <w:r w:rsidR="00853C0B" w:rsidRPr="005B25A3">
        <w:rPr>
          <w:rFonts w:ascii="Arial" w:hAnsi="Arial" w:cs="Arial"/>
          <w:b/>
          <w:bCs/>
          <w:i/>
          <w:iCs/>
          <w:color w:val="444444"/>
        </w:rPr>
        <w:t xml:space="preserve"> v </w:t>
      </w:r>
      <w:proofErr w:type="spellStart"/>
      <w:r w:rsidR="00853C0B" w:rsidRPr="005B25A3">
        <w:rPr>
          <w:rFonts w:ascii="Arial" w:hAnsi="Arial" w:cs="Arial"/>
          <w:b/>
          <w:bCs/>
          <w:i/>
          <w:iCs/>
          <w:color w:val="444444"/>
        </w:rPr>
        <w:t>Shifren</w:t>
      </w:r>
      <w:proofErr w:type="spellEnd"/>
      <w:r w:rsidR="00853C0B" w:rsidRPr="005B25A3">
        <w:rPr>
          <w:rFonts w:ascii="Arial" w:hAnsi="Arial" w:cs="Arial"/>
          <w:b/>
          <w:bCs/>
          <w:color w:val="444444"/>
        </w:rPr>
        <w:t xml:space="preserve"> 1964 (4) SA 670 (A)</w:t>
      </w:r>
      <w:r w:rsidR="00853C0B">
        <w:rPr>
          <w:rFonts w:ascii="Arial" w:hAnsi="Arial" w:cs="Arial"/>
          <w:b/>
          <w:bCs/>
          <w:color w:val="444444"/>
        </w:rPr>
        <w:t xml:space="preserve"> (</w:t>
      </w:r>
      <w:proofErr w:type="spellStart"/>
      <w:r w:rsidR="00853C0B" w:rsidRPr="00CC1D6A">
        <w:rPr>
          <w:rFonts w:ascii="Arial" w:hAnsi="Arial" w:cs="Arial"/>
          <w:b/>
          <w:bCs/>
          <w:i/>
          <w:iCs/>
        </w:rPr>
        <w:t>Shrifren</w:t>
      </w:r>
      <w:proofErr w:type="spellEnd"/>
      <w:r w:rsidR="00853C0B">
        <w:rPr>
          <w:rFonts w:ascii="Arial" w:hAnsi="Arial" w:cs="Arial"/>
        </w:rPr>
        <w:t xml:space="preserve"> principle)</w:t>
      </w:r>
      <w:r w:rsidR="00853C0B" w:rsidRPr="005B25A3">
        <w:rPr>
          <w:rFonts w:ascii="Arial" w:hAnsi="Arial" w:cs="Arial"/>
        </w:rPr>
        <w:t xml:space="preserve"> in that the waiver of the original </w:t>
      </w:r>
      <w:r w:rsidR="00351175">
        <w:rPr>
          <w:rFonts w:ascii="Arial" w:hAnsi="Arial" w:cs="Arial"/>
        </w:rPr>
        <w:t xml:space="preserve">terms of the </w:t>
      </w:r>
      <w:r w:rsidR="00853C0B" w:rsidRPr="005B25A3">
        <w:rPr>
          <w:rFonts w:ascii="Arial" w:hAnsi="Arial" w:cs="Arial"/>
        </w:rPr>
        <w:t xml:space="preserve">agreement </w:t>
      </w:r>
      <w:r w:rsidR="00853C0B" w:rsidRPr="009F09C1">
        <w:rPr>
          <w:rFonts w:ascii="Arial" w:hAnsi="Arial" w:cs="Arial"/>
        </w:rPr>
        <w:t>in</w:t>
      </w:r>
      <w:r w:rsidR="0072043C" w:rsidRPr="009F09C1">
        <w:rPr>
          <w:rFonts w:ascii="Arial" w:hAnsi="Arial" w:cs="Arial"/>
        </w:rPr>
        <w:t>to</w:t>
      </w:r>
      <w:r w:rsidR="00853C0B" w:rsidRPr="009F09C1">
        <w:rPr>
          <w:rFonts w:ascii="Arial" w:hAnsi="Arial" w:cs="Arial"/>
        </w:rPr>
        <w:t xml:space="preserve"> writing eliminates any uncertainties regarding the intention of the parties in a contract</w:t>
      </w:r>
      <w:r w:rsidR="009A6194" w:rsidRPr="009F09C1">
        <w:rPr>
          <w:rFonts w:ascii="Arial" w:hAnsi="Arial" w:cs="Arial"/>
        </w:rPr>
        <w:t xml:space="preserve"> and any party relying on such conduct will be </w:t>
      </w:r>
      <w:r w:rsidR="006B407D">
        <w:rPr>
          <w:rFonts w:ascii="Arial" w:hAnsi="Arial" w:cs="Arial"/>
        </w:rPr>
        <w:t>estopped</w:t>
      </w:r>
      <w:r w:rsidR="00CB2878">
        <w:rPr>
          <w:rFonts w:ascii="Arial" w:hAnsi="Arial" w:cs="Arial"/>
        </w:rPr>
        <w:t>,</w:t>
      </w:r>
      <w:r w:rsidR="009F09C1" w:rsidRPr="009F09C1">
        <w:rPr>
          <w:rFonts w:ascii="Arial" w:hAnsi="Arial" w:cs="Arial"/>
        </w:rPr>
        <w:t xml:space="preserve"> (</w:t>
      </w:r>
      <w:r w:rsidR="009F09C1" w:rsidRPr="009F09C1">
        <w:rPr>
          <w:rFonts w:ascii="Arial" w:hAnsi="Arial" w:cs="Arial"/>
          <w:b/>
          <w:bCs/>
          <w:i/>
          <w:iCs/>
        </w:rPr>
        <w:t>para 1</w:t>
      </w:r>
      <w:r w:rsidR="009F09C1" w:rsidRPr="009F09C1">
        <w:rPr>
          <w:rFonts w:ascii="Arial" w:hAnsi="Arial" w:cs="Arial"/>
        </w:rPr>
        <w:t>)</w:t>
      </w:r>
      <w:r w:rsidR="00853C0B" w:rsidRPr="009F09C1">
        <w:rPr>
          <w:rFonts w:ascii="Arial" w:hAnsi="Arial" w:cs="Arial"/>
        </w:rPr>
        <w:t xml:space="preserve">. </w:t>
      </w:r>
      <w:r w:rsidR="008646B9" w:rsidRPr="009F09C1">
        <w:rPr>
          <w:rFonts w:ascii="Arial" w:hAnsi="Arial" w:cs="Arial"/>
        </w:rPr>
        <w:t>Clearl</w:t>
      </w:r>
      <w:r w:rsidR="006B7FFE" w:rsidRPr="009F09C1">
        <w:rPr>
          <w:rFonts w:ascii="Arial" w:hAnsi="Arial" w:cs="Arial"/>
        </w:rPr>
        <w:t>y, c</w:t>
      </w:r>
      <w:r w:rsidR="00853C0B" w:rsidRPr="009F09C1">
        <w:rPr>
          <w:rFonts w:ascii="Arial" w:hAnsi="Arial" w:cs="Arial"/>
        </w:rPr>
        <w:t>ommercial certainty has</w:t>
      </w:r>
      <w:r w:rsidR="00853C0B">
        <w:rPr>
          <w:rFonts w:ascii="Arial" w:hAnsi="Arial" w:cs="Arial"/>
        </w:rPr>
        <w:t xml:space="preserve"> become integral in regulating the rights and obligations of each party to the agreement that will prevent future disputes and </w:t>
      </w:r>
      <w:r w:rsidR="005F2F0D">
        <w:rPr>
          <w:rFonts w:ascii="Arial" w:hAnsi="Arial" w:cs="Arial"/>
        </w:rPr>
        <w:t xml:space="preserve">resolution of </w:t>
      </w:r>
      <w:r w:rsidR="00853C0B">
        <w:rPr>
          <w:rFonts w:ascii="Arial" w:hAnsi="Arial" w:cs="Arial"/>
        </w:rPr>
        <w:t xml:space="preserve">conflicts such as in this case about the variation of the monthly rental. This means the protection of each party </w:t>
      </w:r>
      <w:r w:rsidR="00AC2D92">
        <w:rPr>
          <w:rFonts w:ascii="Arial" w:hAnsi="Arial" w:cs="Arial"/>
        </w:rPr>
        <w:t>in</w:t>
      </w:r>
      <w:r w:rsidR="00853C0B">
        <w:rPr>
          <w:rFonts w:ascii="Arial" w:hAnsi="Arial" w:cs="Arial"/>
        </w:rPr>
        <w:t xml:space="preserve"> the agreement and not the ‘</w:t>
      </w:r>
      <w:r w:rsidR="00853C0B" w:rsidRPr="00BA5E19">
        <w:rPr>
          <w:rFonts w:ascii="Arial" w:hAnsi="Arial" w:cs="Arial"/>
          <w:b/>
          <w:bCs/>
          <w:i/>
          <w:iCs/>
        </w:rPr>
        <w:t>slipping out of the fingers’</w:t>
      </w:r>
      <w:r w:rsidR="00853C0B">
        <w:rPr>
          <w:rFonts w:ascii="Arial" w:hAnsi="Arial" w:cs="Arial"/>
        </w:rPr>
        <w:t xml:space="preserve"> of what each party </w:t>
      </w:r>
      <w:r w:rsidR="00A410C2">
        <w:rPr>
          <w:rFonts w:ascii="Arial" w:hAnsi="Arial" w:cs="Arial"/>
        </w:rPr>
        <w:t>‘</w:t>
      </w:r>
      <w:r w:rsidR="0067567D" w:rsidRPr="00C12621">
        <w:rPr>
          <w:rFonts w:ascii="Arial" w:hAnsi="Arial" w:cs="Arial"/>
          <w:b/>
          <w:bCs/>
          <w:i/>
          <w:iCs/>
        </w:rPr>
        <w:t>might ha</w:t>
      </w:r>
      <w:r w:rsidR="00593408">
        <w:rPr>
          <w:rFonts w:ascii="Arial" w:hAnsi="Arial" w:cs="Arial"/>
          <w:b/>
          <w:bCs/>
          <w:i/>
          <w:iCs/>
        </w:rPr>
        <w:t>d</w:t>
      </w:r>
      <w:r w:rsidR="0067567D" w:rsidRPr="00C12621">
        <w:rPr>
          <w:rFonts w:ascii="Arial" w:hAnsi="Arial" w:cs="Arial"/>
          <w:b/>
          <w:bCs/>
          <w:i/>
          <w:iCs/>
        </w:rPr>
        <w:t xml:space="preserve"> </w:t>
      </w:r>
      <w:r w:rsidR="00853C0B" w:rsidRPr="00C12621">
        <w:rPr>
          <w:rFonts w:ascii="Arial" w:hAnsi="Arial" w:cs="Arial"/>
          <w:b/>
          <w:bCs/>
          <w:i/>
          <w:iCs/>
        </w:rPr>
        <w:t>agreed upon</w:t>
      </w:r>
      <w:r w:rsidR="00A410C2">
        <w:rPr>
          <w:rFonts w:ascii="Arial" w:hAnsi="Arial" w:cs="Arial"/>
        </w:rPr>
        <w:t>’</w:t>
      </w:r>
      <w:r w:rsidR="00D43372">
        <w:rPr>
          <w:rFonts w:ascii="Arial" w:hAnsi="Arial" w:cs="Arial"/>
        </w:rPr>
        <w:t xml:space="preserve"> and creat</w:t>
      </w:r>
      <w:r w:rsidR="00D32E93">
        <w:rPr>
          <w:rFonts w:ascii="Arial" w:hAnsi="Arial" w:cs="Arial"/>
        </w:rPr>
        <w:t>e</w:t>
      </w:r>
      <w:r w:rsidR="00D43372">
        <w:rPr>
          <w:rFonts w:ascii="Arial" w:hAnsi="Arial" w:cs="Arial"/>
        </w:rPr>
        <w:t xml:space="preserve"> doubt about </w:t>
      </w:r>
      <w:r w:rsidR="00DA44AC">
        <w:rPr>
          <w:rFonts w:ascii="Arial" w:hAnsi="Arial" w:cs="Arial"/>
        </w:rPr>
        <w:t xml:space="preserve">the terms of </w:t>
      </w:r>
      <w:r w:rsidR="00D43372">
        <w:rPr>
          <w:rFonts w:ascii="Arial" w:hAnsi="Arial" w:cs="Arial"/>
        </w:rPr>
        <w:t>the</w:t>
      </w:r>
      <w:r w:rsidR="00853C0B">
        <w:rPr>
          <w:rFonts w:ascii="Arial" w:hAnsi="Arial" w:cs="Arial"/>
        </w:rPr>
        <w:t xml:space="preserve"> oral agreement.</w:t>
      </w:r>
    </w:p>
    <w:p w14:paraId="2833D541" w14:textId="37D54D9E" w:rsidR="00853C0B" w:rsidRDefault="00853C0B" w:rsidP="003139B2">
      <w:pPr>
        <w:spacing w:after="0" w:line="360" w:lineRule="auto"/>
        <w:ind w:left="720" w:hanging="720"/>
        <w:jc w:val="both"/>
        <w:rPr>
          <w:rFonts w:ascii="Arial" w:hAnsi="Arial" w:cs="Arial"/>
        </w:rPr>
      </w:pPr>
    </w:p>
    <w:p w14:paraId="3AA6630C" w14:textId="77C679D0" w:rsidR="002D2DB5" w:rsidRDefault="00666759" w:rsidP="00666759">
      <w:pPr>
        <w:spacing w:after="0" w:line="360" w:lineRule="auto"/>
        <w:ind w:left="720" w:hanging="720"/>
        <w:jc w:val="both"/>
        <w:rPr>
          <w:rFonts w:ascii="Arial" w:hAnsi="Arial" w:cs="Arial"/>
        </w:rPr>
      </w:pPr>
      <w:r>
        <w:rPr>
          <w:rFonts w:ascii="Arial" w:hAnsi="Arial" w:cs="Arial"/>
        </w:rPr>
        <w:t>[</w:t>
      </w:r>
      <w:r w:rsidR="0036782D">
        <w:rPr>
          <w:rFonts w:ascii="Arial" w:hAnsi="Arial" w:cs="Arial"/>
        </w:rPr>
        <w:t>10</w:t>
      </w:r>
      <w:r>
        <w:rPr>
          <w:rFonts w:ascii="Arial" w:hAnsi="Arial" w:cs="Arial"/>
        </w:rPr>
        <w:t>]</w:t>
      </w:r>
      <w:r>
        <w:rPr>
          <w:rFonts w:ascii="Arial" w:hAnsi="Arial" w:cs="Arial"/>
        </w:rPr>
        <w:tab/>
      </w:r>
      <w:r w:rsidR="00133E95" w:rsidRPr="00215203">
        <w:rPr>
          <w:rFonts w:ascii="Arial" w:hAnsi="Arial" w:cs="Arial"/>
        </w:rPr>
        <w:t xml:space="preserve">The </w:t>
      </w:r>
      <w:r w:rsidR="00F56096">
        <w:rPr>
          <w:rFonts w:ascii="Arial" w:hAnsi="Arial" w:cs="Arial"/>
        </w:rPr>
        <w:t>a</w:t>
      </w:r>
      <w:r w:rsidR="000E456B">
        <w:rPr>
          <w:rFonts w:ascii="Arial" w:hAnsi="Arial" w:cs="Arial"/>
        </w:rPr>
        <w:t xml:space="preserve">rgument for the </w:t>
      </w:r>
      <w:r w:rsidR="00133E95" w:rsidRPr="00215203">
        <w:rPr>
          <w:rFonts w:ascii="Arial" w:hAnsi="Arial" w:cs="Arial"/>
        </w:rPr>
        <w:t xml:space="preserve">payment of </w:t>
      </w:r>
      <w:r w:rsidR="005A58D5">
        <w:rPr>
          <w:rFonts w:ascii="Arial" w:hAnsi="Arial" w:cs="Arial"/>
        </w:rPr>
        <w:t xml:space="preserve">a </w:t>
      </w:r>
      <w:r w:rsidR="00133E95" w:rsidRPr="00215203">
        <w:rPr>
          <w:rFonts w:ascii="Arial" w:hAnsi="Arial" w:cs="Arial"/>
        </w:rPr>
        <w:t xml:space="preserve">reduced monthly rental under the pretext of a </w:t>
      </w:r>
      <w:r w:rsidR="00133E95" w:rsidRPr="00D32E93">
        <w:rPr>
          <w:rFonts w:ascii="Arial" w:hAnsi="Arial" w:cs="Arial"/>
          <w:i/>
          <w:iCs/>
        </w:rPr>
        <w:t>tacit</w:t>
      </w:r>
      <w:r w:rsidR="00133E95" w:rsidRPr="00215203">
        <w:rPr>
          <w:rFonts w:ascii="Arial" w:hAnsi="Arial" w:cs="Arial"/>
        </w:rPr>
        <w:t xml:space="preserve"> agreement is not sustainable</w:t>
      </w:r>
      <w:r w:rsidR="000E456B">
        <w:rPr>
          <w:rFonts w:ascii="Arial" w:hAnsi="Arial" w:cs="Arial"/>
        </w:rPr>
        <w:t>. I</w:t>
      </w:r>
      <w:r w:rsidR="00133E95" w:rsidRPr="00215203">
        <w:rPr>
          <w:rFonts w:ascii="Arial" w:hAnsi="Arial" w:cs="Arial"/>
        </w:rPr>
        <w:t xml:space="preserve">t </w:t>
      </w:r>
      <w:r w:rsidR="00026103">
        <w:rPr>
          <w:rFonts w:ascii="Arial" w:hAnsi="Arial" w:cs="Arial"/>
        </w:rPr>
        <w:t>generates</w:t>
      </w:r>
      <w:r w:rsidR="00EE1FB6">
        <w:rPr>
          <w:rFonts w:ascii="Arial" w:hAnsi="Arial" w:cs="Arial"/>
        </w:rPr>
        <w:t xml:space="preserve"> </w:t>
      </w:r>
      <w:r w:rsidR="00512695">
        <w:rPr>
          <w:rFonts w:ascii="Arial" w:hAnsi="Arial" w:cs="Arial"/>
        </w:rPr>
        <w:t>vagueness</w:t>
      </w:r>
      <w:r w:rsidR="00EE1FB6">
        <w:rPr>
          <w:rFonts w:ascii="Arial" w:hAnsi="Arial" w:cs="Arial"/>
        </w:rPr>
        <w:t xml:space="preserve"> </w:t>
      </w:r>
      <w:r w:rsidR="00BB6F75">
        <w:rPr>
          <w:rFonts w:ascii="Arial" w:hAnsi="Arial" w:cs="Arial"/>
        </w:rPr>
        <w:t>and subject</w:t>
      </w:r>
      <w:r w:rsidR="00BC206B">
        <w:rPr>
          <w:rFonts w:ascii="Arial" w:hAnsi="Arial" w:cs="Arial"/>
        </w:rPr>
        <w:t>s</w:t>
      </w:r>
      <w:r w:rsidR="00BB6F75">
        <w:rPr>
          <w:rFonts w:ascii="Arial" w:hAnsi="Arial" w:cs="Arial"/>
        </w:rPr>
        <w:t xml:space="preserve"> the </w:t>
      </w:r>
      <w:r w:rsidR="009B56DE">
        <w:rPr>
          <w:rFonts w:ascii="Arial" w:hAnsi="Arial" w:cs="Arial"/>
        </w:rPr>
        <w:t xml:space="preserve">economic viability </w:t>
      </w:r>
      <w:r w:rsidR="00BB6F75">
        <w:rPr>
          <w:rFonts w:ascii="Arial" w:hAnsi="Arial" w:cs="Arial"/>
        </w:rPr>
        <w:t>of the plaintiff</w:t>
      </w:r>
      <w:r w:rsidR="00643A10">
        <w:rPr>
          <w:rFonts w:ascii="Arial" w:hAnsi="Arial" w:cs="Arial"/>
        </w:rPr>
        <w:t xml:space="preserve">’s business </w:t>
      </w:r>
      <w:r w:rsidR="00BB6F75">
        <w:rPr>
          <w:rFonts w:ascii="Arial" w:hAnsi="Arial" w:cs="Arial"/>
        </w:rPr>
        <w:t xml:space="preserve">at the mercy of the defendants. </w:t>
      </w:r>
      <w:r w:rsidR="00430913">
        <w:rPr>
          <w:rFonts w:ascii="Arial" w:hAnsi="Arial" w:cs="Arial"/>
        </w:rPr>
        <w:t xml:space="preserve">This is a very misguided </w:t>
      </w:r>
      <w:r w:rsidR="003972F3">
        <w:rPr>
          <w:rFonts w:ascii="Arial" w:hAnsi="Arial" w:cs="Arial"/>
        </w:rPr>
        <w:t>approach,</w:t>
      </w:r>
      <w:r w:rsidR="00430913">
        <w:rPr>
          <w:rFonts w:ascii="Arial" w:hAnsi="Arial" w:cs="Arial"/>
        </w:rPr>
        <w:t xml:space="preserve"> and</w:t>
      </w:r>
      <w:r w:rsidR="00D84ECE">
        <w:rPr>
          <w:rFonts w:ascii="Arial" w:hAnsi="Arial" w:cs="Arial"/>
        </w:rPr>
        <w:t xml:space="preserve"> i</w:t>
      </w:r>
      <w:r w:rsidR="00133E95" w:rsidRPr="00215203">
        <w:rPr>
          <w:rFonts w:ascii="Arial" w:hAnsi="Arial" w:cs="Arial"/>
        </w:rPr>
        <w:t>t would be unwise for th</w:t>
      </w:r>
      <w:r w:rsidR="00290D20">
        <w:rPr>
          <w:rFonts w:ascii="Arial" w:hAnsi="Arial" w:cs="Arial"/>
        </w:rPr>
        <w:t>is</w:t>
      </w:r>
      <w:r w:rsidR="00133E95" w:rsidRPr="00215203">
        <w:rPr>
          <w:rFonts w:ascii="Arial" w:hAnsi="Arial" w:cs="Arial"/>
        </w:rPr>
        <w:t xml:space="preserve"> court in the exercise of </w:t>
      </w:r>
      <w:r w:rsidR="00D84ECE">
        <w:rPr>
          <w:rFonts w:ascii="Arial" w:hAnsi="Arial" w:cs="Arial"/>
        </w:rPr>
        <w:t>its</w:t>
      </w:r>
      <w:r w:rsidR="00133E95" w:rsidRPr="00215203">
        <w:rPr>
          <w:rFonts w:ascii="Arial" w:hAnsi="Arial" w:cs="Arial"/>
        </w:rPr>
        <w:t xml:space="preserve"> discretion with voluminous jurisprudence guiding this area of the law would fall prey </w:t>
      </w:r>
      <w:r w:rsidR="00133E95">
        <w:rPr>
          <w:rFonts w:ascii="Arial" w:hAnsi="Arial" w:cs="Arial"/>
        </w:rPr>
        <w:t>to unsound reasons which are</w:t>
      </w:r>
      <w:r w:rsidR="00F727E4">
        <w:rPr>
          <w:rFonts w:ascii="Arial" w:hAnsi="Arial" w:cs="Arial"/>
        </w:rPr>
        <w:t xml:space="preserve"> also</w:t>
      </w:r>
      <w:r w:rsidR="00133E95">
        <w:rPr>
          <w:rFonts w:ascii="Arial" w:hAnsi="Arial" w:cs="Arial"/>
        </w:rPr>
        <w:t xml:space="preserve"> not in good law. </w:t>
      </w:r>
      <w:r w:rsidR="00AF31F1">
        <w:rPr>
          <w:rFonts w:ascii="Arial" w:hAnsi="Arial" w:cs="Arial"/>
        </w:rPr>
        <w:t xml:space="preserve">I am encouraged by </w:t>
      </w:r>
      <w:proofErr w:type="spellStart"/>
      <w:r w:rsidR="00AF31F1">
        <w:rPr>
          <w:rFonts w:ascii="Arial" w:hAnsi="Arial" w:cs="Arial"/>
        </w:rPr>
        <w:t>Mabindla-Boqwana</w:t>
      </w:r>
      <w:proofErr w:type="spellEnd"/>
      <w:r w:rsidR="00F32DA8">
        <w:rPr>
          <w:rFonts w:ascii="Arial" w:hAnsi="Arial" w:cs="Arial"/>
        </w:rPr>
        <w:t xml:space="preserve"> JA</w:t>
      </w:r>
      <w:r w:rsidR="00AF31F1">
        <w:rPr>
          <w:rFonts w:ascii="Arial" w:hAnsi="Arial" w:cs="Arial"/>
        </w:rPr>
        <w:t xml:space="preserve"> in </w:t>
      </w:r>
      <w:r w:rsidR="00BF2042" w:rsidRPr="005F4EE1">
        <w:rPr>
          <w:rFonts w:ascii="Arial" w:hAnsi="Arial" w:cs="Arial"/>
          <w:b/>
          <w:bCs/>
          <w:i/>
          <w:iCs/>
        </w:rPr>
        <w:t>Ba-</w:t>
      </w:r>
      <w:r w:rsidR="00BF2042" w:rsidRPr="005B25A3">
        <w:rPr>
          <w:rFonts w:ascii="Arial" w:hAnsi="Arial" w:cs="Arial"/>
          <w:b/>
          <w:bCs/>
          <w:i/>
          <w:iCs/>
        </w:rPr>
        <w:t>Gat Motors</w:t>
      </w:r>
      <w:r w:rsidR="00BF2042">
        <w:rPr>
          <w:rFonts w:ascii="Arial" w:hAnsi="Arial" w:cs="Arial"/>
          <w:b/>
          <w:bCs/>
          <w:i/>
          <w:iCs/>
        </w:rPr>
        <w:t xml:space="preserve"> </w:t>
      </w:r>
      <w:r w:rsidR="00BF2042" w:rsidRPr="00BF2042">
        <w:rPr>
          <w:rFonts w:ascii="Arial" w:hAnsi="Arial" w:cs="Arial"/>
        </w:rPr>
        <w:t xml:space="preserve">judgment above in that </w:t>
      </w:r>
      <w:r w:rsidR="00BC0597">
        <w:rPr>
          <w:rFonts w:ascii="Arial" w:hAnsi="Arial" w:cs="Arial"/>
        </w:rPr>
        <w:t>‘</w:t>
      </w:r>
      <w:r w:rsidR="00BC0597" w:rsidRPr="00F32DA8">
        <w:rPr>
          <w:rFonts w:ascii="Arial" w:hAnsi="Arial" w:cs="Arial"/>
          <w:i/>
          <w:iCs/>
        </w:rPr>
        <w:t>a reasonable person in the position of th</w:t>
      </w:r>
      <w:r w:rsidR="0049430F" w:rsidRPr="00F32DA8">
        <w:rPr>
          <w:rFonts w:ascii="Arial" w:hAnsi="Arial" w:cs="Arial"/>
          <w:i/>
          <w:iCs/>
        </w:rPr>
        <w:t>e plaintiff would, having knowledge of the true facts</w:t>
      </w:r>
      <w:r w:rsidR="00F622CB" w:rsidRPr="00F32DA8">
        <w:rPr>
          <w:rFonts w:ascii="Arial" w:hAnsi="Arial" w:cs="Arial"/>
          <w:i/>
          <w:iCs/>
        </w:rPr>
        <w:t>, release the defendants from the agreement in paying the agreed amount</w:t>
      </w:r>
      <w:r w:rsidR="00EE6C68" w:rsidRPr="00F32DA8">
        <w:rPr>
          <w:rFonts w:ascii="Arial" w:hAnsi="Arial" w:cs="Arial"/>
          <w:i/>
          <w:iCs/>
        </w:rPr>
        <w:t xml:space="preserve"> and receive a reduced rental </w:t>
      </w:r>
      <w:r w:rsidR="007A217A" w:rsidRPr="00F32DA8">
        <w:rPr>
          <w:rFonts w:ascii="Arial" w:hAnsi="Arial" w:cs="Arial"/>
          <w:i/>
          <w:iCs/>
        </w:rPr>
        <w:t>income</w:t>
      </w:r>
      <w:r w:rsidR="007A217A">
        <w:rPr>
          <w:rFonts w:ascii="Arial" w:hAnsi="Arial" w:cs="Arial"/>
        </w:rPr>
        <w:t>’, (</w:t>
      </w:r>
      <w:r w:rsidR="007A217A" w:rsidRPr="007A217A">
        <w:rPr>
          <w:rFonts w:ascii="Arial" w:hAnsi="Arial" w:cs="Arial"/>
          <w:b/>
          <w:bCs/>
          <w:i/>
          <w:iCs/>
        </w:rPr>
        <w:t>para 29</w:t>
      </w:r>
      <w:r w:rsidR="007A217A">
        <w:rPr>
          <w:rFonts w:ascii="Arial" w:hAnsi="Arial" w:cs="Arial"/>
        </w:rPr>
        <w:t>).</w:t>
      </w:r>
      <w:r w:rsidR="006E3894">
        <w:rPr>
          <w:rFonts w:ascii="Arial" w:hAnsi="Arial" w:cs="Arial"/>
        </w:rPr>
        <w:t xml:space="preserve"> </w:t>
      </w:r>
      <w:r w:rsidR="00057241">
        <w:rPr>
          <w:rFonts w:ascii="Arial" w:hAnsi="Arial" w:cs="Arial"/>
        </w:rPr>
        <w:t xml:space="preserve">It is not for this court to pre-empt and assume the acceptance of the reduced rental </w:t>
      </w:r>
      <w:r w:rsidR="001B6C75">
        <w:rPr>
          <w:rFonts w:ascii="Arial" w:hAnsi="Arial" w:cs="Arial"/>
        </w:rPr>
        <w:t>which could had been motivated by factors that were not before this court</w:t>
      </w:r>
      <w:r w:rsidR="00E708F4">
        <w:rPr>
          <w:rFonts w:ascii="Arial" w:hAnsi="Arial" w:cs="Arial"/>
        </w:rPr>
        <w:t>.</w:t>
      </w:r>
      <w:r w:rsidR="00353943">
        <w:rPr>
          <w:rFonts w:ascii="Arial" w:hAnsi="Arial" w:cs="Arial"/>
        </w:rPr>
        <w:t xml:space="preserve"> </w:t>
      </w:r>
      <w:r w:rsidR="00133E95">
        <w:rPr>
          <w:rFonts w:ascii="Arial" w:hAnsi="Arial" w:cs="Arial"/>
        </w:rPr>
        <w:t xml:space="preserve">Any contract, not just a commercial one as in this case, is founded on the principles of a trust relationship between the parties. </w:t>
      </w:r>
      <w:r w:rsidR="00BF7029">
        <w:rPr>
          <w:rFonts w:ascii="Arial" w:hAnsi="Arial" w:cs="Arial"/>
        </w:rPr>
        <w:lastRenderedPageBreak/>
        <w:t xml:space="preserve">The parties need not </w:t>
      </w:r>
      <w:r w:rsidR="00B32616">
        <w:rPr>
          <w:rFonts w:ascii="Arial" w:hAnsi="Arial" w:cs="Arial"/>
        </w:rPr>
        <w:t xml:space="preserve">be anxious and </w:t>
      </w:r>
      <w:r w:rsidR="00BF7029">
        <w:rPr>
          <w:rFonts w:ascii="Arial" w:hAnsi="Arial" w:cs="Arial"/>
        </w:rPr>
        <w:t>‘</w:t>
      </w:r>
      <w:r w:rsidR="00BF7029" w:rsidRPr="00786B0A">
        <w:rPr>
          <w:rFonts w:ascii="Arial" w:hAnsi="Arial" w:cs="Arial"/>
          <w:b/>
          <w:bCs/>
          <w:i/>
          <w:iCs/>
        </w:rPr>
        <w:t>skate on a thin ice</w:t>
      </w:r>
      <w:r w:rsidR="00BF7029">
        <w:rPr>
          <w:rFonts w:ascii="Arial" w:hAnsi="Arial" w:cs="Arial"/>
        </w:rPr>
        <w:t>’</w:t>
      </w:r>
      <w:r w:rsidR="00E97907">
        <w:rPr>
          <w:rFonts w:ascii="Arial" w:hAnsi="Arial" w:cs="Arial"/>
        </w:rPr>
        <w:t xml:space="preserve"> in the regulation of their contractual relationship</w:t>
      </w:r>
      <w:r w:rsidR="00B32616">
        <w:rPr>
          <w:rFonts w:ascii="Arial" w:hAnsi="Arial" w:cs="Arial"/>
        </w:rPr>
        <w:t>. E</w:t>
      </w:r>
      <w:r w:rsidR="00E97907">
        <w:rPr>
          <w:rFonts w:ascii="Arial" w:hAnsi="Arial" w:cs="Arial"/>
        </w:rPr>
        <w:t xml:space="preserve">ach one </w:t>
      </w:r>
      <w:r w:rsidR="00CC1C93">
        <w:rPr>
          <w:rFonts w:ascii="Arial" w:hAnsi="Arial" w:cs="Arial"/>
        </w:rPr>
        <w:t>must</w:t>
      </w:r>
      <w:r w:rsidR="00E97907">
        <w:rPr>
          <w:rFonts w:ascii="Arial" w:hAnsi="Arial" w:cs="Arial"/>
        </w:rPr>
        <w:t xml:space="preserve"> have full confidence o</w:t>
      </w:r>
      <w:r w:rsidR="00371A98">
        <w:rPr>
          <w:rFonts w:ascii="Arial" w:hAnsi="Arial" w:cs="Arial"/>
        </w:rPr>
        <w:t>f</w:t>
      </w:r>
      <w:r w:rsidR="00E97907">
        <w:rPr>
          <w:rFonts w:ascii="Arial" w:hAnsi="Arial" w:cs="Arial"/>
        </w:rPr>
        <w:t xml:space="preserve"> each other’s commitment to the terms and conditions of the agreement. </w:t>
      </w:r>
      <w:r w:rsidR="00587290">
        <w:rPr>
          <w:rFonts w:ascii="Arial" w:hAnsi="Arial" w:cs="Arial"/>
        </w:rPr>
        <w:t xml:space="preserve">It is not for either party to try and find a gap </w:t>
      </w:r>
      <w:r w:rsidR="0097131A">
        <w:rPr>
          <w:rFonts w:ascii="Arial" w:hAnsi="Arial" w:cs="Arial"/>
        </w:rPr>
        <w:t xml:space="preserve">in avoiding compliance </w:t>
      </w:r>
      <w:r w:rsidR="002B2796">
        <w:rPr>
          <w:rFonts w:ascii="Arial" w:hAnsi="Arial" w:cs="Arial"/>
        </w:rPr>
        <w:t>with</w:t>
      </w:r>
      <w:r w:rsidR="0097131A">
        <w:rPr>
          <w:rFonts w:ascii="Arial" w:hAnsi="Arial" w:cs="Arial"/>
        </w:rPr>
        <w:t xml:space="preserve"> the agreement</w:t>
      </w:r>
      <w:r w:rsidR="0097131A" w:rsidRPr="00DC638D">
        <w:rPr>
          <w:rFonts w:ascii="Arial" w:hAnsi="Arial" w:cs="Arial"/>
        </w:rPr>
        <w:t xml:space="preserve">. </w:t>
      </w:r>
      <w:r w:rsidR="00152FF8">
        <w:rPr>
          <w:rFonts w:ascii="Arial" w:hAnsi="Arial" w:cs="Arial"/>
        </w:rPr>
        <w:t xml:space="preserve">In this case, </w:t>
      </w:r>
      <w:r w:rsidR="002D2DB5">
        <w:rPr>
          <w:rFonts w:ascii="Arial" w:hAnsi="Arial" w:cs="Arial"/>
        </w:rPr>
        <w:t>the sphere of economic activity</w:t>
      </w:r>
      <w:r w:rsidR="00C72A0D">
        <w:rPr>
          <w:rFonts w:ascii="Arial" w:hAnsi="Arial" w:cs="Arial"/>
        </w:rPr>
        <w:t xml:space="preserve"> </w:t>
      </w:r>
      <w:r w:rsidR="004A35BE">
        <w:rPr>
          <w:rFonts w:ascii="Arial" w:hAnsi="Arial" w:cs="Arial"/>
        </w:rPr>
        <w:t xml:space="preserve">requires both parties to be more aware of the </w:t>
      </w:r>
      <w:r w:rsidR="00B5177C">
        <w:rPr>
          <w:rFonts w:ascii="Arial" w:hAnsi="Arial" w:cs="Arial"/>
        </w:rPr>
        <w:t>‘</w:t>
      </w:r>
      <w:r w:rsidR="004A35BE" w:rsidRPr="00B5177C">
        <w:rPr>
          <w:rFonts w:ascii="Arial" w:hAnsi="Arial" w:cs="Arial"/>
          <w:b/>
          <w:bCs/>
          <w:i/>
          <w:iCs/>
        </w:rPr>
        <w:t>legal blinds</w:t>
      </w:r>
      <w:r w:rsidR="00B5177C">
        <w:rPr>
          <w:rFonts w:ascii="Arial" w:hAnsi="Arial" w:cs="Arial"/>
        </w:rPr>
        <w:t>’</w:t>
      </w:r>
      <w:r w:rsidR="004A35BE">
        <w:rPr>
          <w:rFonts w:ascii="Arial" w:hAnsi="Arial" w:cs="Arial"/>
        </w:rPr>
        <w:t xml:space="preserve"> that may or not </w:t>
      </w:r>
      <w:r w:rsidR="00F62D64">
        <w:rPr>
          <w:rFonts w:ascii="Arial" w:hAnsi="Arial" w:cs="Arial"/>
        </w:rPr>
        <w:t xml:space="preserve">compromise the legitimacy of the relationship and the waiver of the terms is not </w:t>
      </w:r>
      <w:r w:rsidR="00B5177C">
        <w:rPr>
          <w:rFonts w:ascii="Arial" w:hAnsi="Arial" w:cs="Arial"/>
        </w:rPr>
        <w:t>an</w:t>
      </w:r>
      <w:r w:rsidR="00F62D64">
        <w:rPr>
          <w:rFonts w:ascii="Arial" w:hAnsi="Arial" w:cs="Arial"/>
        </w:rPr>
        <w:t xml:space="preserve"> </w:t>
      </w:r>
      <w:r w:rsidR="00B5177C">
        <w:rPr>
          <w:rFonts w:ascii="Arial" w:hAnsi="Arial" w:cs="Arial"/>
        </w:rPr>
        <w:t xml:space="preserve">undertaking to be done without being reduced into writing as confirmed in the </w:t>
      </w:r>
      <w:proofErr w:type="spellStart"/>
      <w:r w:rsidR="00B5177C" w:rsidRPr="00B5177C">
        <w:rPr>
          <w:rFonts w:ascii="Arial" w:hAnsi="Arial" w:cs="Arial"/>
          <w:b/>
          <w:bCs/>
          <w:i/>
          <w:iCs/>
        </w:rPr>
        <w:t>Shrifren</w:t>
      </w:r>
      <w:proofErr w:type="spellEnd"/>
      <w:r w:rsidR="00B5177C">
        <w:rPr>
          <w:rFonts w:ascii="Arial" w:hAnsi="Arial" w:cs="Arial"/>
        </w:rPr>
        <w:t xml:space="preserve"> principles.</w:t>
      </w:r>
    </w:p>
    <w:p w14:paraId="5094FF92" w14:textId="77777777" w:rsidR="00133E95" w:rsidRDefault="00133E95" w:rsidP="00133E95">
      <w:pPr>
        <w:spacing w:after="0" w:line="360" w:lineRule="auto"/>
        <w:jc w:val="both"/>
        <w:rPr>
          <w:rFonts w:ascii="Arial" w:hAnsi="Arial" w:cs="Arial"/>
        </w:rPr>
      </w:pPr>
    </w:p>
    <w:p w14:paraId="6D299778" w14:textId="282945CA" w:rsidR="00143FB9" w:rsidRPr="003D020F" w:rsidRDefault="00641D08" w:rsidP="002939C9">
      <w:pPr>
        <w:spacing w:after="0" w:line="360" w:lineRule="auto"/>
        <w:ind w:left="720" w:hanging="720"/>
        <w:jc w:val="both"/>
        <w:rPr>
          <w:rFonts w:ascii="Arial" w:hAnsi="Arial" w:cs="Arial"/>
        </w:rPr>
      </w:pPr>
      <w:r>
        <w:rPr>
          <w:rFonts w:ascii="Arial" w:hAnsi="Arial" w:cs="Arial"/>
        </w:rPr>
        <w:t>[</w:t>
      </w:r>
      <w:r w:rsidR="0036782D">
        <w:rPr>
          <w:rFonts w:ascii="Arial" w:hAnsi="Arial" w:cs="Arial"/>
        </w:rPr>
        <w:t>11</w:t>
      </w:r>
      <w:r>
        <w:rPr>
          <w:rFonts w:ascii="Arial" w:hAnsi="Arial" w:cs="Arial"/>
        </w:rPr>
        <w:t>]</w:t>
      </w:r>
      <w:r>
        <w:rPr>
          <w:rFonts w:ascii="Arial" w:hAnsi="Arial" w:cs="Arial"/>
        </w:rPr>
        <w:tab/>
      </w:r>
      <w:r w:rsidR="00CF1617">
        <w:rPr>
          <w:rFonts w:ascii="Arial" w:hAnsi="Arial" w:cs="Arial"/>
        </w:rPr>
        <w:t xml:space="preserve">Another contentious </w:t>
      </w:r>
      <w:r w:rsidR="00AB6ACB">
        <w:rPr>
          <w:rFonts w:ascii="Arial" w:hAnsi="Arial" w:cs="Arial"/>
        </w:rPr>
        <w:t xml:space="preserve">issue in this matter </w:t>
      </w:r>
      <w:r w:rsidR="003647D9">
        <w:rPr>
          <w:rFonts w:ascii="Arial" w:hAnsi="Arial" w:cs="Arial"/>
        </w:rPr>
        <w:t>was</w:t>
      </w:r>
      <w:r w:rsidR="00AB6ACB">
        <w:rPr>
          <w:rFonts w:ascii="Arial" w:hAnsi="Arial" w:cs="Arial"/>
        </w:rPr>
        <w:t xml:space="preserve"> the rejection of the </w:t>
      </w:r>
      <w:r w:rsidR="00777CFA">
        <w:rPr>
          <w:rFonts w:ascii="Arial" w:hAnsi="Arial" w:cs="Arial"/>
        </w:rPr>
        <w:t>reasonableness</w:t>
      </w:r>
      <w:r w:rsidR="00AB6ACB">
        <w:rPr>
          <w:rFonts w:ascii="Arial" w:hAnsi="Arial" w:cs="Arial"/>
        </w:rPr>
        <w:t xml:space="preserve"> of the suret</w:t>
      </w:r>
      <w:r w:rsidR="002939C9">
        <w:rPr>
          <w:rFonts w:ascii="Arial" w:hAnsi="Arial" w:cs="Arial"/>
        </w:rPr>
        <w:t>yship agreement. T</w:t>
      </w:r>
      <w:r w:rsidR="00CF1617">
        <w:rPr>
          <w:rFonts w:ascii="Arial" w:hAnsi="Arial" w:cs="Arial"/>
        </w:rPr>
        <w:t>he second defendant</w:t>
      </w:r>
      <w:r w:rsidR="005E0BBD">
        <w:rPr>
          <w:rFonts w:ascii="Arial" w:hAnsi="Arial" w:cs="Arial"/>
        </w:rPr>
        <w:t xml:space="preserve"> argued against the legitimacy of the sure</w:t>
      </w:r>
      <w:r w:rsidR="003A349B">
        <w:rPr>
          <w:rFonts w:ascii="Arial" w:hAnsi="Arial" w:cs="Arial"/>
        </w:rPr>
        <w:t xml:space="preserve">ty agreement </w:t>
      </w:r>
      <w:r w:rsidR="00CB2878">
        <w:rPr>
          <w:rFonts w:ascii="Arial" w:hAnsi="Arial" w:cs="Arial"/>
        </w:rPr>
        <w:t>claiming</w:t>
      </w:r>
      <w:r w:rsidR="003A349B">
        <w:rPr>
          <w:rFonts w:ascii="Arial" w:hAnsi="Arial" w:cs="Arial"/>
        </w:rPr>
        <w:t xml:space="preserve"> that she was not advised of the </w:t>
      </w:r>
      <w:proofErr w:type="spellStart"/>
      <w:r w:rsidR="00E71530">
        <w:rPr>
          <w:rFonts w:ascii="Arial" w:hAnsi="Arial" w:cs="Arial"/>
        </w:rPr>
        <w:t>excussion</w:t>
      </w:r>
      <w:proofErr w:type="spellEnd"/>
      <w:r w:rsidR="00E71530">
        <w:rPr>
          <w:rFonts w:ascii="Arial" w:hAnsi="Arial" w:cs="Arial"/>
        </w:rPr>
        <w:t xml:space="preserve"> benefits and of great concern for this court was the contention </w:t>
      </w:r>
      <w:r w:rsidR="00486081">
        <w:rPr>
          <w:rFonts w:ascii="Arial" w:hAnsi="Arial" w:cs="Arial"/>
        </w:rPr>
        <w:t xml:space="preserve">that it was entered into prior </w:t>
      </w:r>
      <w:r w:rsidR="00B11E1D">
        <w:rPr>
          <w:rFonts w:ascii="Arial" w:hAnsi="Arial" w:cs="Arial"/>
        </w:rPr>
        <w:t xml:space="preserve">the signage of the original agreement. </w:t>
      </w:r>
      <w:r w:rsidR="00AA1B7F">
        <w:rPr>
          <w:rFonts w:ascii="Arial" w:hAnsi="Arial" w:cs="Arial"/>
        </w:rPr>
        <w:t xml:space="preserve">The second defendant was opportunistic and economically with the </w:t>
      </w:r>
      <w:r w:rsidR="000057B8">
        <w:rPr>
          <w:rFonts w:ascii="Arial" w:hAnsi="Arial" w:cs="Arial"/>
        </w:rPr>
        <w:t xml:space="preserve">principles </w:t>
      </w:r>
      <w:r w:rsidR="00AE2493">
        <w:rPr>
          <w:rFonts w:ascii="Arial" w:hAnsi="Arial" w:cs="Arial"/>
        </w:rPr>
        <w:t xml:space="preserve">underlying </w:t>
      </w:r>
      <w:r w:rsidR="000057B8">
        <w:rPr>
          <w:rFonts w:ascii="Arial" w:hAnsi="Arial" w:cs="Arial"/>
        </w:rPr>
        <w:t>the suret</w:t>
      </w:r>
      <w:r w:rsidR="00AC1A58">
        <w:rPr>
          <w:rFonts w:ascii="Arial" w:hAnsi="Arial" w:cs="Arial"/>
        </w:rPr>
        <w:t xml:space="preserve">yship agreement. A surety </w:t>
      </w:r>
      <w:r w:rsidR="00CF1617">
        <w:rPr>
          <w:rFonts w:ascii="Arial" w:hAnsi="Arial" w:cs="Arial"/>
        </w:rPr>
        <w:t xml:space="preserve">is bound as a principal contractor to the terms of </w:t>
      </w:r>
      <w:r w:rsidR="00CF1617" w:rsidRPr="006811CF">
        <w:rPr>
          <w:rFonts w:ascii="Arial" w:hAnsi="Arial" w:cs="Arial"/>
        </w:rPr>
        <w:t xml:space="preserve">the agreement by incurring the responsibilities and obligations of the first defendant. </w:t>
      </w:r>
      <w:r w:rsidR="00CF5089">
        <w:rPr>
          <w:rFonts w:ascii="Arial" w:hAnsi="Arial" w:cs="Arial"/>
        </w:rPr>
        <w:t xml:space="preserve">Section 6 of the General Law Amendment Act 50 of 1956 </w:t>
      </w:r>
      <w:r w:rsidR="00077006">
        <w:rPr>
          <w:rFonts w:ascii="Arial" w:hAnsi="Arial" w:cs="Arial"/>
        </w:rPr>
        <w:t xml:space="preserve">is explicit and </w:t>
      </w:r>
      <w:r w:rsidR="003C15A9">
        <w:rPr>
          <w:rFonts w:ascii="Arial" w:hAnsi="Arial" w:cs="Arial"/>
        </w:rPr>
        <w:t>endorses</w:t>
      </w:r>
      <w:r w:rsidR="00077006" w:rsidRPr="003D020F">
        <w:rPr>
          <w:rFonts w:ascii="Arial" w:hAnsi="Arial" w:cs="Arial"/>
        </w:rPr>
        <w:t xml:space="preserve"> suretyship agreements read</w:t>
      </w:r>
      <w:r w:rsidR="009F5A6C">
        <w:rPr>
          <w:rFonts w:ascii="Arial" w:hAnsi="Arial" w:cs="Arial"/>
        </w:rPr>
        <w:t>ing</w:t>
      </w:r>
      <w:r w:rsidR="00077006" w:rsidRPr="003D020F">
        <w:rPr>
          <w:rFonts w:ascii="Arial" w:hAnsi="Arial" w:cs="Arial"/>
        </w:rPr>
        <w:t xml:space="preserve"> as follows: </w:t>
      </w:r>
    </w:p>
    <w:p w14:paraId="4B853B6F" w14:textId="77777777" w:rsidR="003D020F" w:rsidRDefault="003D020F" w:rsidP="003D020F">
      <w:pPr>
        <w:spacing w:after="0" w:line="360" w:lineRule="auto"/>
        <w:ind w:left="720"/>
        <w:jc w:val="both"/>
        <w:rPr>
          <w:rFonts w:ascii="Arial" w:hAnsi="Arial" w:cs="Arial"/>
        </w:rPr>
      </w:pPr>
    </w:p>
    <w:p w14:paraId="217805CB" w14:textId="75CF7320" w:rsidR="00143FB9" w:rsidRPr="003D020F" w:rsidRDefault="003D020F" w:rsidP="00DF4EE2">
      <w:pPr>
        <w:spacing w:after="0" w:line="360" w:lineRule="auto"/>
        <w:ind w:left="2160"/>
        <w:jc w:val="both"/>
        <w:rPr>
          <w:rFonts w:ascii="Arial" w:hAnsi="Arial" w:cs="Arial"/>
        </w:rPr>
      </w:pPr>
      <w:r w:rsidRPr="00DF4EE2">
        <w:rPr>
          <w:rFonts w:ascii="Arial" w:hAnsi="Arial" w:cs="Arial"/>
          <w:i/>
          <w:iCs/>
        </w:rPr>
        <w:t>n</w:t>
      </w:r>
      <w:r w:rsidR="00143FB9" w:rsidRPr="00DF4EE2">
        <w:rPr>
          <w:rFonts w:ascii="Arial" w:hAnsi="Arial" w:cs="Arial"/>
          <w:i/>
          <w:iCs/>
        </w:rPr>
        <w:t>o contract of suretyship entered into after the commencement of this Act, shall be valid, unless the terms thereof are embodied in a written document signed by or on behalf of the surety: Provided that nothing in this section contained shall affect the liability of the signer of an aval under the laws relating to negotiable instruments</w:t>
      </w:r>
      <w:r w:rsidR="00143FB9" w:rsidRPr="003D020F">
        <w:rPr>
          <w:rFonts w:ascii="Arial" w:hAnsi="Arial" w:cs="Arial"/>
        </w:rPr>
        <w:t>.</w:t>
      </w:r>
      <w:r w:rsidR="00F44B1A">
        <w:rPr>
          <w:rFonts w:ascii="Arial" w:hAnsi="Arial" w:cs="Arial"/>
        </w:rPr>
        <w:t xml:space="preserve"> </w:t>
      </w:r>
    </w:p>
    <w:p w14:paraId="3B33EF5A" w14:textId="77777777" w:rsidR="00EC5316" w:rsidRDefault="00EC5316" w:rsidP="002939C9">
      <w:pPr>
        <w:spacing w:after="0" w:line="360" w:lineRule="auto"/>
        <w:ind w:left="720" w:hanging="720"/>
        <w:jc w:val="both"/>
        <w:rPr>
          <w:rFonts w:ascii="Arial" w:hAnsi="Arial" w:cs="Arial"/>
        </w:rPr>
      </w:pPr>
    </w:p>
    <w:p w14:paraId="44B12FB1" w14:textId="3DCDEAAC" w:rsidR="00EE2A6F" w:rsidRDefault="00F44B1A" w:rsidP="002939C9">
      <w:pPr>
        <w:spacing w:after="0" w:line="360" w:lineRule="auto"/>
        <w:ind w:left="720" w:hanging="720"/>
        <w:jc w:val="both"/>
        <w:rPr>
          <w:rFonts w:ascii="Arial" w:hAnsi="Arial" w:cs="Arial"/>
        </w:rPr>
      </w:pPr>
      <w:r>
        <w:rPr>
          <w:rFonts w:ascii="Arial" w:hAnsi="Arial" w:cs="Arial"/>
        </w:rPr>
        <w:t>[12]</w:t>
      </w:r>
      <w:r>
        <w:rPr>
          <w:rFonts w:ascii="Arial" w:hAnsi="Arial" w:cs="Arial"/>
        </w:rPr>
        <w:tab/>
        <w:t xml:space="preserve">A suretyship agreement </w:t>
      </w:r>
      <w:r w:rsidR="00FC5E8A">
        <w:rPr>
          <w:rFonts w:ascii="Arial" w:hAnsi="Arial" w:cs="Arial"/>
        </w:rPr>
        <w:t>was then contextualised and defined in</w:t>
      </w:r>
      <w:r w:rsidR="00FD5E9C" w:rsidRPr="006811CF">
        <w:rPr>
          <w:rFonts w:ascii="Arial" w:hAnsi="Arial" w:cs="Arial"/>
        </w:rPr>
        <w:t xml:space="preserve"> the Respondent’</w:t>
      </w:r>
      <w:r w:rsidR="00707EF4">
        <w:rPr>
          <w:rFonts w:ascii="Arial" w:hAnsi="Arial" w:cs="Arial"/>
        </w:rPr>
        <w:t>s</w:t>
      </w:r>
      <w:r w:rsidR="004431E7" w:rsidRPr="006811CF">
        <w:rPr>
          <w:rFonts w:ascii="Arial" w:hAnsi="Arial" w:cs="Arial"/>
        </w:rPr>
        <w:t xml:space="preserve"> Heads of Argument</w:t>
      </w:r>
      <w:r w:rsidR="00FD5E9C" w:rsidRPr="006811CF">
        <w:rPr>
          <w:rFonts w:ascii="Arial" w:hAnsi="Arial" w:cs="Arial"/>
        </w:rPr>
        <w:t>s to</w:t>
      </w:r>
      <w:r w:rsidR="009C618B" w:rsidRPr="006811CF">
        <w:rPr>
          <w:rFonts w:ascii="Arial" w:hAnsi="Arial" w:cs="Arial"/>
        </w:rPr>
        <w:t xml:space="preserve"> the </w:t>
      </w:r>
      <w:r w:rsidR="0018562A" w:rsidRPr="006811CF">
        <w:rPr>
          <w:rFonts w:ascii="Arial" w:hAnsi="Arial" w:cs="Arial"/>
        </w:rPr>
        <w:t xml:space="preserve">Constitutional Court </w:t>
      </w:r>
      <w:r w:rsidR="008734BE">
        <w:rPr>
          <w:rFonts w:ascii="Arial" w:hAnsi="Arial" w:cs="Arial"/>
        </w:rPr>
        <w:t xml:space="preserve">quoting </w:t>
      </w:r>
      <w:proofErr w:type="spellStart"/>
      <w:r w:rsidR="009C618B" w:rsidRPr="006811CF">
        <w:rPr>
          <w:rFonts w:ascii="Arial" w:hAnsi="Arial" w:cs="Arial"/>
          <w:b/>
          <w:bCs/>
          <w:i/>
          <w:iCs/>
        </w:rPr>
        <w:t>Sapirstein</w:t>
      </w:r>
      <w:proofErr w:type="spellEnd"/>
      <w:r w:rsidR="009C618B" w:rsidRPr="006811CF">
        <w:rPr>
          <w:rFonts w:ascii="Arial" w:hAnsi="Arial" w:cs="Arial"/>
          <w:b/>
          <w:bCs/>
          <w:i/>
          <w:iCs/>
        </w:rPr>
        <w:t xml:space="preserve"> v Anglo African Shipping Co</w:t>
      </w:r>
      <w:r w:rsidR="009C618B" w:rsidRPr="006811CF">
        <w:rPr>
          <w:rFonts w:ascii="Arial" w:hAnsi="Arial" w:cs="Arial"/>
          <w:b/>
          <w:bCs/>
        </w:rPr>
        <w:t xml:space="preserve"> (SA) Ltd 1978 (4) SA 1 (A)</w:t>
      </w:r>
      <w:r w:rsidR="006E0FFB" w:rsidRPr="006811CF">
        <w:rPr>
          <w:rFonts w:ascii="Arial" w:hAnsi="Arial" w:cs="Arial"/>
          <w:b/>
          <w:bCs/>
        </w:rPr>
        <w:t xml:space="preserve"> </w:t>
      </w:r>
      <w:r w:rsidR="006E0FFB" w:rsidRPr="00957D51">
        <w:rPr>
          <w:rFonts w:ascii="Arial" w:hAnsi="Arial" w:cs="Arial"/>
          <w:b/>
          <w:bCs/>
          <w:i/>
          <w:iCs/>
        </w:rPr>
        <w:t>at 11</w:t>
      </w:r>
      <w:r w:rsidR="006E0FFB" w:rsidRPr="006811CF">
        <w:rPr>
          <w:rFonts w:ascii="Arial" w:hAnsi="Arial" w:cs="Arial"/>
        </w:rPr>
        <w:t xml:space="preserve"> </w:t>
      </w:r>
      <w:r w:rsidR="008734BE">
        <w:rPr>
          <w:rFonts w:ascii="Arial" w:hAnsi="Arial" w:cs="Arial"/>
        </w:rPr>
        <w:t xml:space="preserve">and cited </w:t>
      </w:r>
      <w:r w:rsidR="006E0FFB" w:rsidRPr="006811CF">
        <w:rPr>
          <w:rFonts w:ascii="Arial" w:hAnsi="Arial" w:cs="Arial"/>
        </w:rPr>
        <w:t xml:space="preserve">with approval </w:t>
      </w:r>
      <w:r w:rsidR="00AB420D" w:rsidRPr="007124D5">
        <w:rPr>
          <w:rFonts w:ascii="Arial" w:hAnsi="Arial" w:cs="Arial"/>
          <w:b/>
          <w:bCs/>
          <w:i/>
          <w:iCs/>
        </w:rPr>
        <w:t xml:space="preserve">Shabangu v Land &amp; Agricultural </w:t>
      </w:r>
      <w:r w:rsidR="00195F3C" w:rsidRPr="007124D5">
        <w:rPr>
          <w:rFonts w:ascii="Arial" w:hAnsi="Arial" w:cs="Arial"/>
          <w:b/>
          <w:bCs/>
          <w:i/>
          <w:iCs/>
        </w:rPr>
        <w:t xml:space="preserve">Development </w:t>
      </w:r>
      <w:r w:rsidR="00AB420D" w:rsidRPr="007124D5">
        <w:rPr>
          <w:rFonts w:ascii="Arial" w:hAnsi="Arial" w:cs="Arial"/>
          <w:b/>
          <w:bCs/>
          <w:i/>
          <w:iCs/>
        </w:rPr>
        <w:t>Bank</w:t>
      </w:r>
      <w:r w:rsidR="00195F3C" w:rsidRPr="007124D5">
        <w:rPr>
          <w:rFonts w:ascii="Arial" w:hAnsi="Arial" w:cs="Arial"/>
          <w:b/>
          <w:bCs/>
          <w:i/>
          <w:iCs/>
        </w:rPr>
        <w:t xml:space="preserve"> of South Africa</w:t>
      </w:r>
      <w:r w:rsidR="00195F3C" w:rsidRPr="006811CF">
        <w:rPr>
          <w:rFonts w:ascii="Arial" w:hAnsi="Arial" w:cs="Arial"/>
          <w:b/>
          <w:bCs/>
        </w:rPr>
        <w:t xml:space="preserve"> Case No: CCT 215/2018</w:t>
      </w:r>
      <w:r w:rsidR="00AB420D" w:rsidRPr="006811CF">
        <w:rPr>
          <w:rFonts w:ascii="Arial" w:hAnsi="Arial" w:cs="Arial"/>
        </w:rPr>
        <w:t xml:space="preserve"> </w:t>
      </w:r>
      <w:r w:rsidR="008165D3">
        <w:rPr>
          <w:rFonts w:ascii="Arial" w:hAnsi="Arial" w:cs="Arial"/>
        </w:rPr>
        <w:t xml:space="preserve">in that </w:t>
      </w:r>
      <w:r w:rsidR="008165D3" w:rsidRPr="00C963EA">
        <w:rPr>
          <w:rFonts w:ascii="Arial" w:hAnsi="Arial" w:cs="Arial"/>
          <w:i/>
          <w:iCs/>
        </w:rPr>
        <w:t xml:space="preserve">‘a suretyship is accessory in the sense that it is of the essence of suretyship that there be a valid principal obligation. </w:t>
      </w:r>
      <w:r w:rsidR="008165D3" w:rsidRPr="005B3660">
        <w:rPr>
          <w:rFonts w:ascii="Arial" w:hAnsi="Arial" w:cs="Arial"/>
          <w:b/>
          <w:bCs/>
          <w:i/>
          <w:iCs/>
        </w:rPr>
        <w:t xml:space="preserve">However, it is not essential that the principal obligation exists at the time when the suretyship contract is entered </w:t>
      </w:r>
      <w:proofErr w:type="gramStart"/>
      <w:r w:rsidR="008165D3" w:rsidRPr="005B3660">
        <w:rPr>
          <w:rFonts w:ascii="Arial" w:hAnsi="Arial" w:cs="Arial"/>
          <w:b/>
          <w:bCs/>
          <w:i/>
          <w:iCs/>
        </w:rPr>
        <w:t>into:</w:t>
      </w:r>
      <w:proofErr w:type="gramEnd"/>
      <w:r w:rsidR="008165D3" w:rsidRPr="005B3660">
        <w:rPr>
          <w:rFonts w:ascii="Arial" w:hAnsi="Arial" w:cs="Arial"/>
          <w:b/>
          <w:bCs/>
          <w:i/>
          <w:iCs/>
        </w:rPr>
        <w:t xml:space="preserve"> a suretyship may be contracted with reference to a principal obligation which is to come into existence in the future</w:t>
      </w:r>
      <w:r w:rsidR="006975D8" w:rsidRPr="005B3660">
        <w:rPr>
          <w:rFonts w:ascii="Arial" w:hAnsi="Arial" w:cs="Arial"/>
          <w:b/>
          <w:bCs/>
          <w:i/>
          <w:iCs/>
        </w:rPr>
        <w:t>’</w:t>
      </w:r>
      <w:r w:rsidR="006975D8" w:rsidRPr="00C963EA">
        <w:rPr>
          <w:rFonts w:ascii="Arial" w:hAnsi="Arial" w:cs="Arial"/>
          <w:i/>
          <w:iCs/>
        </w:rPr>
        <w:t xml:space="preserve"> (</w:t>
      </w:r>
      <w:r w:rsidR="006975D8" w:rsidRPr="00C963EA">
        <w:rPr>
          <w:rFonts w:ascii="Arial" w:hAnsi="Arial" w:cs="Arial"/>
          <w:b/>
          <w:bCs/>
          <w:i/>
          <w:iCs/>
        </w:rPr>
        <w:t xml:space="preserve">para </w:t>
      </w:r>
      <w:r w:rsidR="00C963EA" w:rsidRPr="00C963EA">
        <w:rPr>
          <w:rFonts w:ascii="Arial" w:hAnsi="Arial" w:cs="Arial"/>
          <w:b/>
          <w:bCs/>
          <w:i/>
          <w:iCs/>
        </w:rPr>
        <w:t>44</w:t>
      </w:r>
      <w:r w:rsidR="005B3660">
        <w:rPr>
          <w:rFonts w:ascii="Arial" w:hAnsi="Arial" w:cs="Arial"/>
          <w:b/>
          <w:bCs/>
          <w:i/>
          <w:iCs/>
        </w:rPr>
        <w:t xml:space="preserve">, </w:t>
      </w:r>
      <w:r w:rsidR="005B3660" w:rsidRPr="005B3660">
        <w:rPr>
          <w:rFonts w:ascii="Arial" w:hAnsi="Arial" w:cs="Arial"/>
          <w:i/>
          <w:iCs/>
        </w:rPr>
        <w:t>my emphasis</w:t>
      </w:r>
      <w:r w:rsidR="00C963EA" w:rsidRPr="00C963EA">
        <w:rPr>
          <w:rFonts w:ascii="Arial" w:hAnsi="Arial" w:cs="Arial"/>
          <w:i/>
          <w:iCs/>
        </w:rPr>
        <w:t>).</w:t>
      </w:r>
      <w:r w:rsidR="00145061">
        <w:rPr>
          <w:rFonts w:ascii="Arial" w:hAnsi="Arial" w:cs="Arial"/>
          <w:i/>
          <w:iCs/>
        </w:rPr>
        <w:t xml:space="preserve"> </w:t>
      </w:r>
      <w:r w:rsidR="00706475" w:rsidRPr="00145061">
        <w:rPr>
          <w:rFonts w:ascii="Arial" w:hAnsi="Arial" w:cs="Arial"/>
        </w:rPr>
        <w:t xml:space="preserve">In the context of this case, </w:t>
      </w:r>
      <w:r w:rsidR="00C71289">
        <w:rPr>
          <w:rFonts w:ascii="Arial" w:hAnsi="Arial" w:cs="Arial"/>
        </w:rPr>
        <w:t xml:space="preserve">Menlyn Moz (Pty) Ltd is not in dispute </w:t>
      </w:r>
      <w:proofErr w:type="gramStart"/>
      <w:r w:rsidR="00C71289">
        <w:rPr>
          <w:rFonts w:ascii="Arial" w:hAnsi="Arial" w:cs="Arial"/>
        </w:rPr>
        <w:t>that</w:t>
      </w:r>
      <w:proofErr w:type="gramEnd"/>
      <w:r w:rsidR="00C71289">
        <w:rPr>
          <w:rFonts w:ascii="Arial" w:hAnsi="Arial" w:cs="Arial"/>
        </w:rPr>
        <w:t xml:space="preserve"> </w:t>
      </w:r>
      <w:r w:rsidR="006A7EF2">
        <w:rPr>
          <w:rFonts w:ascii="Arial" w:hAnsi="Arial" w:cs="Arial"/>
        </w:rPr>
        <w:t>it was the principal debtor</w:t>
      </w:r>
      <w:r w:rsidR="00C7392A">
        <w:rPr>
          <w:rFonts w:ascii="Arial" w:hAnsi="Arial" w:cs="Arial"/>
        </w:rPr>
        <w:t xml:space="preserve"> and the first defendant</w:t>
      </w:r>
      <w:r w:rsidR="006A7EF2">
        <w:rPr>
          <w:rFonts w:ascii="Arial" w:hAnsi="Arial" w:cs="Arial"/>
        </w:rPr>
        <w:t>.</w:t>
      </w:r>
      <w:r w:rsidR="00C7392A">
        <w:rPr>
          <w:rFonts w:ascii="Arial" w:hAnsi="Arial" w:cs="Arial"/>
        </w:rPr>
        <w:t xml:space="preserve"> </w:t>
      </w:r>
      <w:r w:rsidR="00A13D9E">
        <w:rPr>
          <w:rFonts w:ascii="Arial" w:hAnsi="Arial" w:cs="Arial"/>
        </w:rPr>
        <w:t xml:space="preserve">In essence, </w:t>
      </w:r>
      <w:r w:rsidR="008D3198">
        <w:rPr>
          <w:rFonts w:ascii="Arial" w:hAnsi="Arial" w:cs="Arial"/>
        </w:rPr>
        <w:t xml:space="preserve">the </w:t>
      </w:r>
      <w:r w:rsidR="008D3198">
        <w:rPr>
          <w:rFonts w:ascii="Arial" w:hAnsi="Arial" w:cs="Arial"/>
        </w:rPr>
        <w:lastRenderedPageBreak/>
        <w:t xml:space="preserve">principal </w:t>
      </w:r>
      <w:r w:rsidR="008C1EDC">
        <w:rPr>
          <w:rFonts w:ascii="Arial" w:hAnsi="Arial" w:cs="Arial"/>
        </w:rPr>
        <w:t xml:space="preserve">creditor, principal </w:t>
      </w:r>
      <w:proofErr w:type="gramStart"/>
      <w:r w:rsidR="008D3198">
        <w:rPr>
          <w:rFonts w:ascii="Arial" w:hAnsi="Arial" w:cs="Arial"/>
        </w:rPr>
        <w:t>debtor</w:t>
      </w:r>
      <w:proofErr w:type="gramEnd"/>
      <w:r w:rsidR="008D3198">
        <w:rPr>
          <w:rFonts w:ascii="Arial" w:hAnsi="Arial" w:cs="Arial"/>
        </w:rPr>
        <w:t xml:space="preserve"> and the surety for the principal obligations were </w:t>
      </w:r>
      <w:r w:rsidR="00FD0BC8">
        <w:rPr>
          <w:rFonts w:ascii="Arial" w:hAnsi="Arial" w:cs="Arial"/>
        </w:rPr>
        <w:t xml:space="preserve">easily </w:t>
      </w:r>
      <w:r w:rsidR="008D3198">
        <w:rPr>
          <w:rFonts w:ascii="Arial" w:hAnsi="Arial" w:cs="Arial"/>
        </w:rPr>
        <w:t>iden</w:t>
      </w:r>
      <w:r w:rsidR="00AC73BE">
        <w:rPr>
          <w:rFonts w:ascii="Arial" w:hAnsi="Arial" w:cs="Arial"/>
        </w:rPr>
        <w:t>tifiable</w:t>
      </w:r>
      <w:r w:rsidR="00FD0BC8">
        <w:rPr>
          <w:rFonts w:ascii="Arial" w:hAnsi="Arial" w:cs="Arial"/>
        </w:rPr>
        <w:t xml:space="preserve"> and not in dispute.</w:t>
      </w:r>
      <w:r w:rsidR="0013023B">
        <w:rPr>
          <w:rFonts w:ascii="Arial" w:hAnsi="Arial" w:cs="Arial"/>
        </w:rPr>
        <w:t xml:space="preserve"> </w:t>
      </w:r>
      <w:r w:rsidR="00D82ADB">
        <w:rPr>
          <w:rFonts w:ascii="Arial" w:hAnsi="Arial" w:cs="Arial"/>
        </w:rPr>
        <w:t xml:space="preserve">As correctly captured in </w:t>
      </w:r>
      <w:r w:rsidR="00D82ADB" w:rsidRPr="00D82ADB">
        <w:rPr>
          <w:rFonts w:ascii="Arial" w:hAnsi="Arial" w:cs="Arial"/>
          <w:b/>
          <w:bCs/>
          <w:i/>
          <w:iCs/>
        </w:rPr>
        <w:t>Shabangu</w:t>
      </w:r>
      <w:r w:rsidR="00144DFF">
        <w:rPr>
          <w:rFonts w:ascii="Arial" w:hAnsi="Arial" w:cs="Arial"/>
          <w:b/>
          <w:bCs/>
          <w:i/>
          <w:iCs/>
        </w:rPr>
        <w:t xml:space="preserve"> </w:t>
      </w:r>
      <w:r w:rsidR="00144DFF" w:rsidRPr="00144DFF">
        <w:rPr>
          <w:rFonts w:ascii="Arial" w:hAnsi="Arial" w:cs="Arial"/>
          <w:i/>
          <w:iCs/>
        </w:rPr>
        <w:t>judgment</w:t>
      </w:r>
      <w:r w:rsidR="00D82ADB" w:rsidRPr="00144DFF">
        <w:rPr>
          <w:rFonts w:ascii="Arial" w:hAnsi="Arial" w:cs="Arial"/>
        </w:rPr>
        <w:t>,</w:t>
      </w:r>
      <w:r w:rsidR="00D82ADB">
        <w:rPr>
          <w:rFonts w:ascii="Arial" w:hAnsi="Arial" w:cs="Arial"/>
        </w:rPr>
        <w:t xml:space="preserve"> as is the case in th</w:t>
      </w:r>
      <w:r w:rsidR="008318BA">
        <w:rPr>
          <w:rFonts w:ascii="Arial" w:hAnsi="Arial" w:cs="Arial"/>
        </w:rPr>
        <w:t>i</w:t>
      </w:r>
      <w:r w:rsidR="00D82ADB">
        <w:rPr>
          <w:rFonts w:ascii="Arial" w:hAnsi="Arial" w:cs="Arial"/>
        </w:rPr>
        <w:t xml:space="preserve">s matter, the </w:t>
      </w:r>
      <w:r w:rsidR="00DE76E2">
        <w:rPr>
          <w:rFonts w:ascii="Arial" w:hAnsi="Arial" w:cs="Arial"/>
        </w:rPr>
        <w:t>e</w:t>
      </w:r>
      <w:r w:rsidR="00985825">
        <w:rPr>
          <w:rFonts w:ascii="Arial" w:hAnsi="Arial" w:cs="Arial"/>
        </w:rPr>
        <w:t xml:space="preserve">xistence </w:t>
      </w:r>
      <w:r w:rsidR="00DE76E2">
        <w:rPr>
          <w:rFonts w:ascii="Arial" w:hAnsi="Arial" w:cs="Arial"/>
        </w:rPr>
        <w:t xml:space="preserve">of the </w:t>
      </w:r>
      <w:r w:rsidR="008318BA">
        <w:rPr>
          <w:rFonts w:ascii="Arial" w:hAnsi="Arial" w:cs="Arial"/>
        </w:rPr>
        <w:t>suret</w:t>
      </w:r>
      <w:r w:rsidR="00144DFF">
        <w:rPr>
          <w:rFonts w:ascii="Arial" w:hAnsi="Arial" w:cs="Arial"/>
        </w:rPr>
        <w:t xml:space="preserve">yship agreement before the </w:t>
      </w:r>
      <w:r w:rsidR="004864A9">
        <w:rPr>
          <w:rFonts w:ascii="Arial" w:hAnsi="Arial" w:cs="Arial"/>
        </w:rPr>
        <w:t xml:space="preserve">signage of the </w:t>
      </w:r>
      <w:r w:rsidR="00144DFF">
        <w:rPr>
          <w:rFonts w:ascii="Arial" w:hAnsi="Arial" w:cs="Arial"/>
        </w:rPr>
        <w:t xml:space="preserve">original agreement is </w:t>
      </w:r>
      <w:r w:rsidR="00C423D2">
        <w:rPr>
          <w:rFonts w:ascii="Arial" w:hAnsi="Arial" w:cs="Arial"/>
        </w:rPr>
        <w:t xml:space="preserve">not a bar to the incurring of the </w:t>
      </w:r>
      <w:r w:rsidR="00E204AC">
        <w:rPr>
          <w:rFonts w:ascii="Arial" w:hAnsi="Arial" w:cs="Arial"/>
        </w:rPr>
        <w:t xml:space="preserve">rights and </w:t>
      </w:r>
      <w:r w:rsidR="00C423D2">
        <w:rPr>
          <w:rFonts w:ascii="Arial" w:hAnsi="Arial" w:cs="Arial"/>
        </w:rPr>
        <w:t xml:space="preserve">obligations </w:t>
      </w:r>
      <w:r w:rsidR="004C08A5">
        <w:rPr>
          <w:rFonts w:ascii="Arial" w:hAnsi="Arial" w:cs="Arial"/>
        </w:rPr>
        <w:t xml:space="preserve">that arose out of the </w:t>
      </w:r>
      <w:r w:rsidR="004864A9">
        <w:rPr>
          <w:rFonts w:ascii="Arial" w:hAnsi="Arial" w:cs="Arial"/>
        </w:rPr>
        <w:t xml:space="preserve">said </w:t>
      </w:r>
      <w:r w:rsidR="009071D4">
        <w:rPr>
          <w:rFonts w:ascii="Arial" w:hAnsi="Arial" w:cs="Arial"/>
        </w:rPr>
        <w:t>contract.</w:t>
      </w:r>
      <w:r w:rsidR="008318BA">
        <w:rPr>
          <w:rFonts w:ascii="Arial" w:hAnsi="Arial" w:cs="Arial"/>
        </w:rPr>
        <w:t xml:space="preserve"> </w:t>
      </w:r>
    </w:p>
    <w:p w14:paraId="62C5C893" w14:textId="77777777" w:rsidR="00A13D9E" w:rsidRDefault="00A13D9E" w:rsidP="002939C9">
      <w:pPr>
        <w:spacing w:after="0" w:line="360" w:lineRule="auto"/>
        <w:ind w:left="720" w:hanging="720"/>
        <w:jc w:val="both"/>
        <w:rPr>
          <w:rFonts w:ascii="Arial" w:hAnsi="Arial" w:cs="Arial"/>
        </w:rPr>
      </w:pPr>
    </w:p>
    <w:p w14:paraId="524DB8A8" w14:textId="2A6D4287" w:rsidR="00CF1617" w:rsidRDefault="00A13D9E" w:rsidP="002939C9">
      <w:pPr>
        <w:spacing w:after="0" w:line="360" w:lineRule="auto"/>
        <w:ind w:left="720" w:hanging="720"/>
        <w:jc w:val="both"/>
        <w:rPr>
          <w:rFonts w:ascii="Arial" w:hAnsi="Arial" w:cs="Arial"/>
        </w:rPr>
      </w:pPr>
      <w:r>
        <w:rPr>
          <w:rFonts w:ascii="Arial" w:hAnsi="Arial" w:cs="Arial"/>
        </w:rPr>
        <w:t>[13]</w:t>
      </w:r>
      <w:r>
        <w:rPr>
          <w:rFonts w:ascii="Arial" w:hAnsi="Arial" w:cs="Arial"/>
        </w:rPr>
        <w:tab/>
      </w:r>
      <w:r w:rsidR="00EF44E8">
        <w:rPr>
          <w:rFonts w:ascii="Arial" w:hAnsi="Arial" w:cs="Arial"/>
        </w:rPr>
        <w:t>Therefore, i</w:t>
      </w:r>
      <w:r w:rsidR="00117DE8">
        <w:rPr>
          <w:rFonts w:ascii="Arial" w:hAnsi="Arial" w:cs="Arial"/>
        </w:rPr>
        <w:t>t is my considered view that t</w:t>
      </w:r>
      <w:r w:rsidR="00CF1617" w:rsidRPr="00145061">
        <w:rPr>
          <w:rFonts w:ascii="Arial" w:hAnsi="Arial" w:cs="Arial"/>
        </w:rPr>
        <w:t xml:space="preserve">he signage of the surety agreement in the year 2019, before the original agreement </w:t>
      </w:r>
      <w:r w:rsidR="004864A9">
        <w:rPr>
          <w:rFonts w:ascii="Arial" w:hAnsi="Arial" w:cs="Arial"/>
        </w:rPr>
        <w:t xml:space="preserve">came into existence </w:t>
      </w:r>
      <w:r w:rsidR="00CF1617" w:rsidRPr="00145061">
        <w:rPr>
          <w:rFonts w:ascii="Arial" w:hAnsi="Arial" w:cs="Arial"/>
        </w:rPr>
        <w:t xml:space="preserve">cannot be raised as a </w:t>
      </w:r>
      <w:r w:rsidR="007B637D" w:rsidRPr="00145061">
        <w:rPr>
          <w:rFonts w:ascii="Arial" w:hAnsi="Arial" w:cs="Arial"/>
        </w:rPr>
        <w:t>‘</w:t>
      </w:r>
      <w:r w:rsidR="00CF1617" w:rsidRPr="00145061">
        <w:rPr>
          <w:rFonts w:ascii="Arial" w:hAnsi="Arial" w:cs="Arial"/>
          <w:b/>
          <w:bCs/>
          <w:i/>
          <w:iCs/>
        </w:rPr>
        <w:t>before-the fact</w:t>
      </w:r>
      <w:r w:rsidR="007B637D" w:rsidRPr="00145061">
        <w:rPr>
          <w:rFonts w:ascii="Arial" w:hAnsi="Arial" w:cs="Arial"/>
          <w:b/>
          <w:bCs/>
        </w:rPr>
        <w:t>’</w:t>
      </w:r>
      <w:r w:rsidR="00CF1617" w:rsidRPr="00145061">
        <w:rPr>
          <w:rFonts w:ascii="Arial" w:hAnsi="Arial" w:cs="Arial"/>
        </w:rPr>
        <w:t xml:space="preserve"> </w:t>
      </w:r>
      <w:r w:rsidR="007B637D" w:rsidRPr="00145061">
        <w:rPr>
          <w:rFonts w:ascii="Arial" w:hAnsi="Arial" w:cs="Arial"/>
        </w:rPr>
        <w:t xml:space="preserve">defence </w:t>
      </w:r>
      <w:r w:rsidR="00CF1617" w:rsidRPr="00145061">
        <w:rPr>
          <w:rFonts w:ascii="Arial" w:hAnsi="Arial" w:cs="Arial"/>
        </w:rPr>
        <w:t>that is not binding on</w:t>
      </w:r>
      <w:r w:rsidR="00CF1617">
        <w:rPr>
          <w:rFonts w:ascii="Arial" w:hAnsi="Arial" w:cs="Arial"/>
        </w:rPr>
        <w:t xml:space="preserve"> the second defendant. </w:t>
      </w:r>
      <w:r w:rsidR="00DD6C38">
        <w:rPr>
          <w:rFonts w:ascii="Arial" w:hAnsi="Arial" w:cs="Arial"/>
        </w:rPr>
        <w:t xml:space="preserve">Accordingly, </w:t>
      </w:r>
      <w:r w:rsidR="00CF1617">
        <w:rPr>
          <w:rFonts w:ascii="Arial" w:hAnsi="Arial" w:cs="Arial"/>
        </w:rPr>
        <w:t xml:space="preserve">the second defendant </w:t>
      </w:r>
      <w:proofErr w:type="gramStart"/>
      <w:r w:rsidR="00CF1617">
        <w:rPr>
          <w:rFonts w:ascii="Arial" w:hAnsi="Arial" w:cs="Arial"/>
        </w:rPr>
        <w:t>was economical with the truth</w:t>
      </w:r>
      <w:proofErr w:type="gramEnd"/>
      <w:r w:rsidR="00CF1617">
        <w:rPr>
          <w:rFonts w:ascii="Arial" w:hAnsi="Arial" w:cs="Arial"/>
        </w:rPr>
        <w:t xml:space="preserve"> in advancing this argument before this court and undermin</w:t>
      </w:r>
      <w:r w:rsidR="009D13D9">
        <w:rPr>
          <w:rFonts w:ascii="Arial" w:hAnsi="Arial" w:cs="Arial"/>
        </w:rPr>
        <w:t>ed</w:t>
      </w:r>
      <w:r w:rsidR="00CF1617">
        <w:rPr>
          <w:rFonts w:ascii="Arial" w:hAnsi="Arial" w:cs="Arial"/>
        </w:rPr>
        <w:t xml:space="preserve"> its intellectual capacity </w:t>
      </w:r>
      <w:r w:rsidR="003E025F">
        <w:rPr>
          <w:rFonts w:ascii="Arial" w:hAnsi="Arial" w:cs="Arial"/>
        </w:rPr>
        <w:t xml:space="preserve">on its </w:t>
      </w:r>
      <w:r w:rsidR="00CF1617">
        <w:rPr>
          <w:rFonts w:ascii="Arial" w:hAnsi="Arial" w:cs="Arial"/>
        </w:rPr>
        <w:t xml:space="preserve">understanding </w:t>
      </w:r>
      <w:r w:rsidR="00E45A2C">
        <w:rPr>
          <w:rFonts w:ascii="Arial" w:hAnsi="Arial" w:cs="Arial"/>
        </w:rPr>
        <w:t xml:space="preserve">of </w:t>
      </w:r>
      <w:r w:rsidR="00CF1617">
        <w:rPr>
          <w:rFonts w:ascii="Arial" w:hAnsi="Arial" w:cs="Arial"/>
        </w:rPr>
        <w:t xml:space="preserve">the principles of suretyship in contract law. The acceptance of </w:t>
      </w:r>
      <w:r w:rsidR="001256F7">
        <w:rPr>
          <w:rFonts w:ascii="Arial" w:hAnsi="Arial" w:cs="Arial"/>
        </w:rPr>
        <w:t xml:space="preserve">a </w:t>
      </w:r>
      <w:r w:rsidR="00CF1617">
        <w:rPr>
          <w:rFonts w:ascii="Arial" w:hAnsi="Arial" w:cs="Arial"/>
        </w:rPr>
        <w:t xml:space="preserve">reduced monthly rental is very remote from a </w:t>
      </w:r>
      <w:r w:rsidR="0077620B">
        <w:rPr>
          <w:rFonts w:ascii="Arial" w:hAnsi="Arial" w:cs="Arial"/>
        </w:rPr>
        <w:t xml:space="preserve">clear </w:t>
      </w:r>
      <w:r w:rsidR="00CF1617">
        <w:rPr>
          <w:rFonts w:ascii="Arial" w:hAnsi="Arial" w:cs="Arial"/>
        </w:rPr>
        <w:t>demonstration of</w:t>
      </w:r>
      <w:r w:rsidR="00E34783">
        <w:rPr>
          <w:rFonts w:ascii="Arial" w:hAnsi="Arial" w:cs="Arial"/>
        </w:rPr>
        <w:t xml:space="preserve"> an understanding of</w:t>
      </w:r>
      <w:r w:rsidR="00CF1617">
        <w:rPr>
          <w:rFonts w:ascii="Arial" w:hAnsi="Arial" w:cs="Arial"/>
        </w:rPr>
        <w:t xml:space="preserve"> the waiver of the original lease agreement.</w:t>
      </w:r>
    </w:p>
    <w:p w14:paraId="7CA6EF05" w14:textId="27CC2E33" w:rsidR="001F3232" w:rsidRDefault="001F3232" w:rsidP="00D20A14">
      <w:pPr>
        <w:spacing w:after="0" w:line="360" w:lineRule="auto"/>
        <w:ind w:left="720" w:hanging="720"/>
        <w:jc w:val="both"/>
        <w:rPr>
          <w:rFonts w:ascii="Arial" w:hAnsi="Arial" w:cs="Arial"/>
        </w:rPr>
      </w:pPr>
    </w:p>
    <w:p w14:paraId="08953AFC" w14:textId="2FDEE5F4" w:rsidR="00B95EDA" w:rsidRDefault="009A4FFE" w:rsidP="00B95EDA">
      <w:pPr>
        <w:spacing w:after="0" w:line="360" w:lineRule="auto"/>
        <w:ind w:left="720" w:hanging="720"/>
        <w:jc w:val="both"/>
        <w:rPr>
          <w:rFonts w:ascii="Arial" w:hAnsi="Arial" w:cs="Arial"/>
        </w:rPr>
      </w:pPr>
      <w:r>
        <w:rPr>
          <w:rFonts w:ascii="Arial" w:hAnsi="Arial" w:cs="Arial"/>
        </w:rPr>
        <w:t>[</w:t>
      </w:r>
      <w:r w:rsidR="0036782D">
        <w:rPr>
          <w:rFonts w:ascii="Arial" w:hAnsi="Arial" w:cs="Arial"/>
        </w:rPr>
        <w:t>1</w:t>
      </w:r>
      <w:r w:rsidR="006D3377">
        <w:rPr>
          <w:rFonts w:ascii="Arial" w:hAnsi="Arial" w:cs="Arial"/>
        </w:rPr>
        <w:t>4</w:t>
      </w:r>
      <w:r>
        <w:rPr>
          <w:rFonts w:ascii="Arial" w:hAnsi="Arial" w:cs="Arial"/>
        </w:rPr>
        <w:t>]</w:t>
      </w:r>
      <w:r>
        <w:rPr>
          <w:rFonts w:ascii="Arial" w:hAnsi="Arial" w:cs="Arial"/>
        </w:rPr>
        <w:tab/>
        <w:t xml:space="preserve">The second defendant’s defence that she </w:t>
      </w:r>
      <w:r w:rsidR="00F846EA">
        <w:rPr>
          <w:rFonts w:ascii="Arial" w:hAnsi="Arial" w:cs="Arial"/>
        </w:rPr>
        <w:t>is</w:t>
      </w:r>
      <w:r>
        <w:rPr>
          <w:rFonts w:ascii="Arial" w:hAnsi="Arial" w:cs="Arial"/>
        </w:rPr>
        <w:t xml:space="preserve"> a lay person was not in </w:t>
      </w:r>
      <w:r w:rsidR="000720F6">
        <w:rPr>
          <w:rFonts w:ascii="Arial" w:hAnsi="Arial" w:cs="Arial"/>
        </w:rPr>
        <w:t>line w</w:t>
      </w:r>
      <w:r w:rsidR="00D66652">
        <w:rPr>
          <w:rFonts w:ascii="Arial" w:hAnsi="Arial" w:cs="Arial"/>
        </w:rPr>
        <w:t xml:space="preserve">ith the </w:t>
      </w:r>
      <w:r w:rsidR="00713BC0">
        <w:rPr>
          <w:rFonts w:ascii="Arial" w:hAnsi="Arial" w:cs="Arial"/>
        </w:rPr>
        <w:t xml:space="preserve">needed expectations </w:t>
      </w:r>
      <w:r w:rsidR="00D750AB">
        <w:rPr>
          <w:rFonts w:ascii="Arial" w:hAnsi="Arial" w:cs="Arial"/>
        </w:rPr>
        <w:t>of</w:t>
      </w:r>
      <w:r w:rsidR="00713BC0">
        <w:rPr>
          <w:rFonts w:ascii="Arial" w:hAnsi="Arial" w:cs="Arial"/>
        </w:rPr>
        <w:t xml:space="preserve"> the </w:t>
      </w:r>
      <w:r w:rsidR="00D66652">
        <w:rPr>
          <w:rFonts w:ascii="Arial" w:hAnsi="Arial" w:cs="Arial"/>
        </w:rPr>
        <w:t xml:space="preserve">sphere of her profession in </w:t>
      </w:r>
      <w:r w:rsidR="00605399">
        <w:rPr>
          <w:rFonts w:ascii="Arial" w:hAnsi="Arial" w:cs="Arial"/>
        </w:rPr>
        <w:t xml:space="preserve">the regulation of </w:t>
      </w:r>
      <w:r w:rsidR="00D66652">
        <w:rPr>
          <w:rFonts w:ascii="Arial" w:hAnsi="Arial" w:cs="Arial"/>
        </w:rPr>
        <w:t xml:space="preserve">commercial relationships. </w:t>
      </w:r>
      <w:r w:rsidR="001F3F31">
        <w:rPr>
          <w:rFonts w:ascii="Arial" w:hAnsi="Arial" w:cs="Arial"/>
        </w:rPr>
        <w:t>Her defence invoke</w:t>
      </w:r>
      <w:r w:rsidR="00DB545E">
        <w:rPr>
          <w:rFonts w:ascii="Arial" w:hAnsi="Arial" w:cs="Arial"/>
        </w:rPr>
        <w:t>d</w:t>
      </w:r>
      <w:r w:rsidR="001F3F31">
        <w:rPr>
          <w:rFonts w:ascii="Arial" w:hAnsi="Arial" w:cs="Arial"/>
        </w:rPr>
        <w:t xml:space="preserve"> </w:t>
      </w:r>
      <w:r w:rsidR="00A82082">
        <w:rPr>
          <w:rFonts w:ascii="Arial" w:hAnsi="Arial" w:cs="Arial"/>
        </w:rPr>
        <w:t xml:space="preserve">a considered view </w:t>
      </w:r>
      <w:r w:rsidR="00B95EDA">
        <w:rPr>
          <w:rFonts w:ascii="Arial" w:hAnsi="Arial" w:cs="Arial"/>
        </w:rPr>
        <w:t xml:space="preserve">as expressed by Kgomo J in </w:t>
      </w:r>
      <w:proofErr w:type="spellStart"/>
      <w:r w:rsidR="00B95EDA" w:rsidRPr="009D1E47">
        <w:rPr>
          <w:rFonts w:ascii="Arial" w:hAnsi="Arial" w:cs="Arial"/>
          <w:b/>
          <w:bCs/>
          <w:i/>
          <w:iCs/>
        </w:rPr>
        <w:t>Coetze</w:t>
      </w:r>
      <w:proofErr w:type="spellEnd"/>
      <w:r w:rsidR="00B95EDA" w:rsidRPr="009D1E47">
        <w:rPr>
          <w:rFonts w:ascii="Arial" w:hAnsi="Arial" w:cs="Arial"/>
          <w:b/>
          <w:bCs/>
          <w:i/>
          <w:iCs/>
        </w:rPr>
        <w:t xml:space="preserve"> v Steenkamp</w:t>
      </w:r>
      <w:r w:rsidR="00B95EDA" w:rsidRPr="009D1E47">
        <w:rPr>
          <w:rFonts w:ascii="Arial" w:hAnsi="Arial" w:cs="Arial"/>
          <w:b/>
          <w:bCs/>
        </w:rPr>
        <w:t xml:space="preserve"> (579/2009) [2010] ZANCHC 25</w:t>
      </w:r>
      <w:r w:rsidR="00B95EDA">
        <w:rPr>
          <w:rFonts w:ascii="Arial" w:hAnsi="Arial" w:cs="Arial"/>
        </w:rPr>
        <w:t xml:space="preserve"> citing with approval </w:t>
      </w:r>
      <w:r w:rsidR="00B95EDA" w:rsidRPr="00DF7D66">
        <w:rPr>
          <w:rFonts w:ascii="Arial" w:hAnsi="Arial" w:cs="Arial"/>
          <w:b/>
          <w:bCs/>
          <w:i/>
          <w:iCs/>
        </w:rPr>
        <w:t xml:space="preserve">S v </w:t>
      </w:r>
      <w:proofErr w:type="spellStart"/>
      <w:r w:rsidR="00B95EDA" w:rsidRPr="00DF7D66">
        <w:rPr>
          <w:rFonts w:ascii="Arial" w:hAnsi="Arial" w:cs="Arial"/>
          <w:b/>
          <w:bCs/>
          <w:i/>
          <w:iCs/>
        </w:rPr>
        <w:t>Blom</w:t>
      </w:r>
      <w:proofErr w:type="spellEnd"/>
      <w:r w:rsidR="00B95EDA" w:rsidRPr="00DF7D66">
        <w:rPr>
          <w:rFonts w:ascii="Arial" w:hAnsi="Arial" w:cs="Arial"/>
          <w:b/>
          <w:bCs/>
        </w:rPr>
        <w:t xml:space="preserve"> 1977 (3) (SA</w:t>
      </w:r>
      <w:r w:rsidR="00B95EDA">
        <w:rPr>
          <w:rFonts w:ascii="Arial" w:hAnsi="Arial" w:cs="Arial"/>
          <w:b/>
          <w:bCs/>
        </w:rPr>
        <w:t>)</w:t>
      </w:r>
      <w:r w:rsidR="00B95EDA" w:rsidRPr="00DF7D66">
        <w:rPr>
          <w:rFonts w:ascii="Arial" w:hAnsi="Arial" w:cs="Arial"/>
          <w:b/>
          <w:bCs/>
        </w:rPr>
        <w:t xml:space="preserve"> 513 A</w:t>
      </w:r>
      <w:r w:rsidR="00446FAA">
        <w:rPr>
          <w:rFonts w:ascii="Arial" w:hAnsi="Arial" w:cs="Arial"/>
          <w:b/>
          <w:bCs/>
        </w:rPr>
        <w:t xml:space="preserve"> </w:t>
      </w:r>
      <w:r w:rsidR="00446FAA" w:rsidRPr="00446FAA">
        <w:rPr>
          <w:rFonts w:ascii="Arial" w:hAnsi="Arial" w:cs="Arial"/>
        </w:rPr>
        <w:t>in that</w:t>
      </w:r>
      <w:r w:rsidR="00B95EDA" w:rsidRPr="00446FAA">
        <w:rPr>
          <w:rFonts w:ascii="Arial" w:hAnsi="Arial" w:cs="Arial"/>
        </w:rPr>
        <w:t>:</w:t>
      </w:r>
      <w:r w:rsidR="00B95EDA">
        <w:rPr>
          <w:rFonts w:ascii="Arial" w:hAnsi="Arial" w:cs="Arial"/>
        </w:rPr>
        <w:t xml:space="preserve">  </w:t>
      </w:r>
    </w:p>
    <w:p w14:paraId="60048559" w14:textId="77777777" w:rsidR="00B95EDA" w:rsidRDefault="00B95EDA" w:rsidP="00B95EDA">
      <w:pPr>
        <w:spacing w:after="0" w:line="360" w:lineRule="auto"/>
        <w:ind w:left="720" w:hanging="720"/>
        <w:jc w:val="both"/>
        <w:rPr>
          <w:rFonts w:ascii="Arial" w:hAnsi="Arial" w:cs="Arial"/>
        </w:rPr>
      </w:pPr>
    </w:p>
    <w:p w14:paraId="287CA331" w14:textId="1F759A80" w:rsidR="00B95EDA" w:rsidRPr="00086C07" w:rsidRDefault="00B95EDA" w:rsidP="00B95EDA">
      <w:pPr>
        <w:spacing w:after="0" w:line="360" w:lineRule="auto"/>
        <w:ind w:left="1440"/>
        <w:jc w:val="both"/>
        <w:rPr>
          <w:rFonts w:ascii="Arial" w:hAnsi="Arial" w:cs="Arial"/>
        </w:rPr>
      </w:pPr>
      <w:r w:rsidRPr="00013571">
        <w:rPr>
          <w:rFonts w:ascii="Arial" w:hAnsi="Arial" w:cs="Arial"/>
          <w:b/>
          <w:bCs/>
          <w:i/>
          <w:iCs/>
        </w:rPr>
        <w:t>the approach that it can be expected of a person who, in a modern State, wherein many facets of the acts and omissions of the legal subject are controlled by legal provisions, involves himself in a particular sphere, that he should keep himself informed of the legal provisions which are applicable to that particular sphere, can be approved</w:t>
      </w:r>
      <w:r>
        <w:rPr>
          <w:rFonts w:ascii="Arial" w:hAnsi="Arial" w:cs="Arial"/>
        </w:rPr>
        <w:t>, (</w:t>
      </w:r>
      <w:r w:rsidRPr="009D1E47">
        <w:rPr>
          <w:rFonts w:ascii="Arial" w:hAnsi="Arial" w:cs="Arial"/>
          <w:b/>
          <w:bCs/>
          <w:i/>
          <w:iCs/>
        </w:rPr>
        <w:t>para 10</w:t>
      </w:r>
      <w:r>
        <w:rPr>
          <w:rFonts w:ascii="Arial" w:hAnsi="Arial" w:cs="Arial"/>
          <w:b/>
          <w:bCs/>
          <w:i/>
          <w:iCs/>
        </w:rPr>
        <w:t xml:space="preserve">, </w:t>
      </w:r>
      <w:r w:rsidRPr="00B64E44">
        <w:rPr>
          <w:rFonts w:ascii="Arial" w:hAnsi="Arial" w:cs="Arial"/>
          <w:i/>
          <w:iCs/>
        </w:rPr>
        <w:t>my emphasis</w:t>
      </w:r>
      <w:r>
        <w:rPr>
          <w:rFonts w:ascii="Arial" w:hAnsi="Arial" w:cs="Arial"/>
        </w:rPr>
        <w:t>).</w:t>
      </w:r>
    </w:p>
    <w:p w14:paraId="07CA07AC" w14:textId="77777777" w:rsidR="00B95EDA" w:rsidRDefault="00B95EDA" w:rsidP="00D20A14">
      <w:pPr>
        <w:spacing w:after="0" w:line="360" w:lineRule="auto"/>
        <w:ind w:left="720" w:hanging="720"/>
        <w:jc w:val="both"/>
        <w:rPr>
          <w:rFonts w:ascii="Arial" w:hAnsi="Arial" w:cs="Arial"/>
        </w:rPr>
      </w:pPr>
    </w:p>
    <w:p w14:paraId="0667A13B" w14:textId="5E8AC24C" w:rsidR="00C204C3" w:rsidRDefault="006804F2" w:rsidP="00D20A14">
      <w:pPr>
        <w:spacing w:after="0" w:line="360" w:lineRule="auto"/>
        <w:ind w:left="720" w:hanging="720"/>
        <w:jc w:val="both"/>
        <w:rPr>
          <w:rFonts w:ascii="Arial" w:hAnsi="Arial" w:cs="Arial"/>
        </w:rPr>
      </w:pPr>
      <w:r>
        <w:rPr>
          <w:rFonts w:ascii="Arial" w:hAnsi="Arial" w:cs="Arial"/>
        </w:rPr>
        <w:t>[</w:t>
      </w:r>
      <w:r w:rsidR="0036782D">
        <w:rPr>
          <w:rFonts w:ascii="Arial" w:hAnsi="Arial" w:cs="Arial"/>
        </w:rPr>
        <w:t>1</w:t>
      </w:r>
      <w:r w:rsidR="006D3377">
        <w:rPr>
          <w:rFonts w:ascii="Arial" w:hAnsi="Arial" w:cs="Arial"/>
        </w:rPr>
        <w:t>5</w:t>
      </w:r>
      <w:r w:rsidR="00462C36">
        <w:rPr>
          <w:rFonts w:ascii="Arial" w:hAnsi="Arial" w:cs="Arial"/>
        </w:rPr>
        <w:t>]</w:t>
      </w:r>
      <w:r>
        <w:rPr>
          <w:rFonts w:ascii="Arial" w:hAnsi="Arial" w:cs="Arial"/>
        </w:rPr>
        <w:tab/>
        <w:t xml:space="preserve">In this case, the claim by the second defendant of being a lay person whilst </w:t>
      </w:r>
      <w:r w:rsidR="00047BF9">
        <w:rPr>
          <w:rFonts w:ascii="Arial" w:hAnsi="Arial" w:cs="Arial"/>
        </w:rPr>
        <w:t xml:space="preserve">confidently </w:t>
      </w:r>
      <w:r w:rsidR="0032391E">
        <w:rPr>
          <w:rFonts w:ascii="Arial" w:hAnsi="Arial" w:cs="Arial"/>
        </w:rPr>
        <w:t xml:space="preserve">defining herself as </w:t>
      </w:r>
      <w:r w:rsidR="007F73EE">
        <w:rPr>
          <w:rFonts w:ascii="Arial" w:hAnsi="Arial" w:cs="Arial"/>
        </w:rPr>
        <w:t>‘</w:t>
      </w:r>
      <w:r w:rsidR="00047BF9" w:rsidRPr="007F73EE">
        <w:rPr>
          <w:rFonts w:ascii="Arial" w:hAnsi="Arial" w:cs="Arial"/>
          <w:b/>
          <w:bCs/>
          <w:i/>
          <w:iCs/>
        </w:rPr>
        <w:t>surety</w:t>
      </w:r>
      <w:r w:rsidR="007F73EE">
        <w:rPr>
          <w:rFonts w:ascii="Arial" w:hAnsi="Arial" w:cs="Arial"/>
        </w:rPr>
        <w:t>’</w:t>
      </w:r>
      <w:r w:rsidR="00DD309B">
        <w:rPr>
          <w:rFonts w:ascii="Arial" w:hAnsi="Arial" w:cs="Arial"/>
        </w:rPr>
        <w:t xml:space="preserve"> in the affidavit and </w:t>
      </w:r>
      <w:r>
        <w:rPr>
          <w:rFonts w:ascii="Arial" w:hAnsi="Arial" w:cs="Arial"/>
        </w:rPr>
        <w:t xml:space="preserve">being the originator of the </w:t>
      </w:r>
      <w:r w:rsidR="00050AAC">
        <w:rPr>
          <w:rFonts w:ascii="Arial" w:hAnsi="Arial" w:cs="Arial"/>
        </w:rPr>
        <w:t xml:space="preserve">commercial </w:t>
      </w:r>
      <w:r w:rsidR="0050250D">
        <w:rPr>
          <w:rFonts w:ascii="Arial" w:hAnsi="Arial" w:cs="Arial"/>
        </w:rPr>
        <w:t>contract</w:t>
      </w:r>
      <w:r w:rsidR="00050AAC">
        <w:rPr>
          <w:rFonts w:ascii="Arial" w:hAnsi="Arial" w:cs="Arial"/>
        </w:rPr>
        <w:t xml:space="preserve"> in which she </w:t>
      </w:r>
      <w:proofErr w:type="spellStart"/>
      <w:r w:rsidR="00050AAC">
        <w:rPr>
          <w:rFonts w:ascii="Arial" w:hAnsi="Arial" w:cs="Arial"/>
        </w:rPr>
        <w:t>bound</w:t>
      </w:r>
      <w:proofErr w:type="spellEnd"/>
      <w:r w:rsidR="00050AAC">
        <w:rPr>
          <w:rFonts w:ascii="Arial" w:hAnsi="Arial" w:cs="Arial"/>
        </w:rPr>
        <w:t xml:space="preserve"> herself to the terms and conditions of the </w:t>
      </w:r>
      <w:r w:rsidR="00C51332">
        <w:rPr>
          <w:rFonts w:ascii="Arial" w:hAnsi="Arial" w:cs="Arial"/>
        </w:rPr>
        <w:t xml:space="preserve">agreement long before the </w:t>
      </w:r>
      <w:r w:rsidR="0087157C">
        <w:rPr>
          <w:rFonts w:ascii="Arial" w:hAnsi="Arial" w:cs="Arial"/>
        </w:rPr>
        <w:t>initial</w:t>
      </w:r>
      <w:r w:rsidR="00C51332">
        <w:rPr>
          <w:rFonts w:ascii="Arial" w:hAnsi="Arial" w:cs="Arial"/>
        </w:rPr>
        <w:t xml:space="preserve"> agreement was signed attests to her own </w:t>
      </w:r>
      <w:r w:rsidR="00FD470D">
        <w:rPr>
          <w:rFonts w:ascii="Arial" w:hAnsi="Arial" w:cs="Arial"/>
        </w:rPr>
        <w:t>obliviousness</w:t>
      </w:r>
      <w:r w:rsidR="001C41F3">
        <w:rPr>
          <w:rFonts w:ascii="Arial" w:hAnsi="Arial" w:cs="Arial"/>
        </w:rPr>
        <w:t xml:space="preserve"> of the rules and principles that regulate the </w:t>
      </w:r>
      <w:r w:rsidR="00BA34AE">
        <w:rPr>
          <w:rFonts w:ascii="Arial" w:hAnsi="Arial" w:cs="Arial"/>
        </w:rPr>
        <w:t xml:space="preserve">legal </w:t>
      </w:r>
      <w:r w:rsidR="001C41F3">
        <w:rPr>
          <w:rFonts w:ascii="Arial" w:hAnsi="Arial" w:cs="Arial"/>
        </w:rPr>
        <w:t xml:space="preserve">field </w:t>
      </w:r>
      <w:r w:rsidR="00993B33">
        <w:rPr>
          <w:rFonts w:ascii="Arial" w:hAnsi="Arial" w:cs="Arial"/>
        </w:rPr>
        <w:t xml:space="preserve">that </w:t>
      </w:r>
      <w:r w:rsidR="00C70762">
        <w:rPr>
          <w:rFonts w:ascii="Arial" w:hAnsi="Arial" w:cs="Arial"/>
        </w:rPr>
        <w:t>is</w:t>
      </w:r>
      <w:r w:rsidR="00993B33">
        <w:rPr>
          <w:rFonts w:ascii="Arial" w:hAnsi="Arial" w:cs="Arial"/>
        </w:rPr>
        <w:t xml:space="preserve"> part of her </w:t>
      </w:r>
      <w:r w:rsidR="00C70762">
        <w:rPr>
          <w:rFonts w:ascii="Arial" w:hAnsi="Arial" w:cs="Arial"/>
        </w:rPr>
        <w:t xml:space="preserve">own </w:t>
      </w:r>
      <w:r w:rsidR="00993B33">
        <w:rPr>
          <w:rFonts w:ascii="Arial" w:hAnsi="Arial" w:cs="Arial"/>
        </w:rPr>
        <w:t>‘</w:t>
      </w:r>
      <w:r w:rsidR="00993B33" w:rsidRPr="00FD470D">
        <w:rPr>
          <w:rFonts w:ascii="Arial" w:hAnsi="Arial" w:cs="Arial"/>
          <w:b/>
          <w:bCs/>
          <w:i/>
          <w:iCs/>
        </w:rPr>
        <w:t>blood stream’</w:t>
      </w:r>
      <w:r w:rsidR="00993B33">
        <w:rPr>
          <w:rFonts w:ascii="Arial" w:hAnsi="Arial" w:cs="Arial"/>
        </w:rPr>
        <w:t>.</w:t>
      </w:r>
      <w:r w:rsidR="001C41F3">
        <w:rPr>
          <w:rFonts w:ascii="Arial" w:hAnsi="Arial" w:cs="Arial"/>
        </w:rPr>
        <w:t xml:space="preserve"> </w:t>
      </w:r>
      <w:r w:rsidR="0058682D">
        <w:rPr>
          <w:rFonts w:ascii="Arial" w:hAnsi="Arial" w:cs="Arial"/>
        </w:rPr>
        <w:t>It is worth repeating that the second defendant, even on discussions with the plaintiffs regarding the</w:t>
      </w:r>
      <w:r w:rsidR="00C70762">
        <w:rPr>
          <w:rFonts w:ascii="Arial" w:hAnsi="Arial" w:cs="Arial"/>
        </w:rPr>
        <w:t xml:space="preserve"> payment of the</w:t>
      </w:r>
      <w:r w:rsidR="0058682D">
        <w:rPr>
          <w:rFonts w:ascii="Arial" w:hAnsi="Arial" w:cs="Arial"/>
        </w:rPr>
        <w:t xml:space="preserve"> arrear rental</w:t>
      </w:r>
      <w:proofErr w:type="gramStart"/>
      <w:r w:rsidR="0058682D">
        <w:rPr>
          <w:rFonts w:ascii="Arial" w:hAnsi="Arial" w:cs="Arial"/>
        </w:rPr>
        <w:t>, she</w:t>
      </w:r>
      <w:proofErr w:type="gramEnd"/>
      <w:r w:rsidR="0058682D">
        <w:rPr>
          <w:rFonts w:ascii="Arial" w:hAnsi="Arial" w:cs="Arial"/>
        </w:rPr>
        <w:t xml:space="preserve"> was part of the representatives that </w:t>
      </w:r>
      <w:r w:rsidR="00825273">
        <w:rPr>
          <w:rFonts w:ascii="Arial" w:hAnsi="Arial" w:cs="Arial"/>
        </w:rPr>
        <w:t xml:space="preserve">attempted to resolve the </w:t>
      </w:r>
      <w:r w:rsidR="00EB513F">
        <w:rPr>
          <w:rFonts w:ascii="Arial" w:hAnsi="Arial" w:cs="Arial"/>
        </w:rPr>
        <w:t>deadlock</w:t>
      </w:r>
      <w:r w:rsidR="00825273">
        <w:rPr>
          <w:rFonts w:ascii="Arial" w:hAnsi="Arial" w:cs="Arial"/>
        </w:rPr>
        <w:t xml:space="preserve"> </w:t>
      </w:r>
      <w:r w:rsidR="00A95777">
        <w:rPr>
          <w:rFonts w:ascii="Arial" w:hAnsi="Arial" w:cs="Arial"/>
        </w:rPr>
        <w:t xml:space="preserve">between them. </w:t>
      </w:r>
      <w:r w:rsidR="00367FDA">
        <w:rPr>
          <w:rFonts w:ascii="Arial" w:hAnsi="Arial" w:cs="Arial"/>
        </w:rPr>
        <w:t xml:space="preserve">The affidavit resisting the application was also endorsed by </w:t>
      </w:r>
      <w:r w:rsidR="00367FDA">
        <w:rPr>
          <w:rFonts w:ascii="Arial" w:hAnsi="Arial" w:cs="Arial"/>
        </w:rPr>
        <w:lastRenderedPageBreak/>
        <w:t xml:space="preserve">her </w:t>
      </w:r>
      <w:r w:rsidR="00E420C0">
        <w:rPr>
          <w:rFonts w:ascii="Arial" w:hAnsi="Arial" w:cs="Arial"/>
        </w:rPr>
        <w:t xml:space="preserve">confirming to be bound by the legal advice </w:t>
      </w:r>
      <w:r w:rsidR="001115A8">
        <w:rPr>
          <w:rFonts w:ascii="Arial" w:hAnsi="Arial" w:cs="Arial"/>
        </w:rPr>
        <w:t>provided by their legal representatives</w:t>
      </w:r>
      <w:r w:rsidR="006157E8">
        <w:rPr>
          <w:rFonts w:ascii="Arial" w:hAnsi="Arial" w:cs="Arial"/>
        </w:rPr>
        <w:t xml:space="preserve"> which meant a clear understanding of</w:t>
      </w:r>
      <w:r w:rsidR="00A8503A">
        <w:rPr>
          <w:rFonts w:ascii="Arial" w:hAnsi="Arial" w:cs="Arial"/>
        </w:rPr>
        <w:t xml:space="preserve"> what ‘</w:t>
      </w:r>
      <w:r w:rsidR="00A8503A" w:rsidRPr="002D140E">
        <w:rPr>
          <w:rFonts w:ascii="Arial" w:hAnsi="Arial" w:cs="Arial"/>
          <w:b/>
          <w:bCs/>
          <w:i/>
          <w:iCs/>
        </w:rPr>
        <w:t>suretyship</w:t>
      </w:r>
      <w:r w:rsidR="002D140E">
        <w:rPr>
          <w:rFonts w:ascii="Arial" w:hAnsi="Arial" w:cs="Arial"/>
        </w:rPr>
        <w:t>’</w:t>
      </w:r>
      <w:r w:rsidR="00A8503A">
        <w:rPr>
          <w:rFonts w:ascii="Arial" w:hAnsi="Arial" w:cs="Arial"/>
        </w:rPr>
        <w:t xml:space="preserve"> entails</w:t>
      </w:r>
      <w:r w:rsidR="001115A8">
        <w:rPr>
          <w:rFonts w:ascii="Arial" w:hAnsi="Arial" w:cs="Arial"/>
        </w:rPr>
        <w:t xml:space="preserve">. </w:t>
      </w:r>
      <w:r w:rsidR="0039045B">
        <w:rPr>
          <w:rFonts w:ascii="Arial" w:hAnsi="Arial" w:cs="Arial"/>
        </w:rPr>
        <w:t xml:space="preserve">I must </w:t>
      </w:r>
      <w:r w:rsidR="00D92979">
        <w:rPr>
          <w:rFonts w:ascii="Arial" w:hAnsi="Arial" w:cs="Arial"/>
        </w:rPr>
        <w:t xml:space="preserve">restate that the second defendant was </w:t>
      </w:r>
      <w:r w:rsidR="00C11FF5">
        <w:rPr>
          <w:rFonts w:ascii="Arial" w:hAnsi="Arial" w:cs="Arial"/>
        </w:rPr>
        <w:t>‘</w:t>
      </w:r>
      <w:r w:rsidR="00D92979" w:rsidRPr="002D140E">
        <w:rPr>
          <w:rFonts w:ascii="Arial" w:hAnsi="Arial" w:cs="Arial"/>
          <w:b/>
          <w:bCs/>
          <w:i/>
          <w:iCs/>
        </w:rPr>
        <w:t>economical</w:t>
      </w:r>
      <w:r w:rsidR="00C11FF5">
        <w:rPr>
          <w:rFonts w:ascii="Arial" w:hAnsi="Arial" w:cs="Arial"/>
        </w:rPr>
        <w:t xml:space="preserve">’ on the justification of the signing of the suretyship agreement in that </w:t>
      </w:r>
      <w:r w:rsidR="00F94067">
        <w:rPr>
          <w:rFonts w:ascii="Arial" w:hAnsi="Arial" w:cs="Arial"/>
        </w:rPr>
        <w:t xml:space="preserve">there was nothing placed before this court that could have created a doubt on the true intentions to be bound by the terms of the agreement. </w:t>
      </w:r>
      <w:r w:rsidR="0033576D">
        <w:rPr>
          <w:rFonts w:ascii="Arial" w:hAnsi="Arial" w:cs="Arial"/>
        </w:rPr>
        <w:t>There was no alleged misrepresentation of being induced to sign the said agreement</w:t>
      </w:r>
      <w:r w:rsidR="00180716">
        <w:rPr>
          <w:rFonts w:ascii="Arial" w:hAnsi="Arial" w:cs="Arial"/>
        </w:rPr>
        <w:t xml:space="preserve"> and I need not traverse this matter as it was not raised in papers and during argument.</w:t>
      </w:r>
      <w:r w:rsidR="00C11FF5">
        <w:rPr>
          <w:rFonts w:ascii="Arial" w:hAnsi="Arial" w:cs="Arial"/>
        </w:rPr>
        <w:t xml:space="preserve"> </w:t>
      </w:r>
    </w:p>
    <w:p w14:paraId="4A971FE3" w14:textId="77777777" w:rsidR="00C204C3" w:rsidRDefault="00C204C3" w:rsidP="00D20A14">
      <w:pPr>
        <w:spacing w:after="0" w:line="360" w:lineRule="auto"/>
        <w:ind w:left="720" w:hanging="720"/>
        <w:jc w:val="both"/>
        <w:rPr>
          <w:rFonts w:ascii="Arial" w:hAnsi="Arial" w:cs="Arial"/>
        </w:rPr>
      </w:pPr>
    </w:p>
    <w:p w14:paraId="5C397241" w14:textId="397284AA" w:rsidR="00683938" w:rsidRDefault="007B1B71" w:rsidP="00085C72">
      <w:pPr>
        <w:spacing w:after="0" w:line="360" w:lineRule="auto"/>
        <w:ind w:left="720" w:hanging="720"/>
        <w:jc w:val="both"/>
        <w:rPr>
          <w:rFonts w:ascii="Arial" w:hAnsi="Arial" w:cs="Arial"/>
        </w:rPr>
      </w:pPr>
      <w:r>
        <w:rPr>
          <w:rFonts w:ascii="Arial" w:hAnsi="Arial" w:cs="Arial"/>
        </w:rPr>
        <w:t>[</w:t>
      </w:r>
      <w:r w:rsidR="0036782D">
        <w:rPr>
          <w:rFonts w:ascii="Arial" w:hAnsi="Arial" w:cs="Arial"/>
        </w:rPr>
        <w:t>1</w:t>
      </w:r>
      <w:r w:rsidR="006D3377">
        <w:rPr>
          <w:rFonts w:ascii="Arial" w:hAnsi="Arial" w:cs="Arial"/>
        </w:rPr>
        <w:t>6</w:t>
      </w:r>
      <w:r>
        <w:rPr>
          <w:rFonts w:ascii="Arial" w:hAnsi="Arial" w:cs="Arial"/>
        </w:rPr>
        <w:t>]</w:t>
      </w:r>
      <w:r>
        <w:rPr>
          <w:rFonts w:ascii="Arial" w:hAnsi="Arial" w:cs="Arial"/>
        </w:rPr>
        <w:tab/>
      </w:r>
      <w:r w:rsidR="00D44293">
        <w:rPr>
          <w:rFonts w:ascii="Arial" w:hAnsi="Arial" w:cs="Arial"/>
        </w:rPr>
        <w:t xml:space="preserve">This court, also </w:t>
      </w:r>
      <w:r w:rsidR="00797669">
        <w:rPr>
          <w:rFonts w:ascii="Arial" w:hAnsi="Arial" w:cs="Arial"/>
        </w:rPr>
        <w:t>acknowledges</w:t>
      </w:r>
      <w:r w:rsidR="00D44293">
        <w:rPr>
          <w:rFonts w:ascii="Arial" w:hAnsi="Arial" w:cs="Arial"/>
        </w:rPr>
        <w:t xml:space="preserve"> </w:t>
      </w:r>
      <w:r w:rsidR="00797669">
        <w:rPr>
          <w:rFonts w:ascii="Arial" w:hAnsi="Arial" w:cs="Arial"/>
        </w:rPr>
        <w:t xml:space="preserve">that the year 2020, was hard hit by the global wave of the </w:t>
      </w:r>
      <w:r w:rsidR="002F7118">
        <w:rPr>
          <w:rFonts w:ascii="Arial" w:hAnsi="Arial" w:cs="Arial"/>
        </w:rPr>
        <w:t xml:space="preserve">COVID-19 pandemic which had a severe impact </w:t>
      </w:r>
      <w:r w:rsidR="003B20F7">
        <w:rPr>
          <w:rFonts w:ascii="Arial" w:hAnsi="Arial" w:cs="Arial"/>
        </w:rPr>
        <w:t xml:space="preserve">on private and public lives. </w:t>
      </w:r>
      <w:r w:rsidR="00C14E51">
        <w:rPr>
          <w:rFonts w:ascii="Arial" w:hAnsi="Arial" w:cs="Arial"/>
        </w:rPr>
        <w:t xml:space="preserve">This meant </w:t>
      </w:r>
      <w:r w:rsidR="00EA20EC">
        <w:rPr>
          <w:rFonts w:ascii="Arial" w:hAnsi="Arial" w:cs="Arial"/>
        </w:rPr>
        <w:t>‘</w:t>
      </w:r>
      <w:r w:rsidR="00C14E51" w:rsidRPr="00EA20EC">
        <w:rPr>
          <w:rFonts w:ascii="Arial" w:hAnsi="Arial" w:cs="Arial"/>
          <w:b/>
          <w:bCs/>
          <w:i/>
          <w:iCs/>
        </w:rPr>
        <w:t xml:space="preserve">learning </w:t>
      </w:r>
      <w:r w:rsidR="00C14E51" w:rsidRPr="0044343D">
        <w:rPr>
          <w:rFonts w:ascii="Arial" w:hAnsi="Arial" w:cs="Arial"/>
          <w:b/>
          <w:bCs/>
          <w:i/>
          <w:iCs/>
        </w:rPr>
        <w:t>by doing</w:t>
      </w:r>
      <w:r w:rsidR="00C14E51">
        <w:rPr>
          <w:rFonts w:ascii="Arial" w:hAnsi="Arial" w:cs="Arial"/>
        </w:rPr>
        <w:t>’ in addressing the devastating effects it had on all aspects of human lives including commercial relationships.</w:t>
      </w:r>
      <w:r w:rsidR="00EA20EC">
        <w:rPr>
          <w:rFonts w:ascii="Arial" w:hAnsi="Arial" w:cs="Arial"/>
        </w:rPr>
        <w:t xml:space="preserve"> </w:t>
      </w:r>
      <w:r w:rsidR="003B20F7">
        <w:rPr>
          <w:rFonts w:ascii="Arial" w:hAnsi="Arial" w:cs="Arial"/>
        </w:rPr>
        <w:t xml:space="preserve">In the </w:t>
      </w:r>
      <w:r w:rsidR="00926EA6">
        <w:rPr>
          <w:rFonts w:ascii="Arial" w:hAnsi="Arial" w:cs="Arial"/>
        </w:rPr>
        <w:t xml:space="preserve">case </w:t>
      </w:r>
      <w:r w:rsidR="00926EA6" w:rsidRPr="00926EA6">
        <w:rPr>
          <w:rFonts w:ascii="Arial" w:hAnsi="Arial" w:cs="Arial"/>
          <w:i/>
          <w:iCs/>
        </w:rPr>
        <w:t xml:space="preserve">in </w:t>
      </w:r>
      <w:proofErr w:type="spellStart"/>
      <w:r w:rsidR="00926EA6" w:rsidRPr="00926EA6">
        <w:rPr>
          <w:rFonts w:ascii="Arial" w:hAnsi="Arial" w:cs="Arial"/>
          <w:i/>
          <w:iCs/>
        </w:rPr>
        <w:t>casu</w:t>
      </w:r>
      <w:proofErr w:type="spellEnd"/>
      <w:r w:rsidR="003B20F7">
        <w:rPr>
          <w:rFonts w:ascii="Arial" w:hAnsi="Arial" w:cs="Arial"/>
        </w:rPr>
        <w:t xml:space="preserve">, </w:t>
      </w:r>
      <w:r w:rsidR="005C231A">
        <w:rPr>
          <w:rFonts w:ascii="Arial" w:hAnsi="Arial" w:cs="Arial"/>
        </w:rPr>
        <w:t xml:space="preserve">the defendants were just about to start their operations on 01 April 2020 </w:t>
      </w:r>
      <w:r w:rsidR="00870414">
        <w:rPr>
          <w:rFonts w:ascii="Arial" w:hAnsi="Arial" w:cs="Arial"/>
        </w:rPr>
        <w:t xml:space="preserve">when the state of national disaster was declared by the President </w:t>
      </w:r>
      <w:r w:rsidR="00EF1335">
        <w:rPr>
          <w:rFonts w:ascii="Arial" w:hAnsi="Arial" w:cs="Arial"/>
        </w:rPr>
        <w:t xml:space="preserve">on 15 March 2020. </w:t>
      </w:r>
      <w:r w:rsidR="00A23C2E">
        <w:rPr>
          <w:rFonts w:ascii="Arial" w:hAnsi="Arial" w:cs="Arial"/>
        </w:rPr>
        <w:t xml:space="preserve">Of particular significance for this declaration was the defendants’ contention </w:t>
      </w:r>
      <w:r w:rsidR="00735BB7">
        <w:rPr>
          <w:rFonts w:ascii="Arial" w:hAnsi="Arial" w:cs="Arial"/>
        </w:rPr>
        <w:t xml:space="preserve">of the suspension of the occupation of the premises from 01 April until </w:t>
      </w:r>
      <w:r w:rsidR="00350295">
        <w:rPr>
          <w:rFonts w:ascii="Arial" w:hAnsi="Arial" w:cs="Arial"/>
        </w:rPr>
        <w:t xml:space="preserve">01 November 2020. </w:t>
      </w:r>
      <w:r w:rsidR="003512A8">
        <w:rPr>
          <w:rFonts w:ascii="Arial" w:hAnsi="Arial" w:cs="Arial"/>
        </w:rPr>
        <w:t xml:space="preserve">The plaintiff claimed the arrear rental </w:t>
      </w:r>
      <w:r w:rsidR="00CC17ED">
        <w:rPr>
          <w:rFonts w:ascii="Arial" w:hAnsi="Arial" w:cs="Arial"/>
        </w:rPr>
        <w:t xml:space="preserve">as </w:t>
      </w:r>
      <w:r w:rsidR="00F9100D">
        <w:rPr>
          <w:rFonts w:ascii="Arial" w:hAnsi="Arial" w:cs="Arial"/>
        </w:rPr>
        <w:t xml:space="preserve">per the </w:t>
      </w:r>
      <w:r w:rsidR="00CC17ED">
        <w:rPr>
          <w:rFonts w:ascii="Arial" w:hAnsi="Arial" w:cs="Arial"/>
        </w:rPr>
        <w:t xml:space="preserve">agreed </w:t>
      </w:r>
      <w:r w:rsidR="00F9100D">
        <w:rPr>
          <w:rFonts w:ascii="Arial" w:hAnsi="Arial" w:cs="Arial"/>
        </w:rPr>
        <w:t xml:space="preserve">dates </w:t>
      </w:r>
      <w:r w:rsidR="00CC17ED">
        <w:rPr>
          <w:rFonts w:ascii="Arial" w:hAnsi="Arial" w:cs="Arial"/>
        </w:rPr>
        <w:t xml:space="preserve">from the original lease agreement. </w:t>
      </w:r>
      <w:r w:rsidR="003859BF">
        <w:rPr>
          <w:rFonts w:ascii="Arial" w:hAnsi="Arial" w:cs="Arial"/>
        </w:rPr>
        <w:t>This court is in no position not to acknowledge the devastating effects it had on both the lessors and lessees and the general effect on South Africa’s economy</w:t>
      </w:r>
      <w:r w:rsidR="00991EC5">
        <w:rPr>
          <w:rFonts w:ascii="Arial" w:hAnsi="Arial" w:cs="Arial"/>
        </w:rPr>
        <w:t xml:space="preserve"> as noted above</w:t>
      </w:r>
      <w:r w:rsidR="003859BF">
        <w:rPr>
          <w:rFonts w:ascii="Arial" w:hAnsi="Arial" w:cs="Arial"/>
        </w:rPr>
        <w:t xml:space="preserve">. </w:t>
      </w:r>
      <w:r w:rsidR="00991EC5">
        <w:rPr>
          <w:rFonts w:ascii="Arial" w:hAnsi="Arial" w:cs="Arial"/>
        </w:rPr>
        <w:t xml:space="preserve">The COVID-19 pandemic </w:t>
      </w:r>
      <w:r w:rsidR="00EE47C2">
        <w:rPr>
          <w:rFonts w:ascii="Arial" w:hAnsi="Arial" w:cs="Arial"/>
        </w:rPr>
        <w:t xml:space="preserve">had a </w:t>
      </w:r>
      <w:r w:rsidR="00683938">
        <w:rPr>
          <w:rFonts w:ascii="Arial" w:hAnsi="Arial" w:cs="Arial"/>
        </w:rPr>
        <w:t xml:space="preserve">greater effect </w:t>
      </w:r>
      <w:r w:rsidR="00EE47C2">
        <w:rPr>
          <w:rFonts w:ascii="Arial" w:hAnsi="Arial" w:cs="Arial"/>
        </w:rPr>
        <w:t xml:space="preserve">and </w:t>
      </w:r>
      <w:r w:rsidR="004F61B7">
        <w:rPr>
          <w:rFonts w:ascii="Arial" w:hAnsi="Arial" w:cs="Arial"/>
        </w:rPr>
        <w:t>restricted</w:t>
      </w:r>
      <w:r w:rsidR="00683938">
        <w:rPr>
          <w:rFonts w:ascii="Arial" w:hAnsi="Arial" w:cs="Arial"/>
        </w:rPr>
        <w:t xml:space="preserve"> movement and limited the people that accessed the business premises (in)directly, affected the profitability of the business, (</w:t>
      </w:r>
      <w:proofErr w:type="spellStart"/>
      <w:r w:rsidR="00683938">
        <w:rPr>
          <w:rFonts w:ascii="Arial" w:hAnsi="Arial" w:cs="Arial"/>
        </w:rPr>
        <w:t>Spilg</w:t>
      </w:r>
      <w:proofErr w:type="spellEnd"/>
      <w:r w:rsidR="00683938">
        <w:rPr>
          <w:rFonts w:ascii="Arial" w:hAnsi="Arial" w:cs="Arial"/>
        </w:rPr>
        <w:t xml:space="preserve"> J in </w:t>
      </w:r>
      <w:r w:rsidR="00683938" w:rsidRPr="002A1C27">
        <w:rPr>
          <w:rFonts w:ascii="Arial" w:hAnsi="Arial" w:cs="Arial"/>
          <w:b/>
          <w:bCs/>
          <w:i/>
          <w:iCs/>
        </w:rPr>
        <w:t>Kalagadi Manganese (Pty) Ltd v Industrial Development Corporation of South Africa Ltd</w:t>
      </w:r>
      <w:r w:rsidR="00683938" w:rsidRPr="002A1C27">
        <w:rPr>
          <w:rFonts w:ascii="Arial" w:hAnsi="Arial" w:cs="Arial"/>
          <w:b/>
          <w:bCs/>
        </w:rPr>
        <w:t xml:space="preserve"> Case NO: 2020/12468 </w:t>
      </w:r>
      <w:r w:rsidR="00683938" w:rsidRPr="003E77B6">
        <w:rPr>
          <w:rFonts w:ascii="Arial" w:hAnsi="Arial" w:cs="Arial"/>
          <w:b/>
          <w:bCs/>
          <w:i/>
          <w:iCs/>
        </w:rPr>
        <w:t>para 24</w:t>
      </w:r>
      <w:r w:rsidR="00683938" w:rsidRPr="002A1C27">
        <w:rPr>
          <w:rFonts w:ascii="Arial" w:hAnsi="Arial" w:cs="Arial"/>
          <w:b/>
          <w:bCs/>
        </w:rPr>
        <w:t>).</w:t>
      </w:r>
      <w:r w:rsidR="00683938">
        <w:rPr>
          <w:rFonts w:ascii="Arial" w:hAnsi="Arial" w:cs="Arial"/>
          <w:b/>
          <w:bCs/>
        </w:rPr>
        <w:t xml:space="preserve"> </w:t>
      </w:r>
    </w:p>
    <w:p w14:paraId="2F2977FC" w14:textId="77777777" w:rsidR="00683938" w:rsidRDefault="00683938" w:rsidP="00085C72">
      <w:pPr>
        <w:spacing w:after="0" w:line="360" w:lineRule="auto"/>
        <w:ind w:left="720" w:hanging="720"/>
        <w:jc w:val="both"/>
        <w:rPr>
          <w:rFonts w:ascii="Arial" w:hAnsi="Arial" w:cs="Arial"/>
        </w:rPr>
      </w:pPr>
    </w:p>
    <w:p w14:paraId="3353BA9E" w14:textId="716C01E5" w:rsidR="000E1AD7" w:rsidRDefault="00334D24" w:rsidP="00085C72">
      <w:pPr>
        <w:spacing w:after="0" w:line="360" w:lineRule="auto"/>
        <w:ind w:left="720" w:hanging="720"/>
        <w:jc w:val="both"/>
        <w:rPr>
          <w:rFonts w:ascii="Arial" w:hAnsi="Arial" w:cs="Arial"/>
        </w:rPr>
      </w:pPr>
      <w:r>
        <w:rPr>
          <w:rFonts w:ascii="Arial" w:hAnsi="Arial" w:cs="Arial"/>
        </w:rPr>
        <w:t>[17]</w:t>
      </w:r>
      <w:r>
        <w:rPr>
          <w:rFonts w:ascii="Arial" w:hAnsi="Arial" w:cs="Arial"/>
        </w:rPr>
        <w:tab/>
      </w:r>
      <w:r w:rsidR="0076509E">
        <w:rPr>
          <w:rFonts w:ascii="Arial" w:hAnsi="Arial" w:cs="Arial"/>
        </w:rPr>
        <w:t xml:space="preserve">However, as claimed by the defendants, </w:t>
      </w:r>
      <w:r w:rsidR="00DD55C1">
        <w:rPr>
          <w:rFonts w:ascii="Arial" w:hAnsi="Arial" w:cs="Arial"/>
        </w:rPr>
        <w:t xml:space="preserve">the </w:t>
      </w:r>
      <w:r w:rsidR="008A70F9">
        <w:rPr>
          <w:rFonts w:ascii="Arial" w:hAnsi="Arial" w:cs="Arial"/>
        </w:rPr>
        <w:t>period of occupation was suspended from the original date to 01 November</w:t>
      </w:r>
      <w:r w:rsidR="00491F4D">
        <w:rPr>
          <w:rFonts w:ascii="Arial" w:hAnsi="Arial" w:cs="Arial"/>
        </w:rPr>
        <w:t xml:space="preserve"> which meant that the plaintiff was not justified in claiming the due </w:t>
      </w:r>
      <w:r w:rsidR="00DD55C1">
        <w:rPr>
          <w:rFonts w:ascii="Arial" w:hAnsi="Arial" w:cs="Arial"/>
        </w:rPr>
        <w:t>rent from the original date</w:t>
      </w:r>
      <w:r w:rsidR="00097901">
        <w:rPr>
          <w:rFonts w:ascii="Arial" w:hAnsi="Arial" w:cs="Arial"/>
        </w:rPr>
        <w:t xml:space="preserve"> (April 2020)</w:t>
      </w:r>
      <w:r w:rsidR="00DD55C1">
        <w:rPr>
          <w:rFonts w:ascii="Arial" w:hAnsi="Arial" w:cs="Arial"/>
        </w:rPr>
        <w:t xml:space="preserve">. </w:t>
      </w:r>
      <w:r w:rsidR="00665FC4">
        <w:rPr>
          <w:rFonts w:ascii="Arial" w:hAnsi="Arial" w:cs="Arial"/>
        </w:rPr>
        <w:t xml:space="preserve">The suspension of occupation touches on the core content of the </w:t>
      </w:r>
      <w:r w:rsidR="00A133FF">
        <w:rPr>
          <w:rFonts w:ascii="Arial" w:hAnsi="Arial" w:cs="Arial"/>
        </w:rPr>
        <w:t>‘</w:t>
      </w:r>
      <w:r w:rsidR="00665FC4" w:rsidRPr="00A133FF">
        <w:rPr>
          <w:rFonts w:ascii="Arial" w:hAnsi="Arial" w:cs="Arial"/>
          <w:b/>
          <w:bCs/>
          <w:i/>
          <w:iCs/>
        </w:rPr>
        <w:t>gentlemen’s agreement’</w:t>
      </w:r>
      <w:r w:rsidR="00665FC4">
        <w:rPr>
          <w:rFonts w:ascii="Arial" w:hAnsi="Arial" w:cs="Arial"/>
        </w:rPr>
        <w:t xml:space="preserve"> as noted above</w:t>
      </w:r>
      <w:r w:rsidR="00A133FF">
        <w:rPr>
          <w:rFonts w:ascii="Arial" w:hAnsi="Arial" w:cs="Arial"/>
        </w:rPr>
        <w:t>,</w:t>
      </w:r>
      <w:r w:rsidR="00665FC4">
        <w:rPr>
          <w:rFonts w:ascii="Arial" w:hAnsi="Arial" w:cs="Arial"/>
        </w:rPr>
        <w:t xml:space="preserve"> where the parties struck a compromise </w:t>
      </w:r>
      <w:r w:rsidR="00065A9A">
        <w:rPr>
          <w:rFonts w:ascii="Arial" w:hAnsi="Arial" w:cs="Arial"/>
        </w:rPr>
        <w:t xml:space="preserve">without amending and reduce the original terms </w:t>
      </w:r>
      <w:r w:rsidR="00C87513">
        <w:rPr>
          <w:rFonts w:ascii="Arial" w:hAnsi="Arial" w:cs="Arial"/>
        </w:rPr>
        <w:t xml:space="preserve">into writing to accommodate the period in which the defendants would not </w:t>
      </w:r>
      <w:r w:rsidR="00FF4E95">
        <w:rPr>
          <w:rFonts w:ascii="Arial" w:hAnsi="Arial" w:cs="Arial"/>
        </w:rPr>
        <w:t>have</w:t>
      </w:r>
      <w:r w:rsidR="00C87513">
        <w:rPr>
          <w:rFonts w:ascii="Arial" w:hAnsi="Arial" w:cs="Arial"/>
        </w:rPr>
        <w:t xml:space="preserve"> been able to operate </w:t>
      </w:r>
      <w:r w:rsidR="00A133FF">
        <w:rPr>
          <w:rFonts w:ascii="Arial" w:hAnsi="Arial" w:cs="Arial"/>
        </w:rPr>
        <w:t xml:space="preserve">and pay due rental. </w:t>
      </w:r>
      <w:r w:rsidR="0014523E">
        <w:rPr>
          <w:rFonts w:ascii="Arial" w:hAnsi="Arial" w:cs="Arial"/>
        </w:rPr>
        <w:t xml:space="preserve">The </w:t>
      </w:r>
      <w:r w:rsidR="0032536F">
        <w:rPr>
          <w:rFonts w:ascii="Arial" w:hAnsi="Arial" w:cs="Arial"/>
        </w:rPr>
        <w:t>letters which entailed the agreed ‘</w:t>
      </w:r>
      <w:proofErr w:type="spellStart"/>
      <w:r w:rsidR="0032536F" w:rsidRPr="001E56BA">
        <w:rPr>
          <w:rFonts w:ascii="Arial" w:hAnsi="Arial" w:cs="Arial"/>
          <w:i/>
          <w:iCs/>
        </w:rPr>
        <w:t>pactas</w:t>
      </w:r>
      <w:proofErr w:type="spellEnd"/>
      <w:r w:rsidR="0032536F">
        <w:rPr>
          <w:rFonts w:ascii="Arial" w:hAnsi="Arial" w:cs="Arial"/>
        </w:rPr>
        <w:t xml:space="preserve">’ did not constitute </w:t>
      </w:r>
      <w:r w:rsidR="005C288D">
        <w:rPr>
          <w:rFonts w:ascii="Arial" w:hAnsi="Arial" w:cs="Arial"/>
        </w:rPr>
        <w:t>the</w:t>
      </w:r>
      <w:r w:rsidR="00AE754F">
        <w:rPr>
          <w:rFonts w:ascii="Arial" w:hAnsi="Arial" w:cs="Arial"/>
        </w:rPr>
        <w:t xml:space="preserve"> </w:t>
      </w:r>
      <w:r w:rsidR="00A539AA">
        <w:rPr>
          <w:rFonts w:ascii="Arial" w:hAnsi="Arial" w:cs="Arial"/>
        </w:rPr>
        <w:t xml:space="preserve">waiver </w:t>
      </w:r>
      <w:r w:rsidR="00AE754F">
        <w:rPr>
          <w:rFonts w:ascii="Arial" w:hAnsi="Arial" w:cs="Arial"/>
        </w:rPr>
        <w:t xml:space="preserve">of the </w:t>
      </w:r>
      <w:r w:rsidR="005C288D">
        <w:rPr>
          <w:rFonts w:ascii="Arial" w:hAnsi="Arial" w:cs="Arial"/>
        </w:rPr>
        <w:t xml:space="preserve">lease agreement. </w:t>
      </w:r>
      <w:r w:rsidR="00222220">
        <w:rPr>
          <w:rFonts w:ascii="Arial" w:hAnsi="Arial" w:cs="Arial"/>
        </w:rPr>
        <w:t xml:space="preserve">Given that the defendants had been in an undisturbed occupation </w:t>
      </w:r>
      <w:r w:rsidR="005A57C2">
        <w:rPr>
          <w:rFonts w:ascii="Arial" w:hAnsi="Arial" w:cs="Arial"/>
        </w:rPr>
        <w:t xml:space="preserve">which meant that the purpose in which the property </w:t>
      </w:r>
      <w:r w:rsidR="00D34CE8">
        <w:rPr>
          <w:rFonts w:ascii="Arial" w:hAnsi="Arial" w:cs="Arial"/>
        </w:rPr>
        <w:t>was leased was fulfilled</w:t>
      </w:r>
      <w:r w:rsidR="00A9691F">
        <w:rPr>
          <w:rFonts w:ascii="Arial" w:hAnsi="Arial" w:cs="Arial"/>
        </w:rPr>
        <w:t xml:space="preserve">, </w:t>
      </w:r>
      <w:r w:rsidR="00380EB6">
        <w:rPr>
          <w:rFonts w:ascii="Arial" w:hAnsi="Arial" w:cs="Arial"/>
        </w:rPr>
        <w:t>it is my considered opinion that the defendants could not be relieved of the</w:t>
      </w:r>
      <w:r w:rsidR="00313008">
        <w:rPr>
          <w:rFonts w:ascii="Arial" w:hAnsi="Arial" w:cs="Arial"/>
        </w:rPr>
        <w:t xml:space="preserve"> attached </w:t>
      </w:r>
      <w:r w:rsidR="00313008">
        <w:rPr>
          <w:rFonts w:ascii="Arial" w:hAnsi="Arial" w:cs="Arial"/>
        </w:rPr>
        <w:lastRenderedPageBreak/>
        <w:t xml:space="preserve">obligations as per the agreed original </w:t>
      </w:r>
      <w:r w:rsidR="00A62FD4">
        <w:rPr>
          <w:rFonts w:ascii="Arial" w:hAnsi="Arial" w:cs="Arial"/>
        </w:rPr>
        <w:t>lease and COVID-19</w:t>
      </w:r>
      <w:r w:rsidR="00B36A71">
        <w:rPr>
          <w:rFonts w:ascii="Arial" w:hAnsi="Arial" w:cs="Arial"/>
        </w:rPr>
        <w:t xml:space="preserve"> could </w:t>
      </w:r>
      <w:r w:rsidR="001E2EBE">
        <w:rPr>
          <w:rFonts w:ascii="Arial" w:hAnsi="Arial" w:cs="Arial"/>
        </w:rPr>
        <w:t xml:space="preserve">not </w:t>
      </w:r>
      <w:r w:rsidR="00B36A71">
        <w:rPr>
          <w:rFonts w:ascii="Arial" w:hAnsi="Arial" w:cs="Arial"/>
        </w:rPr>
        <w:t xml:space="preserve">be used as a </w:t>
      </w:r>
      <w:r w:rsidR="00F312B3" w:rsidRPr="00BB08BC">
        <w:rPr>
          <w:rFonts w:ascii="Arial" w:hAnsi="Arial" w:cs="Arial"/>
          <w:b/>
          <w:bCs/>
          <w:i/>
          <w:iCs/>
        </w:rPr>
        <w:t>‘</w:t>
      </w:r>
      <w:r w:rsidR="00B36A71" w:rsidRPr="00BB08BC">
        <w:rPr>
          <w:rFonts w:ascii="Arial" w:hAnsi="Arial" w:cs="Arial"/>
          <w:b/>
          <w:bCs/>
          <w:i/>
          <w:iCs/>
        </w:rPr>
        <w:t>shield’</w:t>
      </w:r>
      <w:r w:rsidR="00FE5D63">
        <w:rPr>
          <w:rFonts w:ascii="Arial" w:hAnsi="Arial" w:cs="Arial"/>
        </w:rPr>
        <w:t xml:space="preserve"> </w:t>
      </w:r>
      <w:r w:rsidR="00F312B3">
        <w:rPr>
          <w:rFonts w:ascii="Arial" w:hAnsi="Arial" w:cs="Arial"/>
        </w:rPr>
        <w:t>for no</w:t>
      </w:r>
      <w:r w:rsidR="00FB7441">
        <w:rPr>
          <w:rFonts w:ascii="Arial" w:hAnsi="Arial" w:cs="Arial"/>
        </w:rPr>
        <w:t>n</w:t>
      </w:r>
      <w:r w:rsidR="00F312B3">
        <w:rPr>
          <w:rFonts w:ascii="Arial" w:hAnsi="Arial" w:cs="Arial"/>
        </w:rPr>
        <w:t>-performance</w:t>
      </w:r>
      <w:r w:rsidR="00FB7441">
        <w:rPr>
          <w:rFonts w:ascii="Arial" w:hAnsi="Arial" w:cs="Arial"/>
        </w:rPr>
        <w:t xml:space="preserve"> because business </w:t>
      </w:r>
      <w:r w:rsidR="002C5931">
        <w:rPr>
          <w:rFonts w:ascii="Arial" w:hAnsi="Arial" w:cs="Arial"/>
        </w:rPr>
        <w:t xml:space="preserve">had become unviable due to its effects without having </w:t>
      </w:r>
      <w:r w:rsidR="00CB3A12">
        <w:rPr>
          <w:rFonts w:ascii="Arial" w:hAnsi="Arial" w:cs="Arial"/>
        </w:rPr>
        <w:t xml:space="preserve">prepared for such eventualities in the </w:t>
      </w:r>
      <w:r w:rsidR="00ED3E20">
        <w:rPr>
          <w:rFonts w:ascii="Arial" w:hAnsi="Arial" w:cs="Arial"/>
        </w:rPr>
        <w:t>original agreement, (</w:t>
      </w:r>
      <w:proofErr w:type="spellStart"/>
      <w:r w:rsidR="00677793" w:rsidRPr="00AD0ECE">
        <w:rPr>
          <w:rFonts w:ascii="Arial" w:hAnsi="Arial" w:cs="Arial"/>
          <w:b/>
          <w:bCs/>
          <w:i/>
          <w:iCs/>
        </w:rPr>
        <w:t>Hennops</w:t>
      </w:r>
      <w:proofErr w:type="spellEnd"/>
      <w:r w:rsidR="00677793" w:rsidRPr="00AD0ECE">
        <w:rPr>
          <w:rFonts w:ascii="Arial" w:hAnsi="Arial" w:cs="Arial"/>
          <w:b/>
          <w:bCs/>
          <w:i/>
          <w:iCs/>
        </w:rPr>
        <w:t xml:space="preserve"> Sport (Pty) Ltd v Luhan Auto (Pty Ltd</w:t>
      </w:r>
      <w:r w:rsidR="00677793" w:rsidRPr="00AD0ECE">
        <w:rPr>
          <w:rFonts w:ascii="Arial" w:hAnsi="Arial" w:cs="Arial"/>
          <w:b/>
          <w:bCs/>
        </w:rPr>
        <w:t xml:space="preserve"> (A52/2022</w:t>
      </w:r>
      <w:r w:rsidR="00AD0ECE" w:rsidRPr="00AD0ECE">
        <w:rPr>
          <w:rFonts w:ascii="Arial" w:hAnsi="Arial" w:cs="Arial"/>
          <w:b/>
          <w:bCs/>
        </w:rPr>
        <w:t xml:space="preserve">) [2022] ZAGPPHC 953, </w:t>
      </w:r>
      <w:r w:rsidR="00AD0ECE" w:rsidRPr="008A53D1">
        <w:rPr>
          <w:rFonts w:ascii="Arial" w:hAnsi="Arial" w:cs="Arial"/>
          <w:b/>
          <w:bCs/>
          <w:i/>
          <w:iCs/>
        </w:rPr>
        <w:t>para 22</w:t>
      </w:r>
      <w:r w:rsidR="00AD0ECE">
        <w:rPr>
          <w:rFonts w:ascii="Arial" w:hAnsi="Arial" w:cs="Arial"/>
          <w:b/>
          <w:bCs/>
        </w:rPr>
        <w:t>)</w:t>
      </w:r>
      <w:r w:rsidR="00AD0ECE">
        <w:rPr>
          <w:rFonts w:ascii="Arial" w:hAnsi="Arial" w:cs="Arial"/>
        </w:rPr>
        <w:t>.</w:t>
      </w:r>
    </w:p>
    <w:p w14:paraId="062C08D3" w14:textId="77777777" w:rsidR="00FA2893" w:rsidRDefault="00FA2893" w:rsidP="007B1B71">
      <w:pPr>
        <w:spacing w:after="0" w:line="360" w:lineRule="auto"/>
        <w:ind w:left="720" w:hanging="720"/>
        <w:jc w:val="both"/>
        <w:rPr>
          <w:rFonts w:ascii="Arial" w:hAnsi="Arial" w:cs="Arial"/>
        </w:rPr>
      </w:pPr>
    </w:p>
    <w:p w14:paraId="2360BB03" w14:textId="493F40C0" w:rsidR="001275D4" w:rsidRPr="006A79E9" w:rsidRDefault="00F95891" w:rsidP="005A1311">
      <w:pPr>
        <w:spacing w:after="0" w:line="360" w:lineRule="auto"/>
        <w:ind w:left="720" w:hanging="720"/>
        <w:jc w:val="both"/>
        <w:rPr>
          <w:rFonts w:ascii="Arial" w:hAnsi="Arial" w:cs="Arial"/>
        </w:rPr>
      </w:pPr>
      <w:r>
        <w:rPr>
          <w:rFonts w:ascii="Arial" w:hAnsi="Arial" w:cs="Arial"/>
        </w:rPr>
        <w:t>[</w:t>
      </w:r>
      <w:r w:rsidR="00317D10">
        <w:rPr>
          <w:rFonts w:ascii="Arial" w:hAnsi="Arial" w:cs="Arial"/>
        </w:rPr>
        <w:t>18</w:t>
      </w:r>
      <w:r>
        <w:rPr>
          <w:rFonts w:ascii="Arial" w:hAnsi="Arial" w:cs="Arial"/>
        </w:rPr>
        <w:t>]</w:t>
      </w:r>
      <w:r>
        <w:rPr>
          <w:rFonts w:ascii="Arial" w:hAnsi="Arial" w:cs="Arial"/>
        </w:rPr>
        <w:tab/>
      </w:r>
      <w:r w:rsidR="001432DB">
        <w:rPr>
          <w:rFonts w:ascii="Arial" w:hAnsi="Arial" w:cs="Arial"/>
        </w:rPr>
        <w:t xml:space="preserve">Furthermore, </w:t>
      </w:r>
      <w:r w:rsidR="001275D4">
        <w:rPr>
          <w:rFonts w:ascii="Arial" w:hAnsi="Arial" w:cs="Arial"/>
        </w:rPr>
        <w:t>t</w:t>
      </w:r>
      <w:r w:rsidR="00B259C3">
        <w:rPr>
          <w:rFonts w:ascii="Arial" w:hAnsi="Arial" w:cs="Arial"/>
        </w:rPr>
        <w:t xml:space="preserve">he grave concern in this matter is the indirect limitation of the </w:t>
      </w:r>
      <w:r w:rsidR="006F7E40">
        <w:rPr>
          <w:rFonts w:ascii="Arial" w:hAnsi="Arial" w:cs="Arial"/>
        </w:rPr>
        <w:t xml:space="preserve">plaintiff’s rights to </w:t>
      </w:r>
      <w:r w:rsidR="00B5131C">
        <w:rPr>
          <w:rFonts w:ascii="Arial" w:hAnsi="Arial" w:cs="Arial"/>
        </w:rPr>
        <w:t>the fu</w:t>
      </w:r>
      <w:r w:rsidR="000E28FA">
        <w:rPr>
          <w:rFonts w:ascii="Arial" w:hAnsi="Arial" w:cs="Arial"/>
        </w:rPr>
        <w:t xml:space="preserve">lfilment of the right to </w:t>
      </w:r>
      <w:r w:rsidR="006F7E40">
        <w:rPr>
          <w:rFonts w:ascii="Arial" w:hAnsi="Arial" w:cs="Arial"/>
        </w:rPr>
        <w:t>economic activity as envisaged in section 22 of the Constitution</w:t>
      </w:r>
      <w:r w:rsidR="002733F0">
        <w:rPr>
          <w:rFonts w:ascii="Arial" w:hAnsi="Arial" w:cs="Arial"/>
        </w:rPr>
        <w:t>,</w:t>
      </w:r>
      <w:r w:rsidR="006F7E40">
        <w:rPr>
          <w:rFonts w:ascii="Arial" w:hAnsi="Arial" w:cs="Arial"/>
        </w:rPr>
        <w:t xml:space="preserve"> 1996 by the defendants’ conduct</w:t>
      </w:r>
      <w:r w:rsidR="00D50810">
        <w:rPr>
          <w:rFonts w:ascii="Arial" w:hAnsi="Arial" w:cs="Arial"/>
        </w:rPr>
        <w:t xml:space="preserve"> to pay the due monthly rental. </w:t>
      </w:r>
      <w:r w:rsidR="000E28FA">
        <w:rPr>
          <w:rFonts w:ascii="Arial" w:hAnsi="Arial" w:cs="Arial"/>
        </w:rPr>
        <w:t xml:space="preserve">The latter section provides that </w:t>
      </w:r>
      <w:r w:rsidR="000E28FA" w:rsidRPr="0004438F">
        <w:rPr>
          <w:rFonts w:ascii="Arial" w:hAnsi="Arial" w:cs="Arial"/>
        </w:rPr>
        <w:t>‘</w:t>
      </w:r>
      <w:r w:rsidR="000E28FA" w:rsidRPr="0030795C">
        <w:rPr>
          <w:rFonts w:ascii="Arial" w:hAnsi="Arial" w:cs="Arial"/>
          <w:i/>
          <w:iCs/>
        </w:rPr>
        <w:t>e</w:t>
      </w:r>
      <w:r w:rsidR="00F6400E" w:rsidRPr="0030795C">
        <w:rPr>
          <w:rFonts w:ascii="Arial" w:hAnsi="Arial" w:cs="Arial"/>
          <w:i/>
          <w:iCs/>
        </w:rPr>
        <w:t xml:space="preserve">very citizen has the right to choose their trade, </w:t>
      </w:r>
      <w:proofErr w:type="gramStart"/>
      <w:r w:rsidR="00F6400E" w:rsidRPr="0030795C">
        <w:rPr>
          <w:rFonts w:ascii="Arial" w:hAnsi="Arial" w:cs="Arial"/>
          <w:i/>
          <w:iCs/>
        </w:rPr>
        <w:t>occupation</w:t>
      </w:r>
      <w:proofErr w:type="gramEnd"/>
      <w:r w:rsidR="00F6400E" w:rsidRPr="0030795C">
        <w:rPr>
          <w:rFonts w:ascii="Arial" w:hAnsi="Arial" w:cs="Arial"/>
          <w:i/>
          <w:iCs/>
        </w:rPr>
        <w:t xml:space="preserve"> or profession freely. The practice of a trade, occupation or profession may be regulated by law</w:t>
      </w:r>
      <w:r w:rsidR="0030795C">
        <w:rPr>
          <w:rFonts w:ascii="Arial" w:hAnsi="Arial" w:cs="Arial"/>
        </w:rPr>
        <w:t>’</w:t>
      </w:r>
      <w:r w:rsidR="00F6400E" w:rsidRPr="006A79E9">
        <w:rPr>
          <w:rFonts w:ascii="Arial" w:hAnsi="Arial" w:cs="Arial"/>
        </w:rPr>
        <w:t>.</w:t>
      </w:r>
      <w:r w:rsidR="0004438F" w:rsidRPr="006A79E9">
        <w:rPr>
          <w:rFonts w:ascii="Arial" w:hAnsi="Arial" w:cs="Arial"/>
        </w:rPr>
        <w:t xml:space="preserve"> The plaintiff’s choosing of </w:t>
      </w:r>
      <w:r w:rsidR="00EE164F">
        <w:rPr>
          <w:rFonts w:ascii="Arial" w:hAnsi="Arial" w:cs="Arial"/>
        </w:rPr>
        <w:t>t</w:t>
      </w:r>
      <w:r w:rsidR="0004438F" w:rsidRPr="006A79E9">
        <w:rPr>
          <w:rFonts w:ascii="Arial" w:hAnsi="Arial" w:cs="Arial"/>
        </w:rPr>
        <w:t xml:space="preserve">his area </w:t>
      </w:r>
      <w:r w:rsidR="00DC02DE">
        <w:rPr>
          <w:rFonts w:ascii="Arial" w:hAnsi="Arial" w:cs="Arial"/>
        </w:rPr>
        <w:t xml:space="preserve">of trade </w:t>
      </w:r>
      <w:r w:rsidR="0004438F" w:rsidRPr="006A79E9">
        <w:rPr>
          <w:rFonts w:ascii="Arial" w:hAnsi="Arial" w:cs="Arial"/>
        </w:rPr>
        <w:t xml:space="preserve">in commercial practice which </w:t>
      </w:r>
      <w:proofErr w:type="gramStart"/>
      <w:r w:rsidR="0004438F" w:rsidRPr="006A79E9">
        <w:rPr>
          <w:rFonts w:ascii="Arial" w:hAnsi="Arial" w:cs="Arial"/>
        </w:rPr>
        <w:t>entail</w:t>
      </w:r>
      <w:proofErr w:type="gramEnd"/>
      <w:r w:rsidR="0004438F" w:rsidRPr="006A79E9">
        <w:rPr>
          <w:rFonts w:ascii="Arial" w:hAnsi="Arial" w:cs="Arial"/>
        </w:rPr>
        <w:t xml:space="preserve"> the renting and leasing out of property is a direct contribution to the fulfilment of this</w:t>
      </w:r>
      <w:r w:rsidR="006A79E9" w:rsidRPr="006A79E9">
        <w:rPr>
          <w:rFonts w:ascii="Arial" w:hAnsi="Arial" w:cs="Arial"/>
        </w:rPr>
        <w:t xml:space="preserve"> right</w:t>
      </w:r>
      <w:r w:rsidR="00732BFC">
        <w:rPr>
          <w:rFonts w:ascii="Arial" w:hAnsi="Arial" w:cs="Arial"/>
        </w:rPr>
        <w:t>.</w:t>
      </w:r>
      <w:r w:rsidR="006A79E9" w:rsidRPr="006A79E9">
        <w:rPr>
          <w:rFonts w:ascii="Arial" w:hAnsi="Arial" w:cs="Arial"/>
        </w:rPr>
        <w:t xml:space="preserve"> </w:t>
      </w:r>
      <w:r w:rsidR="00CC3970">
        <w:rPr>
          <w:rFonts w:ascii="Arial" w:hAnsi="Arial" w:cs="Arial"/>
        </w:rPr>
        <w:t>It is the considered view of this court that limitation of rights could not be limited by ‘</w:t>
      </w:r>
      <w:r w:rsidR="003A68C6">
        <w:rPr>
          <w:rFonts w:ascii="Arial" w:hAnsi="Arial" w:cs="Arial"/>
        </w:rPr>
        <w:t xml:space="preserve">tacit </w:t>
      </w:r>
      <w:proofErr w:type="gramStart"/>
      <w:r w:rsidR="00FB25A9">
        <w:rPr>
          <w:rFonts w:ascii="Arial" w:hAnsi="Arial" w:cs="Arial"/>
        </w:rPr>
        <w:t>conducts’</w:t>
      </w:r>
      <w:proofErr w:type="gramEnd"/>
      <w:r w:rsidR="002240DE">
        <w:rPr>
          <w:rFonts w:ascii="Arial" w:hAnsi="Arial" w:cs="Arial"/>
        </w:rPr>
        <w:t xml:space="preserve"> and the defendant’s own exercise of the right to economic </w:t>
      </w:r>
      <w:r w:rsidR="00AF0B39">
        <w:rPr>
          <w:rFonts w:ascii="Arial" w:hAnsi="Arial" w:cs="Arial"/>
        </w:rPr>
        <w:t xml:space="preserve">activity should not be </w:t>
      </w:r>
      <w:r w:rsidR="00B01BC9">
        <w:rPr>
          <w:rFonts w:ascii="Arial" w:hAnsi="Arial" w:cs="Arial"/>
        </w:rPr>
        <w:t>enjoyed at the prejudice of the plaintiff</w:t>
      </w:r>
      <w:r w:rsidR="003A68C6">
        <w:rPr>
          <w:rFonts w:ascii="Arial" w:hAnsi="Arial" w:cs="Arial"/>
        </w:rPr>
        <w:t xml:space="preserve">. </w:t>
      </w:r>
      <w:r w:rsidR="0077349A">
        <w:rPr>
          <w:rFonts w:ascii="Arial" w:hAnsi="Arial" w:cs="Arial"/>
        </w:rPr>
        <w:t xml:space="preserve">Rights are limited </w:t>
      </w:r>
      <w:r w:rsidR="00B01BC9">
        <w:rPr>
          <w:rFonts w:ascii="Arial" w:hAnsi="Arial" w:cs="Arial"/>
        </w:rPr>
        <w:t xml:space="preserve">only </w:t>
      </w:r>
      <w:r w:rsidR="0077349A">
        <w:rPr>
          <w:rFonts w:ascii="Arial" w:hAnsi="Arial" w:cs="Arial"/>
        </w:rPr>
        <w:t xml:space="preserve">in terms of the broad law of general application as envisaged in section </w:t>
      </w:r>
      <w:r w:rsidR="005A1311">
        <w:rPr>
          <w:rFonts w:ascii="Arial" w:hAnsi="Arial" w:cs="Arial"/>
        </w:rPr>
        <w:t xml:space="preserve">36 </w:t>
      </w:r>
      <w:r w:rsidR="0077349A">
        <w:rPr>
          <w:rFonts w:ascii="Arial" w:hAnsi="Arial" w:cs="Arial"/>
        </w:rPr>
        <w:t>of the Constitution, 1996</w:t>
      </w:r>
      <w:r w:rsidR="005A1311">
        <w:rPr>
          <w:rFonts w:ascii="Arial" w:hAnsi="Arial" w:cs="Arial"/>
        </w:rPr>
        <w:t>.</w:t>
      </w:r>
      <w:r w:rsidR="0077349A">
        <w:rPr>
          <w:rFonts w:ascii="Arial" w:hAnsi="Arial" w:cs="Arial"/>
        </w:rPr>
        <w:t xml:space="preserve"> </w:t>
      </w:r>
      <w:r w:rsidR="00BF042C">
        <w:rPr>
          <w:rFonts w:ascii="Arial" w:hAnsi="Arial" w:cs="Arial"/>
        </w:rPr>
        <w:t>It is not justified that the plaintiff’s economic advancement is limite</w:t>
      </w:r>
      <w:r w:rsidR="0064719F">
        <w:rPr>
          <w:rFonts w:ascii="Arial" w:hAnsi="Arial" w:cs="Arial"/>
        </w:rPr>
        <w:t xml:space="preserve">d by the defendant’s conduct </w:t>
      </w:r>
      <w:r w:rsidR="00700C69">
        <w:rPr>
          <w:rFonts w:ascii="Arial" w:hAnsi="Arial" w:cs="Arial"/>
        </w:rPr>
        <w:t xml:space="preserve">which is far from the approach that serves as a determinant for the limitation of rights. </w:t>
      </w:r>
    </w:p>
    <w:p w14:paraId="1FCF75DF" w14:textId="77777777" w:rsidR="003E3111" w:rsidRPr="00F41776" w:rsidRDefault="003E3111" w:rsidP="003E3111">
      <w:pPr>
        <w:spacing w:after="0" w:line="360" w:lineRule="auto"/>
        <w:ind w:left="720" w:hanging="720"/>
        <w:jc w:val="both"/>
        <w:rPr>
          <w:rFonts w:ascii="Arial" w:hAnsi="Arial" w:cs="Arial"/>
        </w:rPr>
      </w:pPr>
    </w:p>
    <w:p w14:paraId="040449A0" w14:textId="3B892D1F" w:rsidR="00A43C88" w:rsidRDefault="008107D2" w:rsidP="00F95891">
      <w:pPr>
        <w:spacing w:after="0" w:line="360" w:lineRule="auto"/>
        <w:ind w:left="720" w:hanging="720"/>
        <w:jc w:val="both"/>
        <w:rPr>
          <w:rFonts w:ascii="Arial" w:hAnsi="Arial" w:cs="Arial"/>
        </w:rPr>
      </w:pPr>
      <w:r>
        <w:rPr>
          <w:rFonts w:ascii="Arial" w:hAnsi="Arial" w:cs="Arial"/>
        </w:rPr>
        <w:t>[</w:t>
      </w:r>
      <w:r w:rsidR="00317D10">
        <w:rPr>
          <w:rFonts w:ascii="Arial" w:hAnsi="Arial" w:cs="Arial"/>
        </w:rPr>
        <w:t>19</w:t>
      </w:r>
      <w:r w:rsidR="00475C4D" w:rsidRPr="00F41776">
        <w:rPr>
          <w:rFonts w:ascii="Arial" w:hAnsi="Arial" w:cs="Arial"/>
        </w:rPr>
        <w:t>]</w:t>
      </w:r>
      <w:r w:rsidR="00475C4D" w:rsidRPr="00F41776">
        <w:rPr>
          <w:rFonts w:ascii="Arial" w:hAnsi="Arial" w:cs="Arial"/>
        </w:rPr>
        <w:tab/>
      </w:r>
      <w:r w:rsidR="00BD68F0">
        <w:rPr>
          <w:rFonts w:ascii="Arial" w:hAnsi="Arial" w:cs="Arial"/>
        </w:rPr>
        <w:t>Throughout this judgment, a great emphasis has been made for the defendants’ compliance with the terms of the original agreement and dismissed any purported variation of the said agreement by ‘conduct’</w:t>
      </w:r>
      <w:r w:rsidR="00CF3BFC">
        <w:rPr>
          <w:rFonts w:ascii="Arial" w:hAnsi="Arial" w:cs="Arial"/>
        </w:rPr>
        <w:t xml:space="preserve"> despite any contributory factors</w:t>
      </w:r>
      <w:r w:rsidR="00C5260F">
        <w:rPr>
          <w:rFonts w:ascii="Arial" w:hAnsi="Arial" w:cs="Arial"/>
        </w:rPr>
        <w:t xml:space="preserve"> such as the COVID-19 pandemic</w:t>
      </w:r>
      <w:r w:rsidR="00BD68F0">
        <w:rPr>
          <w:rFonts w:ascii="Arial" w:hAnsi="Arial" w:cs="Arial"/>
        </w:rPr>
        <w:t xml:space="preserve">. </w:t>
      </w:r>
      <w:r w:rsidR="00800A89" w:rsidRPr="00E27F7A">
        <w:rPr>
          <w:rFonts w:ascii="Arial" w:hAnsi="Arial" w:cs="Arial"/>
        </w:rPr>
        <w:t>It is still the considered view of</w:t>
      </w:r>
      <w:r w:rsidR="004B032B" w:rsidRPr="00E27F7A">
        <w:rPr>
          <w:rFonts w:ascii="Arial" w:hAnsi="Arial" w:cs="Arial"/>
        </w:rPr>
        <w:t xml:space="preserve"> this court</w:t>
      </w:r>
      <w:r w:rsidR="004B032B">
        <w:rPr>
          <w:rFonts w:ascii="Arial" w:hAnsi="Arial" w:cs="Arial"/>
        </w:rPr>
        <w:t xml:space="preserve"> </w:t>
      </w:r>
      <w:r w:rsidR="00E27F7A">
        <w:rPr>
          <w:rFonts w:ascii="Arial" w:hAnsi="Arial" w:cs="Arial"/>
        </w:rPr>
        <w:t>to be</w:t>
      </w:r>
      <w:r w:rsidR="004B032B">
        <w:rPr>
          <w:rFonts w:ascii="Arial" w:hAnsi="Arial" w:cs="Arial"/>
        </w:rPr>
        <w:t xml:space="preserve"> wary of moving from the goal in </w:t>
      </w:r>
      <w:r w:rsidR="004C024B">
        <w:rPr>
          <w:rFonts w:ascii="Arial" w:hAnsi="Arial" w:cs="Arial"/>
        </w:rPr>
        <w:t xml:space="preserve">consolidating the sanctity of a contractual relationship between the parties. </w:t>
      </w:r>
      <w:r w:rsidR="003F6241">
        <w:rPr>
          <w:rFonts w:ascii="Arial" w:hAnsi="Arial" w:cs="Arial"/>
        </w:rPr>
        <w:t xml:space="preserve">It is not for this court to renegotiate the terms of the </w:t>
      </w:r>
      <w:r w:rsidR="00F7791C">
        <w:rPr>
          <w:rFonts w:ascii="Arial" w:hAnsi="Arial" w:cs="Arial"/>
        </w:rPr>
        <w:t>agreement between the parties.</w:t>
      </w:r>
      <w:r w:rsidR="001A2C40">
        <w:rPr>
          <w:rFonts w:ascii="Arial" w:hAnsi="Arial" w:cs="Arial"/>
        </w:rPr>
        <w:t xml:space="preserve"> </w:t>
      </w:r>
      <w:r w:rsidR="00D47E0B">
        <w:rPr>
          <w:rFonts w:ascii="Arial" w:hAnsi="Arial" w:cs="Arial"/>
        </w:rPr>
        <w:t>Clause 33.1 of the agreement entitles the plaintiff to cancel and evict the defendants from the leased premises</w:t>
      </w:r>
      <w:r w:rsidR="003464EC">
        <w:rPr>
          <w:rFonts w:ascii="Arial" w:hAnsi="Arial" w:cs="Arial"/>
        </w:rPr>
        <w:t xml:space="preserve"> should </w:t>
      </w:r>
      <w:r w:rsidR="00396B69">
        <w:rPr>
          <w:rFonts w:ascii="Arial" w:hAnsi="Arial" w:cs="Arial"/>
        </w:rPr>
        <w:t>they</w:t>
      </w:r>
      <w:r w:rsidR="003464EC">
        <w:rPr>
          <w:rFonts w:ascii="Arial" w:hAnsi="Arial" w:cs="Arial"/>
        </w:rPr>
        <w:t xml:space="preserve"> fail to </w:t>
      </w:r>
      <w:proofErr w:type="spellStart"/>
      <w:r w:rsidR="003464EC">
        <w:rPr>
          <w:rFonts w:ascii="Arial" w:hAnsi="Arial" w:cs="Arial"/>
        </w:rPr>
        <w:t>honour</w:t>
      </w:r>
      <w:proofErr w:type="spellEnd"/>
      <w:r w:rsidR="003464EC">
        <w:rPr>
          <w:rFonts w:ascii="Arial" w:hAnsi="Arial" w:cs="Arial"/>
        </w:rPr>
        <w:t xml:space="preserve"> </w:t>
      </w:r>
      <w:proofErr w:type="gramStart"/>
      <w:r w:rsidR="003464EC">
        <w:rPr>
          <w:rFonts w:ascii="Arial" w:hAnsi="Arial" w:cs="Arial"/>
        </w:rPr>
        <w:t>its</w:t>
      </w:r>
      <w:proofErr w:type="gramEnd"/>
      <w:r w:rsidR="003464EC">
        <w:rPr>
          <w:rFonts w:ascii="Arial" w:hAnsi="Arial" w:cs="Arial"/>
        </w:rPr>
        <w:t xml:space="preserve"> intended obligations and pay the due rental</w:t>
      </w:r>
      <w:r w:rsidR="00D47E0B">
        <w:rPr>
          <w:rFonts w:ascii="Arial" w:hAnsi="Arial" w:cs="Arial"/>
        </w:rPr>
        <w:t xml:space="preserve">. </w:t>
      </w:r>
      <w:r w:rsidR="00EC4C40">
        <w:rPr>
          <w:rFonts w:ascii="Arial" w:hAnsi="Arial" w:cs="Arial"/>
        </w:rPr>
        <w:t xml:space="preserve">This was not a </w:t>
      </w:r>
      <w:r w:rsidR="009B794A">
        <w:rPr>
          <w:rFonts w:ascii="Arial" w:hAnsi="Arial" w:cs="Arial"/>
        </w:rPr>
        <w:t>‘</w:t>
      </w:r>
      <w:r w:rsidR="009B794A" w:rsidRPr="001A688C">
        <w:rPr>
          <w:rFonts w:ascii="Arial" w:hAnsi="Arial" w:cs="Arial"/>
          <w:b/>
          <w:bCs/>
          <w:i/>
          <w:iCs/>
        </w:rPr>
        <w:t xml:space="preserve">mere </w:t>
      </w:r>
      <w:r w:rsidR="00EC4C40" w:rsidRPr="001A688C">
        <w:rPr>
          <w:rFonts w:ascii="Arial" w:hAnsi="Arial" w:cs="Arial"/>
          <w:b/>
          <w:bCs/>
          <w:i/>
          <w:iCs/>
        </w:rPr>
        <w:t>legal conundrum</w:t>
      </w:r>
      <w:r w:rsidR="009B794A" w:rsidRPr="001A688C">
        <w:rPr>
          <w:rFonts w:ascii="Arial" w:hAnsi="Arial" w:cs="Arial"/>
          <w:b/>
          <w:bCs/>
          <w:i/>
          <w:iCs/>
        </w:rPr>
        <w:t>’</w:t>
      </w:r>
      <w:r w:rsidR="009B794A">
        <w:rPr>
          <w:rFonts w:ascii="Arial" w:hAnsi="Arial" w:cs="Arial"/>
        </w:rPr>
        <w:t xml:space="preserve"> but the defendant’s clear understanding of clause 6.1 of the agreement which effectively require</w:t>
      </w:r>
      <w:r w:rsidR="002840C8">
        <w:rPr>
          <w:rFonts w:ascii="Arial" w:hAnsi="Arial" w:cs="Arial"/>
        </w:rPr>
        <w:t xml:space="preserve">d an advanced payment of rental or </w:t>
      </w:r>
      <w:r w:rsidR="009536AC">
        <w:rPr>
          <w:rFonts w:ascii="Arial" w:hAnsi="Arial" w:cs="Arial"/>
        </w:rPr>
        <w:t xml:space="preserve">on the </w:t>
      </w:r>
      <w:r w:rsidR="002840C8">
        <w:rPr>
          <w:rFonts w:ascii="Arial" w:hAnsi="Arial" w:cs="Arial"/>
        </w:rPr>
        <w:t xml:space="preserve">first day of each calendar month. There was nothing ambiguous about this clause as the defendants, even if they were granted such discounted </w:t>
      </w:r>
      <w:r w:rsidR="00BE452C">
        <w:rPr>
          <w:rFonts w:ascii="Arial" w:hAnsi="Arial" w:cs="Arial"/>
        </w:rPr>
        <w:t xml:space="preserve">rental, they were still in </w:t>
      </w:r>
      <w:r w:rsidR="00137CC3">
        <w:rPr>
          <w:rFonts w:ascii="Arial" w:hAnsi="Arial" w:cs="Arial"/>
        </w:rPr>
        <w:t>default</w:t>
      </w:r>
      <w:r w:rsidR="00A561F7">
        <w:rPr>
          <w:rFonts w:ascii="Arial" w:hAnsi="Arial" w:cs="Arial"/>
        </w:rPr>
        <w:t xml:space="preserve"> </w:t>
      </w:r>
      <w:r w:rsidR="00BE452C">
        <w:rPr>
          <w:rFonts w:ascii="Arial" w:hAnsi="Arial" w:cs="Arial"/>
        </w:rPr>
        <w:t>in February 2023</w:t>
      </w:r>
      <w:r w:rsidR="000070E8">
        <w:rPr>
          <w:rFonts w:ascii="Arial" w:hAnsi="Arial" w:cs="Arial"/>
        </w:rPr>
        <w:t>.</w:t>
      </w:r>
      <w:r w:rsidR="002840C8">
        <w:rPr>
          <w:rFonts w:ascii="Arial" w:hAnsi="Arial" w:cs="Arial"/>
        </w:rPr>
        <w:t xml:space="preserve"> </w:t>
      </w:r>
      <w:r w:rsidR="00CE15D4">
        <w:rPr>
          <w:rFonts w:ascii="Arial" w:hAnsi="Arial" w:cs="Arial"/>
        </w:rPr>
        <w:t xml:space="preserve">This court exercise restraint on its discretion and avoids </w:t>
      </w:r>
      <w:r w:rsidR="00832F37">
        <w:rPr>
          <w:rFonts w:ascii="Arial" w:hAnsi="Arial" w:cs="Arial"/>
        </w:rPr>
        <w:t xml:space="preserve">the attempt to </w:t>
      </w:r>
      <w:r w:rsidR="00CE15D4">
        <w:rPr>
          <w:rFonts w:ascii="Arial" w:hAnsi="Arial" w:cs="Arial"/>
        </w:rPr>
        <w:t>re-writ</w:t>
      </w:r>
      <w:r w:rsidR="00741C67">
        <w:rPr>
          <w:rFonts w:ascii="Arial" w:hAnsi="Arial" w:cs="Arial"/>
        </w:rPr>
        <w:t>e</w:t>
      </w:r>
      <w:r w:rsidR="00CE15D4">
        <w:rPr>
          <w:rFonts w:ascii="Arial" w:hAnsi="Arial" w:cs="Arial"/>
        </w:rPr>
        <w:t xml:space="preserve"> the parties agreement</w:t>
      </w:r>
      <w:r w:rsidR="0060279D">
        <w:rPr>
          <w:rFonts w:ascii="Arial" w:hAnsi="Arial" w:cs="Arial"/>
        </w:rPr>
        <w:t xml:space="preserve"> </w:t>
      </w:r>
      <w:r w:rsidR="00741C67">
        <w:rPr>
          <w:rFonts w:ascii="Arial" w:hAnsi="Arial" w:cs="Arial"/>
        </w:rPr>
        <w:t>b</w:t>
      </w:r>
      <w:r w:rsidR="00556337">
        <w:rPr>
          <w:rFonts w:ascii="Arial" w:hAnsi="Arial" w:cs="Arial"/>
        </w:rPr>
        <w:t>y reading</w:t>
      </w:r>
      <w:r w:rsidR="00E5441B">
        <w:rPr>
          <w:rFonts w:ascii="Arial" w:hAnsi="Arial" w:cs="Arial"/>
        </w:rPr>
        <w:t xml:space="preserve"> </w:t>
      </w:r>
      <w:r w:rsidR="00556337">
        <w:rPr>
          <w:rFonts w:ascii="Arial" w:hAnsi="Arial" w:cs="Arial"/>
        </w:rPr>
        <w:t>in ‘</w:t>
      </w:r>
      <w:r w:rsidR="00556337" w:rsidRPr="00E5441B">
        <w:rPr>
          <w:rFonts w:ascii="Arial" w:hAnsi="Arial" w:cs="Arial"/>
          <w:b/>
          <w:bCs/>
          <w:i/>
          <w:iCs/>
        </w:rPr>
        <w:t>conduct</w:t>
      </w:r>
      <w:r w:rsidR="00556337">
        <w:rPr>
          <w:rFonts w:ascii="Arial" w:hAnsi="Arial" w:cs="Arial"/>
        </w:rPr>
        <w:t xml:space="preserve">’ as a waiver of the said original agreement </w:t>
      </w:r>
      <w:r w:rsidR="0060279D">
        <w:rPr>
          <w:rFonts w:ascii="Arial" w:hAnsi="Arial" w:cs="Arial"/>
        </w:rPr>
        <w:t xml:space="preserve">where the terms are </w:t>
      </w:r>
      <w:r w:rsidR="00832F37">
        <w:rPr>
          <w:rFonts w:ascii="Arial" w:hAnsi="Arial" w:cs="Arial"/>
        </w:rPr>
        <w:t xml:space="preserve">explicitly clear. </w:t>
      </w:r>
      <w:r w:rsidR="005440D5">
        <w:rPr>
          <w:rFonts w:ascii="Arial" w:hAnsi="Arial" w:cs="Arial"/>
        </w:rPr>
        <w:t xml:space="preserve">I wish to express no further </w:t>
      </w:r>
      <w:r w:rsidR="00560B76">
        <w:rPr>
          <w:rFonts w:ascii="Arial" w:hAnsi="Arial" w:cs="Arial"/>
        </w:rPr>
        <w:t xml:space="preserve">comment </w:t>
      </w:r>
      <w:r w:rsidR="005440D5">
        <w:rPr>
          <w:rFonts w:ascii="Arial" w:hAnsi="Arial" w:cs="Arial"/>
        </w:rPr>
        <w:t xml:space="preserve">on </w:t>
      </w:r>
      <w:r w:rsidR="005440D5">
        <w:rPr>
          <w:rFonts w:ascii="Arial" w:hAnsi="Arial" w:cs="Arial"/>
        </w:rPr>
        <w:lastRenderedPageBreak/>
        <w:t xml:space="preserve">the sanctity of this contract and </w:t>
      </w:r>
      <w:r w:rsidR="000A4392">
        <w:rPr>
          <w:rFonts w:ascii="Arial" w:hAnsi="Arial" w:cs="Arial"/>
        </w:rPr>
        <w:t xml:space="preserve">the defendant’s </w:t>
      </w:r>
      <w:r w:rsidR="005440D5">
        <w:rPr>
          <w:rFonts w:ascii="Arial" w:hAnsi="Arial" w:cs="Arial"/>
        </w:rPr>
        <w:t xml:space="preserve">obligations </w:t>
      </w:r>
      <w:r w:rsidR="000A4392">
        <w:rPr>
          <w:rFonts w:ascii="Arial" w:hAnsi="Arial" w:cs="Arial"/>
        </w:rPr>
        <w:t xml:space="preserve">in that </w:t>
      </w:r>
      <w:r w:rsidR="00ED6B1C">
        <w:rPr>
          <w:rFonts w:ascii="Arial" w:hAnsi="Arial" w:cs="Arial"/>
        </w:rPr>
        <w:t xml:space="preserve">the SCA, </w:t>
      </w:r>
      <w:proofErr w:type="spellStart"/>
      <w:r w:rsidR="002E22F0">
        <w:rPr>
          <w:rFonts w:ascii="Arial" w:hAnsi="Arial" w:cs="Arial"/>
        </w:rPr>
        <w:t>Molemela</w:t>
      </w:r>
      <w:proofErr w:type="spellEnd"/>
      <w:r w:rsidR="002E22F0">
        <w:rPr>
          <w:rFonts w:ascii="Arial" w:hAnsi="Arial" w:cs="Arial"/>
        </w:rPr>
        <w:t xml:space="preserve"> JA in </w:t>
      </w:r>
      <w:r w:rsidR="002E22F0" w:rsidRPr="00274E88">
        <w:rPr>
          <w:rFonts w:ascii="Arial" w:hAnsi="Arial" w:cs="Arial"/>
          <w:b/>
          <w:bCs/>
          <w:i/>
          <w:iCs/>
        </w:rPr>
        <w:t>Slabbert v Ma-Afrika Hotels</w:t>
      </w:r>
      <w:r w:rsidR="004A2CC7" w:rsidRPr="00274E88">
        <w:rPr>
          <w:rFonts w:ascii="Arial" w:hAnsi="Arial" w:cs="Arial"/>
          <w:b/>
          <w:bCs/>
          <w:i/>
          <w:iCs/>
        </w:rPr>
        <w:t xml:space="preserve"> t/a </w:t>
      </w:r>
      <w:proofErr w:type="spellStart"/>
      <w:r w:rsidR="004A2CC7" w:rsidRPr="00274E88">
        <w:rPr>
          <w:rFonts w:ascii="Arial" w:hAnsi="Arial" w:cs="Arial"/>
          <w:b/>
          <w:bCs/>
          <w:i/>
          <w:iCs/>
        </w:rPr>
        <w:t>Rivierbos</w:t>
      </w:r>
      <w:proofErr w:type="spellEnd"/>
      <w:r w:rsidR="004A2CC7" w:rsidRPr="00274E88">
        <w:rPr>
          <w:rFonts w:ascii="Arial" w:hAnsi="Arial" w:cs="Arial"/>
          <w:b/>
          <w:bCs/>
          <w:i/>
          <w:iCs/>
        </w:rPr>
        <w:t xml:space="preserve"> Gues</w:t>
      </w:r>
      <w:r w:rsidR="00DD45D3">
        <w:rPr>
          <w:rFonts w:ascii="Arial" w:hAnsi="Arial" w:cs="Arial"/>
          <w:b/>
          <w:bCs/>
          <w:i/>
          <w:iCs/>
        </w:rPr>
        <w:t>t</w:t>
      </w:r>
      <w:r w:rsidR="004A2CC7" w:rsidRPr="00274E88">
        <w:rPr>
          <w:rFonts w:ascii="Arial" w:hAnsi="Arial" w:cs="Arial"/>
          <w:b/>
          <w:bCs/>
          <w:i/>
          <w:iCs/>
        </w:rPr>
        <w:t xml:space="preserve"> House</w:t>
      </w:r>
      <w:r w:rsidR="004A2CC7" w:rsidRPr="00274E88">
        <w:rPr>
          <w:rFonts w:ascii="Arial" w:hAnsi="Arial" w:cs="Arial"/>
          <w:b/>
          <w:bCs/>
        </w:rPr>
        <w:t xml:space="preserve"> (772/2021) [2022] ZASC</w:t>
      </w:r>
      <w:r w:rsidR="00274E88" w:rsidRPr="00274E88">
        <w:rPr>
          <w:rFonts w:ascii="Arial" w:hAnsi="Arial" w:cs="Arial"/>
          <w:b/>
          <w:bCs/>
        </w:rPr>
        <w:t>A 152</w:t>
      </w:r>
      <w:r w:rsidR="00274E88">
        <w:rPr>
          <w:rFonts w:ascii="Arial" w:hAnsi="Arial" w:cs="Arial"/>
        </w:rPr>
        <w:t xml:space="preserve"> put the similarly situated matter into rest and held: </w:t>
      </w:r>
    </w:p>
    <w:p w14:paraId="3772E70E" w14:textId="77777777" w:rsidR="00274E88" w:rsidRPr="00FE5685" w:rsidRDefault="00274E88" w:rsidP="00495C81">
      <w:pPr>
        <w:spacing w:after="0" w:line="360" w:lineRule="auto"/>
        <w:jc w:val="both"/>
        <w:rPr>
          <w:rFonts w:ascii="Arial" w:hAnsi="Arial" w:cs="Arial"/>
        </w:rPr>
      </w:pPr>
    </w:p>
    <w:p w14:paraId="12E57C60" w14:textId="1643972A" w:rsidR="005440D5" w:rsidRPr="000D24D1" w:rsidRDefault="00274E88" w:rsidP="00274E88">
      <w:pPr>
        <w:spacing w:after="0" w:line="360" w:lineRule="auto"/>
        <w:ind w:left="1440"/>
        <w:jc w:val="both"/>
        <w:rPr>
          <w:rFonts w:ascii="Arial" w:hAnsi="Arial" w:cs="Arial"/>
          <w:i/>
          <w:iCs/>
        </w:rPr>
      </w:pPr>
      <w:r w:rsidRPr="000D24D1">
        <w:rPr>
          <w:rFonts w:ascii="Arial" w:hAnsi="Arial" w:cs="Arial"/>
          <w:i/>
          <w:iCs/>
        </w:rPr>
        <w:t>i</w:t>
      </w:r>
      <w:r w:rsidR="005440D5" w:rsidRPr="000D24D1">
        <w:rPr>
          <w:rFonts w:ascii="Arial" w:hAnsi="Arial" w:cs="Arial"/>
          <w:i/>
          <w:iCs/>
        </w:rPr>
        <w:t xml:space="preserve">n this case the parties freely and with the requisite animus </w:t>
      </w:r>
      <w:proofErr w:type="spellStart"/>
      <w:r w:rsidR="005440D5" w:rsidRPr="000D24D1">
        <w:rPr>
          <w:rFonts w:ascii="Arial" w:hAnsi="Arial" w:cs="Arial"/>
          <w:i/>
          <w:iCs/>
        </w:rPr>
        <w:t>contrahendi</w:t>
      </w:r>
      <w:proofErr w:type="spellEnd"/>
      <w:r w:rsidR="005440D5" w:rsidRPr="000D24D1">
        <w:rPr>
          <w:rFonts w:ascii="Arial" w:hAnsi="Arial" w:cs="Arial"/>
          <w:i/>
          <w:iCs/>
        </w:rPr>
        <w:t xml:space="preserve"> agreed to negotiate in good faith and to conclude further substantive agreements which were renewed over a period of time. It would be untenable to relax the maxim pacta sunt </w:t>
      </w:r>
      <w:proofErr w:type="spellStart"/>
      <w:r w:rsidR="005440D5" w:rsidRPr="000D24D1">
        <w:rPr>
          <w:rFonts w:ascii="Arial" w:hAnsi="Arial" w:cs="Arial"/>
          <w:i/>
          <w:iCs/>
        </w:rPr>
        <w:t>servanda</w:t>
      </w:r>
      <w:proofErr w:type="spellEnd"/>
      <w:r w:rsidR="005440D5" w:rsidRPr="000D24D1">
        <w:rPr>
          <w:rFonts w:ascii="Arial" w:hAnsi="Arial" w:cs="Arial"/>
          <w:i/>
          <w:iCs/>
        </w:rPr>
        <w:t xml:space="preserve"> in this case because that would be tantamount to the court then making the agreement for the parties</w:t>
      </w:r>
      <w:r w:rsidR="000D24D1">
        <w:rPr>
          <w:rFonts w:ascii="Arial" w:hAnsi="Arial" w:cs="Arial"/>
          <w:i/>
          <w:iCs/>
        </w:rPr>
        <w:t>,</w:t>
      </w:r>
      <w:r w:rsidR="005440D5" w:rsidRPr="000D24D1">
        <w:rPr>
          <w:rFonts w:ascii="Arial" w:hAnsi="Arial" w:cs="Arial"/>
          <w:i/>
          <w:iCs/>
        </w:rPr>
        <w:t>’</w:t>
      </w:r>
      <w:r w:rsidR="000D24D1">
        <w:rPr>
          <w:rFonts w:ascii="Arial" w:hAnsi="Arial" w:cs="Arial"/>
          <w:i/>
          <w:iCs/>
        </w:rPr>
        <w:t xml:space="preserve"> (</w:t>
      </w:r>
      <w:r w:rsidR="000D24D1" w:rsidRPr="000D24D1">
        <w:rPr>
          <w:rFonts w:ascii="Arial" w:hAnsi="Arial" w:cs="Arial"/>
          <w:b/>
          <w:bCs/>
          <w:i/>
          <w:iCs/>
        </w:rPr>
        <w:t>para 3</w:t>
      </w:r>
      <w:r w:rsidR="0050376D">
        <w:rPr>
          <w:rFonts w:ascii="Arial" w:hAnsi="Arial" w:cs="Arial"/>
          <w:b/>
          <w:bCs/>
          <w:i/>
          <w:iCs/>
        </w:rPr>
        <w:t>2</w:t>
      </w:r>
      <w:r w:rsidR="000D24D1">
        <w:rPr>
          <w:rFonts w:ascii="Arial" w:hAnsi="Arial" w:cs="Arial"/>
          <w:i/>
          <w:iCs/>
        </w:rPr>
        <w:t>).</w:t>
      </w:r>
    </w:p>
    <w:p w14:paraId="42FAA552" w14:textId="77777777" w:rsidR="005440D5" w:rsidRPr="00987C1C" w:rsidRDefault="005440D5" w:rsidP="00F95891">
      <w:pPr>
        <w:spacing w:after="0" w:line="360" w:lineRule="auto"/>
        <w:ind w:left="720" w:hanging="720"/>
        <w:jc w:val="both"/>
        <w:rPr>
          <w:rFonts w:ascii="Arial" w:hAnsi="Arial" w:cs="Arial"/>
        </w:rPr>
      </w:pPr>
    </w:p>
    <w:p w14:paraId="507D23D0" w14:textId="0B47D5C4" w:rsidR="000A79FA" w:rsidRPr="00DF7CFE" w:rsidRDefault="001A688C" w:rsidP="00F95891">
      <w:pPr>
        <w:spacing w:after="0" w:line="360" w:lineRule="auto"/>
        <w:ind w:left="720" w:hanging="720"/>
        <w:jc w:val="both"/>
        <w:rPr>
          <w:rFonts w:ascii="Arial" w:hAnsi="Arial" w:cs="Arial"/>
        </w:rPr>
      </w:pPr>
      <w:r w:rsidRPr="00987C1C">
        <w:rPr>
          <w:rFonts w:ascii="Arial" w:hAnsi="Arial" w:cs="Arial"/>
        </w:rPr>
        <w:t>[20]</w:t>
      </w:r>
      <w:r w:rsidRPr="00987C1C">
        <w:rPr>
          <w:rFonts w:ascii="Arial" w:hAnsi="Arial" w:cs="Arial"/>
        </w:rPr>
        <w:tab/>
      </w:r>
      <w:r w:rsidR="008211D5">
        <w:rPr>
          <w:rFonts w:ascii="Arial" w:hAnsi="Arial" w:cs="Arial"/>
        </w:rPr>
        <w:t xml:space="preserve">The </w:t>
      </w:r>
      <w:r w:rsidR="00001A34">
        <w:rPr>
          <w:rFonts w:ascii="Arial" w:hAnsi="Arial" w:cs="Arial"/>
        </w:rPr>
        <w:t xml:space="preserve">sanctity of the agreement in this case waters </w:t>
      </w:r>
      <w:r w:rsidR="00062B67">
        <w:rPr>
          <w:rFonts w:ascii="Arial" w:hAnsi="Arial" w:cs="Arial"/>
        </w:rPr>
        <w:t xml:space="preserve">down </w:t>
      </w:r>
      <w:r w:rsidR="00001A34">
        <w:rPr>
          <w:rFonts w:ascii="Arial" w:hAnsi="Arial" w:cs="Arial"/>
        </w:rPr>
        <w:t xml:space="preserve">any argument about the </w:t>
      </w:r>
      <w:r w:rsidR="00062B67">
        <w:rPr>
          <w:rFonts w:ascii="Arial" w:hAnsi="Arial" w:cs="Arial"/>
        </w:rPr>
        <w:t>‘</w:t>
      </w:r>
      <w:r w:rsidR="00376CBA" w:rsidRPr="00062B67">
        <w:rPr>
          <w:rFonts w:ascii="Arial" w:hAnsi="Arial" w:cs="Arial"/>
          <w:b/>
          <w:bCs/>
          <w:i/>
          <w:iCs/>
        </w:rPr>
        <w:t>piecemeal fashion</w:t>
      </w:r>
      <w:r w:rsidR="00062B67">
        <w:rPr>
          <w:rFonts w:ascii="Arial" w:hAnsi="Arial" w:cs="Arial"/>
          <w:b/>
          <w:bCs/>
          <w:i/>
          <w:iCs/>
        </w:rPr>
        <w:t>’</w:t>
      </w:r>
      <w:r w:rsidR="00376CBA">
        <w:rPr>
          <w:rFonts w:ascii="Arial" w:hAnsi="Arial" w:cs="Arial"/>
        </w:rPr>
        <w:t xml:space="preserve"> of the relief sought by the plaintiff as the defendant</w:t>
      </w:r>
      <w:r w:rsidR="00062B67">
        <w:rPr>
          <w:rFonts w:ascii="Arial" w:hAnsi="Arial" w:cs="Arial"/>
        </w:rPr>
        <w:t xml:space="preserve">s </w:t>
      </w:r>
      <w:r w:rsidR="005D1B93">
        <w:rPr>
          <w:rFonts w:ascii="Arial" w:hAnsi="Arial" w:cs="Arial"/>
        </w:rPr>
        <w:t>exercised their independence to contract</w:t>
      </w:r>
      <w:r w:rsidR="00D55EE7">
        <w:rPr>
          <w:rFonts w:ascii="Arial" w:hAnsi="Arial" w:cs="Arial"/>
        </w:rPr>
        <w:t xml:space="preserve"> and agreed to be bound by the terms as envisaged in the agreement. </w:t>
      </w:r>
      <w:r w:rsidR="00EF3EC3">
        <w:rPr>
          <w:rFonts w:ascii="Arial" w:hAnsi="Arial" w:cs="Arial"/>
        </w:rPr>
        <w:t xml:space="preserve">This was </w:t>
      </w:r>
      <w:r w:rsidR="00B666BC">
        <w:rPr>
          <w:rFonts w:ascii="Arial" w:hAnsi="Arial" w:cs="Arial"/>
        </w:rPr>
        <w:t xml:space="preserve">meant to </w:t>
      </w:r>
      <w:r w:rsidR="00AC4D87">
        <w:rPr>
          <w:rFonts w:ascii="Arial" w:hAnsi="Arial" w:cs="Arial"/>
        </w:rPr>
        <w:t>‘</w:t>
      </w:r>
      <w:r w:rsidR="00F95EF5" w:rsidRPr="00AC4D87">
        <w:rPr>
          <w:rFonts w:ascii="Arial" w:hAnsi="Arial" w:cs="Arial"/>
          <w:b/>
          <w:bCs/>
          <w:i/>
          <w:iCs/>
        </w:rPr>
        <w:t>act</w:t>
      </w:r>
      <w:r w:rsidR="00AC4D87">
        <w:rPr>
          <w:rFonts w:ascii="Arial" w:hAnsi="Arial" w:cs="Arial"/>
        </w:rPr>
        <w:t>’</w:t>
      </w:r>
      <w:r w:rsidR="00F95EF5">
        <w:rPr>
          <w:rFonts w:ascii="Arial" w:hAnsi="Arial" w:cs="Arial"/>
        </w:rPr>
        <w:t xml:space="preserve"> in accordance with the prescripts of the agreement </w:t>
      </w:r>
      <w:r w:rsidR="00AC4D87">
        <w:rPr>
          <w:rFonts w:ascii="Arial" w:hAnsi="Arial" w:cs="Arial"/>
        </w:rPr>
        <w:t xml:space="preserve">and </w:t>
      </w:r>
      <w:r w:rsidR="00CA6205">
        <w:rPr>
          <w:rFonts w:ascii="Arial" w:hAnsi="Arial" w:cs="Arial"/>
        </w:rPr>
        <w:t>‘</w:t>
      </w:r>
      <w:r w:rsidR="00AC4D87" w:rsidRPr="00CA6205">
        <w:rPr>
          <w:rFonts w:ascii="Arial" w:hAnsi="Arial" w:cs="Arial"/>
          <w:b/>
          <w:bCs/>
          <w:i/>
          <w:iCs/>
        </w:rPr>
        <w:t>not just to agree</w:t>
      </w:r>
      <w:r w:rsidR="00CA6205">
        <w:rPr>
          <w:rFonts w:ascii="Arial" w:hAnsi="Arial" w:cs="Arial"/>
        </w:rPr>
        <w:t xml:space="preserve">’ </w:t>
      </w:r>
      <w:r w:rsidR="00F95EF5">
        <w:rPr>
          <w:rFonts w:ascii="Arial" w:hAnsi="Arial" w:cs="Arial"/>
        </w:rPr>
        <w:t xml:space="preserve">without which the </w:t>
      </w:r>
      <w:r w:rsidR="00DE511E">
        <w:rPr>
          <w:rFonts w:ascii="Arial" w:hAnsi="Arial" w:cs="Arial"/>
        </w:rPr>
        <w:t xml:space="preserve">plaintiff </w:t>
      </w:r>
      <w:r w:rsidR="00CD1DCC">
        <w:rPr>
          <w:rFonts w:ascii="Arial" w:hAnsi="Arial" w:cs="Arial"/>
        </w:rPr>
        <w:t xml:space="preserve">would be entitled to </w:t>
      </w:r>
      <w:r w:rsidR="000006C6">
        <w:rPr>
          <w:rFonts w:ascii="Arial" w:hAnsi="Arial" w:cs="Arial"/>
        </w:rPr>
        <w:t xml:space="preserve">enforce the provisions of clause 40 </w:t>
      </w:r>
      <w:r w:rsidR="00147757">
        <w:rPr>
          <w:rFonts w:ascii="Arial" w:hAnsi="Arial" w:cs="Arial"/>
        </w:rPr>
        <w:t xml:space="preserve">regarding </w:t>
      </w:r>
      <w:r w:rsidR="0048568D">
        <w:rPr>
          <w:rFonts w:ascii="Arial" w:hAnsi="Arial" w:cs="Arial"/>
        </w:rPr>
        <w:t xml:space="preserve">the failure to pay the due rental. </w:t>
      </w:r>
      <w:r w:rsidR="00894BE3">
        <w:rPr>
          <w:rFonts w:ascii="Arial" w:hAnsi="Arial" w:cs="Arial"/>
        </w:rPr>
        <w:t xml:space="preserve">I am persuaded by </w:t>
      </w:r>
      <w:proofErr w:type="spellStart"/>
      <w:r w:rsidR="00894BE3">
        <w:rPr>
          <w:rFonts w:ascii="Arial" w:hAnsi="Arial" w:cs="Arial"/>
        </w:rPr>
        <w:t>Mathopho</w:t>
      </w:r>
      <w:proofErr w:type="spellEnd"/>
      <w:r w:rsidR="00894BE3">
        <w:rPr>
          <w:rFonts w:ascii="Arial" w:hAnsi="Arial" w:cs="Arial"/>
        </w:rPr>
        <w:t xml:space="preserve"> JA in </w:t>
      </w:r>
      <w:r w:rsidR="00894BE3" w:rsidRPr="001F6591">
        <w:rPr>
          <w:rFonts w:ascii="Arial" w:hAnsi="Arial" w:cs="Arial"/>
          <w:b/>
          <w:bCs/>
          <w:i/>
          <w:iCs/>
        </w:rPr>
        <w:t>Mohamed’s Leisure Holdings</w:t>
      </w:r>
      <w:r w:rsidR="00E950C9" w:rsidRPr="001F6591">
        <w:rPr>
          <w:rFonts w:ascii="Arial" w:hAnsi="Arial" w:cs="Arial"/>
          <w:b/>
          <w:bCs/>
          <w:i/>
          <w:iCs/>
        </w:rPr>
        <w:t xml:space="preserve"> (Pty) Ltd v Southern Sun Hotel Interests (Pty) Ltd</w:t>
      </w:r>
      <w:r w:rsidR="00965642">
        <w:rPr>
          <w:rFonts w:ascii="Arial" w:hAnsi="Arial" w:cs="Arial"/>
        </w:rPr>
        <w:t xml:space="preserve"> </w:t>
      </w:r>
      <w:r w:rsidR="00754E21">
        <w:rPr>
          <w:rFonts w:ascii="Arial" w:hAnsi="Arial" w:cs="Arial"/>
        </w:rPr>
        <w:t>(183/17) [2017</w:t>
      </w:r>
      <w:r w:rsidR="00B62E2A">
        <w:rPr>
          <w:rFonts w:ascii="Arial" w:hAnsi="Arial" w:cs="Arial"/>
        </w:rPr>
        <w:t xml:space="preserve">] ZASCA 176 </w:t>
      </w:r>
      <w:r w:rsidR="00965642">
        <w:rPr>
          <w:rFonts w:ascii="Arial" w:hAnsi="Arial" w:cs="Arial"/>
        </w:rPr>
        <w:t xml:space="preserve">who endorsed </w:t>
      </w:r>
      <w:r w:rsidR="00965642" w:rsidRPr="00965642">
        <w:rPr>
          <w:rFonts w:ascii="Arial" w:hAnsi="Arial" w:cs="Arial"/>
          <w:i/>
          <w:iCs/>
        </w:rPr>
        <w:t>that ‘the notion of the privity and sanctity of contracts goes hand in hand with the freedom to contract. Taking into considerations the requirements of a valid contract, freedom to contract denotes that parties are free to enter into contracts and decide on the terms of the contract</w:t>
      </w:r>
      <w:r w:rsidR="00965642">
        <w:rPr>
          <w:rFonts w:ascii="Arial" w:hAnsi="Arial" w:cs="Arial"/>
          <w:i/>
          <w:iCs/>
        </w:rPr>
        <w:t>’ (</w:t>
      </w:r>
      <w:r w:rsidR="00965642" w:rsidRPr="001E43C6">
        <w:rPr>
          <w:rFonts w:ascii="Arial" w:hAnsi="Arial" w:cs="Arial"/>
          <w:b/>
          <w:bCs/>
          <w:i/>
          <w:iCs/>
        </w:rPr>
        <w:t>para 23</w:t>
      </w:r>
      <w:r w:rsidR="00965642">
        <w:rPr>
          <w:rFonts w:ascii="Arial" w:hAnsi="Arial" w:cs="Arial"/>
          <w:i/>
          <w:iCs/>
        </w:rPr>
        <w:t>).</w:t>
      </w:r>
      <w:r w:rsidR="001E43C6">
        <w:rPr>
          <w:rFonts w:ascii="Arial" w:hAnsi="Arial" w:cs="Arial"/>
          <w:i/>
          <w:iCs/>
        </w:rPr>
        <w:t xml:space="preserve"> </w:t>
      </w:r>
      <w:r w:rsidR="00DF7CFE" w:rsidRPr="00DF7CFE">
        <w:rPr>
          <w:rFonts w:ascii="Arial" w:hAnsi="Arial" w:cs="Arial"/>
        </w:rPr>
        <w:t xml:space="preserve">As in the present matter, </w:t>
      </w:r>
      <w:r w:rsidR="00A21831">
        <w:rPr>
          <w:rFonts w:ascii="Arial" w:hAnsi="Arial" w:cs="Arial"/>
        </w:rPr>
        <w:t>the entering into the contract was designed to achieve a certain result</w:t>
      </w:r>
      <w:r w:rsidR="00F05B92">
        <w:rPr>
          <w:rFonts w:ascii="Arial" w:hAnsi="Arial" w:cs="Arial"/>
        </w:rPr>
        <w:t xml:space="preserve"> </w:t>
      </w:r>
      <w:r w:rsidR="00BE058D">
        <w:rPr>
          <w:rFonts w:ascii="Arial" w:hAnsi="Arial" w:cs="Arial"/>
        </w:rPr>
        <w:t>of co-rights responsibility on economic advancement and freedom to contract</w:t>
      </w:r>
      <w:r w:rsidR="00B8480A">
        <w:rPr>
          <w:rFonts w:ascii="Arial" w:hAnsi="Arial" w:cs="Arial"/>
        </w:rPr>
        <w:t xml:space="preserve"> as </w:t>
      </w:r>
      <w:r w:rsidR="00B8480A" w:rsidRPr="00A505F1">
        <w:rPr>
          <w:rFonts w:ascii="Arial" w:hAnsi="Arial" w:cs="Arial"/>
          <w:i/>
          <w:iCs/>
        </w:rPr>
        <w:t>per</w:t>
      </w:r>
      <w:r w:rsidR="00B8480A">
        <w:rPr>
          <w:rFonts w:ascii="Arial" w:hAnsi="Arial" w:cs="Arial"/>
        </w:rPr>
        <w:t xml:space="preserve"> the terms of the agreement.</w:t>
      </w:r>
      <w:r w:rsidR="00BB2C85">
        <w:rPr>
          <w:rFonts w:ascii="Arial" w:hAnsi="Arial" w:cs="Arial"/>
        </w:rPr>
        <w:t xml:space="preserve"> It is disingenuous of the </w:t>
      </w:r>
      <w:r w:rsidR="00416E9F">
        <w:rPr>
          <w:rFonts w:ascii="Arial" w:hAnsi="Arial" w:cs="Arial"/>
        </w:rPr>
        <w:t xml:space="preserve">defendants </w:t>
      </w:r>
      <w:r w:rsidR="00C80611">
        <w:rPr>
          <w:rFonts w:ascii="Arial" w:hAnsi="Arial" w:cs="Arial"/>
        </w:rPr>
        <w:t xml:space="preserve">to contend the fragmentation of the relief sought </w:t>
      </w:r>
      <w:r w:rsidR="00B242A6">
        <w:rPr>
          <w:rFonts w:ascii="Arial" w:hAnsi="Arial" w:cs="Arial"/>
        </w:rPr>
        <w:t>whilst being aware of the terms of the agreement that they voluntarily contracted.</w:t>
      </w:r>
    </w:p>
    <w:p w14:paraId="688911BC" w14:textId="77777777" w:rsidR="00343E93" w:rsidRDefault="00343E93" w:rsidP="00F95891">
      <w:pPr>
        <w:spacing w:after="0" w:line="360" w:lineRule="auto"/>
        <w:ind w:left="720" w:hanging="720"/>
        <w:jc w:val="both"/>
        <w:rPr>
          <w:rFonts w:ascii="Arial" w:hAnsi="Arial" w:cs="Arial"/>
        </w:rPr>
      </w:pPr>
    </w:p>
    <w:p w14:paraId="6B601E4E" w14:textId="250108C4" w:rsidR="005440D5" w:rsidRPr="00987C1C" w:rsidRDefault="003E779D" w:rsidP="0061050D">
      <w:pPr>
        <w:spacing w:after="0" w:line="360" w:lineRule="auto"/>
        <w:ind w:left="720" w:hanging="720"/>
        <w:jc w:val="both"/>
        <w:rPr>
          <w:rFonts w:ascii="Arial" w:hAnsi="Arial" w:cs="Arial"/>
        </w:rPr>
      </w:pPr>
      <w:r>
        <w:rPr>
          <w:rFonts w:ascii="Arial" w:hAnsi="Arial" w:cs="Arial"/>
        </w:rPr>
        <w:t>[21]</w:t>
      </w:r>
      <w:r>
        <w:rPr>
          <w:rFonts w:ascii="Arial" w:hAnsi="Arial" w:cs="Arial"/>
        </w:rPr>
        <w:tab/>
      </w:r>
      <w:r w:rsidR="00DA5762">
        <w:rPr>
          <w:rFonts w:ascii="Arial" w:hAnsi="Arial" w:cs="Arial"/>
        </w:rPr>
        <w:t xml:space="preserve">The defendants were also opportunistic with the </w:t>
      </w:r>
      <w:r>
        <w:rPr>
          <w:rFonts w:ascii="Arial" w:hAnsi="Arial" w:cs="Arial"/>
        </w:rPr>
        <w:t xml:space="preserve">plaintiff’s non-compliance </w:t>
      </w:r>
      <w:r w:rsidR="00DA5762">
        <w:rPr>
          <w:rFonts w:ascii="Arial" w:hAnsi="Arial" w:cs="Arial"/>
        </w:rPr>
        <w:t>Rule</w:t>
      </w:r>
      <w:r w:rsidR="00695409">
        <w:rPr>
          <w:rFonts w:ascii="Arial" w:hAnsi="Arial" w:cs="Arial"/>
        </w:rPr>
        <w:t xml:space="preserve"> 41A </w:t>
      </w:r>
      <w:r w:rsidR="008F5D69">
        <w:rPr>
          <w:rFonts w:ascii="Arial" w:hAnsi="Arial" w:cs="Arial"/>
        </w:rPr>
        <w:t>allegation</w:t>
      </w:r>
      <w:r w:rsidR="00B728B2">
        <w:rPr>
          <w:rFonts w:ascii="Arial" w:hAnsi="Arial" w:cs="Arial"/>
        </w:rPr>
        <w:t xml:space="preserve">. </w:t>
      </w:r>
      <w:r w:rsidR="008F5D69">
        <w:rPr>
          <w:rFonts w:ascii="Arial" w:hAnsi="Arial" w:cs="Arial"/>
        </w:rPr>
        <w:t>Rightly so, the plaintiff de</w:t>
      </w:r>
      <w:r w:rsidR="004B6A1F">
        <w:rPr>
          <w:rFonts w:ascii="Arial" w:hAnsi="Arial" w:cs="Arial"/>
        </w:rPr>
        <w:t xml:space="preserve">clined the invitation at the instance of the </w:t>
      </w:r>
      <w:r w:rsidR="001673CB">
        <w:rPr>
          <w:rFonts w:ascii="Arial" w:hAnsi="Arial" w:cs="Arial"/>
        </w:rPr>
        <w:t>defendants that is owing the due rental as the prescripts of sub-rule (</w:t>
      </w:r>
      <w:r w:rsidR="00695297">
        <w:rPr>
          <w:rFonts w:ascii="Arial" w:hAnsi="Arial" w:cs="Arial"/>
        </w:rPr>
        <w:t>2</w:t>
      </w:r>
      <w:r w:rsidR="001673CB">
        <w:rPr>
          <w:rFonts w:ascii="Arial" w:hAnsi="Arial" w:cs="Arial"/>
        </w:rPr>
        <w:t xml:space="preserve">a) </w:t>
      </w:r>
      <w:r w:rsidR="00AD107A">
        <w:rPr>
          <w:rFonts w:ascii="Arial" w:hAnsi="Arial" w:cs="Arial"/>
        </w:rPr>
        <w:t xml:space="preserve">requires a </w:t>
      </w:r>
      <w:r w:rsidR="00FA5A17">
        <w:rPr>
          <w:rFonts w:ascii="Arial" w:hAnsi="Arial" w:cs="Arial"/>
        </w:rPr>
        <w:t>party instituting the proceeding</w:t>
      </w:r>
      <w:r w:rsidR="00695297">
        <w:rPr>
          <w:rFonts w:ascii="Arial" w:hAnsi="Arial" w:cs="Arial"/>
        </w:rPr>
        <w:t>s</w:t>
      </w:r>
      <w:r w:rsidR="009F60BD">
        <w:rPr>
          <w:rFonts w:ascii="Arial" w:hAnsi="Arial" w:cs="Arial"/>
        </w:rPr>
        <w:t xml:space="preserve"> </w:t>
      </w:r>
      <w:r w:rsidR="00695297">
        <w:rPr>
          <w:rFonts w:ascii="Arial" w:hAnsi="Arial" w:cs="Arial"/>
        </w:rPr>
        <w:t xml:space="preserve">on the issuance of summons </w:t>
      </w:r>
      <w:r w:rsidR="00FE1186">
        <w:rPr>
          <w:rFonts w:ascii="Arial" w:hAnsi="Arial" w:cs="Arial"/>
        </w:rPr>
        <w:t xml:space="preserve">be the one that </w:t>
      </w:r>
      <w:r w:rsidR="005D20BC">
        <w:rPr>
          <w:rFonts w:ascii="Arial" w:hAnsi="Arial" w:cs="Arial"/>
        </w:rPr>
        <w:t xml:space="preserve">delivers a Rule 41A notice and not the other way round. </w:t>
      </w:r>
      <w:r w:rsidR="00FB42AC">
        <w:rPr>
          <w:rFonts w:ascii="Arial" w:hAnsi="Arial" w:cs="Arial"/>
        </w:rPr>
        <w:t>The defendants are only required in sub-rul</w:t>
      </w:r>
      <w:r w:rsidR="007F36F4">
        <w:rPr>
          <w:rFonts w:ascii="Arial" w:hAnsi="Arial" w:cs="Arial"/>
        </w:rPr>
        <w:t xml:space="preserve">e (2)(b) </w:t>
      </w:r>
      <w:r w:rsidR="009C02E9">
        <w:rPr>
          <w:rFonts w:ascii="Arial" w:hAnsi="Arial" w:cs="Arial"/>
        </w:rPr>
        <w:t xml:space="preserve">to give an indication </w:t>
      </w:r>
      <w:r w:rsidR="00503782">
        <w:rPr>
          <w:rFonts w:ascii="Arial" w:hAnsi="Arial" w:cs="Arial"/>
        </w:rPr>
        <w:t>of agreeing or opposing the process before filing the plea</w:t>
      </w:r>
      <w:r w:rsidR="00E66EF6">
        <w:rPr>
          <w:rFonts w:ascii="Arial" w:hAnsi="Arial" w:cs="Arial"/>
        </w:rPr>
        <w:t>. In this case, t</w:t>
      </w:r>
      <w:r w:rsidR="005D20BC">
        <w:rPr>
          <w:rFonts w:ascii="Arial" w:hAnsi="Arial" w:cs="Arial"/>
        </w:rPr>
        <w:t xml:space="preserve">he </w:t>
      </w:r>
      <w:r w:rsidR="00D63EC5">
        <w:rPr>
          <w:rFonts w:ascii="Arial" w:hAnsi="Arial" w:cs="Arial"/>
        </w:rPr>
        <w:t xml:space="preserve">defendants attempted to distract this court </w:t>
      </w:r>
      <w:r w:rsidR="00C66C37">
        <w:rPr>
          <w:rFonts w:ascii="Arial" w:hAnsi="Arial" w:cs="Arial"/>
        </w:rPr>
        <w:t>by making a mere reference o</w:t>
      </w:r>
      <w:r w:rsidR="00340F14">
        <w:rPr>
          <w:rFonts w:ascii="Arial" w:hAnsi="Arial" w:cs="Arial"/>
        </w:rPr>
        <w:t>f</w:t>
      </w:r>
      <w:r w:rsidR="00C66C37">
        <w:rPr>
          <w:rFonts w:ascii="Arial" w:hAnsi="Arial" w:cs="Arial"/>
        </w:rPr>
        <w:t xml:space="preserve"> </w:t>
      </w:r>
      <w:r w:rsidR="006D1179">
        <w:rPr>
          <w:rFonts w:ascii="Arial" w:hAnsi="Arial" w:cs="Arial"/>
        </w:rPr>
        <w:t xml:space="preserve">the plaintiff’s </w:t>
      </w:r>
      <w:r w:rsidR="00533733">
        <w:rPr>
          <w:rFonts w:ascii="Arial" w:hAnsi="Arial" w:cs="Arial"/>
        </w:rPr>
        <w:lastRenderedPageBreak/>
        <w:t xml:space="preserve">non-compliance </w:t>
      </w:r>
      <w:r w:rsidR="003720C6">
        <w:rPr>
          <w:rFonts w:ascii="Arial" w:hAnsi="Arial" w:cs="Arial"/>
        </w:rPr>
        <w:t>with the prescripts of Rule 41A</w:t>
      </w:r>
      <w:r w:rsidR="007A4BEA">
        <w:rPr>
          <w:rFonts w:ascii="Arial" w:hAnsi="Arial" w:cs="Arial"/>
        </w:rPr>
        <w:t xml:space="preserve"> whilst showing the misinterpretation of the said Rule in this matter</w:t>
      </w:r>
      <w:r w:rsidR="007A5B1E">
        <w:rPr>
          <w:rFonts w:ascii="Arial" w:hAnsi="Arial" w:cs="Arial"/>
        </w:rPr>
        <w:t xml:space="preserve">. The defendants were misdirected in seeking the </w:t>
      </w:r>
      <w:r w:rsidR="00835CE6">
        <w:rPr>
          <w:rFonts w:ascii="Arial" w:hAnsi="Arial" w:cs="Arial"/>
        </w:rPr>
        <w:t xml:space="preserve">dismissal of the relief sought by the plaintiff </w:t>
      </w:r>
      <w:r w:rsidR="0061050D">
        <w:rPr>
          <w:rFonts w:ascii="Arial" w:hAnsi="Arial" w:cs="Arial"/>
        </w:rPr>
        <w:t xml:space="preserve">based on an inapplicable rule on their defence. </w:t>
      </w:r>
      <w:r w:rsidR="00D0247D">
        <w:rPr>
          <w:rFonts w:ascii="Arial" w:hAnsi="Arial" w:cs="Arial"/>
        </w:rPr>
        <w:t>Thus, g</w:t>
      </w:r>
      <w:r w:rsidR="00664E8F">
        <w:rPr>
          <w:rFonts w:ascii="Arial" w:hAnsi="Arial" w:cs="Arial"/>
        </w:rPr>
        <w:t xml:space="preserve">iven that the plaintiff, on its summons, as prescribed by </w:t>
      </w:r>
      <w:r w:rsidR="00D006AB">
        <w:rPr>
          <w:rFonts w:ascii="Arial" w:hAnsi="Arial" w:cs="Arial"/>
        </w:rPr>
        <w:t xml:space="preserve">sub-rule 2(a) did not </w:t>
      </w:r>
      <w:r w:rsidR="006B7E14">
        <w:rPr>
          <w:rFonts w:ascii="Arial" w:hAnsi="Arial" w:cs="Arial"/>
        </w:rPr>
        <w:t>include the latter notic</w:t>
      </w:r>
      <w:r w:rsidR="00AD70EC">
        <w:rPr>
          <w:rFonts w:ascii="Arial" w:hAnsi="Arial" w:cs="Arial"/>
        </w:rPr>
        <w:t xml:space="preserve">e indicating the likelihood of the matter being resolved through the mediation process, </w:t>
      </w:r>
      <w:r w:rsidR="001B70DF">
        <w:rPr>
          <w:rFonts w:ascii="Arial" w:hAnsi="Arial" w:cs="Arial"/>
        </w:rPr>
        <w:t xml:space="preserve">I need not pursue this matter any further. </w:t>
      </w:r>
    </w:p>
    <w:p w14:paraId="7726A6BA" w14:textId="77777777" w:rsidR="005440D5" w:rsidRDefault="005440D5" w:rsidP="00F95891">
      <w:pPr>
        <w:spacing w:after="0" w:line="360" w:lineRule="auto"/>
        <w:ind w:left="720" w:hanging="720"/>
        <w:jc w:val="both"/>
        <w:rPr>
          <w:rFonts w:ascii="Arial" w:hAnsi="Arial" w:cs="Arial"/>
        </w:rPr>
      </w:pPr>
    </w:p>
    <w:p w14:paraId="4FA8BEDF" w14:textId="6BA01730" w:rsidR="00D21E09" w:rsidRDefault="00702DBA" w:rsidP="00C50152">
      <w:pPr>
        <w:spacing w:after="0" w:line="360" w:lineRule="auto"/>
        <w:ind w:left="720" w:hanging="720"/>
        <w:jc w:val="both"/>
        <w:rPr>
          <w:rFonts w:ascii="Arial" w:hAnsi="Arial" w:cs="Arial"/>
        </w:rPr>
      </w:pPr>
      <w:r>
        <w:rPr>
          <w:rFonts w:ascii="Arial" w:hAnsi="Arial" w:cs="Arial"/>
        </w:rPr>
        <w:t>[</w:t>
      </w:r>
      <w:r w:rsidR="000E50D6">
        <w:rPr>
          <w:rFonts w:ascii="Arial" w:hAnsi="Arial" w:cs="Arial"/>
        </w:rPr>
        <w:t>2</w:t>
      </w:r>
      <w:r w:rsidR="00A505F1">
        <w:rPr>
          <w:rFonts w:ascii="Arial" w:hAnsi="Arial" w:cs="Arial"/>
        </w:rPr>
        <w:t>2</w:t>
      </w:r>
      <w:r>
        <w:rPr>
          <w:rFonts w:ascii="Arial" w:hAnsi="Arial" w:cs="Arial"/>
        </w:rPr>
        <w:t>]</w:t>
      </w:r>
      <w:r>
        <w:rPr>
          <w:rFonts w:ascii="Arial" w:hAnsi="Arial" w:cs="Arial"/>
        </w:rPr>
        <w:tab/>
        <w:t xml:space="preserve">The plaintiff sought costs on an attorney and client </w:t>
      </w:r>
      <w:r w:rsidR="00DF680F">
        <w:rPr>
          <w:rFonts w:ascii="Arial" w:hAnsi="Arial" w:cs="Arial"/>
        </w:rPr>
        <w:t>scale against the defendant</w:t>
      </w:r>
      <w:r w:rsidR="00C50152">
        <w:rPr>
          <w:rFonts w:ascii="Arial" w:hAnsi="Arial" w:cs="Arial"/>
        </w:rPr>
        <w:t xml:space="preserve"> which are punitive in nature</w:t>
      </w:r>
      <w:r w:rsidR="007B2C79">
        <w:rPr>
          <w:rFonts w:ascii="Arial" w:hAnsi="Arial" w:cs="Arial"/>
        </w:rPr>
        <w:t>.</w:t>
      </w:r>
      <w:r w:rsidR="00FC5E7E">
        <w:rPr>
          <w:rFonts w:ascii="Arial" w:hAnsi="Arial" w:cs="Arial"/>
        </w:rPr>
        <w:t xml:space="preserve"> T</w:t>
      </w:r>
      <w:r w:rsidR="00727804">
        <w:rPr>
          <w:rFonts w:ascii="Arial" w:hAnsi="Arial" w:cs="Arial"/>
        </w:rPr>
        <w:t xml:space="preserve">he </w:t>
      </w:r>
      <w:r w:rsidR="00FC5E7E">
        <w:rPr>
          <w:rFonts w:ascii="Arial" w:hAnsi="Arial" w:cs="Arial"/>
        </w:rPr>
        <w:t>defendants prayed for the dismissal of the relief sought</w:t>
      </w:r>
      <w:r w:rsidR="00D21E09">
        <w:rPr>
          <w:rFonts w:ascii="Arial" w:hAnsi="Arial" w:cs="Arial"/>
        </w:rPr>
        <w:t xml:space="preserve">. </w:t>
      </w:r>
      <w:r w:rsidR="00F64A2E">
        <w:rPr>
          <w:rFonts w:ascii="Arial" w:hAnsi="Arial" w:cs="Arial"/>
        </w:rPr>
        <w:t xml:space="preserve">Thus, due to the considered </w:t>
      </w:r>
      <w:r w:rsidR="00A64DA7">
        <w:rPr>
          <w:rFonts w:ascii="Arial" w:hAnsi="Arial" w:cs="Arial"/>
        </w:rPr>
        <w:t>order</w:t>
      </w:r>
      <w:r w:rsidR="00F64A2E">
        <w:rPr>
          <w:rFonts w:ascii="Arial" w:hAnsi="Arial" w:cs="Arial"/>
        </w:rPr>
        <w:t xml:space="preserve"> to be </w:t>
      </w:r>
      <w:r w:rsidR="000D22D8">
        <w:rPr>
          <w:rFonts w:ascii="Arial" w:hAnsi="Arial" w:cs="Arial"/>
        </w:rPr>
        <w:t xml:space="preserve">indicated </w:t>
      </w:r>
      <w:r w:rsidR="00F64A2E">
        <w:rPr>
          <w:rFonts w:ascii="Arial" w:hAnsi="Arial" w:cs="Arial"/>
        </w:rPr>
        <w:t xml:space="preserve">below, </w:t>
      </w:r>
      <w:r w:rsidR="00A64DA7">
        <w:rPr>
          <w:rFonts w:ascii="Arial" w:hAnsi="Arial" w:cs="Arial"/>
        </w:rPr>
        <w:t xml:space="preserve">each party in each </w:t>
      </w:r>
      <w:r w:rsidR="00794357">
        <w:rPr>
          <w:rFonts w:ascii="Arial" w:hAnsi="Arial" w:cs="Arial"/>
        </w:rPr>
        <w:t>sphere</w:t>
      </w:r>
      <w:r w:rsidR="00FA44C9">
        <w:rPr>
          <w:rFonts w:ascii="Arial" w:hAnsi="Arial" w:cs="Arial"/>
        </w:rPr>
        <w:t xml:space="preserve"> has to acquaint him/herself, which in the context of this case, </w:t>
      </w:r>
      <w:r w:rsidR="00794357">
        <w:rPr>
          <w:rFonts w:ascii="Arial" w:hAnsi="Arial" w:cs="Arial"/>
        </w:rPr>
        <w:t xml:space="preserve">the sphere of his/her area of </w:t>
      </w:r>
      <w:r w:rsidR="00D96A00">
        <w:rPr>
          <w:rFonts w:ascii="Arial" w:hAnsi="Arial" w:cs="Arial"/>
        </w:rPr>
        <w:t>economic activity or operation.</w:t>
      </w:r>
      <w:r w:rsidR="00B94A74">
        <w:rPr>
          <w:rFonts w:ascii="Arial" w:hAnsi="Arial" w:cs="Arial"/>
        </w:rPr>
        <w:t xml:space="preserve"> </w:t>
      </w:r>
    </w:p>
    <w:p w14:paraId="1368218F" w14:textId="77777777" w:rsidR="002B0E80" w:rsidRDefault="002B0E80" w:rsidP="003F060A">
      <w:pPr>
        <w:spacing w:after="0" w:line="360" w:lineRule="auto"/>
        <w:jc w:val="both"/>
        <w:rPr>
          <w:rFonts w:ascii="Arial" w:hAnsi="Arial" w:cs="Arial"/>
        </w:rPr>
      </w:pPr>
    </w:p>
    <w:p w14:paraId="6BD10FF3" w14:textId="494939F3" w:rsidR="00AC74FF" w:rsidRDefault="00DD19EB" w:rsidP="003F060A">
      <w:pPr>
        <w:spacing w:after="0" w:line="360" w:lineRule="auto"/>
        <w:jc w:val="both"/>
        <w:rPr>
          <w:rFonts w:ascii="Arial" w:hAnsi="Arial" w:cs="Arial"/>
        </w:rPr>
      </w:pPr>
      <w:r>
        <w:rPr>
          <w:rFonts w:ascii="Arial" w:hAnsi="Arial" w:cs="Arial"/>
        </w:rPr>
        <w:t>[</w:t>
      </w:r>
      <w:r w:rsidR="007D6F0E">
        <w:rPr>
          <w:rFonts w:ascii="Arial" w:hAnsi="Arial" w:cs="Arial"/>
        </w:rPr>
        <w:t>2</w:t>
      </w:r>
      <w:r w:rsidR="00A505F1">
        <w:rPr>
          <w:rFonts w:ascii="Arial" w:hAnsi="Arial" w:cs="Arial"/>
        </w:rPr>
        <w:t>3</w:t>
      </w:r>
      <w:r>
        <w:rPr>
          <w:rFonts w:ascii="Arial" w:hAnsi="Arial" w:cs="Arial"/>
        </w:rPr>
        <w:t>]</w:t>
      </w:r>
      <w:r>
        <w:rPr>
          <w:rFonts w:ascii="Arial" w:hAnsi="Arial" w:cs="Arial"/>
        </w:rPr>
        <w:tab/>
        <w:t>In the results, I make the following order:</w:t>
      </w:r>
    </w:p>
    <w:p w14:paraId="0231A792" w14:textId="77777777" w:rsidR="00AC74FF" w:rsidRDefault="00AC74FF" w:rsidP="003F060A">
      <w:pPr>
        <w:spacing w:after="0" w:line="360" w:lineRule="auto"/>
        <w:jc w:val="both"/>
        <w:rPr>
          <w:rFonts w:ascii="Arial" w:hAnsi="Arial" w:cs="Arial"/>
        </w:rPr>
      </w:pPr>
    </w:p>
    <w:p w14:paraId="50DBFBF4" w14:textId="05857878" w:rsidR="00753554" w:rsidRDefault="00890215" w:rsidP="003F060A">
      <w:pPr>
        <w:spacing w:after="0" w:line="360" w:lineRule="auto"/>
        <w:ind w:left="2160" w:hanging="720"/>
        <w:jc w:val="both"/>
        <w:rPr>
          <w:rFonts w:ascii="Arial" w:hAnsi="Arial" w:cs="Arial"/>
        </w:rPr>
      </w:pPr>
      <w:r>
        <w:rPr>
          <w:rFonts w:ascii="Arial" w:hAnsi="Arial" w:cs="Arial"/>
        </w:rPr>
        <w:t>[</w:t>
      </w:r>
      <w:r w:rsidR="007D6F0E">
        <w:rPr>
          <w:rFonts w:ascii="Arial" w:hAnsi="Arial" w:cs="Arial"/>
        </w:rPr>
        <w:t>2</w:t>
      </w:r>
      <w:r w:rsidR="006D7B08">
        <w:rPr>
          <w:rFonts w:ascii="Arial" w:hAnsi="Arial" w:cs="Arial"/>
        </w:rPr>
        <w:t>3</w:t>
      </w:r>
      <w:r>
        <w:rPr>
          <w:rFonts w:ascii="Arial" w:hAnsi="Arial" w:cs="Arial"/>
        </w:rPr>
        <w:t>.1]</w:t>
      </w:r>
      <w:r>
        <w:rPr>
          <w:rFonts w:ascii="Arial" w:hAnsi="Arial" w:cs="Arial"/>
        </w:rPr>
        <w:tab/>
        <w:t xml:space="preserve">The </w:t>
      </w:r>
      <w:r w:rsidR="00F008B2">
        <w:rPr>
          <w:rFonts w:ascii="Arial" w:hAnsi="Arial" w:cs="Arial"/>
        </w:rPr>
        <w:t xml:space="preserve">defendants are ordered to pay the plaintiff </w:t>
      </w:r>
      <w:r w:rsidR="00753554">
        <w:rPr>
          <w:rFonts w:ascii="Arial" w:hAnsi="Arial" w:cs="Arial"/>
        </w:rPr>
        <w:t>R414 530.08.</w:t>
      </w:r>
    </w:p>
    <w:p w14:paraId="13FF0388" w14:textId="68CF0383" w:rsidR="00997D69" w:rsidRDefault="00FF3492" w:rsidP="003F060A">
      <w:pPr>
        <w:spacing w:after="0" w:line="360" w:lineRule="auto"/>
        <w:ind w:left="2160" w:hanging="720"/>
        <w:jc w:val="both"/>
        <w:rPr>
          <w:rFonts w:ascii="Arial" w:hAnsi="Arial" w:cs="Arial"/>
        </w:rPr>
      </w:pPr>
      <w:r>
        <w:rPr>
          <w:rFonts w:ascii="Arial" w:hAnsi="Arial" w:cs="Arial"/>
        </w:rPr>
        <w:t>[</w:t>
      </w:r>
      <w:r w:rsidR="007D6F0E">
        <w:rPr>
          <w:rFonts w:ascii="Arial" w:hAnsi="Arial" w:cs="Arial"/>
        </w:rPr>
        <w:t>2</w:t>
      </w:r>
      <w:r w:rsidR="006D7B08">
        <w:rPr>
          <w:rFonts w:ascii="Arial" w:hAnsi="Arial" w:cs="Arial"/>
        </w:rPr>
        <w:t>3</w:t>
      </w:r>
      <w:r>
        <w:rPr>
          <w:rFonts w:ascii="Arial" w:hAnsi="Arial" w:cs="Arial"/>
        </w:rPr>
        <w:t>.2]</w:t>
      </w:r>
      <w:r>
        <w:rPr>
          <w:rFonts w:ascii="Arial" w:hAnsi="Arial" w:cs="Arial"/>
        </w:rPr>
        <w:tab/>
        <w:t xml:space="preserve">An amount in respect of arrear rental </w:t>
      </w:r>
      <w:r w:rsidR="007E4270">
        <w:rPr>
          <w:rFonts w:ascii="Arial" w:hAnsi="Arial" w:cs="Arial"/>
        </w:rPr>
        <w:t>and penalties in terms of the arrear rental.</w:t>
      </w:r>
    </w:p>
    <w:p w14:paraId="36EC2AAC" w14:textId="29D75EFD" w:rsidR="007E4270" w:rsidRDefault="009926E7" w:rsidP="003F060A">
      <w:pPr>
        <w:spacing w:after="0" w:line="360" w:lineRule="auto"/>
        <w:ind w:left="720" w:firstLine="720"/>
        <w:jc w:val="both"/>
        <w:rPr>
          <w:rFonts w:ascii="Arial" w:hAnsi="Arial" w:cs="Arial"/>
        </w:rPr>
      </w:pPr>
      <w:r>
        <w:rPr>
          <w:rFonts w:ascii="Arial" w:hAnsi="Arial" w:cs="Arial"/>
        </w:rPr>
        <w:t>[</w:t>
      </w:r>
      <w:r w:rsidR="007D6F0E">
        <w:rPr>
          <w:rFonts w:ascii="Arial" w:hAnsi="Arial" w:cs="Arial"/>
        </w:rPr>
        <w:t>2</w:t>
      </w:r>
      <w:r w:rsidR="006D7B08">
        <w:rPr>
          <w:rFonts w:ascii="Arial" w:hAnsi="Arial" w:cs="Arial"/>
        </w:rPr>
        <w:t>3</w:t>
      </w:r>
      <w:r>
        <w:rPr>
          <w:rFonts w:ascii="Arial" w:hAnsi="Arial" w:cs="Arial"/>
        </w:rPr>
        <w:t>.3]</w:t>
      </w:r>
      <w:r>
        <w:rPr>
          <w:rFonts w:ascii="Arial" w:hAnsi="Arial" w:cs="Arial"/>
        </w:rPr>
        <w:tab/>
      </w:r>
      <w:r w:rsidR="007E4270">
        <w:rPr>
          <w:rFonts w:ascii="Arial" w:hAnsi="Arial" w:cs="Arial"/>
        </w:rPr>
        <w:t xml:space="preserve">Interests on the amount with effect </w:t>
      </w:r>
      <w:r w:rsidR="00161631">
        <w:rPr>
          <w:rFonts w:ascii="Arial" w:hAnsi="Arial" w:cs="Arial"/>
        </w:rPr>
        <w:t>from 01</w:t>
      </w:r>
      <w:r w:rsidR="007E4270">
        <w:rPr>
          <w:rFonts w:ascii="Arial" w:hAnsi="Arial" w:cs="Arial"/>
        </w:rPr>
        <w:t xml:space="preserve"> April 2020-February 2023</w:t>
      </w:r>
      <w:r w:rsidR="00161631">
        <w:rPr>
          <w:rFonts w:ascii="Arial" w:hAnsi="Arial" w:cs="Arial"/>
        </w:rPr>
        <w:t>.</w:t>
      </w:r>
    </w:p>
    <w:p w14:paraId="52BB74F8" w14:textId="01AF4090" w:rsidR="00BF2C54" w:rsidRDefault="00BF2C54" w:rsidP="003F060A">
      <w:pPr>
        <w:spacing w:after="0" w:line="360" w:lineRule="auto"/>
        <w:ind w:left="2160" w:hanging="720"/>
        <w:jc w:val="both"/>
        <w:rPr>
          <w:rFonts w:ascii="Arial" w:hAnsi="Arial" w:cs="Arial"/>
        </w:rPr>
      </w:pPr>
      <w:r>
        <w:rPr>
          <w:rFonts w:ascii="Arial" w:hAnsi="Arial" w:cs="Arial"/>
        </w:rPr>
        <w:t>[2</w:t>
      </w:r>
      <w:r w:rsidR="006D7B08">
        <w:rPr>
          <w:rFonts w:ascii="Arial" w:hAnsi="Arial" w:cs="Arial"/>
        </w:rPr>
        <w:t>3</w:t>
      </w:r>
      <w:r>
        <w:rPr>
          <w:rFonts w:ascii="Arial" w:hAnsi="Arial" w:cs="Arial"/>
        </w:rPr>
        <w:t>.4]</w:t>
      </w:r>
      <w:r>
        <w:rPr>
          <w:rFonts w:ascii="Arial" w:hAnsi="Arial" w:cs="Arial"/>
        </w:rPr>
        <w:tab/>
        <w:t xml:space="preserve">The defendants and those in occupation of </w:t>
      </w:r>
      <w:r w:rsidR="00442B21">
        <w:rPr>
          <w:rFonts w:ascii="Arial" w:hAnsi="Arial" w:cs="Arial"/>
        </w:rPr>
        <w:t xml:space="preserve">Shop LF133 of the Menlyn Park Shopping Centre </w:t>
      </w:r>
      <w:r>
        <w:rPr>
          <w:rFonts w:ascii="Arial" w:hAnsi="Arial" w:cs="Arial"/>
        </w:rPr>
        <w:t>are ordered to vacate the said premises within three months (90 days) of th</w:t>
      </w:r>
      <w:r w:rsidR="004A5B47">
        <w:rPr>
          <w:rFonts w:ascii="Arial" w:hAnsi="Arial" w:cs="Arial"/>
        </w:rPr>
        <w:t xml:space="preserve">e receipt of this </w:t>
      </w:r>
      <w:r>
        <w:rPr>
          <w:rFonts w:ascii="Arial" w:hAnsi="Arial" w:cs="Arial"/>
        </w:rPr>
        <w:t>order.</w:t>
      </w:r>
    </w:p>
    <w:p w14:paraId="40A133B6" w14:textId="0474C5DE" w:rsidR="00161631" w:rsidRDefault="001C48F6" w:rsidP="003F060A">
      <w:pPr>
        <w:spacing w:after="0" w:line="360" w:lineRule="auto"/>
        <w:ind w:left="2160" w:hanging="720"/>
        <w:jc w:val="both"/>
        <w:rPr>
          <w:rFonts w:ascii="Arial" w:hAnsi="Arial" w:cs="Arial"/>
        </w:rPr>
      </w:pPr>
      <w:r>
        <w:rPr>
          <w:rFonts w:ascii="Arial" w:hAnsi="Arial" w:cs="Arial"/>
        </w:rPr>
        <w:t>[</w:t>
      </w:r>
      <w:r w:rsidR="008E65EE">
        <w:rPr>
          <w:rFonts w:ascii="Arial" w:hAnsi="Arial" w:cs="Arial"/>
        </w:rPr>
        <w:t>2</w:t>
      </w:r>
      <w:r w:rsidR="006D7B08">
        <w:rPr>
          <w:rFonts w:ascii="Arial" w:hAnsi="Arial" w:cs="Arial"/>
        </w:rPr>
        <w:t>3</w:t>
      </w:r>
      <w:r>
        <w:rPr>
          <w:rFonts w:ascii="Arial" w:hAnsi="Arial" w:cs="Arial"/>
        </w:rPr>
        <w:t>.4]</w:t>
      </w:r>
      <w:r>
        <w:rPr>
          <w:rFonts w:ascii="Arial" w:hAnsi="Arial" w:cs="Arial"/>
        </w:rPr>
        <w:tab/>
      </w:r>
      <w:r w:rsidR="003C0AEF">
        <w:rPr>
          <w:rFonts w:ascii="Arial" w:hAnsi="Arial" w:cs="Arial"/>
        </w:rPr>
        <w:t xml:space="preserve">The </w:t>
      </w:r>
      <w:r>
        <w:rPr>
          <w:rFonts w:ascii="Arial" w:hAnsi="Arial" w:cs="Arial"/>
        </w:rPr>
        <w:t>costs</w:t>
      </w:r>
      <w:r w:rsidR="003C0AEF">
        <w:rPr>
          <w:rFonts w:ascii="Arial" w:hAnsi="Arial" w:cs="Arial"/>
        </w:rPr>
        <w:t xml:space="preserve"> of this application</w:t>
      </w:r>
      <w:r>
        <w:rPr>
          <w:rFonts w:ascii="Arial" w:hAnsi="Arial" w:cs="Arial"/>
        </w:rPr>
        <w:t xml:space="preserve"> in accordance with </w:t>
      </w:r>
      <w:proofErr w:type="gramStart"/>
      <w:r>
        <w:rPr>
          <w:rFonts w:ascii="Arial" w:hAnsi="Arial" w:cs="Arial"/>
        </w:rPr>
        <w:t>the</w:t>
      </w:r>
      <w:r w:rsidR="00BB0154">
        <w:rPr>
          <w:rFonts w:ascii="Arial" w:hAnsi="Arial" w:cs="Arial"/>
        </w:rPr>
        <w:t xml:space="preserve"> clause</w:t>
      </w:r>
      <w:proofErr w:type="gramEnd"/>
      <w:r w:rsidR="00BB0154">
        <w:rPr>
          <w:rFonts w:ascii="Arial" w:hAnsi="Arial" w:cs="Arial"/>
        </w:rPr>
        <w:t xml:space="preserve"> 40 of the</w:t>
      </w:r>
      <w:r>
        <w:rPr>
          <w:rFonts w:ascii="Arial" w:hAnsi="Arial" w:cs="Arial"/>
        </w:rPr>
        <w:t xml:space="preserve"> lease agreement</w:t>
      </w:r>
      <w:r w:rsidR="00BB0154">
        <w:rPr>
          <w:rFonts w:ascii="Arial" w:hAnsi="Arial" w:cs="Arial"/>
        </w:rPr>
        <w:t xml:space="preserve"> on an attorney and client scale against the defendants</w:t>
      </w:r>
      <w:r>
        <w:rPr>
          <w:rFonts w:ascii="Arial" w:hAnsi="Arial" w:cs="Arial"/>
        </w:rPr>
        <w:t>.</w:t>
      </w:r>
    </w:p>
    <w:p w14:paraId="3ACA4789" w14:textId="77777777" w:rsidR="001478A8" w:rsidRDefault="001478A8" w:rsidP="00175A43">
      <w:pPr>
        <w:spacing w:after="0" w:line="360" w:lineRule="auto"/>
        <w:jc w:val="both"/>
        <w:rPr>
          <w:rFonts w:ascii="Arial" w:hAnsi="Arial" w:cs="Arial"/>
        </w:rPr>
      </w:pPr>
    </w:p>
    <w:p w14:paraId="41F5C4ED" w14:textId="35DD6A06" w:rsidR="005969E9" w:rsidRDefault="00682194" w:rsidP="00175A43">
      <w:pPr>
        <w:spacing w:after="0" w:line="360" w:lineRule="auto"/>
        <w:jc w:val="both"/>
        <w:rPr>
          <w:rFonts w:ascii="Arial" w:hAnsi="Arial" w:cs="Arial"/>
        </w:rPr>
      </w:pPr>
      <w:r>
        <w:rPr>
          <w:rFonts w:ascii="Arial" w:hAnsi="Arial" w:cs="Arial"/>
        </w:rPr>
        <w:t>_________________________________</w:t>
      </w:r>
    </w:p>
    <w:p w14:paraId="53B1BDEF" w14:textId="5026D767" w:rsidR="00682194" w:rsidRPr="004D7405" w:rsidRDefault="00CE28D6" w:rsidP="00175A43">
      <w:pPr>
        <w:spacing w:after="0" w:line="360" w:lineRule="auto"/>
        <w:jc w:val="both"/>
        <w:rPr>
          <w:rFonts w:ascii="Arial" w:hAnsi="Arial" w:cs="Arial"/>
          <w:b/>
          <w:bCs/>
        </w:rPr>
      </w:pPr>
      <w:r w:rsidRPr="004D7405">
        <w:rPr>
          <w:rFonts w:ascii="Arial" w:hAnsi="Arial" w:cs="Arial"/>
          <w:b/>
          <w:bCs/>
        </w:rPr>
        <w:t>N NTLAMA-MAKHANYA</w:t>
      </w:r>
    </w:p>
    <w:p w14:paraId="4C98A94C" w14:textId="0FAE7CEA" w:rsidR="00CE28D6" w:rsidRPr="004D7405" w:rsidRDefault="00CE28D6" w:rsidP="00175A43">
      <w:pPr>
        <w:spacing w:after="0" w:line="360" w:lineRule="auto"/>
        <w:jc w:val="both"/>
        <w:rPr>
          <w:rFonts w:ascii="Arial" w:hAnsi="Arial" w:cs="Arial"/>
          <w:b/>
          <w:bCs/>
        </w:rPr>
      </w:pPr>
      <w:r w:rsidRPr="004D7405">
        <w:rPr>
          <w:rFonts w:ascii="Arial" w:hAnsi="Arial" w:cs="Arial"/>
          <w:b/>
          <w:bCs/>
        </w:rPr>
        <w:t>ACTING JUDGE</w:t>
      </w:r>
      <w:r w:rsidR="00F51C67" w:rsidRPr="004D7405">
        <w:rPr>
          <w:rFonts w:ascii="Arial" w:hAnsi="Arial" w:cs="Arial"/>
          <w:b/>
          <w:bCs/>
        </w:rPr>
        <w:t xml:space="preserve">, THE </w:t>
      </w:r>
      <w:r w:rsidRPr="004D7405">
        <w:rPr>
          <w:rFonts w:ascii="Arial" w:hAnsi="Arial" w:cs="Arial"/>
          <w:b/>
          <w:bCs/>
        </w:rPr>
        <w:t xml:space="preserve">HIGH COURT </w:t>
      </w:r>
    </w:p>
    <w:p w14:paraId="2845E580" w14:textId="12CA9495" w:rsidR="00682194" w:rsidRPr="004D7405" w:rsidRDefault="004D7405" w:rsidP="00175A43">
      <w:pPr>
        <w:spacing w:after="0" w:line="360" w:lineRule="auto"/>
        <w:jc w:val="both"/>
        <w:rPr>
          <w:rFonts w:ascii="Arial" w:hAnsi="Arial" w:cs="Arial"/>
          <w:b/>
          <w:bCs/>
        </w:rPr>
      </w:pPr>
      <w:r w:rsidRPr="004D7405">
        <w:rPr>
          <w:rFonts w:ascii="Arial" w:hAnsi="Arial" w:cs="Arial"/>
          <w:b/>
          <w:bCs/>
        </w:rPr>
        <w:t>GAUTENG DIVISION, PRETORIA</w:t>
      </w:r>
    </w:p>
    <w:p w14:paraId="46890232" w14:textId="77777777" w:rsidR="00682194" w:rsidRDefault="00682194" w:rsidP="00175A43">
      <w:pPr>
        <w:spacing w:after="0" w:line="360" w:lineRule="auto"/>
        <w:jc w:val="both"/>
        <w:rPr>
          <w:rFonts w:ascii="Arial" w:hAnsi="Arial" w:cs="Arial"/>
        </w:rPr>
      </w:pPr>
    </w:p>
    <w:p w14:paraId="7F286407" w14:textId="77777777" w:rsidR="00682194" w:rsidRDefault="00682194" w:rsidP="00175A43">
      <w:pPr>
        <w:spacing w:after="0" w:line="360" w:lineRule="auto"/>
        <w:jc w:val="both"/>
        <w:rPr>
          <w:rFonts w:ascii="Arial" w:hAnsi="Arial" w:cs="Arial"/>
        </w:rPr>
      </w:pPr>
    </w:p>
    <w:p w14:paraId="49F80CBC" w14:textId="77777777" w:rsidR="00682194" w:rsidRDefault="00682194" w:rsidP="00175A43">
      <w:pPr>
        <w:spacing w:after="0" w:line="360" w:lineRule="auto"/>
        <w:jc w:val="both"/>
        <w:rPr>
          <w:rFonts w:ascii="Arial" w:hAnsi="Arial" w:cs="Arial"/>
        </w:rPr>
      </w:pPr>
    </w:p>
    <w:p w14:paraId="1BEE2C02" w14:textId="77777777" w:rsidR="00C048A7" w:rsidRDefault="00C048A7" w:rsidP="00175A43">
      <w:pPr>
        <w:spacing w:after="0" w:line="360" w:lineRule="auto"/>
        <w:jc w:val="both"/>
        <w:rPr>
          <w:rFonts w:ascii="Arial" w:hAnsi="Arial" w:cs="Arial"/>
        </w:rPr>
      </w:pPr>
    </w:p>
    <w:p w14:paraId="747B31DF" w14:textId="77777777" w:rsidR="00C048A7" w:rsidRDefault="00C048A7" w:rsidP="00175A43">
      <w:pPr>
        <w:spacing w:after="0" w:line="360" w:lineRule="auto"/>
        <w:jc w:val="both"/>
        <w:rPr>
          <w:rFonts w:ascii="Arial" w:hAnsi="Arial" w:cs="Arial"/>
        </w:rPr>
      </w:pPr>
    </w:p>
    <w:p w14:paraId="54223A17" w14:textId="77777777" w:rsidR="00C048A7" w:rsidRDefault="00C048A7" w:rsidP="00175A43">
      <w:pPr>
        <w:spacing w:after="0" w:line="360" w:lineRule="auto"/>
        <w:jc w:val="both"/>
        <w:rPr>
          <w:rFonts w:ascii="Arial" w:hAnsi="Arial" w:cs="Arial"/>
        </w:rPr>
      </w:pPr>
    </w:p>
    <w:p w14:paraId="635BBEEC" w14:textId="77777777" w:rsidR="00DD489D" w:rsidRPr="00FD009E" w:rsidRDefault="00DD489D" w:rsidP="00DD489D">
      <w:pPr>
        <w:spacing w:after="0" w:line="360" w:lineRule="auto"/>
        <w:rPr>
          <w:rFonts w:ascii="Arial" w:hAnsi="Arial" w:cs="Arial"/>
          <w:b/>
          <w:bCs/>
        </w:rPr>
      </w:pPr>
      <w:r w:rsidRPr="00FD009E">
        <w:rPr>
          <w:rFonts w:ascii="Arial" w:hAnsi="Arial" w:cs="Arial"/>
          <w:b/>
          <w:bCs/>
        </w:rPr>
        <w:t>Date Heard: 31 October 2023</w:t>
      </w:r>
    </w:p>
    <w:p w14:paraId="51B83CAC" w14:textId="77777777" w:rsidR="00DD489D" w:rsidRPr="00FD009E" w:rsidRDefault="00DD489D" w:rsidP="00DD489D">
      <w:pPr>
        <w:spacing w:after="0" w:line="360" w:lineRule="auto"/>
        <w:rPr>
          <w:rFonts w:ascii="Arial" w:hAnsi="Arial" w:cs="Arial"/>
          <w:b/>
          <w:bCs/>
        </w:rPr>
      </w:pPr>
    </w:p>
    <w:p w14:paraId="23FC83A1" w14:textId="77777777" w:rsidR="00DD489D" w:rsidRPr="00FD009E" w:rsidRDefault="00DD489D" w:rsidP="00DD489D">
      <w:pPr>
        <w:spacing w:after="0" w:line="360" w:lineRule="auto"/>
        <w:rPr>
          <w:rFonts w:ascii="Arial" w:hAnsi="Arial" w:cs="Arial"/>
          <w:b/>
          <w:bCs/>
        </w:rPr>
      </w:pPr>
    </w:p>
    <w:p w14:paraId="2952759B" w14:textId="1231F05E" w:rsidR="00DD489D" w:rsidRPr="00FD009E" w:rsidRDefault="00DD489D" w:rsidP="00DD489D">
      <w:pPr>
        <w:spacing w:after="0" w:line="360" w:lineRule="auto"/>
        <w:rPr>
          <w:rFonts w:ascii="Arial" w:hAnsi="Arial" w:cs="Arial"/>
          <w:b/>
          <w:bCs/>
        </w:rPr>
      </w:pPr>
      <w:r w:rsidRPr="00FD009E">
        <w:rPr>
          <w:rFonts w:ascii="Arial" w:hAnsi="Arial" w:cs="Arial"/>
          <w:b/>
          <w:bCs/>
        </w:rPr>
        <w:t>Date Delivered: 1</w:t>
      </w:r>
      <w:r w:rsidR="008C3DA6">
        <w:rPr>
          <w:rFonts w:ascii="Arial" w:hAnsi="Arial" w:cs="Arial"/>
          <w:b/>
          <w:bCs/>
        </w:rPr>
        <w:t>5</w:t>
      </w:r>
      <w:r w:rsidRPr="00FD009E">
        <w:rPr>
          <w:rFonts w:ascii="Arial" w:hAnsi="Arial" w:cs="Arial"/>
          <w:b/>
          <w:bCs/>
        </w:rPr>
        <w:t xml:space="preserve"> January 2024</w:t>
      </w:r>
    </w:p>
    <w:p w14:paraId="5B768509" w14:textId="77777777" w:rsidR="00DD489D" w:rsidRPr="00B37339" w:rsidRDefault="00DD489D" w:rsidP="00DD489D">
      <w:pPr>
        <w:spacing w:after="0" w:line="360" w:lineRule="auto"/>
        <w:rPr>
          <w:rFonts w:ascii="Arial" w:hAnsi="Arial" w:cs="Arial"/>
        </w:rPr>
      </w:pPr>
    </w:p>
    <w:p w14:paraId="545BBDC9" w14:textId="77777777" w:rsidR="004C7E5E" w:rsidRDefault="004C7E5E" w:rsidP="00DD489D">
      <w:pPr>
        <w:spacing w:after="0" w:line="360" w:lineRule="auto"/>
        <w:rPr>
          <w:rFonts w:ascii="Arial" w:hAnsi="Arial" w:cs="Arial"/>
        </w:rPr>
      </w:pPr>
    </w:p>
    <w:p w14:paraId="64AC5556" w14:textId="77777777" w:rsidR="0069731F" w:rsidRPr="00B37339" w:rsidRDefault="0069731F" w:rsidP="00DD489D">
      <w:pPr>
        <w:spacing w:after="0" w:line="360" w:lineRule="auto"/>
        <w:rPr>
          <w:rFonts w:ascii="Arial" w:hAnsi="Arial" w:cs="Arial"/>
        </w:rPr>
      </w:pPr>
    </w:p>
    <w:p w14:paraId="5763417A" w14:textId="7D3EB974" w:rsidR="004C7E5E" w:rsidRPr="00B37339" w:rsidRDefault="00982472" w:rsidP="00DD489D">
      <w:pPr>
        <w:spacing w:after="0" w:line="360" w:lineRule="auto"/>
        <w:rPr>
          <w:rFonts w:ascii="Arial" w:hAnsi="Arial" w:cs="Arial"/>
          <w:b/>
          <w:bCs/>
          <w:i/>
          <w:iCs/>
        </w:rPr>
      </w:pPr>
      <w:r w:rsidRPr="00B37339">
        <w:rPr>
          <w:rFonts w:ascii="Arial" w:hAnsi="Arial" w:cs="Arial"/>
          <w:b/>
          <w:bCs/>
          <w:i/>
          <w:iCs/>
        </w:rPr>
        <w:t xml:space="preserve">Appearances: </w:t>
      </w:r>
    </w:p>
    <w:p w14:paraId="3ECEFCB2" w14:textId="77777777" w:rsidR="00520A01" w:rsidRPr="00B37339" w:rsidRDefault="00520A01" w:rsidP="00DD489D">
      <w:pPr>
        <w:spacing w:after="0" w:line="360" w:lineRule="auto"/>
        <w:rPr>
          <w:rFonts w:ascii="Arial" w:hAnsi="Arial" w:cs="Arial"/>
        </w:rPr>
      </w:pPr>
    </w:p>
    <w:p w14:paraId="78604E05" w14:textId="77777777" w:rsidR="00520A01" w:rsidRPr="00B37339" w:rsidRDefault="00520A01" w:rsidP="00DD489D">
      <w:pPr>
        <w:spacing w:after="0" w:line="360" w:lineRule="auto"/>
        <w:rPr>
          <w:rFonts w:ascii="Arial" w:hAnsi="Arial" w:cs="Arial"/>
        </w:rPr>
      </w:pPr>
    </w:p>
    <w:p w14:paraId="45C2F1F7" w14:textId="79A12EF3" w:rsidR="00520A01" w:rsidRPr="00B37339" w:rsidRDefault="00520A01" w:rsidP="00DD489D">
      <w:pPr>
        <w:spacing w:after="0" w:line="360" w:lineRule="auto"/>
        <w:rPr>
          <w:rFonts w:ascii="Arial" w:hAnsi="Arial" w:cs="Arial"/>
        </w:rPr>
      </w:pPr>
      <w:r w:rsidRPr="00B37339">
        <w:rPr>
          <w:rFonts w:ascii="Arial" w:hAnsi="Arial" w:cs="Arial"/>
          <w:b/>
          <w:bCs/>
          <w:i/>
          <w:iCs/>
        </w:rPr>
        <w:t>Plaintiff:</w:t>
      </w:r>
      <w:r w:rsidR="00BF6510" w:rsidRPr="00B37339">
        <w:rPr>
          <w:rFonts w:ascii="Arial" w:hAnsi="Arial" w:cs="Arial"/>
        </w:rPr>
        <w:t xml:space="preserve"> </w:t>
      </w:r>
      <w:r w:rsidR="00F96670" w:rsidRPr="00B37339">
        <w:rPr>
          <w:rFonts w:ascii="Arial" w:hAnsi="Arial" w:cs="Arial"/>
        </w:rPr>
        <w:tab/>
      </w:r>
      <w:r w:rsidR="00F96670" w:rsidRPr="00B37339">
        <w:rPr>
          <w:rFonts w:ascii="Arial" w:hAnsi="Arial" w:cs="Arial"/>
        </w:rPr>
        <w:tab/>
      </w:r>
      <w:r w:rsidR="00F96670" w:rsidRPr="00B37339">
        <w:rPr>
          <w:rFonts w:ascii="Arial" w:hAnsi="Arial" w:cs="Arial"/>
        </w:rPr>
        <w:tab/>
      </w:r>
      <w:r w:rsidR="00F96670" w:rsidRPr="00B37339">
        <w:rPr>
          <w:rFonts w:ascii="Arial" w:hAnsi="Arial" w:cs="Arial"/>
        </w:rPr>
        <w:tab/>
      </w:r>
      <w:r w:rsidR="00F96670" w:rsidRPr="00B37339">
        <w:rPr>
          <w:rFonts w:ascii="Arial" w:hAnsi="Arial" w:cs="Arial"/>
        </w:rPr>
        <w:tab/>
      </w:r>
      <w:r w:rsidR="00F96670" w:rsidRPr="00B37339">
        <w:rPr>
          <w:rFonts w:ascii="Arial" w:hAnsi="Arial" w:cs="Arial"/>
        </w:rPr>
        <w:tab/>
      </w:r>
      <w:r w:rsidR="00BF6510" w:rsidRPr="00B37339">
        <w:rPr>
          <w:rFonts w:ascii="Arial" w:hAnsi="Arial" w:cs="Arial"/>
        </w:rPr>
        <w:t>Advocate LA Pretorius</w:t>
      </w:r>
    </w:p>
    <w:p w14:paraId="62F993E3" w14:textId="70A3F3D1" w:rsidR="00520A01" w:rsidRPr="00B37339" w:rsidRDefault="00225678" w:rsidP="00F96670">
      <w:pPr>
        <w:spacing w:after="0" w:line="360" w:lineRule="auto"/>
        <w:ind w:left="4320" w:firstLine="720"/>
        <w:rPr>
          <w:rFonts w:ascii="Arial" w:hAnsi="Arial" w:cs="Arial"/>
        </w:rPr>
      </w:pPr>
      <w:r w:rsidRPr="00B37339">
        <w:rPr>
          <w:rFonts w:ascii="Arial" w:hAnsi="Arial" w:cs="Arial"/>
        </w:rPr>
        <w:t xml:space="preserve">Mark </w:t>
      </w:r>
      <w:proofErr w:type="spellStart"/>
      <w:r w:rsidR="007848AD" w:rsidRPr="00B37339">
        <w:rPr>
          <w:rFonts w:ascii="Arial" w:hAnsi="Arial" w:cs="Arial"/>
        </w:rPr>
        <w:t>Efs</w:t>
      </w:r>
      <w:r w:rsidR="005C3EC1" w:rsidRPr="00B37339">
        <w:rPr>
          <w:rFonts w:ascii="Arial" w:hAnsi="Arial" w:cs="Arial"/>
        </w:rPr>
        <w:t>tratious</w:t>
      </w:r>
      <w:proofErr w:type="spellEnd"/>
      <w:r w:rsidR="005C3EC1" w:rsidRPr="00B37339">
        <w:rPr>
          <w:rFonts w:ascii="Arial" w:hAnsi="Arial" w:cs="Arial"/>
        </w:rPr>
        <w:t xml:space="preserve"> Associates Inc</w:t>
      </w:r>
    </w:p>
    <w:p w14:paraId="5225AA9A" w14:textId="33D0DD77" w:rsidR="005C3EC1" w:rsidRPr="00B37339" w:rsidRDefault="00F96670" w:rsidP="00F96670">
      <w:pPr>
        <w:spacing w:after="0" w:line="360" w:lineRule="auto"/>
        <w:ind w:left="4320" w:firstLine="720"/>
        <w:rPr>
          <w:rFonts w:ascii="Arial" w:hAnsi="Arial" w:cs="Arial"/>
        </w:rPr>
      </w:pPr>
      <w:r w:rsidRPr="00B37339">
        <w:rPr>
          <w:rFonts w:ascii="Arial" w:hAnsi="Arial" w:cs="Arial"/>
        </w:rPr>
        <w:t>Silver</w:t>
      </w:r>
      <w:r w:rsidR="00F41485" w:rsidRPr="00B37339">
        <w:rPr>
          <w:rFonts w:ascii="Arial" w:hAnsi="Arial" w:cs="Arial"/>
        </w:rPr>
        <w:t xml:space="preserve"> Lakes Drive</w:t>
      </w:r>
    </w:p>
    <w:p w14:paraId="198239FA" w14:textId="40AB31CB" w:rsidR="00520A01" w:rsidRPr="00B37339" w:rsidRDefault="00F96670" w:rsidP="00F96670">
      <w:pPr>
        <w:spacing w:after="0" w:line="360" w:lineRule="auto"/>
        <w:ind w:left="4320" w:firstLine="720"/>
        <w:rPr>
          <w:rFonts w:ascii="Arial" w:hAnsi="Arial" w:cs="Arial"/>
        </w:rPr>
      </w:pPr>
      <w:r w:rsidRPr="00B37339">
        <w:rPr>
          <w:rFonts w:ascii="Arial" w:hAnsi="Arial" w:cs="Arial"/>
        </w:rPr>
        <w:t>Ti</w:t>
      </w:r>
      <w:r w:rsidR="006150A5">
        <w:rPr>
          <w:rFonts w:ascii="Arial" w:hAnsi="Arial" w:cs="Arial"/>
        </w:rPr>
        <w:t>ger Valley</w:t>
      </w:r>
    </w:p>
    <w:p w14:paraId="59BFC17F" w14:textId="37963100" w:rsidR="00F96670" w:rsidRPr="00B37339" w:rsidRDefault="00F96670" w:rsidP="00F96670">
      <w:pPr>
        <w:spacing w:after="0" w:line="360" w:lineRule="auto"/>
        <w:ind w:left="4320" w:firstLine="720"/>
        <w:rPr>
          <w:rFonts w:ascii="Arial" w:hAnsi="Arial" w:cs="Arial"/>
        </w:rPr>
      </w:pPr>
      <w:r w:rsidRPr="00B37339">
        <w:rPr>
          <w:rFonts w:ascii="Arial" w:hAnsi="Arial" w:cs="Arial"/>
        </w:rPr>
        <w:t>Pretoria</w:t>
      </w:r>
    </w:p>
    <w:p w14:paraId="246AAF8C" w14:textId="77777777" w:rsidR="00520A01" w:rsidRPr="00B37339" w:rsidRDefault="00520A01" w:rsidP="00DD489D">
      <w:pPr>
        <w:spacing w:after="0" w:line="360" w:lineRule="auto"/>
        <w:rPr>
          <w:rFonts w:ascii="Arial" w:hAnsi="Arial" w:cs="Arial"/>
        </w:rPr>
      </w:pPr>
    </w:p>
    <w:p w14:paraId="6C60D1E4" w14:textId="07C355EB" w:rsidR="00520A01" w:rsidRPr="00B37339" w:rsidRDefault="00520A01" w:rsidP="00DD489D">
      <w:pPr>
        <w:spacing w:after="0" w:line="360" w:lineRule="auto"/>
        <w:rPr>
          <w:rFonts w:ascii="Arial" w:hAnsi="Arial" w:cs="Arial"/>
        </w:rPr>
      </w:pPr>
      <w:r w:rsidRPr="00B37339">
        <w:rPr>
          <w:rFonts w:ascii="Arial" w:hAnsi="Arial" w:cs="Arial"/>
          <w:b/>
          <w:bCs/>
          <w:i/>
          <w:iCs/>
        </w:rPr>
        <w:t>Defendants:</w:t>
      </w:r>
      <w:r w:rsidRPr="00B37339">
        <w:rPr>
          <w:rFonts w:ascii="Arial" w:hAnsi="Arial" w:cs="Arial"/>
        </w:rPr>
        <w:t xml:space="preserve"> </w:t>
      </w:r>
      <w:r w:rsidR="00B37339" w:rsidRPr="00B37339">
        <w:rPr>
          <w:rFonts w:ascii="Arial" w:hAnsi="Arial" w:cs="Arial"/>
        </w:rPr>
        <w:tab/>
      </w:r>
      <w:r w:rsidR="00B37339" w:rsidRPr="00B37339">
        <w:rPr>
          <w:rFonts w:ascii="Arial" w:hAnsi="Arial" w:cs="Arial"/>
        </w:rPr>
        <w:tab/>
      </w:r>
      <w:r w:rsidR="00B37339" w:rsidRPr="00B37339">
        <w:rPr>
          <w:rFonts w:ascii="Arial" w:hAnsi="Arial" w:cs="Arial"/>
        </w:rPr>
        <w:tab/>
      </w:r>
      <w:r w:rsidR="00B37339" w:rsidRPr="00B37339">
        <w:rPr>
          <w:rFonts w:ascii="Arial" w:hAnsi="Arial" w:cs="Arial"/>
        </w:rPr>
        <w:tab/>
      </w:r>
      <w:r w:rsidR="00B37339" w:rsidRPr="00B37339">
        <w:rPr>
          <w:rFonts w:ascii="Arial" w:hAnsi="Arial" w:cs="Arial"/>
        </w:rPr>
        <w:tab/>
      </w:r>
      <w:r w:rsidR="00B37339" w:rsidRPr="00B37339">
        <w:rPr>
          <w:rFonts w:ascii="Arial" w:hAnsi="Arial" w:cs="Arial"/>
        </w:rPr>
        <w:tab/>
      </w:r>
      <w:r w:rsidR="000212A0" w:rsidRPr="00B37339">
        <w:rPr>
          <w:rFonts w:ascii="Arial" w:hAnsi="Arial" w:cs="Arial"/>
        </w:rPr>
        <w:t xml:space="preserve">Advocate Clint </w:t>
      </w:r>
      <w:proofErr w:type="spellStart"/>
      <w:r w:rsidR="000212A0" w:rsidRPr="00B37339">
        <w:rPr>
          <w:rFonts w:ascii="Arial" w:hAnsi="Arial" w:cs="Arial"/>
        </w:rPr>
        <w:t>Ascar</w:t>
      </w:r>
      <w:proofErr w:type="spellEnd"/>
    </w:p>
    <w:p w14:paraId="6FDCD0D9" w14:textId="67B1E55C" w:rsidR="000212A0" w:rsidRPr="00B37339" w:rsidRDefault="000212A0" w:rsidP="00B37339">
      <w:pPr>
        <w:spacing w:after="0" w:line="360" w:lineRule="auto"/>
        <w:ind w:left="4320" w:firstLine="720"/>
        <w:rPr>
          <w:rFonts w:ascii="Arial" w:hAnsi="Arial" w:cs="Arial"/>
        </w:rPr>
      </w:pPr>
      <w:proofErr w:type="spellStart"/>
      <w:r w:rsidRPr="00B37339">
        <w:rPr>
          <w:rFonts w:ascii="Arial" w:hAnsi="Arial" w:cs="Arial"/>
        </w:rPr>
        <w:t>Dyason</w:t>
      </w:r>
      <w:proofErr w:type="spellEnd"/>
      <w:r w:rsidRPr="00B37339">
        <w:rPr>
          <w:rFonts w:ascii="Arial" w:hAnsi="Arial" w:cs="Arial"/>
        </w:rPr>
        <w:t xml:space="preserve"> Inc</w:t>
      </w:r>
      <w:r w:rsidR="00C5505F" w:rsidRPr="00B37339">
        <w:rPr>
          <w:rFonts w:ascii="Arial" w:hAnsi="Arial" w:cs="Arial"/>
        </w:rPr>
        <w:t>orporated</w:t>
      </w:r>
    </w:p>
    <w:p w14:paraId="0496F5CD" w14:textId="613FBFD3" w:rsidR="00C5505F" w:rsidRPr="00B37339" w:rsidRDefault="00B109BF" w:rsidP="00B37339">
      <w:pPr>
        <w:spacing w:after="0" w:line="360" w:lineRule="auto"/>
        <w:ind w:left="4320" w:firstLine="720"/>
        <w:rPr>
          <w:rFonts w:ascii="Arial" w:hAnsi="Arial" w:cs="Arial"/>
        </w:rPr>
      </w:pPr>
      <w:r w:rsidRPr="00B37339">
        <w:rPr>
          <w:rFonts w:ascii="Arial" w:hAnsi="Arial" w:cs="Arial"/>
        </w:rPr>
        <w:t>Walter Creek Office Park</w:t>
      </w:r>
    </w:p>
    <w:p w14:paraId="02046CFB" w14:textId="329C2856" w:rsidR="00B109BF" w:rsidRPr="00B37339" w:rsidRDefault="00481BF1" w:rsidP="00B37339">
      <w:pPr>
        <w:spacing w:after="0" w:line="360" w:lineRule="auto"/>
        <w:ind w:left="4320" w:firstLine="720"/>
        <w:rPr>
          <w:rFonts w:ascii="Arial" w:hAnsi="Arial" w:cs="Arial"/>
        </w:rPr>
      </w:pPr>
      <w:proofErr w:type="spellStart"/>
      <w:r w:rsidRPr="00B37339">
        <w:rPr>
          <w:rFonts w:ascii="Arial" w:hAnsi="Arial" w:cs="Arial"/>
        </w:rPr>
        <w:t>Niieew</w:t>
      </w:r>
      <w:proofErr w:type="spellEnd"/>
      <w:r w:rsidRPr="00B37339">
        <w:rPr>
          <w:rFonts w:ascii="Arial" w:hAnsi="Arial" w:cs="Arial"/>
        </w:rPr>
        <w:t xml:space="preserve"> </w:t>
      </w:r>
      <w:proofErr w:type="spellStart"/>
      <w:r w:rsidRPr="00B37339">
        <w:rPr>
          <w:rFonts w:ascii="Arial" w:hAnsi="Arial" w:cs="Arial"/>
        </w:rPr>
        <w:t>Mucklenuek</w:t>
      </w:r>
      <w:proofErr w:type="spellEnd"/>
    </w:p>
    <w:p w14:paraId="215F93E2" w14:textId="15FC9140" w:rsidR="00481BF1" w:rsidRPr="00B37339" w:rsidRDefault="00481BF1" w:rsidP="00B37339">
      <w:pPr>
        <w:spacing w:after="0" w:line="360" w:lineRule="auto"/>
        <w:ind w:left="4320" w:firstLine="720"/>
        <w:rPr>
          <w:rFonts w:ascii="Arial" w:hAnsi="Arial" w:cs="Arial"/>
        </w:rPr>
      </w:pPr>
      <w:r w:rsidRPr="00B37339">
        <w:rPr>
          <w:rFonts w:ascii="Arial" w:hAnsi="Arial" w:cs="Arial"/>
        </w:rPr>
        <w:t>Pretoria</w:t>
      </w:r>
    </w:p>
    <w:p w14:paraId="78422F16" w14:textId="77777777" w:rsidR="004C7E5E" w:rsidRPr="00B37339" w:rsidRDefault="004C7E5E" w:rsidP="00DD489D">
      <w:pPr>
        <w:spacing w:after="0" w:line="360" w:lineRule="auto"/>
        <w:rPr>
          <w:rFonts w:ascii="Arial" w:hAnsi="Arial" w:cs="Arial"/>
        </w:rPr>
      </w:pPr>
    </w:p>
    <w:sectPr w:rsidR="004C7E5E" w:rsidRPr="00B3733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8528E" w14:textId="77777777" w:rsidR="003A66F7" w:rsidRDefault="003A66F7" w:rsidP="00AB30DE">
      <w:pPr>
        <w:spacing w:after="0" w:line="240" w:lineRule="auto"/>
      </w:pPr>
      <w:r>
        <w:separator/>
      </w:r>
    </w:p>
  </w:endnote>
  <w:endnote w:type="continuationSeparator" w:id="0">
    <w:p w14:paraId="08193356" w14:textId="77777777" w:rsidR="003A66F7" w:rsidRDefault="003A66F7" w:rsidP="00AB30DE">
      <w:pPr>
        <w:spacing w:after="0" w:line="240" w:lineRule="auto"/>
      </w:pPr>
      <w:r>
        <w:continuationSeparator/>
      </w:r>
    </w:p>
  </w:endnote>
  <w:endnote w:type="continuationNotice" w:id="1">
    <w:p w14:paraId="42395840" w14:textId="77777777" w:rsidR="003A66F7" w:rsidRDefault="003A66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802510"/>
      <w:docPartObj>
        <w:docPartGallery w:val="Page Numbers (Bottom of Page)"/>
        <w:docPartUnique/>
      </w:docPartObj>
    </w:sdtPr>
    <w:sdtEndPr>
      <w:rPr>
        <w:noProof/>
      </w:rPr>
    </w:sdtEndPr>
    <w:sdtContent>
      <w:p w14:paraId="02F6D8A0" w14:textId="2094EBD5" w:rsidR="00AB30DE" w:rsidRDefault="00AB30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C4C6E2" w14:textId="77777777" w:rsidR="00AB30DE" w:rsidRDefault="00AB3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CE16F" w14:textId="77777777" w:rsidR="003A66F7" w:rsidRDefault="003A66F7" w:rsidP="00AB30DE">
      <w:pPr>
        <w:spacing w:after="0" w:line="240" w:lineRule="auto"/>
      </w:pPr>
      <w:r>
        <w:separator/>
      </w:r>
    </w:p>
  </w:footnote>
  <w:footnote w:type="continuationSeparator" w:id="0">
    <w:p w14:paraId="524C5178" w14:textId="77777777" w:rsidR="003A66F7" w:rsidRDefault="003A66F7" w:rsidP="00AB30DE">
      <w:pPr>
        <w:spacing w:after="0" w:line="240" w:lineRule="auto"/>
      </w:pPr>
      <w:r>
        <w:continuationSeparator/>
      </w:r>
    </w:p>
  </w:footnote>
  <w:footnote w:type="continuationNotice" w:id="1">
    <w:p w14:paraId="6DCCCC50" w14:textId="77777777" w:rsidR="003A66F7" w:rsidRDefault="003A66F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7751D"/>
    <w:multiLevelType w:val="hybridMultilevel"/>
    <w:tmpl w:val="0E680EBE"/>
    <w:lvl w:ilvl="0" w:tplc="28D48FC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535C3D34"/>
    <w:multiLevelType w:val="multilevel"/>
    <w:tmpl w:val="8C56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4C4A29"/>
    <w:multiLevelType w:val="multilevel"/>
    <w:tmpl w:val="B960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DC5665"/>
    <w:multiLevelType w:val="multilevel"/>
    <w:tmpl w:val="52BA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3412325">
    <w:abstractNumId w:val="0"/>
  </w:num>
  <w:num w:numId="2" w16cid:durableId="208348825">
    <w:abstractNumId w:val="1"/>
  </w:num>
  <w:num w:numId="3" w16cid:durableId="1823692487">
    <w:abstractNumId w:val="3"/>
  </w:num>
  <w:num w:numId="4" w16cid:durableId="15020864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0DE"/>
    <w:rsid w:val="000006C6"/>
    <w:rsid w:val="00001218"/>
    <w:rsid w:val="00001A34"/>
    <w:rsid w:val="0000208E"/>
    <w:rsid w:val="000057B8"/>
    <w:rsid w:val="000070E8"/>
    <w:rsid w:val="00007296"/>
    <w:rsid w:val="00013571"/>
    <w:rsid w:val="00017138"/>
    <w:rsid w:val="000212A0"/>
    <w:rsid w:val="00023631"/>
    <w:rsid w:val="00026103"/>
    <w:rsid w:val="0002622B"/>
    <w:rsid w:val="00031E68"/>
    <w:rsid w:val="00031F7E"/>
    <w:rsid w:val="00033058"/>
    <w:rsid w:val="00033D5F"/>
    <w:rsid w:val="000379D4"/>
    <w:rsid w:val="00040764"/>
    <w:rsid w:val="00043172"/>
    <w:rsid w:val="00043921"/>
    <w:rsid w:val="0004438F"/>
    <w:rsid w:val="000463B5"/>
    <w:rsid w:val="000468C6"/>
    <w:rsid w:val="00047BF9"/>
    <w:rsid w:val="00050AAC"/>
    <w:rsid w:val="00057241"/>
    <w:rsid w:val="000579BC"/>
    <w:rsid w:val="00061E9B"/>
    <w:rsid w:val="00062B67"/>
    <w:rsid w:val="00062CEF"/>
    <w:rsid w:val="00064830"/>
    <w:rsid w:val="00065A9A"/>
    <w:rsid w:val="00067994"/>
    <w:rsid w:val="000714D5"/>
    <w:rsid w:val="000720F6"/>
    <w:rsid w:val="000720FC"/>
    <w:rsid w:val="00072312"/>
    <w:rsid w:val="00074DAD"/>
    <w:rsid w:val="00075088"/>
    <w:rsid w:val="00075E4B"/>
    <w:rsid w:val="00077006"/>
    <w:rsid w:val="00083460"/>
    <w:rsid w:val="00083D81"/>
    <w:rsid w:val="00085C72"/>
    <w:rsid w:val="00086C07"/>
    <w:rsid w:val="000875AD"/>
    <w:rsid w:val="00091505"/>
    <w:rsid w:val="000924A6"/>
    <w:rsid w:val="00092F25"/>
    <w:rsid w:val="0009405C"/>
    <w:rsid w:val="00096729"/>
    <w:rsid w:val="00096AF4"/>
    <w:rsid w:val="00097901"/>
    <w:rsid w:val="00097C48"/>
    <w:rsid w:val="000A114C"/>
    <w:rsid w:val="000A1C86"/>
    <w:rsid w:val="000A4392"/>
    <w:rsid w:val="000A5FE5"/>
    <w:rsid w:val="000A620B"/>
    <w:rsid w:val="000A79FA"/>
    <w:rsid w:val="000A7E3A"/>
    <w:rsid w:val="000B4121"/>
    <w:rsid w:val="000B5138"/>
    <w:rsid w:val="000B57E9"/>
    <w:rsid w:val="000C3930"/>
    <w:rsid w:val="000D1FEB"/>
    <w:rsid w:val="000D22D8"/>
    <w:rsid w:val="000D24D1"/>
    <w:rsid w:val="000D2726"/>
    <w:rsid w:val="000D65E9"/>
    <w:rsid w:val="000D7733"/>
    <w:rsid w:val="000E151D"/>
    <w:rsid w:val="000E196C"/>
    <w:rsid w:val="000E1AD7"/>
    <w:rsid w:val="000E27DD"/>
    <w:rsid w:val="000E28FA"/>
    <w:rsid w:val="000E456B"/>
    <w:rsid w:val="000E50D6"/>
    <w:rsid w:val="000E710F"/>
    <w:rsid w:val="000F109E"/>
    <w:rsid w:val="000F60CC"/>
    <w:rsid w:val="000F790D"/>
    <w:rsid w:val="00100B33"/>
    <w:rsid w:val="00102B90"/>
    <w:rsid w:val="00105556"/>
    <w:rsid w:val="00105D59"/>
    <w:rsid w:val="00106481"/>
    <w:rsid w:val="00106A0B"/>
    <w:rsid w:val="0011102D"/>
    <w:rsid w:val="0011143F"/>
    <w:rsid w:val="001115A8"/>
    <w:rsid w:val="00112C92"/>
    <w:rsid w:val="0011546D"/>
    <w:rsid w:val="001163C9"/>
    <w:rsid w:val="00116665"/>
    <w:rsid w:val="0011672E"/>
    <w:rsid w:val="00117792"/>
    <w:rsid w:val="00117DE8"/>
    <w:rsid w:val="001256F7"/>
    <w:rsid w:val="001275D4"/>
    <w:rsid w:val="0013012F"/>
    <w:rsid w:val="0013023B"/>
    <w:rsid w:val="00130822"/>
    <w:rsid w:val="00131A54"/>
    <w:rsid w:val="001331C3"/>
    <w:rsid w:val="00133E95"/>
    <w:rsid w:val="001344C9"/>
    <w:rsid w:val="00134CDE"/>
    <w:rsid w:val="00136CDD"/>
    <w:rsid w:val="00137CC3"/>
    <w:rsid w:val="001407C3"/>
    <w:rsid w:val="001432DB"/>
    <w:rsid w:val="00143FB9"/>
    <w:rsid w:val="00144DFF"/>
    <w:rsid w:val="00145061"/>
    <w:rsid w:val="0014523E"/>
    <w:rsid w:val="00147757"/>
    <w:rsid w:val="001477D7"/>
    <w:rsid w:val="001478A8"/>
    <w:rsid w:val="00152FF8"/>
    <w:rsid w:val="00154E84"/>
    <w:rsid w:val="00155703"/>
    <w:rsid w:val="00156AAA"/>
    <w:rsid w:val="00161631"/>
    <w:rsid w:val="001673CB"/>
    <w:rsid w:val="001677A8"/>
    <w:rsid w:val="00171233"/>
    <w:rsid w:val="00171ABE"/>
    <w:rsid w:val="001720E4"/>
    <w:rsid w:val="00172E37"/>
    <w:rsid w:val="001736ED"/>
    <w:rsid w:val="00175A43"/>
    <w:rsid w:val="00175D0F"/>
    <w:rsid w:val="00177511"/>
    <w:rsid w:val="00177E28"/>
    <w:rsid w:val="00180716"/>
    <w:rsid w:val="001812F7"/>
    <w:rsid w:val="001813F7"/>
    <w:rsid w:val="00181A3B"/>
    <w:rsid w:val="0018221D"/>
    <w:rsid w:val="001840DD"/>
    <w:rsid w:val="0018562A"/>
    <w:rsid w:val="001908AF"/>
    <w:rsid w:val="0019220E"/>
    <w:rsid w:val="00192E85"/>
    <w:rsid w:val="0019400E"/>
    <w:rsid w:val="00194F60"/>
    <w:rsid w:val="00195F3C"/>
    <w:rsid w:val="001A003B"/>
    <w:rsid w:val="001A01EB"/>
    <w:rsid w:val="001A2C40"/>
    <w:rsid w:val="001A4F71"/>
    <w:rsid w:val="001A688C"/>
    <w:rsid w:val="001B6C75"/>
    <w:rsid w:val="001B70DF"/>
    <w:rsid w:val="001C41F3"/>
    <w:rsid w:val="001C48EA"/>
    <w:rsid w:val="001C48F6"/>
    <w:rsid w:val="001C52ED"/>
    <w:rsid w:val="001D319F"/>
    <w:rsid w:val="001D3CCB"/>
    <w:rsid w:val="001D4DC7"/>
    <w:rsid w:val="001D58A0"/>
    <w:rsid w:val="001E2EBE"/>
    <w:rsid w:val="001E3EE5"/>
    <w:rsid w:val="001E43C6"/>
    <w:rsid w:val="001E56BA"/>
    <w:rsid w:val="001E6E4E"/>
    <w:rsid w:val="001F0BCA"/>
    <w:rsid w:val="001F22FA"/>
    <w:rsid w:val="001F3232"/>
    <w:rsid w:val="001F3F31"/>
    <w:rsid w:val="001F6591"/>
    <w:rsid w:val="00200416"/>
    <w:rsid w:val="002018FE"/>
    <w:rsid w:val="00210D82"/>
    <w:rsid w:val="00210EB6"/>
    <w:rsid w:val="0021411A"/>
    <w:rsid w:val="00214C30"/>
    <w:rsid w:val="00215203"/>
    <w:rsid w:val="00222220"/>
    <w:rsid w:val="002240DE"/>
    <w:rsid w:val="002241A9"/>
    <w:rsid w:val="00225678"/>
    <w:rsid w:val="002274C8"/>
    <w:rsid w:val="00231109"/>
    <w:rsid w:val="00232D09"/>
    <w:rsid w:val="00234E91"/>
    <w:rsid w:val="00234F93"/>
    <w:rsid w:val="00236422"/>
    <w:rsid w:val="00236675"/>
    <w:rsid w:val="002373BF"/>
    <w:rsid w:val="0024183E"/>
    <w:rsid w:val="00241BC2"/>
    <w:rsid w:val="00241F23"/>
    <w:rsid w:val="002434EE"/>
    <w:rsid w:val="00247F8A"/>
    <w:rsid w:val="00250BFA"/>
    <w:rsid w:val="00253E4F"/>
    <w:rsid w:val="0025645E"/>
    <w:rsid w:val="00260173"/>
    <w:rsid w:val="00260281"/>
    <w:rsid w:val="00260E8E"/>
    <w:rsid w:val="00262ED5"/>
    <w:rsid w:val="00263192"/>
    <w:rsid w:val="00264D15"/>
    <w:rsid w:val="002733F0"/>
    <w:rsid w:val="002743F0"/>
    <w:rsid w:val="00274553"/>
    <w:rsid w:val="00274E88"/>
    <w:rsid w:val="0027565A"/>
    <w:rsid w:val="00280115"/>
    <w:rsid w:val="00282B11"/>
    <w:rsid w:val="002840C8"/>
    <w:rsid w:val="002856AA"/>
    <w:rsid w:val="00286BCA"/>
    <w:rsid w:val="00287A08"/>
    <w:rsid w:val="00290D20"/>
    <w:rsid w:val="002939C9"/>
    <w:rsid w:val="002A1C27"/>
    <w:rsid w:val="002A3A28"/>
    <w:rsid w:val="002A593C"/>
    <w:rsid w:val="002B0061"/>
    <w:rsid w:val="002B0E80"/>
    <w:rsid w:val="002B18C4"/>
    <w:rsid w:val="002B2796"/>
    <w:rsid w:val="002B3529"/>
    <w:rsid w:val="002B39B0"/>
    <w:rsid w:val="002C0AB0"/>
    <w:rsid w:val="002C1F2C"/>
    <w:rsid w:val="002C2594"/>
    <w:rsid w:val="002C4C8B"/>
    <w:rsid w:val="002C5931"/>
    <w:rsid w:val="002D140E"/>
    <w:rsid w:val="002D2DB5"/>
    <w:rsid w:val="002D2FEF"/>
    <w:rsid w:val="002D32AA"/>
    <w:rsid w:val="002D3408"/>
    <w:rsid w:val="002D4651"/>
    <w:rsid w:val="002D7F18"/>
    <w:rsid w:val="002E1203"/>
    <w:rsid w:val="002E1305"/>
    <w:rsid w:val="002E22F0"/>
    <w:rsid w:val="002F113E"/>
    <w:rsid w:val="002F1DE6"/>
    <w:rsid w:val="002F27CC"/>
    <w:rsid w:val="002F2E68"/>
    <w:rsid w:val="002F7118"/>
    <w:rsid w:val="003014B5"/>
    <w:rsid w:val="00302A3A"/>
    <w:rsid w:val="003052D8"/>
    <w:rsid w:val="0030795C"/>
    <w:rsid w:val="003116B2"/>
    <w:rsid w:val="0031190A"/>
    <w:rsid w:val="00313008"/>
    <w:rsid w:val="003139B2"/>
    <w:rsid w:val="00315C31"/>
    <w:rsid w:val="00317D10"/>
    <w:rsid w:val="003201A3"/>
    <w:rsid w:val="0032391E"/>
    <w:rsid w:val="00323D29"/>
    <w:rsid w:val="0032536F"/>
    <w:rsid w:val="00332D1A"/>
    <w:rsid w:val="0033309C"/>
    <w:rsid w:val="00334D24"/>
    <w:rsid w:val="0033576D"/>
    <w:rsid w:val="00337002"/>
    <w:rsid w:val="003406A0"/>
    <w:rsid w:val="00340F14"/>
    <w:rsid w:val="003427AE"/>
    <w:rsid w:val="00343E93"/>
    <w:rsid w:val="00344F84"/>
    <w:rsid w:val="003464EC"/>
    <w:rsid w:val="00350295"/>
    <w:rsid w:val="00351175"/>
    <w:rsid w:val="003512A8"/>
    <w:rsid w:val="00351903"/>
    <w:rsid w:val="00353943"/>
    <w:rsid w:val="00355B17"/>
    <w:rsid w:val="00363FBD"/>
    <w:rsid w:val="003647D9"/>
    <w:rsid w:val="0036782D"/>
    <w:rsid w:val="00367FDA"/>
    <w:rsid w:val="003708B3"/>
    <w:rsid w:val="0037109F"/>
    <w:rsid w:val="00371A98"/>
    <w:rsid w:val="003720C6"/>
    <w:rsid w:val="00373CE4"/>
    <w:rsid w:val="00376AD2"/>
    <w:rsid w:val="00376CBA"/>
    <w:rsid w:val="00380EB6"/>
    <w:rsid w:val="0038243D"/>
    <w:rsid w:val="0038250B"/>
    <w:rsid w:val="00382774"/>
    <w:rsid w:val="00382E06"/>
    <w:rsid w:val="00382E3D"/>
    <w:rsid w:val="003859BF"/>
    <w:rsid w:val="0039045B"/>
    <w:rsid w:val="0039106C"/>
    <w:rsid w:val="0039450A"/>
    <w:rsid w:val="00395C99"/>
    <w:rsid w:val="00396B69"/>
    <w:rsid w:val="003972F3"/>
    <w:rsid w:val="003975F7"/>
    <w:rsid w:val="003A07D2"/>
    <w:rsid w:val="003A2484"/>
    <w:rsid w:val="003A349B"/>
    <w:rsid w:val="003A436E"/>
    <w:rsid w:val="003A55AE"/>
    <w:rsid w:val="003A66F7"/>
    <w:rsid w:val="003A68C6"/>
    <w:rsid w:val="003A70C3"/>
    <w:rsid w:val="003B10CA"/>
    <w:rsid w:val="003B20F7"/>
    <w:rsid w:val="003B25F8"/>
    <w:rsid w:val="003B456C"/>
    <w:rsid w:val="003B5293"/>
    <w:rsid w:val="003C0AEF"/>
    <w:rsid w:val="003C15A9"/>
    <w:rsid w:val="003D020F"/>
    <w:rsid w:val="003D36CE"/>
    <w:rsid w:val="003D572C"/>
    <w:rsid w:val="003D5BC3"/>
    <w:rsid w:val="003E025F"/>
    <w:rsid w:val="003E3111"/>
    <w:rsid w:val="003E6AE6"/>
    <w:rsid w:val="003E779D"/>
    <w:rsid w:val="003E77B6"/>
    <w:rsid w:val="003F060A"/>
    <w:rsid w:val="003F0C27"/>
    <w:rsid w:val="003F4545"/>
    <w:rsid w:val="003F6241"/>
    <w:rsid w:val="003F7155"/>
    <w:rsid w:val="00401970"/>
    <w:rsid w:val="00403B36"/>
    <w:rsid w:val="00404C9A"/>
    <w:rsid w:val="00407E64"/>
    <w:rsid w:val="00412D24"/>
    <w:rsid w:val="00416E9F"/>
    <w:rsid w:val="004219BB"/>
    <w:rsid w:val="00426ABA"/>
    <w:rsid w:val="00430913"/>
    <w:rsid w:val="004371B7"/>
    <w:rsid w:val="004376CC"/>
    <w:rsid w:val="00437EF6"/>
    <w:rsid w:val="0044173E"/>
    <w:rsid w:val="00441A09"/>
    <w:rsid w:val="00442B21"/>
    <w:rsid w:val="004431E7"/>
    <w:rsid w:val="0044343D"/>
    <w:rsid w:val="00443C18"/>
    <w:rsid w:val="00444583"/>
    <w:rsid w:val="00446FAA"/>
    <w:rsid w:val="00450407"/>
    <w:rsid w:val="00452DEA"/>
    <w:rsid w:val="00453B7F"/>
    <w:rsid w:val="00460567"/>
    <w:rsid w:val="00462353"/>
    <w:rsid w:val="00462C36"/>
    <w:rsid w:val="00463EEF"/>
    <w:rsid w:val="00463FA8"/>
    <w:rsid w:val="00465545"/>
    <w:rsid w:val="00471D56"/>
    <w:rsid w:val="00473F94"/>
    <w:rsid w:val="00474E6E"/>
    <w:rsid w:val="00475C4D"/>
    <w:rsid w:val="00481BF1"/>
    <w:rsid w:val="0048568D"/>
    <w:rsid w:val="00486081"/>
    <w:rsid w:val="004864A9"/>
    <w:rsid w:val="00491F4D"/>
    <w:rsid w:val="00492DA4"/>
    <w:rsid w:val="0049430F"/>
    <w:rsid w:val="004956D2"/>
    <w:rsid w:val="00495C81"/>
    <w:rsid w:val="004A0569"/>
    <w:rsid w:val="004A1CD7"/>
    <w:rsid w:val="004A2308"/>
    <w:rsid w:val="004A2CC7"/>
    <w:rsid w:val="004A35BE"/>
    <w:rsid w:val="004A4303"/>
    <w:rsid w:val="004A5B47"/>
    <w:rsid w:val="004A6565"/>
    <w:rsid w:val="004B032B"/>
    <w:rsid w:val="004B0E30"/>
    <w:rsid w:val="004B2471"/>
    <w:rsid w:val="004B6A1F"/>
    <w:rsid w:val="004B7723"/>
    <w:rsid w:val="004C024B"/>
    <w:rsid w:val="004C0255"/>
    <w:rsid w:val="004C0275"/>
    <w:rsid w:val="004C08A5"/>
    <w:rsid w:val="004C1412"/>
    <w:rsid w:val="004C1BCF"/>
    <w:rsid w:val="004C4D06"/>
    <w:rsid w:val="004C7E5E"/>
    <w:rsid w:val="004D7405"/>
    <w:rsid w:val="004E359C"/>
    <w:rsid w:val="004E5054"/>
    <w:rsid w:val="004E6F7B"/>
    <w:rsid w:val="004F27AE"/>
    <w:rsid w:val="004F3675"/>
    <w:rsid w:val="004F61B7"/>
    <w:rsid w:val="004F652F"/>
    <w:rsid w:val="0050250D"/>
    <w:rsid w:val="0050360A"/>
    <w:rsid w:val="0050376D"/>
    <w:rsid w:val="00503782"/>
    <w:rsid w:val="00510058"/>
    <w:rsid w:val="00510E9B"/>
    <w:rsid w:val="00512624"/>
    <w:rsid w:val="00512695"/>
    <w:rsid w:val="0051324A"/>
    <w:rsid w:val="00516F44"/>
    <w:rsid w:val="00520A01"/>
    <w:rsid w:val="0052141B"/>
    <w:rsid w:val="005246CB"/>
    <w:rsid w:val="00527E2D"/>
    <w:rsid w:val="0053011D"/>
    <w:rsid w:val="0053250E"/>
    <w:rsid w:val="00533733"/>
    <w:rsid w:val="00535F0C"/>
    <w:rsid w:val="00536619"/>
    <w:rsid w:val="005440D5"/>
    <w:rsid w:val="005466E8"/>
    <w:rsid w:val="0055091F"/>
    <w:rsid w:val="00551BAF"/>
    <w:rsid w:val="00553031"/>
    <w:rsid w:val="00553281"/>
    <w:rsid w:val="00554129"/>
    <w:rsid w:val="00554BB3"/>
    <w:rsid w:val="00556337"/>
    <w:rsid w:val="005577E7"/>
    <w:rsid w:val="00557B86"/>
    <w:rsid w:val="00560B76"/>
    <w:rsid w:val="00565048"/>
    <w:rsid w:val="00572D3C"/>
    <w:rsid w:val="005758A3"/>
    <w:rsid w:val="005766BA"/>
    <w:rsid w:val="00577450"/>
    <w:rsid w:val="00577928"/>
    <w:rsid w:val="00582EFC"/>
    <w:rsid w:val="00583FCE"/>
    <w:rsid w:val="005856A1"/>
    <w:rsid w:val="0058682D"/>
    <w:rsid w:val="00587290"/>
    <w:rsid w:val="00587F2A"/>
    <w:rsid w:val="005904D9"/>
    <w:rsid w:val="005929C6"/>
    <w:rsid w:val="00593408"/>
    <w:rsid w:val="005959E5"/>
    <w:rsid w:val="005969E9"/>
    <w:rsid w:val="00597A0C"/>
    <w:rsid w:val="005A1311"/>
    <w:rsid w:val="005A57C2"/>
    <w:rsid w:val="005A58D5"/>
    <w:rsid w:val="005A60E8"/>
    <w:rsid w:val="005A6F66"/>
    <w:rsid w:val="005A7371"/>
    <w:rsid w:val="005A7B13"/>
    <w:rsid w:val="005B235C"/>
    <w:rsid w:val="005B25A3"/>
    <w:rsid w:val="005B3660"/>
    <w:rsid w:val="005B497D"/>
    <w:rsid w:val="005B6985"/>
    <w:rsid w:val="005C15C8"/>
    <w:rsid w:val="005C231A"/>
    <w:rsid w:val="005C288D"/>
    <w:rsid w:val="005C362A"/>
    <w:rsid w:val="005C3716"/>
    <w:rsid w:val="005C3EC1"/>
    <w:rsid w:val="005C500B"/>
    <w:rsid w:val="005D133C"/>
    <w:rsid w:val="005D16D3"/>
    <w:rsid w:val="005D1B93"/>
    <w:rsid w:val="005D20BC"/>
    <w:rsid w:val="005D23F7"/>
    <w:rsid w:val="005E03EB"/>
    <w:rsid w:val="005E0BBD"/>
    <w:rsid w:val="005E0DA9"/>
    <w:rsid w:val="005E16E5"/>
    <w:rsid w:val="005E4253"/>
    <w:rsid w:val="005E431B"/>
    <w:rsid w:val="005E6373"/>
    <w:rsid w:val="005E6890"/>
    <w:rsid w:val="005E7500"/>
    <w:rsid w:val="005F2F0D"/>
    <w:rsid w:val="005F4EE1"/>
    <w:rsid w:val="005F6A4C"/>
    <w:rsid w:val="005F76F8"/>
    <w:rsid w:val="005F7D83"/>
    <w:rsid w:val="0060279D"/>
    <w:rsid w:val="006035CA"/>
    <w:rsid w:val="00605399"/>
    <w:rsid w:val="00606DD8"/>
    <w:rsid w:val="0061050D"/>
    <w:rsid w:val="00611968"/>
    <w:rsid w:val="0061317A"/>
    <w:rsid w:val="00614034"/>
    <w:rsid w:val="006141B2"/>
    <w:rsid w:val="006150A5"/>
    <w:rsid w:val="006157E8"/>
    <w:rsid w:val="006176DC"/>
    <w:rsid w:val="00620843"/>
    <w:rsid w:val="00621B13"/>
    <w:rsid w:val="0062236A"/>
    <w:rsid w:val="00623EA5"/>
    <w:rsid w:val="006244C0"/>
    <w:rsid w:val="006258E4"/>
    <w:rsid w:val="00635128"/>
    <w:rsid w:val="0063629E"/>
    <w:rsid w:val="0064001B"/>
    <w:rsid w:val="00640F35"/>
    <w:rsid w:val="00641D08"/>
    <w:rsid w:val="006422C1"/>
    <w:rsid w:val="00643A10"/>
    <w:rsid w:val="006452E1"/>
    <w:rsid w:val="00645BDF"/>
    <w:rsid w:val="00645DCA"/>
    <w:rsid w:val="0064719F"/>
    <w:rsid w:val="00651CAD"/>
    <w:rsid w:val="00652B3A"/>
    <w:rsid w:val="00656E9A"/>
    <w:rsid w:val="00657E11"/>
    <w:rsid w:val="006611EB"/>
    <w:rsid w:val="00662D3A"/>
    <w:rsid w:val="00664C29"/>
    <w:rsid w:val="00664E8F"/>
    <w:rsid w:val="00665FC4"/>
    <w:rsid w:val="00666759"/>
    <w:rsid w:val="0067015C"/>
    <w:rsid w:val="00670D92"/>
    <w:rsid w:val="00674380"/>
    <w:rsid w:val="0067491E"/>
    <w:rsid w:val="0067567D"/>
    <w:rsid w:val="006759C8"/>
    <w:rsid w:val="00676F8B"/>
    <w:rsid w:val="00677793"/>
    <w:rsid w:val="0068008B"/>
    <w:rsid w:val="006804F2"/>
    <w:rsid w:val="006811CF"/>
    <w:rsid w:val="00682194"/>
    <w:rsid w:val="00683938"/>
    <w:rsid w:val="00685291"/>
    <w:rsid w:val="00687030"/>
    <w:rsid w:val="00692859"/>
    <w:rsid w:val="00693B18"/>
    <w:rsid w:val="00695297"/>
    <w:rsid w:val="00695409"/>
    <w:rsid w:val="0069731F"/>
    <w:rsid w:val="006975D8"/>
    <w:rsid w:val="0069794B"/>
    <w:rsid w:val="006A0E26"/>
    <w:rsid w:val="006A1935"/>
    <w:rsid w:val="006A2755"/>
    <w:rsid w:val="006A4744"/>
    <w:rsid w:val="006A6312"/>
    <w:rsid w:val="006A79E9"/>
    <w:rsid w:val="006A7EF2"/>
    <w:rsid w:val="006B1ADE"/>
    <w:rsid w:val="006B407D"/>
    <w:rsid w:val="006B4B5C"/>
    <w:rsid w:val="006B4E76"/>
    <w:rsid w:val="006B5605"/>
    <w:rsid w:val="006B7E14"/>
    <w:rsid w:val="006B7FFE"/>
    <w:rsid w:val="006C1F03"/>
    <w:rsid w:val="006C4511"/>
    <w:rsid w:val="006C5C55"/>
    <w:rsid w:val="006D1179"/>
    <w:rsid w:val="006D3377"/>
    <w:rsid w:val="006D7B08"/>
    <w:rsid w:val="006E0137"/>
    <w:rsid w:val="006E0FFB"/>
    <w:rsid w:val="006E3894"/>
    <w:rsid w:val="006E55E5"/>
    <w:rsid w:val="006F2D97"/>
    <w:rsid w:val="006F7E40"/>
    <w:rsid w:val="00700C69"/>
    <w:rsid w:val="00702DBA"/>
    <w:rsid w:val="00702F12"/>
    <w:rsid w:val="007033C1"/>
    <w:rsid w:val="00705C84"/>
    <w:rsid w:val="00706475"/>
    <w:rsid w:val="00707EF4"/>
    <w:rsid w:val="007124D5"/>
    <w:rsid w:val="00713BC0"/>
    <w:rsid w:val="00716349"/>
    <w:rsid w:val="0072043C"/>
    <w:rsid w:val="00722C4C"/>
    <w:rsid w:val="00724C3B"/>
    <w:rsid w:val="00727804"/>
    <w:rsid w:val="00730CA5"/>
    <w:rsid w:val="007318FE"/>
    <w:rsid w:val="00732BFC"/>
    <w:rsid w:val="00735BB7"/>
    <w:rsid w:val="00737D31"/>
    <w:rsid w:val="00737DFE"/>
    <w:rsid w:val="00741C67"/>
    <w:rsid w:val="00744691"/>
    <w:rsid w:val="0074524F"/>
    <w:rsid w:val="00745C18"/>
    <w:rsid w:val="00746691"/>
    <w:rsid w:val="007505DD"/>
    <w:rsid w:val="007524BB"/>
    <w:rsid w:val="00753554"/>
    <w:rsid w:val="00754BD0"/>
    <w:rsid w:val="00754E21"/>
    <w:rsid w:val="007571C9"/>
    <w:rsid w:val="00757623"/>
    <w:rsid w:val="0076509E"/>
    <w:rsid w:val="007669F0"/>
    <w:rsid w:val="00767AA4"/>
    <w:rsid w:val="00770CD4"/>
    <w:rsid w:val="0077349A"/>
    <w:rsid w:val="007740AC"/>
    <w:rsid w:val="00774721"/>
    <w:rsid w:val="00775054"/>
    <w:rsid w:val="0077620B"/>
    <w:rsid w:val="00777CFA"/>
    <w:rsid w:val="00782CE6"/>
    <w:rsid w:val="007848AD"/>
    <w:rsid w:val="00786934"/>
    <w:rsid w:val="00786B0A"/>
    <w:rsid w:val="00791859"/>
    <w:rsid w:val="00791CC3"/>
    <w:rsid w:val="00794357"/>
    <w:rsid w:val="00797669"/>
    <w:rsid w:val="007A217A"/>
    <w:rsid w:val="007A2B7F"/>
    <w:rsid w:val="007A4BEA"/>
    <w:rsid w:val="007A5B1E"/>
    <w:rsid w:val="007B1072"/>
    <w:rsid w:val="007B1B71"/>
    <w:rsid w:val="007B1D3A"/>
    <w:rsid w:val="007B2C79"/>
    <w:rsid w:val="007B3C47"/>
    <w:rsid w:val="007B637D"/>
    <w:rsid w:val="007C0E11"/>
    <w:rsid w:val="007C1D34"/>
    <w:rsid w:val="007C3A40"/>
    <w:rsid w:val="007C4193"/>
    <w:rsid w:val="007C5F76"/>
    <w:rsid w:val="007D37F7"/>
    <w:rsid w:val="007D5D50"/>
    <w:rsid w:val="007D6F0E"/>
    <w:rsid w:val="007E4270"/>
    <w:rsid w:val="007E489B"/>
    <w:rsid w:val="007F36F4"/>
    <w:rsid w:val="007F7030"/>
    <w:rsid w:val="007F73EE"/>
    <w:rsid w:val="007F7EFD"/>
    <w:rsid w:val="00800A89"/>
    <w:rsid w:val="00802228"/>
    <w:rsid w:val="0080515D"/>
    <w:rsid w:val="008052E8"/>
    <w:rsid w:val="00807070"/>
    <w:rsid w:val="008107D2"/>
    <w:rsid w:val="008128D8"/>
    <w:rsid w:val="008165D3"/>
    <w:rsid w:val="00817CE8"/>
    <w:rsid w:val="00820707"/>
    <w:rsid w:val="008211D5"/>
    <w:rsid w:val="008222C7"/>
    <w:rsid w:val="008228AE"/>
    <w:rsid w:val="00825273"/>
    <w:rsid w:val="00827962"/>
    <w:rsid w:val="008318BA"/>
    <w:rsid w:val="00832F37"/>
    <w:rsid w:val="00835CE6"/>
    <w:rsid w:val="008503B2"/>
    <w:rsid w:val="00852598"/>
    <w:rsid w:val="008534DC"/>
    <w:rsid w:val="00853C0B"/>
    <w:rsid w:val="00854287"/>
    <w:rsid w:val="00856AAB"/>
    <w:rsid w:val="0086036D"/>
    <w:rsid w:val="008646B9"/>
    <w:rsid w:val="00865F1C"/>
    <w:rsid w:val="00870414"/>
    <w:rsid w:val="0087157C"/>
    <w:rsid w:val="008734BE"/>
    <w:rsid w:val="008734FA"/>
    <w:rsid w:val="00873D7E"/>
    <w:rsid w:val="00874520"/>
    <w:rsid w:val="00875748"/>
    <w:rsid w:val="00881642"/>
    <w:rsid w:val="00890215"/>
    <w:rsid w:val="008931D7"/>
    <w:rsid w:val="00894BE3"/>
    <w:rsid w:val="00895DD3"/>
    <w:rsid w:val="008A2266"/>
    <w:rsid w:val="008A2AA3"/>
    <w:rsid w:val="008A53D1"/>
    <w:rsid w:val="008A70F9"/>
    <w:rsid w:val="008B0E3A"/>
    <w:rsid w:val="008B2F42"/>
    <w:rsid w:val="008B3E85"/>
    <w:rsid w:val="008B60C1"/>
    <w:rsid w:val="008B6D8D"/>
    <w:rsid w:val="008C1EDC"/>
    <w:rsid w:val="008C3DA6"/>
    <w:rsid w:val="008C6FB0"/>
    <w:rsid w:val="008C72C7"/>
    <w:rsid w:val="008C7D42"/>
    <w:rsid w:val="008D1CA3"/>
    <w:rsid w:val="008D3198"/>
    <w:rsid w:val="008D665B"/>
    <w:rsid w:val="008D6DE9"/>
    <w:rsid w:val="008E65EE"/>
    <w:rsid w:val="008E7304"/>
    <w:rsid w:val="008E7D9B"/>
    <w:rsid w:val="008F04BE"/>
    <w:rsid w:val="008F10C0"/>
    <w:rsid w:val="008F5D69"/>
    <w:rsid w:val="008F6D52"/>
    <w:rsid w:val="008F7EB5"/>
    <w:rsid w:val="009057BC"/>
    <w:rsid w:val="009071D4"/>
    <w:rsid w:val="00910793"/>
    <w:rsid w:val="00912248"/>
    <w:rsid w:val="009129DC"/>
    <w:rsid w:val="00915F90"/>
    <w:rsid w:val="00916684"/>
    <w:rsid w:val="00920B9A"/>
    <w:rsid w:val="00924D5C"/>
    <w:rsid w:val="00926420"/>
    <w:rsid w:val="00926EA6"/>
    <w:rsid w:val="00927010"/>
    <w:rsid w:val="00930776"/>
    <w:rsid w:val="009333A4"/>
    <w:rsid w:val="00934CF5"/>
    <w:rsid w:val="00934F93"/>
    <w:rsid w:val="0093587F"/>
    <w:rsid w:val="00953550"/>
    <w:rsid w:val="009536AC"/>
    <w:rsid w:val="00957D51"/>
    <w:rsid w:val="009615B1"/>
    <w:rsid w:val="00965642"/>
    <w:rsid w:val="0096736C"/>
    <w:rsid w:val="009673DD"/>
    <w:rsid w:val="0097131A"/>
    <w:rsid w:val="009775E3"/>
    <w:rsid w:val="00977D5D"/>
    <w:rsid w:val="00981291"/>
    <w:rsid w:val="00982472"/>
    <w:rsid w:val="00985825"/>
    <w:rsid w:val="00986568"/>
    <w:rsid w:val="00987C1C"/>
    <w:rsid w:val="00991EC5"/>
    <w:rsid w:val="009926E7"/>
    <w:rsid w:val="00993B33"/>
    <w:rsid w:val="00997D69"/>
    <w:rsid w:val="009A0FA8"/>
    <w:rsid w:val="009A4FFE"/>
    <w:rsid w:val="009A5F2B"/>
    <w:rsid w:val="009A6194"/>
    <w:rsid w:val="009A7287"/>
    <w:rsid w:val="009A7CC8"/>
    <w:rsid w:val="009B07A5"/>
    <w:rsid w:val="009B3D12"/>
    <w:rsid w:val="009B461F"/>
    <w:rsid w:val="009B4A2B"/>
    <w:rsid w:val="009B56DE"/>
    <w:rsid w:val="009B794A"/>
    <w:rsid w:val="009C02E9"/>
    <w:rsid w:val="009C4561"/>
    <w:rsid w:val="009C6153"/>
    <w:rsid w:val="009C618B"/>
    <w:rsid w:val="009C6604"/>
    <w:rsid w:val="009C7F27"/>
    <w:rsid w:val="009D13D9"/>
    <w:rsid w:val="009D1728"/>
    <w:rsid w:val="009D1E47"/>
    <w:rsid w:val="009E7142"/>
    <w:rsid w:val="009F035A"/>
    <w:rsid w:val="009F09C1"/>
    <w:rsid w:val="009F170A"/>
    <w:rsid w:val="009F2180"/>
    <w:rsid w:val="009F4574"/>
    <w:rsid w:val="009F53B7"/>
    <w:rsid w:val="009F5A6C"/>
    <w:rsid w:val="009F60BD"/>
    <w:rsid w:val="009F62D3"/>
    <w:rsid w:val="00A02007"/>
    <w:rsid w:val="00A03948"/>
    <w:rsid w:val="00A051D3"/>
    <w:rsid w:val="00A05ED2"/>
    <w:rsid w:val="00A12F13"/>
    <w:rsid w:val="00A133FF"/>
    <w:rsid w:val="00A1347C"/>
    <w:rsid w:val="00A136D1"/>
    <w:rsid w:val="00A13D9E"/>
    <w:rsid w:val="00A21831"/>
    <w:rsid w:val="00A23C2E"/>
    <w:rsid w:val="00A24382"/>
    <w:rsid w:val="00A24978"/>
    <w:rsid w:val="00A24FCF"/>
    <w:rsid w:val="00A27595"/>
    <w:rsid w:val="00A331C1"/>
    <w:rsid w:val="00A340EE"/>
    <w:rsid w:val="00A410C2"/>
    <w:rsid w:val="00A41A28"/>
    <w:rsid w:val="00A43C88"/>
    <w:rsid w:val="00A4401F"/>
    <w:rsid w:val="00A445FA"/>
    <w:rsid w:val="00A45952"/>
    <w:rsid w:val="00A50225"/>
    <w:rsid w:val="00A505F1"/>
    <w:rsid w:val="00A539AA"/>
    <w:rsid w:val="00A54BC4"/>
    <w:rsid w:val="00A561F7"/>
    <w:rsid w:val="00A605CE"/>
    <w:rsid w:val="00A62FD4"/>
    <w:rsid w:val="00A6350A"/>
    <w:rsid w:val="00A643D7"/>
    <w:rsid w:val="00A64DA7"/>
    <w:rsid w:val="00A6539E"/>
    <w:rsid w:val="00A73745"/>
    <w:rsid w:val="00A77B44"/>
    <w:rsid w:val="00A8038A"/>
    <w:rsid w:val="00A82082"/>
    <w:rsid w:val="00A82F90"/>
    <w:rsid w:val="00A83899"/>
    <w:rsid w:val="00A83AE1"/>
    <w:rsid w:val="00A8503A"/>
    <w:rsid w:val="00A866EA"/>
    <w:rsid w:val="00A9072C"/>
    <w:rsid w:val="00A9397F"/>
    <w:rsid w:val="00A95777"/>
    <w:rsid w:val="00A967F3"/>
    <w:rsid w:val="00A9691F"/>
    <w:rsid w:val="00A973C3"/>
    <w:rsid w:val="00AA1B7F"/>
    <w:rsid w:val="00AA2DEC"/>
    <w:rsid w:val="00AA4FC5"/>
    <w:rsid w:val="00AA5E0E"/>
    <w:rsid w:val="00AA6310"/>
    <w:rsid w:val="00AB1456"/>
    <w:rsid w:val="00AB2883"/>
    <w:rsid w:val="00AB28B9"/>
    <w:rsid w:val="00AB30DE"/>
    <w:rsid w:val="00AB420D"/>
    <w:rsid w:val="00AB4D04"/>
    <w:rsid w:val="00AB5272"/>
    <w:rsid w:val="00AB5A8B"/>
    <w:rsid w:val="00AB6ACB"/>
    <w:rsid w:val="00AB732B"/>
    <w:rsid w:val="00AC1A58"/>
    <w:rsid w:val="00AC2B07"/>
    <w:rsid w:val="00AC2D92"/>
    <w:rsid w:val="00AC2FFF"/>
    <w:rsid w:val="00AC4D87"/>
    <w:rsid w:val="00AC73BE"/>
    <w:rsid w:val="00AC74FF"/>
    <w:rsid w:val="00AC7DD6"/>
    <w:rsid w:val="00AD0ECE"/>
    <w:rsid w:val="00AD107A"/>
    <w:rsid w:val="00AD24F2"/>
    <w:rsid w:val="00AD5558"/>
    <w:rsid w:val="00AD70EC"/>
    <w:rsid w:val="00AD7A2F"/>
    <w:rsid w:val="00AE19E7"/>
    <w:rsid w:val="00AE2493"/>
    <w:rsid w:val="00AE2AA4"/>
    <w:rsid w:val="00AE47DD"/>
    <w:rsid w:val="00AE626C"/>
    <w:rsid w:val="00AE754F"/>
    <w:rsid w:val="00AE7624"/>
    <w:rsid w:val="00AE79AC"/>
    <w:rsid w:val="00AF0B39"/>
    <w:rsid w:val="00AF1292"/>
    <w:rsid w:val="00AF31F1"/>
    <w:rsid w:val="00AF3C3F"/>
    <w:rsid w:val="00AF4100"/>
    <w:rsid w:val="00AF6A98"/>
    <w:rsid w:val="00B01180"/>
    <w:rsid w:val="00B01BC9"/>
    <w:rsid w:val="00B07685"/>
    <w:rsid w:val="00B109BF"/>
    <w:rsid w:val="00B1198E"/>
    <w:rsid w:val="00B11E1D"/>
    <w:rsid w:val="00B128B6"/>
    <w:rsid w:val="00B140BD"/>
    <w:rsid w:val="00B17334"/>
    <w:rsid w:val="00B242A6"/>
    <w:rsid w:val="00B257F9"/>
    <w:rsid w:val="00B259C3"/>
    <w:rsid w:val="00B26F64"/>
    <w:rsid w:val="00B27BB8"/>
    <w:rsid w:val="00B32616"/>
    <w:rsid w:val="00B36060"/>
    <w:rsid w:val="00B36A71"/>
    <w:rsid w:val="00B37339"/>
    <w:rsid w:val="00B37C9C"/>
    <w:rsid w:val="00B37FCC"/>
    <w:rsid w:val="00B41733"/>
    <w:rsid w:val="00B437DA"/>
    <w:rsid w:val="00B439E7"/>
    <w:rsid w:val="00B44976"/>
    <w:rsid w:val="00B47CDC"/>
    <w:rsid w:val="00B5131C"/>
    <w:rsid w:val="00B5177C"/>
    <w:rsid w:val="00B612C5"/>
    <w:rsid w:val="00B62E2A"/>
    <w:rsid w:val="00B62F7C"/>
    <w:rsid w:val="00B64E44"/>
    <w:rsid w:val="00B66166"/>
    <w:rsid w:val="00B666BC"/>
    <w:rsid w:val="00B70239"/>
    <w:rsid w:val="00B7190D"/>
    <w:rsid w:val="00B728B2"/>
    <w:rsid w:val="00B73263"/>
    <w:rsid w:val="00B77B2C"/>
    <w:rsid w:val="00B77CFB"/>
    <w:rsid w:val="00B77E59"/>
    <w:rsid w:val="00B8085B"/>
    <w:rsid w:val="00B821F9"/>
    <w:rsid w:val="00B8480A"/>
    <w:rsid w:val="00B8670C"/>
    <w:rsid w:val="00B911B4"/>
    <w:rsid w:val="00B949A3"/>
    <w:rsid w:val="00B94A74"/>
    <w:rsid w:val="00B95CD8"/>
    <w:rsid w:val="00B95EDA"/>
    <w:rsid w:val="00BA131C"/>
    <w:rsid w:val="00BA1591"/>
    <w:rsid w:val="00BA34AE"/>
    <w:rsid w:val="00BA375B"/>
    <w:rsid w:val="00BA5A58"/>
    <w:rsid w:val="00BA5E19"/>
    <w:rsid w:val="00BA6114"/>
    <w:rsid w:val="00BB0154"/>
    <w:rsid w:val="00BB08BC"/>
    <w:rsid w:val="00BB09F4"/>
    <w:rsid w:val="00BB2C85"/>
    <w:rsid w:val="00BB6CB2"/>
    <w:rsid w:val="00BB6F75"/>
    <w:rsid w:val="00BC0597"/>
    <w:rsid w:val="00BC206B"/>
    <w:rsid w:val="00BC2196"/>
    <w:rsid w:val="00BC5A97"/>
    <w:rsid w:val="00BC6A59"/>
    <w:rsid w:val="00BD284D"/>
    <w:rsid w:val="00BD5663"/>
    <w:rsid w:val="00BD68F0"/>
    <w:rsid w:val="00BD6D10"/>
    <w:rsid w:val="00BD7A77"/>
    <w:rsid w:val="00BE02CC"/>
    <w:rsid w:val="00BE03B9"/>
    <w:rsid w:val="00BE058D"/>
    <w:rsid w:val="00BE0B32"/>
    <w:rsid w:val="00BE373F"/>
    <w:rsid w:val="00BE3CB6"/>
    <w:rsid w:val="00BE452C"/>
    <w:rsid w:val="00BE50FC"/>
    <w:rsid w:val="00BF042C"/>
    <w:rsid w:val="00BF179A"/>
    <w:rsid w:val="00BF1F53"/>
    <w:rsid w:val="00BF2042"/>
    <w:rsid w:val="00BF2BAB"/>
    <w:rsid w:val="00BF2C54"/>
    <w:rsid w:val="00BF30AF"/>
    <w:rsid w:val="00BF3441"/>
    <w:rsid w:val="00BF6510"/>
    <w:rsid w:val="00BF7029"/>
    <w:rsid w:val="00BF7F2C"/>
    <w:rsid w:val="00C04512"/>
    <w:rsid w:val="00C048A7"/>
    <w:rsid w:val="00C103E5"/>
    <w:rsid w:val="00C11FF5"/>
    <w:rsid w:val="00C12621"/>
    <w:rsid w:val="00C14E51"/>
    <w:rsid w:val="00C1503F"/>
    <w:rsid w:val="00C160F5"/>
    <w:rsid w:val="00C1625B"/>
    <w:rsid w:val="00C204C3"/>
    <w:rsid w:val="00C2406F"/>
    <w:rsid w:val="00C24BE5"/>
    <w:rsid w:val="00C25037"/>
    <w:rsid w:val="00C31918"/>
    <w:rsid w:val="00C3245C"/>
    <w:rsid w:val="00C41083"/>
    <w:rsid w:val="00C414B2"/>
    <w:rsid w:val="00C423D2"/>
    <w:rsid w:val="00C458F0"/>
    <w:rsid w:val="00C500B2"/>
    <w:rsid w:val="00C50152"/>
    <w:rsid w:val="00C511BA"/>
    <w:rsid w:val="00C51332"/>
    <w:rsid w:val="00C5243C"/>
    <w:rsid w:val="00C5260F"/>
    <w:rsid w:val="00C5505F"/>
    <w:rsid w:val="00C62DBF"/>
    <w:rsid w:val="00C6588C"/>
    <w:rsid w:val="00C666FF"/>
    <w:rsid w:val="00C66C37"/>
    <w:rsid w:val="00C70762"/>
    <w:rsid w:val="00C71289"/>
    <w:rsid w:val="00C72A0D"/>
    <w:rsid w:val="00C7392A"/>
    <w:rsid w:val="00C7508C"/>
    <w:rsid w:val="00C7571D"/>
    <w:rsid w:val="00C762AB"/>
    <w:rsid w:val="00C80611"/>
    <w:rsid w:val="00C810D2"/>
    <w:rsid w:val="00C86933"/>
    <w:rsid w:val="00C87513"/>
    <w:rsid w:val="00C87A7D"/>
    <w:rsid w:val="00C87B8B"/>
    <w:rsid w:val="00C957F6"/>
    <w:rsid w:val="00C963EA"/>
    <w:rsid w:val="00CA6205"/>
    <w:rsid w:val="00CA7FCE"/>
    <w:rsid w:val="00CB1746"/>
    <w:rsid w:val="00CB2878"/>
    <w:rsid w:val="00CB2C59"/>
    <w:rsid w:val="00CB3A12"/>
    <w:rsid w:val="00CB7BF7"/>
    <w:rsid w:val="00CC17ED"/>
    <w:rsid w:val="00CC1C93"/>
    <w:rsid w:val="00CC1D6A"/>
    <w:rsid w:val="00CC378E"/>
    <w:rsid w:val="00CC3970"/>
    <w:rsid w:val="00CC4216"/>
    <w:rsid w:val="00CC4A09"/>
    <w:rsid w:val="00CD12C2"/>
    <w:rsid w:val="00CD1A50"/>
    <w:rsid w:val="00CD1DCC"/>
    <w:rsid w:val="00CD4371"/>
    <w:rsid w:val="00CE04DD"/>
    <w:rsid w:val="00CE15D4"/>
    <w:rsid w:val="00CE28D6"/>
    <w:rsid w:val="00CE32BF"/>
    <w:rsid w:val="00CE4667"/>
    <w:rsid w:val="00CE4EFC"/>
    <w:rsid w:val="00CE6E7F"/>
    <w:rsid w:val="00CE7291"/>
    <w:rsid w:val="00CF1617"/>
    <w:rsid w:val="00CF3BFC"/>
    <w:rsid w:val="00CF5089"/>
    <w:rsid w:val="00CF6507"/>
    <w:rsid w:val="00CF6740"/>
    <w:rsid w:val="00D006AB"/>
    <w:rsid w:val="00D00E76"/>
    <w:rsid w:val="00D01D72"/>
    <w:rsid w:val="00D022B8"/>
    <w:rsid w:val="00D0247D"/>
    <w:rsid w:val="00D05224"/>
    <w:rsid w:val="00D07BFE"/>
    <w:rsid w:val="00D15DDF"/>
    <w:rsid w:val="00D20A14"/>
    <w:rsid w:val="00D21E09"/>
    <w:rsid w:val="00D23A47"/>
    <w:rsid w:val="00D27BF0"/>
    <w:rsid w:val="00D302B2"/>
    <w:rsid w:val="00D32E93"/>
    <w:rsid w:val="00D34CE8"/>
    <w:rsid w:val="00D36206"/>
    <w:rsid w:val="00D367D4"/>
    <w:rsid w:val="00D43372"/>
    <w:rsid w:val="00D44293"/>
    <w:rsid w:val="00D45BB9"/>
    <w:rsid w:val="00D47E0B"/>
    <w:rsid w:val="00D50810"/>
    <w:rsid w:val="00D53542"/>
    <w:rsid w:val="00D5502E"/>
    <w:rsid w:val="00D55762"/>
    <w:rsid w:val="00D55C14"/>
    <w:rsid w:val="00D55EE7"/>
    <w:rsid w:val="00D56883"/>
    <w:rsid w:val="00D6028C"/>
    <w:rsid w:val="00D632B1"/>
    <w:rsid w:val="00D6342C"/>
    <w:rsid w:val="00D63EC5"/>
    <w:rsid w:val="00D66652"/>
    <w:rsid w:val="00D66757"/>
    <w:rsid w:val="00D67BB7"/>
    <w:rsid w:val="00D70A0E"/>
    <w:rsid w:val="00D71602"/>
    <w:rsid w:val="00D750AB"/>
    <w:rsid w:val="00D754A7"/>
    <w:rsid w:val="00D759FC"/>
    <w:rsid w:val="00D8163B"/>
    <w:rsid w:val="00D82ADB"/>
    <w:rsid w:val="00D84ECE"/>
    <w:rsid w:val="00D8503D"/>
    <w:rsid w:val="00D8534B"/>
    <w:rsid w:val="00D87FDB"/>
    <w:rsid w:val="00D92979"/>
    <w:rsid w:val="00D96A00"/>
    <w:rsid w:val="00DA0A26"/>
    <w:rsid w:val="00DA162E"/>
    <w:rsid w:val="00DA18C7"/>
    <w:rsid w:val="00DA44AC"/>
    <w:rsid w:val="00DA5762"/>
    <w:rsid w:val="00DB2D53"/>
    <w:rsid w:val="00DB392B"/>
    <w:rsid w:val="00DB545E"/>
    <w:rsid w:val="00DB6B52"/>
    <w:rsid w:val="00DB6D86"/>
    <w:rsid w:val="00DB7006"/>
    <w:rsid w:val="00DC02DE"/>
    <w:rsid w:val="00DC0FD2"/>
    <w:rsid w:val="00DC13B9"/>
    <w:rsid w:val="00DC638D"/>
    <w:rsid w:val="00DD0898"/>
    <w:rsid w:val="00DD16FE"/>
    <w:rsid w:val="00DD19EB"/>
    <w:rsid w:val="00DD2B35"/>
    <w:rsid w:val="00DD2FA7"/>
    <w:rsid w:val="00DD309B"/>
    <w:rsid w:val="00DD3785"/>
    <w:rsid w:val="00DD45D3"/>
    <w:rsid w:val="00DD4876"/>
    <w:rsid w:val="00DD489D"/>
    <w:rsid w:val="00DD4F0B"/>
    <w:rsid w:val="00DD55C1"/>
    <w:rsid w:val="00DD6A1E"/>
    <w:rsid w:val="00DD6C38"/>
    <w:rsid w:val="00DD7C18"/>
    <w:rsid w:val="00DE05FC"/>
    <w:rsid w:val="00DE2B6B"/>
    <w:rsid w:val="00DE511E"/>
    <w:rsid w:val="00DE76E2"/>
    <w:rsid w:val="00DF1401"/>
    <w:rsid w:val="00DF3949"/>
    <w:rsid w:val="00DF473F"/>
    <w:rsid w:val="00DF4EE2"/>
    <w:rsid w:val="00DF680F"/>
    <w:rsid w:val="00DF7CFE"/>
    <w:rsid w:val="00DF7D66"/>
    <w:rsid w:val="00E02C2E"/>
    <w:rsid w:val="00E03220"/>
    <w:rsid w:val="00E04337"/>
    <w:rsid w:val="00E07819"/>
    <w:rsid w:val="00E132C2"/>
    <w:rsid w:val="00E15399"/>
    <w:rsid w:val="00E15A71"/>
    <w:rsid w:val="00E204AC"/>
    <w:rsid w:val="00E21683"/>
    <w:rsid w:val="00E23D0A"/>
    <w:rsid w:val="00E2430E"/>
    <w:rsid w:val="00E25FDB"/>
    <w:rsid w:val="00E2618A"/>
    <w:rsid w:val="00E27F7A"/>
    <w:rsid w:val="00E3073C"/>
    <w:rsid w:val="00E323FE"/>
    <w:rsid w:val="00E3309E"/>
    <w:rsid w:val="00E34783"/>
    <w:rsid w:val="00E34CF2"/>
    <w:rsid w:val="00E420C0"/>
    <w:rsid w:val="00E4285F"/>
    <w:rsid w:val="00E428FC"/>
    <w:rsid w:val="00E44C24"/>
    <w:rsid w:val="00E455F3"/>
    <w:rsid w:val="00E45A2C"/>
    <w:rsid w:val="00E45B4C"/>
    <w:rsid w:val="00E4603D"/>
    <w:rsid w:val="00E4610B"/>
    <w:rsid w:val="00E47457"/>
    <w:rsid w:val="00E47696"/>
    <w:rsid w:val="00E476D2"/>
    <w:rsid w:val="00E5441B"/>
    <w:rsid w:val="00E560AB"/>
    <w:rsid w:val="00E57FEB"/>
    <w:rsid w:val="00E60E12"/>
    <w:rsid w:val="00E61077"/>
    <w:rsid w:val="00E66EF6"/>
    <w:rsid w:val="00E708F4"/>
    <w:rsid w:val="00E71530"/>
    <w:rsid w:val="00E850E7"/>
    <w:rsid w:val="00E950C9"/>
    <w:rsid w:val="00E95DD6"/>
    <w:rsid w:val="00E95F23"/>
    <w:rsid w:val="00E97907"/>
    <w:rsid w:val="00E97E54"/>
    <w:rsid w:val="00EA1CDF"/>
    <w:rsid w:val="00EA20EC"/>
    <w:rsid w:val="00EA426A"/>
    <w:rsid w:val="00EA4601"/>
    <w:rsid w:val="00EB07AA"/>
    <w:rsid w:val="00EB2133"/>
    <w:rsid w:val="00EB513F"/>
    <w:rsid w:val="00EC4C40"/>
    <w:rsid w:val="00EC5316"/>
    <w:rsid w:val="00EC54B8"/>
    <w:rsid w:val="00ED0BE2"/>
    <w:rsid w:val="00ED29F6"/>
    <w:rsid w:val="00ED3907"/>
    <w:rsid w:val="00ED3B20"/>
    <w:rsid w:val="00ED3E20"/>
    <w:rsid w:val="00ED44CF"/>
    <w:rsid w:val="00ED5199"/>
    <w:rsid w:val="00ED5332"/>
    <w:rsid w:val="00ED5575"/>
    <w:rsid w:val="00ED6135"/>
    <w:rsid w:val="00ED6B1C"/>
    <w:rsid w:val="00EE164F"/>
    <w:rsid w:val="00EE1FB6"/>
    <w:rsid w:val="00EE2A6F"/>
    <w:rsid w:val="00EE2C1A"/>
    <w:rsid w:val="00EE380F"/>
    <w:rsid w:val="00EE47C2"/>
    <w:rsid w:val="00EE6C68"/>
    <w:rsid w:val="00EF1335"/>
    <w:rsid w:val="00EF1E43"/>
    <w:rsid w:val="00EF3EC3"/>
    <w:rsid w:val="00EF44E8"/>
    <w:rsid w:val="00EF46BB"/>
    <w:rsid w:val="00EF4D39"/>
    <w:rsid w:val="00F008B2"/>
    <w:rsid w:val="00F019B2"/>
    <w:rsid w:val="00F0234E"/>
    <w:rsid w:val="00F05B92"/>
    <w:rsid w:val="00F07593"/>
    <w:rsid w:val="00F12702"/>
    <w:rsid w:val="00F15D90"/>
    <w:rsid w:val="00F177FE"/>
    <w:rsid w:val="00F17C15"/>
    <w:rsid w:val="00F25274"/>
    <w:rsid w:val="00F2605D"/>
    <w:rsid w:val="00F263CE"/>
    <w:rsid w:val="00F312B3"/>
    <w:rsid w:val="00F31300"/>
    <w:rsid w:val="00F32DA8"/>
    <w:rsid w:val="00F335FB"/>
    <w:rsid w:val="00F40A00"/>
    <w:rsid w:val="00F41485"/>
    <w:rsid w:val="00F41776"/>
    <w:rsid w:val="00F41FC2"/>
    <w:rsid w:val="00F43701"/>
    <w:rsid w:val="00F44B1A"/>
    <w:rsid w:val="00F44BBD"/>
    <w:rsid w:val="00F44E19"/>
    <w:rsid w:val="00F50063"/>
    <w:rsid w:val="00F51C67"/>
    <w:rsid w:val="00F54A1C"/>
    <w:rsid w:val="00F56096"/>
    <w:rsid w:val="00F60FCA"/>
    <w:rsid w:val="00F61AAB"/>
    <w:rsid w:val="00F622CB"/>
    <w:rsid w:val="00F62762"/>
    <w:rsid w:val="00F62D64"/>
    <w:rsid w:val="00F63C78"/>
    <w:rsid w:val="00F6400E"/>
    <w:rsid w:val="00F643D4"/>
    <w:rsid w:val="00F64A2E"/>
    <w:rsid w:val="00F66DCE"/>
    <w:rsid w:val="00F70190"/>
    <w:rsid w:val="00F727E4"/>
    <w:rsid w:val="00F74AE5"/>
    <w:rsid w:val="00F7791C"/>
    <w:rsid w:val="00F8274E"/>
    <w:rsid w:val="00F82C92"/>
    <w:rsid w:val="00F846EA"/>
    <w:rsid w:val="00F84E13"/>
    <w:rsid w:val="00F9100D"/>
    <w:rsid w:val="00F91BE9"/>
    <w:rsid w:val="00F94067"/>
    <w:rsid w:val="00F94310"/>
    <w:rsid w:val="00F9485C"/>
    <w:rsid w:val="00F95891"/>
    <w:rsid w:val="00F95EF5"/>
    <w:rsid w:val="00F96670"/>
    <w:rsid w:val="00F972C8"/>
    <w:rsid w:val="00FA1506"/>
    <w:rsid w:val="00FA2893"/>
    <w:rsid w:val="00FA44C9"/>
    <w:rsid w:val="00FA5A17"/>
    <w:rsid w:val="00FA7284"/>
    <w:rsid w:val="00FB25A9"/>
    <w:rsid w:val="00FB285C"/>
    <w:rsid w:val="00FB42AC"/>
    <w:rsid w:val="00FB7441"/>
    <w:rsid w:val="00FC3695"/>
    <w:rsid w:val="00FC563D"/>
    <w:rsid w:val="00FC5E7E"/>
    <w:rsid w:val="00FC5E8A"/>
    <w:rsid w:val="00FD009E"/>
    <w:rsid w:val="00FD0194"/>
    <w:rsid w:val="00FD0BC8"/>
    <w:rsid w:val="00FD3FC9"/>
    <w:rsid w:val="00FD470D"/>
    <w:rsid w:val="00FD5E9C"/>
    <w:rsid w:val="00FD7564"/>
    <w:rsid w:val="00FE0422"/>
    <w:rsid w:val="00FE1186"/>
    <w:rsid w:val="00FE1398"/>
    <w:rsid w:val="00FE14FC"/>
    <w:rsid w:val="00FE5685"/>
    <w:rsid w:val="00FE5D63"/>
    <w:rsid w:val="00FE7E29"/>
    <w:rsid w:val="00FF0C24"/>
    <w:rsid w:val="00FF3095"/>
    <w:rsid w:val="00FF3492"/>
    <w:rsid w:val="00FF4BF3"/>
    <w:rsid w:val="00FF4E95"/>
    <w:rsid w:val="00FF67DB"/>
    <w:rsid w:val="00FF71F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94040"/>
  <w15:chartTrackingRefBased/>
  <w15:docId w15:val="{50914483-060C-467D-B0FC-F8248F79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0DE"/>
  </w:style>
  <w:style w:type="paragraph" w:styleId="Heading2">
    <w:name w:val="heading 2"/>
    <w:basedOn w:val="Normal"/>
    <w:link w:val="Heading2Char"/>
    <w:uiPriority w:val="9"/>
    <w:qFormat/>
    <w:rsid w:val="004A23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D39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0DE"/>
  </w:style>
  <w:style w:type="paragraph" w:styleId="Footer">
    <w:name w:val="footer"/>
    <w:basedOn w:val="Normal"/>
    <w:link w:val="FooterChar"/>
    <w:uiPriority w:val="99"/>
    <w:unhideWhenUsed/>
    <w:rsid w:val="00AB3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0DE"/>
  </w:style>
  <w:style w:type="paragraph" w:styleId="Revision">
    <w:name w:val="Revision"/>
    <w:hidden/>
    <w:uiPriority w:val="99"/>
    <w:semiHidden/>
    <w:rsid w:val="00473F94"/>
    <w:pPr>
      <w:spacing w:after="0" w:line="240" w:lineRule="auto"/>
    </w:pPr>
  </w:style>
  <w:style w:type="character" w:customStyle="1" w:styleId="Heading2Char">
    <w:name w:val="Heading 2 Char"/>
    <w:basedOn w:val="DefaultParagraphFont"/>
    <w:link w:val="Heading2"/>
    <w:uiPriority w:val="9"/>
    <w:rsid w:val="004A2308"/>
    <w:rPr>
      <w:rFonts w:ascii="Times New Roman" w:eastAsia="Times New Roman" w:hAnsi="Times New Roman" w:cs="Times New Roman"/>
      <w:b/>
      <w:bCs/>
      <w:sz w:val="36"/>
      <w:szCs w:val="36"/>
    </w:rPr>
  </w:style>
  <w:style w:type="character" w:styleId="Emphasis">
    <w:name w:val="Emphasis"/>
    <w:basedOn w:val="DefaultParagraphFont"/>
    <w:uiPriority w:val="20"/>
    <w:qFormat/>
    <w:rsid w:val="00FE1398"/>
    <w:rPr>
      <w:i/>
      <w:iCs/>
    </w:rPr>
  </w:style>
  <w:style w:type="paragraph" w:styleId="ListParagraph">
    <w:name w:val="List Paragraph"/>
    <w:basedOn w:val="Normal"/>
    <w:uiPriority w:val="34"/>
    <w:qFormat/>
    <w:rsid w:val="00BC2196"/>
    <w:pPr>
      <w:ind w:left="720"/>
      <w:contextualSpacing/>
    </w:pPr>
  </w:style>
  <w:style w:type="character" w:customStyle="1" w:styleId="Heading3Char">
    <w:name w:val="Heading 3 Char"/>
    <w:basedOn w:val="DefaultParagraphFont"/>
    <w:link w:val="Heading3"/>
    <w:uiPriority w:val="9"/>
    <w:semiHidden/>
    <w:rsid w:val="00ED3907"/>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ED3907"/>
    <w:rPr>
      <w:b/>
      <w:bCs/>
    </w:rPr>
  </w:style>
  <w:style w:type="character" w:styleId="Hyperlink">
    <w:name w:val="Hyperlink"/>
    <w:basedOn w:val="DefaultParagraphFont"/>
    <w:uiPriority w:val="99"/>
    <w:semiHidden/>
    <w:unhideWhenUsed/>
    <w:rsid w:val="00ED3907"/>
    <w:rPr>
      <w:color w:val="0000FF"/>
      <w:u w:val="single"/>
    </w:rPr>
  </w:style>
  <w:style w:type="paragraph" w:styleId="NormalWeb">
    <w:name w:val="Normal (Web)"/>
    <w:basedOn w:val="Normal"/>
    <w:uiPriority w:val="99"/>
    <w:semiHidden/>
    <w:unhideWhenUsed/>
    <w:rsid w:val="00ED39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4714">
      <w:bodyDiv w:val="1"/>
      <w:marLeft w:val="0"/>
      <w:marRight w:val="0"/>
      <w:marTop w:val="0"/>
      <w:marBottom w:val="0"/>
      <w:divBdr>
        <w:top w:val="none" w:sz="0" w:space="0" w:color="auto"/>
        <w:left w:val="none" w:sz="0" w:space="0" w:color="auto"/>
        <w:bottom w:val="none" w:sz="0" w:space="0" w:color="auto"/>
        <w:right w:val="none" w:sz="0" w:space="0" w:color="auto"/>
      </w:divBdr>
    </w:div>
    <w:div w:id="304548639">
      <w:bodyDiv w:val="1"/>
      <w:marLeft w:val="0"/>
      <w:marRight w:val="0"/>
      <w:marTop w:val="0"/>
      <w:marBottom w:val="0"/>
      <w:divBdr>
        <w:top w:val="none" w:sz="0" w:space="0" w:color="auto"/>
        <w:left w:val="none" w:sz="0" w:space="0" w:color="auto"/>
        <w:bottom w:val="none" w:sz="0" w:space="0" w:color="auto"/>
        <w:right w:val="none" w:sz="0" w:space="0" w:color="auto"/>
      </w:divBdr>
    </w:div>
    <w:div w:id="320544978">
      <w:bodyDiv w:val="1"/>
      <w:marLeft w:val="0"/>
      <w:marRight w:val="0"/>
      <w:marTop w:val="0"/>
      <w:marBottom w:val="0"/>
      <w:divBdr>
        <w:top w:val="none" w:sz="0" w:space="0" w:color="auto"/>
        <w:left w:val="none" w:sz="0" w:space="0" w:color="auto"/>
        <w:bottom w:val="none" w:sz="0" w:space="0" w:color="auto"/>
        <w:right w:val="none" w:sz="0" w:space="0" w:color="auto"/>
      </w:divBdr>
    </w:div>
    <w:div w:id="502936265">
      <w:bodyDiv w:val="1"/>
      <w:marLeft w:val="0"/>
      <w:marRight w:val="0"/>
      <w:marTop w:val="0"/>
      <w:marBottom w:val="0"/>
      <w:divBdr>
        <w:top w:val="none" w:sz="0" w:space="0" w:color="auto"/>
        <w:left w:val="none" w:sz="0" w:space="0" w:color="auto"/>
        <w:bottom w:val="none" w:sz="0" w:space="0" w:color="auto"/>
        <w:right w:val="none" w:sz="0" w:space="0" w:color="auto"/>
      </w:divBdr>
    </w:div>
    <w:div w:id="583539677">
      <w:bodyDiv w:val="1"/>
      <w:marLeft w:val="0"/>
      <w:marRight w:val="0"/>
      <w:marTop w:val="0"/>
      <w:marBottom w:val="0"/>
      <w:divBdr>
        <w:top w:val="none" w:sz="0" w:space="0" w:color="auto"/>
        <w:left w:val="none" w:sz="0" w:space="0" w:color="auto"/>
        <w:bottom w:val="none" w:sz="0" w:space="0" w:color="auto"/>
        <w:right w:val="none" w:sz="0" w:space="0" w:color="auto"/>
      </w:divBdr>
    </w:div>
    <w:div w:id="602805579">
      <w:bodyDiv w:val="1"/>
      <w:marLeft w:val="0"/>
      <w:marRight w:val="0"/>
      <w:marTop w:val="0"/>
      <w:marBottom w:val="0"/>
      <w:divBdr>
        <w:top w:val="none" w:sz="0" w:space="0" w:color="auto"/>
        <w:left w:val="none" w:sz="0" w:space="0" w:color="auto"/>
        <w:bottom w:val="none" w:sz="0" w:space="0" w:color="auto"/>
        <w:right w:val="none" w:sz="0" w:space="0" w:color="auto"/>
      </w:divBdr>
    </w:div>
    <w:div w:id="638072737">
      <w:bodyDiv w:val="1"/>
      <w:marLeft w:val="0"/>
      <w:marRight w:val="0"/>
      <w:marTop w:val="0"/>
      <w:marBottom w:val="0"/>
      <w:divBdr>
        <w:top w:val="none" w:sz="0" w:space="0" w:color="auto"/>
        <w:left w:val="none" w:sz="0" w:space="0" w:color="auto"/>
        <w:bottom w:val="none" w:sz="0" w:space="0" w:color="auto"/>
        <w:right w:val="none" w:sz="0" w:space="0" w:color="auto"/>
      </w:divBdr>
    </w:div>
    <w:div w:id="950938258">
      <w:bodyDiv w:val="1"/>
      <w:marLeft w:val="0"/>
      <w:marRight w:val="0"/>
      <w:marTop w:val="0"/>
      <w:marBottom w:val="0"/>
      <w:divBdr>
        <w:top w:val="none" w:sz="0" w:space="0" w:color="auto"/>
        <w:left w:val="none" w:sz="0" w:space="0" w:color="auto"/>
        <w:bottom w:val="none" w:sz="0" w:space="0" w:color="auto"/>
        <w:right w:val="none" w:sz="0" w:space="0" w:color="auto"/>
      </w:divBdr>
    </w:div>
    <w:div w:id="979921157">
      <w:bodyDiv w:val="1"/>
      <w:marLeft w:val="0"/>
      <w:marRight w:val="0"/>
      <w:marTop w:val="0"/>
      <w:marBottom w:val="0"/>
      <w:divBdr>
        <w:top w:val="none" w:sz="0" w:space="0" w:color="auto"/>
        <w:left w:val="none" w:sz="0" w:space="0" w:color="auto"/>
        <w:bottom w:val="none" w:sz="0" w:space="0" w:color="auto"/>
        <w:right w:val="none" w:sz="0" w:space="0" w:color="auto"/>
      </w:divBdr>
    </w:div>
    <w:div w:id="1104422160">
      <w:bodyDiv w:val="1"/>
      <w:marLeft w:val="0"/>
      <w:marRight w:val="0"/>
      <w:marTop w:val="0"/>
      <w:marBottom w:val="0"/>
      <w:divBdr>
        <w:top w:val="none" w:sz="0" w:space="0" w:color="auto"/>
        <w:left w:val="none" w:sz="0" w:space="0" w:color="auto"/>
        <w:bottom w:val="none" w:sz="0" w:space="0" w:color="auto"/>
        <w:right w:val="none" w:sz="0" w:space="0" w:color="auto"/>
      </w:divBdr>
    </w:div>
    <w:div w:id="155264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4372</Words>
  <Characters>24921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29235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Ntlama, Nomthandazo</dc:creator>
  <cp:keywords/>
  <dc:description/>
  <cp:lastModifiedBy>Lilitha Mdleleni</cp:lastModifiedBy>
  <cp:revision>3</cp:revision>
  <dcterms:created xsi:type="dcterms:W3CDTF">2024-01-11T09:01:00Z</dcterms:created>
  <dcterms:modified xsi:type="dcterms:W3CDTF">2024-01-18T11:17:00Z</dcterms:modified>
</cp:coreProperties>
</file>