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3A4C1" w14:textId="01F507A1" w:rsidR="00980512" w:rsidRDefault="00885720" w:rsidP="00980512">
      <w:pPr>
        <w:ind w:left="2160" w:firstLine="720"/>
        <w:rPr>
          <w:rFonts w:ascii="Century Gothic" w:hAnsi="Century Gothic"/>
          <w:b/>
          <w:bCs/>
          <w:lang w:val="en-US"/>
        </w:rPr>
      </w:pPr>
      <w:r>
        <w:rPr>
          <w:rFonts w:ascii="Century Gothic" w:hAnsi="Century Gothic"/>
          <w:b/>
          <w:bCs/>
          <w:lang w:val="en-US"/>
        </w:rPr>
        <w:tab/>
      </w:r>
      <w:r>
        <w:rPr>
          <w:rFonts w:ascii="Century Gothic" w:hAnsi="Century Gothic"/>
          <w:b/>
          <w:bCs/>
          <w:lang w:val="en-US"/>
        </w:rPr>
        <w:tab/>
      </w:r>
      <w:r>
        <w:rPr>
          <w:rFonts w:ascii="Century Gothic" w:hAnsi="Century Gothic"/>
          <w:b/>
          <w:bCs/>
          <w:noProof/>
          <w:lang w:eastAsia="en-ZA"/>
        </w:rPr>
        <w:drawing>
          <wp:inline distT="0" distB="0" distL="0" distR="0" wp14:anchorId="540D200C" wp14:editId="3F5383D3">
            <wp:extent cx="1127760" cy="112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inline>
        </w:drawing>
      </w:r>
    </w:p>
    <w:p w14:paraId="21EA0B60" w14:textId="77777777" w:rsidR="00980512" w:rsidRDefault="00980512" w:rsidP="00980512">
      <w:pPr>
        <w:ind w:left="2160" w:firstLine="720"/>
        <w:rPr>
          <w:rFonts w:ascii="Century Gothic" w:hAnsi="Century Gothic"/>
          <w:b/>
          <w:bCs/>
          <w:lang w:val="en-US"/>
        </w:rPr>
      </w:pPr>
    </w:p>
    <w:p w14:paraId="15B4158B" w14:textId="515E18CB" w:rsidR="004601C4" w:rsidRPr="002E676B" w:rsidRDefault="002E676B" w:rsidP="00980512">
      <w:pPr>
        <w:ind w:left="2160" w:firstLine="720"/>
        <w:rPr>
          <w:rFonts w:ascii="Century Gothic" w:hAnsi="Century Gothic"/>
          <w:b/>
          <w:bCs/>
          <w:lang w:val="en-US"/>
        </w:rPr>
      </w:pPr>
      <w:r w:rsidRPr="002E676B">
        <w:rPr>
          <w:rFonts w:ascii="Century Gothic" w:hAnsi="Century Gothic"/>
          <w:b/>
          <w:bCs/>
          <w:lang w:val="en-US"/>
        </w:rPr>
        <w:t>IN THE HIGH COURT OF SOUTH AFRICA</w:t>
      </w:r>
    </w:p>
    <w:p w14:paraId="44A2994A" w14:textId="556B8CB6" w:rsidR="002E676B" w:rsidRDefault="00980512" w:rsidP="00980512">
      <w:pPr>
        <w:rPr>
          <w:rFonts w:ascii="Century Gothic" w:hAnsi="Century Gothic"/>
          <w:lang w:val="en-US"/>
        </w:rPr>
      </w:pPr>
      <w:r>
        <w:rPr>
          <w:rFonts w:ascii="Century Gothic" w:hAnsi="Century Gothic"/>
          <w:lang w:val="en-US"/>
        </w:rPr>
        <w:t xml:space="preserve">                                                  </w:t>
      </w:r>
      <w:r w:rsidR="002E676B" w:rsidRPr="002E676B">
        <w:rPr>
          <w:rFonts w:ascii="Century Gothic" w:hAnsi="Century Gothic"/>
          <w:lang w:val="en-US"/>
        </w:rPr>
        <w:t>GAUT</w:t>
      </w:r>
      <w:r w:rsidR="00CF6552">
        <w:rPr>
          <w:rFonts w:ascii="Century Gothic" w:hAnsi="Century Gothic"/>
          <w:lang w:val="en-US"/>
        </w:rPr>
        <w:t>E</w:t>
      </w:r>
      <w:r>
        <w:rPr>
          <w:rFonts w:ascii="Century Gothic" w:hAnsi="Century Gothic"/>
          <w:lang w:val="en-US"/>
        </w:rPr>
        <w:t>NG DIVISION, PRETORIA</w:t>
      </w:r>
    </w:p>
    <w:p w14:paraId="7A3C152B" w14:textId="5B224394" w:rsidR="00980512" w:rsidRPr="002E676B" w:rsidRDefault="00980512" w:rsidP="00980512">
      <w:pPr>
        <w:rPr>
          <w:rFonts w:ascii="Century Gothic" w:hAnsi="Century Gothic"/>
          <w:lang w:val="en-US"/>
        </w:rPr>
      </w:pPr>
    </w:p>
    <w:p w14:paraId="7C8D0C43" w14:textId="77777777" w:rsidR="002E676B" w:rsidRPr="002E676B" w:rsidRDefault="002E676B">
      <w:pPr>
        <w:rPr>
          <w:rFonts w:ascii="Century Gothic" w:hAnsi="Century Gothic"/>
          <w:lang w:val="en-US"/>
        </w:rPr>
      </w:pPr>
    </w:p>
    <w:p w14:paraId="73E2148B" w14:textId="77777777" w:rsidR="00980512" w:rsidRDefault="00980512" w:rsidP="00980512">
      <w:pPr>
        <w:rPr>
          <w:rFonts w:ascii="Century Gothic" w:hAnsi="Century Gothic"/>
          <w:lang w:val="en-US"/>
        </w:rPr>
      </w:pPr>
      <w:r>
        <w:rPr>
          <w:rFonts w:ascii="Century Gothic" w:hAnsi="Century Gothic"/>
          <w:noProof/>
          <w:lang w:eastAsia="en-ZA"/>
        </w:rPr>
        <w:drawing>
          <wp:inline distT="0" distB="0" distL="0" distR="0" wp14:anchorId="515B4C35" wp14:editId="737ADF9C">
            <wp:extent cx="2780030" cy="11220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0030" cy="1122045"/>
                    </a:xfrm>
                    <a:prstGeom prst="rect">
                      <a:avLst/>
                    </a:prstGeom>
                    <a:noFill/>
                  </pic:spPr>
                </pic:pic>
              </a:graphicData>
            </a:graphic>
          </wp:inline>
        </w:drawing>
      </w:r>
    </w:p>
    <w:p w14:paraId="3B1E7C21" w14:textId="6F1AD81F" w:rsidR="002E676B" w:rsidRDefault="002E676B" w:rsidP="00980512">
      <w:pPr>
        <w:ind w:left="5040" w:firstLine="720"/>
        <w:rPr>
          <w:rFonts w:ascii="Century Gothic" w:hAnsi="Century Gothic"/>
          <w:lang w:val="en-US"/>
        </w:rPr>
      </w:pPr>
      <w:r w:rsidRPr="002E676B">
        <w:rPr>
          <w:rFonts w:ascii="Century Gothic" w:hAnsi="Century Gothic"/>
          <w:lang w:val="en-US"/>
        </w:rPr>
        <w:t xml:space="preserve">Case Number </w:t>
      </w:r>
      <w:r>
        <w:rPr>
          <w:rFonts w:ascii="Century Gothic" w:hAnsi="Century Gothic"/>
          <w:lang w:val="en-US"/>
        </w:rPr>
        <w:t>123188 / 23</w:t>
      </w:r>
    </w:p>
    <w:p w14:paraId="712CB28E" w14:textId="77777777" w:rsidR="002E676B" w:rsidRDefault="002E676B" w:rsidP="002E676B">
      <w:pPr>
        <w:jc w:val="right"/>
        <w:rPr>
          <w:rFonts w:ascii="Century Gothic" w:hAnsi="Century Gothic"/>
          <w:lang w:val="en-US"/>
        </w:rPr>
      </w:pPr>
    </w:p>
    <w:p w14:paraId="15632FC1" w14:textId="1A1FC29B" w:rsidR="002E676B" w:rsidRDefault="002E676B" w:rsidP="002E676B">
      <w:pPr>
        <w:rPr>
          <w:rFonts w:ascii="Century Gothic" w:hAnsi="Century Gothic"/>
          <w:lang w:val="en-US"/>
        </w:rPr>
      </w:pPr>
      <w:r>
        <w:rPr>
          <w:rFonts w:ascii="Century Gothic" w:hAnsi="Century Gothic"/>
          <w:lang w:val="en-US"/>
        </w:rPr>
        <w:t>In the matter between:</w:t>
      </w:r>
    </w:p>
    <w:p w14:paraId="5B4FAF35" w14:textId="77777777" w:rsidR="002E676B" w:rsidRDefault="002E676B" w:rsidP="002E676B">
      <w:pPr>
        <w:rPr>
          <w:rFonts w:ascii="Century Gothic" w:hAnsi="Century Gothic"/>
          <w:lang w:val="en-US"/>
        </w:rPr>
      </w:pPr>
    </w:p>
    <w:p w14:paraId="22D63E9A" w14:textId="3288D71F" w:rsidR="002E676B" w:rsidRDefault="002E676B" w:rsidP="002E676B">
      <w:pPr>
        <w:rPr>
          <w:rFonts w:ascii="Century Gothic" w:hAnsi="Century Gothic"/>
          <w:lang w:val="en-US"/>
        </w:rPr>
      </w:pPr>
      <w:r>
        <w:rPr>
          <w:rFonts w:ascii="Century Gothic" w:hAnsi="Century Gothic"/>
          <w:b/>
          <w:bCs/>
          <w:lang w:val="en-US"/>
        </w:rPr>
        <w:t>THE MINISTER OF EMPLOYMENT AND LABOUR</w:t>
      </w:r>
      <w:r>
        <w:rPr>
          <w:rFonts w:ascii="Century Gothic" w:hAnsi="Century Gothic"/>
          <w:b/>
          <w:bCs/>
          <w:lang w:val="en-US"/>
        </w:rPr>
        <w:tab/>
      </w:r>
      <w:r>
        <w:rPr>
          <w:rFonts w:ascii="Century Gothic" w:hAnsi="Century Gothic"/>
          <w:b/>
          <w:bCs/>
          <w:lang w:val="en-US"/>
        </w:rPr>
        <w:tab/>
      </w:r>
      <w:r>
        <w:rPr>
          <w:rFonts w:ascii="Century Gothic" w:hAnsi="Century Gothic"/>
          <w:b/>
          <w:bCs/>
          <w:lang w:val="en-US"/>
        </w:rPr>
        <w:tab/>
        <w:t xml:space="preserve">          </w:t>
      </w:r>
      <w:r>
        <w:rPr>
          <w:rFonts w:ascii="Century Gothic" w:hAnsi="Century Gothic"/>
          <w:lang w:val="en-US"/>
        </w:rPr>
        <w:t>Applicant</w:t>
      </w:r>
    </w:p>
    <w:p w14:paraId="518788DA" w14:textId="508B82EE" w:rsidR="002E676B" w:rsidRDefault="002E676B" w:rsidP="002E676B">
      <w:pPr>
        <w:rPr>
          <w:rFonts w:ascii="Century Gothic" w:hAnsi="Century Gothic"/>
          <w:lang w:val="en-US"/>
        </w:rPr>
      </w:pPr>
    </w:p>
    <w:p w14:paraId="46C86836" w14:textId="66ED83FA" w:rsidR="002E676B" w:rsidRDefault="002E676B" w:rsidP="002E676B">
      <w:pPr>
        <w:rPr>
          <w:rFonts w:ascii="Century Gothic" w:hAnsi="Century Gothic"/>
          <w:lang w:val="en-US"/>
        </w:rPr>
      </w:pPr>
      <w:r>
        <w:rPr>
          <w:rFonts w:ascii="Century Gothic" w:hAnsi="Century Gothic"/>
          <w:lang w:val="en-US"/>
        </w:rPr>
        <w:t>and;</w:t>
      </w:r>
    </w:p>
    <w:p w14:paraId="2AF28E16" w14:textId="77777777" w:rsidR="002E676B" w:rsidRDefault="002E676B" w:rsidP="002E676B">
      <w:pPr>
        <w:rPr>
          <w:rFonts w:ascii="Century Gothic" w:hAnsi="Century Gothic"/>
          <w:lang w:val="en-US"/>
        </w:rPr>
      </w:pPr>
    </w:p>
    <w:p w14:paraId="10DE626D" w14:textId="2A57A889" w:rsidR="002E676B" w:rsidRPr="002E676B" w:rsidRDefault="002E676B" w:rsidP="002E676B">
      <w:pPr>
        <w:rPr>
          <w:rFonts w:ascii="Century Gothic" w:hAnsi="Century Gothic"/>
          <w:lang w:val="en-US"/>
        </w:rPr>
      </w:pPr>
      <w:r>
        <w:rPr>
          <w:rFonts w:ascii="Century Gothic" w:hAnsi="Century Gothic"/>
          <w:b/>
          <w:bCs/>
          <w:lang w:val="en-US"/>
        </w:rPr>
        <w:t>MTHUNZI MDWABA</w:t>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t xml:space="preserve">         First Respondent</w:t>
      </w:r>
    </w:p>
    <w:p w14:paraId="30636FB9" w14:textId="77777777" w:rsidR="002E676B" w:rsidRDefault="002E676B" w:rsidP="002E676B">
      <w:pPr>
        <w:rPr>
          <w:rFonts w:ascii="Century Gothic" w:hAnsi="Century Gothic"/>
          <w:b/>
          <w:bCs/>
          <w:lang w:val="en-US"/>
        </w:rPr>
      </w:pPr>
    </w:p>
    <w:p w14:paraId="35E57491" w14:textId="22357703" w:rsidR="002E676B" w:rsidRDefault="002E676B" w:rsidP="002E676B">
      <w:pPr>
        <w:rPr>
          <w:rFonts w:ascii="Century Gothic" w:hAnsi="Century Gothic"/>
          <w:b/>
          <w:bCs/>
          <w:lang w:val="en-US"/>
        </w:rPr>
      </w:pPr>
      <w:r>
        <w:rPr>
          <w:rFonts w:ascii="Century Gothic" w:hAnsi="Century Gothic"/>
          <w:b/>
          <w:bCs/>
          <w:lang w:val="en-US"/>
        </w:rPr>
        <w:t>THUJA HOLDINGS (PTY) LTD</w:t>
      </w:r>
      <w:r>
        <w:rPr>
          <w:rFonts w:ascii="Century Gothic" w:hAnsi="Century Gothic"/>
          <w:b/>
          <w:bCs/>
          <w:lang w:val="en-US"/>
        </w:rPr>
        <w:tab/>
      </w:r>
      <w:r>
        <w:rPr>
          <w:rFonts w:ascii="Century Gothic" w:hAnsi="Century Gothic"/>
          <w:b/>
          <w:bCs/>
          <w:lang w:val="en-US"/>
        </w:rPr>
        <w:tab/>
      </w:r>
      <w:r>
        <w:rPr>
          <w:rFonts w:ascii="Century Gothic" w:hAnsi="Century Gothic"/>
          <w:b/>
          <w:bCs/>
          <w:lang w:val="en-US"/>
        </w:rPr>
        <w:tab/>
      </w:r>
      <w:r>
        <w:rPr>
          <w:rFonts w:ascii="Century Gothic" w:hAnsi="Century Gothic"/>
          <w:b/>
          <w:bCs/>
          <w:lang w:val="en-US"/>
        </w:rPr>
        <w:tab/>
        <w:t xml:space="preserve">  </w:t>
      </w:r>
      <w:r w:rsidR="00225610">
        <w:rPr>
          <w:rFonts w:ascii="Century Gothic" w:hAnsi="Century Gothic"/>
          <w:b/>
          <w:bCs/>
          <w:lang w:val="en-US"/>
        </w:rPr>
        <w:tab/>
        <w:t xml:space="preserve">  </w:t>
      </w:r>
      <w:r>
        <w:rPr>
          <w:rFonts w:ascii="Century Gothic" w:hAnsi="Century Gothic"/>
          <w:lang w:val="en-US"/>
        </w:rPr>
        <w:t>Second Respondent</w:t>
      </w:r>
    </w:p>
    <w:p w14:paraId="58636222" w14:textId="77777777" w:rsidR="002E676B" w:rsidRDefault="002E676B" w:rsidP="002E676B">
      <w:pPr>
        <w:rPr>
          <w:rFonts w:ascii="Century Gothic" w:hAnsi="Century Gothic"/>
          <w:b/>
          <w:bCs/>
          <w:lang w:val="en-US"/>
        </w:rPr>
      </w:pPr>
    </w:p>
    <w:p w14:paraId="7FAA512A" w14:textId="3DFE276B" w:rsidR="002E676B" w:rsidRDefault="002E676B" w:rsidP="002E676B">
      <w:pPr>
        <w:rPr>
          <w:rFonts w:ascii="Century Gothic" w:hAnsi="Century Gothic"/>
          <w:b/>
          <w:bCs/>
          <w:lang w:val="en-US"/>
        </w:rPr>
      </w:pPr>
      <w:r>
        <w:rPr>
          <w:rFonts w:ascii="Century Gothic" w:hAnsi="Century Gothic"/>
          <w:b/>
          <w:bCs/>
          <w:lang w:val="en-US"/>
        </w:rPr>
        <w:t xml:space="preserve">THUJA CAPITAL TRANSFORMATION FUND </w:t>
      </w:r>
      <w:r>
        <w:rPr>
          <w:rFonts w:ascii="Century Gothic" w:hAnsi="Century Gothic"/>
          <w:b/>
          <w:bCs/>
          <w:lang w:val="en-US"/>
        </w:rPr>
        <w:tab/>
      </w:r>
      <w:r>
        <w:rPr>
          <w:rFonts w:ascii="Century Gothic" w:hAnsi="Century Gothic"/>
          <w:b/>
          <w:bCs/>
          <w:lang w:val="en-US"/>
        </w:rPr>
        <w:tab/>
      </w:r>
      <w:r>
        <w:rPr>
          <w:rFonts w:ascii="Century Gothic" w:hAnsi="Century Gothic"/>
          <w:b/>
          <w:bCs/>
          <w:lang w:val="en-US"/>
        </w:rPr>
        <w:tab/>
        <w:t xml:space="preserve">       </w:t>
      </w:r>
      <w:r>
        <w:rPr>
          <w:rFonts w:ascii="Century Gothic" w:hAnsi="Century Gothic"/>
          <w:lang w:val="en-US"/>
        </w:rPr>
        <w:t>Third Respondent</w:t>
      </w:r>
    </w:p>
    <w:p w14:paraId="6AE71ABD" w14:textId="77777777" w:rsidR="002E676B" w:rsidRDefault="002E676B" w:rsidP="002E676B">
      <w:pPr>
        <w:rPr>
          <w:rFonts w:ascii="Century Gothic" w:hAnsi="Century Gothic"/>
          <w:b/>
          <w:bCs/>
          <w:lang w:val="en-US"/>
        </w:rPr>
      </w:pPr>
    </w:p>
    <w:p w14:paraId="3E04AFC9" w14:textId="5702D1BF" w:rsidR="002E676B" w:rsidRDefault="002E676B" w:rsidP="002E676B">
      <w:pPr>
        <w:rPr>
          <w:rFonts w:ascii="Century Gothic" w:hAnsi="Century Gothic"/>
          <w:b/>
          <w:bCs/>
          <w:lang w:val="en-US"/>
        </w:rPr>
      </w:pPr>
      <w:r>
        <w:rPr>
          <w:rFonts w:ascii="Century Gothic" w:hAnsi="Century Gothic"/>
          <w:b/>
          <w:bCs/>
          <w:lang w:val="en-US"/>
        </w:rPr>
        <w:t>ALTA THERESA ROETS</w:t>
      </w:r>
      <w:r>
        <w:rPr>
          <w:rFonts w:ascii="Century Gothic" w:hAnsi="Century Gothic"/>
          <w:b/>
          <w:bCs/>
          <w:lang w:val="en-US"/>
        </w:rPr>
        <w:tab/>
      </w:r>
      <w:r>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t xml:space="preserve">    </w:t>
      </w:r>
      <w:r w:rsidR="00F54522">
        <w:rPr>
          <w:rFonts w:ascii="Century Gothic" w:hAnsi="Century Gothic"/>
          <w:lang w:val="en-US"/>
        </w:rPr>
        <w:t>Fourth Respondent</w:t>
      </w:r>
      <w:r>
        <w:rPr>
          <w:rFonts w:ascii="Century Gothic" w:hAnsi="Century Gothic"/>
          <w:b/>
          <w:bCs/>
          <w:lang w:val="en-US"/>
        </w:rPr>
        <w:tab/>
      </w:r>
      <w:r>
        <w:rPr>
          <w:rFonts w:ascii="Century Gothic" w:hAnsi="Century Gothic"/>
          <w:b/>
          <w:bCs/>
          <w:lang w:val="en-US"/>
        </w:rPr>
        <w:tab/>
      </w:r>
      <w:r>
        <w:rPr>
          <w:rFonts w:ascii="Century Gothic" w:hAnsi="Century Gothic"/>
          <w:b/>
          <w:bCs/>
          <w:lang w:val="en-US"/>
        </w:rPr>
        <w:tab/>
      </w:r>
    </w:p>
    <w:p w14:paraId="10B6FCE7" w14:textId="141DF96D" w:rsidR="002E676B" w:rsidRDefault="002E676B" w:rsidP="002E676B">
      <w:pPr>
        <w:rPr>
          <w:rFonts w:ascii="Century Gothic" w:hAnsi="Century Gothic"/>
          <w:b/>
          <w:bCs/>
          <w:lang w:val="en-US"/>
        </w:rPr>
      </w:pPr>
      <w:r>
        <w:rPr>
          <w:rFonts w:ascii="Century Gothic" w:hAnsi="Century Gothic"/>
          <w:b/>
          <w:bCs/>
          <w:lang w:val="en-US"/>
        </w:rPr>
        <w:t>LITHA JAMAL MDWABA</w:t>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t xml:space="preserve">        </w:t>
      </w:r>
      <w:r w:rsidR="00F54522">
        <w:rPr>
          <w:rFonts w:ascii="Century Gothic" w:hAnsi="Century Gothic"/>
          <w:lang w:val="en-US"/>
        </w:rPr>
        <w:t>Fifth Respondent</w:t>
      </w:r>
    </w:p>
    <w:p w14:paraId="17C9112D" w14:textId="77777777" w:rsidR="002E676B" w:rsidRDefault="002E676B" w:rsidP="002E676B">
      <w:pPr>
        <w:rPr>
          <w:rFonts w:ascii="Century Gothic" w:hAnsi="Century Gothic"/>
          <w:b/>
          <w:bCs/>
          <w:lang w:val="en-US"/>
        </w:rPr>
      </w:pPr>
    </w:p>
    <w:p w14:paraId="5BAA8475" w14:textId="2E9E01AD" w:rsidR="002E676B" w:rsidRDefault="002E676B" w:rsidP="002E676B">
      <w:pPr>
        <w:rPr>
          <w:rFonts w:ascii="Century Gothic" w:hAnsi="Century Gothic"/>
          <w:b/>
          <w:bCs/>
          <w:lang w:val="en-US"/>
        </w:rPr>
      </w:pPr>
      <w:r>
        <w:rPr>
          <w:rFonts w:ascii="Century Gothic" w:hAnsi="Century Gothic"/>
          <w:b/>
          <w:bCs/>
          <w:lang w:val="en-US"/>
        </w:rPr>
        <w:t>NAVAMANI NAIDOO</w:t>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t xml:space="preserve">       </w:t>
      </w:r>
      <w:r w:rsidR="00F54522">
        <w:rPr>
          <w:rFonts w:ascii="Century Gothic" w:hAnsi="Century Gothic"/>
          <w:lang w:val="en-US"/>
        </w:rPr>
        <w:t>Sixth Respondent</w:t>
      </w:r>
    </w:p>
    <w:p w14:paraId="230BC3B4" w14:textId="77777777" w:rsidR="002E676B" w:rsidRDefault="002E676B" w:rsidP="002E676B">
      <w:pPr>
        <w:rPr>
          <w:rFonts w:ascii="Century Gothic" w:hAnsi="Century Gothic"/>
          <w:b/>
          <w:bCs/>
          <w:lang w:val="en-US"/>
        </w:rPr>
      </w:pPr>
    </w:p>
    <w:p w14:paraId="0F4F4AEC" w14:textId="36A218C0" w:rsidR="002E676B" w:rsidRPr="00F54522" w:rsidRDefault="002E676B" w:rsidP="002E676B">
      <w:pPr>
        <w:rPr>
          <w:rFonts w:ascii="Century Gothic" w:hAnsi="Century Gothic"/>
          <w:lang w:val="en-US"/>
        </w:rPr>
      </w:pPr>
      <w:r>
        <w:rPr>
          <w:rFonts w:ascii="Century Gothic" w:hAnsi="Century Gothic"/>
          <w:b/>
          <w:bCs/>
          <w:lang w:val="en-US"/>
        </w:rPr>
        <w:t>NATIONAL TREASURY</w:t>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r>
      <w:r w:rsidR="00F54522" w:rsidRPr="00F54522">
        <w:rPr>
          <w:rFonts w:ascii="Century Gothic" w:hAnsi="Century Gothic"/>
          <w:lang w:val="en-US"/>
        </w:rPr>
        <w:t>Seventh</w:t>
      </w:r>
      <w:r w:rsidR="00F54522">
        <w:rPr>
          <w:rFonts w:ascii="Century Gothic" w:hAnsi="Century Gothic"/>
          <w:lang w:val="en-US"/>
        </w:rPr>
        <w:t>. Respondent</w:t>
      </w:r>
    </w:p>
    <w:p w14:paraId="064EC9DD" w14:textId="77777777" w:rsidR="002E676B" w:rsidRPr="00F54522" w:rsidRDefault="002E676B" w:rsidP="002E676B">
      <w:pPr>
        <w:rPr>
          <w:rFonts w:ascii="Century Gothic" w:hAnsi="Century Gothic"/>
          <w:lang w:val="en-US"/>
        </w:rPr>
      </w:pPr>
    </w:p>
    <w:p w14:paraId="5A8F059C" w14:textId="62EBFDAB" w:rsidR="002E676B" w:rsidRDefault="002E676B" w:rsidP="002E676B">
      <w:pPr>
        <w:rPr>
          <w:rFonts w:ascii="Century Gothic" w:hAnsi="Century Gothic"/>
          <w:lang w:val="en-US"/>
        </w:rPr>
      </w:pPr>
      <w:r>
        <w:rPr>
          <w:rFonts w:ascii="Century Gothic" w:hAnsi="Century Gothic"/>
          <w:b/>
          <w:bCs/>
          <w:lang w:val="en-US"/>
        </w:rPr>
        <w:t>UNEMPLOYMENT INSURANCE FUND</w:t>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r>
      <w:r w:rsidR="00F54522">
        <w:rPr>
          <w:rFonts w:ascii="Century Gothic" w:hAnsi="Century Gothic"/>
          <w:b/>
          <w:bCs/>
          <w:lang w:val="en-US"/>
        </w:rPr>
        <w:tab/>
        <w:t xml:space="preserve">    </w:t>
      </w:r>
      <w:r w:rsidR="00F54522">
        <w:rPr>
          <w:rFonts w:ascii="Century Gothic" w:hAnsi="Century Gothic"/>
          <w:lang w:val="en-US"/>
        </w:rPr>
        <w:t>Eighth Respondent</w:t>
      </w:r>
    </w:p>
    <w:p w14:paraId="2CB6C16B" w14:textId="77777777" w:rsidR="00F54522" w:rsidRDefault="00F54522" w:rsidP="002E676B">
      <w:pPr>
        <w:rPr>
          <w:rFonts w:ascii="Century Gothic" w:hAnsi="Century Gothic"/>
          <w:lang w:val="en-US"/>
        </w:rPr>
      </w:pPr>
    </w:p>
    <w:p w14:paraId="578D3985" w14:textId="77777777" w:rsidR="00F54522" w:rsidRDefault="00F54522" w:rsidP="002E676B">
      <w:pPr>
        <w:rPr>
          <w:rFonts w:ascii="Century Gothic" w:hAnsi="Century Gothic"/>
          <w:lang w:val="en-US"/>
        </w:rPr>
      </w:pPr>
    </w:p>
    <w:p w14:paraId="1686D105" w14:textId="45876742" w:rsidR="002E676B" w:rsidRDefault="002E676B" w:rsidP="00F54522">
      <w:pPr>
        <w:pBdr>
          <w:top w:val="single" w:sz="4" w:space="1" w:color="auto"/>
          <w:left w:val="single" w:sz="4" w:space="4" w:color="auto"/>
          <w:bottom w:val="single" w:sz="4" w:space="1" w:color="auto"/>
          <w:right w:val="single" w:sz="4" w:space="4" w:color="auto"/>
        </w:pBdr>
        <w:rPr>
          <w:rFonts w:ascii="Century Gothic" w:hAnsi="Century Gothic"/>
          <w:b/>
          <w:bCs/>
          <w:lang w:val="en-US"/>
        </w:rPr>
      </w:pPr>
    </w:p>
    <w:p w14:paraId="67EAC578" w14:textId="22BBA2AD" w:rsidR="00F54522" w:rsidRDefault="00F54522" w:rsidP="00F54522">
      <w:pPr>
        <w:pBdr>
          <w:top w:val="single" w:sz="4" w:space="1" w:color="auto"/>
          <w:left w:val="single" w:sz="4" w:space="4" w:color="auto"/>
          <w:bottom w:val="single" w:sz="4" w:space="1" w:color="auto"/>
          <w:right w:val="single" w:sz="4" w:space="4" w:color="auto"/>
        </w:pBdr>
        <w:jc w:val="center"/>
        <w:rPr>
          <w:rFonts w:ascii="Century Gothic" w:hAnsi="Century Gothic"/>
          <w:b/>
          <w:bCs/>
          <w:lang w:val="en-US"/>
        </w:rPr>
      </w:pPr>
      <w:r>
        <w:rPr>
          <w:rFonts w:ascii="Century Gothic" w:hAnsi="Century Gothic"/>
          <w:b/>
          <w:bCs/>
          <w:lang w:val="en-US"/>
        </w:rPr>
        <w:t>JUD</w:t>
      </w:r>
      <w:r w:rsidR="00032877">
        <w:rPr>
          <w:rFonts w:ascii="Century Gothic" w:hAnsi="Century Gothic"/>
          <w:b/>
          <w:bCs/>
          <w:lang w:val="en-US"/>
        </w:rPr>
        <w:t>G</w:t>
      </w:r>
      <w:r>
        <w:rPr>
          <w:rFonts w:ascii="Century Gothic" w:hAnsi="Century Gothic"/>
          <w:b/>
          <w:bCs/>
          <w:lang w:val="en-US"/>
        </w:rPr>
        <w:t>MENT</w:t>
      </w:r>
    </w:p>
    <w:p w14:paraId="70C56A33" w14:textId="77777777" w:rsidR="00F54522" w:rsidRDefault="00F54522" w:rsidP="00F54522">
      <w:pPr>
        <w:pBdr>
          <w:top w:val="single" w:sz="4" w:space="1" w:color="auto"/>
          <w:left w:val="single" w:sz="4" w:space="4" w:color="auto"/>
          <w:bottom w:val="single" w:sz="4" w:space="1" w:color="auto"/>
          <w:right w:val="single" w:sz="4" w:space="4" w:color="auto"/>
        </w:pBdr>
        <w:rPr>
          <w:rFonts w:ascii="Century Gothic" w:hAnsi="Century Gothic"/>
          <w:b/>
          <w:bCs/>
          <w:lang w:val="en-US"/>
        </w:rPr>
      </w:pPr>
    </w:p>
    <w:p w14:paraId="60E5AA06" w14:textId="77777777" w:rsidR="00980512" w:rsidRDefault="00980512" w:rsidP="00F54522">
      <w:pPr>
        <w:rPr>
          <w:rFonts w:ascii="Century Gothic" w:hAnsi="Century Gothic"/>
          <w:lang w:val="en-US"/>
        </w:rPr>
      </w:pPr>
    </w:p>
    <w:p w14:paraId="443585E9" w14:textId="08699170" w:rsidR="00F54522" w:rsidRPr="00980512" w:rsidRDefault="00980512" w:rsidP="00F54522">
      <w:pPr>
        <w:rPr>
          <w:rFonts w:ascii="Century Gothic" w:hAnsi="Century Gothic"/>
          <w:b/>
          <w:lang w:val="en-US"/>
        </w:rPr>
      </w:pPr>
      <w:r>
        <w:rPr>
          <w:rFonts w:ascii="Century Gothic" w:hAnsi="Century Gothic"/>
          <w:b/>
          <w:lang w:val="en-US"/>
        </w:rPr>
        <w:t xml:space="preserve"> MARITZ </w:t>
      </w:r>
      <w:r w:rsidRPr="00980512">
        <w:rPr>
          <w:rFonts w:ascii="Century Gothic" w:hAnsi="Century Gothic"/>
          <w:b/>
          <w:lang w:val="en-US"/>
        </w:rPr>
        <w:t>AJ:</w:t>
      </w:r>
    </w:p>
    <w:p w14:paraId="601578B7" w14:textId="77777777" w:rsidR="00F54522" w:rsidRDefault="00F54522" w:rsidP="0018096B">
      <w:pPr>
        <w:rPr>
          <w:rFonts w:ascii="Century Gothic" w:hAnsi="Century Gothic"/>
          <w:b/>
          <w:bCs/>
          <w:lang w:val="en-US"/>
        </w:rPr>
      </w:pPr>
    </w:p>
    <w:p w14:paraId="4899DE8B" w14:textId="77777777" w:rsidR="00F54522" w:rsidRDefault="00F54522" w:rsidP="00F54522">
      <w:pPr>
        <w:rPr>
          <w:rFonts w:ascii="Century Gothic" w:hAnsi="Century Gothic"/>
          <w:b/>
          <w:bCs/>
          <w:lang w:val="en-US"/>
        </w:rPr>
      </w:pPr>
    </w:p>
    <w:p w14:paraId="395B3C15" w14:textId="77777777" w:rsidR="00F54522" w:rsidRDefault="00F54522" w:rsidP="007A21F7">
      <w:pPr>
        <w:jc w:val="both"/>
        <w:rPr>
          <w:rFonts w:ascii="Century Gothic" w:hAnsi="Century Gothic"/>
          <w:lang w:val="en-US"/>
        </w:rPr>
      </w:pPr>
    </w:p>
    <w:p w14:paraId="78A80166" w14:textId="77777777" w:rsidR="00F54522" w:rsidRDefault="00F54522" w:rsidP="007A21F7">
      <w:pPr>
        <w:jc w:val="both"/>
        <w:rPr>
          <w:rFonts w:ascii="Century Gothic" w:hAnsi="Century Gothic"/>
          <w:lang w:val="en-US"/>
        </w:rPr>
      </w:pPr>
    </w:p>
    <w:p w14:paraId="71D05522" w14:textId="17070113" w:rsidR="00AD7CB9" w:rsidRPr="0092586A" w:rsidRDefault="0092586A" w:rsidP="0092586A">
      <w:pPr>
        <w:tabs>
          <w:tab w:val="left" w:pos="709"/>
        </w:tabs>
        <w:spacing w:after="360" w:line="480" w:lineRule="auto"/>
        <w:jc w:val="both"/>
        <w:rPr>
          <w:rFonts w:ascii="Century Gothic" w:hAnsi="Century Gothic"/>
          <w:lang w:val="en-US"/>
        </w:rPr>
      </w:pPr>
      <w:r w:rsidRPr="00350788">
        <w:rPr>
          <w:rFonts w:ascii="Century Gothic" w:hAnsi="Century Gothic"/>
          <w:lang w:val="en-US"/>
        </w:rPr>
        <w:t>[1]</w:t>
      </w:r>
      <w:r w:rsidRPr="00350788">
        <w:rPr>
          <w:rFonts w:ascii="Century Gothic" w:hAnsi="Century Gothic"/>
          <w:lang w:val="en-US"/>
        </w:rPr>
        <w:tab/>
      </w:r>
      <w:r w:rsidR="00032877" w:rsidRPr="0092586A">
        <w:rPr>
          <w:rFonts w:ascii="Century Gothic" w:hAnsi="Century Gothic"/>
          <w:lang w:val="en-US"/>
        </w:rPr>
        <w:t xml:space="preserve">This is </w:t>
      </w:r>
      <w:r w:rsidR="00350788" w:rsidRPr="0092586A">
        <w:rPr>
          <w:rFonts w:ascii="Century Gothic" w:hAnsi="Century Gothic"/>
          <w:lang w:val="en-US"/>
        </w:rPr>
        <w:t xml:space="preserve">mainly </w:t>
      </w:r>
      <w:r w:rsidR="00032877" w:rsidRPr="0092586A">
        <w:rPr>
          <w:rFonts w:ascii="Century Gothic" w:hAnsi="Century Gothic"/>
          <w:lang w:val="en-US"/>
        </w:rPr>
        <w:t>an application for</w:t>
      </w:r>
      <w:r w:rsidR="00CF6552" w:rsidRPr="0092586A">
        <w:rPr>
          <w:rFonts w:ascii="Century Gothic" w:hAnsi="Century Gothic"/>
          <w:lang w:val="en-US"/>
        </w:rPr>
        <w:t xml:space="preserve"> </w:t>
      </w:r>
      <w:r w:rsidR="00225610" w:rsidRPr="0092586A">
        <w:rPr>
          <w:rFonts w:ascii="Century Gothic" w:hAnsi="Century Gothic"/>
          <w:lang w:val="en-US"/>
        </w:rPr>
        <w:t>wh</w:t>
      </w:r>
      <w:r w:rsidR="00032877" w:rsidRPr="0092586A">
        <w:rPr>
          <w:rFonts w:ascii="Century Gothic" w:hAnsi="Century Gothic"/>
          <w:lang w:val="en-US"/>
        </w:rPr>
        <w:t>a</w:t>
      </w:r>
      <w:r w:rsidR="00225610" w:rsidRPr="0092586A">
        <w:rPr>
          <w:rFonts w:ascii="Century Gothic" w:hAnsi="Century Gothic"/>
          <w:lang w:val="en-US"/>
        </w:rPr>
        <w:t>t has in recent years come to be known as</w:t>
      </w:r>
      <w:r w:rsidR="00350788" w:rsidRPr="0092586A">
        <w:rPr>
          <w:rFonts w:ascii="Century Gothic" w:hAnsi="Century Gothic"/>
          <w:lang w:val="en-US"/>
        </w:rPr>
        <w:t xml:space="preserve"> </w:t>
      </w:r>
      <w:r w:rsidR="00032877" w:rsidRPr="0092586A">
        <w:rPr>
          <w:rFonts w:ascii="Century Gothic" w:hAnsi="Century Gothic"/>
          <w:lang w:val="en-US"/>
        </w:rPr>
        <w:t>legality</w:t>
      </w:r>
      <w:r w:rsidR="00225610" w:rsidRPr="0092586A">
        <w:rPr>
          <w:rFonts w:ascii="Century Gothic" w:hAnsi="Century Gothic"/>
          <w:lang w:val="en-US"/>
        </w:rPr>
        <w:t xml:space="preserve"> </w:t>
      </w:r>
      <w:r w:rsidR="00032877" w:rsidRPr="0092586A">
        <w:rPr>
          <w:rFonts w:ascii="Century Gothic" w:hAnsi="Century Gothic"/>
          <w:lang w:val="en-US"/>
        </w:rPr>
        <w:t>review</w:t>
      </w:r>
      <w:r w:rsidR="00350788" w:rsidRPr="0092586A">
        <w:rPr>
          <w:rFonts w:ascii="Century Gothic" w:hAnsi="Century Gothic"/>
          <w:lang w:val="en-US"/>
        </w:rPr>
        <w:t xml:space="preserve">, also </w:t>
      </w:r>
      <w:r w:rsidR="00CF6552" w:rsidRPr="0092586A">
        <w:rPr>
          <w:rFonts w:ascii="Century Gothic" w:hAnsi="Century Gothic"/>
          <w:lang w:val="en-US"/>
        </w:rPr>
        <w:t xml:space="preserve">referred to </w:t>
      </w:r>
      <w:r w:rsidR="00350788" w:rsidRPr="0092586A">
        <w:rPr>
          <w:rFonts w:ascii="Century Gothic" w:hAnsi="Century Gothic"/>
          <w:lang w:val="en-US"/>
        </w:rPr>
        <w:t>as “</w:t>
      </w:r>
      <w:r w:rsidR="00F6541A" w:rsidRPr="0092586A">
        <w:rPr>
          <w:rFonts w:ascii="Century Gothic" w:hAnsi="Century Gothic"/>
          <w:i/>
          <w:iCs/>
          <w:lang w:val="en-US"/>
        </w:rPr>
        <w:t>self-review</w:t>
      </w:r>
      <w:r w:rsidR="00023F68" w:rsidRPr="0092586A">
        <w:rPr>
          <w:rFonts w:ascii="Century Gothic" w:hAnsi="Century Gothic"/>
          <w:i/>
          <w:iCs/>
          <w:lang w:val="en-US"/>
        </w:rPr>
        <w:t>”</w:t>
      </w:r>
      <w:r w:rsidR="00350788" w:rsidRPr="0092586A">
        <w:rPr>
          <w:rFonts w:ascii="Century Gothic" w:hAnsi="Century Gothic"/>
          <w:i/>
          <w:iCs/>
          <w:lang w:val="en-US"/>
        </w:rPr>
        <w:t xml:space="preserve">.  </w:t>
      </w:r>
      <w:r w:rsidR="00350788" w:rsidRPr="0092586A">
        <w:rPr>
          <w:rFonts w:ascii="Century Gothic" w:hAnsi="Century Gothic"/>
          <w:lang w:val="en-US"/>
        </w:rPr>
        <w:t xml:space="preserve">The Minister of Employment and </w:t>
      </w:r>
      <w:r w:rsidR="00023F68" w:rsidRPr="0092586A">
        <w:rPr>
          <w:rFonts w:ascii="Century Gothic" w:hAnsi="Century Gothic"/>
          <w:lang w:val="en-US"/>
        </w:rPr>
        <w:t>Labour</w:t>
      </w:r>
      <w:r w:rsidR="00350788" w:rsidRPr="0092586A">
        <w:rPr>
          <w:rFonts w:ascii="Century Gothic" w:hAnsi="Century Gothic"/>
          <w:lang w:val="en-US"/>
        </w:rPr>
        <w:t xml:space="preserve"> (</w:t>
      </w:r>
      <w:r w:rsidR="00350788" w:rsidRPr="0092586A">
        <w:rPr>
          <w:rFonts w:ascii="Century Gothic" w:hAnsi="Century Gothic"/>
          <w:i/>
          <w:iCs/>
          <w:lang w:val="en-US"/>
        </w:rPr>
        <w:t xml:space="preserve">the </w:t>
      </w:r>
      <w:r w:rsidR="00350788" w:rsidRPr="0092586A">
        <w:rPr>
          <w:rFonts w:ascii="Century Gothic" w:hAnsi="Century Gothic"/>
          <w:lang w:val="en-US"/>
        </w:rPr>
        <w:t xml:space="preserve">applicant) applies to have a written </w:t>
      </w:r>
      <w:r w:rsidR="00F6541A" w:rsidRPr="0092586A">
        <w:rPr>
          <w:rFonts w:ascii="Century Gothic" w:hAnsi="Century Gothic"/>
          <w:lang w:val="en-US"/>
        </w:rPr>
        <w:t>contract (</w:t>
      </w:r>
      <w:r w:rsidR="00CF6552" w:rsidRPr="0092586A">
        <w:rPr>
          <w:rFonts w:ascii="Century Gothic" w:hAnsi="Century Gothic"/>
          <w:lang w:val="en-US"/>
        </w:rPr>
        <w:t>“</w:t>
      </w:r>
      <w:r w:rsidR="00CF6552" w:rsidRPr="0092586A">
        <w:rPr>
          <w:rFonts w:ascii="Century Gothic" w:hAnsi="Century Gothic"/>
          <w:i/>
          <w:iCs/>
          <w:lang w:val="en-US"/>
        </w:rPr>
        <w:t>the contract”</w:t>
      </w:r>
      <w:r w:rsidR="00CF6552" w:rsidRPr="0092586A">
        <w:rPr>
          <w:rFonts w:ascii="Century Gothic" w:hAnsi="Century Gothic"/>
          <w:lang w:val="en-US"/>
        </w:rPr>
        <w:t>)</w:t>
      </w:r>
      <w:r w:rsidR="00350788" w:rsidRPr="0092586A">
        <w:rPr>
          <w:rFonts w:ascii="Century Gothic" w:hAnsi="Century Gothic"/>
          <w:lang w:val="en-US"/>
        </w:rPr>
        <w:t xml:space="preserve">, between </w:t>
      </w:r>
      <w:r w:rsidR="00225610" w:rsidRPr="0092586A">
        <w:rPr>
          <w:rFonts w:ascii="Century Gothic" w:hAnsi="Century Gothic"/>
          <w:lang w:val="en-US"/>
        </w:rPr>
        <w:t>the Unemployment Insurance Fund or “</w:t>
      </w:r>
      <w:r w:rsidR="00225610" w:rsidRPr="0092586A">
        <w:rPr>
          <w:rFonts w:ascii="Century Gothic" w:hAnsi="Century Gothic"/>
          <w:i/>
          <w:iCs/>
          <w:lang w:val="en-US"/>
        </w:rPr>
        <w:t>UIF</w:t>
      </w:r>
      <w:r w:rsidR="00225610" w:rsidRPr="0092586A">
        <w:rPr>
          <w:rFonts w:ascii="Century Gothic" w:hAnsi="Century Gothic"/>
          <w:lang w:val="en-US"/>
        </w:rPr>
        <w:t xml:space="preserve">” and </w:t>
      </w:r>
      <w:r w:rsidR="00CF6552" w:rsidRPr="0092586A">
        <w:rPr>
          <w:rFonts w:ascii="Century Gothic" w:hAnsi="Century Gothic"/>
          <w:lang w:val="en-US"/>
        </w:rPr>
        <w:t>Thuja Holdings (Pty) Ltd, the second respondent</w:t>
      </w:r>
      <w:r w:rsidR="00350788" w:rsidRPr="0092586A">
        <w:rPr>
          <w:rFonts w:ascii="Century Gothic" w:hAnsi="Century Gothic"/>
          <w:lang w:val="en-US"/>
        </w:rPr>
        <w:t>, declared invalid and set aside</w:t>
      </w:r>
      <w:r w:rsidR="00225610" w:rsidRPr="0092586A">
        <w:rPr>
          <w:rFonts w:ascii="Century Gothic" w:hAnsi="Century Gothic"/>
          <w:lang w:val="en-US"/>
        </w:rPr>
        <w:t>.  In terms of this</w:t>
      </w:r>
      <w:r w:rsidR="00CF6552" w:rsidRPr="0092586A">
        <w:rPr>
          <w:rFonts w:ascii="Century Gothic" w:hAnsi="Century Gothic"/>
          <w:lang w:val="en-US"/>
        </w:rPr>
        <w:t xml:space="preserve"> contract</w:t>
      </w:r>
      <w:r w:rsidR="00350788" w:rsidRPr="0092586A">
        <w:rPr>
          <w:rFonts w:ascii="Century Gothic" w:hAnsi="Century Gothic"/>
          <w:lang w:val="en-US"/>
        </w:rPr>
        <w:t xml:space="preserve">, signed on behalf the UIF by the erstwhile </w:t>
      </w:r>
      <w:r w:rsidR="00225610" w:rsidRPr="0092586A">
        <w:rPr>
          <w:rFonts w:ascii="Century Gothic" w:hAnsi="Century Gothic"/>
          <w:lang w:val="en-US"/>
        </w:rPr>
        <w:t>Director-General of the Department of Employment and Labour</w:t>
      </w:r>
      <w:r w:rsidR="007358B7" w:rsidRPr="0092586A">
        <w:rPr>
          <w:rFonts w:ascii="Century Gothic" w:hAnsi="Century Gothic"/>
          <w:lang w:val="en-US"/>
        </w:rPr>
        <w:t>,</w:t>
      </w:r>
      <w:r w:rsidR="00350788" w:rsidRPr="0092586A">
        <w:rPr>
          <w:rFonts w:ascii="Century Gothic" w:hAnsi="Century Gothic"/>
          <w:lang w:val="en-US"/>
        </w:rPr>
        <w:t xml:space="preserve"> the UIF agreed</w:t>
      </w:r>
      <w:r w:rsidR="00032877" w:rsidRPr="0092586A">
        <w:rPr>
          <w:rFonts w:ascii="Century Gothic" w:hAnsi="Century Gothic"/>
          <w:lang w:val="en-US"/>
        </w:rPr>
        <w:t xml:space="preserve"> to pay the amount of R5,000,000,000 (five Billion Rand) </w:t>
      </w:r>
      <w:r w:rsidR="007358B7" w:rsidRPr="0092586A">
        <w:rPr>
          <w:rFonts w:ascii="Century Gothic" w:hAnsi="Century Gothic"/>
          <w:lang w:val="en-US"/>
        </w:rPr>
        <w:t>in three tranches over a period of roughly eighteen months</w:t>
      </w:r>
      <w:r w:rsidR="00B148D2" w:rsidRPr="0092586A">
        <w:rPr>
          <w:rFonts w:ascii="Century Gothic" w:hAnsi="Century Gothic"/>
          <w:lang w:val="en-US"/>
        </w:rPr>
        <w:t xml:space="preserve"> to the second respondent</w:t>
      </w:r>
      <w:r w:rsidR="007358B7" w:rsidRPr="0092586A">
        <w:rPr>
          <w:rFonts w:ascii="Century Gothic" w:hAnsi="Century Gothic"/>
          <w:lang w:val="en-US"/>
        </w:rPr>
        <w:t>.</w:t>
      </w:r>
      <w:r w:rsidR="00433C9E" w:rsidRPr="0092586A">
        <w:rPr>
          <w:rFonts w:ascii="Century Gothic" w:hAnsi="Century Gothic"/>
          <w:lang w:val="en-US"/>
        </w:rPr>
        <w:t xml:space="preserve">  </w:t>
      </w:r>
      <w:r w:rsidR="003F162D" w:rsidRPr="0092586A">
        <w:rPr>
          <w:rFonts w:ascii="Century Gothic" w:hAnsi="Century Gothic"/>
          <w:lang w:val="en-US"/>
        </w:rPr>
        <w:t xml:space="preserve">This amount would be made up of an </w:t>
      </w:r>
      <w:r w:rsidR="003F162D" w:rsidRPr="0092586A">
        <w:rPr>
          <w:rFonts w:ascii="Century Gothic" w:hAnsi="Century Gothic"/>
          <w:i/>
          <w:iCs/>
          <w:lang w:val="en-US"/>
        </w:rPr>
        <w:t>“equity investment”</w:t>
      </w:r>
      <w:r w:rsidR="003F162D" w:rsidRPr="0092586A">
        <w:rPr>
          <w:rFonts w:ascii="Century Gothic" w:hAnsi="Century Gothic"/>
          <w:lang w:val="en-US"/>
        </w:rPr>
        <w:t xml:space="preserve"> of R1 billion </w:t>
      </w:r>
      <w:r w:rsidR="004C35A3" w:rsidRPr="0092586A">
        <w:rPr>
          <w:rFonts w:ascii="Century Gothic" w:hAnsi="Century Gothic"/>
          <w:lang w:val="en-US"/>
        </w:rPr>
        <w:t>(</w:t>
      </w:r>
      <w:r w:rsidR="00350788" w:rsidRPr="0092586A">
        <w:rPr>
          <w:rFonts w:ascii="Century Gothic" w:hAnsi="Century Gothic"/>
          <w:lang w:val="en-US"/>
        </w:rPr>
        <w:t xml:space="preserve">for which the UIF was </w:t>
      </w:r>
      <w:r w:rsidR="003F162D" w:rsidRPr="0092586A">
        <w:rPr>
          <w:rFonts w:ascii="Century Gothic" w:hAnsi="Century Gothic"/>
          <w:lang w:val="en-US"/>
        </w:rPr>
        <w:t>to acquire maximum of 19% of the issued share capital of Thuja Holdco – a company still to be formed</w:t>
      </w:r>
      <w:r w:rsidR="004C35A3" w:rsidRPr="0092586A">
        <w:rPr>
          <w:rFonts w:ascii="Century Gothic" w:hAnsi="Century Gothic"/>
          <w:lang w:val="en-US"/>
        </w:rPr>
        <w:t>)</w:t>
      </w:r>
      <w:r w:rsidR="003F162D" w:rsidRPr="0092586A">
        <w:rPr>
          <w:rFonts w:ascii="Century Gothic" w:hAnsi="Century Gothic"/>
          <w:lang w:val="en-US"/>
        </w:rPr>
        <w:t xml:space="preserve">; R 2,5 billion </w:t>
      </w:r>
      <w:r w:rsidR="003F162D" w:rsidRPr="0092586A">
        <w:rPr>
          <w:rFonts w:ascii="Century Gothic" w:hAnsi="Century Gothic"/>
          <w:i/>
          <w:iCs/>
          <w:lang w:val="en-US"/>
        </w:rPr>
        <w:t>“grant funding”</w:t>
      </w:r>
      <w:r w:rsidR="003F162D" w:rsidRPr="0092586A">
        <w:rPr>
          <w:rFonts w:ascii="Century Gothic" w:hAnsi="Century Gothic"/>
          <w:lang w:val="en-US"/>
        </w:rPr>
        <w:t xml:space="preserve"> </w:t>
      </w:r>
      <w:r w:rsidR="004C35A3" w:rsidRPr="0092586A">
        <w:rPr>
          <w:rFonts w:ascii="Century Gothic" w:hAnsi="Century Gothic"/>
          <w:lang w:val="en-US"/>
        </w:rPr>
        <w:t>(</w:t>
      </w:r>
      <w:r w:rsidR="003F162D" w:rsidRPr="0092586A">
        <w:rPr>
          <w:rFonts w:ascii="Century Gothic" w:hAnsi="Century Gothic"/>
          <w:lang w:val="en-US"/>
        </w:rPr>
        <w:t xml:space="preserve">to be used by the second respondent in projects forming </w:t>
      </w:r>
      <w:r w:rsidR="00350788" w:rsidRPr="0092586A">
        <w:rPr>
          <w:rFonts w:ascii="Century Gothic" w:hAnsi="Century Gothic"/>
          <w:lang w:val="en-US"/>
        </w:rPr>
        <w:t>“</w:t>
      </w:r>
      <w:r w:rsidR="003F162D" w:rsidRPr="0092586A">
        <w:rPr>
          <w:rFonts w:ascii="Century Gothic" w:hAnsi="Century Gothic"/>
          <w:i/>
          <w:iCs/>
          <w:lang w:val="en-US"/>
        </w:rPr>
        <w:t>part of the scheme</w:t>
      </w:r>
      <w:r w:rsidR="00350788" w:rsidRPr="0092586A">
        <w:rPr>
          <w:rFonts w:ascii="Century Gothic" w:hAnsi="Century Gothic"/>
          <w:lang w:val="en-US"/>
        </w:rPr>
        <w:t>”</w:t>
      </w:r>
      <w:r w:rsidR="004C35A3" w:rsidRPr="0092586A">
        <w:rPr>
          <w:rFonts w:ascii="Century Gothic" w:hAnsi="Century Gothic"/>
          <w:lang w:val="en-US"/>
        </w:rPr>
        <w:t>)</w:t>
      </w:r>
      <w:r w:rsidR="003F162D" w:rsidRPr="0092586A">
        <w:rPr>
          <w:rFonts w:ascii="Century Gothic" w:hAnsi="Century Gothic"/>
          <w:lang w:val="en-US"/>
        </w:rPr>
        <w:t xml:space="preserve">; and R1,5 billion </w:t>
      </w:r>
      <w:r w:rsidR="003F162D" w:rsidRPr="0092586A">
        <w:rPr>
          <w:rFonts w:ascii="Century Gothic" w:hAnsi="Century Gothic"/>
          <w:i/>
          <w:iCs/>
          <w:lang w:val="en-US"/>
        </w:rPr>
        <w:t>“debt funding”</w:t>
      </w:r>
      <w:r w:rsidR="003F162D" w:rsidRPr="0092586A">
        <w:rPr>
          <w:rFonts w:ascii="Century Gothic" w:hAnsi="Century Gothic"/>
          <w:lang w:val="en-US"/>
        </w:rPr>
        <w:t xml:space="preserve"> (a loan to the second respondent</w:t>
      </w:r>
      <w:r w:rsidR="004C35A3" w:rsidRPr="0092586A">
        <w:rPr>
          <w:rFonts w:ascii="Century Gothic" w:hAnsi="Century Gothic"/>
          <w:lang w:val="en-US"/>
        </w:rPr>
        <w:t>)</w:t>
      </w:r>
      <w:r w:rsidR="003F162D" w:rsidRPr="0092586A">
        <w:rPr>
          <w:rFonts w:ascii="Century Gothic" w:hAnsi="Century Gothic"/>
          <w:lang w:val="en-US"/>
        </w:rPr>
        <w:t>, interest free for the first five years</w:t>
      </w:r>
      <w:r w:rsidR="004C35A3" w:rsidRPr="0092586A">
        <w:rPr>
          <w:rFonts w:ascii="Century Gothic" w:hAnsi="Century Gothic"/>
          <w:lang w:val="en-US"/>
        </w:rPr>
        <w:t>.</w:t>
      </w:r>
      <w:r w:rsidR="008C191A" w:rsidRPr="0092586A">
        <w:rPr>
          <w:rFonts w:ascii="Century Gothic" w:hAnsi="Century Gothic"/>
          <w:lang w:val="en-US"/>
        </w:rPr>
        <w:t xml:space="preserve">  </w:t>
      </w:r>
    </w:p>
    <w:p w14:paraId="33DB2DE4" w14:textId="77777777" w:rsidR="00AD7CB9" w:rsidRDefault="00AD7CB9" w:rsidP="00AD7CB9">
      <w:pPr>
        <w:pStyle w:val="ListParagraph"/>
        <w:tabs>
          <w:tab w:val="left" w:pos="709"/>
        </w:tabs>
        <w:spacing w:after="360" w:line="480" w:lineRule="auto"/>
        <w:ind w:left="0"/>
        <w:jc w:val="both"/>
        <w:rPr>
          <w:rFonts w:ascii="Century Gothic" w:hAnsi="Century Gothic"/>
          <w:lang w:val="en-US"/>
        </w:rPr>
      </w:pPr>
    </w:p>
    <w:p w14:paraId="5DFB0C67" w14:textId="5AED7AAC" w:rsidR="007A21F7" w:rsidRPr="0092586A" w:rsidRDefault="0092586A" w:rsidP="0092586A">
      <w:pPr>
        <w:tabs>
          <w:tab w:val="left" w:pos="709"/>
        </w:tabs>
        <w:spacing w:after="480" w:line="480" w:lineRule="auto"/>
        <w:jc w:val="both"/>
        <w:rPr>
          <w:rFonts w:ascii="Century Gothic" w:hAnsi="Century Gothic"/>
          <w:lang w:val="en-US"/>
        </w:rPr>
      </w:pPr>
      <w:r w:rsidRPr="00AD7CB9">
        <w:rPr>
          <w:rFonts w:ascii="Century Gothic" w:hAnsi="Century Gothic"/>
          <w:lang w:val="en-US"/>
        </w:rPr>
        <w:t>[2]</w:t>
      </w:r>
      <w:r w:rsidRPr="00AD7CB9">
        <w:rPr>
          <w:rFonts w:ascii="Century Gothic" w:hAnsi="Century Gothic"/>
          <w:lang w:val="en-US"/>
        </w:rPr>
        <w:tab/>
      </w:r>
      <w:r w:rsidR="00430FA6" w:rsidRPr="0092586A">
        <w:rPr>
          <w:rFonts w:ascii="Century Gothic" w:hAnsi="Century Gothic"/>
          <w:lang w:val="en-US"/>
        </w:rPr>
        <w:t>These funds were to be used by the second respondent for the purpose of executing a scheme, defined in the contract as “</w:t>
      </w:r>
      <w:r w:rsidR="00430FA6" w:rsidRPr="0092586A">
        <w:rPr>
          <w:rFonts w:ascii="Century Gothic" w:hAnsi="Century Gothic"/>
          <w:i/>
          <w:iCs/>
          <w:lang w:val="en-US"/>
        </w:rPr>
        <w:t xml:space="preserve">… the job creation initiative scheme conceptualized by Thuja as outlined in annexure </w:t>
      </w:r>
      <w:r w:rsidR="00023F68" w:rsidRPr="0092586A">
        <w:rPr>
          <w:rFonts w:ascii="Century Gothic" w:hAnsi="Century Gothic"/>
          <w:i/>
          <w:iCs/>
          <w:lang w:val="en-US"/>
        </w:rPr>
        <w:t>‘</w:t>
      </w:r>
      <w:r w:rsidR="00430FA6" w:rsidRPr="0092586A">
        <w:rPr>
          <w:rFonts w:ascii="Century Gothic" w:hAnsi="Century Gothic"/>
          <w:i/>
          <w:iCs/>
          <w:lang w:val="en-US"/>
        </w:rPr>
        <w:t>A</w:t>
      </w:r>
      <w:r w:rsidR="00023F68" w:rsidRPr="0092586A">
        <w:rPr>
          <w:rFonts w:ascii="Century Gothic" w:hAnsi="Century Gothic"/>
          <w:i/>
          <w:iCs/>
          <w:lang w:val="en-US"/>
        </w:rPr>
        <w:t>’</w:t>
      </w:r>
      <w:r w:rsidR="00430FA6" w:rsidRPr="0092586A">
        <w:rPr>
          <w:rFonts w:ascii="Century Gothic" w:hAnsi="Century Gothic"/>
          <w:i/>
          <w:iCs/>
          <w:lang w:val="en-US"/>
        </w:rPr>
        <w:t>…”.</w:t>
      </w:r>
      <w:r w:rsidR="006957B2" w:rsidRPr="0092586A">
        <w:rPr>
          <w:rFonts w:ascii="Century Gothic" w:hAnsi="Century Gothic"/>
          <w:i/>
          <w:iCs/>
          <w:lang w:val="en-US"/>
        </w:rPr>
        <w:t xml:space="preserve">  </w:t>
      </w:r>
      <w:r w:rsidR="006957B2" w:rsidRPr="0092586A">
        <w:rPr>
          <w:rFonts w:ascii="Century Gothic" w:hAnsi="Century Gothic"/>
          <w:lang w:val="en-US"/>
        </w:rPr>
        <w:t>Annexure “A” in turn only states that Thuja will: “…</w:t>
      </w:r>
      <w:r w:rsidR="006957B2" w:rsidRPr="0092586A">
        <w:rPr>
          <w:rFonts w:ascii="Century Gothic" w:hAnsi="Century Gothic"/>
          <w:i/>
          <w:iCs/>
          <w:lang w:val="en-US"/>
        </w:rPr>
        <w:t xml:space="preserve">build and further the development of </w:t>
      </w:r>
      <w:r w:rsidR="006957B2" w:rsidRPr="0092586A">
        <w:rPr>
          <w:rFonts w:ascii="Century Gothic" w:hAnsi="Century Gothic"/>
          <w:i/>
          <w:iCs/>
          <w:lang w:val="en-US"/>
        </w:rPr>
        <w:lastRenderedPageBreak/>
        <w:t>skills and enterprises through the acquisition, amalgamation and coordination of existing companies, projects, organisations and initiatives</w:t>
      </w:r>
      <w:r w:rsidR="006957B2" w:rsidRPr="0092586A">
        <w:rPr>
          <w:rFonts w:ascii="Century Gothic" w:hAnsi="Century Gothic"/>
          <w:lang w:val="en-US"/>
        </w:rPr>
        <w:t>.”  The document then lists some of Thuja’s objectives and aims, all of which ha</w:t>
      </w:r>
      <w:r w:rsidR="00CF6552" w:rsidRPr="0092586A">
        <w:rPr>
          <w:rFonts w:ascii="Century Gothic" w:hAnsi="Century Gothic"/>
          <w:lang w:val="en-US"/>
        </w:rPr>
        <w:t>ve</w:t>
      </w:r>
      <w:r w:rsidR="006957B2" w:rsidRPr="0092586A">
        <w:rPr>
          <w:rFonts w:ascii="Century Gothic" w:hAnsi="Century Gothic"/>
          <w:lang w:val="en-US"/>
        </w:rPr>
        <w:t xml:space="preserve"> to do with improv</w:t>
      </w:r>
      <w:r w:rsidR="00B92589" w:rsidRPr="0092586A">
        <w:rPr>
          <w:rFonts w:ascii="Century Gothic" w:hAnsi="Century Gothic"/>
          <w:lang w:val="en-US"/>
        </w:rPr>
        <w:t xml:space="preserve">ement of </w:t>
      </w:r>
      <w:r w:rsidR="006957B2" w:rsidRPr="0092586A">
        <w:rPr>
          <w:rFonts w:ascii="Century Gothic" w:hAnsi="Century Gothic"/>
          <w:lang w:val="en-US"/>
        </w:rPr>
        <w:t>skills, stimulati</w:t>
      </w:r>
      <w:r w:rsidR="00B92589" w:rsidRPr="0092586A">
        <w:rPr>
          <w:rFonts w:ascii="Century Gothic" w:hAnsi="Century Gothic"/>
          <w:lang w:val="en-US"/>
        </w:rPr>
        <w:t>on of</w:t>
      </w:r>
      <w:r w:rsidR="006957B2" w:rsidRPr="0092586A">
        <w:rPr>
          <w:rFonts w:ascii="Century Gothic" w:hAnsi="Century Gothic"/>
          <w:lang w:val="en-US"/>
        </w:rPr>
        <w:t xml:space="preserve"> business in target areas, improv</w:t>
      </w:r>
      <w:r w:rsidR="00B92589" w:rsidRPr="0092586A">
        <w:rPr>
          <w:rFonts w:ascii="Century Gothic" w:hAnsi="Century Gothic"/>
          <w:lang w:val="en-US"/>
        </w:rPr>
        <w:t xml:space="preserve">ement of </w:t>
      </w:r>
      <w:r w:rsidR="006957B2" w:rsidRPr="0092586A">
        <w:rPr>
          <w:rFonts w:ascii="Century Gothic" w:hAnsi="Century Gothic"/>
          <w:lang w:val="en-US"/>
        </w:rPr>
        <w:t xml:space="preserve">productivity, increasing </w:t>
      </w:r>
      <w:r w:rsidR="00B92589" w:rsidRPr="0092586A">
        <w:rPr>
          <w:rFonts w:ascii="Century Gothic" w:hAnsi="Century Gothic"/>
          <w:lang w:val="en-US"/>
        </w:rPr>
        <w:t xml:space="preserve">of </w:t>
      </w:r>
      <w:r w:rsidR="006957B2" w:rsidRPr="0092586A">
        <w:rPr>
          <w:rFonts w:ascii="Century Gothic" w:hAnsi="Century Gothic"/>
          <w:lang w:val="en-US"/>
        </w:rPr>
        <w:t>contributions to and reducing claims against the UIF etc.</w:t>
      </w:r>
    </w:p>
    <w:p w14:paraId="0317BEF6" w14:textId="77777777" w:rsidR="007A21F7" w:rsidRPr="007A21F7" w:rsidRDefault="007A21F7" w:rsidP="00AD7CB9">
      <w:pPr>
        <w:pStyle w:val="ListParagraph"/>
        <w:spacing w:after="480"/>
        <w:rPr>
          <w:rFonts w:ascii="Century Gothic" w:hAnsi="Century Gothic"/>
          <w:lang w:val="en-US"/>
        </w:rPr>
      </w:pPr>
    </w:p>
    <w:p w14:paraId="34ADA69C" w14:textId="7D55C12D" w:rsidR="00AD7CB9" w:rsidRPr="0092586A" w:rsidRDefault="0092586A" w:rsidP="0092586A">
      <w:pPr>
        <w:tabs>
          <w:tab w:val="left" w:pos="709"/>
        </w:tabs>
        <w:spacing w:after="480" w:line="480" w:lineRule="auto"/>
        <w:jc w:val="both"/>
        <w:rPr>
          <w:rFonts w:ascii="Century Gothic" w:hAnsi="Century Gothic"/>
          <w:lang w:val="en-US"/>
        </w:rPr>
      </w:pPr>
      <w:r>
        <w:rPr>
          <w:rFonts w:ascii="Century Gothic" w:hAnsi="Century Gothic"/>
          <w:lang w:val="en-US"/>
        </w:rPr>
        <w:t>[3]</w:t>
      </w:r>
      <w:r>
        <w:rPr>
          <w:rFonts w:ascii="Century Gothic" w:hAnsi="Century Gothic"/>
          <w:lang w:val="en-US"/>
        </w:rPr>
        <w:tab/>
      </w:r>
      <w:r w:rsidR="00433C9E" w:rsidRPr="0092586A">
        <w:rPr>
          <w:rFonts w:ascii="Century Gothic" w:hAnsi="Century Gothic"/>
          <w:lang w:val="en-US"/>
        </w:rPr>
        <w:t xml:space="preserve">The applicant is the Minister of Employment and Labour.  The first respondent is Mr Mthunzi Mdwaba, a director of the second respondent and apparently also </w:t>
      </w:r>
      <w:r w:rsidR="00B16A41" w:rsidRPr="0092586A">
        <w:rPr>
          <w:rFonts w:ascii="Century Gothic" w:hAnsi="Century Gothic"/>
          <w:lang w:val="en-US"/>
        </w:rPr>
        <w:t xml:space="preserve">of </w:t>
      </w:r>
      <w:r w:rsidR="00433C9E" w:rsidRPr="0092586A">
        <w:rPr>
          <w:rFonts w:ascii="Century Gothic" w:hAnsi="Century Gothic"/>
          <w:lang w:val="en-US"/>
        </w:rPr>
        <w:t xml:space="preserve">the third respondent.  The fourth, fifth and sixth respondents are individuals apparently involved with or employed by one or more of the first to third respondents.  The seventh respondent is National Treasury, who did not </w:t>
      </w:r>
      <w:r w:rsidR="00B16A41" w:rsidRPr="0092586A">
        <w:rPr>
          <w:rFonts w:ascii="Century Gothic" w:hAnsi="Century Gothic"/>
          <w:lang w:val="en-US"/>
        </w:rPr>
        <w:t xml:space="preserve">actively </w:t>
      </w:r>
      <w:r w:rsidR="00433C9E" w:rsidRPr="0092586A">
        <w:rPr>
          <w:rFonts w:ascii="Century Gothic" w:hAnsi="Century Gothic"/>
          <w:lang w:val="en-US"/>
        </w:rPr>
        <w:t>participate in these proceedings.  The eighth respondent is the Unemployment Insurance Fund, a public entity resorting under the Department of Employment and Labour and therefore under the first respondent.</w:t>
      </w:r>
    </w:p>
    <w:p w14:paraId="04DD6FF0" w14:textId="77777777" w:rsidR="00AD7CB9" w:rsidRPr="00AD7CB9" w:rsidRDefault="00AD7CB9" w:rsidP="00AD7CB9">
      <w:pPr>
        <w:pStyle w:val="ListParagraph"/>
        <w:rPr>
          <w:rFonts w:ascii="Century Gothic" w:hAnsi="Century Gothic"/>
          <w:lang w:val="en-US"/>
        </w:rPr>
      </w:pPr>
    </w:p>
    <w:p w14:paraId="0FD8A051" w14:textId="748F70E0" w:rsidR="00AD7CB9" w:rsidRPr="0092586A" w:rsidRDefault="0092586A" w:rsidP="0092586A">
      <w:pPr>
        <w:tabs>
          <w:tab w:val="left" w:pos="709"/>
        </w:tabs>
        <w:spacing w:after="480" w:line="480" w:lineRule="auto"/>
        <w:jc w:val="both"/>
        <w:rPr>
          <w:rFonts w:ascii="Century Gothic" w:hAnsi="Century Gothic"/>
          <w:lang w:val="en-US"/>
        </w:rPr>
      </w:pPr>
      <w:r>
        <w:rPr>
          <w:rFonts w:ascii="Century Gothic" w:hAnsi="Century Gothic"/>
          <w:lang w:val="en-US"/>
        </w:rPr>
        <w:t>[4]</w:t>
      </w:r>
      <w:r>
        <w:rPr>
          <w:rFonts w:ascii="Century Gothic" w:hAnsi="Century Gothic"/>
          <w:lang w:val="en-US"/>
        </w:rPr>
        <w:tab/>
      </w:r>
      <w:r w:rsidR="00AD7CB9" w:rsidRPr="0092586A">
        <w:rPr>
          <w:rFonts w:ascii="Century Gothic" w:hAnsi="Century Gothic"/>
          <w:lang w:val="en-US"/>
        </w:rPr>
        <w:t>At the outset,</w:t>
      </w:r>
      <w:r w:rsidR="00433C9E" w:rsidRPr="0092586A">
        <w:rPr>
          <w:rFonts w:ascii="Century Gothic" w:hAnsi="Century Gothic"/>
          <w:lang w:val="en-US"/>
        </w:rPr>
        <w:t xml:space="preserve"> it is necessary to state that the first, second and third respondents were not present, nor were they represented by counsel or an attorney, when oral argument of the applicant and the eighth respondent was presented </w:t>
      </w:r>
      <w:r w:rsidR="00D60D83" w:rsidRPr="0092586A">
        <w:rPr>
          <w:rFonts w:ascii="Century Gothic" w:hAnsi="Century Gothic"/>
          <w:lang w:val="en-US"/>
        </w:rPr>
        <w:t>and heard.</w:t>
      </w:r>
      <w:r w:rsidR="00433C9E" w:rsidRPr="0092586A">
        <w:rPr>
          <w:rFonts w:ascii="Century Gothic" w:hAnsi="Century Gothic"/>
          <w:lang w:val="en-US"/>
        </w:rPr>
        <w:t xml:space="preserve">  This </w:t>
      </w:r>
      <w:r w:rsidR="00696DCC" w:rsidRPr="0092586A">
        <w:rPr>
          <w:rFonts w:ascii="Century Gothic" w:hAnsi="Century Gothic"/>
          <w:lang w:val="en-US"/>
        </w:rPr>
        <w:t>came about in the following manner:</w:t>
      </w:r>
    </w:p>
    <w:p w14:paraId="048AF27C" w14:textId="77777777" w:rsidR="00AD7CB9" w:rsidRPr="00AD7CB9" w:rsidRDefault="00AD7CB9" w:rsidP="00AD7CB9">
      <w:pPr>
        <w:pStyle w:val="ListParagraph"/>
        <w:rPr>
          <w:rFonts w:ascii="Century Gothic" w:hAnsi="Century Gothic"/>
          <w:lang w:val="en-US"/>
        </w:rPr>
      </w:pPr>
    </w:p>
    <w:p w14:paraId="774EE76F" w14:textId="0F2CA367" w:rsidR="00AD7CB9" w:rsidRPr="0092586A" w:rsidRDefault="0092586A" w:rsidP="0092586A">
      <w:pPr>
        <w:tabs>
          <w:tab w:val="left" w:pos="709"/>
        </w:tabs>
        <w:spacing w:after="480" w:line="480" w:lineRule="auto"/>
        <w:ind w:left="709" w:hanging="709"/>
        <w:jc w:val="both"/>
        <w:rPr>
          <w:rFonts w:ascii="Century Gothic" w:hAnsi="Century Gothic"/>
          <w:lang w:val="en-US"/>
        </w:rPr>
      </w:pPr>
      <w:r>
        <w:rPr>
          <w:rFonts w:ascii="Century Gothic" w:hAnsi="Century Gothic"/>
          <w:lang w:val="en-US"/>
        </w:rPr>
        <w:lastRenderedPageBreak/>
        <w:t>a)</w:t>
      </w:r>
      <w:r>
        <w:rPr>
          <w:rFonts w:ascii="Century Gothic" w:hAnsi="Century Gothic"/>
          <w:lang w:val="en-US"/>
        </w:rPr>
        <w:tab/>
      </w:r>
      <w:r w:rsidR="00696DCC" w:rsidRPr="0092586A">
        <w:rPr>
          <w:rFonts w:ascii="Century Gothic" w:hAnsi="Century Gothic"/>
          <w:lang w:val="en-US"/>
        </w:rPr>
        <w:t xml:space="preserve">This application started in the urgent court, where it had been set down for 12 December 2023.  The matter was not heard on that </w:t>
      </w:r>
      <w:r w:rsidR="00F6541A" w:rsidRPr="0092586A">
        <w:rPr>
          <w:rFonts w:ascii="Century Gothic" w:hAnsi="Century Gothic"/>
          <w:lang w:val="en-US"/>
        </w:rPr>
        <w:t>day but</w:t>
      </w:r>
      <w:r w:rsidR="00D60D83" w:rsidRPr="0092586A">
        <w:rPr>
          <w:rFonts w:ascii="Century Gothic" w:hAnsi="Century Gothic"/>
          <w:lang w:val="en-US"/>
        </w:rPr>
        <w:t xml:space="preserve"> was apparently postponed to 25 January 2024.</w:t>
      </w:r>
    </w:p>
    <w:p w14:paraId="21BFC22C" w14:textId="77777777" w:rsidR="00AD7CB9" w:rsidRDefault="00AD7CB9" w:rsidP="00AD7CB9">
      <w:pPr>
        <w:pStyle w:val="ListParagraph"/>
        <w:tabs>
          <w:tab w:val="left" w:pos="709"/>
        </w:tabs>
        <w:spacing w:after="480" w:line="480" w:lineRule="auto"/>
        <w:ind w:left="709"/>
        <w:jc w:val="both"/>
        <w:rPr>
          <w:rFonts w:ascii="Century Gothic" w:hAnsi="Century Gothic"/>
          <w:lang w:val="en-US"/>
        </w:rPr>
      </w:pPr>
    </w:p>
    <w:p w14:paraId="7A5D5539" w14:textId="41AE2F29" w:rsidR="00433C9E" w:rsidRPr="0092586A" w:rsidRDefault="0092586A" w:rsidP="0092586A">
      <w:pPr>
        <w:tabs>
          <w:tab w:val="left" w:pos="709"/>
        </w:tabs>
        <w:spacing w:after="480" w:line="480" w:lineRule="auto"/>
        <w:ind w:left="709" w:hanging="709"/>
        <w:jc w:val="both"/>
        <w:rPr>
          <w:rFonts w:ascii="Century Gothic" w:hAnsi="Century Gothic"/>
          <w:lang w:val="en-US"/>
        </w:rPr>
      </w:pPr>
      <w:r w:rsidRPr="00AD7CB9">
        <w:rPr>
          <w:rFonts w:ascii="Century Gothic" w:hAnsi="Century Gothic"/>
          <w:lang w:val="en-US"/>
        </w:rPr>
        <w:t>b)</w:t>
      </w:r>
      <w:r w:rsidRPr="00AD7CB9">
        <w:rPr>
          <w:rFonts w:ascii="Century Gothic" w:hAnsi="Century Gothic"/>
          <w:lang w:val="en-US"/>
        </w:rPr>
        <w:tab/>
      </w:r>
      <w:r w:rsidR="00696DCC" w:rsidRPr="0092586A">
        <w:rPr>
          <w:rFonts w:ascii="Century Gothic" w:hAnsi="Century Gothic"/>
          <w:lang w:val="en-US"/>
        </w:rPr>
        <w:t>On 24 January 2024 the matter was allocated, by directive of the Deputy Judge President, to be set down for hearing in the Third Court before me on 2 February 2024</w:t>
      </w:r>
      <w:r w:rsidR="00B16A41" w:rsidRPr="0092586A">
        <w:rPr>
          <w:rFonts w:ascii="Century Gothic" w:hAnsi="Century Gothic"/>
          <w:lang w:val="en-US"/>
        </w:rPr>
        <w:t>, where I started hearing it</w:t>
      </w:r>
      <w:r w:rsidR="00696DCC" w:rsidRPr="0092586A">
        <w:rPr>
          <w:rFonts w:ascii="Century Gothic" w:hAnsi="Century Gothic"/>
          <w:lang w:val="en-US"/>
        </w:rPr>
        <w:t xml:space="preserve">. </w:t>
      </w:r>
      <w:r w:rsidR="00B16A41" w:rsidRPr="0092586A">
        <w:rPr>
          <w:rFonts w:ascii="Century Gothic" w:hAnsi="Century Gothic"/>
          <w:lang w:val="en-US"/>
        </w:rPr>
        <w:t xml:space="preserve"> </w:t>
      </w:r>
      <w:r w:rsidR="00696DCC" w:rsidRPr="0092586A">
        <w:rPr>
          <w:rFonts w:ascii="Century Gothic" w:hAnsi="Century Gothic"/>
          <w:lang w:val="en-US"/>
        </w:rPr>
        <w:t xml:space="preserve">In the same directive, the respondents were </w:t>
      </w:r>
      <w:r w:rsidR="00D60D83" w:rsidRPr="0092586A">
        <w:rPr>
          <w:rFonts w:ascii="Century Gothic" w:hAnsi="Century Gothic"/>
          <w:lang w:val="en-US"/>
        </w:rPr>
        <w:t xml:space="preserve">ordered </w:t>
      </w:r>
      <w:r w:rsidR="00696DCC" w:rsidRPr="0092586A">
        <w:rPr>
          <w:rFonts w:ascii="Century Gothic" w:hAnsi="Century Gothic"/>
          <w:lang w:val="en-US"/>
        </w:rPr>
        <w:t xml:space="preserve">to file their application for condonation, answering affidavit and heads of argument by 29 January 2024. </w:t>
      </w:r>
      <w:r w:rsidR="000C7134" w:rsidRPr="0092586A">
        <w:rPr>
          <w:rFonts w:ascii="Century Gothic" w:hAnsi="Century Gothic"/>
          <w:lang w:val="en-US"/>
        </w:rPr>
        <w:t xml:space="preserve">  </w:t>
      </w:r>
      <w:r w:rsidR="00D60D83" w:rsidRPr="0092586A">
        <w:rPr>
          <w:rFonts w:ascii="Century Gothic" w:hAnsi="Century Gothic"/>
          <w:lang w:val="en-US"/>
        </w:rPr>
        <w:t>(</w:t>
      </w:r>
      <w:r w:rsidR="000C7134" w:rsidRPr="0092586A">
        <w:rPr>
          <w:rFonts w:ascii="Century Gothic" w:hAnsi="Century Gothic"/>
          <w:lang w:val="en-US"/>
        </w:rPr>
        <w:t>As it turned out, the first second and third respondents filed their answering affidavit a day late, and their heads of argument two days late.  I nevertheless accepted these documents on 2 February 2024</w:t>
      </w:r>
      <w:r w:rsidR="00D60D83" w:rsidRPr="0092586A">
        <w:rPr>
          <w:rFonts w:ascii="Century Gothic" w:hAnsi="Century Gothic"/>
          <w:lang w:val="en-US"/>
        </w:rPr>
        <w:t>)</w:t>
      </w:r>
      <w:r w:rsidR="000C7134" w:rsidRPr="0092586A">
        <w:rPr>
          <w:rFonts w:ascii="Century Gothic" w:hAnsi="Century Gothic"/>
          <w:lang w:val="en-US"/>
        </w:rPr>
        <w:t>.</w:t>
      </w:r>
    </w:p>
    <w:p w14:paraId="12F0872E" w14:textId="77777777" w:rsidR="000C7134" w:rsidRPr="000C7134" w:rsidRDefault="000C7134" w:rsidP="00AD7CB9">
      <w:pPr>
        <w:pStyle w:val="ListParagraph"/>
        <w:ind w:left="567" w:hanging="567"/>
        <w:jc w:val="both"/>
        <w:rPr>
          <w:rFonts w:ascii="Century Gothic" w:hAnsi="Century Gothic"/>
          <w:lang w:val="en-US"/>
        </w:rPr>
      </w:pPr>
    </w:p>
    <w:p w14:paraId="79CEF095" w14:textId="62EE765A" w:rsidR="000C7134" w:rsidRPr="0092586A" w:rsidRDefault="0092586A" w:rsidP="0092586A">
      <w:pPr>
        <w:spacing w:after="480" w:line="480" w:lineRule="auto"/>
        <w:ind w:left="567" w:hanging="567"/>
        <w:jc w:val="both"/>
        <w:rPr>
          <w:rFonts w:ascii="Century Gothic" w:hAnsi="Century Gothic"/>
          <w:lang w:val="en-US"/>
        </w:rPr>
      </w:pPr>
      <w:r>
        <w:rPr>
          <w:rFonts w:ascii="Century Gothic" w:hAnsi="Century Gothic"/>
          <w:lang w:val="en-US"/>
        </w:rPr>
        <w:t>c)</w:t>
      </w:r>
      <w:r>
        <w:rPr>
          <w:rFonts w:ascii="Century Gothic" w:hAnsi="Century Gothic"/>
          <w:lang w:val="en-US"/>
        </w:rPr>
        <w:tab/>
      </w:r>
      <w:r w:rsidR="000C7134" w:rsidRPr="0092586A">
        <w:rPr>
          <w:rFonts w:ascii="Century Gothic" w:hAnsi="Century Gothic"/>
          <w:lang w:val="en-US"/>
        </w:rPr>
        <w:t>In the meantime, the first to third respondents had apparently filed a Notice in Terms of Rule 35(12) and (14),</w:t>
      </w:r>
      <w:r w:rsidR="00AC7448" w:rsidRPr="0092586A">
        <w:rPr>
          <w:rFonts w:ascii="Century Gothic" w:hAnsi="Century Gothic"/>
          <w:lang w:val="en-US"/>
        </w:rPr>
        <w:t xml:space="preserve"> requiring the applicant to produce certain</w:t>
      </w:r>
      <w:r w:rsidR="00D60D83" w:rsidRPr="0092586A">
        <w:rPr>
          <w:rFonts w:ascii="Century Gothic" w:hAnsi="Century Gothic"/>
          <w:lang w:val="en-US"/>
        </w:rPr>
        <w:t xml:space="preserve"> </w:t>
      </w:r>
      <w:r w:rsidR="00AC7448" w:rsidRPr="0092586A">
        <w:rPr>
          <w:rFonts w:ascii="Century Gothic" w:hAnsi="Century Gothic"/>
          <w:lang w:val="en-US"/>
        </w:rPr>
        <w:t>further documents.  This Notice was withdrawn after business hours on 1 February 2024 – the day before I was to hear the matter.</w:t>
      </w:r>
    </w:p>
    <w:p w14:paraId="61C0E3B2" w14:textId="77777777" w:rsidR="000C7134" w:rsidRPr="000C7134" w:rsidRDefault="000C7134" w:rsidP="00AD7CB9">
      <w:pPr>
        <w:pStyle w:val="ListParagraph"/>
        <w:ind w:left="567" w:hanging="567"/>
        <w:jc w:val="both"/>
        <w:rPr>
          <w:rFonts w:ascii="Century Gothic" w:hAnsi="Century Gothic"/>
          <w:lang w:val="en-US"/>
        </w:rPr>
      </w:pPr>
    </w:p>
    <w:p w14:paraId="73BAD66C" w14:textId="5D7EF045" w:rsidR="000C7134" w:rsidRPr="0092586A" w:rsidRDefault="0092586A" w:rsidP="0092586A">
      <w:pPr>
        <w:spacing w:after="480" w:line="480" w:lineRule="auto"/>
        <w:ind w:left="567" w:hanging="567"/>
        <w:jc w:val="both"/>
        <w:rPr>
          <w:rFonts w:ascii="Century Gothic" w:hAnsi="Century Gothic"/>
          <w:lang w:val="en-US"/>
        </w:rPr>
      </w:pPr>
      <w:r>
        <w:rPr>
          <w:rFonts w:ascii="Century Gothic" w:hAnsi="Century Gothic"/>
          <w:lang w:val="en-US"/>
        </w:rPr>
        <w:t>d)</w:t>
      </w:r>
      <w:r>
        <w:rPr>
          <w:rFonts w:ascii="Century Gothic" w:hAnsi="Century Gothic"/>
          <w:lang w:val="en-US"/>
        </w:rPr>
        <w:tab/>
      </w:r>
      <w:r w:rsidR="000C7134" w:rsidRPr="0092586A">
        <w:rPr>
          <w:rFonts w:ascii="Century Gothic" w:hAnsi="Century Gothic"/>
          <w:lang w:val="en-US"/>
        </w:rPr>
        <w:t>On 2 February 2024, the hearing of the matter could not commence</w:t>
      </w:r>
      <w:r w:rsidR="00B16A41" w:rsidRPr="0092586A">
        <w:rPr>
          <w:rFonts w:ascii="Century Gothic" w:hAnsi="Century Gothic"/>
          <w:lang w:val="en-US"/>
        </w:rPr>
        <w:t xml:space="preserve"> straightaway</w:t>
      </w:r>
      <w:r w:rsidR="000C7134" w:rsidRPr="0092586A">
        <w:rPr>
          <w:rFonts w:ascii="Century Gothic" w:hAnsi="Century Gothic"/>
          <w:lang w:val="en-US"/>
        </w:rPr>
        <w:t xml:space="preserve">, as the first, second and third respondents then brought an application </w:t>
      </w:r>
      <w:r w:rsidR="00AC7448" w:rsidRPr="0092586A">
        <w:rPr>
          <w:rFonts w:ascii="Century Gothic" w:hAnsi="Century Gothic"/>
          <w:i/>
          <w:iCs/>
          <w:lang w:val="en-US"/>
        </w:rPr>
        <w:t>“in terms of Rule 35(13)</w:t>
      </w:r>
      <w:r w:rsidR="00AC7448" w:rsidRPr="0092586A">
        <w:rPr>
          <w:rFonts w:ascii="Century Gothic" w:hAnsi="Century Gothic"/>
          <w:lang w:val="en-US"/>
        </w:rPr>
        <w:t xml:space="preserve">”, for an order compelling the </w:t>
      </w:r>
      <w:r w:rsidR="00AC7448" w:rsidRPr="0092586A">
        <w:rPr>
          <w:rFonts w:ascii="Century Gothic" w:hAnsi="Century Gothic"/>
          <w:lang w:val="en-US"/>
        </w:rPr>
        <w:lastRenderedPageBreak/>
        <w:t xml:space="preserve">applicant to </w:t>
      </w:r>
      <w:r w:rsidR="00AC7448" w:rsidRPr="0092586A">
        <w:rPr>
          <w:rFonts w:ascii="Century Gothic" w:hAnsi="Century Gothic"/>
          <w:i/>
          <w:iCs/>
          <w:lang w:val="en-US"/>
        </w:rPr>
        <w:t>“furnish”</w:t>
      </w:r>
      <w:r w:rsidR="00AC7448" w:rsidRPr="0092586A">
        <w:rPr>
          <w:rFonts w:ascii="Century Gothic" w:hAnsi="Century Gothic"/>
          <w:lang w:val="en-US"/>
        </w:rPr>
        <w:t xml:space="preserve"> them with certain documents – mostly those previously sought in terms of the (</w:t>
      </w:r>
      <w:r w:rsidR="00D60D83" w:rsidRPr="0092586A">
        <w:rPr>
          <w:rFonts w:ascii="Century Gothic" w:hAnsi="Century Gothic"/>
          <w:lang w:val="en-US"/>
        </w:rPr>
        <w:t xml:space="preserve">by then) </w:t>
      </w:r>
      <w:r w:rsidR="00AC7448" w:rsidRPr="0092586A">
        <w:rPr>
          <w:rFonts w:ascii="Century Gothic" w:hAnsi="Century Gothic"/>
          <w:lang w:val="en-US"/>
        </w:rPr>
        <w:t>withdrawn Notice in terms of Rule 35(12) and (14)</w:t>
      </w:r>
      <w:r w:rsidR="00D60D83" w:rsidRPr="0092586A">
        <w:rPr>
          <w:rFonts w:ascii="Century Gothic" w:hAnsi="Century Gothic"/>
          <w:lang w:val="en-US"/>
        </w:rPr>
        <w:t>.</w:t>
      </w:r>
    </w:p>
    <w:p w14:paraId="79866B28" w14:textId="77777777" w:rsidR="00AC7448" w:rsidRPr="00AC7448" w:rsidRDefault="00AC7448" w:rsidP="00AD7CB9">
      <w:pPr>
        <w:pStyle w:val="ListParagraph"/>
        <w:ind w:left="567" w:hanging="567"/>
        <w:jc w:val="both"/>
        <w:rPr>
          <w:rFonts w:ascii="Century Gothic" w:hAnsi="Century Gothic"/>
          <w:lang w:val="en-US"/>
        </w:rPr>
      </w:pPr>
    </w:p>
    <w:p w14:paraId="0BAFFCEB" w14:textId="5CBFDC39" w:rsidR="00AC7448" w:rsidRPr="0092586A" w:rsidRDefault="0092586A" w:rsidP="0092586A">
      <w:pPr>
        <w:spacing w:after="480" w:line="480" w:lineRule="auto"/>
        <w:ind w:left="567" w:hanging="567"/>
        <w:jc w:val="both"/>
        <w:rPr>
          <w:rFonts w:ascii="Century Gothic" w:hAnsi="Century Gothic"/>
          <w:lang w:val="en-US"/>
        </w:rPr>
      </w:pPr>
      <w:r>
        <w:rPr>
          <w:rFonts w:ascii="Century Gothic" w:hAnsi="Century Gothic"/>
          <w:lang w:val="en-US"/>
        </w:rPr>
        <w:t>e)</w:t>
      </w:r>
      <w:r>
        <w:rPr>
          <w:rFonts w:ascii="Century Gothic" w:hAnsi="Century Gothic"/>
          <w:lang w:val="en-US"/>
        </w:rPr>
        <w:tab/>
      </w:r>
      <w:r w:rsidR="00D60D83" w:rsidRPr="0092586A">
        <w:rPr>
          <w:rFonts w:ascii="Century Gothic" w:hAnsi="Century Gothic"/>
          <w:lang w:val="en-US"/>
        </w:rPr>
        <w:t>Despite protestations from the applicant’s counsel</w:t>
      </w:r>
      <w:r w:rsidR="00B16A41" w:rsidRPr="0092586A">
        <w:rPr>
          <w:rFonts w:ascii="Century Gothic" w:hAnsi="Century Gothic"/>
          <w:lang w:val="en-US"/>
        </w:rPr>
        <w:t xml:space="preserve"> (Mr Masuku SC)</w:t>
      </w:r>
      <w:r w:rsidR="00D60D83" w:rsidRPr="0092586A">
        <w:rPr>
          <w:rFonts w:ascii="Century Gothic" w:hAnsi="Century Gothic"/>
          <w:lang w:val="en-US"/>
        </w:rPr>
        <w:t xml:space="preserve">, </w:t>
      </w:r>
      <w:r w:rsidR="00AC7448" w:rsidRPr="0092586A">
        <w:rPr>
          <w:rFonts w:ascii="Century Gothic" w:hAnsi="Century Gothic"/>
          <w:lang w:val="en-US"/>
        </w:rPr>
        <w:t xml:space="preserve">Mr Ngandwe </w:t>
      </w:r>
      <w:r w:rsidR="00D60D83" w:rsidRPr="0092586A">
        <w:rPr>
          <w:rFonts w:ascii="Century Gothic" w:hAnsi="Century Gothic"/>
          <w:lang w:val="en-US"/>
        </w:rPr>
        <w:t xml:space="preserve">(counsel for the first to third respondents) was given </w:t>
      </w:r>
      <w:r w:rsidR="00AC7448" w:rsidRPr="0092586A">
        <w:rPr>
          <w:rFonts w:ascii="Century Gothic" w:hAnsi="Century Gothic"/>
          <w:lang w:val="en-US"/>
        </w:rPr>
        <w:t>the opportunity to address the court on this new interlocutory application</w:t>
      </w:r>
      <w:r w:rsidR="00D60D83" w:rsidRPr="0092586A">
        <w:rPr>
          <w:rFonts w:ascii="Century Gothic" w:hAnsi="Century Gothic"/>
          <w:lang w:val="en-US"/>
        </w:rPr>
        <w:t>.</w:t>
      </w:r>
      <w:r w:rsidR="00AC7448" w:rsidRPr="0092586A">
        <w:rPr>
          <w:rFonts w:ascii="Century Gothic" w:hAnsi="Century Gothic"/>
          <w:lang w:val="en-US"/>
        </w:rPr>
        <w:t xml:space="preserve"> </w:t>
      </w:r>
      <w:r w:rsidR="00D60D83" w:rsidRPr="0092586A">
        <w:rPr>
          <w:rFonts w:ascii="Century Gothic" w:hAnsi="Century Gothic"/>
          <w:lang w:val="en-US"/>
        </w:rPr>
        <w:t>C</w:t>
      </w:r>
      <w:r w:rsidR="00AC7448" w:rsidRPr="0092586A">
        <w:rPr>
          <w:rFonts w:ascii="Century Gothic" w:hAnsi="Century Gothic"/>
          <w:lang w:val="en-US"/>
        </w:rPr>
        <w:t xml:space="preserve">ounsel for the applicant </w:t>
      </w:r>
      <w:r w:rsidR="00D60D83" w:rsidRPr="0092586A">
        <w:rPr>
          <w:rFonts w:ascii="Century Gothic" w:hAnsi="Century Gothic"/>
          <w:lang w:val="en-US"/>
        </w:rPr>
        <w:t>was then given the opportunity to respond</w:t>
      </w:r>
      <w:r w:rsidR="00071605" w:rsidRPr="0092586A">
        <w:rPr>
          <w:rFonts w:ascii="Century Gothic" w:hAnsi="Century Gothic"/>
          <w:lang w:val="en-US"/>
        </w:rPr>
        <w:t>.  I eventually dismissed the interlocutory application</w:t>
      </w:r>
      <w:r w:rsidR="00D60D83" w:rsidRPr="0092586A">
        <w:rPr>
          <w:rFonts w:ascii="Century Gothic" w:hAnsi="Century Gothic"/>
          <w:lang w:val="en-US"/>
        </w:rPr>
        <w:t xml:space="preserve"> and gave</w:t>
      </w:r>
      <w:r w:rsidR="00071605" w:rsidRPr="0092586A">
        <w:rPr>
          <w:rFonts w:ascii="Century Gothic" w:hAnsi="Century Gothic"/>
          <w:lang w:val="en-US"/>
        </w:rPr>
        <w:t xml:space="preserve"> my reasons </w:t>
      </w:r>
      <w:r w:rsidR="00071605" w:rsidRPr="0092586A">
        <w:rPr>
          <w:rFonts w:ascii="Century Gothic" w:hAnsi="Century Gothic"/>
          <w:i/>
          <w:iCs/>
          <w:lang w:val="en-US"/>
        </w:rPr>
        <w:t>ex tempore</w:t>
      </w:r>
      <w:r w:rsidR="00071605" w:rsidRPr="0092586A">
        <w:rPr>
          <w:rFonts w:ascii="Century Gothic" w:hAnsi="Century Gothic"/>
          <w:lang w:val="en-US"/>
        </w:rPr>
        <w:t>, which I will not repeat.</w:t>
      </w:r>
    </w:p>
    <w:p w14:paraId="4A9192A2" w14:textId="77777777" w:rsidR="00071605" w:rsidRPr="00071605" w:rsidRDefault="00071605" w:rsidP="00AD7CB9">
      <w:pPr>
        <w:pStyle w:val="ListParagraph"/>
        <w:ind w:left="567" w:hanging="567"/>
        <w:jc w:val="both"/>
        <w:rPr>
          <w:rFonts w:ascii="Century Gothic" w:hAnsi="Century Gothic"/>
          <w:lang w:val="en-US"/>
        </w:rPr>
      </w:pPr>
    </w:p>
    <w:p w14:paraId="7C89BA3B" w14:textId="7603E833" w:rsidR="00AD7CB9" w:rsidRPr="0092586A" w:rsidRDefault="0092586A" w:rsidP="0092586A">
      <w:pPr>
        <w:spacing w:after="480" w:line="480" w:lineRule="auto"/>
        <w:ind w:left="567" w:hanging="567"/>
        <w:jc w:val="both"/>
        <w:rPr>
          <w:rFonts w:ascii="Century Gothic" w:hAnsi="Century Gothic"/>
          <w:lang w:val="en-US"/>
        </w:rPr>
      </w:pPr>
      <w:r>
        <w:rPr>
          <w:rFonts w:ascii="Century Gothic" w:hAnsi="Century Gothic"/>
          <w:lang w:val="en-US"/>
        </w:rPr>
        <w:t>f)</w:t>
      </w:r>
      <w:r>
        <w:rPr>
          <w:rFonts w:ascii="Century Gothic" w:hAnsi="Century Gothic"/>
          <w:lang w:val="en-US"/>
        </w:rPr>
        <w:tab/>
      </w:r>
      <w:r w:rsidR="00071605" w:rsidRPr="0092586A">
        <w:rPr>
          <w:rFonts w:ascii="Century Gothic" w:hAnsi="Century Gothic"/>
          <w:lang w:val="en-US"/>
        </w:rPr>
        <w:t xml:space="preserve">This left only an hour of that day, during which I gave Mr Masuku </w:t>
      </w:r>
      <w:r w:rsidR="00D60D83" w:rsidRPr="0092586A">
        <w:rPr>
          <w:rFonts w:ascii="Century Gothic" w:hAnsi="Century Gothic"/>
          <w:lang w:val="en-US"/>
        </w:rPr>
        <w:t xml:space="preserve">SC </w:t>
      </w:r>
      <w:r w:rsidR="00071605" w:rsidRPr="0092586A">
        <w:rPr>
          <w:rFonts w:ascii="Century Gothic" w:hAnsi="Century Gothic"/>
          <w:lang w:val="en-US"/>
        </w:rPr>
        <w:t xml:space="preserve">the opportunity to start addressing me on the main application.  By the end of court time I postponed the matter </w:t>
      </w:r>
      <w:r w:rsidR="00071605" w:rsidRPr="0092586A">
        <w:rPr>
          <w:rFonts w:ascii="Century Gothic" w:hAnsi="Century Gothic"/>
          <w:i/>
          <w:iCs/>
          <w:lang w:val="en-US"/>
        </w:rPr>
        <w:t>sine die</w:t>
      </w:r>
      <w:r w:rsidR="00071605" w:rsidRPr="0092586A">
        <w:rPr>
          <w:rFonts w:ascii="Century Gothic" w:hAnsi="Century Gothic"/>
          <w:lang w:val="en-US"/>
        </w:rPr>
        <w:t xml:space="preserve">, for new hearing dates to be arranged and the matter to be re-enrolled.  This was eventually arranged for 22 February 2024 – to possibly roll over to 23 February 2024.  </w:t>
      </w:r>
    </w:p>
    <w:p w14:paraId="4ABA6FA1" w14:textId="77777777" w:rsidR="00AD7CB9" w:rsidRPr="00AD7CB9" w:rsidRDefault="00AD7CB9" w:rsidP="00AD7CB9">
      <w:pPr>
        <w:pStyle w:val="ListParagraph"/>
        <w:rPr>
          <w:rFonts w:ascii="Century Gothic" w:hAnsi="Century Gothic"/>
          <w:lang w:val="en-US"/>
        </w:rPr>
      </w:pPr>
    </w:p>
    <w:p w14:paraId="71BC90FD" w14:textId="1C87785C" w:rsidR="00071605" w:rsidRPr="0092586A" w:rsidRDefault="0092586A" w:rsidP="0092586A">
      <w:pPr>
        <w:spacing w:after="480" w:line="480" w:lineRule="auto"/>
        <w:ind w:left="567" w:hanging="567"/>
        <w:jc w:val="both"/>
        <w:rPr>
          <w:rFonts w:ascii="Century Gothic" w:hAnsi="Century Gothic"/>
          <w:lang w:val="en-US"/>
        </w:rPr>
      </w:pPr>
      <w:r w:rsidRPr="00AD7CB9">
        <w:rPr>
          <w:rFonts w:ascii="Century Gothic" w:hAnsi="Century Gothic"/>
          <w:lang w:val="en-US"/>
        </w:rPr>
        <w:t>g)</w:t>
      </w:r>
      <w:r w:rsidRPr="00AD7CB9">
        <w:rPr>
          <w:rFonts w:ascii="Century Gothic" w:hAnsi="Century Gothic"/>
          <w:lang w:val="en-US"/>
        </w:rPr>
        <w:tab/>
      </w:r>
      <w:r w:rsidR="00071605" w:rsidRPr="0092586A">
        <w:rPr>
          <w:rFonts w:ascii="Century Gothic" w:hAnsi="Century Gothic"/>
          <w:lang w:val="en-US"/>
        </w:rPr>
        <w:t>On 22 February 2024, the hearing could</w:t>
      </w:r>
      <w:r w:rsidR="00B16A41" w:rsidRPr="0092586A">
        <w:rPr>
          <w:rFonts w:ascii="Century Gothic" w:hAnsi="Century Gothic"/>
          <w:lang w:val="en-US"/>
        </w:rPr>
        <w:t>, again,</w:t>
      </w:r>
      <w:r w:rsidR="00071605" w:rsidRPr="0092586A">
        <w:rPr>
          <w:rFonts w:ascii="Century Gothic" w:hAnsi="Century Gothic"/>
          <w:lang w:val="en-US"/>
        </w:rPr>
        <w:t xml:space="preserve"> not start at 10:00 as scheduled.  The reason was, so Mr Ngandwe informed </w:t>
      </w:r>
      <w:r w:rsidR="00DE7F5A" w:rsidRPr="0092586A">
        <w:rPr>
          <w:rFonts w:ascii="Century Gothic" w:hAnsi="Century Gothic"/>
          <w:lang w:val="en-US"/>
        </w:rPr>
        <w:t>the court</w:t>
      </w:r>
      <w:r w:rsidR="00AD7CB9" w:rsidRPr="0092586A">
        <w:rPr>
          <w:rFonts w:ascii="Century Gothic" w:hAnsi="Century Gothic"/>
          <w:lang w:val="en-US"/>
        </w:rPr>
        <w:t>,</w:t>
      </w:r>
      <w:r w:rsidR="00071605" w:rsidRPr="0092586A">
        <w:rPr>
          <w:rFonts w:ascii="Century Gothic" w:hAnsi="Century Gothic"/>
          <w:lang w:val="en-US"/>
        </w:rPr>
        <w:t xml:space="preserve"> that the first to third respondents were in the process of preparing a new interlocutory application, this time for leave to supplement the</w:t>
      </w:r>
      <w:r w:rsidR="00D60D83" w:rsidRPr="0092586A">
        <w:rPr>
          <w:rFonts w:ascii="Century Gothic" w:hAnsi="Century Gothic"/>
          <w:lang w:val="en-US"/>
        </w:rPr>
        <w:t>ir</w:t>
      </w:r>
      <w:r w:rsidR="00071605" w:rsidRPr="0092586A">
        <w:rPr>
          <w:rFonts w:ascii="Century Gothic" w:hAnsi="Century Gothic"/>
          <w:lang w:val="en-US"/>
        </w:rPr>
        <w:t xml:space="preserve"> answering affidavit.  The estimation was then that the application w</w:t>
      </w:r>
      <w:r w:rsidR="00AD7CB9" w:rsidRPr="0092586A">
        <w:rPr>
          <w:rFonts w:ascii="Century Gothic" w:hAnsi="Century Gothic"/>
          <w:lang w:val="en-US"/>
        </w:rPr>
        <w:t>ould</w:t>
      </w:r>
      <w:r w:rsidR="00071605" w:rsidRPr="0092586A">
        <w:rPr>
          <w:rFonts w:ascii="Century Gothic" w:hAnsi="Century Gothic"/>
          <w:lang w:val="en-US"/>
        </w:rPr>
        <w:t xml:space="preserve"> be ready by 11:00.  </w:t>
      </w:r>
      <w:r w:rsidR="00D60D83" w:rsidRPr="0092586A">
        <w:rPr>
          <w:rFonts w:ascii="Century Gothic" w:hAnsi="Century Gothic"/>
          <w:lang w:val="en-US"/>
        </w:rPr>
        <w:t xml:space="preserve">That hour came and went, without any report </w:t>
      </w:r>
      <w:r w:rsidR="00071605" w:rsidRPr="0092586A">
        <w:rPr>
          <w:rFonts w:ascii="Century Gothic" w:hAnsi="Century Gothic"/>
          <w:lang w:val="en-US"/>
        </w:rPr>
        <w:t xml:space="preserve">about the </w:t>
      </w:r>
      <w:r w:rsidR="00071605" w:rsidRPr="0092586A">
        <w:rPr>
          <w:rFonts w:ascii="Century Gothic" w:hAnsi="Century Gothic"/>
          <w:lang w:val="en-US"/>
        </w:rPr>
        <w:lastRenderedPageBreak/>
        <w:t xml:space="preserve">progress.  I sent my registrar to find Mr Ngandwe or anyone else who could </w:t>
      </w:r>
      <w:r w:rsidR="00B03F34" w:rsidRPr="0092586A">
        <w:rPr>
          <w:rFonts w:ascii="Century Gothic" w:hAnsi="Century Gothic"/>
          <w:lang w:val="en-US"/>
        </w:rPr>
        <w:t xml:space="preserve">report on the status of the matter.  The registrar reported that </w:t>
      </w:r>
      <w:r w:rsidR="00DE7F5A" w:rsidRPr="0092586A">
        <w:rPr>
          <w:rFonts w:ascii="Century Gothic" w:hAnsi="Century Gothic"/>
          <w:lang w:val="en-US"/>
        </w:rPr>
        <w:t>neither Mr Ngandwe nor the applicant’s attorney</w:t>
      </w:r>
      <w:r w:rsidR="00B03F34" w:rsidRPr="0092586A">
        <w:rPr>
          <w:rFonts w:ascii="Century Gothic" w:hAnsi="Century Gothic"/>
          <w:lang w:val="en-US"/>
        </w:rPr>
        <w:t xml:space="preserve"> could be found at court, nor could Mr Ngandwe be contacted by telephone.</w:t>
      </w:r>
      <w:r w:rsidR="00B16A41" w:rsidRPr="0092586A">
        <w:rPr>
          <w:rFonts w:ascii="Century Gothic" w:hAnsi="Century Gothic"/>
          <w:lang w:val="en-US"/>
        </w:rPr>
        <w:t xml:space="preserve">  This of course left the court in the dark about the status of the matter.</w:t>
      </w:r>
    </w:p>
    <w:p w14:paraId="293862F3" w14:textId="77777777" w:rsidR="00B03F34" w:rsidRPr="00B03F34" w:rsidRDefault="00B03F34" w:rsidP="00AD7CB9">
      <w:pPr>
        <w:pStyle w:val="ListParagraph"/>
        <w:ind w:left="567" w:hanging="567"/>
        <w:jc w:val="both"/>
        <w:rPr>
          <w:rFonts w:ascii="Century Gothic" w:hAnsi="Century Gothic"/>
          <w:lang w:val="en-US"/>
        </w:rPr>
      </w:pPr>
    </w:p>
    <w:p w14:paraId="3EE318BA" w14:textId="5D2243D3" w:rsidR="00B03F34" w:rsidRPr="0092586A" w:rsidRDefault="0092586A" w:rsidP="0092586A">
      <w:pPr>
        <w:spacing w:after="480" w:line="480" w:lineRule="auto"/>
        <w:ind w:left="567" w:hanging="567"/>
        <w:jc w:val="both"/>
        <w:rPr>
          <w:rFonts w:ascii="Century Gothic" w:hAnsi="Century Gothic"/>
          <w:lang w:val="en-US"/>
        </w:rPr>
      </w:pPr>
      <w:r>
        <w:rPr>
          <w:rFonts w:ascii="Century Gothic" w:hAnsi="Century Gothic"/>
          <w:lang w:val="en-US"/>
        </w:rPr>
        <w:t>h)</w:t>
      </w:r>
      <w:r>
        <w:rPr>
          <w:rFonts w:ascii="Century Gothic" w:hAnsi="Century Gothic"/>
          <w:lang w:val="en-US"/>
        </w:rPr>
        <w:tab/>
      </w:r>
      <w:r w:rsidR="00B03F34" w:rsidRPr="0092586A">
        <w:rPr>
          <w:rFonts w:ascii="Century Gothic" w:hAnsi="Century Gothic"/>
          <w:lang w:val="en-US"/>
        </w:rPr>
        <w:t xml:space="preserve">Eventually, about 12:00, I was informed that the hearing could start.  </w:t>
      </w:r>
      <w:r w:rsidR="00B956C7" w:rsidRPr="0092586A">
        <w:rPr>
          <w:rFonts w:ascii="Century Gothic" w:hAnsi="Century Gothic"/>
          <w:lang w:val="en-US"/>
        </w:rPr>
        <w:t>Back i</w:t>
      </w:r>
      <w:r w:rsidR="00B03F34" w:rsidRPr="0092586A">
        <w:rPr>
          <w:rFonts w:ascii="Century Gothic" w:hAnsi="Century Gothic"/>
          <w:lang w:val="en-US"/>
        </w:rPr>
        <w:t>n court, the proposed supplementary affidavit</w:t>
      </w:r>
      <w:r w:rsidR="00B956C7" w:rsidRPr="0092586A">
        <w:rPr>
          <w:rFonts w:ascii="Century Gothic" w:hAnsi="Century Gothic"/>
          <w:lang w:val="en-US"/>
        </w:rPr>
        <w:t>, with a written notice of an application for lea</w:t>
      </w:r>
      <w:r w:rsidR="00DE7F5A" w:rsidRPr="0092586A">
        <w:rPr>
          <w:rFonts w:ascii="Century Gothic" w:hAnsi="Century Gothic"/>
          <w:lang w:val="en-US"/>
        </w:rPr>
        <w:t>v</w:t>
      </w:r>
      <w:r w:rsidR="00B956C7" w:rsidRPr="0092586A">
        <w:rPr>
          <w:rFonts w:ascii="Century Gothic" w:hAnsi="Century Gothic"/>
          <w:lang w:val="en-US"/>
        </w:rPr>
        <w:t xml:space="preserve">e to supplement the answering affidavit, was handed up. </w:t>
      </w:r>
      <w:r w:rsidR="00B03F34" w:rsidRPr="0092586A">
        <w:rPr>
          <w:rFonts w:ascii="Century Gothic" w:hAnsi="Century Gothic"/>
          <w:lang w:val="en-US"/>
        </w:rPr>
        <w:t xml:space="preserve">  It was one full lever-arch file – possibly </w:t>
      </w:r>
      <w:r w:rsidR="00B16A41" w:rsidRPr="0092586A">
        <w:rPr>
          <w:rFonts w:ascii="Century Gothic" w:hAnsi="Century Gothic"/>
          <w:lang w:val="en-US"/>
        </w:rPr>
        <w:t>5</w:t>
      </w:r>
      <w:r w:rsidR="00B03F34" w:rsidRPr="0092586A">
        <w:rPr>
          <w:rFonts w:ascii="Century Gothic" w:hAnsi="Century Gothic"/>
          <w:lang w:val="en-US"/>
        </w:rPr>
        <w:t xml:space="preserve">00 or more pages.  (Of those, 58 </w:t>
      </w:r>
      <w:r w:rsidR="00B956C7" w:rsidRPr="0092586A">
        <w:rPr>
          <w:rFonts w:ascii="Century Gothic" w:hAnsi="Century Gothic"/>
          <w:lang w:val="en-US"/>
        </w:rPr>
        <w:t>pages comprised the</w:t>
      </w:r>
      <w:r w:rsidR="00B03F34" w:rsidRPr="0092586A">
        <w:rPr>
          <w:rFonts w:ascii="Century Gothic" w:hAnsi="Century Gothic"/>
          <w:lang w:val="en-US"/>
        </w:rPr>
        <w:t xml:space="preserve"> Notice of Motion and </w:t>
      </w:r>
      <w:r w:rsidR="00AD7CB9" w:rsidRPr="0092586A">
        <w:rPr>
          <w:rFonts w:ascii="Century Gothic" w:hAnsi="Century Gothic"/>
          <w:lang w:val="en-US"/>
        </w:rPr>
        <w:t xml:space="preserve">proposed supplementary </w:t>
      </w:r>
      <w:r w:rsidR="00B03F34" w:rsidRPr="0092586A">
        <w:rPr>
          <w:rFonts w:ascii="Century Gothic" w:hAnsi="Century Gothic"/>
          <w:lang w:val="en-US"/>
        </w:rPr>
        <w:t xml:space="preserve">affidavit </w:t>
      </w:r>
      <w:r w:rsidR="0081039D" w:rsidRPr="0092586A">
        <w:rPr>
          <w:rFonts w:ascii="Century Gothic" w:hAnsi="Century Gothic"/>
          <w:lang w:val="en-US"/>
        </w:rPr>
        <w:t>(roughly 10% or 12%)</w:t>
      </w:r>
      <w:r w:rsidR="00B03F34" w:rsidRPr="0092586A">
        <w:rPr>
          <w:rFonts w:ascii="Century Gothic" w:hAnsi="Century Gothic"/>
          <w:lang w:val="en-US"/>
        </w:rPr>
        <w:t xml:space="preserve">, </w:t>
      </w:r>
      <w:r w:rsidR="00AD7CB9" w:rsidRPr="0092586A">
        <w:rPr>
          <w:rFonts w:ascii="Century Gothic" w:hAnsi="Century Gothic"/>
          <w:lang w:val="en-US"/>
        </w:rPr>
        <w:t xml:space="preserve">while </w:t>
      </w:r>
      <w:r w:rsidR="00B03F34" w:rsidRPr="0092586A">
        <w:rPr>
          <w:rFonts w:ascii="Century Gothic" w:hAnsi="Century Gothic"/>
          <w:lang w:val="en-US"/>
        </w:rPr>
        <w:t xml:space="preserve">all of the rest </w:t>
      </w:r>
      <w:r w:rsidR="0081039D" w:rsidRPr="0092586A">
        <w:rPr>
          <w:rFonts w:ascii="Century Gothic" w:hAnsi="Century Gothic"/>
          <w:lang w:val="en-US"/>
        </w:rPr>
        <w:t xml:space="preserve">(roughly 90%) </w:t>
      </w:r>
      <w:r w:rsidR="00B956C7" w:rsidRPr="0092586A">
        <w:rPr>
          <w:rFonts w:ascii="Century Gothic" w:hAnsi="Century Gothic"/>
          <w:lang w:val="en-US"/>
        </w:rPr>
        <w:t xml:space="preserve">were </w:t>
      </w:r>
      <w:r w:rsidR="00B03F34" w:rsidRPr="0092586A">
        <w:rPr>
          <w:rFonts w:ascii="Century Gothic" w:hAnsi="Century Gothic"/>
          <w:lang w:val="en-US"/>
        </w:rPr>
        <w:t>annexures</w:t>
      </w:r>
      <w:r w:rsidR="00DE7F5A" w:rsidRPr="0092586A">
        <w:rPr>
          <w:rFonts w:ascii="Century Gothic" w:hAnsi="Century Gothic"/>
          <w:lang w:val="en-US"/>
        </w:rPr>
        <w:t>)</w:t>
      </w:r>
      <w:r w:rsidR="00B03F34" w:rsidRPr="0092586A">
        <w:rPr>
          <w:rFonts w:ascii="Century Gothic" w:hAnsi="Century Gothic"/>
          <w:lang w:val="en-US"/>
        </w:rPr>
        <w:t xml:space="preserve">.  </w:t>
      </w:r>
      <w:r w:rsidR="00B956C7" w:rsidRPr="0092586A">
        <w:rPr>
          <w:rFonts w:ascii="Century Gothic" w:hAnsi="Century Gothic"/>
          <w:lang w:val="en-US"/>
        </w:rPr>
        <w:t>T</w:t>
      </w:r>
      <w:r w:rsidR="00B03F34" w:rsidRPr="0092586A">
        <w:rPr>
          <w:rFonts w:ascii="Century Gothic" w:hAnsi="Century Gothic"/>
          <w:lang w:val="en-US"/>
        </w:rPr>
        <w:t xml:space="preserve">he matter </w:t>
      </w:r>
      <w:r w:rsidR="00B956C7" w:rsidRPr="0092586A">
        <w:rPr>
          <w:rFonts w:ascii="Century Gothic" w:hAnsi="Century Gothic"/>
          <w:lang w:val="en-US"/>
        </w:rPr>
        <w:t xml:space="preserve">was then stood down </w:t>
      </w:r>
      <w:r w:rsidR="00B03F34" w:rsidRPr="0092586A">
        <w:rPr>
          <w:rFonts w:ascii="Century Gothic" w:hAnsi="Century Gothic"/>
          <w:lang w:val="en-US"/>
        </w:rPr>
        <w:t xml:space="preserve">until 14:00, to give </w:t>
      </w:r>
      <w:r w:rsidR="00B956C7" w:rsidRPr="0092586A">
        <w:rPr>
          <w:rFonts w:ascii="Century Gothic" w:hAnsi="Century Gothic"/>
          <w:lang w:val="en-US"/>
        </w:rPr>
        <w:t xml:space="preserve">myself and the other parties </w:t>
      </w:r>
      <w:r w:rsidR="00AD7CB9" w:rsidRPr="0092586A">
        <w:rPr>
          <w:rFonts w:ascii="Century Gothic" w:hAnsi="Century Gothic"/>
          <w:lang w:val="en-US"/>
        </w:rPr>
        <w:t>some</w:t>
      </w:r>
      <w:r w:rsidR="00B956C7" w:rsidRPr="0092586A">
        <w:rPr>
          <w:rFonts w:ascii="Century Gothic" w:hAnsi="Century Gothic"/>
          <w:lang w:val="en-US"/>
        </w:rPr>
        <w:t xml:space="preserve"> </w:t>
      </w:r>
      <w:r w:rsidR="00B03F34" w:rsidRPr="0092586A">
        <w:rPr>
          <w:rFonts w:ascii="Century Gothic" w:hAnsi="Century Gothic"/>
          <w:lang w:val="en-US"/>
        </w:rPr>
        <w:t xml:space="preserve">opportunity </w:t>
      </w:r>
      <w:r w:rsidR="00B956C7" w:rsidRPr="0092586A">
        <w:rPr>
          <w:rFonts w:ascii="Century Gothic" w:hAnsi="Century Gothic"/>
          <w:lang w:val="en-US"/>
        </w:rPr>
        <w:t>to</w:t>
      </w:r>
      <w:r w:rsidR="00B03F34" w:rsidRPr="0092586A">
        <w:rPr>
          <w:rFonts w:ascii="Century Gothic" w:hAnsi="Century Gothic"/>
          <w:lang w:val="en-US"/>
        </w:rPr>
        <w:t xml:space="preserve"> peruse the application and proposed supplementary affidavit</w:t>
      </w:r>
      <w:r w:rsidR="0081039D" w:rsidRPr="0092586A">
        <w:rPr>
          <w:rFonts w:ascii="Century Gothic" w:hAnsi="Century Gothic"/>
          <w:lang w:val="en-US"/>
        </w:rPr>
        <w:t xml:space="preserve"> – with annexures</w:t>
      </w:r>
      <w:r w:rsidR="00B03F34" w:rsidRPr="0092586A">
        <w:rPr>
          <w:rFonts w:ascii="Century Gothic" w:hAnsi="Century Gothic"/>
          <w:lang w:val="en-US"/>
        </w:rPr>
        <w:t>.</w:t>
      </w:r>
    </w:p>
    <w:p w14:paraId="79BD3883" w14:textId="77777777" w:rsidR="00561F75" w:rsidRPr="00561F75" w:rsidRDefault="00561F75" w:rsidP="00AD7CB9">
      <w:pPr>
        <w:pStyle w:val="ListParagraph"/>
        <w:ind w:left="567" w:hanging="567"/>
        <w:jc w:val="both"/>
        <w:rPr>
          <w:rFonts w:ascii="Century Gothic" w:hAnsi="Century Gothic"/>
          <w:lang w:val="en-US"/>
        </w:rPr>
      </w:pPr>
    </w:p>
    <w:p w14:paraId="38DFB8B1" w14:textId="7A8BA99B" w:rsidR="00561F75" w:rsidRPr="0092586A" w:rsidRDefault="0092586A" w:rsidP="0092586A">
      <w:pPr>
        <w:spacing w:after="480" w:line="480" w:lineRule="auto"/>
        <w:ind w:left="567" w:hanging="567"/>
        <w:jc w:val="both"/>
        <w:rPr>
          <w:rFonts w:ascii="Century Gothic" w:hAnsi="Century Gothic"/>
          <w:lang w:val="en-US"/>
        </w:rPr>
      </w:pPr>
      <w:r w:rsidRPr="00561F75">
        <w:rPr>
          <w:rFonts w:ascii="Century Gothic" w:hAnsi="Century Gothic"/>
          <w:lang w:val="en-US"/>
        </w:rPr>
        <w:t>i)</w:t>
      </w:r>
      <w:r w:rsidRPr="00561F75">
        <w:rPr>
          <w:rFonts w:ascii="Century Gothic" w:hAnsi="Century Gothic"/>
          <w:lang w:val="en-US"/>
        </w:rPr>
        <w:tab/>
      </w:r>
      <w:r w:rsidR="00561F75" w:rsidRPr="0092586A">
        <w:rPr>
          <w:rFonts w:ascii="Century Gothic" w:hAnsi="Century Gothic"/>
          <w:lang w:val="en-US"/>
        </w:rPr>
        <w:t>According to the proposed supplementary affidavit of Mr Mdwaba, the annexures thereto were the same documents as the first, second and third respondents had previously sought</w:t>
      </w:r>
      <w:r w:rsidR="00AD7CB9" w:rsidRPr="0092586A">
        <w:rPr>
          <w:rFonts w:ascii="Century Gothic" w:hAnsi="Century Gothic"/>
          <w:lang w:val="en-US"/>
        </w:rPr>
        <w:t xml:space="preserve"> from the applicant</w:t>
      </w:r>
      <w:r w:rsidR="00561F75" w:rsidRPr="0092586A">
        <w:rPr>
          <w:rFonts w:ascii="Century Gothic" w:hAnsi="Century Gothic"/>
          <w:lang w:val="en-US"/>
        </w:rPr>
        <w:t xml:space="preserve"> in terms of Rules 35(12) and (14).  Those documents had</w:t>
      </w:r>
      <w:r w:rsidR="00AD7CB9" w:rsidRPr="0092586A">
        <w:rPr>
          <w:rFonts w:ascii="Century Gothic" w:hAnsi="Century Gothic"/>
          <w:lang w:val="en-US"/>
        </w:rPr>
        <w:t xml:space="preserve"> in the meantime (so Mr Mdwaba </w:t>
      </w:r>
      <w:r w:rsidR="0081039D" w:rsidRPr="0092586A">
        <w:rPr>
          <w:rFonts w:ascii="Century Gothic" w:hAnsi="Century Gothic"/>
          <w:lang w:val="en-US"/>
        </w:rPr>
        <w:t>claimed</w:t>
      </w:r>
      <w:r w:rsidR="00AD7CB9" w:rsidRPr="0092586A">
        <w:rPr>
          <w:rFonts w:ascii="Century Gothic" w:hAnsi="Century Gothic"/>
          <w:lang w:val="en-US"/>
        </w:rPr>
        <w:t>)</w:t>
      </w:r>
      <w:r w:rsidR="00561F75" w:rsidRPr="0092586A">
        <w:rPr>
          <w:rFonts w:ascii="Century Gothic" w:hAnsi="Century Gothic"/>
          <w:lang w:val="en-US"/>
        </w:rPr>
        <w:t xml:space="preserve"> come to hand when some</w:t>
      </w:r>
      <w:r w:rsidR="0081039D" w:rsidRPr="0092586A">
        <w:rPr>
          <w:rFonts w:ascii="Century Gothic" w:hAnsi="Century Gothic"/>
          <w:lang w:val="en-US"/>
        </w:rPr>
        <w:t xml:space="preserve"> unknown well-wisher </w:t>
      </w:r>
      <w:r w:rsidR="00AD7CB9" w:rsidRPr="0092586A">
        <w:rPr>
          <w:rFonts w:ascii="Century Gothic" w:hAnsi="Century Gothic"/>
          <w:lang w:val="en-US"/>
        </w:rPr>
        <w:t xml:space="preserve">had </w:t>
      </w:r>
      <w:r w:rsidR="00561F75" w:rsidRPr="0092586A">
        <w:rPr>
          <w:rFonts w:ascii="Century Gothic" w:hAnsi="Century Gothic"/>
          <w:lang w:val="en-US"/>
        </w:rPr>
        <w:t xml:space="preserve">sent </w:t>
      </w:r>
      <w:r w:rsidR="0081039D" w:rsidRPr="0092586A">
        <w:rPr>
          <w:rFonts w:ascii="Century Gothic" w:hAnsi="Century Gothic"/>
          <w:lang w:val="en-US"/>
        </w:rPr>
        <w:t xml:space="preserve">some of those documents </w:t>
      </w:r>
      <w:r w:rsidR="00AD7CB9" w:rsidRPr="0092586A">
        <w:rPr>
          <w:rFonts w:ascii="Century Gothic" w:hAnsi="Century Gothic"/>
          <w:lang w:val="en-US"/>
        </w:rPr>
        <w:t xml:space="preserve">to Mr Mdwaba </w:t>
      </w:r>
      <w:r w:rsidR="00561F75" w:rsidRPr="0092586A">
        <w:rPr>
          <w:rFonts w:ascii="Century Gothic" w:hAnsi="Century Gothic"/>
          <w:lang w:val="en-US"/>
        </w:rPr>
        <w:t>by e-mail</w:t>
      </w:r>
      <w:r w:rsidR="0081039D" w:rsidRPr="0092586A">
        <w:rPr>
          <w:rFonts w:ascii="Century Gothic" w:hAnsi="Century Gothic"/>
          <w:lang w:val="en-US"/>
        </w:rPr>
        <w:t>,</w:t>
      </w:r>
      <w:r w:rsidR="00561F75" w:rsidRPr="0092586A">
        <w:rPr>
          <w:rFonts w:ascii="Century Gothic" w:hAnsi="Century Gothic"/>
          <w:lang w:val="en-US"/>
        </w:rPr>
        <w:t xml:space="preserve"> and </w:t>
      </w:r>
      <w:r w:rsidR="0081039D" w:rsidRPr="0092586A">
        <w:rPr>
          <w:rFonts w:ascii="Century Gothic" w:hAnsi="Century Gothic"/>
          <w:lang w:val="en-US"/>
        </w:rPr>
        <w:t>“</w:t>
      </w:r>
      <w:r w:rsidR="00561F75" w:rsidRPr="0092586A">
        <w:rPr>
          <w:rFonts w:ascii="Century Gothic" w:hAnsi="Century Gothic"/>
          <w:i/>
          <w:iCs/>
          <w:lang w:val="en-US"/>
        </w:rPr>
        <w:t>dumped</w:t>
      </w:r>
      <w:r w:rsidR="0081039D" w:rsidRPr="0092586A">
        <w:rPr>
          <w:rFonts w:ascii="Century Gothic" w:hAnsi="Century Gothic"/>
          <w:lang w:val="en-US"/>
        </w:rPr>
        <w:t>”</w:t>
      </w:r>
      <w:r w:rsidR="00561F75" w:rsidRPr="0092586A">
        <w:rPr>
          <w:rFonts w:ascii="Century Gothic" w:hAnsi="Century Gothic"/>
          <w:lang w:val="en-US"/>
        </w:rPr>
        <w:t xml:space="preserve"> </w:t>
      </w:r>
      <w:r w:rsidR="0081039D" w:rsidRPr="0092586A">
        <w:rPr>
          <w:rFonts w:ascii="Century Gothic" w:hAnsi="Century Gothic"/>
          <w:lang w:val="en-US"/>
        </w:rPr>
        <w:t>the rest</w:t>
      </w:r>
      <w:r w:rsidR="00F6541A" w:rsidRPr="0092586A">
        <w:rPr>
          <w:rFonts w:ascii="Century Gothic" w:hAnsi="Century Gothic"/>
          <w:lang w:val="en-US"/>
        </w:rPr>
        <w:t xml:space="preserve"> </w:t>
      </w:r>
      <w:r w:rsidR="00561F75" w:rsidRPr="0092586A">
        <w:rPr>
          <w:rFonts w:ascii="Century Gothic" w:hAnsi="Century Gothic"/>
          <w:lang w:val="en-US"/>
        </w:rPr>
        <w:t>at Mr Mdwaba’s residence</w:t>
      </w:r>
      <w:r w:rsidR="00AD7CB9" w:rsidRPr="0092586A">
        <w:rPr>
          <w:rFonts w:ascii="Century Gothic" w:hAnsi="Century Gothic"/>
          <w:lang w:val="en-US"/>
        </w:rPr>
        <w:t xml:space="preserve">.  All of that </w:t>
      </w:r>
      <w:r w:rsidR="0081039D" w:rsidRPr="0092586A">
        <w:rPr>
          <w:rFonts w:ascii="Century Gothic" w:hAnsi="Century Gothic"/>
          <w:lang w:val="en-US"/>
        </w:rPr>
        <w:t xml:space="preserve">occurred, so Mr Mdwaba </w:t>
      </w:r>
      <w:r w:rsidR="0081039D" w:rsidRPr="0092586A">
        <w:rPr>
          <w:rFonts w:ascii="Century Gothic" w:hAnsi="Century Gothic"/>
          <w:lang w:val="en-US"/>
        </w:rPr>
        <w:lastRenderedPageBreak/>
        <w:t>claimed,</w:t>
      </w:r>
      <w:r w:rsidR="00AD7CB9" w:rsidRPr="0092586A">
        <w:rPr>
          <w:rFonts w:ascii="Century Gothic" w:hAnsi="Century Gothic"/>
          <w:lang w:val="en-US"/>
        </w:rPr>
        <w:t xml:space="preserve"> after</w:t>
      </w:r>
      <w:r w:rsidR="00561F75" w:rsidRPr="0092586A">
        <w:rPr>
          <w:rFonts w:ascii="Century Gothic" w:hAnsi="Century Gothic"/>
          <w:lang w:val="en-US"/>
        </w:rPr>
        <w:t xml:space="preserve"> the interlocutory application had been dismissed on 2 February 2024.  </w:t>
      </w:r>
    </w:p>
    <w:p w14:paraId="51E54AA6" w14:textId="77777777" w:rsidR="00B03F34" w:rsidRPr="00B03F34" w:rsidRDefault="00B03F34" w:rsidP="00AD7CB9">
      <w:pPr>
        <w:pStyle w:val="ListParagraph"/>
        <w:ind w:left="567" w:hanging="567"/>
        <w:jc w:val="both"/>
        <w:rPr>
          <w:rFonts w:ascii="Century Gothic" w:hAnsi="Century Gothic"/>
          <w:lang w:val="en-US"/>
        </w:rPr>
      </w:pPr>
    </w:p>
    <w:p w14:paraId="094950C9" w14:textId="74AC3332" w:rsidR="0018096B" w:rsidRPr="0092586A" w:rsidRDefault="0092586A" w:rsidP="0092586A">
      <w:pPr>
        <w:spacing w:after="480" w:line="480" w:lineRule="auto"/>
        <w:ind w:left="567" w:hanging="567"/>
        <w:jc w:val="both"/>
        <w:rPr>
          <w:rFonts w:ascii="Century Gothic" w:hAnsi="Century Gothic"/>
          <w:lang w:val="en-US"/>
        </w:rPr>
      </w:pPr>
      <w:r>
        <w:rPr>
          <w:rFonts w:ascii="Century Gothic" w:hAnsi="Century Gothic"/>
          <w:lang w:val="en-US"/>
        </w:rPr>
        <w:t>j)</w:t>
      </w:r>
      <w:r>
        <w:rPr>
          <w:rFonts w:ascii="Century Gothic" w:hAnsi="Century Gothic"/>
          <w:lang w:val="en-US"/>
        </w:rPr>
        <w:tab/>
      </w:r>
      <w:r w:rsidR="00B03F34" w:rsidRPr="0092586A">
        <w:rPr>
          <w:rFonts w:ascii="Century Gothic" w:hAnsi="Century Gothic"/>
          <w:lang w:val="en-US"/>
        </w:rPr>
        <w:t xml:space="preserve">At 14:00 I gave Mr Ngandwe the opportunity to address me on this new application.  However, I made it clear that he should focus his address on pointing out </w:t>
      </w:r>
      <w:r w:rsidR="005A579A" w:rsidRPr="0092586A">
        <w:rPr>
          <w:rFonts w:ascii="Century Gothic" w:hAnsi="Century Gothic"/>
          <w:lang w:val="en-US"/>
        </w:rPr>
        <w:t xml:space="preserve">– in the </w:t>
      </w:r>
      <w:r w:rsidR="0081039D" w:rsidRPr="0092586A">
        <w:rPr>
          <w:rFonts w:ascii="Century Gothic" w:hAnsi="Century Gothic"/>
          <w:lang w:val="en-US"/>
        </w:rPr>
        <w:t xml:space="preserve">proposed supplementary </w:t>
      </w:r>
      <w:r w:rsidR="005A579A" w:rsidRPr="0092586A">
        <w:rPr>
          <w:rFonts w:ascii="Century Gothic" w:hAnsi="Century Gothic"/>
          <w:lang w:val="en-US"/>
        </w:rPr>
        <w:t xml:space="preserve">affidavit of Mr Mdwaba – what new evidence it is that the supplementary affidavit </w:t>
      </w:r>
      <w:r w:rsidR="0081039D" w:rsidRPr="0092586A">
        <w:rPr>
          <w:rFonts w:ascii="Century Gothic" w:hAnsi="Century Gothic"/>
          <w:lang w:val="en-US"/>
        </w:rPr>
        <w:t xml:space="preserve">could </w:t>
      </w:r>
      <w:r w:rsidR="005A579A" w:rsidRPr="0092586A">
        <w:rPr>
          <w:rFonts w:ascii="Century Gothic" w:hAnsi="Century Gothic"/>
          <w:lang w:val="en-US"/>
        </w:rPr>
        <w:t xml:space="preserve">introduce. </w:t>
      </w:r>
      <w:r w:rsidR="00B956C7" w:rsidRPr="0092586A">
        <w:rPr>
          <w:rFonts w:ascii="Century Gothic" w:hAnsi="Century Gothic"/>
          <w:lang w:val="en-US"/>
        </w:rPr>
        <w:t>This was because</w:t>
      </w:r>
      <w:r w:rsidR="00DE7F5A" w:rsidRPr="0092586A">
        <w:rPr>
          <w:rFonts w:ascii="Century Gothic" w:hAnsi="Century Gothic"/>
          <w:lang w:val="en-US"/>
        </w:rPr>
        <w:t>, upon the first reading of the document,</w:t>
      </w:r>
      <w:r w:rsidR="00752F8F" w:rsidRPr="0092586A">
        <w:rPr>
          <w:rFonts w:ascii="Century Gothic" w:hAnsi="Century Gothic"/>
          <w:lang w:val="en-US"/>
        </w:rPr>
        <w:t xml:space="preserve"> it seemed </w:t>
      </w:r>
      <w:r w:rsidR="005A579A" w:rsidRPr="0092586A">
        <w:rPr>
          <w:rFonts w:ascii="Century Gothic" w:hAnsi="Century Gothic"/>
          <w:lang w:val="en-US"/>
        </w:rPr>
        <w:t xml:space="preserve">that there is </w:t>
      </w:r>
      <w:r w:rsidR="0081039D" w:rsidRPr="0092586A">
        <w:rPr>
          <w:rFonts w:ascii="Century Gothic" w:hAnsi="Century Gothic"/>
          <w:lang w:val="en-US"/>
        </w:rPr>
        <w:t xml:space="preserve">no </w:t>
      </w:r>
      <w:r w:rsidR="005A579A" w:rsidRPr="0092586A">
        <w:rPr>
          <w:rFonts w:ascii="Century Gothic" w:hAnsi="Century Gothic"/>
          <w:lang w:val="en-US"/>
        </w:rPr>
        <w:t>reference - in the proposed supplementary affidavit - to any specific page, paragraph or line in the hundreds of pages of annexures</w:t>
      </w:r>
      <w:r w:rsidR="0081039D" w:rsidRPr="0092586A">
        <w:rPr>
          <w:rFonts w:ascii="Century Gothic" w:hAnsi="Century Gothic"/>
          <w:lang w:val="en-US"/>
        </w:rPr>
        <w:t>, as being where some new evidence could be found</w:t>
      </w:r>
      <w:r w:rsidR="005A579A" w:rsidRPr="0092586A">
        <w:rPr>
          <w:rFonts w:ascii="Century Gothic" w:hAnsi="Century Gothic"/>
          <w:lang w:val="en-US"/>
        </w:rPr>
        <w:t xml:space="preserve">.   Also, </w:t>
      </w:r>
      <w:r w:rsidR="006F7581" w:rsidRPr="0092586A">
        <w:rPr>
          <w:rFonts w:ascii="Century Gothic" w:hAnsi="Century Gothic"/>
          <w:lang w:val="en-US"/>
        </w:rPr>
        <w:t xml:space="preserve">save for introducing the </w:t>
      </w:r>
      <w:r w:rsidR="00AD7CB9" w:rsidRPr="0092586A">
        <w:rPr>
          <w:rFonts w:ascii="Century Gothic" w:hAnsi="Century Gothic"/>
          <w:lang w:val="en-US"/>
        </w:rPr>
        <w:t xml:space="preserve">stack </w:t>
      </w:r>
      <w:r w:rsidR="006F7581" w:rsidRPr="0092586A">
        <w:rPr>
          <w:rFonts w:ascii="Century Gothic" w:hAnsi="Century Gothic"/>
          <w:lang w:val="en-US"/>
        </w:rPr>
        <w:t xml:space="preserve">of annexures, </w:t>
      </w:r>
      <w:r w:rsidR="005A579A" w:rsidRPr="0092586A">
        <w:rPr>
          <w:rFonts w:ascii="Century Gothic" w:hAnsi="Century Gothic"/>
          <w:lang w:val="en-US"/>
        </w:rPr>
        <w:t>the proposed supplementary affidavit</w:t>
      </w:r>
      <w:r w:rsidR="006F7581" w:rsidRPr="0092586A">
        <w:rPr>
          <w:rFonts w:ascii="Century Gothic" w:hAnsi="Century Gothic"/>
          <w:lang w:val="en-US"/>
        </w:rPr>
        <w:t xml:space="preserve"> appeared just</w:t>
      </w:r>
      <w:r w:rsidR="005A579A" w:rsidRPr="0092586A">
        <w:rPr>
          <w:rFonts w:ascii="Century Gothic" w:hAnsi="Century Gothic"/>
          <w:lang w:val="en-US"/>
        </w:rPr>
        <w:t xml:space="preserve"> rehash</w:t>
      </w:r>
      <w:r w:rsidR="0081039D" w:rsidRPr="0092586A">
        <w:rPr>
          <w:rFonts w:ascii="Century Gothic" w:hAnsi="Century Gothic"/>
          <w:lang w:val="en-US"/>
        </w:rPr>
        <w:t>ed</w:t>
      </w:r>
      <w:r w:rsidR="006F7581" w:rsidRPr="0092586A">
        <w:rPr>
          <w:rFonts w:ascii="Century Gothic" w:hAnsi="Century Gothic"/>
          <w:lang w:val="en-US"/>
        </w:rPr>
        <w:t xml:space="preserve"> matters previously covered in the answering affidavit.</w:t>
      </w:r>
      <w:r w:rsidR="005A579A" w:rsidRPr="0092586A">
        <w:rPr>
          <w:rFonts w:ascii="Century Gothic" w:hAnsi="Century Gothic"/>
          <w:lang w:val="en-US"/>
        </w:rPr>
        <w:t xml:space="preserve"> </w:t>
      </w:r>
      <w:r w:rsidR="00561F75" w:rsidRPr="0092586A">
        <w:rPr>
          <w:rFonts w:ascii="Century Gothic" w:hAnsi="Century Gothic"/>
          <w:lang w:val="en-US"/>
        </w:rPr>
        <w:t xml:space="preserve"> During argument, it was necessary to remind Mr Ngandwe, more than on</w:t>
      </w:r>
      <w:r w:rsidR="00AD7CB9" w:rsidRPr="0092586A">
        <w:rPr>
          <w:rFonts w:ascii="Century Gothic" w:hAnsi="Century Gothic"/>
          <w:lang w:val="en-US"/>
        </w:rPr>
        <w:t>c</w:t>
      </w:r>
      <w:r w:rsidR="00561F75" w:rsidRPr="0092586A">
        <w:rPr>
          <w:rFonts w:ascii="Century Gothic" w:hAnsi="Century Gothic"/>
          <w:lang w:val="en-US"/>
        </w:rPr>
        <w:t>e</w:t>
      </w:r>
      <w:r w:rsidR="00AD7CB9" w:rsidRPr="0092586A">
        <w:rPr>
          <w:rFonts w:ascii="Century Gothic" w:hAnsi="Century Gothic"/>
          <w:lang w:val="en-US"/>
        </w:rPr>
        <w:t xml:space="preserve">, </w:t>
      </w:r>
      <w:r w:rsidR="0002251F" w:rsidRPr="0092586A">
        <w:rPr>
          <w:rFonts w:ascii="Century Gothic" w:hAnsi="Century Gothic"/>
          <w:lang w:val="en-US"/>
        </w:rPr>
        <w:t>to keep</w:t>
      </w:r>
      <w:r w:rsidR="00561F75" w:rsidRPr="0092586A">
        <w:rPr>
          <w:rFonts w:ascii="Century Gothic" w:hAnsi="Century Gothic"/>
          <w:lang w:val="en-US"/>
        </w:rPr>
        <w:t xml:space="preserve"> the focus as indicated</w:t>
      </w:r>
      <w:r w:rsidR="0081039D" w:rsidRPr="0092586A">
        <w:rPr>
          <w:rFonts w:ascii="Century Gothic" w:hAnsi="Century Gothic"/>
          <w:lang w:val="en-US"/>
        </w:rPr>
        <w:t xml:space="preserve">, but he was ultimately unable to submit anything more than that the annexures themselves are not yet before court and should be accepted </w:t>
      </w:r>
      <w:r w:rsidR="0081039D" w:rsidRPr="0092586A">
        <w:rPr>
          <w:rFonts w:ascii="Century Gothic" w:hAnsi="Century Gothic"/>
          <w:i/>
          <w:iCs/>
          <w:lang w:val="en-US"/>
        </w:rPr>
        <w:t>“… for the sake of completeness”</w:t>
      </w:r>
      <w:r w:rsidR="00561F75" w:rsidRPr="0092586A">
        <w:rPr>
          <w:rFonts w:ascii="Century Gothic" w:hAnsi="Century Gothic"/>
          <w:lang w:val="en-US"/>
        </w:rPr>
        <w:t>.</w:t>
      </w:r>
    </w:p>
    <w:p w14:paraId="54C9664F" w14:textId="77777777" w:rsidR="00752F8F" w:rsidRPr="00752F8F" w:rsidRDefault="00752F8F" w:rsidP="00AD7CB9">
      <w:pPr>
        <w:pStyle w:val="ListParagraph"/>
        <w:ind w:left="567" w:hanging="567"/>
        <w:jc w:val="both"/>
        <w:rPr>
          <w:rFonts w:ascii="Century Gothic" w:hAnsi="Century Gothic"/>
          <w:lang w:val="en-US"/>
        </w:rPr>
      </w:pPr>
    </w:p>
    <w:p w14:paraId="46F2D1B8" w14:textId="77777777" w:rsidR="006F7581" w:rsidRPr="006F7581" w:rsidRDefault="006F7581" w:rsidP="00AD7CB9">
      <w:pPr>
        <w:pStyle w:val="ListParagraph"/>
        <w:ind w:left="567" w:hanging="567"/>
        <w:jc w:val="both"/>
        <w:rPr>
          <w:rFonts w:ascii="Century Gothic" w:hAnsi="Century Gothic"/>
          <w:lang w:val="en-US"/>
        </w:rPr>
      </w:pPr>
    </w:p>
    <w:p w14:paraId="1351DF5E" w14:textId="707100F7" w:rsidR="006F7581" w:rsidRPr="0092586A" w:rsidRDefault="0092586A" w:rsidP="0092586A">
      <w:pPr>
        <w:spacing w:after="480" w:line="480" w:lineRule="auto"/>
        <w:ind w:left="567" w:hanging="567"/>
        <w:jc w:val="both"/>
        <w:rPr>
          <w:rFonts w:ascii="Century Gothic" w:hAnsi="Century Gothic"/>
          <w:lang w:val="en-US"/>
        </w:rPr>
      </w:pPr>
      <w:r>
        <w:rPr>
          <w:rFonts w:ascii="Century Gothic" w:hAnsi="Century Gothic"/>
          <w:lang w:val="en-US"/>
        </w:rPr>
        <w:t>k)</w:t>
      </w:r>
      <w:r>
        <w:rPr>
          <w:rFonts w:ascii="Century Gothic" w:hAnsi="Century Gothic"/>
          <w:lang w:val="en-US"/>
        </w:rPr>
        <w:tab/>
      </w:r>
      <w:r w:rsidR="006F7581" w:rsidRPr="0092586A">
        <w:rPr>
          <w:rFonts w:ascii="Century Gothic" w:hAnsi="Century Gothic"/>
          <w:lang w:val="en-US"/>
        </w:rPr>
        <w:t xml:space="preserve">I was not persuaded that the proposed supplementary affidavit </w:t>
      </w:r>
      <w:r w:rsidR="00752F8F" w:rsidRPr="0092586A">
        <w:rPr>
          <w:rFonts w:ascii="Century Gothic" w:hAnsi="Century Gothic"/>
          <w:lang w:val="en-US"/>
        </w:rPr>
        <w:t xml:space="preserve">and annexures </w:t>
      </w:r>
      <w:r w:rsidR="0081039D" w:rsidRPr="0092586A">
        <w:rPr>
          <w:rFonts w:ascii="Century Gothic" w:hAnsi="Century Gothic"/>
          <w:lang w:val="en-US"/>
        </w:rPr>
        <w:t xml:space="preserve">should be allowed that application was dismissed with punitive costs.  </w:t>
      </w:r>
      <w:r w:rsidR="006F7581" w:rsidRPr="0092586A">
        <w:rPr>
          <w:rFonts w:ascii="Century Gothic" w:hAnsi="Century Gothic"/>
          <w:lang w:val="en-US"/>
        </w:rPr>
        <w:t xml:space="preserve">Again, I gave my </w:t>
      </w:r>
      <w:r w:rsidR="002B6676" w:rsidRPr="0092586A">
        <w:rPr>
          <w:rFonts w:ascii="Century Gothic" w:hAnsi="Century Gothic"/>
          <w:lang w:val="en-US"/>
        </w:rPr>
        <w:t xml:space="preserve">ruling </w:t>
      </w:r>
      <w:r w:rsidR="00247317" w:rsidRPr="0092586A">
        <w:rPr>
          <w:rFonts w:ascii="Century Gothic" w:hAnsi="Century Gothic"/>
          <w:lang w:val="en-US"/>
        </w:rPr>
        <w:t xml:space="preserve">and reasons </w:t>
      </w:r>
      <w:r w:rsidR="006F7581" w:rsidRPr="0092586A">
        <w:rPr>
          <w:rFonts w:ascii="Century Gothic" w:hAnsi="Century Gothic"/>
          <w:i/>
          <w:iCs/>
          <w:lang w:val="en-US"/>
        </w:rPr>
        <w:t>ex tem</w:t>
      </w:r>
      <w:r w:rsidR="002B6676" w:rsidRPr="0092586A">
        <w:rPr>
          <w:rFonts w:ascii="Century Gothic" w:hAnsi="Century Gothic"/>
          <w:i/>
          <w:iCs/>
          <w:lang w:val="en-US"/>
        </w:rPr>
        <w:t>p</w:t>
      </w:r>
      <w:r w:rsidR="006F7581" w:rsidRPr="0092586A">
        <w:rPr>
          <w:rFonts w:ascii="Century Gothic" w:hAnsi="Century Gothic"/>
          <w:i/>
          <w:iCs/>
          <w:lang w:val="en-US"/>
        </w:rPr>
        <w:t>ore</w:t>
      </w:r>
      <w:r w:rsidR="00247317" w:rsidRPr="0092586A">
        <w:rPr>
          <w:rFonts w:ascii="Century Gothic" w:hAnsi="Century Gothic"/>
          <w:i/>
          <w:iCs/>
          <w:lang w:val="en-US"/>
        </w:rPr>
        <w:t>,</w:t>
      </w:r>
      <w:r w:rsidR="006F7581" w:rsidRPr="0092586A">
        <w:rPr>
          <w:rFonts w:ascii="Century Gothic" w:hAnsi="Century Gothic"/>
          <w:i/>
          <w:iCs/>
          <w:lang w:val="en-US"/>
        </w:rPr>
        <w:t xml:space="preserve"> </w:t>
      </w:r>
      <w:r w:rsidR="006F7581" w:rsidRPr="0092586A">
        <w:rPr>
          <w:rFonts w:ascii="Century Gothic" w:hAnsi="Century Gothic"/>
          <w:lang w:val="en-US"/>
        </w:rPr>
        <w:t xml:space="preserve">which I will not </w:t>
      </w:r>
      <w:r w:rsidR="006F7581" w:rsidRPr="0092586A">
        <w:rPr>
          <w:rFonts w:ascii="Century Gothic" w:hAnsi="Century Gothic"/>
          <w:lang w:val="en-US"/>
        </w:rPr>
        <w:lastRenderedPageBreak/>
        <w:t>repeat.</w:t>
      </w:r>
      <w:r w:rsidR="002B6676" w:rsidRPr="0092586A">
        <w:rPr>
          <w:rFonts w:ascii="Century Gothic" w:hAnsi="Century Gothic"/>
          <w:lang w:val="en-US"/>
        </w:rPr>
        <w:t xml:space="preserve">  By then it was after 16:00</w:t>
      </w:r>
      <w:r w:rsidR="00561F75" w:rsidRPr="0092586A">
        <w:rPr>
          <w:rFonts w:ascii="Century Gothic" w:hAnsi="Century Gothic"/>
          <w:lang w:val="en-US"/>
        </w:rPr>
        <w:t xml:space="preserve"> </w:t>
      </w:r>
      <w:r w:rsidR="002B6676" w:rsidRPr="0092586A">
        <w:rPr>
          <w:rFonts w:ascii="Century Gothic" w:hAnsi="Century Gothic"/>
          <w:lang w:val="en-US"/>
        </w:rPr>
        <w:t>and the court was adjourned until the next morning.</w:t>
      </w:r>
    </w:p>
    <w:p w14:paraId="6D5DCADD" w14:textId="77777777" w:rsidR="002B6676" w:rsidRPr="002B6676" w:rsidRDefault="002B6676" w:rsidP="00AD7CB9">
      <w:pPr>
        <w:pStyle w:val="ListParagraph"/>
        <w:ind w:left="567" w:hanging="567"/>
        <w:jc w:val="both"/>
        <w:rPr>
          <w:rFonts w:ascii="Century Gothic" w:hAnsi="Century Gothic"/>
          <w:lang w:val="en-US"/>
        </w:rPr>
      </w:pPr>
    </w:p>
    <w:p w14:paraId="577CE4AE" w14:textId="66578F62" w:rsidR="002B6676" w:rsidRPr="0092586A" w:rsidRDefault="0092586A" w:rsidP="0092586A">
      <w:pPr>
        <w:spacing w:after="480" w:line="480" w:lineRule="auto"/>
        <w:ind w:left="567" w:hanging="567"/>
        <w:jc w:val="both"/>
        <w:rPr>
          <w:rFonts w:ascii="Century Gothic" w:hAnsi="Century Gothic"/>
          <w:lang w:val="en-US"/>
        </w:rPr>
      </w:pPr>
      <w:r w:rsidRPr="000B20D4">
        <w:rPr>
          <w:rFonts w:ascii="Century Gothic" w:hAnsi="Century Gothic"/>
          <w:lang w:val="en-US"/>
        </w:rPr>
        <w:t>l)</w:t>
      </w:r>
      <w:r w:rsidRPr="000B20D4">
        <w:rPr>
          <w:rFonts w:ascii="Century Gothic" w:hAnsi="Century Gothic"/>
          <w:lang w:val="en-US"/>
        </w:rPr>
        <w:tab/>
      </w:r>
      <w:r w:rsidR="002B6676" w:rsidRPr="0092586A">
        <w:rPr>
          <w:rFonts w:ascii="Century Gothic" w:hAnsi="Century Gothic"/>
          <w:lang w:val="en-US"/>
        </w:rPr>
        <w:t xml:space="preserve">The next morning, I was informed by Mr Ngandwe that his mandate had been terminated and that he wished to be excused.  I excused him.  Then, the attorney for the first </w:t>
      </w:r>
      <w:r w:rsidR="00247317" w:rsidRPr="0092586A">
        <w:rPr>
          <w:rFonts w:ascii="Century Gothic" w:hAnsi="Century Gothic"/>
          <w:lang w:val="en-US"/>
        </w:rPr>
        <w:t>to</w:t>
      </w:r>
      <w:r w:rsidR="002B6676" w:rsidRPr="0092586A">
        <w:rPr>
          <w:rFonts w:ascii="Century Gothic" w:hAnsi="Century Gothic"/>
          <w:lang w:val="en-US"/>
        </w:rPr>
        <w:t xml:space="preserve"> third respondents (Mr Khumisi) sought to – orally - apply for a postponement of the matter.  I allowed </w:t>
      </w:r>
      <w:r w:rsidR="00247317" w:rsidRPr="0092586A">
        <w:rPr>
          <w:rFonts w:ascii="Century Gothic" w:hAnsi="Century Gothic"/>
          <w:lang w:val="en-US"/>
        </w:rPr>
        <w:t xml:space="preserve">Mr Khumisi to do that, </w:t>
      </w:r>
      <w:r w:rsidR="002B6676" w:rsidRPr="0092586A">
        <w:rPr>
          <w:rFonts w:ascii="Century Gothic" w:hAnsi="Century Gothic"/>
          <w:lang w:val="en-US"/>
        </w:rPr>
        <w:t xml:space="preserve"> though with the cautioning that, if the first, second and third respondents wish to rely on an</w:t>
      </w:r>
      <w:r w:rsidR="00752F8F" w:rsidRPr="0092586A">
        <w:rPr>
          <w:rFonts w:ascii="Century Gothic" w:hAnsi="Century Gothic"/>
          <w:lang w:val="en-US"/>
        </w:rPr>
        <w:t>y</w:t>
      </w:r>
      <w:r w:rsidR="002B6676" w:rsidRPr="0092586A">
        <w:rPr>
          <w:rFonts w:ascii="Century Gothic" w:hAnsi="Century Gothic"/>
          <w:lang w:val="en-US"/>
        </w:rPr>
        <w:t xml:space="preserve"> factual considerations </w:t>
      </w:r>
      <w:r w:rsidR="00752F8F" w:rsidRPr="0092586A">
        <w:rPr>
          <w:rFonts w:ascii="Century Gothic" w:hAnsi="Century Gothic"/>
          <w:lang w:val="en-US"/>
        </w:rPr>
        <w:t xml:space="preserve">not yet </w:t>
      </w:r>
      <w:r w:rsidR="002B6676" w:rsidRPr="0092586A">
        <w:rPr>
          <w:rFonts w:ascii="Century Gothic" w:hAnsi="Century Gothic"/>
          <w:lang w:val="en-US"/>
        </w:rPr>
        <w:t>before the court</w:t>
      </w:r>
      <w:r w:rsidR="00561F75" w:rsidRPr="0092586A">
        <w:rPr>
          <w:rFonts w:ascii="Century Gothic" w:hAnsi="Century Gothic"/>
          <w:lang w:val="en-US"/>
        </w:rPr>
        <w:t xml:space="preserve"> – in support of the application for a postponement – those facts should be presented</w:t>
      </w:r>
      <w:r w:rsidR="002B6676" w:rsidRPr="0092586A">
        <w:rPr>
          <w:rFonts w:ascii="Century Gothic" w:hAnsi="Century Gothic"/>
          <w:lang w:val="en-US"/>
        </w:rPr>
        <w:t xml:space="preserve"> under oath</w:t>
      </w:r>
      <w:r w:rsidR="000B20D4" w:rsidRPr="0092586A">
        <w:rPr>
          <w:rFonts w:ascii="Century Gothic" w:hAnsi="Century Gothic"/>
          <w:lang w:val="en-US"/>
        </w:rPr>
        <w:t xml:space="preserve"> – either of affidavit or </w:t>
      </w:r>
      <w:r w:rsidR="000B20D4" w:rsidRPr="0092586A">
        <w:rPr>
          <w:rFonts w:ascii="Century Gothic" w:hAnsi="Century Gothic"/>
          <w:i/>
          <w:iCs/>
          <w:lang w:val="en-US"/>
        </w:rPr>
        <w:t>viva voce</w:t>
      </w:r>
      <w:r w:rsidR="00247317" w:rsidRPr="0092586A">
        <w:rPr>
          <w:rFonts w:ascii="Century Gothic" w:hAnsi="Century Gothic"/>
          <w:lang w:val="en-US"/>
        </w:rPr>
        <w:t>.</w:t>
      </w:r>
      <w:r w:rsidR="00561F75" w:rsidRPr="0092586A">
        <w:rPr>
          <w:rFonts w:ascii="Century Gothic" w:hAnsi="Century Gothic"/>
          <w:lang w:val="en-US"/>
        </w:rPr>
        <w:t xml:space="preserve"> </w:t>
      </w:r>
      <w:r w:rsidR="000B20D4" w:rsidRPr="0092586A">
        <w:rPr>
          <w:rFonts w:ascii="Century Gothic" w:hAnsi="Century Gothic"/>
          <w:lang w:val="en-US"/>
        </w:rPr>
        <w:t xml:space="preserve">  </w:t>
      </w:r>
      <w:r w:rsidR="002B6676" w:rsidRPr="0092586A">
        <w:rPr>
          <w:rFonts w:ascii="Century Gothic" w:hAnsi="Century Gothic"/>
          <w:lang w:val="en-US"/>
        </w:rPr>
        <w:t xml:space="preserve">Mr Khumisi elected to present the </w:t>
      </w:r>
      <w:r w:rsidR="002B6676" w:rsidRPr="0092586A">
        <w:rPr>
          <w:rFonts w:ascii="Century Gothic" w:hAnsi="Century Gothic"/>
          <w:i/>
          <w:iCs/>
          <w:lang w:val="en-US"/>
        </w:rPr>
        <w:t>viva voce</w:t>
      </w:r>
      <w:r w:rsidR="000B20D4" w:rsidRPr="0092586A">
        <w:rPr>
          <w:rFonts w:ascii="Century Gothic" w:hAnsi="Century Gothic"/>
          <w:i/>
          <w:iCs/>
          <w:lang w:val="en-US"/>
        </w:rPr>
        <w:t xml:space="preserve"> </w:t>
      </w:r>
      <w:r w:rsidR="000B20D4" w:rsidRPr="0092586A">
        <w:rPr>
          <w:rFonts w:ascii="Century Gothic" w:hAnsi="Century Gothic"/>
          <w:lang w:val="en-US"/>
        </w:rPr>
        <w:t>evidence</w:t>
      </w:r>
      <w:r w:rsidR="002B6676" w:rsidRPr="0092586A">
        <w:rPr>
          <w:rFonts w:ascii="Century Gothic" w:hAnsi="Century Gothic"/>
          <w:i/>
          <w:iCs/>
          <w:lang w:val="en-US"/>
        </w:rPr>
        <w:t xml:space="preserve"> </w:t>
      </w:r>
      <w:r w:rsidR="002B6676" w:rsidRPr="0092586A">
        <w:rPr>
          <w:rFonts w:ascii="Century Gothic" w:hAnsi="Century Gothic"/>
          <w:lang w:val="en-US"/>
        </w:rPr>
        <w:t>of Mr Mdwaba,</w:t>
      </w:r>
    </w:p>
    <w:p w14:paraId="7F30E4A4" w14:textId="77777777" w:rsidR="002B6676" w:rsidRPr="002B6676" w:rsidRDefault="002B6676" w:rsidP="00AD7CB9">
      <w:pPr>
        <w:pStyle w:val="ListParagraph"/>
        <w:ind w:left="567" w:hanging="567"/>
        <w:jc w:val="both"/>
        <w:rPr>
          <w:rFonts w:ascii="Century Gothic" w:hAnsi="Century Gothic"/>
          <w:lang w:val="en-US"/>
        </w:rPr>
      </w:pPr>
    </w:p>
    <w:p w14:paraId="24D722AE" w14:textId="5EA38ECE" w:rsidR="00D6652D" w:rsidRPr="0092586A" w:rsidRDefault="0092586A" w:rsidP="0092586A">
      <w:pPr>
        <w:spacing w:after="480" w:line="480" w:lineRule="auto"/>
        <w:ind w:left="567" w:hanging="567"/>
        <w:jc w:val="both"/>
        <w:rPr>
          <w:rFonts w:ascii="Century Gothic" w:hAnsi="Century Gothic"/>
          <w:lang w:val="en-US"/>
        </w:rPr>
      </w:pPr>
      <w:r>
        <w:rPr>
          <w:rFonts w:ascii="Century Gothic" w:hAnsi="Century Gothic"/>
          <w:lang w:val="en-US"/>
        </w:rPr>
        <w:t>m)</w:t>
      </w:r>
      <w:r>
        <w:rPr>
          <w:rFonts w:ascii="Century Gothic" w:hAnsi="Century Gothic"/>
          <w:lang w:val="en-US"/>
        </w:rPr>
        <w:tab/>
      </w:r>
      <w:r w:rsidR="002B6676" w:rsidRPr="0092586A">
        <w:rPr>
          <w:rFonts w:ascii="Century Gothic" w:hAnsi="Century Gothic"/>
          <w:lang w:val="en-US"/>
        </w:rPr>
        <w:t xml:space="preserve">Mr Mdwaba then </w:t>
      </w:r>
      <w:r w:rsidR="000B20D4" w:rsidRPr="0092586A">
        <w:rPr>
          <w:rFonts w:ascii="Century Gothic" w:hAnsi="Century Gothic"/>
          <w:lang w:val="en-US"/>
        </w:rPr>
        <w:t xml:space="preserve">took </w:t>
      </w:r>
      <w:r w:rsidR="002B6676" w:rsidRPr="0092586A">
        <w:rPr>
          <w:rFonts w:ascii="Century Gothic" w:hAnsi="Century Gothic"/>
          <w:lang w:val="en-US"/>
        </w:rPr>
        <w:t xml:space="preserve">to the witness stand and </w:t>
      </w:r>
      <w:r w:rsidR="000B20D4" w:rsidRPr="0092586A">
        <w:rPr>
          <w:rFonts w:ascii="Century Gothic" w:hAnsi="Century Gothic"/>
          <w:lang w:val="en-US"/>
        </w:rPr>
        <w:t xml:space="preserve">was </w:t>
      </w:r>
      <w:r w:rsidR="002B6676" w:rsidRPr="0092586A">
        <w:rPr>
          <w:rFonts w:ascii="Century Gothic" w:hAnsi="Century Gothic"/>
          <w:lang w:val="en-US"/>
        </w:rPr>
        <w:t xml:space="preserve">sworn in.  </w:t>
      </w:r>
      <w:r w:rsidR="00AC3DDA" w:rsidRPr="0092586A">
        <w:rPr>
          <w:rFonts w:ascii="Century Gothic" w:hAnsi="Century Gothic"/>
          <w:lang w:val="en-US"/>
        </w:rPr>
        <w:t xml:space="preserve">He explained </w:t>
      </w:r>
      <w:r w:rsidR="00340C10" w:rsidRPr="0092586A">
        <w:rPr>
          <w:rFonts w:ascii="Century Gothic" w:hAnsi="Century Gothic"/>
          <w:lang w:val="en-US"/>
        </w:rPr>
        <w:t xml:space="preserve">(I paraphrase) </w:t>
      </w:r>
      <w:r w:rsidR="00AC3DDA" w:rsidRPr="0092586A">
        <w:rPr>
          <w:rFonts w:ascii="Century Gothic" w:hAnsi="Century Gothic"/>
          <w:lang w:val="en-US"/>
        </w:rPr>
        <w:t xml:space="preserve">that he </w:t>
      </w:r>
      <w:r w:rsidR="00752F8F" w:rsidRPr="0092586A">
        <w:rPr>
          <w:rFonts w:ascii="Century Gothic" w:hAnsi="Century Gothic"/>
          <w:lang w:val="en-US"/>
        </w:rPr>
        <w:t>had</w:t>
      </w:r>
      <w:r w:rsidR="00AC3DDA" w:rsidRPr="0092586A">
        <w:rPr>
          <w:rFonts w:ascii="Century Gothic" w:hAnsi="Century Gothic"/>
          <w:lang w:val="en-US"/>
        </w:rPr>
        <w:t xml:space="preserve"> not </w:t>
      </w:r>
      <w:r w:rsidR="00752F8F" w:rsidRPr="0092586A">
        <w:rPr>
          <w:rFonts w:ascii="Century Gothic" w:hAnsi="Century Gothic"/>
          <w:lang w:val="en-US"/>
        </w:rPr>
        <w:t xml:space="preserve">been </w:t>
      </w:r>
      <w:r w:rsidR="00AC3DDA" w:rsidRPr="0092586A">
        <w:rPr>
          <w:rFonts w:ascii="Century Gothic" w:hAnsi="Century Gothic"/>
          <w:lang w:val="en-US"/>
        </w:rPr>
        <w:t>satisfied with the manner in which I had interacted with his counsel the previous day</w:t>
      </w:r>
      <w:r w:rsidR="00247317" w:rsidRPr="0092586A">
        <w:rPr>
          <w:rFonts w:ascii="Century Gothic" w:hAnsi="Century Gothic"/>
          <w:lang w:val="en-US"/>
        </w:rPr>
        <w:t>s</w:t>
      </w:r>
      <w:r w:rsidR="00AC3DDA" w:rsidRPr="0092586A">
        <w:rPr>
          <w:rFonts w:ascii="Century Gothic" w:hAnsi="Century Gothic"/>
          <w:lang w:val="en-US"/>
        </w:rPr>
        <w:t xml:space="preserve">, although his counsel assured him that there was no difficulty between him </w:t>
      </w:r>
      <w:r w:rsidR="00247317" w:rsidRPr="0092586A">
        <w:rPr>
          <w:rFonts w:ascii="Century Gothic" w:hAnsi="Century Gothic"/>
          <w:lang w:val="en-US"/>
        </w:rPr>
        <w:t xml:space="preserve">(Mr Ngandwe) </w:t>
      </w:r>
      <w:r w:rsidR="00AC3DDA" w:rsidRPr="0092586A">
        <w:rPr>
          <w:rFonts w:ascii="Century Gothic" w:hAnsi="Century Gothic"/>
          <w:lang w:val="en-US"/>
        </w:rPr>
        <w:t xml:space="preserve">and the bench.  He </w:t>
      </w:r>
      <w:r w:rsidR="00752F8F" w:rsidRPr="0092586A">
        <w:rPr>
          <w:rFonts w:ascii="Century Gothic" w:hAnsi="Century Gothic"/>
          <w:lang w:val="en-US"/>
        </w:rPr>
        <w:t xml:space="preserve">further explained that he, his attorney </w:t>
      </w:r>
      <w:r w:rsidR="00AC3DDA" w:rsidRPr="0092586A">
        <w:rPr>
          <w:rFonts w:ascii="Century Gothic" w:hAnsi="Century Gothic"/>
          <w:lang w:val="en-US"/>
        </w:rPr>
        <w:t xml:space="preserve">and his counsel had - the previous evening - considered </w:t>
      </w:r>
      <w:r w:rsidR="00430FA6" w:rsidRPr="0092586A">
        <w:rPr>
          <w:rFonts w:ascii="Century Gothic" w:hAnsi="Century Gothic"/>
          <w:lang w:val="en-US"/>
        </w:rPr>
        <w:t>their strategy.  The</w:t>
      </w:r>
      <w:r w:rsidR="00561F75" w:rsidRPr="0092586A">
        <w:rPr>
          <w:rFonts w:ascii="Century Gothic" w:hAnsi="Century Gothic"/>
          <w:lang w:val="en-US"/>
        </w:rPr>
        <w:t>y</w:t>
      </w:r>
      <w:r w:rsidR="00430FA6" w:rsidRPr="0092586A">
        <w:rPr>
          <w:rFonts w:ascii="Century Gothic" w:hAnsi="Century Gothic"/>
          <w:lang w:val="en-US"/>
        </w:rPr>
        <w:t xml:space="preserve"> had </w:t>
      </w:r>
      <w:r w:rsidR="00247317" w:rsidRPr="0092586A">
        <w:rPr>
          <w:rFonts w:ascii="Century Gothic" w:hAnsi="Century Gothic"/>
          <w:lang w:val="en-US"/>
        </w:rPr>
        <w:t xml:space="preserve">even </w:t>
      </w:r>
      <w:r w:rsidR="00430FA6" w:rsidRPr="0092586A">
        <w:rPr>
          <w:rFonts w:ascii="Century Gothic" w:hAnsi="Century Gothic"/>
          <w:lang w:val="en-US"/>
        </w:rPr>
        <w:t xml:space="preserve">considered </w:t>
      </w:r>
      <w:r w:rsidR="00AC3DDA" w:rsidRPr="0092586A">
        <w:rPr>
          <w:rFonts w:ascii="Century Gothic" w:hAnsi="Century Gothic"/>
          <w:lang w:val="en-US"/>
        </w:rPr>
        <w:t xml:space="preserve">an application for my </w:t>
      </w:r>
      <w:r w:rsidR="00F6541A" w:rsidRPr="0092586A">
        <w:rPr>
          <w:rFonts w:ascii="Century Gothic" w:hAnsi="Century Gothic"/>
          <w:lang w:val="en-US"/>
        </w:rPr>
        <w:t>recusal but</w:t>
      </w:r>
      <w:r w:rsidR="00AC3DDA" w:rsidRPr="0092586A">
        <w:rPr>
          <w:rFonts w:ascii="Century Gothic" w:hAnsi="Century Gothic"/>
          <w:lang w:val="en-US"/>
        </w:rPr>
        <w:t xml:space="preserve"> decided against it.   Their </w:t>
      </w:r>
      <w:r w:rsidR="00561F75" w:rsidRPr="0092586A">
        <w:rPr>
          <w:rFonts w:ascii="Century Gothic" w:hAnsi="Century Gothic"/>
          <w:lang w:val="en-US"/>
        </w:rPr>
        <w:t xml:space="preserve">joint </w:t>
      </w:r>
      <w:r w:rsidR="00AC3DDA" w:rsidRPr="0092586A">
        <w:rPr>
          <w:rFonts w:ascii="Century Gothic" w:hAnsi="Century Gothic"/>
          <w:lang w:val="en-US"/>
        </w:rPr>
        <w:t xml:space="preserve">decision </w:t>
      </w:r>
      <w:r w:rsidR="00430FA6" w:rsidRPr="0092586A">
        <w:rPr>
          <w:rFonts w:ascii="Century Gothic" w:hAnsi="Century Gothic"/>
          <w:lang w:val="en-US"/>
        </w:rPr>
        <w:t xml:space="preserve">had </w:t>
      </w:r>
      <w:r w:rsidR="00561F75" w:rsidRPr="0092586A">
        <w:rPr>
          <w:rFonts w:ascii="Century Gothic" w:hAnsi="Century Gothic"/>
          <w:lang w:val="en-US"/>
        </w:rPr>
        <w:t xml:space="preserve">ultimately </w:t>
      </w:r>
      <w:r w:rsidR="00430FA6" w:rsidRPr="0092586A">
        <w:rPr>
          <w:rFonts w:ascii="Century Gothic" w:hAnsi="Century Gothic"/>
          <w:lang w:val="en-US"/>
        </w:rPr>
        <w:t>been</w:t>
      </w:r>
      <w:r w:rsidR="00561F75" w:rsidRPr="0092586A">
        <w:rPr>
          <w:rFonts w:ascii="Century Gothic" w:hAnsi="Century Gothic"/>
          <w:lang w:val="en-US"/>
        </w:rPr>
        <w:t xml:space="preserve"> </w:t>
      </w:r>
      <w:r w:rsidR="00AC3DDA" w:rsidRPr="0092586A">
        <w:rPr>
          <w:rFonts w:ascii="Century Gothic" w:hAnsi="Century Gothic"/>
          <w:lang w:val="en-US"/>
        </w:rPr>
        <w:t xml:space="preserve">that the </w:t>
      </w:r>
      <w:r w:rsidR="00561F75" w:rsidRPr="0092586A">
        <w:rPr>
          <w:rFonts w:ascii="Century Gothic" w:hAnsi="Century Gothic"/>
          <w:lang w:val="en-US"/>
        </w:rPr>
        <w:t xml:space="preserve">mandate of </w:t>
      </w:r>
      <w:r w:rsidR="00AC3DDA" w:rsidRPr="0092586A">
        <w:rPr>
          <w:rFonts w:ascii="Century Gothic" w:hAnsi="Century Gothic"/>
          <w:lang w:val="en-US"/>
        </w:rPr>
        <w:t>Mr Ngandwe</w:t>
      </w:r>
      <w:r w:rsidR="00561F75" w:rsidRPr="0092586A">
        <w:rPr>
          <w:rFonts w:ascii="Century Gothic" w:hAnsi="Century Gothic"/>
          <w:lang w:val="en-US"/>
        </w:rPr>
        <w:t xml:space="preserve">, as counsel, </w:t>
      </w:r>
      <w:r w:rsidR="00F6541A" w:rsidRPr="0092586A">
        <w:rPr>
          <w:rFonts w:ascii="Century Gothic" w:hAnsi="Century Gothic"/>
          <w:lang w:val="en-US"/>
        </w:rPr>
        <w:t>would</w:t>
      </w:r>
      <w:r w:rsidR="00561F75" w:rsidRPr="0092586A">
        <w:rPr>
          <w:rFonts w:ascii="Century Gothic" w:hAnsi="Century Gothic"/>
          <w:lang w:val="en-US"/>
        </w:rPr>
        <w:t xml:space="preserve"> be terminated,</w:t>
      </w:r>
      <w:r w:rsidR="00AC3DDA" w:rsidRPr="0092586A">
        <w:rPr>
          <w:rFonts w:ascii="Century Gothic" w:hAnsi="Century Gothic"/>
          <w:lang w:val="en-US"/>
        </w:rPr>
        <w:t xml:space="preserve"> even though there was no </w:t>
      </w:r>
      <w:r w:rsidR="00AC3DDA" w:rsidRPr="0092586A">
        <w:rPr>
          <w:rFonts w:ascii="Century Gothic" w:hAnsi="Century Gothic"/>
          <w:lang w:val="en-US"/>
        </w:rPr>
        <w:lastRenderedPageBreak/>
        <w:t>dissatisfaction with his handling of the matter</w:t>
      </w:r>
      <w:r w:rsidR="00561F75" w:rsidRPr="0092586A">
        <w:rPr>
          <w:rFonts w:ascii="Century Gothic" w:hAnsi="Century Gothic"/>
          <w:lang w:val="en-US"/>
        </w:rPr>
        <w:t>.  This, they estimated,</w:t>
      </w:r>
      <w:r w:rsidR="00AC3DDA" w:rsidRPr="0092586A">
        <w:rPr>
          <w:rFonts w:ascii="Century Gothic" w:hAnsi="Century Gothic"/>
          <w:lang w:val="en-US"/>
        </w:rPr>
        <w:t xml:space="preserve"> </w:t>
      </w:r>
      <w:r w:rsidR="00430FA6" w:rsidRPr="0092586A">
        <w:rPr>
          <w:rFonts w:ascii="Century Gothic" w:hAnsi="Century Gothic"/>
          <w:lang w:val="en-US"/>
        </w:rPr>
        <w:t>sh</w:t>
      </w:r>
      <w:r w:rsidR="00AC3DDA" w:rsidRPr="0092586A">
        <w:rPr>
          <w:rFonts w:ascii="Century Gothic" w:hAnsi="Century Gothic"/>
          <w:lang w:val="en-US"/>
        </w:rPr>
        <w:t>ould achieve a postponement</w:t>
      </w:r>
      <w:r w:rsidR="00561F75" w:rsidRPr="0092586A">
        <w:rPr>
          <w:rFonts w:ascii="Century Gothic" w:hAnsi="Century Gothic"/>
          <w:lang w:val="en-US"/>
        </w:rPr>
        <w:t xml:space="preserve"> - h</w:t>
      </w:r>
      <w:r w:rsidR="00AC3DDA" w:rsidRPr="0092586A">
        <w:rPr>
          <w:rFonts w:ascii="Century Gothic" w:hAnsi="Century Gothic"/>
          <w:lang w:val="en-US"/>
        </w:rPr>
        <w:t>ence the turn of events that morning.</w:t>
      </w:r>
      <w:r w:rsidR="00340C10" w:rsidRPr="0092586A">
        <w:rPr>
          <w:rFonts w:ascii="Century Gothic" w:hAnsi="Century Gothic"/>
          <w:lang w:val="en-US"/>
        </w:rPr>
        <w:t xml:space="preserve">  </w:t>
      </w:r>
    </w:p>
    <w:p w14:paraId="6C5A372A" w14:textId="77777777" w:rsidR="00D6652D" w:rsidRPr="00D6652D" w:rsidRDefault="00D6652D" w:rsidP="00D6652D">
      <w:pPr>
        <w:pStyle w:val="ListParagraph"/>
        <w:rPr>
          <w:rFonts w:ascii="Century Gothic" w:hAnsi="Century Gothic"/>
          <w:lang w:val="en-US"/>
        </w:rPr>
      </w:pPr>
    </w:p>
    <w:p w14:paraId="4BFFE2BF" w14:textId="7DE43E34" w:rsidR="00AC3DDA" w:rsidRPr="0092586A" w:rsidRDefault="0092586A" w:rsidP="0092586A">
      <w:pPr>
        <w:spacing w:after="480" w:line="480" w:lineRule="auto"/>
        <w:ind w:left="567" w:hanging="567"/>
        <w:jc w:val="both"/>
        <w:rPr>
          <w:rFonts w:ascii="Century Gothic" w:hAnsi="Century Gothic"/>
          <w:lang w:val="en-US"/>
        </w:rPr>
      </w:pPr>
      <w:r w:rsidRPr="00D6652D">
        <w:rPr>
          <w:rFonts w:ascii="Century Gothic" w:hAnsi="Century Gothic"/>
          <w:lang w:val="en-US"/>
        </w:rPr>
        <w:t>n)</w:t>
      </w:r>
      <w:r w:rsidRPr="00D6652D">
        <w:rPr>
          <w:rFonts w:ascii="Century Gothic" w:hAnsi="Century Gothic"/>
          <w:lang w:val="en-US"/>
        </w:rPr>
        <w:tab/>
      </w:r>
      <w:r w:rsidR="00340C10" w:rsidRPr="0092586A">
        <w:rPr>
          <w:rFonts w:ascii="Century Gothic" w:hAnsi="Century Gothic"/>
          <w:lang w:val="en-US"/>
        </w:rPr>
        <w:t xml:space="preserve">Having heard further argument from Mr Khumisi, Mr Masuku </w:t>
      </w:r>
      <w:r w:rsidR="00561F75" w:rsidRPr="0092586A">
        <w:rPr>
          <w:rFonts w:ascii="Century Gothic" w:hAnsi="Century Gothic"/>
          <w:lang w:val="en-US"/>
        </w:rPr>
        <w:t>SC</w:t>
      </w:r>
      <w:r w:rsidR="00D6652D" w:rsidRPr="0092586A">
        <w:rPr>
          <w:rFonts w:ascii="Century Gothic" w:hAnsi="Century Gothic"/>
          <w:lang w:val="en-US"/>
        </w:rPr>
        <w:t xml:space="preserve"> </w:t>
      </w:r>
      <w:r w:rsidR="00340C10" w:rsidRPr="0092586A">
        <w:rPr>
          <w:rFonts w:ascii="Century Gothic" w:hAnsi="Century Gothic"/>
          <w:lang w:val="en-US"/>
        </w:rPr>
        <w:t xml:space="preserve">for the applicant and Mr Hulley </w:t>
      </w:r>
      <w:r w:rsidR="00561F75" w:rsidRPr="0092586A">
        <w:rPr>
          <w:rFonts w:ascii="Century Gothic" w:hAnsi="Century Gothic"/>
          <w:lang w:val="en-US"/>
        </w:rPr>
        <w:t xml:space="preserve">SC </w:t>
      </w:r>
      <w:r w:rsidR="00340C10" w:rsidRPr="0092586A">
        <w:rPr>
          <w:rFonts w:ascii="Century Gothic" w:hAnsi="Century Gothic"/>
          <w:lang w:val="en-US"/>
        </w:rPr>
        <w:t xml:space="preserve">for the eighth respondent, I refused the postponement.  Again, I gave my ruling and reasons </w:t>
      </w:r>
      <w:r w:rsidR="00340C10" w:rsidRPr="0092586A">
        <w:rPr>
          <w:rFonts w:ascii="Century Gothic" w:hAnsi="Century Gothic"/>
          <w:i/>
          <w:iCs/>
          <w:lang w:val="en-US"/>
        </w:rPr>
        <w:t>ex tempore</w:t>
      </w:r>
      <w:r w:rsidR="00561F75" w:rsidRPr="0092586A">
        <w:rPr>
          <w:rFonts w:ascii="Century Gothic" w:hAnsi="Century Gothic"/>
          <w:i/>
          <w:iCs/>
          <w:lang w:val="en-US"/>
        </w:rPr>
        <w:t xml:space="preserve">, </w:t>
      </w:r>
      <w:r w:rsidR="00561F75" w:rsidRPr="0092586A">
        <w:rPr>
          <w:rFonts w:ascii="Century Gothic" w:hAnsi="Century Gothic"/>
          <w:lang w:val="en-US"/>
        </w:rPr>
        <w:t>which I do not repeat herein</w:t>
      </w:r>
      <w:r w:rsidR="00340C10" w:rsidRPr="0092586A">
        <w:rPr>
          <w:rFonts w:ascii="Century Gothic" w:hAnsi="Century Gothic"/>
          <w:i/>
          <w:iCs/>
          <w:lang w:val="en-US"/>
        </w:rPr>
        <w:t>.</w:t>
      </w:r>
    </w:p>
    <w:p w14:paraId="7EB84A99" w14:textId="77777777" w:rsidR="00340C10" w:rsidRPr="00340C10" w:rsidRDefault="00340C10" w:rsidP="00AD7CB9">
      <w:pPr>
        <w:pStyle w:val="ListParagraph"/>
        <w:ind w:left="567" w:hanging="567"/>
        <w:jc w:val="both"/>
        <w:rPr>
          <w:rFonts w:ascii="Century Gothic" w:hAnsi="Century Gothic"/>
          <w:lang w:val="en-US"/>
        </w:rPr>
      </w:pPr>
    </w:p>
    <w:p w14:paraId="47F763B8" w14:textId="00204625" w:rsidR="00340C10" w:rsidRPr="0092586A" w:rsidRDefault="0092586A" w:rsidP="0092586A">
      <w:pPr>
        <w:spacing w:after="480" w:line="480" w:lineRule="auto"/>
        <w:ind w:left="567" w:hanging="567"/>
        <w:jc w:val="both"/>
        <w:rPr>
          <w:rFonts w:ascii="Century Gothic" w:hAnsi="Century Gothic"/>
          <w:lang w:val="en-US"/>
        </w:rPr>
      </w:pPr>
      <w:r>
        <w:rPr>
          <w:rFonts w:ascii="Century Gothic" w:hAnsi="Century Gothic"/>
          <w:lang w:val="en-US"/>
        </w:rPr>
        <w:t>o)</w:t>
      </w:r>
      <w:r>
        <w:rPr>
          <w:rFonts w:ascii="Century Gothic" w:hAnsi="Century Gothic"/>
          <w:lang w:val="en-US"/>
        </w:rPr>
        <w:tab/>
      </w:r>
      <w:r w:rsidR="00340C10" w:rsidRPr="0092586A">
        <w:rPr>
          <w:rFonts w:ascii="Century Gothic" w:hAnsi="Century Gothic"/>
          <w:lang w:val="en-US"/>
        </w:rPr>
        <w:t>Mr Khumisi then asked that he and the first to third respondents be excused from the proceedings altogether.  I excused them and directed Mr Masuku SC to continue with his argument for the applicant.</w:t>
      </w:r>
    </w:p>
    <w:p w14:paraId="007F0696" w14:textId="77777777" w:rsidR="00340C10" w:rsidRPr="00340C10" w:rsidRDefault="00340C10" w:rsidP="00AD7CB9">
      <w:pPr>
        <w:pStyle w:val="ListParagraph"/>
        <w:ind w:left="567" w:hanging="567"/>
        <w:jc w:val="both"/>
        <w:rPr>
          <w:rFonts w:ascii="Century Gothic" w:hAnsi="Century Gothic"/>
          <w:lang w:val="en-US"/>
        </w:rPr>
      </w:pPr>
    </w:p>
    <w:p w14:paraId="6F007B17" w14:textId="56E4E4BE" w:rsidR="00340C10" w:rsidRPr="0092586A" w:rsidRDefault="0092586A" w:rsidP="0092586A">
      <w:pPr>
        <w:spacing w:after="480" w:line="480" w:lineRule="auto"/>
        <w:jc w:val="both"/>
        <w:rPr>
          <w:rFonts w:ascii="Century Gothic" w:hAnsi="Century Gothic"/>
          <w:lang w:val="en-US"/>
        </w:rPr>
      </w:pPr>
      <w:r>
        <w:rPr>
          <w:rFonts w:ascii="Century Gothic" w:hAnsi="Century Gothic"/>
          <w:lang w:val="en-US"/>
        </w:rPr>
        <w:t>[5]</w:t>
      </w:r>
      <w:r>
        <w:rPr>
          <w:rFonts w:ascii="Century Gothic" w:hAnsi="Century Gothic"/>
          <w:lang w:val="en-US"/>
        </w:rPr>
        <w:tab/>
      </w:r>
      <w:r w:rsidR="00340C10" w:rsidRPr="0092586A">
        <w:rPr>
          <w:rFonts w:ascii="Century Gothic" w:hAnsi="Century Gothic"/>
          <w:lang w:val="en-US"/>
        </w:rPr>
        <w:t>I</w:t>
      </w:r>
      <w:r w:rsidR="00430FA6" w:rsidRPr="0092586A">
        <w:rPr>
          <w:rFonts w:ascii="Century Gothic" w:hAnsi="Century Gothic"/>
          <w:lang w:val="en-US"/>
        </w:rPr>
        <w:t>n</w:t>
      </w:r>
      <w:r w:rsidR="00340C10" w:rsidRPr="0092586A">
        <w:rPr>
          <w:rFonts w:ascii="Century Gothic" w:hAnsi="Century Gothic"/>
          <w:lang w:val="en-US"/>
        </w:rPr>
        <w:t xml:space="preserve"> preparing this judgment, I still had regard to and considered the answering affidavit and the heads of argument previously filed on behalf of the first to third respondents.</w:t>
      </w:r>
    </w:p>
    <w:p w14:paraId="0BFFC01B" w14:textId="77777777" w:rsidR="00340C10" w:rsidRPr="00340C10" w:rsidRDefault="00340C10" w:rsidP="00AD7CB9">
      <w:pPr>
        <w:pStyle w:val="ListParagraph"/>
        <w:spacing w:after="480" w:line="480" w:lineRule="auto"/>
        <w:ind w:left="567" w:hanging="567"/>
        <w:jc w:val="both"/>
        <w:rPr>
          <w:rFonts w:ascii="Century Gothic" w:hAnsi="Century Gothic"/>
          <w:lang w:val="en-US"/>
        </w:rPr>
      </w:pPr>
    </w:p>
    <w:p w14:paraId="224BF0AD" w14:textId="0D71C65E" w:rsidR="00561F75" w:rsidRPr="0092586A" w:rsidRDefault="0092586A" w:rsidP="0092586A">
      <w:pPr>
        <w:spacing w:after="480" w:line="480" w:lineRule="auto"/>
        <w:jc w:val="both"/>
        <w:rPr>
          <w:rFonts w:ascii="Century Gothic" w:hAnsi="Century Gothic"/>
          <w:lang w:val="en-US"/>
        </w:rPr>
      </w:pPr>
      <w:r w:rsidRPr="00561F75">
        <w:rPr>
          <w:rFonts w:ascii="Century Gothic" w:hAnsi="Century Gothic"/>
          <w:lang w:val="en-US"/>
        </w:rPr>
        <w:t>[6]</w:t>
      </w:r>
      <w:r w:rsidRPr="00561F75">
        <w:rPr>
          <w:rFonts w:ascii="Century Gothic" w:hAnsi="Century Gothic"/>
          <w:lang w:val="en-US"/>
        </w:rPr>
        <w:tab/>
      </w:r>
      <w:r w:rsidR="0018096B" w:rsidRPr="0092586A">
        <w:rPr>
          <w:rFonts w:ascii="Century Gothic" w:hAnsi="Century Gothic"/>
          <w:lang w:val="en-US"/>
        </w:rPr>
        <w:t>Th</w:t>
      </w:r>
      <w:r w:rsidR="00B148D2" w:rsidRPr="0092586A">
        <w:rPr>
          <w:rFonts w:ascii="Century Gothic" w:hAnsi="Century Gothic"/>
          <w:lang w:val="en-US"/>
        </w:rPr>
        <w:t>is</w:t>
      </w:r>
      <w:r w:rsidR="0018096B" w:rsidRPr="0092586A">
        <w:rPr>
          <w:rFonts w:ascii="Century Gothic" w:hAnsi="Century Gothic"/>
          <w:lang w:val="en-US"/>
        </w:rPr>
        <w:t xml:space="preserve"> application was brought by the Minister of Employment and Labour</w:t>
      </w:r>
      <w:r w:rsidR="00B71904" w:rsidRPr="0092586A">
        <w:rPr>
          <w:rFonts w:ascii="Century Gothic" w:hAnsi="Century Gothic"/>
          <w:lang w:val="en-US"/>
        </w:rPr>
        <w:t xml:space="preserve"> (“</w:t>
      </w:r>
      <w:r w:rsidR="00B71904" w:rsidRPr="0092586A">
        <w:rPr>
          <w:rFonts w:ascii="Century Gothic" w:hAnsi="Century Gothic"/>
          <w:i/>
          <w:iCs/>
          <w:lang w:val="en-US"/>
        </w:rPr>
        <w:t>the Minister”</w:t>
      </w:r>
      <w:r w:rsidR="00B71904" w:rsidRPr="0092586A">
        <w:rPr>
          <w:rFonts w:ascii="Century Gothic" w:hAnsi="Century Gothic"/>
          <w:lang w:val="en-US"/>
        </w:rPr>
        <w:t>)</w:t>
      </w:r>
      <w:r w:rsidR="0018096B" w:rsidRPr="0092586A">
        <w:rPr>
          <w:rFonts w:ascii="Century Gothic" w:hAnsi="Century Gothic"/>
          <w:lang w:val="en-US"/>
        </w:rPr>
        <w:t xml:space="preserve"> as an urgent </w:t>
      </w:r>
      <w:r w:rsidR="00B71904" w:rsidRPr="0092586A">
        <w:rPr>
          <w:rFonts w:ascii="Century Gothic" w:hAnsi="Century Gothic"/>
          <w:lang w:val="en-US"/>
        </w:rPr>
        <w:t>one</w:t>
      </w:r>
      <w:r w:rsidR="0018096B" w:rsidRPr="0092586A">
        <w:rPr>
          <w:rFonts w:ascii="Century Gothic" w:hAnsi="Century Gothic"/>
          <w:lang w:val="en-US"/>
        </w:rPr>
        <w:t>, almost one year after the</w:t>
      </w:r>
      <w:r w:rsidR="00340C10" w:rsidRPr="0092586A">
        <w:rPr>
          <w:rFonts w:ascii="Century Gothic" w:hAnsi="Century Gothic"/>
          <w:lang w:val="en-US"/>
        </w:rPr>
        <w:t xml:space="preserve"> impugned</w:t>
      </w:r>
      <w:r w:rsidR="0018096B" w:rsidRPr="0092586A">
        <w:rPr>
          <w:rFonts w:ascii="Century Gothic" w:hAnsi="Century Gothic"/>
          <w:lang w:val="en-US"/>
        </w:rPr>
        <w:t xml:space="preserve"> contract </w:t>
      </w:r>
      <w:r w:rsidR="00340C10" w:rsidRPr="0092586A">
        <w:rPr>
          <w:rFonts w:ascii="Century Gothic" w:hAnsi="Century Gothic"/>
          <w:lang w:val="en-US"/>
        </w:rPr>
        <w:t xml:space="preserve">between the UIF and the second respondent </w:t>
      </w:r>
      <w:r w:rsidR="0018096B" w:rsidRPr="0092586A">
        <w:rPr>
          <w:rFonts w:ascii="Century Gothic" w:hAnsi="Century Gothic"/>
          <w:lang w:val="en-US"/>
        </w:rPr>
        <w:t>had been signed</w:t>
      </w:r>
      <w:r w:rsidR="00340C10" w:rsidRPr="0092586A">
        <w:rPr>
          <w:rFonts w:ascii="Century Gothic" w:hAnsi="Century Gothic"/>
          <w:lang w:val="en-US"/>
        </w:rPr>
        <w:t>.</w:t>
      </w:r>
      <w:r w:rsidR="0018096B" w:rsidRPr="0092586A">
        <w:rPr>
          <w:rFonts w:ascii="Century Gothic" w:hAnsi="Century Gothic"/>
          <w:lang w:val="en-US"/>
        </w:rPr>
        <w:t xml:space="preserve"> </w:t>
      </w:r>
      <w:r w:rsidR="007358B7" w:rsidRPr="0092586A">
        <w:rPr>
          <w:rFonts w:ascii="Century Gothic" w:hAnsi="Century Gothic"/>
          <w:lang w:val="en-US"/>
        </w:rPr>
        <w:t>(</w:t>
      </w:r>
      <w:r w:rsidR="0018096B" w:rsidRPr="0092586A">
        <w:rPr>
          <w:rFonts w:ascii="Century Gothic" w:hAnsi="Century Gothic"/>
          <w:lang w:val="en-US"/>
        </w:rPr>
        <w:t xml:space="preserve">The contract </w:t>
      </w:r>
      <w:r w:rsidR="007358B7" w:rsidRPr="0092586A">
        <w:rPr>
          <w:rFonts w:ascii="Century Gothic" w:hAnsi="Century Gothic"/>
          <w:lang w:val="en-US"/>
        </w:rPr>
        <w:t xml:space="preserve">had been </w:t>
      </w:r>
      <w:r w:rsidR="0018096B" w:rsidRPr="0092586A">
        <w:rPr>
          <w:rFonts w:ascii="Century Gothic" w:hAnsi="Century Gothic"/>
          <w:lang w:val="en-US"/>
        </w:rPr>
        <w:t xml:space="preserve">signed on behalf of the </w:t>
      </w:r>
      <w:r w:rsidR="007358B7" w:rsidRPr="0092586A">
        <w:rPr>
          <w:rFonts w:ascii="Century Gothic" w:hAnsi="Century Gothic"/>
          <w:lang w:val="en-US"/>
        </w:rPr>
        <w:t>UIF</w:t>
      </w:r>
      <w:r w:rsidR="0018096B" w:rsidRPr="0092586A">
        <w:rPr>
          <w:rFonts w:ascii="Century Gothic" w:hAnsi="Century Gothic"/>
          <w:lang w:val="en-US"/>
        </w:rPr>
        <w:t xml:space="preserve"> by </w:t>
      </w:r>
      <w:r w:rsidR="00340C10" w:rsidRPr="0092586A">
        <w:rPr>
          <w:rFonts w:ascii="Century Gothic" w:hAnsi="Century Gothic"/>
          <w:lang w:val="en-US"/>
        </w:rPr>
        <w:t>its</w:t>
      </w:r>
      <w:r w:rsidR="0018096B" w:rsidRPr="0092586A">
        <w:rPr>
          <w:rFonts w:ascii="Century Gothic" w:hAnsi="Century Gothic"/>
          <w:lang w:val="en-US"/>
        </w:rPr>
        <w:t xml:space="preserve"> erstwhile Director-General</w:t>
      </w:r>
      <w:r w:rsidR="007358B7" w:rsidRPr="0092586A">
        <w:rPr>
          <w:rFonts w:ascii="Century Gothic" w:hAnsi="Century Gothic"/>
          <w:lang w:val="en-US"/>
        </w:rPr>
        <w:t xml:space="preserve"> </w:t>
      </w:r>
      <w:r w:rsidR="00B71904" w:rsidRPr="0092586A">
        <w:rPr>
          <w:rFonts w:ascii="Century Gothic" w:hAnsi="Century Gothic"/>
          <w:lang w:val="en-US"/>
        </w:rPr>
        <w:t>on 18 December 2022</w:t>
      </w:r>
      <w:r w:rsidR="0018096B" w:rsidRPr="0092586A">
        <w:rPr>
          <w:rFonts w:ascii="Century Gothic" w:hAnsi="Century Gothic"/>
          <w:lang w:val="en-US"/>
        </w:rPr>
        <w:t>.</w:t>
      </w:r>
      <w:r w:rsidR="00032877" w:rsidRPr="0092586A">
        <w:rPr>
          <w:rFonts w:ascii="Century Gothic" w:hAnsi="Century Gothic"/>
          <w:lang w:val="en-US"/>
        </w:rPr>
        <w:t xml:space="preserve"> </w:t>
      </w:r>
      <w:r w:rsidR="0018096B" w:rsidRPr="0092586A">
        <w:rPr>
          <w:rFonts w:ascii="Century Gothic" w:hAnsi="Century Gothic"/>
          <w:lang w:val="en-US"/>
        </w:rPr>
        <w:t xml:space="preserve"> </w:t>
      </w:r>
      <w:r w:rsidR="00B71904" w:rsidRPr="0092586A">
        <w:rPr>
          <w:rFonts w:ascii="Century Gothic" w:hAnsi="Century Gothic"/>
          <w:lang w:val="en-US"/>
        </w:rPr>
        <w:t>On</w:t>
      </w:r>
      <w:r w:rsidR="0018096B" w:rsidRPr="0092586A">
        <w:rPr>
          <w:rFonts w:ascii="Century Gothic" w:hAnsi="Century Gothic"/>
          <w:lang w:val="en-US"/>
        </w:rPr>
        <w:t xml:space="preserve"> the other part, </w:t>
      </w:r>
      <w:r w:rsidR="00B71904" w:rsidRPr="0092586A">
        <w:rPr>
          <w:rFonts w:ascii="Century Gothic" w:hAnsi="Century Gothic"/>
          <w:lang w:val="en-US"/>
        </w:rPr>
        <w:t xml:space="preserve">the contract </w:t>
      </w:r>
      <w:r w:rsidR="007358B7" w:rsidRPr="0092586A">
        <w:rPr>
          <w:rFonts w:ascii="Century Gothic" w:hAnsi="Century Gothic"/>
          <w:lang w:val="en-US"/>
        </w:rPr>
        <w:t>had</w:t>
      </w:r>
      <w:r w:rsidR="00B71904" w:rsidRPr="0092586A">
        <w:rPr>
          <w:rFonts w:ascii="Century Gothic" w:hAnsi="Century Gothic"/>
          <w:lang w:val="en-US"/>
        </w:rPr>
        <w:t xml:space="preserve"> </w:t>
      </w:r>
      <w:r w:rsidR="007358B7" w:rsidRPr="0092586A">
        <w:rPr>
          <w:rFonts w:ascii="Century Gothic" w:hAnsi="Century Gothic"/>
          <w:lang w:val="en-US"/>
        </w:rPr>
        <w:t xml:space="preserve">been </w:t>
      </w:r>
      <w:r w:rsidR="00B71904" w:rsidRPr="0092586A">
        <w:rPr>
          <w:rFonts w:ascii="Century Gothic" w:hAnsi="Century Gothic"/>
          <w:lang w:val="en-US"/>
        </w:rPr>
        <w:t>signed</w:t>
      </w:r>
      <w:r w:rsidR="0018096B" w:rsidRPr="0092586A">
        <w:rPr>
          <w:rFonts w:ascii="Century Gothic" w:hAnsi="Century Gothic"/>
          <w:lang w:val="en-US"/>
        </w:rPr>
        <w:t xml:space="preserve"> on behalf </w:t>
      </w:r>
      <w:r w:rsidR="0018096B" w:rsidRPr="0092586A">
        <w:rPr>
          <w:rFonts w:ascii="Century Gothic" w:hAnsi="Century Gothic"/>
          <w:lang w:val="en-US"/>
        </w:rPr>
        <w:lastRenderedPageBreak/>
        <w:t>of the second respondent by</w:t>
      </w:r>
      <w:r w:rsidR="007358B7" w:rsidRPr="0092586A">
        <w:rPr>
          <w:rFonts w:ascii="Century Gothic" w:hAnsi="Century Gothic"/>
          <w:lang w:val="en-US"/>
        </w:rPr>
        <w:t>,</w:t>
      </w:r>
      <w:r w:rsidR="0018096B" w:rsidRPr="0092586A">
        <w:rPr>
          <w:rFonts w:ascii="Century Gothic" w:hAnsi="Century Gothic"/>
          <w:lang w:val="en-US"/>
        </w:rPr>
        <w:t xml:space="preserve"> one Mr Mdwaba</w:t>
      </w:r>
      <w:r w:rsidR="00B71904" w:rsidRPr="0092586A">
        <w:rPr>
          <w:rFonts w:ascii="Century Gothic" w:hAnsi="Century Gothic"/>
          <w:lang w:val="en-US"/>
        </w:rPr>
        <w:t xml:space="preserve"> on 14 December 2022</w:t>
      </w:r>
      <w:r w:rsidR="0018096B" w:rsidRPr="0092586A">
        <w:rPr>
          <w:rFonts w:ascii="Century Gothic" w:hAnsi="Century Gothic"/>
          <w:lang w:val="en-US"/>
        </w:rPr>
        <w:t>.</w:t>
      </w:r>
      <w:r w:rsidR="00B71904" w:rsidRPr="0092586A">
        <w:rPr>
          <w:rFonts w:ascii="Century Gothic" w:hAnsi="Century Gothic"/>
          <w:lang w:val="en-US"/>
        </w:rPr>
        <w:t xml:space="preserve">  The </w:t>
      </w:r>
      <w:r w:rsidR="007358B7" w:rsidRPr="0092586A">
        <w:rPr>
          <w:rFonts w:ascii="Century Gothic" w:hAnsi="Century Gothic"/>
          <w:lang w:val="en-US"/>
        </w:rPr>
        <w:t xml:space="preserve">urgent </w:t>
      </w:r>
      <w:r w:rsidR="00B71904" w:rsidRPr="0092586A">
        <w:rPr>
          <w:rFonts w:ascii="Century Gothic" w:hAnsi="Century Gothic"/>
          <w:lang w:val="en-US"/>
        </w:rPr>
        <w:t>application was initially issued on 23 November 2023, to be heard on 12 December 2023.</w:t>
      </w:r>
      <w:r w:rsidR="007358B7" w:rsidRPr="0092586A">
        <w:rPr>
          <w:rFonts w:ascii="Century Gothic" w:hAnsi="Century Gothic"/>
          <w:lang w:val="en-US"/>
        </w:rPr>
        <w:t>)</w:t>
      </w:r>
    </w:p>
    <w:p w14:paraId="2120C996" w14:textId="77777777" w:rsidR="00B71904" w:rsidRPr="00B71904" w:rsidRDefault="00B71904" w:rsidP="00AD7CB9">
      <w:pPr>
        <w:pStyle w:val="ListParagraph"/>
        <w:ind w:left="567" w:hanging="567"/>
        <w:jc w:val="both"/>
        <w:rPr>
          <w:rFonts w:ascii="Century Gothic" w:hAnsi="Century Gothic"/>
          <w:lang w:val="en-US"/>
        </w:rPr>
      </w:pPr>
    </w:p>
    <w:p w14:paraId="134875DC" w14:textId="6AA656C3" w:rsidR="004C35A3" w:rsidRPr="0092586A" w:rsidRDefault="0092586A" w:rsidP="0092586A">
      <w:pPr>
        <w:spacing w:after="480" w:line="480" w:lineRule="auto"/>
        <w:jc w:val="both"/>
        <w:rPr>
          <w:rFonts w:ascii="Century Gothic" w:hAnsi="Century Gothic"/>
          <w:lang w:val="en-US"/>
        </w:rPr>
      </w:pPr>
      <w:r w:rsidRPr="004C35A3">
        <w:rPr>
          <w:rFonts w:ascii="Century Gothic" w:hAnsi="Century Gothic"/>
          <w:lang w:val="en-US"/>
        </w:rPr>
        <w:t>[7]</w:t>
      </w:r>
      <w:r w:rsidRPr="004C35A3">
        <w:rPr>
          <w:rFonts w:ascii="Century Gothic" w:hAnsi="Century Gothic"/>
          <w:lang w:val="en-US"/>
        </w:rPr>
        <w:tab/>
      </w:r>
      <w:r w:rsidR="00192209" w:rsidRPr="0092586A">
        <w:rPr>
          <w:rFonts w:ascii="Century Gothic" w:hAnsi="Century Gothic"/>
          <w:lang w:val="en-US"/>
        </w:rPr>
        <w:t xml:space="preserve">The Minister, on his version, </w:t>
      </w:r>
      <w:r w:rsidR="007358B7" w:rsidRPr="0092586A">
        <w:rPr>
          <w:rFonts w:ascii="Century Gothic" w:hAnsi="Century Gothic"/>
          <w:lang w:val="en-US"/>
        </w:rPr>
        <w:t xml:space="preserve">had </w:t>
      </w:r>
      <w:r w:rsidR="00F6541A" w:rsidRPr="0092586A">
        <w:rPr>
          <w:rFonts w:ascii="Century Gothic" w:hAnsi="Century Gothic"/>
          <w:lang w:val="en-US"/>
        </w:rPr>
        <w:t>become</w:t>
      </w:r>
      <w:r w:rsidR="00192209" w:rsidRPr="0092586A">
        <w:rPr>
          <w:rFonts w:ascii="Century Gothic" w:hAnsi="Century Gothic"/>
          <w:lang w:val="en-US"/>
        </w:rPr>
        <w:t xml:space="preserve"> aware of the contract in December of 2022</w:t>
      </w:r>
      <w:r w:rsidR="000B20D4" w:rsidRPr="0092586A">
        <w:rPr>
          <w:rFonts w:ascii="Century Gothic" w:hAnsi="Century Gothic"/>
          <w:lang w:val="en-US"/>
        </w:rPr>
        <w:t xml:space="preserve"> – after being</w:t>
      </w:r>
      <w:r w:rsidR="00F6541A" w:rsidRPr="0092586A">
        <w:rPr>
          <w:rFonts w:ascii="Century Gothic" w:hAnsi="Century Gothic"/>
          <w:lang w:val="en-US"/>
        </w:rPr>
        <w:t xml:space="preserve"> </w:t>
      </w:r>
      <w:r w:rsidR="000B20D4" w:rsidRPr="0092586A">
        <w:rPr>
          <w:rFonts w:ascii="Century Gothic" w:hAnsi="Century Gothic"/>
          <w:lang w:val="en-US"/>
        </w:rPr>
        <w:t xml:space="preserve">alerted to news media reports. He immediately </w:t>
      </w:r>
      <w:r w:rsidR="004C35A3" w:rsidRPr="0092586A">
        <w:rPr>
          <w:rFonts w:ascii="Century Gothic" w:hAnsi="Century Gothic"/>
          <w:lang w:val="en-US"/>
        </w:rPr>
        <w:t>-</w:t>
      </w:r>
      <w:r w:rsidR="00192209" w:rsidRPr="0092586A">
        <w:rPr>
          <w:rFonts w:ascii="Century Gothic" w:hAnsi="Century Gothic"/>
          <w:lang w:val="en-US"/>
        </w:rPr>
        <w:t xml:space="preserve"> in writing instructed the Director-General “</w:t>
      </w:r>
      <w:r w:rsidR="00192209" w:rsidRPr="0092586A">
        <w:rPr>
          <w:rFonts w:ascii="Century Gothic" w:hAnsi="Century Gothic"/>
          <w:i/>
          <w:iCs/>
          <w:lang w:val="en-US"/>
        </w:rPr>
        <w:t>to put a stop to this project</w:t>
      </w:r>
      <w:r w:rsidR="00192209" w:rsidRPr="0092586A">
        <w:rPr>
          <w:rFonts w:ascii="Century Gothic" w:hAnsi="Century Gothic"/>
          <w:lang w:val="en-US"/>
        </w:rPr>
        <w:t>”, with a reservation of his (the Minister’s) right “</w:t>
      </w:r>
      <w:r w:rsidR="00192209" w:rsidRPr="0092586A">
        <w:rPr>
          <w:rFonts w:ascii="Century Gothic" w:hAnsi="Century Gothic"/>
          <w:i/>
          <w:iCs/>
          <w:lang w:val="en-US"/>
        </w:rPr>
        <w:t xml:space="preserve">to withdraw the contract in part or entirely” </w:t>
      </w:r>
      <w:r w:rsidR="00192209" w:rsidRPr="0092586A">
        <w:rPr>
          <w:rFonts w:ascii="Century Gothic" w:hAnsi="Century Gothic"/>
          <w:lang w:val="en-US"/>
        </w:rPr>
        <w:t>based on an investigation to follow.</w:t>
      </w:r>
      <w:r w:rsidR="000B20D4" w:rsidRPr="0092586A">
        <w:rPr>
          <w:rFonts w:ascii="Century Gothic" w:hAnsi="Century Gothic"/>
          <w:lang w:val="en-US"/>
        </w:rPr>
        <w:t xml:space="preserve">  (From the papers, it is obvious that this instruction then also came to the attention of the first respondent).</w:t>
      </w:r>
    </w:p>
    <w:p w14:paraId="3677B068" w14:textId="77777777" w:rsidR="00192209" w:rsidRPr="00192209" w:rsidRDefault="00192209" w:rsidP="00AD7CB9">
      <w:pPr>
        <w:pStyle w:val="ListParagraph"/>
        <w:ind w:left="567" w:hanging="567"/>
        <w:jc w:val="both"/>
        <w:rPr>
          <w:rFonts w:ascii="Century Gothic" w:hAnsi="Century Gothic"/>
          <w:lang w:val="en-US"/>
        </w:rPr>
      </w:pPr>
    </w:p>
    <w:p w14:paraId="070DF598" w14:textId="7744DF10" w:rsidR="007358B7" w:rsidRPr="0092586A" w:rsidRDefault="0092586A" w:rsidP="0092586A">
      <w:pPr>
        <w:spacing w:after="480" w:line="480" w:lineRule="auto"/>
        <w:jc w:val="both"/>
        <w:rPr>
          <w:rFonts w:ascii="Century Gothic" w:hAnsi="Century Gothic"/>
          <w:lang w:val="en-US"/>
        </w:rPr>
      </w:pPr>
      <w:r>
        <w:rPr>
          <w:rFonts w:ascii="Century Gothic" w:hAnsi="Century Gothic"/>
          <w:lang w:val="en-US"/>
        </w:rPr>
        <w:t>[8]</w:t>
      </w:r>
      <w:r>
        <w:rPr>
          <w:rFonts w:ascii="Century Gothic" w:hAnsi="Century Gothic"/>
          <w:lang w:val="en-US"/>
        </w:rPr>
        <w:tab/>
      </w:r>
      <w:r w:rsidR="00574501" w:rsidRPr="0092586A">
        <w:rPr>
          <w:rFonts w:ascii="Century Gothic" w:hAnsi="Century Gothic"/>
          <w:lang w:val="en-US"/>
        </w:rPr>
        <w:t>The Minister then required t</w:t>
      </w:r>
      <w:r w:rsidR="00340C10" w:rsidRPr="0092586A">
        <w:rPr>
          <w:rFonts w:ascii="Century Gothic" w:hAnsi="Century Gothic"/>
          <w:lang w:val="en-US"/>
        </w:rPr>
        <w:t>he</w:t>
      </w:r>
      <w:r w:rsidR="00574501" w:rsidRPr="0092586A">
        <w:rPr>
          <w:rFonts w:ascii="Century Gothic" w:hAnsi="Century Gothic"/>
          <w:lang w:val="en-US"/>
        </w:rPr>
        <w:t xml:space="preserve"> Director-General to provide a report on the matter, which was </w:t>
      </w:r>
      <w:r w:rsidR="007358B7" w:rsidRPr="0092586A">
        <w:rPr>
          <w:rFonts w:ascii="Century Gothic" w:hAnsi="Century Gothic"/>
          <w:lang w:val="en-US"/>
        </w:rPr>
        <w:t xml:space="preserve">delivered </w:t>
      </w:r>
      <w:r w:rsidR="008C191A" w:rsidRPr="0092586A">
        <w:rPr>
          <w:rFonts w:ascii="Century Gothic" w:hAnsi="Century Gothic"/>
          <w:lang w:val="en-US"/>
        </w:rPr>
        <w:t xml:space="preserve">about 27 </w:t>
      </w:r>
      <w:r w:rsidR="007358B7" w:rsidRPr="0092586A">
        <w:rPr>
          <w:rFonts w:ascii="Century Gothic" w:hAnsi="Century Gothic"/>
          <w:lang w:val="en-US"/>
        </w:rPr>
        <w:t>January 2023.  The most important points (for purposes of this judgment) contained in this report were:</w:t>
      </w:r>
    </w:p>
    <w:p w14:paraId="3D9382BD" w14:textId="77777777" w:rsidR="007358B7" w:rsidRPr="007358B7" w:rsidRDefault="007358B7" w:rsidP="00AD7CB9">
      <w:pPr>
        <w:pStyle w:val="ListParagraph"/>
        <w:ind w:left="567" w:hanging="567"/>
        <w:jc w:val="both"/>
        <w:rPr>
          <w:rFonts w:ascii="Century Gothic" w:hAnsi="Century Gothic"/>
          <w:lang w:val="en-US"/>
        </w:rPr>
      </w:pPr>
    </w:p>
    <w:p w14:paraId="3AC5C535" w14:textId="598C6253" w:rsidR="004E3A18" w:rsidRPr="0092586A" w:rsidRDefault="0092586A" w:rsidP="0092586A">
      <w:pPr>
        <w:spacing w:after="480" w:line="480" w:lineRule="auto"/>
        <w:ind w:left="567" w:hanging="567"/>
        <w:jc w:val="both"/>
        <w:rPr>
          <w:rFonts w:ascii="Century Gothic" w:hAnsi="Century Gothic"/>
          <w:lang w:val="en-US"/>
        </w:rPr>
      </w:pPr>
      <w:r>
        <w:rPr>
          <w:rFonts w:ascii="Century Gothic" w:hAnsi="Century Gothic"/>
          <w:lang w:val="en-US"/>
        </w:rPr>
        <w:t>a)</w:t>
      </w:r>
      <w:r>
        <w:rPr>
          <w:rFonts w:ascii="Century Gothic" w:hAnsi="Century Gothic"/>
          <w:lang w:val="en-US"/>
        </w:rPr>
        <w:tab/>
      </w:r>
      <w:r w:rsidR="004C35A3" w:rsidRPr="0092586A">
        <w:rPr>
          <w:rFonts w:ascii="Century Gothic" w:hAnsi="Century Gothic"/>
          <w:lang w:val="en-US"/>
        </w:rPr>
        <w:t xml:space="preserve">As starting point, </w:t>
      </w:r>
      <w:r w:rsidR="000B20D4" w:rsidRPr="0092586A">
        <w:rPr>
          <w:rFonts w:ascii="Century Gothic" w:hAnsi="Century Gothic"/>
          <w:lang w:val="en-US"/>
        </w:rPr>
        <w:t xml:space="preserve">the Director General referred </w:t>
      </w:r>
      <w:r w:rsidR="004C35A3" w:rsidRPr="0092586A">
        <w:rPr>
          <w:rFonts w:ascii="Century Gothic" w:hAnsi="Century Gothic"/>
          <w:lang w:val="en-US"/>
        </w:rPr>
        <w:t>to the fact that, a</w:t>
      </w:r>
      <w:r w:rsidR="004E3A18" w:rsidRPr="0092586A">
        <w:rPr>
          <w:rFonts w:ascii="Century Gothic" w:hAnsi="Century Gothic"/>
          <w:lang w:val="en-US"/>
        </w:rPr>
        <w:t xml:space="preserve">bout 2019, the Department of Employment and Labour had launched the UIF’s Labour Activation </w:t>
      </w:r>
      <w:r w:rsidR="00F6541A" w:rsidRPr="0092586A">
        <w:rPr>
          <w:rFonts w:ascii="Century Gothic" w:hAnsi="Century Gothic"/>
          <w:lang w:val="en-US"/>
        </w:rPr>
        <w:t>Program</w:t>
      </w:r>
      <w:r w:rsidR="004E3A18" w:rsidRPr="0092586A">
        <w:rPr>
          <w:rFonts w:ascii="Century Gothic" w:hAnsi="Century Gothic"/>
          <w:lang w:val="en-US"/>
        </w:rPr>
        <w:t xml:space="preserve"> (LAP) </w:t>
      </w:r>
      <w:r w:rsidR="004C35A3" w:rsidRPr="0092586A">
        <w:rPr>
          <w:rFonts w:ascii="Century Gothic" w:hAnsi="Century Gothic"/>
          <w:lang w:val="en-US"/>
        </w:rPr>
        <w:t xml:space="preserve">- </w:t>
      </w:r>
      <w:r w:rsidR="004E3A18" w:rsidRPr="0092586A">
        <w:rPr>
          <w:rFonts w:ascii="Century Gothic" w:hAnsi="Century Gothic"/>
          <w:lang w:val="en-US"/>
        </w:rPr>
        <w:t xml:space="preserve">to pursue a mandate of economic growth and job creation.  This was also driven by the Employment Services Act </w:t>
      </w:r>
      <w:r w:rsidR="00F6541A" w:rsidRPr="0092586A">
        <w:rPr>
          <w:rFonts w:ascii="Century Gothic" w:hAnsi="Century Gothic"/>
          <w:lang w:val="en-US"/>
        </w:rPr>
        <w:t>of</w:t>
      </w:r>
      <w:r w:rsidR="004E3A18" w:rsidRPr="0092586A">
        <w:rPr>
          <w:rFonts w:ascii="Century Gothic" w:hAnsi="Century Gothic"/>
          <w:lang w:val="en-US"/>
        </w:rPr>
        <w:t xml:space="preserve"> 2014 and the Unemployment Insurance Amendment Act, 2016.  </w:t>
      </w:r>
      <w:r w:rsidR="007358B7" w:rsidRPr="0092586A">
        <w:rPr>
          <w:rFonts w:ascii="Century Gothic" w:hAnsi="Century Gothic"/>
          <w:lang w:val="en-US"/>
        </w:rPr>
        <w:t xml:space="preserve"> </w:t>
      </w:r>
    </w:p>
    <w:p w14:paraId="0A33C993" w14:textId="77777777" w:rsidR="004E3A18" w:rsidRDefault="004E3A18" w:rsidP="00AD7CB9">
      <w:pPr>
        <w:pStyle w:val="ListParagraph"/>
        <w:spacing w:after="480" w:line="480" w:lineRule="auto"/>
        <w:ind w:left="567" w:hanging="567"/>
        <w:jc w:val="both"/>
        <w:rPr>
          <w:rFonts w:ascii="Century Gothic" w:hAnsi="Century Gothic"/>
          <w:lang w:val="en-US"/>
        </w:rPr>
      </w:pPr>
    </w:p>
    <w:p w14:paraId="2BB71459" w14:textId="4452CB41" w:rsidR="00EB3718" w:rsidRPr="0092586A" w:rsidRDefault="0092586A" w:rsidP="0092586A">
      <w:pPr>
        <w:spacing w:after="480" w:line="480" w:lineRule="auto"/>
        <w:ind w:left="567" w:hanging="567"/>
        <w:jc w:val="both"/>
        <w:rPr>
          <w:rFonts w:ascii="Century Gothic" w:hAnsi="Century Gothic"/>
          <w:lang w:val="en-US"/>
        </w:rPr>
      </w:pPr>
      <w:r>
        <w:rPr>
          <w:rFonts w:ascii="Century Gothic" w:hAnsi="Century Gothic"/>
          <w:lang w:val="en-US"/>
        </w:rPr>
        <w:lastRenderedPageBreak/>
        <w:t>b)</w:t>
      </w:r>
      <w:r>
        <w:rPr>
          <w:rFonts w:ascii="Century Gothic" w:hAnsi="Century Gothic"/>
          <w:lang w:val="en-US"/>
        </w:rPr>
        <w:tab/>
      </w:r>
      <w:r w:rsidR="004C35A3" w:rsidRPr="0092586A">
        <w:rPr>
          <w:rFonts w:ascii="Century Gothic" w:hAnsi="Century Gothic"/>
          <w:lang w:val="en-US"/>
        </w:rPr>
        <w:t>The Director General referred to s</w:t>
      </w:r>
      <w:r w:rsidR="004E3A18" w:rsidRPr="0092586A">
        <w:rPr>
          <w:rFonts w:ascii="Century Gothic" w:hAnsi="Century Gothic"/>
          <w:lang w:val="en-US"/>
        </w:rPr>
        <w:t>ection 6 of the Employment Services Act</w:t>
      </w:r>
      <w:r w:rsidR="004C35A3" w:rsidRPr="0092586A">
        <w:rPr>
          <w:rFonts w:ascii="Century Gothic" w:hAnsi="Century Gothic"/>
          <w:lang w:val="en-US"/>
        </w:rPr>
        <w:t>, which</w:t>
      </w:r>
      <w:r w:rsidR="004E3A18" w:rsidRPr="0092586A">
        <w:rPr>
          <w:rFonts w:ascii="Century Gothic" w:hAnsi="Century Gothic"/>
          <w:lang w:val="en-US"/>
        </w:rPr>
        <w:t xml:space="preserve"> empowers the Minister to </w:t>
      </w:r>
      <w:r w:rsidR="00EB3718" w:rsidRPr="0092586A">
        <w:rPr>
          <w:rFonts w:ascii="Century Gothic" w:hAnsi="Century Gothic"/>
          <w:lang w:val="en-US"/>
        </w:rPr>
        <w:t>establish work schemes to promote and sustain employment or create opportunities for self</w:t>
      </w:r>
      <w:r w:rsidR="004C35A3" w:rsidRPr="0092586A">
        <w:rPr>
          <w:rFonts w:ascii="Century Gothic" w:hAnsi="Century Gothic"/>
          <w:lang w:val="en-US"/>
        </w:rPr>
        <w:t>-</w:t>
      </w:r>
      <w:r w:rsidR="00EB3718" w:rsidRPr="0092586A">
        <w:rPr>
          <w:rFonts w:ascii="Century Gothic" w:hAnsi="Century Gothic"/>
          <w:lang w:val="en-US"/>
        </w:rPr>
        <w:t>employment.  Likewise, section 7 of that Act empowers the minister to establish schemes to minimize retrenchments, which may include “</w:t>
      </w:r>
      <w:r w:rsidR="00EB3718" w:rsidRPr="0092586A">
        <w:rPr>
          <w:rFonts w:ascii="Century Gothic" w:hAnsi="Century Gothic"/>
          <w:i/>
          <w:iCs/>
          <w:lang w:val="en-US"/>
        </w:rPr>
        <w:t>… turnaround strategies, lay-offs, retraining or alternative employment opportunities.”</w:t>
      </w:r>
    </w:p>
    <w:p w14:paraId="299466D6" w14:textId="77777777" w:rsidR="00EB3718" w:rsidRPr="00EB3718" w:rsidRDefault="00EB3718" w:rsidP="00AD7CB9">
      <w:pPr>
        <w:pStyle w:val="ListParagraph"/>
        <w:ind w:left="567" w:hanging="567"/>
        <w:jc w:val="both"/>
        <w:rPr>
          <w:rFonts w:ascii="Century Gothic" w:hAnsi="Century Gothic"/>
          <w:lang w:val="en-US"/>
        </w:rPr>
      </w:pPr>
    </w:p>
    <w:p w14:paraId="50B16C72" w14:textId="6FF49E4F" w:rsidR="008B078F" w:rsidRPr="0092586A" w:rsidRDefault="0092586A" w:rsidP="0092586A">
      <w:pPr>
        <w:spacing w:after="480" w:line="480" w:lineRule="auto"/>
        <w:ind w:left="567" w:hanging="567"/>
        <w:jc w:val="both"/>
        <w:rPr>
          <w:rFonts w:ascii="Century Gothic" w:hAnsi="Century Gothic"/>
          <w:lang w:val="en-US"/>
        </w:rPr>
      </w:pPr>
      <w:r w:rsidRPr="004C35A3">
        <w:rPr>
          <w:rFonts w:ascii="Century Gothic" w:hAnsi="Century Gothic"/>
          <w:lang w:val="en-US"/>
        </w:rPr>
        <w:t>c)</w:t>
      </w:r>
      <w:r w:rsidRPr="004C35A3">
        <w:rPr>
          <w:rFonts w:ascii="Century Gothic" w:hAnsi="Century Gothic"/>
          <w:lang w:val="en-US"/>
        </w:rPr>
        <w:tab/>
      </w:r>
      <w:r w:rsidR="004C35A3" w:rsidRPr="0092586A">
        <w:rPr>
          <w:rFonts w:ascii="Century Gothic" w:hAnsi="Century Gothic"/>
          <w:lang w:val="en-US"/>
        </w:rPr>
        <w:t>Next, the Director General pointed out that t</w:t>
      </w:r>
      <w:r w:rsidR="00EB3718" w:rsidRPr="0092586A">
        <w:rPr>
          <w:rFonts w:ascii="Century Gothic" w:hAnsi="Century Gothic"/>
          <w:lang w:val="en-US"/>
        </w:rPr>
        <w:t>he LAP has three sub-program</w:t>
      </w:r>
      <w:r w:rsidR="008B078F" w:rsidRPr="0092586A">
        <w:rPr>
          <w:rFonts w:ascii="Century Gothic" w:hAnsi="Century Gothic"/>
          <w:lang w:val="en-US"/>
        </w:rPr>
        <w:t>s</w:t>
      </w:r>
      <w:r w:rsidR="00EB3718" w:rsidRPr="0092586A">
        <w:rPr>
          <w:rFonts w:ascii="Century Gothic" w:hAnsi="Century Gothic"/>
          <w:lang w:val="en-US"/>
        </w:rPr>
        <w:t xml:space="preserve">, one of which is a Business Turnaround &amp; Recovery </w:t>
      </w:r>
      <w:r w:rsidR="008B078F" w:rsidRPr="0092586A">
        <w:rPr>
          <w:rFonts w:ascii="Century Gothic" w:hAnsi="Century Gothic"/>
          <w:lang w:val="en-US"/>
        </w:rPr>
        <w:t>P</w:t>
      </w:r>
      <w:r w:rsidR="00EB3718" w:rsidRPr="0092586A">
        <w:rPr>
          <w:rFonts w:ascii="Century Gothic" w:hAnsi="Century Gothic"/>
          <w:lang w:val="en-US"/>
        </w:rPr>
        <w:t xml:space="preserve">rogram, </w:t>
      </w:r>
      <w:r w:rsidR="004C35A3" w:rsidRPr="0092586A">
        <w:rPr>
          <w:rFonts w:ascii="Century Gothic" w:hAnsi="Century Gothic"/>
          <w:lang w:val="en-US"/>
        </w:rPr>
        <w:t>r</w:t>
      </w:r>
      <w:r w:rsidR="00EB3718" w:rsidRPr="0092586A">
        <w:rPr>
          <w:rFonts w:ascii="Century Gothic" w:hAnsi="Century Gothic"/>
          <w:lang w:val="en-US"/>
        </w:rPr>
        <w:t xml:space="preserve">un through Productivity SA.  </w:t>
      </w:r>
      <w:r w:rsidR="004C35A3" w:rsidRPr="0092586A">
        <w:rPr>
          <w:rFonts w:ascii="Century Gothic" w:hAnsi="Century Gothic"/>
          <w:lang w:val="en-US"/>
        </w:rPr>
        <w:t>(</w:t>
      </w:r>
      <w:r w:rsidR="00EB3718" w:rsidRPr="0092586A">
        <w:rPr>
          <w:rFonts w:ascii="Century Gothic" w:hAnsi="Century Gothic"/>
          <w:lang w:val="en-US"/>
        </w:rPr>
        <w:t xml:space="preserve">Productivity SA is </w:t>
      </w:r>
      <w:r w:rsidR="008B078F" w:rsidRPr="0092586A">
        <w:rPr>
          <w:rFonts w:ascii="Century Gothic" w:hAnsi="Century Gothic"/>
          <w:lang w:val="en-US"/>
        </w:rPr>
        <w:t>a juristic person</w:t>
      </w:r>
      <w:r w:rsidR="00EB3718" w:rsidRPr="0092586A">
        <w:rPr>
          <w:rFonts w:ascii="Century Gothic" w:hAnsi="Century Gothic"/>
          <w:lang w:val="en-US"/>
        </w:rPr>
        <w:t xml:space="preserve"> </w:t>
      </w:r>
      <w:r w:rsidR="008B078F" w:rsidRPr="0092586A">
        <w:rPr>
          <w:rFonts w:ascii="Century Gothic" w:hAnsi="Century Gothic"/>
          <w:lang w:val="en-US"/>
        </w:rPr>
        <w:t xml:space="preserve">created in terms of Chapter 5 of the Labour Services Act 2014, of which Mr Mthunzi Mdwaba </w:t>
      </w:r>
      <w:r w:rsidR="004C35A3" w:rsidRPr="0092586A">
        <w:rPr>
          <w:rFonts w:ascii="Century Gothic" w:hAnsi="Century Gothic"/>
          <w:lang w:val="en-US"/>
        </w:rPr>
        <w:t xml:space="preserve">- </w:t>
      </w:r>
      <w:r w:rsidR="008B078F" w:rsidRPr="0092586A">
        <w:rPr>
          <w:rFonts w:ascii="Century Gothic" w:hAnsi="Century Gothic"/>
          <w:lang w:val="en-US"/>
        </w:rPr>
        <w:t>first respondent</w:t>
      </w:r>
      <w:r w:rsidR="004C35A3" w:rsidRPr="0092586A">
        <w:rPr>
          <w:rFonts w:ascii="Century Gothic" w:hAnsi="Century Gothic"/>
          <w:lang w:val="en-US"/>
        </w:rPr>
        <w:t xml:space="preserve"> -</w:t>
      </w:r>
      <w:r w:rsidR="008B078F" w:rsidRPr="0092586A">
        <w:rPr>
          <w:rFonts w:ascii="Century Gothic" w:hAnsi="Century Gothic"/>
          <w:lang w:val="en-US"/>
        </w:rPr>
        <w:t xml:space="preserve"> had been the chairperson at the time</w:t>
      </w:r>
      <w:r w:rsidR="004C35A3" w:rsidRPr="0092586A">
        <w:rPr>
          <w:rFonts w:ascii="Century Gothic" w:hAnsi="Century Gothic"/>
          <w:lang w:val="en-US"/>
        </w:rPr>
        <w:t>, so</w:t>
      </w:r>
      <w:r w:rsidR="008B078F" w:rsidRPr="0092586A">
        <w:rPr>
          <w:rFonts w:ascii="Century Gothic" w:hAnsi="Century Gothic"/>
          <w:lang w:val="en-US"/>
        </w:rPr>
        <w:t xml:space="preserve"> appointed by the Minister.</w:t>
      </w:r>
      <w:r w:rsidR="00EB3718" w:rsidRPr="0092586A">
        <w:rPr>
          <w:rFonts w:ascii="Century Gothic" w:hAnsi="Century Gothic"/>
          <w:lang w:val="en-US"/>
        </w:rPr>
        <w:t xml:space="preserve"> </w:t>
      </w:r>
      <w:r w:rsidR="004E3A18" w:rsidRPr="0092586A">
        <w:rPr>
          <w:rFonts w:ascii="Century Gothic" w:hAnsi="Century Gothic"/>
          <w:lang w:val="en-US"/>
        </w:rPr>
        <w:t xml:space="preserve"> </w:t>
      </w:r>
      <w:r w:rsidR="007358B7" w:rsidRPr="0092586A">
        <w:rPr>
          <w:rFonts w:ascii="Century Gothic" w:hAnsi="Century Gothic"/>
          <w:lang w:val="en-US"/>
        </w:rPr>
        <w:t xml:space="preserve"> </w:t>
      </w:r>
      <w:r w:rsidR="00192209" w:rsidRPr="0092586A">
        <w:rPr>
          <w:rFonts w:ascii="Century Gothic" w:hAnsi="Century Gothic"/>
          <w:lang w:val="en-US"/>
        </w:rPr>
        <w:t xml:space="preserve"> </w:t>
      </w:r>
      <w:r w:rsidR="008B078F" w:rsidRPr="0092586A">
        <w:rPr>
          <w:rFonts w:ascii="Century Gothic" w:hAnsi="Century Gothic"/>
          <w:lang w:val="en-US"/>
        </w:rPr>
        <w:t xml:space="preserve">The LAP is funded through </w:t>
      </w:r>
      <w:r w:rsidR="00F6541A" w:rsidRPr="0092586A">
        <w:rPr>
          <w:rFonts w:ascii="Century Gothic" w:hAnsi="Century Gothic"/>
          <w:i/>
          <w:iCs/>
          <w:lang w:val="en-US"/>
        </w:rPr>
        <w:t>surplus,</w:t>
      </w:r>
      <w:r w:rsidR="008B078F" w:rsidRPr="0092586A">
        <w:rPr>
          <w:rFonts w:ascii="Century Gothic" w:hAnsi="Century Gothic"/>
          <w:lang w:val="en-US"/>
        </w:rPr>
        <w:t xml:space="preserve"> or income derived from workers’ invested contributions to the UIF.</w:t>
      </w:r>
    </w:p>
    <w:p w14:paraId="317FA6E7" w14:textId="77777777" w:rsidR="008B078F" w:rsidRPr="008B078F" w:rsidRDefault="008B078F" w:rsidP="00AD7CB9">
      <w:pPr>
        <w:pStyle w:val="ListParagraph"/>
        <w:ind w:left="567" w:hanging="567"/>
        <w:jc w:val="both"/>
        <w:rPr>
          <w:rFonts w:ascii="Century Gothic" w:hAnsi="Century Gothic"/>
          <w:lang w:val="en-US"/>
        </w:rPr>
      </w:pPr>
    </w:p>
    <w:p w14:paraId="54DC0B13" w14:textId="4C5C2E6E" w:rsidR="00966A0F" w:rsidRPr="0092586A" w:rsidRDefault="0092586A" w:rsidP="0092586A">
      <w:pPr>
        <w:spacing w:after="480" w:line="480" w:lineRule="auto"/>
        <w:ind w:left="567" w:hanging="567"/>
        <w:jc w:val="both"/>
        <w:rPr>
          <w:rFonts w:ascii="Century Gothic" w:hAnsi="Century Gothic"/>
          <w:lang w:val="en-US"/>
        </w:rPr>
      </w:pPr>
      <w:r w:rsidRPr="00B84CA5">
        <w:rPr>
          <w:rFonts w:ascii="Century Gothic" w:hAnsi="Century Gothic"/>
          <w:lang w:val="en-US"/>
        </w:rPr>
        <w:t>d)</w:t>
      </w:r>
      <w:r w:rsidRPr="00B84CA5">
        <w:rPr>
          <w:rFonts w:ascii="Century Gothic" w:hAnsi="Century Gothic"/>
          <w:lang w:val="en-US"/>
        </w:rPr>
        <w:tab/>
      </w:r>
      <w:r w:rsidR="004C35A3" w:rsidRPr="0092586A">
        <w:rPr>
          <w:rFonts w:ascii="Century Gothic" w:hAnsi="Century Gothic"/>
          <w:lang w:val="en-US"/>
        </w:rPr>
        <w:t>T</w:t>
      </w:r>
      <w:r w:rsidR="008B078F" w:rsidRPr="0092586A">
        <w:rPr>
          <w:rFonts w:ascii="Century Gothic" w:hAnsi="Century Gothic"/>
          <w:lang w:val="en-US"/>
        </w:rPr>
        <w:t xml:space="preserve">he Director-General </w:t>
      </w:r>
      <w:r w:rsidR="004C35A3" w:rsidRPr="0092586A">
        <w:rPr>
          <w:rFonts w:ascii="Century Gothic" w:hAnsi="Century Gothic"/>
          <w:lang w:val="en-US"/>
        </w:rPr>
        <w:t>also reminded that in 201</w:t>
      </w:r>
      <w:r w:rsidR="00B84CA5" w:rsidRPr="0092586A">
        <w:rPr>
          <w:rFonts w:ascii="Century Gothic" w:hAnsi="Century Gothic"/>
          <w:lang w:val="en-US"/>
        </w:rPr>
        <w:t>9</w:t>
      </w:r>
      <w:r w:rsidR="004C35A3" w:rsidRPr="0092586A">
        <w:rPr>
          <w:rFonts w:ascii="Century Gothic" w:hAnsi="Century Gothic"/>
          <w:lang w:val="en-US"/>
        </w:rPr>
        <w:t xml:space="preserve">, the Department had </w:t>
      </w:r>
      <w:r w:rsidR="00966A0F" w:rsidRPr="0092586A">
        <w:rPr>
          <w:rFonts w:ascii="Century Gothic" w:hAnsi="Century Gothic"/>
          <w:lang w:val="en-US"/>
        </w:rPr>
        <w:t>issu</w:t>
      </w:r>
      <w:r w:rsidR="004C35A3" w:rsidRPr="0092586A">
        <w:rPr>
          <w:rFonts w:ascii="Century Gothic" w:hAnsi="Century Gothic"/>
          <w:lang w:val="en-US"/>
        </w:rPr>
        <w:t>e</w:t>
      </w:r>
      <w:r w:rsidR="00966A0F" w:rsidRPr="0092586A">
        <w:rPr>
          <w:rFonts w:ascii="Century Gothic" w:hAnsi="Century Gothic"/>
          <w:lang w:val="en-US"/>
        </w:rPr>
        <w:t>d a general “</w:t>
      </w:r>
      <w:r w:rsidR="00966A0F" w:rsidRPr="0092586A">
        <w:rPr>
          <w:rFonts w:ascii="Century Gothic" w:hAnsi="Century Gothic"/>
          <w:i/>
          <w:iCs/>
          <w:lang w:val="en-US"/>
        </w:rPr>
        <w:t>Call for Proposal”</w:t>
      </w:r>
      <w:r w:rsidR="00966A0F" w:rsidRPr="0092586A">
        <w:rPr>
          <w:rFonts w:ascii="Century Gothic" w:hAnsi="Century Gothic"/>
          <w:lang w:val="en-US"/>
        </w:rPr>
        <w:t xml:space="preserve"> to employers generally, to submit particulars about job opportunities as they become available.</w:t>
      </w:r>
      <w:r w:rsidR="00B84CA5" w:rsidRPr="0092586A">
        <w:rPr>
          <w:rFonts w:ascii="Century Gothic" w:hAnsi="Century Gothic"/>
          <w:lang w:val="en-US"/>
        </w:rPr>
        <w:t xml:space="preserve">  </w:t>
      </w:r>
      <w:r w:rsidR="004C35A3" w:rsidRPr="0092586A">
        <w:rPr>
          <w:rFonts w:ascii="Century Gothic" w:hAnsi="Century Gothic"/>
          <w:lang w:val="en-US"/>
        </w:rPr>
        <w:t xml:space="preserve">The Director General </w:t>
      </w:r>
      <w:r w:rsidR="00B84CA5" w:rsidRPr="0092586A">
        <w:rPr>
          <w:rFonts w:ascii="Century Gothic" w:hAnsi="Century Gothic"/>
          <w:lang w:val="en-US"/>
        </w:rPr>
        <w:t xml:space="preserve">then states that </w:t>
      </w:r>
      <w:r w:rsidR="004C35A3" w:rsidRPr="0092586A">
        <w:rPr>
          <w:rFonts w:ascii="Century Gothic" w:hAnsi="Century Gothic"/>
          <w:lang w:val="en-US"/>
        </w:rPr>
        <w:t>t</w:t>
      </w:r>
      <w:r w:rsidR="00966A0F" w:rsidRPr="0092586A">
        <w:rPr>
          <w:rFonts w:ascii="Century Gothic" w:hAnsi="Century Gothic"/>
          <w:lang w:val="en-US"/>
        </w:rPr>
        <w:t>he “</w:t>
      </w:r>
      <w:r w:rsidR="00966A0F" w:rsidRPr="0092586A">
        <w:rPr>
          <w:rFonts w:ascii="Century Gothic" w:hAnsi="Century Gothic"/>
          <w:i/>
          <w:iCs/>
          <w:lang w:val="en-US"/>
        </w:rPr>
        <w:t>Thuja Proposal for Employment”</w:t>
      </w:r>
      <w:r w:rsidR="00B87662" w:rsidRPr="0092586A">
        <w:rPr>
          <w:rFonts w:ascii="Century Gothic" w:hAnsi="Century Gothic"/>
          <w:i/>
          <w:iCs/>
          <w:lang w:val="en-US"/>
        </w:rPr>
        <w:t xml:space="preserve"> </w:t>
      </w:r>
      <w:r w:rsidR="00B87662" w:rsidRPr="0092586A">
        <w:rPr>
          <w:rFonts w:ascii="Century Gothic" w:hAnsi="Century Gothic"/>
          <w:lang w:val="en-US"/>
        </w:rPr>
        <w:t>(“</w:t>
      </w:r>
      <w:r w:rsidR="00B87662" w:rsidRPr="0092586A">
        <w:rPr>
          <w:rFonts w:ascii="Century Gothic" w:hAnsi="Century Gothic"/>
          <w:i/>
          <w:iCs/>
          <w:lang w:val="en-US"/>
        </w:rPr>
        <w:t>the Thuja Proposal</w:t>
      </w:r>
      <w:r w:rsidR="00B87662" w:rsidRPr="0092586A">
        <w:rPr>
          <w:rFonts w:ascii="Century Gothic" w:hAnsi="Century Gothic"/>
          <w:lang w:val="en-US"/>
        </w:rPr>
        <w:t>)</w:t>
      </w:r>
      <w:r w:rsidR="00966A0F" w:rsidRPr="0092586A">
        <w:rPr>
          <w:rFonts w:ascii="Century Gothic" w:hAnsi="Century Gothic"/>
          <w:lang w:val="en-US"/>
        </w:rPr>
        <w:t xml:space="preserve">, from which the impugned contract later resulted, </w:t>
      </w:r>
      <w:r w:rsidR="00B87662" w:rsidRPr="0092586A">
        <w:rPr>
          <w:rFonts w:ascii="Century Gothic" w:hAnsi="Century Gothic"/>
          <w:lang w:val="en-US"/>
        </w:rPr>
        <w:t>had been</w:t>
      </w:r>
      <w:r w:rsidR="00966A0F" w:rsidRPr="0092586A">
        <w:rPr>
          <w:rFonts w:ascii="Century Gothic" w:hAnsi="Century Gothic"/>
          <w:lang w:val="en-US"/>
        </w:rPr>
        <w:t xml:space="preserve"> submitted during this “</w:t>
      </w:r>
      <w:r w:rsidR="00966A0F" w:rsidRPr="0092586A">
        <w:rPr>
          <w:rFonts w:ascii="Century Gothic" w:hAnsi="Century Gothic"/>
          <w:i/>
          <w:iCs/>
          <w:lang w:val="en-US"/>
        </w:rPr>
        <w:t xml:space="preserve">Call for Proposal” </w:t>
      </w:r>
      <w:r w:rsidR="00966A0F" w:rsidRPr="0092586A">
        <w:rPr>
          <w:rFonts w:ascii="Century Gothic" w:hAnsi="Century Gothic"/>
          <w:lang w:val="en-US"/>
        </w:rPr>
        <w:t>process.</w:t>
      </w:r>
      <w:r w:rsidR="00B84CA5" w:rsidRPr="0092586A">
        <w:rPr>
          <w:rFonts w:ascii="Century Gothic" w:hAnsi="Century Gothic"/>
          <w:lang w:val="en-US"/>
        </w:rPr>
        <w:t xml:space="preserve">  (This, in itself, puts to notion – that the Thuja Proposal had been </w:t>
      </w:r>
      <w:r w:rsidR="00B84CA5" w:rsidRPr="0092586A">
        <w:rPr>
          <w:rFonts w:ascii="Century Gothic" w:hAnsi="Century Gothic"/>
          <w:i/>
          <w:iCs/>
          <w:lang w:val="en-US"/>
        </w:rPr>
        <w:t xml:space="preserve">“unsolicited” – </w:t>
      </w:r>
      <w:r w:rsidR="00B84CA5" w:rsidRPr="0092586A">
        <w:rPr>
          <w:rFonts w:ascii="Century Gothic" w:hAnsi="Century Gothic"/>
          <w:lang w:val="en-US"/>
        </w:rPr>
        <w:t>in doubt).</w:t>
      </w:r>
    </w:p>
    <w:p w14:paraId="1ADF049B" w14:textId="77777777" w:rsidR="00966A0F" w:rsidRPr="00966A0F" w:rsidRDefault="00966A0F" w:rsidP="00AD7CB9">
      <w:pPr>
        <w:pStyle w:val="ListParagraph"/>
        <w:ind w:left="567" w:hanging="567"/>
        <w:jc w:val="both"/>
        <w:rPr>
          <w:rFonts w:ascii="Century Gothic" w:hAnsi="Century Gothic"/>
          <w:lang w:val="en-US"/>
        </w:rPr>
      </w:pPr>
    </w:p>
    <w:p w14:paraId="540965E2" w14:textId="659AC65A" w:rsidR="008C50BE" w:rsidRPr="0092586A" w:rsidRDefault="0092586A" w:rsidP="0092586A">
      <w:pPr>
        <w:spacing w:after="480" w:line="480" w:lineRule="auto"/>
        <w:ind w:left="567" w:hanging="567"/>
        <w:jc w:val="both"/>
        <w:rPr>
          <w:rFonts w:ascii="Century Gothic" w:hAnsi="Century Gothic"/>
          <w:lang w:val="en-US"/>
        </w:rPr>
      </w:pPr>
      <w:r>
        <w:rPr>
          <w:rFonts w:ascii="Century Gothic" w:hAnsi="Century Gothic"/>
          <w:lang w:val="en-US"/>
        </w:rPr>
        <w:t>e)</w:t>
      </w:r>
      <w:r>
        <w:rPr>
          <w:rFonts w:ascii="Century Gothic" w:hAnsi="Century Gothic"/>
          <w:lang w:val="en-US"/>
        </w:rPr>
        <w:tab/>
      </w:r>
      <w:r w:rsidR="00966A0F" w:rsidRPr="0092586A">
        <w:rPr>
          <w:rFonts w:ascii="Century Gothic" w:hAnsi="Century Gothic"/>
          <w:lang w:val="en-US"/>
        </w:rPr>
        <w:t xml:space="preserve">The Director-General </w:t>
      </w:r>
      <w:r w:rsidR="004C35A3" w:rsidRPr="0092586A">
        <w:rPr>
          <w:rFonts w:ascii="Century Gothic" w:hAnsi="Century Gothic"/>
          <w:lang w:val="en-US"/>
        </w:rPr>
        <w:t xml:space="preserve">further reminds that he had </w:t>
      </w:r>
      <w:r w:rsidR="00966A0F" w:rsidRPr="0092586A">
        <w:rPr>
          <w:rFonts w:ascii="Century Gothic" w:hAnsi="Century Gothic"/>
          <w:lang w:val="en-US"/>
        </w:rPr>
        <w:t xml:space="preserve">instituted </w:t>
      </w:r>
      <w:r w:rsidR="00B87662" w:rsidRPr="0092586A">
        <w:rPr>
          <w:rFonts w:ascii="Century Gothic" w:hAnsi="Century Gothic"/>
          <w:lang w:val="en-US"/>
        </w:rPr>
        <w:t xml:space="preserve">the </w:t>
      </w:r>
      <w:r w:rsidR="00966A0F" w:rsidRPr="0092586A">
        <w:rPr>
          <w:rFonts w:ascii="Century Gothic" w:hAnsi="Century Gothic"/>
          <w:lang w:val="en-US"/>
        </w:rPr>
        <w:t>Labour Activation Programs National Adjudication Committee</w:t>
      </w:r>
      <w:r w:rsidR="008C50BE" w:rsidRPr="0092586A">
        <w:rPr>
          <w:rFonts w:ascii="Century Gothic" w:hAnsi="Century Gothic"/>
          <w:lang w:val="en-US"/>
        </w:rPr>
        <w:t xml:space="preserve"> (LNAC)</w:t>
      </w:r>
      <w:r w:rsidR="00966A0F" w:rsidRPr="0092586A">
        <w:rPr>
          <w:rFonts w:ascii="Century Gothic" w:hAnsi="Century Gothic"/>
          <w:lang w:val="en-US"/>
        </w:rPr>
        <w:t xml:space="preserve">, </w:t>
      </w:r>
      <w:r w:rsidR="008C50BE" w:rsidRPr="0092586A">
        <w:rPr>
          <w:rFonts w:ascii="Century Gothic" w:hAnsi="Century Gothic"/>
          <w:lang w:val="en-US"/>
        </w:rPr>
        <w:t>to adjudicate on proposals and applications TOU (training of the unemployed) and ED (enterprise development) schemes, of which the Thuja Proposal was one.</w:t>
      </w:r>
    </w:p>
    <w:p w14:paraId="0796711D" w14:textId="77777777" w:rsidR="008C50BE" w:rsidRPr="008C50BE" w:rsidRDefault="008C50BE" w:rsidP="00AD7CB9">
      <w:pPr>
        <w:pStyle w:val="ListParagraph"/>
        <w:ind w:left="567" w:hanging="567"/>
        <w:jc w:val="both"/>
        <w:rPr>
          <w:rFonts w:ascii="Century Gothic" w:hAnsi="Century Gothic"/>
          <w:lang w:val="en-US"/>
        </w:rPr>
      </w:pPr>
    </w:p>
    <w:p w14:paraId="64B24C02" w14:textId="202C16B7" w:rsidR="00B76D67" w:rsidRPr="0092586A" w:rsidRDefault="0092586A" w:rsidP="0092586A">
      <w:pPr>
        <w:spacing w:after="480" w:line="480" w:lineRule="auto"/>
        <w:ind w:left="567" w:hanging="567"/>
        <w:jc w:val="both"/>
        <w:rPr>
          <w:rFonts w:ascii="Century Gothic" w:hAnsi="Century Gothic"/>
          <w:lang w:val="en-US"/>
        </w:rPr>
      </w:pPr>
      <w:r w:rsidRPr="00B84CA5">
        <w:rPr>
          <w:rFonts w:ascii="Century Gothic" w:hAnsi="Century Gothic"/>
          <w:lang w:val="en-US"/>
        </w:rPr>
        <w:t>f)</w:t>
      </w:r>
      <w:r w:rsidRPr="00B84CA5">
        <w:rPr>
          <w:rFonts w:ascii="Century Gothic" w:hAnsi="Century Gothic"/>
          <w:lang w:val="en-US"/>
        </w:rPr>
        <w:tab/>
      </w:r>
      <w:r w:rsidR="008C50BE" w:rsidRPr="0092586A">
        <w:rPr>
          <w:rFonts w:ascii="Century Gothic" w:hAnsi="Century Gothic"/>
          <w:lang w:val="en-US"/>
        </w:rPr>
        <w:t>The Thuja Proposal</w:t>
      </w:r>
      <w:r w:rsidR="008F7C09" w:rsidRPr="0092586A">
        <w:rPr>
          <w:rFonts w:ascii="Century Gothic" w:hAnsi="Century Gothic"/>
          <w:lang w:val="en-US"/>
        </w:rPr>
        <w:t>, originally submitted in 2019</w:t>
      </w:r>
      <w:r w:rsidR="00B87662" w:rsidRPr="0092586A">
        <w:rPr>
          <w:rFonts w:ascii="Century Gothic" w:hAnsi="Century Gothic"/>
          <w:lang w:val="en-US"/>
        </w:rPr>
        <w:t>,</w:t>
      </w:r>
      <w:r w:rsidR="008C50BE" w:rsidRPr="0092586A">
        <w:rPr>
          <w:rFonts w:ascii="Century Gothic" w:hAnsi="Century Gothic"/>
          <w:lang w:val="en-US"/>
        </w:rPr>
        <w:t xml:space="preserve"> was</w:t>
      </w:r>
      <w:r w:rsidR="00B87662" w:rsidRPr="0092586A">
        <w:rPr>
          <w:rFonts w:ascii="Century Gothic" w:hAnsi="Century Gothic"/>
          <w:lang w:val="en-US"/>
        </w:rPr>
        <w:t xml:space="preserve"> declined</w:t>
      </w:r>
      <w:r w:rsidR="008C50BE" w:rsidRPr="0092586A">
        <w:rPr>
          <w:rFonts w:ascii="Century Gothic" w:hAnsi="Century Gothic"/>
          <w:lang w:val="en-US"/>
        </w:rPr>
        <w:t xml:space="preserve"> by LNAC</w:t>
      </w:r>
      <w:r w:rsidR="00B87662" w:rsidRPr="0092586A">
        <w:rPr>
          <w:rFonts w:ascii="Century Gothic" w:hAnsi="Century Gothic"/>
          <w:lang w:val="en-US"/>
        </w:rPr>
        <w:t xml:space="preserve"> in April 2022,</w:t>
      </w:r>
      <w:r w:rsidR="008C50BE" w:rsidRPr="0092586A">
        <w:rPr>
          <w:rFonts w:ascii="Century Gothic" w:hAnsi="Century Gothic"/>
          <w:lang w:val="en-US"/>
        </w:rPr>
        <w:t xml:space="preserve"> although it was supported by the Commissioner of the UIF and</w:t>
      </w:r>
      <w:r w:rsidR="00966A0F" w:rsidRPr="0092586A">
        <w:rPr>
          <w:rFonts w:ascii="Century Gothic" w:hAnsi="Century Gothic"/>
          <w:lang w:val="en-US"/>
        </w:rPr>
        <w:t xml:space="preserve"> </w:t>
      </w:r>
      <w:r w:rsidR="00B87662" w:rsidRPr="0092586A">
        <w:rPr>
          <w:rFonts w:ascii="Century Gothic" w:hAnsi="Century Gothic"/>
          <w:lang w:val="en-US"/>
        </w:rPr>
        <w:t xml:space="preserve">approved for </w:t>
      </w:r>
      <w:r w:rsidR="00F6541A" w:rsidRPr="0092586A">
        <w:rPr>
          <w:rFonts w:ascii="Century Gothic" w:hAnsi="Century Gothic"/>
          <w:lang w:val="en-US"/>
        </w:rPr>
        <w:t>implementation by</w:t>
      </w:r>
      <w:r w:rsidR="00B87662" w:rsidRPr="0092586A">
        <w:rPr>
          <w:rFonts w:ascii="Century Gothic" w:hAnsi="Century Gothic"/>
          <w:lang w:val="en-US"/>
        </w:rPr>
        <w:t xml:space="preserve"> </w:t>
      </w:r>
      <w:r w:rsidR="00AC15BF" w:rsidRPr="0092586A">
        <w:rPr>
          <w:rFonts w:ascii="Century Gothic" w:hAnsi="Century Gothic"/>
          <w:lang w:val="en-US"/>
        </w:rPr>
        <w:t>the Director</w:t>
      </w:r>
      <w:r w:rsidR="004C35A3" w:rsidRPr="0092586A">
        <w:rPr>
          <w:rFonts w:ascii="Century Gothic" w:hAnsi="Century Gothic"/>
          <w:lang w:val="en-US"/>
        </w:rPr>
        <w:t xml:space="preserve"> </w:t>
      </w:r>
      <w:r w:rsidR="00AC15BF" w:rsidRPr="0092586A">
        <w:rPr>
          <w:rFonts w:ascii="Century Gothic" w:hAnsi="Century Gothic"/>
          <w:lang w:val="en-US"/>
        </w:rPr>
        <w:t>General</w:t>
      </w:r>
      <w:r w:rsidR="00B87662" w:rsidRPr="0092586A">
        <w:rPr>
          <w:rFonts w:ascii="Century Gothic" w:hAnsi="Century Gothic"/>
          <w:lang w:val="en-US"/>
        </w:rPr>
        <w:t xml:space="preserve"> in May 2022</w:t>
      </w:r>
      <w:r w:rsidR="00AC15BF" w:rsidRPr="0092586A">
        <w:rPr>
          <w:rFonts w:ascii="Century Gothic" w:hAnsi="Century Gothic"/>
          <w:lang w:val="en-US"/>
        </w:rPr>
        <w:t>.</w:t>
      </w:r>
      <w:r w:rsidR="00B84CA5" w:rsidRPr="0092586A">
        <w:rPr>
          <w:rFonts w:ascii="Century Gothic" w:hAnsi="Century Gothic"/>
          <w:lang w:val="en-US"/>
        </w:rPr>
        <w:t xml:space="preserve">  (The Commissioner and the Director General both expressly rejected the LNAC recommendations).  </w:t>
      </w:r>
      <w:r w:rsidR="00B76D67" w:rsidRPr="0092586A">
        <w:rPr>
          <w:rFonts w:ascii="Century Gothic" w:hAnsi="Century Gothic"/>
          <w:lang w:val="en-US"/>
        </w:rPr>
        <w:t>The Director General expresse</w:t>
      </w:r>
      <w:r w:rsidR="00B84CA5" w:rsidRPr="0092586A">
        <w:rPr>
          <w:rFonts w:ascii="Century Gothic" w:hAnsi="Century Gothic"/>
          <w:lang w:val="en-US"/>
        </w:rPr>
        <w:t>d</w:t>
      </w:r>
      <w:r w:rsidR="00B76D67" w:rsidRPr="0092586A">
        <w:rPr>
          <w:rFonts w:ascii="Century Gothic" w:hAnsi="Century Gothic"/>
          <w:lang w:val="en-US"/>
        </w:rPr>
        <w:t xml:space="preserve"> his dismay with LNAC’s </w:t>
      </w:r>
      <w:r w:rsidR="00F6541A" w:rsidRPr="0092586A">
        <w:rPr>
          <w:rFonts w:ascii="Century Gothic" w:hAnsi="Century Gothic"/>
          <w:lang w:val="en-US"/>
        </w:rPr>
        <w:t>decision but</w:t>
      </w:r>
      <w:r w:rsidR="00B76D67" w:rsidRPr="0092586A">
        <w:rPr>
          <w:rFonts w:ascii="Century Gothic" w:hAnsi="Century Gothic"/>
          <w:lang w:val="en-US"/>
        </w:rPr>
        <w:t xml:space="preserve"> </w:t>
      </w:r>
      <w:r w:rsidR="00B84CA5" w:rsidRPr="0092586A">
        <w:rPr>
          <w:rFonts w:ascii="Century Gothic" w:hAnsi="Century Gothic"/>
          <w:lang w:val="en-US"/>
        </w:rPr>
        <w:t xml:space="preserve">emphasized </w:t>
      </w:r>
      <w:r w:rsidR="009C1E84" w:rsidRPr="0092586A">
        <w:rPr>
          <w:rFonts w:ascii="Century Gothic" w:hAnsi="Century Gothic"/>
          <w:lang w:val="en-US"/>
        </w:rPr>
        <w:t xml:space="preserve">that the commissioner of the UIF </w:t>
      </w:r>
      <w:r w:rsidR="00B84CA5" w:rsidRPr="0092586A">
        <w:rPr>
          <w:rFonts w:ascii="Century Gothic" w:hAnsi="Century Gothic"/>
          <w:lang w:val="en-US"/>
        </w:rPr>
        <w:t xml:space="preserve">had </w:t>
      </w:r>
      <w:r w:rsidR="009C1E84" w:rsidRPr="0092586A">
        <w:rPr>
          <w:rFonts w:ascii="Century Gothic" w:hAnsi="Century Gothic"/>
          <w:lang w:val="en-US"/>
        </w:rPr>
        <w:t>recommended the proposal and emphasize</w:t>
      </w:r>
      <w:r w:rsidR="00B84CA5" w:rsidRPr="0092586A">
        <w:rPr>
          <w:rFonts w:ascii="Century Gothic" w:hAnsi="Century Gothic"/>
          <w:lang w:val="en-US"/>
        </w:rPr>
        <w:t>d</w:t>
      </w:r>
      <w:r w:rsidR="009C1E84" w:rsidRPr="0092586A">
        <w:rPr>
          <w:rFonts w:ascii="Century Gothic" w:hAnsi="Century Gothic"/>
          <w:lang w:val="en-US"/>
        </w:rPr>
        <w:t xml:space="preserve"> that the final decision did not rest with LNAC</w:t>
      </w:r>
      <w:r w:rsidR="00237EC6" w:rsidRPr="0092586A">
        <w:rPr>
          <w:rFonts w:ascii="Century Gothic" w:hAnsi="Century Gothic"/>
          <w:lang w:val="en-US"/>
        </w:rPr>
        <w:t xml:space="preserve"> but with himself – as Accounting Authority for the UIF</w:t>
      </w:r>
      <w:r w:rsidR="009C1E84" w:rsidRPr="0092586A">
        <w:rPr>
          <w:rFonts w:ascii="Century Gothic" w:hAnsi="Century Gothic"/>
          <w:lang w:val="en-US"/>
        </w:rPr>
        <w:t xml:space="preserve">.  </w:t>
      </w:r>
    </w:p>
    <w:p w14:paraId="066B9200" w14:textId="77777777" w:rsidR="00B87662" w:rsidRPr="00B87662" w:rsidRDefault="00B87662" w:rsidP="00AD7CB9">
      <w:pPr>
        <w:pStyle w:val="ListParagraph"/>
        <w:ind w:left="567" w:hanging="567"/>
        <w:jc w:val="both"/>
        <w:rPr>
          <w:rFonts w:ascii="Century Gothic" w:hAnsi="Century Gothic"/>
          <w:lang w:val="en-US"/>
        </w:rPr>
      </w:pPr>
    </w:p>
    <w:p w14:paraId="41A58852" w14:textId="484BA6BC" w:rsidR="00B87662" w:rsidRPr="0092586A" w:rsidRDefault="0092586A" w:rsidP="0092586A">
      <w:pPr>
        <w:spacing w:after="480" w:line="480" w:lineRule="auto"/>
        <w:ind w:left="567" w:hanging="567"/>
        <w:jc w:val="both"/>
        <w:rPr>
          <w:rFonts w:ascii="Century Gothic" w:hAnsi="Century Gothic"/>
          <w:lang w:val="en-US"/>
        </w:rPr>
      </w:pPr>
      <w:r>
        <w:rPr>
          <w:rFonts w:ascii="Century Gothic" w:hAnsi="Century Gothic"/>
          <w:lang w:val="en-US"/>
        </w:rPr>
        <w:t>g)</w:t>
      </w:r>
      <w:r>
        <w:rPr>
          <w:rFonts w:ascii="Century Gothic" w:hAnsi="Century Gothic"/>
          <w:lang w:val="en-US"/>
        </w:rPr>
        <w:tab/>
      </w:r>
      <w:r w:rsidR="009C1E84" w:rsidRPr="0092586A">
        <w:rPr>
          <w:rFonts w:ascii="Century Gothic" w:hAnsi="Century Gothic"/>
          <w:lang w:val="en-US"/>
        </w:rPr>
        <w:t>In conclusion, the Director General then recommend</w:t>
      </w:r>
      <w:r w:rsidR="00237EC6" w:rsidRPr="0092586A">
        <w:rPr>
          <w:rFonts w:ascii="Century Gothic" w:hAnsi="Century Gothic"/>
          <w:lang w:val="en-US"/>
        </w:rPr>
        <w:t>ed</w:t>
      </w:r>
      <w:r w:rsidR="009C1E84" w:rsidRPr="0092586A">
        <w:rPr>
          <w:rFonts w:ascii="Century Gothic" w:hAnsi="Century Gothic"/>
          <w:lang w:val="en-US"/>
        </w:rPr>
        <w:t xml:space="preserve"> that the Minister </w:t>
      </w:r>
      <w:r w:rsidR="00B84CA5" w:rsidRPr="0092586A">
        <w:rPr>
          <w:rFonts w:ascii="Century Gothic" w:hAnsi="Century Gothic"/>
          <w:lang w:val="en-US"/>
        </w:rPr>
        <w:t xml:space="preserve">should </w:t>
      </w:r>
      <w:r w:rsidR="009C1E84" w:rsidRPr="0092586A">
        <w:rPr>
          <w:rFonts w:ascii="Century Gothic" w:hAnsi="Century Gothic"/>
          <w:lang w:val="en-US"/>
        </w:rPr>
        <w:t xml:space="preserve">decide to implement the contract.  It </w:t>
      </w:r>
      <w:r w:rsidR="00237EC6" w:rsidRPr="0092586A">
        <w:rPr>
          <w:rFonts w:ascii="Century Gothic" w:hAnsi="Century Gothic"/>
          <w:lang w:val="en-US"/>
        </w:rPr>
        <w:t>was</w:t>
      </w:r>
      <w:r w:rsidR="009C1E84" w:rsidRPr="0092586A">
        <w:rPr>
          <w:rFonts w:ascii="Century Gothic" w:hAnsi="Century Gothic"/>
          <w:lang w:val="en-US"/>
        </w:rPr>
        <w:t xml:space="preserve"> specifically recommended that, because formal transactions underlying the equity-component and the loan-components of the scheme </w:t>
      </w:r>
      <w:r w:rsidR="00237EC6" w:rsidRPr="0092586A">
        <w:rPr>
          <w:rFonts w:ascii="Century Gothic" w:hAnsi="Century Gothic"/>
          <w:lang w:val="en-US"/>
        </w:rPr>
        <w:t>were</w:t>
      </w:r>
      <w:r w:rsidR="009C1E84" w:rsidRPr="0092586A">
        <w:rPr>
          <w:rFonts w:ascii="Century Gothic" w:hAnsi="Century Gothic"/>
          <w:lang w:val="en-US"/>
        </w:rPr>
        <w:t xml:space="preserve"> still to be concluded, the first tranche of R2 billion – payable on 31 January 2023 – should specifically go towards the grant-component</w:t>
      </w:r>
      <w:r w:rsidR="00B84CA5" w:rsidRPr="0092586A">
        <w:rPr>
          <w:rFonts w:ascii="Century Gothic" w:hAnsi="Century Gothic"/>
          <w:lang w:val="en-US"/>
        </w:rPr>
        <w:t xml:space="preserve"> of the scheme</w:t>
      </w:r>
      <w:r w:rsidR="009C1E84" w:rsidRPr="0092586A">
        <w:rPr>
          <w:rFonts w:ascii="Century Gothic" w:hAnsi="Century Gothic"/>
          <w:lang w:val="en-US"/>
        </w:rPr>
        <w:t>.</w:t>
      </w:r>
    </w:p>
    <w:p w14:paraId="5CFB8CB0" w14:textId="77777777" w:rsidR="00237EC6" w:rsidRPr="00237EC6" w:rsidRDefault="00237EC6" w:rsidP="007A21F7">
      <w:pPr>
        <w:pStyle w:val="ListParagraph"/>
        <w:ind w:left="1276" w:hanging="1276"/>
        <w:jc w:val="both"/>
        <w:rPr>
          <w:rFonts w:ascii="Century Gothic" w:hAnsi="Century Gothic"/>
          <w:lang w:val="en-US"/>
        </w:rPr>
      </w:pPr>
    </w:p>
    <w:p w14:paraId="33017011" w14:textId="7ABECA27" w:rsidR="00CC1961" w:rsidRPr="0092586A" w:rsidRDefault="0092586A" w:rsidP="0092586A">
      <w:pPr>
        <w:spacing w:after="480" w:line="480" w:lineRule="auto"/>
        <w:jc w:val="both"/>
        <w:rPr>
          <w:rFonts w:ascii="Century Gothic" w:hAnsi="Century Gothic"/>
          <w:lang w:val="en-US"/>
        </w:rPr>
      </w:pPr>
      <w:r>
        <w:rPr>
          <w:rFonts w:ascii="Century Gothic" w:hAnsi="Century Gothic"/>
          <w:lang w:val="en-US"/>
        </w:rPr>
        <w:lastRenderedPageBreak/>
        <w:t>[9]</w:t>
      </w:r>
      <w:r>
        <w:rPr>
          <w:rFonts w:ascii="Century Gothic" w:hAnsi="Century Gothic"/>
          <w:lang w:val="en-US"/>
        </w:rPr>
        <w:tab/>
      </w:r>
      <w:r w:rsidR="00237EC6" w:rsidRPr="0092586A">
        <w:rPr>
          <w:rFonts w:ascii="Century Gothic" w:hAnsi="Century Gothic"/>
          <w:lang w:val="en-US"/>
        </w:rPr>
        <w:t>The minister did not follow the recommendation of the Director General</w:t>
      </w:r>
      <w:r w:rsidR="00CC1961" w:rsidRPr="0092586A">
        <w:rPr>
          <w:rFonts w:ascii="Century Gothic" w:hAnsi="Century Gothic"/>
          <w:lang w:val="en-US"/>
        </w:rPr>
        <w:t xml:space="preserve"> </w:t>
      </w:r>
      <w:r w:rsidR="00F6541A" w:rsidRPr="0092586A">
        <w:rPr>
          <w:rFonts w:ascii="Century Gothic" w:hAnsi="Century Gothic"/>
          <w:lang w:val="en-US"/>
        </w:rPr>
        <w:t>and</w:t>
      </w:r>
      <w:r w:rsidR="00CC1961" w:rsidRPr="0092586A">
        <w:rPr>
          <w:rFonts w:ascii="Century Gothic" w:hAnsi="Century Gothic"/>
          <w:lang w:val="en-US"/>
        </w:rPr>
        <w:t xml:space="preserve"> instead continued to prohibit payment being made</w:t>
      </w:r>
      <w:r w:rsidR="00B84CA5" w:rsidRPr="0092586A">
        <w:rPr>
          <w:rFonts w:ascii="Century Gothic" w:hAnsi="Century Gothic"/>
          <w:lang w:val="en-US"/>
        </w:rPr>
        <w:t xml:space="preserve"> in terms of the contract</w:t>
      </w:r>
      <w:r w:rsidR="00CC1961" w:rsidRPr="0092586A">
        <w:rPr>
          <w:rFonts w:ascii="Century Gothic" w:hAnsi="Century Gothic"/>
          <w:lang w:val="en-US"/>
        </w:rPr>
        <w:t>.</w:t>
      </w:r>
    </w:p>
    <w:p w14:paraId="6830712D" w14:textId="77777777" w:rsidR="009E406F" w:rsidRDefault="009E406F" w:rsidP="007A21F7">
      <w:pPr>
        <w:pStyle w:val="ListParagraph"/>
        <w:spacing w:after="480" w:line="480" w:lineRule="auto"/>
        <w:ind w:left="1276" w:hanging="1276"/>
        <w:jc w:val="both"/>
        <w:rPr>
          <w:rFonts w:ascii="Century Gothic" w:hAnsi="Century Gothic"/>
          <w:lang w:val="en-US"/>
        </w:rPr>
      </w:pPr>
    </w:p>
    <w:p w14:paraId="192C8BCA" w14:textId="55721967" w:rsidR="00237EC6" w:rsidRPr="0092586A" w:rsidRDefault="0092586A" w:rsidP="0092586A">
      <w:pPr>
        <w:spacing w:after="480" w:line="480" w:lineRule="auto"/>
        <w:jc w:val="both"/>
        <w:rPr>
          <w:rFonts w:ascii="Century Gothic" w:hAnsi="Century Gothic"/>
          <w:lang w:val="en-US"/>
        </w:rPr>
      </w:pPr>
      <w:r>
        <w:rPr>
          <w:rFonts w:ascii="Century Gothic" w:hAnsi="Century Gothic"/>
          <w:lang w:val="en-US"/>
        </w:rPr>
        <w:t>[10]</w:t>
      </w:r>
      <w:r>
        <w:rPr>
          <w:rFonts w:ascii="Century Gothic" w:hAnsi="Century Gothic"/>
          <w:lang w:val="en-US"/>
        </w:rPr>
        <w:tab/>
      </w:r>
      <w:r w:rsidR="00CC1961" w:rsidRPr="0092586A">
        <w:rPr>
          <w:rFonts w:ascii="Century Gothic" w:hAnsi="Century Gothic"/>
          <w:lang w:val="en-US"/>
        </w:rPr>
        <w:t>Early in March 2023, a letter of demand, threatening legal action, was received from attorneys representing the first and second respondents.</w:t>
      </w:r>
    </w:p>
    <w:p w14:paraId="54D43389" w14:textId="77777777" w:rsidR="00030F0F" w:rsidRDefault="00030F0F" w:rsidP="007A21F7">
      <w:pPr>
        <w:pStyle w:val="ListParagraph"/>
        <w:spacing w:after="480" w:line="480" w:lineRule="auto"/>
        <w:ind w:left="1276" w:hanging="1276"/>
        <w:jc w:val="both"/>
        <w:rPr>
          <w:rFonts w:ascii="Century Gothic" w:hAnsi="Century Gothic"/>
          <w:lang w:val="en-US"/>
        </w:rPr>
      </w:pPr>
    </w:p>
    <w:p w14:paraId="3E06F648" w14:textId="109FB693" w:rsidR="00030F0F" w:rsidRPr="0092586A" w:rsidRDefault="0092586A" w:rsidP="0092586A">
      <w:pPr>
        <w:spacing w:after="480" w:line="480" w:lineRule="auto"/>
        <w:jc w:val="both"/>
        <w:rPr>
          <w:rFonts w:ascii="Century Gothic" w:hAnsi="Century Gothic"/>
          <w:lang w:val="en-US"/>
        </w:rPr>
      </w:pPr>
      <w:r>
        <w:rPr>
          <w:rFonts w:ascii="Century Gothic" w:hAnsi="Century Gothic"/>
          <w:lang w:val="en-US"/>
        </w:rPr>
        <w:t>[11]</w:t>
      </w:r>
      <w:r>
        <w:rPr>
          <w:rFonts w:ascii="Century Gothic" w:hAnsi="Century Gothic"/>
          <w:lang w:val="en-US"/>
        </w:rPr>
        <w:tab/>
      </w:r>
      <w:r w:rsidR="00030F0F" w:rsidRPr="0092586A">
        <w:rPr>
          <w:rFonts w:ascii="Century Gothic" w:hAnsi="Century Gothic"/>
          <w:lang w:val="en-US"/>
        </w:rPr>
        <w:t xml:space="preserve">As early as 18 March 2023, the first and second respondents’ attorneys had already mentioned that there is “… </w:t>
      </w:r>
      <w:r w:rsidR="00030F0F" w:rsidRPr="0092586A">
        <w:rPr>
          <w:rFonts w:ascii="Century Gothic" w:hAnsi="Century Gothic"/>
          <w:i/>
          <w:iCs/>
          <w:lang w:val="en-US"/>
        </w:rPr>
        <w:t xml:space="preserve">no legal basis for the unlawful self-review or due diligence.”  </w:t>
      </w:r>
    </w:p>
    <w:p w14:paraId="18CAEF82" w14:textId="77777777" w:rsidR="00030F0F" w:rsidRPr="00030F0F" w:rsidRDefault="00030F0F" w:rsidP="007A21F7">
      <w:pPr>
        <w:pStyle w:val="ListParagraph"/>
        <w:ind w:left="1276" w:hanging="1276"/>
        <w:jc w:val="both"/>
        <w:rPr>
          <w:rFonts w:ascii="Century Gothic" w:hAnsi="Century Gothic"/>
          <w:lang w:val="en-US"/>
        </w:rPr>
      </w:pPr>
    </w:p>
    <w:p w14:paraId="0CA45E86" w14:textId="58BF861B" w:rsidR="00030F0F" w:rsidRPr="0092586A" w:rsidRDefault="0092586A" w:rsidP="0092586A">
      <w:pPr>
        <w:spacing w:after="480" w:line="480" w:lineRule="auto"/>
        <w:jc w:val="both"/>
        <w:rPr>
          <w:rFonts w:ascii="Century Gothic" w:hAnsi="Century Gothic"/>
          <w:lang w:val="en-US"/>
        </w:rPr>
      </w:pPr>
      <w:r>
        <w:rPr>
          <w:rFonts w:ascii="Century Gothic" w:hAnsi="Century Gothic"/>
          <w:lang w:val="en-US"/>
        </w:rPr>
        <w:t>[12]</w:t>
      </w:r>
      <w:r>
        <w:rPr>
          <w:rFonts w:ascii="Century Gothic" w:hAnsi="Century Gothic"/>
          <w:lang w:val="en-US"/>
        </w:rPr>
        <w:tab/>
      </w:r>
      <w:r w:rsidR="00030F0F" w:rsidRPr="0092586A">
        <w:rPr>
          <w:rFonts w:ascii="Century Gothic" w:hAnsi="Century Gothic"/>
          <w:lang w:val="en-US"/>
        </w:rPr>
        <w:t xml:space="preserve">At the same time, the first </w:t>
      </w:r>
      <w:r w:rsidR="00B84CA5" w:rsidRPr="0092586A">
        <w:rPr>
          <w:rFonts w:ascii="Century Gothic" w:hAnsi="Century Gothic"/>
          <w:lang w:val="en-US"/>
        </w:rPr>
        <w:t xml:space="preserve">to third </w:t>
      </w:r>
      <w:r w:rsidR="00030F0F" w:rsidRPr="0092586A">
        <w:rPr>
          <w:rFonts w:ascii="Century Gothic" w:hAnsi="Century Gothic"/>
          <w:lang w:val="en-US"/>
        </w:rPr>
        <w:t xml:space="preserve">respondents had also </w:t>
      </w:r>
      <w:r w:rsidR="00646368" w:rsidRPr="0092586A">
        <w:rPr>
          <w:rFonts w:ascii="Century Gothic" w:hAnsi="Century Gothic"/>
          <w:lang w:val="en-US"/>
        </w:rPr>
        <w:t>reported what they called the minister’s unlawful interference in the contract between the UIF and the second respondent, to the deputy president of the Republic of South Africa.</w:t>
      </w:r>
    </w:p>
    <w:p w14:paraId="43B8800A" w14:textId="77777777" w:rsidR="00646368" w:rsidRPr="00646368" w:rsidRDefault="00646368" w:rsidP="007A21F7">
      <w:pPr>
        <w:pStyle w:val="ListParagraph"/>
        <w:ind w:left="1276" w:hanging="1276"/>
        <w:jc w:val="both"/>
        <w:rPr>
          <w:rFonts w:ascii="Century Gothic" w:hAnsi="Century Gothic"/>
          <w:lang w:val="en-US"/>
        </w:rPr>
      </w:pPr>
    </w:p>
    <w:p w14:paraId="47F70FF2" w14:textId="2E437C0D" w:rsidR="00243B31" w:rsidRPr="0092586A" w:rsidRDefault="0092586A" w:rsidP="0092586A">
      <w:pPr>
        <w:spacing w:after="480" w:line="480" w:lineRule="auto"/>
        <w:jc w:val="both"/>
        <w:rPr>
          <w:rFonts w:ascii="Century Gothic" w:hAnsi="Century Gothic"/>
          <w:lang w:val="en-US"/>
        </w:rPr>
      </w:pPr>
      <w:r w:rsidRPr="00646368">
        <w:rPr>
          <w:rFonts w:ascii="Century Gothic" w:hAnsi="Century Gothic"/>
          <w:lang w:val="en-US"/>
        </w:rPr>
        <w:t>[13]</w:t>
      </w:r>
      <w:r w:rsidRPr="00646368">
        <w:rPr>
          <w:rFonts w:ascii="Century Gothic" w:hAnsi="Century Gothic"/>
          <w:lang w:val="en-US"/>
        </w:rPr>
        <w:tab/>
      </w:r>
      <w:r w:rsidR="00646368" w:rsidRPr="0092586A">
        <w:rPr>
          <w:rFonts w:ascii="Century Gothic" w:hAnsi="Century Gothic"/>
          <w:lang w:val="en-US"/>
        </w:rPr>
        <w:t xml:space="preserve">The papers are </w:t>
      </w:r>
      <w:r w:rsidR="00670472" w:rsidRPr="0092586A">
        <w:rPr>
          <w:rFonts w:ascii="Century Gothic" w:hAnsi="Century Gothic"/>
          <w:lang w:val="en-US"/>
        </w:rPr>
        <w:t>mum</w:t>
      </w:r>
      <w:r w:rsidR="00646368" w:rsidRPr="0092586A">
        <w:rPr>
          <w:rFonts w:ascii="Century Gothic" w:hAnsi="Century Gothic"/>
          <w:lang w:val="en-US"/>
        </w:rPr>
        <w:t xml:space="preserve"> about the events during the next two and half months but, on 9 June 2023, t</w:t>
      </w:r>
      <w:r w:rsidR="00243B31" w:rsidRPr="0092586A">
        <w:rPr>
          <w:rFonts w:ascii="Century Gothic" w:hAnsi="Century Gothic"/>
          <w:lang w:val="en-US"/>
        </w:rPr>
        <w:t xml:space="preserve">he minister wrote to the first and second respondents, informing them that </w:t>
      </w:r>
      <w:r w:rsidR="00A31DD7" w:rsidRPr="0092586A">
        <w:rPr>
          <w:rFonts w:ascii="Century Gothic" w:hAnsi="Century Gothic"/>
          <w:lang w:val="en-US"/>
        </w:rPr>
        <w:t xml:space="preserve">a service provider had been appointed to investigate “… </w:t>
      </w:r>
      <w:r w:rsidR="00A31DD7" w:rsidRPr="0092586A">
        <w:rPr>
          <w:rFonts w:ascii="Century Gothic" w:hAnsi="Century Gothic"/>
          <w:i/>
          <w:iCs/>
          <w:lang w:val="en-US"/>
        </w:rPr>
        <w:t xml:space="preserve">the processes followed leading up to the appointment of Thuja </w:t>
      </w:r>
      <w:r w:rsidR="00A31DD7" w:rsidRPr="0092586A">
        <w:rPr>
          <w:rFonts w:ascii="Century Gothic" w:hAnsi="Century Gothic"/>
          <w:i/>
          <w:iCs/>
          <w:lang w:val="en-US"/>
        </w:rPr>
        <w:lastRenderedPageBreak/>
        <w:t>Holdings (Pty) Ltd as well as to conduct a due diligence process to determine whether you have the necessary capacity to deliver on the project…”.</w:t>
      </w:r>
    </w:p>
    <w:p w14:paraId="54736723" w14:textId="77777777" w:rsidR="00A31DD7" w:rsidRDefault="00A31DD7" w:rsidP="007A21F7">
      <w:pPr>
        <w:pStyle w:val="ListParagraph"/>
        <w:spacing w:after="480" w:line="480" w:lineRule="auto"/>
        <w:ind w:left="1276" w:hanging="1276"/>
        <w:jc w:val="both"/>
        <w:rPr>
          <w:rFonts w:ascii="Century Gothic" w:hAnsi="Century Gothic"/>
          <w:lang w:val="en-US"/>
        </w:rPr>
      </w:pPr>
    </w:p>
    <w:p w14:paraId="30D000A4" w14:textId="6152EC40" w:rsidR="00D6652D" w:rsidRPr="0092586A" w:rsidRDefault="0092586A" w:rsidP="0092586A">
      <w:pPr>
        <w:spacing w:after="480" w:line="480" w:lineRule="auto"/>
        <w:jc w:val="both"/>
        <w:rPr>
          <w:rFonts w:ascii="Century Gothic" w:hAnsi="Century Gothic"/>
          <w:lang w:val="en-US"/>
        </w:rPr>
      </w:pPr>
      <w:r>
        <w:rPr>
          <w:rFonts w:ascii="Century Gothic" w:hAnsi="Century Gothic"/>
          <w:lang w:val="en-US"/>
        </w:rPr>
        <w:t>[14]</w:t>
      </w:r>
      <w:r>
        <w:rPr>
          <w:rFonts w:ascii="Century Gothic" w:hAnsi="Century Gothic"/>
          <w:lang w:val="en-US"/>
        </w:rPr>
        <w:tab/>
      </w:r>
      <w:r w:rsidR="00CC1961" w:rsidRPr="0092586A">
        <w:rPr>
          <w:rFonts w:ascii="Century Gothic" w:hAnsi="Century Gothic"/>
          <w:lang w:val="en-US"/>
        </w:rPr>
        <w:t xml:space="preserve">On 11 September 2023 the minister wrote to the Director General, informing him that the findings of the investigators had been submitted to the president, whose directives are </w:t>
      </w:r>
      <w:r w:rsidR="00670472" w:rsidRPr="0092586A">
        <w:rPr>
          <w:rFonts w:ascii="Century Gothic" w:hAnsi="Century Gothic"/>
          <w:lang w:val="en-US"/>
        </w:rPr>
        <w:t xml:space="preserve">being </w:t>
      </w:r>
      <w:r w:rsidR="00CC1961" w:rsidRPr="0092586A">
        <w:rPr>
          <w:rFonts w:ascii="Century Gothic" w:hAnsi="Century Gothic"/>
          <w:lang w:val="en-US"/>
        </w:rPr>
        <w:t>awaited.</w:t>
      </w:r>
      <w:r w:rsidR="0018096B" w:rsidRPr="0092586A">
        <w:rPr>
          <w:rFonts w:ascii="Century Gothic" w:hAnsi="Century Gothic"/>
          <w:lang w:val="en-US"/>
        </w:rPr>
        <w:t xml:space="preserve"> </w:t>
      </w:r>
    </w:p>
    <w:p w14:paraId="3D3A6FA9" w14:textId="77777777" w:rsidR="00D6652D" w:rsidRPr="00D6652D" w:rsidRDefault="00D6652D" w:rsidP="00D6652D">
      <w:pPr>
        <w:pStyle w:val="ListParagraph"/>
        <w:spacing w:after="480" w:line="480" w:lineRule="auto"/>
        <w:ind w:left="0"/>
        <w:jc w:val="both"/>
        <w:rPr>
          <w:rFonts w:ascii="Century Gothic" w:hAnsi="Century Gothic"/>
          <w:lang w:val="en-US"/>
        </w:rPr>
      </w:pPr>
    </w:p>
    <w:p w14:paraId="5E920984" w14:textId="07AD3980" w:rsidR="004E222C" w:rsidRPr="0092586A" w:rsidRDefault="0092586A" w:rsidP="0092586A">
      <w:pPr>
        <w:spacing w:after="480" w:line="480" w:lineRule="auto"/>
        <w:jc w:val="both"/>
        <w:rPr>
          <w:rFonts w:ascii="Century Gothic" w:hAnsi="Century Gothic"/>
          <w:lang w:val="en-US"/>
        </w:rPr>
      </w:pPr>
      <w:r w:rsidRPr="00683035">
        <w:rPr>
          <w:rFonts w:ascii="Century Gothic" w:hAnsi="Century Gothic"/>
          <w:lang w:val="en-US"/>
        </w:rPr>
        <w:t>[15]</w:t>
      </w:r>
      <w:r w:rsidRPr="00683035">
        <w:rPr>
          <w:rFonts w:ascii="Century Gothic" w:hAnsi="Century Gothic"/>
          <w:lang w:val="en-US"/>
        </w:rPr>
        <w:tab/>
      </w:r>
      <w:r w:rsidR="00670472" w:rsidRPr="0092586A">
        <w:rPr>
          <w:rFonts w:ascii="Century Gothic" w:hAnsi="Century Gothic"/>
          <w:lang w:val="en-US"/>
        </w:rPr>
        <w:t xml:space="preserve">From this point onwards, the tone of the correspondence between the applicant and Mr Mdwaba became openly hostile.  This was especially so </w:t>
      </w:r>
      <w:r w:rsidR="00683035" w:rsidRPr="0092586A">
        <w:rPr>
          <w:rFonts w:ascii="Century Gothic" w:hAnsi="Century Gothic"/>
          <w:lang w:val="en-US"/>
        </w:rPr>
        <w:t>after</w:t>
      </w:r>
      <w:r w:rsidR="00670472" w:rsidRPr="0092586A">
        <w:rPr>
          <w:rFonts w:ascii="Century Gothic" w:hAnsi="Century Gothic"/>
          <w:lang w:val="en-US"/>
        </w:rPr>
        <w:t xml:space="preserve"> the applicant </w:t>
      </w:r>
      <w:r w:rsidR="00683035" w:rsidRPr="0092586A">
        <w:rPr>
          <w:rFonts w:ascii="Century Gothic" w:hAnsi="Century Gothic"/>
          <w:lang w:val="en-US"/>
        </w:rPr>
        <w:t>had formally notified</w:t>
      </w:r>
      <w:r w:rsidR="00670472" w:rsidRPr="0092586A">
        <w:rPr>
          <w:rFonts w:ascii="Century Gothic" w:hAnsi="Century Gothic"/>
          <w:lang w:val="en-US"/>
        </w:rPr>
        <w:t xml:space="preserve"> Mr Mdwaba that he (the applicant) was considering removing Mr Mdwaba as chairperson of </w:t>
      </w:r>
      <w:r w:rsidR="00F6541A" w:rsidRPr="0092586A">
        <w:rPr>
          <w:rFonts w:ascii="Century Gothic" w:hAnsi="Century Gothic"/>
          <w:lang w:val="en-US"/>
        </w:rPr>
        <w:t>Productivity</w:t>
      </w:r>
      <w:r w:rsidR="00670472" w:rsidRPr="0092586A">
        <w:rPr>
          <w:rFonts w:ascii="Century Gothic" w:hAnsi="Century Gothic"/>
          <w:lang w:val="en-US"/>
        </w:rPr>
        <w:t xml:space="preserve"> SA and gave him the opportunity to give reasons why this should not be done.  </w:t>
      </w:r>
      <w:r w:rsidR="00683035" w:rsidRPr="0092586A">
        <w:rPr>
          <w:rFonts w:ascii="Century Gothic" w:hAnsi="Century Gothic"/>
          <w:lang w:val="en-US"/>
        </w:rPr>
        <w:t xml:space="preserve">The applicant eventually in fact removed Mr Mdwaba as chairperson of Productivity SA on 22 September 2023 – with immediate effect.  </w:t>
      </w:r>
      <w:r w:rsidR="00670472" w:rsidRPr="0092586A">
        <w:rPr>
          <w:rFonts w:ascii="Century Gothic" w:hAnsi="Century Gothic"/>
          <w:lang w:val="en-US"/>
        </w:rPr>
        <w:t>However</w:t>
      </w:r>
      <w:r w:rsidR="00683035" w:rsidRPr="0092586A">
        <w:rPr>
          <w:rFonts w:ascii="Century Gothic" w:hAnsi="Century Gothic"/>
          <w:lang w:val="en-US"/>
        </w:rPr>
        <w:t xml:space="preserve"> this question - </w:t>
      </w:r>
      <w:r w:rsidR="00670472" w:rsidRPr="0092586A">
        <w:rPr>
          <w:rFonts w:ascii="Century Gothic" w:hAnsi="Century Gothic"/>
          <w:lang w:val="en-US"/>
        </w:rPr>
        <w:t xml:space="preserve">of </w:t>
      </w:r>
      <w:r w:rsidR="00F6541A" w:rsidRPr="0092586A">
        <w:rPr>
          <w:rFonts w:ascii="Century Gothic" w:hAnsi="Century Gothic"/>
          <w:lang w:val="en-US"/>
        </w:rPr>
        <w:t>the removal</w:t>
      </w:r>
      <w:r w:rsidR="00670472" w:rsidRPr="0092586A">
        <w:rPr>
          <w:rFonts w:ascii="Century Gothic" w:hAnsi="Century Gothic"/>
          <w:lang w:val="en-US"/>
        </w:rPr>
        <w:t xml:space="preserve"> of Mr Mdwaba </w:t>
      </w:r>
      <w:r w:rsidR="00683035" w:rsidRPr="0092586A">
        <w:rPr>
          <w:rFonts w:ascii="Century Gothic" w:hAnsi="Century Gothic"/>
          <w:lang w:val="en-US"/>
        </w:rPr>
        <w:t xml:space="preserve">as chairperson of Productivity - is </w:t>
      </w:r>
      <w:r w:rsidR="00670472" w:rsidRPr="0092586A">
        <w:rPr>
          <w:rFonts w:ascii="Century Gothic" w:hAnsi="Century Gothic"/>
          <w:lang w:val="en-US"/>
        </w:rPr>
        <w:t xml:space="preserve">no longer part of this dispute, I shall not comment on </w:t>
      </w:r>
      <w:r w:rsidR="00683035" w:rsidRPr="0092586A">
        <w:rPr>
          <w:rFonts w:ascii="Century Gothic" w:hAnsi="Century Gothic"/>
          <w:lang w:val="en-US"/>
        </w:rPr>
        <w:t xml:space="preserve">this aspect </w:t>
      </w:r>
      <w:r w:rsidR="00670472" w:rsidRPr="0092586A">
        <w:rPr>
          <w:rFonts w:ascii="Century Gothic" w:hAnsi="Century Gothic"/>
          <w:lang w:val="en-US"/>
        </w:rPr>
        <w:t>any further.</w:t>
      </w:r>
    </w:p>
    <w:p w14:paraId="688618E3" w14:textId="77777777" w:rsidR="004E222C" w:rsidRDefault="004E222C" w:rsidP="007A21F7">
      <w:pPr>
        <w:pStyle w:val="ListParagraph"/>
        <w:spacing w:after="480" w:line="480" w:lineRule="auto"/>
        <w:ind w:left="1276" w:hanging="1276"/>
        <w:jc w:val="both"/>
        <w:rPr>
          <w:rFonts w:ascii="Century Gothic" w:hAnsi="Century Gothic"/>
          <w:lang w:val="en-US"/>
        </w:rPr>
      </w:pPr>
    </w:p>
    <w:p w14:paraId="79EB6FE0" w14:textId="77777777" w:rsidR="004E222C" w:rsidRPr="004E222C" w:rsidRDefault="004E222C" w:rsidP="007A21F7">
      <w:pPr>
        <w:pStyle w:val="ListParagraph"/>
        <w:ind w:left="1276" w:hanging="1276"/>
        <w:jc w:val="both"/>
        <w:rPr>
          <w:rFonts w:ascii="Century Gothic" w:hAnsi="Century Gothic"/>
          <w:lang w:val="en-US"/>
        </w:rPr>
      </w:pPr>
    </w:p>
    <w:p w14:paraId="353629B9" w14:textId="28FD5E33" w:rsidR="004E222C" w:rsidRPr="0092586A" w:rsidRDefault="0092586A" w:rsidP="0092586A">
      <w:pPr>
        <w:spacing w:after="480" w:line="480" w:lineRule="auto"/>
        <w:jc w:val="both"/>
        <w:rPr>
          <w:rFonts w:ascii="Century Gothic" w:hAnsi="Century Gothic"/>
          <w:lang w:val="en-US"/>
        </w:rPr>
      </w:pPr>
      <w:r>
        <w:rPr>
          <w:rFonts w:ascii="Century Gothic" w:hAnsi="Century Gothic"/>
          <w:lang w:val="en-US"/>
        </w:rPr>
        <w:t>[16]</w:t>
      </w:r>
      <w:r>
        <w:rPr>
          <w:rFonts w:ascii="Century Gothic" w:hAnsi="Century Gothic"/>
          <w:lang w:val="en-US"/>
        </w:rPr>
        <w:tab/>
      </w:r>
      <w:r w:rsidR="004E222C" w:rsidRPr="0092586A">
        <w:rPr>
          <w:rFonts w:ascii="Century Gothic" w:hAnsi="Century Gothic"/>
          <w:lang w:val="en-US"/>
        </w:rPr>
        <w:t xml:space="preserve">The next was that, according to the applicant, Mr Mdwaba had interviews with news reporters, in which he alleged that the applicant had </w:t>
      </w:r>
      <w:r w:rsidR="004E222C" w:rsidRPr="0092586A">
        <w:rPr>
          <w:rFonts w:ascii="Century Gothic" w:hAnsi="Century Gothic"/>
          <w:lang w:val="en-US"/>
        </w:rPr>
        <w:lastRenderedPageBreak/>
        <w:t xml:space="preserve">stopped the implementation of the Thuja </w:t>
      </w:r>
      <w:r w:rsidR="0011467F" w:rsidRPr="0092586A">
        <w:rPr>
          <w:rFonts w:ascii="Century Gothic" w:hAnsi="Century Gothic"/>
          <w:lang w:val="en-US"/>
        </w:rPr>
        <w:t>contract as part of a corrupt scheme involving himself, two other ministers and the Secretary General on the African National Congress, to extort payment of R500 million in exchange for the applicant’s approval of the contract.  Th</w:t>
      </w:r>
      <w:r w:rsidR="00683035" w:rsidRPr="0092586A">
        <w:rPr>
          <w:rFonts w:ascii="Century Gothic" w:hAnsi="Century Gothic"/>
          <w:lang w:val="en-US"/>
        </w:rPr>
        <w:t>ese interviews</w:t>
      </w:r>
      <w:r w:rsidR="0011467F" w:rsidRPr="0092586A">
        <w:rPr>
          <w:rFonts w:ascii="Century Gothic" w:hAnsi="Century Gothic"/>
          <w:lang w:val="en-US"/>
        </w:rPr>
        <w:t xml:space="preserve"> w</w:t>
      </w:r>
      <w:r w:rsidR="00683035" w:rsidRPr="0092586A">
        <w:rPr>
          <w:rFonts w:ascii="Century Gothic" w:hAnsi="Century Gothic"/>
          <w:lang w:val="en-US"/>
        </w:rPr>
        <w:t>ere</w:t>
      </w:r>
      <w:r w:rsidR="0011467F" w:rsidRPr="0092586A">
        <w:rPr>
          <w:rFonts w:ascii="Century Gothic" w:hAnsi="Century Gothic"/>
          <w:lang w:val="en-US"/>
        </w:rPr>
        <w:t xml:space="preserve"> then </w:t>
      </w:r>
      <w:r w:rsidR="00683035" w:rsidRPr="0092586A">
        <w:rPr>
          <w:rFonts w:ascii="Century Gothic" w:hAnsi="Century Gothic"/>
          <w:lang w:val="en-US"/>
        </w:rPr>
        <w:t xml:space="preserve">widely </w:t>
      </w:r>
      <w:r w:rsidR="0011467F" w:rsidRPr="0092586A">
        <w:rPr>
          <w:rFonts w:ascii="Century Gothic" w:hAnsi="Century Gothic"/>
          <w:lang w:val="en-US"/>
        </w:rPr>
        <w:t xml:space="preserve">published on television </w:t>
      </w:r>
      <w:r w:rsidR="007D6EA9" w:rsidRPr="0092586A">
        <w:rPr>
          <w:rFonts w:ascii="Century Gothic" w:hAnsi="Century Gothic"/>
          <w:lang w:val="en-US"/>
        </w:rPr>
        <w:t>and i</w:t>
      </w:r>
      <w:r w:rsidR="0011467F" w:rsidRPr="0092586A">
        <w:rPr>
          <w:rFonts w:ascii="Century Gothic" w:hAnsi="Century Gothic"/>
          <w:lang w:val="en-US"/>
        </w:rPr>
        <w:t>n printed news media.</w:t>
      </w:r>
    </w:p>
    <w:p w14:paraId="558A82D5" w14:textId="77777777" w:rsidR="0011467F" w:rsidRPr="0011467F" w:rsidRDefault="0011467F" w:rsidP="007A21F7">
      <w:pPr>
        <w:pStyle w:val="ListParagraph"/>
        <w:ind w:left="1276" w:hanging="1276"/>
        <w:jc w:val="both"/>
        <w:rPr>
          <w:rFonts w:ascii="Century Gothic" w:hAnsi="Century Gothic"/>
          <w:lang w:val="en-US"/>
        </w:rPr>
      </w:pPr>
    </w:p>
    <w:p w14:paraId="0F9B57F8" w14:textId="6FBF6318" w:rsidR="0011467F" w:rsidRPr="0092586A" w:rsidRDefault="0092586A" w:rsidP="0092586A">
      <w:pPr>
        <w:spacing w:after="480" w:line="480" w:lineRule="auto"/>
        <w:jc w:val="both"/>
        <w:rPr>
          <w:rFonts w:ascii="Century Gothic" w:hAnsi="Century Gothic"/>
          <w:lang w:val="en-US"/>
        </w:rPr>
      </w:pPr>
      <w:r>
        <w:rPr>
          <w:rFonts w:ascii="Century Gothic" w:hAnsi="Century Gothic"/>
          <w:lang w:val="en-US"/>
        </w:rPr>
        <w:t>[17]</w:t>
      </w:r>
      <w:r>
        <w:rPr>
          <w:rFonts w:ascii="Century Gothic" w:hAnsi="Century Gothic"/>
          <w:lang w:val="en-US"/>
        </w:rPr>
        <w:tab/>
      </w:r>
      <w:r w:rsidR="0011467F" w:rsidRPr="0092586A">
        <w:rPr>
          <w:rFonts w:ascii="Century Gothic" w:hAnsi="Century Gothic"/>
          <w:lang w:val="en-US"/>
        </w:rPr>
        <w:t xml:space="preserve">The exact dates and specific news channels or publications where these allegations </w:t>
      </w:r>
      <w:r w:rsidR="00726D06" w:rsidRPr="0092586A">
        <w:rPr>
          <w:rFonts w:ascii="Century Gothic" w:hAnsi="Century Gothic"/>
          <w:lang w:val="en-US"/>
        </w:rPr>
        <w:t>by</w:t>
      </w:r>
      <w:r w:rsidR="0011467F" w:rsidRPr="0092586A">
        <w:rPr>
          <w:rFonts w:ascii="Century Gothic" w:hAnsi="Century Gothic"/>
          <w:lang w:val="en-US"/>
        </w:rPr>
        <w:t xml:space="preserve"> </w:t>
      </w:r>
      <w:r w:rsidR="00726D06" w:rsidRPr="0092586A">
        <w:rPr>
          <w:rFonts w:ascii="Century Gothic" w:hAnsi="Century Gothic"/>
          <w:lang w:val="en-US"/>
        </w:rPr>
        <w:t>Mr Mdwaba</w:t>
      </w:r>
      <w:r w:rsidR="0011467F" w:rsidRPr="0092586A">
        <w:rPr>
          <w:rFonts w:ascii="Century Gothic" w:hAnsi="Century Gothic"/>
          <w:lang w:val="en-US"/>
        </w:rPr>
        <w:t xml:space="preserve"> were reported</w:t>
      </w:r>
      <w:r w:rsidR="00726D06" w:rsidRPr="0092586A">
        <w:rPr>
          <w:rFonts w:ascii="Century Gothic" w:hAnsi="Century Gothic"/>
          <w:lang w:val="en-US"/>
        </w:rPr>
        <w:t>,</w:t>
      </w:r>
      <w:r w:rsidR="0011467F" w:rsidRPr="0092586A">
        <w:rPr>
          <w:rFonts w:ascii="Century Gothic" w:hAnsi="Century Gothic"/>
          <w:lang w:val="en-US"/>
        </w:rPr>
        <w:t xml:space="preserve"> are not stated by the applicant, but Mr Mdwaba actually attached a copy of </w:t>
      </w:r>
      <w:r w:rsidR="00683035" w:rsidRPr="0092586A">
        <w:rPr>
          <w:rFonts w:ascii="Century Gothic" w:hAnsi="Century Gothic"/>
          <w:lang w:val="en-US"/>
        </w:rPr>
        <w:t>one newspaper</w:t>
      </w:r>
      <w:r w:rsidR="0011467F" w:rsidRPr="0092586A">
        <w:rPr>
          <w:rFonts w:ascii="Century Gothic" w:hAnsi="Century Gothic"/>
          <w:lang w:val="en-US"/>
        </w:rPr>
        <w:t xml:space="preserve"> report to his answering affidavit, which also served as answering affidavit for the second and third respondents.  That report appeared in a Sunday paper (the name is not legible) of 5 November 2023</w:t>
      </w:r>
      <w:r w:rsidR="00726D06" w:rsidRPr="0092586A">
        <w:rPr>
          <w:rFonts w:ascii="Century Gothic" w:hAnsi="Century Gothic"/>
          <w:lang w:val="en-US"/>
        </w:rPr>
        <w:t xml:space="preserve"> under the heading: </w:t>
      </w:r>
      <w:r w:rsidR="00726D06" w:rsidRPr="0092586A">
        <w:rPr>
          <w:rFonts w:ascii="Century Gothic" w:hAnsi="Century Gothic"/>
          <w:i/>
          <w:iCs/>
          <w:lang w:val="en-US"/>
        </w:rPr>
        <w:t>“Ministers demand R500m bribe for UIF jobs deal, claims Mdwaba.”</w:t>
      </w:r>
    </w:p>
    <w:p w14:paraId="6B28F7D6" w14:textId="77777777" w:rsidR="00726D06" w:rsidRPr="00726D06" w:rsidRDefault="00726D06" w:rsidP="007A21F7">
      <w:pPr>
        <w:pStyle w:val="ListParagraph"/>
        <w:ind w:left="1276" w:hanging="1276"/>
        <w:jc w:val="both"/>
        <w:rPr>
          <w:rFonts w:ascii="Century Gothic" w:hAnsi="Century Gothic"/>
          <w:lang w:val="en-US"/>
        </w:rPr>
      </w:pPr>
    </w:p>
    <w:p w14:paraId="4AA65C1F" w14:textId="7644766D" w:rsidR="00726D06" w:rsidRPr="0092586A" w:rsidRDefault="0092586A" w:rsidP="0092586A">
      <w:pPr>
        <w:spacing w:after="480" w:line="480" w:lineRule="auto"/>
        <w:jc w:val="both"/>
        <w:rPr>
          <w:rFonts w:ascii="Century Gothic" w:hAnsi="Century Gothic"/>
          <w:lang w:val="en-US"/>
        </w:rPr>
      </w:pPr>
      <w:r w:rsidRPr="00286617">
        <w:rPr>
          <w:rFonts w:ascii="Century Gothic" w:hAnsi="Century Gothic"/>
          <w:lang w:val="en-US"/>
        </w:rPr>
        <w:t>[18]</w:t>
      </w:r>
      <w:r w:rsidRPr="00286617">
        <w:rPr>
          <w:rFonts w:ascii="Century Gothic" w:hAnsi="Century Gothic"/>
          <w:lang w:val="en-US"/>
        </w:rPr>
        <w:tab/>
      </w:r>
      <w:r w:rsidR="00726D06" w:rsidRPr="0092586A">
        <w:rPr>
          <w:rFonts w:ascii="Century Gothic" w:hAnsi="Century Gothic"/>
          <w:lang w:val="en-US"/>
        </w:rPr>
        <w:t>Mr Mdwaba als</w:t>
      </w:r>
      <w:r w:rsidR="007D6EA9" w:rsidRPr="0092586A">
        <w:rPr>
          <w:rFonts w:ascii="Century Gothic" w:hAnsi="Century Gothic"/>
          <w:lang w:val="en-US"/>
        </w:rPr>
        <w:t xml:space="preserve">o did </w:t>
      </w:r>
      <w:r w:rsidR="00726D06" w:rsidRPr="0092586A">
        <w:rPr>
          <w:rFonts w:ascii="Century Gothic" w:hAnsi="Century Gothic"/>
          <w:lang w:val="en-US"/>
        </w:rPr>
        <w:t>not deny</w:t>
      </w:r>
      <w:r w:rsidR="007D6EA9" w:rsidRPr="0092586A">
        <w:rPr>
          <w:rFonts w:ascii="Century Gothic" w:hAnsi="Century Gothic"/>
          <w:lang w:val="en-US"/>
        </w:rPr>
        <w:t>, in his answering affidavit,</w:t>
      </w:r>
      <w:r w:rsidR="00726D06" w:rsidRPr="0092586A">
        <w:rPr>
          <w:rFonts w:ascii="Century Gothic" w:hAnsi="Century Gothic"/>
          <w:lang w:val="en-US"/>
        </w:rPr>
        <w:t xml:space="preserve"> that he had made </w:t>
      </w:r>
      <w:r w:rsidR="00F6541A" w:rsidRPr="0092586A">
        <w:rPr>
          <w:rFonts w:ascii="Century Gothic" w:hAnsi="Century Gothic"/>
          <w:lang w:val="en-US"/>
        </w:rPr>
        <w:t>these allegations</w:t>
      </w:r>
      <w:r w:rsidR="00726D06" w:rsidRPr="0092586A">
        <w:rPr>
          <w:rFonts w:ascii="Century Gothic" w:hAnsi="Century Gothic"/>
          <w:lang w:val="en-US"/>
        </w:rPr>
        <w:t xml:space="preserve"> of and concerning the applicant to news reporters</w:t>
      </w:r>
      <w:r w:rsidR="00683035" w:rsidRPr="0092586A">
        <w:rPr>
          <w:rFonts w:ascii="Century Gothic" w:hAnsi="Century Gothic"/>
          <w:lang w:val="en-US"/>
        </w:rPr>
        <w:t xml:space="preserve"> during interviews, which interviews had been televised on news channels</w:t>
      </w:r>
      <w:r w:rsidR="00726D06" w:rsidRPr="0092586A">
        <w:rPr>
          <w:rFonts w:ascii="Century Gothic" w:hAnsi="Century Gothic"/>
          <w:lang w:val="en-US"/>
        </w:rPr>
        <w:t xml:space="preserve">.  What he did say about it in his answering affidavit was: </w:t>
      </w:r>
      <w:r w:rsidR="00726D06" w:rsidRPr="0092586A">
        <w:rPr>
          <w:rFonts w:ascii="Century Gothic" w:hAnsi="Century Gothic"/>
          <w:i/>
          <w:iCs/>
          <w:lang w:val="en-US"/>
        </w:rPr>
        <w:t xml:space="preserve">“… </w:t>
      </w:r>
      <w:r w:rsidR="00286617" w:rsidRPr="0092586A">
        <w:rPr>
          <w:rFonts w:ascii="Century Gothic" w:hAnsi="Century Gothic"/>
          <w:i/>
          <w:iCs/>
          <w:lang w:val="en-US"/>
        </w:rPr>
        <w:t xml:space="preserve">The applicant’s complaint stems from an interview which I was invited to by Newzroom Africa, a television news broadcasting channel and two other similar interviews held on various dates on or about 7 October 2023”; </w:t>
      </w:r>
      <w:r w:rsidR="00286617" w:rsidRPr="0092586A">
        <w:rPr>
          <w:rFonts w:ascii="Century Gothic" w:hAnsi="Century Gothic"/>
          <w:lang w:val="en-US"/>
        </w:rPr>
        <w:t>and “</w:t>
      </w:r>
      <w:r w:rsidR="00286617" w:rsidRPr="0092586A">
        <w:rPr>
          <w:rFonts w:ascii="Century Gothic" w:hAnsi="Century Gothic"/>
          <w:i/>
          <w:iCs/>
          <w:lang w:val="en-US"/>
        </w:rPr>
        <w:t>… The applicant assumes that I will continue to attend similar interviews in future, which is rather speculative and without merit.”</w:t>
      </w:r>
    </w:p>
    <w:p w14:paraId="5ADB864E" w14:textId="77777777" w:rsidR="00286617" w:rsidRPr="00286617" w:rsidRDefault="00286617" w:rsidP="007A21F7">
      <w:pPr>
        <w:pStyle w:val="ListParagraph"/>
        <w:ind w:left="1276" w:hanging="1276"/>
        <w:jc w:val="both"/>
        <w:rPr>
          <w:rFonts w:ascii="Century Gothic" w:hAnsi="Century Gothic"/>
          <w:lang w:val="en-US"/>
        </w:rPr>
      </w:pPr>
    </w:p>
    <w:p w14:paraId="7A5165BC" w14:textId="4E03DB25" w:rsidR="00442307" w:rsidRPr="0092586A" w:rsidRDefault="0092586A" w:rsidP="0092586A">
      <w:pPr>
        <w:spacing w:after="480" w:line="480" w:lineRule="auto"/>
        <w:jc w:val="both"/>
        <w:rPr>
          <w:rFonts w:ascii="Century Gothic" w:hAnsi="Century Gothic"/>
          <w:lang w:val="en-US"/>
        </w:rPr>
      </w:pPr>
      <w:r>
        <w:rPr>
          <w:rFonts w:ascii="Century Gothic" w:hAnsi="Century Gothic"/>
          <w:lang w:val="en-US"/>
        </w:rPr>
        <w:t>[19]</w:t>
      </w:r>
      <w:r>
        <w:rPr>
          <w:rFonts w:ascii="Century Gothic" w:hAnsi="Century Gothic"/>
          <w:lang w:val="en-US"/>
        </w:rPr>
        <w:tab/>
      </w:r>
      <w:r w:rsidR="00442307" w:rsidRPr="0092586A">
        <w:rPr>
          <w:rFonts w:ascii="Century Gothic" w:hAnsi="Century Gothic"/>
          <w:lang w:val="en-US"/>
        </w:rPr>
        <w:t>The allegations of and concerning the applicant, as paraphrased by the</w:t>
      </w:r>
      <w:r w:rsidR="003436D5" w:rsidRPr="0092586A">
        <w:rPr>
          <w:rFonts w:ascii="Century Gothic" w:hAnsi="Century Gothic"/>
          <w:lang w:val="en-US"/>
        </w:rPr>
        <w:t xml:space="preserve"> applicant</w:t>
      </w:r>
      <w:r w:rsidR="00442307" w:rsidRPr="0092586A">
        <w:rPr>
          <w:rFonts w:ascii="Century Gothic" w:hAnsi="Century Gothic"/>
          <w:lang w:val="en-US"/>
        </w:rPr>
        <w:t xml:space="preserve"> in the founding affidavit and as encapsulated in the newspaper headline attached to the answering affidavit, are </w:t>
      </w:r>
      <w:r w:rsidR="00442307" w:rsidRPr="0092586A">
        <w:rPr>
          <w:rFonts w:ascii="Century Gothic" w:hAnsi="Century Gothic"/>
          <w:i/>
          <w:iCs/>
          <w:lang w:val="en-US"/>
        </w:rPr>
        <w:t>prima facie</w:t>
      </w:r>
      <w:r w:rsidR="00442307" w:rsidRPr="0092586A">
        <w:rPr>
          <w:rFonts w:ascii="Century Gothic" w:hAnsi="Century Gothic"/>
          <w:lang w:val="en-US"/>
        </w:rPr>
        <w:t xml:space="preserve"> defamatory of the applicant.</w:t>
      </w:r>
    </w:p>
    <w:p w14:paraId="11D94DF2" w14:textId="77777777" w:rsidR="00442307" w:rsidRPr="00442307" w:rsidRDefault="00442307" w:rsidP="007A21F7">
      <w:pPr>
        <w:pStyle w:val="ListParagraph"/>
        <w:ind w:left="1276" w:hanging="1276"/>
        <w:jc w:val="both"/>
        <w:rPr>
          <w:rFonts w:ascii="Century Gothic" w:hAnsi="Century Gothic"/>
          <w:lang w:val="en-US"/>
        </w:rPr>
      </w:pPr>
    </w:p>
    <w:p w14:paraId="5585BEA8" w14:textId="745240FF" w:rsidR="00EE5FB0" w:rsidRPr="0092586A" w:rsidRDefault="0092586A" w:rsidP="0092586A">
      <w:pPr>
        <w:spacing w:after="480" w:line="480" w:lineRule="auto"/>
        <w:jc w:val="both"/>
        <w:rPr>
          <w:rFonts w:ascii="Century Gothic" w:hAnsi="Century Gothic"/>
          <w:lang w:val="en-US"/>
        </w:rPr>
      </w:pPr>
      <w:r w:rsidRPr="00EE5FB0">
        <w:rPr>
          <w:rFonts w:ascii="Century Gothic" w:hAnsi="Century Gothic"/>
          <w:lang w:val="en-US"/>
        </w:rPr>
        <w:t>[20]</w:t>
      </w:r>
      <w:r w:rsidRPr="00EE5FB0">
        <w:rPr>
          <w:rFonts w:ascii="Century Gothic" w:hAnsi="Century Gothic"/>
          <w:lang w:val="en-US"/>
        </w:rPr>
        <w:tab/>
      </w:r>
      <w:r w:rsidR="00442307" w:rsidRPr="0092586A">
        <w:rPr>
          <w:rFonts w:ascii="Century Gothic" w:hAnsi="Century Gothic"/>
          <w:lang w:val="en-US"/>
        </w:rPr>
        <w:t xml:space="preserve">In the answering affidavit, the first respondent made an attempt to brand his statements of and concerning the applicant as the truth.  In this regard he stated:  </w:t>
      </w:r>
      <w:r w:rsidR="00442307" w:rsidRPr="0092586A">
        <w:rPr>
          <w:rFonts w:ascii="Century Gothic" w:hAnsi="Century Gothic"/>
          <w:i/>
          <w:iCs/>
          <w:lang w:val="en-US"/>
        </w:rPr>
        <w:t xml:space="preserve">“… </w:t>
      </w:r>
      <w:r w:rsidR="00EE5FB0" w:rsidRPr="0092586A">
        <w:rPr>
          <w:rFonts w:ascii="Century Gothic" w:hAnsi="Century Gothic"/>
          <w:i/>
          <w:iCs/>
          <w:lang w:val="en-US"/>
        </w:rPr>
        <w:t>all I have ever done is to speak and tell the absolute truth by exposing corruption and maleficence …”</w:t>
      </w:r>
      <w:r w:rsidR="00EE5FB0" w:rsidRPr="0092586A">
        <w:rPr>
          <w:rFonts w:ascii="Century Gothic" w:hAnsi="Century Gothic"/>
          <w:lang w:val="en-US"/>
        </w:rPr>
        <w:t xml:space="preserve"> </w:t>
      </w:r>
      <w:r w:rsidR="006238DE" w:rsidRPr="0092586A">
        <w:rPr>
          <w:rFonts w:ascii="Century Gothic" w:hAnsi="Century Gothic"/>
          <w:lang w:val="en-US"/>
        </w:rPr>
        <w:t>;</w:t>
      </w:r>
      <w:r w:rsidR="00EE5FB0" w:rsidRPr="0092586A">
        <w:rPr>
          <w:rFonts w:ascii="Century Gothic" w:hAnsi="Century Gothic"/>
          <w:lang w:val="en-US"/>
        </w:rPr>
        <w:t xml:space="preserve"> “</w:t>
      </w:r>
      <w:r w:rsidR="00EE5FB0" w:rsidRPr="0092586A">
        <w:rPr>
          <w:rFonts w:ascii="Century Gothic" w:hAnsi="Century Gothic"/>
          <w:i/>
          <w:iCs/>
          <w:lang w:val="en-US"/>
        </w:rPr>
        <w:t>Based on information that was availed to me at the meeting held on or about the 19</w:t>
      </w:r>
      <w:r w:rsidR="00EE5FB0" w:rsidRPr="0092586A">
        <w:rPr>
          <w:rFonts w:ascii="Century Gothic" w:hAnsi="Century Gothic"/>
          <w:i/>
          <w:iCs/>
          <w:vertAlign w:val="superscript"/>
          <w:lang w:val="en-US"/>
        </w:rPr>
        <w:t>th</w:t>
      </w:r>
      <w:r w:rsidR="00EE5FB0" w:rsidRPr="0092586A">
        <w:rPr>
          <w:rFonts w:ascii="Century Gothic" w:hAnsi="Century Gothic"/>
          <w:i/>
          <w:iCs/>
          <w:lang w:val="en-US"/>
        </w:rPr>
        <w:t xml:space="preserve"> of May 2023, I reasonably believed the information conveyed to me to be true and correct and I still believe it to be correct.”</w:t>
      </w:r>
      <w:r w:rsidR="006238DE" w:rsidRPr="0092586A">
        <w:rPr>
          <w:rFonts w:ascii="Century Gothic" w:hAnsi="Century Gothic"/>
          <w:lang w:val="en-US"/>
        </w:rPr>
        <w:t>; and “</w:t>
      </w:r>
      <w:r w:rsidR="006238DE" w:rsidRPr="0092586A">
        <w:rPr>
          <w:rFonts w:ascii="Century Gothic" w:hAnsi="Century Gothic"/>
          <w:i/>
          <w:iCs/>
          <w:lang w:val="en-US"/>
        </w:rPr>
        <w:t>I engaged in the interviews with the intention to place the information made available to me in the public domain for the benefit of the public without any intention to defame or injure the Applicant.”</w:t>
      </w:r>
    </w:p>
    <w:p w14:paraId="06F01857" w14:textId="77777777" w:rsidR="00EE5FB0" w:rsidRPr="00EE5FB0" w:rsidRDefault="00EE5FB0" w:rsidP="007A21F7">
      <w:pPr>
        <w:pStyle w:val="ListParagraph"/>
        <w:ind w:left="1276" w:hanging="1276"/>
        <w:jc w:val="both"/>
        <w:rPr>
          <w:rFonts w:ascii="Century Gothic" w:hAnsi="Century Gothic"/>
          <w:lang w:val="en-US"/>
        </w:rPr>
      </w:pPr>
    </w:p>
    <w:p w14:paraId="5FE5E6EF" w14:textId="5529E3F8" w:rsidR="00442307" w:rsidRPr="0092586A" w:rsidRDefault="0092586A" w:rsidP="0092586A">
      <w:pPr>
        <w:spacing w:after="480" w:line="480" w:lineRule="auto"/>
        <w:jc w:val="both"/>
        <w:rPr>
          <w:rFonts w:ascii="Century Gothic" w:hAnsi="Century Gothic"/>
          <w:lang w:val="en-US"/>
        </w:rPr>
      </w:pPr>
      <w:r>
        <w:rPr>
          <w:rFonts w:ascii="Century Gothic" w:hAnsi="Century Gothic"/>
          <w:lang w:val="en-US"/>
        </w:rPr>
        <w:t>[21]</w:t>
      </w:r>
      <w:r>
        <w:rPr>
          <w:rFonts w:ascii="Century Gothic" w:hAnsi="Century Gothic"/>
          <w:lang w:val="en-US"/>
        </w:rPr>
        <w:tab/>
      </w:r>
      <w:r w:rsidR="006238DE" w:rsidRPr="0092586A">
        <w:rPr>
          <w:rFonts w:ascii="Century Gothic" w:hAnsi="Century Gothic"/>
          <w:lang w:val="en-US"/>
        </w:rPr>
        <w:t>The so-called “</w:t>
      </w:r>
      <w:r w:rsidR="006238DE" w:rsidRPr="0092586A">
        <w:rPr>
          <w:rFonts w:ascii="Century Gothic" w:hAnsi="Century Gothic"/>
          <w:i/>
          <w:iCs/>
          <w:lang w:val="en-US"/>
        </w:rPr>
        <w:t xml:space="preserve">information made available” </w:t>
      </w:r>
      <w:r w:rsidR="006238DE" w:rsidRPr="0092586A">
        <w:rPr>
          <w:rFonts w:ascii="Century Gothic" w:hAnsi="Century Gothic"/>
          <w:lang w:val="en-US"/>
        </w:rPr>
        <w:t xml:space="preserve">to the applicant was </w:t>
      </w:r>
      <w:r w:rsidR="008F2559" w:rsidRPr="0092586A">
        <w:rPr>
          <w:rFonts w:ascii="Century Gothic" w:hAnsi="Century Gothic"/>
          <w:lang w:val="en-US"/>
        </w:rPr>
        <w:t>nothing more than a string of printed WhatsApp messages (collectively attached to the answering affidavit “MM15”) and a printout of what is just called “</w:t>
      </w:r>
      <w:r w:rsidR="008F2559" w:rsidRPr="0092586A">
        <w:rPr>
          <w:rFonts w:ascii="Century Gothic" w:hAnsi="Century Gothic"/>
          <w:i/>
          <w:iCs/>
          <w:lang w:val="en-US"/>
        </w:rPr>
        <w:t xml:space="preserve">chat.txt-notepad messages” </w:t>
      </w:r>
      <w:r w:rsidR="008F2559" w:rsidRPr="0092586A">
        <w:rPr>
          <w:rFonts w:ascii="Century Gothic" w:hAnsi="Century Gothic"/>
          <w:lang w:val="en-US"/>
        </w:rPr>
        <w:t xml:space="preserve">(attached as “MM16”).  The WhatsApp messages, </w:t>
      </w:r>
      <w:r w:rsidR="00683035" w:rsidRPr="0092586A">
        <w:rPr>
          <w:rFonts w:ascii="Century Gothic" w:hAnsi="Century Gothic"/>
          <w:lang w:val="en-US"/>
        </w:rPr>
        <w:t xml:space="preserve">which </w:t>
      </w:r>
      <w:r w:rsidR="008F2559" w:rsidRPr="0092586A">
        <w:rPr>
          <w:rFonts w:ascii="Century Gothic" w:hAnsi="Century Gothic"/>
          <w:lang w:val="en-US"/>
        </w:rPr>
        <w:t xml:space="preserve">run over some 21 pages, are too cryptic to reveal any specific meaning.  </w:t>
      </w:r>
      <w:r w:rsidR="00287E54" w:rsidRPr="0092586A">
        <w:rPr>
          <w:rFonts w:ascii="Century Gothic" w:hAnsi="Century Gothic"/>
          <w:lang w:val="en-US"/>
        </w:rPr>
        <w:t xml:space="preserve">It certainly contains no </w:t>
      </w:r>
      <w:r w:rsidR="00683035" w:rsidRPr="0092586A">
        <w:rPr>
          <w:rFonts w:ascii="Century Gothic" w:hAnsi="Century Gothic"/>
          <w:lang w:val="en-US"/>
        </w:rPr>
        <w:t xml:space="preserve">readily </w:t>
      </w:r>
      <w:r w:rsidR="00287E54" w:rsidRPr="0092586A">
        <w:rPr>
          <w:rFonts w:ascii="Century Gothic" w:hAnsi="Century Gothic"/>
          <w:lang w:val="en-US"/>
        </w:rPr>
        <w:t xml:space="preserve">discernable proof of extortion or corruption on the part of the applicant.  The chat.txt-notepad messages run </w:t>
      </w:r>
      <w:r w:rsidR="00287E54" w:rsidRPr="0092586A">
        <w:rPr>
          <w:rFonts w:ascii="Century Gothic" w:hAnsi="Century Gothic"/>
          <w:lang w:val="en-US"/>
        </w:rPr>
        <w:lastRenderedPageBreak/>
        <w:t xml:space="preserve">into some 71 pages of single line spaced text, apparently spanning the period </w:t>
      </w:r>
      <w:r w:rsidR="00F6541A" w:rsidRPr="0092586A">
        <w:rPr>
          <w:rFonts w:ascii="Century Gothic" w:hAnsi="Century Gothic"/>
          <w:lang w:val="en-US"/>
        </w:rPr>
        <w:t>from</w:t>
      </w:r>
      <w:r w:rsidR="00287E54" w:rsidRPr="0092586A">
        <w:rPr>
          <w:rFonts w:ascii="Century Gothic" w:hAnsi="Century Gothic"/>
          <w:lang w:val="en-US"/>
        </w:rPr>
        <w:t xml:space="preserve"> 30 December 2022 to 12 January 2024</w:t>
      </w:r>
      <w:r w:rsidR="0096169C" w:rsidRPr="0092586A">
        <w:rPr>
          <w:rFonts w:ascii="Century Gothic" w:hAnsi="Century Gothic"/>
          <w:lang w:val="en-US"/>
        </w:rPr>
        <w:t>.</w:t>
      </w:r>
      <w:r w:rsidR="00287E54" w:rsidRPr="0092586A">
        <w:rPr>
          <w:rFonts w:ascii="Century Gothic" w:hAnsi="Century Gothic"/>
          <w:lang w:val="en-US"/>
        </w:rPr>
        <w:t xml:space="preserve"> </w:t>
      </w:r>
      <w:r w:rsidR="0096169C" w:rsidRPr="0092586A">
        <w:rPr>
          <w:rFonts w:ascii="Century Gothic" w:hAnsi="Century Gothic"/>
          <w:lang w:val="en-US"/>
        </w:rPr>
        <w:t>No</w:t>
      </w:r>
      <w:r w:rsidR="00287E54" w:rsidRPr="0092586A">
        <w:rPr>
          <w:rFonts w:ascii="Century Gothic" w:hAnsi="Century Gothic"/>
          <w:lang w:val="en-US"/>
        </w:rPr>
        <w:t xml:space="preserve"> proof of corruption or extortion on the part of the applicant can</w:t>
      </w:r>
      <w:r w:rsidR="0096169C" w:rsidRPr="0092586A">
        <w:rPr>
          <w:rFonts w:ascii="Century Gothic" w:hAnsi="Century Gothic"/>
          <w:lang w:val="en-US"/>
        </w:rPr>
        <w:t xml:space="preserve"> readily</w:t>
      </w:r>
      <w:r w:rsidR="00287E54" w:rsidRPr="0092586A">
        <w:rPr>
          <w:rFonts w:ascii="Century Gothic" w:hAnsi="Century Gothic"/>
          <w:lang w:val="en-US"/>
        </w:rPr>
        <w:t xml:space="preserve"> be gleaned</w:t>
      </w:r>
      <w:r w:rsidR="0096169C" w:rsidRPr="0092586A">
        <w:rPr>
          <w:rFonts w:ascii="Century Gothic" w:hAnsi="Century Gothic"/>
          <w:lang w:val="en-US"/>
        </w:rPr>
        <w:t xml:space="preserve"> therefrom</w:t>
      </w:r>
      <w:r w:rsidR="00287E54" w:rsidRPr="0092586A">
        <w:rPr>
          <w:rFonts w:ascii="Century Gothic" w:hAnsi="Century Gothic"/>
          <w:lang w:val="en-US"/>
        </w:rPr>
        <w:t>.  Mr Mdwaba also made no effort, in his answering affidavit</w:t>
      </w:r>
      <w:r w:rsidR="0096169C" w:rsidRPr="0092586A">
        <w:rPr>
          <w:rFonts w:ascii="Century Gothic" w:hAnsi="Century Gothic"/>
          <w:lang w:val="en-US"/>
        </w:rPr>
        <w:t>,</w:t>
      </w:r>
      <w:r w:rsidR="00287E54" w:rsidRPr="0092586A">
        <w:rPr>
          <w:rFonts w:ascii="Century Gothic" w:hAnsi="Century Gothic"/>
          <w:lang w:val="en-US"/>
        </w:rPr>
        <w:t xml:space="preserve"> to draw attention to any specific page</w:t>
      </w:r>
      <w:r w:rsidR="0096169C" w:rsidRPr="0092586A">
        <w:rPr>
          <w:rFonts w:ascii="Century Gothic" w:hAnsi="Century Gothic"/>
          <w:lang w:val="en-US"/>
        </w:rPr>
        <w:t xml:space="preserve">, paragraph </w:t>
      </w:r>
      <w:r w:rsidR="00F6541A" w:rsidRPr="0092586A">
        <w:rPr>
          <w:rFonts w:ascii="Century Gothic" w:hAnsi="Century Gothic"/>
          <w:lang w:val="en-US"/>
        </w:rPr>
        <w:t>or passage</w:t>
      </w:r>
      <w:r w:rsidR="00287E54" w:rsidRPr="0092586A">
        <w:rPr>
          <w:rFonts w:ascii="Century Gothic" w:hAnsi="Century Gothic"/>
          <w:lang w:val="en-US"/>
        </w:rPr>
        <w:t xml:space="preserve"> in th</w:t>
      </w:r>
      <w:r w:rsidR="00683035" w:rsidRPr="0092586A">
        <w:rPr>
          <w:rFonts w:ascii="Century Gothic" w:hAnsi="Century Gothic"/>
          <w:lang w:val="en-US"/>
        </w:rPr>
        <w:t>ose</w:t>
      </w:r>
      <w:r w:rsidR="00287E54" w:rsidRPr="0092586A">
        <w:rPr>
          <w:rFonts w:ascii="Century Gothic" w:hAnsi="Century Gothic"/>
          <w:lang w:val="en-US"/>
        </w:rPr>
        <w:t xml:space="preserve"> document</w:t>
      </w:r>
      <w:r w:rsidR="00683035" w:rsidRPr="0092586A">
        <w:rPr>
          <w:rFonts w:ascii="Century Gothic" w:hAnsi="Century Gothic"/>
          <w:lang w:val="en-US"/>
        </w:rPr>
        <w:t>s</w:t>
      </w:r>
      <w:r w:rsidR="00287E54" w:rsidRPr="0092586A">
        <w:rPr>
          <w:rFonts w:ascii="Century Gothic" w:hAnsi="Century Gothic"/>
          <w:lang w:val="en-US"/>
        </w:rPr>
        <w:t>, as being what he relies upon for his conclusion</w:t>
      </w:r>
      <w:r w:rsidR="00683035" w:rsidRPr="0092586A">
        <w:rPr>
          <w:rFonts w:ascii="Century Gothic" w:hAnsi="Century Gothic"/>
          <w:lang w:val="en-US"/>
        </w:rPr>
        <w:t>s.</w:t>
      </w:r>
      <w:r w:rsidR="00287E54" w:rsidRPr="0092586A">
        <w:rPr>
          <w:rFonts w:ascii="Century Gothic" w:hAnsi="Century Gothic"/>
          <w:lang w:val="en-US"/>
        </w:rPr>
        <w:t xml:space="preserve"> </w:t>
      </w:r>
    </w:p>
    <w:p w14:paraId="678A55CE" w14:textId="77777777" w:rsidR="00B148D2" w:rsidRPr="00B148D2" w:rsidRDefault="00B148D2" w:rsidP="007A21F7">
      <w:pPr>
        <w:pStyle w:val="ListParagraph"/>
        <w:ind w:left="1276" w:hanging="1276"/>
        <w:jc w:val="both"/>
        <w:rPr>
          <w:rFonts w:ascii="Century Gothic" w:hAnsi="Century Gothic"/>
          <w:lang w:val="en-US"/>
        </w:rPr>
      </w:pPr>
    </w:p>
    <w:p w14:paraId="6CC4F442" w14:textId="7B6F9A65" w:rsidR="00286617" w:rsidRPr="0092586A" w:rsidRDefault="0092586A" w:rsidP="0092586A">
      <w:pPr>
        <w:spacing w:after="480" w:line="480" w:lineRule="auto"/>
        <w:jc w:val="both"/>
        <w:rPr>
          <w:rFonts w:ascii="Century Gothic" w:hAnsi="Century Gothic"/>
          <w:lang w:val="en-US"/>
        </w:rPr>
      </w:pPr>
      <w:r w:rsidRPr="00481781">
        <w:rPr>
          <w:rFonts w:ascii="Century Gothic" w:hAnsi="Century Gothic"/>
          <w:lang w:val="en-US"/>
        </w:rPr>
        <w:t>[22]</w:t>
      </w:r>
      <w:r w:rsidRPr="00481781">
        <w:rPr>
          <w:rFonts w:ascii="Century Gothic" w:hAnsi="Century Gothic"/>
          <w:lang w:val="en-US"/>
        </w:rPr>
        <w:tab/>
      </w:r>
      <w:r w:rsidR="00B148D2" w:rsidRPr="0092586A">
        <w:rPr>
          <w:rFonts w:ascii="Century Gothic" w:hAnsi="Century Gothic"/>
          <w:lang w:val="en-US"/>
        </w:rPr>
        <w:t>It can therefore be concluded that the first respondent presented no form of evidence to even begin to prove that his statements of and concerning the applicant were true.</w:t>
      </w:r>
      <w:r w:rsidR="00481781" w:rsidRPr="0092586A">
        <w:rPr>
          <w:rFonts w:ascii="Century Gothic" w:hAnsi="Century Gothic"/>
          <w:lang w:val="en-US"/>
        </w:rPr>
        <w:t xml:space="preserve">  </w:t>
      </w:r>
      <w:r w:rsidR="00286617" w:rsidRPr="0092586A">
        <w:rPr>
          <w:rFonts w:ascii="Century Gothic" w:hAnsi="Century Gothic"/>
          <w:lang w:val="en-US"/>
        </w:rPr>
        <w:t xml:space="preserve">The </w:t>
      </w:r>
      <w:r w:rsidR="00442307" w:rsidRPr="0092586A">
        <w:rPr>
          <w:rFonts w:ascii="Century Gothic" w:hAnsi="Century Gothic"/>
          <w:lang w:val="en-US"/>
        </w:rPr>
        <w:t xml:space="preserve">first respondent </w:t>
      </w:r>
      <w:r w:rsidR="00286617" w:rsidRPr="0092586A">
        <w:rPr>
          <w:rFonts w:ascii="Century Gothic" w:hAnsi="Century Gothic"/>
          <w:lang w:val="en-US"/>
        </w:rPr>
        <w:t xml:space="preserve">certainly did </w:t>
      </w:r>
      <w:r w:rsidR="00442307" w:rsidRPr="0092586A">
        <w:rPr>
          <w:rFonts w:ascii="Century Gothic" w:hAnsi="Century Gothic"/>
          <w:lang w:val="en-US"/>
        </w:rPr>
        <w:t>not give any</w:t>
      </w:r>
      <w:r w:rsidR="00286617" w:rsidRPr="0092586A">
        <w:rPr>
          <w:rFonts w:ascii="Century Gothic" w:hAnsi="Century Gothic"/>
          <w:lang w:val="en-US"/>
        </w:rPr>
        <w:t xml:space="preserve"> undertak</w:t>
      </w:r>
      <w:r w:rsidR="00442307" w:rsidRPr="0092586A">
        <w:rPr>
          <w:rFonts w:ascii="Century Gothic" w:hAnsi="Century Gothic"/>
          <w:lang w:val="en-US"/>
        </w:rPr>
        <w:t>ing</w:t>
      </w:r>
      <w:r w:rsidR="00286617" w:rsidRPr="0092586A">
        <w:rPr>
          <w:rFonts w:ascii="Century Gothic" w:hAnsi="Century Gothic"/>
          <w:lang w:val="en-US"/>
        </w:rPr>
        <w:t xml:space="preserve"> not to repeat such allegations of and concerning the applicant, with or without any conditions attached.</w:t>
      </w:r>
      <w:r w:rsidR="00093D6B" w:rsidRPr="0092586A">
        <w:rPr>
          <w:rFonts w:ascii="Century Gothic" w:hAnsi="Century Gothic"/>
          <w:lang w:val="en-US"/>
        </w:rPr>
        <w:t xml:space="preserve">  He did not do so in </w:t>
      </w:r>
      <w:r w:rsidR="00442307" w:rsidRPr="0092586A">
        <w:rPr>
          <w:rFonts w:ascii="Century Gothic" w:hAnsi="Century Gothic"/>
          <w:lang w:val="en-US"/>
        </w:rPr>
        <w:t>his answering affidavit, nor in any other manner or at any other time.</w:t>
      </w:r>
    </w:p>
    <w:p w14:paraId="6EC26D7D" w14:textId="77777777" w:rsidR="00286617" w:rsidRPr="00286617" w:rsidRDefault="00286617" w:rsidP="007A21F7">
      <w:pPr>
        <w:pStyle w:val="ListParagraph"/>
        <w:ind w:left="1276" w:hanging="1276"/>
        <w:jc w:val="both"/>
        <w:rPr>
          <w:rFonts w:ascii="Century Gothic" w:hAnsi="Century Gothic"/>
          <w:lang w:val="en-US"/>
        </w:rPr>
      </w:pPr>
    </w:p>
    <w:p w14:paraId="5FCA4B95" w14:textId="657AE2C3" w:rsidR="00286617" w:rsidRPr="0092586A" w:rsidRDefault="0092586A" w:rsidP="0092586A">
      <w:pPr>
        <w:spacing w:after="480" w:line="480" w:lineRule="auto"/>
        <w:jc w:val="both"/>
        <w:rPr>
          <w:rFonts w:ascii="Century Gothic" w:hAnsi="Century Gothic"/>
          <w:lang w:val="en-US"/>
        </w:rPr>
      </w:pPr>
      <w:r>
        <w:rPr>
          <w:rFonts w:ascii="Century Gothic" w:hAnsi="Century Gothic"/>
          <w:lang w:val="en-US"/>
        </w:rPr>
        <w:t>[23]</w:t>
      </w:r>
      <w:r>
        <w:rPr>
          <w:rFonts w:ascii="Century Gothic" w:hAnsi="Century Gothic"/>
          <w:lang w:val="en-US"/>
        </w:rPr>
        <w:tab/>
      </w:r>
      <w:r w:rsidR="00481781" w:rsidRPr="0092586A">
        <w:rPr>
          <w:rFonts w:ascii="Century Gothic" w:hAnsi="Century Gothic"/>
          <w:lang w:val="en-US"/>
        </w:rPr>
        <w:t xml:space="preserve">The relief </w:t>
      </w:r>
      <w:r w:rsidR="008E707A" w:rsidRPr="0092586A">
        <w:rPr>
          <w:rFonts w:ascii="Century Gothic" w:hAnsi="Century Gothic"/>
          <w:lang w:val="en-US"/>
        </w:rPr>
        <w:t xml:space="preserve">initially </w:t>
      </w:r>
      <w:r w:rsidR="00481781" w:rsidRPr="0092586A">
        <w:rPr>
          <w:rFonts w:ascii="Century Gothic" w:hAnsi="Century Gothic"/>
          <w:lang w:val="en-US"/>
        </w:rPr>
        <w:t>claimed by the applicant was the following:</w:t>
      </w:r>
    </w:p>
    <w:p w14:paraId="49DFADD2" w14:textId="77777777" w:rsidR="00481781" w:rsidRPr="00481781" w:rsidRDefault="00481781" w:rsidP="007A21F7">
      <w:pPr>
        <w:pStyle w:val="ListParagraph"/>
        <w:ind w:left="1276" w:hanging="1276"/>
        <w:jc w:val="both"/>
        <w:rPr>
          <w:rFonts w:ascii="Century Gothic" w:hAnsi="Century Gothic"/>
          <w:lang w:val="en-US"/>
        </w:rPr>
      </w:pPr>
    </w:p>
    <w:p w14:paraId="71D31529" w14:textId="722B58FE" w:rsidR="00481781" w:rsidRPr="0092586A" w:rsidRDefault="0092586A" w:rsidP="0092586A">
      <w:pPr>
        <w:spacing w:after="360" w:line="480" w:lineRule="auto"/>
        <w:ind w:left="1276" w:hanging="567"/>
        <w:jc w:val="both"/>
        <w:rPr>
          <w:rFonts w:ascii="Century Gothic" w:hAnsi="Century Gothic"/>
          <w:lang w:val="en-US"/>
        </w:rPr>
      </w:pPr>
      <w:r>
        <w:rPr>
          <w:rFonts w:ascii="Century Gothic" w:hAnsi="Century Gothic"/>
          <w:lang w:val="en-US"/>
        </w:rPr>
        <w:t>a)</w:t>
      </w:r>
      <w:r>
        <w:rPr>
          <w:rFonts w:ascii="Century Gothic" w:hAnsi="Century Gothic"/>
          <w:lang w:val="en-US"/>
        </w:rPr>
        <w:tab/>
      </w:r>
      <w:r w:rsidR="00D6652D" w:rsidRPr="0092586A">
        <w:rPr>
          <w:rFonts w:ascii="Century Gothic" w:hAnsi="Century Gothic"/>
          <w:lang w:val="en-US"/>
        </w:rPr>
        <w:t>T</w:t>
      </w:r>
      <w:r w:rsidR="00481781" w:rsidRPr="0092586A">
        <w:rPr>
          <w:rFonts w:ascii="Century Gothic" w:hAnsi="Century Gothic"/>
          <w:lang w:val="en-US"/>
        </w:rPr>
        <w:t xml:space="preserve">hat the matter be heard as an urgent </w:t>
      </w:r>
      <w:r w:rsidR="00F6541A" w:rsidRPr="0092586A">
        <w:rPr>
          <w:rFonts w:ascii="Century Gothic" w:hAnsi="Century Gothic"/>
          <w:lang w:val="en-US"/>
        </w:rPr>
        <w:t>one.</w:t>
      </w:r>
    </w:p>
    <w:p w14:paraId="1BF93673" w14:textId="77777777" w:rsidR="00D6652D" w:rsidRDefault="00D6652D" w:rsidP="00D6652D">
      <w:pPr>
        <w:pStyle w:val="ListParagraph"/>
        <w:spacing w:after="360" w:line="480" w:lineRule="auto"/>
        <w:ind w:left="1276"/>
        <w:jc w:val="both"/>
        <w:rPr>
          <w:rFonts w:ascii="Century Gothic" w:hAnsi="Century Gothic"/>
          <w:lang w:val="en-US"/>
        </w:rPr>
      </w:pPr>
    </w:p>
    <w:p w14:paraId="1B3B2F09" w14:textId="5BA7CF7B" w:rsidR="00D6652D" w:rsidRPr="0092586A" w:rsidRDefault="0092586A" w:rsidP="0092586A">
      <w:pPr>
        <w:spacing w:after="360" w:line="480" w:lineRule="auto"/>
        <w:ind w:left="1276" w:hanging="567"/>
        <w:jc w:val="both"/>
        <w:rPr>
          <w:rFonts w:ascii="Century Gothic" w:hAnsi="Century Gothic"/>
          <w:lang w:val="en-US"/>
        </w:rPr>
      </w:pPr>
      <w:r w:rsidRPr="00D6652D">
        <w:rPr>
          <w:rFonts w:ascii="Century Gothic" w:hAnsi="Century Gothic"/>
          <w:lang w:val="en-US"/>
        </w:rPr>
        <w:t>b)</w:t>
      </w:r>
      <w:r w:rsidRPr="00D6652D">
        <w:rPr>
          <w:rFonts w:ascii="Century Gothic" w:hAnsi="Century Gothic"/>
          <w:lang w:val="en-US"/>
        </w:rPr>
        <w:tab/>
      </w:r>
      <w:r w:rsidR="00481781" w:rsidRPr="0092586A">
        <w:rPr>
          <w:rFonts w:ascii="Century Gothic" w:hAnsi="Century Gothic"/>
          <w:lang w:val="en-US"/>
        </w:rPr>
        <w:t xml:space="preserve">An order declaring the contract to be unlawful and accordingly be set </w:t>
      </w:r>
      <w:r w:rsidR="00F6541A" w:rsidRPr="0092586A">
        <w:rPr>
          <w:rFonts w:ascii="Century Gothic" w:hAnsi="Century Gothic"/>
          <w:lang w:val="en-US"/>
        </w:rPr>
        <w:t>aside.</w:t>
      </w:r>
    </w:p>
    <w:p w14:paraId="33518061" w14:textId="564CE892" w:rsidR="00481781" w:rsidRPr="0092586A" w:rsidRDefault="0092586A" w:rsidP="0092586A">
      <w:pPr>
        <w:spacing w:after="360" w:line="480" w:lineRule="auto"/>
        <w:ind w:left="1276" w:hanging="567"/>
        <w:jc w:val="both"/>
        <w:rPr>
          <w:rFonts w:ascii="Century Gothic" w:hAnsi="Century Gothic"/>
          <w:lang w:val="en-US"/>
        </w:rPr>
      </w:pPr>
      <w:r>
        <w:rPr>
          <w:rFonts w:ascii="Century Gothic" w:hAnsi="Century Gothic"/>
          <w:lang w:val="en-US"/>
        </w:rPr>
        <w:lastRenderedPageBreak/>
        <w:t>c)</w:t>
      </w:r>
      <w:r>
        <w:rPr>
          <w:rFonts w:ascii="Century Gothic" w:hAnsi="Century Gothic"/>
          <w:lang w:val="en-US"/>
        </w:rPr>
        <w:tab/>
      </w:r>
      <w:r w:rsidR="00481781" w:rsidRPr="0092586A">
        <w:rPr>
          <w:rFonts w:ascii="Century Gothic" w:hAnsi="Century Gothic"/>
          <w:lang w:val="en-US"/>
        </w:rPr>
        <w:t xml:space="preserve">An order declaring that Mr Mdwaba, as chairperson of Productivity SA, an </w:t>
      </w:r>
      <w:r w:rsidR="00F6541A" w:rsidRPr="0092586A">
        <w:rPr>
          <w:rFonts w:ascii="Century Gothic" w:hAnsi="Century Gothic"/>
          <w:lang w:val="en-US"/>
        </w:rPr>
        <w:t>entity</w:t>
      </w:r>
      <w:r w:rsidR="00481781" w:rsidRPr="0092586A">
        <w:rPr>
          <w:rFonts w:ascii="Century Gothic" w:hAnsi="Century Gothic"/>
          <w:lang w:val="en-US"/>
        </w:rPr>
        <w:t xml:space="preserve"> in the UIF, had been conflicted and disqualified from concluding the contract with the UIF;</w:t>
      </w:r>
    </w:p>
    <w:p w14:paraId="19E737D5" w14:textId="77777777" w:rsidR="00481781" w:rsidRDefault="00481781" w:rsidP="00D6652D">
      <w:pPr>
        <w:pStyle w:val="ListParagraph"/>
        <w:spacing w:after="360" w:line="480" w:lineRule="auto"/>
        <w:ind w:left="1276" w:hanging="567"/>
        <w:jc w:val="both"/>
        <w:rPr>
          <w:rFonts w:ascii="Century Gothic" w:hAnsi="Century Gothic"/>
          <w:lang w:val="en-US"/>
        </w:rPr>
      </w:pPr>
    </w:p>
    <w:p w14:paraId="176C0BDB" w14:textId="306F5211" w:rsidR="00481781" w:rsidRPr="0092586A" w:rsidRDefault="0092586A" w:rsidP="0092586A">
      <w:pPr>
        <w:spacing w:after="360" w:line="480" w:lineRule="auto"/>
        <w:ind w:left="1276" w:hanging="567"/>
        <w:jc w:val="both"/>
        <w:rPr>
          <w:rFonts w:ascii="Century Gothic" w:hAnsi="Century Gothic"/>
          <w:lang w:val="en-US"/>
        </w:rPr>
      </w:pPr>
      <w:r>
        <w:rPr>
          <w:rFonts w:ascii="Century Gothic" w:hAnsi="Century Gothic"/>
          <w:lang w:val="en-US"/>
        </w:rPr>
        <w:t>d)</w:t>
      </w:r>
      <w:r>
        <w:rPr>
          <w:rFonts w:ascii="Century Gothic" w:hAnsi="Century Gothic"/>
          <w:lang w:val="en-US"/>
        </w:rPr>
        <w:tab/>
      </w:r>
      <w:r w:rsidR="00481781" w:rsidRPr="0092586A">
        <w:rPr>
          <w:rFonts w:ascii="Century Gothic" w:hAnsi="Century Gothic"/>
          <w:lang w:val="en-US"/>
        </w:rPr>
        <w:t>An order declaring the applicant’s decision – to remove the first respondent as chairperson of Productivity SA – to have been lawful;</w:t>
      </w:r>
    </w:p>
    <w:p w14:paraId="27351C58" w14:textId="77777777" w:rsidR="00481781" w:rsidRPr="00481781" w:rsidRDefault="00481781" w:rsidP="00D6652D">
      <w:pPr>
        <w:pStyle w:val="ListParagraph"/>
        <w:spacing w:after="360"/>
        <w:ind w:left="1276" w:hanging="567"/>
        <w:jc w:val="both"/>
        <w:rPr>
          <w:rFonts w:ascii="Century Gothic" w:hAnsi="Century Gothic"/>
          <w:lang w:val="en-US"/>
        </w:rPr>
      </w:pPr>
    </w:p>
    <w:p w14:paraId="11313118" w14:textId="451DE620" w:rsidR="00481781" w:rsidRPr="0092586A" w:rsidRDefault="0092586A" w:rsidP="0092586A">
      <w:pPr>
        <w:spacing w:after="360" w:line="480" w:lineRule="auto"/>
        <w:ind w:left="1276" w:hanging="567"/>
        <w:jc w:val="both"/>
        <w:rPr>
          <w:rFonts w:ascii="Century Gothic" w:hAnsi="Century Gothic"/>
          <w:lang w:val="en-US"/>
        </w:rPr>
      </w:pPr>
      <w:r>
        <w:rPr>
          <w:rFonts w:ascii="Century Gothic" w:hAnsi="Century Gothic"/>
          <w:lang w:val="en-US"/>
        </w:rPr>
        <w:t>e)</w:t>
      </w:r>
      <w:r>
        <w:rPr>
          <w:rFonts w:ascii="Century Gothic" w:hAnsi="Century Gothic"/>
          <w:lang w:val="en-US"/>
        </w:rPr>
        <w:tab/>
      </w:r>
      <w:r w:rsidR="002B6CB8" w:rsidRPr="0092586A">
        <w:rPr>
          <w:rFonts w:ascii="Century Gothic" w:hAnsi="Century Gothic"/>
          <w:lang w:val="en-US"/>
        </w:rPr>
        <w:t>An order interdicting the first respondent from continuing to make false and defamatory statements about the applicant’s conduct in relation to the contract; and</w:t>
      </w:r>
    </w:p>
    <w:p w14:paraId="5B20C042" w14:textId="77777777" w:rsidR="002B6CB8" w:rsidRPr="002B6CB8" w:rsidRDefault="002B6CB8" w:rsidP="00D6652D">
      <w:pPr>
        <w:pStyle w:val="ListParagraph"/>
        <w:spacing w:after="360"/>
        <w:ind w:left="1276" w:hanging="567"/>
        <w:jc w:val="both"/>
        <w:rPr>
          <w:rFonts w:ascii="Century Gothic" w:hAnsi="Century Gothic"/>
          <w:lang w:val="en-US"/>
        </w:rPr>
      </w:pPr>
    </w:p>
    <w:p w14:paraId="1E09670A" w14:textId="5F5F12F0" w:rsidR="002B6CB8" w:rsidRPr="0092586A" w:rsidRDefault="0092586A" w:rsidP="0092586A">
      <w:pPr>
        <w:spacing w:after="360" w:line="480" w:lineRule="auto"/>
        <w:ind w:left="1276" w:hanging="567"/>
        <w:jc w:val="both"/>
        <w:rPr>
          <w:rFonts w:ascii="Century Gothic" w:hAnsi="Century Gothic"/>
          <w:lang w:val="en-US"/>
        </w:rPr>
      </w:pPr>
      <w:r>
        <w:rPr>
          <w:rFonts w:ascii="Century Gothic" w:hAnsi="Century Gothic"/>
          <w:lang w:val="en-US"/>
        </w:rPr>
        <w:t>f)</w:t>
      </w:r>
      <w:r>
        <w:rPr>
          <w:rFonts w:ascii="Century Gothic" w:hAnsi="Century Gothic"/>
          <w:lang w:val="en-US"/>
        </w:rPr>
        <w:tab/>
      </w:r>
      <w:r w:rsidR="002B6CB8" w:rsidRPr="0092586A">
        <w:rPr>
          <w:rFonts w:ascii="Century Gothic" w:hAnsi="Century Gothic"/>
          <w:lang w:val="en-US"/>
        </w:rPr>
        <w:t>That the first respondent be ordered to pay the costs of the application on a punitive scale, including costs of two counsel, with any other respondent who opposes, jointly and severally.</w:t>
      </w:r>
    </w:p>
    <w:p w14:paraId="69C29E68" w14:textId="77777777" w:rsidR="002B6CB8" w:rsidRPr="002B6CB8" w:rsidRDefault="002B6CB8" w:rsidP="007A21F7">
      <w:pPr>
        <w:pStyle w:val="ListParagraph"/>
        <w:ind w:left="1276" w:hanging="1276"/>
        <w:jc w:val="both"/>
        <w:rPr>
          <w:rFonts w:ascii="Century Gothic" w:hAnsi="Century Gothic"/>
          <w:lang w:val="en-US"/>
        </w:rPr>
      </w:pPr>
    </w:p>
    <w:p w14:paraId="5D24781C" w14:textId="3D7AFF1C" w:rsidR="002B6CB8" w:rsidRPr="0092586A" w:rsidRDefault="0092586A" w:rsidP="0092586A">
      <w:pPr>
        <w:spacing w:after="480" w:line="480" w:lineRule="auto"/>
        <w:jc w:val="both"/>
        <w:rPr>
          <w:rFonts w:ascii="Century Gothic" w:hAnsi="Century Gothic"/>
          <w:lang w:val="en-US"/>
        </w:rPr>
      </w:pPr>
      <w:r>
        <w:rPr>
          <w:rFonts w:ascii="Century Gothic" w:hAnsi="Century Gothic"/>
          <w:lang w:val="en-US"/>
        </w:rPr>
        <w:t>[24]</w:t>
      </w:r>
      <w:r>
        <w:rPr>
          <w:rFonts w:ascii="Century Gothic" w:hAnsi="Century Gothic"/>
          <w:lang w:val="en-US"/>
        </w:rPr>
        <w:tab/>
      </w:r>
      <w:r w:rsidR="002B6CB8" w:rsidRPr="0092586A">
        <w:rPr>
          <w:rFonts w:ascii="Century Gothic" w:hAnsi="Century Gothic"/>
          <w:lang w:val="en-US"/>
        </w:rPr>
        <w:t xml:space="preserve">During the course of his argument, Mr Masuku SC (for the applicant) indicated that the prayers paraphrased in c) and d) above </w:t>
      </w:r>
      <w:r w:rsidR="00DE7F5A" w:rsidRPr="0092586A">
        <w:rPr>
          <w:rFonts w:ascii="Century Gothic" w:hAnsi="Century Gothic"/>
          <w:lang w:val="en-US"/>
        </w:rPr>
        <w:t xml:space="preserve">(prayers 3. and 4. of the Notice of Motion in the main application) </w:t>
      </w:r>
      <w:r w:rsidR="002B6CB8" w:rsidRPr="0092586A">
        <w:rPr>
          <w:rFonts w:ascii="Century Gothic" w:hAnsi="Century Gothic"/>
          <w:lang w:val="en-US"/>
        </w:rPr>
        <w:t xml:space="preserve">are not persisted with.  </w:t>
      </w:r>
      <w:r w:rsidR="008E707A" w:rsidRPr="0092586A">
        <w:rPr>
          <w:rFonts w:ascii="Century Gothic" w:hAnsi="Century Gothic"/>
          <w:lang w:val="en-US"/>
        </w:rPr>
        <w:t>Those are the prayers concerning the position of Mr Mdwaba as chairperson of Productivity SA and his removal therefrom by the applicant).</w:t>
      </w:r>
      <w:r w:rsidR="002B6CB8" w:rsidRPr="0092586A">
        <w:rPr>
          <w:rFonts w:ascii="Century Gothic" w:hAnsi="Century Gothic"/>
          <w:lang w:val="en-US"/>
        </w:rPr>
        <w:t xml:space="preserve"> </w:t>
      </w:r>
      <w:r w:rsidR="00DE7F5A" w:rsidRPr="0092586A">
        <w:rPr>
          <w:rFonts w:ascii="Century Gothic" w:hAnsi="Century Gothic"/>
          <w:lang w:val="en-US"/>
        </w:rPr>
        <w:t xml:space="preserve"> The remaining issues are dealt with separately below.</w:t>
      </w:r>
    </w:p>
    <w:p w14:paraId="4EAF850E" w14:textId="77777777" w:rsidR="008E707A" w:rsidRDefault="008E707A" w:rsidP="008E707A">
      <w:pPr>
        <w:pStyle w:val="ListParagraph"/>
        <w:spacing w:after="480" w:line="480" w:lineRule="auto"/>
        <w:ind w:left="0"/>
        <w:jc w:val="both"/>
        <w:rPr>
          <w:rFonts w:ascii="Century Gothic" w:hAnsi="Century Gothic"/>
          <w:lang w:val="en-US"/>
        </w:rPr>
      </w:pPr>
    </w:p>
    <w:p w14:paraId="3D7533B8" w14:textId="0B9578A8" w:rsidR="008E707A" w:rsidRPr="0092586A" w:rsidRDefault="0092586A" w:rsidP="0092586A">
      <w:pPr>
        <w:spacing w:after="480" w:line="480" w:lineRule="auto"/>
        <w:jc w:val="both"/>
        <w:rPr>
          <w:rFonts w:ascii="Century Gothic" w:hAnsi="Century Gothic"/>
          <w:lang w:val="en-US"/>
        </w:rPr>
      </w:pPr>
      <w:r>
        <w:rPr>
          <w:rFonts w:ascii="Century Gothic" w:hAnsi="Century Gothic"/>
          <w:lang w:val="en-US"/>
        </w:rPr>
        <w:t>[25]</w:t>
      </w:r>
      <w:r>
        <w:rPr>
          <w:rFonts w:ascii="Century Gothic" w:hAnsi="Century Gothic"/>
          <w:lang w:val="en-US"/>
        </w:rPr>
        <w:tab/>
      </w:r>
      <w:r w:rsidR="008E707A" w:rsidRPr="0092586A">
        <w:rPr>
          <w:rFonts w:ascii="Century Gothic" w:hAnsi="Century Gothic"/>
          <w:lang w:val="en-US"/>
        </w:rPr>
        <w:t>There was no counterapplication from any of the respondents at all.</w:t>
      </w:r>
    </w:p>
    <w:p w14:paraId="368494B8" w14:textId="77777777" w:rsidR="008E707A" w:rsidRPr="008E707A" w:rsidRDefault="008E707A" w:rsidP="008E707A">
      <w:pPr>
        <w:pStyle w:val="ListParagraph"/>
        <w:rPr>
          <w:rFonts w:ascii="Century Gothic" w:hAnsi="Century Gothic"/>
          <w:lang w:val="en-US"/>
        </w:rPr>
      </w:pPr>
    </w:p>
    <w:p w14:paraId="77C4086F" w14:textId="77777777" w:rsidR="008E707A" w:rsidRDefault="008E707A" w:rsidP="008E707A">
      <w:pPr>
        <w:pStyle w:val="ListParagraph"/>
        <w:spacing w:after="480" w:line="480" w:lineRule="auto"/>
        <w:ind w:left="0"/>
        <w:jc w:val="both"/>
        <w:rPr>
          <w:rFonts w:ascii="Century Gothic" w:hAnsi="Century Gothic"/>
          <w:lang w:val="en-US"/>
        </w:rPr>
      </w:pPr>
    </w:p>
    <w:p w14:paraId="19F3DE48" w14:textId="77777777" w:rsidR="00787F77" w:rsidRDefault="00787F77" w:rsidP="007A21F7">
      <w:pPr>
        <w:pStyle w:val="ListParagraph"/>
        <w:spacing w:after="480" w:line="480" w:lineRule="auto"/>
        <w:ind w:left="1276" w:hanging="1276"/>
        <w:jc w:val="both"/>
        <w:rPr>
          <w:rFonts w:ascii="Century Gothic" w:hAnsi="Century Gothic"/>
          <w:lang w:val="en-US"/>
        </w:rPr>
      </w:pPr>
    </w:p>
    <w:p w14:paraId="2C7A8AB5" w14:textId="4716CE14" w:rsidR="00DE7F5A" w:rsidRPr="0092586A" w:rsidRDefault="0092586A" w:rsidP="0092586A">
      <w:pPr>
        <w:spacing w:after="480" w:line="480" w:lineRule="auto"/>
        <w:jc w:val="both"/>
        <w:rPr>
          <w:rFonts w:ascii="Century Gothic" w:hAnsi="Century Gothic"/>
          <w:lang w:val="en-US"/>
        </w:rPr>
      </w:pPr>
      <w:r w:rsidRPr="00787F77">
        <w:rPr>
          <w:rFonts w:ascii="Century Gothic" w:hAnsi="Century Gothic"/>
          <w:lang w:val="en-US"/>
        </w:rPr>
        <w:t>[26]</w:t>
      </w:r>
      <w:r w:rsidRPr="00787F77">
        <w:rPr>
          <w:rFonts w:ascii="Century Gothic" w:hAnsi="Century Gothic"/>
          <w:lang w:val="en-US"/>
        </w:rPr>
        <w:tab/>
      </w:r>
      <w:r w:rsidR="00DE7F5A" w:rsidRPr="0092586A">
        <w:rPr>
          <w:rFonts w:ascii="Century Gothic" w:hAnsi="Century Gothic"/>
          <w:u w:val="single"/>
          <w:lang w:val="en-US"/>
        </w:rPr>
        <w:t>Urgency.</w:t>
      </w:r>
    </w:p>
    <w:p w14:paraId="08974E5B" w14:textId="77777777" w:rsidR="00787F77" w:rsidRPr="00787F77" w:rsidRDefault="00787F77" w:rsidP="00D6652D">
      <w:pPr>
        <w:pStyle w:val="ListParagraph"/>
        <w:ind w:left="0"/>
        <w:jc w:val="both"/>
        <w:rPr>
          <w:rFonts w:ascii="Century Gothic" w:hAnsi="Century Gothic"/>
          <w:lang w:val="en-US"/>
        </w:rPr>
      </w:pPr>
    </w:p>
    <w:p w14:paraId="4D0E7AC0" w14:textId="1E738C04" w:rsidR="00BF7039" w:rsidRPr="0092586A" w:rsidRDefault="0092586A" w:rsidP="0092586A">
      <w:pPr>
        <w:spacing w:after="480" w:line="480" w:lineRule="auto"/>
        <w:ind w:left="1276" w:hanging="567"/>
        <w:jc w:val="both"/>
        <w:rPr>
          <w:rFonts w:ascii="Century Gothic" w:hAnsi="Century Gothic"/>
          <w:lang w:val="en-US"/>
        </w:rPr>
      </w:pPr>
      <w:r>
        <w:rPr>
          <w:rFonts w:ascii="Century Gothic" w:hAnsi="Century Gothic"/>
          <w:lang w:val="en-US"/>
        </w:rPr>
        <w:t>a)</w:t>
      </w:r>
      <w:r>
        <w:rPr>
          <w:rFonts w:ascii="Century Gothic" w:hAnsi="Century Gothic"/>
          <w:lang w:val="en-US"/>
        </w:rPr>
        <w:tab/>
      </w:r>
      <w:r w:rsidR="00BF7039" w:rsidRPr="0092586A">
        <w:rPr>
          <w:rFonts w:ascii="Century Gothic" w:hAnsi="Century Gothic"/>
          <w:lang w:val="en-US"/>
        </w:rPr>
        <w:t>The minister explain</w:t>
      </w:r>
      <w:r w:rsidR="00D6652D" w:rsidRPr="0092586A">
        <w:rPr>
          <w:rFonts w:ascii="Century Gothic" w:hAnsi="Century Gothic"/>
          <w:lang w:val="en-US"/>
        </w:rPr>
        <w:t>ed</w:t>
      </w:r>
      <w:r w:rsidR="00BF7039" w:rsidRPr="0092586A">
        <w:rPr>
          <w:rFonts w:ascii="Century Gothic" w:hAnsi="Century Gothic"/>
          <w:lang w:val="en-US"/>
        </w:rPr>
        <w:t xml:space="preserve"> in his founding affidavit that</w:t>
      </w:r>
      <w:r w:rsidR="00D6652D" w:rsidRPr="0092586A">
        <w:rPr>
          <w:rFonts w:ascii="Century Gothic" w:hAnsi="Century Gothic"/>
          <w:lang w:val="en-US"/>
        </w:rPr>
        <w:t>,</w:t>
      </w:r>
      <w:r w:rsidR="00BF7039" w:rsidRPr="0092586A">
        <w:rPr>
          <w:rFonts w:ascii="Century Gothic" w:hAnsi="Century Gothic"/>
          <w:lang w:val="en-US"/>
        </w:rPr>
        <w:t xml:space="preserve"> although he had known about the irregular signing of the contract since the end of December 2022, and had instructed that the transaction be stopped in February 2023, the first respondent’s accusations of corruption </w:t>
      </w:r>
      <w:r w:rsidR="008E707A" w:rsidRPr="0092586A">
        <w:rPr>
          <w:rFonts w:ascii="Century Gothic" w:hAnsi="Century Gothic"/>
          <w:lang w:val="en-US"/>
        </w:rPr>
        <w:t xml:space="preserve">– on the applicant’s part - </w:t>
      </w:r>
      <w:r w:rsidR="00BF7039" w:rsidRPr="0092586A">
        <w:rPr>
          <w:rFonts w:ascii="Century Gothic" w:hAnsi="Century Gothic"/>
          <w:lang w:val="en-US"/>
        </w:rPr>
        <w:t>only started in September 2023</w:t>
      </w:r>
      <w:r w:rsidR="0011777B" w:rsidRPr="0092586A">
        <w:rPr>
          <w:rFonts w:ascii="Century Gothic" w:hAnsi="Century Gothic"/>
          <w:lang w:val="en-US"/>
        </w:rPr>
        <w:t xml:space="preserve">. </w:t>
      </w:r>
      <w:r w:rsidR="000B0F36" w:rsidRPr="0092586A">
        <w:rPr>
          <w:rFonts w:ascii="Century Gothic" w:hAnsi="Century Gothic"/>
          <w:lang w:val="en-US"/>
        </w:rPr>
        <w:t xml:space="preserve">  </w:t>
      </w:r>
    </w:p>
    <w:p w14:paraId="5CF003AA" w14:textId="77777777" w:rsidR="00BF7039" w:rsidRDefault="00BF7039" w:rsidP="00D6652D">
      <w:pPr>
        <w:pStyle w:val="ListParagraph"/>
        <w:spacing w:after="480" w:line="480" w:lineRule="auto"/>
        <w:ind w:left="1276" w:hanging="567"/>
        <w:jc w:val="both"/>
        <w:rPr>
          <w:rFonts w:ascii="Century Gothic" w:hAnsi="Century Gothic"/>
          <w:lang w:val="en-US"/>
        </w:rPr>
      </w:pPr>
    </w:p>
    <w:p w14:paraId="759C0C16" w14:textId="0DE9BB69" w:rsidR="000B0F36" w:rsidRPr="0092586A" w:rsidRDefault="0092586A" w:rsidP="0092586A">
      <w:pPr>
        <w:spacing w:after="360" w:line="480" w:lineRule="auto"/>
        <w:ind w:left="1276" w:hanging="567"/>
        <w:jc w:val="both"/>
        <w:rPr>
          <w:rFonts w:ascii="Century Gothic" w:hAnsi="Century Gothic"/>
          <w:lang w:val="en-US"/>
        </w:rPr>
      </w:pPr>
      <w:r>
        <w:rPr>
          <w:rFonts w:ascii="Century Gothic" w:hAnsi="Century Gothic"/>
          <w:lang w:val="en-US"/>
        </w:rPr>
        <w:t>b)</w:t>
      </w:r>
      <w:r>
        <w:rPr>
          <w:rFonts w:ascii="Century Gothic" w:hAnsi="Century Gothic"/>
          <w:lang w:val="en-US"/>
        </w:rPr>
        <w:tab/>
      </w:r>
      <w:r w:rsidR="00A7623D" w:rsidRPr="0092586A">
        <w:rPr>
          <w:rFonts w:ascii="Century Gothic" w:hAnsi="Century Gothic"/>
          <w:lang w:val="en-US"/>
        </w:rPr>
        <w:t xml:space="preserve">The </w:t>
      </w:r>
      <w:r w:rsidR="000B0F36" w:rsidRPr="0092586A">
        <w:rPr>
          <w:rFonts w:ascii="Century Gothic" w:hAnsi="Century Gothic"/>
          <w:lang w:val="en-US"/>
        </w:rPr>
        <w:t>applicant</w:t>
      </w:r>
      <w:r w:rsidR="00A7623D" w:rsidRPr="0092586A">
        <w:rPr>
          <w:rFonts w:ascii="Century Gothic" w:hAnsi="Century Gothic"/>
          <w:lang w:val="en-US"/>
        </w:rPr>
        <w:t xml:space="preserve"> does not say </w:t>
      </w:r>
      <w:r w:rsidR="000B0F36" w:rsidRPr="0092586A">
        <w:rPr>
          <w:rFonts w:ascii="Century Gothic" w:hAnsi="Century Gothic"/>
          <w:lang w:val="en-US"/>
        </w:rPr>
        <w:t xml:space="preserve">exactly </w:t>
      </w:r>
      <w:r w:rsidR="00A7623D" w:rsidRPr="0092586A">
        <w:rPr>
          <w:rFonts w:ascii="Century Gothic" w:hAnsi="Century Gothic"/>
          <w:lang w:val="en-US"/>
        </w:rPr>
        <w:t>when he gained knowledge of the allegations of corruption being made in public news media.  However, a</w:t>
      </w:r>
      <w:r w:rsidR="00BF7039" w:rsidRPr="0092586A">
        <w:rPr>
          <w:rFonts w:ascii="Century Gothic" w:hAnsi="Century Gothic"/>
          <w:lang w:val="en-US"/>
        </w:rPr>
        <w:t>s said before, the first respondent mention</w:t>
      </w:r>
      <w:r w:rsidR="000B0F36" w:rsidRPr="0092586A">
        <w:rPr>
          <w:rFonts w:ascii="Century Gothic" w:hAnsi="Century Gothic"/>
          <w:lang w:val="en-US"/>
        </w:rPr>
        <w:t>ed</w:t>
      </w:r>
      <w:r w:rsidR="00BF7039" w:rsidRPr="0092586A">
        <w:rPr>
          <w:rFonts w:ascii="Century Gothic" w:hAnsi="Century Gothic"/>
          <w:lang w:val="en-US"/>
        </w:rPr>
        <w:t xml:space="preserve"> that he had been interviewed by news reporters </w:t>
      </w:r>
      <w:r w:rsidR="008E707A" w:rsidRPr="0092586A">
        <w:rPr>
          <w:rFonts w:ascii="Century Gothic" w:hAnsi="Century Gothic"/>
          <w:lang w:val="en-US"/>
        </w:rPr>
        <w:t>about 7</w:t>
      </w:r>
      <w:r w:rsidR="00BF7039" w:rsidRPr="0092586A">
        <w:rPr>
          <w:rFonts w:ascii="Century Gothic" w:hAnsi="Century Gothic"/>
          <w:lang w:val="en-US"/>
        </w:rPr>
        <w:t xml:space="preserve"> October 2023, while the one newspaper headline contained in the papers – alleging bribery on the part of </w:t>
      </w:r>
      <w:r w:rsidR="00BF7039" w:rsidRPr="0092586A">
        <w:rPr>
          <w:rFonts w:ascii="Century Gothic" w:hAnsi="Century Gothic"/>
          <w:i/>
          <w:iCs/>
          <w:lang w:val="en-US"/>
        </w:rPr>
        <w:t xml:space="preserve">inter alia </w:t>
      </w:r>
      <w:r w:rsidR="00BF7039" w:rsidRPr="0092586A">
        <w:rPr>
          <w:rFonts w:ascii="Century Gothic" w:hAnsi="Century Gothic"/>
          <w:lang w:val="en-US"/>
        </w:rPr>
        <w:t xml:space="preserve">the applicant - ostensibly </w:t>
      </w:r>
      <w:r w:rsidR="00BF7039" w:rsidRPr="0092586A">
        <w:rPr>
          <w:rFonts w:ascii="Century Gothic" w:hAnsi="Century Gothic"/>
          <w:lang w:val="en-US"/>
        </w:rPr>
        <w:lastRenderedPageBreak/>
        <w:t>dates from 5 November 2023.</w:t>
      </w:r>
      <w:r w:rsidR="00A7623D" w:rsidRPr="0092586A">
        <w:rPr>
          <w:rFonts w:ascii="Century Gothic" w:hAnsi="Century Gothic"/>
          <w:lang w:val="en-US"/>
        </w:rPr>
        <w:t xml:space="preserve">  In his answering affidavit, Mr Mdwaba stated that </w:t>
      </w:r>
      <w:r w:rsidR="000B0F36" w:rsidRPr="0092586A">
        <w:rPr>
          <w:rFonts w:ascii="Century Gothic" w:hAnsi="Century Gothic"/>
          <w:lang w:val="en-US"/>
        </w:rPr>
        <w:t>t</w:t>
      </w:r>
      <w:r w:rsidR="00A7623D" w:rsidRPr="0092586A">
        <w:rPr>
          <w:rFonts w:ascii="Century Gothic" w:hAnsi="Century Gothic"/>
          <w:lang w:val="en-US"/>
        </w:rPr>
        <w:t xml:space="preserve">he applicant had knowledge </w:t>
      </w:r>
      <w:r w:rsidR="0011777B" w:rsidRPr="0092586A">
        <w:rPr>
          <w:rFonts w:ascii="Century Gothic" w:hAnsi="Century Gothic"/>
          <w:lang w:val="en-US"/>
        </w:rPr>
        <w:t>of Mr Mdwaba’s interviews with news reporters since 7 November 2023, without saying how he knows this.</w:t>
      </w:r>
    </w:p>
    <w:p w14:paraId="15E10320" w14:textId="77777777" w:rsidR="000B0F36" w:rsidRPr="000B0F36" w:rsidRDefault="000B0F36" w:rsidP="000B0F36">
      <w:pPr>
        <w:pStyle w:val="ListParagraph"/>
        <w:rPr>
          <w:rFonts w:ascii="Century Gothic" w:hAnsi="Century Gothic"/>
          <w:lang w:val="en-US"/>
        </w:rPr>
      </w:pPr>
    </w:p>
    <w:p w14:paraId="0059F38C" w14:textId="77777777" w:rsidR="000B0F36" w:rsidRPr="000B0F36" w:rsidRDefault="000B0F36" w:rsidP="000B0F36">
      <w:pPr>
        <w:pStyle w:val="ListParagraph"/>
        <w:spacing w:after="360" w:line="480" w:lineRule="auto"/>
        <w:ind w:left="1276"/>
        <w:jc w:val="both"/>
        <w:rPr>
          <w:rFonts w:ascii="Century Gothic" w:hAnsi="Century Gothic"/>
          <w:lang w:val="en-US"/>
        </w:rPr>
      </w:pPr>
    </w:p>
    <w:p w14:paraId="490D0855" w14:textId="3FE99D3A" w:rsidR="00BF7039" w:rsidRPr="0092586A" w:rsidRDefault="0092586A" w:rsidP="0092586A">
      <w:pPr>
        <w:spacing w:after="360" w:line="480" w:lineRule="auto"/>
        <w:ind w:left="1276" w:hanging="567"/>
        <w:jc w:val="both"/>
        <w:rPr>
          <w:rFonts w:ascii="Century Gothic" w:hAnsi="Century Gothic"/>
          <w:lang w:val="en-US"/>
        </w:rPr>
      </w:pPr>
      <w:r>
        <w:rPr>
          <w:rFonts w:ascii="Century Gothic" w:hAnsi="Century Gothic"/>
          <w:lang w:val="en-US"/>
        </w:rPr>
        <w:t>c)</w:t>
      </w:r>
      <w:r>
        <w:rPr>
          <w:rFonts w:ascii="Century Gothic" w:hAnsi="Century Gothic"/>
          <w:lang w:val="en-US"/>
        </w:rPr>
        <w:tab/>
      </w:r>
      <w:r w:rsidR="00BF7039" w:rsidRPr="0092586A">
        <w:rPr>
          <w:rFonts w:ascii="Century Gothic" w:hAnsi="Century Gothic"/>
          <w:lang w:val="en-US"/>
        </w:rPr>
        <w:t xml:space="preserve">The application was issued 23 November </w:t>
      </w:r>
      <w:r w:rsidR="00F6541A" w:rsidRPr="0092586A">
        <w:rPr>
          <w:rFonts w:ascii="Century Gothic" w:hAnsi="Century Gothic"/>
          <w:lang w:val="en-US"/>
        </w:rPr>
        <w:t>2023, to</w:t>
      </w:r>
      <w:r w:rsidR="00BF7039" w:rsidRPr="0092586A">
        <w:rPr>
          <w:rFonts w:ascii="Century Gothic" w:hAnsi="Century Gothic"/>
          <w:lang w:val="en-US"/>
        </w:rPr>
        <w:t xml:space="preserve"> be heard on 12 December 2023.  </w:t>
      </w:r>
      <w:r w:rsidR="00AC7447" w:rsidRPr="0092586A">
        <w:rPr>
          <w:rFonts w:ascii="Century Gothic" w:hAnsi="Century Gothic"/>
          <w:lang w:val="en-US"/>
        </w:rPr>
        <w:t xml:space="preserve">This means that the application was issued </w:t>
      </w:r>
      <w:r w:rsidR="0011777B" w:rsidRPr="0092586A">
        <w:rPr>
          <w:rFonts w:ascii="Century Gothic" w:hAnsi="Century Gothic"/>
          <w:lang w:val="en-US"/>
        </w:rPr>
        <w:t xml:space="preserve">at most two months </w:t>
      </w:r>
      <w:r w:rsidR="00AC7447" w:rsidRPr="0092586A">
        <w:rPr>
          <w:rFonts w:ascii="Century Gothic" w:hAnsi="Century Gothic"/>
          <w:lang w:val="en-US"/>
        </w:rPr>
        <w:t>after the applicant became aware of the allegations by the first respondent</w:t>
      </w:r>
      <w:r w:rsidR="000B0F36" w:rsidRPr="0092586A">
        <w:rPr>
          <w:rFonts w:ascii="Century Gothic" w:hAnsi="Century Gothic"/>
          <w:lang w:val="en-US"/>
        </w:rPr>
        <w:t xml:space="preserve"> (not necessarily in news media)</w:t>
      </w:r>
      <w:r w:rsidR="00AC7447" w:rsidRPr="0092586A">
        <w:rPr>
          <w:rFonts w:ascii="Century Gothic" w:hAnsi="Century Gothic"/>
          <w:lang w:val="en-US"/>
        </w:rPr>
        <w:t xml:space="preserve">, </w:t>
      </w:r>
      <w:r w:rsidR="0011777B" w:rsidRPr="0092586A">
        <w:rPr>
          <w:rFonts w:ascii="Century Gothic" w:hAnsi="Century Gothic"/>
          <w:lang w:val="en-US"/>
        </w:rPr>
        <w:t xml:space="preserve">and less than a month after the applicant became aware that those allegations </w:t>
      </w:r>
      <w:r w:rsidR="00AF77B8" w:rsidRPr="0092586A">
        <w:rPr>
          <w:rFonts w:ascii="Century Gothic" w:hAnsi="Century Gothic"/>
          <w:lang w:val="en-US"/>
        </w:rPr>
        <w:t>were</w:t>
      </w:r>
      <w:r w:rsidR="0011777B" w:rsidRPr="0092586A">
        <w:rPr>
          <w:rFonts w:ascii="Century Gothic" w:hAnsi="Century Gothic"/>
          <w:lang w:val="en-US"/>
        </w:rPr>
        <w:t xml:space="preserve"> </w:t>
      </w:r>
      <w:r w:rsidR="00AF77B8" w:rsidRPr="0092586A">
        <w:rPr>
          <w:rFonts w:ascii="Century Gothic" w:hAnsi="Century Gothic"/>
          <w:lang w:val="en-US"/>
        </w:rPr>
        <w:t>being published on television and in printed news media.</w:t>
      </w:r>
      <w:r w:rsidR="00AC7447" w:rsidRPr="0092586A">
        <w:rPr>
          <w:rFonts w:ascii="Century Gothic" w:hAnsi="Century Gothic"/>
          <w:lang w:val="en-US"/>
        </w:rPr>
        <w:t xml:space="preserve"> </w:t>
      </w:r>
    </w:p>
    <w:p w14:paraId="130DEE07" w14:textId="77777777" w:rsidR="00AC7447" w:rsidRPr="00AC7447" w:rsidRDefault="00AC7447" w:rsidP="00D6652D">
      <w:pPr>
        <w:pStyle w:val="ListParagraph"/>
        <w:ind w:left="1276" w:hanging="567"/>
        <w:jc w:val="both"/>
        <w:rPr>
          <w:rFonts w:ascii="Century Gothic" w:hAnsi="Century Gothic"/>
          <w:lang w:val="en-US"/>
        </w:rPr>
      </w:pPr>
    </w:p>
    <w:p w14:paraId="3C11D465" w14:textId="42292F90" w:rsidR="00AC7447" w:rsidRPr="0092586A" w:rsidRDefault="0092586A" w:rsidP="0092586A">
      <w:pPr>
        <w:spacing w:after="480" w:line="480" w:lineRule="auto"/>
        <w:ind w:left="1276" w:hanging="567"/>
        <w:jc w:val="both"/>
        <w:rPr>
          <w:rFonts w:ascii="Century Gothic" w:hAnsi="Century Gothic"/>
          <w:lang w:val="en-US"/>
        </w:rPr>
      </w:pPr>
      <w:r>
        <w:rPr>
          <w:rFonts w:ascii="Century Gothic" w:hAnsi="Century Gothic"/>
          <w:lang w:val="en-US"/>
        </w:rPr>
        <w:t>d)</w:t>
      </w:r>
      <w:r>
        <w:rPr>
          <w:rFonts w:ascii="Century Gothic" w:hAnsi="Century Gothic"/>
          <w:lang w:val="en-US"/>
        </w:rPr>
        <w:tab/>
      </w:r>
      <w:r w:rsidR="00AC7447" w:rsidRPr="0092586A">
        <w:rPr>
          <w:rFonts w:ascii="Century Gothic" w:hAnsi="Century Gothic"/>
          <w:lang w:val="en-US"/>
        </w:rPr>
        <w:t xml:space="preserve">The </w:t>
      </w:r>
      <w:r w:rsidR="008E707A" w:rsidRPr="0092586A">
        <w:rPr>
          <w:rFonts w:ascii="Century Gothic" w:hAnsi="Century Gothic"/>
          <w:lang w:val="en-US"/>
        </w:rPr>
        <w:t xml:space="preserve">urgent </w:t>
      </w:r>
      <w:r w:rsidR="00AC7447" w:rsidRPr="0092586A">
        <w:rPr>
          <w:rFonts w:ascii="Century Gothic" w:hAnsi="Century Gothic"/>
          <w:lang w:val="en-US"/>
        </w:rPr>
        <w:t xml:space="preserve">application </w:t>
      </w:r>
      <w:r w:rsidR="008E707A" w:rsidRPr="0092586A">
        <w:rPr>
          <w:rFonts w:ascii="Century Gothic" w:hAnsi="Century Gothic"/>
          <w:lang w:val="en-US"/>
        </w:rPr>
        <w:t xml:space="preserve">– for an interdict against the publishing of defamatory statements - </w:t>
      </w:r>
      <w:r w:rsidR="00AC7447" w:rsidRPr="0092586A">
        <w:rPr>
          <w:rFonts w:ascii="Century Gothic" w:hAnsi="Century Gothic"/>
          <w:lang w:val="en-US"/>
        </w:rPr>
        <w:t xml:space="preserve"> was</w:t>
      </w:r>
      <w:r w:rsidR="000B0F36" w:rsidRPr="0092586A">
        <w:rPr>
          <w:rFonts w:ascii="Century Gothic" w:hAnsi="Century Gothic"/>
          <w:lang w:val="en-US"/>
        </w:rPr>
        <w:t xml:space="preserve"> </w:t>
      </w:r>
      <w:r w:rsidR="008E707A" w:rsidRPr="0092586A">
        <w:rPr>
          <w:rFonts w:ascii="Century Gothic" w:hAnsi="Century Gothic"/>
          <w:lang w:val="en-US"/>
        </w:rPr>
        <w:t xml:space="preserve">unnecessarily </w:t>
      </w:r>
      <w:r w:rsidR="00AC7447" w:rsidRPr="0092586A">
        <w:rPr>
          <w:rFonts w:ascii="Century Gothic" w:hAnsi="Century Gothic"/>
          <w:lang w:val="en-US"/>
        </w:rPr>
        <w:t>complicated by the inclusion of the prayers to declare the contract invalid and be set aside, and that the removal of the first respondent as chairman of Productivity SA be confirmed by the court (which had now been abandoned)</w:t>
      </w:r>
      <w:r w:rsidR="00B9691B" w:rsidRPr="0092586A">
        <w:rPr>
          <w:rFonts w:ascii="Century Gothic" w:hAnsi="Century Gothic"/>
          <w:lang w:val="en-US"/>
        </w:rPr>
        <w:t>, all as part of a single- phased urgent application</w:t>
      </w:r>
      <w:r w:rsidR="00AC7447" w:rsidRPr="0092586A">
        <w:rPr>
          <w:rFonts w:ascii="Century Gothic" w:hAnsi="Century Gothic"/>
          <w:lang w:val="en-US"/>
        </w:rPr>
        <w:t>.  A simple application to interdict the publishing of defamatory statements, perhaps pending some “</w:t>
      </w:r>
      <w:r w:rsidR="00AC7447" w:rsidRPr="0092586A">
        <w:rPr>
          <w:rFonts w:ascii="Century Gothic" w:hAnsi="Century Gothic"/>
          <w:i/>
          <w:iCs/>
          <w:lang w:val="en-US"/>
        </w:rPr>
        <w:t xml:space="preserve">Part B” </w:t>
      </w:r>
      <w:r w:rsidR="00AC7447" w:rsidRPr="0092586A">
        <w:rPr>
          <w:rFonts w:ascii="Century Gothic" w:hAnsi="Century Gothic"/>
          <w:lang w:val="en-US"/>
        </w:rPr>
        <w:t xml:space="preserve">application </w:t>
      </w:r>
      <w:r w:rsidR="008E707A" w:rsidRPr="0092586A">
        <w:rPr>
          <w:rFonts w:ascii="Century Gothic" w:hAnsi="Century Gothic"/>
          <w:lang w:val="en-US"/>
        </w:rPr>
        <w:t xml:space="preserve">– in the normal course - </w:t>
      </w:r>
      <w:r w:rsidR="000B0F36" w:rsidRPr="0092586A">
        <w:rPr>
          <w:rFonts w:ascii="Century Gothic" w:hAnsi="Century Gothic"/>
          <w:lang w:val="en-US"/>
        </w:rPr>
        <w:t xml:space="preserve">for the rest </w:t>
      </w:r>
      <w:r w:rsidR="00AC7447" w:rsidRPr="0092586A">
        <w:rPr>
          <w:rFonts w:ascii="Century Gothic" w:hAnsi="Century Gothic"/>
          <w:lang w:val="en-US"/>
        </w:rPr>
        <w:t xml:space="preserve">(as is often done) or even an action, </w:t>
      </w:r>
      <w:r w:rsidR="00AC7447" w:rsidRPr="0092586A">
        <w:rPr>
          <w:rFonts w:ascii="Century Gothic" w:hAnsi="Century Gothic"/>
          <w:lang w:val="en-US"/>
        </w:rPr>
        <w:lastRenderedPageBreak/>
        <w:t xml:space="preserve">could have been done much </w:t>
      </w:r>
      <w:r w:rsidR="00B9691B" w:rsidRPr="0092586A">
        <w:rPr>
          <w:rFonts w:ascii="Century Gothic" w:hAnsi="Century Gothic"/>
          <w:lang w:val="en-US"/>
        </w:rPr>
        <w:t>quicker</w:t>
      </w:r>
      <w:r w:rsidR="00AC7447" w:rsidRPr="0092586A">
        <w:rPr>
          <w:rFonts w:ascii="Century Gothic" w:hAnsi="Century Gothic"/>
          <w:lang w:val="en-US"/>
        </w:rPr>
        <w:t xml:space="preserve"> and would have been far more palatable in an urgent court.</w:t>
      </w:r>
    </w:p>
    <w:p w14:paraId="4DD3E326" w14:textId="77777777" w:rsidR="00AC7447" w:rsidRPr="00AC7447" w:rsidRDefault="00AC7447" w:rsidP="00D6652D">
      <w:pPr>
        <w:pStyle w:val="ListParagraph"/>
        <w:ind w:left="1276" w:hanging="567"/>
        <w:jc w:val="both"/>
        <w:rPr>
          <w:rFonts w:ascii="Century Gothic" w:hAnsi="Century Gothic"/>
          <w:lang w:val="en-US"/>
        </w:rPr>
      </w:pPr>
    </w:p>
    <w:p w14:paraId="1D788776" w14:textId="0A269C70" w:rsidR="0072058C" w:rsidRPr="0092586A" w:rsidRDefault="0092586A" w:rsidP="0092586A">
      <w:pPr>
        <w:spacing w:after="480" w:line="480" w:lineRule="auto"/>
        <w:ind w:left="1276" w:hanging="567"/>
        <w:jc w:val="both"/>
        <w:rPr>
          <w:rFonts w:ascii="Century Gothic" w:hAnsi="Century Gothic"/>
          <w:lang w:val="en-US"/>
        </w:rPr>
      </w:pPr>
      <w:r>
        <w:rPr>
          <w:rFonts w:ascii="Century Gothic" w:hAnsi="Century Gothic"/>
          <w:lang w:val="en-US"/>
        </w:rPr>
        <w:t>e)</w:t>
      </w:r>
      <w:r>
        <w:rPr>
          <w:rFonts w:ascii="Century Gothic" w:hAnsi="Century Gothic"/>
          <w:lang w:val="en-US"/>
        </w:rPr>
        <w:tab/>
      </w:r>
      <w:r w:rsidR="00B9691B" w:rsidRPr="0092586A">
        <w:rPr>
          <w:rFonts w:ascii="Century Gothic" w:hAnsi="Century Gothic"/>
          <w:lang w:val="en-US"/>
        </w:rPr>
        <w:t xml:space="preserve">Nevertheless, the brazen publishing of such defamatory statements by the first respondent, as I have found to have been done, warranted swifter attention from the </w:t>
      </w:r>
      <w:r w:rsidR="00F6541A" w:rsidRPr="0092586A">
        <w:rPr>
          <w:rFonts w:ascii="Century Gothic" w:hAnsi="Century Gothic"/>
          <w:lang w:val="en-US"/>
        </w:rPr>
        <w:t>court</w:t>
      </w:r>
      <w:r w:rsidR="00B9691B" w:rsidRPr="0092586A">
        <w:rPr>
          <w:rFonts w:ascii="Century Gothic" w:hAnsi="Century Gothic"/>
          <w:lang w:val="en-US"/>
        </w:rPr>
        <w:t xml:space="preserve"> than would have been </w:t>
      </w:r>
      <w:r w:rsidR="00327921" w:rsidRPr="0092586A">
        <w:rPr>
          <w:rFonts w:ascii="Century Gothic" w:hAnsi="Century Gothic"/>
          <w:lang w:val="en-US"/>
        </w:rPr>
        <w:t>available to the applicant</w:t>
      </w:r>
      <w:r w:rsidR="00B9691B" w:rsidRPr="0092586A">
        <w:rPr>
          <w:rFonts w:ascii="Century Gothic" w:hAnsi="Century Gothic"/>
          <w:lang w:val="en-US"/>
        </w:rPr>
        <w:t xml:space="preserve"> in the ordinary course.   The manner in which the matter had been managed and allocated by the Deputy Judge President also went a long way to relax the initial time constraints imposed </w:t>
      </w:r>
      <w:r w:rsidR="00327921" w:rsidRPr="0092586A">
        <w:rPr>
          <w:rFonts w:ascii="Century Gothic" w:hAnsi="Century Gothic"/>
          <w:lang w:val="en-US"/>
        </w:rPr>
        <w:t xml:space="preserve">for the filing of papers and heads. </w:t>
      </w:r>
      <w:r w:rsidR="00B9691B" w:rsidRPr="0092586A">
        <w:rPr>
          <w:rFonts w:ascii="Century Gothic" w:hAnsi="Century Gothic"/>
          <w:lang w:val="en-US"/>
        </w:rPr>
        <w:t xml:space="preserve"> This, and the fact that the applicant </w:t>
      </w:r>
      <w:r w:rsidR="00327921" w:rsidRPr="0092586A">
        <w:rPr>
          <w:rFonts w:ascii="Century Gothic" w:hAnsi="Century Gothic"/>
          <w:lang w:val="en-US"/>
        </w:rPr>
        <w:t xml:space="preserve">ultimately </w:t>
      </w:r>
      <w:r w:rsidR="00B9691B" w:rsidRPr="0092586A">
        <w:rPr>
          <w:rFonts w:ascii="Century Gothic" w:hAnsi="Century Gothic"/>
          <w:lang w:val="en-US"/>
        </w:rPr>
        <w:t xml:space="preserve">did not persist with the prayers about the removal of the first respondent as chairman of Productivity SA, persuaded this court to hear the matter </w:t>
      </w:r>
      <w:r w:rsidR="00327921" w:rsidRPr="0092586A">
        <w:rPr>
          <w:rFonts w:ascii="Century Gothic" w:hAnsi="Century Gothic"/>
          <w:lang w:val="en-US"/>
        </w:rPr>
        <w:t>on what remained of the merits.</w:t>
      </w:r>
    </w:p>
    <w:p w14:paraId="7D6C4009" w14:textId="77777777" w:rsidR="00182C76" w:rsidRPr="00182C76" w:rsidRDefault="00182C76" w:rsidP="00182C76">
      <w:pPr>
        <w:pStyle w:val="ListParagraph"/>
        <w:rPr>
          <w:rFonts w:ascii="Century Gothic" w:hAnsi="Century Gothic"/>
          <w:lang w:val="en-US"/>
        </w:rPr>
      </w:pPr>
    </w:p>
    <w:p w14:paraId="51246CBC" w14:textId="119DA2A4" w:rsidR="00182C76" w:rsidRPr="0092586A" w:rsidRDefault="0092586A" w:rsidP="0092586A">
      <w:pPr>
        <w:spacing w:after="480" w:line="480" w:lineRule="auto"/>
        <w:ind w:left="709" w:hanging="709"/>
        <w:jc w:val="both"/>
        <w:rPr>
          <w:rFonts w:ascii="Century Gothic" w:hAnsi="Century Gothic"/>
          <w:lang w:val="en-US"/>
        </w:rPr>
      </w:pPr>
      <w:r w:rsidRPr="00182C76">
        <w:rPr>
          <w:rFonts w:ascii="Century Gothic" w:hAnsi="Century Gothic"/>
          <w:lang w:val="en-US"/>
        </w:rPr>
        <w:t>[27]</w:t>
      </w:r>
      <w:r w:rsidRPr="00182C76">
        <w:rPr>
          <w:rFonts w:ascii="Century Gothic" w:hAnsi="Century Gothic"/>
          <w:lang w:val="en-US"/>
        </w:rPr>
        <w:tab/>
      </w:r>
      <w:r w:rsidR="00182C76" w:rsidRPr="0092586A">
        <w:rPr>
          <w:rFonts w:ascii="Century Gothic" w:hAnsi="Century Gothic"/>
          <w:u w:val="single"/>
          <w:lang w:val="en-US"/>
        </w:rPr>
        <w:t>Delay in Bringing the Application:</w:t>
      </w:r>
    </w:p>
    <w:p w14:paraId="2DD36D68" w14:textId="77777777" w:rsidR="00182C76" w:rsidRDefault="00182C76" w:rsidP="00182C76">
      <w:pPr>
        <w:pStyle w:val="ListParagraph"/>
        <w:spacing w:after="480" w:line="480" w:lineRule="auto"/>
        <w:ind w:left="851"/>
        <w:jc w:val="both"/>
        <w:rPr>
          <w:rFonts w:ascii="Century Gothic" w:hAnsi="Century Gothic"/>
          <w:lang w:val="en-US"/>
        </w:rPr>
      </w:pPr>
    </w:p>
    <w:p w14:paraId="21E95A46" w14:textId="2D6C5B51" w:rsidR="00BD607C" w:rsidRPr="0092586A" w:rsidRDefault="0092586A" w:rsidP="0092586A">
      <w:pPr>
        <w:spacing w:after="480" w:line="480" w:lineRule="auto"/>
        <w:ind w:left="1276" w:hanging="567"/>
        <w:jc w:val="both"/>
        <w:rPr>
          <w:rFonts w:ascii="Century Gothic" w:hAnsi="Century Gothic"/>
          <w:lang w:val="en-US"/>
        </w:rPr>
      </w:pPr>
      <w:r>
        <w:rPr>
          <w:rFonts w:ascii="Century Gothic" w:hAnsi="Century Gothic"/>
          <w:lang w:val="en-US"/>
        </w:rPr>
        <w:t>a)</w:t>
      </w:r>
      <w:r>
        <w:rPr>
          <w:rFonts w:ascii="Century Gothic" w:hAnsi="Century Gothic"/>
          <w:lang w:val="en-US"/>
        </w:rPr>
        <w:tab/>
      </w:r>
      <w:r w:rsidR="00182C76" w:rsidRPr="0092586A">
        <w:rPr>
          <w:rFonts w:ascii="Century Gothic" w:hAnsi="Century Gothic"/>
          <w:lang w:val="en-US"/>
        </w:rPr>
        <w:t>It is firstly necessary to consider any delay</w:t>
      </w:r>
      <w:r w:rsidR="00BD607C" w:rsidRPr="0092586A">
        <w:rPr>
          <w:rFonts w:ascii="Century Gothic" w:hAnsi="Century Gothic"/>
          <w:lang w:val="en-US"/>
        </w:rPr>
        <w:t xml:space="preserve"> – on the part of the applicant -</w:t>
      </w:r>
      <w:r w:rsidR="00182C76" w:rsidRPr="0092586A">
        <w:rPr>
          <w:rFonts w:ascii="Century Gothic" w:hAnsi="Century Gothic"/>
          <w:lang w:val="en-US"/>
        </w:rPr>
        <w:t xml:space="preserve"> in bringing this application</w:t>
      </w:r>
      <w:r w:rsidR="00BD607C" w:rsidRPr="0092586A">
        <w:rPr>
          <w:rFonts w:ascii="Century Gothic" w:hAnsi="Century Gothic"/>
          <w:lang w:val="en-US"/>
        </w:rPr>
        <w:t xml:space="preserve"> was unreasonable under the circumstances.</w:t>
      </w:r>
      <w:r w:rsidR="008E707A" w:rsidRPr="0092586A">
        <w:rPr>
          <w:rFonts w:ascii="Century Gothic" w:hAnsi="Century Gothic"/>
          <w:lang w:val="en-US"/>
        </w:rPr>
        <w:t xml:space="preserve">  This is enjoined by the rulings of the Constitutional Court and the Supreme Court of Appeal in </w:t>
      </w:r>
      <w:r w:rsidR="00672AF6" w:rsidRPr="0092586A">
        <w:rPr>
          <w:rFonts w:ascii="Century Gothic" w:hAnsi="Century Gothic"/>
          <w:lang w:val="en-US"/>
        </w:rPr>
        <w:t xml:space="preserve">cases such as </w:t>
      </w:r>
      <w:r w:rsidR="00672AF6" w:rsidRPr="0092586A">
        <w:rPr>
          <w:rFonts w:ascii="Century Gothic" w:hAnsi="Century Gothic"/>
          <w:u w:val="single"/>
          <w:lang w:val="en-US"/>
        </w:rPr>
        <w:t>Gijima</w:t>
      </w:r>
      <w:r w:rsidR="00672AF6" w:rsidRPr="0092586A">
        <w:rPr>
          <w:rFonts w:ascii="Century Gothic" w:hAnsi="Century Gothic"/>
          <w:lang w:val="en-US"/>
        </w:rPr>
        <w:t xml:space="preserve">, </w:t>
      </w:r>
      <w:r w:rsidR="00672AF6" w:rsidRPr="0092586A">
        <w:rPr>
          <w:rFonts w:ascii="Century Gothic" w:hAnsi="Century Gothic"/>
          <w:u w:val="single"/>
          <w:lang w:val="en-US"/>
        </w:rPr>
        <w:t>Asla</w:t>
      </w:r>
      <w:r w:rsidR="00672AF6" w:rsidRPr="0092586A">
        <w:rPr>
          <w:rFonts w:ascii="Century Gothic" w:hAnsi="Century Gothic"/>
          <w:lang w:val="en-US"/>
        </w:rPr>
        <w:t xml:space="preserve">, and </w:t>
      </w:r>
      <w:r w:rsidR="00672AF6" w:rsidRPr="0092586A">
        <w:rPr>
          <w:rFonts w:ascii="Century Gothic" w:hAnsi="Century Gothic"/>
          <w:u w:val="single"/>
          <w:lang w:val="en-US"/>
        </w:rPr>
        <w:t>NICS</w:t>
      </w:r>
      <w:r w:rsidR="00672AF6" w:rsidRPr="0092586A">
        <w:rPr>
          <w:rFonts w:ascii="Century Gothic" w:hAnsi="Century Gothic"/>
          <w:lang w:val="en-US"/>
        </w:rPr>
        <w:t>.</w:t>
      </w:r>
      <w:r w:rsidR="00672AF6">
        <w:rPr>
          <w:rStyle w:val="FootnoteReference"/>
          <w:rFonts w:ascii="Century Gothic" w:hAnsi="Century Gothic"/>
          <w:lang w:val="en-US"/>
        </w:rPr>
        <w:footnoteReference w:id="1"/>
      </w:r>
    </w:p>
    <w:p w14:paraId="6CD4110A" w14:textId="77777777" w:rsidR="00BD607C" w:rsidRDefault="00BD607C" w:rsidP="00BD607C">
      <w:pPr>
        <w:pStyle w:val="ListParagraph"/>
        <w:spacing w:after="480" w:line="480" w:lineRule="auto"/>
        <w:ind w:left="1276"/>
        <w:jc w:val="both"/>
        <w:rPr>
          <w:rFonts w:ascii="Century Gothic" w:hAnsi="Century Gothic"/>
          <w:lang w:val="en-US"/>
        </w:rPr>
      </w:pPr>
    </w:p>
    <w:p w14:paraId="255F7716" w14:textId="22552CA0" w:rsidR="00BD607C" w:rsidRPr="0092586A" w:rsidRDefault="0092586A" w:rsidP="0092586A">
      <w:pPr>
        <w:spacing w:after="480" w:line="480" w:lineRule="auto"/>
        <w:ind w:left="1276" w:hanging="567"/>
        <w:jc w:val="both"/>
        <w:rPr>
          <w:rFonts w:ascii="Century Gothic" w:hAnsi="Century Gothic"/>
          <w:lang w:val="en-US"/>
        </w:rPr>
      </w:pPr>
      <w:r>
        <w:rPr>
          <w:rFonts w:ascii="Century Gothic" w:hAnsi="Century Gothic"/>
          <w:lang w:val="en-US"/>
        </w:rPr>
        <w:t>b)</w:t>
      </w:r>
      <w:r>
        <w:rPr>
          <w:rFonts w:ascii="Century Gothic" w:hAnsi="Century Gothic"/>
          <w:lang w:val="en-US"/>
        </w:rPr>
        <w:tab/>
      </w:r>
      <w:r w:rsidR="00BD607C" w:rsidRPr="0092586A">
        <w:rPr>
          <w:rFonts w:ascii="Century Gothic" w:hAnsi="Century Gothic"/>
          <w:lang w:val="en-US"/>
        </w:rPr>
        <w:t>While the applicant had been aware of the need for a legality review since March 2023, he had also appraised the first to third respondents of his misgivings about the contract from, at the latest, February 2023.   The applicant had also informed the first to third respondents, then, that he had instructed that the contract not be implemented – pending investigations.</w:t>
      </w:r>
    </w:p>
    <w:p w14:paraId="18979A09" w14:textId="77777777" w:rsidR="00BD607C" w:rsidRPr="00BD607C" w:rsidRDefault="00BD607C" w:rsidP="00BD607C">
      <w:pPr>
        <w:pStyle w:val="ListParagraph"/>
        <w:rPr>
          <w:rFonts w:ascii="Century Gothic" w:hAnsi="Century Gothic"/>
          <w:lang w:val="en-US"/>
        </w:rPr>
      </w:pPr>
    </w:p>
    <w:p w14:paraId="4B22FED9" w14:textId="60D509F9" w:rsidR="00BD607C" w:rsidRPr="0092586A" w:rsidRDefault="0092586A" w:rsidP="0092586A">
      <w:pPr>
        <w:spacing w:after="480" w:line="480" w:lineRule="auto"/>
        <w:ind w:left="1276" w:hanging="567"/>
        <w:jc w:val="both"/>
        <w:rPr>
          <w:rFonts w:ascii="Century Gothic" w:hAnsi="Century Gothic"/>
          <w:lang w:val="en-US"/>
        </w:rPr>
      </w:pPr>
      <w:r>
        <w:rPr>
          <w:rFonts w:ascii="Century Gothic" w:hAnsi="Century Gothic"/>
          <w:lang w:val="en-US"/>
        </w:rPr>
        <w:t>c)</w:t>
      </w:r>
      <w:r>
        <w:rPr>
          <w:rFonts w:ascii="Century Gothic" w:hAnsi="Century Gothic"/>
          <w:lang w:val="en-US"/>
        </w:rPr>
        <w:tab/>
      </w:r>
      <w:r w:rsidR="00BD607C" w:rsidRPr="0092586A">
        <w:rPr>
          <w:rFonts w:ascii="Century Gothic" w:hAnsi="Century Gothic"/>
          <w:lang w:val="en-US"/>
        </w:rPr>
        <w:t>These steps were sufficient to avoid letting the first to third respondents develop any illusions about their position, or to have them act to their detriment due to such illusions.</w:t>
      </w:r>
    </w:p>
    <w:p w14:paraId="4AD791A7" w14:textId="77777777" w:rsidR="00BD607C" w:rsidRPr="00BD607C" w:rsidRDefault="00BD607C" w:rsidP="00BD607C">
      <w:pPr>
        <w:pStyle w:val="ListParagraph"/>
        <w:rPr>
          <w:rFonts w:ascii="Century Gothic" w:hAnsi="Century Gothic"/>
          <w:lang w:val="en-US"/>
        </w:rPr>
      </w:pPr>
    </w:p>
    <w:p w14:paraId="111AC3D6" w14:textId="57345DA1" w:rsidR="00BD607C" w:rsidRPr="0092586A" w:rsidRDefault="0092586A" w:rsidP="0092586A">
      <w:pPr>
        <w:spacing w:after="480" w:line="480" w:lineRule="auto"/>
        <w:ind w:left="1276" w:hanging="567"/>
        <w:jc w:val="both"/>
        <w:rPr>
          <w:rFonts w:ascii="Century Gothic" w:hAnsi="Century Gothic"/>
          <w:lang w:val="en-US"/>
        </w:rPr>
      </w:pPr>
      <w:r>
        <w:rPr>
          <w:rFonts w:ascii="Century Gothic" w:hAnsi="Century Gothic"/>
          <w:lang w:val="en-US"/>
        </w:rPr>
        <w:t>d)</w:t>
      </w:r>
      <w:r>
        <w:rPr>
          <w:rFonts w:ascii="Century Gothic" w:hAnsi="Century Gothic"/>
          <w:lang w:val="en-US"/>
        </w:rPr>
        <w:tab/>
      </w:r>
      <w:r w:rsidR="00BD607C" w:rsidRPr="0092586A">
        <w:rPr>
          <w:rFonts w:ascii="Century Gothic" w:hAnsi="Century Gothic"/>
          <w:lang w:val="en-US"/>
        </w:rPr>
        <w:t>The forensic investigation ordered by the applicant was only completed about June 2023 – according to the evidence.</w:t>
      </w:r>
    </w:p>
    <w:p w14:paraId="3F4E7F68" w14:textId="77777777" w:rsidR="00BD607C" w:rsidRPr="00BD607C" w:rsidRDefault="00BD607C" w:rsidP="00BD607C">
      <w:pPr>
        <w:pStyle w:val="ListParagraph"/>
        <w:rPr>
          <w:rFonts w:ascii="Century Gothic" w:hAnsi="Century Gothic"/>
          <w:lang w:val="en-US"/>
        </w:rPr>
      </w:pPr>
    </w:p>
    <w:p w14:paraId="06608156" w14:textId="111DC72C" w:rsidR="00BD607C" w:rsidRPr="0092586A" w:rsidRDefault="0092586A" w:rsidP="0092586A">
      <w:pPr>
        <w:spacing w:after="480" w:line="480" w:lineRule="auto"/>
        <w:ind w:left="1276" w:hanging="567"/>
        <w:jc w:val="both"/>
        <w:rPr>
          <w:rFonts w:ascii="Century Gothic" w:hAnsi="Century Gothic"/>
          <w:lang w:val="en-US"/>
        </w:rPr>
      </w:pPr>
      <w:r w:rsidRPr="00BD607C">
        <w:rPr>
          <w:rFonts w:ascii="Century Gothic" w:hAnsi="Century Gothic"/>
          <w:lang w:val="en-US"/>
        </w:rPr>
        <w:t>e)</w:t>
      </w:r>
      <w:r w:rsidRPr="00BD607C">
        <w:rPr>
          <w:rFonts w:ascii="Century Gothic" w:hAnsi="Century Gothic"/>
          <w:lang w:val="en-US"/>
        </w:rPr>
        <w:tab/>
      </w:r>
      <w:r w:rsidR="00FE1FF2" w:rsidRPr="0092586A">
        <w:rPr>
          <w:rFonts w:ascii="Century Gothic" w:hAnsi="Century Gothic"/>
          <w:lang w:val="en-US"/>
        </w:rPr>
        <w:t>The delay in bringing this application was not unreasonable under those circumstances.  However, if the delay could be said to have been unreasonable then, given the nature and enormity of the transaction, and the conduct of the Director General in concluding it – as discussed below, such delay should be overlooked.</w:t>
      </w:r>
    </w:p>
    <w:p w14:paraId="1939B101" w14:textId="77777777" w:rsidR="0072058C" w:rsidRPr="0072058C" w:rsidRDefault="0072058C" w:rsidP="00D6652D">
      <w:pPr>
        <w:pStyle w:val="ListParagraph"/>
        <w:spacing w:after="480" w:line="480" w:lineRule="auto"/>
        <w:ind w:left="0"/>
        <w:jc w:val="both"/>
        <w:rPr>
          <w:rFonts w:ascii="Century Gothic" w:hAnsi="Century Gothic"/>
          <w:lang w:val="en-US"/>
        </w:rPr>
      </w:pPr>
    </w:p>
    <w:p w14:paraId="49B9942D" w14:textId="095E3EB4" w:rsidR="0072058C" w:rsidRPr="0092586A" w:rsidRDefault="0092586A" w:rsidP="0092586A">
      <w:pPr>
        <w:spacing w:after="480" w:line="480" w:lineRule="auto"/>
        <w:ind w:left="851" w:hanging="851"/>
        <w:jc w:val="both"/>
        <w:rPr>
          <w:rFonts w:ascii="Century Gothic" w:hAnsi="Century Gothic"/>
          <w:lang w:val="en-US"/>
        </w:rPr>
      </w:pPr>
      <w:r>
        <w:rPr>
          <w:rFonts w:ascii="Century Gothic" w:hAnsi="Century Gothic"/>
          <w:lang w:val="en-US"/>
        </w:rPr>
        <w:t>[28]</w:t>
      </w:r>
      <w:r>
        <w:rPr>
          <w:rFonts w:ascii="Century Gothic" w:hAnsi="Century Gothic"/>
          <w:lang w:val="en-US"/>
        </w:rPr>
        <w:tab/>
      </w:r>
      <w:r w:rsidR="00DE7F5A" w:rsidRPr="0092586A">
        <w:rPr>
          <w:rFonts w:ascii="Century Gothic" w:hAnsi="Century Gothic"/>
          <w:u w:val="single"/>
          <w:lang w:val="en-US"/>
        </w:rPr>
        <w:t>Legality of the Contract</w:t>
      </w:r>
      <w:r w:rsidR="00DE7F5A" w:rsidRPr="0092586A">
        <w:rPr>
          <w:rFonts w:ascii="Century Gothic" w:hAnsi="Century Gothic"/>
          <w:lang w:val="en-US"/>
        </w:rPr>
        <w:t>:</w:t>
      </w:r>
    </w:p>
    <w:p w14:paraId="17964339" w14:textId="77777777" w:rsidR="0072058C" w:rsidRPr="0072058C" w:rsidRDefault="0072058C" w:rsidP="007A21F7">
      <w:pPr>
        <w:pStyle w:val="ListParagraph"/>
        <w:spacing w:after="480" w:line="480" w:lineRule="auto"/>
        <w:ind w:left="1276" w:hanging="1276"/>
        <w:jc w:val="both"/>
        <w:rPr>
          <w:rFonts w:ascii="Century Gothic" w:hAnsi="Century Gothic"/>
          <w:lang w:val="en-US"/>
        </w:rPr>
      </w:pPr>
    </w:p>
    <w:p w14:paraId="5E675FDB" w14:textId="100EFC09" w:rsidR="0072058C"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a)</w:t>
      </w:r>
      <w:r>
        <w:rPr>
          <w:rFonts w:ascii="Century Gothic" w:hAnsi="Century Gothic"/>
          <w:lang w:val="en-US"/>
        </w:rPr>
        <w:tab/>
      </w:r>
      <w:r w:rsidR="0072058C" w:rsidRPr="0092586A">
        <w:rPr>
          <w:rFonts w:ascii="Century Gothic" w:hAnsi="Century Gothic"/>
          <w:lang w:val="en-US"/>
        </w:rPr>
        <w:t>The applicant’s case on this topic is of the kind now referred to as “</w:t>
      </w:r>
      <w:r w:rsidR="0072058C" w:rsidRPr="0092586A">
        <w:rPr>
          <w:rFonts w:ascii="Century Gothic" w:hAnsi="Century Gothic"/>
          <w:i/>
          <w:iCs/>
          <w:lang w:val="en-US"/>
        </w:rPr>
        <w:t>legality review”</w:t>
      </w:r>
      <w:r w:rsidR="0072058C" w:rsidRPr="0092586A">
        <w:rPr>
          <w:rFonts w:ascii="Century Gothic" w:hAnsi="Century Gothic"/>
          <w:lang w:val="en-US"/>
        </w:rPr>
        <w:t>, about which judgments in the Supreme of Appeal and the Constitutional Court abounded in the last number of years.</w:t>
      </w:r>
      <w:r w:rsidR="0072058C">
        <w:rPr>
          <w:rStyle w:val="FootnoteReference"/>
          <w:rFonts w:ascii="Century Gothic" w:hAnsi="Century Gothic"/>
          <w:lang w:val="en-US"/>
        </w:rPr>
        <w:footnoteReference w:id="2"/>
      </w:r>
      <w:r w:rsidR="00672AF6" w:rsidRPr="0092586A">
        <w:rPr>
          <w:rFonts w:ascii="Century Gothic" w:hAnsi="Century Gothic"/>
          <w:lang w:val="en-US"/>
        </w:rPr>
        <w:t xml:space="preserve">  Those are cases where organs of state approach the court to declare invalid and set aside illegal administrative acts performed by its own administrators.</w:t>
      </w:r>
    </w:p>
    <w:p w14:paraId="7C930513" w14:textId="77777777" w:rsidR="00473337" w:rsidRDefault="00473337" w:rsidP="007A21F7">
      <w:pPr>
        <w:pStyle w:val="ListParagraph"/>
        <w:spacing w:after="480" w:line="480" w:lineRule="auto"/>
        <w:ind w:left="1276" w:hanging="1276"/>
        <w:jc w:val="both"/>
        <w:rPr>
          <w:rFonts w:ascii="Century Gothic" w:hAnsi="Century Gothic"/>
          <w:lang w:val="en-US"/>
        </w:rPr>
      </w:pPr>
    </w:p>
    <w:p w14:paraId="7AA73C1F" w14:textId="5AD451FA" w:rsidR="005263E1"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b)</w:t>
      </w:r>
      <w:r>
        <w:rPr>
          <w:rFonts w:ascii="Century Gothic" w:hAnsi="Century Gothic"/>
          <w:lang w:val="en-US"/>
        </w:rPr>
        <w:tab/>
      </w:r>
      <w:r w:rsidR="00473337" w:rsidRPr="0092586A">
        <w:rPr>
          <w:rFonts w:ascii="Century Gothic" w:hAnsi="Century Gothic"/>
          <w:lang w:val="en-US"/>
        </w:rPr>
        <w:t>The principle</w:t>
      </w:r>
      <w:r w:rsidR="00672AF6" w:rsidRPr="0092586A">
        <w:rPr>
          <w:rFonts w:ascii="Century Gothic" w:hAnsi="Century Gothic"/>
          <w:lang w:val="en-US"/>
        </w:rPr>
        <w:t xml:space="preserve"> – referred to as the principal of legality – which is to be </w:t>
      </w:r>
      <w:r w:rsidR="00F6541A" w:rsidRPr="0092586A">
        <w:rPr>
          <w:rFonts w:ascii="Century Gothic" w:hAnsi="Century Gothic"/>
          <w:lang w:val="en-US"/>
        </w:rPr>
        <w:t>applied in</w:t>
      </w:r>
      <w:r w:rsidR="00672AF6" w:rsidRPr="0092586A">
        <w:rPr>
          <w:rFonts w:ascii="Century Gothic" w:hAnsi="Century Gothic"/>
          <w:lang w:val="en-US"/>
        </w:rPr>
        <w:t xml:space="preserve"> those cases, </w:t>
      </w:r>
      <w:r w:rsidR="005263E1" w:rsidRPr="0092586A">
        <w:rPr>
          <w:rFonts w:ascii="Century Gothic" w:hAnsi="Century Gothic"/>
          <w:lang w:val="en-US"/>
        </w:rPr>
        <w:t>was</w:t>
      </w:r>
      <w:r w:rsidR="00E765DD" w:rsidRPr="0092586A">
        <w:rPr>
          <w:rFonts w:ascii="Century Gothic" w:hAnsi="Century Gothic"/>
          <w:lang w:val="en-US"/>
        </w:rPr>
        <w:t xml:space="preserve"> stated by Madlanga J in </w:t>
      </w:r>
      <w:r w:rsidR="00E765DD" w:rsidRPr="0092586A">
        <w:rPr>
          <w:rFonts w:ascii="Century Gothic" w:hAnsi="Century Gothic"/>
          <w:u w:val="single"/>
          <w:lang w:val="en-US"/>
        </w:rPr>
        <w:t>Gijima</w:t>
      </w:r>
      <w:r w:rsidR="005263E1" w:rsidRPr="0092586A">
        <w:rPr>
          <w:rFonts w:ascii="Century Gothic" w:hAnsi="Century Gothic"/>
          <w:lang w:val="en-US"/>
        </w:rPr>
        <w:t>,</w:t>
      </w:r>
      <w:r w:rsidR="005263E1" w:rsidRPr="005263E1">
        <w:rPr>
          <w:rStyle w:val="FootnoteReference"/>
          <w:rFonts w:ascii="Century Gothic" w:hAnsi="Century Gothic"/>
          <w:lang w:val="en-US"/>
        </w:rPr>
        <w:footnoteReference w:id="3"/>
      </w:r>
      <w:r w:rsidR="005B6BDE" w:rsidRPr="0092586A">
        <w:rPr>
          <w:rFonts w:ascii="Century Gothic" w:hAnsi="Century Gothic"/>
          <w:lang w:val="en-US"/>
        </w:rPr>
        <w:t xml:space="preserve"> </w:t>
      </w:r>
      <w:r w:rsidR="005263E1" w:rsidRPr="0092586A">
        <w:rPr>
          <w:rFonts w:ascii="Century Gothic" w:hAnsi="Century Gothic"/>
          <w:lang w:val="en-US"/>
        </w:rPr>
        <w:t>as follows:</w:t>
      </w:r>
    </w:p>
    <w:p w14:paraId="7CBA6240" w14:textId="77777777" w:rsidR="005263E1" w:rsidRPr="00D96546" w:rsidRDefault="005263E1" w:rsidP="007A21F7">
      <w:pPr>
        <w:pStyle w:val="ListParagraph"/>
        <w:ind w:left="1276" w:hanging="1276"/>
        <w:jc w:val="both"/>
        <w:rPr>
          <w:rFonts w:ascii="Century Gothic" w:hAnsi="Century Gothic"/>
          <w:i/>
          <w:iCs/>
          <w:lang w:val="en-US"/>
        </w:rPr>
      </w:pPr>
    </w:p>
    <w:p w14:paraId="22B624ED" w14:textId="00BDAC7A" w:rsidR="00D96546" w:rsidRPr="00D96546" w:rsidRDefault="00F6541A" w:rsidP="008F3080">
      <w:pPr>
        <w:pStyle w:val="ListParagraph"/>
        <w:spacing w:after="480" w:line="480" w:lineRule="auto"/>
        <w:ind w:left="1843"/>
        <w:jc w:val="both"/>
        <w:rPr>
          <w:rFonts w:ascii="Century Gothic" w:hAnsi="Century Gothic"/>
          <w:i/>
          <w:iCs/>
          <w:lang w:val="en-US"/>
        </w:rPr>
      </w:pPr>
      <w:r w:rsidRPr="00D96546">
        <w:rPr>
          <w:rFonts w:ascii="Century Gothic" w:hAnsi="Century Gothic"/>
          <w:i/>
          <w:iCs/>
          <w:lang w:val="en-US"/>
        </w:rPr>
        <w:t>“‘</w:t>
      </w:r>
      <w:r w:rsidR="00D96546" w:rsidRPr="00D96546">
        <w:rPr>
          <w:rFonts w:ascii="Century Gothic" w:hAnsi="Century Gothic"/>
          <w:i/>
          <w:iCs/>
          <w:lang w:val="en-US"/>
        </w:rPr>
        <w:t xml:space="preserve">… it seems central to </w:t>
      </w:r>
      <w:r w:rsidRPr="00D96546">
        <w:rPr>
          <w:rFonts w:ascii="Century Gothic" w:hAnsi="Century Gothic"/>
          <w:i/>
          <w:iCs/>
          <w:lang w:val="en-US"/>
        </w:rPr>
        <w:t>the conception</w:t>
      </w:r>
      <w:r w:rsidR="00D96546" w:rsidRPr="00D96546">
        <w:rPr>
          <w:rFonts w:ascii="Century Gothic" w:hAnsi="Century Gothic"/>
          <w:i/>
          <w:iCs/>
          <w:lang w:val="en-US"/>
        </w:rPr>
        <w:t xml:space="preserve"> of our constitutional order that the Legislature and Executive in every sphere are constrained by the </w:t>
      </w:r>
      <w:r w:rsidRPr="00D96546">
        <w:rPr>
          <w:rFonts w:ascii="Century Gothic" w:hAnsi="Century Gothic"/>
          <w:i/>
          <w:iCs/>
          <w:lang w:val="en-US"/>
        </w:rPr>
        <w:t>principle that</w:t>
      </w:r>
      <w:r w:rsidR="00D96546" w:rsidRPr="00D96546">
        <w:rPr>
          <w:rFonts w:ascii="Century Gothic" w:hAnsi="Century Gothic"/>
          <w:i/>
          <w:iCs/>
          <w:lang w:val="en-US"/>
        </w:rPr>
        <w:t xml:space="preserve"> they may exercise no power and perform no function beyond that conferred upon them by law'.  …</w:t>
      </w:r>
    </w:p>
    <w:p w14:paraId="6FC80306" w14:textId="748D50B7" w:rsidR="005263E1" w:rsidRPr="005263E1" w:rsidRDefault="005263E1" w:rsidP="008F3080">
      <w:pPr>
        <w:pStyle w:val="ListParagraph"/>
        <w:spacing w:after="480" w:line="480" w:lineRule="auto"/>
        <w:ind w:left="1843"/>
        <w:jc w:val="both"/>
        <w:rPr>
          <w:rFonts w:ascii="Century Gothic" w:hAnsi="Century Gothic"/>
          <w:lang w:val="en-US"/>
        </w:rPr>
      </w:pPr>
      <w:r w:rsidRPr="005263E1">
        <w:rPr>
          <w:rFonts w:ascii="Century Gothic" w:hAnsi="Century Gothic"/>
          <w:i/>
          <w:iCs/>
          <w:lang w:val="en-US"/>
        </w:rPr>
        <w:t xml:space="preserve">What we glean from this is that the exercise of public power which is at variance with the principle of legality </w:t>
      </w:r>
      <w:r w:rsidR="00F6541A" w:rsidRPr="005263E1">
        <w:rPr>
          <w:rFonts w:ascii="Century Gothic" w:hAnsi="Century Gothic"/>
          <w:i/>
          <w:iCs/>
          <w:lang w:val="en-US"/>
        </w:rPr>
        <w:t>is inconsistent</w:t>
      </w:r>
      <w:r w:rsidRPr="005263E1">
        <w:rPr>
          <w:rFonts w:ascii="Century Gothic" w:hAnsi="Century Gothic"/>
          <w:i/>
          <w:iCs/>
          <w:lang w:val="en-US"/>
        </w:rPr>
        <w:t xml:space="preserve"> with the Constitution itself. In short, it is invalid. That is a consequence of what s</w:t>
      </w:r>
      <w:r>
        <w:rPr>
          <w:rFonts w:ascii="Century Gothic" w:hAnsi="Century Gothic"/>
          <w:i/>
          <w:iCs/>
          <w:lang w:val="en-US"/>
        </w:rPr>
        <w:t xml:space="preserve"> </w:t>
      </w:r>
      <w:r w:rsidRPr="005263E1">
        <w:rPr>
          <w:rFonts w:ascii="Century Gothic" w:hAnsi="Century Gothic"/>
          <w:i/>
          <w:iCs/>
          <w:lang w:val="en-US"/>
        </w:rPr>
        <w:t xml:space="preserve">2 of the </w:t>
      </w:r>
      <w:r w:rsidR="00F6541A" w:rsidRPr="005263E1">
        <w:rPr>
          <w:rFonts w:ascii="Century Gothic" w:hAnsi="Century Gothic"/>
          <w:i/>
          <w:iCs/>
          <w:lang w:val="en-US"/>
        </w:rPr>
        <w:t>Constitution stipulates</w:t>
      </w:r>
      <w:r w:rsidRPr="005263E1">
        <w:rPr>
          <w:rFonts w:ascii="Century Gothic" w:hAnsi="Century Gothic"/>
          <w:i/>
          <w:iCs/>
          <w:lang w:val="en-US"/>
        </w:rPr>
        <w:t>.</w:t>
      </w:r>
      <w:r>
        <w:rPr>
          <w:rFonts w:ascii="Century Gothic" w:hAnsi="Century Gothic"/>
          <w:i/>
          <w:iCs/>
          <w:lang w:val="en-US"/>
        </w:rPr>
        <w:t xml:space="preserve"> ...</w:t>
      </w:r>
      <w:r w:rsidRPr="005263E1">
        <w:rPr>
          <w:rFonts w:ascii="Century Gothic" w:hAnsi="Century Gothic"/>
          <w:i/>
          <w:iCs/>
          <w:lang w:val="en-US"/>
        </w:rPr>
        <w:t xml:space="preserve"> </w:t>
      </w:r>
      <w:r w:rsidRPr="005263E1">
        <w:rPr>
          <w:rFonts w:ascii="Century Gothic" w:hAnsi="Century Gothic"/>
          <w:lang w:val="en-US"/>
        </w:rPr>
        <w:t xml:space="preserve">   </w:t>
      </w:r>
      <w:r w:rsidRPr="005263E1">
        <w:rPr>
          <w:rFonts w:ascii="Century Gothic" w:hAnsi="Century Gothic"/>
          <w:i/>
          <w:iCs/>
          <w:lang w:val="en-US"/>
        </w:rPr>
        <w:t>the award of the DoD agreement was an exercise of public power.  The principle of legality may thus be a vehicle for its review.</w:t>
      </w:r>
      <w:r>
        <w:rPr>
          <w:rFonts w:ascii="Century Gothic" w:hAnsi="Century Gothic"/>
          <w:i/>
          <w:iCs/>
          <w:lang w:val="en-US"/>
        </w:rPr>
        <w:t xml:space="preserve"> </w:t>
      </w:r>
      <w:r w:rsidRPr="005263E1">
        <w:rPr>
          <w:rFonts w:ascii="Century Gothic" w:hAnsi="Century Gothic"/>
          <w:i/>
          <w:iCs/>
          <w:lang w:val="en-US"/>
        </w:rPr>
        <w:t xml:space="preserve"> The question is: did the award conform to legal prescripts? If it did, that is the end of the matter. If it did not, it may be reviewed and possibly set aside under legality review.</w:t>
      </w:r>
      <w:r>
        <w:rPr>
          <w:rFonts w:ascii="Century Gothic" w:hAnsi="Century Gothic"/>
          <w:i/>
          <w:iCs/>
          <w:lang w:val="en-US"/>
        </w:rPr>
        <w:t>”</w:t>
      </w:r>
    </w:p>
    <w:p w14:paraId="1CA7EC33" w14:textId="77777777" w:rsidR="005263E1" w:rsidRPr="005263E1" w:rsidRDefault="005263E1" w:rsidP="007A21F7">
      <w:pPr>
        <w:pStyle w:val="ListParagraph"/>
        <w:ind w:left="1276" w:hanging="1276"/>
        <w:jc w:val="both"/>
        <w:rPr>
          <w:rFonts w:ascii="Century Gothic" w:hAnsi="Century Gothic"/>
          <w:lang w:val="en-US"/>
        </w:rPr>
      </w:pPr>
    </w:p>
    <w:p w14:paraId="7A1CB80D" w14:textId="40E4DD03" w:rsidR="00A83DDA"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c)</w:t>
      </w:r>
      <w:r>
        <w:rPr>
          <w:rFonts w:ascii="Century Gothic" w:hAnsi="Century Gothic"/>
          <w:lang w:val="en-US"/>
        </w:rPr>
        <w:tab/>
      </w:r>
      <w:r w:rsidR="005263E1" w:rsidRPr="0092586A">
        <w:rPr>
          <w:rFonts w:ascii="Century Gothic" w:hAnsi="Century Gothic"/>
          <w:lang w:val="en-US"/>
        </w:rPr>
        <w:t xml:space="preserve">In applying this principle, </w:t>
      </w:r>
      <w:r w:rsidR="00012BA6" w:rsidRPr="0092586A">
        <w:rPr>
          <w:rFonts w:ascii="Century Gothic" w:hAnsi="Century Gothic"/>
          <w:lang w:val="en-US"/>
        </w:rPr>
        <w:t xml:space="preserve">which has also come to be known as the Gijima-principle, </w:t>
      </w:r>
      <w:r w:rsidR="005263E1" w:rsidRPr="0092586A">
        <w:rPr>
          <w:rFonts w:ascii="Century Gothic" w:hAnsi="Century Gothic"/>
          <w:lang w:val="en-US"/>
        </w:rPr>
        <w:t xml:space="preserve">it </w:t>
      </w:r>
      <w:r w:rsidR="00012BA6" w:rsidRPr="0092586A">
        <w:rPr>
          <w:rFonts w:ascii="Century Gothic" w:hAnsi="Century Gothic"/>
          <w:lang w:val="en-US"/>
        </w:rPr>
        <w:t>is not necessary</w:t>
      </w:r>
      <w:r w:rsidR="005263E1" w:rsidRPr="0092586A">
        <w:rPr>
          <w:rFonts w:ascii="Century Gothic" w:hAnsi="Century Gothic"/>
          <w:lang w:val="en-US"/>
        </w:rPr>
        <w:t xml:space="preserve"> to </w:t>
      </w:r>
      <w:r w:rsidR="00012BA6" w:rsidRPr="0092586A">
        <w:rPr>
          <w:rFonts w:ascii="Century Gothic" w:hAnsi="Century Gothic"/>
          <w:lang w:val="en-US"/>
        </w:rPr>
        <w:t xml:space="preserve">finely </w:t>
      </w:r>
      <w:r w:rsidR="005263E1" w:rsidRPr="0092586A">
        <w:rPr>
          <w:rFonts w:ascii="Century Gothic" w:hAnsi="Century Gothic"/>
          <w:lang w:val="en-US"/>
        </w:rPr>
        <w:t xml:space="preserve">distinguish between exercises of public power not conforming with express prescripts in </w:t>
      </w:r>
      <w:r w:rsidR="005263E1" w:rsidRPr="0092586A">
        <w:rPr>
          <w:rFonts w:ascii="Century Gothic" w:hAnsi="Century Gothic"/>
          <w:lang w:val="en-US"/>
        </w:rPr>
        <w:lastRenderedPageBreak/>
        <w:t xml:space="preserve">the Constitution </w:t>
      </w:r>
      <w:r w:rsidR="00012BA6" w:rsidRPr="0092586A">
        <w:rPr>
          <w:rFonts w:ascii="Century Gothic" w:hAnsi="Century Gothic"/>
          <w:lang w:val="en-US"/>
        </w:rPr>
        <w:t>itself</w:t>
      </w:r>
      <w:r w:rsidR="005263E1" w:rsidRPr="0092586A">
        <w:rPr>
          <w:rFonts w:ascii="Century Gothic" w:hAnsi="Century Gothic"/>
          <w:lang w:val="en-US"/>
        </w:rPr>
        <w:t xml:space="preserve">, </w:t>
      </w:r>
      <w:r w:rsidR="00012BA6" w:rsidRPr="0092586A">
        <w:rPr>
          <w:rFonts w:ascii="Century Gothic" w:hAnsi="Century Gothic"/>
          <w:lang w:val="en-US"/>
        </w:rPr>
        <w:t xml:space="preserve">on the one hand, </w:t>
      </w:r>
      <w:r w:rsidR="00D96546" w:rsidRPr="0092586A">
        <w:rPr>
          <w:rFonts w:ascii="Century Gothic" w:hAnsi="Century Gothic"/>
          <w:lang w:val="en-US"/>
        </w:rPr>
        <w:t>or with prescripts of any other law</w:t>
      </w:r>
      <w:r w:rsidR="00012BA6" w:rsidRPr="0092586A">
        <w:rPr>
          <w:rFonts w:ascii="Century Gothic" w:hAnsi="Century Gothic"/>
          <w:lang w:val="en-US"/>
        </w:rPr>
        <w:t>, on the other</w:t>
      </w:r>
      <w:r w:rsidR="00D96546" w:rsidRPr="0092586A">
        <w:rPr>
          <w:rFonts w:ascii="Century Gothic" w:hAnsi="Century Gothic"/>
          <w:lang w:val="en-US"/>
        </w:rPr>
        <w:t xml:space="preserve">.  As stated by Navsa ADP in </w:t>
      </w:r>
      <w:r w:rsidR="00A83DDA" w:rsidRPr="0092586A">
        <w:rPr>
          <w:rFonts w:ascii="Century Gothic" w:hAnsi="Century Gothic"/>
          <w:u w:val="single"/>
          <w:lang w:val="en-US"/>
        </w:rPr>
        <w:t>NICS</w:t>
      </w:r>
      <w:r w:rsidR="00A83DDA" w:rsidRPr="0092586A">
        <w:rPr>
          <w:rFonts w:ascii="Century Gothic" w:hAnsi="Century Gothic"/>
          <w:lang w:val="en-US"/>
        </w:rPr>
        <w:t>,</w:t>
      </w:r>
      <w:r w:rsidR="00A83DDA">
        <w:rPr>
          <w:rStyle w:val="FootnoteReference"/>
          <w:rFonts w:ascii="Century Gothic" w:hAnsi="Century Gothic"/>
          <w:lang w:val="en-US"/>
        </w:rPr>
        <w:footnoteReference w:id="4"/>
      </w:r>
      <w:r w:rsidR="00D96546" w:rsidRPr="0092586A">
        <w:rPr>
          <w:rFonts w:ascii="Century Gothic" w:hAnsi="Century Gothic"/>
          <w:lang w:val="en-US"/>
        </w:rPr>
        <w:t xml:space="preserve"> </w:t>
      </w:r>
    </w:p>
    <w:p w14:paraId="01A73207" w14:textId="77777777" w:rsidR="00A83DDA" w:rsidRDefault="00A83DDA" w:rsidP="007A21F7">
      <w:pPr>
        <w:pStyle w:val="ListParagraph"/>
        <w:spacing w:after="480" w:line="480" w:lineRule="auto"/>
        <w:ind w:left="1276" w:hanging="1276"/>
        <w:jc w:val="both"/>
        <w:rPr>
          <w:rFonts w:ascii="Century Gothic" w:hAnsi="Century Gothic"/>
          <w:lang w:val="en-US"/>
        </w:rPr>
      </w:pPr>
    </w:p>
    <w:p w14:paraId="5348A95A" w14:textId="56B000CF" w:rsidR="00473337" w:rsidRDefault="00A83DDA" w:rsidP="008F3080">
      <w:pPr>
        <w:pStyle w:val="ListParagraph"/>
        <w:spacing w:after="480" w:line="480" w:lineRule="auto"/>
        <w:ind w:left="1843"/>
        <w:jc w:val="both"/>
        <w:rPr>
          <w:rFonts w:ascii="Century Gothic" w:hAnsi="Century Gothic"/>
          <w:lang w:val="en-US"/>
        </w:rPr>
      </w:pPr>
      <w:r>
        <w:rPr>
          <w:rFonts w:ascii="Century Gothic" w:hAnsi="Century Gothic"/>
          <w:lang w:val="en-US"/>
        </w:rPr>
        <w:t>“</w:t>
      </w:r>
      <w:r w:rsidRPr="00A83DDA">
        <w:rPr>
          <w:rFonts w:ascii="Century Gothic" w:hAnsi="Century Gothic"/>
          <w:i/>
          <w:iCs/>
          <w:lang w:val="en-US"/>
        </w:rPr>
        <w:t xml:space="preserve">There is no merit to the surprising submission on behalf of the  GMM that the present case is one that is simply a legality challenge without constitutional overtones. The complete answer </w:t>
      </w:r>
      <w:r w:rsidR="00F6541A" w:rsidRPr="00A83DDA">
        <w:rPr>
          <w:rFonts w:ascii="Century Gothic" w:hAnsi="Century Gothic"/>
          <w:i/>
          <w:iCs/>
          <w:lang w:val="en-US"/>
        </w:rPr>
        <w:t>is to</w:t>
      </w:r>
      <w:r w:rsidRPr="00A83DDA">
        <w:rPr>
          <w:rFonts w:ascii="Century Gothic" w:hAnsi="Century Gothic"/>
          <w:i/>
          <w:iCs/>
          <w:lang w:val="en-US"/>
        </w:rPr>
        <w:t xml:space="preserve"> be found in Asla. I can do no better than to quote the relevant passages:  'There is a clear basis for jurisdiction as the matter concerns s 217 of the Constitution. It deals with procurement by an organ </w:t>
      </w:r>
      <w:r w:rsidR="00F6541A" w:rsidRPr="00A83DDA">
        <w:rPr>
          <w:rFonts w:ascii="Century Gothic" w:hAnsi="Century Gothic"/>
          <w:i/>
          <w:iCs/>
          <w:lang w:val="en-US"/>
        </w:rPr>
        <w:t>of state</w:t>
      </w:r>
      <w:r w:rsidRPr="00A83DDA">
        <w:rPr>
          <w:rFonts w:ascii="Century Gothic" w:hAnsi="Century Gothic"/>
          <w:i/>
          <w:iCs/>
          <w:lang w:val="en-US"/>
        </w:rPr>
        <w:t xml:space="preserve">, judicial review of a decision by an organ of state and the question of a just and equitable remedy in terms of s 172(1)(b) of </w:t>
      </w:r>
      <w:r w:rsidR="00F6541A" w:rsidRPr="00A83DDA">
        <w:rPr>
          <w:rFonts w:ascii="Century Gothic" w:hAnsi="Century Gothic"/>
          <w:i/>
          <w:iCs/>
          <w:lang w:val="en-US"/>
        </w:rPr>
        <w:t>the Constitution</w:t>
      </w:r>
      <w:r w:rsidRPr="00A83DDA">
        <w:rPr>
          <w:rFonts w:ascii="Century Gothic" w:hAnsi="Century Gothic"/>
          <w:i/>
          <w:iCs/>
          <w:lang w:val="en-US"/>
        </w:rPr>
        <w:t xml:space="preserve">. Lawful procurement is patently a constitutional issue.  In this court, the Municipality relies on a legality review. By its nature, legality review raises a constitutional question. It is </w:t>
      </w:r>
      <w:r w:rsidR="00F6541A" w:rsidRPr="00A83DDA">
        <w:rPr>
          <w:rFonts w:ascii="Century Gothic" w:hAnsi="Century Gothic"/>
          <w:i/>
          <w:iCs/>
          <w:lang w:val="en-US"/>
        </w:rPr>
        <w:t>founded upon</w:t>
      </w:r>
      <w:r w:rsidRPr="00A83DDA">
        <w:rPr>
          <w:rFonts w:ascii="Century Gothic" w:hAnsi="Century Gothic"/>
          <w:i/>
          <w:iCs/>
          <w:lang w:val="en-US"/>
        </w:rPr>
        <w:t xml:space="preserve"> the rule of law, which is a founding value of our Constitution.' </w:t>
      </w:r>
      <w:r>
        <w:rPr>
          <w:rFonts w:ascii="Century Gothic" w:hAnsi="Century Gothic"/>
          <w:lang w:val="en-US"/>
        </w:rPr>
        <w:t>“</w:t>
      </w:r>
    </w:p>
    <w:p w14:paraId="4EE8F242" w14:textId="77777777" w:rsidR="00473337" w:rsidRPr="00473337" w:rsidRDefault="00473337" w:rsidP="008F3080">
      <w:pPr>
        <w:pStyle w:val="ListParagraph"/>
        <w:spacing w:after="480" w:line="480" w:lineRule="auto"/>
        <w:ind w:left="1843" w:hanging="1843"/>
        <w:jc w:val="both"/>
        <w:rPr>
          <w:rFonts w:ascii="Century Gothic" w:hAnsi="Century Gothic"/>
          <w:lang w:val="en-US"/>
        </w:rPr>
      </w:pPr>
    </w:p>
    <w:p w14:paraId="77126A31" w14:textId="78D09B57" w:rsidR="006D4091"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d)</w:t>
      </w:r>
      <w:r>
        <w:rPr>
          <w:rFonts w:ascii="Century Gothic" w:hAnsi="Century Gothic"/>
          <w:lang w:val="en-US"/>
        </w:rPr>
        <w:tab/>
      </w:r>
      <w:r w:rsidR="000A5A38" w:rsidRPr="0092586A">
        <w:rPr>
          <w:rFonts w:ascii="Century Gothic" w:hAnsi="Century Gothic"/>
          <w:lang w:val="en-US"/>
        </w:rPr>
        <w:t xml:space="preserve">In this case, the applicant mainly relies on the fact that the Director General, who </w:t>
      </w:r>
      <w:r w:rsidR="00580C3C" w:rsidRPr="0092586A">
        <w:rPr>
          <w:rFonts w:ascii="Century Gothic" w:hAnsi="Century Gothic"/>
          <w:lang w:val="en-US"/>
        </w:rPr>
        <w:t>was</w:t>
      </w:r>
      <w:r w:rsidR="000A5A38" w:rsidRPr="0092586A">
        <w:rPr>
          <w:rFonts w:ascii="Century Gothic" w:hAnsi="Century Gothic"/>
          <w:lang w:val="en-US"/>
        </w:rPr>
        <w:t xml:space="preserve"> also the designated ‘accounting authority’ for the UIF,</w:t>
      </w:r>
      <w:r w:rsidR="000A5A38">
        <w:rPr>
          <w:rStyle w:val="FootnoteReference"/>
          <w:rFonts w:ascii="Century Gothic" w:hAnsi="Century Gothic"/>
          <w:lang w:val="en-US"/>
        </w:rPr>
        <w:footnoteReference w:id="5"/>
      </w:r>
      <w:r w:rsidR="000A5A38" w:rsidRPr="0092586A">
        <w:rPr>
          <w:rFonts w:ascii="Century Gothic" w:hAnsi="Century Gothic"/>
          <w:lang w:val="en-US"/>
        </w:rPr>
        <w:t xml:space="preserve"> had not complied with section 54(2) of the Public Finances </w:t>
      </w:r>
      <w:r w:rsidR="000A5A38" w:rsidRPr="0092586A">
        <w:rPr>
          <w:rFonts w:ascii="Century Gothic" w:hAnsi="Century Gothic"/>
          <w:lang w:val="en-US"/>
        </w:rPr>
        <w:lastRenderedPageBreak/>
        <w:t>Management Act,</w:t>
      </w:r>
      <w:r w:rsidR="006D4091" w:rsidRPr="0092586A">
        <w:rPr>
          <w:rFonts w:ascii="Century Gothic" w:hAnsi="Century Gothic"/>
          <w:lang w:val="en-US"/>
        </w:rPr>
        <w:t xml:space="preserve"> 1999</w:t>
      </w:r>
      <w:r w:rsidR="00580C3C" w:rsidRPr="0092586A">
        <w:rPr>
          <w:rFonts w:ascii="Century Gothic" w:hAnsi="Century Gothic"/>
          <w:lang w:val="en-US"/>
        </w:rPr>
        <w:t xml:space="preserve"> before concluding the contract</w:t>
      </w:r>
      <w:r w:rsidR="006D4091" w:rsidRPr="0092586A">
        <w:rPr>
          <w:rFonts w:ascii="Century Gothic" w:hAnsi="Century Gothic"/>
          <w:lang w:val="en-US"/>
        </w:rPr>
        <w:t>.  That section provides:</w:t>
      </w:r>
    </w:p>
    <w:p w14:paraId="6075AB5A" w14:textId="504B6728" w:rsidR="006D4091" w:rsidRDefault="006D4091" w:rsidP="008F3080">
      <w:pPr>
        <w:spacing w:after="480" w:line="480" w:lineRule="auto"/>
        <w:ind w:left="1843" w:hanging="567"/>
        <w:jc w:val="both"/>
        <w:rPr>
          <w:rFonts w:ascii="Century Gothic" w:hAnsi="Century Gothic"/>
          <w:i/>
          <w:iCs/>
          <w:lang w:val="en-US"/>
        </w:rPr>
      </w:pPr>
      <w:r w:rsidRPr="006D4091">
        <w:rPr>
          <w:rFonts w:ascii="Century Gothic" w:hAnsi="Century Gothic"/>
          <w:i/>
          <w:iCs/>
          <w:lang w:val="en-US"/>
        </w:rPr>
        <w:t xml:space="preserve">“(2) Before a public entity concludes any of the following transactions, the accounting authority for the public entity must promptly and in writing inform the relevant treasury of the transaction and submit relevant particulars of the transaction to its executive authority for approval of the transaction:  </w:t>
      </w:r>
    </w:p>
    <w:p w14:paraId="07332AEC" w14:textId="7ACD8648" w:rsidR="006D4091" w:rsidRDefault="006D4091" w:rsidP="008F3080">
      <w:pPr>
        <w:spacing w:after="480" w:line="480" w:lineRule="auto"/>
        <w:ind w:left="2410" w:hanging="567"/>
        <w:jc w:val="both"/>
        <w:rPr>
          <w:rFonts w:ascii="Century Gothic" w:hAnsi="Century Gothic"/>
          <w:i/>
          <w:iCs/>
          <w:lang w:val="en-US"/>
        </w:rPr>
      </w:pPr>
      <w:r w:rsidRPr="006D4091">
        <w:rPr>
          <w:rFonts w:ascii="Century Gothic" w:hAnsi="Century Gothic"/>
          <w:i/>
          <w:iCs/>
          <w:lang w:val="en-US"/>
        </w:rPr>
        <w:t xml:space="preserve">(a) </w:t>
      </w:r>
      <w:r w:rsidR="008F3080">
        <w:rPr>
          <w:rFonts w:ascii="Century Gothic" w:hAnsi="Century Gothic"/>
          <w:i/>
          <w:iCs/>
          <w:lang w:val="en-US"/>
        </w:rPr>
        <w:tab/>
      </w:r>
      <w:r w:rsidRPr="006D4091">
        <w:rPr>
          <w:rFonts w:ascii="Century Gothic" w:hAnsi="Century Gothic"/>
          <w:i/>
          <w:iCs/>
          <w:lang w:val="en-US"/>
        </w:rPr>
        <w:t>establishment or participation in the establishment of a company;</w:t>
      </w:r>
    </w:p>
    <w:p w14:paraId="543169D6" w14:textId="77777777" w:rsidR="006D4091" w:rsidRDefault="006D4091" w:rsidP="008F3080">
      <w:pPr>
        <w:spacing w:after="480" w:line="480" w:lineRule="auto"/>
        <w:ind w:left="2410" w:hanging="567"/>
        <w:jc w:val="both"/>
        <w:rPr>
          <w:rFonts w:ascii="Century Gothic" w:hAnsi="Century Gothic"/>
          <w:i/>
          <w:iCs/>
          <w:lang w:val="en-US"/>
        </w:rPr>
      </w:pPr>
      <w:r w:rsidRPr="006D4091">
        <w:rPr>
          <w:rFonts w:ascii="Century Gothic" w:hAnsi="Century Gothic"/>
          <w:i/>
          <w:iCs/>
          <w:lang w:val="en-US"/>
        </w:rPr>
        <w:t>(b) participation in a significant partnership, trust, unincorporated joint venture or similar arrangement;</w:t>
      </w:r>
    </w:p>
    <w:p w14:paraId="118E071A" w14:textId="39A581CD" w:rsidR="006D4091" w:rsidRDefault="006D4091" w:rsidP="008F3080">
      <w:pPr>
        <w:spacing w:after="480" w:line="480" w:lineRule="auto"/>
        <w:ind w:left="2410" w:hanging="567"/>
        <w:jc w:val="both"/>
        <w:rPr>
          <w:rFonts w:ascii="Century Gothic" w:hAnsi="Century Gothic"/>
          <w:i/>
          <w:iCs/>
          <w:lang w:val="en-US"/>
        </w:rPr>
      </w:pPr>
      <w:r w:rsidRPr="006D4091">
        <w:rPr>
          <w:rFonts w:ascii="Century Gothic" w:hAnsi="Century Gothic"/>
          <w:i/>
          <w:iCs/>
          <w:lang w:val="en-US"/>
        </w:rPr>
        <w:t xml:space="preserve"> (c) </w:t>
      </w:r>
      <w:r w:rsidR="008F3080">
        <w:rPr>
          <w:rFonts w:ascii="Century Gothic" w:hAnsi="Century Gothic"/>
          <w:i/>
          <w:iCs/>
          <w:lang w:val="en-US"/>
        </w:rPr>
        <w:tab/>
      </w:r>
      <w:r w:rsidRPr="006D4091">
        <w:rPr>
          <w:rFonts w:ascii="Century Gothic" w:hAnsi="Century Gothic"/>
          <w:i/>
          <w:iCs/>
          <w:lang w:val="en-US"/>
        </w:rPr>
        <w:t xml:space="preserve">acquisition or disposal of a significant shareholding in a company; </w:t>
      </w:r>
    </w:p>
    <w:p w14:paraId="0A5CD736" w14:textId="1D7162E0" w:rsidR="006D4091" w:rsidRPr="006D4091" w:rsidRDefault="006D4091" w:rsidP="008F3080">
      <w:pPr>
        <w:spacing w:after="480" w:line="480" w:lineRule="auto"/>
        <w:ind w:left="2410" w:hanging="567"/>
        <w:jc w:val="both"/>
        <w:rPr>
          <w:rFonts w:ascii="Century Gothic" w:hAnsi="Century Gothic"/>
          <w:i/>
          <w:iCs/>
          <w:lang w:val="en-US"/>
        </w:rPr>
      </w:pPr>
      <w:r w:rsidRPr="006D4091">
        <w:rPr>
          <w:rFonts w:ascii="Century Gothic" w:hAnsi="Century Gothic"/>
          <w:i/>
          <w:iCs/>
          <w:lang w:val="en-US"/>
        </w:rPr>
        <w:t xml:space="preserve"> (d) </w:t>
      </w:r>
      <w:r w:rsidR="008F3080">
        <w:rPr>
          <w:rFonts w:ascii="Century Gothic" w:hAnsi="Century Gothic"/>
          <w:i/>
          <w:iCs/>
          <w:lang w:val="en-US"/>
        </w:rPr>
        <w:tab/>
      </w:r>
      <w:r w:rsidRPr="006D4091">
        <w:rPr>
          <w:rFonts w:ascii="Century Gothic" w:hAnsi="Century Gothic"/>
          <w:i/>
          <w:iCs/>
          <w:lang w:val="en-US"/>
        </w:rPr>
        <w:t xml:space="preserve">acquisition or disposal of a significant asset;  </w:t>
      </w:r>
    </w:p>
    <w:p w14:paraId="1F2EEF15" w14:textId="21EAF734" w:rsidR="006D4091" w:rsidRDefault="006D4091" w:rsidP="008F3080">
      <w:pPr>
        <w:pStyle w:val="ListParagraph"/>
        <w:spacing w:after="480" w:line="480" w:lineRule="auto"/>
        <w:ind w:left="2410" w:hanging="567"/>
        <w:jc w:val="both"/>
        <w:rPr>
          <w:rFonts w:ascii="Century Gothic" w:hAnsi="Century Gothic"/>
          <w:i/>
          <w:iCs/>
          <w:lang w:val="en-US"/>
        </w:rPr>
      </w:pPr>
      <w:r w:rsidRPr="006D4091">
        <w:rPr>
          <w:rFonts w:ascii="Century Gothic" w:hAnsi="Century Gothic"/>
          <w:i/>
          <w:iCs/>
          <w:lang w:val="en-US"/>
        </w:rPr>
        <w:t xml:space="preserve">(e) </w:t>
      </w:r>
      <w:r w:rsidR="008F3080">
        <w:rPr>
          <w:rFonts w:ascii="Century Gothic" w:hAnsi="Century Gothic"/>
          <w:i/>
          <w:iCs/>
          <w:lang w:val="en-US"/>
        </w:rPr>
        <w:tab/>
      </w:r>
      <w:r w:rsidRPr="006D4091">
        <w:rPr>
          <w:rFonts w:ascii="Century Gothic" w:hAnsi="Century Gothic"/>
          <w:i/>
          <w:iCs/>
          <w:lang w:val="en-US"/>
        </w:rPr>
        <w:t xml:space="preserve">commencement or cessation of a significant business activity; and  </w:t>
      </w:r>
    </w:p>
    <w:p w14:paraId="1084A2DE" w14:textId="77777777" w:rsidR="006D4091" w:rsidRDefault="006D4091" w:rsidP="008F3080">
      <w:pPr>
        <w:pStyle w:val="ListParagraph"/>
        <w:spacing w:after="480" w:line="480" w:lineRule="auto"/>
        <w:ind w:left="2410" w:hanging="567"/>
        <w:jc w:val="both"/>
        <w:rPr>
          <w:rFonts w:ascii="Century Gothic" w:hAnsi="Century Gothic"/>
          <w:i/>
          <w:iCs/>
          <w:lang w:val="en-US"/>
        </w:rPr>
      </w:pPr>
    </w:p>
    <w:p w14:paraId="35E822FD" w14:textId="05FA1180" w:rsidR="006D4091" w:rsidRDefault="006D4091" w:rsidP="008F3080">
      <w:pPr>
        <w:pStyle w:val="ListParagraph"/>
        <w:spacing w:after="480" w:line="480" w:lineRule="auto"/>
        <w:ind w:left="2410" w:hanging="567"/>
        <w:jc w:val="both"/>
        <w:rPr>
          <w:rFonts w:ascii="Century Gothic" w:hAnsi="Century Gothic"/>
          <w:i/>
          <w:iCs/>
          <w:lang w:val="en-US"/>
        </w:rPr>
      </w:pPr>
      <w:r w:rsidRPr="006D4091">
        <w:rPr>
          <w:rFonts w:ascii="Century Gothic" w:hAnsi="Century Gothic"/>
          <w:i/>
          <w:iCs/>
          <w:lang w:val="en-US"/>
        </w:rPr>
        <w:lastRenderedPageBreak/>
        <w:t xml:space="preserve">(f) </w:t>
      </w:r>
      <w:r w:rsidR="008F3080">
        <w:rPr>
          <w:rFonts w:ascii="Century Gothic" w:hAnsi="Century Gothic"/>
          <w:i/>
          <w:iCs/>
          <w:lang w:val="en-US"/>
        </w:rPr>
        <w:tab/>
      </w:r>
      <w:r w:rsidRPr="006D4091">
        <w:rPr>
          <w:rFonts w:ascii="Century Gothic" w:hAnsi="Century Gothic"/>
          <w:i/>
          <w:iCs/>
          <w:lang w:val="en-US"/>
        </w:rPr>
        <w:t xml:space="preserve">a significant change in the nature or extent of its interest in a significant partnership, trust, unincorporated </w:t>
      </w:r>
      <w:r w:rsidR="00F6541A" w:rsidRPr="006D4091">
        <w:rPr>
          <w:rFonts w:ascii="Century Gothic" w:hAnsi="Century Gothic"/>
          <w:i/>
          <w:iCs/>
          <w:lang w:val="en-US"/>
        </w:rPr>
        <w:t>joint venture</w:t>
      </w:r>
      <w:r w:rsidRPr="006D4091">
        <w:rPr>
          <w:rFonts w:ascii="Century Gothic" w:hAnsi="Century Gothic"/>
          <w:i/>
          <w:iCs/>
          <w:lang w:val="en-US"/>
        </w:rPr>
        <w:t xml:space="preserve"> or similar arrangement.</w:t>
      </w:r>
      <w:r>
        <w:rPr>
          <w:rFonts w:ascii="Century Gothic" w:hAnsi="Century Gothic"/>
          <w:i/>
          <w:iCs/>
          <w:lang w:val="en-US"/>
        </w:rPr>
        <w:t>”</w:t>
      </w:r>
    </w:p>
    <w:p w14:paraId="0A7B89BA" w14:textId="717BD004" w:rsidR="006D4091" w:rsidRPr="006D4091" w:rsidRDefault="006D4091" w:rsidP="007A21F7">
      <w:pPr>
        <w:pStyle w:val="ListParagraph"/>
        <w:spacing w:after="480" w:line="480" w:lineRule="auto"/>
        <w:ind w:left="1276" w:hanging="1276"/>
        <w:jc w:val="both"/>
        <w:rPr>
          <w:rFonts w:ascii="Century Gothic" w:hAnsi="Century Gothic"/>
          <w:i/>
          <w:iCs/>
          <w:lang w:val="en-US"/>
        </w:rPr>
      </w:pPr>
      <w:r w:rsidRPr="006D4091">
        <w:rPr>
          <w:rFonts w:ascii="Century Gothic" w:hAnsi="Century Gothic"/>
          <w:i/>
          <w:iCs/>
          <w:lang w:val="en-US"/>
        </w:rPr>
        <w:t xml:space="preserve">  </w:t>
      </w:r>
    </w:p>
    <w:p w14:paraId="767A97A0" w14:textId="5279AA21" w:rsidR="006D4091"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e)</w:t>
      </w:r>
      <w:r>
        <w:rPr>
          <w:rFonts w:ascii="Century Gothic" w:hAnsi="Century Gothic"/>
          <w:lang w:val="en-US"/>
        </w:rPr>
        <w:tab/>
      </w:r>
      <w:r w:rsidR="006D4091" w:rsidRPr="0092586A">
        <w:rPr>
          <w:rFonts w:ascii="Century Gothic" w:hAnsi="Century Gothic"/>
          <w:lang w:val="en-US"/>
        </w:rPr>
        <w:t xml:space="preserve">The relevant treasury </w:t>
      </w:r>
      <w:r w:rsidR="008F3080" w:rsidRPr="0092586A">
        <w:rPr>
          <w:rFonts w:ascii="Century Gothic" w:hAnsi="Century Gothic"/>
          <w:lang w:val="en-US"/>
        </w:rPr>
        <w:t>in this case</w:t>
      </w:r>
      <w:r w:rsidR="006D4091" w:rsidRPr="0092586A">
        <w:rPr>
          <w:rFonts w:ascii="Century Gothic" w:hAnsi="Century Gothic"/>
          <w:lang w:val="en-US"/>
        </w:rPr>
        <w:t xml:space="preserve"> is the </w:t>
      </w:r>
      <w:r w:rsidR="00580C3C" w:rsidRPr="0092586A">
        <w:rPr>
          <w:rFonts w:ascii="Century Gothic" w:hAnsi="Century Gothic"/>
          <w:lang w:val="en-US"/>
        </w:rPr>
        <w:t>N</w:t>
      </w:r>
      <w:r w:rsidR="006D4091" w:rsidRPr="0092586A">
        <w:rPr>
          <w:rFonts w:ascii="Century Gothic" w:hAnsi="Century Gothic"/>
          <w:lang w:val="en-US"/>
        </w:rPr>
        <w:t xml:space="preserve">ational </w:t>
      </w:r>
      <w:r w:rsidR="00580C3C" w:rsidRPr="0092586A">
        <w:rPr>
          <w:rFonts w:ascii="Century Gothic" w:hAnsi="Century Gothic"/>
          <w:lang w:val="en-US"/>
        </w:rPr>
        <w:t>T</w:t>
      </w:r>
      <w:r w:rsidR="006D4091" w:rsidRPr="0092586A">
        <w:rPr>
          <w:rFonts w:ascii="Century Gothic" w:hAnsi="Century Gothic"/>
          <w:lang w:val="en-US"/>
        </w:rPr>
        <w:t>reasury (seventh respondent).  The “</w:t>
      </w:r>
      <w:r w:rsidR="006D4091" w:rsidRPr="0092586A">
        <w:rPr>
          <w:rFonts w:ascii="Century Gothic" w:hAnsi="Century Gothic"/>
          <w:i/>
          <w:iCs/>
          <w:lang w:val="en-US"/>
        </w:rPr>
        <w:t xml:space="preserve">executive authority” </w:t>
      </w:r>
      <w:r w:rsidR="006D4091" w:rsidRPr="0092586A">
        <w:rPr>
          <w:rFonts w:ascii="Century Gothic" w:hAnsi="Century Gothic"/>
          <w:lang w:val="en-US"/>
        </w:rPr>
        <w:t xml:space="preserve">mentioned </w:t>
      </w:r>
      <w:r w:rsidR="008F3080" w:rsidRPr="0092586A">
        <w:rPr>
          <w:rFonts w:ascii="Century Gothic" w:hAnsi="Century Gothic"/>
          <w:lang w:val="en-US"/>
        </w:rPr>
        <w:t xml:space="preserve">in section 54(2) </w:t>
      </w:r>
      <w:r w:rsidR="006D4091" w:rsidRPr="0092586A">
        <w:rPr>
          <w:rFonts w:ascii="Century Gothic" w:hAnsi="Century Gothic"/>
          <w:lang w:val="en-US"/>
        </w:rPr>
        <w:t>is of course the applicant himself.</w:t>
      </w:r>
      <w:r w:rsidR="001F4F3D">
        <w:rPr>
          <w:rStyle w:val="FootnoteReference"/>
          <w:rFonts w:ascii="Century Gothic" w:hAnsi="Century Gothic"/>
          <w:lang w:val="en-US"/>
        </w:rPr>
        <w:footnoteReference w:id="6"/>
      </w:r>
    </w:p>
    <w:p w14:paraId="236B9FC4" w14:textId="77777777" w:rsidR="006D4091" w:rsidRDefault="006D4091" w:rsidP="007A21F7">
      <w:pPr>
        <w:pStyle w:val="ListParagraph"/>
        <w:spacing w:after="480" w:line="480" w:lineRule="auto"/>
        <w:ind w:left="1276" w:hanging="1276"/>
        <w:jc w:val="both"/>
        <w:rPr>
          <w:rFonts w:ascii="Century Gothic" w:hAnsi="Century Gothic"/>
          <w:lang w:val="en-US"/>
        </w:rPr>
      </w:pPr>
    </w:p>
    <w:p w14:paraId="5D5098F2" w14:textId="076CC0F0" w:rsidR="001F4F3D"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f)</w:t>
      </w:r>
      <w:r>
        <w:rPr>
          <w:rFonts w:ascii="Century Gothic" w:hAnsi="Century Gothic"/>
          <w:lang w:val="en-US"/>
        </w:rPr>
        <w:tab/>
      </w:r>
      <w:r w:rsidR="006D4091" w:rsidRPr="0092586A">
        <w:rPr>
          <w:rFonts w:ascii="Century Gothic" w:hAnsi="Century Gothic"/>
          <w:lang w:val="en-US"/>
        </w:rPr>
        <w:t>The applicant contends that</w:t>
      </w:r>
      <w:r w:rsidR="001F4F3D" w:rsidRPr="0092586A">
        <w:rPr>
          <w:rFonts w:ascii="Century Gothic" w:hAnsi="Century Gothic"/>
          <w:lang w:val="en-US"/>
        </w:rPr>
        <w:t>, at least</w:t>
      </w:r>
      <w:r w:rsidR="00580C3C" w:rsidRPr="0092586A">
        <w:rPr>
          <w:rFonts w:ascii="Century Gothic" w:hAnsi="Century Gothic"/>
          <w:lang w:val="en-US"/>
        </w:rPr>
        <w:t>,</w:t>
      </w:r>
      <w:r w:rsidR="001F4F3D" w:rsidRPr="0092586A">
        <w:rPr>
          <w:rFonts w:ascii="Century Gothic" w:hAnsi="Century Gothic"/>
          <w:lang w:val="en-US"/>
        </w:rPr>
        <w:t xml:space="preserve"> the </w:t>
      </w:r>
      <w:r w:rsidR="001F4F3D" w:rsidRPr="0092586A">
        <w:rPr>
          <w:rFonts w:ascii="Century Gothic" w:hAnsi="Century Gothic"/>
          <w:i/>
          <w:iCs/>
          <w:lang w:val="en-US"/>
        </w:rPr>
        <w:t>“equity investment”</w:t>
      </w:r>
      <w:r w:rsidR="001F4F3D" w:rsidRPr="0092586A">
        <w:rPr>
          <w:rFonts w:ascii="Century Gothic" w:hAnsi="Century Gothic"/>
          <w:lang w:val="en-US"/>
        </w:rPr>
        <w:t xml:space="preserve">- component in the contract would </w:t>
      </w:r>
      <w:r w:rsidR="008F3080" w:rsidRPr="0092586A">
        <w:rPr>
          <w:rFonts w:ascii="Century Gothic" w:hAnsi="Century Gothic"/>
          <w:lang w:val="en-US"/>
        </w:rPr>
        <w:t xml:space="preserve">fall </w:t>
      </w:r>
      <w:r w:rsidR="001F4F3D" w:rsidRPr="0092586A">
        <w:rPr>
          <w:rFonts w:ascii="Century Gothic" w:hAnsi="Century Gothic"/>
          <w:lang w:val="en-US"/>
        </w:rPr>
        <w:t>within the ambit of one or more of the transactions mentioned un</w:t>
      </w:r>
      <w:r w:rsidR="00580C3C" w:rsidRPr="0092586A">
        <w:rPr>
          <w:rFonts w:ascii="Century Gothic" w:hAnsi="Century Gothic"/>
          <w:lang w:val="en-US"/>
        </w:rPr>
        <w:t>d</w:t>
      </w:r>
      <w:r w:rsidR="001F4F3D" w:rsidRPr="0092586A">
        <w:rPr>
          <w:rFonts w:ascii="Century Gothic" w:hAnsi="Century Gothic"/>
          <w:lang w:val="en-US"/>
        </w:rPr>
        <w:t xml:space="preserve">er section 54(2) of the PFMA.  This is obviously </w:t>
      </w:r>
      <w:r w:rsidR="00F6541A" w:rsidRPr="0092586A">
        <w:rPr>
          <w:rFonts w:ascii="Century Gothic" w:hAnsi="Century Gothic"/>
          <w:lang w:val="en-US"/>
        </w:rPr>
        <w:t>correct,</w:t>
      </w:r>
      <w:r w:rsidR="001F4F3D" w:rsidRPr="0092586A">
        <w:rPr>
          <w:rFonts w:ascii="Century Gothic" w:hAnsi="Century Gothic"/>
          <w:lang w:val="en-US"/>
        </w:rPr>
        <w:t xml:space="preserve"> and I find so.</w:t>
      </w:r>
    </w:p>
    <w:p w14:paraId="78086363" w14:textId="77777777" w:rsidR="001F4F3D" w:rsidRPr="001F4F3D" w:rsidRDefault="001F4F3D" w:rsidP="007A21F7">
      <w:pPr>
        <w:pStyle w:val="ListParagraph"/>
        <w:ind w:left="1276" w:hanging="1276"/>
        <w:jc w:val="both"/>
        <w:rPr>
          <w:rFonts w:ascii="Century Gothic" w:hAnsi="Century Gothic"/>
          <w:lang w:val="en-US"/>
        </w:rPr>
      </w:pPr>
    </w:p>
    <w:p w14:paraId="5C01DABD" w14:textId="51A66A67" w:rsidR="00774C2E"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g)</w:t>
      </w:r>
      <w:r>
        <w:rPr>
          <w:rFonts w:ascii="Century Gothic" w:hAnsi="Century Gothic"/>
          <w:lang w:val="en-US"/>
        </w:rPr>
        <w:tab/>
      </w:r>
      <w:r w:rsidR="001F4F3D" w:rsidRPr="0092586A">
        <w:rPr>
          <w:rFonts w:ascii="Century Gothic" w:hAnsi="Century Gothic"/>
          <w:lang w:val="en-US"/>
        </w:rPr>
        <w:t>It is</w:t>
      </w:r>
      <w:r w:rsidR="00774C2E" w:rsidRPr="0092586A">
        <w:rPr>
          <w:rFonts w:ascii="Century Gothic" w:hAnsi="Century Gothic"/>
          <w:lang w:val="en-US"/>
        </w:rPr>
        <w:t xml:space="preserve"> undisputed, if not</w:t>
      </w:r>
      <w:r w:rsidR="001F4F3D" w:rsidRPr="0092586A">
        <w:rPr>
          <w:rFonts w:ascii="Century Gothic" w:hAnsi="Century Gothic"/>
          <w:lang w:val="en-US"/>
        </w:rPr>
        <w:t xml:space="preserve"> common cause</w:t>
      </w:r>
      <w:r w:rsidR="00774C2E" w:rsidRPr="0092586A">
        <w:rPr>
          <w:rFonts w:ascii="Century Gothic" w:hAnsi="Century Gothic"/>
          <w:lang w:val="en-US"/>
        </w:rPr>
        <w:t>,</w:t>
      </w:r>
      <w:r w:rsidR="001F4F3D" w:rsidRPr="0092586A">
        <w:rPr>
          <w:rFonts w:ascii="Century Gothic" w:hAnsi="Century Gothic"/>
          <w:lang w:val="en-US"/>
        </w:rPr>
        <w:t xml:space="preserve"> that the </w:t>
      </w:r>
      <w:r w:rsidR="00012BA6" w:rsidRPr="0092586A">
        <w:rPr>
          <w:rFonts w:ascii="Century Gothic" w:hAnsi="Century Gothic"/>
          <w:lang w:val="en-US"/>
        </w:rPr>
        <w:t xml:space="preserve">erstwhile </w:t>
      </w:r>
      <w:r w:rsidR="001F4F3D" w:rsidRPr="0092586A">
        <w:rPr>
          <w:rFonts w:ascii="Century Gothic" w:hAnsi="Century Gothic"/>
          <w:lang w:val="en-US"/>
        </w:rPr>
        <w:t xml:space="preserve">Director General </w:t>
      </w:r>
      <w:r w:rsidR="00774C2E" w:rsidRPr="0092586A">
        <w:rPr>
          <w:rFonts w:ascii="Century Gothic" w:hAnsi="Century Gothic"/>
          <w:lang w:val="en-US"/>
        </w:rPr>
        <w:t>had not</w:t>
      </w:r>
      <w:r w:rsidR="001F4F3D" w:rsidRPr="0092586A">
        <w:rPr>
          <w:rFonts w:ascii="Century Gothic" w:hAnsi="Century Gothic"/>
          <w:lang w:val="en-US"/>
        </w:rPr>
        <w:t xml:space="preserve"> complied with section 54(2) of the PFMA before signing the contract.  (He</w:t>
      </w:r>
      <w:r w:rsidR="00774C2E" w:rsidRPr="0092586A">
        <w:rPr>
          <w:rFonts w:ascii="Century Gothic" w:hAnsi="Century Gothic"/>
          <w:lang w:val="en-US"/>
        </w:rPr>
        <w:t xml:space="preserve"> had not</w:t>
      </w:r>
      <w:r w:rsidR="001F4F3D" w:rsidRPr="0092586A">
        <w:rPr>
          <w:rFonts w:ascii="Century Gothic" w:hAnsi="Century Gothic"/>
          <w:lang w:val="en-US"/>
        </w:rPr>
        <w:t xml:space="preserve"> inform</w:t>
      </w:r>
      <w:r w:rsidR="00774C2E" w:rsidRPr="0092586A">
        <w:rPr>
          <w:rFonts w:ascii="Century Gothic" w:hAnsi="Century Gothic"/>
          <w:lang w:val="en-US"/>
        </w:rPr>
        <w:t>ed</w:t>
      </w:r>
      <w:r w:rsidR="001F4F3D" w:rsidRPr="0092586A">
        <w:rPr>
          <w:rFonts w:ascii="Century Gothic" w:hAnsi="Century Gothic"/>
          <w:lang w:val="en-US"/>
        </w:rPr>
        <w:t xml:space="preserve"> National Tre</w:t>
      </w:r>
      <w:r w:rsidR="008F3080" w:rsidRPr="0092586A">
        <w:rPr>
          <w:rFonts w:ascii="Century Gothic" w:hAnsi="Century Gothic"/>
          <w:lang w:val="en-US"/>
        </w:rPr>
        <w:t>a</w:t>
      </w:r>
      <w:r w:rsidR="001F4F3D" w:rsidRPr="0092586A">
        <w:rPr>
          <w:rFonts w:ascii="Century Gothic" w:hAnsi="Century Gothic"/>
          <w:lang w:val="en-US"/>
        </w:rPr>
        <w:t>sury</w:t>
      </w:r>
      <w:r w:rsidR="00774C2E" w:rsidRPr="0092586A">
        <w:rPr>
          <w:rFonts w:ascii="Century Gothic" w:hAnsi="Century Gothic"/>
          <w:lang w:val="en-US"/>
        </w:rPr>
        <w:t>, nor had he submitted any particulars of the transaction to the applicant, before signing the contract</w:t>
      </w:r>
      <w:r w:rsidR="00580C3C" w:rsidRPr="0092586A">
        <w:rPr>
          <w:rFonts w:ascii="Century Gothic" w:hAnsi="Century Gothic"/>
          <w:lang w:val="en-US"/>
        </w:rPr>
        <w:t>)</w:t>
      </w:r>
      <w:r w:rsidR="00774C2E" w:rsidRPr="0092586A">
        <w:rPr>
          <w:rFonts w:ascii="Century Gothic" w:hAnsi="Century Gothic"/>
          <w:lang w:val="en-US"/>
        </w:rPr>
        <w:t>.</w:t>
      </w:r>
      <w:r w:rsidR="001F4F3D" w:rsidRPr="0092586A">
        <w:rPr>
          <w:rFonts w:ascii="Century Gothic" w:hAnsi="Century Gothic"/>
          <w:lang w:val="en-US"/>
        </w:rPr>
        <w:t xml:space="preserve">   </w:t>
      </w:r>
      <w:r w:rsidR="006D4091" w:rsidRPr="0092586A">
        <w:rPr>
          <w:rFonts w:ascii="Century Gothic" w:hAnsi="Century Gothic"/>
          <w:lang w:val="en-US"/>
        </w:rPr>
        <w:t xml:space="preserve"> </w:t>
      </w:r>
    </w:p>
    <w:p w14:paraId="2A984EEC" w14:textId="77777777" w:rsidR="00774C2E" w:rsidRPr="00774C2E" w:rsidRDefault="00774C2E" w:rsidP="007A21F7">
      <w:pPr>
        <w:pStyle w:val="ListParagraph"/>
        <w:ind w:left="1276" w:hanging="1276"/>
        <w:jc w:val="both"/>
        <w:rPr>
          <w:rFonts w:ascii="Century Gothic" w:hAnsi="Century Gothic"/>
          <w:lang w:val="en-US"/>
        </w:rPr>
      </w:pPr>
    </w:p>
    <w:p w14:paraId="710D6994" w14:textId="59926B03" w:rsidR="00774C2E"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h)</w:t>
      </w:r>
      <w:r>
        <w:rPr>
          <w:rFonts w:ascii="Century Gothic" w:hAnsi="Century Gothic"/>
          <w:lang w:val="en-US"/>
        </w:rPr>
        <w:tab/>
      </w:r>
      <w:r w:rsidR="00580C3C" w:rsidRPr="0092586A">
        <w:rPr>
          <w:rFonts w:ascii="Century Gothic" w:hAnsi="Century Gothic"/>
          <w:lang w:val="en-US"/>
        </w:rPr>
        <w:t xml:space="preserve">But it is much worse.  The evidence presented by the applicant proves that the </w:t>
      </w:r>
      <w:r w:rsidR="00012BA6" w:rsidRPr="0092586A">
        <w:rPr>
          <w:rFonts w:ascii="Century Gothic" w:hAnsi="Century Gothic"/>
          <w:lang w:val="en-US"/>
        </w:rPr>
        <w:t xml:space="preserve">erstwhile </w:t>
      </w:r>
      <w:r w:rsidR="00580C3C" w:rsidRPr="0092586A">
        <w:rPr>
          <w:rFonts w:ascii="Century Gothic" w:hAnsi="Century Gothic"/>
          <w:lang w:val="en-US"/>
        </w:rPr>
        <w:t xml:space="preserve">Director General had not </w:t>
      </w:r>
      <w:r w:rsidR="0099459F" w:rsidRPr="0092586A">
        <w:rPr>
          <w:rFonts w:ascii="Century Gothic" w:hAnsi="Century Gothic"/>
          <w:lang w:val="en-US"/>
        </w:rPr>
        <w:t xml:space="preserve">simply failed to comply with section 54(2) of the PFMA.  He had actually refused to comply, even after his attention had been drawn to that section </w:t>
      </w:r>
      <w:r w:rsidR="0099459F" w:rsidRPr="0092586A">
        <w:rPr>
          <w:rFonts w:ascii="Century Gothic" w:hAnsi="Century Gothic"/>
          <w:lang w:val="en-US"/>
        </w:rPr>
        <w:lastRenderedPageBreak/>
        <w:t>and he had been advised not to conclude the contract before complying with that section – by the Chief Director: Legal Services of the Department</w:t>
      </w:r>
      <w:r w:rsidR="00D73067" w:rsidRPr="0092586A">
        <w:rPr>
          <w:rFonts w:ascii="Century Gothic" w:hAnsi="Century Gothic"/>
          <w:lang w:val="en-US"/>
        </w:rPr>
        <w:t>, one V Singh.</w:t>
      </w:r>
    </w:p>
    <w:p w14:paraId="32533085" w14:textId="77777777" w:rsidR="00D73067" w:rsidRPr="00D73067" w:rsidRDefault="00D73067" w:rsidP="007A21F7">
      <w:pPr>
        <w:pStyle w:val="ListParagraph"/>
        <w:ind w:left="1276" w:hanging="1276"/>
        <w:jc w:val="both"/>
        <w:rPr>
          <w:rFonts w:ascii="Century Gothic" w:hAnsi="Century Gothic"/>
          <w:lang w:val="en-US"/>
        </w:rPr>
      </w:pPr>
    </w:p>
    <w:p w14:paraId="51D6A3B5" w14:textId="52125728" w:rsidR="00D73067"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i)</w:t>
      </w:r>
      <w:r>
        <w:rPr>
          <w:rFonts w:ascii="Century Gothic" w:hAnsi="Century Gothic"/>
          <w:lang w:val="en-US"/>
        </w:rPr>
        <w:tab/>
      </w:r>
      <w:r w:rsidR="00D73067" w:rsidRPr="0092586A">
        <w:rPr>
          <w:rFonts w:ascii="Century Gothic" w:hAnsi="Century Gothic"/>
          <w:lang w:val="en-US"/>
        </w:rPr>
        <w:t xml:space="preserve">The advice of V Singh raised a number of other grounds why the contract should </w:t>
      </w:r>
      <w:r w:rsidR="008F3080" w:rsidRPr="0092586A">
        <w:rPr>
          <w:rFonts w:ascii="Century Gothic" w:hAnsi="Century Gothic"/>
          <w:lang w:val="en-US"/>
        </w:rPr>
        <w:t xml:space="preserve">perhaps </w:t>
      </w:r>
      <w:r w:rsidR="00D73067" w:rsidRPr="0092586A">
        <w:rPr>
          <w:rFonts w:ascii="Century Gothic" w:hAnsi="Century Gothic"/>
          <w:lang w:val="en-US"/>
        </w:rPr>
        <w:t>not be concluded, including that -in terms of section 7(1) of the UI Act, the UIF may only do investments through the Pu</w:t>
      </w:r>
      <w:r w:rsidR="008F3080" w:rsidRPr="0092586A">
        <w:rPr>
          <w:rFonts w:ascii="Century Gothic" w:hAnsi="Century Gothic"/>
          <w:lang w:val="en-US"/>
        </w:rPr>
        <w:t>b</w:t>
      </w:r>
      <w:r w:rsidR="00D73067" w:rsidRPr="0092586A">
        <w:rPr>
          <w:rFonts w:ascii="Century Gothic" w:hAnsi="Century Gothic"/>
          <w:lang w:val="en-US"/>
        </w:rPr>
        <w:t xml:space="preserve">lic Investment Corporation; </w:t>
      </w:r>
      <w:r w:rsidR="00A16409" w:rsidRPr="0092586A">
        <w:rPr>
          <w:rFonts w:ascii="Century Gothic" w:hAnsi="Century Gothic"/>
          <w:lang w:val="en-US"/>
        </w:rPr>
        <w:t xml:space="preserve">Treasury Instruction 12 of 2020/2021 – in terms of which surplus funds must be surrendered; </w:t>
      </w:r>
      <w:r w:rsidR="008F3080" w:rsidRPr="0092586A">
        <w:rPr>
          <w:rFonts w:ascii="Century Gothic" w:hAnsi="Century Gothic"/>
          <w:lang w:val="en-US"/>
        </w:rPr>
        <w:t xml:space="preserve">and that </w:t>
      </w:r>
      <w:r w:rsidR="00A16409" w:rsidRPr="0092586A">
        <w:rPr>
          <w:rFonts w:ascii="Century Gothic" w:hAnsi="Century Gothic"/>
          <w:lang w:val="en-US"/>
        </w:rPr>
        <w:t>the Thuja scheme may to an extent not fall within the investment mandate of the UIF.</w:t>
      </w:r>
    </w:p>
    <w:p w14:paraId="1BCB60EB" w14:textId="77777777" w:rsidR="00D73067" w:rsidRPr="00D73067" w:rsidRDefault="00D73067" w:rsidP="007A21F7">
      <w:pPr>
        <w:pStyle w:val="ListParagraph"/>
        <w:ind w:left="1276" w:hanging="1276"/>
        <w:jc w:val="both"/>
        <w:rPr>
          <w:rFonts w:ascii="Century Gothic" w:hAnsi="Century Gothic"/>
          <w:lang w:val="en-US"/>
        </w:rPr>
      </w:pPr>
    </w:p>
    <w:p w14:paraId="5ACCB6F6" w14:textId="335C4948" w:rsidR="008F3080"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j)</w:t>
      </w:r>
      <w:r>
        <w:rPr>
          <w:rFonts w:ascii="Century Gothic" w:hAnsi="Century Gothic"/>
          <w:lang w:val="en-US"/>
        </w:rPr>
        <w:tab/>
      </w:r>
      <w:r w:rsidR="00D73067" w:rsidRPr="0092586A">
        <w:rPr>
          <w:rFonts w:ascii="Century Gothic" w:hAnsi="Century Gothic"/>
          <w:lang w:val="en-US"/>
        </w:rPr>
        <w:t xml:space="preserve">The Director-General dismissed the advice from V Singh, apparently on the basis of advice </w:t>
      </w:r>
      <w:r w:rsidR="00F6541A" w:rsidRPr="0092586A">
        <w:rPr>
          <w:rFonts w:ascii="Century Gothic" w:hAnsi="Century Gothic"/>
          <w:lang w:val="en-US"/>
        </w:rPr>
        <w:t>from Thuja (Mr Mdwaba)</w:t>
      </w:r>
      <w:r w:rsidR="00D73067" w:rsidRPr="0092586A">
        <w:rPr>
          <w:rFonts w:ascii="Century Gothic" w:hAnsi="Century Gothic"/>
          <w:lang w:val="en-US"/>
        </w:rPr>
        <w:t xml:space="preserve"> to the effect that the transaction falls within section 5(d) of the Unemployment Insurance Act, 2001.</w:t>
      </w:r>
      <w:r w:rsidR="00A16409" w:rsidRPr="0092586A">
        <w:rPr>
          <w:rFonts w:ascii="Century Gothic" w:hAnsi="Century Gothic"/>
          <w:lang w:val="en-US"/>
        </w:rPr>
        <w:t xml:space="preserve">  This was after the Memorandum of V Singh had been made available to Thuja.  (See par 105 of the Founding Affidavit, although the document supposed to be annexure MEM30 is missing from the papers).</w:t>
      </w:r>
    </w:p>
    <w:p w14:paraId="7A93ECE1" w14:textId="77777777" w:rsidR="008F3080" w:rsidRPr="008F3080" w:rsidRDefault="008F3080" w:rsidP="008F3080">
      <w:pPr>
        <w:pStyle w:val="ListParagraph"/>
        <w:rPr>
          <w:rFonts w:ascii="Century Gothic" w:hAnsi="Century Gothic"/>
          <w:lang w:val="en-US"/>
        </w:rPr>
      </w:pPr>
    </w:p>
    <w:p w14:paraId="53E5E415" w14:textId="508B01B7" w:rsidR="00E67761" w:rsidRPr="0092586A" w:rsidRDefault="0092586A" w:rsidP="0092586A">
      <w:pPr>
        <w:spacing w:after="480" w:line="480" w:lineRule="auto"/>
        <w:ind w:left="1276" w:hanging="1276"/>
        <w:jc w:val="both"/>
        <w:rPr>
          <w:rFonts w:ascii="Century Gothic" w:hAnsi="Century Gothic"/>
          <w:lang w:val="en-US"/>
        </w:rPr>
      </w:pPr>
      <w:r w:rsidRPr="00E67761">
        <w:rPr>
          <w:rFonts w:ascii="Century Gothic" w:hAnsi="Century Gothic"/>
          <w:lang w:val="en-US"/>
        </w:rPr>
        <w:t>k)</w:t>
      </w:r>
      <w:r w:rsidRPr="00E67761">
        <w:rPr>
          <w:rFonts w:ascii="Century Gothic" w:hAnsi="Century Gothic"/>
          <w:lang w:val="en-US"/>
        </w:rPr>
        <w:tab/>
      </w:r>
      <w:r w:rsidR="00E67761" w:rsidRPr="0092586A">
        <w:rPr>
          <w:rFonts w:ascii="Century Gothic" w:hAnsi="Century Gothic"/>
          <w:lang w:val="en-US"/>
        </w:rPr>
        <w:t xml:space="preserve">I fail to see how section 5(d) of the UI Act – even if the contract fell withing the ambit thereof – would displace the requirements of section 54(2) of the PFMA.  </w:t>
      </w:r>
      <w:r w:rsidR="008F3080" w:rsidRPr="0092586A">
        <w:rPr>
          <w:rFonts w:ascii="Century Gothic" w:hAnsi="Century Gothic"/>
          <w:lang w:val="en-US"/>
        </w:rPr>
        <w:t>Section 5</w:t>
      </w:r>
      <w:r w:rsidR="00012BA6" w:rsidRPr="0092586A">
        <w:rPr>
          <w:rFonts w:ascii="Century Gothic" w:hAnsi="Century Gothic"/>
          <w:lang w:val="en-US"/>
        </w:rPr>
        <w:t xml:space="preserve"> - </w:t>
      </w:r>
      <w:r w:rsidR="008F3080" w:rsidRPr="0092586A">
        <w:rPr>
          <w:rFonts w:ascii="Century Gothic" w:hAnsi="Century Gothic"/>
          <w:lang w:val="en-US"/>
        </w:rPr>
        <w:t>including 5(d)</w:t>
      </w:r>
      <w:r w:rsidR="00012BA6" w:rsidRPr="0092586A">
        <w:rPr>
          <w:rFonts w:ascii="Century Gothic" w:hAnsi="Century Gothic"/>
          <w:lang w:val="en-US"/>
        </w:rPr>
        <w:t xml:space="preserve"> -</w:t>
      </w:r>
      <w:r w:rsidR="008F3080" w:rsidRPr="0092586A">
        <w:rPr>
          <w:rFonts w:ascii="Century Gothic" w:hAnsi="Century Gothic"/>
          <w:lang w:val="en-US"/>
        </w:rPr>
        <w:t xml:space="preserve"> of the UI Act defines the scope of business that the UIF may do</w:t>
      </w:r>
      <w:r w:rsidR="000416E5" w:rsidRPr="0092586A">
        <w:rPr>
          <w:rFonts w:ascii="Century Gothic" w:hAnsi="Century Gothic"/>
          <w:lang w:val="en-US"/>
        </w:rPr>
        <w:t>, not the manner</w:t>
      </w:r>
      <w:r w:rsidR="00012BA6" w:rsidRPr="0092586A">
        <w:rPr>
          <w:rFonts w:ascii="Century Gothic" w:hAnsi="Century Gothic"/>
          <w:lang w:val="en-US"/>
        </w:rPr>
        <w:t xml:space="preserve"> in which specific transactions should be executed</w:t>
      </w:r>
      <w:r w:rsidR="008F3080" w:rsidRPr="0092586A">
        <w:rPr>
          <w:rFonts w:ascii="Century Gothic" w:hAnsi="Century Gothic"/>
          <w:lang w:val="en-US"/>
        </w:rPr>
        <w:t xml:space="preserve">.  Section 54(2) </w:t>
      </w:r>
      <w:r w:rsidR="00012BA6" w:rsidRPr="0092586A">
        <w:rPr>
          <w:rFonts w:ascii="Century Gothic" w:hAnsi="Century Gothic"/>
          <w:lang w:val="en-US"/>
        </w:rPr>
        <w:t xml:space="preserve">of </w:t>
      </w:r>
      <w:r w:rsidR="00012BA6" w:rsidRPr="0092586A">
        <w:rPr>
          <w:rFonts w:ascii="Century Gothic" w:hAnsi="Century Gothic"/>
          <w:lang w:val="en-US"/>
        </w:rPr>
        <w:lastRenderedPageBreak/>
        <w:t xml:space="preserve">the PFMA </w:t>
      </w:r>
      <w:r w:rsidR="000416E5" w:rsidRPr="0092586A">
        <w:rPr>
          <w:rFonts w:ascii="Century Gothic" w:hAnsi="Century Gothic"/>
          <w:lang w:val="en-US"/>
        </w:rPr>
        <w:t>provides the procedure</w:t>
      </w:r>
      <w:r w:rsidR="00012BA6" w:rsidRPr="0092586A">
        <w:rPr>
          <w:rFonts w:ascii="Century Gothic" w:hAnsi="Century Gothic"/>
          <w:lang w:val="en-US"/>
        </w:rPr>
        <w:t>,</w:t>
      </w:r>
      <w:r w:rsidR="000416E5" w:rsidRPr="0092586A">
        <w:rPr>
          <w:rFonts w:ascii="Century Gothic" w:hAnsi="Century Gothic"/>
          <w:lang w:val="en-US"/>
        </w:rPr>
        <w:t xml:space="preserve"> and identifies the approving authority</w:t>
      </w:r>
      <w:r w:rsidR="00012BA6" w:rsidRPr="0092586A">
        <w:rPr>
          <w:rFonts w:ascii="Century Gothic" w:hAnsi="Century Gothic"/>
          <w:lang w:val="en-US"/>
        </w:rPr>
        <w:t>,</w:t>
      </w:r>
      <w:r w:rsidR="000416E5" w:rsidRPr="0092586A">
        <w:rPr>
          <w:rFonts w:ascii="Century Gothic" w:hAnsi="Century Gothic"/>
          <w:lang w:val="en-US"/>
        </w:rPr>
        <w:t xml:space="preserve"> in the case of certain transactions. The respective two statutes do not cover the same subject matter.</w:t>
      </w:r>
    </w:p>
    <w:p w14:paraId="218A4145" w14:textId="77777777" w:rsidR="00A16409" w:rsidRPr="00A16409" w:rsidRDefault="00A16409" w:rsidP="007A21F7">
      <w:pPr>
        <w:pStyle w:val="ListParagraph"/>
        <w:ind w:left="1276" w:hanging="1276"/>
        <w:jc w:val="both"/>
        <w:rPr>
          <w:rFonts w:ascii="Century Gothic" w:hAnsi="Century Gothic"/>
          <w:lang w:val="en-US"/>
        </w:rPr>
      </w:pPr>
    </w:p>
    <w:p w14:paraId="05D39866" w14:textId="711FE232" w:rsidR="00A16409"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l)</w:t>
      </w:r>
      <w:r>
        <w:rPr>
          <w:rFonts w:ascii="Century Gothic" w:hAnsi="Century Gothic"/>
          <w:lang w:val="en-US"/>
        </w:rPr>
        <w:tab/>
      </w:r>
      <w:r w:rsidR="00E67761" w:rsidRPr="0092586A">
        <w:rPr>
          <w:rFonts w:ascii="Century Gothic" w:hAnsi="Century Gothic"/>
          <w:lang w:val="en-US"/>
        </w:rPr>
        <w:t>Be that as it may, a</w:t>
      </w:r>
      <w:r w:rsidR="00A16409" w:rsidRPr="0092586A">
        <w:rPr>
          <w:rFonts w:ascii="Century Gothic" w:hAnsi="Century Gothic"/>
          <w:lang w:val="en-US"/>
        </w:rPr>
        <w:t>ll of this followed after the basic Thuja Proposal had already been declined by the Labour Activation Program Adju</w:t>
      </w:r>
      <w:r w:rsidR="001D5630" w:rsidRPr="0092586A">
        <w:rPr>
          <w:rFonts w:ascii="Century Gothic" w:hAnsi="Century Gothic"/>
          <w:lang w:val="en-US"/>
        </w:rPr>
        <w:t>dic</w:t>
      </w:r>
      <w:r w:rsidR="00A16409" w:rsidRPr="0092586A">
        <w:rPr>
          <w:rFonts w:ascii="Century Gothic" w:hAnsi="Century Gothic"/>
          <w:lang w:val="en-US"/>
        </w:rPr>
        <w:t>ation Committe</w:t>
      </w:r>
      <w:r w:rsidR="001D5630" w:rsidRPr="0092586A">
        <w:rPr>
          <w:rFonts w:ascii="Century Gothic" w:hAnsi="Century Gothic"/>
          <w:lang w:val="en-US"/>
        </w:rPr>
        <w:t xml:space="preserve">e (LNAC) in May 2022, but the Director-General nevertheless approved it subject to a due diligence investigation being done, which had </w:t>
      </w:r>
      <w:r w:rsidR="00E67761" w:rsidRPr="0092586A">
        <w:rPr>
          <w:rFonts w:ascii="Century Gothic" w:hAnsi="Century Gothic"/>
          <w:lang w:val="en-US"/>
        </w:rPr>
        <w:t xml:space="preserve">in any event </w:t>
      </w:r>
      <w:r w:rsidR="001D5630" w:rsidRPr="0092586A">
        <w:rPr>
          <w:rFonts w:ascii="Century Gothic" w:hAnsi="Century Gothic"/>
          <w:lang w:val="en-US"/>
        </w:rPr>
        <w:t>not been done by the time he signed the contract.</w:t>
      </w:r>
      <w:r w:rsidR="00E67761" w:rsidRPr="0092586A">
        <w:rPr>
          <w:rFonts w:ascii="Century Gothic" w:hAnsi="Century Gothic"/>
          <w:lang w:val="en-US"/>
        </w:rPr>
        <w:t xml:space="preserve">  In other words, he flouted the condition imposed by himself</w:t>
      </w:r>
      <w:r w:rsidR="00012BA6" w:rsidRPr="0092586A">
        <w:rPr>
          <w:rFonts w:ascii="Century Gothic" w:hAnsi="Century Gothic"/>
          <w:lang w:val="en-US"/>
        </w:rPr>
        <w:t xml:space="preserve"> when </w:t>
      </w:r>
      <w:r w:rsidR="00F6541A" w:rsidRPr="0092586A">
        <w:rPr>
          <w:rFonts w:ascii="Century Gothic" w:hAnsi="Century Gothic"/>
          <w:lang w:val="en-US"/>
        </w:rPr>
        <w:t>approving</w:t>
      </w:r>
      <w:r w:rsidR="00012BA6" w:rsidRPr="0092586A">
        <w:rPr>
          <w:rFonts w:ascii="Century Gothic" w:hAnsi="Century Gothic"/>
          <w:lang w:val="en-US"/>
        </w:rPr>
        <w:t xml:space="preserve"> the proposal – against the recommendation of LNAC</w:t>
      </w:r>
      <w:r w:rsidR="00E67761" w:rsidRPr="0092586A">
        <w:rPr>
          <w:rFonts w:ascii="Century Gothic" w:hAnsi="Century Gothic"/>
          <w:lang w:val="en-US"/>
        </w:rPr>
        <w:t>.</w:t>
      </w:r>
    </w:p>
    <w:p w14:paraId="55A7032D" w14:textId="77777777" w:rsidR="001D5630" w:rsidRPr="001D5630" w:rsidRDefault="001D5630" w:rsidP="007A21F7">
      <w:pPr>
        <w:pStyle w:val="ListParagraph"/>
        <w:ind w:left="1276" w:hanging="1276"/>
        <w:jc w:val="both"/>
        <w:rPr>
          <w:rFonts w:ascii="Century Gothic" w:hAnsi="Century Gothic"/>
          <w:lang w:val="en-US"/>
        </w:rPr>
      </w:pPr>
    </w:p>
    <w:p w14:paraId="1410700B" w14:textId="4DBA5EC4" w:rsidR="001D5630" w:rsidRPr="0092586A" w:rsidRDefault="0092586A" w:rsidP="0092586A">
      <w:pPr>
        <w:spacing w:after="480" w:line="480" w:lineRule="auto"/>
        <w:ind w:left="1276" w:hanging="1276"/>
        <w:jc w:val="both"/>
        <w:rPr>
          <w:rFonts w:ascii="Century Gothic" w:hAnsi="Century Gothic"/>
          <w:i/>
          <w:iCs/>
          <w:lang w:val="en-US"/>
        </w:rPr>
      </w:pPr>
      <w:r w:rsidRPr="00AE00C0">
        <w:rPr>
          <w:rFonts w:ascii="Century Gothic" w:hAnsi="Century Gothic"/>
          <w:i/>
          <w:iCs/>
          <w:lang w:val="en-US"/>
        </w:rPr>
        <w:t>m)</w:t>
      </w:r>
      <w:r w:rsidRPr="00AE00C0">
        <w:rPr>
          <w:rFonts w:ascii="Century Gothic" w:hAnsi="Century Gothic"/>
          <w:i/>
          <w:iCs/>
          <w:lang w:val="en-US"/>
        </w:rPr>
        <w:tab/>
      </w:r>
      <w:r w:rsidR="001D5630" w:rsidRPr="0092586A">
        <w:rPr>
          <w:rFonts w:ascii="Century Gothic" w:hAnsi="Century Gothic"/>
          <w:lang w:val="en-US"/>
        </w:rPr>
        <w:t xml:space="preserve">To top it all, the Director General had apparently not only bypassed the applicant in the process of concluding the contract, but he also bypassed the Unemployment Insurance Board, appointed in terms of Chapter 6 of the UI Act.  In terms of section 48(1)(a)(iv) it is the duty of that Board to advise the Minister (applicant) on, </w:t>
      </w:r>
      <w:r w:rsidR="001D5630" w:rsidRPr="0092586A">
        <w:rPr>
          <w:rFonts w:ascii="Century Gothic" w:hAnsi="Century Gothic"/>
          <w:i/>
          <w:iCs/>
          <w:lang w:val="en-US"/>
        </w:rPr>
        <w:t>inter alia</w:t>
      </w:r>
      <w:r w:rsidR="001D5630" w:rsidRPr="0092586A">
        <w:rPr>
          <w:rFonts w:ascii="Century Gothic" w:hAnsi="Century Gothic"/>
          <w:lang w:val="en-US"/>
        </w:rPr>
        <w:t>, “…</w:t>
      </w:r>
      <w:r w:rsidR="00AE00C0" w:rsidRPr="0092586A">
        <w:rPr>
          <w:rFonts w:ascii="Century Gothic" w:hAnsi="Century Gothic"/>
          <w:i/>
          <w:iCs/>
          <w:lang w:val="en-US"/>
        </w:rPr>
        <w:t>the creation of schemes to alleviate the effects of unemployment…”</w:t>
      </w:r>
      <w:r w:rsidR="00AE00C0" w:rsidRPr="0092586A">
        <w:rPr>
          <w:rFonts w:ascii="Century Gothic" w:hAnsi="Century Gothic"/>
          <w:lang w:val="en-US"/>
        </w:rPr>
        <w:t>, which was also one of the objects of the Thuja scheme.</w:t>
      </w:r>
      <w:r w:rsidR="00E67761" w:rsidRPr="0092586A">
        <w:rPr>
          <w:rFonts w:ascii="Century Gothic" w:hAnsi="Century Gothic"/>
          <w:lang w:val="en-US"/>
        </w:rPr>
        <w:t xml:space="preserve">  </w:t>
      </w:r>
    </w:p>
    <w:p w14:paraId="401DB052" w14:textId="77777777" w:rsidR="00A16409" w:rsidRPr="00A16409" w:rsidRDefault="00A16409" w:rsidP="007A21F7">
      <w:pPr>
        <w:pStyle w:val="ListParagraph"/>
        <w:ind w:left="1276" w:hanging="1276"/>
        <w:jc w:val="both"/>
        <w:rPr>
          <w:rFonts w:ascii="Century Gothic" w:hAnsi="Century Gothic"/>
          <w:lang w:val="en-US"/>
        </w:rPr>
      </w:pPr>
    </w:p>
    <w:p w14:paraId="5D8F1033" w14:textId="1760D223" w:rsidR="000416E5"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n)</w:t>
      </w:r>
      <w:r>
        <w:rPr>
          <w:rFonts w:ascii="Century Gothic" w:hAnsi="Century Gothic"/>
          <w:lang w:val="en-US"/>
        </w:rPr>
        <w:tab/>
      </w:r>
      <w:r w:rsidR="00AE00C0" w:rsidRPr="0092586A">
        <w:rPr>
          <w:rFonts w:ascii="Century Gothic" w:hAnsi="Century Gothic"/>
          <w:lang w:val="en-US"/>
        </w:rPr>
        <w:t xml:space="preserve">In this context, section 217 of the Constitution, 1996, must not be </w:t>
      </w:r>
      <w:r w:rsidR="000416E5" w:rsidRPr="0092586A">
        <w:rPr>
          <w:rFonts w:ascii="Century Gothic" w:hAnsi="Century Gothic"/>
          <w:lang w:val="en-US"/>
        </w:rPr>
        <w:t>lost sight of.</w:t>
      </w:r>
      <w:r w:rsidR="00AE00C0" w:rsidRPr="0092586A">
        <w:rPr>
          <w:rFonts w:ascii="Century Gothic" w:hAnsi="Century Gothic"/>
          <w:lang w:val="en-US"/>
        </w:rPr>
        <w:t xml:space="preserve">  In terms of that section, whenever an organ of the state (which the UIF undoubtedly is) contracts for goods or services, it </w:t>
      </w:r>
      <w:r w:rsidR="00AE00C0" w:rsidRPr="0092586A">
        <w:rPr>
          <w:rFonts w:ascii="Century Gothic" w:hAnsi="Century Gothic"/>
          <w:lang w:val="en-US"/>
        </w:rPr>
        <w:lastRenderedPageBreak/>
        <w:t>must be done in accordance with a system which is fair, equitable, transparent, compe</w:t>
      </w:r>
      <w:r w:rsidR="00E67761" w:rsidRPr="0092586A">
        <w:rPr>
          <w:rFonts w:ascii="Century Gothic" w:hAnsi="Century Gothic"/>
          <w:lang w:val="en-US"/>
        </w:rPr>
        <w:t>t</w:t>
      </w:r>
      <w:r w:rsidR="00AE00C0" w:rsidRPr="0092586A">
        <w:rPr>
          <w:rFonts w:ascii="Century Gothic" w:hAnsi="Century Gothic"/>
          <w:lang w:val="en-US"/>
        </w:rPr>
        <w:t>itive and cost effective.</w:t>
      </w:r>
      <w:r w:rsidR="00E67761" w:rsidRPr="0092586A">
        <w:rPr>
          <w:rFonts w:ascii="Century Gothic" w:hAnsi="Century Gothic"/>
          <w:lang w:val="en-US"/>
        </w:rPr>
        <w:t xml:space="preserve">  </w:t>
      </w:r>
      <w:r w:rsidR="00AE00C0" w:rsidRPr="0092586A">
        <w:rPr>
          <w:rFonts w:ascii="Century Gothic" w:hAnsi="Century Gothic"/>
          <w:lang w:val="en-US"/>
        </w:rPr>
        <w:t>In this case, the Thuja Scheme</w:t>
      </w:r>
      <w:r w:rsidR="00012BA6" w:rsidRPr="0092586A">
        <w:rPr>
          <w:rFonts w:ascii="Century Gothic" w:hAnsi="Century Gothic"/>
          <w:lang w:val="en-US"/>
        </w:rPr>
        <w:t xml:space="preserve"> and contract</w:t>
      </w:r>
      <w:r w:rsidR="00AE00C0" w:rsidRPr="0092586A">
        <w:rPr>
          <w:rFonts w:ascii="Century Gothic" w:hAnsi="Century Gothic"/>
          <w:lang w:val="en-US"/>
        </w:rPr>
        <w:t xml:space="preserve"> amounted to </w:t>
      </w:r>
      <w:r w:rsidR="00012BA6" w:rsidRPr="0092586A">
        <w:rPr>
          <w:rFonts w:ascii="Century Gothic" w:hAnsi="Century Gothic"/>
          <w:lang w:val="en-US"/>
        </w:rPr>
        <w:t>the</w:t>
      </w:r>
      <w:r w:rsidR="00AE00C0" w:rsidRPr="0092586A">
        <w:rPr>
          <w:rFonts w:ascii="Century Gothic" w:hAnsi="Century Gothic"/>
          <w:lang w:val="en-US"/>
        </w:rPr>
        <w:t xml:space="preserve"> outsourcing of many of the functions of the Department of Employment and Labour (including of the UIF and of Productivity SA) and was therefore to a large extent a contract for services.</w:t>
      </w:r>
      <w:r w:rsidR="00E67761" w:rsidRPr="0092586A">
        <w:rPr>
          <w:rFonts w:ascii="Century Gothic" w:hAnsi="Century Gothic"/>
          <w:lang w:val="en-US"/>
        </w:rPr>
        <w:t xml:space="preserve">  There had been systems in place to ensure fairness, transparenc</w:t>
      </w:r>
      <w:r w:rsidR="000416E5" w:rsidRPr="0092586A">
        <w:rPr>
          <w:rFonts w:ascii="Century Gothic" w:hAnsi="Century Gothic"/>
          <w:lang w:val="en-US"/>
        </w:rPr>
        <w:t>y</w:t>
      </w:r>
      <w:r w:rsidR="00E67761" w:rsidRPr="0092586A">
        <w:rPr>
          <w:rFonts w:ascii="Century Gothic" w:hAnsi="Century Gothic"/>
          <w:lang w:val="en-US"/>
        </w:rPr>
        <w:t xml:space="preserve"> and cost-effectiveness, such as </w:t>
      </w:r>
      <w:r w:rsidR="000A4A42" w:rsidRPr="0092586A">
        <w:rPr>
          <w:rFonts w:ascii="Century Gothic" w:hAnsi="Century Gothic"/>
          <w:lang w:val="en-US"/>
        </w:rPr>
        <w:t xml:space="preserve">the PFMA itself – particularly section 54(2) thereof; </w:t>
      </w:r>
      <w:r w:rsidR="00E67761" w:rsidRPr="0092586A">
        <w:rPr>
          <w:rFonts w:ascii="Century Gothic" w:hAnsi="Century Gothic"/>
          <w:lang w:val="en-US"/>
        </w:rPr>
        <w:t xml:space="preserve">LNAC, </w:t>
      </w:r>
      <w:r w:rsidR="000416E5" w:rsidRPr="0092586A">
        <w:rPr>
          <w:rFonts w:ascii="Century Gothic" w:hAnsi="Century Gothic"/>
          <w:lang w:val="en-US"/>
        </w:rPr>
        <w:t xml:space="preserve">the </w:t>
      </w:r>
      <w:r w:rsidR="00E67761" w:rsidRPr="0092586A">
        <w:rPr>
          <w:rFonts w:ascii="Century Gothic" w:hAnsi="Century Gothic"/>
          <w:lang w:val="en-US"/>
        </w:rPr>
        <w:t>UI Board</w:t>
      </w:r>
      <w:r w:rsidR="00C01FC2" w:rsidRPr="0092586A">
        <w:rPr>
          <w:rFonts w:ascii="Century Gothic" w:hAnsi="Century Gothic"/>
          <w:lang w:val="en-US"/>
        </w:rPr>
        <w:t xml:space="preserve"> and </w:t>
      </w:r>
      <w:r w:rsidR="000A4A42" w:rsidRPr="0092586A">
        <w:rPr>
          <w:rFonts w:ascii="Century Gothic" w:hAnsi="Century Gothic"/>
          <w:lang w:val="en-US"/>
        </w:rPr>
        <w:t xml:space="preserve">even </w:t>
      </w:r>
      <w:r w:rsidR="00C01FC2" w:rsidRPr="0092586A">
        <w:rPr>
          <w:rFonts w:ascii="Century Gothic" w:hAnsi="Century Gothic"/>
          <w:lang w:val="en-US"/>
        </w:rPr>
        <w:t>the Director General’s own previous condition of a due diligence investigation,</w:t>
      </w:r>
      <w:r w:rsidR="00E67761" w:rsidRPr="0092586A">
        <w:rPr>
          <w:rFonts w:ascii="Century Gothic" w:hAnsi="Century Gothic"/>
          <w:lang w:val="en-US"/>
        </w:rPr>
        <w:t xml:space="preserve"> all of which </w:t>
      </w:r>
      <w:r w:rsidR="00C01FC2" w:rsidRPr="0092586A">
        <w:rPr>
          <w:rFonts w:ascii="Century Gothic" w:hAnsi="Century Gothic"/>
          <w:lang w:val="en-US"/>
        </w:rPr>
        <w:t>he</w:t>
      </w:r>
      <w:r w:rsidR="00E67761" w:rsidRPr="0092586A">
        <w:rPr>
          <w:rFonts w:ascii="Century Gothic" w:hAnsi="Century Gothic"/>
          <w:lang w:val="en-US"/>
        </w:rPr>
        <w:t xml:space="preserve"> flouted or at least ignored when he signed the contract.</w:t>
      </w:r>
    </w:p>
    <w:p w14:paraId="3151CA99" w14:textId="77777777" w:rsidR="000416E5" w:rsidRPr="000416E5" w:rsidRDefault="000416E5" w:rsidP="000416E5">
      <w:pPr>
        <w:pStyle w:val="ListParagraph"/>
        <w:rPr>
          <w:rFonts w:ascii="Century Gothic" w:hAnsi="Century Gothic"/>
          <w:lang w:val="en-US"/>
        </w:rPr>
      </w:pPr>
    </w:p>
    <w:p w14:paraId="3C76B6DB" w14:textId="7EB5D290" w:rsidR="000416E5" w:rsidRPr="0092586A" w:rsidRDefault="0092586A" w:rsidP="0092586A">
      <w:pPr>
        <w:spacing w:after="480" w:line="480" w:lineRule="auto"/>
        <w:ind w:left="1276" w:hanging="1276"/>
        <w:jc w:val="both"/>
        <w:rPr>
          <w:rFonts w:ascii="Century Gothic" w:hAnsi="Century Gothic"/>
          <w:lang w:val="en-US"/>
        </w:rPr>
      </w:pPr>
      <w:r w:rsidRPr="000416E5">
        <w:rPr>
          <w:rFonts w:ascii="Century Gothic" w:hAnsi="Century Gothic"/>
          <w:lang w:val="en-US"/>
        </w:rPr>
        <w:t>o)</w:t>
      </w:r>
      <w:r w:rsidRPr="000416E5">
        <w:rPr>
          <w:rFonts w:ascii="Century Gothic" w:hAnsi="Century Gothic"/>
          <w:lang w:val="en-US"/>
        </w:rPr>
        <w:tab/>
      </w:r>
      <w:r w:rsidR="000416E5" w:rsidRPr="0092586A">
        <w:rPr>
          <w:rFonts w:ascii="Century Gothic" w:hAnsi="Century Gothic"/>
          <w:lang w:val="en-US"/>
        </w:rPr>
        <w:t>The notion that the Thuja Proposal had been unsolicited changes nothing, because it is not the Thuja Proposal that is the target of the legality review.  It is the conclusion of the contract itself that is the target.</w:t>
      </w:r>
    </w:p>
    <w:p w14:paraId="575E3C28" w14:textId="77777777" w:rsidR="00E67761" w:rsidRPr="00E67761" w:rsidRDefault="00E67761" w:rsidP="007A21F7">
      <w:pPr>
        <w:pStyle w:val="ListParagraph"/>
        <w:ind w:left="1276" w:hanging="1276"/>
        <w:jc w:val="both"/>
        <w:rPr>
          <w:rFonts w:ascii="Century Gothic" w:hAnsi="Century Gothic"/>
          <w:lang w:val="en-US"/>
        </w:rPr>
      </w:pPr>
    </w:p>
    <w:p w14:paraId="6C8F7A93" w14:textId="5498A73C" w:rsidR="00E67761" w:rsidRPr="0092586A" w:rsidRDefault="0092586A" w:rsidP="0092586A">
      <w:pPr>
        <w:spacing w:after="480" w:line="480" w:lineRule="auto"/>
        <w:ind w:left="1276" w:hanging="1276"/>
        <w:jc w:val="both"/>
        <w:rPr>
          <w:rFonts w:ascii="Century Gothic" w:hAnsi="Century Gothic"/>
          <w:lang w:val="en-US"/>
        </w:rPr>
      </w:pPr>
      <w:r w:rsidRPr="00510612">
        <w:rPr>
          <w:rFonts w:ascii="Century Gothic" w:hAnsi="Century Gothic"/>
          <w:lang w:val="en-US"/>
        </w:rPr>
        <w:t>p)</w:t>
      </w:r>
      <w:r w:rsidRPr="00510612">
        <w:rPr>
          <w:rFonts w:ascii="Century Gothic" w:hAnsi="Century Gothic"/>
          <w:lang w:val="en-US"/>
        </w:rPr>
        <w:tab/>
      </w:r>
      <w:r w:rsidR="00E67761" w:rsidRPr="0092586A">
        <w:rPr>
          <w:rFonts w:ascii="Century Gothic" w:hAnsi="Century Gothic"/>
          <w:lang w:val="en-US"/>
        </w:rPr>
        <w:t>For these reasons, I find that the signing of the contract by the Director General under the particular</w:t>
      </w:r>
      <w:r w:rsidR="000416E5" w:rsidRPr="0092586A">
        <w:rPr>
          <w:rFonts w:ascii="Century Gothic" w:hAnsi="Century Gothic"/>
          <w:lang w:val="en-US"/>
        </w:rPr>
        <w:t xml:space="preserve"> </w:t>
      </w:r>
      <w:r w:rsidR="00E67761" w:rsidRPr="0092586A">
        <w:rPr>
          <w:rFonts w:ascii="Century Gothic" w:hAnsi="Century Gothic"/>
          <w:lang w:val="en-US"/>
        </w:rPr>
        <w:t xml:space="preserve">circumstances </w:t>
      </w:r>
      <w:r w:rsidR="00510612" w:rsidRPr="0092586A">
        <w:rPr>
          <w:rFonts w:ascii="Century Gothic" w:hAnsi="Century Gothic"/>
          <w:lang w:val="en-US"/>
        </w:rPr>
        <w:t xml:space="preserve">did not conform with the Constitution, </w:t>
      </w:r>
      <w:r w:rsidR="00E67761" w:rsidRPr="0092586A">
        <w:rPr>
          <w:rFonts w:ascii="Century Gothic" w:hAnsi="Century Gothic"/>
          <w:lang w:val="en-US"/>
        </w:rPr>
        <w:t>was</w:t>
      </w:r>
      <w:r w:rsidR="00510612" w:rsidRPr="0092586A">
        <w:rPr>
          <w:rFonts w:ascii="Century Gothic" w:hAnsi="Century Gothic"/>
          <w:lang w:val="en-US"/>
        </w:rPr>
        <w:t xml:space="preserve"> illegal and therefore invalid.  It falls to be set aside.</w:t>
      </w:r>
    </w:p>
    <w:p w14:paraId="4E315F19" w14:textId="77777777" w:rsidR="00774C2E" w:rsidRPr="00774C2E" w:rsidRDefault="00774C2E" w:rsidP="007A21F7">
      <w:pPr>
        <w:pStyle w:val="ListParagraph"/>
        <w:ind w:left="1276" w:hanging="1276"/>
        <w:jc w:val="both"/>
        <w:rPr>
          <w:rFonts w:ascii="Century Gothic" w:hAnsi="Century Gothic"/>
          <w:u w:val="single"/>
          <w:lang w:val="en-US"/>
        </w:rPr>
      </w:pPr>
    </w:p>
    <w:p w14:paraId="55153D93" w14:textId="5F900092" w:rsidR="00DE7F5A" w:rsidRPr="0092586A" w:rsidRDefault="0092586A" w:rsidP="0092586A">
      <w:pPr>
        <w:spacing w:after="480" w:line="480" w:lineRule="auto"/>
        <w:ind w:left="851" w:hanging="851"/>
        <w:jc w:val="both"/>
        <w:rPr>
          <w:rFonts w:ascii="Century Gothic" w:hAnsi="Century Gothic"/>
          <w:lang w:val="en-US"/>
        </w:rPr>
      </w:pPr>
      <w:r>
        <w:rPr>
          <w:rFonts w:ascii="Century Gothic" w:hAnsi="Century Gothic"/>
          <w:lang w:val="en-US"/>
        </w:rPr>
        <w:t>[29]</w:t>
      </w:r>
      <w:r>
        <w:rPr>
          <w:rFonts w:ascii="Century Gothic" w:hAnsi="Century Gothic"/>
          <w:lang w:val="en-US"/>
        </w:rPr>
        <w:tab/>
      </w:r>
      <w:r w:rsidR="00DE7F5A" w:rsidRPr="0092586A">
        <w:rPr>
          <w:rFonts w:ascii="Century Gothic" w:hAnsi="Century Gothic"/>
          <w:u w:val="single"/>
          <w:lang w:val="en-US"/>
        </w:rPr>
        <w:t>Defamation and an Interdict</w:t>
      </w:r>
      <w:r w:rsidR="00DE7F5A" w:rsidRPr="0092586A">
        <w:rPr>
          <w:rFonts w:ascii="Century Gothic" w:hAnsi="Century Gothic"/>
          <w:lang w:val="en-US"/>
        </w:rPr>
        <w:t>:</w:t>
      </w:r>
    </w:p>
    <w:p w14:paraId="78757E5C" w14:textId="77777777" w:rsidR="00F4037C" w:rsidRDefault="00F4037C" w:rsidP="007A21F7">
      <w:pPr>
        <w:pStyle w:val="ListParagraph"/>
        <w:spacing w:after="480" w:line="480" w:lineRule="auto"/>
        <w:ind w:left="1276" w:hanging="1276"/>
        <w:jc w:val="both"/>
        <w:rPr>
          <w:rFonts w:ascii="Century Gothic" w:hAnsi="Century Gothic"/>
          <w:lang w:val="en-US"/>
        </w:rPr>
      </w:pPr>
    </w:p>
    <w:p w14:paraId="41013ED2" w14:textId="507FCCC5" w:rsidR="00510612"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lastRenderedPageBreak/>
        <w:t>a)</w:t>
      </w:r>
      <w:r>
        <w:rPr>
          <w:rFonts w:ascii="Century Gothic" w:hAnsi="Century Gothic"/>
          <w:lang w:val="en-US"/>
        </w:rPr>
        <w:tab/>
      </w:r>
      <w:r w:rsidR="00510612" w:rsidRPr="0092586A">
        <w:rPr>
          <w:rFonts w:ascii="Century Gothic" w:hAnsi="Century Gothic"/>
          <w:lang w:val="en-US"/>
        </w:rPr>
        <w:t xml:space="preserve">Given the </w:t>
      </w:r>
      <w:r w:rsidR="00F4037C" w:rsidRPr="0092586A">
        <w:rPr>
          <w:rFonts w:ascii="Century Gothic" w:hAnsi="Century Gothic"/>
          <w:lang w:val="en-US"/>
        </w:rPr>
        <w:t>history and circumstances set out above, I find the applicant had a clear right not to be defamed by allegations of extortion and corruption</w:t>
      </w:r>
      <w:r w:rsidR="000416E5" w:rsidRPr="0092586A">
        <w:rPr>
          <w:rFonts w:ascii="Century Gothic" w:hAnsi="Century Gothic"/>
          <w:lang w:val="en-US"/>
        </w:rPr>
        <w:t xml:space="preserve"> -</w:t>
      </w:r>
      <w:r w:rsidR="00F4037C" w:rsidRPr="0092586A">
        <w:rPr>
          <w:rFonts w:ascii="Century Gothic" w:hAnsi="Century Gothic"/>
          <w:lang w:val="en-US"/>
        </w:rPr>
        <w:t xml:space="preserve"> in the context of the applicant’s non-implementation of the contract.</w:t>
      </w:r>
    </w:p>
    <w:p w14:paraId="530757A9" w14:textId="77777777" w:rsidR="00F4037C" w:rsidRDefault="00F4037C" w:rsidP="007A21F7">
      <w:pPr>
        <w:pStyle w:val="ListParagraph"/>
        <w:spacing w:after="480" w:line="480" w:lineRule="auto"/>
        <w:ind w:left="1276" w:hanging="1276"/>
        <w:jc w:val="both"/>
        <w:rPr>
          <w:rFonts w:ascii="Century Gothic" w:hAnsi="Century Gothic"/>
          <w:lang w:val="en-US"/>
        </w:rPr>
      </w:pPr>
    </w:p>
    <w:p w14:paraId="26C0A4C8" w14:textId="164EE684" w:rsidR="00F4037C"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b)</w:t>
      </w:r>
      <w:r>
        <w:rPr>
          <w:rFonts w:ascii="Century Gothic" w:hAnsi="Century Gothic"/>
          <w:lang w:val="en-US"/>
        </w:rPr>
        <w:tab/>
      </w:r>
      <w:r w:rsidR="00F4037C" w:rsidRPr="0092586A">
        <w:rPr>
          <w:rFonts w:ascii="Century Gothic" w:hAnsi="Century Gothic"/>
          <w:lang w:val="en-US"/>
        </w:rPr>
        <w:t>Such allegations as the first respondent had made to news reporters during October and November 2023 were defamatory of and concerning the applicant and the first respondent had not shown any legal justification for doing so.</w:t>
      </w:r>
    </w:p>
    <w:p w14:paraId="5E0B295E" w14:textId="77777777" w:rsidR="00F4037C" w:rsidRPr="00F4037C" w:rsidRDefault="00F4037C" w:rsidP="007A21F7">
      <w:pPr>
        <w:pStyle w:val="ListParagraph"/>
        <w:ind w:left="1276" w:hanging="1276"/>
        <w:jc w:val="both"/>
        <w:rPr>
          <w:rFonts w:ascii="Century Gothic" w:hAnsi="Century Gothic"/>
          <w:lang w:val="en-US"/>
        </w:rPr>
      </w:pPr>
    </w:p>
    <w:p w14:paraId="31A491D0" w14:textId="181E9F44" w:rsidR="00D30AE1"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c)</w:t>
      </w:r>
      <w:r>
        <w:rPr>
          <w:rFonts w:ascii="Century Gothic" w:hAnsi="Century Gothic"/>
          <w:lang w:val="en-US"/>
        </w:rPr>
        <w:tab/>
      </w:r>
      <w:r w:rsidR="00F4037C" w:rsidRPr="0092586A">
        <w:rPr>
          <w:rFonts w:ascii="Century Gothic" w:hAnsi="Century Gothic"/>
          <w:lang w:val="en-US"/>
        </w:rPr>
        <w:t>In view of the first respondent’s conduct in the past, and his refusal or failure to undertake to refrain from such conduct in future, I find that the applicant</w:t>
      </w:r>
      <w:r w:rsidR="000416E5" w:rsidRPr="0092586A">
        <w:rPr>
          <w:rFonts w:ascii="Century Gothic" w:hAnsi="Century Gothic"/>
          <w:lang w:val="en-US"/>
        </w:rPr>
        <w:t>’s</w:t>
      </w:r>
      <w:r w:rsidR="00F4037C" w:rsidRPr="0092586A">
        <w:rPr>
          <w:rFonts w:ascii="Century Gothic" w:hAnsi="Century Gothic"/>
          <w:lang w:val="en-US"/>
        </w:rPr>
        <w:t xml:space="preserve"> apprehension of a repetition of such allegations</w:t>
      </w:r>
      <w:r w:rsidR="000416E5" w:rsidRPr="0092586A">
        <w:rPr>
          <w:rFonts w:ascii="Century Gothic" w:hAnsi="Century Gothic"/>
          <w:lang w:val="en-US"/>
        </w:rPr>
        <w:t xml:space="preserve"> is reasonable.</w:t>
      </w:r>
    </w:p>
    <w:p w14:paraId="0E7B8AD1" w14:textId="77777777" w:rsidR="00C01FC2" w:rsidRPr="00C01FC2" w:rsidRDefault="00C01FC2" w:rsidP="00C01FC2">
      <w:pPr>
        <w:pStyle w:val="ListParagraph"/>
        <w:rPr>
          <w:rFonts w:ascii="Century Gothic" w:hAnsi="Century Gothic"/>
          <w:lang w:val="en-US"/>
        </w:rPr>
      </w:pPr>
    </w:p>
    <w:p w14:paraId="21FD5390" w14:textId="136537A5" w:rsidR="00C01FC2" w:rsidRPr="0092586A" w:rsidRDefault="0092586A" w:rsidP="0092586A">
      <w:pPr>
        <w:spacing w:after="480" w:line="480" w:lineRule="auto"/>
        <w:ind w:left="1276" w:hanging="1276"/>
        <w:jc w:val="both"/>
        <w:rPr>
          <w:rFonts w:ascii="Century Gothic" w:hAnsi="Century Gothic"/>
          <w:lang w:val="en-US"/>
        </w:rPr>
      </w:pPr>
      <w:r w:rsidRPr="000416E5">
        <w:rPr>
          <w:rFonts w:ascii="Century Gothic" w:hAnsi="Century Gothic"/>
          <w:lang w:val="en-US"/>
        </w:rPr>
        <w:t>d)</w:t>
      </w:r>
      <w:r w:rsidRPr="000416E5">
        <w:rPr>
          <w:rFonts w:ascii="Century Gothic" w:hAnsi="Century Gothic"/>
          <w:lang w:val="en-US"/>
        </w:rPr>
        <w:tab/>
      </w:r>
      <w:r w:rsidR="00C01FC2" w:rsidRPr="0092586A">
        <w:rPr>
          <w:rFonts w:ascii="Century Gothic" w:hAnsi="Century Gothic"/>
          <w:lang w:val="en-US"/>
        </w:rPr>
        <w:t>The applicant clearly has no other remedy to prevent further publications of such defamatory allegations, by the first respondents to new reporters or by any other means.</w:t>
      </w:r>
    </w:p>
    <w:p w14:paraId="16DCDA04" w14:textId="77777777" w:rsidR="00D30AE1" w:rsidRPr="00D30AE1" w:rsidRDefault="00D30AE1" w:rsidP="007A21F7">
      <w:pPr>
        <w:pStyle w:val="ListParagraph"/>
        <w:spacing w:after="480" w:line="480" w:lineRule="auto"/>
        <w:ind w:left="1276" w:hanging="1276"/>
        <w:jc w:val="both"/>
        <w:rPr>
          <w:rFonts w:ascii="Century Gothic" w:hAnsi="Century Gothic"/>
          <w:lang w:val="en-US"/>
        </w:rPr>
      </w:pPr>
    </w:p>
    <w:p w14:paraId="585B6697" w14:textId="27F100DB" w:rsidR="00DE7F5A" w:rsidRPr="0092586A" w:rsidRDefault="0092586A" w:rsidP="0092586A">
      <w:pPr>
        <w:spacing w:after="480" w:line="480" w:lineRule="auto"/>
        <w:ind w:left="709" w:hanging="709"/>
        <w:jc w:val="both"/>
        <w:rPr>
          <w:rFonts w:ascii="Century Gothic" w:hAnsi="Century Gothic"/>
          <w:lang w:val="en-US"/>
        </w:rPr>
      </w:pPr>
      <w:r>
        <w:rPr>
          <w:rFonts w:ascii="Century Gothic" w:hAnsi="Century Gothic"/>
          <w:lang w:val="en-US"/>
        </w:rPr>
        <w:t>[30]</w:t>
      </w:r>
      <w:r>
        <w:rPr>
          <w:rFonts w:ascii="Century Gothic" w:hAnsi="Century Gothic"/>
          <w:lang w:val="en-US"/>
        </w:rPr>
        <w:tab/>
      </w:r>
      <w:r w:rsidR="00DE7F5A" w:rsidRPr="0092586A">
        <w:rPr>
          <w:rFonts w:ascii="Century Gothic" w:hAnsi="Century Gothic"/>
          <w:u w:val="single"/>
          <w:lang w:val="en-US"/>
        </w:rPr>
        <w:t>Costs</w:t>
      </w:r>
      <w:r w:rsidR="00DE7F5A" w:rsidRPr="0092586A">
        <w:rPr>
          <w:rFonts w:ascii="Century Gothic" w:hAnsi="Century Gothic"/>
          <w:lang w:val="en-US"/>
        </w:rPr>
        <w:t>:</w:t>
      </w:r>
    </w:p>
    <w:p w14:paraId="563D7A24" w14:textId="77777777" w:rsidR="00D30AE1" w:rsidRDefault="00D30AE1" w:rsidP="007A21F7">
      <w:pPr>
        <w:pStyle w:val="ListParagraph"/>
        <w:spacing w:after="480" w:line="480" w:lineRule="auto"/>
        <w:ind w:left="1276" w:hanging="1276"/>
        <w:jc w:val="both"/>
        <w:rPr>
          <w:rFonts w:ascii="Century Gothic" w:hAnsi="Century Gothic"/>
          <w:lang w:val="en-US"/>
        </w:rPr>
      </w:pPr>
    </w:p>
    <w:p w14:paraId="633A1587" w14:textId="35B58D5F" w:rsidR="00D30AE1"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a)</w:t>
      </w:r>
      <w:r>
        <w:rPr>
          <w:rFonts w:ascii="Century Gothic" w:hAnsi="Century Gothic"/>
          <w:lang w:val="en-US"/>
        </w:rPr>
        <w:tab/>
      </w:r>
      <w:r w:rsidR="00D30AE1" w:rsidRPr="0092586A">
        <w:rPr>
          <w:rFonts w:ascii="Century Gothic" w:hAnsi="Century Gothic"/>
          <w:lang w:val="en-US"/>
        </w:rPr>
        <w:t xml:space="preserve">The applicant </w:t>
      </w:r>
      <w:r w:rsidR="000416E5" w:rsidRPr="0092586A">
        <w:rPr>
          <w:rFonts w:ascii="Century Gothic" w:hAnsi="Century Gothic"/>
          <w:lang w:val="en-US"/>
        </w:rPr>
        <w:t>is</w:t>
      </w:r>
      <w:r w:rsidR="00D30AE1" w:rsidRPr="0092586A">
        <w:rPr>
          <w:rFonts w:ascii="Century Gothic" w:hAnsi="Century Gothic"/>
          <w:lang w:val="en-US"/>
        </w:rPr>
        <w:t xml:space="preserve"> successful with </w:t>
      </w:r>
      <w:r w:rsidR="000416E5" w:rsidRPr="0092586A">
        <w:rPr>
          <w:rFonts w:ascii="Century Gothic" w:hAnsi="Century Gothic"/>
          <w:lang w:val="en-US"/>
        </w:rPr>
        <w:t>in bid for a</w:t>
      </w:r>
      <w:r w:rsidR="00D30AE1" w:rsidRPr="0092586A">
        <w:rPr>
          <w:rFonts w:ascii="Century Gothic" w:hAnsi="Century Gothic"/>
          <w:lang w:val="en-US"/>
        </w:rPr>
        <w:t xml:space="preserve"> legality review, and to obtain an interdict against further defamatory statements by the first respondent.  He would therefore be entitled to be awarded the costs of the application.</w:t>
      </w:r>
    </w:p>
    <w:p w14:paraId="50B499BF" w14:textId="77777777" w:rsidR="00D30AE1" w:rsidRDefault="00D30AE1" w:rsidP="007A21F7">
      <w:pPr>
        <w:pStyle w:val="ListParagraph"/>
        <w:spacing w:after="480" w:line="480" w:lineRule="auto"/>
        <w:ind w:left="1276" w:hanging="1276"/>
        <w:jc w:val="both"/>
        <w:rPr>
          <w:rFonts w:ascii="Century Gothic" w:hAnsi="Century Gothic"/>
          <w:lang w:val="en-US"/>
        </w:rPr>
      </w:pPr>
    </w:p>
    <w:p w14:paraId="479E00B4" w14:textId="0F8EEA1C" w:rsidR="00885720" w:rsidRPr="0092586A" w:rsidRDefault="0092586A" w:rsidP="0092586A">
      <w:pPr>
        <w:spacing w:after="480" w:line="480" w:lineRule="auto"/>
        <w:ind w:left="1276" w:hanging="1276"/>
        <w:jc w:val="both"/>
        <w:rPr>
          <w:rFonts w:ascii="Century Gothic" w:hAnsi="Century Gothic"/>
          <w:lang w:val="en-US"/>
        </w:rPr>
      </w:pPr>
      <w:r w:rsidRPr="00885720">
        <w:rPr>
          <w:rFonts w:ascii="Century Gothic" w:hAnsi="Century Gothic"/>
          <w:lang w:val="en-US"/>
        </w:rPr>
        <w:t>b)</w:t>
      </w:r>
      <w:r w:rsidRPr="00885720">
        <w:rPr>
          <w:rFonts w:ascii="Century Gothic" w:hAnsi="Century Gothic"/>
          <w:lang w:val="en-US"/>
        </w:rPr>
        <w:tab/>
      </w:r>
      <w:r w:rsidR="00D30AE1" w:rsidRPr="0092586A">
        <w:rPr>
          <w:rFonts w:ascii="Century Gothic" w:hAnsi="Century Gothic"/>
          <w:lang w:val="en-US"/>
        </w:rPr>
        <w:t xml:space="preserve">However, the applicant seeks a special punitive costs order against the first respondent.  This would have been justified, had this application only been for an interdict against further defamatory statements being made by the first respondent.  But that is not the case.  This matter is for the greater part about </w:t>
      </w:r>
      <w:r w:rsidR="000A172C" w:rsidRPr="0092586A">
        <w:rPr>
          <w:rFonts w:ascii="Century Gothic" w:hAnsi="Century Gothic"/>
          <w:lang w:val="en-US"/>
        </w:rPr>
        <w:t xml:space="preserve">the illegality of the conduct of the Director-General – in concluding the contract under the circumstances he had done.   The first to third respondents can, as far as the evidence goes, not be blamed for the conduct of the Director-General.  It was also not unreasonable for them to defend the contract, to the extent they did, in the hope of achieving their bargain.  </w:t>
      </w:r>
    </w:p>
    <w:p w14:paraId="064E695F" w14:textId="3512A4D4" w:rsidR="0083420C"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c)</w:t>
      </w:r>
      <w:r>
        <w:rPr>
          <w:rFonts w:ascii="Century Gothic" w:hAnsi="Century Gothic"/>
          <w:lang w:val="en-US"/>
        </w:rPr>
        <w:tab/>
      </w:r>
      <w:r w:rsidR="0083420C" w:rsidRPr="0092586A">
        <w:rPr>
          <w:rFonts w:ascii="Century Gothic" w:hAnsi="Century Gothic"/>
          <w:lang w:val="en-US"/>
        </w:rPr>
        <w:t>Under the circumstances I will award the applicant its normal costs, as between party-and-party, to be paid by the first to third respondents jointly and severally with each other.</w:t>
      </w:r>
    </w:p>
    <w:p w14:paraId="1E82E727" w14:textId="77777777" w:rsidR="004C1813" w:rsidRPr="004C1813" w:rsidRDefault="004C1813" w:rsidP="004C1813">
      <w:pPr>
        <w:pStyle w:val="ListParagraph"/>
        <w:rPr>
          <w:rFonts w:ascii="Century Gothic" w:hAnsi="Century Gothic"/>
          <w:lang w:val="en-US"/>
        </w:rPr>
      </w:pPr>
    </w:p>
    <w:p w14:paraId="16A3A1CD" w14:textId="630E3549" w:rsidR="004C1813"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d)</w:t>
      </w:r>
      <w:r>
        <w:rPr>
          <w:rFonts w:ascii="Century Gothic" w:hAnsi="Century Gothic"/>
          <w:lang w:val="en-US"/>
        </w:rPr>
        <w:tab/>
      </w:r>
      <w:r w:rsidR="004C1813" w:rsidRPr="0092586A">
        <w:rPr>
          <w:rFonts w:ascii="Century Gothic" w:hAnsi="Century Gothic"/>
          <w:lang w:val="en-US"/>
        </w:rPr>
        <w:t>The eighth respondent – the UIF is a separate public entity in terms of the PFMA.  In my view, it had sufficient interest in the relief claimed by the applicant, to warrant its citation as a respondent.</w:t>
      </w:r>
      <w:r w:rsidR="00C01FC2" w:rsidRPr="0092586A">
        <w:rPr>
          <w:rFonts w:ascii="Century Gothic" w:hAnsi="Century Gothic"/>
          <w:lang w:val="en-US"/>
        </w:rPr>
        <w:t xml:space="preserve">  </w:t>
      </w:r>
    </w:p>
    <w:p w14:paraId="6C5560EF" w14:textId="77777777" w:rsidR="004C1813" w:rsidRPr="004C1813" w:rsidRDefault="004C1813" w:rsidP="004C1813">
      <w:pPr>
        <w:pStyle w:val="ListParagraph"/>
        <w:rPr>
          <w:rFonts w:ascii="Century Gothic" w:hAnsi="Century Gothic"/>
          <w:lang w:val="en-US"/>
        </w:rPr>
      </w:pPr>
    </w:p>
    <w:p w14:paraId="5898788B" w14:textId="79FBC7F8" w:rsidR="004C1813" w:rsidRPr="0092586A" w:rsidRDefault="0092586A" w:rsidP="0092586A">
      <w:pPr>
        <w:spacing w:after="480" w:line="480" w:lineRule="auto"/>
        <w:ind w:left="1276" w:hanging="1276"/>
        <w:jc w:val="both"/>
        <w:rPr>
          <w:rFonts w:ascii="Century Gothic" w:hAnsi="Century Gothic"/>
          <w:lang w:val="en-US"/>
        </w:rPr>
      </w:pPr>
      <w:r>
        <w:rPr>
          <w:rFonts w:ascii="Century Gothic" w:hAnsi="Century Gothic"/>
          <w:lang w:val="en-US"/>
        </w:rPr>
        <w:t>e)</w:t>
      </w:r>
      <w:r>
        <w:rPr>
          <w:rFonts w:ascii="Century Gothic" w:hAnsi="Century Gothic"/>
          <w:lang w:val="en-US"/>
        </w:rPr>
        <w:tab/>
      </w:r>
      <w:r w:rsidR="004C1813" w:rsidRPr="0092586A">
        <w:rPr>
          <w:rFonts w:ascii="Century Gothic" w:hAnsi="Century Gothic"/>
          <w:lang w:val="en-US"/>
        </w:rPr>
        <w:t>For the UIF to appoint its own attorneys and counsel, to represent its own interests, was not unreasonable.  Accordingly, it too would be entitled to its costs of the application.</w:t>
      </w:r>
    </w:p>
    <w:p w14:paraId="1A77E91B" w14:textId="77777777" w:rsidR="00885720" w:rsidRPr="00885720" w:rsidRDefault="00885720" w:rsidP="00885720">
      <w:pPr>
        <w:pStyle w:val="ListParagraph"/>
        <w:rPr>
          <w:rFonts w:ascii="Century Gothic" w:hAnsi="Century Gothic"/>
          <w:lang w:val="en-US"/>
        </w:rPr>
      </w:pPr>
    </w:p>
    <w:p w14:paraId="27C4713C" w14:textId="77777777" w:rsidR="00885720" w:rsidRDefault="00885720" w:rsidP="00885720">
      <w:pPr>
        <w:pStyle w:val="ListParagraph"/>
        <w:spacing w:after="480" w:line="480" w:lineRule="auto"/>
        <w:ind w:left="1276"/>
        <w:jc w:val="both"/>
        <w:rPr>
          <w:rFonts w:ascii="Century Gothic" w:hAnsi="Century Gothic"/>
          <w:lang w:val="en-US"/>
        </w:rPr>
      </w:pPr>
    </w:p>
    <w:p w14:paraId="7C79E470" w14:textId="77777777" w:rsidR="0083420C" w:rsidRPr="0083420C" w:rsidRDefault="0083420C" w:rsidP="007A21F7">
      <w:pPr>
        <w:pStyle w:val="ListParagraph"/>
        <w:ind w:left="1276" w:hanging="1276"/>
        <w:jc w:val="both"/>
        <w:rPr>
          <w:rFonts w:ascii="Century Gothic" w:hAnsi="Century Gothic"/>
          <w:lang w:val="en-US"/>
        </w:rPr>
      </w:pPr>
    </w:p>
    <w:p w14:paraId="138F5343" w14:textId="70C48C5C" w:rsidR="0083420C" w:rsidRPr="0092586A" w:rsidRDefault="0092586A" w:rsidP="0092586A">
      <w:pPr>
        <w:spacing w:after="480" w:line="480" w:lineRule="auto"/>
        <w:ind w:left="851" w:hanging="851"/>
        <w:jc w:val="both"/>
        <w:rPr>
          <w:rFonts w:ascii="Century Gothic" w:hAnsi="Century Gothic"/>
          <w:b/>
          <w:lang w:val="en-US"/>
        </w:rPr>
      </w:pPr>
      <w:r w:rsidRPr="00885720">
        <w:rPr>
          <w:rFonts w:ascii="Century Gothic" w:hAnsi="Century Gothic"/>
          <w:lang w:val="en-US"/>
        </w:rPr>
        <w:t>[31]</w:t>
      </w:r>
      <w:r w:rsidRPr="00885720">
        <w:rPr>
          <w:rFonts w:ascii="Century Gothic" w:hAnsi="Century Gothic"/>
          <w:lang w:val="en-US"/>
        </w:rPr>
        <w:tab/>
      </w:r>
      <w:r w:rsidR="0083420C" w:rsidRPr="0092586A">
        <w:rPr>
          <w:rFonts w:ascii="Century Gothic" w:hAnsi="Century Gothic"/>
          <w:b/>
          <w:lang w:val="en-US"/>
        </w:rPr>
        <w:t>In the result, the following order is made:</w:t>
      </w:r>
    </w:p>
    <w:p w14:paraId="5A307506" w14:textId="77777777" w:rsidR="0083420C" w:rsidRPr="00885720" w:rsidRDefault="0083420C" w:rsidP="007A21F7">
      <w:pPr>
        <w:pStyle w:val="ListParagraph"/>
        <w:spacing w:after="480" w:line="480" w:lineRule="auto"/>
        <w:ind w:left="1276" w:hanging="1276"/>
        <w:jc w:val="both"/>
        <w:rPr>
          <w:rFonts w:ascii="Century Gothic" w:hAnsi="Century Gothic"/>
          <w:b/>
          <w:lang w:val="en-US"/>
        </w:rPr>
      </w:pPr>
    </w:p>
    <w:p w14:paraId="3142D82F" w14:textId="679471C9" w:rsidR="0083420C" w:rsidRPr="0092586A" w:rsidRDefault="0092586A" w:rsidP="0092586A">
      <w:pPr>
        <w:spacing w:after="480" w:line="480" w:lineRule="auto"/>
        <w:ind w:left="1276" w:hanging="1276"/>
        <w:jc w:val="both"/>
        <w:rPr>
          <w:rFonts w:ascii="Century Gothic" w:hAnsi="Century Gothic"/>
          <w:b/>
          <w:lang w:val="en-US"/>
        </w:rPr>
      </w:pPr>
      <w:r w:rsidRPr="00885720">
        <w:rPr>
          <w:rFonts w:ascii="Century Gothic" w:hAnsi="Century Gothic"/>
          <w:b/>
          <w:lang w:val="en-US"/>
        </w:rPr>
        <w:t>a)</w:t>
      </w:r>
      <w:r w:rsidRPr="00885720">
        <w:rPr>
          <w:rFonts w:ascii="Century Gothic" w:hAnsi="Century Gothic"/>
          <w:b/>
          <w:lang w:val="en-US"/>
        </w:rPr>
        <w:tab/>
      </w:r>
      <w:r w:rsidR="0083420C" w:rsidRPr="0092586A">
        <w:rPr>
          <w:rFonts w:ascii="Century Gothic" w:hAnsi="Century Gothic"/>
          <w:b/>
          <w:lang w:val="en-US"/>
        </w:rPr>
        <w:t>The written contract concluded between the second respondent and the eighth respondent on 18 December 2022, a facsimile of which is annexed to the Notice of Motion as “A”, is declared invalid and is set aside.</w:t>
      </w:r>
    </w:p>
    <w:p w14:paraId="10023F0D" w14:textId="77777777" w:rsidR="0083420C" w:rsidRPr="00885720" w:rsidRDefault="0083420C" w:rsidP="007A21F7">
      <w:pPr>
        <w:pStyle w:val="ListParagraph"/>
        <w:spacing w:after="480" w:line="480" w:lineRule="auto"/>
        <w:ind w:left="1276" w:hanging="1276"/>
        <w:jc w:val="both"/>
        <w:rPr>
          <w:rFonts w:ascii="Century Gothic" w:hAnsi="Century Gothic"/>
          <w:b/>
          <w:lang w:val="en-US"/>
        </w:rPr>
      </w:pPr>
    </w:p>
    <w:p w14:paraId="5195DFAF" w14:textId="255B2B19" w:rsidR="0083420C" w:rsidRPr="0092586A" w:rsidRDefault="0092586A" w:rsidP="0092586A">
      <w:pPr>
        <w:spacing w:after="480" w:line="480" w:lineRule="auto"/>
        <w:ind w:left="1276" w:hanging="1276"/>
        <w:jc w:val="both"/>
        <w:rPr>
          <w:rFonts w:ascii="Century Gothic" w:hAnsi="Century Gothic"/>
          <w:b/>
          <w:lang w:val="en-US"/>
        </w:rPr>
      </w:pPr>
      <w:r w:rsidRPr="00885720">
        <w:rPr>
          <w:rFonts w:ascii="Century Gothic" w:hAnsi="Century Gothic"/>
          <w:b/>
          <w:lang w:val="en-US"/>
        </w:rPr>
        <w:t>b)</w:t>
      </w:r>
      <w:r w:rsidRPr="00885720">
        <w:rPr>
          <w:rFonts w:ascii="Century Gothic" w:hAnsi="Century Gothic"/>
          <w:b/>
          <w:lang w:val="en-US"/>
        </w:rPr>
        <w:tab/>
      </w:r>
      <w:r w:rsidR="0083420C" w:rsidRPr="0092586A">
        <w:rPr>
          <w:rFonts w:ascii="Century Gothic" w:hAnsi="Century Gothic"/>
          <w:b/>
          <w:lang w:val="en-US"/>
        </w:rPr>
        <w:t>The first respondent is interdicted from publicly uttering any statement to the effect that the applicant had been corrupt or extortionate when prohibiting the implement</w:t>
      </w:r>
      <w:r w:rsidR="001D6B7A" w:rsidRPr="0092586A">
        <w:rPr>
          <w:rFonts w:ascii="Century Gothic" w:hAnsi="Century Gothic"/>
          <w:b/>
          <w:lang w:val="en-US"/>
        </w:rPr>
        <w:t>ation</w:t>
      </w:r>
      <w:r w:rsidR="0083420C" w:rsidRPr="0092586A">
        <w:rPr>
          <w:rFonts w:ascii="Century Gothic" w:hAnsi="Century Gothic"/>
          <w:b/>
          <w:lang w:val="en-US"/>
        </w:rPr>
        <w:t xml:space="preserve"> </w:t>
      </w:r>
      <w:r w:rsidR="001C6B59" w:rsidRPr="0092586A">
        <w:rPr>
          <w:rFonts w:ascii="Century Gothic" w:hAnsi="Century Gothic"/>
          <w:b/>
          <w:lang w:val="en-US"/>
        </w:rPr>
        <w:t xml:space="preserve">of </w:t>
      </w:r>
      <w:r w:rsidR="0083420C" w:rsidRPr="0092586A">
        <w:rPr>
          <w:rFonts w:ascii="Century Gothic" w:hAnsi="Century Gothic"/>
          <w:b/>
          <w:lang w:val="en-US"/>
        </w:rPr>
        <w:t>the contract mentioned in paragraph a) above.</w:t>
      </w:r>
    </w:p>
    <w:p w14:paraId="78ECCC1D" w14:textId="77777777" w:rsidR="001D6B7A" w:rsidRPr="00885720" w:rsidRDefault="001D6B7A" w:rsidP="007A21F7">
      <w:pPr>
        <w:pStyle w:val="ListParagraph"/>
        <w:ind w:left="1276" w:hanging="1276"/>
        <w:jc w:val="both"/>
        <w:rPr>
          <w:rFonts w:ascii="Century Gothic" w:hAnsi="Century Gothic"/>
          <w:b/>
          <w:lang w:val="en-US"/>
        </w:rPr>
      </w:pPr>
    </w:p>
    <w:p w14:paraId="017B89BC" w14:textId="4CC9C9DA" w:rsidR="001D6B7A" w:rsidRPr="0092586A" w:rsidRDefault="0092586A" w:rsidP="0092586A">
      <w:pPr>
        <w:spacing w:after="480" w:line="480" w:lineRule="auto"/>
        <w:ind w:left="1276" w:hanging="1276"/>
        <w:jc w:val="both"/>
        <w:rPr>
          <w:rFonts w:ascii="Century Gothic" w:hAnsi="Century Gothic"/>
          <w:b/>
          <w:lang w:val="en-US"/>
        </w:rPr>
      </w:pPr>
      <w:r w:rsidRPr="00885720">
        <w:rPr>
          <w:rFonts w:ascii="Century Gothic" w:hAnsi="Century Gothic"/>
          <w:b/>
          <w:lang w:val="en-US"/>
        </w:rPr>
        <w:t>c)</w:t>
      </w:r>
      <w:r w:rsidRPr="00885720">
        <w:rPr>
          <w:rFonts w:ascii="Century Gothic" w:hAnsi="Century Gothic"/>
          <w:b/>
          <w:lang w:val="en-US"/>
        </w:rPr>
        <w:tab/>
      </w:r>
      <w:r w:rsidR="001D6B7A" w:rsidRPr="0092586A">
        <w:rPr>
          <w:rFonts w:ascii="Century Gothic" w:hAnsi="Century Gothic"/>
          <w:b/>
          <w:lang w:val="en-US"/>
        </w:rPr>
        <w:t xml:space="preserve">The first, second and third respondents are ordered to pay the applicant’s </w:t>
      </w:r>
      <w:r w:rsidR="004C1813" w:rsidRPr="0092586A">
        <w:rPr>
          <w:rFonts w:ascii="Century Gothic" w:hAnsi="Century Gothic"/>
          <w:b/>
          <w:lang w:val="en-US"/>
        </w:rPr>
        <w:t xml:space="preserve">and the eighth respondent’s </w:t>
      </w:r>
      <w:r w:rsidR="001D6B7A" w:rsidRPr="0092586A">
        <w:rPr>
          <w:rFonts w:ascii="Century Gothic" w:hAnsi="Century Gothic"/>
          <w:b/>
          <w:lang w:val="en-US"/>
        </w:rPr>
        <w:t xml:space="preserve">costs of the application, such to include the costs of two counsel where so employed.  </w:t>
      </w:r>
    </w:p>
    <w:p w14:paraId="5163ECAD" w14:textId="77777777" w:rsidR="001D6B7A" w:rsidRPr="00885720" w:rsidRDefault="001D6B7A" w:rsidP="007A21F7">
      <w:pPr>
        <w:spacing w:after="480" w:line="480" w:lineRule="auto"/>
        <w:ind w:left="1276" w:hanging="1276"/>
        <w:jc w:val="both"/>
        <w:rPr>
          <w:rFonts w:ascii="Century Gothic" w:hAnsi="Century Gothic"/>
          <w:b/>
          <w:lang w:val="en-US"/>
        </w:rPr>
      </w:pPr>
    </w:p>
    <w:p w14:paraId="40711C08" w14:textId="5D6BBA33" w:rsidR="001D6B7A" w:rsidRPr="00885720" w:rsidRDefault="001D6B7A" w:rsidP="001D6B7A">
      <w:pPr>
        <w:rPr>
          <w:b/>
        </w:rPr>
      </w:pPr>
      <w:r w:rsidRPr="00885720">
        <w:rPr>
          <w:rFonts w:ascii="Century Gothic" w:hAnsi="Century Gothic"/>
          <w:b/>
          <w:lang w:val="en-US"/>
        </w:rPr>
        <w:t>_______________</w:t>
      </w:r>
    </w:p>
    <w:p w14:paraId="2718D5F0" w14:textId="77777777" w:rsidR="001D6B7A" w:rsidRPr="00885720" w:rsidRDefault="001D6B7A" w:rsidP="001D6B7A">
      <w:pPr>
        <w:spacing w:line="480" w:lineRule="auto"/>
        <w:rPr>
          <w:rFonts w:ascii="Century Gothic" w:hAnsi="Century Gothic"/>
          <w:b/>
          <w:lang w:val="en-US"/>
        </w:rPr>
      </w:pPr>
    </w:p>
    <w:p w14:paraId="1396E81F" w14:textId="77777777" w:rsidR="001D6B7A" w:rsidRPr="00885720" w:rsidRDefault="001D6B7A" w:rsidP="001D6B7A">
      <w:pPr>
        <w:spacing w:line="480" w:lineRule="auto"/>
        <w:rPr>
          <w:rFonts w:ascii="Century Gothic" w:hAnsi="Century Gothic"/>
          <w:b/>
          <w:lang w:val="en-US"/>
        </w:rPr>
      </w:pPr>
      <w:r w:rsidRPr="00885720">
        <w:rPr>
          <w:rFonts w:ascii="Century Gothic" w:hAnsi="Century Gothic"/>
          <w:b/>
          <w:lang w:val="en-US"/>
        </w:rPr>
        <w:t>J D Maritz</w:t>
      </w:r>
    </w:p>
    <w:p w14:paraId="058B8FFC" w14:textId="2CAA1290" w:rsidR="001D6B7A" w:rsidRPr="00885720" w:rsidRDefault="001D6B7A" w:rsidP="001D6B7A">
      <w:pPr>
        <w:spacing w:line="480" w:lineRule="auto"/>
        <w:rPr>
          <w:rFonts w:ascii="Century Gothic" w:hAnsi="Century Gothic"/>
          <w:b/>
          <w:lang w:val="en-US"/>
        </w:rPr>
      </w:pPr>
      <w:r w:rsidRPr="00885720">
        <w:rPr>
          <w:rFonts w:ascii="Century Gothic" w:hAnsi="Century Gothic"/>
          <w:b/>
          <w:lang w:val="en-US"/>
        </w:rPr>
        <w:t>Acting Judge of the High Court: Pretoria</w:t>
      </w:r>
    </w:p>
    <w:p w14:paraId="67204E61" w14:textId="77777777" w:rsidR="001D6B7A" w:rsidRPr="001D6B7A" w:rsidRDefault="001D6B7A" w:rsidP="001D6B7A">
      <w:pPr>
        <w:spacing w:line="480" w:lineRule="auto"/>
        <w:rPr>
          <w:rFonts w:ascii="Century Gothic" w:hAnsi="Century Gothic"/>
          <w:lang w:val="en-US"/>
        </w:rPr>
      </w:pPr>
    </w:p>
    <w:p w14:paraId="53B484CD" w14:textId="38F23078" w:rsidR="00DE7F5A" w:rsidRPr="00DE7F5A" w:rsidRDefault="00DE7F5A" w:rsidP="00DE7F5A">
      <w:pPr>
        <w:spacing w:after="480" w:line="480" w:lineRule="auto"/>
        <w:rPr>
          <w:rFonts w:ascii="Century Gothic" w:hAnsi="Century Gothic"/>
          <w:lang w:val="en-US"/>
        </w:rPr>
      </w:pPr>
    </w:p>
    <w:sectPr w:rsidR="00DE7F5A" w:rsidRPr="00DE7F5A">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93B57" w14:textId="77777777" w:rsidR="001C1680" w:rsidRDefault="001C1680" w:rsidP="007B43D5">
      <w:r>
        <w:separator/>
      </w:r>
    </w:p>
  </w:endnote>
  <w:endnote w:type="continuationSeparator" w:id="0">
    <w:p w14:paraId="680121EA" w14:textId="77777777" w:rsidR="001C1680" w:rsidRDefault="001C1680" w:rsidP="007B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26122309"/>
      <w:docPartObj>
        <w:docPartGallery w:val="Page Numbers (Bottom of Page)"/>
        <w:docPartUnique/>
      </w:docPartObj>
    </w:sdtPr>
    <w:sdtContent>
      <w:p w14:paraId="514CF767" w14:textId="1769903F" w:rsidR="007B43D5" w:rsidRDefault="007B43D5" w:rsidP="00E258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230F4" w14:textId="77777777" w:rsidR="007B43D5" w:rsidRDefault="007B43D5" w:rsidP="007B43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71067292"/>
      <w:docPartObj>
        <w:docPartGallery w:val="Page Numbers (Bottom of Page)"/>
        <w:docPartUnique/>
      </w:docPartObj>
    </w:sdtPr>
    <w:sdtContent>
      <w:p w14:paraId="7671DE55" w14:textId="419FF236" w:rsidR="007B43D5" w:rsidRDefault="007B43D5" w:rsidP="00E258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5720">
          <w:rPr>
            <w:rStyle w:val="PageNumber"/>
            <w:noProof/>
          </w:rPr>
          <w:t>30</w:t>
        </w:r>
        <w:r>
          <w:rPr>
            <w:rStyle w:val="PageNumber"/>
          </w:rPr>
          <w:fldChar w:fldCharType="end"/>
        </w:r>
      </w:p>
    </w:sdtContent>
  </w:sdt>
  <w:p w14:paraId="4FCC94B6" w14:textId="77777777" w:rsidR="007B43D5" w:rsidRDefault="007B43D5" w:rsidP="007B43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E559D" w14:textId="77777777" w:rsidR="001C1680" w:rsidRDefault="001C1680" w:rsidP="007B43D5">
      <w:r>
        <w:separator/>
      </w:r>
    </w:p>
  </w:footnote>
  <w:footnote w:type="continuationSeparator" w:id="0">
    <w:p w14:paraId="0D0C732D" w14:textId="77777777" w:rsidR="001C1680" w:rsidRDefault="001C1680" w:rsidP="007B43D5">
      <w:r>
        <w:continuationSeparator/>
      </w:r>
    </w:p>
  </w:footnote>
  <w:footnote w:id="1">
    <w:p w14:paraId="3A1E5ABD" w14:textId="5A17E8BD" w:rsidR="00672AF6" w:rsidRPr="00672AF6" w:rsidRDefault="00672AF6">
      <w:pPr>
        <w:pStyle w:val="FootnoteText"/>
        <w:rPr>
          <w:rFonts w:ascii="Century Gothic" w:hAnsi="Century Gothic"/>
          <w:sz w:val="22"/>
          <w:szCs w:val="22"/>
          <w:lang w:val="en-US"/>
        </w:rPr>
      </w:pPr>
      <w:r w:rsidRPr="00672AF6">
        <w:rPr>
          <w:rStyle w:val="FootnoteReference"/>
          <w:rFonts w:ascii="Century Gothic" w:hAnsi="Century Gothic"/>
          <w:sz w:val="22"/>
          <w:szCs w:val="22"/>
        </w:rPr>
        <w:footnoteRef/>
      </w:r>
      <w:r w:rsidRPr="00672AF6">
        <w:rPr>
          <w:rFonts w:ascii="Century Gothic" w:hAnsi="Century Gothic"/>
          <w:sz w:val="22"/>
          <w:szCs w:val="22"/>
        </w:rPr>
        <w:t xml:space="preserve"> </w:t>
      </w:r>
      <w:r w:rsidRPr="00672AF6">
        <w:rPr>
          <w:rFonts w:ascii="Century Gothic" w:hAnsi="Century Gothic"/>
          <w:sz w:val="22"/>
          <w:szCs w:val="22"/>
          <w:lang w:val="en-US"/>
        </w:rPr>
        <w:t xml:space="preserve">  Discussed below, referenced in Footnote 2.</w:t>
      </w:r>
    </w:p>
  </w:footnote>
  <w:footnote w:id="2">
    <w:p w14:paraId="57E440D1" w14:textId="23DD8DA6" w:rsidR="0072058C" w:rsidRPr="00473337" w:rsidRDefault="0072058C">
      <w:pPr>
        <w:pStyle w:val="FootnoteText"/>
        <w:rPr>
          <w:rFonts w:ascii="Century Gothic" w:hAnsi="Century Gothic"/>
          <w:sz w:val="22"/>
          <w:szCs w:val="22"/>
          <w:lang w:val="en-US"/>
        </w:rPr>
      </w:pPr>
      <w:r w:rsidRPr="00473337">
        <w:rPr>
          <w:rStyle w:val="FootnoteReference"/>
          <w:rFonts w:ascii="Century Gothic" w:hAnsi="Century Gothic"/>
          <w:sz w:val="22"/>
          <w:szCs w:val="22"/>
        </w:rPr>
        <w:footnoteRef/>
      </w:r>
      <w:r w:rsidRPr="00473337">
        <w:rPr>
          <w:rFonts w:ascii="Century Gothic" w:hAnsi="Century Gothic"/>
          <w:sz w:val="22"/>
          <w:szCs w:val="22"/>
        </w:rPr>
        <w:t xml:space="preserve"> </w:t>
      </w:r>
      <w:r w:rsidRPr="00473337">
        <w:rPr>
          <w:rFonts w:ascii="Century Gothic" w:hAnsi="Century Gothic"/>
          <w:sz w:val="22"/>
          <w:szCs w:val="22"/>
          <w:lang w:val="en-US"/>
        </w:rPr>
        <w:t xml:space="preserve">  To name but a few, see:  </w:t>
      </w:r>
      <w:r w:rsidR="00473337" w:rsidRPr="00473337">
        <w:rPr>
          <w:rFonts w:ascii="Century Gothic" w:hAnsi="Century Gothic"/>
          <w:sz w:val="22"/>
          <w:szCs w:val="22"/>
          <w:u w:val="single"/>
          <w:lang w:val="en-US"/>
        </w:rPr>
        <w:t>Khumalo vs Member of the Executive Council for Education, KwaZulu Natal</w:t>
      </w:r>
      <w:r w:rsidR="00473337" w:rsidRPr="00473337">
        <w:rPr>
          <w:rFonts w:ascii="Century Gothic" w:hAnsi="Century Gothic"/>
          <w:sz w:val="22"/>
          <w:szCs w:val="22"/>
          <w:lang w:val="en-US"/>
        </w:rPr>
        <w:t xml:space="preserve"> 2014 (5) SA 579 (CC); </w:t>
      </w:r>
      <w:r w:rsidR="00FE1B59" w:rsidRPr="00473337">
        <w:rPr>
          <w:rFonts w:ascii="Century Gothic" w:hAnsi="Century Gothic"/>
          <w:sz w:val="22"/>
          <w:szCs w:val="22"/>
          <w:u w:val="single"/>
          <w:lang w:val="en-US"/>
        </w:rPr>
        <w:t>State Information Technology Agency SOC Ltd vs Gijima Holdings (Pty) Ltd</w:t>
      </w:r>
      <w:r w:rsidR="00FE1B59" w:rsidRPr="00473337">
        <w:rPr>
          <w:rFonts w:ascii="Century Gothic" w:hAnsi="Century Gothic"/>
          <w:sz w:val="22"/>
          <w:szCs w:val="22"/>
          <w:lang w:val="en-US"/>
        </w:rPr>
        <w:t xml:space="preserve"> 2018 (2) SA 23 (CC); </w:t>
      </w:r>
      <w:r w:rsidRPr="00473337">
        <w:rPr>
          <w:rFonts w:ascii="Century Gothic" w:hAnsi="Century Gothic"/>
          <w:sz w:val="22"/>
          <w:szCs w:val="22"/>
          <w:u w:val="single"/>
          <w:lang w:val="en-US"/>
        </w:rPr>
        <w:t xml:space="preserve">Buffalo City Metropolitan Municipality </w:t>
      </w:r>
      <w:r w:rsidR="00FE1B59" w:rsidRPr="00473337">
        <w:rPr>
          <w:rFonts w:ascii="Century Gothic" w:hAnsi="Century Gothic"/>
          <w:sz w:val="22"/>
          <w:szCs w:val="22"/>
          <w:u w:val="single"/>
          <w:lang w:val="en-US"/>
        </w:rPr>
        <w:t>vs ASLA Construction (Pty) Ltd</w:t>
      </w:r>
      <w:r w:rsidR="00FE1B59" w:rsidRPr="00473337">
        <w:rPr>
          <w:rFonts w:ascii="Century Gothic" w:hAnsi="Century Gothic"/>
          <w:sz w:val="22"/>
          <w:szCs w:val="22"/>
          <w:lang w:val="en-US"/>
        </w:rPr>
        <w:t xml:space="preserve"> [2019] SACC 15; </w:t>
      </w:r>
      <w:r w:rsidR="00FE1B59" w:rsidRPr="00473337">
        <w:rPr>
          <w:rFonts w:ascii="Century Gothic" w:hAnsi="Century Gothic"/>
          <w:sz w:val="22"/>
          <w:szCs w:val="22"/>
          <w:u w:val="single"/>
          <w:lang w:val="en-US"/>
        </w:rPr>
        <w:t xml:space="preserve">Govan Mbeki Municipality v New Integrated Credit Solutions (Pty) </w:t>
      </w:r>
      <w:r w:rsidR="00F6541A" w:rsidRPr="00473337">
        <w:rPr>
          <w:rFonts w:ascii="Century Gothic" w:hAnsi="Century Gothic"/>
          <w:sz w:val="22"/>
          <w:szCs w:val="22"/>
          <w:u w:val="single"/>
          <w:lang w:val="en-US"/>
        </w:rPr>
        <w:t>Ltd</w:t>
      </w:r>
      <w:r w:rsidR="00F6541A" w:rsidRPr="00473337">
        <w:rPr>
          <w:rFonts w:ascii="Century Gothic" w:hAnsi="Century Gothic"/>
          <w:sz w:val="22"/>
          <w:szCs w:val="22"/>
          <w:lang w:val="en-US"/>
        </w:rPr>
        <w:t xml:space="preserve"> 2021</w:t>
      </w:r>
      <w:r w:rsidR="00FE1B59" w:rsidRPr="00473337">
        <w:rPr>
          <w:rFonts w:ascii="Century Gothic" w:hAnsi="Century Gothic"/>
          <w:sz w:val="22"/>
          <w:szCs w:val="22"/>
          <w:lang w:val="en-US"/>
        </w:rPr>
        <w:t xml:space="preserve"> (4) SA 436 (SCA).   </w:t>
      </w:r>
    </w:p>
  </w:footnote>
  <w:footnote w:id="3">
    <w:p w14:paraId="1D013469" w14:textId="41D8A7BA" w:rsidR="005263E1" w:rsidRPr="00672AF6" w:rsidRDefault="005263E1">
      <w:pPr>
        <w:pStyle w:val="FootnoteText"/>
        <w:rPr>
          <w:rFonts w:ascii="Century Gothic" w:hAnsi="Century Gothic"/>
          <w:sz w:val="22"/>
          <w:szCs w:val="22"/>
          <w:lang w:val="en-US"/>
        </w:rPr>
      </w:pPr>
      <w:r w:rsidRPr="00672AF6">
        <w:rPr>
          <w:rStyle w:val="FootnoteReference"/>
          <w:rFonts w:ascii="Century Gothic" w:hAnsi="Century Gothic"/>
          <w:sz w:val="22"/>
          <w:szCs w:val="22"/>
        </w:rPr>
        <w:footnoteRef/>
      </w:r>
      <w:r w:rsidRPr="00672AF6">
        <w:rPr>
          <w:rFonts w:ascii="Century Gothic" w:hAnsi="Century Gothic"/>
          <w:sz w:val="22"/>
          <w:szCs w:val="22"/>
        </w:rPr>
        <w:t xml:space="preserve"> </w:t>
      </w:r>
      <w:r w:rsidRPr="00672AF6">
        <w:rPr>
          <w:rFonts w:ascii="Century Gothic" w:hAnsi="Century Gothic"/>
          <w:sz w:val="22"/>
          <w:szCs w:val="22"/>
          <w:lang w:val="en-US"/>
        </w:rPr>
        <w:t xml:space="preserve">  </w:t>
      </w:r>
      <w:r w:rsidRPr="00672AF6">
        <w:rPr>
          <w:rFonts w:ascii="Century Gothic" w:hAnsi="Century Gothic"/>
          <w:i/>
          <w:iCs/>
          <w:sz w:val="22"/>
          <w:szCs w:val="22"/>
          <w:lang w:val="en-US"/>
        </w:rPr>
        <w:t>Supra</w:t>
      </w:r>
      <w:r w:rsidRPr="00672AF6">
        <w:rPr>
          <w:rFonts w:ascii="Century Gothic" w:hAnsi="Century Gothic"/>
          <w:sz w:val="22"/>
          <w:szCs w:val="22"/>
          <w:lang w:val="en-US"/>
        </w:rPr>
        <w:t>, par [40].</w:t>
      </w:r>
    </w:p>
  </w:footnote>
  <w:footnote w:id="4">
    <w:p w14:paraId="5CFC325D" w14:textId="239AD70A" w:rsidR="00A83DDA" w:rsidRPr="00A83DDA" w:rsidRDefault="00A83DDA">
      <w:pPr>
        <w:pStyle w:val="FootnoteText"/>
        <w:rPr>
          <w:lang w:val="en-US"/>
        </w:rPr>
      </w:pPr>
      <w:r>
        <w:rPr>
          <w:rStyle w:val="FootnoteReference"/>
        </w:rPr>
        <w:footnoteRef/>
      </w:r>
      <w:r>
        <w:t xml:space="preserve"> </w:t>
      </w:r>
      <w:r>
        <w:rPr>
          <w:lang w:val="en-US"/>
        </w:rPr>
        <w:t xml:space="preserve"> </w:t>
      </w:r>
      <w:r>
        <w:rPr>
          <w:i/>
          <w:iCs/>
          <w:lang w:val="en-US"/>
        </w:rPr>
        <w:t>Supra</w:t>
      </w:r>
      <w:r>
        <w:rPr>
          <w:lang w:val="en-US"/>
        </w:rPr>
        <w:t xml:space="preserve"> at 463 par [58].</w:t>
      </w:r>
    </w:p>
  </w:footnote>
  <w:footnote w:id="5">
    <w:p w14:paraId="750F9B96" w14:textId="025544C4" w:rsidR="000A5A38" w:rsidRPr="000A5A38" w:rsidRDefault="000A5A38">
      <w:pPr>
        <w:pStyle w:val="FootnoteText"/>
        <w:rPr>
          <w:lang w:val="en-US"/>
        </w:rPr>
      </w:pPr>
      <w:r>
        <w:rPr>
          <w:rStyle w:val="FootnoteReference"/>
        </w:rPr>
        <w:footnoteRef/>
      </w:r>
      <w:r>
        <w:t xml:space="preserve"> </w:t>
      </w:r>
      <w:r>
        <w:rPr>
          <w:lang w:val="en-US"/>
        </w:rPr>
        <w:t xml:space="preserve">  See: Section 11(1) of the Unemployment Insurance Act, 63 of 2001.</w:t>
      </w:r>
    </w:p>
  </w:footnote>
  <w:footnote w:id="6">
    <w:p w14:paraId="2A1663C8" w14:textId="07AAB974" w:rsidR="001F4F3D" w:rsidRPr="00012BA6" w:rsidRDefault="001F4F3D">
      <w:pPr>
        <w:pStyle w:val="FootnoteText"/>
        <w:rPr>
          <w:rFonts w:ascii="Century Gothic" w:hAnsi="Century Gothic"/>
          <w:sz w:val="22"/>
          <w:szCs w:val="22"/>
          <w:lang w:val="en-US"/>
        </w:rPr>
      </w:pPr>
      <w:r w:rsidRPr="00012BA6">
        <w:rPr>
          <w:rStyle w:val="FootnoteReference"/>
          <w:rFonts w:ascii="Century Gothic" w:hAnsi="Century Gothic"/>
          <w:sz w:val="22"/>
          <w:szCs w:val="22"/>
        </w:rPr>
        <w:footnoteRef/>
      </w:r>
      <w:r w:rsidRPr="00012BA6">
        <w:rPr>
          <w:rFonts w:ascii="Century Gothic" w:hAnsi="Century Gothic"/>
          <w:sz w:val="22"/>
          <w:szCs w:val="22"/>
        </w:rPr>
        <w:t xml:space="preserve"> </w:t>
      </w:r>
      <w:r w:rsidRPr="00012BA6">
        <w:rPr>
          <w:rFonts w:ascii="Century Gothic" w:hAnsi="Century Gothic"/>
          <w:sz w:val="22"/>
          <w:szCs w:val="22"/>
          <w:lang w:val="en-US"/>
        </w:rPr>
        <w:t xml:space="preserve">  See`: Definition of “executive authority” in section 1 of PFMA, 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516024"/>
    <w:multiLevelType w:val="multilevel"/>
    <w:tmpl w:val="47A60A44"/>
    <w:lvl w:ilvl="0">
      <w:start w:val="1"/>
      <w:numFmt w:val="decimal"/>
      <w:lvlText w:val="[%1]"/>
      <w:lvlJc w:val="left"/>
      <w:pPr>
        <w:ind w:left="1304" w:hanging="1304"/>
      </w:pPr>
      <w:rPr>
        <w:rFonts w:ascii="Century Gothic" w:hAnsi="Century Gothic" w:hint="default"/>
        <w:b w:val="0"/>
        <w:i w:val="0"/>
        <w:sz w:val="24"/>
      </w:rPr>
    </w:lvl>
    <w:lvl w:ilvl="1">
      <w:start w:val="1"/>
      <w:numFmt w:val="lowerLetter"/>
      <w:lvlText w:val="%2)"/>
      <w:lvlJc w:val="left"/>
      <w:pPr>
        <w:ind w:left="2041" w:hanging="73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1166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6B"/>
    <w:rsid w:val="00012BA6"/>
    <w:rsid w:val="0002251F"/>
    <w:rsid w:val="00023F68"/>
    <w:rsid w:val="00030F0F"/>
    <w:rsid w:val="00032877"/>
    <w:rsid w:val="000416E5"/>
    <w:rsid w:val="00071605"/>
    <w:rsid w:val="00093D6B"/>
    <w:rsid w:val="000A172C"/>
    <w:rsid w:val="000A4A42"/>
    <w:rsid w:val="000A5A38"/>
    <w:rsid w:val="000B0F36"/>
    <w:rsid w:val="000B20D4"/>
    <w:rsid w:val="000C7134"/>
    <w:rsid w:val="0011467F"/>
    <w:rsid w:val="0011777B"/>
    <w:rsid w:val="001333CD"/>
    <w:rsid w:val="0018096B"/>
    <w:rsid w:val="00181C30"/>
    <w:rsid w:val="00182C76"/>
    <w:rsid w:val="00192209"/>
    <w:rsid w:val="001A07E8"/>
    <w:rsid w:val="001C1680"/>
    <w:rsid w:val="001C6B59"/>
    <w:rsid w:val="001D5630"/>
    <w:rsid w:val="001D6B7A"/>
    <w:rsid w:val="001F4F3D"/>
    <w:rsid w:val="00225610"/>
    <w:rsid w:val="00237EC6"/>
    <w:rsid w:val="00243B31"/>
    <w:rsid w:val="00247317"/>
    <w:rsid w:val="00286617"/>
    <w:rsid w:val="00287E54"/>
    <w:rsid w:val="002B6676"/>
    <w:rsid w:val="002B6CB8"/>
    <w:rsid w:val="002E676B"/>
    <w:rsid w:val="00321641"/>
    <w:rsid w:val="00327921"/>
    <w:rsid w:val="00340C10"/>
    <w:rsid w:val="003436D5"/>
    <w:rsid w:val="00350788"/>
    <w:rsid w:val="003A6A69"/>
    <w:rsid w:val="003F162D"/>
    <w:rsid w:val="00430FA6"/>
    <w:rsid w:val="00433C9E"/>
    <w:rsid w:val="00442307"/>
    <w:rsid w:val="004601C4"/>
    <w:rsid w:val="00473337"/>
    <w:rsid w:val="00481781"/>
    <w:rsid w:val="004C1813"/>
    <w:rsid w:val="004C35A3"/>
    <w:rsid w:val="004E222C"/>
    <w:rsid w:val="004E3A18"/>
    <w:rsid w:val="00510612"/>
    <w:rsid w:val="00514C70"/>
    <w:rsid w:val="005263E1"/>
    <w:rsid w:val="00561F75"/>
    <w:rsid w:val="00574501"/>
    <w:rsid w:val="00580C3C"/>
    <w:rsid w:val="005A579A"/>
    <w:rsid w:val="005B6BDE"/>
    <w:rsid w:val="006238DE"/>
    <w:rsid w:val="00632CFF"/>
    <w:rsid w:val="00646368"/>
    <w:rsid w:val="00670472"/>
    <w:rsid w:val="00672AF6"/>
    <w:rsid w:val="00683035"/>
    <w:rsid w:val="00692859"/>
    <w:rsid w:val="006957B2"/>
    <w:rsid w:val="00696DCC"/>
    <w:rsid w:val="006D4091"/>
    <w:rsid w:val="006F7581"/>
    <w:rsid w:val="0072058C"/>
    <w:rsid w:val="00726D06"/>
    <w:rsid w:val="007358B7"/>
    <w:rsid w:val="00752F8F"/>
    <w:rsid w:val="00774C2E"/>
    <w:rsid w:val="00787F77"/>
    <w:rsid w:val="007A21F7"/>
    <w:rsid w:val="007B43D5"/>
    <w:rsid w:val="007D2FF9"/>
    <w:rsid w:val="007D6EA9"/>
    <w:rsid w:val="0081039D"/>
    <w:rsid w:val="00814860"/>
    <w:rsid w:val="0083420C"/>
    <w:rsid w:val="00885720"/>
    <w:rsid w:val="008B078F"/>
    <w:rsid w:val="008C191A"/>
    <w:rsid w:val="008C50BE"/>
    <w:rsid w:val="008E707A"/>
    <w:rsid w:val="008F2559"/>
    <w:rsid w:val="008F3080"/>
    <w:rsid w:val="008F7C09"/>
    <w:rsid w:val="0092586A"/>
    <w:rsid w:val="00940270"/>
    <w:rsid w:val="0096169C"/>
    <w:rsid w:val="00966A0F"/>
    <w:rsid w:val="00980512"/>
    <w:rsid w:val="0099459F"/>
    <w:rsid w:val="009C1E84"/>
    <w:rsid w:val="009E1E10"/>
    <w:rsid w:val="009E406F"/>
    <w:rsid w:val="00A16409"/>
    <w:rsid w:val="00A31DD7"/>
    <w:rsid w:val="00A7623D"/>
    <w:rsid w:val="00A83DDA"/>
    <w:rsid w:val="00AC15BF"/>
    <w:rsid w:val="00AC3DDA"/>
    <w:rsid w:val="00AC7447"/>
    <w:rsid w:val="00AC7448"/>
    <w:rsid w:val="00AD384A"/>
    <w:rsid w:val="00AD7CB9"/>
    <w:rsid w:val="00AE00C0"/>
    <w:rsid w:val="00AF77B8"/>
    <w:rsid w:val="00B03F34"/>
    <w:rsid w:val="00B148D2"/>
    <w:rsid w:val="00B16A41"/>
    <w:rsid w:val="00B71904"/>
    <w:rsid w:val="00B76D67"/>
    <w:rsid w:val="00B84CA5"/>
    <w:rsid w:val="00B87662"/>
    <w:rsid w:val="00B92589"/>
    <w:rsid w:val="00B956C7"/>
    <w:rsid w:val="00B9691B"/>
    <w:rsid w:val="00BD607C"/>
    <w:rsid w:val="00BF1784"/>
    <w:rsid w:val="00BF7039"/>
    <w:rsid w:val="00C01FC2"/>
    <w:rsid w:val="00C14A20"/>
    <w:rsid w:val="00CC1961"/>
    <w:rsid w:val="00CF6552"/>
    <w:rsid w:val="00D30AE1"/>
    <w:rsid w:val="00D60D83"/>
    <w:rsid w:val="00D6652D"/>
    <w:rsid w:val="00D73067"/>
    <w:rsid w:val="00D96546"/>
    <w:rsid w:val="00DE7F5A"/>
    <w:rsid w:val="00E51270"/>
    <w:rsid w:val="00E67761"/>
    <w:rsid w:val="00E765DD"/>
    <w:rsid w:val="00EB3718"/>
    <w:rsid w:val="00EE5FB0"/>
    <w:rsid w:val="00F4037C"/>
    <w:rsid w:val="00F54522"/>
    <w:rsid w:val="00F6541A"/>
    <w:rsid w:val="00FE1B59"/>
    <w:rsid w:val="00FE1FF2"/>
    <w:rsid w:val="00FF012C"/>
    <w:rsid w:val="00FF4B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C1BE"/>
  <w15:chartTrackingRefBased/>
  <w15:docId w15:val="{86861216-935E-C945-8224-020C63DC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76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E676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E676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E676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E676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E676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676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676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676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76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E676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E676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E676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E676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E67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67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67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676B"/>
    <w:rPr>
      <w:rFonts w:eastAsiaTheme="majorEastAsia" w:cstheme="majorBidi"/>
      <w:color w:val="272727" w:themeColor="text1" w:themeTint="D8"/>
    </w:rPr>
  </w:style>
  <w:style w:type="paragraph" w:styleId="Title">
    <w:name w:val="Title"/>
    <w:basedOn w:val="Normal"/>
    <w:next w:val="Normal"/>
    <w:link w:val="TitleChar"/>
    <w:uiPriority w:val="10"/>
    <w:qFormat/>
    <w:rsid w:val="002E676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67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676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67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676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E676B"/>
    <w:rPr>
      <w:i/>
      <w:iCs/>
      <w:color w:val="404040" w:themeColor="text1" w:themeTint="BF"/>
    </w:rPr>
  </w:style>
  <w:style w:type="paragraph" w:styleId="ListParagraph">
    <w:name w:val="List Paragraph"/>
    <w:basedOn w:val="Normal"/>
    <w:uiPriority w:val="34"/>
    <w:qFormat/>
    <w:rsid w:val="002E676B"/>
    <w:pPr>
      <w:ind w:left="720"/>
      <w:contextualSpacing/>
    </w:pPr>
  </w:style>
  <w:style w:type="character" w:styleId="IntenseEmphasis">
    <w:name w:val="Intense Emphasis"/>
    <w:basedOn w:val="DefaultParagraphFont"/>
    <w:uiPriority w:val="21"/>
    <w:qFormat/>
    <w:rsid w:val="002E676B"/>
    <w:rPr>
      <w:i/>
      <w:iCs/>
      <w:color w:val="2F5496" w:themeColor="accent1" w:themeShade="BF"/>
    </w:rPr>
  </w:style>
  <w:style w:type="paragraph" w:styleId="IntenseQuote">
    <w:name w:val="Intense Quote"/>
    <w:basedOn w:val="Normal"/>
    <w:next w:val="Normal"/>
    <w:link w:val="IntenseQuoteChar"/>
    <w:uiPriority w:val="30"/>
    <w:qFormat/>
    <w:rsid w:val="002E676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E676B"/>
    <w:rPr>
      <w:i/>
      <w:iCs/>
      <w:color w:val="2F5496" w:themeColor="accent1" w:themeShade="BF"/>
    </w:rPr>
  </w:style>
  <w:style w:type="character" w:styleId="IntenseReference">
    <w:name w:val="Intense Reference"/>
    <w:basedOn w:val="DefaultParagraphFont"/>
    <w:uiPriority w:val="32"/>
    <w:qFormat/>
    <w:rsid w:val="002E676B"/>
    <w:rPr>
      <w:b/>
      <w:bCs/>
      <w:smallCaps/>
      <w:color w:val="2F5496" w:themeColor="accent1" w:themeShade="BF"/>
      <w:spacing w:val="5"/>
    </w:rPr>
  </w:style>
  <w:style w:type="paragraph" w:styleId="Footer">
    <w:name w:val="footer"/>
    <w:basedOn w:val="Normal"/>
    <w:link w:val="FooterChar"/>
    <w:uiPriority w:val="99"/>
    <w:unhideWhenUsed/>
    <w:rsid w:val="007B43D5"/>
    <w:pPr>
      <w:tabs>
        <w:tab w:val="center" w:pos="4513"/>
        <w:tab w:val="right" w:pos="9026"/>
      </w:tabs>
    </w:pPr>
  </w:style>
  <w:style w:type="character" w:customStyle="1" w:styleId="FooterChar">
    <w:name w:val="Footer Char"/>
    <w:basedOn w:val="DefaultParagraphFont"/>
    <w:link w:val="Footer"/>
    <w:uiPriority w:val="99"/>
    <w:rsid w:val="007B43D5"/>
  </w:style>
  <w:style w:type="character" w:styleId="PageNumber">
    <w:name w:val="page number"/>
    <w:basedOn w:val="DefaultParagraphFont"/>
    <w:uiPriority w:val="99"/>
    <w:semiHidden/>
    <w:unhideWhenUsed/>
    <w:rsid w:val="007B43D5"/>
  </w:style>
  <w:style w:type="paragraph" w:styleId="FootnoteText">
    <w:name w:val="footnote text"/>
    <w:basedOn w:val="Normal"/>
    <w:link w:val="FootnoteTextChar"/>
    <w:uiPriority w:val="99"/>
    <w:semiHidden/>
    <w:unhideWhenUsed/>
    <w:rsid w:val="0072058C"/>
    <w:rPr>
      <w:sz w:val="20"/>
      <w:szCs w:val="20"/>
    </w:rPr>
  </w:style>
  <w:style w:type="character" w:customStyle="1" w:styleId="FootnoteTextChar">
    <w:name w:val="Footnote Text Char"/>
    <w:basedOn w:val="DefaultParagraphFont"/>
    <w:link w:val="FootnoteText"/>
    <w:uiPriority w:val="99"/>
    <w:semiHidden/>
    <w:rsid w:val="0072058C"/>
    <w:rPr>
      <w:sz w:val="20"/>
      <w:szCs w:val="20"/>
    </w:rPr>
  </w:style>
  <w:style w:type="character" w:styleId="FootnoteReference">
    <w:name w:val="footnote reference"/>
    <w:basedOn w:val="DefaultParagraphFont"/>
    <w:uiPriority w:val="99"/>
    <w:semiHidden/>
    <w:unhideWhenUsed/>
    <w:rsid w:val="007205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6F71C-10D3-4BD7-88EA-1AD711AA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5688</Words>
  <Characters>32426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Japie Maritz</dc:creator>
  <cp:keywords/>
  <dc:description/>
  <cp:lastModifiedBy>sathish sarshan  mohan</cp:lastModifiedBy>
  <cp:revision>4</cp:revision>
  <cp:lastPrinted>2024-04-14T07:17:00Z</cp:lastPrinted>
  <dcterms:created xsi:type="dcterms:W3CDTF">2024-04-15T18:12:00Z</dcterms:created>
  <dcterms:modified xsi:type="dcterms:W3CDTF">2024-05-09T10:47:00Z</dcterms:modified>
</cp:coreProperties>
</file>