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38A3C53A" wp14:editId="7DD21743">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rsidR="003E0C57"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p>
    <w:p w:rsidR="003E0C57" w:rsidRDefault="003E0C57" w:rsidP="003E0C57">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Pr="00694231">
        <w:rPr>
          <w:rFonts w:ascii="Times New Roman" w:hAnsi="Times New Roman" w:cs="Times New Roman"/>
          <w:sz w:val="28"/>
          <w:szCs w:val="28"/>
        </w:rPr>
        <w:t>:</w:t>
      </w:r>
      <w:r w:rsidR="00FE7867">
        <w:rPr>
          <w:rFonts w:ascii="Times New Roman" w:hAnsi="Times New Roman" w:cs="Times New Roman"/>
          <w:sz w:val="28"/>
          <w:szCs w:val="28"/>
        </w:rPr>
        <w:t xml:space="preserve"> A188/2023</w:t>
      </w:r>
    </w:p>
    <w:p w:rsidR="003E0C57" w:rsidRPr="00694231" w:rsidRDefault="003E0C57" w:rsidP="003E0C57">
      <w:pPr>
        <w:tabs>
          <w:tab w:val="left" w:pos="4917"/>
        </w:tabs>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FD35355" wp14:editId="6930D698">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rsidR="003E0C57" w:rsidRDefault="003E0C57" w:rsidP="003E0C57">
                            <w:pPr>
                              <w:jc w:val="center"/>
                              <w:rPr>
                                <w:rFonts w:ascii="Century Gothic" w:hAnsi="Century Gothic"/>
                                <w:b/>
                                <w:sz w:val="20"/>
                                <w:szCs w:val="20"/>
                              </w:rPr>
                            </w:pP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rsidR="003E0C57" w:rsidRDefault="003E0C57" w:rsidP="003E0C57">
                            <w:pPr>
                              <w:spacing w:after="0" w:line="240" w:lineRule="auto"/>
                              <w:rPr>
                                <w:rFonts w:ascii="Century Gothic" w:hAnsi="Century Gothic"/>
                                <w:sz w:val="20"/>
                                <w:szCs w:val="20"/>
                              </w:rPr>
                            </w:pPr>
                          </w:p>
                          <w:p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rsidR="003E0C57" w:rsidRDefault="003E0C57" w:rsidP="003E0C57">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5355"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">
                <v:textbox>
                  <w:txbxContent>
                    <w:p w:rsidR="003E0C57" w:rsidRDefault="003E0C57" w:rsidP="003E0C57">
                      <w:pPr>
                        <w:jc w:val="center"/>
                        <w:rPr>
                          <w:rFonts w:ascii="Century Gothic" w:hAnsi="Century Gothic"/>
                          <w:b/>
                          <w:sz w:val="20"/>
                          <w:szCs w:val="20"/>
                        </w:rPr>
                      </w:pP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rsidR="003E0C57" w:rsidRDefault="003E0C57" w:rsidP="003E0C57">
                      <w:pPr>
                        <w:spacing w:after="0" w:line="240" w:lineRule="auto"/>
                        <w:rPr>
                          <w:rFonts w:ascii="Century Gothic" w:hAnsi="Century Gothic"/>
                          <w:sz w:val="20"/>
                          <w:szCs w:val="20"/>
                        </w:rPr>
                      </w:pPr>
                    </w:p>
                    <w:p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rsidR="003E0C57" w:rsidRDefault="003E0C57" w:rsidP="003E0C57">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rsidR="003E0C57" w:rsidRPr="00694231" w:rsidRDefault="003E0C57" w:rsidP="003E0C57">
      <w:pPr>
        <w:tabs>
          <w:tab w:val="left" w:pos="4917"/>
        </w:tabs>
        <w:spacing w:after="0" w:line="240" w:lineRule="auto"/>
        <w:jc w:val="center"/>
        <w:rPr>
          <w:rFonts w:ascii="Times New Roman" w:hAnsi="Times New Roman" w:cs="Times New Roman"/>
          <w:sz w:val="28"/>
          <w:szCs w:val="28"/>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rsidR="003E0C57" w:rsidRDefault="003E0C57" w:rsidP="003E0C57">
      <w:pPr>
        <w:tabs>
          <w:tab w:val="left" w:pos="4917"/>
        </w:tabs>
        <w:spacing w:after="0" w:line="240" w:lineRule="auto"/>
        <w:jc w:val="both"/>
        <w:rPr>
          <w:rFonts w:ascii="Times New Roman" w:hAnsi="Times New Roman" w:cs="Times New Roman"/>
          <w:sz w:val="28"/>
          <w:szCs w:val="28"/>
        </w:rPr>
      </w:pPr>
      <w:r w:rsidRPr="00694231">
        <w:rPr>
          <w:rFonts w:ascii="Times New Roman" w:hAnsi="Times New Roman" w:cs="Times New Roman"/>
          <w:sz w:val="28"/>
          <w:szCs w:val="28"/>
        </w:rPr>
        <w:t xml:space="preserve">In the </w:t>
      </w:r>
      <w:r>
        <w:rPr>
          <w:rFonts w:ascii="Times New Roman" w:hAnsi="Times New Roman" w:cs="Times New Roman"/>
          <w:sz w:val="28"/>
          <w:szCs w:val="28"/>
        </w:rPr>
        <w:t>matters</w:t>
      </w:r>
      <w:r w:rsidRPr="00694231">
        <w:rPr>
          <w:rFonts w:ascii="Times New Roman" w:hAnsi="Times New Roman" w:cs="Times New Roman"/>
          <w:sz w:val="28"/>
          <w:szCs w:val="28"/>
        </w:rPr>
        <w:t xml:space="preserve"> between:</w:t>
      </w:r>
      <w:r>
        <w:rPr>
          <w:rFonts w:ascii="Times New Roman" w:hAnsi="Times New Roman" w:cs="Times New Roman"/>
          <w:sz w:val="28"/>
          <w:szCs w:val="28"/>
        </w:rPr>
        <w:t xml:space="preserve"> -</w:t>
      </w:r>
    </w:p>
    <w:p w:rsidR="003E0C57" w:rsidRDefault="003E0C57" w:rsidP="003E0C57">
      <w:pPr>
        <w:tabs>
          <w:tab w:val="left" w:pos="4917"/>
        </w:tabs>
        <w:spacing w:after="0" w:line="240" w:lineRule="auto"/>
        <w:jc w:val="both"/>
        <w:rPr>
          <w:rFonts w:ascii="Times New Roman" w:hAnsi="Times New Roman" w:cs="Times New Roman"/>
          <w:sz w:val="28"/>
          <w:szCs w:val="28"/>
        </w:rPr>
      </w:pPr>
    </w:p>
    <w:p w:rsidR="003E0C57" w:rsidRDefault="006B6D0C"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PHIWE MKWEBULA</w:t>
      </w:r>
      <w:r w:rsidR="003E0C57">
        <w:rPr>
          <w:rFonts w:ascii="Times New Roman" w:hAnsi="Times New Roman" w:cs="Times New Roman"/>
          <w:sz w:val="28"/>
          <w:szCs w:val="28"/>
        </w:rPr>
        <w:t xml:space="preserve">                                                          APPLICANT </w:t>
      </w:r>
    </w:p>
    <w:p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And</w:t>
      </w:r>
    </w:p>
    <w:p w:rsidR="003E0C57" w:rsidRDefault="00FE786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STATE</w:t>
      </w:r>
      <w:r w:rsidR="003E0C57">
        <w:rPr>
          <w:rFonts w:ascii="Times New Roman" w:hAnsi="Times New Roman" w:cs="Times New Roman"/>
          <w:sz w:val="28"/>
          <w:szCs w:val="28"/>
        </w:rPr>
        <w:tab/>
      </w:r>
      <w:r>
        <w:rPr>
          <w:rFonts w:ascii="Times New Roman" w:hAnsi="Times New Roman" w:cs="Times New Roman"/>
          <w:sz w:val="28"/>
          <w:szCs w:val="28"/>
        </w:rPr>
        <w:t xml:space="preserve">                           </w:t>
      </w:r>
      <w:r w:rsidR="003E0C57">
        <w:rPr>
          <w:rFonts w:ascii="Times New Roman" w:hAnsi="Times New Roman" w:cs="Times New Roman"/>
          <w:sz w:val="28"/>
          <w:szCs w:val="28"/>
        </w:rPr>
        <w:t>RESPONDENT</w:t>
      </w:r>
    </w:p>
    <w:p w:rsidR="003E0C57" w:rsidRPr="00694231" w:rsidRDefault="004A560C"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b/>
          <w:sz w:val="28"/>
          <w:szCs w:val="28"/>
        </w:rPr>
        <w:pict>
          <v:rect id="_x0000_i1025" style="width:0;height:1.5pt" o:hralign="center" o:hrstd="t" o:hr="t" fillcolor="#a0a0a0" stroked="f"/>
        </w:pict>
      </w:r>
    </w:p>
    <w:p w:rsidR="003E0C57" w:rsidRPr="006A500A" w:rsidRDefault="003E0C57" w:rsidP="003E0C57">
      <w:pPr>
        <w:spacing w:before="240" w:after="0" w:line="240" w:lineRule="auto"/>
        <w:jc w:val="center"/>
        <w:rPr>
          <w:rFonts w:ascii="Times New Roman" w:hAnsi="Times New Roman" w:cs="Times New Roman"/>
          <w:b/>
          <w:sz w:val="28"/>
          <w:szCs w:val="28"/>
        </w:rPr>
      </w:pPr>
      <w:r w:rsidRPr="006A500A">
        <w:rPr>
          <w:rFonts w:ascii="Times New Roman" w:hAnsi="Times New Roman" w:cs="Times New Roman"/>
          <w:b/>
          <w:sz w:val="28"/>
          <w:szCs w:val="28"/>
        </w:rPr>
        <w:t>JUDGMENT</w:t>
      </w:r>
    </w:p>
    <w:p w:rsidR="003E0C57" w:rsidRPr="00694231" w:rsidRDefault="004A560C" w:rsidP="003E0C5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v:rect id="_x0000_i1026" style="width:0;height:1.5pt" o:hralign="center" o:hrstd="t" o:hr="t" fillcolor="#a0a0a0" stroked="f"/>
        </w:pict>
      </w:r>
    </w:p>
    <w:p w:rsidR="003E0C57" w:rsidRDefault="003E0C57" w:rsidP="003E0C57">
      <w:pPr>
        <w:spacing w:before="24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BAQWA</w:t>
      </w:r>
      <w:r w:rsidRPr="0007638A">
        <w:rPr>
          <w:rFonts w:ascii="Times New Roman" w:hAnsi="Times New Roman" w:cs="Times New Roman"/>
          <w:b/>
          <w:sz w:val="28"/>
          <w:szCs w:val="28"/>
          <w:u w:val="single"/>
        </w:rPr>
        <w:t>, J</w:t>
      </w:r>
      <w:r w:rsidR="00DE36E8">
        <w:rPr>
          <w:rFonts w:ascii="Times New Roman" w:hAnsi="Times New Roman" w:cs="Times New Roman"/>
          <w:b/>
          <w:sz w:val="28"/>
          <w:szCs w:val="28"/>
          <w:u w:val="single"/>
        </w:rPr>
        <w:t xml:space="preserve"> (LE GRANGE </w:t>
      </w:r>
      <w:r w:rsidR="000963C2">
        <w:rPr>
          <w:rFonts w:ascii="Times New Roman" w:hAnsi="Times New Roman" w:cs="Times New Roman"/>
          <w:b/>
          <w:sz w:val="28"/>
          <w:szCs w:val="28"/>
          <w:u w:val="single"/>
        </w:rPr>
        <w:t xml:space="preserve">AJ </w:t>
      </w:r>
      <w:r w:rsidR="00DE36E8">
        <w:rPr>
          <w:rFonts w:ascii="Times New Roman" w:hAnsi="Times New Roman" w:cs="Times New Roman"/>
          <w:b/>
          <w:sz w:val="28"/>
          <w:szCs w:val="28"/>
          <w:u w:val="single"/>
        </w:rPr>
        <w:t>CONCURRING)</w:t>
      </w:r>
      <w:r w:rsidR="00DE36E8" w:rsidRPr="00DE36E8">
        <w:t xml:space="preserve"> </w:t>
      </w:r>
      <w:r w:rsidR="00DE36E8">
        <w:t xml:space="preserve">           </w:t>
      </w:r>
    </w:p>
    <w:p w:rsidR="003E0C57" w:rsidRDefault="003E0C57" w:rsidP="003E0C57">
      <w:pPr>
        <w:spacing w:after="160" w:line="259" w:lineRule="auto"/>
        <w:jc w:val="both"/>
        <w:rPr>
          <w:rFonts w:ascii="Times New Roman" w:eastAsiaTheme="minorHAnsi" w:hAnsi="Times New Roman" w:cs="Times New Roman"/>
          <w:sz w:val="28"/>
          <w:szCs w:val="28"/>
          <w:u w:val="single"/>
          <w:lang w:eastAsia="en-US"/>
        </w:rPr>
      </w:pPr>
      <w:r w:rsidRPr="000C5D76">
        <w:rPr>
          <w:rFonts w:ascii="Times New Roman" w:eastAsiaTheme="minorHAnsi" w:hAnsi="Times New Roman" w:cs="Times New Roman"/>
          <w:sz w:val="28"/>
          <w:szCs w:val="28"/>
          <w:u w:val="single"/>
          <w:lang w:eastAsia="en-US"/>
        </w:rPr>
        <w:t>I</w:t>
      </w:r>
      <w:r w:rsidRPr="00304086">
        <w:rPr>
          <w:rFonts w:ascii="Times New Roman" w:eastAsiaTheme="minorHAnsi" w:hAnsi="Times New Roman" w:cs="Times New Roman"/>
          <w:sz w:val="28"/>
          <w:szCs w:val="28"/>
          <w:u w:val="single"/>
          <w:lang w:eastAsia="en-US"/>
        </w:rPr>
        <w:t>ntroduction</w:t>
      </w:r>
    </w:p>
    <w:p w:rsidR="006B6D0C" w:rsidRPr="00FE7867" w:rsidRDefault="00FE7867" w:rsidP="00FE7867">
      <w:pPr>
        <w:pStyle w:val="1"/>
        <w:rPr>
          <w:rFonts w:ascii="Times New Roman" w:hAnsi="Times New Roman" w:cs="Times New Roman"/>
          <w:sz w:val="28"/>
          <w:szCs w:val="28"/>
        </w:rPr>
      </w:pPr>
      <w:r w:rsidRPr="00FE7867">
        <w:rPr>
          <w:rFonts w:ascii="Times New Roman" w:hAnsi="Times New Roman" w:cs="Times New Roman"/>
          <w:sz w:val="28"/>
          <w:szCs w:val="28"/>
        </w:rPr>
        <w:lastRenderedPageBreak/>
        <w:t>[1] The</w:t>
      </w:r>
      <w:r w:rsidR="006B6D0C" w:rsidRPr="00FE7867">
        <w:rPr>
          <w:rFonts w:ascii="Times New Roman" w:hAnsi="Times New Roman" w:cs="Times New Roman"/>
          <w:sz w:val="28"/>
          <w:szCs w:val="28"/>
        </w:rPr>
        <w:t xml:space="preserve"> appellant was arraigned before the Regional Court, Fochville on a charge of murder (read with the provisions of section 51 (2) of the Criminal Law Amendment Act 105 of 1997) in that upon as about 16 June 2021 and at or near Wedela in The Regional Division of Gauteng he did unlawfully and intentionally kill Bavuyise Sobahle a male person by stabbing him with sharp object.</w:t>
      </w:r>
    </w:p>
    <w:p w:rsidR="00C456A0" w:rsidRPr="00FE7867" w:rsidRDefault="00FE7867" w:rsidP="00FE7867">
      <w:pPr>
        <w:pStyle w:val="1"/>
        <w:ind w:left="0" w:firstLine="0"/>
        <w:rPr>
          <w:rFonts w:ascii="Times New Roman" w:hAnsi="Times New Roman" w:cs="Times New Roman"/>
          <w:sz w:val="28"/>
          <w:szCs w:val="28"/>
        </w:rPr>
      </w:pPr>
      <w:r w:rsidRPr="00FE7867">
        <w:rPr>
          <w:rFonts w:ascii="Times New Roman" w:hAnsi="Times New Roman" w:cs="Times New Roman"/>
          <w:sz w:val="28"/>
          <w:szCs w:val="28"/>
        </w:rPr>
        <w:t xml:space="preserve">[2] </w:t>
      </w:r>
      <w:r w:rsidR="00C456A0" w:rsidRPr="00FE7867">
        <w:rPr>
          <w:rFonts w:ascii="Times New Roman" w:hAnsi="Times New Roman" w:cs="Times New Roman"/>
          <w:sz w:val="28"/>
          <w:szCs w:val="28"/>
        </w:rPr>
        <w:t xml:space="preserve">He was convicted as charged and sentenced on 2 June 2022 to fifteen </w:t>
      </w:r>
      <w:r w:rsidR="000963C2">
        <w:rPr>
          <w:rFonts w:ascii="Times New Roman" w:hAnsi="Times New Roman" w:cs="Times New Roman"/>
          <w:sz w:val="28"/>
          <w:szCs w:val="28"/>
        </w:rPr>
        <w:t>years</w:t>
      </w:r>
      <w:r w:rsidR="00C456A0" w:rsidRPr="00FE7867">
        <w:rPr>
          <w:rFonts w:ascii="Times New Roman" w:hAnsi="Times New Roman" w:cs="Times New Roman"/>
          <w:sz w:val="28"/>
          <w:szCs w:val="28"/>
        </w:rPr>
        <w:t xml:space="preserve"> imprisonment and declared unfit to possess a firearm in terms of section 103 (1) of Act 60 of 2000.</w:t>
      </w:r>
    </w:p>
    <w:p w:rsidR="00C456A0" w:rsidRPr="00FE7867" w:rsidRDefault="00FE7867" w:rsidP="00FE7867">
      <w:pPr>
        <w:pStyle w:val="1"/>
        <w:rPr>
          <w:rFonts w:ascii="Times New Roman" w:hAnsi="Times New Roman" w:cs="Times New Roman"/>
          <w:sz w:val="28"/>
          <w:szCs w:val="28"/>
        </w:rPr>
      </w:pPr>
      <w:r w:rsidRPr="00FE7867">
        <w:rPr>
          <w:rFonts w:ascii="Times New Roman" w:hAnsi="Times New Roman" w:cs="Times New Roman"/>
          <w:sz w:val="28"/>
          <w:szCs w:val="28"/>
        </w:rPr>
        <w:t xml:space="preserve">[3] </w:t>
      </w:r>
      <w:r w:rsidR="00C456A0" w:rsidRPr="00FE7867">
        <w:rPr>
          <w:rFonts w:ascii="Times New Roman" w:hAnsi="Times New Roman" w:cs="Times New Roman"/>
          <w:sz w:val="28"/>
          <w:szCs w:val="28"/>
        </w:rPr>
        <w:t xml:space="preserve">The appellant </w:t>
      </w:r>
      <w:r w:rsidR="000963C2">
        <w:rPr>
          <w:rFonts w:ascii="Times New Roman" w:hAnsi="Times New Roman" w:cs="Times New Roman"/>
          <w:sz w:val="28"/>
          <w:szCs w:val="28"/>
        </w:rPr>
        <w:t>was granted leave by the court a</w:t>
      </w:r>
      <w:r w:rsidR="00C456A0" w:rsidRPr="00FE7867">
        <w:rPr>
          <w:rFonts w:ascii="Times New Roman" w:hAnsi="Times New Roman" w:cs="Times New Roman"/>
          <w:sz w:val="28"/>
          <w:szCs w:val="28"/>
        </w:rPr>
        <w:t xml:space="preserve"> quo against sentence only.</w:t>
      </w:r>
    </w:p>
    <w:p w:rsidR="00C456A0" w:rsidRPr="00FE7867" w:rsidRDefault="00FE7867" w:rsidP="00FE7867">
      <w:pPr>
        <w:pStyle w:val="1"/>
        <w:rPr>
          <w:rFonts w:ascii="Times New Roman" w:hAnsi="Times New Roman" w:cs="Times New Roman"/>
          <w:sz w:val="28"/>
          <w:szCs w:val="28"/>
        </w:rPr>
      </w:pPr>
      <w:r w:rsidRPr="00FE7867">
        <w:rPr>
          <w:rFonts w:ascii="Times New Roman" w:hAnsi="Times New Roman" w:cs="Times New Roman"/>
          <w:sz w:val="28"/>
          <w:szCs w:val="28"/>
        </w:rPr>
        <w:t xml:space="preserve">[4] </w:t>
      </w:r>
      <w:r w:rsidR="00C456A0" w:rsidRPr="00FE7867">
        <w:rPr>
          <w:rFonts w:ascii="Times New Roman" w:hAnsi="Times New Roman" w:cs="Times New Roman"/>
          <w:sz w:val="28"/>
          <w:szCs w:val="28"/>
        </w:rPr>
        <w:t>The background to the case is summarise</w:t>
      </w:r>
      <w:r w:rsidRPr="00FE7867">
        <w:rPr>
          <w:rFonts w:ascii="Times New Roman" w:hAnsi="Times New Roman" w:cs="Times New Roman"/>
          <w:sz w:val="28"/>
          <w:szCs w:val="28"/>
        </w:rPr>
        <w:t>d in the section 112(2) of the criminal Procedure Act s</w:t>
      </w:r>
      <w:r w:rsidR="00C456A0" w:rsidRPr="00FE7867">
        <w:rPr>
          <w:rFonts w:ascii="Times New Roman" w:hAnsi="Times New Roman" w:cs="Times New Roman"/>
          <w:sz w:val="28"/>
          <w:szCs w:val="28"/>
        </w:rPr>
        <w:t>tatement tendered by the appellant before the court a quo.</w:t>
      </w:r>
    </w:p>
    <w:p w:rsidR="00C456A0" w:rsidRPr="00FE7867" w:rsidRDefault="00FE7867"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 xml:space="preserve"> 4.1 I</w:t>
      </w:r>
      <w:r w:rsidR="00C456A0" w:rsidRPr="00FE7867">
        <w:rPr>
          <w:rFonts w:ascii="Times New Roman" w:hAnsi="Times New Roman" w:cs="Times New Roman"/>
          <w:sz w:val="28"/>
          <w:szCs w:val="28"/>
        </w:rPr>
        <w:t>n that statement the appellant admitted having unlawfully and intentionally killed Bavuyise Sobahle by stabbing him multiple times with a knife.</w:t>
      </w:r>
    </w:p>
    <w:p w:rsidR="00C456A0" w:rsidRPr="00FE7867" w:rsidRDefault="000963C2" w:rsidP="00FE7867">
      <w:pPr>
        <w:pStyle w:val="1"/>
        <w:ind w:left="1134"/>
        <w:rPr>
          <w:rFonts w:ascii="Times New Roman" w:hAnsi="Times New Roman" w:cs="Times New Roman"/>
          <w:sz w:val="28"/>
          <w:szCs w:val="28"/>
        </w:rPr>
      </w:pPr>
      <w:r>
        <w:rPr>
          <w:rFonts w:ascii="Times New Roman" w:hAnsi="Times New Roman" w:cs="Times New Roman"/>
          <w:sz w:val="28"/>
          <w:szCs w:val="28"/>
        </w:rPr>
        <w:t>4.2 He further explained that on the</w:t>
      </w:r>
      <w:r w:rsidR="00C456A0" w:rsidRPr="00FE7867">
        <w:rPr>
          <w:rFonts w:ascii="Times New Roman" w:hAnsi="Times New Roman" w:cs="Times New Roman"/>
          <w:sz w:val="28"/>
          <w:szCs w:val="28"/>
        </w:rPr>
        <w:t xml:space="preserve"> morning of 16</w:t>
      </w:r>
      <w:r>
        <w:rPr>
          <w:rFonts w:ascii="Times New Roman" w:hAnsi="Times New Roman" w:cs="Times New Roman"/>
          <w:sz w:val="28"/>
          <w:szCs w:val="28"/>
        </w:rPr>
        <w:t xml:space="preserve"> June 2021 he was walking in Tugela</w:t>
      </w:r>
      <w:r w:rsidR="00C456A0" w:rsidRPr="00FE7867">
        <w:rPr>
          <w:rFonts w:ascii="Times New Roman" w:hAnsi="Times New Roman" w:cs="Times New Roman"/>
          <w:sz w:val="28"/>
          <w:szCs w:val="28"/>
        </w:rPr>
        <w:t xml:space="preserve"> Street on his way home from his brother’s house when he noticed the deceased in front of him.</w:t>
      </w:r>
    </w:p>
    <w:p w:rsidR="00C456A0" w:rsidRPr="00FE7867" w:rsidRDefault="00C456A0"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4.3 The deceased started shouting at the appellant as they had had an altercation a few days before. The deceased was armed with</w:t>
      </w:r>
      <w:r w:rsidR="000963C2">
        <w:rPr>
          <w:rFonts w:ascii="Times New Roman" w:hAnsi="Times New Roman" w:cs="Times New Roman"/>
          <w:sz w:val="28"/>
          <w:szCs w:val="28"/>
        </w:rPr>
        <w:t xml:space="preserve"> a</w:t>
      </w:r>
      <w:r w:rsidRPr="00FE7867">
        <w:rPr>
          <w:rFonts w:ascii="Times New Roman" w:hAnsi="Times New Roman" w:cs="Times New Roman"/>
          <w:sz w:val="28"/>
          <w:szCs w:val="28"/>
        </w:rPr>
        <w:t xml:space="preserve"> knife.</w:t>
      </w:r>
    </w:p>
    <w:p w:rsidR="00C456A0" w:rsidRPr="00FE7867" w:rsidRDefault="00FE7867"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4.4 T</w:t>
      </w:r>
      <w:r w:rsidR="00C456A0" w:rsidRPr="00FE7867">
        <w:rPr>
          <w:rFonts w:ascii="Times New Roman" w:hAnsi="Times New Roman" w:cs="Times New Roman"/>
          <w:sz w:val="28"/>
          <w:szCs w:val="28"/>
        </w:rPr>
        <w:t>he deceased proceeded to stab at the appellant with the knife. The appellant was able to grab hold of the knife and twisted his hand aroun</w:t>
      </w:r>
      <w:r w:rsidR="000963C2">
        <w:rPr>
          <w:rFonts w:ascii="Times New Roman" w:hAnsi="Times New Roman" w:cs="Times New Roman"/>
          <w:sz w:val="28"/>
          <w:szCs w:val="28"/>
        </w:rPr>
        <w:t>d with both holding the knife. H</w:t>
      </w:r>
      <w:r w:rsidR="00C456A0" w:rsidRPr="00FE7867">
        <w:rPr>
          <w:rFonts w:ascii="Times New Roman" w:hAnsi="Times New Roman" w:cs="Times New Roman"/>
          <w:sz w:val="28"/>
          <w:szCs w:val="28"/>
        </w:rPr>
        <w:t>e then stabbed</w:t>
      </w:r>
      <w:r w:rsidR="00522FCF" w:rsidRPr="00FE7867">
        <w:rPr>
          <w:rFonts w:ascii="Times New Roman" w:hAnsi="Times New Roman" w:cs="Times New Roman"/>
          <w:sz w:val="28"/>
          <w:szCs w:val="28"/>
        </w:rPr>
        <w:t xml:space="preserve"> the deceased on the chest.</w:t>
      </w:r>
    </w:p>
    <w:p w:rsidR="00522FCF" w:rsidRPr="00FE7867" w:rsidRDefault="00522FCF"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 xml:space="preserve">4.5 </w:t>
      </w:r>
      <w:r w:rsidR="00FE7867" w:rsidRPr="00FE7867">
        <w:rPr>
          <w:rFonts w:ascii="Times New Roman" w:hAnsi="Times New Roman" w:cs="Times New Roman"/>
          <w:sz w:val="28"/>
          <w:szCs w:val="28"/>
        </w:rPr>
        <w:t>T</w:t>
      </w:r>
      <w:r w:rsidR="003A71C1" w:rsidRPr="00FE7867">
        <w:rPr>
          <w:rFonts w:ascii="Times New Roman" w:hAnsi="Times New Roman" w:cs="Times New Roman"/>
          <w:sz w:val="28"/>
          <w:szCs w:val="28"/>
        </w:rPr>
        <w:t>he appellant disarmed the deceased of the knife and the deceased was no longer a threat to the appellant.</w:t>
      </w:r>
    </w:p>
    <w:p w:rsidR="003A71C1" w:rsidRPr="00FE7867" w:rsidRDefault="00FE7867"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4.6 I</w:t>
      </w:r>
      <w:r w:rsidR="003A71C1" w:rsidRPr="00FE7867">
        <w:rPr>
          <w:rFonts w:ascii="Times New Roman" w:hAnsi="Times New Roman" w:cs="Times New Roman"/>
          <w:sz w:val="28"/>
          <w:szCs w:val="28"/>
        </w:rPr>
        <w:t>n his anger the deceased still tried to assault the appellant</w:t>
      </w:r>
      <w:r w:rsidR="005F1323" w:rsidRPr="00FE7867">
        <w:rPr>
          <w:rFonts w:ascii="Times New Roman" w:hAnsi="Times New Roman" w:cs="Times New Roman"/>
          <w:sz w:val="28"/>
          <w:szCs w:val="28"/>
        </w:rPr>
        <w:t xml:space="preserve"> whereupon the appellant proceeded to s</w:t>
      </w:r>
      <w:r w:rsidR="000963C2">
        <w:rPr>
          <w:rFonts w:ascii="Times New Roman" w:hAnsi="Times New Roman" w:cs="Times New Roman"/>
          <w:sz w:val="28"/>
          <w:szCs w:val="28"/>
        </w:rPr>
        <w:t>tab the deceased multiple times. T</w:t>
      </w:r>
      <w:r w:rsidR="005F1323" w:rsidRPr="00FE7867">
        <w:rPr>
          <w:rFonts w:ascii="Times New Roman" w:hAnsi="Times New Roman" w:cs="Times New Roman"/>
          <w:sz w:val="28"/>
          <w:szCs w:val="28"/>
        </w:rPr>
        <w:t>he deceased fell on the ground and the appellant left him, he was arrested by the police not far away from the scene.</w:t>
      </w:r>
    </w:p>
    <w:p w:rsidR="005F1323" w:rsidRPr="00FE7867" w:rsidRDefault="005F1323"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4.7 The appellant admitted that he foresaw the possibility that by him stabbing the deceased in the manner that he did, that would cause the deceased serious injuries and that he might die.</w:t>
      </w:r>
    </w:p>
    <w:p w:rsidR="005F1323" w:rsidRPr="00FE7867" w:rsidRDefault="005F1323" w:rsidP="00FE7867">
      <w:pPr>
        <w:pStyle w:val="1"/>
        <w:ind w:left="1134"/>
        <w:rPr>
          <w:rFonts w:ascii="Times New Roman" w:hAnsi="Times New Roman" w:cs="Times New Roman"/>
          <w:sz w:val="28"/>
          <w:szCs w:val="28"/>
        </w:rPr>
      </w:pPr>
      <w:r w:rsidRPr="00FE7867">
        <w:rPr>
          <w:rFonts w:ascii="Times New Roman" w:hAnsi="Times New Roman" w:cs="Times New Roman"/>
          <w:sz w:val="28"/>
          <w:szCs w:val="28"/>
        </w:rPr>
        <w:t>4.8 He reconciled himself and accepted that possibility that the attack might result in his death.</w:t>
      </w:r>
    </w:p>
    <w:p w:rsidR="005F1323" w:rsidRPr="00FE7867" w:rsidRDefault="005F1323" w:rsidP="00FE7867">
      <w:pPr>
        <w:pStyle w:val="1"/>
        <w:rPr>
          <w:rFonts w:ascii="Times New Roman" w:hAnsi="Times New Roman" w:cs="Times New Roman"/>
          <w:sz w:val="28"/>
          <w:szCs w:val="28"/>
          <w:u w:val="single"/>
        </w:rPr>
      </w:pPr>
      <w:r w:rsidRPr="00FE7867">
        <w:rPr>
          <w:rFonts w:ascii="Times New Roman" w:hAnsi="Times New Roman" w:cs="Times New Roman"/>
          <w:sz w:val="28"/>
          <w:szCs w:val="28"/>
          <w:u w:val="single"/>
        </w:rPr>
        <w:t>Personal circumstance and background facts</w:t>
      </w:r>
    </w:p>
    <w:p w:rsidR="00570A3F" w:rsidRPr="00FE7867" w:rsidRDefault="00FE7867" w:rsidP="00FE7867">
      <w:pPr>
        <w:pStyle w:val="1"/>
        <w:rPr>
          <w:rFonts w:ascii="Times New Roman" w:hAnsi="Times New Roman" w:cs="Times New Roman"/>
          <w:sz w:val="28"/>
          <w:szCs w:val="28"/>
        </w:rPr>
      </w:pPr>
      <w:r>
        <w:rPr>
          <w:rFonts w:ascii="Times New Roman" w:hAnsi="Times New Roman" w:cs="Times New Roman"/>
          <w:sz w:val="28"/>
          <w:szCs w:val="28"/>
        </w:rPr>
        <w:t>[5</w:t>
      </w:r>
      <w:r w:rsidR="007B1665">
        <w:rPr>
          <w:rFonts w:ascii="Times New Roman" w:hAnsi="Times New Roman" w:cs="Times New Roman"/>
          <w:sz w:val="28"/>
          <w:szCs w:val="28"/>
        </w:rPr>
        <w:t xml:space="preserve">] </w:t>
      </w:r>
      <w:r w:rsidR="007B1665" w:rsidRPr="00FE7867">
        <w:rPr>
          <w:rFonts w:ascii="Times New Roman" w:hAnsi="Times New Roman" w:cs="Times New Roman"/>
          <w:sz w:val="28"/>
          <w:szCs w:val="28"/>
        </w:rPr>
        <w:t>According</w:t>
      </w:r>
      <w:r w:rsidR="00570A3F" w:rsidRPr="00FE7867">
        <w:rPr>
          <w:rFonts w:ascii="Times New Roman" w:hAnsi="Times New Roman" w:cs="Times New Roman"/>
          <w:sz w:val="28"/>
          <w:szCs w:val="28"/>
        </w:rPr>
        <w:t xml:space="preserve"> to the pre</w:t>
      </w:r>
      <w:r w:rsidR="000963C2">
        <w:rPr>
          <w:rFonts w:ascii="Times New Roman" w:hAnsi="Times New Roman" w:cs="Times New Roman"/>
          <w:sz w:val="28"/>
          <w:szCs w:val="28"/>
        </w:rPr>
        <w:t>-</w:t>
      </w:r>
      <w:r w:rsidR="00570A3F" w:rsidRPr="00FE7867">
        <w:rPr>
          <w:rFonts w:ascii="Times New Roman" w:hAnsi="Times New Roman" w:cs="Times New Roman"/>
          <w:sz w:val="28"/>
          <w:szCs w:val="28"/>
        </w:rPr>
        <w:t>sentence report the appellant was</w:t>
      </w:r>
      <w:r w:rsidR="000963C2">
        <w:rPr>
          <w:rFonts w:ascii="Times New Roman" w:hAnsi="Times New Roman" w:cs="Times New Roman"/>
          <w:sz w:val="28"/>
          <w:szCs w:val="28"/>
        </w:rPr>
        <w:t xml:space="preserve"> a</w:t>
      </w:r>
      <w:r w:rsidR="00570A3F" w:rsidRPr="00FE7867">
        <w:rPr>
          <w:rFonts w:ascii="Times New Roman" w:hAnsi="Times New Roman" w:cs="Times New Roman"/>
          <w:sz w:val="28"/>
          <w:szCs w:val="28"/>
        </w:rPr>
        <w:t xml:space="preserve"> 25-year-old male. He was unemployed</w:t>
      </w:r>
      <w:r w:rsidR="000963C2">
        <w:rPr>
          <w:rFonts w:ascii="Times New Roman" w:hAnsi="Times New Roman" w:cs="Times New Roman"/>
          <w:sz w:val="28"/>
          <w:szCs w:val="28"/>
        </w:rPr>
        <w:t xml:space="preserve"> and</w:t>
      </w:r>
      <w:r w:rsidR="00570A3F" w:rsidRPr="00FE7867">
        <w:rPr>
          <w:rFonts w:ascii="Times New Roman" w:hAnsi="Times New Roman" w:cs="Times New Roman"/>
          <w:sz w:val="28"/>
          <w:szCs w:val="28"/>
        </w:rPr>
        <w:t xml:space="preserve"> on the day of the incident he was at a stokvel where he consumed alcohol, thereafter the appellant was attacked by the deceased with a knife which left him with an injury on the hand. It needs to be noted however that some of these facts emanate from the section 112 statement and not from the pre</w:t>
      </w:r>
      <w:r w:rsidR="000963C2">
        <w:rPr>
          <w:rFonts w:ascii="Times New Roman" w:hAnsi="Times New Roman" w:cs="Times New Roman"/>
          <w:sz w:val="28"/>
          <w:szCs w:val="28"/>
        </w:rPr>
        <w:t>-</w:t>
      </w:r>
      <w:r w:rsidR="00570A3F" w:rsidRPr="00FE7867">
        <w:rPr>
          <w:rFonts w:ascii="Times New Roman" w:hAnsi="Times New Roman" w:cs="Times New Roman"/>
          <w:sz w:val="28"/>
          <w:szCs w:val="28"/>
        </w:rPr>
        <w:t>sentence report.</w:t>
      </w:r>
    </w:p>
    <w:p w:rsidR="00570A3F" w:rsidRPr="00FE7867" w:rsidRDefault="00570A3F" w:rsidP="00FE7867">
      <w:pPr>
        <w:pStyle w:val="1"/>
        <w:rPr>
          <w:rFonts w:ascii="Times New Roman" w:hAnsi="Times New Roman" w:cs="Times New Roman"/>
          <w:sz w:val="28"/>
          <w:szCs w:val="28"/>
          <w:u w:val="single"/>
        </w:rPr>
      </w:pPr>
      <w:r w:rsidRPr="00FE7867">
        <w:rPr>
          <w:rFonts w:ascii="Times New Roman" w:hAnsi="Times New Roman" w:cs="Times New Roman"/>
          <w:sz w:val="28"/>
          <w:szCs w:val="28"/>
          <w:u w:val="single"/>
        </w:rPr>
        <w:t>Plea and plea explanation</w:t>
      </w:r>
    </w:p>
    <w:p w:rsidR="00EC23E8" w:rsidRPr="00FE7867" w:rsidRDefault="00FE7867" w:rsidP="00FE7867">
      <w:pPr>
        <w:pStyle w:val="1"/>
        <w:rPr>
          <w:rFonts w:ascii="Times New Roman" w:hAnsi="Times New Roman" w:cs="Times New Roman"/>
          <w:sz w:val="28"/>
          <w:szCs w:val="28"/>
        </w:rPr>
      </w:pPr>
      <w:r>
        <w:rPr>
          <w:rFonts w:ascii="Times New Roman" w:hAnsi="Times New Roman" w:cs="Times New Roman"/>
          <w:sz w:val="28"/>
          <w:szCs w:val="28"/>
        </w:rPr>
        <w:t>[6] It</w:t>
      </w:r>
      <w:r w:rsidR="00570A3F" w:rsidRPr="00FE7867">
        <w:rPr>
          <w:rFonts w:ascii="Times New Roman" w:hAnsi="Times New Roman" w:cs="Times New Roman"/>
          <w:sz w:val="28"/>
          <w:szCs w:val="28"/>
        </w:rPr>
        <w:t xml:space="preserve"> is</w:t>
      </w:r>
      <w:r w:rsidR="000963C2">
        <w:rPr>
          <w:rFonts w:ascii="Times New Roman" w:hAnsi="Times New Roman" w:cs="Times New Roman"/>
          <w:sz w:val="28"/>
          <w:szCs w:val="28"/>
        </w:rPr>
        <w:t xml:space="preserve"> correct that the S</w:t>
      </w:r>
      <w:r w:rsidR="00EC23E8" w:rsidRPr="00FE7867">
        <w:rPr>
          <w:rFonts w:ascii="Times New Roman" w:hAnsi="Times New Roman" w:cs="Times New Roman"/>
          <w:sz w:val="28"/>
          <w:szCs w:val="28"/>
        </w:rPr>
        <w:t>tate accepted the plea as tendered together with the plea-explanation and thou that formed evidential basis on which the sentencing court imposed sentence.</w:t>
      </w:r>
    </w:p>
    <w:p w:rsidR="00EC23E8"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[7] In</w:t>
      </w:r>
      <w:r w:rsidR="00EC23E8" w:rsidRPr="00FE7867">
        <w:rPr>
          <w:rFonts w:ascii="Times New Roman" w:hAnsi="Times New Roman" w:cs="Times New Roman"/>
          <w:sz w:val="28"/>
          <w:szCs w:val="28"/>
        </w:rPr>
        <w:t xml:space="preserve"> doing so the court acted in accordance with the law as stated in </w:t>
      </w:r>
      <w:r w:rsidR="00EC23E8" w:rsidRPr="007B1665">
        <w:rPr>
          <w:rFonts w:ascii="Times New Roman" w:hAnsi="Times New Roman" w:cs="Times New Roman"/>
          <w:i/>
          <w:sz w:val="28"/>
          <w:szCs w:val="28"/>
        </w:rPr>
        <w:t>Director of Prosecution, Gauteng Division, Pretoria v Hammisi</w:t>
      </w:r>
      <w:r>
        <w:rPr>
          <w:rStyle w:val="FootnoteReference"/>
          <w:rFonts w:ascii="Times New Roman" w:hAnsi="Times New Roman" w:cs="Times New Roman"/>
          <w:sz w:val="28"/>
          <w:szCs w:val="28"/>
        </w:rPr>
        <w:footnoteReference w:id="1"/>
      </w:r>
      <w:r w:rsidR="00EC23E8" w:rsidRPr="00FE7867">
        <w:rPr>
          <w:rFonts w:ascii="Times New Roman" w:hAnsi="Times New Roman" w:cs="Times New Roman"/>
          <w:sz w:val="28"/>
          <w:szCs w:val="28"/>
        </w:rPr>
        <w:t xml:space="preserve"> as follows;</w:t>
      </w:r>
    </w:p>
    <w:p w:rsidR="00570A3F" w:rsidRPr="000963C2" w:rsidRDefault="00EC23E8" w:rsidP="007B1665">
      <w:pPr>
        <w:pStyle w:val="1"/>
        <w:ind w:left="1134"/>
        <w:rPr>
          <w:rFonts w:ascii="Times New Roman" w:hAnsi="Times New Roman" w:cs="Times New Roman"/>
          <w:b/>
          <w:sz w:val="28"/>
          <w:szCs w:val="28"/>
        </w:rPr>
      </w:pPr>
      <w:r w:rsidRPr="00FE7867">
        <w:rPr>
          <w:rFonts w:ascii="Times New Roman" w:hAnsi="Times New Roman" w:cs="Times New Roman"/>
          <w:sz w:val="28"/>
          <w:szCs w:val="28"/>
        </w:rPr>
        <w:t xml:space="preserve">“(8) it is clear therefore that a court considering a statement made in terms of a s. 112(2) exercises its discretion to determine whether the statement admits all the elements of the offence in question. If it is not satisfied that it is, it must question the accused as in set out in S. 112(1) (b) to clarify a matter raised in a written plea. If it determines that the statement is satisfactory and admits all the elements of the offence, it shall convict the accused on the plea of guilty. When the written plea detailing the facts on which the plea is premised is accepted by the prosecution, </w:t>
      </w:r>
      <w:r w:rsidRPr="000963C2">
        <w:rPr>
          <w:rFonts w:ascii="Times New Roman" w:hAnsi="Times New Roman" w:cs="Times New Roman"/>
          <w:b/>
          <w:sz w:val="28"/>
          <w:szCs w:val="28"/>
        </w:rPr>
        <w:t>it constitutes the factual matrix on the strength of which an accused will be convicted and sentence imposed.” (my emphasis)</w:t>
      </w:r>
    </w:p>
    <w:p w:rsidR="00EC23E8"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[8] The</w:t>
      </w:r>
      <w:r w:rsidR="00F33588" w:rsidRPr="00FE7867">
        <w:rPr>
          <w:rFonts w:ascii="Times New Roman" w:hAnsi="Times New Roman" w:cs="Times New Roman"/>
          <w:sz w:val="28"/>
          <w:szCs w:val="28"/>
        </w:rPr>
        <w:t xml:space="preserve"> court went on to emphasise the above in para 20 as follows</w:t>
      </w:r>
    </w:p>
    <w:p w:rsidR="00F33588" w:rsidRPr="00FE7867" w:rsidRDefault="00F33588" w:rsidP="007B1665">
      <w:pPr>
        <w:pStyle w:val="1"/>
        <w:ind w:left="1134"/>
        <w:rPr>
          <w:rFonts w:ascii="Times New Roman" w:hAnsi="Times New Roman" w:cs="Times New Roman"/>
          <w:sz w:val="28"/>
          <w:szCs w:val="28"/>
        </w:rPr>
      </w:pPr>
      <w:r w:rsidRPr="00FE7867">
        <w:rPr>
          <w:rFonts w:ascii="Times New Roman" w:hAnsi="Times New Roman" w:cs="Times New Roman"/>
          <w:sz w:val="28"/>
          <w:szCs w:val="28"/>
        </w:rPr>
        <w:t>“(20</w:t>
      </w:r>
      <w:r w:rsidR="006644EB" w:rsidRPr="00FE7867">
        <w:rPr>
          <w:rFonts w:ascii="Times New Roman" w:hAnsi="Times New Roman" w:cs="Times New Roman"/>
          <w:sz w:val="28"/>
          <w:szCs w:val="28"/>
        </w:rPr>
        <w:t>) …</w:t>
      </w:r>
      <w:r w:rsidRPr="00FE7867">
        <w:rPr>
          <w:rFonts w:ascii="Times New Roman" w:hAnsi="Times New Roman" w:cs="Times New Roman"/>
          <w:sz w:val="28"/>
          <w:szCs w:val="28"/>
        </w:rPr>
        <w:t xml:space="preserve">. </w:t>
      </w:r>
      <w:r w:rsidRPr="000963C2">
        <w:rPr>
          <w:rFonts w:ascii="Times New Roman" w:hAnsi="Times New Roman" w:cs="Times New Roman"/>
          <w:b/>
          <w:sz w:val="28"/>
          <w:szCs w:val="28"/>
        </w:rPr>
        <w:t xml:space="preserve">The sentence imposed on the appellants should have been premised on the factual foundation as set out in the plea explanation, </w:t>
      </w:r>
      <w:r w:rsidRPr="00FE7867">
        <w:rPr>
          <w:rFonts w:ascii="Times New Roman" w:hAnsi="Times New Roman" w:cs="Times New Roman"/>
          <w:sz w:val="28"/>
          <w:szCs w:val="28"/>
        </w:rPr>
        <w:t>the appellants did no plead as charged. Had they done so, the trial court would have been perfectly correct</w:t>
      </w:r>
      <w:r w:rsidR="006644EB" w:rsidRPr="00FE7867">
        <w:rPr>
          <w:rFonts w:ascii="Times New Roman" w:hAnsi="Times New Roman" w:cs="Times New Roman"/>
          <w:sz w:val="28"/>
          <w:szCs w:val="28"/>
        </w:rPr>
        <w:t xml:space="preserve"> to reply on all the facts as set out in the charge sheet”</w:t>
      </w:r>
    </w:p>
    <w:p w:rsidR="006644EB"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[9] T</w:t>
      </w:r>
      <w:r w:rsidR="006644EB" w:rsidRPr="00FE7867">
        <w:rPr>
          <w:rFonts w:ascii="Times New Roman" w:hAnsi="Times New Roman" w:cs="Times New Roman"/>
          <w:sz w:val="28"/>
          <w:szCs w:val="28"/>
        </w:rPr>
        <w:t>he definitive paragraph in the judgment quoted above is the following;</w:t>
      </w:r>
    </w:p>
    <w:p w:rsidR="006644EB" w:rsidRPr="00FE7867" w:rsidRDefault="006644EB" w:rsidP="007B1665">
      <w:pPr>
        <w:pStyle w:val="1"/>
        <w:ind w:left="1134"/>
        <w:rPr>
          <w:rFonts w:ascii="Times New Roman" w:hAnsi="Times New Roman" w:cs="Times New Roman"/>
          <w:sz w:val="28"/>
          <w:szCs w:val="28"/>
        </w:rPr>
      </w:pPr>
      <w:r w:rsidRPr="00FE7867">
        <w:rPr>
          <w:rFonts w:ascii="Times New Roman" w:hAnsi="Times New Roman" w:cs="Times New Roman"/>
          <w:sz w:val="28"/>
          <w:szCs w:val="28"/>
        </w:rPr>
        <w:t xml:space="preserve">“(30) It has been held that, where an accused pleads guilty and hands in a written statement in terms of S. 112(2) of the Criminal Procedure Act 51 of 1977, detailing the facts on which the plea is premised, and the prosecution accepts the plea, the plea so explained and accepted constitutes the essential factual matrix on the strength of which sentence should be considered and imposed – </w:t>
      </w:r>
      <w:r w:rsidRPr="007B1665">
        <w:rPr>
          <w:rFonts w:ascii="Times New Roman" w:hAnsi="Times New Roman" w:cs="Times New Roman"/>
          <w:i/>
          <w:sz w:val="28"/>
          <w:szCs w:val="28"/>
        </w:rPr>
        <w:t>S v Jemsen</w:t>
      </w:r>
      <w:r w:rsidR="007B1665">
        <w:rPr>
          <w:rStyle w:val="FootnoteReference"/>
          <w:rFonts w:ascii="Times New Roman" w:hAnsi="Times New Roman" w:cs="Times New Roman"/>
          <w:sz w:val="28"/>
          <w:szCs w:val="28"/>
        </w:rPr>
        <w:footnoteReference w:id="2"/>
      </w:r>
      <w:r w:rsidRPr="00FE7867">
        <w:rPr>
          <w:rFonts w:ascii="Times New Roman" w:hAnsi="Times New Roman" w:cs="Times New Roman"/>
          <w:sz w:val="28"/>
          <w:szCs w:val="28"/>
        </w:rPr>
        <w:t>. such an essential matrix cannot be extended or varied in a manner</w:t>
      </w:r>
      <w:r w:rsidR="00AF35AA" w:rsidRPr="00FE7867">
        <w:rPr>
          <w:rFonts w:ascii="Times New Roman" w:hAnsi="Times New Roman" w:cs="Times New Roman"/>
          <w:sz w:val="28"/>
          <w:szCs w:val="28"/>
        </w:rPr>
        <w:t xml:space="preserve"> that adve</w:t>
      </w:r>
      <w:r w:rsidR="000963C2">
        <w:rPr>
          <w:rFonts w:ascii="Times New Roman" w:hAnsi="Times New Roman" w:cs="Times New Roman"/>
          <w:sz w:val="28"/>
          <w:szCs w:val="28"/>
        </w:rPr>
        <w:t>rsely impacts on the measure of</w:t>
      </w:r>
      <w:r w:rsidR="00AF35AA" w:rsidRPr="00FE7867">
        <w:rPr>
          <w:rFonts w:ascii="Times New Roman" w:hAnsi="Times New Roman" w:cs="Times New Roman"/>
          <w:sz w:val="28"/>
          <w:szCs w:val="28"/>
        </w:rPr>
        <w:t xml:space="preserve"> punishment as regards the offender. The p</w:t>
      </w:r>
      <w:r w:rsidR="000963C2">
        <w:rPr>
          <w:rFonts w:ascii="Times New Roman" w:hAnsi="Times New Roman" w:cs="Times New Roman"/>
          <w:sz w:val="28"/>
          <w:szCs w:val="28"/>
        </w:rPr>
        <w:t xml:space="preserve">lea once accepted, defines the </w:t>
      </w:r>
      <w:r w:rsidR="000963C2" w:rsidRPr="000963C2">
        <w:rPr>
          <w:rFonts w:ascii="Times New Roman" w:hAnsi="Times New Roman" w:cs="Times New Roman"/>
          <w:i/>
          <w:sz w:val="28"/>
          <w:szCs w:val="28"/>
        </w:rPr>
        <w:t>l</w:t>
      </w:r>
      <w:r w:rsidR="00AF35AA" w:rsidRPr="000963C2">
        <w:rPr>
          <w:rFonts w:ascii="Times New Roman" w:hAnsi="Times New Roman" w:cs="Times New Roman"/>
          <w:i/>
          <w:sz w:val="28"/>
          <w:szCs w:val="28"/>
        </w:rPr>
        <w:t>is</w:t>
      </w:r>
      <w:r w:rsidR="00AF35AA" w:rsidRPr="00FE7867">
        <w:rPr>
          <w:rFonts w:ascii="Times New Roman" w:hAnsi="Times New Roman" w:cs="Times New Roman"/>
          <w:sz w:val="28"/>
          <w:szCs w:val="28"/>
        </w:rPr>
        <w:t xml:space="preserve"> between the prosecution and the defence. Once the parameters of the playing fields are so demarcated, it becomes foul play to canvass the issues beyond. The rules of play have to be strictly enforced. In this instance it was not”</w:t>
      </w:r>
    </w:p>
    <w:p w:rsidR="000B2806" w:rsidRPr="007B1665" w:rsidRDefault="000963C2" w:rsidP="00FE7867">
      <w:pPr>
        <w:pStyle w:val="1"/>
        <w:rPr>
          <w:rFonts w:ascii="Times New Roman" w:hAnsi="Times New Roman" w:cs="Times New Roman"/>
          <w:sz w:val="28"/>
          <w:szCs w:val="28"/>
          <w:u w:val="single"/>
        </w:rPr>
      </w:pPr>
      <w:r>
        <w:rPr>
          <w:rFonts w:ascii="Times New Roman" w:hAnsi="Times New Roman" w:cs="Times New Roman"/>
          <w:sz w:val="28"/>
          <w:szCs w:val="28"/>
          <w:u w:val="single"/>
        </w:rPr>
        <w:t>The L</w:t>
      </w:r>
      <w:r w:rsidR="000B2806" w:rsidRPr="007B1665">
        <w:rPr>
          <w:rFonts w:ascii="Times New Roman" w:hAnsi="Times New Roman" w:cs="Times New Roman"/>
          <w:sz w:val="28"/>
          <w:szCs w:val="28"/>
          <w:u w:val="single"/>
        </w:rPr>
        <w:t>aw</w:t>
      </w:r>
    </w:p>
    <w:p w:rsidR="009E367A" w:rsidRDefault="007B1665" w:rsidP="007B1665">
      <w:pPr>
        <w:pStyle w:val="1"/>
        <w:rPr>
          <w:rFonts w:ascii="Times New Roman" w:hAnsi="Times New Roman" w:cs="Times New Roman"/>
          <w:sz w:val="28"/>
          <w:szCs w:val="28"/>
        </w:rPr>
      </w:pPr>
      <w:r>
        <w:rPr>
          <w:rFonts w:ascii="Times New Roman" w:hAnsi="Times New Roman" w:cs="Times New Roman"/>
          <w:sz w:val="28"/>
          <w:szCs w:val="28"/>
        </w:rPr>
        <w:t xml:space="preserve">[10] </w:t>
      </w:r>
      <w:r w:rsidR="000B2806" w:rsidRPr="00FE7867">
        <w:rPr>
          <w:rFonts w:ascii="Times New Roman" w:hAnsi="Times New Roman" w:cs="Times New Roman"/>
          <w:sz w:val="28"/>
          <w:szCs w:val="28"/>
        </w:rPr>
        <w:t xml:space="preserve">It is trite that sentencing is a matter of discretion best left to the trial court. </w:t>
      </w:r>
      <w:r w:rsidR="00686BFC" w:rsidRPr="00FE7867">
        <w:rPr>
          <w:rFonts w:ascii="Times New Roman" w:hAnsi="Times New Roman" w:cs="Times New Roman"/>
          <w:sz w:val="28"/>
          <w:szCs w:val="28"/>
        </w:rPr>
        <w:t>Accordingly,</w:t>
      </w:r>
      <w:r w:rsidR="000B2806" w:rsidRPr="00FE7867">
        <w:rPr>
          <w:rFonts w:ascii="Times New Roman" w:hAnsi="Times New Roman" w:cs="Times New Roman"/>
          <w:sz w:val="28"/>
          <w:szCs w:val="28"/>
        </w:rPr>
        <w:t xml:space="preserve"> and as a general principle the appeal court will only interfere if the discretion is not properly exercised. </w:t>
      </w:r>
      <w:r w:rsidR="000B2806" w:rsidRPr="00FE7867">
        <w:rPr>
          <w:rFonts w:ascii="Times New Roman" w:hAnsi="Times New Roman" w:cs="Times New Roman"/>
          <w:sz w:val="28"/>
          <w:szCs w:val="28"/>
          <w:u w:val="single"/>
        </w:rPr>
        <w:t xml:space="preserve">see </w:t>
      </w:r>
      <w:r>
        <w:rPr>
          <w:rFonts w:ascii="Times New Roman" w:hAnsi="Times New Roman" w:cs="Times New Roman"/>
          <w:i/>
          <w:sz w:val="28"/>
          <w:szCs w:val="28"/>
        </w:rPr>
        <w:t>S</w:t>
      </w:r>
      <w:r w:rsidR="000B2806" w:rsidRPr="007B1665">
        <w:rPr>
          <w:rFonts w:ascii="Times New Roman" w:hAnsi="Times New Roman" w:cs="Times New Roman"/>
          <w:i/>
          <w:sz w:val="28"/>
          <w:szCs w:val="28"/>
        </w:rPr>
        <w:t xml:space="preserve"> v. Kgosimang </w:t>
      </w:r>
      <w:r>
        <w:rPr>
          <w:rStyle w:val="FootnoteReference"/>
          <w:rFonts w:ascii="Times New Roman" w:hAnsi="Times New Roman" w:cs="Times New Roman"/>
          <w:sz w:val="28"/>
          <w:szCs w:val="28"/>
          <w:u w:val="single"/>
        </w:rPr>
        <w:footnoteReference w:id="3"/>
      </w:r>
    </w:p>
    <w:p w:rsidR="000963C2" w:rsidRPr="00FE7867" w:rsidRDefault="000963C2" w:rsidP="007B1665">
      <w:pPr>
        <w:pStyle w:val="1"/>
        <w:rPr>
          <w:rFonts w:ascii="Times New Roman" w:hAnsi="Times New Roman" w:cs="Times New Roman"/>
          <w:sz w:val="28"/>
          <w:szCs w:val="28"/>
        </w:rPr>
      </w:pPr>
      <w:r>
        <w:rPr>
          <w:rFonts w:ascii="Times New Roman" w:hAnsi="Times New Roman" w:cs="Times New Roman"/>
          <w:sz w:val="28"/>
          <w:szCs w:val="28"/>
        </w:rPr>
        <w:t>[11] The test is whether there is a basis for interfering with a sentence is whether it is vitiated by a misdirection or irregularities or whether is d</w:t>
      </w:r>
      <w:r w:rsidR="002F782D">
        <w:rPr>
          <w:rFonts w:ascii="Times New Roman" w:hAnsi="Times New Roman" w:cs="Times New Roman"/>
          <w:sz w:val="28"/>
          <w:szCs w:val="28"/>
        </w:rPr>
        <w:t xml:space="preserve">isturbingly inappropriate. see </w:t>
      </w:r>
      <w:r w:rsidR="002F782D" w:rsidRPr="002F782D">
        <w:rPr>
          <w:rFonts w:ascii="Times New Roman" w:hAnsi="Times New Roman" w:cs="Times New Roman"/>
          <w:i/>
          <w:sz w:val="28"/>
          <w:szCs w:val="28"/>
        </w:rPr>
        <w:t>S v Malgas</w:t>
      </w:r>
      <w:r w:rsidR="002F782D">
        <w:rPr>
          <w:rStyle w:val="FootnoteReference"/>
          <w:rFonts w:ascii="Times New Roman" w:hAnsi="Times New Roman" w:cs="Times New Roman"/>
          <w:sz w:val="28"/>
          <w:szCs w:val="28"/>
        </w:rPr>
        <w:footnoteReference w:id="4"/>
      </w:r>
      <w:r w:rsidR="002F782D">
        <w:rPr>
          <w:rFonts w:ascii="Times New Roman" w:hAnsi="Times New Roman" w:cs="Times New Roman"/>
          <w:sz w:val="28"/>
          <w:szCs w:val="28"/>
        </w:rPr>
        <w:t xml:space="preserve"> “[12] ……..A court exercising appellate jurisdiction cannot, in the absence of material misdirection by the trial court, approach the question of sentence as if it were the trial court and then substitute the </w:t>
      </w:r>
      <w:r w:rsidR="00897576">
        <w:rPr>
          <w:rFonts w:ascii="Times New Roman" w:hAnsi="Times New Roman" w:cs="Times New Roman"/>
          <w:sz w:val="28"/>
          <w:szCs w:val="28"/>
        </w:rPr>
        <w:t>sentence arrived at by it simply</w:t>
      </w:r>
      <w:bookmarkStart w:id="0" w:name="_GoBack"/>
      <w:bookmarkEnd w:id="0"/>
      <w:r w:rsidR="002F782D">
        <w:rPr>
          <w:rFonts w:ascii="Times New Roman" w:hAnsi="Times New Roman" w:cs="Times New Roman"/>
          <w:sz w:val="28"/>
          <w:szCs w:val="28"/>
        </w:rPr>
        <w:t xml:space="preserve"> because it prefers it. To do so would be to usurp the sentencing discretion of the trial court. Where material mis-</w:t>
      </w:r>
      <w:r w:rsidR="004D32E9">
        <w:rPr>
          <w:rFonts w:ascii="Times New Roman" w:hAnsi="Times New Roman" w:cs="Times New Roman"/>
          <w:sz w:val="28"/>
          <w:szCs w:val="28"/>
        </w:rPr>
        <w:t>direction by</w:t>
      </w:r>
      <w:r w:rsidR="002F782D">
        <w:rPr>
          <w:rFonts w:ascii="Times New Roman" w:hAnsi="Times New Roman" w:cs="Times New Roman"/>
          <w:sz w:val="28"/>
          <w:szCs w:val="28"/>
        </w:rPr>
        <w:t xml:space="preserve"> the trial court vitiate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be justified in interfering with the sentence </w:t>
      </w:r>
      <w:r w:rsidR="00FF13CB">
        <w:rPr>
          <w:rFonts w:ascii="Times New Roman" w:hAnsi="Times New Roman" w:cs="Times New Roman"/>
          <w:sz w:val="28"/>
          <w:szCs w:val="28"/>
        </w:rPr>
        <w:t>imposed by the trial court. It may do so when the disparity between the sentence of the trial court and the sentence which the appellate court would have imposed had it been the trial court would have imposed had it been the trial court is so marked that it can properly be described as “shocking”</w:t>
      </w:r>
      <w:r w:rsidR="002F782D">
        <w:rPr>
          <w:rFonts w:ascii="Times New Roman" w:hAnsi="Times New Roman" w:cs="Times New Roman"/>
          <w:sz w:val="28"/>
          <w:szCs w:val="28"/>
        </w:rPr>
        <w:t xml:space="preserve"> </w:t>
      </w:r>
      <w:r w:rsidR="00FF13CB">
        <w:rPr>
          <w:rFonts w:ascii="Times New Roman" w:hAnsi="Times New Roman" w:cs="Times New Roman"/>
          <w:sz w:val="28"/>
          <w:szCs w:val="28"/>
        </w:rPr>
        <w:t>“startling” or “disturbingly inappropriate.”</w:t>
      </w:r>
      <w:r w:rsidR="002F782D">
        <w:rPr>
          <w:rFonts w:ascii="Times New Roman" w:hAnsi="Times New Roman" w:cs="Times New Roman"/>
          <w:sz w:val="28"/>
          <w:szCs w:val="28"/>
        </w:rPr>
        <w:t xml:space="preserve"> </w:t>
      </w:r>
      <w:r w:rsidR="00FF13CB">
        <w:rPr>
          <w:rFonts w:ascii="Times New Roman" w:hAnsi="Times New Roman" w:cs="Times New Roman"/>
          <w:sz w:val="28"/>
          <w:szCs w:val="28"/>
        </w:rPr>
        <w:t xml:space="preserve">It must be emphasised that in the latter situation the appellate court is not at large </w:t>
      </w:r>
      <w:r w:rsidR="004D32E9">
        <w:rPr>
          <w:rFonts w:ascii="Times New Roman" w:hAnsi="Times New Roman" w:cs="Times New Roman"/>
          <w:sz w:val="28"/>
          <w:szCs w:val="28"/>
        </w:rPr>
        <w:t>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p>
    <w:p w:rsidR="00ED181A" w:rsidRPr="007B1665" w:rsidRDefault="00ED181A" w:rsidP="00FE7867">
      <w:pPr>
        <w:pStyle w:val="1"/>
        <w:rPr>
          <w:rFonts w:ascii="Times New Roman" w:hAnsi="Times New Roman" w:cs="Times New Roman"/>
          <w:sz w:val="28"/>
          <w:szCs w:val="28"/>
          <w:u w:val="single"/>
        </w:rPr>
      </w:pPr>
      <w:r w:rsidRPr="007B1665">
        <w:rPr>
          <w:rFonts w:ascii="Times New Roman" w:hAnsi="Times New Roman" w:cs="Times New Roman"/>
          <w:sz w:val="28"/>
          <w:szCs w:val="28"/>
          <w:u w:val="single"/>
        </w:rPr>
        <w:t>In the present matter</w:t>
      </w:r>
    </w:p>
    <w:p w:rsidR="00AC27B8" w:rsidRPr="00FE7867" w:rsidRDefault="004D32E9" w:rsidP="00FE7867">
      <w:pPr>
        <w:pStyle w:val="1"/>
        <w:rPr>
          <w:rFonts w:ascii="Times New Roman" w:hAnsi="Times New Roman" w:cs="Times New Roman"/>
          <w:sz w:val="28"/>
          <w:szCs w:val="28"/>
        </w:rPr>
      </w:pPr>
      <w:r>
        <w:rPr>
          <w:rFonts w:ascii="Times New Roman" w:hAnsi="Times New Roman" w:cs="Times New Roman"/>
          <w:sz w:val="28"/>
          <w:szCs w:val="28"/>
        </w:rPr>
        <w:t>[12</w:t>
      </w:r>
      <w:r w:rsidR="007B1665">
        <w:rPr>
          <w:rFonts w:ascii="Times New Roman" w:hAnsi="Times New Roman" w:cs="Times New Roman"/>
          <w:sz w:val="28"/>
          <w:szCs w:val="28"/>
        </w:rPr>
        <w:t xml:space="preserve">] </w:t>
      </w:r>
      <w:r w:rsidR="00AC27B8" w:rsidRPr="00FE7867">
        <w:rPr>
          <w:rFonts w:ascii="Times New Roman" w:hAnsi="Times New Roman" w:cs="Times New Roman"/>
          <w:sz w:val="28"/>
          <w:szCs w:val="28"/>
        </w:rPr>
        <w:t>T</w:t>
      </w:r>
      <w:r w:rsidR="00ED181A" w:rsidRPr="00FE7867">
        <w:rPr>
          <w:rFonts w:ascii="Times New Roman" w:hAnsi="Times New Roman" w:cs="Times New Roman"/>
          <w:sz w:val="28"/>
          <w:szCs w:val="28"/>
        </w:rPr>
        <w:t>h</w:t>
      </w:r>
      <w:r w:rsidR="009E367A">
        <w:rPr>
          <w:rFonts w:ascii="Times New Roman" w:hAnsi="Times New Roman" w:cs="Times New Roman"/>
          <w:sz w:val="28"/>
          <w:szCs w:val="28"/>
        </w:rPr>
        <w:t xml:space="preserve">e appellant submits, correctly </w:t>
      </w:r>
      <w:r w:rsidR="00ED181A" w:rsidRPr="00FE7867">
        <w:rPr>
          <w:rFonts w:ascii="Times New Roman" w:hAnsi="Times New Roman" w:cs="Times New Roman"/>
          <w:sz w:val="28"/>
          <w:szCs w:val="28"/>
        </w:rPr>
        <w:t>s</w:t>
      </w:r>
      <w:r w:rsidR="009E367A">
        <w:rPr>
          <w:rFonts w:ascii="Times New Roman" w:hAnsi="Times New Roman" w:cs="Times New Roman"/>
          <w:sz w:val="28"/>
          <w:szCs w:val="28"/>
        </w:rPr>
        <w:t>o</w:t>
      </w:r>
      <w:r w:rsidR="00ED181A" w:rsidRPr="00FE7867">
        <w:rPr>
          <w:rFonts w:ascii="Times New Roman" w:hAnsi="Times New Roman" w:cs="Times New Roman"/>
          <w:sz w:val="28"/>
          <w:szCs w:val="28"/>
        </w:rPr>
        <w:t xml:space="preserve"> in my view, that the initial action of the appellant including the</w:t>
      </w:r>
      <w:r w:rsidR="009E367A">
        <w:rPr>
          <w:rFonts w:ascii="Times New Roman" w:hAnsi="Times New Roman" w:cs="Times New Roman"/>
          <w:sz w:val="28"/>
          <w:szCs w:val="28"/>
        </w:rPr>
        <w:t xml:space="preserve"> first stab wound suffered</w:t>
      </w:r>
      <w:r w:rsidR="00AC27B8" w:rsidRPr="00FE7867">
        <w:rPr>
          <w:rFonts w:ascii="Times New Roman" w:hAnsi="Times New Roman" w:cs="Times New Roman"/>
          <w:sz w:val="28"/>
          <w:szCs w:val="28"/>
        </w:rPr>
        <w:t xml:space="preserve"> by the deceased complied with the principles of private defence and that the appellant acted in self-defence to repel the deceased’s potentially lethal attack on him.</w:t>
      </w:r>
    </w:p>
    <w:p w:rsidR="00AC27B8"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13</w:t>
      </w:r>
      <w:r>
        <w:rPr>
          <w:rFonts w:ascii="Times New Roman" w:hAnsi="Times New Roman" w:cs="Times New Roman"/>
          <w:sz w:val="28"/>
          <w:szCs w:val="28"/>
        </w:rPr>
        <w:t>]</w:t>
      </w:r>
      <w:r w:rsidR="00AC27B8" w:rsidRPr="00FE7867">
        <w:rPr>
          <w:rFonts w:ascii="Times New Roman" w:hAnsi="Times New Roman" w:cs="Times New Roman"/>
          <w:sz w:val="28"/>
          <w:szCs w:val="28"/>
        </w:rPr>
        <w:t xml:space="preserve"> It is common cause, howev</w:t>
      </w:r>
      <w:r>
        <w:rPr>
          <w:rFonts w:ascii="Times New Roman" w:hAnsi="Times New Roman" w:cs="Times New Roman"/>
          <w:sz w:val="28"/>
          <w:szCs w:val="28"/>
        </w:rPr>
        <w:t>er, that according to the post m</w:t>
      </w:r>
      <w:r w:rsidR="009E367A">
        <w:rPr>
          <w:rFonts w:ascii="Times New Roman" w:hAnsi="Times New Roman" w:cs="Times New Roman"/>
          <w:sz w:val="28"/>
          <w:szCs w:val="28"/>
        </w:rPr>
        <w:t>ortem repor</w:t>
      </w:r>
      <w:r w:rsidR="00AC27B8" w:rsidRPr="00FE7867">
        <w:rPr>
          <w:rFonts w:ascii="Times New Roman" w:hAnsi="Times New Roman" w:cs="Times New Roman"/>
          <w:sz w:val="28"/>
          <w:szCs w:val="28"/>
        </w:rPr>
        <w:t>t the deceased suffered a total of six stab wounds. The subsequent five stab wounds as admitted by the appellant, were inflicted when the deceased was no longer a threat to him and his life wa</w:t>
      </w:r>
      <w:r w:rsidR="009E367A">
        <w:rPr>
          <w:rFonts w:ascii="Times New Roman" w:hAnsi="Times New Roman" w:cs="Times New Roman"/>
          <w:sz w:val="28"/>
          <w:szCs w:val="28"/>
        </w:rPr>
        <w:t>s no longer in danger anymore. On t</w:t>
      </w:r>
      <w:r w:rsidR="00AC27B8" w:rsidRPr="00FE7867">
        <w:rPr>
          <w:rFonts w:ascii="Times New Roman" w:hAnsi="Times New Roman" w:cs="Times New Roman"/>
          <w:sz w:val="28"/>
          <w:szCs w:val="28"/>
        </w:rPr>
        <w:t xml:space="preserve">he appellant’s own </w:t>
      </w:r>
      <w:r w:rsidR="009E367A" w:rsidRPr="00FE7867">
        <w:rPr>
          <w:rFonts w:ascii="Times New Roman" w:hAnsi="Times New Roman" w:cs="Times New Roman"/>
          <w:sz w:val="28"/>
          <w:szCs w:val="28"/>
        </w:rPr>
        <w:t>admission,</w:t>
      </w:r>
      <w:r w:rsidR="00AC27B8" w:rsidRPr="00FE7867">
        <w:rPr>
          <w:rFonts w:ascii="Times New Roman" w:hAnsi="Times New Roman" w:cs="Times New Roman"/>
          <w:sz w:val="28"/>
          <w:szCs w:val="28"/>
        </w:rPr>
        <w:t xml:space="preserve"> he was angered by the deceased’s attack on him when proceed</w:t>
      </w:r>
      <w:r w:rsidR="00747380">
        <w:rPr>
          <w:rFonts w:ascii="Times New Roman" w:hAnsi="Times New Roman" w:cs="Times New Roman"/>
          <w:sz w:val="28"/>
          <w:szCs w:val="28"/>
        </w:rPr>
        <w:t>ed</w:t>
      </w:r>
      <w:r w:rsidR="00AC27B8" w:rsidRPr="00FE7867">
        <w:rPr>
          <w:rFonts w:ascii="Times New Roman" w:hAnsi="Times New Roman" w:cs="Times New Roman"/>
          <w:sz w:val="28"/>
          <w:szCs w:val="28"/>
        </w:rPr>
        <w:t xml:space="preserve"> to inflict the five stab wounds.</w:t>
      </w:r>
    </w:p>
    <w:p w:rsidR="00AC27B8"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14</w:t>
      </w:r>
      <w:r>
        <w:rPr>
          <w:rFonts w:ascii="Times New Roman" w:hAnsi="Times New Roman" w:cs="Times New Roman"/>
          <w:sz w:val="28"/>
          <w:szCs w:val="28"/>
        </w:rPr>
        <w:t>] F</w:t>
      </w:r>
      <w:r w:rsidR="00AC27B8" w:rsidRPr="00FE7867">
        <w:rPr>
          <w:rFonts w:ascii="Times New Roman" w:hAnsi="Times New Roman" w:cs="Times New Roman"/>
          <w:sz w:val="28"/>
          <w:szCs w:val="28"/>
        </w:rPr>
        <w:t xml:space="preserve">rom the accepted facts, </w:t>
      </w:r>
      <w:r w:rsidR="00BB6E63" w:rsidRPr="00FE7867">
        <w:rPr>
          <w:rFonts w:ascii="Times New Roman" w:hAnsi="Times New Roman" w:cs="Times New Roman"/>
          <w:sz w:val="28"/>
          <w:szCs w:val="28"/>
        </w:rPr>
        <w:t xml:space="preserve">so the appellant argues, there was no </w:t>
      </w:r>
      <w:r w:rsidR="00747380">
        <w:rPr>
          <w:rFonts w:ascii="Times New Roman" w:hAnsi="Times New Roman" w:cs="Times New Roman"/>
          <w:sz w:val="28"/>
          <w:szCs w:val="28"/>
        </w:rPr>
        <w:t>planning or premeditation on his</w:t>
      </w:r>
      <w:r w:rsidR="00BB6E63" w:rsidRPr="00FE7867">
        <w:rPr>
          <w:rFonts w:ascii="Times New Roman" w:hAnsi="Times New Roman" w:cs="Times New Roman"/>
          <w:sz w:val="28"/>
          <w:szCs w:val="28"/>
        </w:rPr>
        <w:t xml:space="preserve"> side and that with this scenario there existed substantial and compelling circumstances justifying a deviation from the prescribed minimum sentence of fifteen years.</w:t>
      </w:r>
    </w:p>
    <w:p w:rsidR="00BB6E63" w:rsidRPr="00FE7867" w:rsidRDefault="007B1665"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15</w:t>
      </w:r>
      <w:r>
        <w:rPr>
          <w:rFonts w:ascii="Times New Roman" w:hAnsi="Times New Roman" w:cs="Times New Roman"/>
          <w:sz w:val="28"/>
          <w:szCs w:val="28"/>
        </w:rPr>
        <w:t>]</w:t>
      </w:r>
      <w:r w:rsidR="00747380">
        <w:rPr>
          <w:rFonts w:ascii="Times New Roman" w:hAnsi="Times New Roman" w:cs="Times New Roman"/>
          <w:sz w:val="28"/>
          <w:szCs w:val="28"/>
        </w:rPr>
        <w:t xml:space="preserve"> I</w:t>
      </w:r>
      <w:r w:rsidR="00BB6E63" w:rsidRPr="00FE7867">
        <w:rPr>
          <w:rFonts w:ascii="Times New Roman" w:hAnsi="Times New Roman" w:cs="Times New Roman"/>
          <w:sz w:val="28"/>
          <w:szCs w:val="28"/>
        </w:rPr>
        <w:t xml:space="preserve">n </w:t>
      </w:r>
      <w:r w:rsidR="00747380">
        <w:rPr>
          <w:rFonts w:ascii="Times New Roman" w:hAnsi="Times New Roman" w:cs="Times New Roman"/>
          <w:sz w:val="28"/>
          <w:szCs w:val="28"/>
        </w:rPr>
        <w:t xml:space="preserve">this </w:t>
      </w:r>
      <w:r w:rsidR="00BB6E63" w:rsidRPr="00FE7867">
        <w:rPr>
          <w:rFonts w:ascii="Times New Roman" w:hAnsi="Times New Roman" w:cs="Times New Roman"/>
          <w:sz w:val="28"/>
          <w:szCs w:val="28"/>
        </w:rPr>
        <w:t>matter, the issue of whether the court below exercised its discretion properly in the context of substantial and compelling circumstances has to be determined by outlining the approach adop</w:t>
      </w:r>
      <w:r w:rsidR="00747380">
        <w:rPr>
          <w:rFonts w:ascii="Times New Roman" w:hAnsi="Times New Roman" w:cs="Times New Roman"/>
          <w:sz w:val="28"/>
          <w:szCs w:val="28"/>
        </w:rPr>
        <w:t xml:space="preserve">ted in dealing with </w:t>
      </w:r>
      <w:r w:rsidR="00747380" w:rsidRPr="00FE7867">
        <w:rPr>
          <w:rFonts w:ascii="Times New Roman" w:hAnsi="Times New Roman" w:cs="Times New Roman"/>
          <w:sz w:val="28"/>
          <w:szCs w:val="28"/>
        </w:rPr>
        <w:t>provocation</w:t>
      </w:r>
      <w:r w:rsidR="00BB6E63" w:rsidRPr="00FE7867">
        <w:rPr>
          <w:rFonts w:ascii="Times New Roman" w:hAnsi="Times New Roman" w:cs="Times New Roman"/>
          <w:sz w:val="28"/>
          <w:szCs w:val="28"/>
        </w:rPr>
        <w:t xml:space="preserve"> as a mitigating factor.</w:t>
      </w:r>
    </w:p>
    <w:p w:rsidR="00BB6E63" w:rsidRPr="00FE7867" w:rsidRDefault="00C96CC0"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16</w:t>
      </w:r>
      <w:r>
        <w:rPr>
          <w:rFonts w:ascii="Times New Roman" w:hAnsi="Times New Roman" w:cs="Times New Roman"/>
          <w:sz w:val="28"/>
          <w:szCs w:val="28"/>
        </w:rPr>
        <w:t>]</w:t>
      </w:r>
      <w:r w:rsidR="00747380">
        <w:rPr>
          <w:rFonts w:ascii="Times New Roman" w:hAnsi="Times New Roman" w:cs="Times New Roman"/>
          <w:sz w:val="28"/>
          <w:szCs w:val="28"/>
        </w:rPr>
        <w:t xml:space="preserve"> T</w:t>
      </w:r>
      <w:r w:rsidR="00BB6E63" w:rsidRPr="00FE7867">
        <w:rPr>
          <w:rFonts w:ascii="Times New Roman" w:hAnsi="Times New Roman" w:cs="Times New Roman"/>
          <w:sz w:val="28"/>
          <w:szCs w:val="28"/>
        </w:rPr>
        <w:t xml:space="preserve">he issue was dealt with </w:t>
      </w:r>
      <w:r w:rsidR="00FE7867" w:rsidRPr="00FE7867">
        <w:rPr>
          <w:rFonts w:ascii="Times New Roman" w:hAnsi="Times New Roman" w:cs="Times New Roman"/>
          <w:sz w:val="28"/>
          <w:szCs w:val="28"/>
        </w:rPr>
        <w:t xml:space="preserve">in </w:t>
      </w:r>
      <w:r w:rsidR="00FE7867" w:rsidRPr="007B1665">
        <w:rPr>
          <w:rFonts w:ascii="Times New Roman" w:hAnsi="Times New Roman" w:cs="Times New Roman"/>
          <w:i/>
          <w:sz w:val="28"/>
          <w:szCs w:val="28"/>
        </w:rPr>
        <w:t>S</w:t>
      </w:r>
      <w:r w:rsidR="00BB6E63" w:rsidRPr="007B1665">
        <w:rPr>
          <w:rFonts w:ascii="Times New Roman" w:hAnsi="Times New Roman" w:cs="Times New Roman"/>
          <w:i/>
          <w:sz w:val="28"/>
          <w:szCs w:val="28"/>
        </w:rPr>
        <w:t xml:space="preserve"> v </w:t>
      </w:r>
      <w:r w:rsidR="00747380" w:rsidRPr="007B1665">
        <w:rPr>
          <w:rFonts w:ascii="Times New Roman" w:hAnsi="Times New Roman" w:cs="Times New Roman"/>
          <w:i/>
          <w:sz w:val="28"/>
          <w:szCs w:val="28"/>
        </w:rPr>
        <w:t>Nd</w:t>
      </w:r>
      <w:r w:rsidR="00747380">
        <w:rPr>
          <w:rFonts w:ascii="Times New Roman" w:hAnsi="Times New Roman" w:cs="Times New Roman"/>
          <w:i/>
          <w:sz w:val="28"/>
          <w:szCs w:val="28"/>
        </w:rPr>
        <w:t>z</w:t>
      </w:r>
      <w:r w:rsidR="00747380" w:rsidRPr="007B1665">
        <w:rPr>
          <w:rFonts w:ascii="Times New Roman" w:hAnsi="Times New Roman" w:cs="Times New Roman"/>
          <w:i/>
          <w:sz w:val="28"/>
          <w:szCs w:val="28"/>
        </w:rPr>
        <w:t>ima</w:t>
      </w:r>
      <w:r w:rsidR="007B1665">
        <w:rPr>
          <w:rStyle w:val="FootnoteReference"/>
          <w:rFonts w:ascii="Times New Roman" w:hAnsi="Times New Roman" w:cs="Times New Roman"/>
          <w:sz w:val="28"/>
          <w:szCs w:val="28"/>
        </w:rPr>
        <w:footnoteReference w:id="5"/>
      </w:r>
      <w:r w:rsidR="00BB6E63" w:rsidRPr="00FE7867">
        <w:rPr>
          <w:rFonts w:ascii="Times New Roman" w:hAnsi="Times New Roman" w:cs="Times New Roman"/>
          <w:sz w:val="28"/>
          <w:szCs w:val="28"/>
        </w:rPr>
        <w:t xml:space="preserve"> </w:t>
      </w:r>
      <w:r w:rsidRPr="00C96CC0">
        <w:rPr>
          <w:rFonts w:ascii="Times New Roman" w:hAnsi="Times New Roman" w:cs="Times New Roman"/>
          <w:sz w:val="28"/>
          <w:szCs w:val="28"/>
        </w:rPr>
        <w:t>where Plasket J. at paragraph 30</w:t>
      </w:r>
      <w:r w:rsidR="00747380">
        <w:rPr>
          <w:rFonts w:ascii="Times New Roman" w:hAnsi="Times New Roman" w:cs="Times New Roman"/>
          <w:sz w:val="28"/>
          <w:szCs w:val="28"/>
        </w:rPr>
        <w:t xml:space="preserve"> </w:t>
      </w:r>
      <w:r w:rsidR="00BB6E63" w:rsidRPr="00FE7867">
        <w:rPr>
          <w:rFonts w:ascii="Times New Roman" w:hAnsi="Times New Roman" w:cs="Times New Roman"/>
          <w:sz w:val="28"/>
          <w:szCs w:val="28"/>
        </w:rPr>
        <w:t>of his judgment said;</w:t>
      </w:r>
    </w:p>
    <w:p w:rsidR="00BB6E63" w:rsidRPr="00FE7867" w:rsidRDefault="00BB6E63" w:rsidP="00C96CC0">
      <w:pPr>
        <w:pStyle w:val="1"/>
        <w:ind w:left="1134"/>
        <w:rPr>
          <w:rFonts w:ascii="Times New Roman" w:hAnsi="Times New Roman" w:cs="Times New Roman"/>
          <w:sz w:val="28"/>
          <w:szCs w:val="28"/>
        </w:rPr>
      </w:pPr>
      <w:r w:rsidRPr="00FE7867">
        <w:rPr>
          <w:rFonts w:ascii="Times New Roman" w:hAnsi="Times New Roman" w:cs="Times New Roman"/>
          <w:sz w:val="28"/>
          <w:szCs w:val="28"/>
        </w:rPr>
        <w:t>“</w:t>
      </w:r>
      <w:r w:rsidR="00747380">
        <w:rPr>
          <w:rFonts w:ascii="Times New Roman" w:hAnsi="Times New Roman" w:cs="Times New Roman"/>
          <w:sz w:val="28"/>
          <w:szCs w:val="28"/>
        </w:rPr>
        <w:t xml:space="preserve">[30] </w:t>
      </w:r>
      <w:r w:rsidRPr="00FE7867">
        <w:rPr>
          <w:rFonts w:ascii="Times New Roman" w:hAnsi="Times New Roman" w:cs="Times New Roman"/>
          <w:sz w:val="28"/>
          <w:szCs w:val="28"/>
        </w:rPr>
        <w:t xml:space="preserve">while it is a feature of provocation as mitigating factor that the criminal act that resulted from it is usually committed immediately after the provocative act, the </w:t>
      </w:r>
      <w:r w:rsidR="00747380">
        <w:rPr>
          <w:rFonts w:ascii="Times New Roman" w:hAnsi="Times New Roman" w:cs="Times New Roman"/>
          <w:sz w:val="28"/>
          <w:szCs w:val="28"/>
        </w:rPr>
        <w:t>extent to which it is mitigatory</w:t>
      </w:r>
      <w:r w:rsidRPr="00FE7867">
        <w:rPr>
          <w:rFonts w:ascii="Times New Roman" w:hAnsi="Times New Roman" w:cs="Times New Roman"/>
          <w:sz w:val="28"/>
          <w:szCs w:val="28"/>
        </w:rPr>
        <w:t xml:space="preserve"> depends essentially on whether the accused’s loss of control as a result of his or her anger would be regarded by an ordinary reasonable person </w:t>
      </w:r>
      <w:r w:rsidR="00747380" w:rsidRPr="00FE7867">
        <w:rPr>
          <w:rFonts w:ascii="Times New Roman" w:hAnsi="Times New Roman" w:cs="Times New Roman"/>
          <w:sz w:val="28"/>
          <w:szCs w:val="28"/>
        </w:rPr>
        <w:t>– ‘</w:t>
      </w:r>
      <w:r w:rsidRPr="00FE7867">
        <w:rPr>
          <w:rFonts w:ascii="Times New Roman" w:hAnsi="Times New Roman" w:cs="Times New Roman"/>
          <w:sz w:val="28"/>
          <w:szCs w:val="28"/>
        </w:rPr>
        <w:t xml:space="preserve">n gewone redelike mens’- as an excusable human reaction in the circumstances. In this matter, a reasonable person would baulk at the suggestion that the appellant’s acts of executing his incapacitated victims were understandable in the circumstances, even though he was justifying and understandably angry at having been assaulted and, no doubt, fearful when he fired the shots. That he was provoked and that the provocation was severe, is not in dispute that the anger evoked by the provocation led him to shoot the deceased who was running away </w:t>
      </w:r>
      <w:r w:rsidR="00FB1BB9" w:rsidRPr="00FE7867">
        <w:rPr>
          <w:rFonts w:ascii="Times New Roman" w:hAnsi="Times New Roman" w:cs="Times New Roman"/>
          <w:sz w:val="28"/>
          <w:szCs w:val="28"/>
        </w:rPr>
        <w:t>is also understandable. But then to execute both of the deceased, when he ought to have been able to reflect on what he had done and to realise that he was no longer in any danger, cannot be regarded as an excusable human reaction to the provocation”</w:t>
      </w:r>
    </w:p>
    <w:p w:rsidR="000B2806" w:rsidRPr="00C96CC0" w:rsidRDefault="00CA685B" w:rsidP="00FE7867">
      <w:pPr>
        <w:pStyle w:val="1"/>
        <w:rPr>
          <w:rFonts w:ascii="Times New Roman" w:hAnsi="Times New Roman" w:cs="Times New Roman"/>
          <w:sz w:val="28"/>
          <w:szCs w:val="28"/>
          <w:u w:val="single"/>
        </w:rPr>
      </w:pPr>
      <w:r w:rsidRPr="00C96CC0">
        <w:rPr>
          <w:rFonts w:ascii="Times New Roman" w:hAnsi="Times New Roman" w:cs="Times New Roman"/>
          <w:sz w:val="28"/>
          <w:szCs w:val="28"/>
          <w:u w:val="single"/>
        </w:rPr>
        <w:t xml:space="preserve">Fit of rage not mitigation </w:t>
      </w:r>
    </w:p>
    <w:p w:rsidR="00C96CC0" w:rsidRDefault="00C96CC0"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17</w:t>
      </w:r>
      <w:r>
        <w:rPr>
          <w:rFonts w:ascii="Times New Roman" w:hAnsi="Times New Roman" w:cs="Times New Roman"/>
          <w:sz w:val="28"/>
          <w:szCs w:val="28"/>
        </w:rPr>
        <w:t>]</w:t>
      </w:r>
      <w:r w:rsidR="00AB1499" w:rsidRPr="00FE7867">
        <w:rPr>
          <w:rFonts w:ascii="Times New Roman" w:hAnsi="Times New Roman" w:cs="Times New Roman"/>
          <w:sz w:val="28"/>
          <w:szCs w:val="28"/>
        </w:rPr>
        <w:t xml:space="preserve"> To</w:t>
      </w:r>
      <w:r>
        <w:rPr>
          <w:rFonts w:ascii="Times New Roman" w:hAnsi="Times New Roman" w:cs="Times New Roman"/>
          <w:sz w:val="28"/>
          <w:szCs w:val="28"/>
        </w:rPr>
        <w:t xml:space="preserve"> undergird the above, in </w:t>
      </w:r>
      <w:r w:rsidRPr="00C96CC0">
        <w:rPr>
          <w:rFonts w:ascii="Times New Roman" w:hAnsi="Times New Roman" w:cs="Times New Roman"/>
          <w:i/>
          <w:sz w:val="28"/>
          <w:szCs w:val="28"/>
        </w:rPr>
        <w:t>S v M</w:t>
      </w:r>
      <w:r w:rsidR="00CA685B" w:rsidRPr="00C96CC0">
        <w:rPr>
          <w:rFonts w:ascii="Times New Roman" w:hAnsi="Times New Roman" w:cs="Times New Roman"/>
          <w:i/>
          <w:sz w:val="28"/>
          <w:szCs w:val="28"/>
        </w:rPr>
        <w:t>nisi</w:t>
      </w:r>
      <w:r>
        <w:rPr>
          <w:rStyle w:val="FootnoteReference"/>
          <w:rFonts w:ascii="Times New Roman" w:hAnsi="Times New Roman" w:cs="Times New Roman"/>
          <w:i/>
          <w:sz w:val="28"/>
          <w:szCs w:val="28"/>
        </w:rPr>
        <w:footnoteReference w:id="6"/>
      </w:r>
      <w:r w:rsidR="00CA685B" w:rsidRPr="00FE7867">
        <w:rPr>
          <w:rFonts w:ascii="Times New Roman" w:hAnsi="Times New Roman" w:cs="Times New Roman"/>
          <w:sz w:val="28"/>
          <w:szCs w:val="28"/>
        </w:rPr>
        <w:t xml:space="preserve"> </w:t>
      </w:r>
      <w:r w:rsidR="00747380">
        <w:rPr>
          <w:rFonts w:ascii="Times New Roman" w:hAnsi="Times New Roman" w:cs="Times New Roman"/>
          <w:sz w:val="28"/>
          <w:szCs w:val="28"/>
        </w:rPr>
        <w:t xml:space="preserve">Boruchowitz AJA sitting with Cloete &amp; Maya JJA </w:t>
      </w:r>
      <w:r w:rsidR="00CA685B" w:rsidRPr="00FE7867">
        <w:rPr>
          <w:rFonts w:ascii="Times New Roman" w:hAnsi="Times New Roman" w:cs="Times New Roman"/>
          <w:sz w:val="28"/>
          <w:szCs w:val="28"/>
        </w:rPr>
        <w:t xml:space="preserve">held that </w:t>
      </w:r>
    </w:p>
    <w:p w:rsidR="00CA685B" w:rsidRPr="00FE7867" w:rsidRDefault="00C96CC0" w:rsidP="00C96CC0">
      <w:pPr>
        <w:pStyle w:val="1"/>
        <w:ind w:left="1134"/>
        <w:rPr>
          <w:rFonts w:ascii="Times New Roman" w:hAnsi="Times New Roman" w:cs="Times New Roman"/>
          <w:sz w:val="28"/>
          <w:szCs w:val="28"/>
        </w:rPr>
      </w:pPr>
      <w:r>
        <w:rPr>
          <w:rFonts w:ascii="Times New Roman" w:hAnsi="Times New Roman" w:cs="Times New Roman"/>
          <w:sz w:val="28"/>
          <w:szCs w:val="28"/>
        </w:rPr>
        <w:t>“[5]</w:t>
      </w:r>
      <w:r w:rsidR="00CA685B" w:rsidRPr="00FE7867">
        <w:rPr>
          <w:rFonts w:ascii="Times New Roman" w:hAnsi="Times New Roman" w:cs="Times New Roman"/>
          <w:sz w:val="28"/>
          <w:szCs w:val="28"/>
        </w:rPr>
        <w:t xml:space="preserve"> </w:t>
      </w:r>
      <w:r w:rsidRPr="00FE7867">
        <w:rPr>
          <w:rFonts w:ascii="Times New Roman" w:hAnsi="Times New Roman" w:cs="Times New Roman"/>
          <w:sz w:val="28"/>
          <w:szCs w:val="28"/>
        </w:rPr>
        <w:t>whether an</w:t>
      </w:r>
      <w:r w:rsidR="00CA685B" w:rsidRPr="00FE7867">
        <w:rPr>
          <w:rFonts w:ascii="Times New Roman" w:hAnsi="Times New Roman" w:cs="Times New Roman"/>
          <w:sz w:val="28"/>
          <w:szCs w:val="28"/>
        </w:rPr>
        <w:t xml:space="preserve"> accused acted with </w:t>
      </w:r>
      <w:r w:rsidR="00AB1499" w:rsidRPr="00FE7867">
        <w:rPr>
          <w:rFonts w:ascii="Times New Roman" w:hAnsi="Times New Roman" w:cs="Times New Roman"/>
          <w:sz w:val="28"/>
          <w:szCs w:val="28"/>
        </w:rPr>
        <w:t>demi</w:t>
      </w:r>
      <w:r w:rsidR="00747380">
        <w:rPr>
          <w:rFonts w:ascii="Times New Roman" w:hAnsi="Times New Roman" w:cs="Times New Roman"/>
          <w:sz w:val="28"/>
          <w:szCs w:val="28"/>
        </w:rPr>
        <w:t>s</w:t>
      </w:r>
      <w:r w:rsidR="00AB1499" w:rsidRPr="00FE7867">
        <w:rPr>
          <w:rFonts w:ascii="Times New Roman" w:hAnsi="Times New Roman" w:cs="Times New Roman"/>
          <w:sz w:val="28"/>
          <w:szCs w:val="28"/>
        </w:rPr>
        <w:t>sed</w:t>
      </w:r>
      <w:r w:rsidR="00CA685B" w:rsidRPr="00FE7867">
        <w:rPr>
          <w:rFonts w:ascii="Times New Roman" w:hAnsi="Times New Roman" w:cs="Times New Roman"/>
          <w:sz w:val="28"/>
          <w:szCs w:val="28"/>
        </w:rPr>
        <w:t xml:space="preserve"> </w:t>
      </w:r>
      <w:r w:rsidRPr="00FE7867">
        <w:rPr>
          <w:rFonts w:ascii="Times New Roman" w:hAnsi="Times New Roman" w:cs="Times New Roman"/>
          <w:sz w:val="28"/>
          <w:szCs w:val="28"/>
        </w:rPr>
        <w:t>responsibility must</w:t>
      </w:r>
      <w:r w:rsidR="00CA685B" w:rsidRPr="00FE7867">
        <w:rPr>
          <w:rFonts w:ascii="Times New Roman" w:hAnsi="Times New Roman" w:cs="Times New Roman"/>
          <w:sz w:val="28"/>
          <w:szCs w:val="28"/>
        </w:rPr>
        <w:t xml:space="preserve"> be determined in the light of all the evidence, expert or otherwise. There is no obligation upon an accused to adduce expert evidence</w:t>
      </w:r>
      <w:r w:rsidR="000E5409">
        <w:rPr>
          <w:rFonts w:ascii="Times New Roman" w:hAnsi="Times New Roman" w:cs="Times New Roman"/>
          <w:sz w:val="28"/>
          <w:szCs w:val="28"/>
        </w:rPr>
        <w:t>. H</w:t>
      </w:r>
      <w:r w:rsidR="00CA685B" w:rsidRPr="00FE7867">
        <w:rPr>
          <w:rFonts w:ascii="Times New Roman" w:hAnsi="Times New Roman" w:cs="Times New Roman"/>
          <w:sz w:val="28"/>
          <w:szCs w:val="28"/>
        </w:rPr>
        <w:t>is ipse dixit may suffice provided that a proper factual foundation</w:t>
      </w:r>
      <w:r w:rsidR="000E5409">
        <w:rPr>
          <w:rFonts w:ascii="Times New Roman" w:hAnsi="Times New Roman" w:cs="Times New Roman"/>
          <w:sz w:val="28"/>
          <w:szCs w:val="28"/>
        </w:rPr>
        <w:t xml:space="preserve"> is laid which gives rise to the reasonable possibility that he so acted. S</w:t>
      </w:r>
      <w:r w:rsidR="00CA685B" w:rsidRPr="00FE7867">
        <w:rPr>
          <w:rFonts w:ascii="Times New Roman" w:hAnsi="Times New Roman" w:cs="Times New Roman"/>
          <w:sz w:val="28"/>
          <w:szCs w:val="28"/>
        </w:rPr>
        <w:t xml:space="preserve">uch evidence must be carefully scrutinised and considered in the light of all circumstances and the alleged criminal conduct viewed objectively. The fact that an accused acted in a </w:t>
      </w:r>
      <w:r w:rsidR="00AB1499" w:rsidRPr="00FE7867">
        <w:rPr>
          <w:rFonts w:ascii="Times New Roman" w:hAnsi="Times New Roman" w:cs="Times New Roman"/>
          <w:sz w:val="28"/>
          <w:szCs w:val="28"/>
        </w:rPr>
        <w:t>fit</w:t>
      </w:r>
      <w:r w:rsidR="00CA685B" w:rsidRPr="00FE7867">
        <w:rPr>
          <w:rFonts w:ascii="Times New Roman" w:hAnsi="Times New Roman" w:cs="Times New Roman"/>
          <w:sz w:val="28"/>
          <w:szCs w:val="28"/>
        </w:rPr>
        <w:t xml:space="preserve"> of rage or </w:t>
      </w:r>
      <w:r w:rsidR="00AB1499" w:rsidRPr="00FE7867">
        <w:rPr>
          <w:rFonts w:ascii="Times New Roman" w:hAnsi="Times New Roman" w:cs="Times New Roman"/>
          <w:sz w:val="28"/>
          <w:szCs w:val="28"/>
        </w:rPr>
        <w:t xml:space="preserve">temper is in itself not mitigatory. Loss of temper is a common occurrence and society expects its members to keep their emotions sufficiently in </w:t>
      </w:r>
      <w:r w:rsidR="000E5409">
        <w:rPr>
          <w:rFonts w:ascii="Times New Roman" w:hAnsi="Times New Roman" w:cs="Times New Roman"/>
          <w:sz w:val="28"/>
          <w:szCs w:val="28"/>
        </w:rPr>
        <w:t>c</w:t>
      </w:r>
      <w:r w:rsidR="00AB1499" w:rsidRPr="00FE7867">
        <w:rPr>
          <w:rFonts w:ascii="Times New Roman" w:hAnsi="Times New Roman" w:cs="Times New Roman"/>
          <w:sz w:val="28"/>
          <w:szCs w:val="28"/>
        </w:rPr>
        <w:t>heck to avoid harming others”</w:t>
      </w:r>
    </w:p>
    <w:p w:rsidR="00AB1499" w:rsidRPr="00FE7867" w:rsidRDefault="00C96CC0"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18</w:t>
      </w:r>
      <w:r>
        <w:rPr>
          <w:rFonts w:ascii="Times New Roman" w:hAnsi="Times New Roman" w:cs="Times New Roman"/>
          <w:sz w:val="28"/>
          <w:szCs w:val="28"/>
        </w:rPr>
        <w:t>]</w:t>
      </w:r>
      <w:r w:rsidR="00AB1499" w:rsidRPr="00FE7867">
        <w:rPr>
          <w:rFonts w:ascii="Times New Roman" w:hAnsi="Times New Roman" w:cs="Times New Roman"/>
          <w:sz w:val="28"/>
          <w:szCs w:val="28"/>
        </w:rPr>
        <w:t xml:space="preserve"> The appellant had sufficient opportunity after disarming and stabbing the deceased once, to reflect on what he had done and to realise that he was longer in danger. To thereafter carry on and stab him again and again to the extent of five times cannot be “regarded as an excusable human reaction to the provocation” (para 30 </w:t>
      </w:r>
      <w:r w:rsidR="00AB1499" w:rsidRPr="000E5409">
        <w:rPr>
          <w:rFonts w:ascii="Times New Roman" w:hAnsi="Times New Roman" w:cs="Times New Roman"/>
          <w:i/>
          <w:sz w:val="28"/>
          <w:szCs w:val="28"/>
        </w:rPr>
        <w:t>Ndzima</w:t>
      </w:r>
      <w:r w:rsidR="00AB1499" w:rsidRPr="00FE7867">
        <w:rPr>
          <w:rFonts w:ascii="Times New Roman" w:hAnsi="Times New Roman" w:cs="Times New Roman"/>
          <w:sz w:val="28"/>
          <w:szCs w:val="28"/>
        </w:rPr>
        <w:t>). The appellant clearly exceeded the bounds of self-defence and had at that time become the aggressor. In his plea explanation he admits awareness of the possible consequences of his act.</w:t>
      </w:r>
    </w:p>
    <w:p w:rsidR="00AB1499" w:rsidRPr="00FE7867" w:rsidRDefault="00DE36E8" w:rsidP="00FE7867">
      <w:pPr>
        <w:pStyle w:val="1"/>
        <w:rPr>
          <w:rFonts w:ascii="Times New Roman" w:hAnsi="Times New Roman" w:cs="Times New Roman"/>
          <w:sz w:val="28"/>
          <w:szCs w:val="28"/>
        </w:rPr>
      </w:pPr>
      <w:r>
        <w:rPr>
          <w:rFonts w:ascii="Times New Roman" w:hAnsi="Times New Roman" w:cs="Times New Roman"/>
          <w:sz w:val="28"/>
          <w:szCs w:val="28"/>
        </w:rPr>
        <w:t>[</w:t>
      </w:r>
      <w:r w:rsidR="004D32E9">
        <w:rPr>
          <w:rFonts w:ascii="Times New Roman" w:hAnsi="Times New Roman" w:cs="Times New Roman"/>
          <w:sz w:val="28"/>
          <w:szCs w:val="28"/>
        </w:rPr>
        <w:t>19</w:t>
      </w:r>
      <w:r>
        <w:rPr>
          <w:rFonts w:ascii="Times New Roman" w:hAnsi="Times New Roman" w:cs="Times New Roman"/>
          <w:sz w:val="28"/>
          <w:szCs w:val="28"/>
        </w:rPr>
        <w:t>] C</w:t>
      </w:r>
      <w:r w:rsidR="00AB1499" w:rsidRPr="00FE7867">
        <w:rPr>
          <w:rFonts w:ascii="Times New Roman" w:hAnsi="Times New Roman" w:cs="Times New Roman"/>
          <w:sz w:val="28"/>
          <w:szCs w:val="28"/>
        </w:rPr>
        <w:t>ontrary to appellant’s submission regarding the presence of substantial and compelling circumstances the respondent submits that the numerous stab wounds constitute an aggravating factor. This accords with the finding of the court below which found no substantial and compelling circumstances.</w:t>
      </w:r>
    </w:p>
    <w:p w:rsidR="00AB1499" w:rsidRDefault="004D32E9" w:rsidP="00FE7867">
      <w:pPr>
        <w:pStyle w:val="1"/>
        <w:rPr>
          <w:rFonts w:ascii="Times New Roman" w:hAnsi="Times New Roman" w:cs="Times New Roman"/>
          <w:sz w:val="28"/>
          <w:szCs w:val="28"/>
        </w:rPr>
      </w:pPr>
      <w:r>
        <w:rPr>
          <w:rFonts w:ascii="Times New Roman" w:hAnsi="Times New Roman" w:cs="Times New Roman"/>
          <w:sz w:val="28"/>
          <w:szCs w:val="28"/>
        </w:rPr>
        <w:t>[20</w:t>
      </w:r>
      <w:r w:rsidR="00DE36E8">
        <w:rPr>
          <w:rFonts w:ascii="Times New Roman" w:hAnsi="Times New Roman" w:cs="Times New Roman"/>
          <w:sz w:val="28"/>
          <w:szCs w:val="28"/>
        </w:rPr>
        <w:t>] In</w:t>
      </w:r>
      <w:r w:rsidR="00AB1499" w:rsidRPr="00FE7867">
        <w:rPr>
          <w:rFonts w:ascii="Times New Roman" w:hAnsi="Times New Roman" w:cs="Times New Roman"/>
          <w:sz w:val="28"/>
          <w:szCs w:val="28"/>
        </w:rPr>
        <w:t xml:space="preserve"> light of the above, I propose t</w:t>
      </w:r>
      <w:r w:rsidR="00DE36E8">
        <w:rPr>
          <w:rFonts w:ascii="Times New Roman" w:hAnsi="Times New Roman" w:cs="Times New Roman"/>
          <w:sz w:val="28"/>
          <w:szCs w:val="28"/>
        </w:rPr>
        <w:t>hat the following order be made:</w:t>
      </w:r>
    </w:p>
    <w:p w:rsidR="00DE36E8" w:rsidRPr="00DE36E8" w:rsidRDefault="00DE36E8" w:rsidP="00FE7867">
      <w:pPr>
        <w:pStyle w:val="1"/>
        <w:rPr>
          <w:rFonts w:ascii="Times New Roman" w:hAnsi="Times New Roman" w:cs="Times New Roman"/>
          <w:sz w:val="28"/>
          <w:szCs w:val="28"/>
          <w:u w:val="single"/>
        </w:rPr>
      </w:pPr>
      <w:r w:rsidRPr="00DE36E8">
        <w:rPr>
          <w:rFonts w:ascii="Times New Roman" w:hAnsi="Times New Roman" w:cs="Times New Roman"/>
          <w:sz w:val="28"/>
          <w:szCs w:val="28"/>
          <w:u w:val="single"/>
        </w:rPr>
        <w:t>Order</w:t>
      </w:r>
    </w:p>
    <w:p w:rsidR="00AB1499" w:rsidRDefault="00AB1499" w:rsidP="00DE36E8">
      <w:pPr>
        <w:pStyle w:val="1"/>
        <w:ind w:left="1134"/>
        <w:rPr>
          <w:rFonts w:ascii="Times New Roman" w:hAnsi="Times New Roman" w:cs="Times New Roman"/>
          <w:sz w:val="28"/>
          <w:szCs w:val="28"/>
        </w:rPr>
      </w:pPr>
      <w:r w:rsidRPr="00FE7867">
        <w:rPr>
          <w:rFonts w:ascii="Times New Roman" w:hAnsi="Times New Roman" w:cs="Times New Roman"/>
          <w:sz w:val="28"/>
          <w:szCs w:val="28"/>
        </w:rPr>
        <w:t>The appeal against sentence is dismissed.</w:t>
      </w:r>
    </w:p>
    <w:p w:rsidR="00DE36E8" w:rsidRPr="00DE36E8" w:rsidRDefault="00DE36E8" w:rsidP="00DE36E8">
      <w:pPr>
        <w:pStyle w:val="Default"/>
        <w:spacing w:before="120" w:after="120" w:line="360" w:lineRule="auto"/>
        <w:rPr>
          <w:color w:val="auto"/>
          <w:sz w:val="28"/>
          <w:szCs w:val="28"/>
        </w:rPr>
      </w:pPr>
    </w:p>
    <w:p w:rsidR="00DE36E8" w:rsidRPr="00DE36E8" w:rsidRDefault="00DE36E8" w:rsidP="00DE36E8">
      <w:pPr>
        <w:pStyle w:val="Default"/>
        <w:spacing w:before="120" w:after="120" w:line="360" w:lineRule="auto"/>
        <w:jc w:val="right"/>
        <w:rPr>
          <w:b/>
          <w:bCs/>
          <w:color w:val="auto"/>
          <w:sz w:val="28"/>
          <w:szCs w:val="28"/>
        </w:rPr>
      </w:pPr>
      <w:r w:rsidRPr="00DE36E8">
        <w:rPr>
          <w:color w:val="auto"/>
          <w:sz w:val="28"/>
          <w:szCs w:val="28"/>
        </w:rPr>
        <w:tab/>
      </w:r>
      <w:r w:rsidRPr="00DE36E8">
        <w:rPr>
          <w:color w:val="auto"/>
          <w:sz w:val="28"/>
          <w:szCs w:val="28"/>
        </w:rPr>
        <w:tab/>
      </w:r>
      <w:r w:rsidRPr="00DE36E8">
        <w:rPr>
          <w:color w:val="auto"/>
          <w:sz w:val="28"/>
          <w:szCs w:val="28"/>
        </w:rPr>
        <w:tab/>
      </w:r>
      <w:r w:rsidRPr="00DE36E8">
        <w:rPr>
          <w:color w:val="auto"/>
          <w:sz w:val="28"/>
          <w:szCs w:val="28"/>
        </w:rPr>
        <w:tab/>
      </w:r>
      <w:r w:rsidRPr="00DE36E8">
        <w:rPr>
          <w:color w:val="auto"/>
          <w:sz w:val="28"/>
          <w:szCs w:val="28"/>
        </w:rPr>
        <w:tab/>
      </w:r>
      <w:r w:rsidRPr="00DE36E8">
        <w:rPr>
          <w:color w:val="auto"/>
          <w:sz w:val="28"/>
          <w:szCs w:val="28"/>
        </w:rPr>
        <w:tab/>
      </w:r>
      <w:r w:rsidRPr="00DE36E8">
        <w:rPr>
          <w:b/>
          <w:bCs/>
          <w:color w:val="auto"/>
          <w:sz w:val="28"/>
          <w:szCs w:val="28"/>
        </w:rPr>
        <w:t>_________________________</w:t>
      </w:r>
    </w:p>
    <w:p w:rsidR="00DE36E8" w:rsidRPr="00DE36E8" w:rsidRDefault="00DE36E8" w:rsidP="00DE36E8">
      <w:pPr>
        <w:pStyle w:val="Default"/>
        <w:spacing w:before="120" w:after="120" w:line="360" w:lineRule="auto"/>
        <w:jc w:val="right"/>
        <w:rPr>
          <w:b/>
          <w:bCs/>
          <w:color w:val="auto"/>
          <w:sz w:val="28"/>
          <w:szCs w:val="28"/>
        </w:rPr>
      </w:pPr>
      <w:r w:rsidRPr="00DE36E8">
        <w:rPr>
          <w:b/>
          <w:bCs/>
          <w:color w:val="auto"/>
          <w:sz w:val="28"/>
          <w:szCs w:val="28"/>
        </w:rPr>
        <w:t xml:space="preserve">S.A.M. BAQWA </w:t>
      </w:r>
    </w:p>
    <w:p w:rsidR="00DE36E8" w:rsidRPr="00DE36E8" w:rsidRDefault="00DE36E8" w:rsidP="00DE36E8">
      <w:pPr>
        <w:pStyle w:val="Default"/>
        <w:spacing w:before="120" w:after="120" w:line="360" w:lineRule="auto"/>
        <w:jc w:val="right"/>
        <w:rPr>
          <w:b/>
          <w:bCs/>
          <w:color w:val="auto"/>
          <w:sz w:val="28"/>
          <w:szCs w:val="28"/>
        </w:rPr>
      </w:pPr>
      <w:r w:rsidRPr="00DE36E8">
        <w:rPr>
          <w:b/>
          <w:bCs/>
          <w:color w:val="auto"/>
          <w:sz w:val="28"/>
          <w:szCs w:val="28"/>
        </w:rPr>
        <w:tab/>
      </w:r>
      <w:r w:rsidRPr="00DE36E8">
        <w:rPr>
          <w:b/>
          <w:bCs/>
          <w:color w:val="auto"/>
          <w:sz w:val="28"/>
          <w:szCs w:val="28"/>
        </w:rPr>
        <w:tab/>
      </w:r>
      <w:r w:rsidRPr="00DE36E8">
        <w:rPr>
          <w:b/>
          <w:bCs/>
          <w:color w:val="auto"/>
          <w:sz w:val="28"/>
          <w:szCs w:val="28"/>
        </w:rPr>
        <w:tab/>
      </w:r>
      <w:r w:rsidRPr="00DE36E8">
        <w:rPr>
          <w:b/>
          <w:bCs/>
          <w:color w:val="auto"/>
          <w:sz w:val="28"/>
          <w:szCs w:val="28"/>
        </w:rPr>
        <w:tab/>
      </w:r>
      <w:r w:rsidRPr="00DE36E8">
        <w:rPr>
          <w:b/>
          <w:bCs/>
          <w:color w:val="auto"/>
          <w:sz w:val="28"/>
          <w:szCs w:val="28"/>
        </w:rPr>
        <w:tab/>
      </w:r>
      <w:r w:rsidRPr="00DE36E8">
        <w:rPr>
          <w:b/>
          <w:bCs/>
          <w:color w:val="auto"/>
          <w:sz w:val="28"/>
          <w:szCs w:val="28"/>
        </w:rPr>
        <w:tab/>
      </w:r>
      <w:r w:rsidRPr="00DE36E8">
        <w:rPr>
          <w:b/>
          <w:bCs/>
          <w:color w:val="auto"/>
          <w:sz w:val="28"/>
          <w:szCs w:val="28"/>
        </w:rPr>
        <w:tab/>
        <w:t>JUDGE OF THE HIGH COURT</w:t>
      </w:r>
    </w:p>
    <w:p w:rsidR="00DE36E8" w:rsidRPr="00DE36E8" w:rsidRDefault="00DE36E8" w:rsidP="00DE36E8">
      <w:pPr>
        <w:pStyle w:val="Default"/>
        <w:spacing w:before="120" w:after="120" w:line="360" w:lineRule="auto"/>
        <w:rPr>
          <w:b/>
          <w:bCs/>
          <w:color w:val="auto"/>
          <w:sz w:val="28"/>
          <w:szCs w:val="28"/>
        </w:rPr>
      </w:pPr>
      <w:r w:rsidRPr="00DE36E8">
        <w:rPr>
          <w:color w:val="auto"/>
          <w:sz w:val="28"/>
          <w:szCs w:val="28"/>
        </w:rPr>
        <w:t>I agree</w:t>
      </w:r>
    </w:p>
    <w:p w:rsidR="00DE36E8" w:rsidRPr="00DE36E8" w:rsidRDefault="00DE36E8" w:rsidP="00DE36E8">
      <w:pPr>
        <w:pStyle w:val="Default"/>
        <w:spacing w:before="120" w:after="120" w:line="360" w:lineRule="auto"/>
        <w:jc w:val="right"/>
        <w:rPr>
          <w:b/>
          <w:bCs/>
          <w:color w:val="auto"/>
          <w:sz w:val="28"/>
          <w:szCs w:val="28"/>
        </w:rPr>
      </w:pPr>
      <w:r w:rsidRPr="00DE36E8">
        <w:rPr>
          <w:b/>
          <w:bCs/>
          <w:color w:val="auto"/>
          <w:sz w:val="28"/>
          <w:szCs w:val="28"/>
        </w:rPr>
        <w:t>________________________</w:t>
      </w:r>
    </w:p>
    <w:p w:rsidR="00DE36E8" w:rsidRPr="00DE36E8" w:rsidRDefault="00DE36E8" w:rsidP="00DE36E8">
      <w:pPr>
        <w:pStyle w:val="Default"/>
        <w:spacing w:before="120" w:after="120" w:line="360" w:lineRule="auto"/>
        <w:jc w:val="right"/>
        <w:rPr>
          <w:b/>
          <w:bCs/>
          <w:color w:val="auto"/>
          <w:sz w:val="28"/>
          <w:szCs w:val="28"/>
        </w:rPr>
      </w:pPr>
      <w:r w:rsidRPr="00DE36E8">
        <w:rPr>
          <w:b/>
          <w:bCs/>
          <w:color w:val="auto"/>
          <w:sz w:val="28"/>
          <w:szCs w:val="28"/>
        </w:rPr>
        <w:t xml:space="preserve">A.J. LE GRANGE </w:t>
      </w:r>
    </w:p>
    <w:p w:rsidR="00DE36E8" w:rsidRPr="00DE36E8" w:rsidRDefault="00DE36E8" w:rsidP="00DE36E8">
      <w:pPr>
        <w:pStyle w:val="Default"/>
        <w:spacing w:before="120" w:after="120" w:line="360" w:lineRule="auto"/>
        <w:jc w:val="right"/>
        <w:rPr>
          <w:b/>
          <w:bCs/>
          <w:color w:val="auto"/>
          <w:sz w:val="28"/>
          <w:szCs w:val="28"/>
        </w:rPr>
      </w:pPr>
      <w:r w:rsidRPr="00DE36E8">
        <w:rPr>
          <w:b/>
          <w:bCs/>
          <w:color w:val="auto"/>
          <w:sz w:val="28"/>
          <w:szCs w:val="28"/>
        </w:rPr>
        <w:t>ACTING JUDGE OF THE HIGH COURT</w:t>
      </w:r>
    </w:p>
    <w:p w:rsidR="00DE36E8" w:rsidRPr="00884687" w:rsidRDefault="00DE36E8" w:rsidP="00DE36E8">
      <w:pPr>
        <w:rPr>
          <w:rFonts w:ascii="Times New Roman" w:eastAsia="Calibri" w:hAnsi="Times New Roman" w:cs="Times New Roman"/>
          <w:iCs/>
          <w:sz w:val="28"/>
          <w:szCs w:val="28"/>
        </w:rPr>
      </w:pPr>
      <w:r>
        <w:rPr>
          <w:rFonts w:ascii="Times New Roman" w:eastAsia="Calibri" w:hAnsi="Times New Roman" w:cs="Times New Roman"/>
          <w:iCs/>
          <w:sz w:val="28"/>
          <w:szCs w:val="28"/>
        </w:rPr>
        <w:t>Date of hearing: 20 March 2024</w:t>
      </w:r>
    </w:p>
    <w:p w:rsidR="00DE36E8" w:rsidRPr="00884687" w:rsidRDefault="00DE36E8" w:rsidP="00DE36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Date of judgment </w:t>
      </w:r>
      <w:r w:rsidR="00FD002A">
        <w:rPr>
          <w:rFonts w:ascii="Times New Roman" w:eastAsia="Calibri" w:hAnsi="Times New Roman" w:cs="Times New Roman"/>
          <w:iCs/>
          <w:sz w:val="28"/>
          <w:szCs w:val="28"/>
        </w:rPr>
        <w:t>April 2024</w:t>
      </w:r>
    </w:p>
    <w:p w:rsidR="00DE36E8" w:rsidRPr="00884687" w:rsidRDefault="00DE36E8" w:rsidP="00DE36E8">
      <w:pPr>
        <w:rPr>
          <w:rFonts w:ascii="Times New Roman" w:eastAsia="Calibri" w:hAnsi="Times New Roman" w:cs="Times New Roman"/>
          <w:iCs/>
          <w:sz w:val="28"/>
          <w:szCs w:val="28"/>
        </w:rPr>
      </w:pPr>
    </w:p>
    <w:p w:rsidR="00DE36E8" w:rsidRPr="00884687" w:rsidRDefault="00DE36E8" w:rsidP="00DE36E8">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t xml:space="preserve">Appearance </w:t>
      </w:r>
    </w:p>
    <w:p w:rsidR="00DE36E8" w:rsidRPr="00884687" w:rsidRDefault="00DE36E8" w:rsidP="00DE36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Applicants              </w:t>
      </w:r>
      <w:r>
        <w:rPr>
          <w:rFonts w:ascii="Times New Roman" w:eastAsia="Calibri" w:hAnsi="Times New Roman" w:cs="Times New Roman"/>
          <w:iCs/>
          <w:sz w:val="28"/>
          <w:szCs w:val="28"/>
        </w:rPr>
        <w:t xml:space="preserve">                 </w:t>
      </w:r>
      <w:r w:rsidR="00FD002A">
        <w:rPr>
          <w:rFonts w:ascii="Times New Roman" w:eastAsia="Calibri" w:hAnsi="Times New Roman" w:cs="Times New Roman"/>
          <w:iCs/>
          <w:sz w:val="28"/>
          <w:szCs w:val="28"/>
        </w:rPr>
        <w:t>Adv F Van As</w:t>
      </w:r>
      <w:r w:rsidRPr="00884687">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 </w:t>
      </w:r>
    </w:p>
    <w:p w:rsidR="00DE36E8" w:rsidRPr="00884687" w:rsidRDefault="00DE36E8" w:rsidP="00DE36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Respondents          </w:t>
      </w:r>
      <w:r>
        <w:rPr>
          <w:rFonts w:ascii="Times New Roman" w:eastAsia="Calibri" w:hAnsi="Times New Roman" w:cs="Times New Roman"/>
          <w:iCs/>
          <w:sz w:val="28"/>
          <w:szCs w:val="28"/>
        </w:rPr>
        <w:t xml:space="preserve">     </w:t>
      </w:r>
      <w:r w:rsidR="000E5409">
        <w:rPr>
          <w:rFonts w:ascii="Times New Roman" w:eastAsia="Calibri" w:hAnsi="Times New Roman" w:cs="Times New Roman"/>
          <w:iCs/>
          <w:sz w:val="28"/>
          <w:szCs w:val="28"/>
        </w:rPr>
        <w:t xml:space="preserve">              </w:t>
      </w:r>
      <w:r w:rsidR="00FD002A" w:rsidRPr="00884687">
        <w:rPr>
          <w:rFonts w:ascii="Times New Roman" w:eastAsia="Calibri" w:hAnsi="Times New Roman" w:cs="Times New Roman"/>
          <w:iCs/>
          <w:sz w:val="28"/>
          <w:szCs w:val="28"/>
        </w:rPr>
        <w:t xml:space="preserve">Adv </w:t>
      </w:r>
      <w:r w:rsidR="00FD002A">
        <w:rPr>
          <w:rFonts w:ascii="Times New Roman" w:eastAsia="Calibri" w:hAnsi="Times New Roman" w:cs="Times New Roman"/>
          <w:iCs/>
          <w:sz w:val="28"/>
          <w:szCs w:val="28"/>
        </w:rPr>
        <w:t>C Pruis</w:t>
      </w:r>
    </w:p>
    <w:p w:rsidR="00DE36E8" w:rsidRDefault="00DE36E8" w:rsidP="00DE36E8">
      <w:pPr>
        <w:rPr>
          <w:rFonts w:ascii="Arial" w:eastAsia="Calibri" w:hAnsi="Arial" w:cs="Arial"/>
          <w:iCs/>
          <w:sz w:val="24"/>
          <w:szCs w:val="24"/>
        </w:rPr>
      </w:pPr>
      <w:r>
        <w:rPr>
          <w:rFonts w:ascii="Arial" w:eastAsia="Calibri" w:hAnsi="Arial" w:cs="Arial"/>
          <w:iCs/>
          <w:sz w:val="24"/>
          <w:szCs w:val="24"/>
        </w:rPr>
        <w:t xml:space="preserve">                                                   </w:t>
      </w:r>
    </w:p>
    <w:p w:rsidR="00DE36E8" w:rsidRPr="00D9531B" w:rsidRDefault="00DE36E8" w:rsidP="00DE36E8">
      <w:pPr>
        <w:rPr>
          <w:rFonts w:ascii="Arial" w:eastAsia="Calibri" w:hAnsi="Arial" w:cs="Arial"/>
          <w:iCs/>
          <w:sz w:val="24"/>
          <w:szCs w:val="24"/>
        </w:rPr>
      </w:pPr>
      <w:r w:rsidRPr="005C67D7">
        <w:rPr>
          <w:rFonts w:ascii="Arial" w:eastAsia="Calibri" w:hAnsi="Arial" w:cs="Arial"/>
          <w:iCs/>
          <w:sz w:val="24"/>
          <w:szCs w:val="24"/>
        </w:rPr>
        <w:t xml:space="preserve">                          </w:t>
      </w:r>
    </w:p>
    <w:p w:rsidR="00DE36E8" w:rsidRPr="0086043B" w:rsidRDefault="00DE36E8" w:rsidP="00DE36E8">
      <w:pPr>
        <w:pStyle w:val="MEMONUMBERED"/>
        <w:numPr>
          <w:ilvl w:val="0"/>
          <w:numId w:val="0"/>
        </w:numPr>
        <w:ind w:left="360"/>
        <w:rPr>
          <w:rFonts w:ascii="Arial" w:hAnsi="Arial" w:cs="Arial"/>
          <w:highlight w:val="yellow"/>
        </w:rPr>
      </w:pPr>
    </w:p>
    <w:p w:rsidR="00DE36E8" w:rsidRPr="00BD71B6" w:rsidRDefault="00DE36E8" w:rsidP="00DE36E8">
      <w:pPr>
        <w:spacing w:after="0" w:line="240" w:lineRule="auto"/>
        <w:jc w:val="both"/>
        <w:rPr>
          <w:rFonts w:ascii="Times New Roman" w:hAnsi="Times New Roman" w:cs="Times New Roman"/>
          <w:sz w:val="28"/>
          <w:szCs w:val="28"/>
        </w:rPr>
      </w:pPr>
    </w:p>
    <w:p w:rsidR="00DE36E8" w:rsidRPr="000C5D76" w:rsidRDefault="00DE36E8" w:rsidP="00DE36E8">
      <w:pPr>
        <w:pStyle w:val="1"/>
      </w:pPr>
    </w:p>
    <w:p w:rsidR="00DE36E8" w:rsidRPr="00DE36E8" w:rsidRDefault="00DE36E8" w:rsidP="00DE36E8">
      <w:pPr>
        <w:pStyle w:val="Default"/>
        <w:spacing w:before="120" w:after="120" w:line="360" w:lineRule="auto"/>
        <w:jc w:val="both"/>
        <w:rPr>
          <w:b/>
          <w:bCs/>
          <w:color w:val="auto"/>
          <w:sz w:val="28"/>
          <w:szCs w:val="28"/>
        </w:rPr>
      </w:pPr>
    </w:p>
    <w:p w:rsidR="00DE36E8" w:rsidRPr="00DE36E8" w:rsidRDefault="00DE36E8" w:rsidP="00DE36E8">
      <w:pPr>
        <w:pStyle w:val="1"/>
        <w:ind w:left="1134"/>
        <w:rPr>
          <w:rFonts w:ascii="Times New Roman" w:hAnsi="Times New Roman" w:cs="Times New Roman"/>
          <w:sz w:val="28"/>
          <w:szCs w:val="28"/>
        </w:rPr>
      </w:pPr>
    </w:p>
    <w:p w:rsidR="00CA685B" w:rsidRPr="00FE7867" w:rsidRDefault="00CA685B" w:rsidP="00FE7867">
      <w:pPr>
        <w:pStyle w:val="1"/>
        <w:rPr>
          <w:rFonts w:ascii="Times New Roman" w:hAnsi="Times New Roman" w:cs="Times New Roman"/>
          <w:sz w:val="28"/>
          <w:szCs w:val="28"/>
        </w:rPr>
      </w:pPr>
    </w:p>
    <w:p w:rsidR="006B6D0C" w:rsidRPr="00FE7867" w:rsidRDefault="006B6D0C" w:rsidP="00FE7867">
      <w:pPr>
        <w:pStyle w:val="1"/>
        <w:rPr>
          <w:rFonts w:ascii="Times New Roman" w:hAnsi="Times New Roman" w:cs="Times New Roman"/>
          <w:sz w:val="28"/>
          <w:szCs w:val="28"/>
        </w:rPr>
      </w:pPr>
    </w:p>
    <w:sectPr w:rsidR="006B6D0C" w:rsidRPr="00FE78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0C" w:rsidRDefault="004A560C" w:rsidP="00CA1938">
      <w:pPr>
        <w:spacing w:after="0" w:line="240" w:lineRule="auto"/>
      </w:pPr>
      <w:r>
        <w:separator/>
      </w:r>
    </w:p>
  </w:endnote>
  <w:endnote w:type="continuationSeparator" w:id="0">
    <w:p w:rsidR="004A560C" w:rsidRDefault="004A560C" w:rsidP="00C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00334"/>
      <w:docPartObj>
        <w:docPartGallery w:val="Page Numbers (Bottom of Page)"/>
        <w:docPartUnique/>
      </w:docPartObj>
    </w:sdtPr>
    <w:sdtEndPr>
      <w:rPr>
        <w:noProof/>
      </w:rPr>
    </w:sdtEndPr>
    <w:sdtContent>
      <w:p w:rsidR="00CA1938" w:rsidRDefault="00CA1938">
        <w:pPr>
          <w:pStyle w:val="Footer"/>
          <w:jc w:val="right"/>
        </w:pPr>
        <w:r>
          <w:fldChar w:fldCharType="begin"/>
        </w:r>
        <w:r>
          <w:instrText xml:space="preserve"> PAGE   \* MERGEFORMAT </w:instrText>
        </w:r>
        <w:r>
          <w:fldChar w:fldCharType="separate"/>
        </w:r>
        <w:r w:rsidR="004A560C">
          <w:rPr>
            <w:noProof/>
          </w:rPr>
          <w:t>1</w:t>
        </w:r>
        <w:r>
          <w:rPr>
            <w:noProof/>
          </w:rPr>
          <w:fldChar w:fldCharType="end"/>
        </w:r>
      </w:p>
    </w:sdtContent>
  </w:sdt>
  <w:p w:rsidR="00CA1938" w:rsidRDefault="00CA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0C" w:rsidRDefault="004A560C" w:rsidP="00CA1938">
      <w:pPr>
        <w:spacing w:after="0" w:line="240" w:lineRule="auto"/>
      </w:pPr>
      <w:r>
        <w:separator/>
      </w:r>
    </w:p>
  </w:footnote>
  <w:footnote w:type="continuationSeparator" w:id="0">
    <w:p w:rsidR="004A560C" w:rsidRDefault="004A560C" w:rsidP="00CA1938">
      <w:pPr>
        <w:spacing w:after="0" w:line="240" w:lineRule="auto"/>
      </w:pPr>
      <w:r>
        <w:continuationSeparator/>
      </w:r>
    </w:p>
  </w:footnote>
  <w:footnote w:id="1">
    <w:p w:rsidR="007B1665" w:rsidRPr="007B1665" w:rsidRDefault="007B1665">
      <w:pPr>
        <w:pStyle w:val="FootnoteText"/>
        <w:rPr>
          <w:lang w:val="en-GB"/>
        </w:rPr>
      </w:pPr>
      <w:r>
        <w:rPr>
          <w:rStyle w:val="FootnoteReference"/>
        </w:rPr>
        <w:footnoteRef/>
      </w:r>
      <w:r>
        <w:t xml:space="preserve"> </w:t>
      </w:r>
      <w:r w:rsidRPr="007B1665">
        <w:t>2018 (2) SACR 230 (SCA) par 8</w:t>
      </w:r>
      <w:r>
        <w:t>.</w:t>
      </w:r>
    </w:p>
  </w:footnote>
  <w:footnote w:id="2">
    <w:p w:rsidR="007B1665" w:rsidRPr="007B1665" w:rsidRDefault="007B1665">
      <w:pPr>
        <w:pStyle w:val="FootnoteText"/>
        <w:rPr>
          <w:lang w:val="en-GB"/>
        </w:rPr>
      </w:pPr>
      <w:r>
        <w:rPr>
          <w:rStyle w:val="FootnoteReference"/>
        </w:rPr>
        <w:footnoteRef/>
      </w:r>
      <w:r>
        <w:t xml:space="preserve"> S</w:t>
      </w:r>
      <w:r w:rsidRPr="007B1665">
        <w:t>upra at 370g-371</w:t>
      </w:r>
      <w:r>
        <w:t xml:space="preserve"> G.</w:t>
      </w:r>
    </w:p>
  </w:footnote>
  <w:footnote w:id="3">
    <w:p w:rsidR="007B1665" w:rsidRPr="007B1665" w:rsidRDefault="007B1665">
      <w:pPr>
        <w:pStyle w:val="FootnoteText"/>
        <w:rPr>
          <w:lang w:val="en-GB"/>
        </w:rPr>
      </w:pPr>
      <w:r>
        <w:rPr>
          <w:rStyle w:val="FootnoteReference"/>
        </w:rPr>
        <w:footnoteRef/>
      </w:r>
      <w:r>
        <w:t xml:space="preserve"> </w:t>
      </w:r>
      <w:r w:rsidR="009E367A">
        <w:t>1992 (2) SA 238</w:t>
      </w:r>
      <w:r w:rsidRPr="007B1665">
        <w:t>.</w:t>
      </w:r>
    </w:p>
  </w:footnote>
  <w:footnote w:id="4">
    <w:p w:rsidR="002F782D" w:rsidRPr="002F782D" w:rsidRDefault="002F782D">
      <w:pPr>
        <w:pStyle w:val="FootnoteText"/>
        <w:rPr>
          <w:lang w:val="en-GB"/>
        </w:rPr>
      </w:pPr>
      <w:r>
        <w:rPr>
          <w:rStyle w:val="FootnoteReference"/>
        </w:rPr>
        <w:footnoteRef/>
      </w:r>
      <w:r>
        <w:t xml:space="preserve"> 200(1) SACR at para 12. </w:t>
      </w:r>
    </w:p>
  </w:footnote>
  <w:footnote w:id="5">
    <w:p w:rsidR="007B1665" w:rsidRPr="007B1665" w:rsidRDefault="007B1665">
      <w:pPr>
        <w:pStyle w:val="FootnoteText"/>
        <w:rPr>
          <w:lang w:val="en-GB"/>
        </w:rPr>
      </w:pPr>
      <w:r>
        <w:rPr>
          <w:rStyle w:val="FootnoteReference"/>
        </w:rPr>
        <w:footnoteRef/>
      </w:r>
      <w:r>
        <w:t xml:space="preserve"> </w:t>
      </w:r>
      <w:r w:rsidRPr="007B1665">
        <w:t>2010 (2) SACR 501</w:t>
      </w:r>
      <w:r>
        <w:t>.</w:t>
      </w:r>
    </w:p>
  </w:footnote>
  <w:footnote w:id="6">
    <w:p w:rsidR="00C96CC0" w:rsidRPr="00C96CC0" w:rsidRDefault="00C96CC0">
      <w:pPr>
        <w:pStyle w:val="FootnoteText"/>
        <w:rPr>
          <w:lang w:val="en-GB"/>
        </w:rPr>
      </w:pPr>
      <w:r>
        <w:rPr>
          <w:rStyle w:val="FootnoteReference"/>
        </w:rPr>
        <w:footnoteRef/>
      </w:r>
      <w:r>
        <w:t xml:space="preserve"> </w:t>
      </w:r>
      <w:r w:rsidRPr="00C96CC0">
        <w:t xml:space="preserve">  (2) SACR 227 at para 5 Boruchowitz</w:t>
      </w:r>
      <w:r>
        <w:t xml:space="preserve"> AJA sitting with Cloete &amp; Mai JJA.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C867460"/>
    <w:multiLevelType w:val="hybridMultilevel"/>
    <w:tmpl w:val="1A98AD6A"/>
    <w:lvl w:ilvl="0" w:tplc="9AECC8B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57"/>
    <w:rsid w:val="00032EAA"/>
    <w:rsid w:val="00087A3E"/>
    <w:rsid w:val="000963C2"/>
    <w:rsid w:val="000A3B69"/>
    <w:rsid w:val="000B2806"/>
    <w:rsid w:val="000C4BEB"/>
    <w:rsid w:val="000D543C"/>
    <w:rsid w:val="000E5409"/>
    <w:rsid w:val="000E6348"/>
    <w:rsid w:val="000F5EC9"/>
    <w:rsid w:val="00137668"/>
    <w:rsid w:val="00163032"/>
    <w:rsid w:val="001723DC"/>
    <w:rsid w:val="001E4EE0"/>
    <w:rsid w:val="002336F5"/>
    <w:rsid w:val="00244399"/>
    <w:rsid w:val="002D0319"/>
    <w:rsid w:val="002F782D"/>
    <w:rsid w:val="00320E49"/>
    <w:rsid w:val="00344DB7"/>
    <w:rsid w:val="00345E9E"/>
    <w:rsid w:val="00361629"/>
    <w:rsid w:val="003841B1"/>
    <w:rsid w:val="003A71C1"/>
    <w:rsid w:val="003C02A4"/>
    <w:rsid w:val="003E0C57"/>
    <w:rsid w:val="00467DE1"/>
    <w:rsid w:val="004A560C"/>
    <w:rsid w:val="004C242A"/>
    <w:rsid w:val="004D32E9"/>
    <w:rsid w:val="005121BF"/>
    <w:rsid w:val="00520713"/>
    <w:rsid w:val="00522FCF"/>
    <w:rsid w:val="00533C2B"/>
    <w:rsid w:val="00570A3F"/>
    <w:rsid w:val="005B6C7B"/>
    <w:rsid w:val="005F1323"/>
    <w:rsid w:val="006644EB"/>
    <w:rsid w:val="00686BFC"/>
    <w:rsid w:val="0069163B"/>
    <w:rsid w:val="006B6D0C"/>
    <w:rsid w:val="006F482A"/>
    <w:rsid w:val="006F66AB"/>
    <w:rsid w:val="00747380"/>
    <w:rsid w:val="007B1665"/>
    <w:rsid w:val="007F70A9"/>
    <w:rsid w:val="008123B7"/>
    <w:rsid w:val="0087635B"/>
    <w:rsid w:val="00896CD1"/>
    <w:rsid w:val="00897576"/>
    <w:rsid w:val="008A31E8"/>
    <w:rsid w:val="008B536B"/>
    <w:rsid w:val="009660F8"/>
    <w:rsid w:val="009D2E02"/>
    <w:rsid w:val="009E367A"/>
    <w:rsid w:val="00A16D07"/>
    <w:rsid w:val="00AB1499"/>
    <w:rsid w:val="00AB553F"/>
    <w:rsid w:val="00AC27B8"/>
    <w:rsid w:val="00AF35AA"/>
    <w:rsid w:val="00AF6B57"/>
    <w:rsid w:val="00B123E3"/>
    <w:rsid w:val="00B963F7"/>
    <w:rsid w:val="00BB6E63"/>
    <w:rsid w:val="00C21F7C"/>
    <w:rsid w:val="00C456A0"/>
    <w:rsid w:val="00C82223"/>
    <w:rsid w:val="00C94C00"/>
    <w:rsid w:val="00C96CC0"/>
    <w:rsid w:val="00CA1938"/>
    <w:rsid w:val="00CA685B"/>
    <w:rsid w:val="00D41B1E"/>
    <w:rsid w:val="00D507DD"/>
    <w:rsid w:val="00DE36E8"/>
    <w:rsid w:val="00E6253D"/>
    <w:rsid w:val="00E66E33"/>
    <w:rsid w:val="00E84088"/>
    <w:rsid w:val="00EB10B0"/>
    <w:rsid w:val="00EC23E8"/>
    <w:rsid w:val="00ED181A"/>
    <w:rsid w:val="00EE1DA7"/>
    <w:rsid w:val="00EE2230"/>
    <w:rsid w:val="00F33588"/>
    <w:rsid w:val="00F654CA"/>
    <w:rsid w:val="00FB1BB9"/>
    <w:rsid w:val="00FC401B"/>
    <w:rsid w:val="00FD002A"/>
    <w:rsid w:val="00FE7867"/>
    <w:rsid w:val="00FF13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79FB"/>
  <w15:chartTrackingRefBased/>
  <w15:docId w15:val="{3279F558-969E-41E3-9DE9-E600FA0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57"/>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Header">
    <w:name w:val="header"/>
    <w:basedOn w:val="Normal"/>
    <w:link w:val="HeaderChar"/>
    <w:uiPriority w:val="99"/>
    <w:unhideWhenUsed/>
    <w:rsid w:val="00CA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38"/>
    <w:rPr>
      <w:rFonts w:eastAsiaTheme="minorEastAsia"/>
      <w:lang w:eastAsia="en-ZA"/>
    </w:rPr>
  </w:style>
  <w:style w:type="paragraph" w:styleId="Footer">
    <w:name w:val="footer"/>
    <w:basedOn w:val="Normal"/>
    <w:link w:val="FooterChar"/>
    <w:uiPriority w:val="99"/>
    <w:unhideWhenUsed/>
    <w:rsid w:val="00CA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38"/>
    <w:rPr>
      <w:rFonts w:eastAsiaTheme="minorEastAsia"/>
      <w:lang w:eastAsia="en-ZA"/>
    </w:rPr>
  </w:style>
  <w:style w:type="paragraph" w:styleId="FootnoteText">
    <w:name w:val="footnote text"/>
    <w:basedOn w:val="Normal"/>
    <w:link w:val="FootnoteTextChar"/>
    <w:uiPriority w:val="99"/>
    <w:semiHidden/>
    <w:unhideWhenUsed/>
    <w:rsid w:val="005B6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C7B"/>
    <w:rPr>
      <w:rFonts w:eastAsiaTheme="minorEastAsia"/>
      <w:sz w:val="20"/>
      <w:szCs w:val="20"/>
      <w:lang w:eastAsia="en-ZA"/>
    </w:rPr>
  </w:style>
  <w:style w:type="character" w:styleId="FootnoteReference">
    <w:name w:val="footnote reference"/>
    <w:basedOn w:val="DefaultParagraphFont"/>
    <w:uiPriority w:val="99"/>
    <w:semiHidden/>
    <w:unhideWhenUsed/>
    <w:rsid w:val="005B6C7B"/>
    <w:rPr>
      <w:vertAlign w:val="superscript"/>
    </w:rPr>
  </w:style>
  <w:style w:type="character" w:styleId="Hyperlink">
    <w:name w:val="Hyperlink"/>
    <w:basedOn w:val="DefaultParagraphFont"/>
    <w:uiPriority w:val="99"/>
    <w:unhideWhenUsed/>
    <w:rsid w:val="00F654CA"/>
    <w:rPr>
      <w:color w:val="0563C1" w:themeColor="hyperlink"/>
      <w:u w:val="single"/>
    </w:rPr>
  </w:style>
  <w:style w:type="paragraph" w:styleId="ListParagraph">
    <w:name w:val="List Paragraph"/>
    <w:basedOn w:val="Normal"/>
    <w:uiPriority w:val="34"/>
    <w:qFormat/>
    <w:rsid w:val="009D2E02"/>
    <w:pPr>
      <w:ind w:left="720"/>
      <w:contextualSpacing/>
    </w:pPr>
  </w:style>
  <w:style w:type="paragraph" w:customStyle="1" w:styleId="Default">
    <w:name w:val="Default"/>
    <w:rsid w:val="00DE36E8"/>
    <w:pPr>
      <w:autoSpaceDE w:val="0"/>
      <w:autoSpaceDN w:val="0"/>
      <w:adjustRightInd w:val="0"/>
      <w:spacing w:after="0" w:line="240" w:lineRule="auto"/>
    </w:pPr>
    <w:rPr>
      <w:rFonts w:ascii="Times New Roman" w:hAnsi="Times New Roman" w:cs="Times New Roman"/>
      <w:color w:val="000000"/>
      <w:sz w:val="24"/>
      <w:szCs w:val="24"/>
      <w:lang w:val="en-GB"/>
      <w14:ligatures w14:val="standardContextual"/>
    </w:rPr>
  </w:style>
  <w:style w:type="paragraph" w:customStyle="1" w:styleId="MEMONUMBERED">
    <w:name w:val="MEMO NUMBERED"/>
    <w:basedOn w:val="Normal"/>
    <w:link w:val="MEMONUMBEREDChar"/>
    <w:qFormat/>
    <w:rsid w:val="00DE36E8"/>
    <w:pPr>
      <w:numPr>
        <w:numId w:val="4"/>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DE36E8"/>
    <w:rPr>
      <w:rFonts w:ascii="Times New Roman" w:eastAsia="Times New Roman" w:hAnsi="Times New Roman" w:cs="Times New Roman"/>
      <w:sz w:val="24"/>
      <w:szCs w:val="24"/>
      <w:lang w:val="en-US" w:eastAsia="en-ZA"/>
    </w:rPr>
  </w:style>
  <w:style w:type="paragraph" w:styleId="BalloonText">
    <w:name w:val="Balloon Text"/>
    <w:basedOn w:val="Normal"/>
    <w:link w:val="BalloonTextChar"/>
    <w:uiPriority w:val="99"/>
    <w:semiHidden/>
    <w:unhideWhenUsed/>
    <w:rsid w:val="0089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76"/>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9BCF-B87A-4235-8A72-1060F8D3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Molebogeng Raseroka</cp:lastModifiedBy>
  <cp:revision>2</cp:revision>
  <cp:lastPrinted>2024-04-16T13:16:00Z</cp:lastPrinted>
  <dcterms:created xsi:type="dcterms:W3CDTF">2024-04-16T13:34:00Z</dcterms:created>
  <dcterms:modified xsi:type="dcterms:W3CDTF">2024-04-16T13:34:00Z</dcterms:modified>
</cp:coreProperties>
</file>