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62CB8" w14:textId="752E0791" w:rsidR="00735555" w:rsidRDefault="006D154D" w:rsidP="006D154D">
      <w:r>
        <w:rPr>
          <w:noProof/>
        </w:rPr>
        <w:drawing>
          <wp:inline distT="0" distB="0" distL="0" distR="0" wp14:anchorId="0AA33974" wp14:editId="04B3B6C8">
            <wp:extent cx="4286250" cy="466725"/>
            <wp:effectExtent l="0" t="0" r="0" b="9525"/>
            <wp:docPr id="992776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63E5B46" w14:textId="5CD552F1" w:rsidR="00735555" w:rsidRDefault="006D154D" w:rsidP="00735555">
      <w:pPr>
        <w:jc w:val="center"/>
      </w:pPr>
      <w:r>
        <w:rPr>
          <w:noProof/>
          <w:lang w:val="en-ZA" w:eastAsia="en-ZA"/>
        </w:rPr>
        <w:drawing>
          <wp:anchor distT="0" distB="0" distL="114300" distR="114300" simplePos="0" relativeHeight="251659264" behindDoc="0" locked="0" layoutInCell="1" allowOverlap="1" wp14:anchorId="6DC897C6" wp14:editId="7EDBD71E">
            <wp:simplePos x="0" y="0"/>
            <wp:positionH relativeFrom="margin">
              <wp:align>center</wp:align>
            </wp:positionH>
            <wp:positionV relativeFrom="paragraph">
              <wp:posOffset>8890</wp:posOffset>
            </wp:positionV>
            <wp:extent cx="1895475" cy="1619250"/>
            <wp:effectExtent l="0" t="0" r="9525" b="0"/>
            <wp:wrapNone/>
            <wp:docPr id="6"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6" name="Picture 6" descr="Description: Description: cid:image002.jpg@01D019DE.127D259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5475" cy="1619250"/>
                    </a:xfrm>
                    <a:prstGeom prst="rect">
                      <a:avLst/>
                    </a:prstGeom>
                    <a:noFill/>
                    <a:ln>
                      <a:noFill/>
                    </a:ln>
                  </pic:spPr>
                </pic:pic>
              </a:graphicData>
            </a:graphic>
            <wp14:sizeRelH relativeFrom="margin">
              <wp14:pctWidth>0</wp14:pctWidth>
            </wp14:sizeRelH>
          </wp:anchor>
        </w:drawing>
      </w:r>
    </w:p>
    <w:p w14:paraId="4A0D4322" w14:textId="52B5E938" w:rsidR="006D154D" w:rsidRDefault="006D154D" w:rsidP="00735555">
      <w:pPr>
        <w:jc w:val="center"/>
      </w:pPr>
    </w:p>
    <w:p w14:paraId="06E708A8" w14:textId="77777777" w:rsidR="006D154D" w:rsidRDefault="006D154D" w:rsidP="00735555">
      <w:pPr>
        <w:jc w:val="center"/>
      </w:pPr>
    </w:p>
    <w:p w14:paraId="0C55EA8E" w14:textId="77777777" w:rsidR="006D154D" w:rsidRDefault="006D154D" w:rsidP="00735555">
      <w:pPr>
        <w:jc w:val="center"/>
      </w:pPr>
    </w:p>
    <w:p w14:paraId="41404A65" w14:textId="77777777" w:rsidR="00735555" w:rsidRDefault="00735555" w:rsidP="00735555">
      <w:pPr>
        <w:jc w:val="center"/>
      </w:pPr>
    </w:p>
    <w:p w14:paraId="5A72E6D9" w14:textId="77777777" w:rsidR="00735555" w:rsidRDefault="00735555" w:rsidP="00735555">
      <w:pPr>
        <w:jc w:val="center"/>
      </w:pPr>
    </w:p>
    <w:p w14:paraId="050EEABA" w14:textId="77777777" w:rsidR="00735555" w:rsidRDefault="00735555" w:rsidP="00735555">
      <w:pPr>
        <w:jc w:val="center"/>
        <w:rPr>
          <w:rFonts w:ascii="Arial" w:hAnsi="Arial" w:cs="Arial"/>
          <w:sz w:val="24"/>
          <w:szCs w:val="24"/>
        </w:rPr>
      </w:pPr>
      <w:r>
        <w:rPr>
          <w:rFonts w:ascii="Arial" w:hAnsi="Arial" w:cs="Arial"/>
          <w:sz w:val="24"/>
          <w:szCs w:val="24"/>
        </w:rPr>
        <w:t>IN THE HIGH COURT OF SOUTH AFRICA</w:t>
      </w:r>
    </w:p>
    <w:p w14:paraId="284F9785" w14:textId="77777777" w:rsidR="00735555" w:rsidRDefault="00735555" w:rsidP="00735555">
      <w:pPr>
        <w:jc w:val="center"/>
        <w:rPr>
          <w:rFonts w:ascii="Arial" w:hAnsi="Arial" w:cs="Arial"/>
          <w:sz w:val="24"/>
          <w:szCs w:val="24"/>
        </w:rPr>
      </w:pPr>
      <w:r>
        <w:rPr>
          <w:rFonts w:ascii="Arial" w:hAnsi="Arial" w:cs="Arial"/>
          <w:sz w:val="24"/>
          <w:szCs w:val="24"/>
        </w:rPr>
        <w:t>GAUTENG DIVISION, PRETORIA</w:t>
      </w:r>
    </w:p>
    <w:p w14:paraId="10749AC4" w14:textId="77777777" w:rsidR="00735555" w:rsidRDefault="00735555" w:rsidP="00735555">
      <w:pPr>
        <w:jc w:val="right"/>
        <w:rPr>
          <w:rFonts w:ascii="Arial" w:hAnsi="Arial" w:cs="Arial"/>
          <w:sz w:val="24"/>
          <w:szCs w:val="24"/>
        </w:rPr>
      </w:pPr>
      <w:r>
        <w:rPr>
          <w:rFonts w:ascii="Arial" w:hAnsi="Arial" w:cs="Arial"/>
          <w:sz w:val="24"/>
          <w:szCs w:val="24"/>
        </w:rPr>
        <w:t>Case no: 094387/23</w:t>
      </w:r>
    </w:p>
    <w:p w14:paraId="646215B0" w14:textId="77777777" w:rsidR="00735555" w:rsidRDefault="00735555" w:rsidP="00735555">
      <w:pPr>
        <w:rPr>
          <w:rFonts w:ascii="Arial" w:hAnsi="Arial" w:cs="Arial"/>
          <w:sz w:val="24"/>
          <w:szCs w:val="24"/>
        </w:rPr>
      </w:pPr>
    </w:p>
    <w:p w14:paraId="21E6DB87" w14:textId="77777777" w:rsidR="00F54A3B" w:rsidRPr="00A75EE1" w:rsidRDefault="00F54A3B" w:rsidP="00F54A3B">
      <w:pPr>
        <w:ind w:left="2880"/>
        <w:rPr>
          <w:rFonts w:ascii="Century Gothic" w:hAnsi="Century Gothic"/>
          <w:sz w:val="18"/>
          <w:szCs w:val="18"/>
        </w:rPr>
      </w:pPr>
    </w:p>
    <w:p w14:paraId="308094AC" w14:textId="77777777" w:rsidR="00F54A3B" w:rsidRPr="00A75EE1" w:rsidRDefault="00F54A3B" w:rsidP="00F54A3B">
      <w:pPr>
        <w:ind w:left="2880"/>
        <w:rPr>
          <w:rFonts w:ascii="Century Gothic" w:hAnsi="Century Gothic"/>
          <w:sz w:val="18"/>
          <w:szCs w:val="18"/>
        </w:rPr>
      </w:pPr>
    </w:p>
    <w:p w14:paraId="4FD46107" w14:textId="77777777" w:rsidR="00F54A3B" w:rsidRDefault="00F54A3B" w:rsidP="00735555">
      <w:pPr>
        <w:rPr>
          <w:rFonts w:ascii="Arial" w:hAnsi="Arial" w:cs="Arial"/>
          <w:sz w:val="24"/>
          <w:szCs w:val="24"/>
        </w:rPr>
      </w:pPr>
      <w:r w:rsidRPr="000A0967">
        <w:rPr>
          <w:b/>
          <w:noProof/>
          <w:lang w:val="en-ZA" w:eastAsia="en-ZA"/>
        </w:rPr>
        <mc:AlternateContent>
          <mc:Choice Requires="wps">
            <w:drawing>
              <wp:anchor distT="0" distB="0" distL="114300" distR="114300" simplePos="0" relativeHeight="251661312" behindDoc="0" locked="0" layoutInCell="1" allowOverlap="1" wp14:anchorId="3DAD27CB" wp14:editId="36DC7B4D">
                <wp:simplePos x="0" y="0"/>
                <wp:positionH relativeFrom="column">
                  <wp:posOffset>-30480</wp:posOffset>
                </wp:positionH>
                <wp:positionV relativeFrom="paragraph">
                  <wp:posOffset>-382270</wp:posOffset>
                </wp:positionV>
                <wp:extent cx="3371850" cy="1363980"/>
                <wp:effectExtent l="0" t="0" r="1905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63980"/>
                        </a:xfrm>
                        <a:prstGeom prst="rect">
                          <a:avLst/>
                        </a:prstGeom>
                        <a:solidFill>
                          <a:srgbClr val="FFFFFF"/>
                        </a:solidFill>
                        <a:ln w="9525">
                          <a:solidFill>
                            <a:srgbClr val="000000"/>
                          </a:solidFill>
                          <a:miter lim="800000"/>
                          <a:headEnd/>
                          <a:tailEnd/>
                        </a:ln>
                      </wps:spPr>
                      <wps:txbx>
                        <w:txbxContent>
                          <w:p w14:paraId="3E901756" w14:textId="77777777" w:rsidR="00F54A3B" w:rsidRPr="00A75EE1" w:rsidRDefault="00F54A3B" w:rsidP="00F54A3B">
                            <w:pPr>
                              <w:pStyle w:val="ListParagraph"/>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REPORTABLE: </w:t>
                            </w:r>
                            <w:r>
                              <w:rPr>
                                <w:rFonts w:ascii="Century Gothic" w:hAnsi="Century Gothic"/>
                                <w:b/>
                                <w:sz w:val="18"/>
                                <w:szCs w:val="18"/>
                              </w:rPr>
                              <w:t>Y</w:t>
                            </w:r>
                            <w:r w:rsidR="006F0C2E">
                              <w:rPr>
                                <w:rFonts w:ascii="Century Gothic" w:hAnsi="Century Gothic"/>
                                <w:b/>
                                <w:sz w:val="18"/>
                                <w:szCs w:val="18"/>
                              </w:rPr>
                              <w:t>ES</w:t>
                            </w:r>
                          </w:p>
                          <w:p w14:paraId="38DC0C65" w14:textId="77777777" w:rsidR="00F54A3B" w:rsidRPr="00A75EE1" w:rsidRDefault="00F54A3B" w:rsidP="00F54A3B">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OF INTEREST TO OTHER JUDGES: </w:t>
                            </w:r>
                            <w:r w:rsidRPr="006F0C2E">
                              <w:rPr>
                                <w:rFonts w:ascii="Century Gothic" w:hAnsi="Century Gothic"/>
                                <w:b/>
                                <w:sz w:val="18"/>
                                <w:szCs w:val="18"/>
                              </w:rPr>
                              <w:t>YES</w:t>
                            </w:r>
                          </w:p>
                          <w:p w14:paraId="6CD44379" w14:textId="77777777" w:rsidR="00F54A3B" w:rsidRPr="00A75EE1" w:rsidRDefault="00F54A3B" w:rsidP="00F54A3B">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REVISED</w:t>
                            </w:r>
                            <w:r>
                              <w:rPr>
                                <w:rFonts w:ascii="Century Gothic" w:hAnsi="Century Gothic"/>
                                <w:sz w:val="18"/>
                                <w:szCs w:val="18"/>
                              </w:rPr>
                              <w:t>:</w:t>
                            </w:r>
                            <w:r w:rsidRPr="00A75EE1">
                              <w:rPr>
                                <w:rFonts w:ascii="Century Gothic" w:hAnsi="Century Gothic"/>
                                <w:sz w:val="18"/>
                                <w:szCs w:val="18"/>
                              </w:rPr>
                              <w:t xml:space="preserve"> </w:t>
                            </w:r>
                            <w:r w:rsidRPr="00A75EE1">
                              <w:rPr>
                                <w:rFonts w:ascii="Century Gothic" w:hAnsi="Century Gothic"/>
                                <w:b/>
                                <w:sz w:val="18"/>
                                <w:szCs w:val="18"/>
                              </w:rPr>
                              <w:t>YES</w:t>
                            </w:r>
                          </w:p>
                          <w:p w14:paraId="262D6F6C" w14:textId="77777777" w:rsidR="00F54A3B" w:rsidRPr="00A75EE1" w:rsidRDefault="00F54A3B" w:rsidP="00F54A3B">
                            <w:pPr>
                              <w:ind w:left="2880"/>
                              <w:rPr>
                                <w:rFonts w:ascii="Century Gothic" w:hAnsi="Century Gothic"/>
                                <w:sz w:val="18"/>
                                <w:szCs w:val="18"/>
                              </w:rPr>
                            </w:pPr>
                          </w:p>
                          <w:p w14:paraId="38183C74" w14:textId="77777777" w:rsidR="00F54A3B" w:rsidRDefault="00F54A3B" w:rsidP="00F54A3B">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14:paraId="14D40D27" w14:textId="77777777" w:rsidR="00F54A3B" w:rsidRPr="00A75EE1" w:rsidRDefault="00F54A3B" w:rsidP="00F54A3B">
                            <w:pPr>
                              <w:spacing w:after="0" w:line="240" w:lineRule="auto"/>
                              <w:rPr>
                                <w:rFonts w:ascii="Century Gothic" w:hAnsi="Century Gothic"/>
                                <w:b/>
                                <w:sz w:val="18"/>
                                <w:szCs w:val="18"/>
                              </w:rPr>
                            </w:pPr>
                            <w:r>
                              <w:rPr>
                                <w:rFonts w:ascii="Century Gothic" w:hAnsi="Century Gothic"/>
                                <w:sz w:val="18"/>
                                <w:szCs w:val="18"/>
                                <w:u w:val="single"/>
                              </w:rPr>
                              <w:t>22 April 2024</w:t>
                            </w:r>
                            <w:r>
                              <w:rPr>
                                <w:rFonts w:ascii="Century Gothic" w:hAnsi="Century Gothic"/>
                                <w:sz w:val="18"/>
                                <w:szCs w:val="18"/>
                                <w:u w:val="single"/>
                              </w:rPr>
                              <w:tab/>
                            </w:r>
                            <w:r w:rsidRPr="008D4FF9">
                              <w:rPr>
                                <w:rFonts w:ascii="Century Gothic" w:hAnsi="Century Gothic"/>
                                <w:b/>
                                <w:sz w:val="18"/>
                                <w:szCs w:val="18"/>
                              </w:rPr>
                              <w:t xml:space="preserve">           </w:t>
                            </w:r>
                          </w:p>
                          <w:p w14:paraId="260950EF" w14:textId="77777777" w:rsidR="00F54A3B" w:rsidRPr="00A75EE1" w:rsidRDefault="00F54A3B" w:rsidP="00F54A3B">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D27CB" id="_x0000_t202" coordsize="21600,21600" o:spt="202" path="m,l,21600r21600,l21600,xe">
                <v:stroke joinstyle="miter"/>
                <v:path gradientshapeok="t" o:connecttype="rect"/>
              </v:shapetype>
              <v:shape id="Text Box 5" o:spid="_x0000_s1026" type="#_x0000_t202" style="position:absolute;margin-left:-2.4pt;margin-top:-30.1pt;width:265.5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">
                <v:textbox>
                  <w:txbxContent>
                    <w:p w14:paraId="3E901756" w14:textId="77777777" w:rsidR="00F54A3B" w:rsidRPr="00A75EE1" w:rsidRDefault="00F54A3B" w:rsidP="00F54A3B">
                      <w:pPr>
                        <w:pStyle w:val="ListParagraph"/>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REPORTABLE: </w:t>
                      </w:r>
                      <w:r>
                        <w:rPr>
                          <w:rFonts w:ascii="Century Gothic" w:hAnsi="Century Gothic"/>
                          <w:b/>
                          <w:sz w:val="18"/>
                          <w:szCs w:val="18"/>
                        </w:rPr>
                        <w:t>Y</w:t>
                      </w:r>
                      <w:r w:rsidR="006F0C2E">
                        <w:rPr>
                          <w:rFonts w:ascii="Century Gothic" w:hAnsi="Century Gothic"/>
                          <w:b/>
                          <w:sz w:val="18"/>
                          <w:szCs w:val="18"/>
                        </w:rPr>
                        <w:t>ES</w:t>
                      </w:r>
                    </w:p>
                    <w:p w14:paraId="38DC0C65" w14:textId="77777777" w:rsidR="00F54A3B" w:rsidRPr="00A75EE1" w:rsidRDefault="00F54A3B" w:rsidP="00F54A3B">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OF INTEREST TO OTHER JUDGES: </w:t>
                      </w:r>
                      <w:r w:rsidRPr="006F0C2E">
                        <w:rPr>
                          <w:rFonts w:ascii="Century Gothic" w:hAnsi="Century Gothic"/>
                          <w:b/>
                          <w:sz w:val="18"/>
                          <w:szCs w:val="18"/>
                        </w:rPr>
                        <w:t>YES</w:t>
                      </w:r>
                    </w:p>
                    <w:p w14:paraId="6CD44379" w14:textId="77777777" w:rsidR="00F54A3B" w:rsidRPr="00A75EE1" w:rsidRDefault="00F54A3B" w:rsidP="00F54A3B">
                      <w:pPr>
                        <w:numPr>
                          <w:ilvl w:val="0"/>
                          <w:numId w:val="1"/>
                        </w:numPr>
                        <w:tabs>
                          <w:tab w:val="clear" w:pos="900"/>
                        </w:tabs>
                        <w:spacing w:after="0" w:line="240" w:lineRule="auto"/>
                        <w:rPr>
                          <w:rFonts w:ascii="Century Gothic" w:hAnsi="Century Gothic"/>
                          <w:sz w:val="18"/>
                          <w:szCs w:val="18"/>
                        </w:rPr>
                      </w:pPr>
                      <w:r w:rsidRPr="00A75EE1">
                        <w:rPr>
                          <w:rFonts w:ascii="Century Gothic" w:hAnsi="Century Gothic"/>
                          <w:sz w:val="18"/>
                          <w:szCs w:val="18"/>
                        </w:rPr>
                        <w:t>REVISED</w:t>
                      </w:r>
                      <w:r>
                        <w:rPr>
                          <w:rFonts w:ascii="Century Gothic" w:hAnsi="Century Gothic"/>
                          <w:sz w:val="18"/>
                          <w:szCs w:val="18"/>
                        </w:rPr>
                        <w:t>:</w:t>
                      </w:r>
                      <w:r w:rsidRPr="00A75EE1">
                        <w:rPr>
                          <w:rFonts w:ascii="Century Gothic" w:hAnsi="Century Gothic"/>
                          <w:sz w:val="18"/>
                          <w:szCs w:val="18"/>
                        </w:rPr>
                        <w:t xml:space="preserve"> </w:t>
                      </w:r>
                      <w:r w:rsidRPr="00A75EE1">
                        <w:rPr>
                          <w:rFonts w:ascii="Century Gothic" w:hAnsi="Century Gothic"/>
                          <w:b/>
                          <w:sz w:val="18"/>
                          <w:szCs w:val="18"/>
                        </w:rPr>
                        <w:t>YES</w:t>
                      </w:r>
                    </w:p>
                    <w:p w14:paraId="262D6F6C" w14:textId="77777777" w:rsidR="00F54A3B" w:rsidRPr="00A75EE1" w:rsidRDefault="00F54A3B" w:rsidP="00F54A3B">
                      <w:pPr>
                        <w:ind w:left="2880"/>
                        <w:rPr>
                          <w:rFonts w:ascii="Century Gothic" w:hAnsi="Century Gothic"/>
                          <w:sz w:val="18"/>
                          <w:szCs w:val="18"/>
                        </w:rPr>
                      </w:pPr>
                    </w:p>
                    <w:p w14:paraId="38183C74" w14:textId="77777777" w:rsidR="00F54A3B" w:rsidRDefault="00F54A3B" w:rsidP="00F54A3B">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14:paraId="14D40D27" w14:textId="77777777" w:rsidR="00F54A3B" w:rsidRPr="00A75EE1" w:rsidRDefault="00F54A3B" w:rsidP="00F54A3B">
                      <w:pPr>
                        <w:spacing w:after="0" w:line="240" w:lineRule="auto"/>
                        <w:rPr>
                          <w:rFonts w:ascii="Century Gothic" w:hAnsi="Century Gothic"/>
                          <w:b/>
                          <w:sz w:val="18"/>
                          <w:szCs w:val="18"/>
                        </w:rPr>
                      </w:pPr>
                      <w:r>
                        <w:rPr>
                          <w:rFonts w:ascii="Century Gothic" w:hAnsi="Century Gothic"/>
                          <w:sz w:val="18"/>
                          <w:szCs w:val="18"/>
                          <w:u w:val="single"/>
                        </w:rPr>
                        <w:t>22 April 2024</w:t>
                      </w:r>
                      <w:r>
                        <w:rPr>
                          <w:rFonts w:ascii="Century Gothic" w:hAnsi="Century Gothic"/>
                          <w:sz w:val="18"/>
                          <w:szCs w:val="18"/>
                          <w:u w:val="single"/>
                        </w:rPr>
                        <w:tab/>
                      </w:r>
                      <w:r w:rsidRPr="008D4FF9">
                        <w:rPr>
                          <w:rFonts w:ascii="Century Gothic" w:hAnsi="Century Gothic"/>
                          <w:b/>
                          <w:sz w:val="18"/>
                          <w:szCs w:val="18"/>
                        </w:rPr>
                        <w:t xml:space="preserve">           </w:t>
                      </w:r>
                    </w:p>
                    <w:p w14:paraId="260950EF" w14:textId="77777777" w:rsidR="00F54A3B" w:rsidRPr="00A75EE1" w:rsidRDefault="00F54A3B" w:rsidP="00F54A3B">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v:textbox>
              </v:shape>
            </w:pict>
          </mc:Fallback>
        </mc:AlternateContent>
      </w:r>
    </w:p>
    <w:p w14:paraId="219B1B84" w14:textId="77777777" w:rsidR="00F54A3B" w:rsidRDefault="00F54A3B" w:rsidP="00735555">
      <w:pPr>
        <w:rPr>
          <w:rFonts w:ascii="Arial" w:hAnsi="Arial" w:cs="Arial"/>
          <w:sz w:val="24"/>
          <w:szCs w:val="24"/>
        </w:rPr>
      </w:pPr>
    </w:p>
    <w:p w14:paraId="567B65DA" w14:textId="77777777" w:rsidR="00F54A3B" w:rsidRDefault="00F54A3B" w:rsidP="00735555">
      <w:pPr>
        <w:rPr>
          <w:rFonts w:ascii="Arial" w:hAnsi="Arial" w:cs="Arial"/>
          <w:sz w:val="24"/>
          <w:szCs w:val="24"/>
        </w:rPr>
      </w:pPr>
    </w:p>
    <w:p w14:paraId="56FF404C" w14:textId="77777777" w:rsidR="00F54A3B" w:rsidRDefault="00F54A3B" w:rsidP="00735555">
      <w:pPr>
        <w:rPr>
          <w:rFonts w:ascii="Arial" w:hAnsi="Arial" w:cs="Arial"/>
          <w:sz w:val="24"/>
          <w:szCs w:val="24"/>
        </w:rPr>
      </w:pPr>
    </w:p>
    <w:p w14:paraId="1952973A" w14:textId="4C52B0F1" w:rsidR="00735555" w:rsidRDefault="00735555" w:rsidP="00735555">
      <w:pPr>
        <w:rPr>
          <w:rFonts w:ascii="Arial" w:hAnsi="Arial" w:cs="Arial"/>
          <w:sz w:val="24"/>
          <w:szCs w:val="24"/>
        </w:rPr>
      </w:pPr>
      <w:proofErr w:type="gramStart"/>
      <w:r>
        <w:rPr>
          <w:rFonts w:ascii="Arial" w:hAnsi="Arial" w:cs="Arial"/>
          <w:sz w:val="24"/>
          <w:szCs w:val="24"/>
        </w:rPr>
        <w:t>M</w:t>
      </w:r>
      <w:r w:rsidR="00785C15">
        <w:rPr>
          <w:rFonts w:ascii="Arial" w:hAnsi="Arial" w:cs="Arial"/>
          <w:sz w:val="24"/>
          <w:szCs w:val="24"/>
        </w:rPr>
        <w:t>[</w:t>
      </w:r>
      <w:proofErr w:type="gramEnd"/>
      <w:r w:rsidR="00785C15">
        <w:rPr>
          <w:rFonts w:ascii="Arial" w:hAnsi="Arial" w:cs="Arial"/>
          <w:sz w:val="24"/>
          <w:szCs w:val="24"/>
        </w:rPr>
        <w:t>…]</w:t>
      </w:r>
      <w:r>
        <w:rPr>
          <w:rFonts w:ascii="Arial" w:hAnsi="Arial" w:cs="Arial"/>
          <w:sz w:val="24"/>
          <w:szCs w:val="24"/>
        </w:rPr>
        <w:t xml:space="preserve"> N</w:t>
      </w:r>
      <w:r w:rsidR="00785C15">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36F75">
        <w:rPr>
          <w:rFonts w:ascii="Arial" w:hAnsi="Arial" w:cs="Arial"/>
          <w:sz w:val="24"/>
          <w:szCs w:val="24"/>
        </w:rPr>
        <w:tab/>
      </w:r>
      <w:r w:rsidR="00D36F75">
        <w:rPr>
          <w:rFonts w:ascii="Arial" w:hAnsi="Arial" w:cs="Arial"/>
          <w:sz w:val="24"/>
          <w:szCs w:val="24"/>
        </w:rPr>
        <w:tab/>
      </w:r>
      <w:r>
        <w:rPr>
          <w:rFonts w:ascii="Arial" w:hAnsi="Arial" w:cs="Arial"/>
          <w:sz w:val="24"/>
          <w:szCs w:val="24"/>
        </w:rPr>
        <w:t>Applicant</w:t>
      </w:r>
    </w:p>
    <w:p w14:paraId="108049F7" w14:textId="77777777" w:rsidR="00735555" w:rsidRDefault="00735555" w:rsidP="00735555">
      <w:pPr>
        <w:rPr>
          <w:rFonts w:ascii="Arial" w:hAnsi="Arial" w:cs="Arial"/>
          <w:sz w:val="24"/>
          <w:szCs w:val="24"/>
        </w:rPr>
      </w:pPr>
    </w:p>
    <w:p w14:paraId="24A23D8F" w14:textId="77777777" w:rsidR="00735555" w:rsidRDefault="00735555" w:rsidP="00735555">
      <w:pPr>
        <w:rPr>
          <w:rFonts w:ascii="Arial" w:hAnsi="Arial" w:cs="Arial"/>
          <w:sz w:val="24"/>
          <w:szCs w:val="24"/>
        </w:rPr>
      </w:pPr>
      <w:r>
        <w:rPr>
          <w:rFonts w:ascii="Arial" w:hAnsi="Arial" w:cs="Arial"/>
          <w:sz w:val="24"/>
          <w:szCs w:val="24"/>
        </w:rPr>
        <w:t>And</w:t>
      </w:r>
    </w:p>
    <w:p w14:paraId="7F204C98" w14:textId="77777777" w:rsidR="00735555" w:rsidRDefault="00735555" w:rsidP="00735555">
      <w:pPr>
        <w:rPr>
          <w:rFonts w:ascii="Arial" w:hAnsi="Arial" w:cs="Arial"/>
          <w:sz w:val="24"/>
          <w:szCs w:val="24"/>
        </w:rPr>
      </w:pPr>
    </w:p>
    <w:p w14:paraId="15276586" w14:textId="1B5AF8ED" w:rsidR="00735555" w:rsidRDefault="00735555" w:rsidP="00735555">
      <w:pPr>
        <w:rPr>
          <w:rFonts w:ascii="Arial" w:hAnsi="Arial" w:cs="Arial"/>
          <w:sz w:val="24"/>
          <w:szCs w:val="24"/>
        </w:rPr>
      </w:pPr>
      <w:proofErr w:type="gramStart"/>
      <w:r>
        <w:rPr>
          <w:rFonts w:ascii="Arial" w:hAnsi="Arial" w:cs="Arial"/>
          <w:sz w:val="24"/>
          <w:szCs w:val="24"/>
        </w:rPr>
        <w:t>A</w:t>
      </w:r>
      <w:r w:rsidR="00785C15">
        <w:rPr>
          <w:rFonts w:ascii="Arial" w:hAnsi="Arial" w:cs="Arial"/>
          <w:sz w:val="24"/>
          <w:szCs w:val="24"/>
        </w:rPr>
        <w:t>[</w:t>
      </w:r>
      <w:proofErr w:type="gramEnd"/>
      <w:r w:rsidR="00785C15">
        <w:rPr>
          <w:rFonts w:ascii="Arial" w:hAnsi="Arial" w:cs="Arial"/>
          <w:sz w:val="24"/>
          <w:szCs w:val="24"/>
        </w:rPr>
        <w:t>…]</w:t>
      </w:r>
      <w:r>
        <w:rPr>
          <w:rFonts w:ascii="Arial" w:hAnsi="Arial" w:cs="Arial"/>
          <w:sz w:val="24"/>
          <w:szCs w:val="24"/>
        </w:rPr>
        <w:t xml:space="preserve"> L</w:t>
      </w:r>
      <w:r w:rsidR="00785C15">
        <w:rPr>
          <w:rFonts w:ascii="Arial" w:hAnsi="Arial" w:cs="Arial"/>
          <w:sz w:val="24"/>
          <w:szCs w:val="24"/>
        </w:rPr>
        <w:t>[…]</w:t>
      </w:r>
      <w:r>
        <w:rPr>
          <w:rFonts w:ascii="Arial" w:hAnsi="Arial" w:cs="Arial"/>
          <w:sz w:val="24"/>
          <w:szCs w:val="24"/>
        </w:rPr>
        <w:t xml:space="preserve"> N</w:t>
      </w:r>
      <w:r w:rsidR="00785C15">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36F75">
        <w:rPr>
          <w:rFonts w:ascii="Arial" w:hAnsi="Arial" w:cs="Arial"/>
          <w:sz w:val="24"/>
          <w:szCs w:val="24"/>
        </w:rPr>
        <w:tab/>
      </w:r>
      <w:r w:rsidR="00D36F75">
        <w:rPr>
          <w:rFonts w:ascii="Arial" w:hAnsi="Arial" w:cs="Arial"/>
          <w:sz w:val="24"/>
          <w:szCs w:val="24"/>
        </w:rPr>
        <w:tab/>
      </w:r>
      <w:r>
        <w:rPr>
          <w:rFonts w:ascii="Arial" w:hAnsi="Arial" w:cs="Arial"/>
          <w:sz w:val="24"/>
          <w:szCs w:val="24"/>
        </w:rPr>
        <w:t>Respondent</w:t>
      </w:r>
    </w:p>
    <w:p w14:paraId="236E745D" w14:textId="77777777" w:rsidR="00735555" w:rsidRDefault="00735555" w:rsidP="00735555">
      <w:pPr>
        <w:rPr>
          <w:rFonts w:ascii="Arial" w:hAnsi="Arial" w:cs="Arial"/>
          <w:sz w:val="24"/>
          <w:szCs w:val="24"/>
        </w:rPr>
      </w:pPr>
      <w:r>
        <w:rPr>
          <w:rFonts w:ascii="Arial" w:hAnsi="Arial" w:cs="Arial"/>
          <w:sz w:val="24"/>
          <w:szCs w:val="24"/>
        </w:rPr>
        <w:t>______________________________________________________________________</w:t>
      </w:r>
    </w:p>
    <w:p w14:paraId="5F72CD7A" w14:textId="77777777" w:rsidR="00735555" w:rsidRDefault="00735555" w:rsidP="00735555">
      <w:pPr>
        <w:rPr>
          <w:rFonts w:ascii="Arial" w:hAnsi="Arial" w:cs="Arial"/>
          <w:sz w:val="24"/>
          <w:szCs w:val="24"/>
        </w:rPr>
      </w:pPr>
    </w:p>
    <w:p w14:paraId="5241BC47" w14:textId="77777777" w:rsidR="00735555" w:rsidRDefault="00735555" w:rsidP="00735555">
      <w:pPr>
        <w:jc w:val="center"/>
        <w:rPr>
          <w:rFonts w:ascii="Arial" w:hAnsi="Arial" w:cs="Arial"/>
          <w:b/>
          <w:sz w:val="24"/>
          <w:szCs w:val="24"/>
        </w:rPr>
      </w:pPr>
      <w:r>
        <w:rPr>
          <w:rFonts w:ascii="Arial" w:hAnsi="Arial" w:cs="Arial"/>
          <w:b/>
          <w:sz w:val="24"/>
          <w:szCs w:val="24"/>
        </w:rPr>
        <w:t>ORDER</w:t>
      </w:r>
    </w:p>
    <w:p w14:paraId="3EE0CC68" w14:textId="77777777" w:rsidR="00735555" w:rsidRDefault="00735555" w:rsidP="00735555">
      <w:pPr>
        <w:rPr>
          <w:rFonts w:ascii="Arial" w:hAnsi="Arial" w:cs="Arial"/>
          <w:sz w:val="24"/>
          <w:szCs w:val="24"/>
        </w:rPr>
      </w:pPr>
      <w:r>
        <w:rPr>
          <w:rFonts w:ascii="Arial" w:hAnsi="Arial" w:cs="Arial"/>
          <w:sz w:val="24"/>
          <w:szCs w:val="24"/>
        </w:rPr>
        <w:t>The application is dismissed with costs</w:t>
      </w:r>
    </w:p>
    <w:p w14:paraId="510E78BD" w14:textId="77777777" w:rsidR="00735555" w:rsidRDefault="00735555" w:rsidP="00735555">
      <w:pPr>
        <w:rPr>
          <w:rFonts w:ascii="Arial" w:hAnsi="Arial" w:cs="Arial"/>
          <w:sz w:val="24"/>
          <w:szCs w:val="24"/>
        </w:rPr>
      </w:pPr>
    </w:p>
    <w:p w14:paraId="333AC506" w14:textId="77777777" w:rsidR="00735555" w:rsidRDefault="00735555" w:rsidP="00735555">
      <w:pPr>
        <w:rPr>
          <w:rFonts w:ascii="Arial" w:hAnsi="Arial" w:cs="Arial"/>
          <w:sz w:val="24"/>
          <w:szCs w:val="24"/>
        </w:rPr>
      </w:pPr>
      <w:r>
        <w:rPr>
          <w:rFonts w:ascii="Arial" w:hAnsi="Arial" w:cs="Arial"/>
          <w:sz w:val="24"/>
          <w:szCs w:val="24"/>
        </w:rPr>
        <w:t>______________________________________________________________________</w:t>
      </w:r>
    </w:p>
    <w:p w14:paraId="70A55344" w14:textId="77777777" w:rsidR="00735555" w:rsidRDefault="00735555" w:rsidP="00735555">
      <w:pPr>
        <w:rPr>
          <w:rFonts w:ascii="Arial" w:hAnsi="Arial" w:cs="Arial"/>
          <w:sz w:val="24"/>
          <w:szCs w:val="24"/>
        </w:rPr>
      </w:pPr>
    </w:p>
    <w:p w14:paraId="11783A9D" w14:textId="77777777" w:rsidR="00735555" w:rsidRDefault="00735555" w:rsidP="00735555">
      <w:pPr>
        <w:jc w:val="center"/>
        <w:rPr>
          <w:rFonts w:ascii="Arial" w:hAnsi="Arial" w:cs="Arial"/>
          <w:b/>
          <w:sz w:val="24"/>
          <w:szCs w:val="24"/>
        </w:rPr>
      </w:pPr>
      <w:r>
        <w:rPr>
          <w:rFonts w:ascii="Arial" w:hAnsi="Arial" w:cs="Arial"/>
          <w:b/>
          <w:sz w:val="24"/>
          <w:szCs w:val="24"/>
        </w:rPr>
        <w:t>JUDGMENT</w:t>
      </w:r>
    </w:p>
    <w:p w14:paraId="4C6D4385" w14:textId="77777777" w:rsidR="00735555" w:rsidRDefault="00735555" w:rsidP="00735555">
      <w:pPr>
        <w:jc w:val="center"/>
        <w:rPr>
          <w:rFonts w:ascii="Arial" w:hAnsi="Arial" w:cs="Arial"/>
          <w:sz w:val="24"/>
          <w:szCs w:val="24"/>
        </w:rPr>
      </w:pPr>
      <w:r>
        <w:rPr>
          <w:rFonts w:ascii="Arial" w:hAnsi="Arial" w:cs="Arial"/>
          <w:sz w:val="24"/>
          <w:szCs w:val="24"/>
        </w:rPr>
        <w:t>______________________________________________________________________</w:t>
      </w:r>
    </w:p>
    <w:p w14:paraId="16C41EC9" w14:textId="77777777" w:rsidR="00735555" w:rsidRDefault="00735555" w:rsidP="00735555">
      <w:pPr>
        <w:spacing w:after="0" w:line="480" w:lineRule="auto"/>
        <w:rPr>
          <w:rFonts w:ascii="Arial" w:hAnsi="Arial" w:cs="Arial"/>
          <w:b/>
          <w:sz w:val="24"/>
          <w:szCs w:val="24"/>
        </w:rPr>
      </w:pPr>
      <w:r>
        <w:rPr>
          <w:rFonts w:ascii="Arial" w:hAnsi="Arial" w:cs="Arial"/>
          <w:b/>
          <w:sz w:val="24"/>
          <w:szCs w:val="24"/>
        </w:rPr>
        <w:t>NEUKIRCHER J:</w:t>
      </w:r>
    </w:p>
    <w:p w14:paraId="7CDDB3D9" w14:textId="77777777" w:rsidR="00735555" w:rsidRDefault="00735555" w:rsidP="00735555">
      <w:pPr>
        <w:spacing w:after="0" w:line="480" w:lineRule="auto"/>
        <w:jc w:val="both"/>
        <w:rPr>
          <w:rFonts w:ascii="Arial" w:hAnsi="Arial" w:cs="Arial"/>
          <w:b/>
          <w:sz w:val="24"/>
          <w:szCs w:val="24"/>
        </w:rPr>
      </w:pPr>
    </w:p>
    <w:p w14:paraId="604979D3" w14:textId="77777777" w:rsidR="00735555" w:rsidRDefault="00735555" w:rsidP="00AD469A">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43D8D">
        <w:rPr>
          <w:rFonts w:ascii="Arial" w:hAnsi="Arial" w:cs="Arial"/>
          <w:sz w:val="24"/>
          <w:szCs w:val="24"/>
        </w:rPr>
        <w:t xml:space="preserve">This rule 43 application was launched by the applicant on 27 November 2023. The founding affidavit is 58 pages long and, together with its annexures, is 144 pages. The confirmatory affidavits, of which there are 4, are unsigned and signed copies were then filed separately bringing the entirety of the </w:t>
      </w:r>
      <w:r w:rsidR="00BC023E">
        <w:rPr>
          <w:rFonts w:ascii="Arial" w:hAnsi="Arial" w:cs="Arial"/>
          <w:sz w:val="24"/>
          <w:szCs w:val="24"/>
        </w:rPr>
        <w:t>founding papers to</w:t>
      </w:r>
      <w:r w:rsidR="00443D8D">
        <w:rPr>
          <w:rFonts w:ascii="Arial" w:hAnsi="Arial" w:cs="Arial"/>
          <w:sz w:val="24"/>
          <w:szCs w:val="24"/>
        </w:rPr>
        <w:t xml:space="preserve"> 160 pages. To this, the respondent then had to answer. As a result, his answer is 76 pages long. In addition, both parties filed </w:t>
      </w:r>
      <w:r w:rsidR="00325053">
        <w:rPr>
          <w:rFonts w:ascii="Arial" w:hAnsi="Arial" w:cs="Arial"/>
          <w:sz w:val="24"/>
          <w:szCs w:val="24"/>
        </w:rPr>
        <w:t>further affidavits in terms of r</w:t>
      </w:r>
      <w:r w:rsidR="00443D8D">
        <w:rPr>
          <w:rFonts w:ascii="Arial" w:hAnsi="Arial" w:cs="Arial"/>
          <w:sz w:val="24"/>
          <w:szCs w:val="24"/>
        </w:rPr>
        <w:t>ule 43(5): the respondent’s rule 43(5) is 17 pages whilst the applicant’s is 90 pages. The applicant then also filed an amended notice of motion</w:t>
      </w:r>
      <w:r w:rsidR="004A5FBF">
        <w:rPr>
          <w:rFonts w:ascii="Arial" w:hAnsi="Arial" w:cs="Arial"/>
          <w:sz w:val="24"/>
          <w:szCs w:val="24"/>
        </w:rPr>
        <w:t>.</w:t>
      </w:r>
    </w:p>
    <w:p w14:paraId="7DD3865D" w14:textId="77777777" w:rsidR="004A5FBF" w:rsidRDefault="004A5FBF" w:rsidP="00AD469A">
      <w:pPr>
        <w:spacing w:after="0" w:line="480" w:lineRule="auto"/>
        <w:jc w:val="both"/>
        <w:rPr>
          <w:rFonts w:ascii="Arial" w:hAnsi="Arial" w:cs="Arial"/>
          <w:sz w:val="24"/>
          <w:szCs w:val="24"/>
        </w:rPr>
      </w:pPr>
    </w:p>
    <w:p w14:paraId="36D6A183" w14:textId="77777777" w:rsidR="004A5FBF" w:rsidRDefault="004A5FBF" w:rsidP="00AD469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parties then each filed heads of argument – those total another 133 pages. And then, lest it be forgotten, each party filed their respective Financial Disclosure Forms (FDF) – these total another 265 pages.</w:t>
      </w:r>
    </w:p>
    <w:p w14:paraId="62FEDEA7" w14:textId="77777777" w:rsidR="004A5FBF" w:rsidRPr="00BF7329" w:rsidRDefault="004A5FBF" w:rsidP="00AD469A">
      <w:pPr>
        <w:spacing w:after="0" w:line="480" w:lineRule="auto"/>
        <w:jc w:val="both"/>
        <w:rPr>
          <w:rFonts w:ascii="Arial" w:hAnsi="Arial" w:cs="Arial"/>
          <w:sz w:val="24"/>
          <w:szCs w:val="24"/>
        </w:rPr>
      </w:pPr>
    </w:p>
    <w:p w14:paraId="66B0921E" w14:textId="77777777" w:rsidR="00735555" w:rsidRDefault="002A0776" w:rsidP="00AD469A">
      <w:pPr>
        <w:spacing w:after="0" w:line="480" w:lineRule="auto"/>
        <w:jc w:val="both"/>
        <w:rPr>
          <w:rFonts w:ascii="Arial" w:hAnsi="Arial" w:cs="Arial"/>
          <w:sz w:val="24"/>
          <w:szCs w:val="24"/>
        </w:rPr>
      </w:pPr>
      <w:r w:rsidRPr="00BF7329">
        <w:rPr>
          <w:rFonts w:ascii="Arial" w:hAnsi="Arial" w:cs="Arial"/>
          <w:sz w:val="24"/>
          <w:szCs w:val="24"/>
        </w:rPr>
        <w:t>[3]</w:t>
      </w:r>
      <w:r>
        <w:rPr>
          <w:rFonts w:ascii="Arial" w:hAnsi="Arial" w:cs="Arial"/>
          <w:sz w:val="24"/>
          <w:szCs w:val="24"/>
        </w:rPr>
        <w:tab/>
        <w:t xml:space="preserve">Rule 43 is a </w:t>
      </w:r>
      <w:r w:rsidRPr="00040AE9">
        <w:rPr>
          <w:rFonts w:ascii="Arial" w:hAnsi="Arial" w:cs="Arial"/>
          <w:i/>
          <w:sz w:val="24"/>
          <w:szCs w:val="24"/>
        </w:rPr>
        <w:t>sui generis</w:t>
      </w:r>
      <w:r>
        <w:rPr>
          <w:rFonts w:ascii="Arial" w:hAnsi="Arial" w:cs="Arial"/>
          <w:sz w:val="24"/>
          <w:szCs w:val="24"/>
        </w:rPr>
        <w:t xml:space="preserve"> type of application. </w:t>
      </w:r>
      <w:r w:rsidR="00040AE9">
        <w:rPr>
          <w:rFonts w:ascii="Arial" w:hAnsi="Arial" w:cs="Arial"/>
          <w:sz w:val="24"/>
          <w:szCs w:val="24"/>
        </w:rPr>
        <w:t>T</w:t>
      </w:r>
      <w:r>
        <w:rPr>
          <w:rFonts w:ascii="Arial" w:hAnsi="Arial" w:cs="Arial"/>
          <w:sz w:val="24"/>
          <w:szCs w:val="24"/>
        </w:rPr>
        <w:t xml:space="preserve">he rule itself makes provision for the </w:t>
      </w:r>
      <w:r w:rsidR="00ED5748">
        <w:rPr>
          <w:rFonts w:ascii="Arial" w:hAnsi="Arial" w:cs="Arial"/>
          <w:sz w:val="24"/>
          <w:szCs w:val="24"/>
        </w:rPr>
        <w:t>filing</w:t>
      </w:r>
      <w:r>
        <w:rPr>
          <w:rFonts w:ascii="Arial" w:hAnsi="Arial" w:cs="Arial"/>
          <w:sz w:val="24"/>
          <w:szCs w:val="24"/>
        </w:rPr>
        <w:t xml:space="preserve"> of affidavits and the time periods within which a party must do so. It also makes provision for the manner in which a matter is to be set down for hearing. This being so, and the rule being specific and self-contained</w:t>
      </w:r>
      <w:r w:rsidR="005C3102">
        <w:rPr>
          <w:rFonts w:ascii="Arial" w:hAnsi="Arial" w:cs="Arial"/>
          <w:sz w:val="24"/>
          <w:szCs w:val="24"/>
        </w:rPr>
        <w:t>, r</w:t>
      </w:r>
      <w:r>
        <w:rPr>
          <w:rFonts w:ascii="Arial" w:hAnsi="Arial" w:cs="Arial"/>
          <w:sz w:val="24"/>
          <w:szCs w:val="24"/>
        </w:rPr>
        <w:t>ule 6 does no</w:t>
      </w:r>
      <w:r w:rsidR="00D740F9">
        <w:rPr>
          <w:rFonts w:ascii="Arial" w:hAnsi="Arial" w:cs="Arial"/>
          <w:sz w:val="24"/>
          <w:szCs w:val="24"/>
        </w:rPr>
        <w:t xml:space="preserve">t apply to rule 43 </w:t>
      </w:r>
      <w:r w:rsidR="00D740F9">
        <w:rPr>
          <w:rFonts w:ascii="Arial" w:hAnsi="Arial" w:cs="Arial"/>
          <w:sz w:val="24"/>
          <w:szCs w:val="24"/>
        </w:rPr>
        <w:lastRenderedPageBreak/>
        <w:t>applications, and a party does not have a choice as to which rule of court to follow when launching rule 43 proc</w:t>
      </w:r>
      <w:r w:rsidR="008E3227">
        <w:rPr>
          <w:rFonts w:ascii="Arial" w:hAnsi="Arial" w:cs="Arial"/>
          <w:sz w:val="24"/>
          <w:szCs w:val="24"/>
        </w:rPr>
        <w:t>e</w:t>
      </w:r>
      <w:r w:rsidR="00D740F9">
        <w:rPr>
          <w:rFonts w:ascii="Arial" w:hAnsi="Arial" w:cs="Arial"/>
          <w:sz w:val="24"/>
          <w:szCs w:val="24"/>
        </w:rPr>
        <w:t>edings.</w:t>
      </w:r>
      <w:r w:rsidR="00D740F9">
        <w:rPr>
          <w:rStyle w:val="FootnoteReference"/>
          <w:rFonts w:ascii="Arial" w:hAnsi="Arial" w:cs="Arial"/>
          <w:sz w:val="24"/>
          <w:szCs w:val="24"/>
        </w:rPr>
        <w:footnoteReference w:id="1"/>
      </w:r>
    </w:p>
    <w:p w14:paraId="1EE286DB" w14:textId="77777777" w:rsidR="00BF7329" w:rsidRDefault="00BF7329" w:rsidP="00AD469A">
      <w:pPr>
        <w:spacing w:after="0" w:line="480" w:lineRule="auto"/>
        <w:jc w:val="both"/>
        <w:rPr>
          <w:rFonts w:ascii="Arial" w:hAnsi="Arial" w:cs="Arial"/>
          <w:sz w:val="24"/>
          <w:szCs w:val="24"/>
        </w:rPr>
      </w:pPr>
    </w:p>
    <w:p w14:paraId="735C3FFE" w14:textId="77777777" w:rsidR="00BF7329" w:rsidRDefault="00AD469A" w:rsidP="00AD469A">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This also applies to the filing of any supplementary affidavit as rule 43(5) provides:</w:t>
      </w:r>
    </w:p>
    <w:p w14:paraId="350FFB92" w14:textId="77777777" w:rsidR="00AD469A" w:rsidRPr="007E6EBF" w:rsidRDefault="00AD469A" w:rsidP="00AD469A">
      <w:pPr>
        <w:spacing w:after="0" w:line="480" w:lineRule="auto"/>
        <w:ind w:left="720"/>
        <w:jc w:val="both"/>
        <w:rPr>
          <w:rFonts w:ascii="Arial" w:hAnsi="Arial" w:cs="Arial"/>
          <w:i/>
        </w:rPr>
      </w:pPr>
      <w:r w:rsidRPr="007E6EBF">
        <w:rPr>
          <w:rFonts w:ascii="Arial" w:hAnsi="Arial" w:cs="Arial"/>
          <w:i/>
        </w:rPr>
        <w:t>“The court may hear such evidence as it considers necessary and may dismiss the application or make such order as it deems fit to ensure a just and expeditious decision.”</w:t>
      </w:r>
    </w:p>
    <w:p w14:paraId="4132D31A" w14:textId="77777777" w:rsidR="00AD469A" w:rsidRDefault="00AD469A" w:rsidP="00AD469A">
      <w:pPr>
        <w:spacing w:after="0" w:line="480" w:lineRule="auto"/>
        <w:jc w:val="both"/>
        <w:rPr>
          <w:rFonts w:ascii="Arial" w:hAnsi="Arial" w:cs="Arial"/>
          <w:sz w:val="24"/>
          <w:szCs w:val="24"/>
        </w:rPr>
      </w:pPr>
    </w:p>
    <w:p w14:paraId="55D955B9" w14:textId="77777777" w:rsidR="00AD469A" w:rsidRDefault="00AD469A" w:rsidP="00AD469A">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Rules 43(2) and 43(3) regulate the affidavits to be filed:</w:t>
      </w:r>
    </w:p>
    <w:p w14:paraId="0DBA8CC7" w14:textId="77777777" w:rsidR="00AD469A" w:rsidRDefault="00AD469A" w:rsidP="00AD469A">
      <w:pPr>
        <w:spacing w:after="0" w:line="480" w:lineRule="auto"/>
        <w:ind w:left="1440" w:hanging="720"/>
        <w:jc w:val="both"/>
        <w:rPr>
          <w:rFonts w:ascii="Arial" w:hAnsi="Arial" w:cs="Arial"/>
          <w:i/>
          <w:sz w:val="24"/>
          <w:szCs w:val="24"/>
        </w:rPr>
      </w:pPr>
      <w:r>
        <w:rPr>
          <w:rFonts w:ascii="Arial" w:hAnsi="Arial" w:cs="Arial"/>
          <w:sz w:val="24"/>
          <w:szCs w:val="24"/>
        </w:rPr>
        <w:t>a)</w:t>
      </w:r>
      <w:r>
        <w:rPr>
          <w:rFonts w:ascii="Arial" w:hAnsi="Arial" w:cs="Arial"/>
          <w:sz w:val="24"/>
          <w:szCs w:val="24"/>
        </w:rPr>
        <w:tab/>
        <w:t xml:space="preserve">rule 43(2)(a) provides that the applicant </w:t>
      </w:r>
      <w:r>
        <w:rPr>
          <w:rFonts w:ascii="Arial" w:hAnsi="Arial" w:cs="Arial"/>
          <w:i/>
          <w:sz w:val="24"/>
          <w:szCs w:val="24"/>
        </w:rPr>
        <w:t>“shall deliver a sworn statement in the nature of a declaration setting out the relief claimed and the grounds therefor…”</w:t>
      </w:r>
    </w:p>
    <w:p w14:paraId="48B7575A" w14:textId="77777777" w:rsidR="00AD469A" w:rsidRDefault="00AD469A" w:rsidP="00AD469A">
      <w:pPr>
        <w:spacing w:after="0" w:line="480" w:lineRule="auto"/>
        <w:ind w:left="1440" w:hanging="720"/>
        <w:jc w:val="both"/>
        <w:rPr>
          <w:rFonts w:ascii="Arial" w:hAnsi="Arial" w:cs="Arial"/>
          <w:i/>
          <w:sz w:val="24"/>
          <w:szCs w:val="24"/>
        </w:rPr>
      </w:pPr>
      <w:r>
        <w:rPr>
          <w:rFonts w:ascii="Arial" w:hAnsi="Arial" w:cs="Arial"/>
          <w:sz w:val="24"/>
          <w:szCs w:val="24"/>
        </w:rPr>
        <w:t>b)</w:t>
      </w:r>
      <w:r>
        <w:rPr>
          <w:rFonts w:ascii="Arial" w:hAnsi="Arial" w:cs="Arial"/>
          <w:sz w:val="24"/>
          <w:szCs w:val="24"/>
        </w:rPr>
        <w:tab/>
        <w:t xml:space="preserve">rule 43(3)(a) provides that the opposing affidavit shall be </w:t>
      </w:r>
      <w:r>
        <w:rPr>
          <w:rFonts w:ascii="Arial" w:hAnsi="Arial" w:cs="Arial"/>
          <w:i/>
          <w:sz w:val="24"/>
          <w:szCs w:val="24"/>
        </w:rPr>
        <w:t>“in the nature of a plea.”</w:t>
      </w:r>
    </w:p>
    <w:p w14:paraId="3C9F0637" w14:textId="77777777" w:rsidR="00AD469A" w:rsidRDefault="00AD469A" w:rsidP="00AD469A">
      <w:pPr>
        <w:spacing w:after="0" w:line="480" w:lineRule="auto"/>
        <w:jc w:val="both"/>
        <w:rPr>
          <w:rFonts w:ascii="Arial" w:hAnsi="Arial" w:cs="Arial"/>
          <w:i/>
          <w:sz w:val="24"/>
          <w:szCs w:val="24"/>
        </w:rPr>
      </w:pPr>
    </w:p>
    <w:p w14:paraId="3BBE42BF" w14:textId="77777777" w:rsidR="004A6C1F" w:rsidRDefault="00AD469A" w:rsidP="00AD469A">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One cannot lose sight of the fact that pleadings consist of a summary of the f</w:t>
      </w:r>
      <w:r w:rsidR="009966CF">
        <w:rPr>
          <w:rFonts w:ascii="Arial" w:hAnsi="Arial" w:cs="Arial"/>
          <w:sz w:val="24"/>
          <w:szCs w:val="24"/>
        </w:rPr>
        <w:t>acts upon which a party will re</w:t>
      </w:r>
      <w:r>
        <w:rPr>
          <w:rFonts w:ascii="Arial" w:hAnsi="Arial" w:cs="Arial"/>
          <w:sz w:val="24"/>
          <w:szCs w:val="24"/>
        </w:rPr>
        <w:t xml:space="preserve">ly in order to either bring its suit or defend a suit. A pleading does not, and should not, contain evidence. But – in general - the eventual trial will conclude, and be decided, based on the evidence </w:t>
      </w:r>
      <w:r w:rsidR="007E6EBF">
        <w:rPr>
          <w:rFonts w:ascii="Arial" w:hAnsi="Arial" w:cs="Arial"/>
          <w:i/>
          <w:sz w:val="24"/>
          <w:szCs w:val="24"/>
        </w:rPr>
        <w:t xml:space="preserve">inter </w:t>
      </w:r>
      <w:r w:rsidR="007E6EBF" w:rsidRPr="007E6EBF">
        <w:rPr>
          <w:rFonts w:ascii="Arial" w:hAnsi="Arial" w:cs="Arial"/>
          <w:i/>
          <w:sz w:val="24"/>
          <w:szCs w:val="24"/>
        </w:rPr>
        <w:t>alia</w:t>
      </w:r>
      <w:r w:rsidR="007E6EBF">
        <w:rPr>
          <w:rFonts w:ascii="Arial" w:hAnsi="Arial" w:cs="Arial"/>
          <w:sz w:val="24"/>
          <w:szCs w:val="24"/>
        </w:rPr>
        <w:t xml:space="preserve">, </w:t>
      </w:r>
      <w:r w:rsidRPr="007E6EBF">
        <w:rPr>
          <w:rFonts w:ascii="Arial" w:hAnsi="Arial" w:cs="Arial"/>
          <w:sz w:val="24"/>
          <w:szCs w:val="24"/>
        </w:rPr>
        <w:t>presented</w:t>
      </w:r>
      <w:r>
        <w:rPr>
          <w:rFonts w:ascii="Arial" w:hAnsi="Arial" w:cs="Arial"/>
          <w:sz w:val="24"/>
          <w:szCs w:val="24"/>
        </w:rPr>
        <w:t xml:space="preserve"> by various witnesses. Motion proceedings brought in terms of rule 6 are</w:t>
      </w:r>
      <w:r w:rsidR="007E6EBF">
        <w:rPr>
          <w:rFonts w:ascii="Arial" w:hAnsi="Arial" w:cs="Arial"/>
          <w:sz w:val="24"/>
          <w:szCs w:val="24"/>
        </w:rPr>
        <w:t xml:space="preserve"> very</w:t>
      </w:r>
      <w:r>
        <w:rPr>
          <w:rFonts w:ascii="Arial" w:hAnsi="Arial" w:cs="Arial"/>
          <w:sz w:val="24"/>
          <w:szCs w:val="24"/>
        </w:rPr>
        <w:t xml:space="preserve"> different – affidavits must contain evidence upon which a par</w:t>
      </w:r>
      <w:r w:rsidR="006F2097">
        <w:rPr>
          <w:rFonts w:ascii="Arial" w:hAnsi="Arial" w:cs="Arial"/>
          <w:sz w:val="24"/>
          <w:szCs w:val="24"/>
        </w:rPr>
        <w:t>ty relies to found or oppose an</w:t>
      </w:r>
      <w:r>
        <w:rPr>
          <w:rFonts w:ascii="Arial" w:hAnsi="Arial" w:cs="Arial"/>
          <w:sz w:val="24"/>
          <w:szCs w:val="24"/>
        </w:rPr>
        <w:t xml:space="preserve"> application. A rule 43 application is no different save in </w:t>
      </w:r>
      <w:r w:rsidR="004A6C1F">
        <w:rPr>
          <w:rFonts w:ascii="Arial" w:hAnsi="Arial" w:cs="Arial"/>
          <w:sz w:val="24"/>
          <w:szCs w:val="24"/>
        </w:rPr>
        <w:t>one</w:t>
      </w:r>
      <w:r>
        <w:rPr>
          <w:rFonts w:ascii="Arial" w:hAnsi="Arial" w:cs="Arial"/>
          <w:sz w:val="24"/>
          <w:szCs w:val="24"/>
        </w:rPr>
        <w:t xml:space="preserve"> material respect: rule 6 does not provide at all for the length of the affidavit</w:t>
      </w:r>
      <w:r w:rsidR="00C063E1">
        <w:rPr>
          <w:rFonts w:ascii="Arial" w:hAnsi="Arial" w:cs="Arial"/>
          <w:sz w:val="24"/>
          <w:szCs w:val="24"/>
        </w:rPr>
        <w:t>s that may be filed and</w:t>
      </w:r>
      <w:r>
        <w:rPr>
          <w:rFonts w:ascii="Arial" w:hAnsi="Arial" w:cs="Arial"/>
          <w:sz w:val="24"/>
          <w:szCs w:val="24"/>
        </w:rPr>
        <w:t xml:space="preserve"> allows for 3 sets of affidavit</w:t>
      </w:r>
      <w:r w:rsidR="004A6C1F">
        <w:rPr>
          <w:rFonts w:ascii="Arial" w:hAnsi="Arial" w:cs="Arial"/>
          <w:sz w:val="24"/>
          <w:szCs w:val="24"/>
        </w:rPr>
        <w:t>s</w:t>
      </w:r>
      <w:r w:rsidR="00C063E1">
        <w:rPr>
          <w:rFonts w:ascii="Arial" w:hAnsi="Arial" w:cs="Arial"/>
          <w:sz w:val="24"/>
          <w:szCs w:val="24"/>
        </w:rPr>
        <w:t xml:space="preserve"> to be </w:t>
      </w:r>
      <w:r w:rsidR="00C063E1">
        <w:rPr>
          <w:rFonts w:ascii="Arial" w:hAnsi="Arial" w:cs="Arial"/>
          <w:sz w:val="24"/>
          <w:szCs w:val="24"/>
        </w:rPr>
        <w:lastRenderedPageBreak/>
        <w:t>filed</w:t>
      </w:r>
      <w:r w:rsidR="004A6C1F">
        <w:rPr>
          <w:rFonts w:ascii="Arial" w:hAnsi="Arial" w:cs="Arial"/>
          <w:sz w:val="24"/>
          <w:szCs w:val="24"/>
        </w:rPr>
        <w:t xml:space="preserve">; rule 43 is markedly different as it provides for the affidavits to be filed </w:t>
      </w:r>
      <w:r w:rsidR="004A6C1F">
        <w:rPr>
          <w:rFonts w:ascii="Arial" w:hAnsi="Arial" w:cs="Arial"/>
          <w:i/>
          <w:sz w:val="24"/>
          <w:szCs w:val="24"/>
        </w:rPr>
        <w:t xml:space="preserve">“in the nature of” </w:t>
      </w:r>
      <w:r w:rsidR="004A6C1F">
        <w:rPr>
          <w:rFonts w:ascii="Arial" w:hAnsi="Arial" w:cs="Arial"/>
          <w:sz w:val="24"/>
          <w:szCs w:val="24"/>
        </w:rPr>
        <w:t>a declaration and a plea and also provides that only 2 sets of affidavits may be filed unles</w:t>
      </w:r>
      <w:r w:rsidR="00561ABD">
        <w:rPr>
          <w:rFonts w:ascii="Arial" w:hAnsi="Arial" w:cs="Arial"/>
          <w:sz w:val="24"/>
          <w:szCs w:val="24"/>
        </w:rPr>
        <w:t>s</w:t>
      </w:r>
      <w:r w:rsidR="004A6C1F">
        <w:rPr>
          <w:rFonts w:ascii="Arial" w:hAnsi="Arial" w:cs="Arial"/>
          <w:sz w:val="24"/>
          <w:szCs w:val="24"/>
        </w:rPr>
        <w:t xml:space="preserve"> the court permits further evidence under rule 43(5).</w:t>
      </w:r>
      <w:r w:rsidR="00343A12">
        <w:rPr>
          <w:rFonts w:ascii="Arial" w:hAnsi="Arial" w:cs="Arial"/>
          <w:sz w:val="24"/>
          <w:szCs w:val="24"/>
        </w:rPr>
        <w:t xml:space="preserve"> In </w:t>
      </w:r>
      <w:r w:rsidR="00343A12">
        <w:rPr>
          <w:rFonts w:ascii="Arial" w:hAnsi="Arial" w:cs="Arial"/>
          <w:i/>
          <w:sz w:val="24"/>
          <w:szCs w:val="24"/>
        </w:rPr>
        <w:t>CT v MT</w:t>
      </w:r>
      <w:r w:rsidR="004175B7">
        <w:rPr>
          <w:rFonts w:ascii="Arial" w:hAnsi="Arial" w:cs="Arial"/>
          <w:i/>
          <w:sz w:val="24"/>
          <w:szCs w:val="24"/>
        </w:rPr>
        <w:t xml:space="preserve"> and Others</w:t>
      </w:r>
      <w:r w:rsidR="004175B7">
        <w:rPr>
          <w:rStyle w:val="FootnoteReference"/>
          <w:rFonts w:ascii="Arial" w:hAnsi="Arial" w:cs="Arial"/>
          <w:i/>
          <w:sz w:val="24"/>
          <w:szCs w:val="24"/>
        </w:rPr>
        <w:footnoteReference w:id="2"/>
      </w:r>
      <w:r w:rsidR="00C063E1">
        <w:rPr>
          <w:rFonts w:ascii="Arial" w:hAnsi="Arial" w:cs="Arial"/>
          <w:sz w:val="24"/>
          <w:szCs w:val="24"/>
        </w:rPr>
        <w:t xml:space="preserve">, this </w:t>
      </w:r>
      <w:r w:rsidR="00343A12">
        <w:rPr>
          <w:rFonts w:ascii="Arial" w:hAnsi="Arial" w:cs="Arial"/>
          <w:sz w:val="24"/>
          <w:szCs w:val="24"/>
        </w:rPr>
        <w:t>was explained as follows:</w:t>
      </w:r>
    </w:p>
    <w:p w14:paraId="0D138044" w14:textId="77777777" w:rsidR="00343A12" w:rsidRPr="00343A12" w:rsidRDefault="00343A12" w:rsidP="00343A12">
      <w:pPr>
        <w:spacing w:after="0" w:line="480" w:lineRule="auto"/>
        <w:ind w:left="720"/>
        <w:jc w:val="both"/>
        <w:rPr>
          <w:rFonts w:ascii="Arial" w:hAnsi="Arial" w:cs="Arial"/>
          <w:sz w:val="24"/>
          <w:szCs w:val="24"/>
        </w:rPr>
      </w:pPr>
      <w:r>
        <w:rPr>
          <w:rFonts w:ascii="Arial" w:hAnsi="Arial" w:cs="Arial"/>
          <w:i/>
          <w:sz w:val="24"/>
          <w:szCs w:val="24"/>
        </w:rPr>
        <w:t xml:space="preserve">“…the rule-maker is saying, I think, that in the quest for brevity the claim and </w:t>
      </w:r>
      <w:proofErr w:type="spellStart"/>
      <w:r>
        <w:rPr>
          <w:rFonts w:ascii="Arial" w:hAnsi="Arial" w:cs="Arial"/>
          <w:i/>
          <w:sz w:val="24"/>
          <w:szCs w:val="24"/>
        </w:rPr>
        <w:t>defence</w:t>
      </w:r>
      <w:proofErr w:type="spellEnd"/>
      <w:r>
        <w:rPr>
          <w:rFonts w:ascii="Arial" w:hAnsi="Arial" w:cs="Arial"/>
          <w:i/>
          <w:sz w:val="24"/>
          <w:szCs w:val="24"/>
        </w:rPr>
        <w:t xml:space="preserve"> should be more like a declaration and a plea than like a founding affidavit and opposing affidavit.”</w:t>
      </w:r>
      <w:r>
        <w:rPr>
          <w:rStyle w:val="FootnoteReference"/>
          <w:rFonts w:ascii="Arial" w:hAnsi="Arial" w:cs="Arial"/>
          <w:i/>
          <w:sz w:val="24"/>
          <w:szCs w:val="24"/>
        </w:rPr>
        <w:footnoteReference w:id="3"/>
      </w:r>
    </w:p>
    <w:p w14:paraId="402C733D" w14:textId="77777777" w:rsidR="00343A12" w:rsidRPr="00343A12" w:rsidRDefault="00343A12" w:rsidP="00AD469A">
      <w:pPr>
        <w:spacing w:after="0" w:line="480" w:lineRule="auto"/>
        <w:jc w:val="both"/>
        <w:rPr>
          <w:rFonts w:ascii="Arial" w:hAnsi="Arial" w:cs="Arial"/>
          <w:i/>
          <w:sz w:val="24"/>
          <w:szCs w:val="24"/>
        </w:rPr>
      </w:pPr>
    </w:p>
    <w:p w14:paraId="044DD064" w14:textId="77777777" w:rsidR="004A6C1F" w:rsidRPr="00EC7E22" w:rsidRDefault="004A6C1F" w:rsidP="00AD469A">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reason for this is clearly contained in rule 43(5): it is </w:t>
      </w:r>
      <w:r>
        <w:rPr>
          <w:rFonts w:ascii="Arial" w:hAnsi="Arial" w:cs="Arial"/>
          <w:i/>
          <w:sz w:val="24"/>
          <w:szCs w:val="24"/>
        </w:rPr>
        <w:t>“to ensure a just and expeditious decision”</w:t>
      </w:r>
      <w:r w:rsidR="00EC7E22">
        <w:rPr>
          <w:rFonts w:ascii="Arial" w:hAnsi="Arial" w:cs="Arial"/>
          <w:sz w:val="24"/>
          <w:szCs w:val="24"/>
        </w:rPr>
        <w:t xml:space="preserve"> and a court cannot </w:t>
      </w:r>
      <w:r w:rsidR="00EC7E22">
        <w:rPr>
          <w:rFonts w:ascii="Arial" w:hAnsi="Arial" w:cs="Arial"/>
          <w:i/>
          <w:sz w:val="24"/>
          <w:szCs w:val="24"/>
        </w:rPr>
        <w:t>“amend a Rule of Court by simply following its own head.”</w:t>
      </w:r>
      <w:r w:rsidR="00EC7E22">
        <w:rPr>
          <w:rStyle w:val="FootnoteReference"/>
          <w:rFonts w:ascii="Arial" w:hAnsi="Arial" w:cs="Arial"/>
          <w:i/>
          <w:sz w:val="24"/>
          <w:szCs w:val="24"/>
        </w:rPr>
        <w:footnoteReference w:id="4"/>
      </w:r>
    </w:p>
    <w:p w14:paraId="38404F04" w14:textId="77777777" w:rsidR="00EC7E22" w:rsidRDefault="00EC7E22" w:rsidP="00AD469A">
      <w:pPr>
        <w:spacing w:after="0" w:line="480" w:lineRule="auto"/>
        <w:jc w:val="both"/>
        <w:rPr>
          <w:rFonts w:ascii="Arial" w:hAnsi="Arial" w:cs="Arial"/>
          <w:sz w:val="24"/>
          <w:szCs w:val="24"/>
        </w:rPr>
      </w:pPr>
    </w:p>
    <w:p w14:paraId="16241942" w14:textId="77777777" w:rsidR="004A6C1F" w:rsidRDefault="004A6C1F" w:rsidP="00AD469A">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a host of authorities as far back as 1961,</w:t>
      </w:r>
      <w:r>
        <w:rPr>
          <w:rStyle w:val="FootnoteReference"/>
          <w:rFonts w:ascii="Arial" w:hAnsi="Arial" w:cs="Arial"/>
          <w:sz w:val="24"/>
          <w:szCs w:val="24"/>
        </w:rPr>
        <w:footnoteReference w:id="5"/>
      </w:r>
      <w:r w:rsidR="00F24F12">
        <w:rPr>
          <w:rFonts w:ascii="Arial" w:hAnsi="Arial" w:cs="Arial"/>
          <w:sz w:val="24"/>
          <w:szCs w:val="24"/>
        </w:rPr>
        <w:t xml:space="preserve"> until 2019</w:t>
      </w:r>
      <w:r w:rsidR="004B2B4D">
        <w:rPr>
          <w:rFonts w:ascii="Arial" w:hAnsi="Arial" w:cs="Arial"/>
          <w:sz w:val="24"/>
          <w:szCs w:val="24"/>
        </w:rPr>
        <w:t>,</w:t>
      </w:r>
      <w:r w:rsidR="00F24F12">
        <w:rPr>
          <w:rStyle w:val="FootnoteReference"/>
          <w:rFonts w:ascii="Arial" w:hAnsi="Arial" w:cs="Arial"/>
          <w:sz w:val="24"/>
          <w:szCs w:val="24"/>
        </w:rPr>
        <w:footnoteReference w:id="6"/>
      </w:r>
      <w:r w:rsidR="002B03C0">
        <w:rPr>
          <w:rFonts w:ascii="Arial" w:hAnsi="Arial" w:cs="Arial"/>
          <w:sz w:val="24"/>
          <w:szCs w:val="24"/>
        </w:rPr>
        <w:t xml:space="preserve"> our courts roundly discouraged</w:t>
      </w:r>
      <w:r w:rsidR="004B2B4D">
        <w:rPr>
          <w:rFonts w:ascii="Arial" w:hAnsi="Arial" w:cs="Arial"/>
          <w:sz w:val="24"/>
          <w:szCs w:val="24"/>
        </w:rPr>
        <w:t xml:space="preserve"> the type of abuse of process evident in this case, by either st</w:t>
      </w:r>
      <w:r w:rsidR="002B03C0">
        <w:rPr>
          <w:rFonts w:ascii="Arial" w:hAnsi="Arial" w:cs="Arial"/>
          <w:sz w:val="24"/>
          <w:szCs w:val="24"/>
        </w:rPr>
        <w:t>riking the matter from the roll</w:t>
      </w:r>
      <w:r w:rsidR="004B2B4D">
        <w:rPr>
          <w:rFonts w:ascii="Arial" w:hAnsi="Arial" w:cs="Arial"/>
          <w:sz w:val="24"/>
          <w:szCs w:val="24"/>
        </w:rPr>
        <w:t xml:space="preserve"> or dismissing it or making no order on the papers. In </w:t>
      </w:r>
      <w:r w:rsidR="004B2B4D">
        <w:rPr>
          <w:rFonts w:ascii="Arial" w:hAnsi="Arial" w:cs="Arial"/>
          <w:i/>
          <w:sz w:val="24"/>
          <w:szCs w:val="24"/>
        </w:rPr>
        <w:t>Smit v Smit</w:t>
      </w:r>
      <w:r w:rsidR="004B2B4D">
        <w:rPr>
          <w:rStyle w:val="FootnoteReference"/>
          <w:rFonts w:ascii="Arial" w:hAnsi="Arial" w:cs="Arial"/>
          <w:i/>
          <w:sz w:val="24"/>
          <w:szCs w:val="24"/>
        </w:rPr>
        <w:footnoteReference w:id="7"/>
      </w:r>
      <w:r w:rsidR="004B2B4D">
        <w:rPr>
          <w:rFonts w:ascii="Arial" w:hAnsi="Arial" w:cs="Arial"/>
          <w:sz w:val="24"/>
          <w:szCs w:val="24"/>
        </w:rPr>
        <w:t xml:space="preserve"> the application was 69 pages long and the court remarked:</w:t>
      </w:r>
    </w:p>
    <w:p w14:paraId="01E9B36D" w14:textId="77777777" w:rsidR="004B2B4D" w:rsidRDefault="004B2B4D" w:rsidP="004B2B4D">
      <w:pPr>
        <w:spacing w:after="0" w:line="480" w:lineRule="auto"/>
        <w:ind w:left="720"/>
        <w:jc w:val="both"/>
        <w:rPr>
          <w:rFonts w:ascii="Arial" w:hAnsi="Arial" w:cs="Arial"/>
          <w:i/>
          <w:sz w:val="24"/>
          <w:szCs w:val="24"/>
        </w:rPr>
      </w:pPr>
      <w:r>
        <w:rPr>
          <w:rFonts w:ascii="Arial" w:hAnsi="Arial" w:cs="Arial"/>
          <w:i/>
          <w:sz w:val="24"/>
          <w:szCs w:val="24"/>
        </w:rPr>
        <w:t xml:space="preserve">“To frustrate and/or defeat the purpose or object of a Rule of the Court is an abuse of the process of this Court. When the Rule was first promulgated, the parties had to file an unsworn statement in the nature of a declaration or a plea. The </w:t>
      </w:r>
      <w:proofErr w:type="spellStart"/>
      <w:r>
        <w:rPr>
          <w:rFonts w:ascii="Arial" w:hAnsi="Arial" w:cs="Arial"/>
          <w:i/>
          <w:sz w:val="24"/>
          <w:szCs w:val="24"/>
        </w:rPr>
        <w:t>rulemaker</w:t>
      </w:r>
      <w:proofErr w:type="spellEnd"/>
      <w:r>
        <w:rPr>
          <w:rFonts w:ascii="Arial" w:hAnsi="Arial" w:cs="Arial"/>
          <w:i/>
          <w:sz w:val="24"/>
          <w:szCs w:val="24"/>
        </w:rPr>
        <w:t xml:space="preserve"> </w:t>
      </w:r>
      <w:r>
        <w:rPr>
          <w:rFonts w:ascii="Arial" w:hAnsi="Arial" w:cs="Arial"/>
          <w:i/>
          <w:sz w:val="24"/>
          <w:szCs w:val="24"/>
        </w:rPr>
        <w:lastRenderedPageBreak/>
        <w:t xml:space="preserve">then saw fit to change the Rule so that a sworn statement in the nature of a declaration or a plea had to be filed. Initially the unsworn statements were in the nature of declarations or pleas. After the Rule was changed so that the sworn statements had to be filed, these statements became more and more detailed. I am advised by the Registrar of this Court that it has now become almost a common practice to file lengthy affidavits and annexures, which would not properly form part of a pleading, in Rule 43 proceedings, </w:t>
      </w:r>
      <w:proofErr w:type="spellStart"/>
      <w:r>
        <w:rPr>
          <w:rFonts w:ascii="Arial" w:hAnsi="Arial" w:cs="Arial"/>
          <w:i/>
          <w:sz w:val="24"/>
          <w:szCs w:val="24"/>
        </w:rPr>
        <w:t>nothwithstanding</w:t>
      </w:r>
      <w:proofErr w:type="spellEnd"/>
      <w:r>
        <w:rPr>
          <w:rFonts w:ascii="Arial" w:hAnsi="Arial" w:cs="Arial"/>
          <w:i/>
          <w:sz w:val="24"/>
          <w:szCs w:val="24"/>
        </w:rPr>
        <w:t xml:space="preserve"> the judgment in this and other Divisions to the contrary.</w:t>
      </w:r>
    </w:p>
    <w:p w14:paraId="7D9503C8" w14:textId="77777777" w:rsidR="004B2B4D" w:rsidRDefault="004B2B4D" w:rsidP="004B2B4D">
      <w:pPr>
        <w:spacing w:after="0" w:line="480" w:lineRule="auto"/>
        <w:ind w:left="720"/>
        <w:jc w:val="both"/>
        <w:rPr>
          <w:rFonts w:ascii="Arial" w:hAnsi="Arial" w:cs="Arial"/>
          <w:i/>
          <w:sz w:val="24"/>
          <w:szCs w:val="24"/>
        </w:rPr>
      </w:pPr>
      <w:r>
        <w:rPr>
          <w:rFonts w:ascii="Arial" w:hAnsi="Arial" w:cs="Arial"/>
          <w:i/>
          <w:sz w:val="24"/>
          <w:szCs w:val="24"/>
        </w:rPr>
        <w:t>In my view, the affidavits filed in this matter amount to an abuse of the process of this Court…”</w:t>
      </w:r>
      <w:r w:rsidR="00C80666">
        <w:rPr>
          <w:rStyle w:val="FootnoteReference"/>
          <w:rFonts w:ascii="Arial" w:hAnsi="Arial" w:cs="Arial"/>
          <w:i/>
          <w:sz w:val="24"/>
          <w:szCs w:val="24"/>
        </w:rPr>
        <w:footnoteReference w:id="8"/>
      </w:r>
    </w:p>
    <w:p w14:paraId="58BF0FC9" w14:textId="77777777" w:rsidR="004B2B4D" w:rsidRDefault="004B2B4D" w:rsidP="00AD469A">
      <w:pPr>
        <w:spacing w:after="0" w:line="480" w:lineRule="auto"/>
        <w:jc w:val="both"/>
        <w:rPr>
          <w:rFonts w:ascii="Arial" w:hAnsi="Arial" w:cs="Arial"/>
          <w:sz w:val="24"/>
          <w:szCs w:val="24"/>
        </w:rPr>
      </w:pPr>
    </w:p>
    <w:p w14:paraId="34CD73CD" w14:textId="77777777" w:rsidR="004B2B4D" w:rsidRPr="00D740F9" w:rsidRDefault="004B2B4D" w:rsidP="00AD469A">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740F9">
        <w:rPr>
          <w:rFonts w:ascii="Arial" w:hAnsi="Arial" w:cs="Arial"/>
          <w:sz w:val="24"/>
          <w:szCs w:val="24"/>
        </w:rPr>
        <w:t xml:space="preserve">In </w:t>
      </w:r>
      <w:r w:rsidR="00D740F9" w:rsidRPr="00D740F9">
        <w:rPr>
          <w:rFonts w:ascii="Arial" w:hAnsi="Arial" w:cs="Arial"/>
          <w:i/>
          <w:sz w:val="24"/>
          <w:szCs w:val="24"/>
        </w:rPr>
        <w:t>Andrade v Andrade</w:t>
      </w:r>
      <w:r w:rsidR="00D740F9">
        <w:rPr>
          <w:rStyle w:val="FootnoteReference"/>
          <w:rFonts w:ascii="Arial" w:hAnsi="Arial" w:cs="Arial"/>
          <w:sz w:val="24"/>
          <w:szCs w:val="24"/>
        </w:rPr>
        <w:footnoteReference w:id="9"/>
      </w:r>
      <w:r w:rsidR="00D740F9">
        <w:rPr>
          <w:rFonts w:ascii="Arial" w:hAnsi="Arial" w:cs="Arial"/>
          <w:sz w:val="24"/>
          <w:szCs w:val="24"/>
        </w:rPr>
        <w:t xml:space="preserve">, Erasmus J again emphasized that </w:t>
      </w:r>
      <w:r w:rsidR="00D740F9">
        <w:rPr>
          <w:rFonts w:ascii="Arial" w:hAnsi="Arial" w:cs="Arial"/>
          <w:i/>
          <w:sz w:val="24"/>
          <w:szCs w:val="24"/>
        </w:rPr>
        <w:t>“(t)he object of the Rule generally accepted by the Courts is that applications of this kind</w:t>
      </w:r>
      <w:r w:rsidR="00D740F9">
        <w:rPr>
          <w:rStyle w:val="FootnoteReference"/>
          <w:rFonts w:ascii="Arial" w:hAnsi="Arial" w:cs="Arial"/>
          <w:i/>
          <w:sz w:val="24"/>
          <w:szCs w:val="24"/>
        </w:rPr>
        <w:footnoteReference w:id="10"/>
      </w:r>
      <w:r w:rsidR="00D740F9">
        <w:rPr>
          <w:rFonts w:ascii="Arial" w:hAnsi="Arial" w:cs="Arial"/>
          <w:i/>
          <w:sz w:val="24"/>
          <w:szCs w:val="24"/>
        </w:rPr>
        <w:t xml:space="preserve"> should be dealt with as inexpensively and expeditiously as possible”</w:t>
      </w:r>
      <w:r w:rsidR="00D740F9">
        <w:rPr>
          <w:rFonts w:ascii="Arial" w:hAnsi="Arial" w:cs="Arial"/>
          <w:sz w:val="24"/>
          <w:szCs w:val="24"/>
        </w:rPr>
        <w:t xml:space="preserve">, and that an application to strike out impermissible unnecessary paragraphs and/or annexures is not a proper procedure under rule 43 as </w:t>
      </w:r>
      <w:r w:rsidR="00D740F9">
        <w:rPr>
          <w:rFonts w:ascii="Arial" w:hAnsi="Arial" w:cs="Arial"/>
          <w:i/>
          <w:sz w:val="24"/>
          <w:szCs w:val="24"/>
        </w:rPr>
        <w:t xml:space="preserve">“(t)he procedures under Rule 43 have been specifically devised by the </w:t>
      </w:r>
      <w:proofErr w:type="spellStart"/>
      <w:r w:rsidR="00D740F9">
        <w:rPr>
          <w:rFonts w:ascii="Arial" w:hAnsi="Arial" w:cs="Arial"/>
          <w:i/>
          <w:sz w:val="24"/>
          <w:szCs w:val="24"/>
        </w:rPr>
        <w:t>Rulemaker</w:t>
      </w:r>
      <w:proofErr w:type="spellEnd"/>
      <w:r w:rsidR="00D740F9">
        <w:rPr>
          <w:rFonts w:ascii="Arial" w:hAnsi="Arial" w:cs="Arial"/>
          <w:i/>
          <w:sz w:val="24"/>
          <w:szCs w:val="24"/>
        </w:rPr>
        <w:t xml:space="preserve"> in order to save time and costs.”</w:t>
      </w:r>
      <w:r w:rsidR="00D740F9">
        <w:rPr>
          <w:rStyle w:val="FootnoteReference"/>
          <w:rFonts w:ascii="Arial" w:hAnsi="Arial" w:cs="Arial"/>
          <w:i/>
          <w:sz w:val="24"/>
          <w:szCs w:val="24"/>
        </w:rPr>
        <w:footnoteReference w:id="11"/>
      </w:r>
    </w:p>
    <w:p w14:paraId="48E05AE3" w14:textId="77777777" w:rsidR="004A6C1F" w:rsidRPr="004A6C1F" w:rsidRDefault="004A6C1F" w:rsidP="00AD469A">
      <w:pPr>
        <w:spacing w:after="0" w:line="480" w:lineRule="auto"/>
        <w:jc w:val="both"/>
        <w:rPr>
          <w:rFonts w:ascii="Arial" w:hAnsi="Arial" w:cs="Arial"/>
          <w:sz w:val="24"/>
          <w:szCs w:val="24"/>
        </w:rPr>
      </w:pPr>
    </w:p>
    <w:p w14:paraId="620B8104" w14:textId="77777777" w:rsidR="004A6C1F" w:rsidRDefault="00D740F9" w:rsidP="00AD469A">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In </w:t>
      </w:r>
      <w:r>
        <w:rPr>
          <w:rFonts w:ascii="Arial" w:hAnsi="Arial" w:cs="Arial"/>
          <w:i/>
          <w:sz w:val="24"/>
          <w:szCs w:val="24"/>
        </w:rPr>
        <w:t>Du Preez v Du Preez</w:t>
      </w:r>
      <w:r>
        <w:rPr>
          <w:rStyle w:val="FootnoteReference"/>
          <w:rFonts w:ascii="Arial" w:hAnsi="Arial" w:cs="Arial"/>
          <w:i/>
          <w:sz w:val="24"/>
          <w:szCs w:val="24"/>
        </w:rPr>
        <w:footnoteReference w:id="12"/>
      </w:r>
      <w:r>
        <w:rPr>
          <w:rFonts w:ascii="Arial" w:hAnsi="Arial" w:cs="Arial"/>
          <w:sz w:val="24"/>
          <w:szCs w:val="24"/>
        </w:rPr>
        <w:t>, the court chastised the attorneys for filing an application of 192 pages and stated:</w:t>
      </w:r>
    </w:p>
    <w:p w14:paraId="6E616C63" w14:textId="77777777" w:rsidR="00D740F9" w:rsidRDefault="00D740F9" w:rsidP="00D740F9">
      <w:pPr>
        <w:spacing w:after="0" w:line="480" w:lineRule="auto"/>
        <w:ind w:left="720"/>
        <w:jc w:val="both"/>
        <w:rPr>
          <w:rFonts w:ascii="Arial" w:hAnsi="Arial" w:cs="Arial"/>
          <w:i/>
          <w:sz w:val="24"/>
          <w:szCs w:val="24"/>
        </w:rPr>
      </w:pPr>
      <w:r>
        <w:rPr>
          <w:rFonts w:ascii="Arial" w:hAnsi="Arial" w:cs="Arial"/>
          <w:i/>
          <w:sz w:val="24"/>
          <w:szCs w:val="24"/>
        </w:rPr>
        <w:lastRenderedPageBreak/>
        <w:t>“[3]</w:t>
      </w:r>
      <w:r>
        <w:rPr>
          <w:rFonts w:ascii="Arial" w:hAnsi="Arial" w:cs="Arial"/>
          <w:i/>
          <w:sz w:val="24"/>
          <w:szCs w:val="24"/>
        </w:rPr>
        <w:tab/>
        <w:t>Rule 43, it is well known, is a special procedure aimed at the expeditious resolution of maintenance issues pendente lite…</w:t>
      </w:r>
    </w:p>
    <w:p w14:paraId="2A880E6C" w14:textId="77777777" w:rsidR="00D740F9" w:rsidRDefault="00D740F9" w:rsidP="00D740F9">
      <w:pPr>
        <w:spacing w:after="0" w:line="480" w:lineRule="auto"/>
        <w:ind w:left="720"/>
        <w:jc w:val="both"/>
        <w:rPr>
          <w:rFonts w:ascii="Arial" w:hAnsi="Arial" w:cs="Arial"/>
          <w:i/>
          <w:sz w:val="24"/>
          <w:szCs w:val="24"/>
        </w:rPr>
      </w:pPr>
      <w:r>
        <w:rPr>
          <w:rFonts w:ascii="Arial" w:hAnsi="Arial" w:cs="Arial"/>
          <w:i/>
          <w:sz w:val="24"/>
          <w:szCs w:val="24"/>
        </w:rPr>
        <w:t>[5]</w:t>
      </w:r>
      <w:r>
        <w:rPr>
          <w:rFonts w:ascii="Arial" w:hAnsi="Arial" w:cs="Arial"/>
          <w:i/>
          <w:sz w:val="24"/>
          <w:szCs w:val="24"/>
        </w:rPr>
        <w:tab/>
        <w:t>Prolixity in a rule 43 proceeding is an abuse of process because it defeats the purpose of the rule…”</w:t>
      </w:r>
    </w:p>
    <w:p w14:paraId="409E13D6" w14:textId="77777777" w:rsidR="00D740F9" w:rsidRPr="00D740F9" w:rsidRDefault="00D740F9" w:rsidP="00AD469A">
      <w:pPr>
        <w:spacing w:after="0" w:line="480" w:lineRule="auto"/>
        <w:jc w:val="both"/>
        <w:rPr>
          <w:rFonts w:ascii="Arial" w:hAnsi="Arial" w:cs="Arial"/>
          <w:i/>
          <w:sz w:val="24"/>
          <w:szCs w:val="24"/>
        </w:rPr>
      </w:pPr>
    </w:p>
    <w:p w14:paraId="0B6BC0FA" w14:textId="77777777" w:rsidR="004A6C1F" w:rsidRDefault="0019386B" w:rsidP="00AD469A">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In 2020, Rogers J reiterated the position that</w:t>
      </w:r>
    </w:p>
    <w:p w14:paraId="3FD6EE31" w14:textId="77777777" w:rsidR="0019386B" w:rsidRDefault="0019386B" w:rsidP="0019386B">
      <w:pPr>
        <w:spacing w:after="0" w:line="480" w:lineRule="auto"/>
        <w:ind w:left="720"/>
        <w:jc w:val="both"/>
        <w:rPr>
          <w:rFonts w:ascii="Arial" w:hAnsi="Arial" w:cs="Arial"/>
          <w:i/>
          <w:sz w:val="24"/>
          <w:szCs w:val="24"/>
        </w:rPr>
      </w:pPr>
      <w:r>
        <w:rPr>
          <w:rFonts w:ascii="Arial" w:hAnsi="Arial" w:cs="Arial"/>
          <w:i/>
          <w:sz w:val="24"/>
          <w:szCs w:val="24"/>
        </w:rPr>
        <w:t>“[22]</w:t>
      </w:r>
      <w:r>
        <w:rPr>
          <w:rFonts w:ascii="Arial" w:hAnsi="Arial" w:cs="Arial"/>
          <w:i/>
          <w:sz w:val="24"/>
          <w:szCs w:val="24"/>
        </w:rPr>
        <w:tab/>
        <w:t xml:space="preserve">In regard to procedure, the applicant has not complained about the requirement in rule 43 that the claim should be made by a sworn statement ‘in the nature of a declaration’ (rule 43(2)) and that the </w:t>
      </w:r>
      <w:proofErr w:type="spellStart"/>
      <w:r>
        <w:rPr>
          <w:rFonts w:ascii="Arial" w:hAnsi="Arial" w:cs="Arial"/>
          <w:i/>
          <w:sz w:val="24"/>
          <w:szCs w:val="24"/>
        </w:rPr>
        <w:t>defence</w:t>
      </w:r>
      <w:proofErr w:type="spellEnd"/>
      <w:r>
        <w:rPr>
          <w:rFonts w:ascii="Arial" w:hAnsi="Arial" w:cs="Arial"/>
          <w:i/>
          <w:sz w:val="24"/>
          <w:szCs w:val="24"/>
        </w:rPr>
        <w:t xml:space="preserve"> should be made by a sworn reply ‘in the nature of a plea’. Precisely what the quoted phrases mean is open to debate. Clearly the rule-maker intended that the sworn statements should not be prolix. Rule 43 was intended to provide inexpensive and expeditious interim relief (S v S and Another 2019 (6) SA 1 (CC) para 43).”</w:t>
      </w:r>
      <w:r>
        <w:rPr>
          <w:rStyle w:val="FootnoteReference"/>
          <w:rFonts w:ascii="Arial" w:hAnsi="Arial" w:cs="Arial"/>
          <w:i/>
          <w:sz w:val="24"/>
          <w:szCs w:val="24"/>
        </w:rPr>
        <w:footnoteReference w:id="13"/>
      </w:r>
    </w:p>
    <w:p w14:paraId="337CB08F" w14:textId="77777777" w:rsidR="0019386B" w:rsidRPr="0019386B" w:rsidRDefault="0019386B" w:rsidP="00AD469A">
      <w:pPr>
        <w:spacing w:after="0" w:line="480" w:lineRule="auto"/>
        <w:jc w:val="both"/>
        <w:rPr>
          <w:rFonts w:ascii="Arial" w:hAnsi="Arial" w:cs="Arial"/>
          <w:i/>
          <w:sz w:val="24"/>
          <w:szCs w:val="24"/>
        </w:rPr>
      </w:pPr>
    </w:p>
    <w:p w14:paraId="518E20DC" w14:textId="77777777" w:rsidR="004A6C1F" w:rsidRDefault="008D4795" w:rsidP="00AD469A">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Whilst this has, in general, been the position held by courts across South Africa, of course there will be circumstances where a court will allow a deviation from the rules in circumstances where the issues may be somewhat complex or difficult.</w:t>
      </w:r>
      <w:r>
        <w:rPr>
          <w:rStyle w:val="FootnoteReference"/>
          <w:rFonts w:ascii="Arial" w:hAnsi="Arial" w:cs="Arial"/>
          <w:sz w:val="24"/>
          <w:szCs w:val="24"/>
        </w:rPr>
        <w:footnoteReference w:id="14"/>
      </w:r>
      <w:r w:rsidR="002E5461">
        <w:rPr>
          <w:rFonts w:ascii="Arial" w:hAnsi="Arial" w:cs="Arial"/>
          <w:sz w:val="24"/>
          <w:szCs w:val="24"/>
        </w:rPr>
        <w:t xml:space="preserve"> It cannot be over-</w:t>
      </w:r>
      <w:proofErr w:type="spellStart"/>
      <w:r w:rsidR="002E5461">
        <w:rPr>
          <w:rFonts w:ascii="Arial" w:hAnsi="Arial" w:cs="Arial"/>
          <w:sz w:val="24"/>
          <w:szCs w:val="24"/>
        </w:rPr>
        <w:t>empahasized</w:t>
      </w:r>
      <w:proofErr w:type="spellEnd"/>
      <w:r w:rsidR="002E5461">
        <w:rPr>
          <w:rFonts w:ascii="Arial" w:hAnsi="Arial" w:cs="Arial"/>
          <w:sz w:val="24"/>
          <w:szCs w:val="24"/>
        </w:rPr>
        <w:t xml:space="preserve"> that a “one size fits all” approach cannot be implemented in rule 43 applications: each set of circ</w:t>
      </w:r>
      <w:r w:rsidR="00731F67">
        <w:rPr>
          <w:rFonts w:ascii="Arial" w:hAnsi="Arial" w:cs="Arial"/>
          <w:sz w:val="24"/>
          <w:szCs w:val="24"/>
        </w:rPr>
        <w:t>umstances and family dynamics are</w:t>
      </w:r>
      <w:r w:rsidR="002E5461">
        <w:rPr>
          <w:rFonts w:ascii="Arial" w:hAnsi="Arial" w:cs="Arial"/>
          <w:sz w:val="24"/>
          <w:szCs w:val="24"/>
        </w:rPr>
        <w:t xml:space="preserve"> unique and a court must always bear in mind that, where the interests of minor children are involved, the Constitution provides</w:t>
      </w:r>
      <w:r w:rsidR="00731F67">
        <w:rPr>
          <w:rFonts w:ascii="Arial" w:hAnsi="Arial" w:cs="Arial"/>
          <w:sz w:val="24"/>
          <w:szCs w:val="24"/>
        </w:rPr>
        <w:t xml:space="preserve"> </w:t>
      </w:r>
      <w:r w:rsidR="002E5461">
        <w:rPr>
          <w:rFonts w:ascii="Arial" w:hAnsi="Arial" w:cs="Arial"/>
          <w:sz w:val="24"/>
          <w:szCs w:val="24"/>
        </w:rPr>
        <w:t xml:space="preserve">that in every matter concerning a child, that child’s best interests </w:t>
      </w:r>
      <w:r w:rsidR="002E5461">
        <w:rPr>
          <w:rFonts w:ascii="Arial" w:hAnsi="Arial" w:cs="Arial"/>
          <w:sz w:val="24"/>
          <w:szCs w:val="24"/>
        </w:rPr>
        <w:lastRenderedPageBreak/>
        <w:t>are of paramount importance</w:t>
      </w:r>
      <w:r w:rsidR="00C70010">
        <w:rPr>
          <w:rFonts w:ascii="Arial" w:hAnsi="Arial" w:cs="Arial"/>
          <w:sz w:val="24"/>
          <w:szCs w:val="24"/>
        </w:rPr>
        <w:t>.</w:t>
      </w:r>
      <w:r w:rsidR="00731F67">
        <w:rPr>
          <w:rStyle w:val="FootnoteReference"/>
          <w:rFonts w:ascii="Arial" w:hAnsi="Arial" w:cs="Arial"/>
          <w:sz w:val="24"/>
          <w:szCs w:val="24"/>
        </w:rPr>
        <w:footnoteReference w:id="15"/>
      </w:r>
      <w:r w:rsidR="00C70010">
        <w:rPr>
          <w:rFonts w:ascii="Arial" w:hAnsi="Arial" w:cs="Arial"/>
          <w:sz w:val="24"/>
          <w:szCs w:val="24"/>
        </w:rPr>
        <w:t xml:space="preserve"> </w:t>
      </w:r>
      <w:r w:rsidR="002E5461">
        <w:rPr>
          <w:rFonts w:ascii="Arial" w:hAnsi="Arial" w:cs="Arial"/>
          <w:sz w:val="24"/>
          <w:szCs w:val="24"/>
        </w:rPr>
        <w:t>This constitutional imperative is repeat</w:t>
      </w:r>
      <w:r w:rsidR="001064EE">
        <w:rPr>
          <w:rFonts w:ascii="Arial" w:hAnsi="Arial" w:cs="Arial"/>
          <w:sz w:val="24"/>
          <w:szCs w:val="24"/>
        </w:rPr>
        <w:t>ed in s9 of the Children’s Act 3</w:t>
      </w:r>
      <w:r w:rsidR="002E5461">
        <w:rPr>
          <w:rFonts w:ascii="Arial" w:hAnsi="Arial" w:cs="Arial"/>
          <w:sz w:val="24"/>
          <w:szCs w:val="24"/>
        </w:rPr>
        <w:t>8 of 2005.</w:t>
      </w:r>
      <w:r w:rsidR="002E5461">
        <w:rPr>
          <w:rStyle w:val="FootnoteReference"/>
          <w:rFonts w:ascii="Arial" w:hAnsi="Arial" w:cs="Arial"/>
          <w:sz w:val="24"/>
          <w:szCs w:val="24"/>
        </w:rPr>
        <w:footnoteReference w:id="16"/>
      </w:r>
    </w:p>
    <w:p w14:paraId="548F79A1" w14:textId="77777777" w:rsidR="004A6C1F" w:rsidRDefault="004A6C1F" w:rsidP="00AD469A">
      <w:pPr>
        <w:spacing w:after="0" w:line="480" w:lineRule="auto"/>
        <w:jc w:val="both"/>
        <w:rPr>
          <w:rFonts w:ascii="Arial" w:hAnsi="Arial" w:cs="Arial"/>
          <w:sz w:val="24"/>
          <w:szCs w:val="24"/>
        </w:rPr>
      </w:pPr>
    </w:p>
    <w:p w14:paraId="1F39E9EF" w14:textId="77777777" w:rsidR="003D4566" w:rsidRDefault="003D4566" w:rsidP="00AD469A">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57042">
        <w:rPr>
          <w:rFonts w:ascii="Arial" w:hAnsi="Arial" w:cs="Arial"/>
          <w:sz w:val="24"/>
          <w:szCs w:val="24"/>
        </w:rPr>
        <w:t xml:space="preserve">On 29 September 2017, </w:t>
      </w:r>
      <w:r>
        <w:rPr>
          <w:rFonts w:ascii="Arial" w:hAnsi="Arial" w:cs="Arial"/>
          <w:sz w:val="24"/>
          <w:szCs w:val="24"/>
        </w:rPr>
        <w:t>Rules 43(7) and 43(8) were deleted. These two rules stipulated the f</w:t>
      </w:r>
      <w:r w:rsidR="00AE0A6B">
        <w:rPr>
          <w:rFonts w:ascii="Arial" w:hAnsi="Arial" w:cs="Arial"/>
          <w:sz w:val="24"/>
          <w:szCs w:val="24"/>
        </w:rPr>
        <w:t>ees payable to practitioners. These set</w:t>
      </w:r>
      <w:r>
        <w:rPr>
          <w:rFonts w:ascii="Arial" w:hAnsi="Arial" w:cs="Arial"/>
          <w:sz w:val="24"/>
          <w:szCs w:val="24"/>
        </w:rPr>
        <w:t xml:space="preserve"> fees could not be deviated from without the permission of the court.</w:t>
      </w:r>
      <w:r>
        <w:rPr>
          <w:rStyle w:val="FootnoteReference"/>
          <w:rFonts w:ascii="Arial" w:hAnsi="Arial" w:cs="Arial"/>
          <w:sz w:val="24"/>
          <w:szCs w:val="24"/>
        </w:rPr>
        <w:footnoteReference w:id="17"/>
      </w:r>
      <w:r w:rsidR="002E3B2A">
        <w:rPr>
          <w:rFonts w:ascii="Arial" w:hAnsi="Arial" w:cs="Arial"/>
          <w:sz w:val="24"/>
          <w:szCs w:val="24"/>
        </w:rPr>
        <w:t xml:space="preserve"> Whilst lengthy applications were, prior to </w:t>
      </w:r>
      <w:r w:rsidR="002028DB">
        <w:rPr>
          <w:rFonts w:ascii="Arial" w:hAnsi="Arial" w:cs="Arial"/>
          <w:sz w:val="24"/>
          <w:szCs w:val="24"/>
        </w:rPr>
        <w:t>this</w:t>
      </w:r>
      <w:r w:rsidR="0010434C">
        <w:rPr>
          <w:rFonts w:ascii="Arial" w:hAnsi="Arial" w:cs="Arial"/>
          <w:sz w:val="24"/>
          <w:szCs w:val="24"/>
        </w:rPr>
        <w:t>, the exception</w:t>
      </w:r>
      <w:r w:rsidR="00310661">
        <w:rPr>
          <w:rFonts w:ascii="Arial" w:hAnsi="Arial" w:cs="Arial"/>
          <w:sz w:val="24"/>
          <w:szCs w:val="24"/>
        </w:rPr>
        <w:t>,</w:t>
      </w:r>
      <w:r w:rsidR="002E3B2A">
        <w:rPr>
          <w:rFonts w:ascii="Arial" w:hAnsi="Arial" w:cs="Arial"/>
          <w:sz w:val="24"/>
          <w:szCs w:val="24"/>
        </w:rPr>
        <w:t xml:space="preserve"> subsequently it seems that</w:t>
      </w:r>
      <w:r w:rsidR="002028DB">
        <w:rPr>
          <w:rFonts w:ascii="Arial" w:hAnsi="Arial" w:cs="Arial"/>
          <w:sz w:val="24"/>
          <w:szCs w:val="24"/>
        </w:rPr>
        <w:t xml:space="preserve"> they have become the proverbial</w:t>
      </w:r>
      <w:r w:rsidR="002E3B2A">
        <w:rPr>
          <w:rFonts w:ascii="Arial" w:hAnsi="Arial" w:cs="Arial"/>
          <w:sz w:val="24"/>
          <w:szCs w:val="24"/>
        </w:rPr>
        <w:t xml:space="preserve"> rule. The decisions of </w:t>
      </w:r>
      <w:r w:rsidR="002E3B2A">
        <w:rPr>
          <w:rFonts w:ascii="Arial" w:hAnsi="Arial" w:cs="Arial"/>
          <w:i/>
          <w:sz w:val="24"/>
          <w:szCs w:val="24"/>
        </w:rPr>
        <w:t>TS v TS</w:t>
      </w:r>
      <w:r w:rsidR="002E3B2A" w:rsidRPr="002E3B2A">
        <w:rPr>
          <w:rStyle w:val="FootnoteReference"/>
          <w:rFonts w:ascii="Arial" w:hAnsi="Arial" w:cs="Arial"/>
          <w:sz w:val="24"/>
          <w:szCs w:val="24"/>
        </w:rPr>
        <w:footnoteReference w:id="18"/>
      </w:r>
      <w:r w:rsidR="002E3B2A">
        <w:rPr>
          <w:rFonts w:ascii="Arial" w:hAnsi="Arial" w:cs="Arial"/>
          <w:sz w:val="24"/>
          <w:szCs w:val="24"/>
        </w:rPr>
        <w:t xml:space="preserve"> and </w:t>
      </w:r>
      <w:r w:rsidR="002E3B2A">
        <w:rPr>
          <w:rFonts w:ascii="Arial" w:hAnsi="Arial" w:cs="Arial"/>
          <w:i/>
          <w:sz w:val="24"/>
          <w:szCs w:val="24"/>
        </w:rPr>
        <w:t>E v E</w:t>
      </w:r>
      <w:r w:rsidR="002E3B2A" w:rsidRPr="002E3B2A">
        <w:rPr>
          <w:rStyle w:val="FootnoteReference"/>
          <w:rFonts w:ascii="Arial" w:hAnsi="Arial" w:cs="Arial"/>
          <w:sz w:val="24"/>
          <w:szCs w:val="24"/>
        </w:rPr>
        <w:footnoteReference w:id="19"/>
      </w:r>
      <w:r w:rsidR="002E3B2A">
        <w:rPr>
          <w:rFonts w:ascii="Arial" w:hAnsi="Arial" w:cs="Arial"/>
          <w:sz w:val="24"/>
          <w:szCs w:val="24"/>
        </w:rPr>
        <w:t xml:space="preserve"> </w:t>
      </w:r>
      <w:r w:rsidR="00940517">
        <w:rPr>
          <w:rFonts w:ascii="Arial" w:hAnsi="Arial" w:cs="Arial"/>
          <w:sz w:val="24"/>
          <w:szCs w:val="24"/>
        </w:rPr>
        <w:t>it appears, have done little to ameliorate the position and, in fact, are being used liberally to exacerbate it. But I do not interpret these two decisions as allowing the kind of abuse of the rule that parties</w:t>
      </w:r>
      <w:r w:rsidR="0010434C">
        <w:rPr>
          <w:rFonts w:ascii="Arial" w:hAnsi="Arial" w:cs="Arial"/>
          <w:sz w:val="24"/>
          <w:szCs w:val="24"/>
        </w:rPr>
        <w:t xml:space="preserve"> these days</w:t>
      </w:r>
      <w:r w:rsidR="00940517">
        <w:rPr>
          <w:rFonts w:ascii="Arial" w:hAnsi="Arial" w:cs="Arial"/>
          <w:sz w:val="24"/>
          <w:szCs w:val="24"/>
        </w:rPr>
        <w:t xml:space="preserve"> seem to advocate.</w:t>
      </w:r>
    </w:p>
    <w:p w14:paraId="0BD04481" w14:textId="77777777" w:rsidR="00940517" w:rsidRDefault="00940517" w:rsidP="00AD469A">
      <w:pPr>
        <w:spacing w:after="0" w:line="480" w:lineRule="auto"/>
        <w:jc w:val="both"/>
        <w:rPr>
          <w:rFonts w:ascii="Arial" w:hAnsi="Arial" w:cs="Arial"/>
          <w:sz w:val="24"/>
          <w:szCs w:val="24"/>
        </w:rPr>
      </w:pPr>
    </w:p>
    <w:p w14:paraId="4FE0B1B3" w14:textId="77777777" w:rsidR="00940517" w:rsidRDefault="00940517" w:rsidP="00AD469A">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In </w:t>
      </w:r>
      <w:r>
        <w:rPr>
          <w:rFonts w:ascii="Arial" w:hAnsi="Arial" w:cs="Arial"/>
          <w:i/>
          <w:sz w:val="24"/>
          <w:szCs w:val="24"/>
        </w:rPr>
        <w:t>TS v TS</w:t>
      </w:r>
      <w:r>
        <w:rPr>
          <w:rFonts w:ascii="Arial" w:hAnsi="Arial" w:cs="Arial"/>
          <w:sz w:val="24"/>
          <w:szCs w:val="24"/>
        </w:rPr>
        <w:t xml:space="preserve">, </w:t>
      </w:r>
      <w:proofErr w:type="spellStart"/>
      <w:r>
        <w:rPr>
          <w:rFonts w:ascii="Arial" w:hAnsi="Arial" w:cs="Arial"/>
          <w:sz w:val="24"/>
          <w:szCs w:val="24"/>
        </w:rPr>
        <w:t>Splig</w:t>
      </w:r>
      <w:proofErr w:type="spellEnd"/>
      <w:r>
        <w:rPr>
          <w:rFonts w:ascii="Arial" w:hAnsi="Arial" w:cs="Arial"/>
          <w:sz w:val="24"/>
          <w:szCs w:val="24"/>
        </w:rPr>
        <w:t xml:space="preserve"> J lamented that the Constitutional imperatives particular to adjudicating the ‘best interests of the child’ principle, particularly in matters regarding the interim maintenance of minor children, are obfuscated by the succinct affidavits required by rules 43(2) and 43(3). However, his solution to the issue was twofold: firstly, that the parties must file a proper FDF which would be available not just for the divorce action, but also to the judge in the rule 43 application, and secondly the provisions of rule 43(5) which would allow for further evidence to be made available to the court at its behest.</w:t>
      </w:r>
    </w:p>
    <w:p w14:paraId="7A0DF9A3" w14:textId="77777777" w:rsidR="00940517" w:rsidRDefault="00940517" w:rsidP="00AD469A">
      <w:pPr>
        <w:spacing w:after="0" w:line="480" w:lineRule="auto"/>
        <w:jc w:val="both"/>
        <w:rPr>
          <w:rFonts w:ascii="Arial" w:hAnsi="Arial" w:cs="Arial"/>
          <w:sz w:val="24"/>
          <w:szCs w:val="24"/>
        </w:rPr>
      </w:pPr>
    </w:p>
    <w:p w14:paraId="052EEBB6" w14:textId="77777777" w:rsidR="00940517" w:rsidRDefault="00940517" w:rsidP="00AD469A">
      <w:pPr>
        <w:spacing w:after="0" w:line="48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 xml:space="preserve">In </w:t>
      </w:r>
      <w:r>
        <w:rPr>
          <w:rFonts w:ascii="Arial" w:hAnsi="Arial" w:cs="Arial"/>
          <w:i/>
          <w:sz w:val="24"/>
          <w:szCs w:val="24"/>
        </w:rPr>
        <w:t>E v E</w:t>
      </w:r>
      <w:r>
        <w:rPr>
          <w:rFonts w:ascii="Arial" w:hAnsi="Arial" w:cs="Arial"/>
          <w:sz w:val="24"/>
          <w:szCs w:val="24"/>
        </w:rPr>
        <w:t xml:space="preserve"> the Full Court reiterated that </w:t>
      </w:r>
      <w:r>
        <w:rPr>
          <w:rFonts w:ascii="Arial" w:hAnsi="Arial" w:cs="Arial"/>
          <w:i/>
          <w:sz w:val="24"/>
          <w:szCs w:val="24"/>
        </w:rPr>
        <w:t>“(t)he procedure envisaged in rule 43 is not of a normal application commenced by way of a notice of motion. It is a succinct application, aimed at providing the applicant interim relief, speedily and expeditiously.”</w:t>
      </w:r>
      <w:r>
        <w:rPr>
          <w:rStyle w:val="FootnoteReference"/>
          <w:rFonts w:ascii="Arial" w:hAnsi="Arial" w:cs="Arial"/>
          <w:i/>
          <w:sz w:val="24"/>
          <w:szCs w:val="24"/>
        </w:rPr>
        <w:footnoteReference w:id="20"/>
      </w:r>
      <w:r>
        <w:rPr>
          <w:rFonts w:ascii="Arial" w:hAnsi="Arial" w:cs="Arial"/>
          <w:sz w:val="24"/>
          <w:szCs w:val="24"/>
        </w:rPr>
        <w:t xml:space="preserve"> Whilst the Full Court ruled that prolixity may no longer be used by the courts as a reason to strike a matter from the roll,</w:t>
      </w:r>
      <w:r>
        <w:rPr>
          <w:rStyle w:val="FootnoteReference"/>
          <w:rFonts w:ascii="Arial" w:hAnsi="Arial" w:cs="Arial"/>
          <w:sz w:val="24"/>
          <w:szCs w:val="24"/>
        </w:rPr>
        <w:footnoteReference w:id="21"/>
      </w:r>
      <w:r>
        <w:rPr>
          <w:rFonts w:ascii="Arial" w:hAnsi="Arial" w:cs="Arial"/>
          <w:sz w:val="24"/>
          <w:szCs w:val="24"/>
        </w:rPr>
        <w:t xml:space="preserve"> it could not – and certainly did not – remove a court’s discretion to prevent an abuse of its process by a litigant. I also do not interpret </w:t>
      </w:r>
      <w:r>
        <w:rPr>
          <w:rFonts w:ascii="Arial" w:hAnsi="Arial" w:cs="Arial"/>
          <w:i/>
          <w:sz w:val="24"/>
          <w:szCs w:val="24"/>
        </w:rPr>
        <w:t xml:space="preserve">E v E </w:t>
      </w:r>
      <w:r>
        <w:rPr>
          <w:rFonts w:ascii="Arial" w:hAnsi="Arial" w:cs="Arial"/>
          <w:sz w:val="24"/>
          <w:szCs w:val="24"/>
        </w:rPr>
        <w:t>as allowing parties to file applications which are – as in this matter – hundreds of pages long</w:t>
      </w:r>
      <w:r w:rsidR="003B7562">
        <w:rPr>
          <w:rFonts w:ascii="Arial" w:hAnsi="Arial" w:cs="Arial"/>
          <w:sz w:val="24"/>
          <w:szCs w:val="24"/>
        </w:rPr>
        <w:t>, without proper justification</w:t>
      </w:r>
      <w:r>
        <w:rPr>
          <w:rFonts w:ascii="Arial" w:hAnsi="Arial" w:cs="Arial"/>
          <w:sz w:val="24"/>
          <w:szCs w:val="24"/>
        </w:rPr>
        <w:t>.</w:t>
      </w:r>
    </w:p>
    <w:p w14:paraId="74156494" w14:textId="77777777" w:rsidR="00940517" w:rsidRDefault="00940517" w:rsidP="00AD469A">
      <w:pPr>
        <w:spacing w:after="0" w:line="480" w:lineRule="auto"/>
        <w:jc w:val="both"/>
        <w:rPr>
          <w:rFonts w:ascii="Arial" w:hAnsi="Arial" w:cs="Arial"/>
          <w:sz w:val="24"/>
          <w:szCs w:val="24"/>
        </w:rPr>
      </w:pPr>
    </w:p>
    <w:p w14:paraId="73C07C32" w14:textId="77777777" w:rsidR="00940517" w:rsidRDefault="00940517" w:rsidP="00AD469A">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77448">
        <w:rPr>
          <w:rFonts w:ascii="Arial" w:hAnsi="Arial" w:cs="Arial"/>
          <w:sz w:val="24"/>
          <w:szCs w:val="24"/>
        </w:rPr>
        <w:t xml:space="preserve">The Rules Board </w:t>
      </w:r>
      <w:r w:rsidR="005C519D">
        <w:rPr>
          <w:rFonts w:ascii="Arial" w:hAnsi="Arial" w:cs="Arial"/>
          <w:sz w:val="24"/>
          <w:szCs w:val="24"/>
        </w:rPr>
        <w:t xml:space="preserve">is established in terms of s2 of the </w:t>
      </w:r>
      <w:r w:rsidR="00AB01B0">
        <w:rPr>
          <w:rFonts w:ascii="Arial" w:hAnsi="Arial" w:cs="Arial"/>
          <w:sz w:val="24"/>
          <w:szCs w:val="24"/>
        </w:rPr>
        <w:t xml:space="preserve">Rules Board for </w:t>
      </w:r>
      <w:r w:rsidR="005C519D">
        <w:rPr>
          <w:rFonts w:ascii="Arial" w:hAnsi="Arial" w:cs="Arial"/>
          <w:sz w:val="24"/>
          <w:szCs w:val="24"/>
        </w:rPr>
        <w:t>Courts of Law Act no 1</w:t>
      </w:r>
      <w:r w:rsidR="006C4FA6">
        <w:rPr>
          <w:rFonts w:ascii="Arial" w:hAnsi="Arial" w:cs="Arial"/>
          <w:sz w:val="24"/>
          <w:szCs w:val="24"/>
        </w:rPr>
        <w:t>07 of 1955. In terms of s6(1):</w:t>
      </w:r>
    </w:p>
    <w:p w14:paraId="3A6982E0" w14:textId="77777777" w:rsidR="007F7700" w:rsidRDefault="007F7700" w:rsidP="007F7700">
      <w:pPr>
        <w:spacing w:after="0" w:line="480" w:lineRule="auto"/>
        <w:ind w:left="720"/>
        <w:jc w:val="both"/>
        <w:rPr>
          <w:rFonts w:ascii="Arial" w:hAnsi="Arial" w:cs="Arial"/>
          <w:i/>
          <w:sz w:val="24"/>
          <w:szCs w:val="24"/>
        </w:rPr>
      </w:pPr>
      <w:r>
        <w:rPr>
          <w:rFonts w:ascii="Arial" w:hAnsi="Arial" w:cs="Arial"/>
          <w:i/>
          <w:sz w:val="24"/>
          <w:szCs w:val="24"/>
        </w:rPr>
        <w:t>“</w:t>
      </w:r>
      <w:r w:rsidRPr="007F7700">
        <w:rPr>
          <w:rFonts w:ascii="Arial" w:hAnsi="Arial" w:cs="Arial"/>
          <w:i/>
          <w:sz w:val="24"/>
          <w:szCs w:val="24"/>
        </w:rPr>
        <w:t xml:space="preserve">(1) The Board may, with a view to the efficient, expeditious and uniform administration of justice in the Supreme Court of Appeal, the High Courts and the lower courts, from time to time on a regular basis review existing rules of court and, subject to the approval of the Minister, make, amend or repeal rules for the Supreme Court of Appeal, the High Courts and the lower courts regulating- </w:t>
      </w:r>
    </w:p>
    <w:p w14:paraId="7CCE96D3" w14:textId="77777777" w:rsidR="007F7700" w:rsidRPr="007F7700" w:rsidRDefault="007F7700" w:rsidP="007F7700">
      <w:pPr>
        <w:spacing w:after="0" w:line="480" w:lineRule="auto"/>
        <w:ind w:left="1440"/>
        <w:jc w:val="both"/>
        <w:rPr>
          <w:rFonts w:ascii="Arial" w:hAnsi="Arial" w:cs="Arial"/>
          <w:i/>
          <w:sz w:val="24"/>
          <w:szCs w:val="24"/>
        </w:rPr>
      </w:pPr>
      <w:r w:rsidRPr="007F7700">
        <w:rPr>
          <w:rFonts w:ascii="Arial" w:hAnsi="Arial" w:cs="Arial"/>
          <w:i/>
          <w:sz w:val="24"/>
          <w:szCs w:val="24"/>
        </w:rPr>
        <w:t>(a) the practice and procedure in connection with litigation, including the time within</w:t>
      </w:r>
      <w:r>
        <w:rPr>
          <w:rFonts w:ascii="Arial" w:hAnsi="Arial" w:cs="Arial"/>
          <w:i/>
          <w:sz w:val="24"/>
          <w:szCs w:val="24"/>
        </w:rPr>
        <w:tab/>
      </w:r>
      <w:r w:rsidRPr="007F7700">
        <w:rPr>
          <w:rFonts w:ascii="Arial" w:hAnsi="Arial" w:cs="Arial"/>
          <w:i/>
          <w:sz w:val="24"/>
          <w:szCs w:val="24"/>
        </w:rPr>
        <w:t>which and the manner in which appeal shall be noted;</w:t>
      </w:r>
      <w:r>
        <w:rPr>
          <w:rFonts w:ascii="Arial" w:hAnsi="Arial" w:cs="Arial"/>
          <w:i/>
          <w:sz w:val="24"/>
          <w:szCs w:val="24"/>
        </w:rPr>
        <w:t>”</w:t>
      </w:r>
    </w:p>
    <w:p w14:paraId="1C7D197C" w14:textId="77777777" w:rsidR="005C519D" w:rsidRDefault="005C519D" w:rsidP="00AD469A">
      <w:pPr>
        <w:spacing w:after="0" w:line="480" w:lineRule="auto"/>
        <w:jc w:val="both"/>
        <w:rPr>
          <w:rFonts w:ascii="Arial" w:hAnsi="Arial" w:cs="Arial"/>
          <w:sz w:val="24"/>
          <w:szCs w:val="24"/>
        </w:rPr>
      </w:pPr>
    </w:p>
    <w:p w14:paraId="06477534" w14:textId="77777777" w:rsidR="009D3C79" w:rsidRDefault="009D3C79" w:rsidP="00AD469A">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B7B1B">
        <w:rPr>
          <w:rFonts w:ascii="Arial" w:hAnsi="Arial" w:cs="Arial"/>
          <w:sz w:val="24"/>
          <w:szCs w:val="24"/>
        </w:rPr>
        <w:t xml:space="preserve">Thus, it falls within the sole purview of the Rules Board to amend the rules of court – this would include rules 43(2) and 43(3). A court’s Practice Directives achieve a very different objective: in my view they streamline the conduct of business within a division to </w:t>
      </w:r>
      <w:r w:rsidR="002B7B1B">
        <w:rPr>
          <w:rFonts w:ascii="Arial" w:hAnsi="Arial" w:cs="Arial"/>
          <w:sz w:val="24"/>
          <w:szCs w:val="24"/>
        </w:rPr>
        <w:lastRenderedPageBreak/>
        <w:t xml:space="preserve">ensure the efficient running of the court so that justice may be seen to be done and all litigants – whether in person or represented - have proper access to justice. That can only be achieved if everyone is subjected to the same processes. I say this because parties have, on several occasions, </w:t>
      </w:r>
      <w:r w:rsidR="00EB6757">
        <w:rPr>
          <w:rFonts w:ascii="Arial" w:hAnsi="Arial" w:cs="Arial"/>
          <w:sz w:val="24"/>
          <w:szCs w:val="24"/>
        </w:rPr>
        <w:t>argued that</w:t>
      </w:r>
      <w:r w:rsidR="002B7B1B">
        <w:rPr>
          <w:rFonts w:ascii="Arial" w:hAnsi="Arial" w:cs="Arial"/>
          <w:sz w:val="24"/>
          <w:szCs w:val="24"/>
        </w:rPr>
        <w:t xml:space="preserve"> </w:t>
      </w:r>
      <w:r w:rsidR="002B7B1B">
        <w:rPr>
          <w:rFonts w:ascii="Arial" w:hAnsi="Arial" w:cs="Arial"/>
          <w:i/>
          <w:sz w:val="24"/>
          <w:szCs w:val="24"/>
        </w:rPr>
        <w:t>E v E</w:t>
      </w:r>
      <w:r w:rsidR="002B7B1B">
        <w:rPr>
          <w:rFonts w:ascii="Arial" w:hAnsi="Arial" w:cs="Arial"/>
          <w:sz w:val="24"/>
          <w:szCs w:val="24"/>
        </w:rPr>
        <w:t xml:space="preserve"> </w:t>
      </w:r>
      <w:r w:rsidR="00EB6757">
        <w:rPr>
          <w:rFonts w:ascii="Arial" w:hAnsi="Arial" w:cs="Arial"/>
          <w:sz w:val="24"/>
          <w:szCs w:val="24"/>
        </w:rPr>
        <w:t>has effectively done away with the requirement that the affidavits must be brief – this can never be the interpretation</w:t>
      </w:r>
      <w:r w:rsidR="005A0BC6">
        <w:rPr>
          <w:rFonts w:ascii="Arial" w:hAnsi="Arial" w:cs="Arial"/>
          <w:sz w:val="24"/>
          <w:szCs w:val="24"/>
        </w:rPr>
        <w:t xml:space="preserve"> and (as far as I am aware) no directive has been issued by any court in which this is stated</w:t>
      </w:r>
      <w:r w:rsidR="00EB6757">
        <w:rPr>
          <w:rFonts w:ascii="Arial" w:hAnsi="Arial" w:cs="Arial"/>
          <w:sz w:val="24"/>
          <w:szCs w:val="24"/>
        </w:rPr>
        <w:t>. In any event, even if that was the intention of the Full Court, it cannot be sustained because only the Rules Board has the authority to amend the rule.</w:t>
      </w:r>
      <w:r w:rsidR="00EB6757">
        <w:rPr>
          <w:rStyle w:val="FootnoteReference"/>
          <w:rFonts w:ascii="Arial" w:hAnsi="Arial" w:cs="Arial"/>
          <w:sz w:val="24"/>
          <w:szCs w:val="24"/>
        </w:rPr>
        <w:footnoteReference w:id="22"/>
      </w:r>
      <w:r w:rsidR="00EB6757">
        <w:rPr>
          <w:rFonts w:ascii="Arial" w:hAnsi="Arial" w:cs="Arial"/>
          <w:sz w:val="24"/>
          <w:szCs w:val="24"/>
        </w:rPr>
        <w:t xml:space="preserve"> </w:t>
      </w:r>
    </w:p>
    <w:p w14:paraId="7E68067B" w14:textId="77777777" w:rsidR="00D926F7" w:rsidRDefault="00D926F7" w:rsidP="00AD469A">
      <w:pPr>
        <w:spacing w:after="0" w:line="480" w:lineRule="auto"/>
        <w:jc w:val="both"/>
        <w:rPr>
          <w:rFonts w:ascii="Arial" w:hAnsi="Arial" w:cs="Arial"/>
          <w:sz w:val="24"/>
          <w:szCs w:val="24"/>
        </w:rPr>
      </w:pPr>
    </w:p>
    <w:p w14:paraId="77CD9E88" w14:textId="77777777" w:rsidR="00D926F7" w:rsidRDefault="00D926F7" w:rsidP="00AD469A">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As I have already explained, the lengthy affidavits filed in this application were not</w:t>
      </w:r>
      <w:r w:rsidR="005809A0">
        <w:rPr>
          <w:rFonts w:ascii="Arial" w:hAnsi="Arial" w:cs="Arial"/>
          <w:sz w:val="24"/>
          <w:szCs w:val="24"/>
        </w:rPr>
        <w:t xml:space="preserve"> filed</w:t>
      </w:r>
      <w:r>
        <w:rPr>
          <w:rFonts w:ascii="Arial" w:hAnsi="Arial" w:cs="Arial"/>
          <w:sz w:val="24"/>
          <w:szCs w:val="24"/>
        </w:rPr>
        <w:t xml:space="preserve"> at the behest of the court in order to adjudicate the best interests of the two-year old minor child – they were filed at the inception of the matter and in order to oppose it. As I have also set out, this is not the proper procedure to be adopted. Given the manner in which the applicant has litigated this application, I find that the application constitutes </w:t>
      </w:r>
      <w:r w:rsidR="00B277F3">
        <w:rPr>
          <w:rFonts w:ascii="Arial" w:hAnsi="Arial" w:cs="Arial"/>
          <w:sz w:val="24"/>
          <w:szCs w:val="24"/>
        </w:rPr>
        <w:t>little more than an abuse of</w:t>
      </w:r>
      <w:r>
        <w:rPr>
          <w:rFonts w:ascii="Arial" w:hAnsi="Arial" w:cs="Arial"/>
          <w:sz w:val="24"/>
          <w:szCs w:val="24"/>
        </w:rPr>
        <w:t xml:space="preserve"> process. </w:t>
      </w:r>
      <w:r w:rsidR="0000703E">
        <w:rPr>
          <w:rFonts w:ascii="Arial" w:hAnsi="Arial" w:cs="Arial"/>
          <w:sz w:val="24"/>
          <w:szCs w:val="24"/>
        </w:rPr>
        <w:t xml:space="preserve">It is impossible to strike out </w:t>
      </w:r>
      <w:r w:rsidR="00B277F3">
        <w:rPr>
          <w:rFonts w:ascii="Arial" w:hAnsi="Arial" w:cs="Arial"/>
          <w:sz w:val="24"/>
          <w:szCs w:val="24"/>
        </w:rPr>
        <w:t xml:space="preserve">allegations in the affidavit as </w:t>
      </w:r>
      <w:r w:rsidR="0000703E">
        <w:rPr>
          <w:rFonts w:ascii="Arial" w:hAnsi="Arial" w:cs="Arial"/>
          <w:sz w:val="24"/>
          <w:szCs w:val="24"/>
        </w:rPr>
        <w:t xml:space="preserve">it is all interwoven and would leave the application without any foundation. </w:t>
      </w:r>
      <w:r>
        <w:rPr>
          <w:rFonts w:ascii="Arial" w:hAnsi="Arial" w:cs="Arial"/>
          <w:sz w:val="24"/>
          <w:szCs w:val="24"/>
        </w:rPr>
        <w:t>Accordingly, the application will be dismissed with costs.</w:t>
      </w:r>
    </w:p>
    <w:p w14:paraId="2647BF5E" w14:textId="77777777" w:rsidR="00D926F7" w:rsidRDefault="00D926F7" w:rsidP="00AD469A">
      <w:pPr>
        <w:spacing w:after="0" w:line="480" w:lineRule="auto"/>
        <w:jc w:val="both"/>
        <w:rPr>
          <w:rFonts w:ascii="Arial" w:hAnsi="Arial" w:cs="Arial"/>
          <w:sz w:val="24"/>
          <w:szCs w:val="24"/>
        </w:rPr>
      </w:pPr>
    </w:p>
    <w:p w14:paraId="29854BA5" w14:textId="77777777" w:rsidR="00D926F7" w:rsidRDefault="00D926F7" w:rsidP="00AD469A">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Even were I persuaded that the applicant is ent</w:t>
      </w:r>
      <w:r w:rsidR="00497983">
        <w:rPr>
          <w:rFonts w:ascii="Arial" w:hAnsi="Arial" w:cs="Arial"/>
          <w:sz w:val="24"/>
          <w:szCs w:val="24"/>
        </w:rPr>
        <w:t>itled, as of right, to file</w:t>
      </w:r>
      <w:r>
        <w:rPr>
          <w:rFonts w:ascii="Arial" w:hAnsi="Arial" w:cs="Arial"/>
          <w:sz w:val="24"/>
          <w:szCs w:val="24"/>
        </w:rPr>
        <w:t xml:space="preserve"> a lengthy application and Rule</w:t>
      </w:r>
      <w:r w:rsidR="00497983">
        <w:rPr>
          <w:rFonts w:ascii="Arial" w:hAnsi="Arial" w:cs="Arial"/>
          <w:sz w:val="24"/>
          <w:szCs w:val="24"/>
        </w:rPr>
        <w:t xml:space="preserve"> </w:t>
      </w:r>
      <w:r>
        <w:rPr>
          <w:rFonts w:ascii="Arial" w:hAnsi="Arial" w:cs="Arial"/>
          <w:sz w:val="24"/>
          <w:szCs w:val="24"/>
        </w:rPr>
        <w:t>43(5) affidavit, I am in any event of the view that her application is an abuse of the rule 43 process.</w:t>
      </w:r>
    </w:p>
    <w:p w14:paraId="79B3D241" w14:textId="77777777" w:rsidR="00DD7E6C" w:rsidRDefault="00DD7E6C" w:rsidP="00AD469A">
      <w:pPr>
        <w:spacing w:after="0" w:line="480" w:lineRule="auto"/>
        <w:jc w:val="both"/>
        <w:rPr>
          <w:rFonts w:ascii="Arial" w:hAnsi="Arial" w:cs="Arial"/>
          <w:sz w:val="24"/>
          <w:szCs w:val="24"/>
        </w:rPr>
      </w:pPr>
    </w:p>
    <w:p w14:paraId="0295F53D" w14:textId="77777777" w:rsidR="00DD7E6C" w:rsidRDefault="00DD7E6C" w:rsidP="00AD469A">
      <w:pPr>
        <w:spacing w:after="0" w:line="48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t>In this matter, the minor child was born on 7 January 2022 and is now 2 years and 3 months old. The minutiae of the parties’ relationship, the allegations levelled by the applicant against the respondent to justify the curtailed contact a</w:t>
      </w:r>
      <w:r w:rsidR="005809A0">
        <w:rPr>
          <w:rFonts w:ascii="Arial" w:hAnsi="Arial" w:cs="Arial"/>
          <w:sz w:val="24"/>
          <w:szCs w:val="24"/>
        </w:rPr>
        <w:t>rrangements she seeks,</w:t>
      </w:r>
      <w:r>
        <w:rPr>
          <w:rFonts w:ascii="Arial" w:hAnsi="Arial" w:cs="Arial"/>
          <w:sz w:val="24"/>
          <w:szCs w:val="24"/>
        </w:rPr>
        <w:t xml:space="preserve"> took some 95 paragraphs to set out and hark back to events in 2015 – i.e. 7 years prior to the minor child’s birth. </w:t>
      </w:r>
      <w:r w:rsidR="009C2AFF">
        <w:rPr>
          <w:rFonts w:ascii="Arial" w:hAnsi="Arial" w:cs="Arial"/>
          <w:sz w:val="24"/>
          <w:szCs w:val="24"/>
        </w:rPr>
        <w:t>Primary care and residence of the minor child is not in issue in this application; what is in issue is the extent of the respondent’s contact to the minor child.</w:t>
      </w:r>
    </w:p>
    <w:p w14:paraId="4DEDCEBF" w14:textId="77777777" w:rsidR="009C2AFF" w:rsidRDefault="009C2AFF" w:rsidP="00AD469A">
      <w:pPr>
        <w:spacing w:after="0" w:line="480" w:lineRule="auto"/>
        <w:jc w:val="both"/>
        <w:rPr>
          <w:rFonts w:ascii="Arial" w:hAnsi="Arial" w:cs="Arial"/>
          <w:sz w:val="24"/>
          <w:szCs w:val="24"/>
        </w:rPr>
      </w:pPr>
    </w:p>
    <w:p w14:paraId="372147F6" w14:textId="77777777" w:rsidR="009C2AFF" w:rsidRDefault="009C2AFF" w:rsidP="00AD469A">
      <w:pPr>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The applicant then not only claims maintenance, but also arrear maintenance for the minor child. Her maintenance claim (as argued) is </w:t>
      </w:r>
      <w:r w:rsidR="00EE1BEF">
        <w:rPr>
          <w:rFonts w:ascii="Arial" w:hAnsi="Arial" w:cs="Arial"/>
          <w:sz w:val="24"/>
          <w:szCs w:val="24"/>
        </w:rPr>
        <w:t xml:space="preserve">R35 629,42 </w:t>
      </w:r>
      <w:r>
        <w:rPr>
          <w:rFonts w:ascii="Arial" w:hAnsi="Arial" w:cs="Arial"/>
          <w:sz w:val="24"/>
          <w:szCs w:val="24"/>
        </w:rPr>
        <w:t>per month</w:t>
      </w:r>
      <w:r w:rsidR="00EE1BEF">
        <w:rPr>
          <w:rStyle w:val="FootnoteReference"/>
          <w:rFonts w:ascii="Arial" w:hAnsi="Arial" w:cs="Arial"/>
          <w:sz w:val="24"/>
          <w:szCs w:val="24"/>
        </w:rPr>
        <w:footnoteReference w:id="23"/>
      </w:r>
      <w:r>
        <w:rPr>
          <w:rFonts w:ascii="Arial" w:hAnsi="Arial" w:cs="Arial"/>
          <w:sz w:val="24"/>
          <w:szCs w:val="24"/>
        </w:rPr>
        <w:t xml:space="preserve"> and the arrear ma</w:t>
      </w:r>
      <w:r w:rsidR="00EE1BEF">
        <w:rPr>
          <w:rFonts w:ascii="Arial" w:hAnsi="Arial" w:cs="Arial"/>
          <w:sz w:val="24"/>
          <w:szCs w:val="24"/>
        </w:rPr>
        <w:t>intenance is approximately R234 784</w:t>
      </w:r>
      <w:r w:rsidR="008F2FBE">
        <w:rPr>
          <w:rFonts w:ascii="Arial" w:hAnsi="Arial" w:cs="Arial"/>
          <w:sz w:val="24"/>
          <w:szCs w:val="24"/>
        </w:rPr>
        <w:t>.</w:t>
      </w:r>
      <w:r w:rsidR="008F2FBE">
        <w:rPr>
          <w:rStyle w:val="FootnoteReference"/>
          <w:rFonts w:ascii="Arial" w:hAnsi="Arial" w:cs="Arial"/>
          <w:sz w:val="24"/>
          <w:szCs w:val="24"/>
        </w:rPr>
        <w:footnoteReference w:id="24"/>
      </w:r>
      <w:r w:rsidR="008F2FBE">
        <w:rPr>
          <w:rFonts w:ascii="Arial" w:hAnsi="Arial" w:cs="Arial"/>
          <w:sz w:val="24"/>
          <w:szCs w:val="24"/>
        </w:rPr>
        <w:t xml:space="preserve"> But context here is everything: lest one may think that the respondent has shirked his financial responsibilities to the minor child, he has not. He has paid maintenance for him of approximately R28 500 per month (including a cash contribution of R13 500 per month) since </w:t>
      </w:r>
      <w:r w:rsidR="00FF22C0">
        <w:rPr>
          <w:rFonts w:ascii="Arial" w:hAnsi="Arial" w:cs="Arial"/>
          <w:sz w:val="24"/>
          <w:szCs w:val="24"/>
        </w:rPr>
        <w:t>2023</w:t>
      </w:r>
      <w:r w:rsidR="008F2FBE">
        <w:rPr>
          <w:rFonts w:ascii="Arial" w:hAnsi="Arial" w:cs="Arial"/>
          <w:sz w:val="24"/>
          <w:szCs w:val="24"/>
        </w:rPr>
        <w:t>.</w:t>
      </w:r>
    </w:p>
    <w:p w14:paraId="12D2794B" w14:textId="77777777" w:rsidR="00711EA1" w:rsidRDefault="00711EA1" w:rsidP="00AD469A">
      <w:pPr>
        <w:spacing w:after="0" w:line="480" w:lineRule="auto"/>
        <w:jc w:val="both"/>
        <w:rPr>
          <w:rFonts w:ascii="Arial" w:hAnsi="Arial" w:cs="Arial"/>
          <w:sz w:val="24"/>
          <w:szCs w:val="24"/>
        </w:rPr>
      </w:pPr>
    </w:p>
    <w:p w14:paraId="2F83EC51" w14:textId="77777777" w:rsidR="00711EA1" w:rsidRDefault="00711EA1" w:rsidP="00AD469A">
      <w:pPr>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And then one must also take into account the parties respective earning capacities: the respondent earns R81 000 per month net and receives a quarterly bonus. This puts his net salary in the region of about R91 000 per month. He has two sons from a previous marriage for whom he pays </w:t>
      </w:r>
      <w:r w:rsidR="004926ED">
        <w:rPr>
          <w:rFonts w:ascii="Arial" w:hAnsi="Arial" w:cs="Arial"/>
          <w:sz w:val="24"/>
          <w:szCs w:val="24"/>
        </w:rPr>
        <w:t xml:space="preserve">a total of </w:t>
      </w:r>
      <w:r>
        <w:rPr>
          <w:rFonts w:ascii="Arial" w:hAnsi="Arial" w:cs="Arial"/>
          <w:sz w:val="24"/>
          <w:szCs w:val="24"/>
        </w:rPr>
        <w:t xml:space="preserve">R25 000 per month and then he still pays the applicant another R28 500 per month for their two-year old child. Thus, before he pays </w:t>
      </w:r>
      <w:r>
        <w:rPr>
          <w:rFonts w:ascii="Arial" w:hAnsi="Arial" w:cs="Arial"/>
          <w:sz w:val="24"/>
          <w:szCs w:val="24"/>
        </w:rPr>
        <w:lastRenderedPageBreak/>
        <w:t>any of his own expenses, more than half his salary is utilized towards the maintenance of his three children. He has no notable assets of value and no n</w:t>
      </w:r>
      <w:r w:rsidR="00AA6481">
        <w:rPr>
          <w:rFonts w:ascii="Arial" w:hAnsi="Arial" w:cs="Arial"/>
          <w:sz w:val="24"/>
          <w:szCs w:val="24"/>
        </w:rPr>
        <w:t>otable savings.</w:t>
      </w:r>
    </w:p>
    <w:p w14:paraId="730DB07F" w14:textId="77777777" w:rsidR="00AA6481" w:rsidRDefault="00AA6481" w:rsidP="00AD469A">
      <w:pPr>
        <w:spacing w:after="0" w:line="480" w:lineRule="auto"/>
        <w:jc w:val="both"/>
        <w:rPr>
          <w:rFonts w:ascii="Arial" w:hAnsi="Arial" w:cs="Arial"/>
          <w:sz w:val="24"/>
          <w:szCs w:val="24"/>
        </w:rPr>
      </w:pPr>
    </w:p>
    <w:p w14:paraId="6F38E681" w14:textId="77777777" w:rsidR="00AA6481" w:rsidRDefault="00AA6481" w:rsidP="00AD469A">
      <w:pPr>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In contrast, the applicant earns R64 309 per month and receives a </w:t>
      </w:r>
      <w:r w:rsidR="00EA712B">
        <w:rPr>
          <w:rFonts w:ascii="Arial" w:hAnsi="Arial" w:cs="Arial"/>
          <w:sz w:val="24"/>
          <w:szCs w:val="24"/>
        </w:rPr>
        <w:t xml:space="preserve">gross </w:t>
      </w:r>
      <w:r>
        <w:rPr>
          <w:rFonts w:ascii="Arial" w:hAnsi="Arial" w:cs="Arial"/>
          <w:sz w:val="24"/>
          <w:szCs w:val="24"/>
        </w:rPr>
        <w:t xml:space="preserve">bonus of       R624 000 annually. She also receives a net rental income from a property of R2 700 per month. This puts her </w:t>
      </w:r>
      <w:r w:rsidR="00EA712B">
        <w:rPr>
          <w:rFonts w:ascii="Arial" w:hAnsi="Arial" w:cs="Arial"/>
          <w:sz w:val="24"/>
          <w:szCs w:val="24"/>
        </w:rPr>
        <w:t xml:space="preserve">net </w:t>
      </w:r>
      <w:r>
        <w:rPr>
          <w:rFonts w:ascii="Arial" w:hAnsi="Arial" w:cs="Arial"/>
          <w:sz w:val="24"/>
          <w:szCs w:val="24"/>
        </w:rPr>
        <w:t>monthly income at approximately R105 000. Added to this is the fact that she has other assets, including savings of R400 000.</w:t>
      </w:r>
    </w:p>
    <w:p w14:paraId="74EFD221" w14:textId="77777777" w:rsidR="00AA6481" w:rsidRDefault="00AA6481" w:rsidP="00AD469A">
      <w:pPr>
        <w:spacing w:after="0" w:line="480" w:lineRule="auto"/>
        <w:jc w:val="both"/>
        <w:rPr>
          <w:rFonts w:ascii="Arial" w:hAnsi="Arial" w:cs="Arial"/>
          <w:sz w:val="24"/>
          <w:szCs w:val="24"/>
        </w:rPr>
      </w:pPr>
    </w:p>
    <w:p w14:paraId="2F5D3227" w14:textId="77777777" w:rsidR="00AA6481" w:rsidRDefault="00AA6481" w:rsidP="00AD469A">
      <w:pPr>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The respondent is presently paying more maintenance for his two-year old son than for both of his older children. This</w:t>
      </w:r>
      <w:r w:rsidR="004926ED">
        <w:rPr>
          <w:rFonts w:ascii="Arial" w:hAnsi="Arial" w:cs="Arial"/>
          <w:sz w:val="24"/>
          <w:szCs w:val="24"/>
        </w:rPr>
        <w:t xml:space="preserve"> is in circumstances</w:t>
      </w:r>
      <w:r>
        <w:rPr>
          <w:rFonts w:ascii="Arial" w:hAnsi="Arial" w:cs="Arial"/>
          <w:sz w:val="24"/>
          <w:szCs w:val="24"/>
        </w:rPr>
        <w:t xml:space="preserve"> where his financial position cannot be equated to that of the applicant and where she is clearly in a much stronger financial position than he. I find her prayer for </w:t>
      </w:r>
      <w:r w:rsidR="004926ED">
        <w:rPr>
          <w:rFonts w:ascii="Arial" w:hAnsi="Arial" w:cs="Arial"/>
          <w:sz w:val="24"/>
          <w:szCs w:val="24"/>
        </w:rPr>
        <w:t>more</w:t>
      </w:r>
      <w:r>
        <w:rPr>
          <w:rFonts w:ascii="Arial" w:hAnsi="Arial" w:cs="Arial"/>
          <w:sz w:val="24"/>
          <w:szCs w:val="24"/>
        </w:rPr>
        <w:t xml:space="preserve"> maintenance for the minor child excessive and not commensurate with the parties’ means. It is an abuse of process and it is also contrary to the entire ethos of rule 43 which is</w:t>
      </w:r>
      <w:r w:rsidR="004926ED">
        <w:rPr>
          <w:rFonts w:ascii="Arial" w:hAnsi="Arial" w:cs="Arial"/>
          <w:sz w:val="24"/>
          <w:szCs w:val="24"/>
        </w:rPr>
        <w:t xml:space="preserve">, </w:t>
      </w:r>
      <w:r w:rsidR="004926ED">
        <w:rPr>
          <w:rFonts w:ascii="Arial" w:hAnsi="Arial" w:cs="Arial"/>
          <w:i/>
          <w:sz w:val="24"/>
          <w:szCs w:val="24"/>
        </w:rPr>
        <w:t>inter alia</w:t>
      </w:r>
      <w:r w:rsidR="004926ED">
        <w:rPr>
          <w:rFonts w:ascii="Arial" w:hAnsi="Arial" w:cs="Arial"/>
          <w:sz w:val="24"/>
          <w:szCs w:val="24"/>
        </w:rPr>
        <w:t xml:space="preserve">, </w:t>
      </w:r>
      <w:r>
        <w:rPr>
          <w:rFonts w:ascii="Arial" w:hAnsi="Arial" w:cs="Arial"/>
          <w:sz w:val="24"/>
          <w:szCs w:val="24"/>
        </w:rPr>
        <w:t xml:space="preserve">to place parties on as equal a footing as possible </w:t>
      </w:r>
      <w:r w:rsidR="008139FE">
        <w:rPr>
          <w:rFonts w:ascii="Arial" w:hAnsi="Arial" w:cs="Arial"/>
          <w:sz w:val="24"/>
          <w:szCs w:val="24"/>
        </w:rPr>
        <w:t xml:space="preserve">vis-à-vis maintenance and litigation. </w:t>
      </w:r>
    </w:p>
    <w:p w14:paraId="2559C6E1" w14:textId="77777777" w:rsidR="008139FE" w:rsidRDefault="008139FE" w:rsidP="00AD469A">
      <w:pPr>
        <w:spacing w:after="0" w:line="480" w:lineRule="auto"/>
        <w:jc w:val="both"/>
        <w:rPr>
          <w:rFonts w:ascii="Arial" w:hAnsi="Arial" w:cs="Arial"/>
          <w:sz w:val="24"/>
          <w:szCs w:val="24"/>
        </w:rPr>
      </w:pPr>
    </w:p>
    <w:p w14:paraId="002F6EDF" w14:textId="77777777" w:rsidR="008139FE" w:rsidRDefault="008139FE" w:rsidP="00AD469A">
      <w:pPr>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90F86">
        <w:rPr>
          <w:rFonts w:ascii="Arial" w:hAnsi="Arial" w:cs="Arial"/>
          <w:sz w:val="24"/>
          <w:szCs w:val="24"/>
        </w:rPr>
        <w:t>In sum, this application is an abuse as:</w:t>
      </w:r>
    </w:p>
    <w:p w14:paraId="36BD1F47" w14:textId="77777777" w:rsidR="00B90F86" w:rsidRDefault="00B90F86" w:rsidP="00B90F86">
      <w:pPr>
        <w:spacing w:after="0" w:line="48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primary care and residence of the minor child is not in dispute and no order is required to settle that issue at this stage. It is </w:t>
      </w:r>
      <w:r w:rsidR="006800CF">
        <w:rPr>
          <w:rFonts w:ascii="Arial" w:hAnsi="Arial" w:cs="Arial"/>
          <w:sz w:val="24"/>
          <w:szCs w:val="24"/>
        </w:rPr>
        <w:t xml:space="preserve">undesirable and </w:t>
      </w:r>
      <w:r>
        <w:rPr>
          <w:rFonts w:ascii="Arial" w:hAnsi="Arial" w:cs="Arial"/>
          <w:sz w:val="24"/>
          <w:szCs w:val="24"/>
        </w:rPr>
        <w:t>unnecessary to brin</w:t>
      </w:r>
      <w:r w:rsidR="006800CF">
        <w:rPr>
          <w:rFonts w:ascii="Arial" w:hAnsi="Arial" w:cs="Arial"/>
          <w:sz w:val="24"/>
          <w:szCs w:val="24"/>
        </w:rPr>
        <w:t xml:space="preserve">g an application </w:t>
      </w:r>
      <w:r>
        <w:rPr>
          <w:rFonts w:ascii="Arial" w:hAnsi="Arial" w:cs="Arial"/>
          <w:sz w:val="24"/>
          <w:szCs w:val="24"/>
        </w:rPr>
        <w:t xml:space="preserve">simply to confirm a </w:t>
      </w:r>
      <w:r w:rsidRPr="005A146B">
        <w:rPr>
          <w:rFonts w:ascii="Arial" w:hAnsi="Arial" w:cs="Arial"/>
          <w:i/>
          <w:sz w:val="24"/>
          <w:szCs w:val="24"/>
        </w:rPr>
        <w:t>status quo</w:t>
      </w:r>
      <w:r>
        <w:rPr>
          <w:rFonts w:ascii="Arial" w:hAnsi="Arial" w:cs="Arial"/>
          <w:sz w:val="24"/>
          <w:szCs w:val="24"/>
        </w:rPr>
        <w:t>;</w:t>
      </w:r>
    </w:p>
    <w:p w14:paraId="1065BE77" w14:textId="77777777" w:rsidR="00B90F86" w:rsidRDefault="00B90F86" w:rsidP="00B90F86">
      <w:pPr>
        <w:spacing w:after="0" w:line="48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respondent’s disputed terms of contact require an investigation by the Office of the Family Advocate – both parties seek this relief in their respective orders. There is no reason at all for this court to be burdened with making only </w:t>
      </w:r>
      <w:r>
        <w:rPr>
          <w:rFonts w:ascii="Arial" w:hAnsi="Arial" w:cs="Arial"/>
          <w:sz w:val="24"/>
          <w:szCs w:val="24"/>
        </w:rPr>
        <w:lastRenderedPageBreak/>
        <w:t>such an order as the parties have had since November 2023 to complete and serve an Annexure B</w:t>
      </w:r>
      <w:r w:rsidR="00353B71">
        <w:rPr>
          <w:rFonts w:ascii="Arial" w:hAnsi="Arial" w:cs="Arial"/>
          <w:sz w:val="24"/>
          <w:szCs w:val="24"/>
        </w:rPr>
        <w:t xml:space="preserve"> and they can still do so</w:t>
      </w:r>
      <w:r w:rsidR="009871B7">
        <w:rPr>
          <w:rFonts w:ascii="Arial" w:hAnsi="Arial" w:cs="Arial"/>
          <w:sz w:val="24"/>
          <w:szCs w:val="24"/>
        </w:rPr>
        <w:t>;</w:t>
      </w:r>
      <w:r w:rsidR="005A146B">
        <w:rPr>
          <w:rStyle w:val="FootnoteReference"/>
          <w:rFonts w:ascii="Arial" w:hAnsi="Arial" w:cs="Arial"/>
          <w:sz w:val="24"/>
          <w:szCs w:val="24"/>
        </w:rPr>
        <w:footnoteReference w:id="25"/>
      </w:r>
    </w:p>
    <w:p w14:paraId="2A488AA9" w14:textId="77777777" w:rsidR="008E58D7" w:rsidRDefault="008E58D7" w:rsidP="00B90F86">
      <w:pPr>
        <w:spacing w:after="0" w:line="48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the respondent is paying maintenance and has done so since 2023. There is therefore no need demonstrated on these papers for the court to interfere or to protect the minor child’s interests by making such an order – again, the court cannot be required to simply confirm a status quo;</w:t>
      </w:r>
    </w:p>
    <w:p w14:paraId="3BFC4E69" w14:textId="77777777" w:rsidR="008E58D7" w:rsidRDefault="008E58D7" w:rsidP="00B90F86">
      <w:pPr>
        <w:spacing w:after="0" w:line="48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the applicant has failed to prove that she has made out a case </w:t>
      </w:r>
      <w:r w:rsidRPr="008E58D7">
        <w:rPr>
          <w:rFonts w:ascii="Arial" w:hAnsi="Arial" w:cs="Arial"/>
          <w:i/>
          <w:sz w:val="24"/>
          <w:szCs w:val="24"/>
        </w:rPr>
        <w:t>pendente lite</w:t>
      </w:r>
      <w:r>
        <w:rPr>
          <w:rFonts w:ascii="Arial" w:hAnsi="Arial" w:cs="Arial"/>
          <w:sz w:val="24"/>
          <w:szCs w:val="24"/>
        </w:rPr>
        <w:t xml:space="preserve"> for arrear maintenance;</w:t>
      </w:r>
    </w:p>
    <w:p w14:paraId="5958E3E4" w14:textId="77777777" w:rsidR="008E58D7" w:rsidRDefault="008E58D7" w:rsidP="00B90F86">
      <w:pPr>
        <w:spacing w:after="0" w:line="48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t>the applicant abandoned her request for a contribution to her legal costs – correctly so in my view.</w:t>
      </w:r>
    </w:p>
    <w:p w14:paraId="422B8230" w14:textId="77777777" w:rsidR="00EB6757" w:rsidRPr="002E3B2A" w:rsidRDefault="00EB6757" w:rsidP="00AD469A">
      <w:pPr>
        <w:spacing w:after="0" w:line="480" w:lineRule="auto"/>
        <w:jc w:val="both"/>
        <w:rPr>
          <w:rFonts w:ascii="Arial" w:hAnsi="Arial" w:cs="Arial"/>
          <w:sz w:val="24"/>
          <w:szCs w:val="24"/>
        </w:rPr>
      </w:pPr>
    </w:p>
    <w:p w14:paraId="1A2E358B" w14:textId="77777777" w:rsidR="00AD469A" w:rsidRDefault="00AD469A" w:rsidP="00AD469A">
      <w:pPr>
        <w:spacing w:after="0" w:line="480" w:lineRule="auto"/>
        <w:jc w:val="both"/>
        <w:rPr>
          <w:rFonts w:ascii="Arial" w:hAnsi="Arial" w:cs="Arial"/>
          <w:sz w:val="24"/>
          <w:szCs w:val="24"/>
        </w:rPr>
      </w:pPr>
      <w:r>
        <w:rPr>
          <w:rFonts w:ascii="Arial" w:hAnsi="Arial" w:cs="Arial"/>
          <w:sz w:val="24"/>
          <w:szCs w:val="24"/>
        </w:rPr>
        <w:t xml:space="preserve"> </w:t>
      </w:r>
      <w:r w:rsidR="008E58D7">
        <w:rPr>
          <w:rFonts w:ascii="Arial" w:hAnsi="Arial" w:cs="Arial"/>
          <w:sz w:val="24"/>
          <w:szCs w:val="24"/>
        </w:rPr>
        <w:t>[26]</w:t>
      </w:r>
      <w:r w:rsidR="008E58D7">
        <w:rPr>
          <w:rFonts w:ascii="Arial" w:hAnsi="Arial" w:cs="Arial"/>
          <w:sz w:val="24"/>
          <w:szCs w:val="24"/>
        </w:rPr>
        <w:tab/>
        <w:t>Therefore, I am of the view that no matter how one views this matter, the application is an abuse of process.</w:t>
      </w:r>
    </w:p>
    <w:p w14:paraId="79C8E19F" w14:textId="77777777" w:rsidR="008E58D7" w:rsidRDefault="008E58D7" w:rsidP="00AD469A">
      <w:pPr>
        <w:spacing w:after="0" w:line="480" w:lineRule="auto"/>
        <w:jc w:val="both"/>
        <w:rPr>
          <w:rFonts w:ascii="Arial" w:hAnsi="Arial" w:cs="Arial"/>
          <w:sz w:val="24"/>
          <w:szCs w:val="24"/>
        </w:rPr>
      </w:pPr>
    </w:p>
    <w:p w14:paraId="2A847F95" w14:textId="77777777" w:rsidR="008E58D7" w:rsidRDefault="008E58D7" w:rsidP="00AD469A">
      <w:pPr>
        <w:spacing w:after="0" w:line="480" w:lineRule="auto"/>
        <w:jc w:val="both"/>
        <w:rPr>
          <w:rFonts w:ascii="Arial" w:hAnsi="Arial" w:cs="Arial"/>
          <w:sz w:val="24"/>
          <w:szCs w:val="24"/>
        </w:rPr>
      </w:pPr>
      <w:r>
        <w:rPr>
          <w:rFonts w:ascii="Arial" w:hAnsi="Arial" w:cs="Arial"/>
          <w:b/>
          <w:sz w:val="24"/>
          <w:szCs w:val="24"/>
          <w:u w:val="single"/>
        </w:rPr>
        <w:t>ORDER</w:t>
      </w:r>
    </w:p>
    <w:p w14:paraId="381F437B" w14:textId="77777777" w:rsidR="008E58D7" w:rsidRDefault="008E58D7" w:rsidP="00AD469A">
      <w:pPr>
        <w:spacing w:after="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The application is dismissed with costs to be taxed on Scale A.</w:t>
      </w:r>
    </w:p>
    <w:p w14:paraId="226CA30C" w14:textId="77777777" w:rsidR="008E58D7" w:rsidRPr="008E58D7" w:rsidRDefault="008E58D7" w:rsidP="00AD469A">
      <w:pPr>
        <w:spacing w:after="0" w:line="480" w:lineRule="auto"/>
        <w:jc w:val="both"/>
        <w:rPr>
          <w:rFonts w:ascii="Arial" w:hAnsi="Arial" w:cs="Arial"/>
          <w:sz w:val="24"/>
          <w:szCs w:val="24"/>
        </w:rPr>
      </w:pPr>
    </w:p>
    <w:p w14:paraId="3CB7C346" w14:textId="77777777" w:rsidR="00BF7329" w:rsidRPr="00E26864" w:rsidRDefault="00BF7329" w:rsidP="00216EAF">
      <w:pPr>
        <w:spacing w:after="0" w:line="360" w:lineRule="auto"/>
        <w:jc w:val="right"/>
      </w:pPr>
    </w:p>
    <w:p w14:paraId="70CB2BF1" w14:textId="77777777" w:rsidR="00BF7329" w:rsidRPr="00BF7329"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sz w:val="24"/>
          <w:szCs w:val="24"/>
        </w:rPr>
      </w:pPr>
      <w:r w:rsidRPr="00BF7329">
        <w:rPr>
          <w:rFonts w:ascii="Arial" w:hAnsi="Arial" w:cs="Arial"/>
          <w:sz w:val="24"/>
          <w:szCs w:val="24"/>
        </w:rPr>
        <w:t>_______________________</w:t>
      </w:r>
    </w:p>
    <w:p w14:paraId="3D61C2BF" w14:textId="77777777" w:rsidR="00BF7329" w:rsidRPr="00BF7329"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sz w:val="24"/>
          <w:szCs w:val="24"/>
          <w:lang w:val="en-GB"/>
        </w:rPr>
      </w:pPr>
      <w:r w:rsidRPr="00BF7329">
        <w:rPr>
          <w:rFonts w:ascii="Arial" w:hAnsi="Arial" w:cs="Arial"/>
          <w:b/>
          <w:sz w:val="24"/>
          <w:szCs w:val="24"/>
          <w:lang w:val="en-GB"/>
        </w:rPr>
        <w:t>B NEUKIRCHER</w:t>
      </w:r>
    </w:p>
    <w:p w14:paraId="6A78FF83" w14:textId="77777777" w:rsidR="00BF7329" w:rsidRPr="00BF7329"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sz w:val="24"/>
          <w:szCs w:val="24"/>
          <w:lang w:val="en-GB"/>
        </w:rPr>
      </w:pPr>
      <w:r w:rsidRPr="00BF7329">
        <w:rPr>
          <w:rFonts w:ascii="Arial" w:hAnsi="Arial" w:cs="Arial"/>
          <w:b/>
          <w:sz w:val="24"/>
          <w:szCs w:val="24"/>
          <w:lang w:val="en-GB"/>
        </w:rPr>
        <w:t>JUDGE OF THE HIGH COURT</w:t>
      </w:r>
    </w:p>
    <w:p w14:paraId="3EEF3488" w14:textId="77777777" w:rsidR="00BF7329" w:rsidRPr="00BF7329"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sz w:val="24"/>
          <w:szCs w:val="24"/>
          <w:lang w:val="en-GB"/>
        </w:rPr>
      </w:pPr>
      <w:r w:rsidRPr="00BF7329">
        <w:rPr>
          <w:rFonts w:ascii="Arial" w:hAnsi="Arial" w:cs="Arial"/>
          <w:b/>
          <w:sz w:val="24"/>
          <w:szCs w:val="24"/>
          <w:lang w:val="en-GB"/>
        </w:rPr>
        <w:t>GAUTENG DIVISION, PRETORIA</w:t>
      </w:r>
    </w:p>
    <w:p w14:paraId="79BF2D7A" w14:textId="77777777" w:rsidR="00BF7329" w:rsidRPr="00622E9F" w:rsidRDefault="00BF7329" w:rsidP="00735555">
      <w:pPr>
        <w:rPr>
          <w:rFonts w:ascii="Arial" w:hAnsi="Arial" w:cs="Arial"/>
          <w:sz w:val="24"/>
          <w:szCs w:val="24"/>
        </w:rPr>
      </w:pPr>
    </w:p>
    <w:p w14:paraId="3640ACFD"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lang w:val="en-GB"/>
        </w:rPr>
      </w:pPr>
      <w:r w:rsidRPr="00622E9F">
        <w:rPr>
          <w:rFonts w:ascii="Arial" w:hAnsi="Arial" w:cs="Arial"/>
          <w:sz w:val="24"/>
          <w:szCs w:val="24"/>
          <w:lang w:val="en-GB"/>
        </w:rPr>
        <w:t>Delivered:  This judgment was pre</w:t>
      </w:r>
      <w:r w:rsidR="00AA0D11" w:rsidRPr="00622E9F">
        <w:rPr>
          <w:rFonts w:ascii="Arial" w:hAnsi="Arial" w:cs="Arial"/>
          <w:sz w:val="24"/>
          <w:szCs w:val="24"/>
          <w:lang w:val="en-GB"/>
        </w:rPr>
        <w:t>pared and authored by the Judge whose name is</w:t>
      </w:r>
      <w:r w:rsidRPr="00622E9F">
        <w:rPr>
          <w:rFonts w:ascii="Arial" w:hAnsi="Arial" w:cs="Arial"/>
          <w:sz w:val="24"/>
          <w:szCs w:val="24"/>
          <w:lang w:val="en-GB"/>
        </w:rPr>
        <w:t xml:space="preserve"> </w:t>
      </w:r>
      <w:r w:rsidRPr="00622E9F">
        <w:rPr>
          <w:rFonts w:ascii="Arial" w:hAnsi="Arial" w:cs="Arial"/>
          <w:sz w:val="24"/>
          <w:szCs w:val="24"/>
          <w:lang w:val="en-GB"/>
        </w:rPr>
        <w:lastRenderedPageBreak/>
        <w:t xml:space="preserve">reflected and is handed down electronically by circulation to the Parties/their legal representatives by email and by uploading it to the electronic file of this matter on </w:t>
      </w:r>
      <w:proofErr w:type="spellStart"/>
      <w:r w:rsidRPr="00622E9F">
        <w:rPr>
          <w:rFonts w:ascii="Arial" w:hAnsi="Arial" w:cs="Arial"/>
          <w:sz w:val="24"/>
          <w:szCs w:val="24"/>
          <w:lang w:val="en-GB"/>
        </w:rPr>
        <w:t>CaseLines</w:t>
      </w:r>
      <w:proofErr w:type="spellEnd"/>
      <w:r w:rsidRPr="00622E9F">
        <w:rPr>
          <w:rFonts w:ascii="Arial" w:hAnsi="Arial" w:cs="Arial"/>
          <w:sz w:val="24"/>
          <w:szCs w:val="24"/>
          <w:lang w:val="en-GB"/>
        </w:rPr>
        <w:t xml:space="preserve">.  The date for hand-down is deemed to be </w:t>
      </w:r>
      <w:r w:rsidR="00AA0D11" w:rsidRPr="00622E9F">
        <w:rPr>
          <w:rFonts w:ascii="Arial" w:hAnsi="Arial" w:cs="Arial"/>
          <w:sz w:val="24"/>
          <w:szCs w:val="24"/>
          <w:lang w:val="en-GB"/>
        </w:rPr>
        <w:t>22 April 2024.</w:t>
      </w:r>
    </w:p>
    <w:p w14:paraId="6A392F90" w14:textId="77777777" w:rsidR="00AA0D11" w:rsidRPr="00622E9F" w:rsidRDefault="00AA0D11"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lang w:val="en-GB"/>
        </w:rPr>
      </w:pPr>
    </w:p>
    <w:p w14:paraId="2EE2965C" w14:textId="77777777" w:rsidR="00AA0D11" w:rsidRPr="00622E9F" w:rsidRDefault="00AA0D11"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p>
    <w:p w14:paraId="45AF023E"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p>
    <w:p w14:paraId="65F5CE8D"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622E9F">
        <w:rPr>
          <w:rFonts w:ascii="Arial" w:hAnsi="Arial" w:cs="Arial"/>
          <w:sz w:val="24"/>
          <w:szCs w:val="24"/>
        </w:rPr>
        <w:t>Appearances:</w:t>
      </w:r>
    </w:p>
    <w:p w14:paraId="2201E2BF"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p>
    <w:p w14:paraId="3D6485F7"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622E9F">
        <w:rPr>
          <w:rFonts w:ascii="Arial" w:hAnsi="Arial" w:cs="Arial"/>
          <w:sz w:val="24"/>
          <w:szCs w:val="24"/>
        </w:rPr>
        <w:t>For appellant</w:t>
      </w:r>
      <w:r w:rsidRPr="00622E9F">
        <w:rPr>
          <w:rFonts w:ascii="Arial" w:hAnsi="Arial" w:cs="Arial"/>
          <w:sz w:val="24"/>
          <w:szCs w:val="24"/>
        </w:rPr>
        <w:tab/>
        <w:t>:</w:t>
      </w:r>
      <w:r w:rsidRPr="00622E9F">
        <w:rPr>
          <w:rFonts w:ascii="Arial" w:hAnsi="Arial" w:cs="Arial"/>
          <w:sz w:val="24"/>
          <w:szCs w:val="24"/>
        </w:rPr>
        <w:tab/>
      </w:r>
      <w:r w:rsidR="00AA0D11" w:rsidRPr="00622E9F">
        <w:rPr>
          <w:rFonts w:ascii="Arial" w:hAnsi="Arial" w:cs="Arial"/>
          <w:sz w:val="24"/>
          <w:szCs w:val="24"/>
        </w:rPr>
        <w:t>Adv LM Nigrini</w:t>
      </w:r>
    </w:p>
    <w:p w14:paraId="547420A2"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622E9F">
        <w:rPr>
          <w:rFonts w:ascii="Arial" w:hAnsi="Arial" w:cs="Arial"/>
          <w:sz w:val="24"/>
          <w:szCs w:val="24"/>
        </w:rPr>
        <w:t>Instructed by:</w:t>
      </w:r>
      <w:r w:rsidRPr="00622E9F">
        <w:rPr>
          <w:rFonts w:ascii="Arial" w:hAnsi="Arial" w:cs="Arial"/>
          <w:sz w:val="24"/>
          <w:szCs w:val="24"/>
        </w:rPr>
        <w:tab/>
      </w:r>
      <w:r w:rsidRPr="00622E9F">
        <w:rPr>
          <w:rFonts w:ascii="Arial" w:hAnsi="Arial" w:cs="Arial"/>
          <w:sz w:val="24"/>
          <w:szCs w:val="24"/>
        </w:rPr>
        <w:tab/>
      </w:r>
      <w:r w:rsidR="00AA0D11" w:rsidRPr="00622E9F">
        <w:rPr>
          <w:rFonts w:ascii="Arial" w:hAnsi="Arial" w:cs="Arial"/>
          <w:sz w:val="24"/>
          <w:szCs w:val="24"/>
        </w:rPr>
        <w:t>Ulrich Roux and Associates</w:t>
      </w:r>
    </w:p>
    <w:p w14:paraId="0614C0C5" w14:textId="77777777" w:rsidR="00AA0D11"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622E9F">
        <w:rPr>
          <w:rFonts w:ascii="Arial" w:hAnsi="Arial" w:cs="Arial"/>
          <w:sz w:val="24"/>
          <w:szCs w:val="24"/>
        </w:rPr>
        <w:t>For respondent:</w:t>
      </w:r>
      <w:r w:rsidRPr="00622E9F">
        <w:rPr>
          <w:rFonts w:ascii="Arial" w:hAnsi="Arial" w:cs="Arial"/>
          <w:sz w:val="24"/>
          <w:szCs w:val="24"/>
        </w:rPr>
        <w:tab/>
        <w:t xml:space="preserve">Adv </w:t>
      </w:r>
      <w:r w:rsidR="00AA0D11" w:rsidRPr="00622E9F">
        <w:rPr>
          <w:rFonts w:ascii="Arial" w:hAnsi="Arial" w:cs="Arial"/>
          <w:sz w:val="24"/>
          <w:szCs w:val="24"/>
        </w:rPr>
        <w:t>C van Schalkwyk</w:t>
      </w:r>
    </w:p>
    <w:p w14:paraId="6533F7D7"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622E9F">
        <w:rPr>
          <w:rFonts w:ascii="Arial" w:hAnsi="Arial" w:cs="Arial"/>
          <w:sz w:val="24"/>
          <w:szCs w:val="24"/>
        </w:rPr>
        <w:t>Instructed by:</w:t>
      </w:r>
      <w:r w:rsidRPr="00622E9F">
        <w:rPr>
          <w:rFonts w:ascii="Arial" w:hAnsi="Arial" w:cs="Arial"/>
          <w:sz w:val="24"/>
          <w:szCs w:val="24"/>
        </w:rPr>
        <w:tab/>
      </w:r>
      <w:r w:rsidRPr="00622E9F">
        <w:rPr>
          <w:rFonts w:ascii="Arial" w:hAnsi="Arial" w:cs="Arial"/>
          <w:sz w:val="24"/>
          <w:szCs w:val="24"/>
        </w:rPr>
        <w:tab/>
      </w:r>
      <w:r w:rsidR="00AA0D11" w:rsidRPr="00622E9F">
        <w:rPr>
          <w:rFonts w:ascii="Arial" w:hAnsi="Arial" w:cs="Arial"/>
          <w:sz w:val="24"/>
          <w:szCs w:val="24"/>
        </w:rPr>
        <w:t>Bronwyn May Attorneys Inc</w:t>
      </w:r>
    </w:p>
    <w:p w14:paraId="15B7EEBD"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rPr>
      </w:pPr>
      <w:r w:rsidRPr="00622E9F">
        <w:rPr>
          <w:rFonts w:ascii="Arial" w:hAnsi="Arial" w:cs="Arial"/>
          <w:sz w:val="24"/>
          <w:szCs w:val="24"/>
        </w:rPr>
        <w:t>Date of hearing:</w:t>
      </w:r>
      <w:r w:rsidRPr="00622E9F">
        <w:rPr>
          <w:rFonts w:ascii="Arial" w:hAnsi="Arial" w:cs="Arial"/>
          <w:sz w:val="24"/>
          <w:szCs w:val="24"/>
        </w:rPr>
        <w:tab/>
      </w:r>
      <w:r w:rsidR="00AA0D11" w:rsidRPr="00622E9F">
        <w:rPr>
          <w:rFonts w:ascii="Arial" w:hAnsi="Arial" w:cs="Arial"/>
          <w:sz w:val="24"/>
          <w:szCs w:val="24"/>
        </w:rPr>
        <w:t>15 April 2024</w:t>
      </w:r>
    </w:p>
    <w:p w14:paraId="4C4E9742" w14:textId="77777777" w:rsidR="00BF7329" w:rsidRPr="00622E9F" w:rsidRDefault="00BF7329" w:rsidP="00BF732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hAnsi="Arial" w:cs="Arial"/>
          <w:sz w:val="24"/>
          <w:szCs w:val="24"/>
          <w:lang w:val="en-GB"/>
        </w:rPr>
      </w:pPr>
      <w:r w:rsidRPr="00622E9F">
        <w:rPr>
          <w:rFonts w:ascii="Arial" w:hAnsi="Arial" w:cs="Arial"/>
          <w:sz w:val="24"/>
          <w:szCs w:val="24"/>
        </w:rPr>
        <w:t xml:space="preserve">Da </w:t>
      </w:r>
      <w:proofErr w:type="spellStart"/>
      <w:r w:rsidRPr="00622E9F">
        <w:rPr>
          <w:rFonts w:ascii="Arial" w:hAnsi="Arial" w:cs="Arial"/>
          <w:sz w:val="24"/>
          <w:szCs w:val="24"/>
        </w:rPr>
        <w:t>te</w:t>
      </w:r>
      <w:proofErr w:type="spellEnd"/>
      <w:r w:rsidRPr="00622E9F">
        <w:rPr>
          <w:rFonts w:ascii="Arial" w:hAnsi="Arial" w:cs="Arial"/>
          <w:sz w:val="24"/>
          <w:szCs w:val="24"/>
        </w:rPr>
        <w:t xml:space="preserve"> of judgment:</w:t>
      </w:r>
      <w:r w:rsidRPr="00622E9F">
        <w:rPr>
          <w:rFonts w:ascii="Arial" w:hAnsi="Arial" w:cs="Arial"/>
          <w:sz w:val="24"/>
          <w:szCs w:val="24"/>
        </w:rPr>
        <w:tab/>
      </w:r>
      <w:r w:rsidR="00AA0D11" w:rsidRPr="00622E9F">
        <w:rPr>
          <w:rFonts w:ascii="Arial" w:hAnsi="Arial" w:cs="Arial"/>
          <w:sz w:val="24"/>
          <w:szCs w:val="24"/>
        </w:rPr>
        <w:t>22 April 2024</w:t>
      </w:r>
      <w:r w:rsidRPr="00622E9F">
        <w:rPr>
          <w:rFonts w:ascii="Arial" w:hAnsi="Arial" w:cs="Arial"/>
          <w:sz w:val="24"/>
          <w:szCs w:val="24"/>
        </w:rPr>
        <w:tab/>
      </w:r>
    </w:p>
    <w:p w14:paraId="7E0DAD91" w14:textId="77777777" w:rsidR="00BF7329" w:rsidRPr="00BF7329" w:rsidRDefault="00BF7329" w:rsidP="00735555">
      <w:pPr>
        <w:rPr>
          <w:rFonts w:ascii="Arial" w:hAnsi="Arial" w:cs="Arial"/>
          <w:sz w:val="24"/>
          <w:szCs w:val="24"/>
        </w:rPr>
      </w:pPr>
    </w:p>
    <w:sectPr w:rsidR="00BF7329" w:rsidRPr="00BF732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52F1B" w14:textId="77777777" w:rsidR="00202820" w:rsidRDefault="00202820" w:rsidP="004A6C1F">
      <w:pPr>
        <w:spacing w:after="0" w:line="240" w:lineRule="auto"/>
      </w:pPr>
      <w:r>
        <w:separator/>
      </w:r>
    </w:p>
  </w:endnote>
  <w:endnote w:type="continuationSeparator" w:id="0">
    <w:p w14:paraId="77650B53" w14:textId="77777777" w:rsidR="00202820" w:rsidRDefault="00202820" w:rsidP="004A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997D4" w14:textId="77777777" w:rsidR="00202820" w:rsidRDefault="00202820" w:rsidP="004A6C1F">
      <w:pPr>
        <w:spacing w:after="0" w:line="240" w:lineRule="auto"/>
      </w:pPr>
      <w:r>
        <w:separator/>
      </w:r>
    </w:p>
  </w:footnote>
  <w:footnote w:type="continuationSeparator" w:id="0">
    <w:p w14:paraId="10A9AEF0" w14:textId="77777777" w:rsidR="00202820" w:rsidRDefault="00202820" w:rsidP="004A6C1F">
      <w:pPr>
        <w:spacing w:after="0" w:line="240" w:lineRule="auto"/>
      </w:pPr>
      <w:r>
        <w:continuationSeparator/>
      </w:r>
    </w:p>
  </w:footnote>
  <w:footnote w:id="1">
    <w:p w14:paraId="0BADA1B9" w14:textId="77777777" w:rsidR="00D740F9" w:rsidRDefault="00D740F9">
      <w:pPr>
        <w:pStyle w:val="FootnoteText"/>
      </w:pPr>
      <w:r>
        <w:rPr>
          <w:rStyle w:val="FootnoteReference"/>
        </w:rPr>
        <w:footnoteRef/>
      </w:r>
      <w:r>
        <w:t xml:space="preserve"> </w:t>
      </w:r>
      <w:r>
        <w:tab/>
      </w:r>
      <w:proofErr w:type="spellStart"/>
      <w:r>
        <w:t>Leppan</w:t>
      </w:r>
      <w:proofErr w:type="spellEnd"/>
      <w:r>
        <w:t xml:space="preserve"> v </w:t>
      </w:r>
      <w:proofErr w:type="spellStart"/>
      <w:r>
        <w:t>Leppan</w:t>
      </w:r>
      <w:proofErr w:type="spellEnd"/>
      <w:r>
        <w:t xml:space="preserve"> 1988 (4) SA 455 (W) at 57E-G</w:t>
      </w:r>
    </w:p>
  </w:footnote>
  <w:footnote w:id="2">
    <w:p w14:paraId="1F21EF88" w14:textId="77777777" w:rsidR="004175B7" w:rsidRDefault="004175B7">
      <w:pPr>
        <w:pStyle w:val="FootnoteText"/>
      </w:pPr>
      <w:r>
        <w:rPr>
          <w:rStyle w:val="FootnoteReference"/>
        </w:rPr>
        <w:footnoteRef/>
      </w:r>
      <w:r>
        <w:t xml:space="preserve"> </w:t>
      </w:r>
      <w:r>
        <w:tab/>
        <w:t>2020 (3) SA 409 (WCC)</w:t>
      </w:r>
    </w:p>
  </w:footnote>
  <w:footnote w:id="3">
    <w:p w14:paraId="73EEE628" w14:textId="77777777" w:rsidR="00343A12" w:rsidRDefault="00343A12">
      <w:pPr>
        <w:pStyle w:val="FootnoteText"/>
      </w:pPr>
      <w:r>
        <w:rPr>
          <w:rStyle w:val="FootnoteReference"/>
        </w:rPr>
        <w:footnoteRef/>
      </w:r>
      <w:r>
        <w:t xml:space="preserve"> </w:t>
      </w:r>
      <w:r>
        <w:tab/>
        <w:t>At para 23</w:t>
      </w:r>
    </w:p>
  </w:footnote>
  <w:footnote w:id="4">
    <w:p w14:paraId="2F007DC0" w14:textId="77777777" w:rsidR="00EC7E22" w:rsidRDefault="00EC7E22">
      <w:pPr>
        <w:pStyle w:val="FootnoteText"/>
      </w:pPr>
      <w:r>
        <w:rPr>
          <w:rStyle w:val="FootnoteReference"/>
        </w:rPr>
        <w:footnoteRef/>
      </w:r>
      <w:r>
        <w:t xml:space="preserve"> </w:t>
      </w:r>
      <w:r>
        <w:tab/>
      </w:r>
      <w:proofErr w:type="spellStart"/>
      <w:r>
        <w:t>Leppam</w:t>
      </w:r>
      <w:proofErr w:type="spellEnd"/>
      <w:r>
        <w:t xml:space="preserve"> v </w:t>
      </w:r>
      <w:proofErr w:type="spellStart"/>
      <w:r>
        <w:t>Leppan</w:t>
      </w:r>
      <w:proofErr w:type="spellEnd"/>
      <w:r>
        <w:t xml:space="preserve"> (supra)</w:t>
      </w:r>
    </w:p>
  </w:footnote>
  <w:footnote w:id="5">
    <w:p w14:paraId="40E4F3E9" w14:textId="77777777" w:rsidR="004A6C1F" w:rsidRPr="004A6C1F" w:rsidRDefault="004A6C1F">
      <w:pPr>
        <w:pStyle w:val="FootnoteText"/>
        <w:rPr>
          <w:i/>
        </w:rPr>
      </w:pPr>
      <w:r>
        <w:rPr>
          <w:rStyle w:val="FootnoteReference"/>
        </w:rPr>
        <w:footnoteRef/>
      </w:r>
      <w:r>
        <w:t xml:space="preserve"> </w:t>
      </w:r>
      <w:r>
        <w:tab/>
        <w:t xml:space="preserve">Colman v Colman 1967 (1) SA 291 (C) at 292H: </w:t>
      </w:r>
      <w:r>
        <w:rPr>
          <w:i/>
        </w:rPr>
        <w:t>“the whole spirit of Rule 43 seems to me to demand that there should be only a very brief statement by the applicant of  the reasons why he or she is asking for the relied claimed and an equally succinct reply by the respondent and that the Court is then to do its best to arrive expeditiously at a decision as to what order should be made pendente lite.”</w:t>
      </w:r>
    </w:p>
  </w:footnote>
  <w:footnote w:id="6">
    <w:p w14:paraId="2A6DFE39" w14:textId="77777777" w:rsidR="00F24F12" w:rsidRDefault="00F24F12">
      <w:pPr>
        <w:pStyle w:val="FootnoteText"/>
      </w:pPr>
      <w:r>
        <w:rPr>
          <w:rStyle w:val="FootnoteReference"/>
        </w:rPr>
        <w:footnoteRef/>
      </w:r>
      <w:r>
        <w:t xml:space="preserve"> </w:t>
      </w:r>
      <w:r>
        <w:tab/>
        <w:t>E v E 2019 (5) SA 566 (GJ)</w:t>
      </w:r>
    </w:p>
  </w:footnote>
  <w:footnote w:id="7">
    <w:p w14:paraId="58BE9C9C" w14:textId="77777777" w:rsidR="004B2B4D" w:rsidRDefault="004B2B4D">
      <w:pPr>
        <w:pStyle w:val="FootnoteText"/>
      </w:pPr>
      <w:r>
        <w:rPr>
          <w:rStyle w:val="FootnoteReference"/>
        </w:rPr>
        <w:footnoteRef/>
      </w:r>
      <w:r>
        <w:t xml:space="preserve"> </w:t>
      </w:r>
      <w:r>
        <w:tab/>
        <w:t>1978 (2) SA720 (W)</w:t>
      </w:r>
    </w:p>
  </w:footnote>
  <w:footnote w:id="8">
    <w:p w14:paraId="238AE696" w14:textId="77777777" w:rsidR="00C80666" w:rsidRDefault="00C80666">
      <w:pPr>
        <w:pStyle w:val="FootnoteText"/>
      </w:pPr>
      <w:r>
        <w:rPr>
          <w:rStyle w:val="FootnoteReference"/>
        </w:rPr>
        <w:footnoteRef/>
      </w:r>
      <w:r>
        <w:t xml:space="preserve"> </w:t>
      </w:r>
      <w:r>
        <w:tab/>
        <w:t>At 722G-H</w:t>
      </w:r>
    </w:p>
  </w:footnote>
  <w:footnote w:id="9">
    <w:p w14:paraId="22BCE122" w14:textId="77777777" w:rsidR="00D740F9" w:rsidRDefault="00D740F9">
      <w:pPr>
        <w:pStyle w:val="FootnoteText"/>
      </w:pPr>
      <w:r>
        <w:rPr>
          <w:rStyle w:val="FootnoteReference"/>
        </w:rPr>
        <w:footnoteRef/>
      </w:r>
      <w:r>
        <w:t xml:space="preserve"> </w:t>
      </w:r>
      <w:r>
        <w:tab/>
        <w:t>1982 (4) SA 854 (O) at 855F</w:t>
      </w:r>
    </w:p>
  </w:footnote>
  <w:footnote w:id="10">
    <w:p w14:paraId="4315AA9F" w14:textId="77777777" w:rsidR="00D740F9" w:rsidRDefault="00D740F9">
      <w:pPr>
        <w:pStyle w:val="FootnoteText"/>
      </w:pPr>
      <w:r>
        <w:rPr>
          <w:rStyle w:val="FootnoteReference"/>
        </w:rPr>
        <w:footnoteRef/>
      </w:r>
      <w:r>
        <w:t xml:space="preserve"> </w:t>
      </w:r>
      <w:r>
        <w:tab/>
        <w:t>Whether under rule 43(1) or rule 43(6)</w:t>
      </w:r>
    </w:p>
  </w:footnote>
  <w:footnote w:id="11">
    <w:p w14:paraId="313F645D" w14:textId="77777777" w:rsidR="00D740F9" w:rsidRDefault="00D740F9">
      <w:pPr>
        <w:pStyle w:val="FootnoteText"/>
      </w:pPr>
      <w:r>
        <w:rPr>
          <w:rStyle w:val="FootnoteReference"/>
        </w:rPr>
        <w:footnoteRef/>
      </w:r>
      <w:r>
        <w:t xml:space="preserve"> </w:t>
      </w:r>
      <w:r>
        <w:tab/>
        <w:t>At 856A</w:t>
      </w:r>
    </w:p>
  </w:footnote>
  <w:footnote w:id="12">
    <w:p w14:paraId="67FA0C04" w14:textId="77777777" w:rsidR="00D740F9" w:rsidRDefault="00D740F9">
      <w:pPr>
        <w:pStyle w:val="FootnoteText"/>
      </w:pPr>
      <w:r>
        <w:rPr>
          <w:rStyle w:val="FootnoteReference"/>
        </w:rPr>
        <w:footnoteRef/>
      </w:r>
      <w:r>
        <w:t xml:space="preserve"> </w:t>
      </w:r>
      <w:r>
        <w:tab/>
        <w:t>2009 (6) SA 28 (T)</w:t>
      </w:r>
    </w:p>
  </w:footnote>
  <w:footnote w:id="13">
    <w:p w14:paraId="7EABD32F" w14:textId="77777777" w:rsidR="0019386B" w:rsidRPr="008D4795" w:rsidRDefault="0019386B">
      <w:pPr>
        <w:pStyle w:val="FootnoteText"/>
        <w:rPr>
          <w:rFonts w:cstheme="minorHAnsi"/>
        </w:rPr>
      </w:pPr>
      <w:r w:rsidRPr="008D4795">
        <w:rPr>
          <w:rStyle w:val="FootnoteReference"/>
          <w:rFonts w:cstheme="minorHAnsi"/>
        </w:rPr>
        <w:footnoteRef/>
      </w:r>
      <w:r w:rsidRPr="008D4795">
        <w:rPr>
          <w:rFonts w:cstheme="minorHAnsi"/>
        </w:rPr>
        <w:t xml:space="preserve"> </w:t>
      </w:r>
      <w:r w:rsidR="008D4795" w:rsidRPr="008D4795">
        <w:rPr>
          <w:rFonts w:cstheme="minorHAnsi"/>
        </w:rPr>
        <w:tab/>
        <w:t>CT v MT a</w:t>
      </w:r>
      <w:r w:rsidR="002B03C0">
        <w:rPr>
          <w:rFonts w:cstheme="minorHAnsi"/>
        </w:rPr>
        <w:t>nd Others supra</w:t>
      </w:r>
    </w:p>
  </w:footnote>
  <w:footnote w:id="14">
    <w:p w14:paraId="20D1BB32" w14:textId="77777777" w:rsidR="008D4795" w:rsidRPr="008D4795" w:rsidRDefault="008D4795">
      <w:pPr>
        <w:pStyle w:val="FootnoteText"/>
        <w:rPr>
          <w:rFonts w:cstheme="minorHAnsi"/>
        </w:rPr>
      </w:pPr>
      <w:r w:rsidRPr="008D4795">
        <w:rPr>
          <w:rStyle w:val="FootnoteReference"/>
          <w:rFonts w:cstheme="minorHAnsi"/>
        </w:rPr>
        <w:footnoteRef/>
      </w:r>
      <w:r w:rsidRPr="008D4795">
        <w:rPr>
          <w:rFonts w:cstheme="minorHAnsi"/>
        </w:rPr>
        <w:t xml:space="preserve"> </w:t>
      </w:r>
      <w:r w:rsidRPr="008D4795">
        <w:rPr>
          <w:rFonts w:cstheme="minorHAnsi"/>
        </w:rPr>
        <w:tab/>
      </w:r>
      <w:r w:rsidRPr="008D4795">
        <w:rPr>
          <w:rFonts w:cstheme="minorHAnsi"/>
          <w:bCs/>
          <w:color w:val="000000"/>
        </w:rPr>
        <w:t>Dodo v Dodo 1990 (2) SA 77 (W) </w:t>
      </w:r>
      <w:r w:rsidR="00A510F5">
        <w:rPr>
          <w:rFonts w:cstheme="minorHAnsi"/>
          <w:bCs/>
          <w:color w:val="000000"/>
        </w:rPr>
        <w:t>at 79C-F</w:t>
      </w:r>
    </w:p>
  </w:footnote>
  <w:footnote w:id="15">
    <w:p w14:paraId="2907303A" w14:textId="77777777" w:rsidR="00731F67" w:rsidRDefault="00731F67" w:rsidP="00731F67">
      <w:pPr>
        <w:pStyle w:val="FootnoteText"/>
      </w:pPr>
      <w:r>
        <w:rPr>
          <w:rStyle w:val="FootnoteReference"/>
        </w:rPr>
        <w:footnoteRef/>
      </w:r>
      <w:r>
        <w:t xml:space="preserve"> </w:t>
      </w:r>
      <w:r>
        <w:tab/>
        <w:t>S28(2)</w:t>
      </w:r>
    </w:p>
  </w:footnote>
  <w:footnote w:id="16">
    <w:p w14:paraId="13D1EA5A" w14:textId="77777777" w:rsidR="002E5461" w:rsidRDefault="002E5461" w:rsidP="005A2BD8">
      <w:pPr>
        <w:pStyle w:val="FootnoteText"/>
        <w:ind w:left="720"/>
      </w:pPr>
      <w:r>
        <w:rPr>
          <w:rStyle w:val="FootnoteReference"/>
        </w:rPr>
        <w:footnoteRef/>
      </w:r>
      <w:r>
        <w:tab/>
        <w:t>“In all matters concerning the care, protection and well-being of a child the standard that the child’s best interest is of paramount importance, must be applied.”</w:t>
      </w:r>
    </w:p>
  </w:footnote>
  <w:footnote w:id="17">
    <w:p w14:paraId="77184AE5" w14:textId="77777777" w:rsidR="003D4566" w:rsidRDefault="003D4566">
      <w:pPr>
        <w:pStyle w:val="FootnoteText"/>
      </w:pPr>
      <w:r>
        <w:rPr>
          <w:rStyle w:val="FootnoteReference"/>
        </w:rPr>
        <w:footnoteRef/>
      </w:r>
      <w:r>
        <w:t xml:space="preserve"> </w:t>
      </w:r>
      <w:r>
        <w:tab/>
      </w:r>
      <w:proofErr w:type="spellStart"/>
      <w:r>
        <w:t>Varkel</w:t>
      </w:r>
      <w:proofErr w:type="spellEnd"/>
      <w:r>
        <w:t xml:space="preserve"> v </w:t>
      </w:r>
      <w:proofErr w:type="spellStart"/>
      <w:r>
        <w:t>Varkel</w:t>
      </w:r>
      <w:proofErr w:type="spellEnd"/>
      <w:r>
        <w:t xml:space="preserve"> 1967 (4) SA 129 (C) at 131H; </w:t>
      </w:r>
      <w:proofErr w:type="spellStart"/>
      <w:r>
        <w:t>Micklem</w:t>
      </w:r>
      <w:proofErr w:type="spellEnd"/>
      <w:r>
        <w:t xml:space="preserve"> v </w:t>
      </w:r>
      <w:proofErr w:type="spellStart"/>
      <w:r>
        <w:t>Micklem</w:t>
      </w:r>
      <w:proofErr w:type="spellEnd"/>
      <w:r>
        <w:t xml:space="preserve"> 1988 (#) SA 259(C) at 265E-F</w:t>
      </w:r>
    </w:p>
  </w:footnote>
  <w:footnote w:id="18">
    <w:p w14:paraId="79FE28FA" w14:textId="77777777" w:rsidR="002E3B2A" w:rsidRDefault="002E3B2A">
      <w:pPr>
        <w:pStyle w:val="FootnoteText"/>
      </w:pPr>
      <w:r>
        <w:rPr>
          <w:rStyle w:val="FootnoteReference"/>
        </w:rPr>
        <w:footnoteRef/>
      </w:r>
      <w:r>
        <w:t xml:space="preserve"> </w:t>
      </w:r>
      <w:r>
        <w:tab/>
        <w:t>2018 (3) SA 572 (GJ)</w:t>
      </w:r>
    </w:p>
  </w:footnote>
  <w:footnote w:id="19">
    <w:p w14:paraId="2676ED57" w14:textId="77777777" w:rsidR="002E3B2A" w:rsidRDefault="002E3B2A">
      <w:pPr>
        <w:pStyle w:val="FootnoteText"/>
      </w:pPr>
      <w:r>
        <w:rPr>
          <w:rStyle w:val="FootnoteReference"/>
        </w:rPr>
        <w:footnoteRef/>
      </w:r>
      <w:r>
        <w:t xml:space="preserve"> </w:t>
      </w:r>
      <w:r>
        <w:tab/>
        <w:t>2019 (5) SA 566 (GJ)</w:t>
      </w:r>
    </w:p>
  </w:footnote>
  <w:footnote w:id="20">
    <w:p w14:paraId="3B7BF973" w14:textId="77777777" w:rsidR="00940517" w:rsidRDefault="00940517">
      <w:pPr>
        <w:pStyle w:val="FootnoteText"/>
      </w:pPr>
      <w:r>
        <w:rPr>
          <w:rStyle w:val="FootnoteReference"/>
        </w:rPr>
        <w:footnoteRef/>
      </w:r>
      <w:r>
        <w:t xml:space="preserve"> </w:t>
      </w:r>
      <w:r>
        <w:tab/>
        <w:t>At para 25</w:t>
      </w:r>
    </w:p>
  </w:footnote>
  <w:footnote w:id="21">
    <w:p w14:paraId="1E1D7843" w14:textId="77777777" w:rsidR="00940517" w:rsidRDefault="00940517">
      <w:pPr>
        <w:pStyle w:val="FootnoteText"/>
      </w:pPr>
      <w:r>
        <w:rPr>
          <w:rStyle w:val="FootnoteReference"/>
        </w:rPr>
        <w:footnoteRef/>
      </w:r>
      <w:r>
        <w:t xml:space="preserve"> </w:t>
      </w:r>
      <w:r>
        <w:tab/>
        <w:t>Its view was that the unnecessary or irrelevant material should be struck out</w:t>
      </w:r>
    </w:p>
  </w:footnote>
  <w:footnote w:id="22">
    <w:p w14:paraId="6B9B60C1" w14:textId="77777777" w:rsidR="00EB6757" w:rsidRDefault="00EB6757">
      <w:pPr>
        <w:pStyle w:val="FootnoteText"/>
      </w:pPr>
      <w:r>
        <w:rPr>
          <w:rStyle w:val="FootnoteReference"/>
        </w:rPr>
        <w:footnoteRef/>
      </w:r>
      <w:r>
        <w:t xml:space="preserve"> </w:t>
      </w:r>
      <w:r>
        <w:tab/>
        <w:t>And in any event, the Directive of this Division have not been so amended</w:t>
      </w:r>
    </w:p>
  </w:footnote>
  <w:footnote w:id="23">
    <w:p w14:paraId="42DBB1B7" w14:textId="77777777" w:rsidR="00EE1BEF" w:rsidRDefault="00EE1BEF" w:rsidP="008D799F">
      <w:pPr>
        <w:pStyle w:val="FootnoteText"/>
        <w:ind w:left="720" w:hanging="720"/>
      </w:pPr>
      <w:r>
        <w:rPr>
          <w:rStyle w:val="FootnoteReference"/>
        </w:rPr>
        <w:footnoteRef/>
      </w:r>
      <w:r>
        <w:t xml:space="preserve"> </w:t>
      </w:r>
      <w:r>
        <w:tab/>
        <w:t>Plus 50% of two extra-mural activities on a quarterly basis and 50% of the minor child’s speech therapy sessions</w:t>
      </w:r>
    </w:p>
  </w:footnote>
  <w:footnote w:id="24">
    <w:p w14:paraId="013D9F03" w14:textId="77777777" w:rsidR="008F2FBE" w:rsidRDefault="008F2FBE">
      <w:pPr>
        <w:pStyle w:val="FootnoteText"/>
      </w:pPr>
      <w:r>
        <w:rPr>
          <w:rStyle w:val="FootnoteReference"/>
        </w:rPr>
        <w:footnoteRef/>
      </w:r>
      <w:r>
        <w:t xml:space="preserve"> </w:t>
      </w:r>
      <w:r>
        <w:tab/>
        <w:t>Per the Rule 43(5) amendment</w:t>
      </w:r>
    </w:p>
  </w:footnote>
  <w:footnote w:id="25">
    <w:p w14:paraId="3409EE4A" w14:textId="77777777" w:rsidR="005A146B" w:rsidRDefault="005A146B">
      <w:pPr>
        <w:pStyle w:val="FootnoteText"/>
      </w:pPr>
      <w:r>
        <w:rPr>
          <w:rStyle w:val="FootnoteReference"/>
        </w:rPr>
        <w:footnoteRef/>
      </w:r>
      <w:r>
        <w:t xml:space="preserve"> </w:t>
      </w:r>
      <w:r w:rsidR="00DA79BD">
        <w:t xml:space="preserve">In terms </w:t>
      </w:r>
      <w:r>
        <w:t>of the Mediation of C</w:t>
      </w:r>
      <w:r w:rsidR="00DA79BD">
        <w:t>ertain Divorce Matters Act 24 of 1987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2644012"/>
      <w:docPartObj>
        <w:docPartGallery w:val="Page Numbers (Top of Page)"/>
        <w:docPartUnique/>
      </w:docPartObj>
    </w:sdtPr>
    <w:sdtEndPr>
      <w:rPr>
        <w:noProof/>
      </w:rPr>
    </w:sdtEndPr>
    <w:sdtContent>
      <w:p w14:paraId="14AA923E" w14:textId="77777777" w:rsidR="007322E3" w:rsidRDefault="007322E3">
        <w:pPr>
          <w:pStyle w:val="Header"/>
          <w:jc w:val="right"/>
        </w:pPr>
        <w:r>
          <w:fldChar w:fldCharType="begin"/>
        </w:r>
        <w:r>
          <w:instrText xml:space="preserve"> PAGE   \* MERGEFORMAT </w:instrText>
        </w:r>
        <w:r>
          <w:fldChar w:fldCharType="separate"/>
        </w:r>
        <w:r w:rsidR="009568CA">
          <w:rPr>
            <w:noProof/>
          </w:rPr>
          <w:t>13</w:t>
        </w:r>
        <w:r>
          <w:rPr>
            <w:noProof/>
          </w:rPr>
          <w:fldChar w:fldCharType="end"/>
        </w:r>
      </w:p>
    </w:sdtContent>
  </w:sdt>
  <w:p w14:paraId="6EB90766" w14:textId="77777777" w:rsidR="007322E3" w:rsidRDefault="00732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15245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D00EC4-1E24-4773-85CE-A04A1818F46F}"/>
    <w:docVar w:name="dgnword-eventsink" w:val="2546042539840"/>
  </w:docVars>
  <w:rsids>
    <w:rsidRoot w:val="00735555"/>
    <w:rsid w:val="0000703E"/>
    <w:rsid w:val="00027692"/>
    <w:rsid w:val="00040AE9"/>
    <w:rsid w:val="0010434C"/>
    <w:rsid w:val="001064EE"/>
    <w:rsid w:val="00157042"/>
    <w:rsid w:val="0019386B"/>
    <w:rsid w:val="001A21D1"/>
    <w:rsid w:val="001B50D4"/>
    <w:rsid w:val="001C71AD"/>
    <w:rsid w:val="001D497E"/>
    <w:rsid w:val="00202820"/>
    <w:rsid w:val="002028DB"/>
    <w:rsid w:val="00216EAF"/>
    <w:rsid w:val="00294AF0"/>
    <w:rsid w:val="002A0776"/>
    <w:rsid w:val="002B03C0"/>
    <w:rsid w:val="002B7B1B"/>
    <w:rsid w:val="002E3B2A"/>
    <w:rsid w:val="002E5461"/>
    <w:rsid w:val="00310661"/>
    <w:rsid w:val="00325053"/>
    <w:rsid w:val="00343A12"/>
    <w:rsid w:val="00353B71"/>
    <w:rsid w:val="00377448"/>
    <w:rsid w:val="003B7562"/>
    <w:rsid w:val="003D4566"/>
    <w:rsid w:val="004175B7"/>
    <w:rsid w:val="00443D8D"/>
    <w:rsid w:val="004926ED"/>
    <w:rsid w:val="00497983"/>
    <w:rsid w:val="004A5FBF"/>
    <w:rsid w:val="004A6C1F"/>
    <w:rsid w:val="004B2B4D"/>
    <w:rsid w:val="00560ABA"/>
    <w:rsid w:val="00561ABD"/>
    <w:rsid w:val="005809A0"/>
    <w:rsid w:val="005A0BC6"/>
    <w:rsid w:val="005A146B"/>
    <w:rsid w:val="005A2BD8"/>
    <w:rsid w:val="005C3102"/>
    <w:rsid w:val="005C519D"/>
    <w:rsid w:val="00622E9F"/>
    <w:rsid w:val="006800CF"/>
    <w:rsid w:val="006C4FA6"/>
    <w:rsid w:val="006D154D"/>
    <w:rsid w:val="006F0C2E"/>
    <w:rsid w:val="006F2097"/>
    <w:rsid w:val="00711EA1"/>
    <w:rsid w:val="00731F67"/>
    <w:rsid w:val="007322E3"/>
    <w:rsid w:val="00735555"/>
    <w:rsid w:val="00785C15"/>
    <w:rsid w:val="007B450E"/>
    <w:rsid w:val="007E6EBF"/>
    <w:rsid w:val="007F7700"/>
    <w:rsid w:val="008139FE"/>
    <w:rsid w:val="008B11DB"/>
    <w:rsid w:val="008D4795"/>
    <w:rsid w:val="008D799F"/>
    <w:rsid w:val="008E3227"/>
    <w:rsid w:val="008E58D7"/>
    <w:rsid w:val="008E626C"/>
    <w:rsid w:val="008F2FBE"/>
    <w:rsid w:val="00940517"/>
    <w:rsid w:val="00951705"/>
    <w:rsid w:val="009568CA"/>
    <w:rsid w:val="009871B7"/>
    <w:rsid w:val="009966CF"/>
    <w:rsid w:val="009C2AFF"/>
    <w:rsid w:val="009D3C79"/>
    <w:rsid w:val="00A01B78"/>
    <w:rsid w:val="00A01D74"/>
    <w:rsid w:val="00A510F5"/>
    <w:rsid w:val="00AA0D11"/>
    <w:rsid w:val="00AA6481"/>
    <w:rsid w:val="00AB01B0"/>
    <w:rsid w:val="00AD469A"/>
    <w:rsid w:val="00AE0A6B"/>
    <w:rsid w:val="00B23C08"/>
    <w:rsid w:val="00B277F3"/>
    <w:rsid w:val="00B90F86"/>
    <w:rsid w:val="00BC023E"/>
    <w:rsid w:val="00BF7329"/>
    <w:rsid w:val="00C063E1"/>
    <w:rsid w:val="00C3295A"/>
    <w:rsid w:val="00C70010"/>
    <w:rsid w:val="00C80666"/>
    <w:rsid w:val="00C85100"/>
    <w:rsid w:val="00CB77F4"/>
    <w:rsid w:val="00D36F75"/>
    <w:rsid w:val="00D740F9"/>
    <w:rsid w:val="00D926F7"/>
    <w:rsid w:val="00DA79BD"/>
    <w:rsid w:val="00DD7E6C"/>
    <w:rsid w:val="00EA712B"/>
    <w:rsid w:val="00EB6757"/>
    <w:rsid w:val="00EC7E22"/>
    <w:rsid w:val="00ED5748"/>
    <w:rsid w:val="00EE1BEF"/>
    <w:rsid w:val="00F200D5"/>
    <w:rsid w:val="00F24F12"/>
    <w:rsid w:val="00F54A3B"/>
    <w:rsid w:val="00FF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B4ED"/>
  <w15:chartTrackingRefBased/>
  <w15:docId w15:val="{AA0815CB-41C7-4FAB-A353-BDC82AB6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3B"/>
    <w:pPr>
      <w:ind w:left="720"/>
      <w:contextualSpacing/>
    </w:pPr>
    <w:rPr>
      <w:rFonts w:ascii="Arial" w:hAnsi="Arial" w:cs="Arial"/>
      <w:sz w:val="24"/>
      <w:szCs w:val="24"/>
      <w:lang w:val="en-ZA"/>
    </w:rPr>
  </w:style>
  <w:style w:type="paragraph" w:styleId="FootnoteText">
    <w:name w:val="footnote text"/>
    <w:basedOn w:val="Normal"/>
    <w:link w:val="FootnoteTextChar"/>
    <w:uiPriority w:val="99"/>
    <w:semiHidden/>
    <w:unhideWhenUsed/>
    <w:rsid w:val="004A6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C1F"/>
    <w:rPr>
      <w:sz w:val="20"/>
      <w:szCs w:val="20"/>
    </w:rPr>
  </w:style>
  <w:style w:type="character" w:styleId="FootnoteReference">
    <w:name w:val="footnote reference"/>
    <w:basedOn w:val="DefaultParagraphFont"/>
    <w:uiPriority w:val="99"/>
    <w:semiHidden/>
    <w:unhideWhenUsed/>
    <w:rsid w:val="004A6C1F"/>
    <w:rPr>
      <w:vertAlign w:val="superscript"/>
    </w:rPr>
  </w:style>
  <w:style w:type="paragraph" w:styleId="Header">
    <w:name w:val="header"/>
    <w:basedOn w:val="Normal"/>
    <w:link w:val="HeaderChar"/>
    <w:uiPriority w:val="99"/>
    <w:unhideWhenUsed/>
    <w:rsid w:val="0073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2E3"/>
  </w:style>
  <w:style w:type="paragraph" w:styleId="Footer">
    <w:name w:val="footer"/>
    <w:basedOn w:val="Normal"/>
    <w:link w:val="FooterChar"/>
    <w:uiPriority w:val="99"/>
    <w:unhideWhenUsed/>
    <w:rsid w:val="0073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2E3"/>
  </w:style>
  <w:style w:type="paragraph" w:styleId="BalloonText">
    <w:name w:val="Balloon Text"/>
    <w:basedOn w:val="Normal"/>
    <w:link w:val="BalloonTextChar"/>
    <w:uiPriority w:val="99"/>
    <w:semiHidden/>
    <w:unhideWhenUsed/>
    <w:rsid w:val="00A01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2.jpg@01D0409E.9324623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1F59-3FB4-4F26-9445-B0A951FB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Neukircher</dc:creator>
  <cp:keywords/>
  <dc:description/>
  <cp:lastModifiedBy>sathish sarshan  mohan</cp:lastModifiedBy>
  <cp:revision>24</cp:revision>
  <cp:lastPrinted>2024-04-22T07:27:00Z</cp:lastPrinted>
  <dcterms:created xsi:type="dcterms:W3CDTF">2024-04-22T07:25:00Z</dcterms:created>
  <dcterms:modified xsi:type="dcterms:W3CDTF">2024-05-03T11:12:00Z</dcterms:modified>
</cp:coreProperties>
</file>