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00529"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55ABDE3B" wp14:editId="1F0DC2D1">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31D2A314"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78C6FE0B" w14:textId="77777777" w:rsidR="00E85522" w:rsidRPr="000C7880" w:rsidRDefault="00E85522" w:rsidP="00E85522">
      <w:pPr>
        <w:spacing w:after="0"/>
        <w:rPr>
          <w:rFonts w:ascii="Times New Roman" w:hAnsi="Times New Roman" w:cs="Times New Roman"/>
          <w:color w:val="000000" w:themeColor="text1"/>
          <w:sz w:val="28"/>
          <w:szCs w:val="28"/>
        </w:rPr>
      </w:pPr>
    </w:p>
    <w:p w14:paraId="050CECA7"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5BDF717F"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26120322" w14:textId="77777777"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593258">
        <w:rPr>
          <w:rFonts w:ascii="Times New Roman" w:hAnsi="Times New Roman" w:cs="Times New Roman"/>
          <w:b/>
          <w:color w:val="000000" w:themeColor="text1"/>
          <w:sz w:val="28"/>
          <w:szCs w:val="28"/>
        </w:rPr>
        <w:t>9117/2019</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757C7744" w14:textId="77777777" w:rsidTr="00C53475">
        <w:tc>
          <w:tcPr>
            <w:tcW w:w="4428" w:type="dxa"/>
          </w:tcPr>
          <w:p w14:paraId="1C0EFBB5"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05DB05C1"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3E787D07" w14:textId="1B5FE2A8"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926D12">
              <w:rPr>
                <w:rFonts w:ascii="Times New Roman" w:eastAsia="Calibri" w:hAnsi="Times New Roman" w:cs="Arial"/>
                <w:b/>
                <w:spacing w:val="3"/>
                <w:w w:val="104"/>
                <w:kern w:val="24"/>
                <w:sz w:val="18"/>
                <w:szCs w:val="18"/>
                <w:lang w:val="en-GB"/>
              </w:rPr>
              <w:t>YES</w:t>
            </w:r>
            <w:r w:rsidR="00016BC0">
              <w:rPr>
                <w:rFonts w:ascii="Times New Roman" w:eastAsia="Calibri" w:hAnsi="Times New Roman" w:cs="Arial"/>
                <w:b/>
                <w:spacing w:val="3"/>
                <w:w w:val="104"/>
                <w:kern w:val="24"/>
                <w:sz w:val="18"/>
                <w:szCs w:val="18"/>
                <w:lang w:val="en-GB"/>
              </w:rPr>
              <w:t xml:space="preserve"> </w:t>
            </w:r>
          </w:p>
          <w:p w14:paraId="2F614D10"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42D61848" w14:textId="2645B087"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886B93">
              <w:rPr>
                <w:rFonts w:ascii="Times New Roman" w:eastAsia="Calibri" w:hAnsi="Times New Roman" w:cs="Arial"/>
                <w:b/>
                <w:spacing w:val="3"/>
                <w:w w:val="104"/>
                <w:kern w:val="24"/>
                <w:sz w:val="18"/>
                <w:szCs w:val="18"/>
                <w:lang w:val="en-GB"/>
              </w:rPr>
              <w:t xml:space="preserve"> </w:t>
            </w:r>
            <w:r w:rsidR="00323FCF">
              <w:rPr>
                <w:rFonts w:ascii="Times New Roman" w:eastAsia="Calibri" w:hAnsi="Times New Roman" w:cs="Arial"/>
                <w:b/>
                <w:spacing w:val="3"/>
                <w:w w:val="104"/>
                <w:kern w:val="24"/>
                <w:sz w:val="18"/>
                <w:szCs w:val="18"/>
                <w:lang w:val="en-GB"/>
              </w:rPr>
              <w:t xml:space="preserve">18 </w:t>
            </w:r>
            <w:r w:rsidR="00593258">
              <w:rPr>
                <w:rFonts w:ascii="Times New Roman" w:eastAsia="Calibri" w:hAnsi="Times New Roman" w:cs="Arial"/>
                <w:b/>
                <w:spacing w:val="3"/>
                <w:w w:val="104"/>
                <w:kern w:val="24"/>
                <w:sz w:val="18"/>
                <w:szCs w:val="18"/>
                <w:lang w:val="en-GB"/>
              </w:rPr>
              <w:t>APRIL</w:t>
            </w:r>
            <w:r w:rsidR="00A161F6">
              <w:rPr>
                <w:rFonts w:ascii="Times New Roman" w:eastAsia="Calibri" w:hAnsi="Times New Roman" w:cs="Arial"/>
                <w:b/>
                <w:spacing w:val="3"/>
                <w:w w:val="104"/>
                <w:kern w:val="24"/>
                <w:sz w:val="18"/>
                <w:szCs w:val="18"/>
                <w:lang w:val="en-GB"/>
              </w:rPr>
              <w:t xml:space="preserve"> 2024</w:t>
            </w:r>
          </w:p>
          <w:p w14:paraId="2A6E6836"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68A0A23A"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42F850A2"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4B3A241A"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1087DDB4" w14:textId="77777777" w:rsidR="00D72A63" w:rsidRDefault="00D72A63" w:rsidP="00E85522">
      <w:pPr>
        <w:spacing w:after="240"/>
        <w:ind w:right="-46"/>
        <w:rPr>
          <w:rFonts w:ascii="Times New Roman" w:hAnsi="Times New Roman" w:cs="Times New Roman"/>
          <w:b/>
          <w:color w:val="000000" w:themeColor="text1"/>
          <w:sz w:val="28"/>
          <w:szCs w:val="28"/>
        </w:rPr>
      </w:pPr>
    </w:p>
    <w:p w14:paraId="4750F737"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0828D4FF"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217FF036" w14:textId="5CC34F93" w:rsidR="00593258" w:rsidRDefault="00C07E57" w:rsidP="00AD518C">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w:t>
      </w:r>
      <w:r w:rsidR="0059325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P[...]</w:t>
      </w:r>
      <w:r w:rsidR="0059325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R[...]</w:t>
      </w:r>
      <w:r w:rsidR="00593258">
        <w:rPr>
          <w:rFonts w:ascii="Times New Roman" w:hAnsi="Times New Roman" w:cs="Times New Roman"/>
          <w:b/>
          <w:color w:val="000000" w:themeColor="text1"/>
          <w:sz w:val="28"/>
          <w:szCs w:val="28"/>
        </w:rPr>
        <w:t xml:space="preserve"> obo</w:t>
      </w:r>
    </w:p>
    <w:p w14:paraId="442F1C96" w14:textId="656A2807" w:rsidR="00EE1DF4" w:rsidRDefault="00F11B80"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w:t>
      </w:r>
      <w:r w:rsidR="0059325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59325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781B35">
        <w:rPr>
          <w:rFonts w:ascii="Times New Roman" w:hAnsi="Times New Roman" w:cs="Times New Roman"/>
          <w:color w:val="000000" w:themeColor="text1"/>
          <w:sz w:val="28"/>
          <w:szCs w:val="28"/>
        </w:rPr>
        <w:t xml:space="preserve"> </w:t>
      </w:r>
      <w:proofErr w:type="gramStart"/>
      <w:r w:rsidR="00781B3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 xml:space="preserve">  </w:t>
      </w:r>
      <w:r w:rsidR="00CC3710">
        <w:rPr>
          <w:rFonts w:ascii="Times New Roman" w:hAnsi="Times New Roman" w:cs="Times New Roman"/>
          <w:color w:val="000000" w:themeColor="text1"/>
          <w:sz w:val="28"/>
          <w:szCs w:val="28"/>
        </w:rPr>
        <w:tab/>
      </w:r>
      <w:proofErr w:type="gramEnd"/>
      <w:r w:rsidR="00CC3710">
        <w:rPr>
          <w:rFonts w:ascii="Times New Roman" w:hAnsi="Times New Roman" w:cs="Times New Roman"/>
          <w:color w:val="000000" w:themeColor="text1"/>
          <w:sz w:val="28"/>
          <w:szCs w:val="28"/>
        </w:rPr>
        <w:tab/>
      </w:r>
      <w:r w:rsidR="00CC3710">
        <w:rPr>
          <w:rFonts w:ascii="Times New Roman" w:hAnsi="Times New Roman" w:cs="Times New Roman"/>
          <w:color w:val="000000" w:themeColor="text1"/>
          <w:sz w:val="28"/>
          <w:szCs w:val="28"/>
        </w:rPr>
        <w:tab/>
        <w:t xml:space="preserve">    </w:t>
      </w:r>
      <w:r w:rsidR="00A161F6">
        <w:rPr>
          <w:rFonts w:ascii="Times New Roman" w:hAnsi="Times New Roman" w:cs="Times New Roman"/>
          <w:color w:val="000000" w:themeColor="text1"/>
          <w:sz w:val="28"/>
          <w:szCs w:val="28"/>
        </w:rPr>
        <w:t xml:space="preserve">     </w:t>
      </w:r>
      <w:r w:rsidR="00CC3710">
        <w:rPr>
          <w:rFonts w:ascii="Times New Roman" w:hAnsi="Times New Roman" w:cs="Times New Roman"/>
          <w:color w:val="000000" w:themeColor="text1"/>
          <w:sz w:val="28"/>
          <w:szCs w:val="28"/>
        </w:rPr>
        <w:t xml:space="preserve"> </w:t>
      </w:r>
      <w:r w:rsidR="00323FCF">
        <w:rPr>
          <w:rFonts w:ascii="Times New Roman" w:hAnsi="Times New Roman" w:cs="Times New Roman"/>
          <w:color w:val="000000" w:themeColor="text1"/>
          <w:sz w:val="28"/>
          <w:szCs w:val="28"/>
        </w:rPr>
        <w:t>Plaintiff</w:t>
      </w:r>
    </w:p>
    <w:p w14:paraId="5E687F95" w14:textId="77777777" w:rsidR="00885474" w:rsidRDefault="00885474" w:rsidP="008479BB">
      <w:pPr>
        <w:spacing w:after="0"/>
        <w:ind w:right="-45"/>
        <w:rPr>
          <w:rFonts w:ascii="Times New Roman" w:hAnsi="Times New Roman" w:cs="Times New Roman"/>
          <w:color w:val="000000" w:themeColor="text1"/>
          <w:sz w:val="28"/>
          <w:szCs w:val="28"/>
        </w:rPr>
      </w:pPr>
    </w:p>
    <w:p w14:paraId="69F34FD7" w14:textId="77777777"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364AEDB5" w14:textId="77777777" w:rsidR="00C85571" w:rsidRDefault="00C85571" w:rsidP="008479BB">
      <w:pPr>
        <w:spacing w:after="0"/>
        <w:ind w:right="-45"/>
        <w:rPr>
          <w:rFonts w:ascii="Times New Roman" w:hAnsi="Times New Roman" w:cs="Times New Roman"/>
          <w:color w:val="000000" w:themeColor="text1"/>
          <w:sz w:val="28"/>
          <w:szCs w:val="28"/>
        </w:rPr>
      </w:pPr>
    </w:p>
    <w:p w14:paraId="738E033B" w14:textId="65738767" w:rsidR="00CC3710" w:rsidRDefault="00593258" w:rsidP="00CC3710">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ROAD ACCIDENT FUND</w:t>
      </w:r>
      <w:r w:rsidR="00A161F6">
        <w:rPr>
          <w:rFonts w:ascii="Times New Roman" w:hAnsi="Times New Roman" w:cs="Times New Roman"/>
          <w:b/>
          <w:color w:val="000000" w:themeColor="text1"/>
          <w:sz w:val="28"/>
          <w:szCs w:val="28"/>
        </w:rPr>
        <w:tab/>
      </w:r>
      <w:r w:rsidR="00CC3710">
        <w:rPr>
          <w:rFonts w:ascii="Times New Roman" w:hAnsi="Times New Roman" w:cs="Times New Roman"/>
          <w:b/>
          <w:color w:val="000000" w:themeColor="text1"/>
          <w:sz w:val="28"/>
          <w:szCs w:val="28"/>
        </w:rPr>
        <w:tab/>
      </w:r>
      <w:r w:rsidR="00CC3710">
        <w:rPr>
          <w:rFonts w:ascii="Times New Roman" w:hAnsi="Times New Roman" w:cs="Times New Roman"/>
          <w:b/>
          <w:color w:val="000000" w:themeColor="text1"/>
          <w:sz w:val="28"/>
          <w:szCs w:val="28"/>
        </w:rPr>
        <w:tab/>
      </w:r>
      <w:r w:rsidR="00CC3710">
        <w:rPr>
          <w:rFonts w:ascii="Times New Roman" w:hAnsi="Times New Roman" w:cs="Times New Roman"/>
          <w:b/>
          <w:color w:val="000000" w:themeColor="text1"/>
          <w:sz w:val="28"/>
          <w:szCs w:val="28"/>
        </w:rPr>
        <w:tab/>
      </w:r>
      <w:r w:rsidR="00CC3710">
        <w:rPr>
          <w:rFonts w:ascii="Times New Roman" w:hAnsi="Times New Roman" w:cs="Times New Roman"/>
          <w:b/>
          <w:color w:val="000000" w:themeColor="text1"/>
          <w:sz w:val="28"/>
          <w:szCs w:val="28"/>
        </w:rPr>
        <w:tab/>
      </w:r>
      <w:r w:rsidR="00CC3710">
        <w:rPr>
          <w:rFonts w:ascii="Times New Roman" w:hAnsi="Times New Roman" w:cs="Times New Roman"/>
          <w:b/>
          <w:color w:val="000000" w:themeColor="text1"/>
          <w:sz w:val="28"/>
          <w:szCs w:val="28"/>
        </w:rPr>
        <w:tab/>
        <w:t xml:space="preserve"> </w:t>
      </w:r>
      <w:r w:rsidR="00A161F6">
        <w:rPr>
          <w:rFonts w:ascii="Times New Roman" w:hAnsi="Times New Roman" w:cs="Times New Roman"/>
          <w:b/>
          <w:color w:val="000000" w:themeColor="text1"/>
          <w:sz w:val="28"/>
          <w:szCs w:val="28"/>
        </w:rPr>
        <w:t xml:space="preserve">     </w:t>
      </w:r>
      <w:r w:rsidR="00323FCF">
        <w:rPr>
          <w:rFonts w:ascii="Times New Roman" w:hAnsi="Times New Roman" w:cs="Times New Roman"/>
          <w:color w:val="000000" w:themeColor="text1"/>
          <w:sz w:val="28"/>
          <w:szCs w:val="28"/>
        </w:rPr>
        <w:t>Defendant</w:t>
      </w:r>
      <w:r w:rsidR="00A161F6">
        <w:rPr>
          <w:rFonts w:ascii="Times New Roman" w:hAnsi="Times New Roman" w:cs="Times New Roman"/>
          <w:color w:val="000000" w:themeColor="text1"/>
          <w:sz w:val="28"/>
          <w:szCs w:val="28"/>
        </w:rPr>
        <w:t xml:space="preserve"> </w:t>
      </w:r>
    </w:p>
    <w:p w14:paraId="2A1EDD67" w14:textId="77777777" w:rsidR="00593258" w:rsidRDefault="00593258" w:rsidP="00CC3710">
      <w:pPr>
        <w:spacing w:after="120"/>
        <w:ind w:right="-45"/>
        <w:rPr>
          <w:rFonts w:ascii="Times New Roman" w:hAnsi="Times New Roman" w:cs="Times New Roman"/>
          <w:color w:val="000000" w:themeColor="text1"/>
          <w:sz w:val="28"/>
          <w:szCs w:val="28"/>
        </w:rPr>
      </w:pPr>
    </w:p>
    <w:p w14:paraId="7D2092B4" w14:textId="2CD195AE" w:rsidR="00593258" w:rsidRPr="00781B35" w:rsidRDefault="00593258" w:rsidP="00593258">
      <w:pPr>
        <w:spacing w:after="120"/>
        <w:ind w:left="1440" w:right="-45" w:hanging="1440"/>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Summary:</w:t>
      </w:r>
      <w:r>
        <w:rPr>
          <w:rFonts w:ascii="Times New Roman" w:hAnsi="Times New Roman" w:cs="Times New Roman"/>
          <w:color w:val="000000" w:themeColor="text1"/>
          <w:sz w:val="28"/>
          <w:szCs w:val="28"/>
        </w:rPr>
        <w:tab/>
      </w:r>
      <w:r w:rsidRPr="00781B35">
        <w:rPr>
          <w:rFonts w:ascii="Times New Roman" w:hAnsi="Times New Roman" w:cs="Times New Roman"/>
          <w:i/>
          <w:color w:val="000000" w:themeColor="text1"/>
          <w:sz w:val="28"/>
          <w:szCs w:val="28"/>
        </w:rPr>
        <w:t xml:space="preserve">Procedure – </w:t>
      </w:r>
      <w:r w:rsidR="00323FCF">
        <w:rPr>
          <w:rFonts w:ascii="Times New Roman" w:hAnsi="Times New Roman" w:cs="Times New Roman"/>
          <w:i/>
          <w:color w:val="000000" w:themeColor="text1"/>
          <w:sz w:val="28"/>
          <w:szCs w:val="28"/>
        </w:rPr>
        <w:t>Action for damages -</w:t>
      </w:r>
      <w:r w:rsidRPr="00781B35">
        <w:rPr>
          <w:rFonts w:ascii="Times New Roman" w:hAnsi="Times New Roman" w:cs="Times New Roman"/>
          <w:i/>
          <w:color w:val="000000" w:themeColor="text1"/>
          <w:sz w:val="28"/>
          <w:szCs w:val="28"/>
        </w:rPr>
        <w:t xml:space="preserve">Road Accident Fund (RAF) litigation – clarity on the position where, as so often happens, the RAF’s </w:t>
      </w:r>
      <w:r w:rsidR="00926D12">
        <w:rPr>
          <w:rFonts w:ascii="Times New Roman" w:hAnsi="Times New Roman" w:cs="Times New Roman"/>
          <w:i/>
          <w:color w:val="000000" w:themeColor="text1"/>
          <w:sz w:val="28"/>
          <w:szCs w:val="28"/>
        </w:rPr>
        <w:t>defence has</w:t>
      </w:r>
      <w:r w:rsidRPr="00781B35">
        <w:rPr>
          <w:rFonts w:ascii="Times New Roman" w:hAnsi="Times New Roman" w:cs="Times New Roman"/>
          <w:i/>
          <w:color w:val="000000" w:themeColor="text1"/>
          <w:sz w:val="28"/>
          <w:szCs w:val="28"/>
        </w:rPr>
        <w:t xml:space="preserve"> been struck out.  Until such time as the RAF has successfully rescinded a striking out order, it </w:t>
      </w:r>
      <w:r w:rsidR="00926D12">
        <w:rPr>
          <w:rFonts w:ascii="Times New Roman" w:hAnsi="Times New Roman" w:cs="Times New Roman"/>
          <w:i/>
          <w:color w:val="000000" w:themeColor="text1"/>
          <w:sz w:val="28"/>
          <w:szCs w:val="28"/>
        </w:rPr>
        <w:t>still</w:t>
      </w:r>
      <w:r w:rsidRPr="00781B35">
        <w:rPr>
          <w:rFonts w:ascii="Times New Roman" w:hAnsi="Times New Roman" w:cs="Times New Roman"/>
          <w:i/>
          <w:color w:val="000000" w:themeColor="text1"/>
          <w:sz w:val="28"/>
          <w:szCs w:val="28"/>
        </w:rPr>
        <w:t xml:space="preserve"> has a right of appearance</w:t>
      </w:r>
      <w:r w:rsidR="00926D12">
        <w:rPr>
          <w:rFonts w:ascii="Times New Roman" w:hAnsi="Times New Roman" w:cs="Times New Roman"/>
          <w:i/>
          <w:color w:val="000000" w:themeColor="text1"/>
          <w:sz w:val="28"/>
          <w:szCs w:val="28"/>
        </w:rPr>
        <w:t xml:space="preserve">, can cross-examine </w:t>
      </w:r>
      <w:proofErr w:type="gramStart"/>
      <w:r w:rsidR="00926D12">
        <w:rPr>
          <w:rFonts w:ascii="Times New Roman" w:hAnsi="Times New Roman" w:cs="Times New Roman"/>
          <w:i/>
          <w:color w:val="000000" w:themeColor="text1"/>
          <w:sz w:val="28"/>
          <w:szCs w:val="28"/>
        </w:rPr>
        <w:t>witnesses</w:t>
      </w:r>
      <w:proofErr w:type="gramEnd"/>
      <w:r w:rsidRPr="00781B35">
        <w:rPr>
          <w:rFonts w:ascii="Times New Roman" w:hAnsi="Times New Roman" w:cs="Times New Roman"/>
          <w:i/>
          <w:color w:val="000000" w:themeColor="text1"/>
          <w:sz w:val="28"/>
          <w:szCs w:val="28"/>
        </w:rPr>
        <w:t xml:space="preserve"> and can argue the merits </w:t>
      </w:r>
      <w:r w:rsidRPr="00781B35">
        <w:rPr>
          <w:rFonts w:ascii="Times New Roman" w:hAnsi="Times New Roman" w:cs="Times New Roman"/>
          <w:i/>
          <w:color w:val="000000" w:themeColor="text1"/>
          <w:sz w:val="28"/>
          <w:szCs w:val="28"/>
        </w:rPr>
        <w:lastRenderedPageBreak/>
        <w:t>of a plaintiff’s case (including the quantum thereof) but can lead no evidence and cannot a</w:t>
      </w:r>
      <w:r w:rsidR="00926D12">
        <w:rPr>
          <w:rFonts w:ascii="Times New Roman" w:hAnsi="Times New Roman" w:cs="Times New Roman"/>
          <w:i/>
          <w:color w:val="000000" w:themeColor="text1"/>
          <w:sz w:val="28"/>
          <w:szCs w:val="28"/>
        </w:rPr>
        <w:t>dvance</w:t>
      </w:r>
      <w:r w:rsidRPr="00781B35">
        <w:rPr>
          <w:rFonts w:ascii="Times New Roman" w:hAnsi="Times New Roman" w:cs="Times New Roman"/>
          <w:i/>
          <w:color w:val="000000" w:themeColor="text1"/>
          <w:sz w:val="28"/>
          <w:szCs w:val="28"/>
        </w:rPr>
        <w:t xml:space="preserve"> facts not put in evidence by the plaintiff.</w:t>
      </w:r>
    </w:p>
    <w:p w14:paraId="65A8FEDF" w14:textId="2C8CB0B1" w:rsidR="00593258" w:rsidRPr="00781B35" w:rsidRDefault="00593258" w:rsidP="00593258">
      <w:pPr>
        <w:pBdr>
          <w:bottom w:val="single" w:sz="12" w:space="1" w:color="auto"/>
        </w:pBdr>
        <w:spacing w:after="120"/>
        <w:ind w:left="1440" w:right="-45" w:hanging="1440"/>
        <w:rPr>
          <w:rFonts w:ascii="Times New Roman" w:hAnsi="Times New Roman" w:cs="Times New Roman"/>
          <w:i/>
          <w:color w:val="000000" w:themeColor="text1"/>
          <w:sz w:val="28"/>
          <w:szCs w:val="28"/>
        </w:rPr>
      </w:pPr>
      <w:r w:rsidRPr="00781B35">
        <w:rPr>
          <w:rFonts w:ascii="Times New Roman" w:hAnsi="Times New Roman" w:cs="Times New Roman"/>
          <w:i/>
          <w:color w:val="000000" w:themeColor="text1"/>
          <w:sz w:val="28"/>
          <w:szCs w:val="28"/>
        </w:rPr>
        <w:tab/>
        <w:t>Procedure – RAF litigation – substantive amendment of the plaintiff’s particulars of claim after the RAF’s defence had been struck</w:t>
      </w:r>
      <w:r w:rsidR="00926D12">
        <w:rPr>
          <w:rFonts w:ascii="Times New Roman" w:hAnsi="Times New Roman" w:cs="Times New Roman"/>
          <w:i/>
          <w:color w:val="000000" w:themeColor="text1"/>
          <w:sz w:val="28"/>
          <w:szCs w:val="28"/>
        </w:rPr>
        <w:t xml:space="preserve"> out</w:t>
      </w:r>
      <w:r w:rsidRPr="00781B35">
        <w:rPr>
          <w:rFonts w:ascii="Times New Roman" w:hAnsi="Times New Roman" w:cs="Times New Roman"/>
          <w:i/>
          <w:color w:val="000000" w:themeColor="text1"/>
          <w:sz w:val="28"/>
          <w:szCs w:val="28"/>
        </w:rPr>
        <w:t xml:space="preserve"> –</w:t>
      </w:r>
      <w:r w:rsidR="00926D12">
        <w:rPr>
          <w:rFonts w:ascii="Times New Roman" w:hAnsi="Times New Roman" w:cs="Times New Roman"/>
          <w:i/>
          <w:color w:val="000000" w:themeColor="text1"/>
          <w:sz w:val="28"/>
          <w:szCs w:val="28"/>
        </w:rPr>
        <w:t xml:space="preserve"> pleadings </w:t>
      </w:r>
      <w:proofErr w:type="gramStart"/>
      <w:r w:rsidR="00926D12">
        <w:rPr>
          <w:rFonts w:ascii="Times New Roman" w:hAnsi="Times New Roman" w:cs="Times New Roman"/>
          <w:i/>
          <w:color w:val="000000" w:themeColor="text1"/>
          <w:sz w:val="28"/>
          <w:szCs w:val="28"/>
        </w:rPr>
        <w:t>reopened</w:t>
      </w:r>
      <w:proofErr w:type="gramEnd"/>
      <w:r w:rsidR="00926D12">
        <w:rPr>
          <w:rFonts w:ascii="Times New Roman" w:hAnsi="Times New Roman" w:cs="Times New Roman"/>
          <w:i/>
          <w:color w:val="000000" w:themeColor="text1"/>
          <w:sz w:val="28"/>
          <w:szCs w:val="28"/>
        </w:rPr>
        <w:t xml:space="preserve"> and</w:t>
      </w:r>
      <w:r w:rsidRPr="00781B35">
        <w:rPr>
          <w:rFonts w:ascii="Times New Roman" w:hAnsi="Times New Roman" w:cs="Times New Roman"/>
          <w:i/>
          <w:color w:val="000000" w:themeColor="text1"/>
          <w:sz w:val="28"/>
          <w:szCs w:val="28"/>
        </w:rPr>
        <w:t xml:space="preserve"> </w:t>
      </w:r>
      <w:r w:rsidR="00926D12">
        <w:rPr>
          <w:rFonts w:ascii="Times New Roman" w:hAnsi="Times New Roman" w:cs="Times New Roman"/>
          <w:i/>
          <w:color w:val="000000" w:themeColor="text1"/>
          <w:sz w:val="28"/>
          <w:szCs w:val="28"/>
        </w:rPr>
        <w:t xml:space="preserve">the </w:t>
      </w:r>
      <w:r w:rsidRPr="00781B35">
        <w:rPr>
          <w:rFonts w:ascii="Times New Roman" w:hAnsi="Times New Roman" w:cs="Times New Roman"/>
          <w:i/>
          <w:color w:val="000000" w:themeColor="text1"/>
          <w:sz w:val="28"/>
          <w:szCs w:val="28"/>
        </w:rPr>
        <w:t>RAF entitled to “re-enter the fray” but only in respect of those issues affected by the amendment.</w:t>
      </w:r>
    </w:p>
    <w:p w14:paraId="1F46980A" w14:textId="77777777" w:rsidR="00593258" w:rsidRDefault="00593258" w:rsidP="00593258">
      <w:pPr>
        <w:pBdr>
          <w:bottom w:val="single" w:sz="12" w:space="1" w:color="auto"/>
        </w:pBdr>
        <w:spacing w:after="120"/>
        <w:ind w:left="1440" w:right="-45" w:hanging="1440"/>
        <w:rPr>
          <w:rFonts w:ascii="Times New Roman" w:hAnsi="Times New Roman" w:cs="Times New Roman"/>
          <w:color w:val="000000" w:themeColor="text1"/>
          <w:sz w:val="28"/>
          <w:szCs w:val="28"/>
        </w:rPr>
      </w:pPr>
    </w:p>
    <w:p w14:paraId="7243881A" w14:textId="77777777" w:rsidR="00593258" w:rsidRDefault="00593258" w:rsidP="00593258">
      <w:pPr>
        <w:spacing w:after="0" w:line="240" w:lineRule="auto"/>
        <w:ind w:left="1440" w:right="-45" w:hanging="1440"/>
        <w:rPr>
          <w:rFonts w:ascii="Times New Roman" w:hAnsi="Times New Roman" w:cs="Times New Roman"/>
          <w:color w:val="000000" w:themeColor="text1"/>
          <w:sz w:val="28"/>
          <w:szCs w:val="28"/>
        </w:rPr>
      </w:pPr>
    </w:p>
    <w:p w14:paraId="23C950CC" w14:textId="77777777" w:rsidR="00593258" w:rsidRDefault="00593258" w:rsidP="00593258">
      <w:pPr>
        <w:pBdr>
          <w:bottom w:val="single" w:sz="12" w:space="1" w:color="auto"/>
        </w:pBdr>
        <w:spacing w:after="120"/>
        <w:ind w:left="1440" w:right="-45" w:hanging="14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ORDER</w:t>
      </w:r>
    </w:p>
    <w:p w14:paraId="7D2D659E" w14:textId="77777777" w:rsidR="00593258" w:rsidRDefault="00593258" w:rsidP="00593258">
      <w:pPr>
        <w:pBdr>
          <w:bottom w:val="single" w:sz="12" w:space="1" w:color="auto"/>
        </w:pBdr>
        <w:spacing w:after="0" w:line="240" w:lineRule="auto"/>
        <w:ind w:left="1440" w:right="-45" w:hanging="1440"/>
        <w:jc w:val="center"/>
        <w:rPr>
          <w:rFonts w:ascii="Times New Roman" w:hAnsi="Times New Roman" w:cs="Times New Roman"/>
          <w:color w:val="000000" w:themeColor="text1"/>
          <w:sz w:val="28"/>
          <w:szCs w:val="28"/>
        </w:rPr>
      </w:pPr>
    </w:p>
    <w:p w14:paraId="51A0517D" w14:textId="77777777" w:rsidR="00593258" w:rsidRDefault="00593258" w:rsidP="00593258">
      <w:pPr>
        <w:spacing w:after="120"/>
        <w:ind w:left="1440" w:right="-45" w:hanging="1440"/>
        <w:rPr>
          <w:rFonts w:ascii="Times New Roman" w:hAnsi="Times New Roman" w:cs="Times New Roman"/>
          <w:color w:val="000000" w:themeColor="text1"/>
          <w:sz w:val="28"/>
          <w:szCs w:val="28"/>
        </w:rPr>
      </w:pPr>
    </w:p>
    <w:p w14:paraId="0E630241" w14:textId="3DE87165" w:rsidR="00781B35" w:rsidRPr="00DF68F3" w:rsidRDefault="00DC2F59" w:rsidP="00DC2F59">
      <w:pPr>
        <w:spacing w:before="100" w:beforeAutospacing="1"/>
        <w:ind w:left="1276" w:hanging="567"/>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1.</w:t>
      </w:r>
      <w:r w:rsidRPr="00DF68F3">
        <w:rPr>
          <w:rFonts w:ascii="Times New Roman" w:hAnsi="Times New Roman" w:cs="Times New Roman"/>
          <w:kern w:val="2"/>
          <w:sz w:val="28"/>
          <w:szCs w:val="28"/>
          <w:lang w:val="en-GB"/>
          <w14:ligatures w14:val="standardContextual"/>
        </w:rPr>
        <w:tab/>
      </w:r>
      <w:r w:rsidR="00781B35" w:rsidRPr="00DF68F3">
        <w:rPr>
          <w:rFonts w:ascii="Times New Roman" w:hAnsi="Times New Roman" w:cs="Times New Roman"/>
          <w:kern w:val="2"/>
          <w:sz w:val="28"/>
          <w:szCs w:val="28"/>
          <w:lang w:val="en-GB"/>
          <w14:ligatures w14:val="standardContextual"/>
        </w:rPr>
        <w:t>The Defendant shall be liable for 100% of</w:t>
      </w:r>
      <w:r w:rsidR="00781B35">
        <w:rPr>
          <w:rFonts w:ascii="Times New Roman" w:hAnsi="Times New Roman" w:cs="Times New Roman"/>
          <w:kern w:val="2"/>
          <w:sz w:val="28"/>
          <w:szCs w:val="28"/>
          <w:lang w:val="en-GB"/>
          <w14:ligatures w14:val="standardContextual"/>
        </w:rPr>
        <w:t xml:space="preserve"> the Plaintiff’s proven </w:t>
      </w:r>
      <w:r w:rsidR="00781B35" w:rsidRPr="00DF68F3">
        <w:rPr>
          <w:rFonts w:ascii="Times New Roman" w:hAnsi="Times New Roman" w:cs="Times New Roman"/>
          <w:kern w:val="2"/>
          <w:sz w:val="28"/>
          <w:szCs w:val="28"/>
          <w:lang w:val="en-GB"/>
          <w14:ligatures w14:val="standardContextual"/>
        </w:rPr>
        <w:t>damages.</w:t>
      </w:r>
    </w:p>
    <w:p w14:paraId="075A22ED" w14:textId="77777777" w:rsidR="00781B35" w:rsidRPr="00DF68F3" w:rsidRDefault="00781B35" w:rsidP="00781B35">
      <w:pPr>
        <w:spacing w:before="100" w:beforeAutospacing="1"/>
        <w:ind w:left="1276" w:hanging="567"/>
        <w:contextualSpacing/>
        <w:rPr>
          <w:rFonts w:ascii="Times New Roman" w:hAnsi="Times New Roman" w:cs="Times New Roman"/>
          <w:kern w:val="2"/>
          <w:sz w:val="28"/>
          <w:szCs w:val="28"/>
          <w:lang w:val="en-GB"/>
          <w14:ligatures w14:val="standardContextual"/>
        </w:rPr>
      </w:pPr>
    </w:p>
    <w:p w14:paraId="27FA9120" w14:textId="73A93879" w:rsidR="00781B35" w:rsidRDefault="00DC2F59" w:rsidP="00DC2F59">
      <w:pPr>
        <w:spacing w:before="100" w:beforeAutospacing="1"/>
        <w:ind w:left="1276" w:hanging="567"/>
        <w:contextualSpacing/>
        <w:rPr>
          <w:rFonts w:ascii="Times New Roman" w:hAnsi="Times New Roman" w:cs="Times New Roman"/>
          <w:kern w:val="2"/>
          <w:sz w:val="28"/>
          <w:szCs w:val="28"/>
          <w:lang w:val="en-GB"/>
          <w14:ligatures w14:val="standardContextual"/>
        </w:rPr>
      </w:pPr>
      <w:r>
        <w:rPr>
          <w:rFonts w:ascii="Times New Roman" w:hAnsi="Times New Roman" w:cs="Times New Roman"/>
          <w:kern w:val="2"/>
          <w:sz w:val="28"/>
          <w:szCs w:val="28"/>
          <w:lang w:val="en-GB"/>
          <w14:ligatures w14:val="standardContextual"/>
        </w:rPr>
        <w:t>2.</w:t>
      </w:r>
      <w:r>
        <w:rPr>
          <w:rFonts w:ascii="Times New Roman" w:hAnsi="Times New Roman" w:cs="Times New Roman"/>
          <w:kern w:val="2"/>
          <w:sz w:val="28"/>
          <w:szCs w:val="28"/>
          <w:lang w:val="en-GB"/>
          <w14:ligatures w14:val="standardContextual"/>
        </w:rPr>
        <w:tab/>
      </w:r>
      <w:r w:rsidR="00781B35" w:rsidRPr="00A2430F">
        <w:rPr>
          <w:rFonts w:ascii="Times New Roman" w:hAnsi="Times New Roman" w:cs="Times New Roman"/>
          <w:kern w:val="2"/>
          <w:sz w:val="28"/>
          <w:szCs w:val="28"/>
          <w:lang w:val="en-GB"/>
          <w14:ligatures w14:val="standardContextual"/>
        </w:rPr>
        <w:t xml:space="preserve">The Defendant </w:t>
      </w:r>
      <w:r w:rsidR="00926D12">
        <w:rPr>
          <w:rFonts w:ascii="Times New Roman" w:hAnsi="Times New Roman" w:cs="Times New Roman"/>
          <w:kern w:val="2"/>
          <w:sz w:val="28"/>
          <w:szCs w:val="28"/>
          <w:lang w:val="en-GB"/>
          <w14:ligatures w14:val="standardContextual"/>
        </w:rPr>
        <w:t>is ordered</w:t>
      </w:r>
      <w:r w:rsidR="00781B35" w:rsidRPr="00A2430F">
        <w:rPr>
          <w:rFonts w:ascii="Times New Roman" w:hAnsi="Times New Roman" w:cs="Times New Roman"/>
          <w:kern w:val="2"/>
          <w:sz w:val="28"/>
          <w:szCs w:val="28"/>
          <w:lang w:val="en-GB"/>
          <w14:ligatures w14:val="standardContextual"/>
        </w:rPr>
        <w:t xml:space="preserve"> to </w:t>
      </w:r>
      <w:r w:rsidR="00926D12">
        <w:rPr>
          <w:rFonts w:ascii="Times New Roman" w:hAnsi="Times New Roman" w:cs="Times New Roman"/>
          <w:kern w:val="2"/>
          <w:sz w:val="28"/>
          <w:szCs w:val="28"/>
          <w:lang w:val="en-GB"/>
          <w14:ligatures w14:val="standardContextual"/>
        </w:rPr>
        <w:t xml:space="preserve">pay </w:t>
      </w:r>
      <w:r w:rsidR="00781B35" w:rsidRPr="00A2430F">
        <w:rPr>
          <w:rFonts w:ascii="Times New Roman" w:hAnsi="Times New Roman" w:cs="Times New Roman"/>
          <w:kern w:val="2"/>
          <w:sz w:val="28"/>
          <w:szCs w:val="28"/>
          <w:lang w:val="en-GB"/>
          <w14:ligatures w14:val="standardContextual"/>
        </w:rPr>
        <w:t xml:space="preserve">the Plaintiff the amount of </w:t>
      </w:r>
      <w:r w:rsidR="00781B35" w:rsidRPr="00A2430F">
        <w:rPr>
          <w:rFonts w:ascii="Times New Roman" w:hAnsi="Times New Roman" w:cs="Times New Roman"/>
          <w:b/>
          <w:bCs/>
          <w:kern w:val="2"/>
          <w:sz w:val="28"/>
          <w:szCs w:val="28"/>
          <w:lang w:val="en-GB"/>
          <w14:ligatures w14:val="standardContextual"/>
        </w:rPr>
        <w:t>R6 738 420,00</w:t>
      </w:r>
      <w:r w:rsidR="00781B35">
        <w:rPr>
          <w:rFonts w:ascii="Times New Roman" w:hAnsi="Times New Roman" w:cs="Times New Roman"/>
          <w:b/>
          <w:bCs/>
          <w:kern w:val="2"/>
          <w:sz w:val="28"/>
          <w:szCs w:val="28"/>
          <w:lang w:val="en-GB"/>
          <w14:ligatures w14:val="standardContextual"/>
        </w:rPr>
        <w:t xml:space="preserve"> </w:t>
      </w:r>
      <w:r w:rsidR="00781B35" w:rsidRPr="00A2430F">
        <w:rPr>
          <w:rFonts w:ascii="Times New Roman" w:hAnsi="Times New Roman" w:cs="Times New Roman"/>
          <w:kern w:val="2"/>
          <w:sz w:val="28"/>
          <w:szCs w:val="28"/>
          <w:lang w:val="en-GB"/>
          <w14:ligatures w14:val="standardContextual"/>
        </w:rPr>
        <w:t>(</w:t>
      </w:r>
      <w:r w:rsidR="00781B35" w:rsidRPr="00A2430F">
        <w:rPr>
          <w:rFonts w:ascii="Times New Roman" w:hAnsi="Times New Roman" w:cs="Times New Roman"/>
          <w:b/>
          <w:kern w:val="2"/>
          <w:sz w:val="28"/>
          <w:szCs w:val="28"/>
          <w:lang w:val="en-GB"/>
          <w14:ligatures w14:val="standardContextual"/>
        </w:rPr>
        <w:t xml:space="preserve">Six million </w:t>
      </w:r>
      <w:r w:rsidR="00926D12">
        <w:rPr>
          <w:rFonts w:ascii="Times New Roman" w:hAnsi="Times New Roman" w:cs="Times New Roman"/>
          <w:b/>
          <w:kern w:val="2"/>
          <w:sz w:val="28"/>
          <w:szCs w:val="28"/>
          <w:lang w:val="en-GB"/>
          <w14:ligatures w14:val="standardContextual"/>
        </w:rPr>
        <w:t>s</w:t>
      </w:r>
      <w:r w:rsidR="00781B35">
        <w:rPr>
          <w:rFonts w:ascii="Times New Roman" w:hAnsi="Times New Roman" w:cs="Times New Roman"/>
          <w:b/>
          <w:kern w:val="2"/>
          <w:sz w:val="28"/>
          <w:szCs w:val="28"/>
          <w:lang w:val="en-GB"/>
          <w14:ligatures w14:val="standardContextual"/>
        </w:rPr>
        <w:t>e</w:t>
      </w:r>
      <w:r w:rsidR="00926D12">
        <w:rPr>
          <w:rFonts w:ascii="Times New Roman" w:hAnsi="Times New Roman" w:cs="Times New Roman"/>
          <w:b/>
          <w:kern w:val="2"/>
          <w:sz w:val="28"/>
          <w:szCs w:val="28"/>
          <w:lang w:val="en-GB"/>
          <w14:ligatures w14:val="standardContextual"/>
        </w:rPr>
        <w:t>ven hundred</w:t>
      </w:r>
      <w:r w:rsidR="00781B35">
        <w:rPr>
          <w:rFonts w:ascii="Times New Roman" w:hAnsi="Times New Roman" w:cs="Times New Roman"/>
          <w:b/>
          <w:kern w:val="2"/>
          <w:sz w:val="28"/>
          <w:szCs w:val="28"/>
          <w:lang w:val="en-GB"/>
          <w14:ligatures w14:val="standardContextual"/>
        </w:rPr>
        <w:t xml:space="preserve"> and </w:t>
      </w:r>
      <w:r w:rsidR="00926D12">
        <w:rPr>
          <w:rFonts w:ascii="Times New Roman" w:hAnsi="Times New Roman" w:cs="Times New Roman"/>
          <w:b/>
          <w:kern w:val="2"/>
          <w:sz w:val="28"/>
          <w:szCs w:val="28"/>
          <w:lang w:val="en-GB"/>
          <w14:ligatures w14:val="standardContextual"/>
        </w:rPr>
        <w:t>t</w:t>
      </w:r>
      <w:r w:rsidR="00781B35">
        <w:rPr>
          <w:rFonts w:ascii="Times New Roman" w:hAnsi="Times New Roman" w:cs="Times New Roman"/>
          <w:b/>
          <w:kern w:val="2"/>
          <w:sz w:val="28"/>
          <w:szCs w:val="28"/>
          <w:lang w:val="en-GB"/>
          <w14:ligatures w14:val="standardContextual"/>
        </w:rPr>
        <w:t xml:space="preserve">hirty-eight </w:t>
      </w:r>
      <w:r w:rsidR="00926D12">
        <w:rPr>
          <w:rFonts w:ascii="Times New Roman" w:hAnsi="Times New Roman" w:cs="Times New Roman"/>
          <w:b/>
          <w:kern w:val="2"/>
          <w:sz w:val="28"/>
          <w:szCs w:val="28"/>
          <w:lang w:val="en-GB"/>
          <w14:ligatures w14:val="standardContextual"/>
        </w:rPr>
        <w:t>thous</w:t>
      </w:r>
      <w:r w:rsidR="00781B35">
        <w:rPr>
          <w:rFonts w:ascii="Times New Roman" w:hAnsi="Times New Roman" w:cs="Times New Roman"/>
          <w:b/>
          <w:kern w:val="2"/>
          <w:sz w:val="28"/>
          <w:szCs w:val="28"/>
          <w:lang w:val="en-GB"/>
          <w14:ligatures w14:val="standardContextual"/>
        </w:rPr>
        <w:t xml:space="preserve">and </w:t>
      </w:r>
      <w:r w:rsidR="00926D12">
        <w:rPr>
          <w:rFonts w:ascii="Times New Roman" w:hAnsi="Times New Roman" w:cs="Times New Roman"/>
          <w:b/>
          <w:kern w:val="2"/>
          <w:sz w:val="28"/>
          <w:szCs w:val="28"/>
          <w:lang w:val="en-GB"/>
          <w14:ligatures w14:val="standardContextual"/>
        </w:rPr>
        <w:t>f</w:t>
      </w:r>
      <w:r w:rsidR="00781B35">
        <w:rPr>
          <w:rFonts w:ascii="Times New Roman" w:hAnsi="Times New Roman" w:cs="Times New Roman"/>
          <w:b/>
          <w:kern w:val="2"/>
          <w:sz w:val="28"/>
          <w:szCs w:val="28"/>
          <w:lang w:val="en-GB"/>
          <w14:ligatures w14:val="standardContextual"/>
        </w:rPr>
        <w:t xml:space="preserve">our </w:t>
      </w:r>
      <w:r w:rsidR="00926D12">
        <w:rPr>
          <w:rFonts w:ascii="Times New Roman" w:hAnsi="Times New Roman" w:cs="Times New Roman"/>
          <w:b/>
          <w:kern w:val="2"/>
          <w:sz w:val="28"/>
          <w:szCs w:val="28"/>
          <w:lang w:val="en-GB"/>
          <w14:ligatures w14:val="standardContextual"/>
        </w:rPr>
        <w:t>h</w:t>
      </w:r>
      <w:r w:rsidR="00781B35">
        <w:rPr>
          <w:rFonts w:ascii="Times New Roman" w:hAnsi="Times New Roman" w:cs="Times New Roman"/>
          <w:b/>
          <w:kern w:val="2"/>
          <w:sz w:val="28"/>
          <w:szCs w:val="28"/>
          <w:lang w:val="en-GB"/>
          <w14:ligatures w14:val="standardContextual"/>
        </w:rPr>
        <w:t xml:space="preserve">undred and </w:t>
      </w:r>
      <w:r w:rsidR="00926D12">
        <w:rPr>
          <w:rFonts w:ascii="Times New Roman" w:hAnsi="Times New Roman" w:cs="Times New Roman"/>
          <w:b/>
          <w:kern w:val="2"/>
          <w:sz w:val="28"/>
          <w:szCs w:val="28"/>
          <w:lang w:val="en-GB"/>
          <w14:ligatures w14:val="standardContextual"/>
        </w:rPr>
        <w:t>t</w:t>
      </w:r>
      <w:r w:rsidR="00781B35" w:rsidRPr="00A2430F">
        <w:rPr>
          <w:rFonts w:ascii="Times New Roman" w:hAnsi="Times New Roman" w:cs="Times New Roman"/>
          <w:b/>
          <w:kern w:val="2"/>
          <w:sz w:val="28"/>
          <w:szCs w:val="28"/>
          <w:lang w:val="en-GB"/>
          <w14:ligatures w14:val="standardContextual"/>
        </w:rPr>
        <w:t>wenty Rand</w:t>
      </w:r>
      <w:r w:rsidR="00781B35" w:rsidRPr="00A2430F">
        <w:rPr>
          <w:rFonts w:ascii="Times New Roman" w:hAnsi="Times New Roman" w:cs="Times New Roman"/>
          <w:kern w:val="2"/>
          <w:sz w:val="28"/>
          <w:szCs w:val="28"/>
          <w:lang w:val="en-GB"/>
          <w14:ligatures w14:val="standardContextual"/>
        </w:rPr>
        <w:t>)</w:t>
      </w:r>
      <w:r w:rsidR="00781B35">
        <w:rPr>
          <w:rFonts w:ascii="Times New Roman" w:hAnsi="Times New Roman" w:cs="Times New Roman"/>
          <w:kern w:val="2"/>
          <w:sz w:val="28"/>
          <w:szCs w:val="28"/>
          <w:lang w:val="en-GB"/>
          <w14:ligatures w14:val="standardContextual"/>
        </w:rPr>
        <w:t>.</w:t>
      </w:r>
      <w:r w:rsidR="00781B35" w:rsidRPr="00A2430F">
        <w:rPr>
          <w:rFonts w:ascii="Times New Roman" w:hAnsi="Times New Roman" w:cs="Times New Roman"/>
          <w:kern w:val="2"/>
          <w:sz w:val="28"/>
          <w:szCs w:val="28"/>
          <w:lang w:val="en-GB"/>
          <w14:ligatures w14:val="standardContextual"/>
        </w:rPr>
        <w:t xml:space="preserve"> </w:t>
      </w:r>
    </w:p>
    <w:p w14:paraId="529E46D9" w14:textId="77777777" w:rsidR="00781B35" w:rsidRPr="00A2430F" w:rsidRDefault="00781B35" w:rsidP="00781B35">
      <w:pPr>
        <w:spacing w:before="100" w:beforeAutospacing="1"/>
        <w:ind w:left="709"/>
        <w:contextualSpacing/>
        <w:rPr>
          <w:rFonts w:ascii="Times New Roman" w:hAnsi="Times New Roman" w:cs="Times New Roman"/>
          <w:kern w:val="2"/>
          <w:sz w:val="28"/>
          <w:szCs w:val="28"/>
          <w:lang w:val="en-GB"/>
          <w14:ligatures w14:val="standardContextual"/>
        </w:rPr>
      </w:pPr>
    </w:p>
    <w:p w14:paraId="1D10E4F3" w14:textId="384CC187" w:rsidR="00781B35" w:rsidRDefault="00DC2F59" w:rsidP="00DC2F59">
      <w:pPr>
        <w:spacing w:before="100" w:beforeAutospacing="1"/>
        <w:ind w:left="1276" w:hanging="709"/>
        <w:contextualSpacing/>
        <w:rPr>
          <w:rFonts w:ascii="Times New Roman" w:hAnsi="Times New Roman" w:cs="Times New Roman"/>
          <w:kern w:val="2"/>
          <w:sz w:val="28"/>
          <w:szCs w:val="28"/>
          <w:lang w:val="en-GB"/>
          <w14:ligatures w14:val="standardContextual"/>
        </w:rPr>
      </w:pPr>
      <w:r>
        <w:rPr>
          <w:rFonts w:ascii="Times New Roman" w:hAnsi="Times New Roman" w:cs="Times New Roman"/>
          <w:kern w:val="2"/>
          <w:sz w:val="28"/>
          <w:szCs w:val="28"/>
          <w:lang w:val="en-GB"/>
          <w14:ligatures w14:val="standardContextual"/>
        </w:rPr>
        <w:t>3.</w:t>
      </w:r>
      <w:r>
        <w:rPr>
          <w:rFonts w:ascii="Times New Roman" w:hAnsi="Times New Roman" w:cs="Times New Roman"/>
          <w:kern w:val="2"/>
          <w:sz w:val="28"/>
          <w:szCs w:val="28"/>
          <w:lang w:val="en-GB"/>
          <w14:ligatures w14:val="standardContextual"/>
        </w:rPr>
        <w:tab/>
      </w:r>
      <w:r w:rsidR="00781B35" w:rsidRPr="00DF68F3">
        <w:rPr>
          <w:rFonts w:ascii="Times New Roman" w:hAnsi="Times New Roman" w:cs="Times New Roman"/>
          <w:kern w:val="2"/>
          <w:sz w:val="28"/>
          <w:szCs w:val="28"/>
          <w:lang w:val="en-GB"/>
          <w14:ligatures w14:val="standardContextual"/>
        </w:rPr>
        <w:t xml:space="preserve">This amount shall be paid into the following </w:t>
      </w:r>
      <w:r w:rsidR="00781B35">
        <w:rPr>
          <w:rFonts w:ascii="Times New Roman" w:hAnsi="Times New Roman" w:cs="Times New Roman"/>
          <w:kern w:val="2"/>
          <w:sz w:val="28"/>
          <w:szCs w:val="28"/>
          <w:lang w:val="en-GB"/>
          <w14:ligatures w14:val="standardContextual"/>
        </w:rPr>
        <w:t xml:space="preserve">bank account, on or before the </w:t>
      </w:r>
      <w:r w:rsidR="00781B35" w:rsidRPr="00DF68F3">
        <w:rPr>
          <w:rFonts w:ascii="Times New Roman" w:hAnsi="Times New Roman" w:cs="Times New Roman"/>
          <w:kern w:val="2"/>
          <w:sz w:val="28"/>
          <w:szCs w:val="28"/>
          <w:lang w:val="en-GB"/>
          <w14:ligatures w14:val="standardContextual"/>
        </w:rPr>
        <w:t xml:space="preserve">expiry of 180 days from the date of this order: </w:t>
      </w:r>
    </w:p>
    <w:p w14:paraId="2C2C0A42" w14:textId="77777777" w:rsidR="00781B35" w:rsidRPr="00DF68F3" w:rsidRDefault="00781B35" w:rsidP="00781B35">
      <w:pPr>
        <w:spacing w:before="100" w:beforeAutospacing="1"/>
        <w:contextualSpacing/>
        <w:rPr>
          <w:rFonts w:ascii="Times New Roman" w:hAnsi="Times New Roman" w:cs="Times New Roman"/>
          <w:kern w:val="2"/>
          <w:sz w:val="28"/>
          <w:szCs w:val="28"/>
          <w:lang w:val="en-GB"/>
          <w14:ligatures w14:val="standardContextual"/>
        </w:rPr>
      </w:pPr>
    </w:p>
    <w:tbl>
      <w:tblPr>
        <w:tblW w:w="6662" w:type="dxa"/>
        <w:tblInd w:w="16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8"/>
        <w:gridCol w:w="3544"/>
      </w:tblGrid>
      <w:tr w:rsidR="00781B35" w:rsidRPr="00DF68F3" w14:paraId="0C752EAE" w14:textId="77777777" w:rsidTr="00781B35">
        <w:tc>
          <w:tcPr>
            <w:tcW w:w="3118" w:type="dxa"/>
          </w:tcPr>
          <w:p w14:paraId="3092407F" w14:textId="77777777" w:rsidR="00781B35" w:rsidRPr="00DF68F3" w:rsidRDefault="00781B35" w:rsidP="00781B35">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ACCOUNT HOLDER</w:t>
            </w:r>
          </w:p>
        </w:tc>
        <w:tc>
          <w:tcPr>
            <w:tcW w:w="3544" w:type="dxa"/>
          </w:tcPr>
          <w:p w14:paraId="75C11CA7" w14:textId="77777777" w:rsidR="00781B35" w:rsidRPr="00DF68F3" w:rsidRDefault="00781B35" w:rsidP="00781B35">
            <w:pPr>
              <w:spacing w:before="100" w:beforeAutospacing="1"/>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J M MODIBA ATTORNEYS</w:t>
            </w:r>
          </w:p>
        </w:tc>
      </w:tr>
      <w:tr w:rsidR="00781B35" w:rsidRPr="00DF68F3" w14:paraId="3B97507E" w14:textId="77777777" w:rsidTr="00781B35">
        <w:tc>
          <w:tcPr>
            <w:tcW w:w="3118" w:type="dxa"/>
          </w:tcPr>
          <w:p w14:paraId="068C6E01" w14:textId="77777777" w:rsidR="00781B35" w:rsidRPr="00DF68F3" w:rsidRDefault="00781B35" w:rsidP="00781B35">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BANK NAME</w:t>
            </w:r>
          </w:p>
        </w:tc>
        <w:tc>
          <w:tcPr>
            <w:tcW w:w="3544" w:type="dxa"/>
          </w:tcPr>
          <w:p w14:paraId="5464D6F5" w14:textId="77777777" w:rsidR="00781B35" w:rsidRPr="00DF68F3" w:rsidRDefault="00781B35" w:rsidP="00781B35">
            <w:pPr>
              <w:spacing w:before="100" w:beforeAutospacing="1"/>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STANDARD BANK</w:t>
            </w:r>
          </w:p>
        </w:tc>
      </w:tr>
      <w:tr w:rsidR="00781B35" w:rsidRPr="00DF68F3" w14:paraId="1A516A48" w14:textId="77777777" w:rsidTr="00781B35">
        <w:tc>
          <w:tcPr>
            <w:tcW w:w="3118" w:type="dxa"/>
          </w:tcPr>
          <w:p w14:paraId="36F7C34C" w14:textId="77777777" w:rsidR="00781B35" w:rsidRPr="00DF68F3" w:rsidRDefault="00781B35" w:rsidP="00781B35">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BRANCH CODE</w:t>
            </w:r>
          </w:p>
        </w:tc>
        <w:tc>
          <w:tcPr>
            <w:tcW w:w="3544" w:type="dxa"/>
          </w:tcPr>
          <w:p w14:paraId="5A0C0610" w14:textId="77777777" w:rsidR="00781B35" w:rsidRPr="00DF68F3" w:rsidRDefault="00781B35" w:rsidP="00781B35">
            <w:pPr>
              <w:spacing w:before="100" w:beforeAutospacing="1"/>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010545</w:t>
            </w:r>
          </w:p>
        </w:tc>
      </w:tr>
      <w:tr w:rsidR="00781B35" w:rsidRPr="00DF68F3" w14:paraId="17A9BEBD" w14:textId="77777777" w:rsidTr="00781B35">
        <w:tc>
          <w:tcPr>
            <w:tcW w:w="3118" w:type="dxa"/>
          </w:tcPr>
          <w:p w14:paraId="40671729" w14:textId="77777777" w:rsidR="00781B35" w:rsidRPr="00DF68F3" w:rsidRDefault="00781B35" w:rsidP="00781B35">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ACCOUNT NUMBER</w:t>
            </w:r>
          </w:p>
        </w:tc>
        <w:tc>
          <w:tcPr>
            <w:tcW w:w="3544" w:type="dxa"/>
          </w:tcPr>
          <w:p w14:paraId="4DF052EA" w14:textId="77777777" w:rsidR="00781B35" w:rsidRPr="00DF68F3" w:rsidRDefault="00781B35" w:rsidP="00781B35">
            <w:pPr>
              <w:spacing w:before="100" w:beforeAutospacing="1"/>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012400092</w:t>
            </w:r>
          </w:p>
        </w:tc>
      </w:tr>
      <w:tr w:rsidR="00781B35" w:rsidRPr="00DF68F3" w14:paraId="4FFBA69A" w14:textId="77777777" w:rsidTr="00781B35">
        <w:tc>
          <w:tcPr>
            <w:tcW w:w="3118" w:type="dxa"/>
          </w:tcPr>
          <w:p w14:paraId="6607296E" w14:textId="77777777" w:rsidR="00781B35" w:rsidRPr="00DF68F3" w:rsidRDefault="00781B35" w:rsidP="00781B35">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lastRenderedPageBreak/>
              <w:t>TYPE OF ACCOUNT</w:t>
            </w:r>
          </w:p>
        </w:tc>
        <w:tc>
          <w:tcPr>
            <w:tcW w:w="3544" w:type="dxa"/>
          </w:tcPr>
          <w:p w14:paraId="3BCD59D2" w14:textId="77777777" w:rsidR="00781B35" w:rsidRPr="00DF68F3" w:rsidRDefault="00781B35" w:rsidP="00781B35">
            <w:pPr>
              <w:spacing w:before="100" w:beforeAutospacing="1"/>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TRUST ACCOUNT</w:t>
            </w:r>
          </w:p>
        </w:tc>
      </w:tr>
      <w:tr w:rsidR="00781B35" w:rsidRPr="00DF68F3" w14:paraId="35C615D4" w14:textId="77777777" w:rsidTr="00781B35">
        <w:tc>
          <w:tcPr>
            <w:tcW w:w="3118" w:type="dxa"/>
          </w:tcPr>
          <w:p w14:paraId="04334F92" w14:textId="77777777" w:rsidR="00781B35" w:rsidRPr="00DF68F3" w:rsidRDefault="00781B35" w:rsidP="00781B35">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REF</w:t>
            </w:r>
            <w:r w:rsidRPr="00DF68F3">
              <w:rPr>
                <w:rFonts w:ascii="Times New Roman" w:hAnsi="Times New Roman" w:cs="Times New Roman"/>
                <w:b/>
                <w:bCs/>
                <w:kern w:val="2"/>
                <w:sz w:val="28"/>
                <w:szCs w:val="28"/>
                <w:lang w:val="en-GB"/>
                <w14:ligatures w14:val="standardContextual"/>
              </w:rPr>
              <w:tab/>
            </w:r>
          </w:p>
        </w:tc>
        <w:tc>
          <w:tcPr>
            <w:tcW w:w="3544" w:type="dxa"/>
          </w:tcPr>
          <w:p w14:paraId="3F803D8D" w14:textId="77777777" w:rsidR="00781B35" w:rsidRPr="00DF68F3" w:rsidRDefault="00781B35" w:rsidP="00781B35">
            <w:pPr>
              <w:spacing w:before="100" w:beforeAutospacing="1"/>
              <w:contextualSpacing/>
              <w:rPr>
                <w:rFonts w:ascii="Times New Roman" w:hAnsi="Times New Roman" w:cs="Times New Roman"/>
                <w:kern w:val="2"/>
                <w:sz w:val="28"/>
                <w:szCs w:val="28"/>
                <w:lang w:val="de-DE"/>
                <w14:ligatures w14:val="standardContextual"/>
              </w:rPr>
            </w:pPr>
            <w:r w:rsidRPr="00DF68F3">
              <w:rPr>
                <w:rFonts w:ascii="Times New Roman" w:hAnsi="Times New Roman" w:cs="Times New Roman"/>
                <w:kern w:val="2"/>
                <w:sz w:val="28"/>
                <w:szCs w:val="28"/>
                <w:lang w:val="de-DE"/>
                <w14:ligatures w14:val="standardContextual"/>
              </w:rPr>
              <w:t>REF: MS MOTAUNG /TPR/TPC1825</w:t>
            </w:r>
          </w:p>
        </w:tc>
      </w:tr>
    </w:tbl>
    <w:p w14:paraId="0B40240F" w14:textId="77777777" w:rsidR="00781B35" w:rsidRPr="00DF68F3" w:rsidRDefault="00781B35" w:rsidP="00781B35">
      <w:pPr>
        <w:spacing w:before="100" w:beforeAutospacing="1"/>
        <w:contextualSpacing/>
        <w:rPr>
          <w:rFonts w:ascii="Times New Roman" w:hAnsi="Times New Roman" w:cs="Times New Roman"/>
          <w:kern w:val="2"/>
          <w:sz w:val="28"/>
          <w:szCs w:val="28"/>
          <w:lang w:val="de-DE"/>
          <w14:ligatures w14:val="standardContextual"/>
        </w:rPr>
      </w:pPr>
    </w:p>
    <w:p w14:paraId="36B41636" w14:textId="6A221356" w:rsidR="00781B35" w:rsidRDefault="00DC2F59" w:rsidP="00DC2F59">
      <w:pPr>
        <w:spacing w:before="100" w:beforeAutospacing="1"/>
        <w:ind w:left="2268" w:hanging="567"/>
        <w:contextualSpacing/>
        <w:rPr>
          <w:rFonts w:ascii="Times New Roman" w:hAnsi="Times New Roman" w:cs="Times New Roman"/>
          <w:kern w:val="2"/>
          <w:sz w:val="28"/>
          <w:szCs w:val="28"/>
          <w:lang w:val="en-GB"/>
          <w14:ligatures w14:val="standardContextual"/>
        </w:rPr>
      </w:pPr>
      <w:r>
        <w:rPr>
          <w:rFonts w:ascii="Times New Roman" w:hAnsi="Times New Roman" w:cs="Times New Roman"/>
          <w:kern w:val="2"/>
          <w:sz w:val="28"/>
          <w:szCs w:val="28"/>
          <w:lang w:val="en-GB"/>
          <w14:ligatures w14:val="standardContextual"/>
        </w:rPr>
        <w:t>3.1.</w:t>
      </w:r>
      <w:r>
        <w:rPr>
          <w:rFonts w:ascii="Times New Roman" w:hAnsi="Times New Roman" w:cs="Times New Roman"/>
          <w:kern w:val="2"/>
          <w:sz w:val="28"/>
          <w:szCs w:val="28"/>
          <w:lang w:val="en-GB"/>
          <w14:ligatures w14:val="standardContextual"/>
        </w:rPr>
        <w:tab/>
      </w:r>
      <w:r w:rsidR="00781B35" w:rsidRPr="00DF68F3">
        <w:rPr>
          <w:rFonts w:ascii="Times New Roman" w:hAnsi="Times New Roman" w:cs="Times New Roman"/>
          <w:kern w:val="2"/>
          <w:sz w:val="28"/>
          <w:szCs w:val="28"/>
          <w:lang w:val="en-GB"/>
          <w14:ligatures w14:val="standardContextual"/>
        </w:rPr>
        <w:t xml:space="preserve">The Defendant will not be liable for interest on the above-mentioned </w:t>
      </w:r>
      <w:r w:rsidR="00781B35" w:rsidRPr="00DF68F3">
        <w:rPr>
          <w:rFonts w:ascii="Times New Roman" w:hAnsi="Times New Roman" w:cs="Times New Roman"/>
          <w:kern w:val="2"/>
          <w:sz w:val="28"/>
          <w:szCs w:val="28"/>
          <w:lang w:val="en-GB"/>
          <w14:ligatures w14:val="standardContextual"/>
        </w:rPr>
        <w:tab/>
        <w:t xml:space="preserve">amount </w:t>
      </w:r>
      <w:proofErr w:type="gramStart"/>
      <w:r w:rsidR="00781B35" w:rsidRPr="00DF68F3">
        <w:rPr>
          <w:rFonts w:ascii="Times New Roman" w:hAnsi="Times New Roman" w:cs="Times New Roman"/>
          <w:kern w:val="2"/>
          <w:sz w:val="28"/>
          <w:szCs w:val="28"/>
          <w:lang w:val="en-GB"/>
          <w14:ligatures w14:val="standardContextual"/>
        </w:rPr>
        <w:t>provided that</w:t>
      </w:r>
      <w:proofErr w:type="gramEnd"/>
      <w:r w:rsidR="00781B35" w:rsidRPr="00DF68F3">
        <w:rPr>
          <w:rFonts w:ascii="Times New Roman" w:hAnsi="Times New Roman" w:cs="Times New Roman"/>
          <w:kern w:val="2"/>
          <w:sz w:val="28"/>
          <w:szCs w:val="28"/>
          <w:lang w:val="en-GB"/>
          <w14:ligatures w14:val="standardContextual"/>
        </w:rPr>
        <w:t xml:space="preserve"> it is paid on or b</w:t>
      </w:r>
      <w:r w:rsidR="00781B35">
        <w:rPr>
          <w:rFonts w:ascii="Times New Roman" w:hAnsi="Times New Roman" w:cs="Times New Roman"/>
          <w:kern w:val="2"/>
          <w:sz w:val="28"/>
          <w:szCs w:val="28"/>
          <w:lang w:val="en-GB"/>
          <w14:ligatures w14:val="standardContextual"/>
        </w:rPr>
        <w:t>efore the expiry of 180 days</w:t>
      </w:r>
      <w:r w:rsidR="00926D12">
        <w:rPr>
          <w:rFonts w:ascii="Times New Roman" w:hAnsi="Times New Roman" w:cs="Times New Roman"/>
          <w:kern w:val="2"/>
          <w:sz w:val="28"/>
          <w:szCs w:val="28"/>
          <w:lang w:val="en-GB"/>
          <w14:ligatures w14:val="standardContextual"/>
        </w:rPr>
        <w:t xml:space="preserve"> from</w:t>
      </w:r>
      <w:r w:rsidR="00781B35" w:rsidRPr="00DF68F3">
        <w:rPr>
          <w:rFonts w:ascii="Times New Roman" w:hAnsi="Times New Roman" w:cs="Times New Roman"/>
          <w:kern w:val="2"/>
          <w:sz w:val="28"/>
          <w:szCs w:val="28"/>
          <w:lang w:val="en-GB"/>
          <w14:ligatures w14:val="standardContextual"/>
        </w:rPr>
        <w:t xml:space="preserve"> the date of this </w:t>
      </w:r>
      <w:r w:rsidR="00926D12">
        <w:rPr>
          <w:rFonts w:ascii="Times New Roman" w:hAnsi="Times New Roman" w:cs="Times New Roman"/>
          <w:kern w:val="2"/>
          <w:sz w:val="28"/>
          <w:szCs w:val="28"/>
          <w:lang w:val="en-GB"/>
          <w14:ligatures w14:val="standardContextual"/>
        </w:rPr>
        <w:t>o</w:t>
      </w:r>
      <w:r w:rsidR="00781B35" w:rsidRPr="00DF68F3">
        <w:rPr>
          <w:rFonts w:ascii="Times New Roman" w:hAnsi="Times New Roman" w:cs="Times New Roman"/>
          <w:kern w:val="2"/>
          <w:sz w:val="28"/>
          <w:szCs w:val="28"/>
          <w:lang w:val="en-GB"/>
          <w14:ligatures w14:val="standardContextual"/>
        </w:rPr>
        <w:t>rder, failing which interest at a ra</w:t>
      </w:r>
      <w:r w:rsidR="00781B35">
        <w:rPr>
          <w:rFonts w:ascii="Times New Roman" w:hAnsi="Times New Roman" w:cs="Times New Roman"/>
          <w:kern w:val="2"/>
          <w:sz w:val="28"/>
          <w:szCs w:val="28"/>
          <w:lang w:val="en-GB"/>
          <w14:ligatures w14:val="standardContextual"/>
        </w:rPr>
        <w:t xml:space="preserve">te of 8.75% per </w:t>
      </w:r>
      <w:r w:rsidR="00781B35">
        <w:rPr>
          <w:rFonts w:ascii="Times New Roman" w:hAnsi="Times New Roman" w:cs="Times New Roman"/>
          <w:kern w:val="2"/>
          <w:sz w:val="28"/>
          <w:szCs w:val="28"/>
          <w:lang w:val="en-GB"/>
          <w14:ligatures w14:val="standardContextual"/>
        </w:rPr>
        <w:tab/>
        <w:t xml:space="preserve">annum will be </w:t>
      </w:r>
      <w:r w:rsidR="00781B35" w:rsidRPr="00DF68F3">
        <w:rPr>
          <w:rFonts w:ascii="Times New Roman" w:hAnsi="Times New Roman" w:cs="Times New Roman"/>
          <w:kern w:val="2"/>
          <w:sz w:val="28"/>
          <w:szCs w:val="28"/>
          <w:lang w:val="en-GB"/>
          <w14:ligatures w14:val="standardContextual"/>
        </w:rPr>
        <w:t>payable calculated from</w:t>
      </w:r>
      <w:r w:rsidR="00781B35">
        <w:rPr>
          <w:rFonts w:ascii="Times New Roman" w:hAnsi="Times New Roman" w:cs="Times New Roman"/>
          <w:kern w:val="2"/>
          <w:sz w:val="28"/>
          <w:szCs w:val="28"/>
          <w:lang w:val="en-GB"/>
          <w14:ligatures w14:val="standardContextual"/>
        </w:rPr>
        <w:t xml:space="preserve"> the 15th day from the date of </w:t>
      </w:r>
      <w:r w:rsidR="00781B35" w:rsidRPr="00DF68F3">
        <w:rPr>
          <w:rFonts w:ascii="Times New Roman" w:hAnsi="Times New Roman" w:cs="Times New Roman"/>
          <w:kern w:val="2"/>
          <w:sz w:val="28"/>
          <w:szCs w:val="28"/>
          <w:lang w:val="en-GB"/>
          <w14:ligatures w14:val="standardContextual"/>
        </w:rPr>
        <w:t>this order.</w:t>
      </w:r>
    </w:p>
    <w:p w14:paraId="35C4E963" w14:textId="77777777" w:rsidR="00781B35" w:rsidRDefault="00781B35" w:rsidP="00781B35">
      <w:pPr>
        <w:spacing w:before="100" w:beforeAutospacing="1"/>
        <w:ind w:left="360"/>
        <w:contextualSpacing/>
        <w:rPr>
          <w:rFonts w:ascii="Times New Roman" w:hAnsi="Times New Roman" w:cs="Times New Roman"/>
          <w:kern w:val="2"/>
          <w:sz w:val="28"/>
          <w:szCs w:val="28"/>
          <w:lang w:val="en-GB"/>
          <w14:ligatures w14:val="standardContextual"/>
        </w:rPr>
      </w:pPr>
    </w:p>
    <w:p w14:paraId="24D936C1" w14:textId="2BD01E2B" w:rsidR="00781B35" w:rsidRPr="00BC574D" w:rsidRDefault="00DC2F59" w:rsidP="00DC2F59">
      <w:pPr>
        <w:spacing w:before="100" w:beforeAutospacing="1"/>
        <w:ind w:left="1276" w:hanging="567"/>
        <w:contextualSpacing/>
        <w:rPr>
          <w:rFonts w:ascii="Times New Roman" w:hAnsi="Times New Roman" w:cs="Times New Roman"/>
          <w:kern w:val="2"/>
          <w:sz w:val="28"/>
          <w:szCs w:val="28"/>
          <w:lang w:val="en-GB"/>
          <w14:ligatures w14:val="standardContextual"/>
        </w:rPr>
      </w:pPr>
      <w:r w:rsidRPr="00BC574D">
        <w:rPr>
          <w:rFonts w:ascii="Times New Roman" w:hAnsi="Times New Roman" w:cs="Times New Roman"/>
          <w:kern w:val="2"/>
          <w:sz w:val="28"/>
          <w:szCs w:val="28"/>
          <w:lang w:val="en-GB"/>
          <w14:ligatures w14:val="standardContextual"/>
        </w:rPr>
        <w:t>4.</w:t>
      </w:r>
      <w:r w:rsidRPr="00BC574D">
        <w:rPr>
          <w:rFonts w:ascii="Times New Roman" w:hAnsi="Times New Roman" w:cs="Times New Roman"/>
          <w:kern w:val="2"/>
          <w:sz w:val="28"/>
          <w:szCs w:val="28"/>
          <w:lang w:val="en-GB"/>
          <w14:ligatures w14:val="standardContextual"/>
        </w:rPr>
        <w:tab/>
      </w:r>
      <w:r w:rsidR="00781B35" w:rsidRPr="00DF68F3">
        <w:rPr>
          <w:rFonts w:ascii="Times New Roman" w:hAnsi="Times New Roman" w:cs="Times New Roman"/>
          <w:kern w:val="2"/>
          <w:sz w:val="28"/>
          <w:szCs w:val="28"/>
          <w14:ligatures w14:val="standardContextual"/>
        </w:rPr>
        <w:t>The</w:t>
      </w:r>
      <w:r w:rsidR="00781B35" w:rsidRPr="00DF68F3">
        <w:rPr>
          <w:rFonts w:ascii="Times New Roman" w:hAnsi="Times New Roman" w:cs="Times New Roman"/>
          <w:b/>
          <w:bCs/>
          <w:kern w:val="2"/>
          <w:sz w:val="28"/>
          <w:szCs w:val="28"/>
          <w14:ligatures w14:val="standardContextual"/>
        </w:rPr>
        <w:t xml:space="preserve"> </w:t>
      </w:r>
      <w:r w:rsidR="00781B35" w:rsidRPr="00DF68F3">
        <w:rPr>
          <w:rFonts w:ascii="Times New Roman" w:hAnsi="Times New Roman" w:cs="Times New Roman"/>
          <w:kern w:val="2"/>
          <w:sz w:val="28"/>
          <w:szCs w:val="28"/>
          <w14:ligatures w14:val="standardContextual"/>
        </w:rPr>
        <w:t>Defendant shall furnish the Plaintiff with an u</w:t>
      </w:r>
      <w:r w:rsidR="00781B35">
        <w:rPr>
          <w:rFonts w:ascii="Times New Roman" w:hAnsi="Times New Roman" w:cs="Times New Roman"/>
          <w:kern w:val="2"/>
          <w:sz w:val="28"/>
          <w:szCs w:val="28"/>
          <w14:ligatures w14:val="standardContextual"/>
        </w:rPr>
        <w:t xml:space="preserve">ndertaking in terms of Section </w:t>
      </w:r>
      <w:r w:rsidR="00781B35" w:rsidRPr="00DF68F3">
        <w:rPr>
          <w:rFonts w:ascii="Times New Roman" w:hAnsi="Times New Roman" w:cs="Times New Roman"/>
          <w:kern w:val="2"/>
          <w:sz w:val="28"/>
          <w:szCs w:val="28"/>
          <w14:ligatures w14:val="standardContextual"/>
        </w:rPr>
        <w:t>17(4)(a) of the Road Accident Fund Act, 56 of 19</w:t>
      </w:r>
      <w:r w:rsidR="00781B35">
        <w:rPr>
          <w:rFonts w:ascii="Times New Roman" w:hAnsi="Times New Roman" w:cs="Times New Roman"/>
          <w:kern w:val="2"/>
          <w:sz w:val="28"/>
          <w:szCs w:val="28"/>
          <w14:ligatures w14:val="standardContextual"/>
        </w:rPr>
        <w:t xml:space="preserve">96 for the reasonable costs of </w:t>
      </w:r>
      <w:r w:rsidR="00781B35" w:rsidRPr="00DF68F3">
        <w:rPr>
          <w:rFonts w:ascii="Times New Roman" w:hAnsi="Times New Roman" w:cs="Times New Roman"/>
          <w:kern w:val="2"/>
          <w:sz w:val="28"/>
          <w:szCs w:val="28"/>
          <w14:ligatures w14:val="standardContextual"/>
        </w:rPr>
        <w:t>the future accommodation of the Plaintiff in</w:t>
      </w:r>
      <w:r w:rsidR="00781B35">
        <w:rPr>
          <w:rFonts w:ascii="Times New Roman" w:hAnsi="Times New Roman" w:cs="Times New Roman"/>
          <w:kern w:val="2"/>
          <w:sz w:val="28"/>
          <w:szCs w:val="28"/>
          <w14:ligatures w14:val="standardContextual"/>
        </w:rPr>
        <w:t xml:space="preserve"> a hospital or nursing home or </w:t>
      </w:r>
      <w:r w:rsidR="00781B35" w:rsidRPr="00DF68F3">
        <w:rPr>
          <w:rFonts w:ascii="Times New Roman" w:hAnsi="Times New Roman" w:cs="Times New Roman"/>
          <w:kern w:val="2"/>
          <w:sz w:val="28"/>
          <w:szCs w:val="28"/>
          <w14:ligatures w14:val="standardContextual"/>
        </w:rPr>
        <w:t>treatment of or rendering of a service to he</w:t>
      </w:r>
      <w:r w:rsidR="00781B35">
        <w:rPr>
          <w:rFonts w:ascii="Times New Roman" w:hAnsi="Times New Roman" w:cs="Times New Roman"/>
          <w:kern w:val="2"/>
          <w:sz w:val="28"/>
          <w:szCs w:val="28"/>
          <w14:ligatures w14:val="standardContextual"/>
        </w:rPr>
        <w:t xml:space="preserve">r or supplying of goods to her </w:t>
      </w:r>
      <w:r w:rsidR="00781B35" w:rsidRPr="00DF68F3">
        <w:rPr>
          <w:rFonts w:ascii="Times New Roman" w:hAnsi="Times New Roman" w:cs="Times New Roman"/>
          <w:kern w:val="2"/>
          <w:sz w:val="28"/>
          <w:szCs w:val="28"/>
          <w14:ligatures w14:val="standardContextual"/>
        </w:rPr>
        <w:t>resulting from the injuries sustained by the Plaint</w:t>
      </w:r>
      <w:r w:rsidR="00781B35">
        <w:rPr>
          <w:rFonts w:ascii="Times New Roman" w:hAnsi="Times New Roman" w:cs="Times New Roman"/>
          <w:kern w:val="2"/>
          <w:sz w:val="28"/>
          <w:szCs w:val="28"/>
          <w14:ligatures w14:val="standardContextual"/>
        </w:rPr>
        <w:t xml:space="preserve">iff’s and of administering and </w:t>
      </w:r>
      <w:r w:rsidR="00781B35" w:rsidRPr="00DF68F3">
        <w:rPr>
          <w:rFonts w:ascii="Times New Roman" w:hAnsi="Times New Roman" w:cs="Times New Roman"/>
          <w:kern w:val="2"/>
          <w:sz w:val="28"/>
          <w:szCs w:val="28"/>
          <w14:ligatures w14:val="standardContextual"/>
        </w:rPr>
        <w:t>enforcement of this undertaking, as a result of the</w:t>
      </w:r>
      <w:r w:rsidR="00781B35">
        <w:rPr>
          <w:rFonts w:ascii="Times New Roman" w:hAnsi="Times New Roman" w:cs="Times New Roman"/>
          <w:kern w:val="2"/>
          <w:sz w:val="28"/>
          <w:szCs w:val="28"/>
          <w14:ligatures w14:val="standardContextual"/>
        </w:rPr>
        <w:t xml:space="preserve"> motor vehicle collision which </w:t>
      </w:r>
      <w:r w:rsidR="00781B35" w:rsidRPr="00DF68F3">
        <w:rPr>
          <w:rFonts w:ascii="Times New Roman" w:hAnsi="Times New Roman" w:cs="Times New Roman"/>
          <w:kern w:val="2"/>
          <w:sz w:val="28"/>
          <w:szCs w:val="28"/>
          <w14:ligatures w14:val="standardContextual"/>
        </w:rPr>
        <w:t>occurred on 09</w:t>
      </w:r>
      <w:r w:rsidR="00781B35" w:rsidRPr="00DF68F3">
        <w:rPr>
          <w:rFonts w:ascii="Times New Roman" w:hAnsi="Times New Roman" w:cs="Times New Roman"/>
          <w:kern w:val="2"/>
          <w:sz w:val="28"/>
          <w:szCs w:val="28"/>
          <w:vertAlign w:val="superscript"/>
          <w14:ligatures w14:val="standardContextual"/>
        </w:rPr>
        <w:t>th</w:t>
      </w:r>
      <w:r w:rsidR="00781B35" w:rsidRPr="00DF68F3">
        <w:rPr>
          <w:rFonts w:ascii="Times New Roman" w:hAnsi="Times New Roman" w:cs="Times New Roman"/>
          <w:kern w:val="2"/>
          <w:sz w:val="28"/>
          <w:szCs w:val="28"/>
          <w14:ligatures w14:val="standardContextual"/>
        </w:rPr>
        <w:t xml:space="preserve"> April 2017, after suc</w:t>
      </w:r>
      <w:r w:rsidR="00781B35">
        <w:rPr>
          <w:rFonts w:ascii="Times New Roman" w:hAnsi="Times New Roman" w:cs="Times New Roman"/>
          <w:kern w:val="2"/>
          <w:sz w:val="28"/>
          <w:szCs w:val="28"/>
          <w14:ligatures w14:val="standardContextual"/>
        </w:rPr>
        <w:t xml:space="preserve">h costs have been incurred and </w:t>
      </w:r>
      <w:r w:rsidR="00781B35" w:rsidRPr="00DF68F3">
        <w:rPr>
          <w:rFonts w:ascii="Times New Roman" w:hAnsi="Times New Roman" w:cs="Times New Roman"/>
          <w:kern w:val="2"/>
          <w:sz w:val="28"/>
          <w:szCs w:val="28"/>
          <w14:ligatures w14:val="standardContextual"/>
        </w:rPr>
        <w:t>upon proof thereof.</w:t>
      </w:r>
    </w:p>
    <w:p w14:paraId="3981999E" w14:textId="77777777" w:rsidR="00BC574D" w:rsidRDefault="00BC574D" w:rsidP="00BC574D">
      <w:pPr>
        <w:spacing w:before="100" w:beforeAutospacing="1"/>
        <w:ind w:left="1276"/>
        <w:contextualSpacing/>
        <w:rPr>
          <w:rFonts w:ascii="Times New Roman" w:hAnsi="Times New Roman" w:cs="Times New Roman"/>
          <w:kern w:val="2"/>
          <w:sz w:val="28"/>
          <w:szCs w:val="28"/>
          <w:lang w:val="en-GB"/>
          <w14:ligatures w14:val="standardContextual"/>
        </w:rPr>
      </w:pPr>
    </w:p>
    <w:p w14:paraId="3C164934" w14:textId="27B026E0" w:rsidR="00781B35" w:rsidRPr="00DF68F3" w:rsidRDefault="00DC2F59" w:rsidP="00DC2F59">
      <w:pPr>
        <w:spacing w:before="100" w:beforeAutospacing="1"/>
        <w:ind w:left="1276" w:hanging="567"/>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5.</w:t>
      </w:r>
      <w:r w:rsidRPr="00DF68F3">
        <w:rPr>
          <w:rFonts w:ascii="Times New Roman" w:hAnsi="Times New Roman" w:cs="Times New Roman"/>
          <w:kern w:val="2"/>
          <w:sz w:val="28"/>
          <w:szCs w:val="28"/>
          <w:lang w:val="en-GB"/>
          <w14:ligatures w14:val="standardContextual"/>
        </w:rPr>
        <w:tab/>
      </w:r>
      <w:r w:rsidR="00781B35" w:rsidRPr="00DF68F3">
        <w:rPr>
          <w:rFonts w:ascii="Times New Roman" w:hAnsi="Times New Roman" w:cs="Times New Roman"/>
          <w:kern w:val="2"/>
          <w:sz w:val="28"/>
          <w:szCs w:val="28"/>
          <w:lang w:val="en-US"/>
          <w14:ligatures w14:val="standardContextual"/>
        </w:rPr>
        <w:t xml:space="preserve">The Defendant shall pay the Plaintiff’s taxed </w:t>
      </w:r>
      <w:r w:rsidR="00781B35">
        <w:rPr>
          <w:rFonts w:ascii="Times New Roman" w:hAnsi="Times New Roman" w:cs="Times New Roman"/>
          <w:kern w:val="2"/>
          <w:sz w:val="28"/>
          <w:szCs w:val="28"/>
          <w:lang w:val="en-US"/>
          <w14:ligatures w14:val="standardContextual"/>
        </w:rPr>
        <w:t xml:space="preserve">or agreed party and party costs </w:t>
      </w:r>
      <w:r w:rsidR="00781B35" w:rsidRPr="00DF68F3">
        <w:rPr>
          <w:rFonts w:ascii="Times New Roman" w:hAnsi="Times New Roman" w:cs="Times New Roman"/>
          <w:kern w:val="2"/>
          <w:sz w:val="28"/>
          <w:szCs w:val="28"/>
          <w:lang w:val="en-US"/>
          <w14:ligatures w14:val="standardContextual"/>
        </w:rPr>
        <w:t xml:space="preserve">on a High Court scale. </w:t>
      </w:r>
      <w:proofErr w:type="gramStart"/>
      <w:r w:rsidR="00781B35" w:rsidRPr="00DF68F3">
        <w:rPr>
          <w:rFonts w:ascii="Times New Roman" w:hAnsi="Times New Roman" w:cs="Times New Roman"/>
          <w:kern w:val="2"/>
          <w:sz w:val="28"/>
          <w:szCs w:val="28"/>
          <w:lang w:val="en-US"/>
          <w14:ligatures w14:val="standardContextual"/>
        </w:rPr>
        <w:t>In the event that</w:t>
      </w:r>
      <w:proofErr w:type="gramEnd"/>
      <w:r w:rsidR="00781B35" w:rsidRPr="00DF68F3">
        <w:rPr>
          <w:rFonts w:ascii="Times New Roman" w:hAnsi="Times New Roman" w:cs="Times New Roman"/>
          <w:kern w:val="2"/>
          <w:sz w:val="28"/>
          <w:szCs w:val="28"/>
          <w:lang w:val="en-US"/>
          <w14:ligatures w14:val="standardContextual"/>
        </w:rPr>
        <w:t xml:space="preserve"> the costs</w:t>
      </w:r>
      <w:r w:rsidR="00781B35">
        <w:rPr>
          <w:rFonts w:ascii="Times New Roman" w:hAnsi="Times New Roman" w:cs="Times New Roman"/>
          <w:kern w:val="2"/>
          <w:sz w:val="28"/>
          <w:szCs w:val="28"/>
          <w:lang w:val="en-US"/>
          <w14:ligatures w14:val="standardContextual"/>
        </w:rPr>
        <w:t xml:space="preserve"> are not agreed, it is ordered </w:t>
      </w:r>
      <w:r w:rsidR="00781B35" w:rsidRPr="00DF68F3">
        <w:rPr>
          <w:rFonts w:ascii="Times New Roman" w:hAnsi="Times New Roman" w:cs="Times New Roman"/>
          <w:kern w:val="2"/>
          <w:sz w:val="28"/>
          <w:szCs w:val="28"/>
          <w:lang w:val="en-US"/>
          <w14:ligatures w14:val="standardContextual"/>
        </w:rPr>
        <w:t>that:</w:t>
      </w:r>
    </w:p>
    <w:p w14:paraId="3E03277B" w14:textId="77777777" w:rsidR="00781B35" w:rsidRPr="00DF68F3" w:rsidRDefault="00781B35" w:rsidP="00781B35">
      <w:pPr>
        <w:spacing w:before="100" w:beforeAutospacing="1"/>
        <w:ind w:left="360"/>
        <w:contextualSpacing/>
        <w:rPr>
          <w:rFonts w:ascii="Times New Roman" w:hAnsi="Times New Roman" w:cs="Times New Roman"/>
          <w:kern w:val="2"/>
          <w:sz w:val="28"/>
          <w:szCs w:val="28"/>
          <w:lang w:val="en-GB"/>
          <w14:ligatures w14:val="standardContextual"/>
        </w:rPr>
      </w:pPr>
    </w:p>
    <w:p w14:paraId="1A0E807D" w14:textId="1469535F" w:rsidR="00781B35" w:rsidRDefault="00DC2F59" w:rsidP="00DC2F59">
      <w:pPr>
        <w:spacing w:before="100" w:beforeAutospacing="1"/>
        <w:ind w:left="1985" w:hanging="709"/>
        <w:contextualSpacing/>
        <w:rPr>
          <w:rFonts w:ascii="Times New Roman" w:hAnsi="Times New Roman" w:cs="Times New Roman"/>
          <w:kern w:val="2"/>
          <w:sz w:val="28"/>
          <w:szCs w:val="28"/>
          <w:lang w:val="en-GB"/>
          <w14:ligatures w14:val="standardContextual"/>
        </w:rPr>
      </w:pPr>
      <w:r>
        <w:rPr>
          <w:rFonts w:ascii="Times New Roman" w:hAnsi="Times New Roman" w:cs="Times New Roman"/>
          <w:kern w:val="2"/>
          <w:sz w:val="28"/>
          <w:szCs w:val="28"/>
          <w:lang w:val="en-GB"/>
          <w14:ligatures w14:val="standardContextual"/>
        </w:rPr>
        <w:t>5.1.</w:t>
      </w:r>
      <w:r>
        <w:rPr>
          <w:rFonts w:ascii="Times New Roman" w:hAnsi="Times New Roman" w:cs="Times New Roman"/>
          <w:kern w:val="2"/>
          <w:sz w:val="28"/>
          <w:szCs w:val="28"/>
          <w:lang w:val="en-GB"/>
          <w14:ligatures w14:val="standardContextual"/>
        </w:rPr>
        <w:tab/>
      </w:r>
      <w:r w:rsidR="00781B35" w:rsidRPr="00DF68F3">
        <w:rPr>
          <w:rFonts w:ascii="Times New Roman" w:hAnsi="Times New Roman" w:cs="Times New Roman"/>
          <w:kern w:val="2"/>
          <w:sz w:val="28"/>
          <w:szCs w:val="28"/>
          <w:lang w:val="en-US"/>
          <w14:ligatures w14:val="standardContextual"/>
        </w:rPr>
        <w:t>The Plaintiff shall serve the notice o</w:t>
      </w:r>
      <w:r w:rsidR="00781B35">
        <w:rPr>
          <w:rFonts w:ascii="Times New Roman" w:hAnsi="Times New Roman" w:cs="Times New Roman"/>
          <w:kern w:val="2"/>
          <w:sz w:val="28"/>
          <w:szCs w:val="28"/>
          <w:lang w:val="en-US"/>
          <w14:ligatures w14:val="standardContextual"/>
        </w:rPr>
        <w:t xml:space="preserve">f taxation on the Defendant’s </w:t>
      </w:r>
      <w:r w:rsidR="00781B35" w:rsidRPr="00DF68F3">
        <w:rPr>
          <w:rFonts w:ascii="Times New Roman" w:hAnsi="Times New Roman" w:cs="Times New Roman"/>
          <w:kern w:val="2"/>
          <w:sz w:val="28"/>
          <w:szCs w:val="28"/>
          <w:lang w:val="en-US"/>
          <w14:ligatures w14:val="standardContextual"/>
        </w:rPr>
        <w:t xml:space="preserve">attorneys of </w:t>
      </w:r>
      <w:proofErr w:type="gramStart"/>
      <w:r w:rsidR="00781B35" w:rsidRPr="00DF68F3">
        <w:rPr>
          <w:rFonts w:ascii="Times New Roman" w:hAnsi="Times New Roman" w:cs="Times New Roman"/>
          <w:kern w:val="2"/>
          <w:sz w:val="28"/>
          <w:szCs w:val="28"/>
          <w:lang w:val="en-US"/>
          <w14:ligatures w14:val="standardContextual"/>
        </w:rPr>
        <w:t>record;</w:t>
      </w:r>
      <w:proofErr w:type="gramEnd"/>
    </w:p>
    <w:p w14:paraId="3963F6FB" w14:textId="77777777" w:rsidR="00781B35" w:rsidRPr="00F04D08" w:rsidRDefault="00781B35" w:rsidP="00781B35">
      <w:pPr>
        <w:spacing w:before="100" w:beforeAutospacing="1"/>
        <w:ind w:left="1985"/>
        <w:contextualSpacing/>
        <w:rPr>
          <w:rFonts w:ascii="Times New Roman" w:hAnsi="Times New Roman" w:cs="Times New Roman"/>
          <w:kern w:val="2"/>
          <w:sz w:val="28"/>
          <w:szCs w:val="28"/>
          <w:lang w:val="en-GB"/>
          <w14:ligatures w14:val="standardContextual"/>
        </w:rPr>
      </w:pPr>
    </w:p>
    <w:p w14:paraId="4B06BE2B" w14:textId="26A7F4DC" w:rsidR="00781B35" w:rsidRPr="00A2430F" w:rsidRDefault="00DC2F59" w:rsidP="00DC2F59">
      <w:pPr>
        <w:spacing w:before="100" w:beforeAutospacing="1"/>
        <w:ind w:left="1985" w:hanging="709"/>
        <w:contextualSpacing/>
        <w:rPr>
          <w:rFonts w:ascii="Times New Roman" w:hAnsi="Times New Roman" w:cs="Times New Roman"/>
          <w:kern w:val="2"/>
          <w:sz w:val="28"/>
          <w:szCs w:val="28"/>
          <w:lang w:val="en-GB"/>
          <w14:ligatures w14:val="standardContextual"/>
        </w:rPr>
      </w:pPr>
      <w:r w:rsidRPr="00A2430F">
        <w:rPr>
          <w:rFonts w:ascii="Times New Roman" w:hAnsi="Times New Roman" w:cs="Times New Roman"/>
          <w:kern w:val="2"/>
          <w:sz w:val="28"/>
          <w:szCs w:val="28"/>
          <w:lang w:val="en-GB"/>
          <w14:ligatures w14:val="standardContextual"/>
        </w:rPr>
        <w:t>5.2.</w:t>
      </w:r>
      <w:r w:rsidRPr="00A2430F">
        <w:rPr>
          <w:rFonts w:ascii="Times New Roman" w:hAnsi="Times New Roman" w:cs="Times New Roman"/>
          <w:kern w:val="2"/>
          <w:sz w:val="28"/>
          <w:szCs w:val="28"/>
          <w:lang w:val="en-GB"/>
          <w14:ligatures w14:val="standardContextual"/>
        </w:rPr>
        <w:tab/>
      </w:r>
      <w:r w:rsidR="00781B35" w:rsidRPr="00A2430F">
        <w:rPr>
          <w:rFonts w:ascii="Times New Roman" w:hAnsi="Times New Roman" w:cs="Times New Roman"/>
          <w:kern w:val="2"/>
          <w:sz w:val="28"/>
          <w:szCs w:val="28"/>
          <w:lang w:val="en-US"/>
          <w14:ligatures w14:val="standardContextual"/>
        </w:rPr>
        <w:t>The Plaintiff shall allow the Defendant Fo</w:t>
      </w:r>
      <w:r w:rsidR="00781B35">
        <w:rPr>
          <w:rFonts w:ascii="Times New Roman" w:hAnsi="Times New Roman" w:cs="Times New Roman"/>
          <w:kern w:val="2"/>
          <w:sz w:val="28"/>
          <w:szCs w:val="28"/>
          <w:lang w:val="en-US"/>
          <w14:ligatures w14:val="standardContextual"/>
        </w:rPr>
        <w:t xml:space="preserve">urteen (14) court days to make </w:t>
      </w:r>
      <w:r w:rsidR="00781B35" w:rsidRPr="00A2430F">
        <w:rPr>
          <w:rFonts w:ascii="Times New Roman" w:hAnsi="Times New Roman" w:cs="Times New Roman"/>
          <w:kern w:val="2"/>
          <w:sz w:val="28"/>
          <w:szCs w:val="28"/>
          <w:lang w:val="en-US"/>
          <w14:ligatures w14:val="standardContextual"/>
        </w:rPr>
        <w:t>the said payment of the taxed costs; and</w:t>
      </w:r>
    </w:p>
    <w:p w14:paraId="5CBA604B" w14:textId="77777777" w:rsidR="00781B35" w:rsidRDefault="00781B35" w:rsidP="00781B35">
      <w:pPr>
        <w:spacing w:before="100" w:beforeAutospacing="1"/>
        <w:ind w:left="1985"/>
        <w:contextualSpacing/>
        <w:rPr>
          <w:rFonts w:ascii="Times New Roman" w:hAnsi="Times New Roman" w:cs="Times New Roman"/>
          <w:kern w:val="2"/>
          <w:sz w:val="28"/>
          <w:szCs w:val="28"/>
          <w:lang w:val="en-GB"/>
          <w14:ligatures w14:val="standardContextual"/>
        </w:rPr>
      </w:pPr>
    </w:p>
    <w:p w14:paraId="750D13EE" w14:textId="4CD1C60E" w:rsidR="00781B35" w:rsidRPr="00A2430F" w:rsidRDefault="00DC2F59" w:rsidP="00DC2F59">
      <w:pPr>
        <w:spacing w:before="100" w:beforeAutospacing="1"/>
        <w:ind w:left="1985" w:hanging="709"/>
        <w:contextualSpacing/>
        <w:rPr>
          <w:rFonts w:ascii="Times New Roman" w:hAnsi="Times New Roman" w:cs="Times New Roman"/>
          <w:kern w:val="2"/>
          <w:sz w:val="28"/>
          <w:szCs w:val="28"/>
          <w:lang w:val="en-GB"/>
          <w14:ligatures w14:val="standardContextual"/>
        </w:rPr>
      </w:pPr>
      <w:r w:rsidRPr="00A2430F">
        <w:rPr>
          <w:rFonts w:ascii="Times New Roman" w:hAnsi="Times New Roman" w:cs="Times New Roman"/>
          <w:kern w:val="2"/>
          <w:sz w:val="28"/>
          <w:szCs w:val="28"/>
          <w:lang w:val="en-GB"/>
          <w14:ligatures w14:val="standardContextual"/>
        </w:rPr>
        <w:t>5.3.</w:t>
      </w:r>
      <w:r w:rsidRPr="00A2430F">
        <w:rPr>
          <w:rFonts w:ascii="Times New Roman" w:hAnsi="Times New Roman" w:cs="Times New Roman"/>
          <w:kern w:val="2"/>
          <w:sz w:val="28"/>
          <w:szCs w:val="28"/>
          <w:lang w:val="en-GB"/>
          <w14:ligatures w14:val="standardContextual"/>
        </w:rPr>
        <w:tab/>
      </w:r>
      <w:r w:rsidR="00781B35" w:rsidRPr="00A2430F">
        <w:rPr>
          <w:rFonts w:ascii="Times New Roman" w:hAnsi="Times New Roman" w:cs="Times New Roman"/>
          <w:kern w:val="2"/>
          <w:sz w:val="28"/>
          <w:szCs w:val="28"/>
          <w:lang w:val="en-US"/>
          <w14:ligatures w14:val="standardContextual"/>
        </w:rPr>
        <w:t xml:space="preserve">Should payment not be </w:t>
      </w:r>
      <w:proofErr w:type="gramStart"/>
      <w:r w:rsidR="00781B35" w:rsidRPr="00A2430F">
        <w:rPr>
          <w:rFonts w:ascii="Times New Roman" w:hAnsi="Times New Roman" w:cs="Times New Roman"/>
          <w:kern w:val="2"/>
          <w:sz w:val="28"/>
          <w:szCs w:val="28"/>
          <w:lang w:val="en-US"/>
          <w14:ligatures w14:val="standardContextual"/>
        </w:rPr>
        <w:t>effected</w:t>
      </w:r>
      <w:proofErr w:type="gramEnd"/>
      <w:r w:rsidR="00781B35" w:rsidRPr="00A2430F">
        <w:rPr>
          <w:rFonts w:ascii="Times New Roman" w:hAnsi="Times New Roman" w:cs="Times New Roman"/>
          <w:kern w:val="2"/>
          <w:sz w:val="28"/>
          <w:szCs w:val="28"/>
          <w:lang w:val="en-US"/>
          <w14:ligatures w14:val="standardContextual"/>
        </w:rPr>
        <w:t xml:space="preserve"> timeously, </w:t>
      </w:r>
      <w:r w:rsidR="00BC574D">
        <w:rPr>
          <w:rFonts w:ascii="Times New Roman" w:hAnsi="Times New Roman" w:cs="Times New Roman"/>
          <w:kern w:val="2"/>
          <w:sz w:val="28"/>
          <w:szCs w:val="28"/>
          <w:lang w:val="en-US"/>
          <w14:ligatures w14:val="standardContextual"/>
        </w:rPr>
        <w:t xml:space="preserve">the </w:t>
      </w:r>
      <w:r w:rsidR="00781B35" w:rsidRPr="00A2430F">
        <w:rPr>
          <w:rFonts w:ascii="Times New Roman" w:hAnsi="Times New Roman" w:cs="Times New Roman"/>
          <w:kern w:val="2"/>
          <w:sz w:val="28"/>
          <w:szCs w:val="28"/>
          <w:lang w:val="en-US"/>
          <w14:ligatures w14:val="standardContextual"/>
        </w:rPr>
        <w:t>Plaint</w:t>
      </w:r>
      <w:r w:rsidR="00781B35">
        <w:rPr>
          <w:rFonts w:ascii="Times New Roman" w:hAnsi="Times New Roman" w:cs="Times New Roman"/>
          <w:kern w:val="2"/>
          <w:sz w:val="28"/>
          <w:szCs w:val="28"/>
          <w:lang w:val="en-US"/>
          <w14:ligatures w14:val="standardContextual"/>
        </w:rPr>
        <w:t xml:space="preserve">iff will be entitled to </w:t>
      </w:r>
      <w:r w:rsidR="00781B35" w:rsidRPr="00A2430F">
        <w:rPr>
          <w:rFonts w:ascii="Times New Roman" w:hAnsi="Times New Roman" w:cs="Times New Roman"/>
          <w:kern w:val="2"/>
          <w:sz w:val="28"/>
          <w:szCs w:val="28"/>
          <w:lang w:val="en-US"/>
          <w14:ligatures w14:val="standardContextual"/>
        </w:rPr>
        <w:t xml:space="preserve">recover interest a </w:t>
      </w:r>
      <w:proofErr w:type="spellStart"/>
      <w:r w:rsidR="00781B35" w:rsidRPr="00A2430F">
        <w:rPr>
          <w:rFonts w:ascii="Times New Roman" w:hAnsi="Times New Roman" w:cs="Times New Roman"/>
          <w:i/>
          <w:iCs/>
          <w:kern w:val="2"/>
          <w:sz w:val="28"/>
          <w:szCs w:val="28"/>
          <w:lang w:val="en-US"/>
          <w14:ligatures w14:val="standardContextual"/>
        </w:rPr>
        <w:t>temporae</w:t>
      </w:r>
      <w:proofErr w:type="spellEnd"/>
      <w:r w:rsidR="00781B35" w:rsidRPr="00A2430F">
        <w:rPr>
          <w:rFonts w:ascii="Times New Roman" w:hAnsi="Times New Roman" w:cs="Times New Roman"/>
          <w:i/>
          <w:iCs/>
          <w:kern w:val="2"/>
          <w:sz w:val="28"/>
          <w:szCs w:val="28"/>
          <w:lang w:val="en-US"/>
          <w14:ligatures w14:val="standardContextual"/>
        </w:rPr>
        <w:t xml:space="preserve"> morae</w:t>
      </w:r>
      <w:r w:rsidR="00781B35" w:rsidRPr="00A2430F">
        <w:rPr>
          <w:rFonts w:ascii="Times New Roman" w:hAnsi="Times New Roman" w:cs="Times New Roman"/>
          <w:kern w:val="2"/>
          <w:sz w:val="28"/>
          <w:szCs w:val="28"/>
          <w:lang w:val="en-US"/>
          <w14:ligatures w14:val="standardContextual"/>
        </w:rPr>
        <w:t xml:space="preserve"> on </w:t>
      </w:r>
      <w:r w:rsidR="00781B35">
        <w:rPr>
          <w:rFonts w:ascii="Times New Roman" w:hAnsi="Times New Roman" w:cs="Times New Roman"/>
          <w:kern w:val="2"/>
          <w:sz w:val="28"/>
          <w:szCs w:val="28"/>
          <w:lang w:val="en-US"/>
          <w14:ligatures w14:val="standardContextual"/>
        </w:rPr>
        <w:t xml:space="preserve">the taxed or agreed costs from </w:t>
      </w:r>
      <w:r w:rsidR="00781B35" w:rsidRPr="00A2430F">
        <w:rPr>
          <w:rFonts w:ascii="Times New Roman" w:hAnsi="Times New Roman" w:cs="Times New Roman"/>
          <w:kern w:val="2"/>
          <w:sz w:val="28"/>
          <w:szCs w:val="28"/>
          <w:lang w:val="en-US"/>
          <w14:ligatures w14:val="standardContextual"/>
        </w:rPr>
        <w:t>the date of allocatur to the date of final payment.</w:t>
      </w:r>
    </w:p>
    <w:p w14:paraId="11C286E0" w14:textId="77777777" w:rsidR="00781B35" w:rsidRPr="00DF68F3" w:rsidRDefault="00781B35" w:rsidP="00781B35">
      <w:pPr>
        <w:spacing w:before="100" w:beforeAutospacing="1"/>
        <w:ind w:left="360"/>
        <w:contextualSpacing/>
        <w:rPr>
          <w:rFonts w:ascii="Times New Roman" w:hAnsi="Times New Roman" w:cs="Times New Roman"/>
          <w:kern w:val="2"/>
          <w:sz w:val="28"/>
          <w:szCs w:val="28"/>
          <w:lang w:val="en-GB"/>
          <w14:ligatures w14:val="standardContextual"/>
        </w:rPr>
      </w:pPr>
    </w:p>
    <w:p w14:paraId="6EBD0B20" w14:textId="71FE88C4" w:rsidR="00781B35" w:rsidRPr="00DF68F3" w:rsidRDefault="00DC2F59" w:rsidP="00DC2F59">
      <w:pPr>
        <w:spacing w:before="100" w:beforeAutospacing="1"/>
        <w:ind w:left="1276" w:hanging="567"/>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6.</w:t>
      </w:r>
      <w:r w:rsidRPr="00DF68F3">
        <w:rPr>
          <w:rFonts w:ascii="Times New Roman" w:hAnsi="Times New Roman" w:cs="Times New Roman"/>
          <w:kern w:val="2"/>
          <w:sz w:val="28"/>
          <w:szCs w:val="28"/>
          <w:lang w:val="en-GB"/>
          <w14:ligatures w14:val="standardContextual"/>
        </w:rPr>
        <w:tab/>
      </w:r>
      <w:r w:rsidR="00781B35" w:rsidRPr="00DF68F3">
        <w:rPr>
          <w:rFonts w:ascii="Times New Roman" w:hAnsi="Times New Roman" w:cs="Times New Roman"/>
          <w:kern w:val="2"/>
          <w:sz w:val="28"/>
          <w:szCs w:val="28"/>
          <w14:ligatures w14:val="standardContextual"/>
        </w:rPr>
        <w:t xml:space="preserve">The costs in paragraph </w:t>
      </w:r>
      <w:r w:rsidR="00BC574D">
        <w:rPr>
          <w:rFonts w:ascii="Times New Roman" w:hAnsi="Times New Roman" w:cs="Times New Roman"/>
          <w:kern w:val="2"/>
          <w:sz w:val="28"/>
          <w:szCs w:val="28"/>
          <w14:ligatures w14:val="standardContextual"/>
        </w:rPr>
        <w:t>5</w:t>
      </w:r>
      <w:r w:rsidR="00781B35" w:rsidRPr="00DF68F3">
        <w:rPr>
          <w:rFonts w:ascii="Times New Roman" w:hAnsi="Times New Roman" w:cs="Times New Roman"/>
          <w:kern w:val="2"/>
          <w:sz w:val="28"/>
          <w:szCs w:val="28"/>
          <w14:ligatures w14:val="standardContextual"/>
        </w:rPr>
        <w:t xml:space="preserve"> above shall also be paid i</w:t>
      </w:r>
      <w:r w:rsidR="00781B35">
        <w:rPr>
          <w:rFonts w:ascii="Times New Roman" w:hAnsi="Times New Roman" w:cs="Times New Roman"/>
          <w:kern w:val="2"/>
          <w:sz w:val="28"/>
          <w:szCs w:val="28"/>
          <w14:ligatures w14:val="standardContextual"/>
        </w:rPr>
        <w:t xml:space="preserve">nto the Plaintiff’s attorneys’ </w:t>
      </w:r>
      <w:r w:rsidR="00781B35" w:rsidRPr="00DF68F3">
        <w:rPr>
          <w:rFonts w:ascii="Times New Roman" w:hAnsi="Times New Roman" w:cs="Times New Roman"/>
          <w:kern w:val="2"/>
          <w:sz w:val="28"/>
          <w:szCs w:val="28"/>
          <w14:ligatures w14:val="standardContextual"/>
        </w:rPr>
        <w:t xml:space="preserve">trust account referred to in paragraph </w:t>
      </w:r>
      <w:r w:rsidR="00BC574D">
        <w:rPr>
          <w:rFonts w:ascii="Times New Roman" w:hAnsi="Times New Roman" w:cs="Times New Roman"/>
          <w:kern w:val="2"/>
          <w:sz w:val="28"/>
          <w:szCs w:val="28"/>
          <w14:ligatures w14:val="standardContextual"/>
        </w:rPr>
        <w:t>3</w:t>
      </w:r>
      <w:r w:rsidR="00781B35" w:rsidRPr="00DF68F3">
        <w:rPr>
          <w:rFonts w:ascii="Times New Roman" w:hAnsi="Times New Roman" w:cs="Times New Roman"/>
          <w:kern w:val="2"/>
          <w:sz w:val="28"/>
          <w:szCs w:val="28"/>
          <w14:ligatures w14:val="standardContextual"/>
        </w:rPr>
        <w:t xml:space="preserve"> above, for the benefit of the Plaintiff. </w:t>
      </w:r>
    </w:p>
    <w:p w14:paraId="6560BCF7" w14:textId="77777777" w:rsidR="00781B35" w:rsidRPr="00DF68F3" w:rsidRDefault="00781B35" w:rsidP="00781B35">
      <w:pPr>
        <w:spacing w:before="100" w:beforeAutospacing="1"/>
        <w:ind w:left="360"/>
        <w:contextualSpacing/>
        <w:rPr>
          <w:rFonts w:ascii="Times New Roman" w:hAnsi="Times New Roman" w:cs="Times New Roman"/>
          <w:kern w:val="2"/>
          <w:sz w:val="28"/>
          <w:szCs w:val="28"/>
          <w:lang w:val="en-GB"/>
          <w14:ligatures w14:val="standardContextual"/>
        </w:rPr>
      </w:pPr>
    </w:p>
    <w:p w14:paraId="4B3E30C3" w14:textId="426684B9" w:rsidR="00781B35" w:rsidRPr="00DF68F3" w:rsidRDefault="00DC2F59" w:rsidP="00DC2F59">
      <w:pPr>
        <w:spacing w:before="100" w:beforeAutospacing="1"/>
        <w:ind w:left="1276" w:hanging="567"/>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7.</w:t>
      </w:r>
      <w:r w:rsidRPr="00DF68F3">
        <w:rPr>
          <w:rFonts w:ascii="Times New Roman" w:hAnsi="Times New Roman" w:cs="Times New Roman"/>
          <w:kern w:val="2"/>
          <w:sz w:val="28"/>
          <w:szCs w:val="28"/>
          <w:lang w:val="en-GB"/>
          <w14:ligatures w14:val="standardContextual"/>
        </w:rPr>
        <w:tab/>
      </w:r>
      <w:r w:rsidR="00781B35">
        <w:rPr>
          <w:rFonts w:ascii="Times New Roman" w:hAnsi="Times New Roman" w:cs="Times New Roman"/>
          <w:kern w:val="2"/>
          <w:sz w:val="28"/>
          <w:szCs w:val="28"/>
          <w14:ligatures w14:val="standardContextual"/>
        </w:rPr>
        <w:t>The issue of general damages is postponed sine die.</w:t>
      </w:r>
    </w:p>
    <w:p w14:paraId="2BE18B4C" w14:textId="77777777"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06A9B004"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36D22EEB"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385EC051" w14:textId="77777777"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14:paraId="2604C030"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1F4DC655" w14:textId="77777777"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05BE7D01" w14:textId="5AF62BB0" w:rsidR="00314907"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BC6AF4">
        <w:rPr>
          <w:color w:val="000000" w:themeColor="text1"/>
          <w:sz w:val="28"/>
          <w:szCs w:val="28"/>
        </w:rPr>
        <w:t xml:space="preserve">This is an action against the Road Accident Fund (the RAF) for compensation of damages suffered by one </w:t>
      </w:r>
      <w:r w:rsidR="00F11B80">
        <w:rPr>
          <w:color w:val="000000" w:themeColor="text1"/>
          <w:sz w:val="28"/>
          <w:szCs w:val="28"/>
        </w:rPr>
        <w:t>P[...]</w:t>
      </w:r>
      <w:r w:rsidR="00BC6AF4">
        <w:rPr>
          <w:color w:val="000000" w:themeColor="text1"/>
          <w:sz w:val="28"/>
          <w:szCs w:val="28"/>
        </w:rPr>
        <w:t xml:space="preserve"> </w:t>
      </w:r>
      <w:r w:rsidR="00F11B80">
        <w:rPr>
          <w:color w:val="000000" w:themeColor="text1"/>
          <w:sz w:val="28"/>
          <w:szCs w:val="28"/>
        </w:rPr>
        <w:t>M[...]</w:t>
      </w:r>
      <w:r w:rsidR="00BC6AF4">
        <w:rPr>
          <w:color w:val="000000" w:themeColor="text1"/>
          <w:sz w:val="28"/>
          <w:szCs w:val="28"/>
        </w:rPr>
        <w:t xml:space="preserve"> </w:t>
      </w:r>
      <w:r w:rsidR="00F11B80">
        <w:rPr>
          <w:color w:val="000000" w:themeColor="text1"/>
          <w:sz w:val="28"/>
          <w:szCs w:val="28"/>
        </w:rPr>
        <w:t>M[...]</w:t>
      </w:r>
      <w:r w:rsidR="00BC6AF4">
        <w:rPr>
          <w:color w:val="000000" w:themeColor="text1"/>
          <w:sz w:val="28"/>
          <w:szCs w:val="28"/>
        </w:rPr>
        <w:t xml:space="preserve"> (who became the eventual plaintiff upon attaining majority) </w:t>
      </w:r>
      <w:proofErr w:type="gramStart"/>
      <w:r w:rsidR="00BC6AF4">
        <w:rPr>
          <w:color w:val="000000" w:themeColor="text1"/>
          <w:sz w:val="28"/>
          <w:szCs w:val="28"/>
        </w:rPr>
        <w:t>as a result of</w:t>
      </w:r>
      <w:proofErr w:type="gramEnd"/>
      <w:r w:rsidR="00BC6AF4">
        <w:rPr>
          <w:color w:val="000000" w:themeColor="text1"/>
          <w:sz w:val="28"/>
          <w:szCs w:val="28"/>
        </w:rPr>
        <w:t xml:space="preserve"> a motor vehicle accident which had occurred on 9 April 201</w:t>
      </w:r>
      <w:r w:rsidR="002A536D">
        <w:rPr>
          <w:color w:val="000000" w:themeColor="text1"/>
          <w:sz w:val="28"/>
          <w:szCs w:val="28"/>
        </w:rPr>
        <w:t>7</w:t>
      </w:r>
      <w:r w:rsidR="00BC6AF4">
        <w:rPr>
          <w:color w:val="000000" w:themeColor="text1"/>
          <w:sz w:val="28"/>
          <w:szCs w:val="28"/>
        </w:rPr>
        <w:t xml:space="preserve">.  At the time </w:t>
      </w:r>
      <w:r w:rsidR="00BC574D">
        <w:rPr>
          <w:color w:val="000000" w:themeColor="text1"/>
          <w:sz w:val="28"/>
          <w:szCs w:val="28"/>
        </w:rPr>
        <w:t xml:space="preserve">of the accident </w:t>
      </w:r>
      <w:r w:rsidR="00BC6AF4">
        <w:rPr>
          <w:color w:val="000000" w:themeColor="text1"/>
          <w:sz w:val="28"/>
          <w:szCs w:val="28"/>
        </w:rPr>
        <w:t>the plaintiff was 12 years old.  He was, at the time when the matter came before court</w:t>
      </w:r>
      <w:r w:rsidR="00BC574D">
        <w:rPr>
          <w:color w:val="000000" w:themeColor="text1"/>
          <w:sz w:val="28"/>
          <w:szCs w:val="28"/>
        </w:rPr>
        <w:t>,</w:t>
      </w:r>
      <w:r w:rsidR="00BC6AF4">
        <w:rPr>
          <w:color w:val="000000" w:themeColor="text1"/>
          <w:sz w:val="28"/>
          <w:szCs w:val="28"/>
        </w:rPr>
        <w:t xml:space="preserve"> 19 years old and had </w:t>
      </w:r>
      <w:proofErr w:type="gramStart"/>
      <w:r w:rsidR="00BC6AF4">
        <w:rPr>
          <w:color w:val="000000" w:themeColor="text1"/>
          <w:sz w:val="28"/>
          <w:szCs w:val="28"/>
        </w:rPr>
        <w:t>substituted</w:t>
      </w:r>
      <w:proofErr w:type="gramEnd"/>
      <w:r w:rsidR="00BC6AF4">
        <w:rPr>
          <w:color w:val="000000" w:themeColor="text1"/>
          <w:sz w:val="28"/>
          <w:szCs w:val="28"/>
        </w:rPr>
        <w:t xml:space="preserve"> his mother who had initiated the action on his behalf.</w:t>
      </w:r>
    </w:p>
    <w:p w14:paraId="77CE45D5" w14:textId="31BC8DC7" w:rsidR="00BC6AF4"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[2]</w:t>
      </w:r>
      <w:r>
        <w:rPr>
          <w:color w:val="000000" w:themeColor="text1"/>
          <w:sz w:val="28"/>
          <w:szCs w:val="28"/>
        </w:rPr>
        <w:tab/>
      </w:r>
      <w:r w:rsidR="00BC6AF4">
        <w:rPr>
          <w:color w:val="000000" w:themeColor="text1"/>
          <w:sz w:val="28"/>
          <w:szCs w:val="28"/>
        </w:rPr>
        <w:t>Apart from the issues of merits and quantum, which had been placed before the court by the plaintiff for purposes of obtaining a default judgment, two further issues featured in th</w:t>
      </w:r>
      <w:r w:rsidR="00BC574D">
        <w:rPr>
          <w:color w:val="000000" w:themeColor="text1"/>
          <w:sz w:val="28"/>
          <w:szCs w:val="28"/>
        </w:rPr>
        <w:t>is</w:t>
      </w:r>
      <w:r w:rsidR="00BC6AF4">
        <w:rPr>
          <w:color w:val="000000" w:themeColor="text1"/>
          <w:sz w:val="28"/>
          <w:szCs w:val="28"/>
        </w:rPr>
        <w:t xml:space="preserve"> matter</w:t>
      </w:r>
      <w:r w:rsidR="00BC574D">
        <w:rPr>
          <w:color w:val="000000" w:themeColor="text1"/>
          <w:sz w:val="28"/>
          <w:szCs w:val="28"/>
        </w:rPr>
        <w:t>. T</w:t>
      </w:r>
      <w:r w:rsidR="00BC6AF4">
        <w:rPr>
          <w:color w:val="000000" w:themeColor="text1"/>
          <w:sz w:val="28"/>
          <w:szCs w:val="28"/>
        </w:rPr>
        <w:t xml:space="preserve">he first is what the position of a defendant is whose </w:t>
      </w:r>
      <w:proofErr w:type="spellStart"/>
      <w:r w:rsidR="00BC6AF4">
        <w:rPr>
          <w:color w:val="000000" w:themeColor="text1"/>
          <w:sz w:val="28"/>
          <w:szCs w:val="28"/>
        </w:rPr>
        <w:t>defence</w:t>
      </w:r>
      <w:proofErr w:type="spellEnd"/>
      <w:r w:rsidR="00BC6AF4">
        <w:rPr>
          <w:color w:val="000000" w:themeColor="text1"/>
          <w:sz w:val="28"/>
          <w:szCs w:val="28"/>
        </w:rPr>
        <w:t xml:space="preserve"> had been struck out</w:t>
      </w:r>
      <w:r w:rsidR="00BC574D">
        <w:rPr>
          <w:color w:val="000000" w:themeColor="text1"/>
          <w:sz w:val="28"/>
          <w:szCs w:val="28"/>
        </w:rPr>
        <w:t xml:space="preserve"> and how far such a defendant may still participate in the proceedings</w:t>
      </w:r>
      <w:r w:rsidR="00BC6AF4">
        <w:rPr>
          <w:color w:val="000000" w:themeColor="text1"/>
          <w:sz w:val="28"/>
          <w:szCs w:val="28"/>
        </w:rPr>
        <w:t xml:space="preserve">.  The second is what the procedural consequences are when a plaintiff substantially amends its particulars of claim after a defendant’s </w:t>
      </w:r>
      <w:proofErr w:type="spellStart"/>
      <w:r w:rsidR="00BC6AF4">
        <w:rPr>
          <w:color w:val="000000" w:themeColor="text1"/>
          <w:sz w:val="28"/>
          <w:szCs w:val="28"/>
        </w:rPr>
        <w:t>defence</w:t>
      </w:r>
      <w:proofErr w:type="spellEnd"/>
      <w:r w:rsidR="00BC6AF4">
        <w:rPr>
          <w:color w:val="000000" w:themeColor="text1"/>
          <w:sz w:val="28"/>
          <w:szCs w:val="28"/>
        </w:rPr>
        <w:t xml:space="preserve"> has been struck out.  Both these last two issues feature regularly in the numerous RAF matters which c</w:t>
      </w:r>
      <w:r w:rsidR="00BC574D">
        <w:rPr>
          <w:color w:val="000000" w:themeColor="text1"/>
          <w:sz w:val="28"/>
          <w:szCs w:val="28"/>
        </w:rPr>
        <w:t>o</w:t>
      </w:r>
      <w:r w:rsidR="00BC6AF4">
        <w:rPr>
          <w:color w:val="000000" w:themeColor="text1"/>
          <w:sz w:val="28"/>
          <w:szCs w:val="28"/>
        </w:rPr>
        <w:t>me before this court daily, both in the Pretoria</w:t>
      </w:r>
      <w:r w:rsidR="00E62870">
        <w:rPr>
          <w:color w:val="000000" w:themeColor="text1"/>
          <w:sz w:val="28"/>
          <w:szCs w:val="28"/>
        </w:rPr>
        <w:t xml:space="preserve"> and Johannesburg Division of this court.</w:t>
      </w:r>
      <w:r w:rsidR="00BC6AF4">
        <w:rPr>
          <w:color w:val="000000" w:themeColor="text1"/>
          <w:sz w:val="28"/>
          <w:szCs w:val="28"/>
        </w:rPr>
        <w:t xml:space="preserve"> </w:t>
      </w:r>
    </w:p>
    <w:p w14:paraId="3F59FE9B" w14:textId="77777777" w:rsidR="00C2734B" w:rsidRPr="00A409DF" w:rsidRDefault="00E62870" w:rsidP="00A409DF">
      <w:pPr>
        <w:pStyle w:val="MEMONUMBERED"/>
        <w:numPr>
          <w:ilvl w:val="0"/>
          <w:numId w:val="0"/>
        </w:numPr>
        <w:spacing w:after="120" w:line="360" w:lineRule="auto"/>
        <w:rPr>
          <w:b/>
          <w:color w:val="000000" w:themeColor="text1"/>
          <w:sz w:val="28"/>
          <w:szCs w:val="28"/>
        </w:rPr>
      </w:pPr>
      <w:r>
        <w:rPr>
          <w:b/>
          <w:color w:val="000000" w:themeColor="text1"/>
          <w:sz w:val="28"/>
          <w:szCs w:val="28"/>
        </w:rPr>
        <w:t>Procedural history</w:t>
      </w:r>
      <w:r w:rsidR="00F76096">
        <w:rPr>
          <w:b/>
          <w:color w:val="000000" w:themeColor="text1"/>
          <w:sz w:val="28"/>
          <w:szCs w:val="28"/>
        </w:rPr>
        <w:t xml:space="preserve"> </w:t>
      </w:r>
    </w:p>
    <w:p w14:paraId="7A894E75" w14:textId="05FF646E" w:rsidR="00F76096"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E62870">
        <w:rPr>
          <w:color w:val="000000" w:themeColor="text1"/>
          <w:sz w:val="28"/>
          <w:szCs w:val="28"/>
        </w:rPr>
        <w:t xml:space="preserve">As can be gleaned from the above, </w:t>
      </w:r>
      <w:r w:rsidR="00BC574D">
        <w:rPr>
          <w:color w:val="000000" w:themeColor="text1"/>
          <w:sz w:val="28"/>
          <w:szCs w:val="28"/>
        </w:rPr>
        <w:t xml:space="preserve">an </w:t>
      </w:r>
      <w:r w:rsidR="00E62870">
        <w:rPr>
          <w:color w:val="000000" w:themeColor="text1"/>
          <w:sz w:val="28"/>
          <w:szCs w:val="28"/>
        </w:rPr>
        <w:t>analysis of the procedural history of the matter is necessary and will provide context.  Th</w:t>
      </w:r>
      <w:r w:rsidR="00BC574D">
        <w:rPr>
          <w:color w:val="000000" w:themeColor="text1"/>
          <w:sz w:val="28"/>
          <w:szCs w:val="28"/>
        </w:rPr>
        <w:t>e</w:t>
      </w:r>
      <w:r w:rsidR="00E62870">
        <w:rPr>
          <w:color w:val="000000" w:themeColor="text1"/>
          <w:sz w:val="28"/>
          <w:szCs w:val="28"/>
        </w:rPr>
        <w:t xml:space="preserve"> history </w:t>
      </w:r>
      <w:proofErr w:type="gramStart"/>
      <w:r w:rsidR="00E62870">
        <w:rPr>
          <w:color w:val="000000" w:themeColor="text1"/>
          <w:sz w:val="28"/>
          <w:szCs w:val="28"/>
        </w:rPr>
        <w:t>of  those</w:t>
      </w:r>
      <w:proofErr w:type="gramEnd"/>
      <w:r w:rsidR="00E62870">
        <w:rPr>
          <w:color w:val="000000" w:themeColor="text1"/>
          <w:sz w:val="28"/>
          <w:szCs w:val="28"/>
        </w:rPr>
        <w:t xml:space="preserve"> procedural steps relevant to the issues can be summarized as follows:</w:t>
      </w:r>
    </w:p>
    <w:p w14:paraId="0093C9A8" w14:textId="77777777" w:rsidR="00E62870" w:rsidRDefault="00E62870" w:rsidP="003C5F0C">
      <w:pPr>
        <w:pStyle w:val="MEMONUMBERED"/>
        <w:numPr>
          <w:ilvl w:val="0"/>
          <w:numId w:val="0"/>
        </w:numPr>
        <w:spacing w:after="360" w:line="360" w:lineRule="auto"/>
        <w:rPr>
          <w:color w:val="000000" w:themeColor="text1"/>
          <w:sz w:val="28"/>
          <w:szCs w:val="28"/>
        </w:rPr>
      </w:pPr>
      <w:r>
        <w:rPr>
          <w:color w:val="000000" w:themeColor="text1"/>
          <w:sz w:val="28"/>
          <w:szCs w:val="28"/>
        </w:rPr>
        <w:t>11 February 2019</w:t>
      </w:r>
      <w:r>
        <w:rPr>
          <w:color w:val="000000" w:themeColor="text1"/>
          <w:sz w:val="28"/>
          <w:szCs w:val="28"/>
        </w:rPr>
        <w:tab/>
      </w:r>
      <w:r w:rsidR="003C5F0C">
        <w:rPr>
          <w:color w:val="000000" w:themeColor="text1"/>
          <w:sz w:val="28"/>
          <w:szCs w:val="28"/>
        </w:rPr>
        <w:tab/>
      </w:r>
      <w:r>
        <w:rPr>
          <w:color w:val="000000" w:themeColor="text1"/>
          <w:sz w:val="28"/>
          <w:szCs w:val="28"/>
        </w:rPr>
        <w:t xml:space="preserve">Summons was </w:t>
      </w:r>
      <w:proofErr w:type="gramStart"/>
      <w:r>
        <w:rPr>
          <w:color w:val="000000" w:themeColor="text1"/>
          <w:sz w:val="28"/>
          <w:szCs w:val="28"/>
        </w:rPr>
        <w:t>issued</w:t>
      </w:r>
      <w:r w:rsidR="00165617">
        <w:rPr>
          <w:color w:val="000000" w:themeColor="text1"/>
          <w:sz w:val="28"/>
          <w:szCs w:val="28"/>
        </w:rPr>
        <w:t>;</w:t>
      </w:r>
      <w:proofErr w:type="gramEnd"/>
    </w:p>
    <w:p w14:paraId="40ABDBEB" w14:textId="1291AD0C" w:rsidR="00E62870" w:rsidRDefault="00E62870" w:rsidP="003C5F0C">
      <w:pPr>
        <w:pStyle w:val="MEMONUMBERED"/>
        <w:numPr>
          <w:ilvl w:val="0"/>
          <w:numId w:val="0"/>
        </w:numPr>
        <w:spacing w:after="360" w:line="360" w:lineRule="auto"/>
        <w:rPr>
          <w:color w:val="000000" w:themeColor="text1"/>
          <w:sz w:val="28"/>
          <w:szCs w:val="28"/>
        </w:rPr>
      </w:pPr>
      <w:r>
        <w:rPr>
          <w:color w:val="000000" w:themeColor="text1"/>
          <w:sz w:val="28"/>
          <w:szCs w:val="28"/>
        </w:rPr>
        <w:t>12 February 2019</w:t>
      </w:r>
      <w:r>
        <w:rPr>
          <w:color w:val="000000" w:themeColor="text1"/>
          <w:sz w:val="28"/>
          <w:szCs w:val="28"/>
        </w:rPr>
        <w:tab/>
      </w:r>
      <w:r w:rsidR="003C5F0C">
        <w:rPr>
          <w:color w:val="000000" w:themeColor="text1"/>
          <w:sz w:val="28"/>
          <w:szCs w:val="28"/>
        </w:rPr>
        <w:tab/>
      </w:r>
      <w:r>
        <w:rPr>
          <w:color w:val="000000" w:themeColor="text1"/>
          <w:sz w:val="28"/>
          <w:szCs w:val="28"/>
        </w:rPr>
        <w:t xml:space="preserve">Service took </w:t>
      </w:r>
      <w:proofErr w:type="gramStart"/>
      <w:r>
        <w:rPr>
          <w:color w:val="000000" w:themeColor="text1"/>
          <w:sz w:val="28"/>
          <w:szCs w:val="28"/>
        </w:rPr>
        <w:t>place</w:t>
      </w:r>
      <w:r w:rsidR="00165617">
        <w:rPr>
          <w:color w:val="000000" w:themeColor="text1"/>
          <w:sz w:val="28"/>
          <w:szCs w:val="28"/>
        </w:rPr>
        <w:t>;</w:t>
      </w:r>
      <w:proofErr w:type="gramEnd"/>
    </w:p>
    <w:p w14:paraId="1C208E75" w14:textId="52956BAB" w:rsidR="00E62870" w:rsidRDefault="00E62870" w:rsidP="003C5F0C">
      <w:pPr>
        <w:pStyle w:val="MEMONUMBERED"/>
        <w:numPr>
          <w:ilvl w:val="0"/>
          <w:numId w:val="0"/>
        </w:numPr>
        <w:spacing w:after="360" w:line="360" w:lineRule="auto"/>
        <w:rPr>
          <w:color w:val="000000" w:themeColor="text1"/>
          <w:sz w:val="28"/>
          <w:szCs w:val="28"/>
        </w:rPr>
      </w:pPr>
      <w:r>
        <w:rPr>
          <w:color w:val="000000" w:themeColor="text1"/>
          <w:sz w:val="28"/>
          <w:szCs w:val="28"/>
        </w:rPr>
        <w:t xml:space="preserve">27 February 2019 </w:t>
      </w:r>
      <w:r>
        <w:rPr>
          <w:color w:val="000000" w:themeColor="text1"/>
          <w:sz w:val="28"/>
          <w:szCs w:val="28"/>
        </w:rPr>
        <w:tab/>
      </w:r>
      <w:r w:rsidR="003C5F0C">
        <w:rPr>
          <w:color w:val="000000" w:themeColor="text1"/>
          <w:sz w:val="28"/>
          <w:szCs w:val="28"/>
        </w:rPr>
        <w:tab/>
      </w:r>
      <w:r>
        <w:rPr>
          <w:color w:val="000000" w:themeColor="text1"/>
          <w:sz w:val="28"/>
          <w:szCs w:val="28"/>
        </w:rPr>
        <w:t xml:space="preserve">Notice of intention </w:t>
      </w:r>
      <w:r w:rsidR="002A536D">
        <w:rPr>
          <w:color w:val="000000" w:themeColor="text1"/>
          <w:sz w:val="28"/>
          <w:szCs w:val="28"/>
        </w:rPr>
        <w:t>to</w:t>
      </w:r>
      <w:r>
        <w:rPr>
          <w:color w:val="000000" w:themeColor="text1"/>
          <w:sz w:val="28"/>
          <w:szCs w:val="28"/>
        </w:rPr>
        <w:t xml:space="preserve"> defend was </w:t>
      </w:r>
      <w:proofErr w:type="gramStart"/>
      <w:r>
        <w:rPr>
          <w:color w:val="000000" w:themeColor="text1"/>
          <w:sz w:val="28"/>
          <w:szCs w:val="28"/>
        </w:rPr>
        <w:t>delivered</w:t>
      </w:r>
      <w:r w:rsidR="00165617">
        <w:rPr>
          <w:color w:val="000000" w:themeColor="text1"/>
          <w:sz w:val="28"/>
          <w:szCs w:val="28"/>
        </w:rPr>
        <w:t>;</w:t>
      </w:r>
      <w:proofErr w:type="gramEnd"/>
    </w:p>
    <w:p w14:paraId="2805D368" w14:textId="3900BFD1" w:rsidR="00165617" w:rsidRDefault="00165617" w:rsidP="003C5F0C">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27 February 2019</w:t>
      </w:r>
      <w:r>
        <w:rPr>
          <w:color w:val="000000" w:themeColor="text1"/>
          <w:sz w:val="28"/>
          <w:szCs w:val="28"/>
        </w:rPr>
        <w:tab/>
        <w:t>Notices in terms of Rules 36 (4) and 35 (14) were delivered</w:t>
      </w:r>
      <w:r w:rsidR="00BC574D">
        <w:rPr>
          <w:color w:val="000000" w:themeColor="text1"/>
          <w:sz w:val="28"/>
          <w:szCs w:val="28"/>
        </w:rPr>
        <w:t xml:space="preserve"> by the RAF</w:t>
      </w:r>
      <w:r>
        <w:rPr>
          <w:color w:val="000000" w:themeColor="text1"/>
          <w:sz w:val="28"/>
          <w:szCs w:val="28"/>
        </w:rPr>
        <w:t xml:space="preserve">, calling </w:t>
      </w:r>
      <w:proofErr w:type="gramStart"/>
      <w:r>
        <w:rPr>
          <w:color w:val="000000" w:themeColor="text1"/>
          <w:sz w:val="28"/>
          <w:szCs w:val="28"/>
        </w:rPr>
        <w:t xml:space="preserve">for </w:t>
      </w:r>
      <w:r w:rsidR="00BC574D">
        <w:rPr>
          <w:color w:val="000000" w:themeColor="text1"/>
          <w:sz w:val="28"/>
          <w:szCs w:val="28"/>
        </w:rPr>
        <w:t>the production of</w:t>
      </w:r>
      <w:proofErr w:type="gramEnd"/>
      <w:r w:rsidR="00BC574D">
        <w:rPr>
          <w:color w:val="000000" w:themeColor="text1"/>
          <w:sz w:val="28"/>
          <w:szCs w:val="28"/>
        </w:rPr>
        <w:t xml:space="preserve"> </w:t>
      </w:r>
      <w:r>
        <w:rPr>
          <w:color w:val="000000" w:themeColor="text1"/>
          <w:sz w:val="28"/>
          <w:szCs w:val="28"/>
        </w:rPr>
        <w:t xml:space="preserve">medical records and ancillary documents. </w:t>
      </w:r>
    </w:p>
    <w:p w14:paraId="028BF967" w14:textId="754F526E" w:rsidR="00165617" w:rsidRDefault="00165617" w:rsidP="003C5F0C">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6 March 2019</w:t>
      </w:r>
      <w:r>
        <w:rPr>
          <w:color w:val="000000" w:themeColor="text1"/>
          <w:sz w:val="28"/>
          <w:szCs w:val="28"/>
        </w:rPr>
        <w:tab/>
        <w:t>The plaintiff furnishe</w:t>
      </w:r>
      <w:r w:rsidR="006F2517">
        <w:rPr>
          <w:color w:val="000000" w:themeColor="text1"/>
          <w:sz w:val="28"/>
          <w:szCs w:val="28"/>
        </w:rPr>
        <w:t>d</w:t>
      </w:r>
      <w:r>
        <w:rPr>
          <w:color w:val="000000" w:themeColor="text1"/>
          <w:sz w:val="28"/>
          <w:szCs w:val="28"/>
        </w:rPr>
        <w:t xml:space="preserve"> the RAF1 Form and hospital records f</w:t>
      </w:r>
      <w:r w:rsidR="006F2517">
        <w:rPr>
          <w:color w:val="000000" w:themeColor="text1"/>
          <w:sz w:val="28"/>
          <w:szCs w:val="28"/>
        </w:rPr>
        <w:t>r</w:t>
      </w:r>
      <w:r>
        <w:rPr>
          <w:color w:val="000000" w:themeColor="text1"/>
          <w:sz w:val="28"/>
          <w:szCs w:val="28"/>
        </w:rPr>
        <w:t>om Tembisa Hospital as well as claim documentation, proof of identity, an affidavit in terms of section 19(f) of the Road Accident Fund Act</w:t>
      </w:r>
      <w:r>
        <w:rPr>
          <w:rStyle w:val="FootnoteReference"/>
          <w:color w:val="000000" w:themeColor="text1"/>
          <w:sz w:val="28"/>
          <w:szCs w:val="28"/>
        </w:rPr>
        <w:footnoteReference w:id="1"/>
      </w:r>
      <w:r>
        <w:rPr>
          <w:color w:val="000000" w:themeColor="text1"/>
          <w:sz w:val="28"/>
          <w:szCs w:val="28"/>
        </w:rPr>
        <w:t xml:space="preserve"> as well </w:t>
      </w:r>
      <w:r>
        <w:rPr>
          <w:color w:val="000000" w:themeColor="text1"/>
          <w:sz w:val="28"/>
          <w:szCs w:val="28"/>
        </w:rPr>
        <w:lastRenderedPageBreak/>
        <w:t>as the police docket pertaining to the motor vehicle accident.</w:t>
      </w:r>
    </w:p>
    <w:p w14:paraId="4EEB95DF" w14:textId="1295FF50" w:rsidR="00165617" w:rsidRDefault="00165617" w:rsidP="006F251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11 March 2019</w:t>
      </w:r>
      <w:r>
        <w:rPr>
          <w:color w:val="000000" w:themeColor="text1"/>
          <w:sz w:val="28"/>
          <w:szCs w:val="28"/>
        </w:rPr>
        <w:tab/>
        <w:t>The RAF’s plea</w:t>
      </w:r>
      <w:r w:rsidR="006F2517">
        <w:rPr>
          <w:color w:val="000000" w:themeColor="text1"/>
          <w:sz w:val="28"/>
          <w:szCs w:val="28"/>
        </w:rPr>
        <w:t xml:space="preserve"> </w:t>
      </w:r>
      <w:r>
        <w:rPr>
          <w:color w:val="000000" w:themeColor="text1"/>
          <w:sz w:val="28"/>
          <w:szCs w:val="28"/>
        </w:rPr>
        <w:t xml:space="preserve">(including special pleas) </w:t>
      </w:r>
      <w:r w:rsidR="006F2517">
        <w:rPr>
          <w:color w:val="000000" w:themeColor="text1"/>
          <w:sz w:val="28"/>
          <w:szCs w:val="28"/>
        </w:rPr>
        <w:t>wa</w:t>
      </w:r>
      <w:r>
        <w:rPr>
          <w:color w:val="000000" w:themeColor="text1"/>
          <w:sz w:val="28"/>
          <w:szCs w:val="28"/>
        </w:rPr>
        <w:t>s delivered.</w:t>
      </w:r>
    </w:p>
    <w:p w14:paraId="3EE1615C" w14:textId="3DC797B5" w:rsidR="00165617" w:rsidRDefault="00165617" w:rsidP="003C5F0C">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26 May 2023</w:t>
      </w:r>
      <w:r>
        <w:rPr>
          <w:color w:val="000000" w:themeColor="text1"/>
          <w:sz w:val="28"/>
          <w:szCs w:val="28"/>
        </w:rPr>
        <w:tab/>
        <w:t>Mogotsi AJ order</w:t>
      </w:r>
      <w:r w:rsidR="006F2517">
        <w:rPr>
          <w:color w:val="000000" w:themeColor="text1"/>
          <w:sz w:val="28"/>
          <w:szCs w:val="28"/>
        </w:rPr>
        <w:t>ed</w:t>
      </w:r>
      <w:r>
        <w:rPr>
          <w:color w:val="000000" w:themeColor="text1"/>
          <w:sz w:val="28"/>
          <w:szCs w:val="28"/>
        </w:rPr>
        <w:t xml:space="preserve"> the RAF to deliver its discovery affidavit and to indicate a time and date for a pre-trial conference within 10 days from the service of the order.</w:t>
      </w:r>
    </w:p>
    <w:p w14:paraId="6760CCA1" w14:textId="2D8390AC" w:rsidR="00165617" w:rsidRDefault="00165617" w:rsidP="003C5F0C">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16 August 2023</w:t>
      </w:r>
      <w:r>
        <w:rPr>
          <w:color w:val="000000" w:themeColor="text1"/>
          <w:sz w:val="28"/>
          <w:szCs w:val="28"/>
        </w:rPr>
        <w:tab/>
        <w:t xml:space="preserve">Francis-Subbaiah J </w:t>
      </w:r>
      <w:r w:rsidR="006F2517">
        <w:rPr>
          <w:color w:val="000000" w:themeColor="text1"/>
          <w:sz w:val="28"/>
          <w:szCs w:val="28"/>
        </w:rPr>
        <w:t>s</w:t>
      </w:r>
      <w:r>
        <w:rPr>
          <w:color w:val="000000" w:themeColor="text1"/>
          <w:sz w:val="28"/>
          <w:szCs w:val="28"/>
        </w:rPr>
        <w:t xml:space="preserve">truck out the defendant’s </w:t>
      </w:r>
      <w:proofErr w:type="spellStart"/>
      <w:r>
        <w:rPr>
          <w:color w:val="000000" w:themeColor="text1"/>
          <w:sz w:val="28"/>
          <w:szCs w:val="28"/>
        </w:rPr>
        <w:t>defence</w:t>
      </w:r>
      <w:proofErr w:type="spellEnd"/>
      <w:r>
        <w:rPr>
          <w:color w:val="000000" w:themeColor="text1"/>
          <w:sz w:val="28"/>
          <w:szCs w:val="28"/>
        </w:rPr>
        <w:t xml:space="preserve"> for want of compliance with the order of 26 May 2023 and the plaintiff </w:t>
      </w:r>
      <w:r w:rsidR="006F2517">
        <w:rPr>
          <w:color w:val="000000" w:themeColor="text1"/>
          <w:sz w:val="28"/>
          <w:szCs w:val="28"/>
        </w:rPr>
        <w:t>wa</w:t>
      </w:r>
      <w:r>
        <w:rPr>
          <w:color w:val="000000" w:themeColor="text1"/>
          <w:sz w:val="28"/>
          <w:szCs w:val="28"/>
        </w:rPr>
        <w:t xml:space="preserve">s </w:t>
      </w:r>
      <w:proofErr w:type="spellStart"/>
      <w:r>
        <w:rPr>
          <w:color w:val="000000" w:themeColor="text1"/>
          <w:sz w:val="28"/>
          <w:szCs w:val="28"/>
        </w:rPr>
        <w:t>authorised</w:t>
      </w:r>
      <w:proofErr w:type="spellEnd"/>
      <w:r>
        <w:rPr>
          <w:color w:val="000000" w:themeColor="text1"/>
          <w:sz w:val="28"/>
          <w:szCs w:val="28"/>
        </w:rPr>
        <w:t xml:space="preserve"> to refer the matter to the Registrar for allocation of a date for purposes of seeking judgment by default.</w:t>
      </w:r>
    </w:p>
    <w:p w14:paraId="07971DE6" w14:textId="1382E22A" w:rsidR="00165617" w:rsidRDefault="00165617" w:rsidP="003C5F0C">
      <w:pPr>
        <w:pStyle w:val="MEMONUMBERED"/>
        <w:numPr>
          <w:ilvl w:val="0"/>
          <w:numId w:val="0"/>
        </w:numPr>
        <w:spacing w:after="360" w:line="360" w:lineRule="auto"/>
        <w:rPr>
          <w:color w:val="000000" w:themeColor="text1"/>
          <w:sz w:val="28"/>
          <w:szCs w:val="28"/>
        </w:rPr>
      </w:pPr>
      <w:r>
        <w:rPr>
          <w:color w:val="000000" w:themeColor="text1"/>
          <w:sz w:val="28"/>
          <w:szCs w:val="28"/>
        </w:rPr>
        <w:t>23 August 2023</w:t>
      </w:r>
      <w:r>
        <w:rPr>
          <w:color w:val="000000" w:themeColor="text1"/>
          <w:sz w:val="28"/>
          <w:szCs w:val="28"/>
        </w:rPr>
        <w:tab/>
      </w:r>
      <w:r w:rsidR="003C5F0C">
        <w:rPr>
          <w:color w:val="000000" w:themeColor="text1"/>
          <w:sz w:val="28"/>
          <w:szCs w:val="28"/>
        </w:rPr>
        <w:tab/>
      </w:r>
      <w:r>
        <w:rPr>
          <w:color w:val="000000" w:themeColor="text1"/>
          <w:sz w:val="28"/>
          <w:szCs w:val="28"/>
        </w:rPr>
        <w:t xml:space="preserve">The striking out order </w:t>
      </w:r>
      <w:r w:rsidR="006F2517">
        <w:rPr>
          <w:color w:val="000000" w:themeColor="text1"/>
          <w:sz w:val="28"/>
          <w:szCs w:val="28"/>
        </w:rPr>
        <w:t>wa</w:t>
      </w:r>
      <w:r>
        <w:rPr>
          <w:color w:val="000000" w:themeColor="text1"/>
          <w:sz w:val="28"/>
          <w:szCs w:val="28"/>
        </w:rPr>
        <w:t>s served on the RAF.</w:t>
      </w:r>
    </w:p>
    <w:p w14:paraId="4B62B920" w14:textId="733BA182" w:rsidR="00165617" w:rsidRDefault="00165617" w:rsidP="003C5F0C">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19 October 2023</w:t>
      </w:r>
      <w:r>
        <w:rPr>
          <w:color w:val="000000" w:themeColor="text1"/>
          <w:sz w:val="28"/>
          <w:szCs w:val="28"/>
        </w:rPr>
        <w:tab/>
        <w:t xml:space="preserve">The plaintiff served a notice in terms of Rule 28 to amend his particulars of claim.  In particular, </w:t>
      </w:r>
      <w:proofErr w:type="gramStart"/>
      <w:r>
        <w:rPr>
          <w:color w:val="000000" w:themeColor="text1"/>
          <w:sz w:val="28"/>
          <w:szCs w:val="28"/>
        </w:rPr>
        <w:t>the  amount</w:t>
      </w:r>
      <w:proofErr w:type="gramEnd"/>
      <w:r>
        <w:rPr>
          <w:color w:val="000000" w:themeColor="text1"/>
          <w:sz w:val="28"/>
          <w:szCs w:val="28"/>
        </w:rPr>
        <w:t xml:space="preserve"> of damages</w:t>
      </w:r>
      <w:r w:rsidR="006F2517">
        <w:rPr>
          <w:color w:val="000000" w:themeColor="text1"/>
          <w:sz w:val="28"/>
          <w:szCs w:val="28"/>
        </w:rPr>
        <w:t xml:space="preserve"> initially claimed</w:t>
      </w:r>
      <w:r>
        <w:rPr>
          <w:color w:val="000000" w:themeColor="text1"/>
          <w:sz w:val="28"/>
          <w:szCs w:val="28"/>
        </w:rPr>
        <w:t xml:space="preserve"> in the amount of R6</w:t>
      </w:r>
      <w:r w:rsidR="006F2517">
        <w:rPr>
          <w:color w:val="000000" w:themeColor="text1"/>
          <w:sz w:val="28"/>
          <w:szCs w:val="28"/>
        </w:rPr>
        <w:t>,</w:t>
      </w:r>
      <w:r>
        <w:rPr>
          <w:color w:val="000000" w:themeColor="text1"/>
          <w:sz w:val="28"/>
          <w:szCs w:val="28"/>
        </w:rPr>
        <w:t xml:space="preserve">4 million would be </w:t>
      </w:r>
      <w:r w:rsidR="003C5F0C">
        <w:rPr>
          <w:color w:val="000000" w:themeColor="text1"/>
          <w:sz w:val="28"/>
          <w:szCs w:val="28"/>
        </w:rPr>
        <w:t>amended</w:t>
      </w:r>
      <w:r w:rsidR="006F2517">
        <w:rPr>
          <w:color w:val="000000" w:themeColor="text1"/>
          <w:sz w:val="28"/>
          <w:szCs w:val="28"/>
        </w:rPr>
        <w:t xml:space="preserve"> and increased</w:t>
      </w:r>
      <w:r w:rsidR="003C5F0C">
        <w:rPr>
          <w:color w:val="000000" w:themeColor="text1"/>
          <w:sz w:val="28"/>
          <w:szCs w:val="28"/>
        </w:rPr>
        <w:t xml:space="preserve"> to R11,4 million.</w:t>
      </w:r>
    </w:p>
    <w:p w14:paraId="2564DFC9" w14:textId="7F10A8F9" w:rsidR="003C5F0C" w:rsidRDefault="003C5F0C" w:rsidP="003C5F0C">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2 November 2023</w:t>
      </w:r>
      <w:r>
        <w:rPr>
          <w:color w:val="000000" w:themeColor="text1"/>
          <w:sz w:val="28"/>
          <w:szCs w:val="28"/>
        </w:rPr>
        <w:tab/>
        <w:t xml:space="preserve">The </w:t>
      </w:r>
      <w:r w:rsidR="002A536D">
        <w:rPr>
          <w:color w:val="000000" w:themeColor="text1"/>
          <w:sz w:val="28"/>
          <w:szCs w:val="28"/>
        </w:rPr>
        <w:t xml:space="preserve">amended </w:t>
      </w:r>
      <w:r w:rsidR="006F2517">
        <w:rPr>
          <w:color w:val="000000" w:themeColor="text1"/>
          <w:sz w:val="28"/>
          <w:szCs w:val="28"/>
        </w:rPr>
        <w:t>pages</w:t>
      </w:r>
      <w:r w:rsidR="002A536D">
        <w:rPr>
          <w:color w:val="000000" w:themeColor="text1"/>
          <w:sz w:val="28"/>
          <w:szCs w:val="28"/>
        </w:rPr>
        <w:t xml:space="preserve"> </w:t>
      </w:r>
      <w:r w:rsidR="006F2517">
        <w:rPr>
          <w:color w:val="000000" w:themeColor="text1"/>
          <w:sz w:val="28"/>
          <w:szCs w:val="28"/>
        </w:rPr>
        <w:t>of the</w:t>
      </w:r>
      <w:r>
        <w:rPr>
          <w:color w:val="000000" w:themeColor="text1"/>
          <w:sz w:val="28"/>
          <w:szCs w:val="28"/>
        </w:rPr>
        <w:t xml:space="preserve"> particulars of claim </w:t>
      </w:r>
      <w:r w:rsidR="006F2517">
        <w:rPr>
          <w:color w:val="000000" w:themeColor="text1"/>
          <w:sz w:val="28"/>
          <w:szCs w:val="28"/>
        </w:rPr>
        <w:t>were</w:t>
      </w:r>
      <w:r>
        <w:rPr>
          <w:color w:val="000000" w:themeColor="text1"/>
          <w:sz w:val="28"/>
          <w:szCs w:val="28"/>
        </w:rPr>
        <w:t xml:space="preserve"> delivered.</w:t>
      </w:r>
    </w:p>
    <w:p w14:paraId="29E9EFB9" w14:textId="78840293" w:rsidR="003C5F0C" w:rsidRDefault="003C5F0C" w:rsidP="002E0D63">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16 November 2023</w:t>
      </w:r>
      <w:r w:rsidR="002E0D63">
        <w:rPr>
          <w:color w:val="000000" w:themeColor="text1"/>
          <w:sz w:val="28"/>
          <w:szCs w:val="28"/>
        </w:rPr>
        <w:tab/>
      </w:r>
      <w:r>
        <w:rPr>
          <w:color w:val="000000" w:themeColor="text1"/>
          <w:sz w:val="28"/>
          <w:szCs w:val="28"/>
        </w:rPr>
        <w:t>The RAF deliver</w:t>
      </w:r>
      <w:r w:rsidR="006F2517">
        <w:rPr>
          <w:color w:val="000000" w:themeColor="text1"/>
          <w:sz w:val="28"/>
          <w:szCs w:val="28"/>
        </w:rPr>
        <w:t>ed</w:t>
      </w:r>
      <w:r>
        <w:rPr>
          <w:color w:val="000000" w:themeColor="text1"/>
          <w:sz w:val="28"/>
          <w:szCs w:val="28"/>
        </w:rPr>
        <w:t xml:space="preserve"> a new notice to defend as well as a new plea entitled a “Consequential </w:t>
      </w:r>
      <w:proofErr w:type="spellStart"/>
      <w:r>
        <w:rPr>
          <w:color w:val="000000" w:themeColor="text1"/>
          <w:sz w:val="28"/>
          <w:szCs w:val="28"/>
        </w:rPr>
        <w:t>Defence</w:t>
      </w:r>
      <w:proofErr w:type="spellEnd"/>
      <w:r>
        <w:rPr>
          <w:color w:val="000000" w:themeColor="text1"/>
          <w:sz w:val="28"/>
          <w:szCs w:val="28"/>
        </w:rPr>
        <w:t xml:space="preserve"> Amendment” (as well as a new notice in terms of Rule </w:t>
      </w:r>
      <w:r>
        <w:rPr>
          <w:color w:val="000000" w:themeColor="text1"/>
          <w:sz w:val="28"/>
          <w:szCs w:val="28"/>
        </w:rPr>
        <w:lastRenderedPageBreak/>
        <w:t>35 (14) calling for copies of pre-accident school re</w:t>
      </w:r>
      <w:r w:rsidR="006F2517">
        <w:rPr>
          <w:color w:val="000000" w:themeColor="text1"/>
          <w:sz w:val="28"/>
          <w:szCs w:val="28"/>
        </w:rPr>
        <w:t>c</w:t>
      </w:r>
      <w:r>
        <w:rPr>
          <w:color w:val="000000" w:themeColor="text1"/>
          <w:sz w:val="28"/>
          <w:szCs w:val="28"/>
        </w:rPr>
        <w:t>ords).</w:t>
      </w:r>
    </w:p>
    <w:p w14:paraId="0E9E4D8C" w14:textId="260A4237" w:rsidR="003C5F0C" w:rsidRDefault="003C5F0C" w:rsidP="002E0D63">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17 November 2024</w:t>
      </w:r>
      <w:r w:rsidR="002E0D63">
        <w:rPr>
          <w:color w:val="000000" w:themeColor="text1"/>
          <w:sz w:val="28"/>
          <w:szCs w:val="28"/>
        </w:rPr>
        <w:tab/>
      </w:r>
      <w:r>
        <w:rPr>
          <w:color w:val="000000" w:themeColor="text1"/>
          <w:sz w:val="28"/>
          <w:szCs w:val="28"/>
        </w:rPr>
        <w:t xml:space="preserve">The matter came before court on the default judgment roll and was stood down for purposes of </w:t>
      </w:r>
      <w:r w:rsidR="006F2517">
        <w:rPr>
          <w:color w:val="000000" w:themeColor="text1"/>
          <w:sz w:val="28"/>
          <w:szCs w:val="28"/>
        </w:rPr>
        <w:t xml:space="preserve">delivery of </w:t>
      </w:r>
      <w:r>
        <w:rPr>
          <w:color w:val="000000" w:themeColor="text1"/>
          <w:sz w:val="28"/>
          <w:szCs w:val="28"/>
        </w:rPr>
        <w:t>heads of argument regarding the RAF’s position.</w:t>
      </w:r>
    </w:p>
    <w:p w14:paraId="6A11B652" w14:textId="77777777" w:rsidR="003C5F0C" w:rsidRDefault="003C5F0C" w:rsidP="002E0D63">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30 November 2024</w:t>
      </w:r>
      <w:r w:rsidR="002E0D63">
        <w:rPr>
          <w:color w:val="000000" w:themeColor="text1"/>
          <w:sz w:val="28"/>
          <w:szCs w:val="28"/>
        </w:rPr>
        <w:tab/>
      </w:r>
      <w:r>
        <w:rPr>
          <w:color w:val="000000" w:themeColor="text1"/>
          <w:sz w:val="28"/>
          <w:szCs w:val="28"/>
        </w:rPr>
        <w:t xml:space="preserve">The whole of the plaintiff’s case and the defendant’s </w:t>
      </w:r>
      <w:r w:rsidR="002E0D63">
        <w:rPr>
          <w:color w:val="000000" w:themeColor="text1"/>
          <w:sz w:val="28"/>
          <w:szCs w:val="28"/>
        </w:rPr>
        <w:t>o</w:t>
      </w:r>
      <w:r>
        <w:rPr>
          <w:color w:val="000000" w:themeColor="text1"/>
          <w:sz w:val="28"/>
          <w:szCs w:val="28"/>
        </w:rPr>
        <w:t>pposition thereto were argued.</w:t>
      </w:r>
    </w:p>
    <w:p w14:paraId="448C460D" w14:textId="55E2D6E7" w:rsidR="002E0D63" w:rsidRPr="002E0D63" w:rsidRDefault="002E0D63" w:rsidP="002E0D63">
      <w:pPr>
        <w:pStyle w:val="MEMONUMBERED"/>
        <w:numPr>
          <w:ilvl w:val="0"/>
          <w:numId w:val="0"/>
        </w:numPr>
        <w:spacing w:after="120" w:line="360" w:lineRule="auto"/>
        <w:ind w:left="2880" w:hanging="2880"/>
        <w:rPr>
          <w:b/>
          <w:color w:val="000000" w:themeColor="text1"/>
          <w:sz w:val="28"/>
          <w:szCs w:val="28"/>
        </w:rPr>
      </w:pPr>
      <w:r w:rsidRPr="002E0D63">
        <w:rPr>
          <w:b/>
          <w:color w:val="000000" w:themeColor="text1"/>
          <w:sz w:val="28"/>
          <w:szCs w:val="28"/>
        </w:rPr>
        <w:t>The consequences of a defendant</w:t>
      </w:r>
      <w:r w:rsidR="006F2517">
        <w:rPr>
          <w:b/>
          <w:color w:val="000000" w:themeColor="text1"/>
          <w:sz w:val="28"/>
          <w:szCs w:val="28"/>
        </w:rPr>
        <w:t xml:space="preserve">’s </w:t>
      </w:r>
      <w:proofErr w:type="spellStart"/>
      <w:r w:rsidR="006F2517">
        <w:rPr>
          <w:b/>
          <w:color w:val="000000" w:themeColor="text1"/>
          <w:sz w:val="28"/>
          <w:szCs w:val="28"/>
        </w:rPr>
        <w:t>defence</w:t>
      </w:r>
      <w:proofErr w:type="spellEnd"/>
      <w:r w:rsidRPr="002E0D63">
        <w:rPr>
          <w:b/>
          <w:color w:val="000000" w:themeColor="text1"/>
          <w:sz w:val="28"/>
          <w:szCs w:val="28"/>
        </w:rPr>
        <w:t xml:space="preserve"> being struck </w:t>
      </w:r>
      <w:proofErr w:type="gramStart"/>
      <w:r w:rsidRPr="002E0D63">
        <w:rPr>
          <w:b/>
          <w:color w:val="000000" w:themeColor="text1"/>
          <w:sz w:val="28"/>
          <w:szCs w:val="28"/>
        </w:rPr>
        <w:t>out</w:t>
      </w:r>
      <w:proofErr w:type="gramEnd"/>
    </w:p>
    <w:p w14:paraId="54682787" w14:textId="75E5A532" w:rsidR="00E62870"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2E0D63">
        <w:rPr>
          <w:color w:val="000000" w:themeColor="text1"/>
          <w:sz w:val="28"/>
          <w:szCs w:val="28"/>
        </w:rPr>
        <w:t>In simple terms</w:t>
      </w:r>
      <w:r w:rsidR="006F2517">
        <w:rPr>
          <w:color w:val="000000" w:themeColor="text1"/>
          <w:sz w:val="28"/>
          <w:szCs w:val="28"/>
        </w:rPr>
        <w:t>, o</w:t>
      </w:r>
      <w:r w:rsidR="002E0D63">
        <w:rPr>
          <w:color w:val="000000" w:themeColor="text1"/>
          <w:sz w:val="28"/>
          <w:szCs w:val="28"/>
        </w:rPr>
        <w:t>nce a defendant</w:t>
      </w:r>
      <w:r w:rsidR="006F2517">
        <w:rPr>
          <w:color w:val="000000" w:themeColor="text1"/>
          <w:sz w:val="28"/>
          <w:szCs w:val="28"/>
        </w:rPr>
        <w:t>’</w:t>
      </w:r>
      <w:r w:rsidR="002E0D63">
        <w:rPr>
          <w:color w:val="000000" w:themeColor="text1"/>
          <w:sz w:val="28"/>
          <w:szCs w:val="28"/>
        </w:rPr>
        <w:t xml:space="preserve">s </w:t>
      </w:r>
      <w:proofErr w:type="spellStart"/>
      <w:r w:rsidR="002E0D63">
        <w:rPr>
          <w:color w:val="000000" w:themeColor="text1"/>
          <w:sz w:val="28"/>
          <w:szCs w:val="28"/>
        </w:rPr>
        <w:t>defence</w:t>
      </w:r>
      <w:proofErr w:type="spellEnd"/>
      <w:r w:rsidR="002E0D63">
        <w:rPr>
          <w:color w:val="000000" w:themeColor="text1"/>
          <w:sz w:val="28"/>
          <w:szCs w:val="28"/>
        </w:rPr>
        <w:t xml:space="preserve"> (contained in its plea) is struck out, it means that there is no </w:t>
      </w:r>
      <w:proofErr w:type="spellStart"/>
      <w:r w:rsidR="002E0D63">
        <w:rPr>
          <w:color w:val="000000" w:themeColor="text1"/>
          <w:sz w:val="28"/>
          <w:szCs w:val="28"/>
        </w:rPr>
        <w:t>defence</w:t>
      </w:r>
      <w:proofErr w:type="spellEnd"/>
      <w:r w:rsidR="002E0D63">
        <w:rPr>
          <w:color w:val="000000" w:themeColor="text1"/>
          <w:sz w:val="28"/>
          <w:szCs w:val="28"/>
        </w:rPr>
        <w:t xml:space="preserve"> before the court </w:t>
      </w:r>
      <w:r w:rsidR="006F2517">
        <w:rPr>
          <w:color w:val="000000" w:themeColor="text1"/>
          <w:sz w:val="28"/>
          <w:szCs w:val="28"/>
        </w:rPr>
        <w:t xml:space="preserve">by which the </w:t>
      </w:r>
      <w:proofErr w:type="gramStart"/>
      <w:r w:rsidR="006F2517">
        <w:rPr>
          <w:color w:val="000000" w:themeColor="text1"/>
          <w:sz w:val="28"/>
          <w:szCs w:val="28"/>
        </w:rPr>
        <w:t xml:space="preserve">defendant </w:t>
      </w:r>
      <w:r w:rsidR="002E0D63">
        <w:rPr>
          <w:color w:val="000000" w:themeColor="text1"/>
          <w:sz w:val="28"/>
          <w:szCs w:val="28"/>
        </w:rPr>
        <w:t xml:space="preserve"> answer</w:t>
      </w:r>
      <w:r w:rsidR="006F2517">
        <w:rPr>
          <w:color w:val="000000" w:themeColor="text1"/>
          <w:sz w:val="28"/>
          <w:szCs w:val="28"/>
        </w:rPr>
        <w:t>s</w:t>
      </w:r>
      <w:proofErr w:type="gramEnd"/>
      <w:r w:rsidR="002E0D63">
        <w:rPr>
          <w:color w:val="000000" w:themeColor="text1"/>
          <w:sz w:val="28"/>
          <w:szCs w:val="28"/>
        </w:rPr>
        <w:t xml:space="preserve"> to or den</w:t>
      </w:r>
      <w:r w:rsidR="006F2517">
        <w:rPr>
          <w:color w:val="000000" w:themeColor="text1"/>
          <w:sz w:val="28"/>
          <w:szCs w:val="28"/>
        </w:rPr>
        <w:t>ies</w:t>
      </w:r>
      <w:r w:rsidR="002E0D63">
        <w:rPr>
          <w:color w:val="000000" w:themeColor="text1"/>
          <w:sz w:val="28"/>
          <w:szCs w:val="28"/>
        </w:rPr>
        <w:t xml:space="preserve"> the plaintiff’s cause of action.</w:t>
      </w:r>
      <w:r w:rsidR="006F2517">
        <w:rPr>
          <w:color w:val="000000" w:themeColor="text1"/>
          <w:sz w:val="28"/>
          <w:szCs w:val="28"/>
        </w:rPr>
        <w:t xml:space="preserve"> This is why</w:t>
      </w:r>
      <w:r w:rsidR="00E202B7">
        <w:rPr>
          <w:color w:val="000000" w:themeColor="text1"/>
          <w:sz w:val="28"/>
          <w:szCs w:val="28"/>
        </w:rPr>
        <w:t xml:space="preserve"> </w:t>
      </w:r>
      <w:r w:rsidR="006F2517">
        <w:rPr>
          <w:color w:val="000000" w:themeColor="text1"/>
          <w:sz w:val="28"/>
          <w:szCs w:val="28"/>
        </w:rPr>
        <w:t xml:space="preserve">the plaintiff in those circumstances is allowed to proceed to obtain </w:t>
      </w:r>
      <w:r w:rsidR="00E202B7">
        <w:rPr>
          <w:color w:val="000000" w:themeColor="text1"/>
          <w:sz w:val="28"/>
          <w:szCs w:val="28"/>
        </w:rPr>
        <w:t>judgment by default.</w:t>
      </w:r>
    </w:p>
    <w:p w14:paraId="3AC158D5" w14:textId="70AB4792" w:rsidR="002E0D63"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E202B7">
        <w:rPr>
          <w:color w:val="000000" w:themeColor="text1"/>
          <w:sz w:val="28"/>
          <w:szCs w:val="28"/>
        </w:rPr>
        <w:t>In substantiation of the above position t</w:t>
      </w:r>
      <w:r w:rsidR="002E0D63">
        <w:rPr>
          <w:color w:val="000000" w:themeColor="text1"/>
          <w:sz w:val="28"/>
          <w:szCs w:val="28"/>
        </w:rPr>
        <w:t>he plaintiff in this matter</w:t>
      </w:r>
      <w:r w:rsidR="00E202B7">
        <w:rPr>
          <w:color w:val="000000" w:themeColor="text1"/>
          <w:sz w:val="28"/>
          <w:szCs w:val="28"/>
        </w:rPr>
        <w:t xml:space="preserve"> sought to have any further participation in the matter by the defendant precluded by relying</w:t>
      </w:r>
      <w:r w:rsidR="002E0D63">
        <w:rPr>
          <w:color w:val="000000" w:themeColor="text1"/>
          <w:sz w:val="28"/>
          <w:szCs w:val="28"/>
        </w:rPr>
        <w:t xml:space="preserve"> on old authorities in which the court had held that, once a </w:t>
      </w:r>
      <w:proofErr w:type="spellStart"/>
      <w:r w:rsidR="002E0D63">
        <w:rPr>
          <w:color w:val="000000" w:themeColor="text1"/>
          <w:sz w:val="28"/>
          <w:szCs w:val="28"/>
        </w:rPr>
        <w:t>defence</w:t>
      </w:r>
      <w:proofErr w:type="spellEnd"/>
      <w:r w:rsidR="002E0D63">
        <w:rPr>
          <w:color w:val="000000" w:themeColor="text1"/>
          <w:sz w:val="28"/>
          <w:szCs w:val="28"/>
        </w:rPr>
        <w:t xml:space="preserve"> is struck out, a defendant “</w:t>
      </w:r>
      <w:r w:rsidR="002E0D63" w:rsidRPr="002E0D63">
        <w:rPr>
          <w:i/>
          <w:color w:val="000000" w:themeColor="text1"/>
          <w:sz w:val="28"/>
          <w:szCs w:val="28"/>
        </w:rPr>
        <w:t>… shall be place</w:t>
      </w:r>
      <w:r w:rsidR="00E202B7">
        <w:rPr>
          <w:i/>
          <w:color w:val="000000" w:themeColor="text1"/>
          <w:sz w:val="28"/>
          <w:szCs w:val="28"/>
        </w:rPr>
        <w:t>d</w:t>
      </w:r>
      <w:r w:rsidR="002E0D63" w:rsidRPr="002E0D63">
        <w:rPr>
          <w:i/>
          <w:color w:val="000000" w:themeColor="text1"/>
          <w:sz w:val="28"/>
          <w:szCs w:val="28"/>
        </w:rPr>
        <w:t xml:space="preserve"> in the same position as if he had not defended</w:t>
      </w:r>
      <w:r w:rsidR="002E0D63">
        <w:rPr>
          <w:color w:val="000000" w:themeColor="text1"/>
          <w:sz w:val="28"/>
          <w:szCs w:val="28"/>
        </w:rPr>
        <w:t>”.</w:t>
      </w:r>
      <w:r w:rsidR="002E0D63">
        <w:rPr>
          <w:rStyle w:val="FootnoteReference"/>
          <w:color w:val="000000" w:themeColor="text1"/>
          <w:sz w:val="28"/>
          <w:szCs w:val="28"/>
        </w:rPr>
        <w:footnoteReference w:id="2"/>
      </w:r>
    </w:p>
    <w:p w14:paraId="2679C7B6" w14:textId="2B0B6EED" w:rsidR="002E0D63"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2E0D63">
        <w:rPr>
          <w:color w:val="000000" w:themeColor="text1"/>
          <w:sz w:val="28"/>
          <w:szCs w:val="28"/>
        </w:rPr>
        <w:t xml:space="preserve">In </w:t>
      </w:r>
      <w:r w:rsidR="002E0D63" w:rsidRPr="00A33C27">
        <w:rPr>
          <w:i/>
          <w:color w:val="000000" w:themeColor="text1"/>
          <w:sz w:val="28"/>
          <w:szCs w:val="28"/>
        </w:rPr>
        <w:t>Minister of Safety and Security v Burger</w:t>
      </w:r>
      <w:r w:rsidR="002E0D63">
        <w:rPr>
          <w:rStyle w:val="FootnoteReference"/>
          <w:color w:val="000000" w:themeColor="text1"/>
          <w:sz w:val="28"/>
          <w:szCs w:val="28"/>
        </w:rPr>
        <w:footnoteReference w:id="3"/>
      </w:r>
      <w:r w:rsidR="00A33C27">
        <w:rPr>
          <w:color w:val="000000" w:themeColor="text1"/>
          <w:sz w:val="28"/>
          <w:szCs w:val="28"/>
        </w:rPr>
        <w:t xml:space="preserve"> Tlhapi J had been referred to these old authorities and, </w:t>
      </w:r>
      <w:proofErr w:type="gramStart"/>
      <w:r w:rsidR="00A33C27">
        <w:rPr>
          <w:color w:val="000000" w:themeColor="text1"/>
          <w:sz w:val="28"/>
          <w:szCs w:val="28"/>
        </w:rPr>
        <w:t>during the course of</w:t>
      </w:r>
      <w:proofErr w:type="gramEnd"/>
      <w:r w:rsidR="00A33C27">
        <w:rPr>
          <w:color w:val="000000" w:themeColor="text1"/>
          <w:sz w:val="28"/>
          <w:szCs w:val="28"/>
        </w:rPr>
        <w:t xml:space="preserve"> dealing with an application for rescission, rejected the argument that the striking of a </w:t>
      </w:r>
      <w:proofErr w:type="spellStart"/>
      <w:r w:rsidR="00A33C27">
        <w:rPr>
          <w:color w:val="000000" w:themeColor="text1"/>
          <w:sz w:val="28"/>
          <w:szCs w:val="28"/>
        </w:rPr>
        <w:t>defence</w:t>
      </w:r>
      <w:proofErr w:type="spellEnd"/>
      <w:r w:rsidR="00A33C27">
        <w:rPr>
          <w:color w:val="000000" w:themeColor="text1"/>
          <w:sz w:val="28"/>
          <w:szCs w:val="28"/>
        </w:rPr>
        <w:t xml:space="preserve"> “</w:t>
      </w:r>
      <w:r w:rsidR="00A33C27" w:rsidRPr="00A33C27">
        <w:rPr>
          <w:i/>
          <w:color w:val="000000" w:themeColor="text1"/>
          <w:sz w:val="28"/>
          <w:szCs w:val="28"/>
        </w:rPr>
        <w:t>left roo</w:t>
      </w:r>
      <w:r w:rsidR="00E202B7">
        <w:rPr>
          <w:i/>
          <w:color w:val="000000" w:themeColor="text1"/>
          <w:sz w:val="28"/>
          <w:szCs w:val="28"/>
        </w:rPr>
        <w:t>m</w:t>
      </w:r>
      <w:r w:rsidR="00A33C27" w:rsidRPr="00A33C27">
        <w:rPr>
          <w:i/>
          <w:color w:val="000000" w:themeColor="text1"/>
          <w:sz w:val="28"/>
          <w:szCs w:val="28"/>
        </w:rPr>
        <w:t xml:space="preserve"> for the [defendant] to still participate in the trial as far as the determination of quantum is concerned</w:t>
      </w:r>
      <w:r w:rsidR="00A33C27">
        <w:rPr>
          <w:color w:val="000000" w:themeColor="text1"/>
          <w:sz w:val="28"/>
          <w:szCs w:val="28"/>
        </w:rPr>
        <w:t>”.</w:t>
      </w:r>
    </w:p>
    <w:p w14:paraId="28EF4CE9" w14:textId="0E81F7C8" w:rsidR="00FF1019"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[7]</w:t>
      </w:r>
      <w:r>
        <w:rPr>
          <w:color w:val="000000" w:themeColor="text1"/>
          <w:sz w:val="28"/>
          <w:szCs w:val="28"/>
        </w:rPr>
        <w:tab/>
      </w:r>
      <w:r w:rsidR="00FF1019">
        <w:rPr>
          <w:color w:val="000000" w:themeColor="text1"/>
          <w:sz w:val="28"/>
          <w:szCs w:val="28"/>
        </w:rPr>
        <w:t xml:space="preserve">The plaintiff </w:t>
      </w:r>
      <w:r w:rsidR="00E202B7">
        <w:rPr>
          <w:color w:val="000000" w:themeColor="text1"/>
          <w:sz w:val="28"/>
          <w:szCs w:val="28"/>
        </w:rPr>
        <w:t>i</w:t>
      </w:r>
      <w:r w:rsidR="00FF1019">
        <w:rPr>
          <w:color w:val="000000" w:themeColor="text1"/>
          <w:sz w:val="28"/>
          <w:szCs w:val="28"/>
        </w:rPr>
        <w:t xml:space="preserve">n this matter not only relied on the above but also on the following extract from </w:t>
      </w:r>
      <w:r w:rsidR="00FF1019" w:rsidRPr="00FF1019">
        <w:rPr>
          <w:i/>
          <w:color w:val="000000" w:themeColor="text1"/>
          <w:sz w:val="28"/>
          <w:szCs w:val="28"/>
        </w:rPr>
        <w:t xml:space="preserve">Herbstein and Van </w:t>
      </w:r>
      <w:proofErr w:type="spellStart"/>
      <w:r w:rsidR="00FF1019" w:rsidRPr="00FF1019">
        <w:rPr>
          <w:i/>
          <w:color w:val="000000" w:themeColor="text1"/>
          <w:sz w:val="28"/>
          <w:szCs w:val="28"/>
        </w:rPr>
        <w:t>Winsen</w:t>
      </w:r>
      <w:proofErr w:type="spellEnd"/>
      <w:r w:rsidR="00FF1019">
        <w:rPr>
          <w:rStyle w:val="FootnoteReference"/>
          <w:color w:val="000000" w:themeColor="text1"/>
          <w:sz w:val="28"/>
          <w:szCs w:val="28"/>
        </w:rPr>
        <w:footnoteReference w:id="4"/>
      </w:r>
      <w:r w:rsidR="00FF1019">
        <w:rPr>
          <w:color w:val="000000" w:themeColor="text1"/>
          <w:sz w:val="28"/>
          <w:szCs w:val="28"/>
        </w:rPr>
        <w:t>: “</w:t>
      </w:r>
      <w:r w:rsidR="00FF1019" w:rsidRPr="00FF1019">
        <w:rPr>
          <w:i/>
          <w:color w:val="000000" w:themeColor="text1"/>
          <w:sz w:val="28"/>
          <w:szCs w:val="28"/>
        </w:rPr>
        <w:t xml:space="preserve">If a </w:t>
      </w:r>
      <w:proofErr w:type="spellStart"/>
      <w:r w:rsidR="00FF1019" w:rsidRPr="00FF1019">
        <w:rPr>
          <w:i/>
          <w:color w:val="000000" w:themeColor="text1"/>
          <w:sz w:val="28"/>
          <w:szCs w:val="28"/>
        </w:rPr>
        <w:t>defen</w:t>
      </w:r>
      <w:r w:rsidR="00E202B7">
        <w:rPr>
          <w:i/>
          <w:color w:val="000000" w:themeColor="text1"/>
          <w:sz w:val="28"/>
          <w:szCs w:val="28"/>
        </w:rPr>
        <w:t>ce</w:t>
      </w:r>
      <w:proofErr w:type="spellEnd"/>
      <w:r w:rsidR="00FF1019" w:rsidRPr="00FF1019">
        <w:rPr>
          <w:i/>
          <w:color w:val="000000" w:themeColor="text1"/>
          <w:sz w:val="28"/>
          <w:szCs w:val="28"/>
        </w:rPr>
        <w:t xml:space="preserve"> is struck out, the defendant cannot appear at the trial and cross-examine the plaintiff’s witnesses</w:t>
      </w:r>
      <w:r w:rsidR="00FF1019">
        <w:rPr>
          <w:color w:val="000000" w:themeColor="text1"/>
          <w:sz w:val="28"/>
          <w:szCs w:val="28"/>
        </w:rPr>
        <w:t>”.</w:t>
      </w:r>
    </w:p>
    <w:p w14:paraId="7F665E88" w14:textId="50775EF0" w:rsidR="00FF1019"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FF1019">
        <w:rPr>
          <w:color w:val="000000" w:themeColor="text1"/>
          <w:sz w:val="28"/>
          <w:szCs w:val="28"/>
        </w:rPr>
        <w:t xml:space="preserve">A contrary view was expressed by Twala J in </w:t>
      </w:r>
      <w:r w:rsidR="00FF1019" w:rsidRPr="00FF1019">
        <w:rPr>
          <w:i/>
          <w:color w:val="000000" w:themeColor="text1"/>
          <w:sz w:val="28"/>
          <w:szCs w:val="28"/>
        </w:rPr>
        <w:t>Stev</w:t>
      </w:r>
      <w:r w:rsidR="00E202B7">
        <w:rPr>
          <w:i/>
          <w:color w:val="000000" w:themeColor="text1"/>
          <w:sz w:val="28"/>
          <w:szCs w:val="28"/>
        </w:rPr>
        <w:t>e</w:t>
      </w:r>
      <w:r w:rsidR="00FF1019" w:rsidRPr="00FF1019">
        <w:rPr>
          <w:i/>
          <w:color w:val="000000" w:themeColor="text1"/>
          <w:sz w:val="28"/>
          <w:szCs w:val="28"/>
        </w:rPr>
        <w:t>ns and Another v RAF</w:t>
      </w:r>
      <w:r w:rsidR="00FF1019">
        <w:rPr>
          <w:rStyle w:val="FootnoteReference"/>
          <w:color w:val="000000" w:themeColor="text1"/>
          <w:sz w:val="28"/>
          <w:szCs w:val="28"/>
        </w:rPr>
        <w:footnoteReference w:id="5"/>
      </w:r>
      <w:r w:rsidR="00FE07EC">
        <w:rPr>
          <w:color w:val="000000" w:themeColor="text1"/>
          <w:sz w:val="28"/>
          <w:szCs w:val="28"/>
        </w:rPr>
        <w:t xml:space="preserve">as follows at [11]: </w:t>
      </w:r>
      <w:r w:rsidR="00FE07EC" w:rsidRPr="007E0E6B">
        <w:rPr>
          <w:color w:val="000000" w:themeColor="text1"/>
          <w:sz w:val="28"/>
          <w:szCs w:val="28"/>
        </w:rPr>
        <w:t>“</w:t>
      </w:r>
      <w:r w:rsidR="00FE07EC" w:rsidRPr="007E0E6B">
        <w:rPr>
          <w:i/>
          <w:color w:val="000000" w:themeColor="text1"/>
          <w:sz w:val="28"/>
          <w:szCs w:val="28"/>
        </w:rPr>
        <w:t xml:space="preserve">… the striking out of the </w:t>
      </w:r>
      <w:proofErr w:type="spellStart"/>
      <w:r w:rsidR="00FE07EC" w:rsidRPr="007E0E6B">
        <w:rPr>
          <w:i/>
          <w:color w:val="000000" w:themeColor="text1"/>
          <w:sz w:val="28"/>
          <w:szCs w:val="28"/>
        </w:rPr>
        <w:t>defence</w:t>
      </w:r>
      <w:proofErr w:type="spellEnd"/>
      <w:r w:rsidR="00FE07EC" w:rsidRPr="007E0E6B">
        <w:rPr>
          <w:i/>
          <w:color w:val="000000" w:themeColor="text1"/>
          <w:sz w:val="28"/>
          <w:szCs w:val="28"/>
        </w:rPr>
        <w:t xml:space="preserve"> of the defendant do</w:t>
      </w:r>
      <w:r w:rsidR="00E202B7">
        <w:rPr>
          <w:i/>
          <w:color w:val="000000" w:themeColor="text1"/>
          <w:sz w:val="28"/>
          <w:szCs w:val="28"/>
        </w:rPr>
        <w:t>e</w:t>
      </w:r>
      <w:r w:rsidR="00FE07EC" w:rsidRPr="007E0E6B">
        <w:rPr>
          <w:i/>
          <w:color w:val="000000" w:themeColor="text1"/>
          <w:sz w:val="28"/>
          <w:szCs w:val="28"/>
        </w:rPr>
        <w:t xml:space="preserve">s not in itself bar the defendant from participating in these proceedings.  The defendant is entitled to participate in these </w:t>
      </w:r>
      <w:proofErr w:type="gramStart"/>
      <w:r w:rsidR="00FE07EC" w:rsidRPr="007E0E6B">
        <w:rPr>
          <w:i/>
          <w:color w:val="000000" w:themeColor="text1"/>
          <w:sz w:val="28"/>
          <w:szCs w:val="28"/>
        </w:rPr>
        <w:t>proceedings</w:t>
      </w:r>
      <w:proofErr w:type="gramEnd"/>
      <w:r w:rsidR="00FE07EC" w:rsidRPr="007E0E6B">
        <w:rPr>
          <w:i/>
          <w:color w:val="000000" w:themeColor="text1"/>
          <w:sz w:val="28"/>
          <w:szCs w:val="28"/>
        </w:rPr>
        <w:t xml:space="preserve"> but his participation is restricted in the </w:t>
      </w:r>
      <w:r w:rsidR="00A00365" w:rsidRPr="007E0E6B">
        <w:rPr>
          <w:i/>
          <w:color w:val="000000" w:themeColor="text1"/>
          <w:sz w:val="28"/>
          <w:szCs w:val="28"/>
        </w:rPr>
        <w:t>sense</w:t>
      </w:r>
      <w:r w:rsidR="00FE07EC" w:rsidRPr="007E0E6B">
        <w:rPr>
          <w:i/>
          <w:color w:val="000000" w:themeColor="text1"/>
          <w:sz w:val="28"/>
          <w:szCs w:val="28"/>
        </w:rPr>
        <w:t xml:space="preserve"> that it cannot raise the </w:t>
      </w:r>
      <w:proofErr w:type="spellStart"/>
      <w:r w:rsidR="00FE07EC" w:rsidRPr="007E0E6B">
        <w:rPr>
          <w:i/>
          <w:color w:val="000000" w:themeColor="text1"/>
          <w:sz w:val="28"/>
          <w:szCs w:val="28"/>
        </w:rPr>
        <w:t>defence</w:t>
      </w:r>
      <w:proofErr w:type="spellEnd"/>
      <w:r w:rsidR="00FE07EC" w:rsidRPr="007E0E6B">
        <w:rPr>
          <w:i/>
          <w:color w:val="000000" w:themeColor="text1"/>
          <w:sz w:val="28"/>
          <w:szCs w:val="28"/>
        </w:rPr>
        <w:t xml:space="preserve"> that has been struck out by an order of court.  It is therefore not correct to say the defendant was not entitled to cross-examin</w:t>
      </w:r>
      <w:r w:rsidR="00E202B7">
        <w:rPr>
          <w:i/>
          <w:color w:val="000000" w:themeColor="text1"/>
          <w:sz w:val="28"/>
          <w:szCs w:val="28"/>
        </w:rPr>
        <w:t>e</w:t>
      </w:r>
      <w:r w:rsidR="00FE07EC" w:rsidRPr="007E0E6B">
        <w:rPr>
          <w:i/>
          <w:color w:val="000000" w:themeColor="text1"/>
          <w:sz w:val="28"/>
          <w:szCs w:val="28"/>
        </w:rPr>
        <w:t xml:space="preserve"> the plaintiff</w:t>
      </w:r>
      <w:r w:rsidR="00E202B7">
        <w:rPr>
          <w:i/>
          <w:color w:val="000000" w:themeColor="text1"/>
          <w:sz w:val="28"/>
          <w:szCs w:val="28"/>
        </w:rPr>
        <w:t>s</w:t>
      </w:r>
      <w:r w:rsidR="00FE07EC" w:rsidRPr="007E0E6B">
        <w:rPr>
          <w:i/>
          <w:color w:val="000000" w:themeColor="text1"/>
          <w:sz w:val="28"/>
          <w:szCs w:val="28"/>
        </w:rPr>
        <w:t xml:space="preserve"> after giving </w:t>
      </w:r>
      <w:r w:rsidR="00A00365" w:rsidRPr="007E0E6B">
        <w:rPr>
          <w:i/>
          <w:color w:val="000000" w:themeColor="text1"/>
          <w:sz w:val="28"/>
          <w:szCs w:val="28"/>
        </w:rPr>
        <w:t>evidence, furthermore</w:t>
      </w:r>
      <w:r w:rsidR="00FE07EC" w:rsidRPr="007E0E6B">
        <w:rPr>
          <w:i/>
          <w:color w:val="000000" w:themeColor="text1"/>
          <w:sz w:val="28"/>
          <w:szCs w:val="28"/>
        </w:rPr>
        <w:t>, t</w:t>
      </w:r>
      <w:r w:rsidR="00A00365" w:rsidRPr="007E0E6B">
        <w:rPr>
          <w:i/>
          <w:color w:val="000000" w:themeColor="text1"/>
          <w:sz w:val="28"/>
          <w:szCs w:val="28"/>
        </w:rPr>
        <w:t>h</w:t>
      </w:r>
      <w:r w:rsidR="00FE07EC" w:rsidRPr="007E0E6B">
        <w:rPr>
          <w:i/>
          <w:color w:val="000000" w:themeColor="text1"/>
          <w:sz w:val="28"/>
          <w:szCs w:val="28"/>
        </w:rPr>
        <w:t>e cross-examin</w:t>
      </w:r>
      <w:r w:rsidR="00E202B7">
        <w:rPr>
          <w:i/>
          <w:color w:val="000000" w:themeColor="text1"/>
          <w:sz w:val="28"/>
          <w:szCs w:val="28"/>
        </w:rPr>
        <w:t>ation</w:t>
      </w:r>
      <w:r w:rsidR="00A00365" w:rsidRPr="007E0E6B">
        <w:rPr>
          <w:i/>
          <w:color w:val="000000" w:themeColor="text1"/>
          <w:sz w:val="28"/>
          <w:szCs w:val="28"/>
        </w:rPr>
        <w:t xml:space="preserve"> was on the evidence tendered by the plaintiff</w:t>
      </w:r>
      <w:r w:rsidR="00E202B7">
        <w:rPr>
          <w:i/>
          <w:color w:val="000000" w:themeColor="text1"/>
          <w:sz w:val="28"/>
          <w:szCs w:val="28"/>
        </w:rPr>
        <w:t>s</w:t>
      </w:r>
      <w:r w:rsidR="00A00365" w:rsidRPr="007E0E6B">
        <w:rPr>
          <w:i/>
          <w:color w:val="000000" w:themeColor="text1"/>
          <w:sz w:val="28"/>
          <w:szCs w:val="28"/>
        </w:rPr>
        <w:t xml:space="preserve"> and the defendant did not attempt to introduce its own case during the cross-examination</w:t>
      </w:r>
      <w:r w:rsidR="00A00365">
        <w:rPr>
          <w:color w:val="000000" w:themeColor="text1"/>
          <w:sz w:val="28"/>
          <w:szCs w:val="28"/>
        </w:rPr>
        <w:t>”.</w:t>
      </w:r>
    </w:p>
    <w:p w14:paraId="15458A16" w14:textId="024FF504" w:rsidR="007E0E6B"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7E0E6B">
        <w:rPr>
          <w:color w:val="000000" w:themeColor="text1"/>
          <w:sz w:val="28"/>
          <w:szCs w:val="28"/>
        </w:rPr>
        <w:t>In a similar action against the RAF (</w:t>
      </w:r>
      <w:r w:rsidR="007E0E6B" w:rsidRPr="007E0E6B">
        <w:rPr>
          <w:i/>
          <w:color w:val="000000" w:themeColor="text1"/>
          <w:sz w:val="28"/>
          <w:szCs w:val="28"/>
        </w:rPr>
        <w:t>Mot</w:t>
      </w:r>
      <w:r w:rsidR="00E202B7">
        <w:rPr>
          <w:i/>
          <w:color w:val="000000" w:themeColor="text1"/>
          <w:sz w:val="28"/>
          <w:szCs w:val="28"/>
        </w:rPr>
        <w:t>a</w:t>
      </w:r>
      <w:r w:rsidR="007E0E6B" w:rsidRPr="007E0E6B">
        <w:rPr>
          <w:i/>
          <w:color w:val="000000" w:themeColor="text1"/>
          <w:sz w:val="28"/>
          <w:szCs w:val="28"/>
        </w:rPr>
        <w:t>la</w:t>
      </w:r>
      <w:r w:rsidR="007E0E6B">
        <w:rPr>
          <w:color w:val="000000" w:themeColor="text1"/>
          <w:sz w:val="28"/>
          <w:szCs w:val="28"/>
        </w:rPr>
        <w:t>)</w:t>
      </w:r>
      <w:r w:rsidR="007E0E6B">
        <w:rPr>
          <w:rStyle w:val="FootnoteReference"/>
          <w:color w:val="000000" w:themeColor="text1"/>
          <w:sz w:val="28"/>
          <w:szCs w:val="28"/>
        </w:rPr>
        <w:footnoteReference w:id="6"/>
      </w:r>
      <w:r w:rsidR="007E0E6B">
        <w:rPr>
          <w:color w:val="000000" w:themeColor="text1"/>
          <w:sz w:val="28"/>
          <w:szCs w:val="28"/>
        </w:rPr>
        <w:t xml:space="preserve"> Hitchings AJ explained in a judgment handed down a mere two weeks before the present matter</w:t>
      </w:r>
      <w:r w:rsidR="00E202B7">
        <w:rPr>
          <w:color w:val="000000" w:themeColor="text1"/>
          <w:sz w:val="28"/>
          <w:szCs w:val="28"/>
        </w:rPr>
        <w:t>,</w:t>
      </w:r>
      <w:r w:rsidR="007E0E6B">
        <w:rPr>
          <w:color w:val="000000" w:themeColor="text1"/>
          <w:sz w:val="28"/>
          <w:szCs w:val="28"/>
        </w:rPr>
        <w:t xml:space="preserve"> why the State Attorney had been allowed to participate in the hearing despite the RAF’s </w:t>
      </w:r>
      <w:proofErr w:type="spellStart"/>
      <w:r w:rsidR="007E0E6B">
        <w:rPr>
          <w:color w:val="000000" w:themeColor="text1"/>
          <w:sz w:val="28"/>
          <w:szCs w:val="28"/>
        </w:rPr>
        <w:t>defence</w:t>
      </w:r>
      <w:proofErr w:type="spellEnd"/>
      <w:r w:rsidR="007E0E6B">
        <w:rPr>
          <w:color w:val="000000" w:themeColor="text1"/>
          <w:sz w:val="28"/>
          <w:szCs w:val="28"/>
        </w:rPr>
        <w:t xml:space="preserve"> having been struck out as follows: </w:t>
      </w:r>
      <w:r w:rsidR="007E0E6B" w:rsidRPr="0067349A">
        <w:rPr>
          <w:color w:val="000000" w:themeColor="text1"/>
          <w:sz w:val="28"/>
          <w:szCs w:val="28"/>
        </w:rPr>
        <w:t>“</w:t>
      </w:r>
      <w:r w:rsidR="007E0E6B" w:rsidRPr="0067349A">
        <w:rPr>
          <w:i/>
          <w:color w:val="000000" w:themeColor="text1"/>
          <w:sz w:val="28"/>
          <w:szCs w:val="28"/>
        </w:rPr>
        <w:t xml:space="preserve">[17] The striking out of a defendant’s </w:t>
      </w:r>
      <w:proofErr w:type="spellStart"/>
      <w:r w:rsidR="007E0E6B" w:rsidRPr="0067349A">
        <w:rPr>
          <w:i/>
          <w:color w:val="000000" w:themeColor="text1"/>
          <w:sz w:val="28"/>
          <w:szCs w:val="28"/>
        </w:rPr>
        <w:t>defence</w:t>
      </w:r>
      <w:proofErr w:type="spellEnd"/>
      <w:r w:rsidR="007E0E6B" w:rsidRPr="0067349A">
        <w:rPr>
          <w:i/>
          <w:color w:val="000000" w:themeColor="text1"/>
          <w:sz w:val="28"/>
          <w:szCs w:val="28"/>
        </w:rPr>
        <w:t xml:space="preserve"> constitutes no more than a bar to the defendant tendering evidence which had been pleaded in its plea.  The defendant’s position is conceptually analogous to that of a respondent who has filed a notice in terms of Rule 6(5)(d)(iii) that it intends to oppose the applicant’s application on a question of law only. [18] The </w:t>
      </w:r>
      <w:r w:rsidR="0067349A" w:rsidRPr="0067349A">
        <w:rPr>
          <w:i/>
          <w:color w:val="000000" w:themeColor="text1"/>
          <w:sz w:val="28"/>
          <w:szCs w:val="28"/>
        </w:rPr>
        <w:t>plaintiff</w:t>
      </w:r>
      <w:r w:rsidR="007E0E6B" w:rsidRPr="0067349A">
        <w:rPr>
          <w:i/>
          <w:color w:val="000000" w:themeColor="text1"/>
          <w:sz w:val="28"/>
          <w:szCs w:val="28"/>
        </w:rPr>
        <w:t xml:space="preserve"> remains liable to pro</w:t>
      </w:r>
      <w:r w:rsidR="00E202B7">
        <w:rPr>
          <w:i/>
          <w:color w:val="000000" w:themeColor="text1"/>
          <w:sz w:val="28"/>
          <w:szCs w:val="28"/>
        </w:rPr>
        <w:t>v</w:t>
      </w:r>
      <w:r w:rsidR="007E0E6B" w:rsidRPr="0067349A">
        <w:rPr>
          <w:i/>
          <w:color w:val="000000" w:themeColor="text1"/>
          <w:sz w:val="28"/>
          <w:szCs w:val="28"/>
        </w:rPr>
        <w:t>e both an entitlement to damages (generally</w:t>
      </w:r>
      <w:r w:rsidR="0067349A" w:rsidRPr="0067349A">
        <w:rPr>
          <w:i/>
          <w:color w:val="000000" w:themeColor="text1"/>
          <w:sz w:val="28"/>
          <w:szCs w:val="28"/>
        </w:rPr>
        <w:t xml:space="preserve"> referred to as “the merits”) and the quantum of such damages. [19] The defendant is not precluded, </w:t>
      </w:r>
      <w:proofErr w:type="gramStart"/>
      <w:r w:rsidR="0067349A" w:rsidRPr="0067349A">
        <w:rPr>
          <w:i/>
          <w:color w:val="000000" w:themeColor="text1"/>
          <w:sz w:val="28"/>
          <w:szCs w:val="28"/>
        </w:rPr>
        <w:t>in order to</w:t>
      </w:r>
      <w:proofErr w:type="gramEnd"/>
      <w:r w:rsidR="0067349A" w:rsidRPr="0067349A">
        <w:rPr>
          <w:i/>
          <w:color w:val="000000" w:themeColor="text1"/>
          <w:sz w:val="28"/>
          <w:szCs w:val="28"/>
        </w:rPr>
        <w:t xml:space="preserve"> test the validity of the plaintiff’s version, from cross-examining any witness which may be called by the plaintiff.  The </w:t>
      </w:r>
      <w:r w:rsidR="0067349A" w:rsidRPr="0067349A">
        <w:rPr>
          <w:i/>
          <w:color w:val="000000" w:themeColor="text1"/>
          <w:sz w:val="28"/>
          <w:szCs w:val="28"/>
        </w:rPr>
        <w:lastRenderedPageBreak/>
        <w:t>defendant may however not put</w:t>
      </w:r>
      <w:r w:rsidR="000F3121">
        <w:rPr>
          <w:i/>
          <w:color w:val="000000" w:themeColor="text1"/>
          <w:sz w:val="28"/>
          <w:szCs w:val="28"/>
        </w:rPr>
        <w:t xml:space="preserve"> a</w:t>
      </w:r>
      <w:r w:rsidR="0067349A" w:rsidRPr="0067349A">
        <w:rPr>
          <w:i/>
          <w:color w:val="000000" w:themeColor="text1"/>
          <w:sz w:val="28"/>
          <w:szCs w:val="28"/>
        </w:rPr>
        <w:t xml:space="preserve"> different factual version to any witness because it is barred from leading evidence to substa</w:t>
      </w:r>
      <w:r w:rsidR="0067349A">
        <w:rPr>
          <w:i/>
          <w:color w:val="000000" w:themeColor="text1"/>
          <w:sz w:val="28"/>
          <w:szCs w:val="28"/>
        </w:rPr>
        <w:t>ntiate its alternative version</w:t>
      </w:r>
      <w:r w:rsidR="000F3121">
        <w:rPr>
          <w:i/>
          <w:color w:val="000000" w:themeColor="text1"/>
          <w:sz w:val="28"/>
          <w:szCs w:val="28"/>
        </w:rPr>
        <w:t>…</w:t>
      </w:r>
      <w:r w:rsidR="0067349A">
        <w:rPr>
          <w:color w:val="000000" w:themeColor="text1"/>
          <w:sz w:val="28"/>
          <w:szCs w:val="28"/>
        </w:rPr>
        <w:t>”.</w:t>
      </w:r>
    </w:p>
    <w:p w14:paraId="27CF1914" w14:textId="0E6636C6" w:rsidR="0067349A"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4C1EE3">
        <w:rPr>
          <w:color w:val="000000" w:themeColor="text1"/>
          <w:sz w:val="28"/>
          <w:szCs w:val="28"/>
        </w:rPr>
        <w:t>In reaching the above conclusions, Hitchings AJ relied heavily</w:t>
      </w:r>
      <w:r w:rsidR="000F3121">
        <w:rPr>
          <w:color w:val="000000" w:themeColor="text1"/>
          <w:sz w:val="28"/>
          <w:szCs w:val="28"/>
        </w:rPr>
        <w:t xml:space="preserve"> on</w:t>
      </w:r>
      <w:r w:rsidR="004C1EE3" w:rsidRPr="004C1EE3">
        <w:rPr>
          <w:i/>
          <w:color w:val="000000" w:themeColor="text1"/>
          <w:sz w:val="28"/>
          <w:szCs w:val="28"/>
        </w:rPr>
        <w:t xml:space="preserve"> Minister of Police v </w:t>
      </w:r>
      <w:proofErr w:type="spellStart"/>
      <w:r w:rsidR="004C1EE3" w:rsidRPr="004C1EE3">
        <w:rPr>
          <w:i/>
          <w:color w:val="000000" w:themeColor="text1"/>
          <w:sz w:val="28"/>
          <w:szCs w:val="28"/>
        </w:rPr>
        <w:t>Michillies</w:t>
      </w:r>
      <w:proofErr w:type="spellEnd"/>
      <w:r w:rsidR="004C1EE3">
        <w:rPr>
          <w:color w:val="000000" w:themeColor="text1"/>
          <w:sz w:val="28"/>
          <w:szCs w:val="28"/>
        </w:rPr>
        <w:t>,</w:t>
      </w:r>
      <w:r w:rsidR="004C1EE3">
        <w:rPr>
          <w:rStyle w:val="FootnoteReference"/>
          <w:color w:val="000000" w:themeColor="text1"/>
          <w:sz w:val="28"/>
          <w:szCs w:val="28"/>
        </w:rPr>
        <w:footnoteReference w:id="7"/>
      </w:r>
      <w:r w:rsidR="004C1EE3">
        <w:rPr>
          <w:color w:val="000000" w:themeColor="text1"/>
          <w:sz w:val="28"/>
          <w:szCs w:val="28"/>
        </w:rPr>
        <w:t xml:space="preserve"> a judgment handed down on 22 June 2023.  Therein, in </w:t>
      </w:r>
      <w:proofErr w:type="gramStart"/>
      <w:r w:rsidR="004C1EE3">
        <w:rPr>
          <w:color w:val="000000" w:themeColor="text1"/>
          <w:sz w:val="28"/>
          <w:szCs w:val="28"/>
        </w:rPr>
        <w:t>similar</w:t>
      </w:r>
      <w:proofErr w:type="gramEnd"/>
      <w:r w:rsidR="004C1EE3">
        <w:rPr>
          <w:color w:val="000000" w:themeColor="text1"/>
          <w:sz w:val="28"/>
          <w:szCs w:val="28"/>
        </w:rPr>
        <w:t xml:space="preserve"> fashion as in </w:t>
      </w:r>
      <w:r w:rsidR="004C1EE3" w:rsidRPr="000F3121">
        <w:rPr>
          <w:i/>
          <w:iCs/>
          <w:color w:val="000000" w:themeColor="text1"/>
          <w:sz w:val="28"/>
          <w:szCs w:val="28"/>
        </w:rPr>
        <w:t>Burger</w:t>
      </w:r>
      <w:r w:rsidR="004C1EE3">
        <w:rPr>
          <w:color w:val="000000" w:themeColor="text1"/>
          <w:sz w:val="28"/>
          <w:szCs w:val="28"/>
        </w:rPr>
        <w:t xml:space="preserve">, the court was faced with a rescission application.  Having referred to the drastic nature of an order whereby a defendant’s </w:t>
      </w:r>
      <w:proofErr w:type="spellStart"/>
      <w:r w:rsidR="004C1EE3">
        <w:rPr>
          <w:color w:val="000000" w:themeColor="text1"/>
          <w:sz w:val="28"/>
          <w:szCs w:val="28"/>
        </w:rPr>
        <w:t>defence</w:t>
      </w:r>
      <w:proofErr w:type="spellEnd"/>
      <w:r w:rsidR="004C1EE3">
        <w:rPr>
          <w:color w:val="000000" w:themeColor="text1"/>
          <w:sz w:val="28"/>
          <w:szCs w:val="28"/>
        </w:rPr>
        <w:t xml:space="preserve"> is struck out, the court found that it was in the interests of justice</w:t>
      </w:r>
      <w:r w:rsidR="000D037D">
        <w:rPr>
          <w:color w:val="000000" w:themeColor="text1"/>
          <w:sz w:val="28"/>
          <w:szCs w:val="28"/>
        </w:rPr>
        <w:t xml:space="preserve"> that the striking out order be </w:t>
      </w:r>
      <w:proofErr w:type="gramStart"/>
      <w:r w:rsidR="000D037D">
        <w:rPr>
          <w:color w:val="000000" w:themeColor="text1"/>
          <w:sz w:val="28"/>
          <w:szCs w:val="28"/>
        </w:rPr>
        <w:t>rescinded</w:t>
      </w:r>
      <w:proofErr w:type="gramEnd"/>
      <w:r w:rsidR="000D037D">
        <w:rPr>
          <w:color w:val="000000" w:themeColor="text1"/>
          <w:sz w:val="28"/>
          <w:szCs w:val="28"/>
        </w:rPr>
        <w:t xml:space="preserve"> and the plea </w:t>
      </w:r>
      <w:proofErr w:type="gramStart"/>
      <w:r w:rsidR="000D037D">
        <w:rPr>
          <w:color w:val="000000" w:themeColor="text1"/>
          <w:sz w:val="28"/>
          <w:szCs w:val="28"/>
        </w:rPr>
        <w:t>being reinstated</w:t>
      </w:r>
      <w:proofErr w:type="gramEnd"/>
      <w:r w:rsidR="000D037D">
        <w:rPr>
          <w:color w:val="000000" w:themeColor="text1"/>
          <w:sz w:val="28"/>
          <w:szCs w:val="28"/>
        </w:rPr>
        <w:t xml:space="preserve">.  The portion of the judgment on which reliance has been placed in </w:t>
      </w:r>
      <w:r w:rsidR="000D037D">
        <w:rPr>
          <w:i/>
          <w:color w:val="000000" w:themeColor="text1"/>
          <w:sz w:val="28"/>
          <w:szCs w:val="28"/>
        </w:rPr>
        <w:t>Mota</w:t>
      </w:r>
      <w:r w:rsidR="000D037D" w:rsidRPr="000D037D">
        <w:rPr>
          <w:i/>
          <w:color w:val="000000" w:themeColor="text1"/>
          <w:sz w:val="28"/>
          <w:szCs w:val="28"/>
        </w:rPr>
        <w:t>la</w:t>
      </w:r>
      <w:r w:rsidR="000D037D">
        <w:rPr>
          <w:color w:val="000000" w:themeColor="text1"/>
          <w:sz w:val="28"/>
          <w:szCs w:val="28"/>
        </w:rPr>
        <w:t xml:space="preserve"> is the following statement: “</w:t>
      </w:r>
      <w:r w:rsidR="000D037D" w:rsidRPr="000D037D">
        <w:rPr>
          <w:i/>
          <w:color w:val="000000" w:themeColor="text1"/>
          <w:sz w:val="28"/>
          <w:szCs w:val="28"/>
        </w:rPr>
        <w:t>[4] On my understanding, when a plea has been struck, it does not bar the defendant from proceeding to defend the action</w:t>
      </w:r>
      <w:r w:rsidR="00620DFD">
        <w:rPr>
          <w:color w:val="000000" w:themeColor="text1"/>
          <w:sz w:val="28"/>
          <w:szCs w:val="28"/>
        </w:rPr>
        <w:t>…</w:t>
      </w:r>
      <w:r w:rsidR="000D037D" w:rsidRPr="000D037D">
        <w:rPr>
          <w:i/>
          <w:color w:val="000000" w:themeColor="text1"/>
          <w:sz w:val="28"/>
          <w:szCs w:val="28"/>
        </w:rPr>
        <w:t xml:space="preserve">The merits are not determined in </w:t>
      </w:r>
      <w:proofErr w:type="spellStart"/>
      <w:r w:rsidR="000D037D" w:rsidRPr="000D037D">
        <w:rPr>
          <w:i/>
          <w:color w:val="000000" w:themeColor="text1"/>
          <w:sz w:val="28"/>
          <w:szCs w:val="28"/>
        </w:rPr>
        <w:t>favour</w:t>
      </w:r>
      <w:proofErr w:type="spellEnd"/>
      <w:r w:rsidR="000D037D" w:rsidRPr="000D037D">
        <w:rPr>
          <w:i/>
          <w:color w:val="000000" w:themeColor="text1"/>
          <w:sz w:val="28"/>
          <w:szCs w:val="28"/>
        </w:rPr>
        <w:t xml:space="preserve"> of the plaintiff on the striking of the defendant’s plea.  The plaintiff remains with the onus to prove its case on a balance of probabilities</w:t>
      </w:r>
      <w:r w:rsidR="000D037D">
        <w:rPr>
          <w:color w:val="000000" w:themeColor="text1"/>
          <w:sz w:val="28"/>
          <w:szCs w:val="28"/>
        </w:rPr>
        <w:t>”.  The learned judge then proceeded to express the view that these probabilities can be attac</w:t>
      </w:r>
      <w:r w:rsidR="000F3121">
        <w:rPr>
          <w:color w:val="000000" w:themeColor="text1"/>
          <w:sz w:val="28"/>
          <w:szCs w:val="28"/>
        </w:rPr>
        <w:t>k</w:t>
      </w:r>
      <w:r w:rsidR="000D037D">
        <w:rPr>
          <w:color w:val="000000" w:themeColor="text1"/>
          <w:sz w:val="28"/>
          <w:szCs w:val="28"/>
        </w:rPr>
        <w:t>ed during cross-examination of the plaintiff, on both the issues of merits and quantum.</w:t>
      </w:r>
    </w:p>
    <w:p w14:paraId="4F01D8C0" w14:textId="776F92F8" w:rsidR="000D037D"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0D037D">
        <w:rPr>
          <w:color w:val="000000" w:themeColor="text1"/>
          <w:sz w:val="28"/>
          <w:szCs w:val="28"/>
        </w:rPr>
        <w:t xml:space="preserve">Although the comments made in </w:t>
      </w:r>
      <w:proofErr w:type="spellStart"/>
      <w:r w:rsidR="000D037D" w:rsidRPr="0077435E">
        <w:rPr>
          <w:i/>
          <w:color w:val="000000" w:themeColor="text1"/>
          <w:sz w:val="28"/>
          <w:szCs w:val="28"/>
        </w:rPr>
        <w:t>Michillies</w:t>
      </w:r>
      <w:proofErr w:type="spellEnd"/>
      <w:r w:rsidR="000D037D">
        <w:rPr>
          <w:color w:val="000000" w:themeColor="text1"/>
          <w:sz w:val="28"/>
          <w:szCs w:val="28"/>
        </w:rPr>
        <w:t xml:space="preserve"> might </w:t>
      </w:r>
      <w:r w:rsidR="00620DFD">
        <w:rPr>
          <w:color w:val="000000" w:themeColor="text1"/>
          <w:sz w:val="28"/>
          <w:szCs w:val="28"/>
        </w:rPr>
        <w:t xml:space="preserve">in the context of that case have been obiter and therefore </w:t>
      </w:r>
      <w:r w:rsidR="000D037D">
        <w:rPr>
          <w:color w:val="000000" w:themeColor="text1"/>
          <w:sz w:val="28"/>
          <w:szCs w:val="28"/>
        </w:rPr>
        <w:t xml:space="preserve">not direct authority for </w:t>
      </w:r>
      <w:r w:rsidR="000D037D" w:rsidRPr="0077435E">
        <w:rPr>
          <w:i/>
          <w:color w:val="000000" w:themeColor="text1"/>
          <w:sz w:val="28"/>
          <w:szCs w:val="28"/>
        </w:rPr>
        <w:t>Motala</w:t>
      </w:r>
      <w:r w:rsidR="000D037D">
        <w:rPr>
          <w:color w:val="000000" w:themeColor="text1"/>
          <w:sz w:val="28"/>
          <w:szCs w:val="28"/>
        </w:rPr>
        <w:t>, I by and large agree with</w:t>
      </w:r>
      <w:r w:rsidR="000F3121">
        <w:rPr>
          <w:color w:val="000000" w:themeColor="text1"/>
          <w:sz w:val="28"/>
          <w:szCs w:val="28"/>
        </w:rPr>
        <w:t xml:space="preserve"> the conclusions reached in </w:t>
      </w:r>
      <w:r w:rsidR="000F3121">
        <w:rPr>
          <w:i/>
          <w:iCs/>
          <w:color w:val="000000" w:themeColor="text1"/>
          <w:sz w:val="28"/>
          <w:szCs w:val="28"/>
        </w:rPr>
        <w:t>Motala</w:t>
      </w:r>
      <w:r w:rsidR="000D037D">
        <w:rPr>
          <w:color w:val="000000" w:themeColor="text1"/>
          <w:sz w:val="28"/>
          <w:szCs w:val="28"/>
        </w:rPr>
        <w:t xml:space="preserve">, for the reasons set out </w:t>
      </w:r>
      <w:proofErr w:type="spellStart"/>
      <w:r w:rsidR="000D037D">
        <w:rPr>
          <w:color w:val="000000" w:themeColor="text1"/>
          <w:sz w:val="28"/>
          <w:szCs w:val="28"/>
        </w:rPr>
        <w:t>hereinlater</w:t>
      </w:r>
      <w:proofErr w:type="spellEnd"/>
      <w:r w:rsidR="00105653">
        <w:rPr>
          <w:color w:val="000000" w:themeColor="text1"/>
          <w:sz w:val="28"/>
          <w:szCs w:val="28"/>
        </w:rPr>
        <w:t>.</w:t>
      </w:r>
      <w:r w:rsidR="000D037D">
        <w:rPr>
          <w:color w:val="000000" w:themeColor="text1"/>
          <w:sz w:val="28"/>
          <w:szCs w:val="28"/>
        </w:rPr>
        <w:t xml:space="preserve"> </w:t>
      </w:r>
      <w:proofErr w:type="gramStart"/>
      <w:r w:rsidR="000D037D">
        <w:rPr>
          <w:color w:val="000000" w:themeColor="text1"/>
          <w:sz w:val="28"/>
          <w:szCs w:val="28"/>
        </w:rPr>
        <w:t>I</w:t>
      </w:r>
      <w:proofErr w:type="gramEnd"/>
      <w:r w:rsidR="000F3121">
        <w:rPr>
          <w:color w:val="000000" w:themeColor="text1"/>
          <w:sz w:val="28"/>
          <w:szCs w:val="28"/>
        </w:rPr>
        <w:t xml:space="preserve"> however, respectfully</w:t>
      </w:r>
      <w:r w:rsidR="000D037D">
        <w:rPr>
          <w:color w:val="000000" w:themeColor="text1"/>
          <w:sz w:val="28"/>
          <w:szCs w:val="28"/>
        </w:rPr>
        <w:t xml:space="preserve"> disagree with the analogy that a defendant whose </w:t>
      </w:r>
      <w:proofErr w:type="spellStart"/>
      <w:r w:rsidR="000D037D">
        <w:rPr>
          <w:color w:val="000000" w:themeColor="text1"/>
          <w:sz w:val="28"/>
          <w:szCs w:val="28"/>
        </w:rPr>
        <w:t>defence</w:t>
      </w:r>
      <w:proofErr w:type="spellEnd"/>
      <w:r w:rsidR="000D037D">
        <w:rPr>
          <w:color w:val="000000" w:themeColor="text1"/>
          <w:sz w:val="28"/>
          <w:szCs w:val="28"/>
        </w:rPr>
        <w:t xml:space="preserve"> has been struck out is in a similar position as a respondent who has delivered a notice in terms of Rule 6(5)(</w:t>
      </w:r>
      <w:r w:rsidR="00620DFD">
        <w:rPr>
          <w:color w:val="000000" w:themeColor="text1"/>
          <w:sz w:val="28"/>
          <w:szCs w:val="28"/>
        </w:rPr>
        <w:t>d</w:t>
      </w:r>
      <w:r w:rsidR="000D037D">
        <w:rPr>
          <w:color w:val="000000" w:themeColor="text1"/>
          <w:sz w:val="28"/>
          <w:szCs w:val="28"/>
        </w:rPr>
        <w:t>)(iii)</w:t>
      </w:r>
      <w:r w:rsidR="0077435E">
        <w:rPr>
          <w:color w:val="000000" w:themeColor="text1"/>
          <w:sz w:val="28"/>
          <w:szCs w:val="28"/>
        </w:rPr>
        <w:t>.  Firstly, the position is different in actions and no such notice can be delivered there.  Points of law not dealt with by way of exception proceedings are in action</w:t>
      </w:r>
      <w:r w:rsidR="000F3121">
        <w:rPr>
          <w:color w:val="000000" w:themeColor="text1"/>
          <w:sz w:val="28"/>
          <w:szCs w:val="28"/>
        </w:rPr>
        <w:t>s</w:t>
      </w:r>
      <w:r w:rsidR="0077435E">
        <w:rPr>
          <w:color w:val="000000" w:themeColor="text1"/>
          <w:sz w:val="28"/>
          <w:szCs w:val="28"/>
        </w:rPr>
        <w:t xml:space="preserve"> dealt with by way of special pleas.  If a </w:t>
      </w:r>
      <w:proofErr w:type="spellStart"/>
      <w:r w:rsidR="0077435E">
        <w:rPr>
          <w:color w:val="000000" w:themeColor="text1"/>
          <w:sz w:val="28"/>
          <w:szCs w:val="28"/>
        </w:rPr>
        <w:t>defence</w:t>
      </w:r>
      <w:proofErr w:type="spellEnd"/>
      <w:r w:rsidR="0077435E">
        <w:rPr>
          <w:color w:val="000000" w:themeColor="text1"/>
          <w:sz w:val="28"/>
          <w:szCs w:val="28"/>
        </w:rPr>
        <w:t xml:space="preserve"> is struck out, that would generally also include </w:t>
      </w:r>
      <w:r w:rsidR="000F3121">
        <w:rPr>
          <w:color w:val="000000" w:themeColor="text1"/>
          <w:sz w:val="28"/>
          <w:szCs w:val="28"/>
        </w:rPr>
        <w:t>such</w:t>
      </w:r>
      <w:r w:rsidR="0077435E">
        <w:rPr>
          <w:color w:val="000000" w:themeColor="text1"/>
          <w:sz w:val="28"/>
          <w:szCs w:val="28"/>
        </w:rPr>
        <w:t xml:space="preserve"> special pleas. </w:t>
      </w:r>
      <w:r w:rsidR="000F3121">
        <w:rPr>
          <w:color w:val="000000" w:themeColor="text1"/>
          <w:sz w:val="28"/>
          <w:szCs w:val="28"/>
        </w:rPr>
        <w:t>W</w:t>
      </w:r>
      <w:r w:rsidR="0077435E">
        <w:rPr>
          <w:color w:val="000000" w:themeColor="text1"/>
          <w:sz w:val="28"/>
          <w:szCs w:val="28"/>
        </w:rPr>
        <w:t xml:space="preserve">ere a court to allow a defendant to cross-examine the plaintiff’s witnesses or interrogate such evidence as the plaintiff may have been allowed to place before </w:t>
      </w:r>
      <w:r w:rsidR="0077435E">
        <w:rPr>
          <w:color w:val="000000" w:themeColor="text1"/>
          <w:sz w:val="28"/>
          <w:szCs w:val="28"/>
        </w:rPr>
        <w:lastRenderedPageBreak/>
        <w:t xml:space="preserve">the court by way of affidavits in terms of Rule 38(2), then one would be dealing with factual issues and arguments relating to expert opinion evidence, </w:t>
      </w:r>
      <w:r w:rsidR="00620DFD">
        <w:rPr>
          <w:color w:val="000000" w:themeColor="text1"/>
          <w:sz w:val="28"/>
          <w:szCs w:val="28"/>
        </w:rPr>
        <w:t>and</w:t>
      </w:r>
      <w:r w:rsidR="0077435E">
        <w:rPr>
          <w:color w:val="000000" w:themeColor="text1"/>
          <w:sz w:val="28"/>
          <w:szCs w:val="28"/>
        </w:rPr>
        <w:t xml:space="preserve"> not pure points of law</w:t>
      </w:r>
      <w:r w:rsidR="000F3121">
        <w:rPr>
          <w:color w:val="000000" w:themeColor="text1"/>
          <w:sz w:val="28"/>
          <w:szCs w:val="28"/>
        </w:rPr>
        <w:t xml:space="preserve"> as contemplated in Rule 6(5)(</w:t>
      </w:r>
      <w:r w:rsidR="00620DFD">
        <w:rPr>
          <w:color w:val="000000" w:themeColor="text1"/>
          <w:sz w:val="28"/>
          <w:szCs w:val="28"/>
        </w:rPr>
        <w:t>d</w:t>
      </w:r>
      <w:r w:rsidR="000F3121">
        <w:rPr>
          <w:color w:val="000000" w:themeColor="text1"/>
          <w:sz w:val="28"/>
          <w:szCs w:val="28"/>
        </w:rPr>
        <w:t>)(iii)</w:t>
      </w:r>
      <w:r w:rsidR="0077435E">
        <w:rPr>
          <w:color w:val="000000" w:themeColor="text1"/>
          <w:sz w:val="28"/>
          <w:szCs w:val="28"/>
        </w:rPr>
        <w:t xml:space="preserve">.  The analogy can however safely be jettisoned, without detracting from the </w:t>
      </w:r>
      <w:r w:rsidR="00620DFD">
        <w:rPr>
          <w:color w:val="000000" w:themeColor="text1"/>
          <w:sz w:val="28"/>
          <w:szCs w:val="28"/>
        </w:rPr>
        <w:t>conclusion</w:t>
      </w:r>
      <w:r w:rsidR="0077435E">
        <w:rPr>
          <w:color w:val="000000" w:themeColor="text1"/>
          <w:sz w:val="28"/>
          <w:szCs w:val="28"/>
        </w:rPr>
        <w:t xml:space="preserve"> about the extent of a defendant’s further participation in a trial after the </w:t>
      </w:r>
      <w:proofErr w:type="spellStart"/>
      <w:r w:rsidR="0077435E">
        <w:rPr>
          <w:color w:val="000000" w:themeColor="text1"/>
          <w:sz w:val="28"/>
          <w:szCs w:val="28"/>
        </w:rPr>
        <w:t>defence</w:t>
      </w:r>
      <w:proofErr w:type="spellEnd"/>
      <w:r w:rsidR="0077435E">
        <w:rPr>
          <w:color w:val="000000" w:themeColor="text1"/>
          <w:sz w:val="28"/>
          <w:szCs w:val="28"/>
        </w:rPr>
        <w:t xml:space="preserve"> has been struck out.</w:t>
      </w:r>
    </w:p>
    <w:p w14:paraId="14E51857" w14:textId="37273D83" w:rsidR="0077435E"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77435E">
        <w:rPr>
          <w:color w:val="000000" w:themeColor="text1"/>
          <w:sz w:val="28"/>
          <w:szCs w:val="28"/>
        </w:rPr>
        <w:t>In my view, the conflicting views regarding the consequences of the striking out of a defendant</w:t>
      </w:r>
      <w:r w:rsidR="00620DFD">
        <w:rPr>
          <w:color w:val="000000" w:themeColor="text1"/>
          <w:sz w:val="28"/>
          <w:szCs w:val="28"/>
        </w:rPr>
        <w:t>’</w:t>
      </w:r>
      <w:r w:rsidR="0077435E">
        <w:rPr>
          <w:color w:val="000000" w:themeColor="text1"/>
          <w:sz w:val="28"/>
          <w:szCs w:val="28"/>
        </w:rPr>
        <w:t xml:space="preserve">s </w:t>
      </w:r>
      <w:proofErr w:type="spellStart"/>
      <w:r w:rsidR="0077435E">
        <w:rPr>
          <w:color w:val="000000" w:themeColor="text1"/>
          <w:sz w:val="28"/>
          <w:szCs w:val="28"/>
        </w:rPr>
        <w:t>defence</w:t>
      </w:r>
      <w:proofErr w:type="spellEnd"/>
      <w:r w:rsidR="0077435E">
        <w:rPr>
          <w:color w:val="000000" w:themeColor="text1"/>
          <w:sz w:val="28"/>
          <w:szCs w:val="28"/>
        </w:rPr>
        <w:t xml:space="preserve"> can be clarified as follows: as a starting point, the “old authorities” referred to by the plaintiffs in the matters referred to above and in also the present matter, all pre-date the Constitution.</w:t>
      </w:r>
    </w:p>
    <w:p w14:paraId="33E38C3C" w14:textId="03282BDC" w:rsidR="0077435E"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77435E">
        <w:rPr>
          <w:color w:val="000000" w:themeColor="text1"/>
          <w:sz w:val="28"/>
          <w:szCs w:val="28"/>
        </w:rPr>
        <w:t>Section 34 of the Constitution guarantees “</w:t>
      </w:r>
      <w:r w:rsidR="0077435E" w:rsidRPr="00DC76AF">
        <w:rPr>
          <w:i/>
          <w:color w:val="000000" w:themeColor="text1"/>
          <w:sz w:val="28"/>
          <w:szCs w:val="28"/>
        </w:rPr>
        <w:t>everyone … a right to have a dispute that can be resolved by the application of law decided in a fair hearing before a court</w:t>
      </w:r>
      <w:r w:rsidR="0077435E">
        <w:rPr>
          <w:color w:val="000000" w:themeColor="text1"/>
          <w:sz w:val="28"/>
          <w:szCs w:val="28"/>
        </w:rPr>
        <w:t>”.  Whil</w:t>
      </w:r>
      <w:r w:rsidR="00620DFD">
        <w:rPr>
          <w:color w:val="000000" w:themeColor="text1"/>
          <w:sz w:val="28"/>
          <w:szCs w:val="28"/>
        </w:rPr>
        <w:t xml:space="preserve">st </w:t>
      </w:r>
      <w:r w:rsidR="002800B9">
        <w:rPr>
          <w:color w:val="000000" w:themeColor="text1"/>
          <w:sz w:val="28"/>
          <w:szCs w:val="28"/>
        </w:rPr>
        <w:t xml:space="preserve">the section </w:t>
      </w:r>
      <w:r w:rsidR="00620DFD">
        <w:rPr>
          <w:color w:val="000000" w:themeColor="text1"/>
          <w:sz w:val="28"/>
          <w:szCs w:val="28"/>
        </w:rPr>
        <w:t>guarantee</w:t>
      </w:r>
      <w:r w:rsidR="002800B9">
        <w:rPr>
          <w:color w:val="000000" w:themeColor="text1"/>
          <w:sz w:val="28"/>
          <w:szCs w:val="28"/>
        </w:rPr>
        <w:t>s</w:t>
      </w:r>
      <w:r w:rsidR="00620DFD">
        <w:rPr>
          <w:color w:val="000000" w:themeColor="text1"/>
          <w:sz w:val="28"/>
          <w:szCs w:val="28"/>
        </w:rPr>
        <w:t xml:space="preserve"> the substantive right </w:t>
      </w:r>
      <w:r w:rsidR="002800B9">
        <w:rPr>
          <w:color w:val="000000" w:themeColor="text1"/>
          <w:sz w:val="28"/>
          <w:szCs w:val="28"/>
        </w:rPr>
        <w:t>of a litigant</w:t>
      </w:r>
      <w:r w:rsidR="00620DFD">
        <w:rPr>
          <w:color w:val="000000" w:themeColor="text1"/>
          <w:sz w:val="28"/>
          <w:szCs w:val="28"/>
        </w:rPr>
        <w:t>,</w:t>
      </w:r>
      <w:r w:rsidR="002800B9">
        <w:rPr>
          <w:color w:val="000000" w:themeColor="text1"/>
          <w:sz w:val="28"/>
          <w:szCs w:val="28"/>
        </w:rPr>
        <w:t xml:space="preserve"> the Constitutional Court has confirmed</w:t>
      </w:r>
      <w:r w:rsidR="0077435E">
        <w:rPr>
          <w:color w:val="000000" w:themeColor="text1"/>
          <w:sz w:val="28"/>
          <w:szCs w:val="28"/>
        </w:rPr>
        <w:t xml:space="preserve"> that the </w:t>
      </w:r>
      <w:proofErr w:type="gramStart"/>
      <w:r w:rsidR="0077435E">
        <w:rPr>
          <w:color w:val="000000" w:themeColor="text1"/>
          <w:sz w:val="28"/>
          <w:szCs w:val="28"/>
        </w:rPr>
        <w:t>manner in which</w:t>
      </w:r>
      <w:proofErr w:type="gramEnd"/>
      <w:r w:rsidR="0077435E">
        <w:rPr>
          <w:color w:val="000000" w:themeColor="text1"/>
          <w:sz w:val="28"/>
          <w:szCs w:val="28"/>
        </w:rPr>
        <w:t xml:space="preserve"> a party may bring such a dispute before a court </w:t>
      </w:r>
      <w:r w:rsidR="00620DFD">
        <w:rPr>
          <w:color w:val="000000" w:themeColor="text1"/>
          <w:sz w:val="28"/>
          <w:szCs w:val="28"/>
        </w:rPr>
        <w:t>may</w:t>
      </w:r>
      <w:r w:rsidR="0077435E">
        <w:rPr>
          <w:color w:val="000000" w:themeColor="text1"/>
          <w:sz w:val="28"/>
          <w:szCs w:val="28"/>
        </w:rPr>
        <w:t xml:space="preserve"> be regulated, in this instance by the Superior Courts Act</w:t>
      </w:r>
      <w:r w:rsidR="00DC76AF">
        <w:rPr>
          <w:rStyle w:val="FootnoteReference"/>
          <w:color w:val="000000" w:themeColor="text1"/>
          <w:sz w:val="28"/>
          <w:szCs w:val="28"/>
        </w:rPr>
        <w:footnoteReference w:id="8"/>
      </w:r>
      <w:r w:rsidR="0077435E">
        <w:rPr>
          <w:color w:val="000000" w:themeColor="text1"/>
          <w:sz w:val="28"/>
          <w:szCs w:val="28"/>
        </w:rPr>
        <w:t xml:space="preserve"> and the Uniform Rules</w:t>
      </w:r>
      <w:r w:rsidR="00DC76AF">
        <w:rPr>
          <w:rStyle w:val="FootnoteReference"/>
          <w:color w:val="000000" w:themeColor="text1"/>
          <w:sz w:val="28"/>
          <w:szCs w:val="28"/>
        </w:rPr>
        <w:footnoteReference w:id="9"/>
      </w:r>
      <w:r w:rsidR="00620DFD">
        <w:rPr>
          <w:color w:val="000000" w:themeColor="text1"/>
          <w:sz w:val="28"/>
          <w:szCs w:val="28"/>
        </w:rPr>
        <w:t>. I</w:t>
      </w:r>
      <w:r w:rsidR="0077435E">
        <w:rPr>
          <w:color w:val="000000" w:themeColor="text1"/>
          <w:sz w:val="28"/>
          <w:szCs w:val="28"/>
        </w:rPr>
        <w:t xml:space="preserve">t should </w:t>
      </w:r>
      <w:r w:rsidR="00620DFD">
        <w:rPr>
          <w:color w:val="000000" w:themeColor="text1"/>
          <w:sz w:val="28"/>
          <w:szCs w:val="28"/>
        </w:rPr>
        <w:t xml:space="preserve">further </w:t>
      </w:r>
      <w:r w:rsidR="0077435E">
        <w:rPr>
          <w:color w:val="000000" w:themeColor="text1"/>
          <w:sz w:val="28"/>
          <w:szCs w:val="28"/>
        </w:rPr>
        <w:t>follow that any application of suc</w:t>
      </w:r>
      <w:r w:rsidR="00DC76AF">
        <w:rPr>
          <w:color w:val="000000" w:themeColor="text1"/>
          <w:sz w:val="28"/>
          <w:szCs w:val="28"/>
        </w:rPr>
        <w:t>h</w:t>
      </w:r>
      <w:r w:rsidR="0077435E">
        <w:rPr>
          <w:color w:val="000000" w:themeColor="text1"/>
          <w:sz w:val="28"/>
          <w:szCs w:val="28"/>
        </w:rPr>
        <w:t xml:space="preserve"> </w:t>
      </w:r>
      <w:r w:rsidR="00DC76AF">
        <w:rPr>
          <w:color w:val="000000" w:themeColor="text1"/>
          <w:sz w:val="28"/>
          <w:szCs w:val="28"/>
        </w:rPr>
        <w:t xml:space="preserve">regulation </w:t>
      </w:r>
      <w:r w:rsidR="0077435E">
        <w:rPr>
          <w:color w:val="000000" w:themeColor="text1"/>
          <w:sz w:val="28"/>
          <w:szCs w:val="28"/>
        </w:rPr>
        <w:t>should be interpre</w:t>
      </w:r>
      <w:r w:rsidR="00DC76AF">
        <w:rPr>
          <w:color w:val="000000" w:themeColor="text1"/>
          <w:sz w:val="28"/>
          <w:szCs w:val="28"/>
        </w:rPr>
        <w:t xml:space="preserve">ted in a manner which least interferes with </w:t>
      </w:r>
      <w:r w:rsidR="00BA2876">
        <w:rPr>
          <w:color w:val="000000" w:themeColor="text1"/>
          <w:sz w:val="28"/>
          <w:szCs w:val="28"/>
        </w:rPr>
        <w:t xml:space="preserve">or limits </w:t>
      </w:r>
      <w:r w:rsidR="00DC76AF">
        <w:rPr>
          <w:color w:val="000000" w:themeColor="text1"/>
          <w:sz w:val="28"/>
          <w:szCs w:val="28"/>
        </w:rPr>
        <w:t xml:space="preserve">the exercise of the </w:t>
      </w:r>
      <w:r w:rsidR="00BA2876">
        <w:rPr>
          <w:color w:val="000000" w:themeColor="text1"/>
          <w:sz w:val="28"/>
          <w:szCs w:val="28"/>
        </w:rPr>
        <w:t xml:space="preserve">substantive </w:t>
      </w:r>
      <w:r w:rsidR="00DC76AF">
        <w:rPr>
          <w:color w:val="000000" w:themeColor="text1"/>
          <w:sz w:val="28"/>
          <w:szCs w:val="28"/>
        </w:rPr>
        <w:t>right of access to courts.</w:t>
      </w:r>
      <w:r w:rsidR="00DC76AF">
        <w:rPr>
          <w:rStyle w:val="FootnoteReference"/>
          <w:color w:val="000000" w:themeColor="text1"/>
          <w:sz w:val="28"/>
          <w:szCs w:val="28"/>
        </w:rPr>
        <w:footnoteReference w:id="10"/>
      </w:r>
    </w:p>
    <w:p w14:paraId="3B87B057" w14:textId="7224A704" w:rsidR="00DC76AF"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DC76AF">
        <w:rPr>
          <w:color w:val="000000" w:themeColor="text1"/>
          <w:sz w:val="28"/>
          <w:szCs w:val="28"/>
        </w:rPr>
        <w:t xml:space="preserve">It is also trite that the striking of a </w:t>
      </w:r>
      <w:proofErr w:type="spellStart"/>
      <w:r w:rsidR="00DC76AF">
        <w:rPr>
          <w:color w:val="000000" w:themeColor="text1"/>
          <w:sz w:val="28"/>
          <w:szCs w:val="28"/>
        </w:rPr>
        <w:t>defence</w:t>
      </w:r>
      <w:proofErr w:type="spellEnd"/>
      <w:r w:rsidR="00DC76AF">
        <w:rPr>
          <w:color w:val="000000" w:themeColor="text1"/>
          <w:sz w:val="28"/>
          <w:szCs w:val="28"/>
        </w:rPr>
        <w:t xml:space="preserve"> is a drastic measure.  It precludes </w:t>
      </w:r>
      <w:r w:rsidR="00BA2876">
        <w:rPr>
          <w:color w:val="000000" w:themeColor="text1"/>
          <w:sz w:val="28"/>
          <w:szCs w:val="28"/>
        </w:rPr>
        <w:t xml:space="preserve">a </w:t>
      </w:r>
      <w:r w:rsidR="00DC76AF">
        <w:rPr>
          <w:color w:val="000000" w:themeColor="text1"/>
          <w:sz w:val="28"/>
          <w:szCs w:val="28"/>
        </w:rPr>
        <w:t xml:space="preserve">defendant from advancing legal </w:t>
      </w:r>
      <w:proofErr w:type="spellStart"/>
      <w:r w:rsidR="00DC76AF">
        <w:rPr>
          <w:color w:val="000000" w:themeColor="text1"/>
          <w:sz w:val="28"/>
          <w:szCs w:val="28"/>
        </w:rPr>
        <w:t>defences</w:t>
      </w:r>
      <w:proofErr w:type="spellEnd"/>
      <w:r w:rsidR="00DC76AF">
        <w:rPr>
          <w:color w:val="000000" w:themeColor="text1"/>
          <w:sz w:val="28"/>
          <w:szCs w:val="28"/>
        </w:rPr>
        <w:t xml:space="preserve"> raised as special pleas and from placing countervailing evidence to that of the plaintiff before a court.  In RAF matters</w:t>
      </w:r>
      <w:r w:rsidR="000034AB">
        <w:rPr>
          <w:color w:val="000000" w:themeColor="text1"/>
          <w:sz w:val="28"/>
          <w:szCs w:val="28"/>
        </w:rPr>
        <w:t>,</w:t>
      </w:r>
      <w:r w:rsidR="00DC76AF">
        <w:rPr>
          <w:color w:val="000000" w:themeColor="text1"/>
          <w:sz w:val="28"/>
          <w:szCs w:val="28"/>
        </w:rPr>
        <w:t xml:space="preserve"> this</w:t>
      </w:r>
      <w:r w:rsidR="000034AB">
        <w:rPr>
          <w:color w:val="000000" w:themeColor="text1"/>
          <w:sz w:val="28"/>
          <w:szCs w:val="28"/>
        </w:rPr>
        <w:t xml:space="preserve"> would then also prevent the RAF from relying on any expert </w:t>
      </w:r>
      <w:r w:rsidR="000034AB">
        <w:rPr>
          <w:color w:val="000000" w:themeColor="text1"/>
          <w:sz w:val="28"/>
          <w:szCs w:val="28"/>
        </w:rPr>
        <w:lastRenderedPageBreak/>
        <w:t>evidence it may have obtained (although, given the RAF’s well-known litigation delinquency, this is the exception rather than the rule).</w:t>
      </w:r>
      <w:r w:rsidR="00DC76AF">
        <w:rPr>
          <w:color w:val="000000" w:themeColor="text1"/>
          <w:sz w:val="28"/>
          <w:szCs w:val="28"/>
        </w:rPr>
        <w:t xml:space="preserve"> </w:t>
      </w:r>
    </w:p>
    <w:p w14:paraId="5F84CB93" w14:textId="26F723C9" w:rsidR="000034AB"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0034AB">
        <w:rPr>
          <w:color w:val="000000" w:themeColor="text1"/>
          <w:sz w:val="28"/>
          <w:szCs w:val="28"/>
        </w:rPr>
        <w:t xml:space="preserve">The seriousness of the remedy of striking a </w:t>
      </w:r>
      <w:proofErr w:type="spellStart"/>
      <w:r w:rsidR="000034AB">
        <w:rPr>
          <w:color w:val="000000" w:themeColor="text1"/>
          <w:sz w:val="28"/>
          <w:szCs w:val="28"/>
        </w:rPr>
        <w:t>defence</w:t>
      </w:r>
      <w:proofErr w:type="spellEnd"/>
      <w:r w:rsidR="000034AB">
        <w:rPr>
          <w:color w:val="000000" w:themeColor="text1"/>
          <w:sz w:val="28"/>
          <w:szCs w:val="28"/>
        </w:rPr>
        <w:t xml:space="preserve"> has been reiterated in numerous cases, sometimes even requiring proof of intentional contempt of a court order</w:t>
      </w:r>
      <w:r w:rsidR="000034AB">
        <w:rPr>
          <w:rStyle w:val="FootnoteReference"/>
          <w:color w:val="000000" w:themeColor="text1"/>
          <w:sz w:val="28"/>
          <w:szCs w:val="28"/>
        </w:rPr>
        <w:footnoteReference w:id="11"/>
      </w:r>
      <w:r w:rsidR="000034AB">
        <w:rPr>
          <w:color w:val="000000" w:themeColor="text1"/>
          <w:sz w:val="28"/>
          <w:szCs w:val="28"/>
        </w:rPr>
        <w:t xml:space="preserve"> </w:t>
      </w:r>
      <w:r w:rsidR="002A536D">
        <w:rPr>
          <w:color w:val="000000" w:themeColor="text1"/>
          <w:sz w:val="28"/>
          <w:szCs w:val="28"/>
        </w:rPr>
        <w:t xml:space="preserve">or a directive </w:t>
      </w:r>
      <w:r w:rsidR="000034AB">
        <w:rPr>
          <w:color w:val="000000" w:themeColor="text1"/>
          <w:sz w:val="28"/>
          <w:szCs w:val="28"/>
        </w:rPr>
        <w:t>and at least requiring a “two-st</w:t>
      </w:r>
      <w:r w:rsidR="002A536D">
        <w:rPr>
          <w:color w:val="000000" w:themeColor="text1"/>
          <w:sz w:val="28"/>
          <w:szCs w:val="28"/>
        </w:rPr>
        <w:t>age</w:t>
      </w:r>
      <w:r w:rsidR="000034AB">
        <w:rPr>
          <w:color w:val="000000" w:themeColor="text1"/>
          <w:sz w:val="28"/>
          <w:szCs w:val="28"/>
        </w:rPr>
        <w:t xml:space="preserve"> procedure”, that </w:t>
      </w:r>
      <w:r w:rsidR="00BA2876">
        <w:rPr>
          <w:color w:val="000000" w:themeColor="text1"/>
          <w:sz w:val="28"/>
          <w:szCs w:val="28"/>
        </w:rPr>
        <w:t>i</w:t>
      </w:r>
      <w:r w:rsidR="000034AB">
        <w:rPr>
          <w:color w:val="000000" w:themeColor="text1"/>
          <w:sz w:val="28"/>
          <w:szCs w:val="28"/>
        </w:rPr>
        <w:t>s firstly a compelling order and secondly a consideration of the consequences of non-compliance therewith.</w:t>
      </w:r>
      <w:r w:rsidR="000034AB">
        <w:rPr>
          <w:rStyle w:val="FootnoteReference"/>
          <w:color w:val="000000" w:themeColor="text1"/>
          <w:sz w:val="28"/>
          <w:szCs w:val="28"/>
        </w:rPr>
        <w:footnoteReference w:id="12"/>
      </w:r>
      <w:r w:rsidR="00EE6FD2">
        <w:rPr>
          <w:color w:val="000000" w:themeColor="text1"/>
          <w:sz w:val="28"/>
          <w:szCs w:val="28"/>
        </w:rPr>
        <w:t xml:space="preserve">  I need not revisit those cases as in the present instance, the striking out order has already been granted and there is no attack on that order.  It is further </w:t>
      </w:r>
      <w:proofErr w:type="gramStart"/>
      <w:r w:rsidR="00EE6FD2">
        <w:rPr>
          <w:color w:val="000000" w:themeColor="text1"/>
          <w:sz w:val="28"/>
          <w:szCs w:val="28"/>
        </w:rPr>
        <w:t>trite</w:t>
      </w:r>
      <w:proofErr w:type="gramEnd"/>
      <w:r w:rsidR="00EE6FD2">
        <w:rPr>
          <w:color w:val="000000" w:themeColor="text1"/>
          <w:sz w:val="28"/>
          <w:szCs w:val="28"/>
        </w:rPr>
        <w:t xml:space="preserve"> that a </w:t>
      </w:r>
      <w:proofErr w:type="spellStart"/>
      <w:r w:rsidR="00EE6FD2">
        <w:rPr>
          <w:color w:val="000000" w:themeColor="text1"/>
          <w:sz w:val="28"/>
          <w:szCs w:val="28"/>
        </w:rPr>
        <w:t>defence</w:t>
      </w:r>
      <w:proofErr w:type="spellEnd"/>
      <w:r w:rsidR="00EE6FD2">
        <w:rPr>
          <w:color w:val="000000" w:themeColor="text1"/>
          <w:sz w:val="28"/>
          <w:szCs w:val="28"/>
        </w:rPr>
        <w:t xml:space="preserve"> can be struck out in terms of Rule 30A(1)(b) or 35(</w:t>
      </w:r>
      <w:r w:rsidR="00BA2876">
        <w:rPr>
          <w:color w:val="000000" w:themeColor="text1"/>
          <w:sz w:val="28"/>
          <w:szCs w:val="28"/>
        </w:rPr>
        <w:t>7</w:t>
      </w:r>
      <w:r w:rsidR="00EE6FD2">
        <w:rPr>
          <w:color w:val="000000" w:themeColor="text1"/>
          <w:sz w:val="28"/>
          <w:szCs w:val="28"/>
        </w:rPr>
        <w:t>) upon proven non-compliance with the respective Rules.</w:t>
      </w:r>
    </w:p>
    <w:p w14:paraId="0482BBAB" w14:textId="60473633" w:rsidR="00EE6FD2"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80026D">
        <w:rPr>
          <w:color w:val="000000" w:themeColor="text1"/>
          <w:sz w:val="28"/>
          <w:szCs w:val="28"/>
        </w:rPr>
        <w:t>The seriousness of the consequences of a striking out order (and hence the requirement for at least a two-step procedure before the exercise of judicial discretion) has raised judicial concern as can be seen from the following consideration of a practice directive dealing</w:t>
      </w:r>
      <w:r w:rsidR="003A5CE3">
        <w:rPr>
          <w:color w:val="000000" w:themeColor="text1"/>
          <w:sz w:val="28"/>
          <w:szCs w:val="28"/>
        </w:rPr>
        <w:t xml:space="preserve"> with such instances: </w:t>
      </w:r>
      <w:r w:rsidR="003A5CE3" w:rsidRPr="003A5CE3">
        <w:rPr>
          <w:color w:val="000000" w:themeColor="text1"/>
          <w:sz w:val="28"/>
          <w:szCs w:val="28"/>
        </w:rPr>
        <w:t>“</w:t>
      </w:r>
      <w:r w:rsidR="003A5CE3" w:rsidRPr="003A5CE3">
        <w:rPr>
          <w:i/>
          <w:color w:val="000000" w:themeColor="text1"/>
          <w:sz w:val="28"/>
          <w:szCs w:val="28"/>
        </w:rPr>
        <w:t>[19] Directive 9.8.2.12 clearly provides for the striking out of the defaulting party’s claim o</w:t>
      </w:r>
      <w:r w:rsidR="00BA2876">
        <w:rPr>
          <w:i/>
          <w:color w:val="000000" w:themeColor="text1"/>
          <w:sz w:val="28"/>
          <w:szCs w:val="28"/>
        </w:rPr>
        <w:t>r</w:t>
      </w:r>
      <w:r w:rsidR="003A5CE3" w:rsidRPr="003A5CE3">
        <w:rPr>
          <w:i/>
          <w:color w:val="000000" w:themeColor="text1"/>
          <w:sz w:val="28"/>
          <w:szCs w:val="28"/>
        </w:rPr>
        <w:t xml:space="preserve"> </w:t>
      </w:r>
      <w:proofErr w:type="spellStart"/>
      <w:r w:rsidR="003A5CE3" w:rsidRPr="003A5CE3">
        <w:rPr>
          <w:i/>
          <w:color w:val="000000" w:themeColor="text1"/>
          <w:sz w:val="28"/>
          <w:szCs w:val="28"/>
        </w:rPr>
        <w:t>defence</w:t>
      </w:r>
      <w:proofErr w:type="spellEnd"/>
      <w:r w:rsidR="003A5CE3" w:rsidRPr="003A5CE3">
        <w:rPr>
          <w:i/>
          <w:color w:val="000000" w:themeColor="text1"/>
          <w:sz w:val="28"/>
          <w:szCs w:val="28"/>
        </w:rPr>
        <w:t xml:space="preserve"> where he or she remains non-compliant.  </w:t>
      </w:r>
      <w:proofErr w:type="gramStart"/>
      <w:r w:rsidR="003A5CE3" w:rsidRPr="003A5CE3">
        <w:rPr>
          <w:i/>
          <w:color w:val="000000" w:themeColor="text1"/>
          <w:sz w:val="28"/>
          <w:szCs w:val="28"/>
        </w:rPr>
        <w:t>The striking</w:t>
      </w:r>
      <w:proofErr w:type="gramEnd"/>
      <w:r w:rsidR="003A5CE3" w:rsidRPr="003A5CE3">
        <w:rPr>
          <w:i/>
          <w:color w:val="000000" w:themeColor="text1"/>
          <w:sz w:val="28"/>
          <w:szCs w:val="28"/>
        </w:rPr>
        <w:t xml:space="preserve"> out of the defaulting party’s claim would have the effect that there is no cause of action that requires an answer or </w:t>
      </w:r>
      <w:proofErr w:type="spellStart"/>
      <w:r w:rsidR="003A5CE3" w:rsidRPr="003A5CE3">
        <w:rPr>
          <w:i/>
          <w:color w:val="000000" w:themeColor="text1"/>
          <w:sz w:val="28"/>
          <w:szCs w:val="28"/>
        </w:rPr>
        <w:t>defence</w:t>
      </w:r>
      <w:proofErr w:type="spellEnd"/>
      <w:r w:rsidR="003A5CE3" w:rsidRPr="003A5CE3">
        <w:rPr>
          <w:i/>
          <w:color w:val="000000" w:themeColor="text1"/>
          <w:sz w:val="28"/>
          <w:szCs w:val="28"/>
        </w:rPr>
        <w:t xml:space="preserve"> from the complying party.  In that event, the defaulting party’s claim, including all facts in support of the claim, are struck out from the affidavit as if no such cause of action ha</w:t>
      </w:r>
      <w:r w:rsidR="00BA2876">
        <w:rPr>
          <w:i/>
          <w:color w:val="000000" w:themeColor="text1"/>
          <w:sz w:val="28"/>
          <w:szCs w:val="28"/>
        </w:rPr>
        <w:t>s</w:t>
      </w:r>
      <w:r w:rsidR="003A5CE3" w:rsidRPr="003A5CE3">
        <w:rPr>
          <w:i/>
          <w:color w:val="000000" w:themeColor="text1"/>
          <w:sz w:val="28"/>
          <w:szCs w:val="28"/>
        </w:rPr>
        <w:t xml:space="preserve"> been pleaded.  In the case of a </w:t>
      </w:r>
      <w:proofErr w:type="spellStart"/>
      <w:r w:rsidR="003A5CE3" w:rsidRPr="003A5CE3">
        <w:rPr>
          <w:i/>
          <w:color w:val="000000" w:themeColor="text1"/>
          <w:sz w:val="28"/>
          <w:szCs w:val="28"/>
        </w:rPr>
        <w:t>defence</w:t>
      </w:r>
      <w:proofErr w:type="spellEnd"/>
      <w:r w:rsidR="003A5CE3" w:rsidRPr="003A5CE3">
        <w:rPr>
          <w:i/>
          <w:color w:val="000000" w:themeColor="text1"/>
          <w:sz w:val="28"/>
          <w:szCs w:val="28"/>
        </w:rPr>
        <w:t xml:space="preserve">, the </w:t>
      </w:r>
      <w:proofErr w:type="spellStart"/>
      <w:r w:rsidR="003A5CE3" w:rsidRPr="003A5CE3">
        <w:rPr>
          <w:i/>
          <w:color w:val="000000" w:themeColor="text1"/>
          <w:sz w:val="28"/>
          <w:szCs w:val="28"/>
        </w:rPr>
        <w:t>defence</w:t>
      </w:r>
      <w:proofErr w:type="spellEnd"/>
      <w:r w:rsidR="003A5CE3" w:rsidRPr="003A5CE3">
        <w:rPr>
          <w:i/>
          <w:color w:val="000000" w:themeColor="text1"/>
          <w:sz w:val="28"/>
          <w:szCs w:val="28"/>
        </w:rPr>
        <w:t xml:space="preserve"> is struck out from an affidavit, with the consequence that there is no opposition to the relief sought.  [20] </w:t>
      </w:r>
      <w:r w:rsidR="00BA2876">
        <w:rPr>
          <w:i/>
          <w:color w:val="000000" w:themeColor="text1"/>
          <w:sz w:val="28"/>
          <w:szCs w:val="28"/>
        </w:rPr>
        <w:t>I</w:t>
      </w:r>
      <w:r w:rsidR="003A5CE3" w:rsidRPr="003A5CE3">
        <w:rPr>
          <w:i/>
          <w:color w:val="000000" w:themeColor="text1"/>
          <w:sz w:val="28"/>
          <w:szCs w:val="28"/>
        </w:rPr>
        <w:t>t is improbable that the drafters intended such a drastic consequence to flow automatically …</w:t>
      </w:r>
      <w:r w:rsidR="003A5CE3">
        <w:rPr>
          <w:color w:val="000000" w:themeColor="text1"/>
          <w:sz w:val="28"/>
          <w:szCs w:val="28"/>
        </w:rPr>
        <w:t>”.</w:t>
      </w:r>
      <w:r w:rsidR="003A5CE3">
        <w:rPr>
          <w:rStyle w:val="FootnoteReference"/>
          <w:color w:val="000000" w:themeColor="text1"/>
          <w:sz w:val="28"/>
          <w:szCs w:val="28"/>
        </w:rPr>
        <w:footnoteReference w:id="13"/>
      </w:r>
      <w:r w:rsidR="0080026D">
        <w:rPr>
          <w:color w:val="000000" w:themeColor="text1"/>
          <w:sz w:val="28"/>
          <w:szCs w:val="28"/>
        </w:rPr>
        <w:t xml:space="preserve"> </w:t>
      </w:r>
    </w:p>
    <w:p w14:paraId="26664CDD" w14:textId="35859238" w:rsidR="003A5CE3"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[17]</w:t>
      </w:r>
      <w:r>
        <w:rPr>
          <w:color w:val="000000" w:themeColor="text1"/>
          <w:sz w:val="28"/>
          <w:szCs w:val="28"/>
        </w:rPr>
        <w:tab/>
      </w:r>
      <w:r w:rsidR="003A5CE3">
        <w:rPr>
          <w:color w:val="000000" w:themeColor="text1"/>
          <w:sz w:val="28"/>
          <w:szCs w:val="28"/>
        </w:rPr>
        <w:t xml:space="preserve">I find that the solution to the issue </w:t>
      </w:r>
      <w:r w:rsidR="00554CD6">
        <w:rPr>
          <w:color w:val="000000" w:themeColor="text1"/>
          <w:sz w:val="28"/>
          <w:szCs w:val="28"/>
        </w:rPr>
        <w:t xml:space="preserve">of conflicting views </w:t>
      </w:r>
      <w:r w:rsidR="003A5CE3">
        <w:rPr>
          <w:color w:val="000000" w:themeColor="text1"/>
          <w:sz w:val="28"/>
          <w:szCs w:val="28"/>
        </w:rPr>
        <w:t xml:space="preserve">is </w:t>
      </w:r>
      <w:r w:rsidR="00BA2876">
        <w:rPr>
          <w:color w:val="000000" w:themeColor="text1"/>
          <w:sz w:val="28"/>
          <w:szCs w:val="28"/>
        </w:rPr>
        <w:t xml:space="preserve">firstly that the old authorities, insofar as following them would lead to a denial of a defendant’s </w:t>
      </w:r>
      <w:r w:rsidR="00554CD6">
        <w:rPr>
          <w:color w:val="000000" w:themeColor="text1"/>
          <w:sz w:val="28"/>
          <w:szCs w:val="28"/>
        </w:rPr>
        <w:t xml:space="preserve">Section 34 rights, should not be followed. The second point is that, when a plaintiff has become entitled to the procedural benefits consequent upon a court striking out a defendant’s </w:t>
      </w:r>
      <w:proofErr w:type="spellStart"/>
      <w:r w:rsidR="00554CD6">
        <w:rPr>
          <w:color w:val="000000" w:themeColor="text1"/>
          <w:sz w:val="28"/>
          <w:szCs w:val="28"/>
        </w:rPr>
        <w:t>defence</w:t>
      </w:r>
      <w:proofErr w:type="spellEnd"/>
      <w:r w:rsidR="00554CD6">
        <w:rPr>
          <w:color w:val="000000" w:themeColor="text1"/>
          <w:sz w:val="28"/>
          <w:szCs w:val="28"/>
        </w:rPr>
        <w:t>, those consequences should be limited to that</w:t>
      </w:r>
      <w:r w:rsidR="003A5CE3">
        <w:rPr>
          <w:color w:val="000000" w:themeColor="text1"/>
          <w:sz w:val="28"/>
          <w:szCs w:val="28"/>
        </w:rPr>
        <w:t xml:space="preserve"> formulated in </w:t>
      </w:r>
      <w:r w:rsidR="003A5CE3" w:rsidRPr="00BA2876">
        <w:rPr>
          <w:i/>
          <w:iCs/>
          <w:color w:val="000000" w:themeColor="text1"/>
          <w:sz w:val="28"/>
          <w:szCs w:val="28"/>
        </w:rPr>
        <w:t>Motal</w:t>
      </w:r>
      <w:r w:rsidR="00BA2876" w:rsidRPr="00BA2876">
        <w:rPr>
          <w:i/>
          <w:iCs/>
          <w:color w:val="000000" w:themeColor="text1"/>
          <w:sz w:val="28"/>
          <w:szCs w:val="28"/>
        </w:rPr>
        <w:t>a</w:t>
      </w:r>
      <w:r w:rsidR="003A5CE3">
        <w:rPr>
          <w:color w:val="000000" w:themeColor="text1"/>
          <w:sz w:val="28"/>
          <w:szCs w:val="28"/>
        </w:rPr>
        <w:t>,</w:t>
      </w:r>
      <w:r w:rsidR="000D5989">
        <w:rPr>
          <w:color w:val="000000" w:themeColor="text1"/>
          <w:sz w:val="28"/>
          <w:szCs w:val="28"/>
        </w:rPr>
        <w:t xml:space="preserve"> not by reason of the analogy mentioned therein, but by reason that the striking of a </w:t>
      </w:r>
      <w:proofErr w:type="spellStart"/>
      <w:r w:rsidR="000D5989">
        <w:rPr>
          <w:color w:val="000000" w:themeColor="text1"/>
          <w:sz w:val="28"/>
          <w:szCs w:val="28"/>
        </w:rPr>
        <w:t>defence</w:t>
      </w:r>
      <w:proofErr w:type="spellEnd"/>
      <w:r w:rsidR="000D5989">
        <w:rPr>
          <w:color w:val="000000" w:themeColor="text1"/>
          <w:sz w:val="28"/>
          <w:szCs w:val="28"/>
        </w:rPr>
        <w:t xml:space="preserve"> merely removes the opposition to a plaintiff’s action </w:t>
      </w:r>
      <w:r w:rsidR="00554CD6">
        <w:rPr>
          <w:color w:val="000000" w:themeColor="text1"/>
          <w:sz w:val="28"/>
          <w:szCs w:val="28"/>
        </w:rPr>
        <w:t xml:space="preserve">insofar </w:t>
      </w:r>
      <w:r w:rsidR="000D5989">
        <w:rPr>
          <w:color w:val="000000" w:themeColor="text1"/>
          <w:sz w:val="28"/>
          <w:szCs w:val="28"/>
        </w:rPr>
        <w:t>as it has been pleaded</w:t>
      </w:r>
      <w:r w:rsidR="00554CD6">
        <w:rPr>
          <w:color w:val="000000" w:themeColor="text1"/>
          <w:sz w:val="28"/>
          <w:szCs w:val="28"/>
        </w:rPr>
        <w:t>. This m</w:t>
      </w:r>
      <w:r w:rsidR="000D5989">
        <w:rPr>
          <w:color w:val="000000" w:themeColor="text1"/>
          <w:sz w:val="28"/>
          <w:szCs w:val="28"/>
        </w:rPr>
        <w:t>ean</w:t>
      </w:r>
      <w:r w:rsidR="00554CD6">
        <w:rPr>
          <w:color w:val="000000" w:themeColor="text1"/>
          <w:sz w:val="28"/>
          <w:szCs w:val="28"/>
        </w:rPr>
        <w:t>s that</w:t>
      </w:r>
      <w:r w:rsidR="000D5989">
        <w:rPr>
          <w:color w:val="000000" w:themeColor="text1"/>
          <w:sz w:val="28"/>
          <w:szCs w:val="28"/>
        </w:rPr>
        <w:t xml:space="preserve"> any legal opposition contained in special pleas and any factual averments o</w:t>
      </w:r>
      <w:r w:rsidR="00BA2876">
        <w:rPr>
          <w:color w:val="000000" w:themeColor="text1"/>
          <w:sz w:val="28"/>
          <w:szCs w:val="28"/>
        </w:rPr>
        <w:t>r</w:t>
      </w:r>
      <w:r w:rsidR="000D5989">
        <w:rPr>
          <w:color w:val="000000" w:themeColor="text1"/>
          <w:sz w:val="28"/>
          <w:szCs w:val="28"/>
        </w:rPr>
        <w:t xml:space="preserve"> denial</w:t>
      </w:r>
      <w:r w:rsidR="00BA2876">
        <w:rPr>
          <w:color w:val="000000" w:themeColor="text1"/>
          <w:sz w:val="28"/>
          <w:szCs w:val="28"/>
        </w:rPr>
        <w:t>s</w:t>
      </w:r>
      <w:r w:rsidR="000D5989">
        <w:rPr>
          <w:color w:val="000000" w:themeColor="text1"/>
          <w:sz w:val="28"/>
          <w:szCs w:val="28"/>
        </w:rPr>
        <w:t xml:space="preserve"> of the factual averments advanced by the plaintiff</w:t>
      </w:r>
      <w:r w:rsidR="00554CD6">
        <w:rPr>
          <w:color w:val="000000" w:themeColor="text1"/>
          <w:sz w:val="28"/>
          <w:szCs w:val="28"/>
        </w:rPr>
        <w:t>, which have been contained in the defendant’s plea, have been removed</w:t>
      </w:r>
      <w:r w:rsidR="000D5989">
        <w:rPr>
          <w:color w:val="000000" w:themeColor="text1"/>
          <w:sz w:val="28"/>
          <w:szCs w:val="28"/>
        </w:rPr>
        <w:t>.  The striking out</w:t>
      </w:r>
      <w:r w:rsidR="00734CC7">
        <w:rPr>
          <w:color w:val="000000" w:themeColor="text1"/>
          <w:sz w:val="28"/>
          <w:szCs w:val="28"/>
        </w:rPr>
        <w:t xml:space="preserve"> goes no further and does not remove a defendant’s Section 34 right of access to courts in its entirety.  I therefore disagree with the notion that </w:t>
      </w:r>
      <w:proofErr w:type="gramStart"/>
      <w:r w:rsidR="00734CC7">
        <w:rPr>
          <w:color w:val="000000" w:themeColor="text1"/>
          <w:sz w:val="28"/>
          <w:szCs w:val="28"/>
        </w:rPr>
        <w:t>the striking</w:t>
      </w:r>
      <w:proofErr w:type="gramEnd"/>
      <w:r w:rsidR="00734CC7">
        <w:rPr>
          <w:color w:val="000000" w:themeColor="text1"/>
          <w:sz w:val="28"/>
          <w:szCs w:val="28"/>
        </w:rPr>
        <w:t xml:space="preserve"> out has removed all opposition as mentioned in </w:t>
      </w:r>
      <w:r w:rsidR="00734CC7" w:rsidRPr="00734CC7">
        <w:rPr>
          <w:i/>
          <w:color w:val="000000" w:themeColor="text1"/>
          <w:sz w:val="28"/>
          <w:szCs w:val="28"/>
        </w:rPr>
        <w:t>Hassim</w:t>
      </w:r>
      <w:r w:rsidR="00734CC7">
        <w:rPr>
          <w:color w:val="000000" w:themeColor="text1"/>
          <w:sz w:val="28"/>
          <w:szCs w:val="28"/>
        </w:rPr>
        <w:t xml:space="preserve"> and in the old authorities.  </w:t>
      </w:r>
    </w:p>
    <w:p w14:paraId="3D9F8789" w14:textId="0E7EE78C" w:rsidR="00734CC7"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D6644B">
        <w:rPr>
          <w:color w:val="000000" w:themeColor="text1"/>
          <w:sz w:val="28"/>
          <w:szCs w:val="28"/>
        </w:rPr>
        <w:t xml:space="preserve">To clarify: I find that when a defendant’s </w:t>
      </w:r>
      <w:proofErr w:type="spellStart"/>
      <w:r w:rsidR="00D6644B">
        <w:rPr>
          <w:color w:val="000000" w:themeColor="text1"/>
          <w:sz w:val="28"/>
          <w:szCs w:val="28"/>
        </w:rPr>
        <w:t>defence</w:t>
      </w:r>
      <w:proofErr w:type="spellEnd"/>
      <w:r w:rsidR="00D6644B">
        <w:rPr>
          <w:color w:val="000000" w:themeColor="text1"/>
          <w:sz w:val="28"/>
          <w:szCs w:val="28"/>
        </w:rPr>
        <w:t xml:space="preserve"> has been struck out, a plaintiff still has to prove its entitlement to damages and the extent thereof and a defendant has the right to cross-examine the plaintiff’s witnesses or to interrogate their affidavits (and reports) if they have been allowed by a court in terms of Rule 38(2) on condition further that the defendant may not put a different factual version to such witnesses, lead countervailing evidence or base any argument on facts not put in evidence by the plaintiff.</w:t>
      </w:r>
    </w:p>
    <w:p w14:paraId="2C1F7706" w14:textId="77777777" w:rsidR="00184468" w:rsidRPr="00184468" w:rsidRDefault="00D6644B" w:rsidP="00184468">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Does an amendment to a plaintiff’s particulars of claim after a </w:t>
      </w:r>
      <w:proofErr w:type="spellStart"/>
      <w:r>
        <w:rPr>
          <w:b/>
          <w:color w:val="000000" w:themeColor="text1"/>
          <w:sz w:val="28"/>
          <w:szCs w:val="28"/>
        </w:rPr>
        <w:t>defence</w:t>
      </w:r>
      <w:proofErr w:type="spellEnd"/>
      <w:r>
        <w:rPr>
          <w:b/>
          <w:color w:val="000000" w:themeColor="text1"/>
          <w:sz w:val="28"/>
          <w:szCs w:val="28"/>
        </w:rPr>
        <w:t xml:space="preserve"> has been struck out “open the door” to a new plea?</w:t>
      </w:r>
    </w:p>
    <w:p w14:paraId="4E25FC5E" w14:textId="457AAE56" w:rsidR="00593258" w:rsidRPr="008F7EB1" w:rsidRDefault="00DC2F59" w:rsidP="00DC2F59">
      <w:pPr>
        <w:pStyle w:val="MEMONUMBERED"/>
        <w:numPr>
          <w:ilvl w:val="0"/>
          <w:numId w:val="0"/>
        </w:numPr>
        <w:spacing w:after="360" w:line="360" w:lineRule="auto"/>
        <w:rPr>
          <w:b/>
          <w:color w:val="000000" w:themeColor="text1"/>
          <w:sz w:val="28"/>
          <w:szCs w:val="28"/>
        </w:rPr>
      </w:pPr>
      <w:r w:rsidRPr="008F7EB1">
        <w:rPr>
          <w:color w:val="000000" w:themeColor="text1"/>
          <w:sz w:val="28"/>
          <w:szCs w:val="28"/>
        </w:rPr>
        <w:t>[19]</w:t>
      </w:r>
      <w:r w:rsidRPr="008F7EB1">
        <w:rPr>
          <w:color w:val="000000" w:themeColor="text1"/>
          <w:sz w:val="28"/>
          <w:szCs w:val="28"/>
        </w:rPr>
        <w:tab/>
      </w:r>
      <w:r w:rsidR="00DB3FCB">
        <w:rPr>
          <w:color w:val="000000" w:themeColor="text1"/>
          <w:sz w:val="28"/>
          <w:szCs w:val="28"/>
        </w:rPr>
        <w:t xml:space="preserve">The </w:t>
      </w:r>
      <w:r w:rsidR="00D6644B">
        <w:rPr>
          <w:color w:val="000000" w:themeColor="text1"/>
          <w:sz w:val="28"/>
          <w:szCs w:val="28"/>
        </w:rPr>
        <w:t xml:space="preserve">first part of the answer is that </w:t>
      </w:r>
      <w:r w:rsidR="00842B92">
        <w:rPr>
          <w:color w:val="000000" w:themeColor="text1"/>
          <w:sz w:val="28"/>
          <w:szCs w:val="28"/>
        </w:rPr>
        <w:t xml:space="preserve">in general </w:t>
      </w:r>
      <w:r w:rsidR="00D6644B">
        <w:rPr>
          <w:color w:val="000000" w:themeColor="text1"/>
          <w:sz w:val="28"/>
          <w:szCs w:val="28"/>
        </w:rPr>
        <w:t>the delivery of a substantial amendment to a plaintiff’s particulars of claim, even if only in respect of quantum, has the effect of “reopening” the pleadings and thereby ha</w:t>
      </w:r>
      <w:r w:rsidR="00554CD6">
        <w:rPr>
          <w:color w:val="000000" w:themeColor="text1"/>
          <w:sz w:val="28"/>
          <w:szCs w:val="28"/>
        </w:rPr>
        <w:t>s</w:t>
      </w:r>
      <w:r w:rsidR="00D6644B">
        <w:rPr>
          <w:color w:val="000000" w:themeColor="text1"/>
          <w:sz w:val="28"/>
          <w:szCs w:val="28"/>
        </w:rPr>
        <w:t xml:space="preserve"> the result </w:t>
      </w:r>
      <w:r w:rsidR="00D6644B">
        <w:rPr>
          <w:color w:val="000000" w:themeColor="text1"/>
          <w:sz w:val="28"/>
          <w:szCs w:val="28"/>
        </w:rPr>
        <w:lastRenderedPageBreak/>
        <w:t xml:space="preserve">that </w:t>
      </w:r>
      <w:r w:rsidR="00D6644B" w:rsidRPr="00D6644B">
        <w:rPr>
          <w:i/>
          <w:color w:val="000000" w:themeColor="text1"/>
          <w:sz w:val="28"/>
          <w:szCs w:val="28"/>
        </w:rPr>
        <w:t xml:space="preserve">litis </w:t>
      </w:r>
      <w:proofErr w:type="spellStart"/>
      <w:r w:rsidR="00D6644B">
        <w:rPr>
          <w:i/>
          <w:color w:val="000000" w:themeColor="text1"/>
          <w:sz w:val="28"/>
          <w:szCs w:val="28"/>
        </w:rPr>
        <w:t>contestatio</w:t>
      </w:r>
      <w:proofErr w:type="spellEnd"/>
      <w:r w:rsidR="00D6644B">
        <w:rPr>
          <w:color w:val="000000" w:themeColor="text1"/>
          <w:sz w:val="28"/>
          <w:szCs w:val="28"/>
        </w:rPr>
        <w:t xml:space="preserve"> f</w:t>
      </w:r>
      <w:r w:rsidR="00554CD6">
        <w:rPr>
          <w:color w:val="000000" w:themeColor="text1"/>
          <w:sz w:val="28"/>
          <w:szCs w:val="28"/>
        </w:rPr>
        <w:t>a</w:t>
      </w:r>
      <w:r w:rsidR="00D6644B">
        <w:rPr>
          <w:color w:val="000000" w:themeColor="text1"/>
          <w:sz w:val="28"/>
          <w:szCs w:val="28"/>
        </w:rPr>
        <w:t>ll</w:t>
      </w:r>
      <w:r w:rsidR="00554CD6">
        <w:rPr>
          <w:color w:val="000000" w:themeColor="text1"/>
          <w:sz w:val="28"/>
          <w:szCs w:val="28"/>
        </w:rPr>
        <w:t>s</w:t>
      </w:r>
      <w:r w:rsidR="00D6644B">
        <w:rPr>
          <w:color w:val="000000" w:themeColor="text1"/>
          <w:sz w:val="28"/>
          <w:szCs w:val="28"/>
        </w:rPr>
        <w:t xml:space="preserve"> away.  This much has expressly been found in </w:t>
      </w:r>
      <w:r w:rsidR="00D6644B" w:rsidRPr="00D6644B">
        <w:rPr>
          <w:i/>
          <w:color w:val="000000" w:themeColor="text1"/>
          <w:sz w:val="28"/>
          <w:szCs w:val="28"/>
        </w:rPr>
        <w:t>Olivier</w:t>
      </w:r>
      <w:r w:rsidR="00D6644B">
        <w:rPr>
          <w:color w:val="000000" w:themeColor="text1"/>
          <w:sz w:val="28"/>
          <w:szCs w:val="28"/>
        </w:rPr>
        <w:t>:</w:t>
      </w:r>
      <w:r w:rsidR="00D6644B">
        <w:rPr>
          <w:rStyle w:val="FootnoteReference"/>
          <w:color w:val="000000" w:themeColor="text1"/>
          <w:sz w:val="28"/>
          <w:szCs w:val="28"/>
        </w:rPr>
        <w:footnoteReference w:id="14"/>
      </w:r>
      <w:r w:rsidR="00D6644B">
        <w:rPr>
          <w:color w:val="000000" w:themeColor="text1"/>
          <w:sz w:val="28"/>
          <w:szCs w:val="28"/>
        </w:rPr>
        <w:t xml:space="preserve"> </w:t>
      </w:r>
      <w:r w:rsidR="008F7EB1">
        <w:rPr>
          <w:color w:val="000000" w:themeColor="text1"/>
          <w:sz w:val="28"/>
          <w:szCs w:val="28"/>
        </w:rPr>
        <w:t>“</w:t>
      </w:r>
      <w:r w:rsidR="008F7EB1" w:rsidRPr="008F7EB1">
        <w:rPr>
          <w:i/>
          <w:color w:val="000000" w:themeColor="text1"/>
          <w:sz w:val="28"/>
          <w:szCs w:val="28"/>
        </w:rPr>
        <w:t>When due consideration is had to the amended particulars of claim, the amendments are substantial and material.  There are new aspects that in my view would require some consideration.  It may be so that this increase in quantum did not alter the cause of action, the identity of the parties and the scope of the issues in dispute … Notwithstanding, the scope of damages has been increased significantly and it would without doubt require a pleading</w:t>
      </w:r>
      <w:r w:rsidR="008F7EB1">
        <w:rPr>
          <w:color w:val="000000" w:themeColor="text1"/>
          <w:sz w:val="28"/>
          <w:szCs w:val="28"/>
        </w:rPr>
        <w:t>”.  I respectfully align myself with this view.</w:t>
      </w:r>
    </w:p>
    <w:p w14:paraId="224F7E2A" w14:textId="2DCDA689" w:rsidR="008F7EB1" w:rsidRPr="00AE42A4" w:rsidRDefault="00DC2F59" w:rsidP="00DC2F59">
      <w:pPr>
        <w:pStyle w:val="MEMONUMBERED"/>
        <w:numPr>
          <w:ilvl w:val="0"/>
          <w:numId w:val="0"/>
        </w:numPr>
        <w:spacing w:after="360" w:line="360" w:lineRule="auto"/>
        <w:rPr>
          <w:b/>
          <w:color w:val="000000" w:themeColor="text1"/>
          <w:sz w:val="28"/>
          <w:szCs w:val="28"/>
        </w:rPr>
      </w:pPr>
      <w:r w:rsidRPr="00AE42A4">
        <w:rPr>
          <w:color w:val="000000" w:themeColor="text1"/>
          <w:sz w:val="28"/>
          <w:szCs w:val="28"/>
        </w:rPr>
        <w:t>[20]</w:t>
      </w:r>
      <w:r w:rsidRPr="00AE42A4">
        <w:rPr>
          <w:color w:val="000000" w:themeColor="text1"/>
          <w:sz w:val="28"/>
          <w:szCs w:val="28"/>
        </w:rPr>
        <w:tab/>
      </w:r>
      <w:r w:rsidR="008F7EB1">
        <w:rPr>
          <w:color w:val="000000" w:themeColor="text1"/>
          <w:sz w:val="28"/>
          <w:szCs w:val="28"/>
        </w:rPr>
        <w:t xml:space="preserve">Although doubt had been expressed whether an immaterial or minor amendment would have the same result of a “fresh </w:t>
      </w:r>
      <w:r w:rsidR="008F7EB1" w:rsidRPr="008F7EB1">
        <w:rPr>
          <w:i/>
          <w:color w:val="000000" w:themeColor="text1"/>
          <w:sz w:val="28"/>
          <w:szCs w:val="28"/>
        </w:rPr>
        <w:t xml:space="preserve">litis </w:t>
      </w:r>
      <w:proofErr w:type="spellStart"/>
      <w:r w:rsidR="008F7EB1" w:rsidRPr="008F7EB1">
        <w:rPr>
          <w:i/>
          <w:color w:val="000000" w:themeColor="text1"/>
          <w:sz w:val="28"/>
          <w:szCs w:val="28"/>
        </w:rPr>
        <w:t>constestatio</w:t>
      </w:r>
      <w:proofErr w:type="spellEnd"/>
      <w:r w:rsidR="008F7EB1">
        <w:rPr>
          <w:color w:val="000000" w:themeColor="text1"/>
          <w:sz w:val="28"/>
          <w:szCs w:val="28"/>
        </w:rPr>
        <w:t>”,</w:t>
      </w:r>
      <w:r w:rsidR="008F7EB1">
        <w:rPr>
          <w:rStyle w:val="FootnoteReference"/>
          <w:color w:val="000000" w:themeColor="text1"/>
          <w:sz w:val="28"/>
          <w:szCs w:val="28"/>
        </w:rPr>
        <w:footnoteReference w:id="15"/>
      </w:r>
      <w:r w:rsidR="008F7EB1">
        <w:rPr>
          <w:color w:val="000000" w:themeColor="text1"/>
          <w:sz w:val="28"/>
          <w:szCs w:val="28"/>
        </w:rPr>
        <w:t xml:space="preserve"> it must be beyond doubt that a</w:t>
      </w:r>
      <w:r w:rsidR="00842B92">
        <w:rPr>
          <w:color w:val="000000" w:themeColor="text1"/>
          <w:sz w:val="28"/>
          <w:szCs w:val="28"/>
        </w:rPr>
        <w:t>ny</w:t>
      </w:r>
      <w:r w:rsidR="008F7EB1">
        <w:rPr>
          <w:color w:val="000000" w:themeColor="text1"/>
          <w:sz w:val="28"/>
          <w:szCs w:val="28"/>
        </w:rPr>
        <w:t xml:space="preserve"> substantial amendment would have the result that pleadings are reopened.</w:t>
      </w:r>
      <w:r w:rsidR="00842B92">
        <w:rPr>
          <w:color w:val="000000" w:themeColor="text1"/>
          <w:sz w:val="28"/>
          <w:szCs w:val="28"/>
        </w:rPr>
        <w:t xml:space="preserve"> That the Supreme Court of appeal has confirmed in </w:t>
      </w:r>
      <w:proofErr w:type="spellStart"/>
      <w:r w:rsidR="00842B92">
        <w:rPr>
          <w:i/>
          <w:iCs/>
          <w:color w:val="000000" w:themeColor="text1"/>
          <w:sz w:val="28"/>
          <w:szCs w:val="28"/>
        </w:rPr>
        <w:t>Endumeni</w:t>
      </w:r>
      <w:proofErr w:type="spellEnd"/>
      <w:r w:rsidR="008F7EB1">
        <w:rPr>
          <w:rStyle w:val="FootnoteReference"/>
          <w:color w:val="000000" w:themeColor="text1"/>
          <w:sz w:val="28"/>
          <w:szCs w:val="28"/>
        </w:rPr>
        <w:footnoteReference w:id="16"/>
      </w:r>
      <w:r w:rsidR="00842B92">
        <w:rPr>
          <w:i/>
          <w:iCs/>
          <w:color w:val="000000" w:themeColor="text1"/>
          <w:sz w:val="28"/>
          <w:szCs w:val="28"/>
        </w:rPr>
        <w:t>.</w:t>
      </w:r>
      <w:r w:rsidR="008F7EB1">
        <w:rPr>
          <w:color w:val="000000" w:themeColor="text1"/>
          <w:sz w:val="28"/>
          <w:szCs w:val="28"/>
        </w:rPr>
        <w:t xml:space="preserve">  </w:t>
      </w:r>
      <w:r w:rsidR="00842B92">
        <w:rPr>
          <w:color w:val="000000" w:themeColor="text1"/>
          <w:sz w:val="28"/>
          <w:szCs w:val="28"/>
        </w:rPr>
        <w:t>By way of illustration, in</w:t>
      </w:r>
      <w:r w:rsidR="008F7EB1">
        <w:rPr>
          <w:color w:val="000000" w:themeColor="text1"/>
          <w:sz w:val="28"/>
          <w:szCs w:val="28"/>
        </w:rPr>
        <w:t xml:space="preserve"> </w:t>
      </w:r>
      <w:r w:rsidR="008F7EB1" w:rsidRPr="008F7EB1">
        <w:rPr>
          <w:i/>
          <w:color w:val="000000" w:themeColor="text1"/>
          <w:sz w:val="28"/>
          <w:szCs w:val="28"/>
        </w:rPr>
        <w:t>Olivier,</w:t>
      </w:r>
      <w:r w:rsidR="008F7EB1">
        <w:rPr>
          <w:color w:val="000000" w:themeColor="text1"/>
          <w:sz w:val="28"/>
          <w:szCs w:val="28"/>
        </w:rPr>
        <w:t xml:space="preserve"> the </w:t>
      </w:r>
      <w:proofErr w:type="gramStart"/>
      <w:r w:rsidR="008F7EB1">
        <w:rPr>
          <w:color w:val="000000" w:themeColor="text1"/>
          <w:sz w:val="28"/>
          <w:szCs w:val="28"/>
        </w:rPr>
        <w:t>amount</w:t>
      </w:r>
      <w:proofErr w:type="gramEnd"/>
      <w:r w:rsidR="008F7EB1">
        <w:rPr>
          <w:color w:val="000000" w:themeColor="text1"/>
          <w:sz w:val="28"/>
          <w:szCs w:val="28"/>
        </w:rPr>
        <w:t xml:space="preserve"> of damages was increased from R6 105 000.00 to R7 155 500.</w:t>
      </w:r>
      <w:r w:rsidR="00AE42A4">
        <w:rPr>
          <w:color w:val="000000" w:themeColor="text1"/>
          <w:sz w:val="28"/>
          <w:szCs w:val="28"/>
        </w:rPr>
        <w:t>00</w:t>
      </w:r>
      <w:r w:rsidR="00AC05FC">
        <w:rPr>
          <w:color w:val="000000" w:themeColor="text1"/>
          <w:sz w:val="28"/>
          <w:szCs w:val="28"/>
        </w:rPr>
        <w:t xml:space="preserve"> and the court found that that would have entitled a defendant to plead thereto</w:t>
      </w:r>
      <w:r w:rsidR="00AE42A4">
        <w:rPr>
          <w:color w:val="000000" w:themeColor="text1"/>
          <w:sz w:val="28"/>
          <w:szCs w:val="28"/>
        </w:rPr>
        <w:t>.  I</w:t>
      </w:r>
      <w:r w:rsidR="008F7EB1">
        <w:rPr>
          <w:color w:val="000000" w:themeColor="text1"/>
          <w:sz w:val="28"/>
          <w:szCs w:val="28"/>
        </w:rPr>
        <w:t xml:space="preserve">n the present matter the </w:t>
      </w:r>
      <w:proofErr w:type="gramStart"/>
      <w:r w:rsidR="008F7EB1">
        <w:rPr>
          <w:color w:val="000000" w:themeColor="text1"/>
          <w:sz w:val="28"/>
          <w:szCs w:val="28"/>
        </w:rPr>
        <w:t>amount</w:t>
      </w:r>
      <w:proofErr w:type="gramEnd"/>
      <w:r w:rsidR="008F7EB1">
        <w:rPr>
          <w:color w:val="000000" w:themeColor="text1"/>
          <w:sz w:val="28"/>
          <w:szCs w:val="28"/>
        </w:rPr>
        <w:t xml:space="preserve"> of </w:t>
      </w:r>
      <w:proofErr w:type="gramStart"/>
      <w:r w:rsidR="008F7EB1">
        <w:rPr>
          <w:color w:val="000000" w:themeColor="text1"/>
          <w:sz w:val="28"/>
          <w:szCs w:val="28"/>
        </w:rPr>
        <w:t>damages was</w:t>
      </w:r>
      <w:proofErr w:type="gramEnd"/>
      <w:r w:rsidR="008F7EB1">
        <w:rPr>
          <w:color w:val="000000" w:themeColor="text1"/>
          <w:sz w:val="28"/>
          <w:szCs w:val="28"/>
        </w:rPr>
        <w:t xml:space="preserve"> even more significantly increased.</w:t>
      </w:r>
    </w:p>
    <w:p w14:paraId="5EA7C6D4" w14:textId="24BE263D" w:rsidR="00AE42A4" w:rsidRPr="006D0BC5" w:rsidRDefault="00DC2F59" w:rsidP="00DC2F59">
      <w:pPr>
        <w:pStyle w:val="MEMONUMBERED"/>
        <w:numPr>
          <w:ilvl w:val="0"/>
          <w:numId w:val="0"/>
        </w:numPr>
        <w:spacing w:after="360" w:line="360" w:lineRule="auto"/>
        <w:rPr>
          <w:b/>
          <w:color w:val="000000" w:themeColor="text1"/>
          <w:sz w:val="28"/>
          <w:szCs w:val="28"/>
        </w:rPr>
      </w:pPr>
      <w:r w:rsidRPr="006D0BC5">
        <w:rPr>
          <w:color w:val="000000" w:themeColor="text1"/>
          <w:sz w:val="28"/>
          <w:szCs w:val="28"/>
        </w:rPr>
        <w:t>[21]</w:t>
      </w:r>
      <w:r w:rsidRPr="006D0BC5">
        <w:rPr>
          <w:color w:val="000000" w:themeColor="text1"/>
          <w:sz w:val="28"/>
          <w:szCs w:val="28"/>
        </w:rPr>
        <w:tab/>
      </w:r>
      <w:r w:rsidR="00AE42A4">
        <w:rPr>
          <w:color w:val="000000" w:themeColor="text1"/>
          <w:sz w:val="28"/>
          <w:szCs w:val="28"/>
        </w:rPr>
        <w:t>The pertinent question i</w:t>
      </w:r>
      <w:r w:rsidR="00842B92">
        <w:rPr>
          <w:color w:val="000000" w:themeColor="text1"/>
          <w:sz w:val="28"/>
          <w:szCs w:val="28"/>
        </w:rPr>
        <w:t>s</w:t>
      </w:r>
      <w:r w:rsidR="00AE42A4">
        <w:rPr>
          <w:color w:val="000000" w:themeColor="text1"/>
          <w:sz w:val="28"/>
          <w:szCs w:val="28"/>
        </w:rPr>
        <w:t xml:space="preserve"> whether the “reopening of the pleadings” would also apply in instances where the defendant</w:t>
      </w:r>
      <w:r w:rsidR="00842B92">
        <w:rPr>
          <w:color w:val="000000" w:themeColor="text1"/>
          <w:sz w:val="28"/>
          <w:szCs w:val="28"/>
        </w:rPr>
        <w:t>’</w:t>
      </w:r>
      <w:r w:rsidR="00AE42A4">
        <w:rPr>
          <w:color w:val="000000" w:themeColor="text1"/>
          <w:sz w:val="28"/>
          <w:szCs w:val="28"/>
        </w:rPr>
        <w:t xml:space="preserve">s </w:t>
      </w:r>
      <w:proofErr w:type="spellStart"/>
      <w:r w:rsidR="00AE42A4">
        <w:rPr>
          <w:color w:val="000000" w:themeColor="text1"/>
          <w:sz w:val="28"/>
          <w:szCs w:val="28"/>
        </w:rPr>
        <w:t>defence</w:t>
      </w:r>
      <w:proofErr w:type="spellEnd"/>
      <w:r w:rsidR="00AE42A4">
        <w:rPr>
          <w:color w:val="000000" w:themeColor="text1"/>
          <w:sz w:val="28"/>
          <w:szCs w:val="28"/>
        </w:rPr>
        <w:t xml:space="preserve"> had been struck out.  In </w:t>
      </w:r>
      <w:proofErr w:type="spellStart"/>
      <w:r w:rsidR="00AE42A4" w:rsidRPr="00AE42A4">
        <w:rPr>
          <w:i/>
          <w:color w:val="000000" w:themeColor="text1"/>
          <w:sz w:val="28"/>
          <w:szCs w:val="28"/>
        </w:rPr>
        <w:t>Endumeni</w:t>
      </w:r>
      <w:proofErr w:type="spellEnd"/>
      <w:r w:rsidR="00AE42A4">
        <w:rPr>
          <w:color w:val="000000" w:themeColor="text1"/>
          <w:sz w:val="28"/>
          <w:szCs w:val="28"/>
        </w:rPr>
        <w:t xml:space="preserve"> the origin of the concept of </w:t>
      </w:r>
      <w:r w:rsidR="00AE42A4" w:rsidRPr="00AE42A4">
        <w:rPr>
          <w:i/>
          <w:color w:val="000000" w:themeColor="text1"/>
          <w:sz w:val="28"/>
          <w:szCs w:val="28"/>
        </w:rPr>
        <w:t xml:space="preserve">litis </w:t>
      </w:r>
      <w:proofErr w:type="spellStart"/>
      <w:r w:rsidR="00AE42A4" w:rsidRPr="00AE42A4">
        <w:rPr>
          <w:i/>
          <w:color w:val="000000" w:themeColor="text1"/>
          <w:sz w:val="28"/>
          <w:szCs w:val="28"/>
        </w:rPr>
        <w:t>constestatio</w:t>
      </w:r>
      <w:proofErr w:type="spellEnd"/>
      <w:r w:rsidR="00AE42A4">
        <w:rPr>
          <w:color w:val="000000" w:themeColor="text1"/>
          <w:sz w:val="28"/>
          <w:szCs w:val="28"/>
        </w:rPr>
        <w:t xml:space="preserve"> has been explained by reference to Roman Law</w:t>
      </w:r>
      <w:r w:rsidR="00AE42A4">
        <w:rPr>
          <w:rStyle w:val="FootnoteReference"/>
          <w:color w:val="000000" w:themeColor="text1"/>
          <w:sz w:val="28"/>
          <w:szCs w:val="28"/>
        </w:rPr>
        <w:footnoteReference w:id="17"/>
      </w:r>
      <w:r w:rsidR="00AE42A4">
        <w:rPr>
          <w:color w:val="000000" w:themeColor="text1"/>
          <w:sz w:val="28"/>
          <w:szCs w:val="28"/>
        </w:rPr>
        <w:t xml:space="preserve"> and by way of a reference to the following explanation thereof by Hollmes AJ in </w:t>
      </w:r>
      <w:r w:rsidR="00AE42A4" w:rsidRPr="00AE42A4">
        <w:rPr>
          <w:i/>
          <w:color w:val="000000" w:themeColor="text1"/>
          <w:sz w:val="28"/>
          <w:szCs w:val="28"/>
        </w:rPr>
        <w:t>Government of the Republic of South Africa v Ngubane</w:t>
      </w:r>
      <w:r w:rsidR="00AE42A4">
        <w:rPr>
          <w:color w:val="000000" w:themeColor="text1"/>
          <w:sz w:val="28"/>
          <w:szCs w:val="28"/>
        </w:rPr>
        <w:t>:</w:t>
      </w:r>
      <w:r w:rsidR="00AE42A4">
        <w:rPr>
          <w:rStyle w:val="FootnoteReference"/>
          <w:color w:val="000000" w:themeColor="text1"/>
          <w:sz w:val="28"/>
          <w:szCs w:val="28"/>
        </w:rPr>
        <w:footnoteReference w:id="18"/>
      </w:r>
      <w:r w:rsidR="00AE42A4">
        <w:rPr>
          <w:color w:val="000000" w:themeColor="text1"/>
          <w:sz w:val="28"/>
          <w:szCs w:val="28"/>
        </w:rPr>
        <w:t xml:space="preserve"> “</w:t>
      </w:r>
      <w:r w:rsidR="00AE42A4" w:rsidRPr="006D0BC5">
        <w:rPr>
          <w:i/>
          <w:color w:val="000000" w:themeColor="text1"/>
          <w:sz w:val="28"/>
          <w:szCs w:val="28"/>
        </w:rPr>
        <w:t xml:space="preserve">In modern practice litis </w:t>
      </w:r>
      <w:proofErr w:type="spellStart"/>
      <w:r w:rsidR="00AE42A4" w:rsidRPr="006D0BC5">
        <w:rPr>
          <w:i/>
          <w:color w:val="000000" w:themeColor="text1"/>
          <w:sz w:val="28"/>
          <w:szCs w:val="28"/>
        </w:rPr>
        <w:t>constestatio</w:t>
      </w:r>
      <w:proofErr w:type="spellEnd"/>
      <w:r w:rsidR="00AE42A4" w:rsidRPr="006D0BC5">
        <w:rPr>
          <w:i/>
          <w:color w:val="000000" w:themeColor="text1"/>
          <w:sz w:val="28"/>
          <w:szCs w:val="28"/>
        </w:rPr>
        <w:t xml:space="preserve"> is taken as being synonymous with close of pleadings, when the issue is closed and joined </w:t>
      </w:r>
      <w:proofErr w:type="gramStart"/>
      <w:r w:rsidR="00AE42A4" w:rsidRPr="006D0BC5">
        <w:rPr>
          <w:i/>
          <w:color w:val="000000" w:themeColor="text1"/>
          <w:sz w:val="28"/>
          <w:szCs w:val="28"/>
        </w:rPr>
        <w:t>… .</w:t>
      </w:r>
      <w:proofErr w:type="gramEnd"/>
      <w:r w:rsidR="00AE42A4" w:rsidRPr="006D0BC5">
        <w:rPr>
          <w:i/>
          <w:color w:val="000000" w:themeColor="text1"/>
          <w:sz w:val="28"/>
          <w:szCs w:val="28"/>
        </w:rPr>
        <w:t xml:space="preserve"> And in modern </w:t>
      </w:r>
      <w:r w:rsidR="00AE42A4" w:rsidRPr="006D0BC5">
        <w:rPr>
          <w:i/>
          <w:color w:val="000000" w:themeColor="text1"/>
          <w:sz w:val="28"/>
          <w:szCs w:val="28"/>
        </w:rPr>
        <w:lastRenderedPageBreak/>
        <w:t xml:space="preserve">terminology, the effect of litis </w:t>
      </w:r>
      <w:proofErr w:type="spellStart"/>
      <w:r w:rsidR="00AE42A4" w:rsidRPr="006D0BC5">
        <w:rPr>
          <w:i/>
          <w:color w:val="000000" w:themeColor="text1"/>
          <w:sz w:val="28"/>
          <w:szCs w:val="28"/>
        </w:rPr>
        <w:t>contestatio</w:t>
      </w:r>
      <w:proofErr w:type="spellEnd"/>
      <w:r w:rsidR="00AE42A4" w:rsidRPr="006D0BC5">
        <w:rPr>
          <w:i/>
          <w:color w:val="000000" w:themeColor="text1"/>
          <w:sz w:val="28"/>
          <w:szCs w:val="28"/>
        </w:rPr>
        <w:t xml:space="preserve"> is to “freeze</w:t>
      </w:r>
      <w:r w:rsidR="00AC05FC">
        <w:rPr>
          <w:i/>
          <w:color w:val="000000" w:themeColor="text1"/>
          <w:sz w:val="28"/>
          <w:szCs w:val="28"/>
        </w:rPr>
        <w:t>”</w:t>
      </w:r>
      <w:r w:rsidR="00AE42A4" w:rsidRPr="006D0BC5">
        <w:rPr>
          <w:i/>
          <w:color w:val="000000" w:themeColor="text1"/>
          <w:sz w:val="28"/>
          <w:szCs w:val="28"/>
        </w:rPr>
        <w:t xml:space="preserve"> the plaintiff’s rights as at that moment</w:t>
      </w:r>
      <w:r w:rsidR="00AE42A4" w:rsidRPr="006D0BC5">
        <w:rPr>
          <w:color w:val="000000" w:themeColor="text1"/>
          <w:sz w:val="28"/>
          <w:szCs w:val="28"/>
        </w:rPr>
        <w:t>”</w:t>
      </w:r>
      <w:r w:rsidR="00AE42A4">
        <w:rPr>
          <w:color w:val="000000" w:themeColor="text1"/>
          <w:sz w:val="28"/>
          <w:szCs w:val="28"/>
        </w:rPr>
        <w:t>.</w:t>
      </w:r>
    </w:p>
    <w:p w14:paraId="6583AE58" w14:textId="58392E9D" w:rsidR="006D0BC5" w:rsidRPr="006D0BC5" w:rsidRDefault="00DC2F59" w:rsidP="00DC2F59">
      <w:pPr>
        <w:pStyle w:val="MEMONUMBERED"/>
        <w:numPr>
          <w:ilvl w:val="0"/>
          <w:numId w:val="0"/>
        </w:numPr>
        <w:spacing w:after="360" w:line="360" w:lineRule="auto"/>
        <w:rPr>
          <w:b/>
          <w:color w:val="000000" w:themeColor="text1"/>
          <w:sz w:val="28"/>
          <w:szCs w:val="28"/>
        </w:rPr>
      </w:pPr>
      <w:r w:rsidRPr="006D0BC5">
        <w:rPr>
          <w:color w:val="000000" w:themeColor="text1"/>
          <w:sz w:val="28"/>
          <w:szCs w:val="28"/>
        </w:rPr>
        <w:t>[22]</w:t>
      </w:r>
      <w:r w:rsidRPr="006D0BC5">
        <w:rPr>
          <w:color w:val="000000" w:themeColor="text1"/>
          <w:sz w:val="28"/>
          <w:szCs w:val="28"/>
        </w:rPr>
        <w:tab/>
      </w:r>
      <w:r w:rsidR="00AC05FC">
        <w:rPr>
          <w:color w:val="000000" w:themeColor="text1"/>
          <w:sz w:val="28"/>
          <w:szCs w:val="28"/>
        </w:rPr>
        <w:t>A</w:t>
      </w:r>
      <w:r w:rsidR="006D0BC5">
        <w:rPr>
          <w:color w:val="000000" w:themeColor="text1"/>
          <w:sz w:val="28"/>
          <w:szCs w:val="28"/>
        </w:rPr>
        <w:t xml:space="preserve"> </w:t>
      </w:r>
      <w:proofErr w:type="spellStart"/>
      <w:r w:rsidR="006D0BC5">
        <w:rPr>
          <w:color w:val="000000" w:themeColor="text1"/>
          <w:sz w:val="28"/>
          <w:szCs w:val="28"/>
        </w:rPr>
        <w:t>defence</w:t>
      </w:r>
      <w:proofErr w:type="spellEnd"/>
      <w:r w:rsidR="006D0BC5">
        <w:rPr>
          <w:color w:val="000000" w:themeColor="text1"/>
          <w:sz w:val="28"/>
          <w:szCs w:val="28"/>
        </w:rPr>
        <w:t xml:space="preserve"> which has been struck out</w:t>
      </w:r>
      <w:r w:rsidR="00AC05FC">
        <w:rPr>
          <w:color w:val="000000" w:themeColor="text1"/>
          <w:sz w:val="28"/>
          <w:szCs w:val="28"/>
        </w:rPr>
        <w:t xml:space="preserve"> by a court</w:t>
      </w:r>
      <w:r w:rsidR="006D0BC5">
        <w:rPr>
          <w:color w:val="000000" w:themeColor="text1"/>
          <w:sz w:val="28"/>
          <w:szCs w:val="28"/>
        </w:rPr>
        <w:t xml:space="preserve">, </w:t>
      </w:r>
      <w:r w:rsidR="00AC05FC">
        <w:rPr>
          <w:color w:val="000000" w:themeColor="text1"/>
          <w:sz w:val="28"/>
          <w:szCs w:val="28"/>
        </w:rPr>
        <w:t>would have</w:t>
      </w:r>
      <w:r w:rsidR="006D0BC5">
        <w:rPr>
          <w:color w:val="000000" w:themeColor="text1"/>
          <w:sz w:val="28"/>
          <w:szCs w:val="28"/>
        </w:rPr>
        <w:t xml:space="preserve"> been a response to </w:t>
      </w:r>
      <w:r w:rsidR="00AC05FC">
        <w:rPr>
          <w:color w:val="000000" w:themeColor="text1"/>
          <w:sz w:val="28"/>
          <w:szCs w:val="28"/>
        </w:rPr>
        <w:t>a</w:t>
      </w:r>
      <w:r w:rsidR="006D0BC5">
        <w:rPr>
          <w:color w:val="000000" w:themeColor="text1"/>
          <w:sz w:val="28"/>
          <w:szCs w:val="28"/>
        </w:rPr>
        <w:t xml:space="preserve"> plaintiff’s pre-amendment case and </w:t>
      </w:r>
      <w:r w:rsidR="00AC05FC">
        <w:rPr>
          <w:color w:val="000000" w:themeColor="text1"/>
          <w:sz w:val="28"/>
          <w:szCs w:val="28"/>
        </w:rPr>
        <w:t xml:space="preserve">to </w:t>
      </w:r>
      <w:r w:rsidR="006D0BC5">
        <w:rPr>
          <w:color w:val="000000" w:themeColor="text1"/>
          <w:sz w:val="28"/>
          <w:szCs w:val="28"/>
        </w:rPr>
        <w:t xml:space="preserve">the quantum which the plaintiff </w:t>
      </w:r>
      <w:r w:rsidR="00AC05FC">
        <w:rPr>
          <w:color w:val="000000" w:themeColor="text1"/>
          <w:sz w:val="28"/>
          <w:szCs w:val="28"/>
        </w:rPr>
        <w:t xml:space="preserve">had </w:t>
      </w:r>
      <w:r w:rsidR="006D0BC5">
        <w:rPr>
          <w:color w:val="000000" w:themeColor="text1"/>
          <w:sz w:val="28"/>
          <w:szCs w:val="28"/>
        </w:rPr>
        <w:t xml:space="preserve">then claimed he or she would be entitled to.  Once that claim had been “frozen” by the close of pleadings and the plaintiff thereafter seeks to “unfreeze” its position, there can, in my view, </w:t>
      </w:r>
      <w:r w:rsidR="00AC05FC">
        <w:rPr>
          <w:color w:val="000000" w:themeColor="text1"/>
          <w:sz w:val="28"/>
          <w:szCs w:val="28"/>
        </w:rPr>
        <w:t xml:space="preserve">be </w:t>
      </w:r>
      <w:r w:rsidR="006D0BC5">
        <w:rPr>
          <w:color w:val="000000" w:themeColor="text1"/>
          <w:sz w:val="28"/>
          <w:szCs w:val="28"/>
        </w:rPr>
        <w:t xml:space="preserve">no objection to </w:t>
      </w:r>
      <w:proofErr w:type="gramStart"/>
      <w:r w:rsidR="006D0BC5">
        <w:rPr>
          <w:color w:val="000000" w:themeColor="text1"/>
          <w:sz w:val="28"/>
          <w:szCs w:val="28"/>
        </w:rPr>
        <w:t>allow</w:t>
      </w:r>
      <w:proofErr w:type="gramEnd"/>
      <w:r w:rsidR="006D0BC5">
        <w:rPr>
          <w:color w:val="000000" w:themeColor="text1"/>
          <w:sz w:val="28"/>
          <w:szCs w:val="28"/>
        </w:rPr>
        <w:t xml:space="preserve"> a defendant to plead to this “unfrozen” or reopened case.  To allow a defendant to plead afresh, would</w:t>
      </w:r>
      <w:r w:rsidR="00AC05FC">
        <w:rPr>
          <w:color w:val="000000" w:themeColor="text1"/>
          <w:sz w:val="28"/>
          <w:szCs w:val="28"/>
        </w:rPr>
        <w:t xml:space="preserve"> also</w:t>
      </w:r>
      <w:r w:rsidR="006D0BC5">
        <w:rPr>
          <w:color w:val="000000" w:themeColor="text1"/>
          <w:sz w:val="28"/>
          <w:szCs w:val="28"/>
        </w:rPr>
        <w:t xml:space="preserve"> be consistent with the provisions of Rule 28(8) which expressly allows “</w:t>
      </w:r>
      <w:r w:rsidR="006D0BC5" w:rsidRPr="006D0BC5">
        <w:rPr>
          <w:i/>
          <w:color w:val="000000" w:themeColor="text1"/>
          <w:sz w:val="28"/>
          <w:szCs w:val="28"/>
        </w:rPr>
        <w:t>any party affected by an amendment</w:t>
      </w:r>
      <w:r w:rsidR="00AC05FC">
        <w:rPr>
          <w:i/>
          <w:color w:val="000000" w:themeColor="text1"/>
          <w:sz w:val="28"/>
          <w:szCs w:val="28"/>
        </w:rPr>
        <w:t>…</w:t>
      </w:r>
      <w:r w:rsidR="006D0BC5" w:rsidRPr="006D0BC5">
        <w:rPr>
          <w:i/>
          <w:color w:val="000000" w:themeColor="text1"/>
          <w:sz w:val="28"/>
          <w:szCs w:val="28"/>
        </w:rPr>
        <w:t xml:space="preserve"> to make</w:t>
      </w:r>
      <w:r w:rsidR="00AC05FC">
        <w:rPr>
          <w:i/>
          <w:color w:val="000000" w:themeColor="text1"/>
          <w:sz w:val="28"/>
          <w:szCs w:val="28"/>
        </w:rPr>
        <w:t>…</w:t>
      </w:r>
      <w:r w:rsidR="006D0BC5" w:rsidRPr="006D0BC5">
        <w:rPr>
          <w:i/>
          <w:color w:val="000000" w:themeColor="text1"/>
          <w:sz w:val="28"/>
          <w:szCs w:val="28"/>
        </w:rPr>
        <w:t xml:space="preserve"> any consequential adjustment to the documents filed by him</w:t>
      </w:r>
      <w:r w:rsidR="006D0BC5">
        <w:rPr>
          <w:color w:val="000000" w:themeColor="text1"/>
          <w:sz w:val="28"/>
          <w:szCs w:val="28"/>
        </w:rPr>
        <w:t>”.</w:t>
      </w:r>
    </w:p>
    <w:p w14:paraId="07C4656D" w14:textId="2613949E" w:rsidR="006D0BC5" w:rsidRPr="006D0BC5" w:rsidRDefault="00DC2F59" w:rsidP="00DC2F59">
      <w:pPr>
        <w:pStyle w:val="MEMONUMBERED"/>
        <w:numPr>
          <w:ilvl w:val="0"/>
          <w:numId w:val="0"/>
        </w:numPr>
        <w:spacing w:after="360" w:line="360" w:lineRule="auto"/>
        <w:rPr>
          <w:b/>
          <w:color w:val="000000" w:themeColor="text1"/>
          <w:sz w:val="28"/>
          <w:szCs w:val="28"/>
        </w:rPr>
      </w:pPr>
      <w:r w:rsidRPr="006D0BC5">
        <w:rPr>
          <w:color w:val="000000" w:themeColor="text1"/>
          <w:sz w:val="28"/>
          <w:szCs w:val="28"/>
        </w:rPr>
        <w:t>[23]</w:t>
      </w:r>
      <w:r w:rsidRPr="006D0BC5">
        <w:rPr>
          <w:color w:val="000000" w:themeColor="text1"/>
          <w:sz w:val="28"/>
          <w:szCs w:val="28"/>
        </w:rPr>
        <w:tab/>
      </w:r>
      <w:r w:rsidR="006D0BC5">
        <w:rPr>
          <w:color w:val="000000" w:themeColor="text1"/>
          <w:sz w:val="28"/>
          <w:szCs w:val="28"/>
        </w:rPr>
        <w:t xml:space="preserve">To argue that the “documents” filed by the defendant had been struck out and therefore </w:t>
      </w:r>
      <w:r w:rsidR="00AC05FC">
        <w:rPr>
          <w:color w:val="000000" w:themeColor="text1"/>
          <w:sz w:val="28"/>
          <w:szCs w:val="28"/>
        </w:rPr>
        <w:t xml:space="preserve">that there was nothing left in respect of which </w:t>
      </w:r>
      <w:r w:rsidR="006D0BC5">
        <w:rPr>
          <w:color w:val="000000" w:themeColor="text1"/>
          <w:sz w:val="28"/>
          <w:szCs w:val="28"/>
        </w:rPr>
        <w:t>“adjustment”</w:t>
      </w:r>
      <w:r w:rsidR="00AC05FC">
        <w:rPr>
          <w:color w:val="000000" w:themeColor="text1"/>
          <w:sz w:val="28"/>
          <w:szCs w:val="28"/>
        </w:rPr>
        <w:t xml:space="preserve"> should be allowed</w:t>
      </w:r>
      <w:r w:rsidR="006D0BC5">
        <w:rPr>
          <w:color w:val="000000" w:themeColor="text1"/>
          <w:sz w:val="28"/>
          <w:szCs w:val="28"/>
        </w:rPr>
        <w:t xml:space="preserve">, would in my view again place an unduly prohibitive limitation on the defendant’s Section 34 rights.  </w:t>
      </w:r>
    </w:p>
    <w:p w14:paraId="1473B8F4" w14:textId="0ADB9C9B" w:rsidR="006D0BC5" w:rsidRPr="001417D3" w:rsidRDefault="00DC2F59" w:rsidP="00DC2F59">
      <w:pPr>
        <w:pStyle w:val="MEMONUMBERED"/>
        <w:numPr>
          <w:ilvl w:val="0"/>
          <w:numId w:val="0"/>
        </w:numPr>
        <w:spacing w:after="360" w:line="360" w:lineRule="auto"/>
        <w:rPr>
          <w:b/>
          <w:color w:val="000000" w:themeColor="text1"/>
          <w:sz w:val="28"/>
          <w:szCs w:val="28"/>
        </w:rPr>
      </w:pPr>
      <w:r w:rsidRPr="001417D3">
        <w:rPr>
          <w:color w:val="000000" w:themeColor="text1"/>
          <w:sz w:val="28"/>
          <w:szCs w:val="28"/>
        </w:rPr>
        <w:t>[24]</w:t>
      </w:r>
      <w:r w:rsidRPr="001417D3">
        <w:rPr>
          <w:color w:val="000000" w:themeColor="text1"/>
          <w:sz w:val="28"/>
          <w:szCs w:val="28"/>
        </w:rPr>
        <w:tab/>
      </w:r>
      <w:r w:rsidR="006D0BC5">
        <w:rPr>
          <w:color w:val="000000" w:themeColor="text1"/>
          <w:sz w:val="28"/>
          <w:szCs w:val="28"/>
        </w:rPr>
        <w:t xml:space="preserve">Another reason for allowing the defendant to enter the fray afresh, is that to refuse a defendant to do so when the plaintiff had altered its case, would offend against one of the most basic premises of our law and procedure, namely the right to be heard or the </w:t>
      </w:r>
      <w:proofErr w:type="spellStart"/>
      <w:r w:rsidR="006D0BC5" w:rsidRPr="006D0BC5">
        <w:rPr>
          <w:i/>
          <w:color w:val="000000" w:themeColor="text1"/>
          <w:sz w:val="28"/>
          <w:szCs w:val="28"/>
        </w:rPr>
        <w:t>audi</w:t>
      </w:r>
      <w:proofErr w:type="spellEnd"/>
      <w:r w:rsidR="006D0BC5" w:rsidRPr="006D0BC5">
        <w:rPr>
          <w:i/>
          <w:color w:val="000000" w:themeColor="text1"/>
          <w:sz w:val="28"/>
          <w:szCs w:val="28"/>
        </w:rPr>
        <w:t xml:space="preserve"> </w:t>
      </w:r>
      <w:proofErr w:type="spellStart"/>
      <w:r w:rsidR="006D0BC5" w:rsidRPr="006D0BC5">
        <w:rPr>
          <w:i/>
          <w:color w:val="000000" w:themeColor="text1"/>
          <w:sz w:val="28"/>
          <w:szCs w:val="28"/>
        </w:rPr>
        <w:t>alterem</w:t>
      </w:r>
      <w:proofErr w:type="spellEnd"/>
      <w:r w:rsidR="006D0BC5" w:rsidRPr="006D0BC5">
        <w:rPr>
          <w:i/>
          <w:color w:val="000000" w:themeColor="text1"/>
          <w:sz w:val="28"/>
          <w:szCs w:val="28"/>
        </w:rPr>
        <w:t xml:space="preserve"> partem</w:t>
      </w:r>
      <w:r w:rsidR="00B77BD2">
        <w:rPr>
          <w:color w:val="000000" w:themeColor="text1"/>
          <w:sz w:val="28"/>
          <w:szCs w:val="28"/>
        </w:rPr>
        <w:t xml:space="preserve"> – pri</w:t>
      </w:r>
      <w:r w:rsidR="006D0BC5">
        <w:rPr>
          <w:color w:val="000000" w:themeColor="text1"/>
          <w:sz w:val="28"/>
          <w:szCs w:val="28"/>
        </w:rPr>
        <w:t>nciple</w:t>
      </w:r>
      <w:r w:rsidR="00B77BD2">
        <w:rPr>
          <w:color w:val="000000" w:themeColor="text1"/>
          <w:sz w:val="28"/>
          <w:szCs w:val="28"/>
        </w:rPr>
        <w:t xml:space="preserve">.  While the defendant may have been silenced in respect of the previously pleaded case of the plaintiff </w:t>
      </w:r>
      <w:proofErr w:type="gramStart"/>
      <w:r w:rsidR="00B77BD2">
        <w:rPr>
          <w:color w:val="000000" w:themeColor="text1"/>
          <w:sz w:val="28"/>
          <w:szCs w:val="28"/>
        </w:rPr>
        <w:t>as a result of</w:t>
      </w:r>
      <w:proofErr w:type="gramEnd"/>
      <w:r w:rsidR="00B77BD2">
        <w:rPr>
          <w:color w:val="000000" w:themeColor="text1"/>
          <w:sz w:val="28"/>
          <w:szCs w:val="28"/>
        </w:rPr>
        <w:t xml:space="preserve"> the defendant’s non-compliance with a procedural obligation (reinforced by an order of court</w:t>
      </w:r>
      <w:r w:rsidR="002A536D">
        <w:rPr>
          <w:color w:val="000000" w:themeColor="text1"/>
          <w:sz w:val="28"/>
          <w:szCs w:val="28"/>
        </w:rPr>
        <w:t xml:space="preserve"> or a directive</w:t>
      </w:r>
      <w:r w:rsidR="00B77BD2">
        <w:rPr>
          <w:color w:val="000000" w:themeColor="text1"/>
          <w:sz w:val="28"/>
          <w:szCs w:val="28"/>
        </w:rPr>
        <w:t xml:space="preserve">), that “silencing” should not operate in perpetuity or in respect of a “new” case.  To do so </w:t>
      </w:r>
      <w:r w:rsidR="002A536D">
        <w:rPr>
          <w:color w:val="000000" w:themeColor="text1"/>
          <w:sz w:val="28"/>
          <w:szCs w:val="28"/>
        </w:rPr>
        <w:t xml:space="preserve">be </w:t>
      </w:r>
      <w:r w:rsidR="00B77BD2">
        <w:rPr>
          <w:color w:val="000000" w:themeColor="text1"/>
          <w:sz w:val="28"/>
          <w:szCs w:val="28"/>
        </w:rPr>
        <w:t>would so manifestly unfair and contrary to the spirit of the Constitution, that it should not be contemplated.</w:t>
      </w:r>
    </w:p>
    <w:p w14:paraId="368B1E84" w14:textId="63F360F6" w:rsidR="00774320" w:rsidRDefault="00DC2F59" w:rsidP="00DC2F59">
      <w:pPr>
        <w:pStyle w:val="MEMONUMBERED"/>
        <w:numPr>
          <w:ilvl w:val="0"/>
          <w:numId w:val="0"/>
        </w:numPr>
        <w:spacing w:after="360" w:line="360" w:lineRule="auto"/>
        <w:rPr>
          <w:b/>
          <w:color w:val="000000" w:themeColor="text1"/>
          <w:sz w:val="28"/>
          <w:szCs w:val="28"/>
        </w:rPr>
      </w:pPr>
      <w:r>
        <w:rPr>
          <w:color w:val="000000" w:themeColor="text1"/>
          <w:sz w:val="28"/>
          <w:szCs w:val="28"/>
        </w:rPr>
        <w:t>[25]</w:t>
      </w:r>
      <w:r>
        <w:rPr>
          <w:color w:val="000000" w:themeColor="text1"/>
          <w:sz w:val="28"/>
          <w:szCs w:val="28"/>
        </w:rPr>
        <w:tab/>
      </w:r>
      <w:r w:rsidR="001417D3">
        <w:rPr>
          <w:color w:val="000000" w:themeColor="text1"/>
          <w:sz w:val="28"/>
          <w:szCs w:val="28"/>
        </w:rPr>
        <w:t xml:space="preserve">The question posed must therefore be answered in the affirmative, the only qualification being that the plea must be limited to the “consequential” aspect.  </w:t>
      </w:r>
      <w:r w:rsidR="001417D3">
        <w:rPr>
          <w:color w:val="000000" w:themeColor="text1"/>
          <w:sz w:val="28"/>
          <w:szCs w:val="28"/>
        </w:rPr>
        <w:lastRenderedPageBreak/>
        <w:t xml:space="preserve">Should the plaintiff, as he has </w:t>
      </w:r>
      <w:proofErr w:type="gramStart"/>
      <w:r w:rsidR="001417D3">
        <w:rPr>
          <w:color w:val="000000" w:themeColor="text1"/>
          <w:sz w:val="28"/>
          <w:szCs w:val="28"/>
        </w:rPr>
        <w:t>dome</w:t>
      </w:r>
      <w:proofErr w:type="gramEnd"/>
      <w:r w:rsidR="001417D3">
        <w:rPr>
          <w:color w:val="000000" w:themeColor="text1"/>
          <w:sz w:val="28"/>
          <w:szCs w:val="28"/>
        </w:rPr>
        <w:t xml:space="preserve"> in this matter, only amend the nature </w:t>
      </w:r>
      <w:r w:rsidR="00747318">
        <w:rPr>
          <w:color w:val="000000" w:themeColor="text1"/>
          <w:sz w:val="28"/>
          <w:szCs w:val="28"/>
        </w:rPr>
        <w:t>or the</w:t>
      </w:r>
      <w:r w:rsidR="001417D3">
        <w:rPr>
          <w:color w:val="000000" w:themeColor="text1"/>
          <w:sz w:val="28"/>
          <w:szCs w:val="28"/>
        </w:rPr>
        <w:t xml:space="preserve"> extent of the relief sought, the consequential plea contemplated in Rule 28(8) will have to be limited to th</w:t>
      </w:r>
      <w:r w:rsidR="00747318">
        <w:rPr>
          <w:color w:val="000000" w:themeColor="text1"/>
          <w:sz w:val="28"/>
          <w:szCs w:val="28"/>
        </w:rPr>
        <w:t>at</w:t>
      </w:r>
      <w:r w:rsidR="001417D3">
        <w:rPr>
          <w:color w:val="000000" w:themeColor="text1"/>
          <w:sz w:val="28"/>
          <w:szCs w:val="28"/>
        </w:rPr>
        <w:t xml:space="preserve"> aspect.  It would be impermissible for the defendant to attempt, by way of an amended plea, to “reopen” the issues of the merits or its previously struck out special pleas.</w:t>
      </w:r>
      <w:r w:rsidR="001417D3">
        <w:rPr>
          <w:rStyle w:val="FootnoteReference"/>
          <w:color w:val="000000" w:themeColor="text1"/>
          <w:sz w:val="28"/>
          <w:szCs w:val="28"/>
        </w:rPr>
        <w:footnoteReference w:id="19"/>
      </w:r>
    </w:p>
    <w:p w14:paraId="121E786F" w14:textId="77777777" w:rsidR="00774320" w:rsidRPr="00774320" w:rsidRDefault="00774320" w:rsidP="00774320">
      <w:pPr>
        <w:pStyle w:val="MEMONUMBERED"/>
        <w:numPr>
          <w:ilvl w:val="0"/>
          <w:numId w:val="0"/>
        </w:numPr>
        <w:spacing w:after="120" w:line="360" w:lineRule="auto"/>
        <w:rPr>
          <w:b/>
          <w:color w:val="000000" w:themeColor="text1"/>
          <w:sz w:val="28"/>
          <w:szCs w:val="28"/>
        </w:rPr>
      </w:pPr>
      <w:r w:rsidRPr="00774320">
        <w:rPr>
          <w:b/>
          <w:color w:val="000000" w:themeColor="text1"/>
          <w:sz w:val="28"/>
          <w:szCs w:val="28"/>
        </w:rPr>
        <w:t xml:space="preserve">A word of caution consequent upon the above finding </w:t>
      </w:r>
    </w:p>
    <w:p w14:paraId="35FF02EE" w14:textId="732B6CA1" w:rsidR="00774320" w:rsidRPr="00F75FCD" w:rsidRDefault="00DC2F59" w:rsidP="00DC2F59">
      <w:pPr>
        <w:pStyle w:val="MEMONUMBERED"/>
        <w:numPr>
          <w:ilvl w:val="0"/>
          <w:numId w:val="0"/>
        </w:numPr>
        <w:spacing w:after="360" w:line="360" w:lineRule="auto"/>
        <w:rPr>
          <w:b/>
          <w:color w:val="000000" w:themeColor="text1"/>
          <w:sz w:val="28"/>
          <w:szCs w:val="28"/>
        </w:rPr>
      </w:pPr>
      <w:r w:rsidRPr="00F75FCD">
        <w:rPr>
          <w:color w:val="000000" w:themeColor="text1"/>
          <w:sz w:val="28"/>
          <w:szCs w:val="28"/>
        </w:rPr>
        <w:t>[26]</w:t>
      </w:r>
      <w:r w:rsidRPr="00F75FCD">
        <w:rPr>
          <w:color w:val="000000" w:themeColor="text1"/>
          <w:sz w:val="28"/>
          <w:szCs w:val="28"/>
        </w:rPr>
        <w:tab/>
      </w:r>
      <w:r w:rsidR="00774320">
        <w:rPr>
          <w:color w:val="000000" w:themeColor="text1"/>
          <w:sz w:val="28"/>
          <w:szCs w:val="28"/>
        </w:rPr>
        <w:t>Having regard to the virtual consistent propensity of plaintiffs in RAF matters to effect amendments to their particulars of claim</w:t>
      </w:r>
      <w:r w:rsidR="002A536D">
        <w:rPr>
          <w:color w:val="000000" w:themeColor="text1"/>
          <w:sz w:val="28"/>
          <w:szCs w:val="28"/>
        </w:rPr>
        <w:t xml:space="preserve"> at a late stage in the proceedings</w:t>
      </w:r>
      <w:r w:rsidR="00774320">
        <w:rPr>
          <w:color w:val="000000" w:themeColor="text1"/>
          <w:sz w:val="28"/>
          <w:szCs w:val="28"/>
        </w:rPr>
        <w:t xml:space="preserve">, whether </w:t>
      </w:r>
      <w:r w:rsidR="002A536D">
        <w:rPr>
          <w:color w:val="000000" w:themeColor="text1"/>
          <w:sz w:val="28"/>
          <w:szCs w:val="28"/>
        </w:rPr>
        <w:t xml:space="preserve">that may be </w:t>
      </w:r>
      <w:r w:rsidR="00774320">
        <w:rPr>
          <w:color w:val="000000" w:themeColor="text1"/>
          <w:sz w:val="28"/>
          <w:szCs w:val="28"/>
        </w:rPr>
        <w:t xml:space="preserve">due to changed circumstances, the passage of time occasioned by this Division’s congested roll of RAF matters or for whatever other reason, such amendments should be </w:t>
      </w:r>
      <w:proofErr w:type="gramStart"/>
      <w:r w:rsidR="00774320">
        <w:rPr>
          <w:color w:val="000000" w:themeColor="text1"/>
          <w:sz w:val="28"/>
          <w:szCs w:val="28"/>
        </w:rPr>
        <w:t>effected</w:t>
      </w:r>
      <w:proofErr w:type="gramEnd"/>
      <w:r w:rsidR="00774320">
        <w:rPr>
          <w:color w:val="000000" w:themeColor="text1"/>
          <w:sz w:val="28"/>
          <w:szCs w:val="28"/>
        </w:rPr>
        <w:t xml:space="preserve"> timeously.  If done too shortly prior to the date of hearing, particularly where the time for objection had not yet even run out</w:t>
      </w:r>
      <w:r w:rsidR="002A536D">
        <w:rPr>
          <w:color w:val="000000" w:themeColor="text1"/>
          <w:sz w:val="28"/>
          <w:szCs w:val="28"/>
        </w:rPr>
        <w:t>,</w:t>
      </w:r>
      <w:r w:rsidR="00774320">
        <w:rPr>
          <w:color w:val="000000" w:themeColor="text1"/>
          <w:sz w:val="28"/>
          <w:szCs w:val="28"/>
        </w:rPr>
        <w:t xml:space="preserve"> </w:t>
      </w:r>
      <w:r w:rsidR="002A536D">
        <w:rPr>
          <w:color w:val="000000" w:themeColor="text1"/>
          <w:sz w:val="28"/>
          <w:szCs w:val="28"/>
        </w:rPr>
        <w:t xml:space="preserve">would result in the pleadings not yet having been “reopened” </w:t>
      </w:r>
      <w:r w:rsidR="00774320">
        <w:rPr>
          <w:color w:val="000000" w:themeColor="text1"/>
          <w:sz w:val="28"/>
          <w:szCs w:val="28"/>
        </w:rPr>
        <w:t>or</w:t>
      </w:r>
      <w:r w:rsidR="00747318">
        <w:rPr>
          <w:color w:val="000000" w:themeColor="text1"/>
          <w:sz w:val="28"/>
          <w:szCs w:val="28"/>
        </w:rPr>
        <w:t xml:space="preserve">, if the amendment has been </w:t>
      </w:r>
      <w:proofErr w:type="gramStart"/>
      <w:r w:rsidR="00747318">
        <w:rPr>
          <w:color w:val="000000" w:themeColor="text1"/>
          <w:sz w:val="28"/>
          <w:szCs w:val="28"/>
        </w:rPr>
        <w:t>effected</w:t>
      </w:r>
      <w:proofErr w:type="gramEnd"/>
      <w:r w:rsidR="00747318">
        <w:rPr>
          <w:color w:val="000000" w:themeColor="text1"/>
          <w:sz w:val="28"/>
          <w:szCs w:val="28"/>
        </w:rPr>
        <w:t xml:space="preserve"> but </w:t>
      </w:r>
      <w:r w:rsidR="002A536D">
        <w:rPr>
          <w:color w:val="000000" w:themeColor="text1"/>
          <w:sz w:val="28"/>
          <w:szCs w:val="28"/>
        </w:rPr>
        <w:t>the 15 day period contemplated in Rule 28(8) for consequential amendments had not yet expired, it might result in</w:t>
      </w:r>
      <w:r w:rsidR="00774320">
        <w:rPr>
          <w:color w:val="000000" w:themeColor="text1"/>
          <w:sz w:val="28"/>
          <w:szCs w:val="28"/>
        </w:rPr>
        <w:t xml:space="preserve"> the matter</w:t>
      </w:r>
      <w:r w:rsidR="00747318">
        <w:rPr>
          <w:color w:val="000000" w:themeColor="text1"/>
          <w:sz w:val="28"/>
          <w:szCs w:val="28"/>
        </w:rPr>
        <w:t xml:space="preserve"> </w:t>
      </w:r>
      <w:r w:rsidR="00774320">
        <w:rPr>
          <w:color w:val="000000" w:themeColor="text1"/>
          <w:sz w:val="28"/>
          <w:szCs w:val="28"/>
        </w:rPr>
        <w:t>no</w:t>
      </w:r>
      <w:r w:rsidR="00747318">
        <w:rPr>
          <w:color w:val="000000" w:themeColor="text1"/>
          <w:sz w:val="28"/>
          <w:szCs w:val="28"/>
        </w:rPr>
        <w:t xml:space="preserve"> longer</w:t>
      </w:r>
      <w:r w:rsidR="00774320">
        <w:rPr>
          <w:color w:val="000000" w:themeColor="text1"/>
          <w:sz w:val="28"/>
          <w:szCs w:val="28"/>
        </w:rPr>
        <w:t xml:space="preserve"> be</w:t>
      </w:r>
      <w:r w:rsidR="002A536D">
        <w:rPr>
          <w:color w:val="000000" w:themeColor="text1"/>
          <w:sz w:val="28"/>
          <w:szCs w:val="28"/>
        </w:rPr>
        <w:t>ing</w:t>
      </w:r>
      <w:r w:rsidR="00774320">
        <w:rPr>
          <w:color w:val="000000" w:themeColor="text1"/>
          <w:sz w:val="28"/>
          <w:szCs w:val="28"/>
        </w:rPr>
        <w:t xml:space="preserve"> ripe for hearing.</w:t>
      </w:r>
    </w:p>
    <w:p w14:paraId="13203EAD" w14:textId="77777777" w:rsidR="00F75FCD" w:rsidRPr="00F75FCD" w:rsidRDefault="00F75FCD" w:rsidP="00F75FCD">
      <w:pPr>
        <w:pStyle w:val="MEMONUMBERED"/>
        <w:numPr>
          <w:ilvl w:val="0"/>
          <w:numId w:val="0"/>
        </w:numPr>
        <w:spacing w:after="120" w:line="360" w:lineRule="auto"/>
        <w:rPr>
          <w:b/>
          <w:color w:val="000000" w:themeColor="text1"/>
          <w:sz w:val="28"/>
          <w:szCs w:val="28"/>
        </w:rPr>
      </w:pPr>
      <w:r w:rsidRPr="00F75FCD">
        <w:rPr>
          <w:b/>
          <w:color w:val="000000" w:themeColor="text1"/>
          <w:sz w:val="28"/>
          <w:szCs w:val="28"/>
        </w:rPr>
        <w:t>The actual case itself</w:t>
      </w:r>
    </w:p>
    <w:p w14:paraId="571140FF" w14:textId="5C98F63D" w:rsidR="00F75FCD"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F75FCD" w:rsidRPr="00F75FCD">
        <w:rPr>
          <w:color w:val="000000" w:themeColor="text1"/>
          <w:sz w:val="28"/>
          <w:szCs w:val="28"/>
        </w:rPr>
        <w:t>In the pr</w:t>
      </w:r>
      <w:r w:rsidR="00F75FCD">
        <w:rPr>
          <w:color w:val="000000" w:themeColor="text1"/>
          <w:sz w:val="28"/>
          <w:szCs w:val="28"/>
        </w:rPr>
        <w:t>esent matter the amendmen</w:t>
      </w:r>
      <w:r w:rsidR="00F75FCD" w:rsidRPr="00F75FCD">
        <w:rPr>
          <w:color w:val="000000" w:themeColor="text1"/>
          <w:sz w:val="28"/>
          <w:szCs w:val="28"/>
        </w:rPr>
        <w:t xml:space="preserve">t in question had been affected by the delivery of amended pages and the RAF had </w:t>
      </w:r>
      <w:r w:rsidR="00747318">
        <w:rPr>
          <w:color w:val="000000" w:themeColor="text1"/>
          <w:sz w:val="28"/>
          <w:szCs w:val="28"/>
        </w:rPr>
        <w:t xml:space="preserve">thereafter </w:t>
      </w:r>
      <w:r w:rsidR="00F75FCD" w:rsidRPr="00F75FCD">
        <w:rPr>
          <w:color w:val="000000" w:themeColor="text1"/>
          <w:sz w:val="28"/>
          <w:szCs w:val="28"/>
        </w:rPr>
        <w:t>delivered an amended plea.</w:t>
      </w:r>
      <w:r w:rsidR="00F75FCD">
        <w:rPr>
          <w:color w:val="000000" w:themeColor="text1"/>
          <w:sz w:val="28"/>
          <w:szCs w:val="28"/>
        </w:rPr>
        <w:t xml:space="preserve">  The RAF </w:t>
      </w:r>
      <w:proofErr w:type="gramStart"/>
      <w:r w:rsidR="00F75FCD">
        <w:rPr>
          <w:color w:val="000000" w:themeColor="text1"/>
          <w:sz w:val="28"/>
          <w:szCs w:val="28"/>
        </w:rPr>
        <w:t>had</w:t>
      </w:r>
      <w:r w:rsidR="00747318">
        <w:rPr>
          <w:color w:val="000000" w:themeColor="text1"/>
          <w:sz w:val="28"/>
          <w:szCs w:val="28"/>
        </w:rPr>
        <w:t xml:space="preserve"> </w:t>
      </w:r>
      <w:r w:rsidR="00F75FCD">
        <w:rPr>
          <w:color w:val="000000" w:themeColor="text1"/>
          <w:sz w:val="28"/>
          <w:szCs w:val="28"/>
        </w:rPr>
        <w:t>however</w:t>
      </w:r>
      <w:proofErr w:type="gramEnd"/>
      <w:r w:rsidR="00F75FCD">
        <w:rPr>
          <w:color w:val="000000" w:themeColor="text1"/>
          <w:sz w:val="28"/>
          <w:szCs w:val="28"/>
        </w:rPr>
        <w:t xml:space="preserve"> not delivered any expert reports but was duly represented at the hearing</w:t>
      </w:r>
      <w:r w:rsidR="00747318">
        <w:rPr>
          <w:color w:val="000000" w:themeColor="text1"/>
          <w:sz w:val="28"/>
          <w:szCs w:val="28"/>
        </w:rPr>
        <w:t>.</w:t>
      </w:r>
      <w:r w:rsidR="00F75FCD">
        <w:rPr>
          <w:color w:val="000000" w:themeColor="text1"/>
          <w:sz w:val="28"/>
          <w:szCs w:val="28"/>
        </w:rPr>
        <w:t xml:space="preserve"> </w:t>
      </w:r>
      <w:proofErr w:type="spellStart"/>
      <w:r w:rsidR="00F75FCD">
        <w:rPr>
          <w:color w:val="000000" w:themeColor="text1"/>
          <w:sz w:val="28"/>
          <w:szCs w:val="28"/>
        </w:rPr>
        <w:t>Mr</w:t>
      </w:r>
      <w:proofErr w:type="spellEnd"/>
      <w:r w:rsidR="00F75FCD">
        <w:rPr>
          <w:color w:val="000000" w:themeColor="text1"/>
          <w:sz w:val="28"/>
          <w:szCs w:val="28"/>
        </w:rPr>
        <w:t xml:space="preserve"> </w:t>
      </w:r>
      <w:proofErr w:type="spellStart"/>
      <w:r w:rsidR="00F75FCD">
        <w:rPr>
          <w:color w:val="000000" w:themeColor="text1"/>
          <w:sz w:val="28"/>
          <w:szCs w:val="28"/>
        </w:rPr>
        <w:t>Makgoka</w:t>
      </w:r>
      <w:proofErr w:type="spellEnd"/>
      <w:r w:rsidR="00F75FCD">
        <w:rPr>
          <w:color w:val="000000" w:themeColor="text1"/>
          <w:sz w:val="28"/>
          <w:szCs w:val="28"/>
        </w:rPr>
        <w:t xml:space="preserve"> on behalf of </w:t>
      </w:r>
      <w:proofErr w:type="gramStart"/>
      <w:r w:rsidR="00F75FCD">
        <w:rPr>
          <w:color w:val="000000" w:themeColor="text1"/>
          <w:sz w:val="28"/>
          <w:szCs w:val="28"/>
        </w:rPr>
        <w:t>State</w:t>
      </w:r>
      <w:proofErr w:type="gramEnd"/>
      <w:r w:rsidR="00F75FCD">
        <w:rPr>
          <w:color w:val="000000" w:themeColor="text1"/>
          <w:sz w:val="28"/>
          <w:szCs w:val="28"/>
        </w:rPr>
        <w:t xml:space="preserve"> Attorney presented helpful and vigorous argument, both oral and written, on behalf of the RAF</w:t>
      </w:r>
      <w:r w:rsidR="00747318">
        <w:rPr>
          <w:color w:val="000000" w:themeColor="text1"/>
          <w:sz w:val="28"/>
          <w:szCs w:val="28"/>
        </w:rPr>
        <w:t xml:space="preserve"> in opposition to the plaintiff’s case</w:t>
      </w:r>
      <w:r w:rsidR="00F75FCD">
        <w:rPr>
          <w:color w:val="000000" w:themeColor="text1"/>
          <w:sz w:val="28"/>
          <w:szCs w:val="28"/>
        </w:rPr>
        <w:t>.</w:t>
      </w:r>
    </w:p>
    <w:p w14:paraId="12872561" w14:textId="77777777" w:rsidR="00747318" w:rsidRDefault="00747318" w:rsidP="00747318">
      <w:pPr>
        <w:pStyle w:val="MEMONUMBERED"/>
        <w:numPr>
          <w:ilvl w:val="0"/>
          <w:numId w:val="0"/>
        </w:numPr>
        <w:spacing w:after="360" w:line="360" w:lineRule="auto"/>
        <w:rPr>
          <w:color w:val="000000" w:themeColor="text1"/>
          <w:sz w:val="28"/>
          <w:szCs w:val="28"/>
        </w:rPr>
      </w:pPr>
    </w:p>
    <w:p w14:paraId="6B1A65E5" w14:textId="77777777" w:rsidR="00747318" w:rsidRDefault="00747318" w:rsidP="00747318">
      <w:pPr>
        <w:pStyle w:val="MEMONUMBERED"/>
        <w:numPr>
          <w:ilvl w:val="0"/>
          <w:numId w:val="0"/>
        </w:numPr>
        <w:spacing w:after="360" w:line="360" w:lineRule="auto"/>
        <w:rPr>
          <w:color w:val="000000" w:themeColor="text1"/>
          <w:sz w:val="28"/>
          <w:szCs w:val="28"/>
        </w:rPr>
      </w:pPr>
    </w:p>
    <w:p w14:paraId="4BF761C9" w14:textId="77777777" w:rsidR="00F75FCD" w:rsidRPr="00F75FCD" w:rsidRDefault="00F75FCD" w:rsidP="00F75FCD">
      <w:pPr>
        <w:pStyle w:val="MEMONUMBERED"/>
        <w:numPr>
          <w:ilvl w:val="0"/>
          <w:numId w:val="0"/>
        </w:numPr>
        <w:spacing w:after="120" w:line="360" w:lineRule="auto"/>
        <w:rPr>
          <w:b/>
          <w:color w:val="000000" w:themeColor="text1"/>
          <w:sz w:val="28"/>
          <w:szCs w:val="28"/>
        </w:rPr>
      </w:pPr>
      <w:r w:rsidRPr="00F75FCD">
        <w:rPr>
          <w:b/>
          <w:color w:val="000000" w:themeColor="text1"/>
          <w:sz w:val="28"/>
          <w:szCs w:val="28"/>
        </w:rPr>
        <w:t>Merits</w:t>
      </w:r>
    </w:p>
    <w:p w14:paraId="6C6F2C1E" w14:textId="2E7BC09C" w:rsidR="00F75FCD"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F75FCD">
        <w:rPr>
          <w:color w:val="000000" w:themeColor="text1"/>
          <w:sz w:val="28"/>
          <w:szCs w:val="28"/>
        </w:rPr>
        <w:t xml:space="preserve">The plaintiff was, at the time of the accident, a </w:t>
      </w:r>
      <w:proofErr w:type="gramStart"/>
      <w:r w:rsidR="00F75FCD">
        <w:rPr>
          <w:color w:val="000000" w:themeColor="text1"/>
          <w:sz w:val="28"/>
          <w:szCs w:val="28"/>
        </w:rPr>
        <w:t>12 year old</w:t>
      </w:r>
      <w:proofErr w:type="gramEnd"/>
      <w:r w:rsidR="00F75FCD">
        <w:rPr>
          <w:color w:val="000000" w:themeColor="text1"/>
          <w:sz w:val="28"/>
          <w:szCs w:val="28"/>
        </w:rPr>
        <w:t xml:space="preserve"> pedestrian.  He </w:t>
      </w:r>
      <w:r w:rsidR="00747318">
        <w:rPr>
          <w:color w:val="000000" w:themeColor="text1"/>
          <w:sz w:val="28"/>
          <w:szCs w:val="28"/>
        </w:rPr>
        <w:t>had been</w:t>
      </w:r>
      <w:r w:rsidR="00F75FCD">
        <w:rPr>
          <w:color w:val="000000" w:themeColor="text1"/>
          <w:sz w:val="28"/>
          <w:szCs w:val="28"/>
        </w:rPr>
        <w:t xml:space="preserve"> walking in uKhahlamba Street in </w:t>
      </w:r>
      <w:proofErr w:type="spellStart"/>
      <w:r w:rsidR="00F75FCD">
        <w:rPr>
          <w:color w:val="000000" w:themeColor="text1"/>
          <w:sz w:val="28"/>
          <w:szCs w:val="28"/>
        </w:rPr>
        <w:t>Diepsloot</w:t>
      </w:r>
      <w:proofErr w:type="spellEnd"/>
      <w:r w:rsidR="00F75FCD">
        <w:rPr>
          <w:color w:val="000000" w:themeColor="text1"/>
          <w:sz w:val="28"/>
          <w:szCs w:val="28"/>
        </w:rPr>
        <w:t xml:space="preserve"> on 4 April 2017 when a minibus taxi (</w:t>
      </w:r>
      <w:r w:rsidR="00747318">
        <w:rPr>
          <w:color w:val="000000" w:themeColor="text1"/>
          <w:sz w:val="28"/>
          <w:szCs w:val="28"/>
        </w:rPr>
        <w:t xml:space="preserve">a </w:t>
      </w:r>
      <w:r w:rsidR="00F75FCD">
        <w:rPr>
          <w:color w:val="000000" w:themeColor="text1"/>
          <w:sz w:val="28"/>
          <w:szCs w:val="28"/>
        </w:rPr>
        <w:t xml:space="preserve">grey Siyaya with a specified registration number) ran him over.  The allegations of the taxi having been driven at a high speed appear from the contents of a police docket, </w:t>
      </w:r>
      <w:r w:rsidR="00747318">
        <w:rPr>
          <w:color w:val="000000" w:themeColor="text1"/>
          <w:sz w:val="28"/>
          <w:szCs w:val="28"/>
        </w:rPr>
        <w:t xml:space="preserve">opened </w:t>
      </w:r>
      <w:r w:rsidR="00F75FCD">
        <w:rPr>
          <w:color w:val="000000" w:themeColor="text1"/>
          <w:sz w:val="28"/>
          <w:szCs w:val="28"/>
        </w:rPr>
        <w:t>in relation to a case of reckless or negligent driving and from an accident report form.  Photographs of the accident scene indicate</w:t>
      </w:r>
      <w:r w:rsidR="00747318">
        <w:rPr>
          <w:color w:val="000000" w:themeColor="text1"/>
          <w:sz w:val="28"/>
          <w:szCs w:val="28"/>
        </w:rPr>
        <w:t xml:space="preserve">d the accident scene </w:t>
      </w:r>
      <w:r w:rsidR="00F75FCD">
        <w:rPr>
          <w:color w:val="000000" w:themeColor="text1"/>
          <w:sz w:val="28"/>
          <w:szCs w:val="28"/>
        </w:rPr>
        <w:t xml:space="preserve">to be </w:t>
      </w:r>
      <w:r w:rsidR="005323B8">
        <w:rPr>
          <w:color w:val="000000" w:themeColor="text1"/>
          <w:sz w:val="28"/>
          <w:szCs w:val="28"/>
        </w:rPr>
        <w:t xml:space="preserve">in </w:t>
      </w:r>
      <w:r w:rsidR="00F75FCD">
        <w:rPr>
          <w:color w:val="000000" w:themeColor="text1"/>
          <w:sz w:val="28"/>
          <w:szCs w:val="28"/>
        </w:rPr>
        <w:t>a busy shopping area.</w:t>
      </w:r>
    </w:p>
    <w:p w14:paraId="7FFC5B67" w14:textId="2D04DC14" w:rsidR="00F75FCD"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F75FCD">
        <w:rPr>
          <w:color w:val="000000" w:themeColor="text1"/>
          <w:sz w:val="28"/>
          <w:szCs w:val="28"/>
        </w:rPr>
        <w:t>The plaintiff was taken by ambulance from the scene of the accident to Tembisa hospital where he remained until the 13</w:t>
      </w:r>
      <w:r w:rsidR="00F75FCD" w:rsidRPr="00F75FCD">
        <w:rPr>
          <w:color w:val="000000" w:themeColor="text1"/>
          <w:sz w:val="28"/>
          <w:szCs w:val="28"/>
          <w:vertAlign w:val="superscript"/>
        </w:rPr>
        <w:t>th</w:t>
      </w:r>
      <w:r w:rsidR="00F75FCD">
        <w:rPr>
          <w:color w:val="000000" w:themeColor="text1"/>
          <w:sz w:val="28"/>
          <w:szCs w:val="28"/>
        </w:rPr>
        <w:t xml:space="preserve"> of September</w:t>
      </w:r>
      <w:r w:rsidR="00AC1C0D">
        <w:rPr>
          <w:color w:val="000000" w:themeColor="text1"/>
          <w:sz w:val="28"/>
          <w:szCs w:val="28"/>
        </w:rPr>
        <w:t xml:space="preserve"> 2017.  Extensive hospital admission and treatment records had been discovered by the plaintiff and various expert reports had been delivered in terms of Rules 36(9)(a) and (b).  </w:t>
      </w:r>
      <w:r w:rsidR="005323B8">
        <w:rPr>
          <w:color w:val="000000" w:themeColor="text1"/>
          <w:sz w:val="28"/>
          <w:szCs w:val="28"/>
        </w:rPr>
        <w:t>T</w:t>
      </w:r>
      <w:r w:rsidR="00AC1C0D">
        <w:rPr>
          <w:color w:val="000000" w:themeColor="text1"/>
          <w:sz w:val="28"/>
          <w:szCs w:val="28"/>
        </w:rPr>
        <w:t>hese included reports from an orthopedic surgeon, a neurosurgeon, a clinical psychologist</w:t>
      </w:r>
      <w:r w:rsidR="005323B8">
        <w:rPr>
          <w:color w:val="000000" w:themeColor="text1"/>
          <w:sz w:val="28"/>
          <w:szCs w:val="28"/>
        </w:rPr>
        <w:t>,</w:t>
      </w:r>
      <w:r w:rsidR="00AC1C0D">
        <w:rPr>
          <w:color w:val="000000" w:themeColor="text1"/>
          <w:sz w:val="28"/>
          <w:szCs w:val="28"/>
        </w:rPr>
        <w:t xml:space="preserve"> an occupational therapist, an industrial psychologist, an educational </w:t>
      </w:r>
      <w:proofErr w:type="gramStart"/>
      <w:r w:rsidR="00AC1C0D">
        <w:rPr>
          <w:color w:val="000000" w:themeColor="text1"/>
          <w:sz w:val="28"/>
          <w:szCs w:val="28"/>
        </w:rPr>
        <w:t>psychologist</w:t>
      </w:r>
      <w:proofErr w:type="gramEnd"/>
      <w:r w:rsidR="00AC1C0D">
        <w:rPr>
          <w:color w:val="000000" w:themeColor="text1"/>
          <w:sz w:val="28"/>
          <w:szCs w:val="28"/>
        </w:rPr>
        <w:t xml:space="preserve"> and an actuary.  All the experts have also delivered confirmatory affidavits wherein their qualifications and expertise in their various fi</w:t>
      </w:r>
      <w:r w:rsidR="005323B8">
        <w:rPr>
          <w:color w:val="000000" w:themeColor="text1"/>
          <w:sz w:val="28"/>
          <w:szCs w:val="28"/>
        </w:rPr>
        <w:t>elds</w:t>
      </w:r>
      <w:r w:rsidR="00AC1C0D">
        <w:rPr>
          <w:color w:val="000000" w:themeColor="text1"/>
          <w:sz w:val="28"/>
          <w:szCs w:val="28"/>
        </w:rPr>
        <w:t xml:space="preserve"> as well as the contents of their reports </w:t>
      </w:r>
      <w:proofErr w:type="gramStart"/>
      <w:r w:rsidR="00AC1C0D">
        <w:rPr>
          <w:color w:val="000000" w:themeColor="text1"/>
          <w:sz w:val="28"/>
          <w:szCs w:val="28"/>
        </w:rPr>
        <w:t>had</w:t>
      </w:r>
      <w:proofErr w:type="gramEnd"/>
      <w:r w:rsidR="00AC1C0D">
        <w:rPr>
          <w:color w:val="000000" w:themeColor="text1"/>
          <w:sz w:val="28"/>
          <w:szCs w:val="28"/>
        </w:rPr>
        <w:t xml:space="preserve"> been confirmed. Their </w:t>
      </w:r>
      <w:r w:rsidR="005323B8">
        <w:rPr>
          <w:color w:val="000000" w:themeColor="text1"/>
          <w:sz w:val="28"/>
          <w:szCs w:val="28"/>
        </w:rPr>
        <w:t xml:space="preserve">respective </w:t>
      </w:r>
      <w:r w:rsidR="00AC1C0D">
        <w:rPr>
          <w:color w:val="000000" w:themeColor="text1"/>
          <w:sz w:val="28"/>
          <w:szCs w:val="28"/>
        </w:rPr>
        <w:t xml:space="preserve">affidavit evidence </w:t>
      </w:r>
      <w:proofErr w:type="gramStart"/>
      <w:r w:rsidR="00AC1C0D">
        <w:rPr>
          <w:color w:val="000000" w:themeColor="text1"/>
          <w:sz w:val="28"/>
          <w:szCs w:val="28"/>
        </w:rPr>
        <w:t>have</w:t>
      </w:r>
      <w:proofErr w:type="gramEnd"/>
      <w:r w:rsidR="00AC1C0D">
        <w:rPr>
          <w:color w:val="000000" w:themeColor="text1"/>
          <w:sz w:val="28"/>
          <w:szCs w:val="28"/>
        </w:rPr>
        <w:t xml:space="preserve"> been admitted in terms of Rule 38 (2).</w:t>
      </w:r>
    </w:p>
    <w:p w14:paraId="0F4B7CD3" w14:textId="7F990940" w:rsidR="00AC1C0D"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[30]</w:t>
      </w:r>
      <w:r>
        <w:rPr>
          <w:color w:val="000000" w:themeColor="text1"/>
          <w:sz w:val="28"/>
          <w:szCs w:val="28"/>
        </w:rPr>
        <w:tab/>
      </w:r>
      <w:r w:rsidR="00AC1C0D">
        <w:rPr>
          <w:color w:val="000000" w:themeColor="text1"/>
          <w:sz w:val="28"/>
          <w:szCs w:val="28"/>
        </w:rPr>
        <w:t xml:space="preserve">The plaintiff had sustained </w:t>
      </w:r>
      <w:proofErr w:type="gramStart"/>
      <w:r w:rsidR="00AC1C0D">
        <w:rPr>
          <w:color w:val="000000" w:themeColor="text1"/>
          <w:sz w:val="28"/>
          <w:szCs w:val="28"/>
        </w:rPr>
        <w:t>a number of</w:t>
      </w:r>
      <w:proofErr w:type="gramEnd"/>
      <w:r w:rsidR="00AC1C0D">
        <w:rPr>
          <w:color w:val="000000" w:themeColor="text1"/>
          <w:sz w:val="28"/>
          <w:szCs w:val="28"/>
        </w:rPr>
        <w:t xml:space="preserve"> injuries, the most significant being a head injury diagnosed as having resulted in a mild traumatic brain injury.  According to the information reported to the clinical psychologist, the plaintiff</w:t>
      </w:r>
      <w:r w:rsidR="002A536D">
        <w:rPr>
          <w:color w:val="000000" w:themeColor="text1"/>
          <w:sz w:val="28"/>
          <w:szCs w:val="28"/>
        </w:rPr>
        <w:t>’</w:t>
      </w:r>
      <w:r w:rsidR="00AC1C0D">
        <w:rPr>
          <w:color w:val="000000" w:themeColor="text1"/>
          <w:sz w:val="28"/>
          <w:szCs w:val="28"/>
        </w:rPr>
        <w:t>s mother had found him spr</w:t>
      </w:r>
      <w:r w:rsidR="005323B8">
        <w:rPr>
          <w:color w:val="000000" w:themeColor="text1"/>
          <w:sz w:val="28"/>
          <w:szCs w:val="28"/>
        </w:rPr>
        <w:t>awl</w:t>
      </w:r>
      <w:r w:rsidR="00AC1C0D">
        <w:rPr>
          <w:color w:val="000000" w:themeColor="text1"/>
          <w:sz w:val="28"/>
          <w:szCs w:val="28"/>
        </w:rPr>
        <w:t xml:space="preserve">ed on the ground on the side of the road at the accident scene, being unconscious and bleeding from his mouth, </w:t>
      </w:r>
      <w:r w:rsidR="002A536D">
        <w:rPr>
          <w:color w:val="000000" w:themeColor="text1"/>
          <w:sz w:val="28"/>
          <w:szCs w:val="28"/>
        </w:rPr>
        <w:t>n</w:t>
      </w:r>
      <w:r w:rsidR="00AC1C0D">
        <w:rPr>
          <w:color w:val="000000" w:themeColor="text1"/>
          <w:sz w:val="28"/>
          <w:szCs w:val="28"/>
        </w:rPr>
        <w:t xml:space="preserve">ose and ears and bleeding from a gash on his chin.  It later appeared that he had also suffered </w:t>
      </w:r>
      <w:r w:rsidR="00AC1C0D">
        <w:rPr>
          <w:color w:val="000000" w:themeColor="text1"/>
          <w:sz w:val="28"/>
          <w:szCs w:val="28"/>
        </w:rPr>
        <w:lastRenderedPageBreak/>
        <w:t>a left</w:t>
      </w:r>
      <w:r w:rsidR="005323B8">
        <w:rPr>
          <w:color w:val="000000" w:themeColor="text1"/>
          <w:sz w:val="28"/>
          <w:szCs w:val="28"/>
        </w:rPr>
        <w:t xml:space="preserve"> clavicle</w:t>
      </w:r>
      <w:r w:rsidR="00DD2031">
        <w:rPr>
          <w:color w:val="000000" w:themeColor="text1"/>
          <w:sz w:val="28"/>
          <w:szCs w:val="28"/>
        </w:rPr>
        <w:t xml:space="preserve"> </w:t>
      </w:r>
      <w:proofErr w:type="spellStart"/>
      <w:r w:rsidR="00DD2031">
        <w:rPr>
          <w:color w:val="000000" w:themeColor="text1"/>
          <w:sz w:val="28"/>
          <w:szCs w:val="28"/>
        </w:rPr>
        <w:t>fraucture</w:t>
      </w:r>
      <w:proofErr w:type="spellEnd"/>
      <w:r w:rsidR="00DD2031">
        <w:rPr>
          <w:color w:val="000000" w:themeColor="text1"/>
          <w:sz w:val="28"/>
          <w:szCs w:val="28"/>
        </w:rPr>
        <w:t>, a left shoulder injury, a right hip injury and various lacerations and abrasions.</w:t>
      </w:r>
    </w:p>
    <w:p w14:paraId="5E006E9C" w14:textId="124BC389" w:rsidR="00DD2031"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DD2031">
        <w:rPr>
          <w:color w:val="000000" w:themeColor="text1"/>
          <w:sz w:val="28"/>
          <w:szCs w:val="28"/>
        </w:rPr>
        <w:t xml:space="preserve">The pre-accident intellectual </w:t>
      </w:r>
      <w:r w:rsidR="003E30B2">
        <w:rPr>
          <w:color w:val="000000" w:themeColor="text1"/>
          <w:sz w:val="28"/>
          <w:szCs w:val="28"/>
        </w:rPr>
        <w:t>potential</w:t>
      </w:r>
      <w:r w:rsidR="00DD2031">
        <w:rPr>
          <w:color w:val="000000" w:themeColor="text1"/>
          <w:sz w:val="28"/>
          <w:szCs w:val="28"/>
        </w:rPr>
        <w:t xml:space="preserve"> </w:t>
      </w:r>
      <w:r w:rsidR="005323B8">
        <w:rPr>
          <w:color w:val="000000" w:themeColor="text1"/>
          <w:sz w:val="28"/>
          <w:szCs w:val="28"/>
        </w:rPr>
        <w:t xml:space="preserve">of the plaintiff </w:t>
      </w:r>
      <w:r w:rsidR="00DD2031">
        <w:rPr>
          <w:color w:val="000000" w:themeColor="text1"/>
          <w:sz w:val="28"/>
          <w:szCs w:val="28"/>
        </w:rPr>
        <w:t xml:space="preserve">had been assessed by the experts as “high average”.  The post-accident assessment results suggested that the plaintiff’s </w:t>
      </w:r>
      <w:r w:rsidR="005323B8">
        <w:rPr>
          <w:color w:val="000000" w:themeColor="text1"/>
          <w:sz w:val="28"/>
          <w:szCs w:val="28"/>
        </w:rPr>
        <w:t xml:space="preserve">general </w:t>
      </w:r>
      <w:r w:rsidR="00DD2031">
        <w:rPr>
          <w:color w:val="000000" w:themeColor="text1"/>
          <w:sz w:val="28"/>
          <w:szCs w:val="28"/>
        </w:rPr>
        <w:t xml:space="preserve">IQ score </w:t>
      </w:r>
      <w:r w:rsidR="005323B8">
        <w:rPr>
          <w:color w:val="000000" w:themeColor="text1"/>
          <w:sz w:val="28"/>
          <w:szCs w:val="28"/>
        </w:rPr>
        <w:t xml:space="preserve">now </w:t>
      </w:r>
      <w:r w:rsidR="00DD2031">
        <w:rPr>
          <w:color w:val="000000" w:themeColor="text1"/>
          <w:sz w:val="28"/>
          <w:szCs w:val="28"/>
        </w:rPr>
        <w:t xml:space="preserve">lies within the average </w:t>
      </w:r>
      <w:r w:rsidR="005323B8">
        <w:rPr>
          <w:color w:val="000000" w:themeColor="text1"/>
          <w:sz w:val="28"/>
          <w:szCs w:val="28"/>
        </w:rPr>
        <w:t>range</w:t>
      </w:r>
      <w:r w:rsidR="00DD2031">
        <w:rPr>
          <w:color w:val="000000" w:themeColor="text1"/>
          <w:sz w:val="28"/>
          <w:szCs w:val="28"/>
        </w:rPr>
        <w:t xml:space="preserve"> while his performance IQ </w:t>
      </w:r>
      <w:r w:rsidR="005323B8">
        <w:rPr>
          <w:color w:val="000000" w:themeColor="text1"/>
          <w:sz w:val="28"/>
          <w:szCs w:val="28"/>
        </w:rPr>
        <w:t>remained</w:t>
      </w:r>
      <w:r w:rsidR="00DD2031">
        <w:rPr>
          <w:color w:val="000000" w:themeColor="text1"/>
          <w:sz w:val="28"/>
          <w:szCs w:val="28"/>
        </w:rPr>
        <w:t xml:space="preserve"> in the high average range.  The results revealed </w:t>
      </w:r>
      <w:r w:rsidR="00DD2031" w:rsidRPr="003E30B2">
        <w:rPr>
          <w:color w:val="000000" w:themeColor="text1"/>
          <w:sz w:val="28"/>
          <w:szCs w:val="28"/>
        </w:rPr>
        <w:t>“</w:t>
      </w:r>
      <w:r w:rsidR="00DD2031" w:rsidRPr="003E30B2">
        <w:rPr>
          <w:i/>
          <w:color w:val="000000" w:themeColor="text1"/>
          <w:sz w:val="28"/>
          <w:szCs w:val="28"/>
        </w:rPr>
        <w:t xml:space="preserve">… a balanced mental capacity … minimizing pathology possibilities </w:t>
      </w:r>
      <w:proofErr w:type="gramStart"/>
      <w:r w:rsidR="00DD2031" w:rsidRPr="003E30B2">
        <w:rPr>
          <w:i/>
          <w:color w:val="000000" w:themeColor="text1"/>
          <w:sz w:val="28"/>
          <w:szCs w:val="28"/>
        </w:rPr>
        <w:t>…</w:t>
      </w:r>
      <w:r w:rsidR="003E30B2" w:rsidRPr="003E30B2">
        <w:rPr>
          <w:i/>
          <w:color w:val="000000" w:themeColor="text1"/>
          <w:sz w:val="28"/>
          <w:szCs w:val="28"/>
        </w:rPr>
        <w:t xml:space="preserve"> .</w:t>
      </w:r>
      <w:proofErr w:type="gramEnd"/>
      <w:r w:rsidR="003E30B2" w:rsidRPr="003E30B2">
        <w:rPr>
          <w:i/>
          <w:color w:val="000000" w:themeColor="text1"/>
          <w:sz w:val="28"/>
          <w:szCs w:val="28"/>
        </w:rPr>
        <w:t xml:space="preserve">  </w:t>
      </w:r>
      <w:proofErr w:type="gramStart"/>
      <w:r w:rsidR="003E30B2" w:rsidRPr="003E30B2">
        <w:rPr>
          <w:i/>
          <w:color w:val="000000" w:themeColor="text1"/>
          <w:sz w:val="28"/>
          <w:szCs w:val="28"/>
        </w:rPr>
        <w:t>T</w:t>
      </w:r>
      <w:r w:rsidR="00DD2031" w:rsidRPr="003E30B2">
        <w:rPr>
          <w:i/>
          <w:color w:val="000000" w:themeColor="text1"/>
          <w:sz w:val="28"/>
          <w:szCs w:val="28"/>
        </w:rPr>
        <w:t>hus</w:t>
      </w:r>
      <w:proofErr w:type="gramEnd"/>
      <w:r w:rsidR="00DD2031" w:rsidRPr="003E30B2">
        <w:rPr>
          <w:i/>
          <w:color w:val="000000" w:themeColor="text1"/>
          <w:sz w:val="28"/>
          <w:szCs w:val="28"/>
        </w:rPr>
        <w:t xml:space="preserve"> the findings revealed no serious loss of competence …</w:t>
      </w:r>
      <w:r w:rsidR="00DD2031">
        <w:rPr>
          <w:color w:val="000000" w:themeColor="text1"/>
          <w:sz w:val="28"/>
          <w:szCs w:val="28"/>
        </w:rPr>
        <w:t xml:space="preserve">”.  </w:t>
      </w:r>
      <w:proofErr w:type="gramStart"/>
      <w:r w:rsidR="00DD2031">
        <w:rPr>
          <w:color w:val="000000" w:themeColor="text1"/>
          <w:sz w:val="28"/>
          <w:szCs w:val="28"/>
        </w:rPr>
        <w:t>However</w:t>
      </w:r>
      <w:proofErr w:type="gramEnd"/>
      <w:r w:rsidR="00DD2031">
        <w:rPr>
          <w:color w:val="000000" w:themeColor="text1"/>
          <w:sz w:val="28"/>
          <w:szCs w:val="28"/>
        </w:rPr>
        <w:t xml:space="preserve"> the experts opined that the plaintiff manifested </w:t>
      </w:r>
      <w:r w:rsidR="00DD2031" w:rsidRPr="003E30B2">
        <w:rPr>
          <w:color w:val="000000" w:themeColor="text1"/>
          <w:sz w:val="28"/>
          <w:szCs w:val="28"/>
        </w:rPr>
        <w:t>“</w:t>
      </w:r>
      <w:r w:rsidR="00DD2031" w:rsidRPr="003E30B2">
        <w:rPr>
          <w:i/>
          <w:color w:val="000000" w:themeColor="text1"/>
          <w:sz w:val="28"/>
          <w:szCs w:val="28"/>
        </w:rPr>
        <w:t>… impairment in temporal orientation, all aspects of working memory and simple mental tr</w:t>
      </w:r>
      <w:r w:rsidR="005323B8">
        <w:rPr>
          <w:i/>
          <w:color w:val="000000" w:themeColor="text1"/>
          <w:sz w:val="28"/>
          <w:szCs w:val="28"/>
        </w:rPr>
        <w:t>a</w:t>
      </w:r>
      <w:r w:rsidR="00DD2031" w:rsidRPr="003E30B2">
        <w:rPr>
          <w:i/>
          <w:color w:val="000000" w:themeColor="text1"/>
          <w:sz w:val="28"/>
          <w:szCs w:val="28"/>
        </w:rPr>
        <w:t xml:space="preserve">cking and has developed slow verbal learning and poor verbal memory, poor verbal </w:t>
      </w:r>
      <w:r w:rsidR="003E30B2" w:rsidRPr="003E30B2">
        <w:rPr>
          <w:i/>
          <w:color w:val="000000" w:themeColor="text1"/>
          <w:sz w:val="28"/>
          <w:szCs w:val="28"/>
        </w:rPr>
        <w:t>concept formation and poor processing speed</w:t>
      </w:r>
      <w:r w:rsidR="003E30B2">
        <w:rPr>
          <w:color w:val="000000" w:themeColor="text1"/>
          <w:sz w:val="28"/>
          <w:szCs w:val="28"/>
        </w:rPr>
        <w:t>”.  In particular, the educational psychologist</w:t>
      </w:r>
      <w:r w:rsidR="005323B8">
        <w:rPr>
          <w:color w:val="000000" w:themeColor="text1"/>
          <w:sz w:val="28"/>
          <w:szCs w:val="28"/>
        </w:rPr>
        <w:t>’</w:t>
      </w:r>
      <w:r w:rsidR="003E30B2">
        <w:rPr>
          <w:color w:val="000000" w:themeColor="text1"/>
          <w:sz w:val="28"/>
          <w:szCs w:val="28"/>
        </w:rPr>
        <w:t xml:space="preserve">s </w:t>
      </w:r>
      <w:r w:rsidR="003E30B2" w:rsidRPr="003E30B2">
        <w:rPr>
          <w:color w:val="000000" w:themeColor="text1"/>
          <w:sz w:val="28"/>
          <w:szCs w:val="28"/>
        </w:rPr>
        <w:t>“</w:t>
      </w:r>
      <w:r w:rsidR="003E30B2" w:rsidRPr="003E30B2">
        <w:rPr>
          <w:i/>
          <w:color w:val="000000" w:themeColor="text1"/>
          <w:sz w:val="28"/>
          <w:szCs w:val="28"/>
        </w:rPr>
        <w:t>… comprehensive psychometric and scholastic assessment reveal deficits that are consistent with a history of head trauma</w:t>
      </w:r>
      <w:r w:rsidR="003E30B2">
        <w:rPr>
          <w:color w:val="000000" w:themeColor="text1"/>
          <w:sz w:val="28"/>
          <w:szCs w:val="28"/>
        </w:rPr>
        <w:t>”.</w:t>
      </w:r>
      <w:r w:rsidR="00DD2031">
        <w:rPr>
          <w:color w:val="000000" w:themeColor="text1"/>
          <w:sz w:val="28"/>
          <w:szCs w:val="28"/>
        </w:rPr>
        <w:t xml:space="preserve"> </w:t>
      </w:r>
    </w:p>
    <w:p w14:paraId="51A04D35" w14:textId="6D633742" w:rsidR="003E30B2" w:rsidRPr="00CE32F0" w:rsidRDefault="00DC2F59" w:rsidP="00DC2F59">
      <w:pPr>
        <w:pStyle w:val="MEMONUMBERED"/>
        <w:numPr>
          <w:ilvl w:val="0"/>
          <w:numId w:val="0"/>
        </w:numPr>
        <w:spacing w:after="360" w:line="360" w:lineRule="auto"/>
        <w:rPr>
          <w:color w:val="000000" w:themeColor="text1"/>
          <w:sz w:val="28"/>
          <w:szCs w:val="28"/>
        </w:rPr>
      </w:pPr>
      <w:r w:rsidRPr="00CE32F0">
        <w:rPr>
          <w:color w:val="000000" w:themeColor="text1"/>
          <w:sz w:val="28"/>
          <w:szCs w:val="28"/>
        </w:rPr>
        <w:t>[32]</w:t>
      </w:r>
      <w:r w:rsidRPr="00CE32F0">
        <w:rPr>
          <w:color w:val="000000" w:themeColor="text1"/>
          <w:sz w:val="28"/>
          <w:szCs w:val="28"/>
        </w:rPr>
        <w:tab/>
      </w:r>
      <w:r w:rsidR="003E30B2">
        <w:rPr>
          <w:color w:val="000000" w:themeColor="text1"/>
          <w:sz w:val="28"/>
          <w:szCs w:val="28"/>
        </w:rPr>
        <w:t xml:space="preserve">These “deficits” </w:t>
      </w:r>
      <w:proofErr w:type="gramStart"/>
      <w:r w:rsidR="003E30B2">
        <w:rPr>
          <w:color w:val="000000" w:themeColor="text1"/>
          <w:sz w:val="28"/>
          <w:szCs w:val="28"/>
        </w:rPr>
        <w:t>were described as being</w:t>
      </w:r>
      <w:proofErr w:type="gramEnd"/>
      <w:r w:rsidR="003E30B2">
        <w:rPr>
          <w:color w:val="000000" w:themeColor="text1"/>
          <w:sz w:val="28"/>
          <w:szCs w:val="28"/>
        </w:rPr>
        <w:t xml:space="preserve"> memory deficits, concentration defi</w:t>
      </w:r>
      <w:r w:rsidR="005323B8">
        <w:rPr>
          <w:color w:val="000000" w:themeColor="text1"/>
          <w:sz w:val="28"/>
          <w:szCs w:val="28"/>
        </w:rPr>
        <w:t>ci</w:t>
      </w:r>
      <w:r w:rsidR="003E30B2">
        <w:rPr>
          <w:color w:val="000000" w:themeColor="text1"/>
          <w:sz w:val="28"/>
          <w:szCs w:val="28"/>
        </w:rPr>
        <w:t>ts</w:t>
      </w:r>
      <w:r w:rsidR="005323B8">
        <w:rPr>
          <w:color w:val="000000" w:themeColor="text1"/>
          <w:sz w:val="28"/>
          <w:szCs w:val="28"/>
        </w:rPr>
        <w:t xml:space="preserve"> (</w:t>
      </w:r>
      <w:r w:rsidR="003E30B2">
        <w:rPr>
          <w:color w:val="000000" w:themeColor="text1"/>
          <w:sz w:val="28"/>
          <w:szCs w:val="28"/>
        </w:rPr>
        <w:t xml:space="preserve">including slow information processing and poor comprehension) and a number of psychological sequalae (including depression, “black spells”, </w:t>
      </w:r>
      <w:r w:rsidR="003E30B2" w:rsidRPr="003E30B2">
        <w:rPr>
          <w:color w:val="000000" w:themeColor="text1"/>
          <w:sz w:val="28"/>
          <w:szCs w:val="28"/>
          <w:lang w:val="en-ZA"/>
        </w:rPr>
        <w:t>moodiness, hyper insomnia, visual and auditory hallucinat</w:t>
      </w:r>
      <w:r w:rsidR="003E30B2">
        <w:rPr>
          <w:color w:val="000000" w:themeColor="text1"/>
          <w:sz w:val="28"/>
          <w:szCs w:val="28"/>
          <w:lang w:val="en-ZA"/>
        </w:rPr>
        <w:t xml:space="preserve">ions and </w:t>
      </w:r>
      <w:r w:rsidR="00C275D1">
        <w:rPr>
          <w:color w:val="000000" w:themeColor="text1"/>
          <w:sz w:val="28"/>
          <w:szCs w:val="28"/>
          <w:lang w:val="en-ZA"/>
        </w:rPr>
        <w:t>phobias</w:t>
      </w:r>
      <w:r w:rsidR="003E30B2">
        <w:rPr>
          <w:color w:val="000000" w:themeColor="text1"/>
          <w:sz w:val="28"/>
          <w:szCs w:val="28"/>
          <w:lang w:val="en-ZA"/>
        </w:rPr>
        <w:t xml:space="preserve"> of being a </w:t>
      </w:r>
      <w:r w:rsidR="00C275D1">
        <w:rPr>
          <w:color w:val="000000" w:themeColor="text1"/>
          <w:sz w:val="28"/>
          <w:szCs w:val="28"/>
          <w:lang w:val="en-ZA"/>
        </w:rPr>
        <w:t>ped</w:t>
      </w:r>
      <w:r w:rsidR="00C275D1" w:rsidRPr="003E30B2">
        <w:rPr>
          <w:color w:val="000000" w:themeColor="text1"/>
          <w:sz w:val="28"/>
          <w:szCs w:val="28"/>
          <w:lang w:val="en-ZA"/>
        </w:rPr>
        <w:t>estrian</w:t>
      </w:r>
      <w:r w:rsidR="003E30B2" w:rsidRPr="003E30B2">
        <w:rPr>
          <w:color w:val="000000" w:themeColor="text1"/>
          <w:sz w:val="28"/>
          <w:szCs w:val="28"/>
          <w:lang w:val="en-ZA"/>
        </w:rPr>
        <w:t>)</w:t>
      </w:r>
      <w:r w:rsidR="00CE32F0">
        <w:rPr>
          <w:color w:val="000000" w:themeColor="text1"/>
          <w:sz w:val="28"/>
          <w:szCs w:val="28"/>
          <w:lang w:val="en-ZA"/>
        </w:rPr>
        <w:t>.</w:t>
      </w:r>
    </w:p>
    <w:p w14:paraId="0DBED1BC" w14:textId="44A0F1A6" w:rsidR="00CE32F0" w:rsidRPr="00CE32F0" w:rsidRDefault="00DC2F59" w:rsidP="00DC2F59">
      <w:pPr>
        <w:pStyle w:val="MEMONUMBERED"/>
        <w:numPr>
          <w:ilvl w:val="0"/>
          <w:numId w:val="0"/>
        </w:numPr>
        <w:spacing w:after="360" w:line="360" w:lineRule="auto"/>
        <w:rPr>
          <w:color w:val="000000" w:themeColor="text1"/>
          <w:sz w:val="28"/>
          <w:szCs w:val="28"/>
        </w:rPr>
      </w:pPr>
      <w:r w:rsidRPr="00CE32F0">
        <w:rPr>
          <w:color w:val="000000" w:themeColor="text1"/>
          <w:sz w:val="28"/>
          <w:szCs w:val="28"/>
        </w:rPr>
        <w:t>[33]</w:t>
      </w:r>
      <w:r w:rsidRPr="00CE32F0">
        <w:rPr>
          <w:color w:val="000000" w:themeColor="text1"/>
          <w:sz w:val="28"/>
          <w:szCs w:val="28"/>
        </w:rPr>
        <w:tab/>
      </w:r>
      <w:r w:rsidR="00CE32F0">
        <w:rPr>
          <w:color w:val="000000" w:themeColor="text1"/>
          <w:sz w:val="28"/>
          <w:szCs w:val="28"/>
          <w:lang w:val="en-ZA"/>
        </w:rPr>
        <w:t xml:space="preserve">The experts concluded that the above deficits negatively impacted on the plaintiff’s </w:t>
      </w:r>
      <w:r w:rsidR="00DF3812">
        <w:rPr>
          <w:color w:val="000000" w:themeColor="text1"/>
          <w:sz w:val="28"/>
          <w:szCs w:val="28"/>
          <w:lang w:val="en-ZA"/>
        </w:rPr>
        <w:t>post-accident</w:t>
      </w:r>
      <w:r w:rsidR="00CE32F0">
        <w:rPr>
          <w:color w:val="000000" w:themeColor="text1"/>
          <w:sz w:val="28"/>
          <w:szCs w:val="28"/>
          <w:lang w:val="en-ZA"/>
        </w:rPr>
        <w:t xml:space="preserve"> scholastic performance.  The school records indicated that the plaintiff has passed grade 6 in the year that the accident had happen</w:t>
      </w:r>
      <w:r w:rsidR="005323B8">
        <w:rPr>
          <w:color w:val="000000" w:themeColor="text1"/>
          <w:sz w:val="28"/>
          <w:szCs w:val="28"/>
          <w:lang w:val="en-ZA"/>
        </w:rPr>
        <w:t>ed</w:t>
      </w:r>
      <w:r w:rsidR="00CE32F0">
        <w:rPr>
          <w:color w:val="000000" w:themeColor="text1"/>
          <w:sz w:val="28"/>
          <w:szCs w:val="28"/>
          <w:lang w:val="en-ZA"/>
        </w:rPr>
        <w:t>, thereafter passed grade 7 but failed grade 8, was condoned on the repeat thereof the next year, was condoned for grade 9 due to his age and that he had thereafter failed grade 10 in 2022.  He repeated grade 10 in the year of the hearing (2023</w:t>
      </w:r>
      <w:proofErr w:type="gramStart"/>
      <w:r w:rsidR="00CE32F0">
        <w:rPr>
          <w:color w:val="000000" w:themeColor="text1"/>
          <w:sz w:val="28"/>
          <w:szCs w:val="28"/>
          <w:lang w:val="en-ZA"/>
        </w:rPr>
        <w:t>)</w:t>
      </w:r>
      <w:proofErr w:type="gramEnd"/>
      <w:r w:rsidR="00CE32F0">
        <w:rPr>
          <w:color w:val="000000" w:themeColor="text1"/>
          <w:sz w:val="28"/>
          <w:szCs w:val="28"/>
          <w:lang w:val="en-ZA"/>
        </w:rPr>
        <w:t xml:space="preserve"> but his then most recent school reports presented to court, indicated that he had failed both the 1</w:t>
      </w:r>
      <w:r w:rsidR="00CE32F0" w:rsidRPr="00CE32F0">
        <w:rPr>
          <w:color w:val="000000" w:themeColor="text1"/>
          <w:sz w:val="28"/>
          <w:szCs w:val="28"/>
          <w:vertAlign w:val="superscript"/>
          <w:lang w:val="en-ZA"/>
        </w:rPr>
        <w:t>st</w:t>
      </w:r>
      <w:r w:rsidR="00CE32F0">
        <w:rPr>
          <w:color w:val="000000" w:themeColor="text1"/>
          <w:sz w:val="28"/>
          <w:szCs w:val="28"/>
          <w:lang w:val="en-ZA"/>
        </w:rPr>
        <w:t xml:space="preserve"> and 2</w:t>
      </w:r>
      <w:r w:rsidR="00CE32F0" w:rsidRPr="00CE32F0">
        <w:rPr>
          <w:color w:val="000000" w:themeColor="text1"/>
          <w:sz w:val="28"/>
          <w:szCs w:val="28"/>
          <w:vertAlign w:val="superscript"/>
          <w:lang w:val="en-ZA"/>
        </w:rPr>
        <w:t>nd</w:t>
      </w:r>
      <w:r w:rsidR="00CE32F0">
        <w:rPr>
          <w:color w:val="000000" w:themeColor="text1"/>
          <w:sz w:val="28"/>
          <w:szCs w:val="28"/>
          <w:lang w:val="en-ZA"/>
        </w:rPr>
        <w:t xml:space="preserve"> terms</w:t>
      </w:r>
      <w:r w:rsidR="005323B8">
        <w:rPr>
          <w:color w:val="000000" w:themeColor="text1"/>
          <w:sz w:val="28"/>
          <w:szCs w:val="28"/>
          <w:lang w:val="en-ZA"/>
        </w:rPr>
        <w:t xml:space="preserve"> of that year</w:t>
      </w:r>
      <w:r w:rsidR="00CE32F0">
        <w:rPr>
          <w:color w:val="000000" w:themeColor="text1"/>
          <w:sz w:val="28"/>
          <w:szCs w:val="28"/>
          <w:lang w:val="en-ZA"/>
        </w:rPr>
        <w:t>.</w:t>
      </w:r>
    </w:p>
    <w:p w14:paraId="6C80C6DA" w14:textId="07578BF5" w:rsidR="00CE32F0" w:rsidRPr="00453F60" w:rsidRDefault="00DC2F59" w:rsidP="00DC2F59">
      <w:pPr>
        <w:pStyle w:val="MEMONUMBERED"/>
        <w:numPr>
          <w:ilvl w:val="0"/>
          <w:numId w:val="0"/>
        </w:numPr>
        <w:spacing w:after="360" w:line="360" w:lineRule="auto"/>
        <w:rPr>
          <w:color w:val="000000" w:themeColor="text1"/>
          <w:sz w:val="28"/>
          <w:szCs w:val="28"/>
        </w:rPr>
      </w:pPr>
      <w:r w:rsidRPr="00453F60">
        <w:rPr>
          <w:color w:val="000000" w:themeColor="text1"/>
          <w:sz w:val="28"/>
          <w:szCs w:val="28"/>
        </w:rPr>
        <w:lastRenderedPageBreak/>
        <w:t>[34]</w:t>
      </w:r>
      <w:r w:rsidRPr="00453F60">
        <w:rPr>
          <w:color w:val="000000" w:themeColor="text1"/>
          <w:sz w:val="28"/>
          <w:szCs w:val="28"/>
        </w:rPr>
        <w:tab/>
      </w:r>
      <w:r w:rsidR="00CE32F0">
        <w:rPr>
          <w:color w:val="000000" w:themeColor="text1"/>
          <w:sz w:val="28"/>
          <w:szCs w:val="28"/>
          <w:lang w:val="en-ZA"/>
        </w:rPr>
        <w:t xml:space="preserve">On the topic of earning capacity the experts </w:t>
      </w:r>
      <w:proofErr w:type="gramStart"/>
      <w:r w:rsidR="00CE32F0">
        <w:rPr>
          <w:color w:val="000000" w:themeColor="text1"/>
          <w:sz w:val="28"/>
          <w:szCs w:val="28"/>
          <w:lang w:val="en-ZA"/>
        </w:rPr>
        <w:t>were of the opinion that</w:t>
      </w:r>
      <w:proofErr w:type="gramEnd"/>
      <w:r w:rsidR="00CE32F0">
        <w:rPr>
          <w:color w:val="000000" w:themeColor="text1"/>
          <w:sz w:val="28"/>
          <w:szCs w:val="28"/>
          <w:lang w:val="en-ZA"/>
        </w:rPr>
        <w:t xml:space="preserve"> the plaintiff, but for the accident</w:t>
      </w:r>
      <w:r w:rsidR="005323B8">
        <w:rPr>
          <w:color w:val="000000" w:themeColor="text1"/>
          <w:sz w:val="28"/>
          <w:szCs w:val="28"/>
          <w:lang w:val="en-ZA"/>
        </w:rPr>
        <w:t>,</w:t>
      </w:r>
      <w:r w:rsidR="00CE32F0">
        <w:rPr>
          <w:color w:val="000000" w:themeColor="text1"/>
          <w:sz w:val="28"/>
          <w:szCs w:val="28"/>
          <w:lang w:val="en-ZA"/>
        </w:rPr>
        <w:t xml:space="preserve"> would have passed matric and, had </w:t>
      </w:r>
      <w:r w:rsidR="005323B8">
        <w:rPr>
          <w:color w:val="000000" w:themeColor="text1"/>
          <w:sz w:val="28"/>
          <w:szCs w:val="28"/>
          <w:lang w:val="en-ZA"/>
        </w:rPr>
        <w:t>h</w:t>
      </w:r>
      <w:r w:rsidR="00CE32F0">
        <w:rPr>
          <w:color w:val="000000" w:themeColor="text1"/>
          <w:sz w:val="28"/>
          <w:szCs w:val="28"/>
          <w:lang w:val="en-ZA"/>
        </w:rPr>
        <w:t>e done so with good grades, could have applied for bursaries or NFSAS assistance. The plaintiff could</w:t>
      </w:r>
      <w:r w:rsidR="00AD310B">
        <w:rPr>
          <w:color w:val="000000" w:themeColor="text1"/>
          <w:sz w:val="28"/>
          <w:szCs w:val="28"/>
          <w:lang w:val="en-ZA"/>
        </w:rPr>
        <w:t xml:space="preserve"> then</w:t>
      </w:r>
      <w:r w:rsidR="00CE32F0">
        <w:rPr>
          <w:color w:val="000000" w:themeColor="text1"/>
          <w:sz w:val="28"/>
          <w:szCs w:val="28"/>
          <w:lang w:val="en-ZA"/>
        </w:rPr>
        <w:t xml:space="preserve">, so the experts postulated, have obtained a </w:t>
      </w:r>
      <w:proofErr w:type="gramStart"/>
      <w:r w:rsidR="00CE32F0">
        <w:rPr>
          <w:color w:val="000000" w:themeColor="text1"/>
          <w:sz w:val="28"/>
          <w:szCs w:val="28"/>
          <w:lang w:val="en-ZA"/>
        </w:rPr>
        <w:t>degree</w:t>
      </w:r>
      <w:proofErr w:type="gramEnd"/>
      <w:r w:rsidR="00CE32F0">
        <w:rPr>
          <w:color w:val="000000" w:themeColor="text1"/>
          <w:sz w:val="28"/>
          <w:szCs w:val="28"/>
          <w:lang w:val="en-ZA"/>
        </w:rPr>
        <w:t xml:space="preserve"> and have entered the labour market at a Patterson B3/4 level and would have </w:t>
      </w:r>
      <w:r w:rsidR="00453F60">
        <w:rPr>
          <w:color w:val="000000" w:themeColor="text1"/>
          <w:sz w:val="28"/>
          <w:szCs w:val="28"/>
          <w:lang w:val="en-ZA"/>
        </w:rPr>
        <w:t>reached a career ceiling at the B2 Upper Qua</w:t>
      </w:r>
      <w:r w:rsidR="00AD310B">
        <w:rPr>
          <w:color w:val="000000" w:themeColor="text1"/>
          <w:sz w:val="28"/>
          <w:szCs w:val="28"/>
          <w:lang w:val="en-ZA"/>
        </w:rPr>
        <w:t>r</w:t>
      </w:r>
      <w:r w:rsidR="00453F60">
        <w:rPr>
          <w:color w:val="000000" w:themeColor="text1"/>
          <w:sz w:val="28"/>
          <w:szCs w:val="28"/>
          <w:lang w:val="en-ZA"/>
        </w:rPr>
        <w:t>tile level at age 45.  He would then have enjoyed straight-line increases until his retirement at age 65.  The actuarial calculations performed, relied on these premises.  Applying a 15% contingency the actuary calculated a loss of R10 366 800.00 after applying the “cap” prescribed in the Road Accident Fund Amendment Act.</w:t>
      </w:r>
      <w:r w:rsidR="00453F60">
        <w:rPr>
          <w:rStyle w:val="FootnoteReference"/>
          <w:color w:val="000000" w:themeColor="text1"/>
          <w:sz w:val="28"/>
          <w:szCs w:val="28"/>
          <w:lang w:val="en-ZA"/>
        </w:rPr>
        <w:footnoteReference w:id="20"/>
      </w:r>
    </w:p>
    <w:p w14:paraId="235983D2" w14:textId="0373AA43" w:rsidR="00453F60" w:rsidRPr="00453F60" w:rsidRDefault="00DC2F59" w:rsidP="00DC2F59">
      <w:pPr>
        <w:pStyle w:val="MEMONUMBERED"/>
        <w:numPr>
          <w:ilvl w:val="0"/>
          <w:numId w:val="0"/>
        </w:numPr>
        <w:spacing w:after="360" w:line="360" w:lineRule="auto"/>
        <w:rPr>
          <w:color w:val="000000" w:themeColor="text1"/>
          <w:sz w:val="28"/>
          <w:szCs w:val="28"/>
        </w:rPr>
      </w:pPr>
      <w:r w:rsidRPr="00453F60">
        <w:rPr>
          <w:color w:val="000000" w:themeColor="text1"/>
          <w:sz w:val="28"/>
          <w:szCs w:val="28"/>
        </w:rPr>
        <w:t>[35]</w:t>
      </w:r>
      <w:r w:rsidRPr="00453F60">
        <w:rPr>
          <w:color w:val="000000" w:themeColor="text1"/>
          <w:sz w:val="28"/>
          <w:szCs w:val="28"/>
        </w:rPr>
        <w:tab/>
      </w:r>
      <w:r w:rsidR="00453F60">
        <w:rPr>
          <w:color w:val="000000" w:themeColor="text1"/>
          <w:sz w:val="28"/>
          <w:szCs w:val="28"/>
          <w:lang w:val="en-ZA"/>
        </w:rPr>
        <w:t xml:space="preserve">Guided by the report of the occupational therapist, the industrial psychologist was of the view that the plaintiff, post-accident, “is unemployable due to his physical and mental state”.  The actuarial calculations therefore provided for R0 as a post-accident earnings postulation.  So </w:t>
      </w:r>
      <w:proofErr w:type="gramStart"/>
      <w:r w:rsidR="00453F60">
        <w:rPr>
          <w:color w:val="000000" w:themeColor="text1"/>
          <w:sz w:val="28"/>
          <w:szCs w:val="28"/>
          <w:lang w:val="en-ZA"/>
        </w:rPr>
        <w:t>far</w:t>
      </w:r>
      <w:proofErr w:type="gramEnd"/>
      <w:r w:rsidR="00453F60">
        <w:rPr>
          <w:color w:val="000000" w:themeColor="text1"/>
          <w:sz w:val="28"/>
          <w:szCs w:val="28"/>
          <w:lang w:val="en-ZA"/>
        </w:rPr>
        <w:t xml:space="preserve"> the plaintiff’s evidence. </w:t>
      </w:r>
    </w:p>
    <w:p w14:paraId="3C22D50C" w14:textId="44C2E262" w:rsidR="00D222CD" w:rsidRPr="00D222CD" w:rsidRDefault="00DC2F59" w:rsidP="00DC2F59">
      <w:pPr>
        <w:pStyle w:val="MEMONUMBERED"/>
        <w:numPr>
          <w:ilvl w:val="0"/>
          <w:numId w:val="0"/>
        </w:numPr>
        <w:spacing w:after="360" w:line="360" w:lineRule="auto"/>
        <w:rPr>
          <w:color w:val="000000" w:themeColor="text1"/>
          <w:sz w:val="28"/>
          <w:szCs w:val="28"/>
        </w:rPr>
      </w:pPr>
      <w:r w:rsidRPr="00D222CD">
        <w:rPr>
          <w:color w:val="000000" w:themeColor="text1"/>
          <w:sz w:val="28"/>
          <w:szCs w:val="28"/>
        </w:rPr>
        <w:t>[36]</w:t>
      </w:r>
      <w:r w:rsidRPr="00D222CD">
        <w:rPr>
          <w:color w:val="000000" w:themeColor="text1"/>
          <w:sz w:val="28"/>
          <w:szCs w:val="28"/>
        </w:rPr>
        <w:tab/>
      </w:r>
      <w:r w:rsidR="00453F60">
        <w:rPr>
          <w:color w:val="000000" w:themeColor="text1"/>
          <w:sz w:val="28"/>
          <w:szCs w:val="28"/>
          <w:lang w:val="en-ZA"/>
        </w:rPr>
        <w:t>The RAF conceded t</w:t>
      </w:r>
      <w:r w:rsidR="00CA3786">
        <w:rPr>
          <w:color w:val="000000" w:themeColor="text1"/>
          <w:sz w:val="28"/>
          <w:szCs w:val="28"/>
          <w:lang w:val="en-ZA"/>
        </w:rPr>
        <w:t>he applicability of the rebuttab</w:t>
      </w:r>
      <w:r w:rsidR="00453F60">
        <w:rPr>
          <w:color w:val="000000" w:themeColor="text1"/>
          <w:sz w:val="28"/>
          <w:szCs w:val="28"/>
          <w:lang w:val="en-ZA"/>
        </w:rPr>
        <w:t xml:space="preserve">le principle that minors between the age of 7 and puberty are presumed to be </w:t>
      </w:r>
      <w:proofErr w:type="spellStart"/>
      <w:r w:rsidR="00453F60" w:rsidRPr="00CA3786">
        <w:rPr>
          <w:i/>
          <w:color w:val="000000" w:themeColor="text1"/>
          <w:sz w:val="28"/>
          <w:szCs w:val="28"/>
          <w:lang w:val="en-ZA"/>
        </w:rPr>
        <w:t>doli</w:t>
      </w:r>
      <w:proofErr w:type="spellEnd"/>
      <w:r w:rsidR="00453F60" w:rsidRPr="00CA3786">
        <w:rPr>
          <w:i/>
          <w:color w:val="000000" w:themeColor="text1"/>
          <w:sz w:val="28"/>
          <w:szCs w:val="28"/>
          <w:lang w:val="en-ZA"/>
        </w:rPr>
        <w:t xml:space="preserve"> et culpae incapax</w:t>
      </w:r>
      <w:r w:rsidR="00453F60">
        <w:rPr>
          <w:color w:val="000000" w:themeColor="text1"/>
          <w:sz w:val="28"/>
          <w:szCs w:val="28"/>
          <w:lang w:val="en-ZA"/>
        </w:rPr>
        <w:t>, that is that they are presumed to be inca</w:t>
      </w:r>
      <w:r w:rsidR="00CA3786">
        <w:rPr>
          <w:color w:val="000000" w:themeColor="text1"/>
          <w:sz w:val="28"/>
          <w:szCs w:val="28"/>
          <w:lang w:val="en-ZA"/>
        </w:rPr>
        <w:t>pable of being held liable for their wrongful actions.  The RAF argued that, from notes taken by the clinical psychologist</w:t>
      </w:r>
      <w:r w:rsidR="009F2D7F">
        <w:rPr>
          <w:color w:val="000000" w:themeColor="text1"/>
          <w:sz w:val="28"/>
          <w:szCs w:val="28"/>
          <w:lang w:val="en-ZA"/>
        </w:rPr>
        <w:t>,</w:t>
      </w:r>
      <w:r w:rsidR="00CA3786">
        <w:rPr>
          <w:color w:val="000000" w:themeColor="text1"/>
          <w:sz w:val="28"/>
          <w:szCs w:val="28"/>
          <w:lang w:val="en-ZA"/>
        </w:rPr>
        <w:t xml:space="preserve"> it appeared that the plaintiff and two friends were crossing the street and that the plaintiff, while warning his friends of oncoming traffic, was unaware of the speeding taxi which ran him over.  Apart from referring to this hearsay evidence, the defendant was, in the circumstances of its defence having been struck out, precluded from leading further evidence on this point (even if it had any witnesses, of which there had been no indication).  I find that the defendant has </w:t>
      </w:r>
      <w:r w:rsidR="00CA3786">
        <w:rPr>
          <w:color w:val="000000" w:themeColor="text1"/>
          <w:sz w:val="28"/>
          <w:szCs w:val="28"/>
          <w:lang w:val="en-ZA"/>
        </w:rPr>
        <w:lastRenderedPageBreak/>
        <w:t xml:space="preserve">failed to rebut the </w:t>
      </w:r>
      <w:proofErr w:type="gramStart"/>
      <w:r w:rsidR="00CA3786">
        <w:rPr>
          <w:color w:val="000000" w:themeColor="text1"/>
          <w:sz w:val="28"/>
          <w:szCs w:val="28"/>
          <w:lang w:val="en-ZA"/>
        </w:rPr>
        <w:t>aforementioned presumption</w:t>
      </w:r>
      <w:proofErr w:type="gramEnd"/>
      <w:r w:rsidR="00CA3786">
        <w:rPr>
          <w:rStyle w:val="FootnoteReference"/>
          <w:color w:val="000000" w:themeColor="text1"/>
          <w:sz w:val="28"/>
          <w:szCs w:val="28"/>
          <w:lang w:val="en-ZA"/>
        </w:rPr>
        <w:footnoteReference w:id="21"/>
      </w:r>
      <w:r w:rsidR="00CA3786">
        <w:rPr>
          <w:color w:val="000000" w:themeColor="text1"/>
          <w:sz w:val="28"/>
          <w:szCs w:val="28"/>
          <w:lang w:val="en-ZA"/>
        </w:rPr>
        <w:t>,</w:t>
      </w:r>
      <w:r w:rsidR="00D222CD">
        <w:rPr>
          <w:color w:val="000000" w:themeColor="text1"/>
          <w:sz w:val="28"/>
          <w:szCs w:val="28"/>
          <w:lang w:val="en-ZA"/>
        </w:rPr>
        <w:t xml:space="preserve"> which could have opened the door to a possible argument regarding contributory negligence.  I therefore find that the RAF is 100% liable for the damages suffered </w:t>
      </w:r>
      <w:proofErr w:type="gramStart"/>
      <w:r w:rsidR="00D222CD">
        <w:rPr>
          <w:color w:val="000000" w:themeColor="text1"/>
          <w:sz w:val="28"/>
          <w:szCs w:val="28"/>
          <w:lang w:val="en-ZA"/>
        </w:rPr>
        <w:t>as a result of</w:t>
      </w:r>
      <w:proofErr w:type="gramEnd"/>
      <w:r w:rsidR="00D222CD">
        <w:rPr>
          <w:color w:val="000000" w:themeColor="text1"/>
          <w:sz w:val="28"/>
          <w:szCs w:val="28"/>
          <w:lang w:val="en-ZA"/>
        </w:rPr>
        <w:t xml:space="preserve"> the speeding taxi</w:t>
      </w:r>
      <w:r w:rsidR="009F2D7F">
        <w:rPr>
          <w:color w:val="000000" w:themeColor="text1"/>
          <w:sz w:val="28"/>
          <w:szCs w:val="28"/>
          <w:lang w:val="en-ZA"/>
        </w:rPr>
        <w:t>’</w:t>
      </w:r>
      <w:r w:rsidR="00D222CD">
        <w:rPr>
          <w:color w:val="000000" w:themeColor="text1"/>
          <w:sz w:val="28"/>
          <w:szCs w:val="28"/>
          <w:lang w:val="en-ZA"/>
        </w:rPr>
        <w:t>s conduct as an insured driver as contemplated in the RAF Act.</w:t>
      </w:r>
    </w:p>
    <w:p w14:paraId="1F540B52" w14:textId="1C8566BB" w:rsidR="00453F60" w:rsidRPr="00D222CD" w:rsidRDefault="00DC2F59" w:rsidP="00DC2F59">
      <w:pPr>
        <w:pStyle w:val="MEMONUMBERED"/>
        <w:numPr>
          <w:ilvl w:val="0"/>
          <w:numId w:val="0"/>
        </w:numPr>
        <w:spacing w:after="360" w:line="360" w:lineRule="auto"/>
        <w:rPr>
          <w:color w:val="000000" w:themeColor="text1"/>
          <w:sz w:val="28"/>
          <w:szCs w:val="28"/>
        </w:rPr>
      </w:pPr>
      <w:r w:rsidRPr="00D222CD">
        <w:rPr>
          <w:color w:val="000000" w:themeColor="text1"/>
          <w:sz w:val="28"/>
          <w:szCs w:val="28"/>
        </w:rPr>
        <w:t>[37]</w:t>
      </w:r>
      <w:r w:rsidRPr="00D222CD">
        <w:rPr>
          <w:color w:val="000000" w:themeColor="text1"/>
          <w:sz w:val="28"/>
          <w:szCs w:val="28"/>
        </w:rPr>
        <w:tab/>
      </w:r>
      <w:r w:rsidR="00D222CD">
        <w:rPr>
          <w:color w:val="000000" w:themeColor="text1"/>
          <w:sz w:val="28"/>
          <w:szCs w:val="28"/>
          <w:lang w:val="en-ZA"/>
        </w:rPr>
        <w:t>In respect of general damages, the plaintiffs’ entitlement thereto and the assessment of</w:t>
      </w:r>
      <w:r w:rsidR="00CA3786">
        <w:rPr>
          <w:color w:val="000000" w:themeColor="text1"/>
          <w:sz w:val="28"/>
          <w:szCs w:val="28"/>
          <w:lang w:val="en-ZA"/>
        </w:rPr>
        <w:t xml:space="preserve"> </w:t>
      </w:r>
      <w:r w:rsidR="00D222CD">
        <w:rPr>
          <w:color w:val="000000" w:themeColor="text1"/>
          <w:sz w:val="28"/>
          <w:szCs w:val="28"/>
          <w:lang w:val="en-ZA"/>
        </w:rPr>
        <w:t>his injuries as serious have been rejected by the RAF and this head</w:t>
      </w:r>
      <w:r w:rsidR="00D222CD" w:rsidRPr="00D222CD">
        <w:rPr>
          <w:color w:val="000000" w:themeColor="text1"/>
          <w:sz w:val="28"/>
          <w:szCs w:val="28"/>
          <w:lang w:val="en-ZA"/>
        </w:rPr>
        <w:t xml:space="preserve"> of damages will have to be pursued at a later stage.</w:t>
      </w:r>
      <w:r w:rsidR="00CA3786" w:rsidRPr="00D222CD">
        <w:rPr>
          <w:color w:val="000000" w:themeColor="text1"/>
          <w:sz w:val="28"/>
          <w:szCs w:val="28"/>
          <w:lang w:val="en-ZA"/>
        </w:rPr>
        <w:t xml:space="preserve"> </w:t>
      </w:r>
    </w:p>
    <w:p w14:paraId="76431A15" w14:textId="52583210" w:rsidR="005119D6" w:rsidRPr="005119D6" w:rsidRDefault="00DC2F59" w:rsidP="00DC2F59">
      <w:pPr>
        <w:pStyle w:val="MEMONUMBERED"/>
        <w:numPr>
          <w:ilvl w:val="0"/>
          <w:numId w:val="0"/>
        </w:numPr>
        <w:spacing w:after="360" w:line="360" w:lineRule="auto"/>
        <w:rPr>
          <w:color w:val="000000" w:themeColor="text1"/>
          <w:sz w:val="28"/>
          <w:szCs w:val="28"/>
        </w:rPr>
      </w:pPr>
      <w:r w:rsidRPr="005119D6">
        <w:rPr>
          <w:color w:val="000000" w:themeColor="text1"/>
          <w:sz w:val="28"/>
          <w:szCs w:val="28"/>
        </w:rPr>
        <w:t>[38]</w:t>
      </w:r>
      <w:r w:rsidRPr="005119D6">
        <w:rPr>
          <w:color w:val="000000" w:themeColor="text1"/>
          <w:sz w:val="28"/>
          <w:szCs w:val="28"/>
        </w:rPr>
        <w:tab/>
      </w:r>
      <w:r w:rsidR="00D222CD">
        <w:rPr>
          <w:color w:val="000000" w:themeColor="text1"/>
          <w:sz w:val="28"/>
          <w:szCs w:val="28"/>
          <w:lang w:val="en-ZA"/>
        </w:rPr>
        <w:t>In respect of the loss of earning capacity, the RAF pointed out that the orthopaedic injuries have, according to the plaintiff</w:t>
      </w:r>
      <w:r w:rsidR="009F2D7F">
        <w:rPr>
          <w:color w:val="000000" w:themeColor="text1"/>
          <w:sz w:val="28"/>
          <w:szCs w:val="28"/>
          <w:lang w:val="en-ZA"/>
        </w:rPr>
        <w:t>’</w:t>
      </w:r>
      <w:r w:rsidR="00D222CD">
        <w:rPr>
          <w:color w:val="000000" w:themeColor="text1"/>
          <w:sz w:val="28"/>
          <w:szCs w:val="28"/>
          <w:lang w:val="en-ZA"/>
        </w:rPr>
        <w:t>s orthopaedic surgeon</w:t>
      </w:r>
      <w:r w:rsidR="005119D6">
        <w:rPr>
          <w:color w:val="000000" w:themeColor="text1"/>
          <w:sz w:val="28"/>
          <w:szCs w:val="28"/>
          <w:lang w:val="en-ZA"/>
        </w:rPr>
        <w:t xml:space="preserve">, healed to the extent that the plaintiff has </w:t>
      </w:r>
      <w:r w:rsidR="009F2D7F">
        <w:rPr>
          <w:color w:val="000000" w:themeColor="text1"/>
          <w:sz w:val="28"/>
          <w:szCs w:val="28"/>
          <w:lang w:val="en-ZA"/>
        </w:rPr>
        <w:t xml:space="preserve">little or </w:t>
      </w:r>
      <w:r w:rsidR="005119D6">
        <w:rPr>
          <w:color w:val="000000" w:themeColor="text1"/>
          <w:sz w:val="28"/>
          <w:szCs w:val="28"/>
          <w:lang w:val="en-ZA"/>
        </w:rPr>
        <w:t>no physical impairment as a result thereof.</w:t>
      </w:r>
    </w:p>
    <w:p w14:paraId="074C9AE8" w14:textId="18D584E6" w:rsidR="00D222CD" w:rsidRPr="005119D6" w:rsidRDefault="00DC2F59" w:rsidP="00DC2F59">
      <w:pPr>
        <w:pStyle w:val="MEMONUMBERED"/>
        <w:numPr>
          <w:ilvl w:val="0"/>
          <w:numId w:val="0"/>
        </w:numPr>
        <w:spacing w:after="360" w:line="360" w:lineRule="auto"/>
        <w:rPr>
          <w:color w:val="000000" w:themeColor="text1"/>
          <w:sz w:val="28"/>
          <w:szCs w:val="28"/>
        </w:rPr>
      </w:pPr>
      <w:r w:rsidRPr="005119D6">
        <w:rPr>
          <w:color w:val="000000" w:themeColor="text1"/>
          <w:sz w:val="28"/>
          <w:szCs w:val="28"/>
        </w:rPr>
        <w:t>[39]</w:t>
      </w:r>
      <w:r w:rsidRPr="005119D6">
        <w:rPr>
          <w:color w:val="000000" w:themeColor="text1"/>
          <w:sz w:val="28"/>
          <w:szCs w:val="28"/>
        </w:rPr>
        <w:tab/>
      </w:r>
      <w:r w:rsidR="005119D6">
        <w:rPr>
          <w:color w:val="000000" w:themeColor="text1"/>
          <w:sz w:val="28"/>
          <w:szCs w:val="28"/>
          <w:lang w:val="en-ZA"/>
        </w:rPr>
        <w:t xml:space="preserve">Regarding the post-accident scholastic performance, the RAF emphasised that the plaintiff had successfully passed grades 6, 7 and 8.  The clinical psychologist report also contained references that the plaintiff was bullied at school and that there was a boy who took away his lunch box and money. These incidents were not reported at home and the suggestion was that these factors could also have </w:t>
      </w:r>
      <w:r w:rsidR="009F2D7F">
        <w:rPr>
          <w:color w:val="000000" w:themeColor="text1"/>
          <w:sz w:val="28"/>
          <w:szCs w:val="28"/>
          <w:lang w:val="en-ZA"/>
        </w:rPr>
        <w:t>i</w:t>
      </w:r>
      <w:r w:rsidR="005119D6">
        <w:rPr>
          <w:color w:val="000000" w:themeColor="text1"/>
          <w:sz w:val="28"/>
          <w:szCs w:val="28"/>
          <w:lang w:val="en-ZA"/>
        </w:rPr>
        <w:t>nf</w:t>
      </w:r>
      <w:r w:rsidR="009F2D7F">
        <w:rPr>
          <w:color w:val="000000" w:themeColor="text1"/>
          <w:sz w:val="28"/>
          <w:szCs w:val="28"/>
          <w:lang w:val="en-ZA"/>
        </w:rPr>
        <w:t>l</w:t>
      </w:r>
      <w:r w:rsidR="005119D6">
        <w:rPr>
          <w:color w:val="000000" w:themeColor="text1"/>
          <w:sz w:val="28"/>
          <w:szCs w:val="28"/>
          <w:lang w:val="en-ZA"/>
        </w:rPr>
        <w:t>uenced his scholastic performance negatively.</w:t>
      </w:r>
      <w:r w:rsidR="00D222CD">
        <w:rPr>
          <w:color w:val="000000" w:themeColor="text1"/>
          <w:sz w:val="28"/>
          <w:szCs w:val="28"/>
          <w:lang w:val="en-ZA"/>
        </w:rPr>
        <w:t xml:space="preserve"> </w:t>
      </w:r>
    </w:p>
    <w:p w14:paraId="20DF72C0" w14:textId="5A7D6D43" w:rsidR="005119D6" w:rsidRPr="005119D6" w:rsidRDefault="00DC2F59" w:rsidP="00DC2F59">
      <w:pPr>
        <w:pStyle w:val="MEMONUMBERED"/>
        <w:numPr>
          <w:ilvl w:val="0"/>
          <w:numId w:val="0"/>
        </w:numPr>
        <w:spacing w:after="360" w:line="360" w:lineRule="auto"/>
        <w:rPr>
          <w:color w:val="000000" w:themeColor="text1"/>
          <w:sz w:val="28"/>
          <w:szCs w:val="28"/>
        </w:rPr>
      </w:pPr>
      <w:r w:rsidRPr="005119D6">
        <w:rPr>
          <w:color w:val="000000" w:themeColor="text1"/>
          <w:sz w:val="28"/>
          <w:szCs w:val="28"/>
        </w:rPr>
        <w:t>[40]</w:t>
      </w:r>
      <w:r w:rsidRPr="005119D6">
        <w:rPr>
          <w:color w:val="000000" w:themeColor="text1"/>
          <w:sz w:val="28"/>
          <w:szCs w:val="28"/>
        </w:rPr>
        <w:tab/>
      </w:r>
      <w:r w:rsidR="005119D6">
        <w:rPr>
          <w:color w:val="000000" w:themeColor="text1"/>
          <w:sz w:val="28"/>
          <w:szCs w:val="28"/>
          <w:lang w:val="en-ZA"/>
        </w:rPr>
        <w:t xml:space="preserve">The RAF also submitted that the scholastic records contained some discrepancies as </w:t>
      </w:r>
      <w:r w:rsidR="009F2D7F">
        <w:rPr>
          <w:color w:val="000000" w:themeColor="text1"/>
          <w:sz w:val="28"/>
          <w:szCs w:val="28"/>
          <w:lang w:val="en-ZA"/>
        </w:rPr>
        <w:t>to</w:t>
      </w:r>
      <w:r w:rsidR="005119D6">
        <w:rPr>
          <w:color w:val="000000" w:themeColor="text1"/>
          <w:sz w:val="28"/>
          <w:szCs w:val="28"/>
          <w:lang w:val="en-ZA"/>
        </w:rPr>
        <w:t xml:space="preserve"> date</w:t>
      </w:r>
      <w:r w:rsidR="009F2D7F">
        <w:rPr>
          <w:color w:val="000000" w:themeColor="text1"/>
          <w:sz w:val="28"/>
          <w:szCs w:val="28"/>
          <w:lang w:val="en-ZA"/>
        </w:rPr>
        <w:t>s</w:t>
      </w:r>
      <w:r w:rsidR="005119D6">
        <w:rPr>
          <w:color w:val="000000" w:themeColor="text1"/>
          <w:sz w:val="28"/>
          <w:szCs w:val="28"/>
          <w:lang w:val="en-ZA"/>
        </w:rPr>
        <w:t xml:space="preserve"> and further indicate</w:t>
      </w:r>
      <w:r w:rsidR="009F2D7F">
        <w:rPr>
          <w:color w:val="000000" w:themeColor="text1"/>
          <w:sz w:val="28"/>
          <w:szCs w:val="28"/>
          <w:lang w:val="en-ZA"/>
        </w:rPr>
        <w:t>d</w:t>
      </w:r>
      <w:r w:rsidR="005119D6">
        <w:rPr>
          <w:color w:val="000000" w:themeColor="text1"/>
          <w:sz w:val="28"/>
          <w:szCs w:val="28"/>
          <w:lang w:val="en-ZA"/>
        </w:rPr>
        <w:t xml:space="preserve"> that the plaintiff had failed grade 4 in 2015 and had to repeat it in 2016.  This had nothing to do with the accident.  The plaintiff had only discovered his grade 5 report as the only pre-accident report, which indicated that he had failed term 3 of grade 5. The RAF argued that </w:t>
      </w:r>
      <w:r w:rsidR="005119D6">
        <w:rPr>
          <w:color w:val="000000" w:themeColor="text1"/>
          <w:sz w:val="28"/>
          <w:szCs w:val="28"/>
          <w:lang w:val="en-ZA"/>
        </w:rPr>
        <w:lastRenderedPageBreak/>
        <w:t xml:space="preserve">the plaintiff was not the star pupil that his mother </w:t>
      </w:r>
      <w:r w:rsidR="009F2D7F">
        <w:rPr>
          <w:color w:val="000000" w:themeColor="text1"/>
          <w:sz w:val="28"/>
          <w:szCs w:val="28"/>
          <w:lang w:val="en-ZA"/>
        </w:rPr>
        <w:t>or</w:t>
      </w:r>
      <w:r w:rsidR="005119D6">
        <w:rPr>
          <w:color w:val="000000" w:themeColor="text1"/>
          <w:sz w:val="28"/>
          <w:szCs w:val="28"/>
          <w:lang w:val="en-ZA"/>
        </w:rPr>
        <w:t xml:space="preserve"> the plaintiff’s experts had made hi</w:t>
      </w:r>
      <w:r w:rsidR="009F2D7F">
        <w:rPr>
          <w:color w:val="000000" w:themeColor="text1"/>
          <w:sz w:val="28"/>
          <w:szCs w:val="28"/>
          <w:lang w:val="en-ZA"/>
        </w:rPr>
        <w:t>m</w:t>
      </w:r>
      <w:r w:rsidR="005119D6">
        <w:rPr>
          <w:color w:val="000000" w:themeColor="text1"/>
          <w:sz w:val="28"/>
          <w:szCs w:val="28"/>
          <w:lang w:val="en-ZA"/>
        </w:rPr>
        <w:t xml:space="preserve"> out to be. </w:t>
      </w:r>
    </w:p>
    <w:p w14:paraId="3741F9A1" w14:textId="1AA8D844" w:rsidR="005119D6" w:rsidRPr="005119D6" w:rsidRDefault="00DC2F59" w:rsidP="00DC2F59">
      <w:pPr>
        <w:pStyle w:val="MEMONUMBERED"/>
        <w:numPr>
          <w:ilvl w:val="0"/>
          <w:numId w:val="0"/>
        </w:numPr>
        <w:spacing w:after="360" w:line="360" w:lineRule="auto"/>
        <w:rPr>
          <w:color w:val="000000" w:themeColor="text1"/>
          <w:sz w:val="28"/>
          <w:szCs w:val="28"/>
        </w:rPr>
      </w:pPr>
      <w:r w:rsidRPr="005119D6">
        <w:rPr>
          <w:color w:val="000000" w:themeColor="text1"/>
          <w:sz w:val="28"/>
          <w:szCs w:val="28"/>
        </w:rPr>
        <w:t>[41]</w:t>
      </w:r>
      <w:r w:rsidRPr="005119D6">
        <w:rPr>
          <w:color w:val="000000" w:themeColor="text1"/>
          <w:sz w:val="28"/>
          <w:szCs w:val="28"/>
        </w:rPr>
        <w:tab/>
      </w:r>
      <w:r w:rsidR="005119D6">
        <w:rPr>
          <w:color w:val="000000" w:themeColor="text1"/>
          <w:sz w:val="28"/>
          <w:szCs w:val="28"/>
          <w:lang w:val="en-ZA"/>
        </w:rPr>
        <w:t>On the other hand, the RAF argued that the fact that the plaintiff had passed grades 7</w:t>
      </w:r>
      <w:r w:rsidR="00AD310B">
        <w:rPr>
          <w:color w:val="000000" w:themeColor="text1"/>
          <w:sz w:val="28"/>
          <w:szCs w:val="28"/>
          <w:lang w:val="en-ZA"/>
        </w:rPr>
        <w:t xml:space="preserve"> </w:t>
      </w:r>
      <w:r w:rsidR="005119D6">
        <w:rPr>
          <w:color w:val="000000" w:themeColor="text1"/>
          <w:sz w:val="28"/>
          <w:szCs w:val="28"/>
          <w:lang w:val="en-ZA"/>
        </w:rPr>
        <w:t>and 8 post-accident, indicated that his mental impairments were exaggerated.</w:t>
      </w:r>
    </w:p>
    <w:p w14:paraId="79127312" w14:textId="6FBC0215" w:rsidR="005119D6" w:rsidRPr="000E3064" w:rsidRDefault="00DC2F59" w:rsidP="00DC2F59">
      <w:pPr>
        <w:pStyle w:val="MEMONUMBERED"/>
        <w:numPr>
          <w:ilvl w:val="0"/>
          <w:numId w:val="0"/>
        </w:numPr>
        <w:spacing w:after="360" w:line="360" w:lineRule="auto"/>
        <w:rPr>
          <w:color w:val="000000" w:themeColor="text1"/>
          <w:sz w:val="28"/>
          <w:szCs w:val="28"/>
        </w:rPr>
      </w:pPr>
      <w:r w:rsidRPr="000E3064">
        <w:rPr>
          <w:color w:val="000000" w:themeColor="text1"/>
          <w:sz w:val="28"/>
          <w:szCs w:val="28"/>
        </w:rPr>
        <w:t>[42]</w:t>
      </w:r>
      <w:r w:rsidRPr="000E3064">
        <w:rPr>
          <w:color w:val="000000" w:themeColor="text1"/>
          <w:sz w:val="28"/>
          <w:szCs w:val="28"/>
        </w:rPr>
        <w:tab/>
      </w:r>
      <w:r w:rsidR="0086059E">
        <w:rPr>
          <w:color w:val="000000" w:themeColor="text1"/>
          <w:sz w:val="28"/>
          <w:szCs w:val="28"/>
          <w:lang w:val="en-ZA"/>
        </w:rPr>
        <w:t xml:space="preserve">I should mention that, due to the above and the reopening of the pleadings, Mr Makgoba’s heads of argument concluded with the suggestion that the matter be </w:t>
      </w:r>
      <w:proofErr w:type="gramStart"/>
      <w:r w:rsidR="0086059E">
        <w:rPr>
          <w:color w:val="000000" w:themeColor="text1"/>
          <w:sz w:val="28"/>
          <w:szCs w:val="28"/>
          <w:lang w:val="en-ZA"/>
        </w:rPr>
        <w:t>postponed</w:t>
      </w:r>
      <w:proofErr w:type="gramEnd"/>
      <w:r w:rsidR="0086059E">
        <w:rPr>
          <w:color w:val="000000" w:themeColor="text1"/>
          <w:sz w:val="28"/>
          <w:szCs w:val="28"/>
          <w:lang w:val="en-ZA"/>
        </w:rPr>
        <w:t xml:space="preserve"> and that the RAF be allowed to further investigate the issue of quantum and, if </w:t>
      </w:r>
      <w:r w:rsidR="009F2D7F">
        <w:rPr>
          <w:color w:val="000000" w:themeColor="text1"/>
          <w:sz w:val="28"/>
          <w:szCs w:val="28"/>
          <w:lang w:val="en-ZA"/>
        </w:rPr>
        <w:t>nee</w:t>
      </w:r>
      <w:r w:rsidR="0086059E">
        <w:rPr>
          <w:color w:val="000000" w:themeColor="text1"/>
          <w:sz w:val="28"/>
          <w:szCs w:val="28"/>
          <w:lang w:val="en-ZA"/>
        </w:rPr>
        <w:t xml:space="preserve">ds be, obtain its own experts.  The suggestion of a postponement was </w:t>
      </w:r>
      <w:r w:rsidR="009F2D7F">
        <w:rPr>
          <w:color w:val="000000" w:themeColor="text1"/>
          <w:sz w:val="28"/>
          <w:szCs w:val="28"/>
          <w:lang w:val="en-ZA"/>
        </w:rPr>
        <w:t>bolstered by the offer that</w:t>
      </w:r>
      <w:r w:rsidR="0086059E">
        <w:rPr>
          <w:color w:val="000000" w:themeColor="text1"/>
          <w:sz w:val="28"/>
          <w:szCs w:val="28"/>
          <w:lang w:val="en-ZA"/>
        </w:rPr>
        <w:t xml:space="preserve"> </w:t>
      </w:r>
      <w:r w:rsidR="000E3064">
        <w:rPr>
          <w:color w:val="000000" w:themeColor="text1"/>
          <w:sz w:val="28"/>
          <w:szCs w:val="28"/>
          <w:lang w:val="en-ZA"/>
        </w:rPr>
        <w:t>a</w:t>
      </w:r>
      <w:r w:rsidR="0086059E">
        <w:rPr>
          <w:color w:val="000000" w:themeColor="text1"/>
          <w:sz w:val="28"/>
          <w:szCs w:val="28"/>
          <w:lang w:val="en-ZA"/>
        </w:rPr>
        <w:t>n expert</w:t>
      </w:r>
      <w:r w:rsidR="009F2D7F">
        <w:rPr>
          <w:color w:val="000000" w:themeColor="text1"/>
          <w:sz w:val="28"/>
          <w:szCs w:val="28"/>
          <w:lang w:val="en-ZA"/>
        </w:rPr>
        <w:t xml:space="preserve"> could be identified</w:t>
      </w:r>
      <w:r w:rsidR="0086059E">
        <w:rPr>
          <w:color w:val="000000" w:themeColor="text1"/>
          <w:sz w:val="28"/>
          <w:szCs w:val="28"/>
          <w:lang w:val="en-ZA"/>
        </w:rPr>
        <w:t xml:space="preserve"> and </w:t>
      </w:r>
      <w:r w:rsidR="009F2D7F">
        <w:rPr>
          <w:color w:val="000000" w:themeColor="text1"/>
          <w:sz w:val="28"/>
          <w:szCs w:val="28"/>
          <w:lang w:val="en-ZA"/>
        </w:rPr>
        <w:t xml:space="preserve">that </w:t>
      </w:r>
      <w:r w:rsidR="0086059E">
        <w:rPr>
          <w:color w:val="000000" w:themeColor="text1"/>
          <w:sz w:val="28"/>
          <w:szCs w:val="28"/>
          <w:lang w:val="en-ZA"/>
        </w:rPr>
        <w:t xml:space="preserve">an </w:t>
      </w:r>
      <w:r w:rsidR="000E3064">
        <w:rPr>
          <w:color w:val="000000" w:themeColor="text1"/>
          <w:sz w:val="28"/>
          <w:szCs w:val="28"/>
          <w:lang w:val="en-ZA"/>
        </w:rPr>
        <w:t>i</w:t>
      </w:r>
      <w:r w:rsidR="0086059E">
        <w:rPr>
          <w:color w:val="000000" w:themeColor="text1"/>
          <w:sz w:val="28"/>
          <w:szCs w:val="28"/>
          <w:lang w:val="en-ZA"/>
        </w:rPr>
        <w:t>nvitatio</w:t>
      </w:r>
      <w:r w:rsidR="000E3064">
        <w:rPr>
          <w:color w:val="000000" w:themeColor="text1"/>
          <w:sz w:val="28"/>
          <w:szCs w:val="28"/>
          <w:lang w:val="en-ZA"/>
        </w:rPr>
        <w:t>n</w:t>
      </w:r>
      <w:r w:rsidR="0086059E">
        <w:rPr>
          <w:color w:val="000000" w:themeColor="text1"/>
          <w:sz w:val="28"/>
          <w:szCs w:val="28"/>
          <w:lang w:val="en-ZA"/>
        </w:rPr>
        <w:t xml:space="preserve"> to the plaintiff to be examined co</w:t>
      </w:r>
      <w:r w:rsidR="000E3064">
        <w:rPr>
          <w:color w:val="000000" w:themeColor="text1"/>
          <w:sz w:val="28"/>
          <w:szCs w:val="28"/>
          <w:lang w:val="en-ZA"/>
        </w:rPr>
        <w:t>uld be done within 30 days.</w:t>
      </w:r>
      <w:r w:rsidR="009F2D7F">
        <w:rPr>
          <w:color w:val="000000" w:themeColor="text1"/>
          <w:sz w:val="28"/>
          <w:szCs w:val="28"/>
          <w:lang w:val="en-ZA"/>
        </w:rPr>
        <w:t xml:space="preserve"> No particulars could however be furnished as to who the expert (or experts) would be.</w:t>
      </w:r>
      <w:r w:rsidR="000E3064">
        <w:rPr>
          <w:color w:val="000000" w:themeColor="text1"/>
          <w:sz w:val="28"/>
          <w:szCs w:val="28"/>
          <w:lang w:val="en-ZA"/>
        </w:rPr>
        <w:t xml:space="preserve">  Mindful of the doubts about compliance with such a suggestion, given the past conduct of the RAF, </w:t>
      </w:r>
      <w:r w:rsidR="009F2D7F">
        <w:rPr>
          <w:color w:val="000000" w:themeColor="text1"/>
          <w:sz w:val="28"/>
          <w:szCs w:val="28"/>
          <w:lang w:val="en-ZA"/>
        </w:rPr>
        <w:t xml:space="preserve">Mr Makgoba was constrained to concede </w:t>
      </w:r>
      <w:r w:rsidR="000E3064">
        <w:rPr>
          <w:color w:val="000000" w:themeColor="text1"/>
          <w:sz w:val="28"/>
          <w:szCs w:val="28"/>
          <w:lang w:val="en-ZA"/>
        </w:rPr>
        <w:t>that the matter may then again</w:t>
      </w:r>
      <w:r w:rsidR="009F2D7F">
        <w:rPr>
          <w:color w:val="000000" w:themeColor="text1"/>
          <w:sz w:val="28"/>
          <w:szCs w:val="28"/>
          <w:lang w:val="en-ZA"/>
        </w:rPr>
        <w:t xml:space="preserve"> have to</w:t>
      </w:r>
      <w:r w:rsidR="000E3064">
        <w:rPr>
          <w:color w:val="000000" w:themeColor="text1"/>
          <w:sz w:val="28"/>
          <w:szCs w:val="28"/>
          <w:lang w:val="en-ZA"/>
        </w:rPr>
        <w:t xml:space="preserve"> be set</w:t>
      </w:r>
      <w:r w:rsidR="009F2D7F">
        <w:rPr>
          <w:color w:val="000000" w:themeColor="text1"/>
          <w:sz w:val="28"/>
          <w:szCs w:val="28"/>
          <w:lang w:val="en-ZA"/>
        </w:rPr>
        <w:t xml:space="preserve"> </w:t>
      </w:r>
      <w:r w:rsidR="000E3064">
        <w:rPr>
          <w:color w:val="000000" w:themeColor="text1"/>
          <w:sz w:val="28"/>
          <w:szCs w:val="28"/>
          <w:lang w:val="en-ZA"/>
        </w:rPr>
        <w:t>down for default judgment</w:t>
      </w:r>
      <w:r w:rsidR="009F2D7F">
        <w:rPr>
          <w:color w:val="000000" w:themeColor="text1"/>
          <w:sz w:val="28"/>
          <w:szCs w:val="28"/>
          <w:lang w:val="en-ZA"/>
        </w:rPr>
        <w:t xml:space="preserve"> upon failure of securing </w:t>
      </w:r>
      <w:proofErr w:type="gramStart"/>
      <w:r w:rsidR="009F2D7F">
        <w:rPr>
          <w:color w:val="000000" w:themeColor="text1"/>
          <w:sz w:val="28"/>
          <w:szCs w:val="28"/>
          <w:lang w:val="en-ZA"/>
        </w:rPr>
        <w:t xml:space="preserve">reports </w:t>
      </w:r>
      <w:r w:rsidR="000E3064">
        <w:rPr>
          <w:color w:val="000000" w:themeColor="text1"/>
          <w:sz w:val="28"/>
          <w:szCs w:val="28"/>
          <w:lang w:val="en-ZA"/>
        </w:rPr>
        <w:t>.</w:t>
      </w:r>
      <w:proofErr w:type="gramEnd"/>
      <w:r w:rsidR="000E3064">
        <w:rPr>
          <w:color w:val="000000" w:themeColor="text1"/>
          <w:sz w:val="28"/>
          <w:szCs w:val="28"/>
          <w:lang w:val="en-ZA"/>
        </w:rPr>
        <w:t xml:space="preserve">  This would mean that the parties (and the court) would be back in the same position </w:t>
      </w:r>
      <w:r w:rsidR="009F2D7F">
        <w:rPr>
          <w:color w:val="000000" w:themeColor="text1"/>
          <w:sz w:val="28"/>
          <w:szCs w:val="28"/>
          <w:lang w:val="en-ZA"/>
        </w:rPr>
        <w:t xml:space="preserve">as </w:t>
      </w:r>
      <w:r w:rsidR="000E3064">
        <w:rPr>
          <w:color w:val="000000" w:themeColor="text1"/>
          <w:sz w:val="28"/>
          <w:szCs w:val="28"/>
          <w:lang w:val="en-ZA"/>
        </w:rPr>
        <w:t>at the time of the hearing but with judicial resources having been wasted</w:t>
      </w:r>
      <w:r w:rsidR="007950E2">
        <w:rPr>
          <w:color w:val="000000" w:themeColor="text1"/>
          <w:sz w:val="28"/>
          <w:szCs w:val="28"/>
          <w:lang w:val="en-ZA"/>
        </w:rPr>
        <w:t xml:space="preserve"> and with </w:t>
      </w:r>
      <w:r w:rsidR="000E3064">
        <w:rPr>
          <w:color w:val="000000" w:themeColor="text1"/>
          <w:sz w:val="28"/>
          <w:szCs w:val="28"/>
          <w:lang w:val="en-ZA"/>
        </w:rPr>
        <w:t xml:space="preserve">delays </w:t>
      </w:r>
      <w:r w:rsidR="007950E2">
        <w:rPr>
          <w:color w:val="000000" w:themeColor="text1"/>
          <w:sz w:val="28"/>
          <w:szCs w:val="28"/>
          <w:lang w:val="en-ZA"/>
        </w:rPr>
        <w:t xml:space="preserve">and costs also </w:t>
      </w:r>
      <w:r w:rsidR="000E3064">
        <w:rPr>
          <w:color w:val="000000" w:themeColor="text1"/>
          <w:sz w:val="28"/>
          <w:szCs w:val="28"/>
          <w:lang w:val="en-ZA"/>
        </w:rPr>
        <w:t xml:space="preserve">having been incurred.  In view hereof and in the </w:t>
      </w:r>
      <w:r w:rsidR="007950E2">
        <w:rPr>
          <w:color w:val="000000" w:themeColor="text1"/>
          <w:sz w:val="28"/>
          <w:szCs w:val="28"/>
          <w:lang w:val="en-ZA"/>
        </w:rPr>
        <w:t>abse</w:t>
      </w:r>
      <w:r w:rsidR="000E3064">
        <w:rPr>
          <w:color w:val="000000" w:themeColor="text1"/>
          <w:sz w:val="28"/>
          <w:szCs w:val="28"/>
          <w:lang w:val="en-ZA"/>
        </w:rPr>
        <w:t>nce of a substantive application for postponement, the matter proceeded and was fully argued, based on the plaintiff’s expert reports filed of record.</w:t>
      </w:r>
    </w:p>
    <w:p w14:paraId="53D574B8" w14:textId="270E6EC3" w:rsidR="000E3064" w:rsidRPr="000E3064" w:rsidRDefault="00DC2F59" w:rsidP="00DC2F59">
      <w:pPr>
        <w:pStyle w:val="MEMONUMBERED"/>
        <w:numPr>
          <w:ilvl w:val="0"/>
          <w:numId w:val="0"/>
        </w:numPr>
        <w:spacing w:after="360" w:line="360" w:lineRule="auto"/>
        <w:rPr>
          <w:color w:val="000000" w:themeColor="text1"/>
          <w:sz w:val="28"/>
          <w:szCs w:val="28"/>
        </w:rPr>
      </w:pPr>
      <w:r w:rsidRPr="000E3064">
        <w:rPr>
          <w:color w:val="000000" w:themeColor="text1"/>
          <w:sz w:val="28"/>
          <w:szCs w:val="28"/>
        </w:rPr>
        <w:t>[43]</w:t>
      </w:r>
      <w:r w:rsidRPr="000E3064">
        <w:rPr>
          <w:color w:val="000000" w:themeColor="text1"/>
          <w:sz w:val="28"/>
          <w:szCs w:val="28"/>
        </w:rPr>
        <w:tab/>
      </w:r>
      <w:r w:rsidR="000E3064">
        <w:rPr>
          <w:color w:val="000000" w:themeColor="text1"/>
          <w:sz w:val="28"/>
          <w:szCs w:val="28"/>
          <w:lang w:val="en-ZA"/>
        </w:rPr>
        <w:t>In respect of last-mentioned aspect</w:t>
      </w:r>
      <w:r w:rsidR="007950E2">
        <w:rPr>
          <w:color w:val="000000" w:themeColor="text1"/>
          <w:sz w:val="28"/>
          <w:szCs w:val="28"/>
          <w:lang w:val="en-ZA"/>
        </w:rPr>
        <w:t>,</w:t>
      </w:r>
      <w:r w:rsidR="000E3064">
        <w:rPr>
          <w:color w:val="000000" w:themeColor="text1"/>
          <w:sz w:val="28"/>
          <w:szCs w:val="28"/>
          <w:lang w:val="en-ZA"/>
        </w:rPr>
        <w:t xml:space="preserve"> the RAF emphasised the following finding of the educational psychologist: “</w:t>
      </w:r>
      <w:r w:rsidR="000E3064" w:rsidRPr="000E3064">
        <w:rPr>
          <w:i/>
          <w:color w:val="000000" w:themeColor="text1"/>
          <w:sz w:val="28"/>
          <w:szCs w:val="28"/>
          <w:lang w:val="en-ZA"/>
        </w:rPr>
        <w:t xml:space="preserve">He is likely to exit formal school after completing grade 10 and proceed for vocational training at a Further Education and Training (FET) college and obtained a </w:t>
      </w:r>
      <w:proofErr w:type="gramStart"/>
      <w:r w:rsidR="000E3064" w:rsidRPr="000E3064">
        <w:rPr>
          <w:i/>
          <w:color w:val="000000" w:themeColor="text1"/>
          <w:sz w:val="28"/>
          <w:szCs w:val="28"/>
          <w:lang w:val="en-ZA"/>
        </w:rPr>
        <w:t>2 year</w:t>
      </w:r>
      <w:proofErr w:type="gramEnd"/>
      <w:r w:rsidR="000E3064" w:rsidRPr="000E3064">
        <w:rPr>
          <w:i/>
          <w:color w:val="000000" w:themeColor="text1"/>
          <w:sz w:val="28"/>
          <w:szCs w:val="28"/>
          <w:lang w:val="en-ZA"/>
        </w:rPr>
        <w:t xml:space="preserve"> certificate.  Should he manage up to grade 12, probably through condoned passes, he will probably pass with low marks and still proceed to an FET college as envisaged</w:t>
      </w:r>
      <w:r w:rsidR="000E3064">
        <w:rPr>
          <w:color w:val="000000" w:themeColor="text1"/>
          <w:sz w:val="28"/>
          <w:szCs w:val="28"/>
          <w:lang w:val="en-ZA"/>
        </w:rPr>
        <w:t>”.</w:t>
      </w:r>
    </w:p>
    <w:p w14:paraId="3EEBA85C" w14:textId="24F00577" w:rsidR="000E3064" w:rsidRPr="000E3064" w:rsidRDefault="00DC2F59" w:rsidP="00DC2F59">
      <w:pPr>
        <w:pStyle w:val="MEMONUMBERED"/>
        <w:numPr>
          <w:ilvl w:val="0"/>
          <w:numId w:val="0"/>
        </w:numPr>
        <w:spacing w:after="360" w:line="360" w:lineRule="auto"/>
        <w:rPr>
          <w:color w:val="000000" w:themeColor="text1"/>
          <w:sz w:val="28"/>
          <w:szCs w:val="28"/>
        </w:rPr>
      </w:pPr>
      <w:r w:rsidRPr="000E3064">
        <w:rPr>
          <w:color w:val="000000" w:themeColor="text1"/>
          <w:sz w:val="28"/>
          <w:szCs w:val="28"/>
        </w:rPr>
        <w:lastRenderedPageBreak/>
        <w:t>[44]</w:t>
      </w:r>
      <w:r w:rsidRPr="000E3064">
        <w:rPr>
          <w:color w:val="000000" w:themeColor="text1"/>
          <w:sz w:val="28"/>
          <w:szCs w:val="28"/>
        </w:rPr>
        <w:tab/>
      </w:r>
      <w:r w:rsidR="000E3064">
        <w:rPr>
          <w:color w:val="000000" w:themeColor="text1"/>
          <w:sz w:val="28"/>
          <w:szCs w:val="28"/>
          <w:lang w:val="en-ZA"/>
        </w:rPr>
        <w:t>Based on the above, the RAF submitted that the industrial psychologist had no factual basis to conclude that the plaintiff would have no future income or earning capacity.</w:t>
      </w:r>
    </w:p>
    <w:p w14:paraId="71A6B260" w14:textId="77777777" w:rsidR="000E3064" w:rsidRPr="000E3064" w:rsidRDefault="000E3064" w:rsidP="000E3064">
      <w:pPr>
        <w:pStyle w:val="MEMONUMBERED"/>
        <w:numPr>
          <w:ilvl w:val="0"/>
          <w:numId w:val="0"/>
        </w:numPr>
        <w:spacing w:after="120" w:line="360" w:lineRule="auto"/>
        <w:rPr>
          <w:b/>
          <w:color w:val="000000" w:themeColor="text1"/>
          <w:sz w:val="28"/>
          <w:szCs w:val="28"/>
        </w:rPr>
      </w:pPr>
      <w:r w:rsidRPr="000E3064">
        <w:rPr>
          <w:b/>
          <w:color w:val="000000" w:themeColor="text1"/>
          <w:sz w:val="28"/>
          <w:szCs w:val="28"/>
          <w:lang w:val="en-ZA"/>
        </w:rPr>
        <w:t xml:space="preserve">Evaluation </w:t>
      </w:r>
    </w:p>
    <w:p w14:paraId="23160EBA" w14:textId="08B50E3E" w:rsidR="000E5612"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[45]</w:t>
      </w:r>
      <w:r>
        <w:rPr>
          <w:color w:val="000000" w:themeColor="text1"/>
          <w:sz w:val="28"/>
          <w:szCs w:val="28"/>
        </w:rPr>
        <w:tab/>
      </w:r>
      <w:r w:rsidR="000E3064">
        <w:rPr>
          <w:color w:val="000000" w:themeColor="text1"/>
          <w:sz w:val="28"/>
          <w:szCs w:val="28"/>
        </w:rPr>
        <w:t>The RAF’s criticism regarding the apparent lack of documentation of pre-accident scholastic performance is somewhat</w:t>
      </w:r>
      <w:r w:rsidR="00865E9F">
        <w:rPr>
          <w:color w:val="000000" w:themeColor="text1"/>
          <w:sz w:val="28"/>
          <w:szCs w:val="28"/>
        </w:rPr>
        <w:t xml:space="preserve"> justified, but there is nothing to gainsay the collateral evidence obtained by the various experts or that of the plaintiffs’ mother.  In the report of the occupational therapist numerous school reports with individual marks per subject had been dealt with extensively from grade 6 onwards.  From this it appears that the RAF’s criticism of the past-accident scholastic performance as being the same as or comparable to the pre-accident performance, is not justified.  Apart from having passed grade 6 on a first attempt, all indications of the plaintiff’s subsequent performance point to a downwa</w:t>
      </w:r>
      <w:r w:rsidR="007950E2">
        <w:rPr>
          <w:color w:val="000000" w:themeColor="text1"/>
          <w:sz w:val="28"/>
          <w:szCs w:val="28"/>
        </w:rPr>
        <w:t>rd educational</w:t>
      </w:r>
      <w:r w:rsidR="00865E9F">
        <w:rPr>
          <w:color w:val="000000" w:themeColor="text1"/>
          <w:sz w:val="28"/>
          <w:szCs w:val="28"/>
        </w:rPr>
        <w:t xml:space="preserve"> spiral.  The occupational therapist concluded that his performance “</w:t>
      </w:r>
      <w:r w:rsidR="00865E9F" w:rsidRPr="00865E9F">
        <w:rPr>
          <w:i/>
          <w:color w:val="000000" w:themeColor="text1"/>
          <w:sz w:val="28"/>
          <w:szCs w:val="28"/>
        </w:rPr>
        <w:t>significantly deteriorated as his average was below the elementary achievement</w:t>
      </w:r>
      <w:r w:rsidR="00865E9F">
        <w:rPr>
          <w:color w:val="000000" w:themeColor="text1"/>
          <w:sz w:val="28"/>
          <w:szCs w:val="28"/>
        </w:rPr>
        <w:t>”.</w:t>
      </w:r>
    </w:p>
    <w:p w14:paraId="203FC72B" w14:textId="19EF3446" w:rsidR="000B2542"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[46]</w:t>
      </w:r>
      <w:r>
        <w:rPr>
          <w:color w:val="000000" w:themeColor="text1"/>
          <w:sz w:val="28"/>
          <w:szCs w:val="28"/>
        </w:rPr>
        <w:tab/>
      </w:r>
      <w:r w:rsidR="000E5612">
        <w:rPr>
          <w:color w:val="000000" w:themeColor="text1"/>
          <w:sz w:val="28"/>
          <w:szCs w:val="28"/>
        </w:rPr>
        <w:t xml:space="preserve">What </w:t>
      </w:r>
      <w:r w:rsidR="007950E2">
        <w:rPr>
          <w:color w:val="000000" w:themeColor="text1"/>
          <w:sz w:val="28"/>
          <w:szCs w:val="28"/>
        </w:rPr>
        <w:t>was</w:t>
      </w:r>
      <w:r w:rsidR="000E5612">
        <w:rPr>
          <w:color w:val="000000" w:themeColor="text1"/>
          <w:sz w:val="28"/>
          <w:szCs w:val="28"/>
        </w:rPr>
        <w:t xml:space="preserve"> justified however, </w:t>
      </w:r>
      <w:r w:rsidR="007950E2">
        <w:rPr>
          <w:color w:val="000000" w:themeColor="text1"/>
          <w:sz w:val="28"/>
          <w:szCs w:val="28"/>
        </w:rPr>
        <w:t xml:space="preserve">was </w:t>
      </w:r>
      <w:r w:rsidR="000E5612">
        <w:rPr>
          <w:color w:val="000000" w:themeColor="text1"/>
          <w:sz w:val="28"/>
          <w:szCs w:val="28"/>
        </w:rPr>
        <w:t>the criticism of the plaintiff</w:t>
      </w:r>
      <w:r w:rsidR="00AD310B">
        <w:rPr>
          <w:color w:val="000000" w:themeColor="text1"/>
          <w:sz w:val="28"/>
          <w:szCs w:val="28"/>
        </w:rPr>
        <w:t>’</w:t>
      </w:r>
      <w:r w:rsidR="000E5612">
        <w:rPr>
          <w:color w:val="000000" w:themeColor="text1"/>
          <w:sz w:val="28"/>
          <w:szCs w:val="28"/>
        </w:rPr>
        <w:t>s experts’ leap from the educational psychologist postulati</w:t>
      </w:r>
      <w:r w:rsidR="007950E2">
        <w:rPr>
          <w:color w:val="000000" w:themeColor="text1"/>
          <w:sz w:val="28"/>
          <w:szCs w:val="28"/>
        </w:rPr>
        <w:t>ng the</w:t>
      </w:r>
      <w:r w:rsidR="000E5612">
        <w:rPr>
          <w:color w:val="000000" w:themeColor="text1"/>
          <w:sz w:val="28"/>
          <w:szCs w:val="28"/>
        </w:rPr>
        <w:t xml:space="preserve"> obtaining a FET qualification post-accident to the industrial psychologist</w:t>
      </w:r>
      <w:r w:rsidR="00AD310B">
        <w:rPr>
          <w:color w:val="000000" w:themeColor="text1"/>
          <w:sz w:val="28"/>
          <w:szCs w:val="28"/>
        </w:rPr>
        <w:t>’</w:t>
      </w:r>
      <w:r w:rsidR="000E5612">
        <w:rPr>
          <w:color w:val="000000" w:themeColor="text1"/>
          <w:sz w:val="28"/>
          <w:szCs w:val="28"/>
        </w:rPr>
        <w:t xml:space="preserve">s postulation of the plaintiff being completely unemployable.  </w:t>
      </w:r>
      <w:r w:rsidR="00B11269">
        <w:rPr>
          <w:color w:val="000000" w:themeColor="text1"/>
          <w:sz w:val="28"/>
          <w:szCs w:val="28"/>
        </w:rPr>
        <w:t>Bracketed in between these two extremes is the occupation therapist</w:t>
      </w:r>
      <w:r w:rsidR="007950E2">
        <w:rPr>
          <w:color w:val="000000" w:themeColor="text1"/>
          <w:sz w:val="28"/>
          <w:szCs w:val="28"/>
        </w:rPr>
        <w:t>’</w:t>
      </w:r>
      <w:r w:rsidR="00B11269">
        <w:rPr>
          <w:color w:val="000000" w:themeColor="text1"/>
          <w:sz w:val="28"/>
          <w:szCs w:val="28"/>
        </w:rPr>
        <w:t>s conclusion that the plaintiff would only be suitable for sh</w:t>
      </w:r>
      <w:r w:rsidR="007950E2">
        <w:rPr>
          <w:color w:val="000000" w:themeColor="text1"/>
          <w:sz w:val="28"/>
          <w:szCs w:val="28"/>
        </w:rPr>
        <w:t>el</w:t>
      </w:r>
      <w:r w:rsidR="00B11269">
        <w:rPr>
          <w:color w:val="000000" w:themeColor="text1"/>
          <w:sz w:val="28"/>
          <w:szCs w:val="28"/>
        </w:rPr>
        <w:t xml:space="preserve">tered employment.  </w:t>
      </w:r>
      <w:proofErr w:type="gramStart"/>
      <w:r w:rsidR="00B11269">
        <w:rPr>
          <w:color w:val="000000" w:themeColor="text1"/>
          <w:sz w:val="28"/>
          <w:szCs w:val="28"/>
        </w:rPr>
        <w:t>Both the</w:t>
      </w:r>
      <w:proofErr w:type="gramEnd"/>
      <w:r w:rsidR="00B11269">
        <w:rPr>
          <w:color w:val="000000" w:themeColor="text1"/>
          <w:sz w:val="28"/>
          <w:szCs w:val="28"/>
        </w:rPr>
        <w:t xml:space="preserve"> last two </w:t>
      </w:r>
      <w:r w:rsidR="000B2542">
        <w:rPr>
          <w:color w:val="000000" w:themeColor="text1"/>
          <w:sz w:val="28"/>
          <w:szCs w:val="28"/>
        </w:rPr>
        <w:t>conclusions</w:t>
      </w:r>
      <w:r w:rsidR="00B11269">
        <w:rPr>
          <w:color w:val="000000" w:themeColor="text1"/>
          <w:sz w:val="28"/>
          <w:szCs w:val="28"/>
        </w:rPr>
        <w:t xml:space="preserve"> are without solid foundation.</w:t>
      </w:r>
      <w:r w:rsidR="000B2542">
        <w:rPr>
          <w:color w:val="000000" w:themeColor="text1"/>
          <w:sz w:val="28"/>
          <w:szCs w:val="28"/>
        </w:rPr>
        <w:t xml:space="preserve">  On a conspectus of the reports, there are ample indication</w:t>
      </w:r>
      <w:r w:rsidR="007950E2">
        <w:rPr>
          <w:color w:val="000000" w:themeColor="text1"/>
          <w:sz w:val="28"/>
          <w:szCs w:val="28"/>
        </w:rPr>
        <w:t>s</w:t>
      </w:r>
      <w:r w:rsidR="000B2542">
        <w:rPr>
          <w:color w:val="000000" w:themeColor="text1"/>
          <w:sz w:val="28"/>
          <w:szCs w:val="28"/>
        </w:rPr>
        <w:t xml:space="preserve"> of a residual earning capacity.  This has, however, not featured in the actuarial calculations.</w:t>
      </w:r>
    </w:p>
    <w:p w14:paraId="49C88F0B" w14:textId="3AA653F2" w:rsidR="000B2542"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[47]</w:t>
      </w:r>
      <w:r>
        <w:rPr>
          <w:color w:val="000000" w:themeColor="text1"/>
          <w:sz w:val="28"/>
          <w:szCs w:val="28"/>
        </w:rPr>
        <w:tab/>
      </w:r>
      <w:r w:rsidR="000B2542">
        <w:rPr>
          <w:color w:val="000000" w:themeColor="text1"/>
          <w:sz w:val="28"/>
          <w:szCs w:val="28"/>
        </w:rPr>
        <w:t>It is trite that, rather than to non-suit a deserving plaintiff completely, a court must do the best it can with the evidence regarding the quantum of damages put before it.</w:t>
      </w:r>
      <w:r w:rsidR="000B2542">
        <w:rPr>
          <w:rStyle w:val="FootnoteReference"/>
          <w:color w:val="000000" w:themeColor="text1"/>
          <w:sz w:val="28"/>
          <w:szCs w:val="28"/>
        </w:rPr>
        <w:footnoteReference w:id="22"/>
      </w:r>
      <w:r w:rsidR="000B2542">
        <w:rPr>
          <w:color w:val="000000" w:themeColor="text1"/>
          <w:sz w:val="28"/>
          <w:szCs w:val="28"/>
        </w:rPr>
        <w:t xml:space="preserve">  The only way in which this can be achieved in the circumstances of this case, is to assume that the post-accident scenario would reflect a largely discounted amount of the pre-accident postulated earnings.  This has been done in the h</w:t>
      </w:r>
      <w:r w:rsidR="007950E2">
        <w:rPr>
          <w:color w:val="000000" w:themeColor="text1"/>
          <w:sz w:val="28"/>
          <w:szCs w:val="28"/>
        </w:rPr>
        <w:t>ea</w:t>
      </w:r>
      <w:r w:rsidR="000B2542">
        <w:rPr>
          <w:color w:val="000000" w:themeColor="text1"/>
          <w:sz w:val="28"/>
          <w:szCs w:val="28"/>
        </w:rPr>
        <w:t>ds of argument provided by the plaintiff’s counsel, resulting in a calculated loss of R6 738 420.00.  This was done utilizing an additional</w:t>
      </w:r>
      <w:r w:rsidR="007950E2">
        <w:rPr>
          <w:color w:val="000000" w:themeColor="text1"/>
          <w:sz w:val="28"/>
          <w:szCs w:val="28"/>
        </w:rPr>
        <w:t xml:space="preserve"> </w:t>
      </w:r>
      <w:r w:rsidR="000B2542">
        <w:rPr>
          <w:color w:val="000000" w:themeColor="text1"/>
          <w:sz w:val="28"/>
          <w:szCs w:val="28"/>
        </w:rPr>
        <w:t>35% contingency</w:t>
      </w:r>
      <w:r w:rsidR="007950E2">
        <w:rPr>
          <w:color w:val="000000" w:themeColor="text1"/>
          <w:sz w:val="28"/>
          <w:szCs w:val="28"/>
        </w:rPr>
        <w:t xml:space="preserve"> in respect of future earnings, above that already applied</w:t>
      </w:r>
      <w:r w:rsidR="000B2542">
        <w:rPr>
          <w:color w:val="000000" w:themeColor="text1"/>
          <w:sz w:val="28"/>
          <w:szCs w:val="28"/>
        </w:rPr>
        <w:t>.</w:t>
      </w:r>
    </w:p>
    <w:p w14:paraId="2E246B58" w14:textId="6CACC249" w:rsidR="000E3064"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[48]</w:t>
      </w:r>
      <w:r>
        <w:rPr>
          <w:color w:val="000000" w:themeColor="text1"/>
          <w:sz w:val="28"/>
          <w:szCs w:val="28"/>
        </w:rPr>
        <w:tab/>
      </w:r>
      <w:r w:rsidR="000B2542">
        <w:rPr>
          <w:color w:val="000000" w:themeColor="text1"/>
          <w:sz w:val="28"/>
          <w:szCs w:val="28"/>
        </w:rPr>
        <w:t>Regarding the issue of contingencies, many a remark</w:t>
      </w:r>
      <w:r w:rsidR="00812B63">
        <w:rPr>
          <w:color w:val="000000" w:themeColor="text1"/>
          <w:sz w:val="28"/>
          <w:szCs w:val="28"/>
        </w:rPr>
        <w:t xml:space="preserve"> has been made over the years in judgments of our courts, not least </w:t>
      </w:r>
      <w:r w:rsidR="007950E2">
        <w:rPr>
          <w:color w:val="000000" w:themeColor="text1"/>
          <w:sz w:val="28"/>
          <w:szCs w:val="28"/>
        </w:rPr>
        <w:t>a</w:t>
      </w:r>
      <w:r w:rsidR="00812B63">
        <w:rPr>
          <w:color w:val="000000" w:themeColor="text1"/>
          <w:sz w:val="28"/>
          <w:szCs w:val="28"/>
        </w:rPr>
        <w:t>pposite</w:t>
      </w:r>
      <w:r w:rsidR="007950E2">
        <w:rPr>
          <w:color w:val="000000" w:themeColor="text1"/>
          <w:sz w:val="28"/>
          <w:szCs w:val="28"/>
        </w:rPr>
        <w:t xml:space="preserve"> of which</w:t>
      </w:r>
      <w:r w:rsidR="00812B63">
        <w:rPr>
          <w:color w:val="000000" w:themeColor="text1"/>
          <w:sz w:val="28"/>
          <w:szCs w:val="28"/>
        </w:rPr>
        <w:t xml:space="preserve"> is the following: “</w:t>
      </w:r>
      <w:r w:rsidR="00812B63" w:rsidRPr="00812B63">
        <w:rPr>
          <w:i/>
          <w:color w:val="000000" w:themeColor="text1"/>
          <w:sz w:val="28"/>
          <w:szCs w:val="28"/>
        </w:rPr>
        <w:t>In the assessment of a proper allowance for contingencies, arbitrary considerations must play a part, for the art of foretelling the future, so confidently practiced by ancient prophets and soothsayers … is not numbered among the qualifications for judicial office</w:t>
      </w:r>
      <w:r w:rsidR="00812B63">
        <w:rPr>
          <w:color w:val="000000" w:themeColor="text1"/>
          <w:sz w:val="28"/>
          <w:szCs w:val="28"/>
        </w:rPr>
        <w:t>”.</w:t>
      </w:r>
      <w:r w:rsidR="00812B63">
        <w:rPr>
          <w:rStyle w:val="FootnoteReference"/>
          <w:color w:val="000000" w:themeColor="text1"/>
          <w:sz w:val="28"/>
          <w:szCs w:val="28"/>
        </w:rPr>
        <w:footnoteReference w:id="23"/>
      </w:r>
      <w:r w:rsidR="00865E9F">
        <w:rPr>
          <w:color w:val="000000" w:themeColor="text1"/>
          <w:sz w:val="28"/>
          <w:szCs w:val="28"/>
        </w:rPr>
        <w:t xml:space="preserve"> </w:t>
      </w:r>
      <w:r w:rsidR="000E3064">
        <w:rPr>
          <w:color w:val="000000" w:themeColor="text1"/>
          <w:sz w:val="28"/>
          <w:szCs w:val="28"/>
        </w:rPr>
        <w:t xml:space="preserve"> </w:t>
      </w:r>
      <w:r w:rsidR="00812B63">
        <w:rPr>
          <w:color w:val="000000" w:themeColor="text1"/>
          <w:sz w:val="28"/>
          <w:szCs w:val="28"/>
        </w:rPr>
        <w:t>In the circumstances of this case, I find that the application of the increased contingency deduction referred to above is as best a reflection of the loss of earning capacity suffered by the plaintiff as could be determined on the presented evidence.</w:t>
      </w:r>
    </w:p>
    <w:p w14:paraId="4636DA59" w14:textId="77777777" w:rsidR="00812B63" w:rsidRPr="00812B63" w:rsidRDefault="00812B63" w:rsidP="00812B63">
      <w:pPr>
        <w:pStyle w:val="MEMONUMBERED"/>
        <w:numPr>
          <w:ilvl w:val="0"/>
          <w:numId w:val="0"/>
        </w:numPr>
        <w:spacing w:after="120" w:line="360" w:lineRule="auto"/>
        <w:rPr>
          <w:b/>
          <w:color w:val="000000" w:themeColor="text1"/>
          <w:sz w:val="28"/>
          <w:szCs w:val="28"/>
        </w:rPr>
      </w:pPr>
      <w:r w:rsidRPr="00812B63">
        <w:rPr>
          <w:b/>
          <w:color w:val="000000" w:themeColor="text1"/>
          <w:sz w:val="28"/>
          <w:szCs w:val="28"/>
        </w:rPr>
        <w:t>Relief</w:t>
      </w:r>
    </w:p>
    <w:p w14:paraId="416357D5" w14:textId="513500A6" w:rsidR="00427E06"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[49]</w:t>
      </w:r>
      <w:r>
        <w:rPr>
          <w:color w:val="000000" w:themeColor="text1"/>
          <w:sz w:val="28"/>
          <w:szCs w:val="28"/>
        </w:rPr>
        <w:tab/>
      </w:r>
      <w:r w:rsidR="00812B63">
        <w:rPr>
          <w:color w:val="000000" w:themeColor="text1"/>
          <w:sz w:val="28"/>
          <w:szCs w:val="28"/>
        </w:rPr>
        <w:t xml:space="preserve">In my view, the plaintiff has made out a case for a finding of liability of the RAF for 100% of the damages suffered.  All the experts refer to foreseen future medical expenses and the plaintiff is therefore entitled to an order for the furnishing of an undertaking as contemplated in section 17(4) of the RAF Act.  The issue of general damages should be postponed and compensation for the </w:t>
      </w:r>
      <w:r w:rsidR="00812B63">
        <w:rPr>
          <w:color w:val="000000" w:themeColor="text1"/>
          <w:sz w:val="28"/>
          <w:szCs w:val="28"/>
        </w:rPr>
        <w:lastRenderedPageBreak/>
        <w:t>plaintiff</w:t>
      </w:r>
      <w:r w:rsidR="007950E2">
        <w:rPr>
          <w:color w:val="000000" w:themeColor="text1"/>
          <w:sz w:val="28"/>
          <w:szCs w:val="28"/>
        </w:rPr>
        <w:t>’</w:t>
      </w:r>
      <w:r w:rsidR="00812B63">
        <w:rPr>
          <w:color w:val="000000" w:themeColor="text1"/>
          <w:sz w:val="28"/>
          <w:szCs w:val="28"/>
        </w:rPr>
        <w:t>s loss of future earnings should be awarded as already referred to above.</w:t>
      </w:r>
      <w:r w:rsidR="00427E06">
        <w:rPr>
          <w:color w:val="000000" w:themeColor="text1"/>
          <w:sz w:val="28"/>
          <w:szCs w:val="28"/>
        </w:rPr>
        <w:t xml:space="preserve">  No claim was advanced for the payment of past medical expenses.</w:t>
      </w:r>
    </w:p>
    <w:p w14:paraId="1B2D5581" w14:textId="5E467CF7" w:rsidR="00427E06" w:rsidRDefault="00DC2F59" w:rsidP="00DC2F59">
      <w:pPr>
        <w:pStyle w:val="MEMONUMBERED"/>
        <w:numPr>
          <w:ilvl w:val="0"/>
          <w:numId w:val="0"/>
        </w:numPr>
        <w:spacing w:after="360" w:line="360" w:lineRule="auto"/>
        <w:rPr>
          <w:color w:val="000000" w:themeColor="text1"/>
          <w:sz w:val="28"/>
          <w:szCs w:val="28"/>
        </w:rPr>
      </w:pPr>
      <w:r>
        <w:rPr>
          <w:color w:val="000000" w:themeColor="text1"/>
          <w:sz w:val="28"/>
          <w:szCs w:val="28"/>
        </w:rPr>
        <w:t>[50]</w:t>
      </w:r>
      <w:r>
        <w:rPr>
          <w:color w:val="000000" w:themeColor="text1"/>
          <w:sz w:val="28"/>
          <w:szCs w:val="28"/>
        </w:rPr>
        <w:tab/>
      </w:r>
      <w:r w:rsidR="00427E06">
        <w:rPr>
          <w:color w:val="000000" w:themeColor="text1"/>
          <w:sz w:val="28"/>
          <w:szCs w:val="28"/>
        </w:rPr>
        <w:t>During the course of litigation the plaintiff</w:t>
      </w:r>
      <w:r w:rsidR="007950E2">
        <w:rPr>
          <w:color w:val="000000" w:themeColor="text1"/>
          <w:sz w:val="28"/>
          <w:szCs w:val="28"/>
        </w:rPr>
        <w:t>’</w:t>
      </w:r>
      <w:r w:rsidR="00427E06">
        <w:rPr>
          <w:color w:val="000000" w:themeColor="text1"/>
          <w:sz w:val="28"/>
          <w:szCs w:val="28"/>
        </w:rPr>
        <w:t>s legal practitioners deemed it fit that the proceeds of the claim be protected by way of a trust</w:t>
      </w:r>
      <w:r w:rsidR="007950E2">
        <w:rPr>
          <w:color w:val="000000" w:themeColor="text1"/>
          <w:sz w:val="28"/>
          <w:szCs w:val="28"/>
        </w:rPr>
        <w:t>. T</w:t>
      </w:r>
      <w:r w:rsidR="00427E06">
        <w:rPr>
          <w:color w:val="000000" w:themeColor="text1"/>
          <w:sz w:val="28"/>
          <w:szCs w:val="28"/>
        </w:rPr>
        <w:t xml:space="preserve">hat was, </w:t>
      </w:r>
      <w:proofErr w:type="gramStart"/>
      <w:r w:rsidR="00427E06">
        <w:rPr>
          <w:color w:val="000000" w:themeColor="text1"/>
          <w:sz w:val="28"/>
          <w:szCs w:val="28"/>
        </w:rPr>
        <w:t>however</w:t>
      </w:r>
      <w:proofErr w:type="gramEnd"/>
      <w:r w:rsidR="00427E06">
        <w:rPr>
          <w:color w:val="000000" w:themeColor="text1"/>
          <w:sz w:val="28"/>
          <w:szCs w:val="28"/>
        </w:rPr>
        <w:t xml:space="preserve"> on the premise that he was </w:t>
      </w:r>
      <w:r w:rsidR="007950E2">
        <w:rPr>
          <w:color w:val="000000" w:themeColor="text1"/>
          <w:sz w:val="28"/>
          <w:szCs w:val="28"/>
        </w:rPr>
        <w:t xml:space="preserve">then still </w:t>
      </w:r>
      <w:r w:rsidR="00427E06">
        <w:rPr>
          <w:color w:val="000000" w:themeColor="text1"/>
          <w:sz w:val="28"/>
          <w:szCs w:val="28"/>
        </w:rPr>
        <w:t>a minor.  Now that the plaintiff has reached the age of majority, it is notable that none of the experts recommended protection of the funds.  While it is so that the plaintiff is still young and the award is for a huge sum of money, the court is no longer his upper guardian and it would be improper for the legal practitioners to, in a patronizing (to use an archaic non</w:t>
      </w:r>
      <w:r w:rsidR="007950E2">
        <w:rPr>
          <w:color w:val="000000" w:themeColor="text1"/>
          <w:sz w:val="28"/>
          <w:szCs w:val="28"/>
        </w:rPr>
        <w:t>-</w:t>
      </w:r>
      <w:r w:rsidR="00427E06">
        <w:rPr>
          <w:color w:val="000000" w:themeColor="text1"/>
          <w:sz w:val="28"/>
          <w:szCs w:val="28"/>
        </w:rPr>
        <w:t xml:space="preserve">gender neutral term) or condescending fashion request the court to order the creation of a trust in the absence of input or instructions from a client who is a major and who has full decision-making power over his life. </w:t>
      </w:r>
      <w:r w:rsidR="007950E2">
        <w:rPr>
          <w:color w:val="000000" w:themeColor="text1"/>
          <w:sz w:val="28"/>
          <w:szCs w:val="28"/>
        </w:rPr>
        <w:t>I will therefore not incorporate the creation of a trust in the court order.</w:t>
      </w:r>
    </w:p>
    <w:p w14:paraId="35360883" w14:textId="7B4341F6" w:rsidR="00812B63" w:rsidRPr="00D222CD" w:rsidRDefault="00DC2F59" w:rsidP="00DC2F59">
      <w:pPr>
        <w:pStyle w:val="MEMONUMBERED"/>
        <w:numPr>
          <w:ilvl w:val="0"/>
          <w:numId w:val="0"/>
        </w:numPr>
        <w:spacing w:after="360" w:line="360" w:lineRule="auto"/>
        <w:rPr>
          <w:color w:val="000000" w:themeColor="text1"/>
          <w:sz w:val="28"/>
          <w:szCs w:val="28"/>
        </w:rPr>
      </w:pPr>
      <w:r w:rsidRPr="00D222CD">
        <w:rPr>
          <w:color w:val="000000" w:themeColor="text1"/>
          <w:sz w:val="28"/>
          <w:szCs w:val="28"/>
        </w:rPr>
        <w:t>[51]</w:t>
      </w:r>
      <w:r w:rsidRPr="00D222CD">
        <w:rPr>
          <w:color w:val="000000" w:themeColor="text1"/>
          <w:sz w:val="28"/>
          <w:szCs w:val="28"/>
        </w:rPr>
        <w:tab/>
      </w:r>
      <w:r w:rsidR="00427E06">
        <w:rPr>
          <w:color w:val="000000" w:themeColor="text1"/>
          <w:sz w:val="28"/>
          <w:szCs w:val="28"/>
        </w:rPr>
        <w:t xml:space="preserve">The plaintiff </w:t>
      </w:r>
      <w:proofErr w:type="gramStart"/>
      <w:r w:rsidR="00427E06">
        <w:rPr>
          <w:color w:val="000000" w:themeColor="text1"/>
          <w:sz w:val="28"/>
          <w:szCs w:val="28"/>
        </w:rPr>
        <w:t>has</w:t>
      </w:r>
      <w:proofErr w:type="gramEnd"/>
      <w:r w:rsidR="00427E06">
        <w:rPr>
          <w:color w:val="000000" w:themeColor="text1"/>
          <w:sz w:val="28"/>
          <w:szCs w:val="28"/>
        </w:rPr>
        <w:t xml:space="preserve"> shortly before the hearing also deposed to an affidavit regarding the merits of the matter </w:t>
      </w:r>
      <w:proofErr w:type="gramStart"/>
      <w:r w:rsidR="00427E06">
        <w:rPr>
          <w:color w:val="000000" w:themeColor="text1"/>
          <w:sz w:val="28"/>
          <w:szCs w:val="28"/>
        </w:rPr>
        <w:t>wherein</w:t>
      </w:r>
      <w:proofErr w:type="gramEnd"/>
      <w:r w:rsidR="00427E06">
        <w:rPr>
          <w:color w:val="000000" w:themeColor="text1"/>
          <w:sz w:val="28"/>
          <w:szCs w:val="28"/>
        </w:rPr>
        <w:t xml:space="preserve"> he had declared himself competent to do so.  He has also not disavowed himself of the fee mandate agreement previously </w:t>
      </w:r>
      <w:proofErr w:type="gramStart"/>
      <w:r w:rsidR="00427E06">
        <w:rPr>
          <w:color w:val="000000" w:themeColor="text1"/>
          <w:sz w:val="28"/>
          <w:szCs w:val="28"/>
        </w:rPr>
        <w:t>entered into</w:t>
      </w:r>
      <w:proofErr w:type="gramEnd"/>
      <w:r w:rsidR="00427E06">
        <w:rPr>
          <w:color w:val="000000" w:themeColor="text1"/>
          <w:sz w:val="28"/>
          <w:szCs w:val="28"/>
        </w:rPr>
        <w:t xml:space="preserve"> by his mother when he was still a minor, which incorporated a contingency fee arrangement which, upon perusal, appeared to be statutorily compliant.</w:t>
      </w:r>
      <w:r w:rsidR="00812B63">
        <w:rPr>
          <w:color w:val="000000" w:themeColor="text1"/>
          <w:sz w:val="28"/>
          <w:szCs w:val="28"/>
        </w:rPr>
        <w:t xml:space="preserve"> </w:t>
      </w:r>
      <w:r w:rsidR="00AD310B">
        <w:rPr>
          <w:color w:val="000000" w:themeColor="text1"/>
          <w:sz w:val="28"/>
          <w:szCs w:val="28"/>
        </w:rPr>
        <w:t xml:space="preserve">This matter </w:t>
      </w:r>
      <w:proofErr w:type="gramStart"/>
      <w:r w:rsidR="00AD310B">
        <w:rPr>
          <w:color w:val="000000" w:themeColor="text1"/>
          <w:sz w:val="28"/>
          <w:szCs w:val="28"/>
        </w:rPr>
        <w:t>had been</w:t>
      </w:r>
      <w:proofErr w:type="gramEnd"/>
      <w:r w:rsidR="00AD310B">
        <w:rPr>
          <w:color w:val="000000" w:themeColor="text1"/>
          <w:sz w:val="28"/>
          <w:szCs w:val="28"/>
        </w:rPr>
        <w:t xml:space="preserve"> concluded before subsequent amendments to Rules 69 and 70 and no orders as contemplated in those amendments are necessary.</w:t>
      </w:r>
      <w:r w:rsidR="00812B63">
        <w:rPr>
          <w:color w:val="000000" w:themeColor="text1"/>
          <w:sz w:val="28"/>
          <w:szCs w:val="28"/>
        </w:rPr>
        <w:t xml:space="preserve"> </w:t>
      </w:r>
    </w:p>
    <w:p w14:paraId="74F14A7A" w14:textId="77777777" w:rsidR="004A4374" w:rsidRPr="00BC6AF4" w:rsidRDefault="004A4374" w:rsidP="00CA3786">
      <w:pPr>
        <w:pStyle w:val="MEMONUMBERED"/>
        <w:numPr>
          <w:ilvl w:val="0"/>
          <w:numId w:val="0"/>
        </w:numPr>
        <w:spacing w:after="120" w:line="360" w:lineRule="auto"/>
        <w:rPr>
          <w:color w:val="000000" w:themeColor="text1"/>
          <w:sz w:val="28"/>
          <w:szCs w:val="28"/>
        </w:rPr>
      </w:pPr>
      <w:r w:rsidRPr="00BC6AF4">
        <w:rPr>
          <w:b/>
          <w:color w:val="000000" w:themeColor="text1"/>
          <w:sz w:val="28"/>
          <w:szCs w:val="28"/>
        </w:rPr>
        <w:t>Order</w:t>
      </w:r>
    </w:p>
    <w:p w14:paraId="67C30FB2" w14:textId="4E2EFA40" w:rsidR="000034AB" w:rsidRPr="000E3064" w:rsidRDefault="00DC2F59" w:rsidP="00DC2F59">
      <w:pPr>
        <w:pStyle w:val="MEMONUMBERED"/>
        <w:numPr>
          <w:ilvl w:val="0"/>
          <w:numId w:val="0"/>
        </w:numPr>
        <w:spacing w:after="360" w:line="360" w:lineRule="auto"/>
        <w:rPr>
          <w:color w:val="000000" w:themeColor="text1"/>
          <w:sz w:val="28"/>
          <w:szCs w:val="28"/>
        </w:rPr>
      </w:pPr>
      <w:r w:rsidRPr="000E3064">
        <w:rPr>
          <w:color w:val="000000" w:themeColor="text1"/>
          <w:sz w:val="28"/>
          <w:szCs w:val="28"/>
        </w:rPr>
        <w:t>[52]</w:t>
      </w:r>
      <w:r w:rsidRPr="000E3064">
        <w:rPr>
          <w:color w:val="000000" w:themeColor="text1"/>
          <w:sz w:val="28"/>
          <w:szCs w:val="28"/>
        </w:rPr>
        <w:tab/>
      </w:r>
      <w:r w:rsidR="000034AB">
        <w:rPr>
          <w:color w:val="000000" w:themeColor="text1"/>
          <w:sz w:val="28"/>
          <w:szCs w:val="28"/>
        </w:rPr>
        <w:t>In the premises, the following order is made:</w:t>
      </w:r>
    </w:p>
    <w:p w14:paraId="413E16BA" w14:textId="5653213D" w:rsidR="00781B35" w:rsidRPr="00DC2F59" w:rsidRDefault="00DC2F59" w:rsidP="00DC2F59">
      <w:pPr>
        <w:spacing w:before="100" w:beforeAutospacing="1"/>
        <w:ind w:left="1276" w:hanging="567"/>
        <w:rPr>
          <w:rFonts w:ascii="Times New Roman" w:hAnsi="Times New Roman" w:cs="Times New Roman"/>
          <w:kern w:val="2"/>
          <w:sz w:val="28"/>
          <w:szCs w:val="28"/>
          <w:lang w:val="en-GB"/>
          <w14:ligatures w14:val="standardContextual"/>
        </w:rPr>
      </w:pPr>
      <w:r>
        <w:rPr>
          <w:rFonts w:ascii="Times New Roman" w:hAnsi="Times New Roman" w:cs="Times New Roman"/>
          <w:kern w:val="2"/>
          <w:sz w:val="28"/>
          <w:szCs w:val="28"/>
          <w:lang w:val="en-GB"/>
          <w14:ligatures w14:val="standardContextual"/>
        </w:rPr>
        <w:t>1.</w:t>
      </w:r>
      <w:r>
        <w:rPr>
          <w:rFonts w:ascii="Times New Roman" w:hAnsi="Times New Roman" w:cs="Times New Roman"/>
          <w:kern w:val="2"/>
          <w:sz w:val="28"/>
          <w:szCs w:val="28"/>
          <w:lang w:val="en-GB"/>
          <w14:ligatures w14:val="standardContextual"/>
        </w:rPr>
        <w:tab/>
      </w:r>
      <w:r w:rsidR="00DF68F3" w:rsidRPr="00DC2F59">
        <w:rPr>
          <w:rFonts w:ascii="Times New Roman" w:hAnsi="Times New Roman" w:cs="Times New Roman"/>
          <w:kern w:val="2"/>
          <w:sz w:val="28"/>
          <w:szCs w:val="28"/>
          <w:lang w:val="en-GB"/>
          <w14:ligatures w14:val="standardContextual"/>
        </w:rPr>
        <w:t>The Defendant shall be liable for 100% of</w:t>
      </w:r>
      <w:r w:rsidR="00A2430F" w:rsidRPr="00DC2F59">
        <w:rPr>
          <w:rFonts w:ascii="Times New Roman" w:hAnsi="Times New Roman" w:cs="Times New Roman"/>
          <w:kern w:val="2"/>
          <w:sz w:val="28"/>
          <w:szCs w:val="28"/>
          <w:lang w:val="en-GB"/>
          <w14:ligatures w14:val="standardContextual"/>
        </w:rPr>
        <w:t xml:space="preserve"> the Plaintiff’s proven </w:t>
      </w:r>
      <w:r w:rsidR="00DF68F3" w:rsidRPr="00DC2F59">
        <w:rPr>
          <w:rFonts w:ascii="Times New Roman" w:hAnsi="Times New Roman" w:cs="Times New Roman"/>
          <w:kern w:val="2"/>
          <w:sz w:val="28"/>
          <w:szCs w:val="28"/>
          <w:lang w:val="en-GB"/>
          <w14:ligatures w14:val="standardContextual"/>
        </w:rPr>
        <w:t>damages.</w:t>
      </w:r>
    </w:p>
    <w:p w14:paraId="05FAA91A" w14:textId="77777777" w:rsidR="00781B35" w:rsidRDefault="00781B35" w:rsidP="00781B35">
      <w:pPr>
        <w:pStyle w:val="ListParagraph"/>
        <w:spacing w:before="100" w:beforeAutospacing="1"/>
        <w:ind w:left="1276"/>
        <w:rPr>
          <w:rFonts w:ascii="Times New Roman" w:hAnsi="Times New Roman" w:cs="Times New Roman"/>
          <w:kern w:val="2"/>
          <w:sz w:val="28"/>
          <w:szCs w:val="28"/>
          <w:lang w:val="en-GB"/>
          <w14:ligatures w14:val="standardContextual"/>
        </w:rPr>
      </w:pPr>
    </w:p>
    <w:p w14:paraId="7C360184" w14:textId="6C469CB6" w:rsidR="00781B35" w:rsidRPr="00DC2F59" w:rsidRDefault="00DC2F59" w:rsidP="00DC2F59">
      <w:pPr>
        <w:spacing w:before="100" w:beforeAutospacing="1"/>
        <w:ind w:left="1276" w:hanging="567"/>
        <w:rPr>
          <w:rFonts w:ascii="Times New Roman" w:hAnsi="Times New Roman" w:cs="Times New Roman"/>
          <w:kern w:val="2"/>
          <w:sz w:val="28"/>
          <w:szCs w:val="28"/>
          <w:lang w:val="en-GB"/>
          <w14:ligatures w14:val="standardContextual"/>
        </w:rPr>
      </w:pPr>
      <w:r>
        <w:rPr>
          <w:rFonts w:ascii="Times New Roman" w:hAnsi="Times New Roman" w:cs="Times New Roman"/>
          <w:kern w:val="2"/>
          <w:sz w:val="28"/>
          <w:szCs w:val="28"/>
          <w:lang w:val="en-GB"/>
          <w14:ligatures w14:val="standardContextual"/>
        </w:rPr>
        <w:t>2.</w:t>
      </w:r>
      <w:r>
        <w:rPr>
          <w:rFonts w:ascii="Times New Roman" w:hAnsi="Times New Roman" w:cs="Times New Roman"/>
          <w:kern w:val="2"/>
          <w:sz w:val="28"/>
          <w:szCs w:val="28"/>
          <w:lang w:val="en-GB"/>
          <w14:ligatures w14:val="standardContextual"/>
        </w:rPr>
        <w:tab/>
      </w:r>
      <w:r w:rsidR="00DF68F3" w:rsidRPr="00DC2F59">
        <w:rPr>
          <w:rFonts w:ascii="Times New Roman" w:hAnsi="Times New Roman" w:cs="Times New Roman"/>
          <w:kern w:val="2"/>
          <w:sz w:val="28"/>
          <w:szCs w:val="28"/>
          <w:lang w:val="en-GB"/>
          <w14:ligatures w14:val="standardContextual"/>
        </w:rPr>
        <w:t xml:space="preserve">The Defendant </w:t>
      </w:r>
      <w:r w:rsidR="007950E2" w:rsidRPr="00DC2F59">
        <w:rPr>
          <w:rFonts w:ascii="Times New Roman" w:hAnsi="Times New Roman" w:cs="Times New Roman"/>
          <w:kern w:val="2"/>
          <w:sz w:val="28"/>
          <w:szCs w:val="28"/>
          <w:lang w:val="en-GB"/>
          <w14:ligatures w14:val="standardContextual"/>
        </w:rPr>
        <w:t xml:space="preserve">is ordered to </w:t>
      </w:r>
      <w:r w:rsidR="00DF68F3" w:rsidRPr="00DC2F59">
        <w:rPr>
          <w:rFonts w:ascii="Times New Roman" w:hAnsi="Times New Roman" w:cs="Times New Roman"/>
          <w:kern w:val="2"/>
          <w:sz w:val="28"/>
          <w:szCs w:val="28"/>
          <w:lang w:val="en-GB"/>
          <w14:ligatures w14:val="standardContextual"/>
        </w:rPr>
        <w:t xml:space="preserve">pay the Plaintiff the amount of </w:t>
      </w:r>
      <w:r w:rsidR="00DF68F3" w:rsidRPr="00DC2F59">
        <w:rPr>
          <w:rFonts w:ascii="Times New Roman" w:hAnsi="Times New Roman" w:cs="Times New Roman"/>
          <w:b/>
          <w:bCs/>
          <w:kern w:val="2"/>
          <w:sz w:val="28"/>
          <w:szCs w:val="28"/>
          <w:lang w:val="en-GB"/>
          <w14:ligatures w14:val="standardContextual"/>
        </w:rPr>
        <w:t>R</w:t>
      </w:r>
      <w:r w:rsidR="00A2430F" w:rsidRPr="00DC2F59">
        <w:rPr>
          <w:rFonts w:ascii="Times New Roman" w:hAnsi="Times New Roman" w:cs="Times New Roman"/>
          <w:b/>
          <w:bCs/>
          <w:kern w:val="2"/>
          <w:sz w:val="28"/>
          <w:szCs w:val="28"/>
          <w:lang w:val="en-GB"/>
          <w14:ligatures w14:val="standardContextual"/>
        </w:rPr>
        <w:t xml:space="preserve">6 738 420,00 </w:t>
      </w:r>
      <w:r w:rsidR="00DF68F3" w:rsidRPr="00DC2F59">
        <w:rPr>
          <w:rFonts w:ascii="Times New Roman" w:hAnsi="Times New Roman" w:cs="Times New Roman"/>
          <w:kern w:val="2"/>
          <w:sz w:val="28"/>
          <w:szCs w:val="28"/>
          <w:lang w:val="en-GB"/>
          <w14:ligatures w14:val="standardContextual"/>
        </w:rPr>
        <w:t>(</w:t>
      </w:r>
      <w:r w:rsidR="00A2430F" w:rsidRPr="00DC2F59">
        <w:rPr>
          <w:rFonts w:ascii="Times New Roman" w:hAnsi="Times New Roman" w:cs="Times New Roman"/>
          <w:b/>
          <w:kern w:val="2"/>
          <w:sz w:val="28"/>
          <w:szCs w:val="28"/>
          <w:lang w:val="en-GB"/>
          <w14:ligatures w14:val="standardContextual"/>
        </w:rPr>
        <w:t xml:space="preserve">Six million </w:t>
      </w:r>
      <w:r w:rsidR="007950E2" w:rsidRPr="00DC2F59">
        <w:rPr>
          <w:rFonts w:ascii="Times New Roman" w:hAnsi="Times New Roman" w:cs="Times New Roman"/>
          <w:b/>
          <w:kern w:val="2"/>
          <w:sz w:val="28"/>
          <w:szCs w:val="28"/>
          <w:lang w:val="en-GB"/>
          <w14:ligatures w14:val="standardContextual"/>
        </w:rPr>
        <w:t>s</w:t>
      </w:r>
      <w:r w:rsidR="00F04D08" w:rsidRPr="00DC2F59">
        <w:rPr>
          <w:rFonts w:ascii="Times New Roman" w:hAnsi="Times New Roman" w:cs="Times New Roman"/>
          <w:b/>
          <w:kern w:val="2"/>
          <w:sz w:val="28"/>
          <w:szCs w:val="28"/>
          <w:lang w:val="en-GB"/>
          <w14:ligatures w14:val="standardContextual"/>
        </w:rPr>
        <w:t xml:space="preserve">even </w:t>
      </w:r>
      <w:r w:rsidR="007950E2" w:rsidRPr="00DC2F59">
        <w:rPr>
          <w:rFonts w:ascii="Times New Roman" w:hAnsi="Times New Roman" w:cs="Times New Roman"/>
          <w:b/>
          <w:kern w:val="2"/>
          <w:sz w:val="28"/>
          <w:szCs w:val="28"/>
          <w:lang w:val="en-GB"/>
          <w14:ligatures w14:val="standardContextual"/>
        </w:rPr>
        <w:t>hundred</w:t>
      </w:r>
      <w:r w:rsidR="00F04D08" w:rsidRPr="00DC2F59">
        <w:rPr>
          <w:rFonts w:ascii="Times New Roman" w:hAnsi="Times New Roman" w:cs="Times New Roman"/>
          <w:b/>
          <w:kern w:val="2"/>
          <w:sz w:val="28"/>
          <w:szCs w:val="28"/>
          <w:lang w:val="en-GB"/>
          <w14:ligatures w14:val="standardContextual"/>
        </w:rPr>
        <w:t xml:space="preserve"> and thirty-eight</w:t>
      </w:r>
      <w:r w:rsidR="007950E2" w:rsidRPr="00DC2F59">
        <w:rPr>
          <w:rFonts w:ascii="Times New Roman" w:hAnsi="Times New Roman" w:cs="Times New Roman"/>
          <w:b/>
          <w:kern w:val="2"/>
          <w:sz w:val="28"/>
          <w:szCs w:val="28"/>
          <w:lang w:val="en-GB"/>
          <w14:ligatures w14:val="standardContextual"/>
        </w:rPr>
        <w:t xml:space="preserve"> thousand</w:t>
      </w:r>
      <w:r w:rsidR="00F04D08" w:rsidRPr="00DC2F59">
        <w:rPr>
          <w:rFonts w:ascii="Times New Roman" w:hAnsi="Times New Roman" w:cs="Times New Roman"/>
          <w:b/>
          <w:kern w:val="2"/>
          <w:sz w:val="28"/>
          <w:szCs w:val="28"/>
          <w:lang w:val="en-GB"/>
          <w14:ligatures w14:val="standardContextual"/>
        </w:rPr>
        <w:t xml:space="preserve"> </w:t>
      </w:r>
      <w:r w:rsidR="007950E2" w:rsidRPr="00DC2F59">
        <w:rPr>
          <w:rFonts w:ascii="Times New Roman" w:hAnsi="Times New Roman" w:cs="Times New Roman"/>
          <w:b/>
          <w:kern w:val="2"/>
          <w:sz w:val="28"/>
          <w:szCs w:val="28"/>
          <w:lang w:val="en-GB"/>
          <w14:ligatures w14:val="standardContextual"/>
        </w:rPr>
        <w:t>f</w:t>
      </w:r>
      <w:r w:rsidR="00F04D08" w:rsidRPr="00DC2F59">
        <w:rPr>
          <w:rFonts w:ascii="Times New Roman" w:hAnsi="Times New Roman" w:cs="Times New Roman"/>
          <w:b/>
          <w:kern w:val="2"/>
          <w:sz w:val="28"/>
          <w:szCs w:val="28"/>
          <w:lang w:val="en-GB"/>
          <w14:ligatures w14:val="standardContextual"/>
        </w:rPr>
        <w:t xml:space="preserve">our </w:t>
      </w:r>
      <w:r w:rsidR="007950E2" w:rsidRPr="00DC2F59">
        <w:rPr>
          <w:rFonts w:ascii="Times New Roman" w:hAnsi="Times New Roman" w:cs="Times New Roman"/>
          <w:b/>
          <w:kern w:val="2"/>
          <w:sz w:val="28"/>
          <w:szCs w:val="28"/>
          <w:lang w:val="en-GB"/>
          <w14:ligatures w14:val="standardContextual"/>
        </w:rPr>
        <w:t>h</w:t>
      </w:r>
      <w:r w:rsidR="00F04D08" w:rsidRPr="00DC2F59">
        <w:rPr>
          <w:rFonts w:ascii="Times New Roman" w:hAnsi="Times New Roman" w:cs="Times New Roman"/>
          <w:b/>
          <w:kern w:val="2"/>
          <w:sz w:val="28"/>
          <w:szCs w:val="28"/>
          <w:lang w:val="en-GB"/>
          <w14:ligatures w14:val="standardContextual"/>
        </w:rPr>
        <w:t xml:space="preserve">undred and </w:t>
      </w:r>
      <w:r w:rsidR="007950E2" w:rsidRPr="00DC2F59">
        <w:rPr>
          <w:rFonts w:ascii="Times New Roman" w:hAnsi="Times New Roman" w:cs="Times New Roman"/>
          <w:b/>
          <w:kern w:val="2"/>
          <w:sz w:val="28"/>
          <w:szCs w:val="28"/>
          <w:lang w:val="en-GB"/>
          <w14:ligatures w14:val="standardContextual"/>
        </w:rPr>
        <w:t>t</w:t>
      </w:r>
      <w:r w:rsidR="00A2430F" w:rsidRPr="00DC2F59">
        <w:rPr>
          <w:rFonts w:ascii="Times New Roman" w:hAnsi="Times New Roman" w:cs="Times New Roman"/>
          <w:b/>
          <w:kern w:val="2"/>
          <w:sz w:val="28"/>
          <w:szCs w:val="28"/>
          <w:lang w:val="en-GB"/>
          <w14:ligatures w14:val="standardContextual"/>
        </w:rPr>
        <w:t>wenty Rand</w:t>
      </w:r>
      <w:r w:rsidR="00DF68F3" w:rsidRPr="00DC2F59">
        <w:rPr>
          <w:rFonts w:ascii="Times New Roman" w:hAnsi="Times New Roman" w:cs="Times New Roman"/>
          <w:kern w:val="2"/>
          <w:sz w:val="28"/>
          <w:szCs w:val="28"/>
          <w:lang w:val="en-GB"/>
          <w14:ligatures w14:val="standardContextual"/>
        </w:rPr>
        <w:t>)</w:t>
      </w:r>
      <w:r w:rsidR="00A2430F" w:rsidRPr="00DC2F59">
        <w:rPr>
          <w:rFonts w:ascii="Times New Roman" w:hAnsi="Times New Roman" w:cs="Times New Roman"/>
          <w:kern w:val="2"/>
          <w:sz w:val="28"/>
          <w:szCs w:val="28"/>
          <w:lang w:val="en-GB"/>
          <w14:ligatures w14:val="standardContextual"/>
        </w:rPr>
        <w:t>.</w:t>
      </w:r>
      <w:r w:rsidR="00DF68F3" w:rsidRPr="00DC2F59">
        <w:rPr>
          <w:rFonts w:ascii="Times New Roman" w:hAnsi="Times New Roman" w:cs="Times New Roman"/>
          <w:kern w:val="2"/>
          <w:sz w:val="28"/>
          <w:szCs w:val="28"/>
          <w:lang w:val="en-GB"/>
          <w14:ligatures w14:val="standardContextual"/>
        </w:rPr>
        <w:t xml:space="preserve"> </w:t>
      </w:r>
    </w:p>
    <w:p w14:paraId="3EE51233" w14:textId="77777777" w:rsidR="00781B35" w:rsidRPr="00781B35" w:rsidRDefault="00781B35" w:rsidP="00781B35">
      <w:pPr>
        <w:pStyle w:val="ListParagraph"/>
        <w:rPr>
          <w:rFonts w:ascii="Times New Roman" w:hAnsi="Times New Roman" w:cs="Times New Roman"/>
          <w:kern w:val="2"/>
          <w:sz w:val="28"/>
          <w:szCs w:val="28"/>
          <w:lang w:val="en-GB"/>
          <w14:ligatures w14:val="standardContextual"/>
        </w:rPr>
      </w:pPr>
    </w:p>
    <w:p w14:paraId="74F80212" w14:textId="3381A35D" w:rsidR="00DF68F3" w:rsidRPr="00DC2F59" w:rsidRDefault="00DC2F59" w:rsidP="00DC2F59">
      <w:pPr>
        <w:spacing w:before="100" w:beforeAutospacing="1"/>
        <w:ind w:left="1276" w:hanging="567"/>
        <w:rPr>
          <w:rFonts w:ascii="Times New Roman" w:hAnsi="Times New Roman" w:cs="Times New Roman"/>
          <w:kern w:val="2"/>
          <w:sz w:val="28"/>
          <w:szCs w:val="28"/>
          <w:lang w:val="en-GB"/>
          <w14:ligatures w14:val="standardContextual"/>
        </w:rPr>
      </w:pPr>
      <w:r w:rsidRPr="00781B35">
        <w:rPr>
          <w:rFonts w:ascii="Times New Roman" w:hAnsi="Times New Roman" w:cs="Times New Roman"/>
          <w:kern w:val="2"/>
          <w:sz w:val="28"/>
          <w:szCs w:val="28"/>
          <w:lang w:val="en-GB"/>
          <w14:ligatures w14:val="standardContextual"/>
        </w:rPr>
        <w:t>3.</w:t>
      </w:r>
      <w:r w:rsidRPr="00781B35">
        <w:rPr>
          <w:rFonts w:ascii="Times New Roman" w:hAnsi="Times New Roman" w:cs="Times New Roman"/>
          <w:kern w:val="2"/>
          <w:sz w:val="28"/>
          <w:szCs w:val="28"/>
          <w:lang w:val="en-GB"/>
          <w14:ligatures w14:val="standardContextual"/>
        </w:rPr>
        <w:tab/>
      </w:r>
      <w:r w:rsidR="00DF68F3" w:rsidRPr="00DC2F59">
        <w:rPr>
          <w:rFonts w:ascii="Times New Roman" w:hAnsi="Times New Roman" w:cs="Times New Roman"/>
          <w:kern w:val="2"/>
          <w:sz w:val="28"/>
          <w:szCs w:val="28"/>
          <w:lang w:val="en-GB"/>
          <w14:ligatures w14:val="standardContextual"/>
        </w:rPr>
        <w:t xml:space="preserve">This amount shall be paid into the following </w:t>
      </w:r>
      <w:r w:rsidR="00A2430F" w:rsidRPr="00DC2F59">
        <w:rPr>
          <w:rFonts w:ascii="Times New Roman" w:hAnsi="Times New Roman" w:cs="Times New Roman"/>
          <w:kern w:val="2"/>
          <w:sz w:val="28"/>
          <w:szCs w:val="28"/>
          <w:lang w:val="en-GB"/>
          <w14:ligatures w14:val="standardContextual"/>
        </w:rPr>
        <w:t xml:space="preserve">bank account, on or before the </w:t>
      </w:r>
      <w:r w:rsidR="00DF68F3" w:rsidRPr="00DC2F59">
        <w:rPr>
          <w:rFonts w:ascii="Times New Roman" w:hAnsi="Times New Roman" w:cs="Times New Roman"/>
          <w:kern w:val="2"/>
          <w:sz w:val="28"/>
          <w:szCs w:val="28"/>
          <w:lang w:val="en-GB"/>
          <w14:ligatures w14:val="standardContextual"/>
        </w:rPr>
        <w:t xml:space="preserve">expiry of 180 days from the date of this order: </w:t>
      </w:r>
    </w:p>
    <w:tbl>
      <w:tblPr>
        <w:tblW w:w="6662" w:type="dxa"/>
        <w:tblInd w:w="16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8"/>
        <w:gridCol w:w="3544"/>
      </w:tblGrid>
      <w:tr w:rsidR="00DF68F3" w:rsidRPr="00DF68F3" w14:paraId="1E044426" w14:textId="77777777" w:rsidTr="00A2430F">
        <w:tc>
          <w:tcPr>
            <w:tcW w:w="3118" w:type="dxa"/>
          </w:tcPr>
          <w:p w14:paraId="69745AAE" w14:textId="77777777" w:rsidR="00DF68F3" w:rsidRPr="00DF68F3" w:rsidRDefault="00DF68F3" w:rsidP="00DF68F3">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ACCOUNT HOLDER</w:t>
            </w:r>
          </w:p>
        </w:tc>
        <w:tc>
          <w:tcPr>
            <w:tcW w:w="3544" w:type="dxa"/>
          </w:tcPr>
          <w:p w14:paraId="2FC7C604" w14:textId="77777777" w:rsidR="00DF68F3" w:rsidRPr="00DF68F3" w:rsidRDefault="00DF68F3" w:rsidP="00DF68F3">
            <w:pPr>
              <w:spacing w:before="100" w:beforeAutospacing="1"/>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J M MODIBA ATTORNEYS</w:t>
            </w:r>
          </w:p>
        </w:tc>
      </w:tr>
      <w:tr w:rsidR="00DF68F3" w:rsidRPr="00DF68F3" w14:paraId="0A20DB31" w14:textId="77777777" w:rsidTr="00A2430F">
        <w:tc>
          <w:tcPr>
            <w:tcW w:w="3118" w:type="dxa"/>
          </w:tcPr>
          <w:p w14:paraId="24B71E3A" w14:textId="77777777" w:rsidR="00DF68F3" w:rsidRPr="00DF68F3" w:rsidRDefault="00DF68F3" w:rsidP="00DF68F3">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BANK NAME</w:t>
            </w:r>
          </w:p>
        </w:tc>
        <w:tc>
          <w:tcPr>
            <w:tcW w:w="3544" w:type="dxa"/>
          </w:tcPr>
          <w:p w14:paraId="200F684B" w14:textId="77777777" w:rsidR="00DF68F3" w:rsidRPr="00DF68F3" w:rsidRDefault="00DF68F3" w:rsidP="00DF68F3">
            <w:pPr>
              <w:spacing w:before="100" w:beforeAutospacing="1"/>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STANDARD BANK</w:t>
            </w:r>
          </w:p>
        </w:tc>
      </w:tr>
      <w:tr w:rsidR="00DF68F3" w:rsidRPr="00DF68F3" w14:paraId="72BC7C7C" w14:textId="77777777" w:rsidTr="00A2430F">
        <w:tc>
          <w:tcPr>
            <w:tcW w:w="3118" w:type="dxa"/>
          </w:tcPr>
          <w:p w14:paraId="2985A764" w14:textId="77777777" w:rsidR="00DF68F3" w:rsidRPr="00DF68F3" w:rsidRDefault="00DF68F3" w:rsidP="00DF68F3">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BRANCH CODE</w:t>
            </w:r>
          </w:p>
        </w:tc>
        <w:tc>
          <w:tcPr>
            <w:tcW w:w="3544" w:type="dxa"/>
          </w:tcPr>
          <w:p w14:paraId="077370D6" w14:textId="77777777" w:rsidR="00DF68F3" w:rsidRPr="00DF68F3" w:rsidRDefault="00DF68F3" w:rsidP="00DF68F3">
            <w:pPr>
              <w:spacing w:before="100" w:beforeAutospacing="1"/>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010545</w:t>
            </w:r>
          </w:p>
        </w:tc>
      </w:tr>
      <w:tr w:rsidR="00DF68F3" w:rsidRPr="00DF68F3" w14:paraId="4C84893C" w14:textId="77777777" w:rsidTr="00A2430F">
        <w:tc>
          <w:tcPr>
            <w:tcW w:w="3118" w:type="dxa"/>
          </w:tcPr>
          <w:p w14:paraId="44008A79" w14:textId="77777777" w:rsidR="00DF68F3" w:rsidRPr="00DF68F3" w:rsidRDefault="00DF68F3" w:rsidP="00DF68F3">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ACCOUNT NUMBER</w:t>
            </w:r>
          </w:p>
        </w:tc>
        <w:tc>
          <w:tcPr>
            <w:tcW w:w="3544" w:type="dxa"/>
          </w:tcPr>
          <w:p w14:paraId="63CD0D4F" w14:textId="77777777" w:rsidR="00DF68F3" w:rsidRPr="00DF68F3" w:rsidRDefault="00DF68F3" w:rsidP="00DF68F3">
            <w:pPr>
              <w:spacing w:before="100" w:beforeAutospacing="1"/>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012400092</w:t>
            </w:r>
          </w:p>
        </w:tc>
      </w:tr>
      <w:tr w:rsidR="00DF68F3" w:rsidRPr="00DF68F3" w14:paraId="2F0DA111" w14:textId="77777777" w:rsidTr="00A2430F">
        <w:tc>
          <w:tcPr>
            <w:tcW w:w="3118" w:type="dxa"/>
          </w:tcPr>
          <w:p w14:paraId="13918E1A" w14:textId="77777777" w:rsidR="00DF68F3" w:rsidRPr="00DF68F3" w:rsidRDefault="00DF68F3" w:rsidP="00DF68F3">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TYPE OF ACCOUNT</w:t>
            </w:r>
          </w:p>
        </w:tc>
        <w:tc>
          <w:tcPr>
            <w:tcW w:w="3544" w:type="dxa"/>
          </w:tcPr>
          <w:p w14:paraId="520543FA" w14:textId="77777777" w:rsidR="00DF68F3" w:rsidRPr="00DF68F3" w:rsidRDefault="00DF68F3" w:rsidP="00DF68F3">
            <w:pPr>
              <w:spacing w:before="100" w:beforeAutospacing="1"/>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TRUST ACCOUNT</w:t>
            </w:r>
          </w:p>
        </w:tc>
      </w:tr>
      <w:tr w:rsidR="00DF68F3" w:rsidRPr="00DF68F3" w14:paraId="667CF80E" w14:textId="77777777" w:rsidTr="00A2430F">
        <w:tc>
          <w:tcPr>
            <w:tcW w:w="3118" w:type="dxa"/>
          </w:tcPr>
          <w:p w14:paraId="38E8DB73" w14:textId="77777777" w:rsidR="00DF68F3" w:rsidRPr="00DF68F3" w:rsidRDefault="00DF68F3" w:rsidP="00DF68F3">
            <w:pPr>
              <w:spacing w:before="100" w:beforeAutospacing="1"/>
              <w:contextualSpacing/>
              <w:rPr>
                <w:rFonts w:ascii="Times New Roman" w:hAnsi="Times New Roman" w:cs="Times New Roman"/>
                <w:b/>
                <w:bCs/>
                <w:kern w:val="2"/>
                <w:sz w:val="28"/>
                <w:szCs w:val="28"/>
                <w:lang w:val="en-GB"/>
                <w14:ligatures w14:val="standardContextual"/>
              </w:rPr>
            </w:pPr>
            <w:r w:rsidRPr="00DF68F3">
              <w:rPr>
                <w:rFonts w:ascii="Times New Roman" w:hAnsi="Times New Roman" w:cs="Times New Roman"/>
                <w:b/>
                <w:bCs/>
                <w:kern w:val="2"/>
                <w:sz w:val="28"/>
                <w:szCs w:val="28"/>
                <w:lang w:val="en-GB"/>
                <w14:ligatures w14:val="standardContextual"/>
              </w:rPr>
              <w:t>REF</w:t>
            </w:r>
            <w:r w:rsidRPr="00DF68F3">
              <w:rPr>
                <w:rFonts w:ascii="Times New Roman" w:hAnsi="Times New Roman" w:cs="Times New Roman"/>
                <w:b/>
                <w:bCs/>
                <w:kern w:val="2"/>
                <w:sz w:val="28"/>
                <w:szCs w:val="28"/>
                <w:lang w:val="en-GB"/>
                <w14:ligatures w14:val="standardContextual"/>
              </w:rPr>
              <w:tab/>
            </w:r>
          </w:p>
        </w:tc>
        <w:tc>
          <w:tcPr>
            <w:tcW w:w="3544" w:type="dxa"/>
          </w:tcPr>
          <w:p w14:paraId="58378F30" w14:textId="77777777" w:rsidR="00DF68F3" w:rsidRPr="00DF68F3" w:rsidRDefault="00DF68F3" w:rsidP="00DF68F3">
            <w:pPr>
              <w:spacing w:before="100" w:beforeAutospacing="1"/>
              <w:contextualSpacing/>
              <w:rPr>
                <w:rFonts w:ascii="Times New Roman" w:hAnsi="Times New Roman" w:cs="Times New Roman"/>
                <w:kern w:val="2"/>
                <w:sz w:val="28"/>
                <w:szCs w:val="28"/>
                <w:lang w:val="de-DE"/>
                <w14:ligatures w14:val="standardContextual"/>
              </w:rPr>
            </w:pPr>
            <w:r w:rsidRPr="00DF68F3">
              <w:rPr>
                <w:rFonts w:ascii="Times New Roman" w:hAnsi="Times New Roman" w:cs="Times New Roman"/>
                <w:kern w:val="2"/>
                <w:sz w:val="28"/>
                <w:szCs w:val="28"/>
                <w:lang w:val="de-DE"/>
                <w14:ligatures w14:val="standardContextual"/>
              </w:rPr>
              <w:t>REF: MS MOTAUNG /TPR/TPC1825</w:t>
            </w:r>
          </w:p>
        </w:tc>
      </w:tr>
    </w:tbl>
    <w:p w14:paraId="63452632" w14:textId="77777777" w:rsidR="00DF68F3" w:rsidRPr="00DF68F3" w:rsidRDefault="00DF68F3" w:rsidP="00DF68F3">
      <w:pPr>
        <w:spacing w:before="100" w:beforeAutospacing="1"/>
        <w:contextualSpacing/>
        <w:rPr>
          <w:rFonts w:ascii="Times New Roman" w:hAnsi="Times New Roman" w:cs="Times New Roman"/>
          <w:kern w:val="2"/>
          <w:sz w:val="28"/>
          <w:szCs w:val="28"/>
          <w:lang w:val="de-DE"/>
          <w14:ligatures w14:val="standardContextual"/>
        </w:rPr>
      </w:pPr>
    </w:p>
    <w:p w14:paraId="6ED748B1" w14:textId="5F4BB496" w:rsidR="00DF68F3" w:rsidRPr="00DC2F59" w:rsidRDefault="00DC2F59" w:rsidP="00DC2F59">
      <w:pPr>
        <w:spacing w:before="100" w:beforeAutospacing="1"/>
        <w:ind w:left="2127" w:hanging="851"/>
        <w:rPr>
          <w:rFonts w:ascii="Times New Roman" w:hAnsi="Times New Roman" w:cs="Times New Roman"/>
          <w:kern w:val="2"/>
          <w:sz w:val="28"/>
          <w:szCs w:val="28"/>
          <w:lang w:val="en-GB"/>
          <w14:ligatures w14:val="standardContextual"/>
        </w:rPr>
      </w:pPr>
      <w:r>
        <w:rPr>
          <w:rFonts w:ascii="Times New Roman" w:hAnsi="Times New Roman" w:cs="Times New Roman"/>
          <w:kern w:val="2"/>
          <w:sz w:val="28"/>
          <w:szCs w:val="28"/>
          <w:lang w:val="en-GB"/>
          <w14:ligatures w14:val="standardContextual"/>
        </w:rPr>
        <w:t>3.1</w:t>
      </w:r>
      <w:r>
        <w:rPr>
          <w:rFonts w:ascii="Times New Roman" w:hAnsi="Times New Roman" w:cs="Times New Roman"/>
          <w:kern w:val="2"/>
          <w:sz w:val="28"/>
          <w:szCs w:val="28"/>
          <w:lang w:val="en-GB"/>
          <w14:ligatures w14:val="standardContextual"/>
        </w:rPr>
        <w:tab/>
      </w:r>
      <w:r w:rsidR="00DF68F3" w:rsidRPr="00DC2F59">
        <w:rPr>
          <w:rFonts w:ascii="Times New Roman" w:hAnsi="Times New Roman" w:cs="Times New Roman"/>
          <w:kern w:val="2"/>
          <w:sz w:val="28"/>
          <w:szCs w:val="28"/>
          <w:lang w:val="en-GB"/>
          <w14:ligatures w14:val="standardContextual"/>
        </w:rPr>
        <w:t xml:space="preserve">The Defendant will not be liable for interest on the above-mentioned </w:t>
      </w:r>
      <w:r w:rsidR="00DF68F3" w:rsidRPr="00DC2F59">
        <w:rPr>
          <w:rFonts w:ascii="Times New Roman" w:hAnsi="Times New Roman" w:cs="Times New Roman"/>
          <w:kern w:val="2"/>
          <w:sz w:val="28"/>
          <w:szCs w:val="28"/>
          <w:lang w:val="en-GB"/>
          <w14:ligatures w14:val="standardContextual"/>
        </w:rPr>
        <w:tab/>
        <w:t xml:space="preserve">amount </w:t>
      </w:r>
      <w:proofErr w:type="gramStart"/>
      <w:r w:rsidR="00DF68F3" w:rsidRPr="00DC2F59">
        <w:rPr>
          <w:rFonts w:ascii="Times New Roman" w:hAnsi="Times New Roman" w:cs="Times New Roman"/>
          <w:kern w:val="2"/>
          <w:sz w:val="28"/>
          <w:szCs w:val="28"/>
          <w:lang w:val="en-GB"/>
          <w14:ligatures w14:val="standardContextual"/>
        </w:rPr>
        <w:t>provided that</w:t>
      </w:r>
      <w:proofErr w:type="gramEnd"/>
      <w:r w:rsidR="00DF68F3" w:rsidRPr="00DC2F59">
        <w:rPr>
          <w:rFonts w:ascii="Times New Roman" w:hAnsi="Times New Roman" w:cs="Times New Roman"/>
          <w:kern w:val="2"/>
          <w:sz w:val="28"/>
          <w:szCs w:val="28"/>
          <w:lang w:val="en-GB"/>
          <w14:ligatures w14:val="standardContextual"/>
        </w:rPr>
        <w:t xml:space="preserve"> it is paid on or b</w:t>
      </w:r>
      <w:r w:rsidR="00A2430F" w:rsidRPr="00DC2F59">
        <w:rPr>
          <w:rFonts w:ascii="Times New Roman" w:hAnsi="Times New Roman" w:cs="Times New Roman"/>
          <w:kern w:val="2"/>
          <w:sz w:val="28"/>
          <w:szCs w:val="28"/>
          <w:lang w:val="en-GB"/>
          <w14:ligatures w14:val="standardContextual"/>
        </w:rPr>
        <w:t xml:space="preserve">efore the expiry of 180 days, </w:t>
      </w:r>
      <w:r w:rsidR="00DF68F3" w:rsidRPr="00DC2F59">
        <w:rPr>
          <w:rFonts w:ascii="Times New Roman" w:hAnsi="Times New Roman" w:cs="Times New Roman"/>
          <w:kern w:val="2"/>
          <w:sz w:val="28"/>
          <w:szCs w:val="28"/>
          <w:lang w:val="en-GB"/>
          <w14:ligatures w14:val="standardContextual"/>
        </w:rPr>
        <w:t>after date of this Order, failing which interest at a ra</w:t>
      </w:r>
      <w:r w:rsidR="00A2430F" w:rsidRPr="00DC2F59">
        <w:rPr>
          <w:rFonts w:ascii="Times New Roman" w:hAnsi="Times New Roman" w:cs="Times New Roman"/>
          <w:kern w:val="2"/>
          <w:sz w:val="28"/>
          <w:szCs w:val="28"/>
          <w:lang w:val="en-GB"/>
          <w14:ligatures w14:val="standardContextual"/>
        </w:rPr>
        <w:t xml:space="preserve">te of 8.75% per </w:t>
      </w:r>
      <w:r w:rsidR="00A2430F" w:rsidRPr="00DC2F59">
        <w:rPr>
          <w:rFonts w:ascii="Times New Roman" w:hAnsi="Times New Roman" w:cs="Times New Roman"/>
          <w:kern w:val="2"/>
          <w:sz w:val="28"/>
          <w:szCs w:val="28"/>
          <w:lang w:val="en-GB"/>
          <w14:ligatures w14:val="standardContextual"/>
        </w:rPr>
        <w:tab/>
        <w:t xml:space="preserve">annum will be </w:t>
      </w:r>
      <w:r w:rsidR="00DF68F3" w:rsidRPr="00DC2F59">
        <w:rPr>
          <w:rFonts w:ascii="Times New Roman" w:hAnsi="Times New Roman" w:cs="Times New Roman"/>
          <w:kern w:val="2"/>
          <w:sz w:val="28"/>
          <w:szCs w:val="28"/>
          <w:lang w:val="en-GB"/>
          <w14:ligatures w14:val="standardContextual"/>
        </w:rPr>
        <w:t>payable calculated from</w:t>
      </w:r>
      <w:r w:rsidR="00A2430F" w:rsidRPr="00DC2F59">
        <w:rPr>
          <w:rFonts w:ascii="Times New Roman" w:hAnsi="Times New Roman" w:cs="Times New Roman"/>
          <w:kern w:val="2"/>
          <w:sz w:val="28"/>
          <w:szCs w:val="28"/>
          <w:lang w:val="en-GB"/>
          <w14:ligatures w14:val="standardContextual"/>
        </w:rPr>
        <w:t xml:space="preserve"> the 15th day from the date of </w:t>
      </w:r>
      <w:r w:rsidR="00DF68F3" w:rsidRPr="00DC2F59">
        <w:rPr>
          <w:rFonts w:ascii="Times New Roman" w:hAnsi="Times New Roman" w:cs="Times New Roman"/>
          <w:kern w:val="2"/>
          <w:sz w:val="28"/>
          <w:szCs w:val="28"/>
          <w:lang w:val="en-GB"/>
          <w14:ligatures w14:val="standardContextual"/>
        </w:rPr>
        <w:t>this order.</w:t>
      </w:r>
    </w:p>
    <w:p w14:paraId="540CAA28" w14:textId="77777777" w:rsidR="00781B35" w:rsidRPr="00781B35" w:rsidRDefault="00781B35" w:rsidP="00781B35">
      <w:pPr>
        <w:pStyle w:val="ListParagraph"/>
        <w:spacing w:before="100" w:beforeAutospacing="1"/>
        <w:ind w:left="2127"/>
        <w:rPr>
          <w:rFonts w:ascii="Times New Roman" w:hAnsi="Times New Roman" w:cs="Times New Roman"/>
          <w:kern w:val="2"/>
          <w:sz w:val="28"/>
          <w:szCs w:val="28"/>
          <w:lang w:val="en-GB"/>
          <w14:ligatures w14:val="standardContextual"/>
        </w:rPr>
      </w:pPr>
    </w:p>
    <w:p w14:paraId="1710DF98" w14:textId="38CD1069" w:rsidR="00DF68F3" w:rsidRPr="00DC2F59" w:rsidRDefault="00DC2F59" w:rsidP="00DC2F59">
      <w:pPr>
        <w:spacing w:before="100" w:beforeAutospacing="1"/>
        <w:ind w:left="1276" w:hanging="567"/>
        <w:rPr>
          <w:rFonts w:ascii="Times New Roman" w:hAnsi="Times New Roman" w:cs="Times New Roman"/>
          <w:kern w:val="2"/>
          <w:sz w:val="28"/>
          <w:szCs w:val="28"/>
          <w:lang w:val="en-GB"/>
          <w14:ligatures w14:val="standardContextual"/>
        </w:rPr>
      </w:pPr>
      <w:r>
        <w:rPr>
          <w:rFonts w:ascii="Times New Roman" w:hAnsi="Times New Roman" w:cs="Times New Roman"/>
          <w:kern w:val="2"/>
          <w:sz w:val="28"/>
          <w:szCs w:val="28"/>
          <w:lang w:val="en-GB"/>
          <w14:ligatures w14:val="standardContextual"/>
        </w:rPr>
        <w:t>4.</w:t>
      </w:r>
      <w:r>
        <w:rPr>
          <w:rFonts w:ascii="Times New Roman" w:hAnsi="Times New Roman" w:cs="Times New Roman"/>
          <w:kern w:val="2"/>
          <w:sz w:val="28"/>
          <w:szCs w:val="28"/>
          <w:lang w:val="en-GB"/>
          <w14:ligatures w14:val="standardContextual"/>
        </w:rPr>
        <w:tab/>
      </w:r>
      <w:r w:rsidR="00DF68F3" w:rsidRPr="00DC2F59">
        <w:rPr>
          <w:rFonts w:ascii="Times New Roman" w:hAnsi="Times New Roman" w:cs="Times New Roman"/>
          <w:kern w:val="2"/>
          <w:sz w:val="28"/>
          <w:szCs w:val="28"/>
          <w14:ligatures w14:val="standardContextual"/>
        </w:rPr>
        <w:t>The</w:t>
      </w:r>
      <w:r w:rsidR="00DF68F3" w:rsidRPr="00DC2F59">
        <w:rPr>
          <w:rFonts w:ascii="Times New Roman" w:hAnsi="Times New Roman" w:cs="Times New Roman"/>
          <w:b/>
          <w:bCs/>
          <w:kern w:val="2"/>
          <w:sz w:val="28"/>
          <w:szCs w:val="28"/>
          <w14:ligatures w14:val="standardContextual"/>
        </w:rPr>
        <w:t xml:space="preserve"> </w:t>
      </w:r>
      <w:r w:rsidR="00DF68F3" w:rsidRPr="00DC2F59">
        <w:rPr>
          <w:rFonts w:ascii="Times New Roman" w:hAnsi="Times New Roman" w:cs="Times New Roman"/>
          <w:kern w:val="2"/>
          <w:sz w:val="28"/>
          <w:szCs w:val="28"/>
          <w14:ligatures w14:val="standardContextual"/>
        </w:rPr>
        <w:t>Defendant shall furnish the Plaintiff with an u</w:t>
      </w:r>
      <w:r w:rsidR="00A2430F" w:rsidRPr="00DC2F59">
        <w:rPr>
          <w:rFonts w:ascii="Times New Roman" w:hAnsi="Times New Roman" w:cs="Times New Roman"/>
          <w:kern w:val="2"/>
          <w:sz w:val="28"/>
          <w:szCs w:val="28"/>
          <w14:ligatures w14:val="standardContextual"/>
        </w:rPr>
        <w:t xml:space="preserve">ndertaking in terms of Section </w:t>
      </w:r>
      <w:r w:rsidR="00DF68F3" w:rsidRPr="00DC2F59">
        <w:rPr>
          <w:rFonts w:ascii="Times New Roman" w:hAnsi="Times New Roman" w:cs="Times New Roman"/>
          <w:kern w:val="2"/>
          <w:sz w:val="28"/>
          <w:szCs w:val="28"/>
          <w14:ligatures w14:val="standardContextual"/>
        </w:rPr>
        <w:t>17(4)(a) of the Road Accident Fund Act, 56 of 19</w:t>
      </w:r>
      <w:r w:rsidR="00A2430F" w:rsidRPr="00DC2F59">
        <w:rPr>
          <w:rFonts w:ascii="Times New Roman" w:hAnsi="Times New Roman" w:cs="Times New Roman"/>
          <w:kern w:val="2"/>
          <w:sz w:val="28"/>
          <w:szCs w:val="28"/>
          <w14:ligatures w14:val="standardContextual"/>
        </w:rPr>
        <w:t xml:space="preserve">96 for the reasonable costs of </w:t>
      </w:r>
      <w:r w:rsidR="00DF68F3" w:rsidRPr="00DC2F59">
        <w:rPr>
          <w:rFonts w:ascii="Times New Roman" w:hAnsi="Times New Roman" w:cs="Times New Roman"/>
          <w:kern w:val="2"/>
          <w:sz w:val="28"/>
          <w:szCs w:val="28"/>
          <w14:ligatures w14:val="standardContextual"/>
        </w:rPr>
        <w:t>the future accommodation of the Plaintiff in</w:t>
      </w:r>
      <w:r w:rsidR="00A2430F" w:rsidRPr="00DC2F59">
        <w:rPr>
          <w:rFonts w:ascii="Times New Roman" w:hAnsi="Times New Roman" w:cs="Times New Roman"/>
          <w:kern w:val="2"/>
          <w:sz w:val="28"/>
          <w:szCs w:val="28"/>
          <w14:ligatures w14:val="standardContextual"/>
        </w:rPr>
        <w:t xml:space="preserve"> a </w:t>
      </w:r>
      <w:r w:rsidR="00A2430F" w:rsidRPr="00DC2F59">
        <w:rPr>
          <w:rFonts w:ascii="Times New Roman" w:hAnsi="Times New Roman" w:cs="Times New Roman"/>
          <w:kern w:val="2"/>
          <w:sz w:val="28"/>
          <w:szCs w:val="28"/>
          <w14:ligatures w14:val="standardContextual"/>
        </w:rPr>
        <w:lastRenderedPageBreak/>
        <w:t xml:space="preserve">hospital or nursing home or </w:t>
      </w:r>
      <w:r w:rsidR="00DF68F3" w:rsidRPr="00DC2F59">
        <w:rPr>
          <w:rFonts w:ascii="Times New Roman" w:hAnsi="Times New Roman" w:cs="Times New Roman"/>
          <w:kern w:val="2"/>
          <w:sz w:val="28"/>
          <w:szCs w:val="28"/>
          <w14:ligatures w14:val="standardContextual"/>
        </w:rPr>
        <w:t>treatment of or rendering of a service to he</w:t>
      </w:r>
      <w:r w:rsidR="00A2430F" w:rsidRPr="00DC2F59">
        <w:rPr>
          <w:rFonts w:ascii="Times New Roman" w:hAnsi="Times New Roman" w:cs="Times New Roman"/>
          <w:kern w:val="2"/>
          <w:sz w:val="28"/>
          <w:szCs w:val="28"/>
          <w14:ligatures w14:val="standardContextual"/>
        </w:rPr>
        <w:t xml:space="preserve">r or supplying of goods to her </w:t>
      </w:r>
      <w:r w:rsidR="00DF68F3" w:rsidRPr="00DC2F59">
        <w:rPr>
          <w:rFonts w:ascii="Times New Roman" w:hAnsi="Times New Roman" w:cs="Times New Roman"/>
          <w:kern w:val="2"/>
          <w:sz w:val="28"/>
          <w:szCs w:val="28"/>
          <w14:ligatures w14:val="standardContextual"/>
        </w:rPr>
        <w:t>resulting from the injuries sustained by the Plaint</w:t>
      </w:r>
      <w:r w:rsidR="00A2430F" w:rsidRPr="00DC2F59">
        <w:rPr>
          <w:rFonts w:ascii="Times New Roman" w:hAnsi="Times New Roman" w:cs="Times New Roman"/>
          <w:kern w:val="2"/>
          <w:sz w:val="28"/>
          <w:szCs w:val="28"/>
          <w14:ligatures w14:val="standardContextual"/>
        </w:rPr>
        <w:t xml:space="preserve">iff’s and of administering and </w:t>
      </w:r>
      <w:r w:rsidR="00DF68F3" w:rsidRPr="00DC2F59">
        <w:rPr>
          <w:rFonts w:ascii="Times New Roman" w:hAnsi="Times New Roman" w:cs="Times New Roman"/>
          <w:kern w:val="2"/>
          <w:sz w:val="28"/>
          <w:szCs w:val="28"/>
          <w14:ligatures w14:val="standardContextual"/>
        </w:rPr>
        <w:t>enforcement of this undertaking, as a result of the</w:t>
      </w:r>
      <w:r w:rsidR="00A2430F" w:rsidRPr="00DC2F59">
        <w:rPr>
          <w:rFonts w:ascii="Times New Roman" w:hAnsi="Times New Roman" w:cs="Times New Roman"/>
          <w:kern w:val="2"/>
          <w:sz w:val="28"/>
          <w:szCs w:val="28"/>
          <w14:ligatures w14:val="standardContextual"/>
        </w:rPr>
        <w:t xml:space="preserve"> motor vehicle collision which </w:t>
      </w:r>
      <w:r w:rsidR="00DF68F3" w:rsidRPr="00DC2F59">
        <w:rPr>
          <w:rFonts w:ascii="Times New Roman" w:hAnsi="Times New Roman" w:cs="Times New Roman"/>
          <w:kern w:val="2"/>
          <w:sz w:val="28"/>
          <w:szCs w:val="28"/>
          <w14:ligatures w14:val="standardContextual"/>
        </w:rPr>
        <w:t>occurred on 09</w:t>
      </w:r>
      <w:r w:rsidR="00DF68F3" w:rsidRPr="00DC2F59">
        <w:rPr>
          <w:rFonts w:ascii="Times New Roman" w:hAnsi="Times New Roman" w:cs="Times New Roman"/>
          <w:kern w:val="2"/>
          <w:sz w:val="28"/>
          <w:szCs w:val="28"/>
          <w:vertAlign w:val="superscript"/>
          <w14:ligatures w14:val="standardContextual"/>
        </w:rPr>
        <w:t>th</w:t>
      </w:r>
      <w:r w:rsidR="00DF68F3" w:rsidRPr="00DC2F59">
        <w:rPr>
          <w:rFonts w:ascii="Times New Roman" w:hAnsi="Times New Roman" w:cs="Times New Roman"/>
          <w:kern w:val="2"/>
          <w:sz w:val="28"/>
          <w:szCs w:val="28"/>
          <w14:ligatures w14:val="standardContextual"/>
        </w:rPr>
        <w:t xml:space="preserve"> April 2017, after suc</w:t>
      </w:r>
      <w:r w:rsidR="00A2430F" w:rsidRPr="00DC2F59">
        <w:rPr>
          <w:rFonts w:ascii="Times New Roman" w:hAnsi="Times New Roman" w:cs="Times New Roman"/>
          <w:kern w:val="2"/>
          <w:sz w:val="28"/>
          <w:szCs w:val="28"/>
          <w14:ligatures w14:val="standardContextual"/>
        </w:rPr>
        <w:t xml:space="preserve">h costs have been incurred and </w:t>
      </w:r>
      <w:r w:rsidR="00DF68F3" w:rsidRPr="00DC2F59">
        <w:rPr>
          <w:rFonts w:ascii="Times New Roman" w:hAnsi="Times New Roman" w:cs="Times New Roman"/>
          <w:kern w:val="2"/>
          <w:sz w:val="28"/>
          <w:szCs w:val="28"/>
          <w14:ligatures w14:val="standardContextual"/>
        </w:rPr>
        <w:t xml:space="preserve">upon proof thereof. </w:t>
      </w:r>
    </w:p>
    <w:p w14:paraId="7D5E81E3" w14:textId="7D14C4EE" w:rsidR="00DF68F3" w:rsidRPr="00DF68F3" w:rsidRDefault="00DC2F59" w:rsidP="00DC2F59">
      <w:pPr>
        <w:spacing w:before="100" w:beforeAutospacing="1"/>
        <w:ind w:left="1276" w:hanging="567"/>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5.</w:t>
      </w:r>
      <w:r w:rsidRPr="00DF68F3">
        <w:rPr>
          <w:rFonts w:ascii="Times New Roman" w:hAnsi="Times New Roman" w:cs="Times New Roman"/>
          <w:kern w:val="2"/>
          <w:sz w:val="28"/>
          <w:szCs w:val="28"/>
          <w:lang w:val="en-GB"/>
          <w14:ligatures w14:val="standardContextual"/>
        </w:rPr>
        <w:tab/>
      </w:r>
      <w:r w:rsidR="00DF68F3" w:rsidRPr="00DF68F3">
        <w:rPr>
          <w:rFonts w:ascii="Times New Roman" w:hAnsi="Times New Roman" w:cs="Times New Roman"/>
          <w:kern w:val="2"/>
          <w:sz w:val="28"/>
          <w:szCs w:val="28"/>
          <w:lang w:val="en-US"/>
          <w14:ligatures w14:val="standardContextual"/>
        </w:rPr>
        <w:t xml:space="preserve">The Defendant shall pay the Plaintiff’s taxed </w:t>
      </w:r>
      <w:r w:rsidR="00A2430F">
        <w:rPr>
          <w:rFonts w:ascii="Times New Roman" w:hAnsi="Times New Roman" w:cs="Times New Roman"/>
          <w:kern w:val="2"/>
          <w:sz w:val="28"/>
          <w:szCs w:val="28"/>
          <w:lang w:val="en-US"/>
          <w14:ligatures w14:val="standardContextual"/>
        </w:rPr>
        <w:t xml:space="preserve">or agreed party and party costs </w:t>
      </w:r>
      <w:r w:rsidR="00DF68F3" w:rsidRPr="00DF68F3">
        <w:rPr>
          <w:rFonts w:ascii="Times New Roman" w:hAnsi="Times New Roman" w:cs="Times New Roman"/>
          <w:kern w:val="2"/>
          <w:sz w:val="28"/>
          <w:szCs w:val="28"/>
          <w:lang w:val="en-US"/>
          <w14:ligatures w14:val="standardContextual"/>
        </w:rPr>
        <w:t xml:space="preserve">on a High Court scale. </w:t>
      </w:r>
      <w:proofErr w:type="gramStart"/>
      <w:r w:rsidR="00DF68F3" w:rsidRPr="00DF68F3">
        <w:rPr>
          <w:rFonts w:ascii="Times New Roman" w:hAnsi="Times New Roman" w:cs="Times New Roman"/>
          <w:kern w:val="2"/>
          <w:sz w:val="28"/>
          <w:szCs w:val="28"/>
          <w:lang w:val="en-US"/>
          <w14:ligatures w14:val="standardContextual"/>
        </w:rPr>
        <w:t>In the event that</w:t>
      </w:r>
      <w:proofErr w:type="gramEnd"/>
      <w:r w:rsidR="00DF68F3" w:rsidRPr="00DF68F3">
        <w:rPr>
          <w:rFonts w:ascii="Times New Roman" w:hAnsi="Times New Roman" w:cs="Times New Roman"/>
          <w:kern w:val="2"/>
          <w:sz w:val="28"/>
          <w:szCs w:val="28"/>
          <w:lang w:val="en-US"/>
          <w14:ligatures w14:val="standardContextual"/>
        </w:rPr>
        <w:t xml:space="preserve"> the costs</w:t>
      </w:r>
      <w:r w:rsidR="00A2430F">
        <w:rPr>
          <w:rFonts w:ascii="Times New Roman" w:hAnsi="Times New Roman" w:cs="Times New Roman"/>
          <w:kern w:val="2"/>
          <w:sz w:val="28"/>
          <w:szCs w:val="28"/>
          <w:lang w:val="en-US"/>
          <w14:ligatures w14:val="standardContextual"/>
        </w:rPr>
        <w:t xml:space="preserve"> are not agreed, it is ordered </w:t>
      </w:r>
      <w:r w:rsidR="00DF68F3" w:rsidRPr="00DF68F3">
        <w:rPr>
          <w:rFonts w:ascii="Times New Roman" w:hAnsi="Times New Roman" w:cs="Times New Roman"/>
          <w:kern w:val="2"/>
          <w:sz w:val="28"/>
          <w:szCs w:val="28"/>
          <w:lang w:val="en-US"/>
          <w14:ligatures w14:val="standardContextual"/>
        </w:rPr>
        <w:t>that:</w:t>
      </w:r>
    </w:p>
    <w:p w14:paraId="2DA9E018" w14:textId="77777777" w:rsidR="00DF68F3" w:rsidRPr="00DF68F3" w:rsidRDefault="00DF68F3" w:rsidP="00DF68F3">
      <w:pPr>
        <w:spacing w:before="100" w:beforeAutospacing="1"/>
        <w:ind w:left="360"/>
        <w:contextualSpacing/>
        <w:rPr>
          <w:rFonts w:ascii="Times New Roman" w:hAnsi="Times New Roman" w:cs="Times New Roman"/>
          <w:kern w:val="2"/>
          <w:sz w:val="28"/>
          <w:szCs w:val="28"/>
          <w:lang w:val="en-GB"/>
          <w14:ligatures w14:val="standardContextual"/>
        </w:rPr>
      </w:pPr>
    </w:p>
    <w:p w14:paraId="6906D1A8" w14:textId="76502E7F" w:rsidR="00F04D08" w:rsidRDefault="00DC2F59" w:rsidP="00DC2F59">
      <w:pPr>
        <w:spacing w:before="100" w:beforeAutospacing="1"/>
        <w:ind w:left="1985" w:hanging="709"/>
        <w:contextualSpacing/>
        <w:rPr>
          <w:rFonts w:ascii="Times New Roman" w:hAnsi="Times New Roman" w:cs="Times New Roman"/>
          <w:kern w:val="2"/>
          <w:sz w:val="28"/>
          <w:szCs w:val="28"/>
          <w:lang w:val="en-GB"/>
          <w14:ligatures w14:val="standardContextual"/>
        </w:rPr>
      </w:pPr>
      <w:r>
        <w:rPr>
          <w:rFonts w:ascii="Times New Roman" w:hAnsi="Times New Roman" w:cs="Times New Roman"/>
          <w:kern w:val="2"/>
          <w:sz w:val="28"/>
          <w:szCs w:val="28"/>
          <w:lang w:val="en-GB"/>
          <w14:ligatures w14:val="standardContextual"/>
        </w:rPr>
        <w:t>5.1</w:t>
      </w:r>
      <w:r>
        <w:rPr>
          <w:rFonts w:ascii="Times New Roman" w:hAnsi="Times New Roman" w:cs="Times New Roman"/>
          <w:kern w:val="2"/>
          <w:sz w:val="28"/>
          <w:szCs w:val="28"/>
          <w:lang w:val="en-GB"/>
          <w14:ligatures w14:val="standardContextual"/>
        </w:rPr>
        <w:tab/>
      </w:r>
      <w:r w:rsidR="00DF68F3" w:rsidRPr="00DF68F3">
        <w:rPr>
          <w:rFonts w:ascii="Times New Roman" w:hAnsi="Times New Roman" w:cs="Times New Roman"/>
          <w:kern w:val="2"/>
          <w:sz w:val="28"/>
          <w:szCs w:val="28"/>
          <w:lang w:val="en-US"/>
          <w14:ligatures w14:val="standardContextual"/>
        </w:rPr>
        <w:t>The Plaintiff shall serve the notice o</w:t>
      </w:r>
      <w:r w:rsidR="00A2430F">
        <w:rPr>
          <w:rFonts w:ascii="Times New Roman" w:hAnsi="Times New Roman" w:cs="Times New Roman"/>
          <w:kern w:val="2"/>
          <w:sz w:val="28"/>
          <w:szCs w:val="28"/>
          <w:lang w:val="en-US"/>
          <w14:ligatures w14:val="standardContextual"/>
        </w:rPr>
        <w:t xml:space="preserve">f taxation on the Defendant’s </w:t>
      </w:r>
      <w:r w:rsidR="00DF68F3" w:rsidRPr="00DF68F3">
        <w:rPr>
          <w:rFonts w:ascii="Times New Roman" w:hAnsi="Times New Roman" w:cs="Times New Roman"/>
          <w:kern w:val="2"/>
          <w:sz w:val="28"/>
          <w:szCs w:val="28"/>
          <w:lang w:val="en-US"/>
          <w14:ligatures w14:val="standardContextual"/>
        </w:rPr>
        <w:t xml:space="preserve">attorneys of </w:t>
      </w:r>
      <w:proofErr w:type="gramStart"/>
      <w:r w:rsidR="00DF68F3" w:rsidRPr="00DF68F3">
        <w:rPr>
          <w:rFonts w:ascii="Times New Roman" w:hAnsi="Times New Roman" w:cs="Times New Roman"/>
          <w:kern w:val="2"/>
          <w:sz w:val="28"/>
          <w:szCs w:val="28"/>
          <w:lang w:val="en-US"/>
          <w14:ligatures w14:val="standardContextual"/>
        </w:rPr>
        <w:t>record;</w:t>
      </w:r>
      <w:proofErr w:type="gramEnd"/>
    </w:p>
    <w:p w14:paraId="45A60B2C" w14:textId="77777777" w:rsidR="00F04D08" w:rsidRPr="00F04D08" w:rsidRDefault="00F04D08" w:rsidP="00F04D08">
      <w:pPr>
        <w:spacing w:before="100" w:beforeAutospacing="1"/>
        <w:ind w:left="1985"/>
        <w:contextualSpacing/>
        <w:rPr>
          <w:rFonts w:ascii="Times New Roman" w:hAnsi="Times New Roman" w:cs="Times New Roman"/>
          <w:kern w:val="2"/>
          <w:sz w:val="28"/>
          <w:szCs w:val="28"/>
          <w:lang w:val="en-GB"/>
          <w14:ligatures w14:val="standardContextual"/>
        </w:rPr>
      </w:pPr>
    </w:p>
    <w:p w14:paraId="0E077B77" w14:textId="3A5552A4" w:rsidR="00A2430F" w:rsidRPr="00A2430F" w:rsidRDefault="00DC2F59" w:rsidP="00DC2F59">
      <w:pPr>
        <w:spacing w:before="100" w:beforeAutospacing="1"/>
        <w:ind w:left="1985" w:hanging="709"/>
        <w:contextualSpacing/>
        <w:rPr>
          <w:rFonts w:ascii="Times New Roman" w:hAnsi="Times New Roman" w:cs="Times New Roman"/>
          <w:kern w:val="2"/>
          <w:sz w:val="28"/>
          <w:szCs w:val="28"/>
          <w:lang w:val="en-GB"/>
          <w14:ligatures w14:val="standardContextual"/>
        </w:rPr>
      </w:pPr>
      <w:r w:rsidRPr="00A2430F">
        <w:rPr>
          <w:rFonts w:ascii="Times New Roman" w:hAnsi="Times New Roman" w:cs="Times New Roman"/>
          <w:kern w:val="2"/>
          <w:sz w:val="28"/>
          <w:szCs w:val="28"/>
          <w:lang w:val="en-GB"/>
          <w14:ligatures w14:val="standardContextual"/>
        </w:rPr>
        <w:t>5.2</w:t>
      </w:r>
      <w:r w:rsidRPr="00A2430F">
        <w:rPr>
          <w:rFonts w:ascii="Times New Roman" w:hAnsi="Times New Roman" w:cs="Times New Roman"/>
          <w:kern w:val="2"/>
          <w:sz w:val="28"/>
          <w:szCs w:val="28"/>
          <w:lang w:val="en-GB"/>
          <w14:ligatures w14:val="standardContextual"/>
        </w:rPr>
        <w:tab/>
      </w:r>
      <w:r w:rsidR="00DF68F3" w:rsidRPr="00A2430F">
        <w:rPr>
          <w:rFonts w:ascii="Times New Roman" w:hAnsi="Times New Roman" w:cs="Times New Roman"/>
          <w:kern w:val="2"/>
          <w:sz w:val="28"/>
          <w:szCs w:val="28"/>
          <w:lang w:val="en-US"/>
          <w14:ligatures w14:val="standardContextual"/>
        </w:rPr>
        <w:t>The Plaintiff shall allow the Defendant Fo</w:t>
      </w:r>
      <w:r w:rsidR="00A2430F">
        <w:rPr>
          <w:rFonts w:ascii="Times New Roman" w:hAnsi="Times New Roman" w:cs="Times New Roman"/>
          <w:kern w:val="2"/>
          <w:sz w:val="28"/>
          <w:szCs w:val="28"/>
          <w:lang w:val="en-US"/>
          <w14:ligatures w14:val="standardContextual"/>
        </w:rPr>
        <w:t xml:space="preserve">urteen (14) court days to make </w:t>
      </w:r>
      <w:r w:rsidR="00DF68F3" w:rsidRPr="00A2430F">
        <w:rPr>
          <w:rFonts w:ascii="Times New Roman" w:hAnsi="Times New Roman" w:cs="Times New Roman"/>
          <w:kern w:val="2"/>
          <w:sz w:val="28"/>
          <w:szCs w:val="28"/>
          <w:lang w:val="en-US"/>
          <w14:ligatures w14:val="standardContextual"/>
        </w:rPr>
        <w:t>the said payment of the taxed costs; and</w:t>
      </w:r>
    </w:p>
    <w:p w14:paraId="50184DF6" w14:textId="77777777" w:rsidR="00A2430F" w:rsidRDefault="00A2430F" w:rsidP="00A2430F">
      <w:pPr>
        <w:spacing w:before="100" w:beforeAutospacing="1"/>
        <w:ind w:left="1985"/>
        <w:contextualSpacing/>
        <w:rPr>
          <w:rFonts w:ascii="Times New Roman" w:hAnsi="Times New Roman" w:cs="Times New Roman"/>
          <w:kern w:val="2"/>
          <w:sz w:val="28"/>
          <w:szCs w:val="28"/>
          <w:lang w:val="en-GB"/>
          <w14:ligatures w14:val="standardContextual"/>
        </w:rPr>
      </w:pPr>
    </w:p>
    <w:p w14:paraId="4F73A604" w14:textId="442E2BDB" w:rsidR="00DF68F3" w:rsidRPr="00A2430F" w:rsidRDefault="00DC2F59" w:rsidP="00DC2F59">
      <w:pPr>
        <w:spacing w:before="100" w:beforeAutospacing="1"/>
        <w:ind w:left="1985" w:hanging="709"/>
        <w:contextualSpacing/>
        <w:rPr>
          <w:rFonts w:ascii="Times New Roman" w:hAnsi="Times New Roman" w:cs="Times New Roman"/>
          <w:kern w:val="2"/>
          <w:sz w:val="28"/>
          <w:szCs w:val="28"/>
          <w:lang w:val="en-GB"/>
          <w14:ligatures w14:val="standardContextual"/>
        </w:rPr>
      </w:pPr>
      <w:r w:rsidRPr="00A2430F">
        <w:rPr>
          <w:rFonts w:ascii="Times New Roman" w:hAnsi="Times New Roman" w:cs="Times New Roman"/>
          <w:kern w:val="2"/>
          <w:sz w:val="28"/>
          <w:szCs w:val="28"/>
          <w:lang w:val="en-GB"/>
          <w14:ligatures w14:val="standardContextual"/>
        </w:rPr>
        <w:t>5.3</w:t>
      </w:r>
      <w:r w:rsidRPr="00A2430F">
        <w:rPr>
          <w:rFonts w:ascii="Times New Roman" w:hAnsi="Times New Roman" w:cs="Times New Roman"/>
          <w:kern w:val="2"/>
          <w:sz w:val="28"/>
          <w:szCs w:val="28"/>
          <w:lang w:val="en-GB"/>
          <w14:ligatures w14:val="standardContextual"/>
        </w:rPr>
        <w:tab/>
      </w:r>
      <w:r w:rsidR="00DF68F3" w:rsidRPr="00A2430F">
        <w:rPr>
          <w:rFonts w:ascii="Times New Roman" w:hAnsi="Times New Roman" w:cs="Times New Roman"/>
          <w:kern w:val="2"/>
          <w:sz w:val="28"/>
          <w:szCs w:val="28"/>
          <w:lang w:val="en-US"/>
          <w14:ligatures w14:val="standardContextual"/>
        </w:rPr>
        <w:t xml:space="preserve">Should payment not be </w:t>
      </w:r>
      <w:proofErr w:type="gramStart"/>
      <w:r w:rsidR="00DF68F3" w:rsidRPr="00A2430F">
        <w:rPr>
          <w:rFonts w:ascii="Times New Roman" w:hAnsi="Times New Roman" w:cs="Times New Roman"/>
          <w:kern w:val="2"/>
          <w:sz w:val="28"/>
          <w:szCs w:val="28"/>
          <w:lang w:val="en-US"/>
          <w14:ligatures w14:val="standardContextual"/>
        </w:rPr>
        <w:t>effected</w:t>
      </w:r>
      <w:proofErr w:type="gramEnd"/>
      <w:r w:rsidR="00DF68F3" w:rsidRPr="00A2430F">
        <w:rPr>
          <w:rFonts w:ascii="Times New Roman" w:hAnsi="Times New Roman" w:cs="Times New Roman"/>
          <w:kern w:val="2"/>
          <w:sz w:val="28"/>
          <w:szCs w:val="28"/>
          <w:lang w:val="en-US"/>
          <w14:ligatures w14:val="standardContextual"/>
        </w:rPr>
        <w:t xml:space="preserve"> timeously, Plaint</w:t>
      </w:r>
      <w:r w:rsidR="00A2430F">
        <w:rPr>
          <w:rFonts w:ascii="Times New Roman" w:hAnsi="Times New Roman" w:cs="Times New Roman"/>
          <w:kern w:val="2"/>
          <w:sz w:val="28"/>
          <w:szCs w:val="28"/>
          <w:lang w:val="en-US"/>
          <w14:ligatures w14:val="standardContextual"/>
        </w:rPr>
        <w:t xml:space="preserve">iff will be entitled to </w:t>
      </w:r>
      <w:r w:rsidR="00DF68F3" w:rsidRPr="00A2430F">
        <w:rPr>
          <w:rFonts w:ascii="Times New Roman" w:hAnsi="Times New Roman" w:cs="Times New Roman"/>
          <w:kern w:val="2"/>
          <w:sz w:val="28"/>
          <w:szCs w:val="28"/>
          <w:lang w:val="en-US"/>
          <w14:ligatures w14:val="standardContextual"/>
        </w:rPr>
        <w:t xml:space="preserve">recover interest a </w:t>
      </w:r>
      <w:proofErr w:type="spellStart"/>
      <w:r w:rsidR="00DF68F3" w:rsidRPr="00A2430F">
        <w:rPr>
          <w:rFonts w:ascii="Times New Roman" w:hAnsi="Times New Roman" w:cs="Times New Roman"/>
          <w:i/>
          <w:iCs/>
          <w:kern w:val="2"/>
          <w:sz w:val="28"/>
          <w:szCs w:val="28"/>
          <w:lang w:val="en-US"/>
          <w14:ligatures w14:val="standardContextual"/>
        </w:rPr>
        <w:t>temporae</w:t>
      </w:r>
      <w:proofErr w:type="spellEnd"/>
      <w:r w:rsidR="00DF68F3" w:rsidRPr="00A2430F">
        <w:rPr>
          <w:rFonts w:ascii="Times New Roman" w:hAnsi="Times New Roman" w:cs="Times New Roman"/>
          <w:i/>
          <w:iCs/>
          <w:kern w:val="2"/>
          <w:sz w:val="28"/>
          <w:szCs w:val="28"/>
          <w:lang w:val="en-US"/>
          <w14:ligatures w14:val="standardContextual"/>
        </w:rPr>
        <w:t xml:space="preserve"> morae</w:t>
      </w:r>
      <w:r w:rsidR="00DF68F3" w:rsidRPr="00A2430F">
        <w:rPr>
          <w:rFonts w:ascii="Times New Roman" w:hAnsi="Times New Roman" w:cs="Times New Roman"/>
          <w:kern w:val="2"/>
          <w:sz w:val="28"/>
          <w:szCs w:val="28"/>
          <w:lang w:val="en-US"/>
          <w14:ligatures w14:val="standardContextual"/>
        </w:rPr>
        <w:t xml:space="preserve"> on </w:t>
      </w:r>
      <w:r w:rsidR="00A2430F">
        <w:rPr>
          <w:rFonts w:ascii="Times New Roman" w:hAnsi="Times New Roman" w:cs="Times New Roman"/>
          <w:kern w:val="2"/>
          <w:sz w:val="28"/>
          <w:szCs w:val="28"/>
          <w:lang w:val="en-US"/>
          <w14:ligatures w14:val="standardContextual"/>
        </w:rPr>
        <w:t xml:space="preserve">the taxed or agreed costs from </w:t>
      </w:r>
      <w:r w:rsidR="00DF68F3" w:rsidRPr="00A2430F">
        <w:rPr>
          <w:rFonts w:ascii="Times New Roman" w:hAnsi="Times New Roman" w:cs="Times New Roman"/>
          <w:kern w:val="2"/>
          <w:sz w:val="28"/>
          <w:szCs w:val="28"/>
          <w:lang w:val="en-US"/>
          <w14:ligatures w14:val="standardContextual"/>
        </w:rPr>
        <w:t>the date of allocatur to the date of final payment.</w:t>
      </w:r>
    </w:p>
    <w:p w14:paraId="22B4C484" w14:textId="77777777" w:rsidR="00DF68F3" w:rsidRPr="00DF68F3" w:rsidRDefault="00DF68F3" w:rsidP="00DF68F3">
      <w:pPr>
        <w:spacing w:before="100" w:beforeAutospacing="1"/>
        <w:ind w:left="360"/>
        <w:contextualSpacing/>
        <w:rPr>
          <w:rFonts w:ascii="Times New Roman" w:hAnsi="Times New Roman" w:cs="Times New Roman"/>
          <w:kern w:val="2"/>
          <w:sz w:val="28"/>
          <w:szCs w:val="28"/>
          <w:lang w:val="en-GB"/>
          <w14:ligatures w14:val="standardContextual"/>
        </w:rPr>
      </w:pPr>
    </w:p>
    <w:p w14:paraId="0BE3C65C" w14:textId="17160E45" w:rsidR="00DF68F3" w:rsidRPr="00DF68F3" w:rsidRDefault="00DC2F59" w:rsidP="00DC2F59">
      <w:pPr>
        <w:spacing w:before="100" w:beforeAutospacing="1"/>
        <w:ind w:left="1276" w:hanging="567"/>
        <w:contextualSpacing/>
        <w:rPr>
          <w:rFonts w:ascii="Times New Roman" w:hAnsi="Times New Roman" w:cs="Times New Roman"/>
          <w:kern w:val="2"/>
          <w:sz w:val="28"/>
          <w:szCs w:val="28"/>
          <w:lang w:val="en-GB"/>
          <w14:ligatures w14:val="standardContextual"/>
        </w:rPr>
      </w:pPr>
      <w:r w:rsidRPr="00DF68F3">
        <w:rPr>
          <w:rFonts w:ascii="Times New Roman" w:hAnsi="Times New Roman" w:cs="Times New Roman"/>
          <w:kern w:val="2"/>
          <w:sz w:val="28"/>
          <w:szCs w:val="28"/>
          <w:lang w:val="en-GB"/>
          <w14:ligatures w14:val="standardContextual"/>
        </w:rPr>
        <w:t>6.</w:t>
      </w:r>
      <w:r w:rsidRPr="00DF68F3">
        <w:rPr>
          <w:rFonts w:ascii="Times New Roman" w:hAnsi="Times New Roman" w:cs="Times New Roman"/>
          <w:kern w:val="2"/>
          <w:sz w:val="28"/>
          <w:szCs w:val="28"/>
          <w:lang w:val="en-GB"/>
          <w14:ligatures w14:val="standardContextual"/>
        </w:rPr>
        <w:tab/>
      </w:r>
      <w:r w:rsidR="00DF68F3" w:rsidRPr="00DF68F3">
        <w:rPr>
          <w:rFonts w:ascii="Times New Roman" w:hAnsi="Times New Roman" w:cs="Times New Roman"/>
          <w:kern w:val="2"/>
          <w:sz w:val="28"/>
          <w:szCs w:val="28"/>
          <w14:ligatures w14:val="standardContextual"/>
        </w:rPr>
        <w:t xml:space="preserve">The costs in paragraph </w:t>
      </w:r>
      <w:r w:rsidR="00323FCF">
        <w:rPr>
          <w:rFonts w:ascii="Times New Roman" w:hAnsi="Times New Roman" w:cs="Times New Roman"/>
          <w:kern w:val="2"/>
          <w:sz w:val="28"/>
          <w:szCs w:val="28"/>
          <w14:ligatures w14:val="standardContextual"/>
        </w:rPr>
        <w:t>5</w:t>
      </w:r>
      <w:r w:rsidR="00DF68F3" w:rsidRPr="00DF68F3">
        <w:rPr>
          <w:rFonts w:ascii="Times New Roman" w:hAnsi="Times New Roman" w:cs="Times New Roman"/>
          <w:kern w:val="2"/>
          <w:sz w:val="28"/>
          <w:szCs w:val="28"/>
          <w14:ligatures w14:val="standardContextual"/>
        </w:rPr>
        <w:t xml:space="preserve"> above shall also be paid i</w:t>
      </w:r>
      <w:r w:rsidR="00A2430F">
        <w:rPr>
          <w:rFonts w:ascii="Times New Roman" w:hAnsi="Times New Roman" w:cs="Times New Roman"/>
          <w:kern w:val="2"/>
          <w:sz w:val="28"/>
          <w:szCs w:val="28"/>
          <w14:ligatures w14:val="standardContextual"/>
        </w:rPr>
        <w:t xml:space="preserve">nto the Plaintiff’s attorneys’ </w:t>
      </w:r>
      <w:r w:rsidR="00DF68F3" w:rsidRPr="00DF68F3">
        <w:rPr>
          <w:rFonts w:ascii="Times New Roman" w:hAnsi="Times New Roman" w:cs="Times New Roman"/>
          <w:kern w:val="2"/>
          <w:sz w:val="28"/>
          <w:szCs w:val="28"/>
          <w14:ligatures w14:val="standardContextual"/>
        </w:rPr>
        <w:t xml:space="preserve">trust account referred to in paragraph </w:t>
      </w:r>
      <w:r w:rsidR="00323FCF">
        <w:rPr>
          <w:rFonts w:ascii="Times New Roman" w:hAnsi="Times New Roman" w:cs="Times New Roman"/>
          <w:kern w:val="2"/>
          <w:sz w:val="28"/>
          <w:szCs w:val="28"/>
          <w14:ligatures w14:val="standardContextual"/>
        </w:rPr>
        <w:t>3</w:t>
      </w:r>
      <w:r w:rsidR="00DF68F3" w:rsidRPr="00DF68F3">
        <w:rPr>
          <w:rFonts w:ascii="Times New Roman" w:hAnsi="Times New Roman" w:cs="Times New Roman"/>
          <w:kern w:val="2"/>
          <w:sz w:val="28"/>
          <w:szCs w:val="28"/>
          <w14:ligatures w14:val="standardContextual"/>
        </w:rPr>
        <w:t xml:space="preserve"> above, for the benefit of the Plaintiff. </w:t>
      </w:r>
    </w:p>
    <w:p w14:paraId="3C3D790F" w14:textId="77777777" w:rsidR="00DF68F3" w:rsidRPr="00DF68F3" w:rsidRDefault="00DF68F3" w:rsidP="00DF68F3">
      <w:pPr>
        <w:spacing w:before="100" w:beforeAutospacing="1"/>
        <w:ind w:left="360"/>
        <w:contextualSpacing/>
        <w:rPr>
          <w:rFonts w:ascii="Times New Roman" w:hAnsi="Times New Roman" w:cs="Times New Roman"/>
          <w:kern w:val="2"/>
          <w:sz w:val="28"/>
          <w:szCs w:val="28"/>
          <w:lang w:val="en-GB"/>
          <w14:ligatures w14:val="standardContextual"/>
        </w:rPr>
      </w:pPr>
    </w:p>
    <w:p w14:paraId="48FA1F36" w14:textId="4876F807" w:rsidR="00DF3812" w:rsidRPr="00323FCF" w:rsidRDefault="00DC2F59" w:rsidP="00DC2F59">
      <w:pPr>
        <w:spacing w:before="100" w:beforeAutospacing="1"/>
        <w:ind w:left="360" w:hanging="567"/>
        <w:contextualSpacing/>
        <w:rPr>
          <w:rFonts w:ascii="Times New Roman" w:hAnsi="Times New Roman" w:cs="Times New Roman"/>
          <w:kern w:val="2"/>
          <w:sz w:val="28"/>
          <w:szCs w:val="28"/>
          <w:lang w:val="en-GB"/>
          <w14:ligatures w14:val="standardContextual"/>
        </w:rPr>
      </w:pPr>
      <w:r w:rsidRPr="00323FCF">
        <w:rPr>
          <w:rFonts w:ascii="Times New Roman" w:hAnsi="Times New Roman" w:cs="Times New Roman"/>
          <w:kern w:val="2"/>
          <w:sz w:val="28"/>
          <w:szCs w:val="28"/>
          <w:lang w:val="en-GB"/>
          <w14:ligatures w14:val="standardContextual"/>
        </w:rPr>
        <w:t>7.</w:t>
      </w:r>
      <w:r w:rsidRPr="00323FCF">
        <w:rPr>
          <w:rFonts w:ascii="Times New Roman" w:hAnsi="Times New Roman" w:cs="Times New Roman"/>
          <w:kern w:val="2"/>
          <w:sz w:val="28"/>
          <w:szCs w:val="28"/>
          <w:lang w:val="en-GB"/>
          <w14:ligatures w14:val="standardContextual"/>
        </w:rPr>
        <w:tab/>
      </w:r>
      <w:r w:rsidR="00DF68F3" w:rsidRPr="00323FCF">
        <w:rPr>
          <w:rFonts w:ascii="Times New Roman" w:hAnsi="Times New Roman" w:cs="Times New Roman"/>
          <w:kern w:val="2"/>
          <w:sz w:val="28"/>
          <w:szCs w:val="28"/>
          <w14:ligatures w14:val="standardContextual"/>
        </w:rPr>
        <w:t>The issue of general damages is postponed sine die.</w:t>
      </w:r>
    </w:p>
    <w:p w14:paraId="3E8C3941" w14:textId="77777777" w:rsidR="00DF3812" w:rsidRPr="00DF68F3" w:rsidRDefault="00DF3812" w:rsidP="00DF68F3">
      <w:pPr>
        <w:spacing w:before="100" w:beforeAutospacing="1"/>
        <w:ind w:left="360"/>
        <w:contextualSpacing/>
        <w:rPr>
          <w:rFonts w:ascii="Times New Roman" w:hAnsi="Times New Roman" w:cs="Times New Roman"/>
          <w:kern w:val="2"/>
          <w:sz w:val="28"/>
          <w:szCs w:val="28"/>
          <w:lang w:val="en-GB"/>
          <w14:ligatures w14:val="standardContextual"/>
        </w:rPr>
      </w:pPr>
    </w:p>
    <w:p w14:paraId="247D35E7" w14:textId="77777777" w:rsidR="00DF68F3" w:rsidRPr="00DF68F3" w:rsidRDefault="00DF68F3" w:rsidP="00DF68F3">
      <w:pPr>
        <w:spacing w:before="100" w:beforeAutospacing="1"/>
        <w:contextualSpacing/>
        <w:rPr>
          <w:rFonts w:ascii="Times New Roman" w:hAnsi="Times New Roman" w:cs="Times New Roman"/>
          <w:kern w:val="2"/>
          <w:sz w:val="28"/>
          <w:szCs w:val="28"/>
          <w:lang w:val="en-GB"/>
          <w14:ligatures w14:val="standardContextual"/>
        </w:rPr>
      </w:pPr>
    </w:p>
    <w:p w14:paraId="728996BD" w14:textId="77777777" w:rsidR="007103CD" w:rsidRPr="007332AE" w:rsidRDefault="007103CD" w:rsidP="007103CD">
      <w:pPr>
        <w:pStyle w:val="MEMONUMBERED"/>
        <w:numPr>
          <w:ilvl w:val="0"/>
          <w:numId w:val="0"/>
        </w:numPr>
        <w:spacing w:line="240" w:lineRule="auto"/>
        <w:jc w:val="right"/>
        <w:rPr>
          <w:sz w:val="28"/>
          <w:szCs w:val="28"/>
        </w:rPr>
      </w:pPr>
      <w:r>
        <w:lastRenderedPageBreak/>
        <w:t xml:space="preserve">                                                                                             </w:t>
      </w:r>
      <w:r w:rsidRPr="007332AE">
        <w:rPr>
          <w:sz w:val="28"/>
          <w:szCs w:val="28"/>
        </w:rPr>
        <w:t>____________________</w:t>
      </w:r>
      <w:r w:rsidR="00F33886">
        <w:rPr>
          <w:sz w:val="28"/>
          <w:szCs w:val="28"/>
        </w:rPr>
        <w:t>__</w:t>
      </w:r>
    </w:p>
    <w:p w14:paraId="2368B6DD"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033C0CD6"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31C52B56"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741C418E" w14:textId="77777777" w:rsidR="007D5375" w:rsidRDefault="007D5375" w:rsidP="007D5375">
      <w:pPr>
        <w:pStyle w:val="MEMONUMBERED"/>
        <w:numPr>
          <w:ilvl w:val="0"/>
          <w:numId w:val="0"/>
        </w:numPr>
        <w:spacing w:line="240" w:lineRule="auto"/>
        <w:rPr>
          <w:sz w:val="28"/>
          <w:szCs w:val="28"/>
        </w:rPr>
      </w:pPr>
    </w:p>
    <w:p w14:paraId="7B0BE815" w14:textId="77777777" w:rsidR="00D81052" w:rsidRDefault="00D81052" w:rsidP="007103CD">
      <w:pPr>
        <w:pStyle w:val="MEMONUMBERED"/>
        <w:numPr>
          <w:ilvl w:val="0"/>
          <w:numId w:val="0"/>
        </w:numPr>
        <w:rPr>
          <w:sz w:val="28"/>
          <w:szCs w:val="28"/>
        </w:rPr>
      </w:pPr>
    </w:p>
    <w:p w14:paraId="12D36571" w14:textId="77777777"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BC6AF4">
        <w:rPr>
          <w:sz w:val="28"/>
          <w:szCs w:val="28"/>
        </w:rPr>
        <w:t>30 November 2023</w:t>
      </w:r>
    </w:p>
    <w:p w14:paraId="52E7649C" w14:textId="0CB3585F" w:rsidR="007103CD" w:rsidRDefault="007103CD" w:rsidP="007103CD">
      <w:pPr>
        <w:pStyle w:val="MEMONUMBERED"/>
        <w:numPr>
          <w:ilvl w:val="0"/>
          <w:numId w:val="0"/>
        </w:numPr>
        <w:rPr>
          <w:sz w:val="28"/>
          <w:szCs w:val="28"/>
        </w:rPr>
      </w:pPr>
      <w:r>
        <w:rPr>
          <w:sz w:val="28"/>
          <w:szCs w:val="28"/>
        </w:rPr>
        <w:t>Judgment delivered</w:t>
      </w:r>
      <w:r w:rsidR="00A30DC3">
        <w:rPr>
          <w:sz w:val="28"/>
          <w:szCs w:val="28"/>
        </w:rPr>
        <w:t xml:space="preserve">: </w:t>
      </w:r>
      <w:r w:rsidR="00323FCF">
        <w:rPr>
          <w:sz w:val="28"/>
          <w:szCs w:val="28"/>
        </w:rPr>
        <w:t>18</w:t>
      </w:r>
      <w:r w:rsidR="00FF1019">
        <w:rPr>
          <w:sz w:val="28"/>
          <w:szCs w:val="28"/>
        </w:rPr>
        <w:t xml:space="preserve"> April</w:t>
      </w:r>
      <w:r w:rsidR="00754EF0">
        <w:rPr>
          <w:sz w:val="28"/>
          <w:szCs w:val="28"/>
        </w:rPr>
        <w:t xml:space="preserve"> 2024</w:t>
      </w:r>
      <w:r w:rsidR="000A6F67">
        <w:rPr>
          <w:sz w:val="28"/>
          <w:szCs w:val="28"/>
        </w:rPr>
        <w:t xml:space="preserve">  </w:t>
      </w:r>
    </w:p>
    <w:p w14:paraId="120B963B" w14:textId="77777777" w:rsidR="00450A73" w:rsidRDefault="00450A73" w:rsidP="00141739">
      <w:pPr>
        <w:pStyle w:val="MEMONUMBERED"/>
        <w:numPr>
          <w:ilvl w:val="0"/>
          <w:numId w:val="0"/>
        </w:numPr>
        <w:rPr>
          <w:sz w:val="28"/>
          <w:szCs w:val="28"/>
        </w:rPr>
      </w:pPr>
    </w:p>
    <w:p w14:paraId="618F1BF0" w14:textId="77777777" w:rsidR="00917AA6" w:rsidRDefault="00BD05D0" w:rsidP="00141739">
      <w:pPr>
        <w:pStyle w:val="MEMONUMBERED"/>
        <w:numPr>
          <w:ilvl w:val="0"/>
          <w:numId w:val="0"/>
        </w:numPr>
        <w:rPr>
          <w:sz w:val="28"/>
          <w:szCs w:val="28"/>
        </w:rPr>
      </w:pPr>
      <w:r w:rsidRPr="003E4489">
        <w:rPr>
          <w:sz w:val="28"/>
          <w:szCs w:val="28"/>
        </w:rPr>
        <w:t>APPEARANCES:</w:t>
      </w:r>
    </w:p>
    <w:p w14:paraId="4A2FC378" w14:textId="77777777" w:rsidR="00BD05D0" w:rsidRDefault="005862DB" w:rsidP="00260793">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781B35">
        <w:rPr>
          <w:rFonts w:ascii="Times New Roman" w:hAnsi="Times New Roman" w:cs="Times New Roman"/>
          <w:sz w:val="28"/>
          <w:szCs w:val="28"/>
        </w:rPr>
        <w:t>Plaintiff</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A2430F" w:rsidRPr="00A2430F">
        <w:rPr>
          <w:rFonts w:ascii="Times New Roman" w:hAnsi="Times New Roman" w:cs="Times New Roman"/>
          <w:sz w:val="28"/>
          <w:szCs w:val="28"/>
        </w:rPr>
        <w:t xml:space="preserve">Advocate W </w:t>
      </w:r>
      <w:proofErr w:type="spellStart"/>
      <w:r w:rsidR="00A2430F" w:rsidRPr="00A2430F">
        <w:rPr>
          <w:rFonts w:ascii="Times New Roman" w:hAnsi="Times New Roman" w:cs="Times New Roman"/>
          <w:sz w:val="28"/>
          <w:szCs w:val="28"/>
        </w:rPr>
        <w:t>Lusenga</w:t>
      </w:r>
      <w:proofErr w:type="spellEnd"/>
    </w:p>
    <w:p w14:paraId="256AA10C" w14:textId="77777777" w:rsidR="00405429" w:rsidRDefault="00141739" w:rsidP="003A7BFB">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781B35">
        <w:rPr>
          <w:rFonts w:ascii="Times New Roman" w:hAnsi="Times New Roman" w:cs="Times New Roman"/>
          <w:sz w:val="28"/>
          <w:szCs w:val="28"/>
        </w:rPr>
        <w:t>Plaintiff</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r w:rsidR="00781B35">
        <w:rPr>
          <w:rFonts w:ascii="Times New Roman" w:hAnsi="Times New Roman" w:cs="Times New Roman"/>
          <w:sz w:val="28"/>
          <w:szCs w:val="28"/>
        </w:rPr>
        <w:tab/>
      </w:r>
      <w:r w:rsidR="00A2430F">
        <w:rPr>
          <w:rFonts w:ascii="Times New Roman" w:hAnsi="Times New Roman" w:cs="Times New Roman"/>
          <w:bCs/>
          <w:sz w:val="28"/>
          <w:szCs w:val="28"/>
        </w:rPr>
        <w:t>JM</w:t>
      </w:r>
      <w:r w:rsidR="00A2430F" w:rsidRPr="00A2430F">
        <w:rPr>
          <w:rFonts w:ascii="Times New Roman" w:hAnsi="Times New Roman" w:cs="Times New Roman"/>
          <w:bCs/>
          <w:sz w:val="28"/>
          <w:szCs w:val="28"/>
        </w:rPr>
        <w:t xml:space="preserve"> Modiba Attorneys</w:t>
      </w:r>
      <w:r w:rsidR="00F7210B">
        <w:rPr>
          <w:rFonts w:ascii="Times New Roman" w:hAnsi="Times New Roman" w:cs="Times New Roman"/>
          <w:sz w:val="28"/>
          <w:szCs w:val="28"/>
        </w:rPr>
        <w:t>,</w:t>
      </w:r>
      <w:r w:rsidR="00405429">
        <w:rPr>
          <w:rFonts w:ascii="Times New Roman" w:hAnsi="Times New Roman" w:cs="Times New Roman"/>
          <w:sz w:val="28"/>
          <w:szCs w:val="28"/>
        </w:rPr>
        <w:t xml:space="preserve"> Pretoria </w:t>
      </w:r>
    </w:p>
    <w:p w14:paraId="06B103A8" w14:textId="77777777" w:rsidR="00915959" w:rsidRDefault="00915959" w:rsidP="00405429">
      <w:pPr>
        <w:spacing w:after="0"/>
        <w:rPr>
          <w:rFonts w:ascii="Times New Roman" w:hAnsi="Times New Roman" w:cs="Times New Roman"/>
          <w:sz w:val="28"/>
          <w:szCs w:val="28"/>
        </w:rPr>
      </w:pPr>
    </w:p>
    <w:p w14:paraId="4FE603A5" w14:textId="77777777" w:rsidR="00915959" w:rsidRDefault="001F11E5" w:rsidP="00260793">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781B35">
        <w:rPr>
          <w:rFonts w:ascii="Times New Roman" w:hAnsi="Times New Roman" w:cs="Times New Roman"/>
          <w:sz w:val="28"/>
          <w:szCs w:val="28"/>
        </w:rPr>
        <w:t>Defendant</w:t>
      </w:r>
      <w:r>
        <w:rPr>
          <w:rFonts w:ascii="Times New Roman" w:hAnsi="Times New Roman" w:cs="Times New Roman"/>
          <w:sz w:val="28"/>
          <w:szCs w:val="28"/>
        </w:rPr>
        <w:t>:</w:t>
      </w:r>
      <w:r w:rsidR="0029006E">
        <w:rPr>
          <w:rFonts w:ascii="Times New Roman" w:hAnsi="Times New Roman" w:cs="Times New Roman"/>
          <w:sz w:val="28"/>
          <w:szCs w:val="28"/>
        </w:rPr>
        <w:tab/>
      </w:r>
      <w:r w:rsidR="0029006E">
        <w:rPr>
          <w:rFonts w:ascii="Times New Roman" w:hAnsi="Times New Roman" w:cs="Times New Roman"/>
          <w:sz w:val="28"/>
          <w:szCs w:val="28"/>
        </w:rPr>
        <w:tab/>
      </w:r>
      <w:r w:rsidR="0029006E">
        <w:rPr>
          <w:rFonts w:ascii="Times New Roman" w:hAnsi="Times New Roman" w:cs="Times New Roman"/>
          <w:sz w:val="28"/>
          <w:szCs w:val="28"/>
        </w:rPr>
        <w:tab/>
      </w:r>
      <w:r w:rsidR="00781B35">
        <w:rPr>
          <w:rFonts w:ascii="Times New Roman" w:hAnsi="Times New Roman" w:cs="Times New Roman"/>
          <w:sz w:val="28"/>
          <w:szCs w:val="28"/>
        </w:rPr>
        <w:tab/>
      </w:r>
      <w:r w:rsidR="00A2430F">
        <w:rPr>
          <w:rFonts w:ascii="Times New Roman" w:hAnsi="Times New Roman" w:cs="Times New Roman"/>
          <w:sz w:val="28"/>
          <w:szCs w:val="28"/>
        </w:rPr>
        <w:t xml:space="preserve">Mr </w:t>
      </w:r>
      <w:r w:rsidR="00A2430F" w:rsidRPr="00A2430F">
        <w:rPr>
          <w:rFonts w:ascii="Times New Roman" w:hAnsi="Times New Roman" w:cs="Times New Roman"/>
          <w:sz w:val="28"/>
          <w:szCs w:val="28"/>
        </w:rPr>
        <w:t>Frank Phago</w:t>
      </w:r>
    </w:p>
    <w:p w14:paraId="4626B2F3" w14:textId="77777777" w:rsidR="001F11E5" w:rsidRDefault="001F11E5" w:rsidP="00405429">
      <w:pPr>
        <w:spacing w:after="0"/>
        <w:rPr>
          <w:rFonts w:ascii="Times New Roman" w:hAnsi="Times New Roman" w:cs="Times New Roman"/>
          <w:sz w:val="28"/>
          <w:szCs w:val="28"/>
        </w:rPr>
      </w:pPr>
      <w:r>
        <w:rPr>
          <w:rFonts w:ascii="Times New Roman" w:hAnsi="Times New Roman" w:cs="Times New Roman"/>
          <w:sz w:val="28"/>
          <w:szCs w:val="28"/>
        </w:rPr>
        <w:t>Attorney for the</w:t>
      </w:r>
      <w:r w:rsidR="00A30DC3">
        <w:rPr>
          <w:rFonts w:ascii="Times New Roman" w:hAnsi="Times New Roman" w:cs="Times New Roman"/>
          <w:sz w:val="28"/>
          <w:szCs w:val="28"/>
        </w:rPr>
        <w:t xml:space="preserve"> </w:t>
      </w:r>
      <w:r w:rsidR="00781B35">
        <w:rPr>
          <w:rFonts w:ascii="Times New Roman" w:hAnsi="Times New Roman" w:cs="Times New Roman"/>
          <w:sz w:val="28"/>
          <w:szCs w:val="28"/>
        </w:rPr>
        <w:t>Defendant</w:t>
      </w:r>
      <w:r>
        <w:rPr>
          <w:rFonts w:ascii="Times New Roman" w:hAnsi="Times New Roman" w:cs="Times New Roman"/>
          <w:sz w:val="28"/>
          <w:szCs w:val="28"/>
        </w:rPr>
        <w:t>:</w:t>
      </w:r>
      <w:r>
        <w:rPr>
          <w:rFonts w:ascii="Times New Roman" w:hAnsi="Times New Roman" w:cs="Times New Roman"/>
          <w:sz w:val="28"/>
          <w:szCs w:val="28"/>
        </w:rPr>
        <w:tab/>
      </w:r>
      <w:r w:rsidR="00260793">
        <w:rPr>
          <w:rFonts w:ascii="Times New Roman" w:hAnsi="Times New Roman" w:cs="Times New Roman"/>
          <w:sz w:val="28"/>
          <w:szCs w:val="28"/>
        </w:rPr>
        <w:tab/>
      </w:r>
      <w:r w:rsidR="00A2430F">
        <w:rPr>
          <w:rFonts w:ascii="Times New Roman" w:hAnsi="Times New Roman" w:cs="Times New Roman"/>
          <w:sz w:val="28"/>
          <w:szCs w:val="28"/>
        </w:rPr>
        <w:t>The State attorney</w:t>
      </w:r>
      <w:r w:rsidR="009C3C8C">
        <w:rPr>
          <w:rFonts w:ascii="Times New Roman" w:hAnsi="Times New Roman" w:cs="Times New Roman"/>
          <w:sz w:val="28"/>
          <w:szCs w:val="28"/>
        </w:rPr>
        <w:t xml:space="preserve">, </w:t>
      </w:r>
      <w:r>
        <w:rPr>
          <w:rFonts w:ascii="Times New Roman" w:hAnsi="Times New Roman" w:cs="Times New Roman"/>
          <w:sz w:val="28"/>
          <w:szCs w:val="28"/>
        </w:rPr>
        <w:t xml:space="preserve">Pretoria </w:t>
      </w:r>
    </w:p>
    <w:sectPr w:rsidR="001F11E5" w:rsidSect="00835235">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AC952" w14:textId="77777777" w:rsidR="00835235" w:rsidRDefault="00835235" w:rsidP="00AA0559">
      <w:pPr>
        <w:spacing w:after="0" w:line="240" w:lineRule="auto"/>
      </w:pPr>
      <w:r>
        <w:separator/>
      </w:r>
    </w:p>
  </w:endnote>
  <w:endnote w:type="continuationSeparator" w:id="0">
    <w:p w14:paraId="217E64A4" w14:textId="77777777" w:rsidR="00835235" w:rsidRDefault="00835235"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B0B4C" w14:textId="77777777" w:rsidR="00835235" w:rsidRDefault="00835235" w:rsidP="00AA0559">
      <w:pPr>
        <w:spacing w:after="0" w:line="240" w:lineRule="auto"/>
      </w:pPr>
      <w:r>
        <w:separator/>
      </w:r>
    </w:p>
  </w:footnote>
  <w:footnote w:type="continuationSeparator" w:id="0">
    <w:p w14:paraId="6FEEB235" w14:textId="77777777" w:rsidR="00835235" w:rsidRDefault="00835235" w:rsidP="00AA0559">
      <w:pPr>
        <w:spacing w:after="0" w:line="240" w:lineRule="auto"/>
      </w:pPr>
      <w:r>
        <w:continuationSeparator/>
      </w:r>
    </w:p>
  </w:footnote>
  <w:footnote w:id="1">
    <w:p w14:paraId="52A3852E" w14:textId="24C0A442" w:rsidR="00781B35" w:rsidRDefault="00781B35">
      <w:pPr>
        <w:pStyle w:val="FootnoteText"/>
      </w:pPr>
      <w:r>
        <w:rPr>
          <w:rStyle w:val="FootnoteReference"/>
        </w:rPr>
        <w:footnoteRef/>
      </w:r>
      <w:r>
        <w:t xml:space="preserve"> </w:t>
      </w:r>
      <w:r w:rsidR="006F2517">
        <w:t>56 of 1996</w:t>
      </w:r>
    </w:p>
  </w:footnote>
  <w:footnote w:id="2">
    <w:p w14:paraId="663911B9" w14:textId="772E42A6" w:rsidR="00781B35" w:rsidRDefault="00781B35">
      <w:pPr>
        <w:pStyle w:val="FootnoteText"/>
      </w:pPr>
      <w:r>
        <w:rPr>
          <w:rStyle w:val="FootnoteReference"/>
        </w:rPr>
        <w:footnoteRef/>
      </w:r>
      <w:r>
        <w:t xml:space="preserve"> </w:t>
      </w:r>
      <w:r w:rsidRPr="002E0D63">
        <w:rPr>
          <w:i/>
        </w:rPr>
        <w:t>Langley v William</w:t>
      </w:r>
      <w:r>
        <w:t xml:space="preserve"> 1907 TH 197, </w:t>
      </w:r>
      <w:r w:rsidRPr="002E0D63">
        <w:rPr>
          <w:i/>
        </w:rPr>
        <w:t>Leggat &amp; Others v Forr</w:t>
      </w:r>
      <w:r w:rsidR="00E202B7">
        <w:rPr>
          <w:i/>
        </w:rPr>
        <w:t>es</w:t>
      </w:r>
      <w:r w:rsidRPr="002E0D63">
        <w:rPr>
          <w:i/>
        </w:rPr>
        <w:t>ter</w:t>
      </w:r>
      <w:r>
        <w:t xml:space="preserve"> 1925 WLD and </w:t>
      </w:r>
      <w:r w:rsidRPr="002E0D63">
        <w:rPr>
          <w:i/>
        </w:rPr>
        <w:t>Moster</w:t>
      </w:r>
      <w:r w:rsidR="00E202B7">
        <w:rPr>
          <w:i/>
        </w:rPr>
        <w:t>t</w:t>
      </w:r>
      <w:r w:rsidRPr="002E0D63">
        <w:rPr>
          <w:i/>
        </w:rPr>
        <w:t xml:space="preserve"> v </w:t>
      </w:r>
      <w:proofErr w:type="spellStart"/>
      <w:r w:rsidRPr="002E0D63">
        <w:rPr>
          <w:i/>
        </w:rPr>
        <w:t>Pinenaar</w:t>
      </w:r>
      <w:proofErr w:type="spellEnd"/>
      <w:r>
        <w:t xml:space="preserve"> 1930 WLD 151.</w:t>
      </w:r>
    </w:p>
  </w:footnote>
  <w:footnote w:id="3">
    <w:p w14:paraId="3669C225" w14:textId="77777777" w:rsidR="00781B35" w:rsidRDefault="00781B35">
      <w:pPr>
        <w:pStyle w:val="FootnoteText"/>
      </w:pPr>
      <w:r>
        <w:rPr>
          <w:rStyle w:val="FootnoteReference"/>
        </w:rPr>
        <w:footnoteRef/>
      </w:r>
      <w:r>
        <w:t xml:space="preserve"> (</w:t>
      </w:r>
      <w:proofErr w:type="gramStart"/>
      <w:r>
        <w:t>59473)[</w:t>
      </w:r>
      <w:proofErr w:type="gramEnd"/>
      <w:r>
        <w:t>2015] ZAGPPHC 346 (15 May 2015) (</w:t>
      </w:r>
      <w:r w:rsidRPr="00A33C27">
        <w:rPr>
          <w:i/>
        </w:rPr>
        <w:t>Burger</w:t>
      </w:r>
      <w:r>
        <w:t>)</w:t>
      </w:r>
    </w:p>
  </w:footnote>
  <w:footnote w:id="4">
    <w:p w14:paraId="1249DA6A" w14:textId="3FD065A7" w:rsidR="00781B35" w:rsidRDefault="00781B35">
      <w:pPr>
        <w:pStyle w:val="FootnoteText"/>
      </w:pPr>
      <w:r>
        <w:rPr>
          <w:rStyle w:val="FootnoteReference"/>
        </w:rPr>
        <w:footnoteRef/>
      </w:r>
      <w:r>
        <w:t xml:space="preserve"> </w:t>
      </w:r>
      <w:r w:rsidRPr="00FF1019">
        <w:rPr>
          <w:i/>
        </w:rPr>
        <w:t xml:space="preserve">Herbstein and Van </w:t>
      </w:r>
      <w:proofErr w:type="spellStart"/>
      <w:r w:rsidRPr="00FF1019">
        <w:rPr>
          <w:i/>
        </w:rPr>
        <w:t>Wins</w:t>
      </w:r>
      <w:r w:rsidR="00E202B7">
        <w:rPr>
          <w:i/>
        </w:rPr>
        <w:t>e</w:t>
      </w:r>
      <w:r w:rsidRPr="00FF1019">
        <w:rPr>
          <w:i/>
        </w:rPr>
        <w:t>n</w:t>
      </w:r>
      <w:proofErr w:type="spellEnd"/>
      <w:r>
        <w:t>, The Civil Practice of the High Courts of South Africa, 5</w:t>
      </w:r>
      <w:r w:rsidRPr="00FF1019">
        <w:rPr>
          <w:vertAlign w:val="superscript"/>
        </w:rPr>
        <w:t>th</w:t>
      </w:r>
      <w:r>
        <w:t xml:space="preserve"> ed at par 824.</w:t>
      </w:r>
    </w:p>
  </w:footnote>
  <w:footnote w:id="5">
    <w:p w14:paraId="364CC73C" w14:textId="77777777" w:rsidR="00781B35" w:rsidRDefault="00781B35">
      <w:pPr>
        <w:pStyle w:val="FootnoteText"/>
      </w:pPr>
      <w:r>
        <w:rPr>
          <w:rStyle w:val="FootnoteReference"/>
        </w:rPr>
        <w:footnoteRef/>
      </w:r>
      <w:r>
        <w:t xml:space="preserve"> (26017/2016) [2022] ZAGPJHC 864 (31 October 2022)</w:t>
      </w:r>
    </w:p>
  </w:footnote>
  <w:footnote w:id="6">
    <w:p w14:paraId="3A842183" w14:textId="77777777" w:rsidR="00781B35" w:rsidRDefault="00781B35">
      <w:pPr>
        <w:pStyle w:val="FootnoteText"/>
      </w:pPr>
      <w:r>
        <w:rPr>
          <w:rStyle w:val="FootnoteReference"/>
        </w:rPr>
        <w:footnoteRef/>
      </w:r>
      <w:r>
        <w:t xml:space="preserve"> </w:t>
      </w:r>
      <w:r w:rsidRPr="007E0E6B">
        <w:rPr>
          <w:i/>
        </w:rPr>
        <w:t>Motala NO v RAF</w:t>
      </w:r>
      <w:r>
        <w:t xml:space="preserve"> (42353/2019) [2023] ZAGPJHC 1323 (15 November 2023) (</w:t>
      </w:r>
      <w:r w:rsidRPr="007E0E6B">
        <w:rPr>
          <w:i/>
        </w:rPr>
        <w:t>Motala</w:t>
      </w:r>
      <w:r>
        <w:t>)</w:t>
      </w:r>
    </w:p>
  </w:footnote>
  <w:footnote w:id="7">
    <w:p w14:paraId="7A067AD3" w14:textId="77777777" w:rsidR="00781B35" w:rsidRDefault="00781B35">
      <w:pPr>
        <w:pStyle w:val="FootnoteText"/>
      </w:pPr>
      <w:r>
        <w:rPr>
          <w:rStyle w:val="FootnoteReference"/>
        </w:rPr>
        <w:footnoteRef/>
      </w:r>
      <w:r>
        <w:t xml:space="preserve"> </w:t>
      </w:r>
      <w:r w:rsidRPr="004C1EE3">
        <w:rPr>
          <w:i/>
        </w:rPr>
        <w:t xml:space="preserve">Minister of Police v </w:t>
      </w:r>
      <w:proofErr w:type="spellStart"/>
      <w:r w:rsidRPr="004C1EE3">
        <w:rPr>
          <w:i/>
        </w:rPr>
        <w:t>Michillies</w:t>
      </w:r>
      <w:proofErr w:type="spellEnd"/>
      <w:r>
        <w:t xml:space="preserve"> (1011/</w:t>
      </w:r>
      <w:proofErr w:type="gramStart"/>
      <w:r>
        <w:t>2022)[</w:t>
      </w:r>
      <w:proofErr w:type="gramEnd"/>
      <w:r>
        <w:t>2023] ZANWHC 90 22 June 2023 (</w:t>
      </w:r>
      <w:proofErr w:type="spellStart"/>
      <w:r w:rsidRPr="004C1EE3">
        <w:rPr>
          <w:i/>
        </w:rPr>
        <w:t>Michillies</w:t>
      </w:r>
      <w:proofErr w:type="spellEnd"/>
      <w:r>
        <w:t>)</w:t>
      </w:r>
    </w:p>
  </w:footnote>
  <w:footnote w:id="8">
    <w:p w14:paraId="65A2E17E" w14:textId="77777777" w:rsidR="00781B35" w:rsidRDefault="00781B35">
      <w:pPr>
        <w:pStyle w:val="FootnoteText"/>
      </w:pPr>
      <w:r>
        <w:rPr>
          <w:rStyle w:val="FootnoteReference"/>
        </w:rPr>
        <w:footnoteRef/>
      </w:r>
      <w:r>
        <w:t xml:space="preserve"> 10 of 2013.</w:t>
      </w:r>
    </w:p>
  </w:footnote>
  <w:footnote w:id="9">
    <w:p w14:paraId="34B18DE5" w14:textId="77777777" w:rsidR="00781B35" w:rsidRDefault="00781B35">
      <w:pPr>
        <w:pStyle w:val="FootnoteText"/>
      </w:pPr>
      <w:r>
        <w:rPr>
          <w:rStyle w:val="FootnoteReference"/>
        </w:rPr>
        <w:footnoteRef/>
      </w:r>
      <w:r>
        <w:t xml:space="preserve"> See: </w:t>
      </w:r>
      <w:proofErr w:type="spellStart"/>
      <w:r w:rsidRPr="00DC76AF">
        <w:rPr>
          <w:i/>
        </w:rPr>
        <w:t>Mukaddam</w:t>
      </w:r>
      <w:proofErr w:type="spellEnd"/>
      <w:r w:rsidRPr="00DC76AF">
        <w:rPr>
          <w:i/>
        </w:rPr>
        <w:t xml:space="preserve"> v Pioneer Foods (Pty) Ltd</w:t>
      </w:r>
      <w:r>
        <w:t xml:space="preserve"> 2013 (5) SA 89 (CC) per Jafta J at par [31].</w:t>
      </w:r>
    </w:p>
  </w:footnote>
  <w:footnote w:id="10">
    <w:p w14:paraId="1A9D4BFB" w14:textId="21FF2B2A" w:rsidR="00781B35" w:rsidRDefault="00781B35">
      <w:pPr>
        <w:pStyle w:val="FootnoteText"/>
      </w:pPr>
      <w:r>
        <w:rPr>
          <w:rStyle w:val="FootnoteReference"/>
        </w:rPr>
        <w:footnoteRef/>
      </w:r>
      <w:r>
        <w:t xml:space="preserve"> Section 34 has both a substantive provision</w:t>
      </w:r>
      <w:r w:rsidR="00BA2876">
        <w:t xml:space="preserve">, being </w:t>
      </w:r>
      <w:r>
        <w:t xml:space="preserve">access to courts and </w:t>
      </w:r>
      <w:r w:rsidR="00620DFD">
        <w:t>a</w:t>
      </w:r>
      <w:r>
        <w:t xml:space="preserve"> procedural element –</w:t>
      </w:r>
      <w:r w:rsidR="00620DFD">
        <w:t>See:</w:t>
      </w:r>
      <w:r>
        <w:t xml:space="preserve"> </w:t>
      </w:r>
      <w:r w:rsidRPr="00DC76AF">
        <w:rPr>
          <w:i/>
        </w:rPr>
        <w:t>Stopforth, Swanepoel &amp; Brevis Inc v Royal Anthem (Pty) Ltd</w:t>
      </w:r>
      <w:r>
        <w:t xml:space="preserve"> 2015 (2) SA 539 (CC)</w:t>
      </w:r>
      <w:r w:rsidR="00620DFD">
        <w:t>,</w:t>
      </w:r>
      <w:r>
        <w:t xml:space="preserve"> Erasmus, Superior Court Practice, A-28 and </w:t>
      </w:r>
      <w:r w:rsidRPr="00620DFD">
        <w:rPr>
          <w:i/>
          <w:iCs/>
        </w:rPr>
        <w:t>Currie &amp; De Waal</w:t>
      </w:r>
      <w:r>
        <w:t>, The Bill of Rights Handbook, Juta, 6</w:t>
      </w:r>
      <w:r w:rsidRPr="00DC76AF">
        <w:rPr>
          <w:vertAlign w:val="superscript"/>
        </w:rPr>
        <w:t>th</w:t>
      </w:r>
      <w:r>
        <w:t xml:space="preserve"> Edition at 31.3</w:t>
      </w:r>
    </w:p>
  </w:footnote>
  <w:footnote w:id="11">
    <w:p w14:paraId="1F78A218" w14:textId="2AB8A5B3" w:rsidR="00781B35" w:rsidRDefault="00781B35">
      <w:pPr>
        <w:pStyle w:val="FootnoteText"/>
      </w:pPr>
      <w:r>
        <w:rPr>
          <w:rStyle w:val="FootnoteReference"/>
        </w:rPr>
        <w:footnoteRef/>
      </w:r>
      <w:r>
        <w:t xml:space="preserve"> </w:t>
      </w:r>
      <w:r w:rsidRPr="000034AB">
        <w:rPr>
          <w:i/>
        </w:rPr>
        <w:t xml:space="preserve">Wilson v Die </w:t>
      </w:r>
      <w:proofErr w:type="spellStart"/>
      <w:r w:rsidRPr="000034AB">
        <w:rPr>
          <w:i/>
        </w:rPr>
        <w:t>Afrikaanse</w:t>
      </w:r>
      <w:proofErr w:type="spellEnd"/>
      <w:r w:rsidRPr="000034AB">
        <w:rPr>
          <w:i/>
        </w:rPr>
        <w:t xml:space="preserve"> Per</w:t>
      </w:r>
      <w:r w:rsidR="00BA2876">
        <w:rPr>
          <w:i/>
        </w:rPr>
        <w:t>s</w:t>
      </w:r>
      <w:r w:rsidRPr="000034AB">
        <w:rPr>
          <w:i/>
        </w:rPr>
        <w:t xml:space="preserve"> </w:t>
      </w:r>
      <w:proofErr w:type="spellStart"/>
      <w:r w:rsidRPr="000034AB">
        <w:rPr>
          <w:i/>
        </w:rPr>
        <w:t>Publikasies</w:t>
      </w:r>
      <w:proofErr w:type="spellEnd"/>
      <w:r>
        <w:t xml:space="preserve"> </w:t>
      </w:r>
      <w:r w:rsidRPr="00BA2876">
        <w:rPr>
          <w:i/>
          <w:iCs/>
        </w:rPr>
        <w:t>(</w:t>
      </w:r>
      <w:proofErr w:type="spellStart"/>
      <w:r w:rsidRPr="00BA2876">
        <w:rPr>
          <w:i/>
          <w:iCs/>
        </w:rPr>
        <w:t>Edms</w:t>
      </w:r>
      <w:proofErr w:type="spellEnd"/>
      <w:r w:rsidRPr="00BA2876">
        <w:rPr>
          <w:i/>
          <w:iCs/>
        </w:rPr>
        <w:t xml:space="preserve">) </w:t>
      </w:r>
      <w:proofErr w:type="spellStart"/>
      <w:r w:rsidRPr="00BA2876">
        <w:rPr>
          <w:i/>
          <w:iCs/>
        </w:rPr>
        <w:t>Bpk</w:t>
      </w:r>
      <w:proofErr w:type="spellEnd"/>
      <w:r>
        <w:t xml:space="preserve"> 1971 (3) SA 455 (T) at 462H – </w:t>
      </w:r>
      <w:proofErr w:type="gramStart"/>
      <w:r>
        <w:t>463B</w:t>
      </w:r>
      <w:proofErr w:type="gramEnd"/>
    </w:p>
  </w:footnote>
  <w:footnote w:id="12">
    <w:p w14:paraId="71EF3840" w14:textId="77777777" w:rsidR="00781B35" w:rsidRDefault="00781B35">
      <w:pPr>
        <w:pStyle w:val="FootnoteText"/>
      </w:pPr>
      <w:r>
        <w:rPr>
          <w:rStyle w:val="FootnoteReference"/>
        </w:rPr>
        <w:footnoteRef/>
      </w:r>
      <w:r>
        <w:t xml:space="preserve"> See: </w:t>
      </w:r>
      <w:r>
        <w:rPr>
          <w:i/>
        </w:rPr>
        <w:t>MEC, Department of Public Wo</w:t>
      </w:r>
      <w:r w:rsidRPr="00EE6FD2">
        <w:rPr>
          <w:i/>
        </w:rPr>
        <w:t>r</w:t>
      </w:r>
      <w:r>
        <w:rPr>
          <w:i/>
        </w:rPr>
        <w:t>k</w:t>
      </w:r>
      <w:r w:rsidRPr="00EE6FD2">
        <w:rPr>
          <w:i/>
        </w:rPr>
        <w:t>s v Ikamva Architects &amp; Others</w:t>
      </w:r>
      <w:r>
        <w:t xml:space="preserve"> 2022 (6) SA 275 (ECB)- at [18] – [21] and </w:t>
      </w:r>
      <w:r w:rsidRPr="00EE6FD2">
        <w:rPr>
          <w:i/>
        </w:rPr>
        <w:t>Ikamva Architects v MEC, Public Works</w:t>
      </w:r>
      <w:r>
        <w:t xml:space="preserve"> [2014] ZAECGHC 70.</w:t>
      </w:r>
    </w:p>
  </w:footnote>
  <w:footnote w:id="13">
    <w:p w14:paraId="014DDEAC" w14:textId="67BAA3D9" w:rsidR="00781B35" w:rsidRDefault="00781B35">
      <w:pPr>
        <w:pStyle w:val="FootnoteText"/>
      </w:pPr>
      <w:r>
        <w:rPr>
          <w:rStyle w:val="FootnoteReference"/>
        </w:rPr>
        <w:footnoteRef/>
      </w:r>
      <w:r>
        <w:t xml:space="preserve"> </w:t>
      </w:r>
      <w:r w:rsidR="00BA2876">
        <w:rPr>
          <w:i/>
        </w:rPr>
        <w:t>Has</w:t>
      </w:r>
      <w:r w:rsidRPr="003A5CE3">
        <w:rPr>
          <w:i/>
        </w:rPr>
        <w:t>sim v Bekker (Grace Heaven Industries (Pty) Ltd</w:t>
      </w:r>
      <w:r w:rsidR="00BA2876">
        <w:rPr>
          <w:i/>
        </w:rPr>
        <w:t xml:space="preserve"> intervening</w:t>
      </w:r>
      <w:r w:rsidR="00BA2876">
        <w:rPr>
          <w:i/>
          <w:iCs/>
        </w:rPr>
        <w:t>)</w:t>
      </w:r>
      <w:r>
        <w:t xml:space="preserve"> 2018 JDR 1007 (GJ) per Modiba J (</w:t>
      </w:r>
      <w:r w:rsidRPr="003A5CE3">
        <w:rPr>
          <w:i/>
        </w:rPr>
        <w:t>Hassim</w:t>
      </w:r>
      <w:r>
        <w:t>).</w:t>
      </w:r>
    </w:p>
  </w:footnote>
  <w:footnote w:id="14">
    <w:p w14:paraId="236423DC" w14:textId="04DEE9FE" w:rsidR="00781B35" w:rsidRDefault="00781B35">
      <w:pPr>
        <w:pStyle w:val="FootnoteText"/>
      </w:pPr>
      <w:r>
        <w:rPr>
          <w:rStyle w:val="FootnoteReference"/>
        </w:rPr>
        <w:footnoteRef/>
      </w:r>
      <w:r>
        <w:t xml:space="preserve"> </w:t>
      </w:r>
      <w:r w:rsidRPr="00D6644B">
        <w:rPr>
          <w:i/>
        </w:rPr>
        <w:t>Olivier v MEC for Health, Western Cape</w:t>
      </w:r>
      <w:r>
        <w:t xml:space="preserve"> 2023 (</w:t>
      </w:r>
      <w:r w:rsidR="009E1B9B">
        <w:t>2</w:t>
      </w:r>
      <w:r>
        <w:t>) SA 551(WCC) at [21]</w:t>
      </w:r>
      <w:r w:rsidR="002A536D">
        <w:t xml:space="preserve"> (</w:t>
      </w:r>
      <w:r w:rsidR="002A536D">
        <w:rPr>
          <w:i/>
          <w:iCs/>
        </w:rPr>
        <w:t>Olivier</w:t>
      </w:r>
      <w:r w:rsidR="002A536D">
        <w:t>)</w:t>
      </w:r>
      <w:r>
        <w:t xml:space="preserve"> </w:t>
      </w:r>
    </w:p>
  </w:footnote>
  <w:footnote w:id="15">
    <w:p w14:paraId="53C06B50" w14:textId="0F8EAA56" w:rsidR="00781B35" w:rsidRDefault="00781B35">
      <w:pPr>
        <w:pStyle w:val="FootnoteText"/>
      </w:pPr>
      <w:r>
        <w:rPr>
          <w:rStyle w:val="FootnoteReference"/>
        </w:rPr>
        <w:footnoteRef/>
      </w:r>
      <w:r>
        <w:t xml:space="preserve"> </w:t>
      </w:r>
      <w:r w:rsidRPr="008F7EB1">
        <w:rPr>
          <w:i/>
        </w:rPr>
        <w:t xml:space="preserve">KS v MS </w:t>
      </w:r>
      <w:r>
        <w:t xml:space="preserve">2016 (1) SA 64 (KZD) par [16]. </w:t>
      </w:r>
    </w:p>
  </w:footnote>
  <w:footnote w:id="16">
    <w:p w14:paraId="17E1D0D7" w14:textId="0CA3BAD6" w:rsidR="00781B35" w:rsidRDefault="00781B35">
      <w:pPr>
        <w:pStyle w:val="FootnoteText"/>
      </w:pPr>
      <w:r>
        <w:rPr>
          <w:rStyle w:val="FootnoteReference"/>
        </w:rPr>
        <w:footnoteRef/>
      </w:r>
      <w:r>
        <w:t xml:space="preserve"> </w:t>
      </w:r>
      <w:r w:rsidRPr="008F7EB1">
        <w:rPr>
          <w:i/>
        </w:rPr>
        <w:t xml:space="preserve">Natal Joint Municipal </w:t>
      </w:r>
      <w:proofErr w:type="spellStart"/>
      <w:r w:rsidRPr="008F7EB1">
        <w:rPr>
          <w:i/>
        </w:rPr>
        <w:t>Pensiion</w:t>
      </w:r>
      <w:proofErr w:type="spellEnd"/>
      <w:r w:rsidRPr="008F7EB1">
        <w:rPr>
          <w:i/>
        </w:rPr>
        <w:t xml:space="preserve"> Fund v </w:t>
      </w:r>
      <w:proofErr w:type="spellStart"/>
      <w:r w:rsidRPr="008F7EB1">
        <w:rPr>
          <w:i/>
        </w:rPr>
        <w:t>Endumeni</w:t>
      </w:r>
      <w:proofErr w:type="spellEnd"/>
      <w:r w:rsidRPr="008F7EB1">
        <w:rPr>
          <w:i/>
        </w:rPr>
        <w:t xml:space="preserve"> Municipality</w:t>
      </w:r>
      <w:r>
        <w:t xml:space="preserve"> 2012 (4) SA 593 (SCA) at par</w:t>
      </w:r>
      <w:r w:rsidR="00842B92">
        <w:t>as [13] and</w:t>
      </w:r>
      <w:r>
        <w:t xml:space="preserve"> [15]. (</w:t>
      </w:r>
      <w:proofErr w:type="spellStart"/>
      <w:r w:rsidRPr="008F7EB1">
        <w:rPr>
          <w:i/>
        </w:rPr>
        <w:t>Endumeni</w:t>
      </w:r>
      <w:proofErr w:type="spellEnd"/>
      <w:r>
        <w:t>)</w:t>
      </w:r>
    </w:p>
  </w:footnote>
  <w:footnote w:id="17">
    <w:p w14:paraId="4D159222" w14:textId="77777777" w:rsidR="00781B35" w:rsidRDefault="00781B35">
      <w:pPr>
        <w:pStyle w:val="FootnoteText"/>
      </w:pPr>
      <w:r>
        <w:rPr>
          <w:rStyle w:val="FootnoteReference"/>
        </w:rPr>
        <w:footnoteRef/>
      </w:r>
      <w:r>
        <w:t xml:space="preserve"> </w:t>
      </w:r>
      <w:proofErr w:type="spellStart"/>
      <w:r w:rsidRPr="00AE42A4">
        <w:rPr>
          <w:i/>
        </w:rPr>
        <w:t>Endumeni</w:t>
      </w:r>
      <w:proofErr w:type="spellEnd"/>
      <w:r>
        <w:t xml:space="preserve"> at par [14].</w:t>
      </w:r>
    </w:p>
  </w:footnote>
  <w:footnote w:id="18">
    <w:p w14:paraId="4F940DDF" w14:textId="77777777" w:rsidR="00781B35" w:rsidRDefault="00781B35">
      <w:pPr>
        <w:pStyle w:val="FootnoteText"/>
      </w:pPr>
      <w:r>
        <w:rPr>
          <w:rStyle w:val="FootnoteReference"/>
        </w:rPr>
        <w:footnoteRef/>
      </w:r>
      <w:r>
        <w:t xml:space="preserve"> 1972 (2) SA 601 (A) at 608D- E</w:t>
      </w:r>
    </w:p>
  </w:footnote>
  <w:footnote w:id="19">
    <w:p w14:paraId="7DE516F3" w14:textId="77777777" w:rsidR="00781B35" w:rsidRDefault="00781B35">
      <w:pPr>
        <w:pStyle w:val="FootnoteText"/>
      </w:pPr>
      <w:r>
        <w:rPr>
          <w:rStyle w:val="FootnoteReference"/>
        </w:rPr>
        <w:footnoteRef/>
      </w:r>
      <w:r>
        <w:t xml:space="preserve"> See: Erasmus at D1 - 344</w:t>
      </w:r>
    </w:p>
  </w:footnote>
  <w:footnote w:id="20">
    <w:p w14:paraId="58AE5A8B" w14:textId="21981AD9" w:rsidR="00781B35" w:rsidRDefault="00781B35">
      <w:pPr>
        <w:pStyle w:val="FootnoteText"/>
      </w:pPr>
      <w:r>
        <w:rPr>
          <w:rStyle w:val="FootnoteReference"/>
        </w:rPr>
        <w:footnoteRef/>
      </w:r>
      <w:r>
        <w:t xml:space="preserve"> </w:t>
      </w:r>
      <w:r w:rsidR="00105653">
        <w:t>19 of 2005</w:t>
      </w:r>
    </w:p>
  </w:footnote>
  <w:footnote w:id="21">
    <w:p w14:paraId="33D4607C" w14:textId="77777777" w:rsidR="00781B35" w:rsidRDefault="00781B35">
      <w:pPr>
        <w:pStyle w:val="FootnoteText"/>
      </w:pPr>
      <w:r>
        <w:rPr>
          <w:rStyle w:val="FootnoteReference"/>
        </w:rPr>
        <w:footnoteRef/>
      </w:r>
      <w:r>
        <w:t xml:space="preserve"> See for example </w:t>
      </w:r>
      <w:r w:rsidRPr="00CA3786">
        <w:rPr>
          <w:i/>
        </w:rPr>
        <w:t xml:space="preserve">Jones NO v </w:t>
      </w:r>
      <w:proofErr w:type="spellStart"/>
      <w:r w:rsidRPr="00CA3786">
        <w:rPr>
          <w:i/>
        </w:rPr>
        <w:t>Santum</w:t>
      </w:r>
      <w:proofErr w:type="spellEnd"/>
      <w:r w:rsidRPr="00CA3786">
        <w:rPr>
          <w:i/>
        </w:rPr>
        <w:t xml:space="preserve"> Ltd</w:t>
      </w:r>
      <w:r>
        <w:t xml:space="preserve"> 1965(2) SA 542 (A) and </w:t>
      </w:r>
      <w:r w:rsidRPr="00CA3786">
        <w:rPr>
          <w:i/>
        </w:rPr>
        <w:t>Eskom Holdings Ltd v Hendricks</w:t>
      </w:r>
      <w:r>
        <w:t xml:space="preserve"> 2005 (5) SA 503 (SCA).</w:t>
      </w:r>
    </w:p>
  </w:footnote>
  <w:footnote w:id="22">
    <w:p w14:paraId="758654A7" w14:textId="77777777" w:rsidR="00781B35" w:rsidRDefault="00781B35">
      <w:pPr>
        <w:pStyle w:val="FootnoteText"/>
      </w:pPr>
      <w:r>
        <w:rPr>
          <w:rStyle w:val="FootnoteReference"/>
        </w:rPr>
        <w:footnoteRef/>
      </w:r>
      <w:r>
        <w:t xml:space="preserve"> </w:t>
      </w:r>
      <w:r w:rsidRPr="000B2542">
        <w:rPr>
          <w:i/>
        </w:rPr>
        <w:t>Esso Standard SA (Pty) Ltd v Katz</w:t>
      </w:r>
      <w:r>
        <w:t xml:space="preserve"> 1981 (1) SA 964 (A).</w:t>
      </w:r>
    </w:p>
  </w:footnote>
  <w:footnote w:id="23">
    <w:p w14:paraId="3D6A822E" w14:textId="77777777" w:rsidR="00781B35" w:rsidRDefault="00781B35">
      <w:pPr>
        <w:pStyle w:val="FootnoteText"/>
      </w:pPr>
      <w:r>
        <w:rPr>
          <w:rStyle w:val="FootnoteReference"/>
        </w:rPr>
        <w:footnoteRef/>
      </w:r>
      <w:r>
        <w:t xml:space="preserve"> </w:t>
      </w:r>
      <w:r w:rsidRPr="00DF3812">
        <w:rPr>
          <w:i/>
        </w:rPr>
        <w:t>Goodall v President Insurance Co Ltd</w:t>
      </w:r>
      <w:r>
        <w:t xml:space="preserve"> 1978 (1) SA 389 (w) at 393.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205627"/>
      <w:docPartObj>
        <w:docPartGallery w:val="Page Numbers (Top of Page)"/>
        <w:docPartUnique/>
      </w:docPartObj>
    </w:sdtPr>
    <w:sdtEndPr>
      <w:rPr>
        <w:noProof/>
      </w:rPr>
    </w:sdtEndPr>
    <w:sdtContent>
      <w:p w14:paraId="0C6B6800" w14:textId="77777777" w:rsidR="00781B35" w:rsidRDefault="00781B35">
        <w:pPr>
          <w:pStyle w:val="Header"/>
          <w:jc w:val="right"/>
        </w:pPr>
        <w:r>
          <w:fldChar w:fldCharType="begin"/>
        </w:r>
        <w:r>
          <w:instrText xml:space="preserve"> PAGE   \* MERGEFORMAT </w:instrText>
        </w:r>
        <w:r>
          <w:fldChar w:fldCharType="separate"/>
        </w:r>
        <w:r w:rsidR="009E2184">
          <w:rPr>
            <w:noProof/>
          </w:rPr>
          <w:t>26</w:t>
        </w:r>
        <w:r>
          <w:rPr>
            <w:noProof/>
          </w:rPr>
          <w:fldChar w:fldCharType="end"/>
        </w:r>
      </w:p>
    </w:sdtContent>
  </w:sdt>
  <w:p w14:paraId="0F81891E" w14:textId="77777777" w:rsidR="00781B35" w:rsidRDefault="00781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15:restartNumberingAfterBreak="0">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161400"/>
    <w:multiLevelType w:val="hybridMultilevel"/>
    <w:tmpl w:val="F2C629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0F7F72"/>
    <w:multiLevelType w:val="hybridMultilevel"/>
    <w:tmpl w:val="5BFEA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4005F3"/>
    <w:multiLevelType w:val="hybridMultilevel"/>
    <w:tmpl w:val="F2C629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554E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6" w15:restartNumberingAfterBreak="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8" w15:restartNumberingAfterBreak="0">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6D60C7"/>
    <w:multiLevelType w:val="hybridMultilevel"/>
    <w:tmpl w:val="42B237D6"/>
    <w:lvl w:ilvl="0" w:tplc="784C56C2">
      <w:start w:val="1"/>
      <w:numFmt w:val="decimal"/>
      <w:lvlText w:val="[%1]"/>
      <w:lvlJc w:val="left"/>
      <w:pPr>
        <w:ind w:left="3600" w:hanging="360"/>
      </w:pPr>
      <w:rPr>
        <w:rFonts w:hint="default"/>
        <w:b w:val="0"/>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4" w15:restartNumberingAfterBreak="0">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6"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3685B2E"/>
    <w:multiLevelType w:val="hybridMultilevel"/>
    <w:tmpl w:val="19088F30"/>
    <w:lvl w:ilvl="0" w:tplc="BDF84B10">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41" w15:restartNumberingAfterBreak="0">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70966FF"/>
    <w:multiLevelType w:val="multilevel"/>
    <w:tmpl w:val="FE3274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4" w15:restartNumberingAfterBreak="0">
    <w:nsid w:val="77460CF2"/>
    <w:multiLevelType w:val="multilevel"/>
    <w:tmpl w:val="B47A3E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76171514">
    <w:abstractNumId w:val="2"/>
  </w:num>
  <w:num w:numId="2" w16cid:durableId="1663700755">
    <w:abstractNumId w:val="21"/>
  </w:num>
  <w:num w:numId="3" w16cid:durableId="1322125032">
    <w:abstractNumId w:val="35"/>
  </w:num>
  <w:num w:numId="4" w16cid:durableId="2092508955">
    <w:abstractNumId w:val="27"/>
  </w:num>
  <w:num w:numId="5" w16cid:durableId="2024089954">
    <w:abstractNumId w:val="46"/>
  </w:num>
  <w:num w:numId="6" w16cid:durableId="789133500">
    <w:abstractNumId w:val="10"/>
  </w:num>
  <w:num w:numId="7" w16cid:durableId="1572958180">
    <w:abstractNumId w:val="15"/>
  </w:num>
  <w:num w:numId="8" w16cid:durableId="1740207859">
    <w:abstractNumId w:val="3"/>
  </w:num>
  <w:num w:numId="9" w16cid:durableId="1666131386">
    <w:abstractNumId w:val="31"/>
  </w:num>
  <w:num w:numId="10" w16cid:durableId="1793018491">
    <w:abstractNumId w:val="13"/>
  </w:num>
  <w:num w:numId="11" w16cid:durableId="1438794265">
    <w:abstractNumId w:val="36"/>
  </w:num>
  <w:num w:numId="12" w16cid:durableId="1515534147">
    <w:abstractNumId w:val="17"/>
  </w:num>
  <w:num w:numId="13" w16cid:durableId="13196832">
    <w:abstractNumId w:val="1"/>
  </w:num>
  <w:num w:numId="14" w16cid:durableId="996034116">
    <w:abstractNumId w:val="25"/>
  </w:num>
  <w:num w:numId="15" w16cid:durableId="790322580">
    <w:abstractNumId w:val="39"/>
  </w:num>
  <w:num w:numId="16" w16cid:durableId="407577873">
    <w:abstractNumId w:val="22"/>
  </w:num>
  <w:num w:numId="17" w16cid:durableId="231088550">
    <w:abstractNumId w:val="9"/>
  </w:num>
  <w:num w:numId="18" w16cid:durableId="1922911487">
    <w:abstractNumId w:val="40"/>
  </w:num>
  <w:num w:numId="19" w16cid:durableId="1585456018">
    <w:abstractNumId w:val="32"/>
  </w:num>
  <w:num w:numId="20" w16cid:durableId="309751252">
    <w:abstractNumId w:val="0"/>
  </w:num>
  <w:num w:numId="21" w16cid:durableId="485433759">
    <w:abstractNumId w:val="29"/>
  </w:num>
  <w:num w:numId="22" w16cid:durableId="587815815">
    <w:abstractNumId w:val="30"/>
  </w:num>
  <w:num w:numId="23" w16cid:durableId="1167746322">
    <w:abstractNumId w:val="6"/>
  </w:num>
  <w:num w:numId="24" w16cid:durableId="1576168048">
    <w:abstractNumId w:val="26"/>
  </w:num>
  <w:num w:numId="25" w16cid:durableId="568662203">
    <w:abstractNumId w:val="7"/>
  </w:num>
  <w:num w:numId="26" w16cid:durableId="2032607457">
    <w:abstractNumId w:val="28"/>
  </w:num>
  <w:num w:numId="27" w16cid:durableId="1402874722">
    <w:abstractNumId w:val="11"/>
  </w:num>
  <w:num w:numId="28" w16cid:durableId="1685549541">
    <w:abstractNumId w:val="4"/>
  </w:num>
  <w:num w:numId="29" w16cid:durableId="133451560">
    <w:abstractNumId w:val="41"/>
  </w:num>
  <w:num w:numId="30" w16cid:durableId="557320404">
    <w:abstractNumId w:val="42"/>
  </w:num>
  <w:num w:numId="31" w16cid:durableId="2042898031">
    <w:abstractNumId w:val="12"/>
  </w:num>
  <w:num w:numId="32" w16cid:durableId="1176267416">
    <w:abstractNumId w:val="45"/>
  </w:num>
  <w:num w:numId="33" w16cid:durableId="1368487229">
    <w:abstractNumId w:val="5"/>
  </w:num>
  <w:num w:numId="34" w16cid:durableId="261570420">
    <w:abstractNumId w:val="33"/>
  </w:num>
  <w:num w:numId="35" w16cid:durableId="2004123303">
    <w:abstractNumId w:val="18"/>
  </w:num>
  <w:num w:numId="36" w16cid:durableId="1972007680">
    <w:abstractNumId w:val="38"/>
  </w:num>
  <w:num w:numId="37" w16cid:durableId="72436670">
    <w:abstractNumId w:val="19"/>
  </w:num>
  <w:num w:numId="38" w16cid:durableId="430245088">
    <w:abstractNumId w:val="34"/>
  </w:num>
  <w:num w:numId="39" w16cid:durableId="445851767">
    <w:abstractNumId w:val="24"/>
  </w:num>
  <w:num w:numId="40" w16cid:durableId="1264536667">
    <w:abstractNumId w:val="43"/>
  </w:num>
  <w:num w:numId="41" w16cid:durableId="1846675543">
    <w:abstractNumId w:val="37"/>
  </w:num>
  <w:num w:numId="42" w16cid:durableId="1584755224">
    <w:abstractNumId w:val="20"/>
  </w:num>
  <w:num w:numId="43" w16cid:durableId="183636846">
    <w:abstractNumId w:val="14"/>
  </w:num>
  <w:num w:numId="44" w16cid:durableId="1084689248">
    <w:abstractNumId w:val="16"/>
  </w:num>
  <w:num w:numId="45" w16cid:durableId="1013646847">
    <w:abstractNumId w:val="8"/>
  </w:num>
  <w:num w:numId="46" w16cid:durableId="1452170763">
    <w:abstractNumId w:val="23"/>
  </w:num>
  <w:num w:numId="47" w16cid:durableId="1087925895">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22"/>
    <w:rsid w:val="00001250"/>
    <w:rsid w:val="000034AB"/>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313"/>
    <w:rsid w:val="000259E1"/>
    <w:rsid w:val="000305A5"/>
    <w:rsid w:val="00030A67"/>
    <w:rsid w:val="000317C6"/>
    <w:rsid w:val="00033FCE"/>
    <w:rsid w:val="00034412"/>
    <w:rsid w:val="00035B9F"/>
    <w:rsid w:val="00036680"/>
    <w:rsid w:val="0003669C"/>
    <w:rsid w:val="00037F5C"/>
    <w:rsid w:val="00041065"/>
    <w:rsid w:val="00042AEE"/>
    <w:rsid w:val="00042C2E"/>
    <w:rsid w:val="00042FF2"/>
    <w:rsid w:val="00043182"/>
    <w:rsid w:val="000434D3"/>
    <w:rsid w:val="00045BD7"/>
    <w:rsid w:val="00045D96"/>
    <w:rsid w:val="00046810"/>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6996"/>
    <w:rsid w:val="00097E48"/>
    <w:rsid w:val="000A0CAC"/>
    <w:rsid w:val="000A0EDC"/>
    <w:rsid w:val="000A17D7"/>
    <w:rsid w:val="000A1D68"/>
    <w:rsid w:val="000A2ECD"/>
    <w:rsid w:val="000A3383"/>
    <w:rsid w:val="000A36D5"/>
    <w:rsid w:val="000A4C26"/>
    <w:rsid w:val="000A51AA"/>
    <w:rsid w:val="000A58D6"/>
    <w:rsid w:val="000A5CA7"/>
    <w:rsid w:val="000A6C85"/>
    <w:rsid w:val="000A6F67"/>
    <w:rsid w:val="000A7AF5"/>
    <w:rsid w:val="000B111C"/>
    <w:rsid w:val="000B1F53"/>
    <w:rsid w:val="000B2542"/>
    <w:rsid w:val="000B4277"/>
    <w:rsid w:val="000B4EAB"/>
    <w:rsid w:val="000B5D09"/>
    <w:rsid w:val="000B6EA0"/>
    <w:rsid w:val="000B710E"/>
    <w:rsid w:val="000B7286"/>
    <w:rsid w:val="000B72C9"/>
    <w:rsid w:val="000C0769"/>
    <w:rsid w:val="000C2192"/>
    <w:rsid w:val="000C39B9"/>
    <w:rsid w:val="000C4B4E"/>
    <w:rsid w:val="000C6D5D"/>
    <w:rsid w:val="000C70D0"/>
    <w:rsid w:val="000D037D"/>
    <w:rsid w:val="000D280A"/>
    <w:rsid w:val="000D2DFB"/>
    <w:rsid w:val="000D3F2C"/>
    <w:rsid w:val="000D4E82"/>
    <w:rsid w:val="000D53E7"/>
    <w:rsid w:val="000D5989"/>
    <w:rsid w:val="000D697B"/>
    <w:rsid w:val="000D6B2B"/>
    <w:rsid w:val="000E145E"/>
    <w:rsid w:val="000E289C"/>
    <w:rsid w:val="000E2BB2"/>
    <w:rsid w:val="000E2E36"/>
    <w:rsid w:val="000E3064"/>
    <w:rsid w:val="000E3B71"/>
    <w:rsid w:val="000E3C72"/>
    <w:rsid w:val="000E4D8F"/>
    <w:rsid w:val="000E5612"/>
    <w:rsid w:val="000E671B"/>
    <w:rsid w:val="000E7005"/>
    <w:rsid w:val="000F2E64"/>
    <w:rsid w:val="000F3121"/>
    <w:rsid w:val="000F35C1"/>
    <w:rsid w:val="000F3B5F"/>
    <w:rsid w:val="000F5981"/>
    <w:rsid w:val="000F5CFF"/>
    <w:rsid w:val="000F6ADD"/>
    <w:rsid w:val="000F6F0B"/>
    <w:rsid w:val="000F72F9"/>
    <w:rsid w:val="00100B4D"/>
    <w:rsid w:val="001026BF"/>
    <w:rsid w:val="001029BE"/>
    <w:rsid w:val="00105653"/>
    <w:rsid w:val="00105745"/>
    <w:rsid w:val="00107087"/>
    <w:rsid w:val="00111541"/>
    <w:rsid w:val="0011262E"/>
    <w:rsid w:val="00112C06"/>
    <w:rsid w:val="00113BAA"/>
    <w:rsid w:val="00114297"/>
    <w:rsid w:val="001154F7"/>
    <w:rsid w:val="00115843"/>
    <w:rsid w:val="00115A7D"/>
    <w:rsid w:val="00120752"/>
    <w:rsid w:val="0012123B"/>
    <w:rsid w:val="00122A32"/>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7D3"/>
    <w:rsid w:val="00141A99"/>
    <w:rsid w:val="00142AB8"/>
    <w:rsid w:val="001430D2"/>
    <w:rsid w:val="0014349A"/>
    <w:rsid w:val="001451A4"/>
    <w:rsid w:val="00145921"/>
    <w:rsid w:val="00145B15"/>
    <w:rsid w:val="00145E2C"/>
    <w:rsid w:val="00146336"/>
    <w:rsid w:val="00147D17"/>
    <w:rsid w:val="0015347A"/>
    <w:rsid w:val="0015398A"/>
    <w:rsid w:val="001555BF"/>
    <w:rsid w:val="001611A4"/>
    <w:rsid w:val="00163CCE"/>
    <w:rsid w:val="00165617"/>
    <w:rsid w:val="0016708B"/>
    <w:rsid w:val="00167EC4"/>
    <w:rsid w:val="001710E5"/>
    <w:rsid w:val="00172A0C"/>
    <w:rsid w:val="00175EEB"/>
    <w:rsid w:val="0017796A"/>
    <w:rsid w:val="0018055B"/>
    <w:rsid w:val="00182869"/>
    <w:rsid w:val="00182A50"/>
    <w:rsid w:val="00183452"/>
    <w:rsid w:val="001835BA"/>
    <w:rsid w:val="00183601"/>
    <w:rsid w:val="00184468"/>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1A0D"/>
    <w:rsid w:val="001D4E18"/>
    <w:rsid w:val="001D621F"/>
    <w:rsid w:val="001D6D2E"/>
    <w:rsid w:val="001D7D46"/>
    <w:rsid w:val="001E0669"/>
    <w:rsid w:val="001E0CE1"/>
    <w:rsid w:val="001E0F19"/>
    <w:rsid w:val="001E1A55"/>
    <w:rsid w:val="001E3ED7"/>
    <w:rsid w:val="001E4520"/>
    <w:rsid w:val="001E4C9A"/>
    <w:rsid w:val="001E5486"/>
    <w:rsid w:val="001E5491"/>
    <w:rsid w:val="001E5656"/>
    <w:rsid w:val="001F11E5"/>
    <w:rsid w:val="001F127F"/>
    <w:rsid w:val="001F2502"/>
    <w:rsid w:val="001F2EFB"/>
    <w:rsid w:val="001F4F2B"/>
    <w:rsid w:val="001F56C4"/>
    <w:rsid w:val="001F6A2A"/>
    <w:rsid w:val="001F7DA3"/>
    <w:rsid w:val="00200552"/>
    <w:rsid w:val="002008BB"/>
    <w:rsid w:val="00200E99"/>
    <w:rsid w:val="00204FE1"/>
    <w:rsid w:val="0020511E"/>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33C67"/>
    <w:rsid w:val="00240B2C"/>
    <w:rsid w:val="00241859"/>
    <w:rsid w:val="002434A7"/>
    <w:rsid w:val="002438D1"/>
    <w:rsid w:val="00243D53"/>
    <w:rsid w:val="00245618"/>
    <w:rsid w:val="002465F4"/>
    <w:rsid w:val="00251F26"/>
    <w:rsid w:val="002537BA"/>
    <w:rsid w:val="00253FFE"/>
    <w:rsid w:val="00254203"/>
    <w:rsid w:val="00255C64"/>
    <w:rsid w:val="00257018"/>
    <w:rsid w:val="002577E4"/>
    <w:rsid w:val="00260793"/>
    <w:rsid w:val="00267BED"/>
    <w:rsid w:val="00270A14"/>
    <w:rsid w:val="0027160E"/>
    <w:rsid w:val="00272C77"/>
    <w:rsid w:val="00273A27"/>
    <w:rsid w:val="00274C56"/>
    <w:rsid w:val="00274CED"/>
    <w:rsid w:val="00276F39"/>
    <w:rsid w:val="00276FAC"/>
    <w:rsid w:val="0028003E"/>
    <w:rsid w:val="002800B9"/>
    <w:rsid w:val="0028171D"/>
    <w:rsid w:val="00282FE1"/>
    <w:rsid w:val="002856D3"/>
    <w:rsid w:val="00286AD5"/>
    <w:rsid w:val="00287ADF"/>
    <w:rsid w:val="0029006E"/>
    <w:rsid w:val="00291D28"/>
    <w:rsid w:val="0029581B"/>
    <w:rsid w:val="002A09A1"/>
    <w:rsid w:val="002A3FB2"/>
    <w:rsid w:val="002A536D"/>
    <w:rsid w:val="002A546E"/>
    <w:rsid w:val="002A63A5"/>
    <w:rsid w:val="002A6D98"/>
    <w:rsid w:val="002A7021"/>
    <w:rsid w:val="002B0B14"/>
    <w:rsid w:val="002B0D0B"/>
    <w:rsid w:val="002B3C88"/>
    <w:rsid w:val="002B43A2"/>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D63"/>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4907"/>
    <w:rsid w:val="00315DF2"/>
    <w:rsid w:val="00316280"/>
    <w:rsid w:val="00316326"/>
    <w:rsid w:val="003177A0"/>
    <w:rsid w:val="00317C2D"/>
    <w:rsid w:val="00320BDE"/>
    <w:rsid w:val="00320E7B"/>
    <w:rsid w:val="00323FCF"/>
    <w:rsid w:val="003259BF"/>
    <w:rsid w:val="00326058"/>
    <w:rsid w:val="0032722B"/>
    <w:rsid w:val="00330CF3"/>
    <w:rsid w:val="003311A3"/>
    <w:rsid w:val="00331307"/>
    <w:rsid w:val="00331946"/>
    <w:rsid w:val="00332002"/>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1CA"/>
    <w:rsid w:val="003809D1"/>
    <w:rsid w:val="00380E8D"/>
    <w:rsid w:val="003818E8"/>
    <w:rsid w:val="00381DCC"/>
    <w:rsid w:val="00382FDC"/>
    <w:rsid w:val="00385D25"/>
    <w:rsid w:val="00390C76"/>
    <w:rsid w:val="00390D1B"/>
    <w:rsid w:val="00391CA3"/>
    <w:rsid w:val="00393057"/>
    <w:rsid w:val="00393112"/>
    <w:rsid w:val="003954C5"/>
    <w:rsid w:val="00395B4C"/>
    <w:rsid w:val="00397C42"/>
    <w:rsid w:val="003A0859"/>
    <w:rsid w:val="003A1568"/>
    <w:rsid w:val="003A2C75"/>
    <w:rsid w:val="003A4327"/>
    <w:rsid w:val="003A4D7A"/>
    <w:rsid w:val="003A5CE3"/>
    <w:rsid w:val="003A75D0"/>
    <w:rsid w:val="003A7831"/>
    <w:rsid w:val="003A7990"/>
    <w:rsid w:val="003A7BFB"/>
    <w:rsid w:val="003B0968"/>
    <w:rsid w:val="003B1932"/>
    <w:rsid w:val="003B2C23"/>
    <w:rsid w:val="003B4628"/>
    <w:rsid w:val="003B4E46"/>
    <w:rsid w:val="003B663E"/>
    <w:rsid w:val="003B78D9"/>
    <w:rsid w:val="003C026D"/>
    <w:rsid w:val="003C0FE1"/>
    <w:rsid w:val="003C419C"/>
    <w:rsid w:val="003C50B4"/>
    <w:rsid w:val="003C51A9"/>
    <w:rsid w:val="003C5F0C"/>
    <w:rsid w:val="003D0F00"/>
    <w:rsid w:val="003D4011"/>
    <w:rsid w:val="003D46D7"/>
    <w:rsid w:val="003D4E22"/>
    <w:rsid w:val="003D6214"/>
    <w:rsid w:val="003D77CC"/>
    <w:rsid w:val="003E1931"/>
    <w:rsid w:val="003E26DA"/>
    <w:rsid w:val="003E30B2"/>
    <w:rsid w:val="003E3B9F"/>
    <w:rsid w:val="003E4489"/>
    <w:rsid w:val="003E4EC2"/>
    <w:rsid w:val="003E5AFA"/>
    <w:rsid w:val="003E6E23"/>
    <w:rsid w:val="003F239E"/>
    <w:rsid w:val="003F3B5A"/>
    <w:rsid w:val="003F4598"/>
    <w:rsid w:val="003F4D6D"/>
    <w:rsid w:val="003F5C30"/>
    <w:rsid w:val="0040206E"/>
    <w:rsid w:val="00402FF2"/>
    <w:rsid w:val="004033C6"/>
    <w:rsid w:val="00403849"/>
    <w:rsid w:val="004040BB"/>
    <w:rsid w:val="00404DEE"/>
    <w:rsid w:val="00405429"/>
    <w:rsid w:val="00410EB3"/>
    <w:rsid w:val="004111F7"/>
    <w:rsid w:val="004117A5"/>
    <w:rsid w:val="00412736"/>
    <w:rsid w:val="004135FD"/>
    <w:rsid w:val="00413917"/>
    <w:rsid w:val="00413F27"/>
    <w:rsid w:val="004150F5"/>
    <w:rsid w:val="00415832"/>
    <w:rsid w:val="00415CEE"/>
    <w:rsid w:val="004160C3"/>
    <w:rsid w:val="00423311"/>
    <w:rsid w:val="004238BC"/>
    <w:rsid w:val="00423CB2"/>
    <w:rsid w:val="004276AC"/>
    <w:rsid w:val="00427E06"/>
    <w:rsid w:val="00430743"/>
    <w:rsid w:val="004321F6"/>
    <w:rsid w:val="0043243C"/>
    <w:rsid w:val="00432496"/>
    <w:rsid w:val="0043287B"/>
    <w:rsid w:val="00434B1F"/>
    <w:rsid w:val="00435B17"/>
    <w:rsid w:val="00435E00"/>
    <w:rsid w:val="004402F6"/>
    <w:rsid w:val="0044155F"/>
    <w:rsid w:val="0044208E"/>
    <w:rsid w:val="004425E6"/>
    <w:rsid w:val="0044324A"/>
    <w:rsid w:val="00443C72"/>
    <w:rsid w:val="00443E13"/>
    <w:rsid w:val="00443F15"/>
    <w:rsid w:val="00450A73"/>
    <w:rsid w:val="00451AFA"/>
    <w:rsid w:val="00451FD9"/>
    <w:rsid w:val="00451FE6"/>
    <w:rsid w:val="00453F60"/>
    <w:rsid w:val="0045437C"/>
    <w:rsid w:val="00454D02"/>
    <w:rsid w:val="004559E9"/>
    <w:rsid w:val="00457350"/>
    <w:rsid w:val="004573C2"/>
    <w:rsid w:val="004577AF"/>
    <w:rsid w:val="00457C74"/>
    <w:rsid w:val="00460D57"/>
    <w:rsid w:val="00461C12"/>
    <w:rsid w:val="00461F94"/>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5159"/>
    <w:rsid w:val="004864B6"/>
    <w:rsid w:val="00486E9D"/>
    <w:rsid w:val="0048784B"/>
    <w:rsid w:val="00490F69"/>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2B24"/>
    <w:rsid w:val="004B34FC"/>
    <w:rsid w:val="004B60D8"/>
    <w:rsid w:val="004B710D"/>
    <w:rsid w:val="004B7F28"/>
    <w:rsid w:val="004C0209"/>
    <w:rsid w:val="004C1EE3"/>
    <w:rsid w:val="004C26BF"/>
    <w:rsid w:val="004C347D"/>
    <w:rsid w:val="004C4B76"/>
    <w:rsid w:val="004C4CAE"/>
    <w:rsid w:val="004C58F4"/>
    <w:rsid w:val="004C5C24"/>
    <w:rsid w:val="004C7B21"/>
    <w:rsid w:val="004C7D2B"/>
    <w:rsid w:val="004D0992"/>
    <w:rsid w:val="004D21ED"/>
    <w:rsid w:val="004D24EE"/>
    <w:rsid w:val="004D4774"/>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19D6"/>
    <w:rsid w:val="00513010"/>
    <w:rsid w:val="00516383"/>
    <w:rsid w:val="00516F7E"/>
    <w:rsid w:val="0051793E"/>
    <w:rsid w:val="0052100E"/>
    <w:rsid w:val="00524020"/>
    <w:rsid w:val="00526A45"/>
    <w:rsid w:val="00527336"/>
    <w:rsid w:val="00527BC0"/>
    <w:rsid w:val="005320DF"/>
    <w:rsid w:val="005323B8"/>
    <w:rsid w:val="00532CFD"/>
    <w:rsid w:val="0053517D"/>
    <w:rsid w:val="00540FCD"/>
    <w:rsid w:val="00541570"/>
    <w:rsid w:val="00541D87"/>
    <w:rsid w:val="00541E26"/>
    <w:rsid w:val="005431B6"/>
    <w:rsid w:val="00543216"/>
    <w:rsid w:val="005534FA"/>
    <w:rsid w:val="00553D63"/>
    <w:rsid w:val="00554CD6"/>
    <w:rsid w:val="00556292"/>
    <w:rsid w:val="00556A9F"/>
    <w:rsid w:val="005624F2"/>
    <w:rsid w:val="00563DDA"/>
    <w:rsid w:val="0056465B"/>
    <w:rsid w:val="00564E18"/>
    <w:rsid w:val="00567670"/>
    <w:rsid w:val="00571327"/>
    <w:rsid w:val="00571602"/>
    <w:rsid w:val="00571944"/>
    <w:rsid w:val="00571ADB"/>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2C40"/>
    <w:rsid w:val="00593258"/>
    <w:rsid w:val="00593F39"/>
    <w:rsid w:val="00594B4F"/>
    <w:rsid w:val="00595AC8"/>
    <w:rsid w:val="00595E78"/>
    <w:rsid w:val="0059602E"/>
    <w:rsid w:val="00596461"/>
    <w:rsid w:val="00597399"/>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0D04"/>
    <w:rsid w:val="005C1C1A"/>
    <w:rsid w:val="005C5828"/>
    <w:rsid w:val="005C617D"/>
    <w:rsid w:val="005C62B8"/>
    <w:rsid w:val="005D3618"/>
    <w:rsid w:val="005D3C81"/>
    <w:rsid w:val="005D3F6A"/>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3F4"/>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0DFD"/>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066A"/>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55BE1"/>
    <w:rsid w:val="00661C05"/>
    <w:rsid w:val="00661E0F"/>
    <w:rsid w:val="00663010"/>
    <w:rsid w:val="00664F68"/>
    <w:rsid w:val="00666982"/>
    <w:rsid w:val="00667864"/>
    <w:rsid w:val="00670679"/>
    <w:rsid w:val="00671123"/>
    <w:rsid w:val="00672C28"/>
    <w:rsid w:val="0067340E"/>
    <w:rsid w:val="0067349A"/>
    <w:rsid w:val="00673AB5"/>
    <w:rsid w:val="006755EC"/>
    <w:rsid w:val="00675A37"/>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84B"/>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B7148"/>
    <w:rsid w:val="006C003B"/>
    <w:rsid w:val="006C068A"/>
    <w:rsid w:val="006C198E"/>
    <w:rsid w:val="006C1EA5"/>
    <w:rsid w:val="006C21A9"/>
    <w:rsid w:val="006C2A6E"/>
    <w:rsid w:val="006C2B85"/>
    <w:rsid w:val="006C3C8A"/>
    <w:rsid w:val="006C4C03"/>
    <w:rsid w:val="006C4CFF"/>
    <w:rsid w:val="006C56D6"/>
    <w:rsid w:val="006C5A73"/>
    <w:rsid w:val="006D0BC5"/>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33C"/>
    <w:rsid w:val="006F2452"/>
    <w:rsid w:val="006F24EB"/>
    <w:rsid w:val="006F2517"/>
    <w:rsid w:val="006F289B"/>
    <w:rsid w:val="006F32E9"/>
    <w:rsid w:val="006F3D0A"/>
    <w:rsid w:val="006F3E17"/>
    <w:rsid w:val="006F4F1F"/>
    <w:rsid w:val="006F5FB6"/>
    <w:rsid w:val="006F786F"/>
    <w:rsid w:val="00701330"/>
    <w:rsid w:val="00702CA0"/>
    <w:rsid w:val="00704D51"/>
    <w:rsid w:val="0070588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4CC7"/>
    <w:rsid w:val="00737B36"/>
    <w:rsid w:val="00737C90"/>
    <w:rsid w:val="007411CE"/>
    <w:rsid w:val="007415E2"/>
    <w:rsid w:val="007416B9"/>
    <w:rsid w:val="007443C3"/>
    <w:rsid w:val="007444A8"/>
    <w:rsid w:val="00744576"/>
    <w:rsid w:val="0074692B"/>
    <w:rsid w:val="00747318"/>
    <w:rsid w:val="00747504"/>
    <w:rsid w:val="00754B9F"/>
    <w:rsid w:val="00754E8E"/>
    <w:rsid w:val="00754EF0"/>
    <w:rsid w:val="00755A19"/>
    <w:rsid w:val="00756317"/>
    <w:rsid w:val="007608FA"/>
    <w:rsid w:val="007620DD"/>
    <w:rsid w:val="00762A2E"/>
    <w:rsid w:val="00763E29"/>
    <w:rsid w:val="00767B3F"/>
    <w:rsid w:val="00767DF0"/>
    <w:rsid w:val="0077050B"/>
    <w:rsid w:val="0077059C"/>
    <w:rsid w:val="007736F3"/>
    <w:rsid w:val="00774320"/>
    <w:rsid w:val="0077435E"/>
    <w:rsid w:val="007806DB"/>
    <w:rsid w:val="0078115B"/>
    <w:rsid w:val="00781B35"/>
    <w:rsid w:val="00782356"/>
    <w:rsid w:val="00782E80"/>
    <w:rsid w:val="0078533D"/>
    <w:rsid w:val="00786017"/>
    <w:rsid w:val="00787A20"/>
    <w:rsid w:val="007910C0"/>
    <w:rsid w:val="0079202F"/>
    <w:rsid w:val="00792C07"/>
    <w:rsid w:val="00792D3B"/>
    <w:rsid w:val="007933F3"/>
    <w:rsid w:val="00793861"/>
    <w:rsid w:val="00794BAC"/>
    <w:rsid w:val="007950E2"/>
    <w:rsid w:val="00796288"/>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2E0"/>
    <w:rsid w:val="007D7A41"/>
    <w:rsid w:val="007D7E2A"/>
    <w:rsid w:val="007E09BC"/>
    <w:rsid w:val="007E0C0C"/>
    <w:rsid w:val="007E0E6B"/>
    <w:rsid w:val="007E1095"/>
    <w:rsid w:val="007E129E"/>
    <w:rsid w:val="007E1B93"/>
    <w:rsid w:val="007E3256"/>
    <w:rsid w:val="007E3281"/>
    <w:rsid w:val="007E3B5C"/>
    <w:rsid w:val="007E4882"/>
    <w:rsid w:val="007E5210"/>
    <w:rsid w:val="007E606A"/>
    <w:rsid w:val="007E67CB"/>
    <w:rsid w:val="007E68FC"/>
    <w:rsid w:val="007E6BCE"/>
    <w:rsid w:val="007E7BE6"/>
    <w:rsid w:val="007F2210"/>
    <w:rsid w:val="007F2CAC"/>
    <w:rsid w:val="007F3385"/>
    <w:rsid w:val="007F5305"/>
    <w:rsid w:val="007F7544"/>
    <w:rsid w:val="007F7FD5"/>
    <w:rsid w:val="0080026D"/>
    <w:rsid w:val="00801C5E"/>
    <w:rsid w:val="008021D3"/>
    <w:rsid w:val="0080320E"/>
    <w:rsid w:val="00803FE0"/>
    <w:rsid w:val="0081050C"/>
    <w:rsid w:val="00812B63"/>
    <w:rsid w:val="00812DA2"/>
    <w:rsid w:val="00812F21"/>
    <w:rsid w:val="00812F4A"/>
    <w:rsid w:val="00814011"/>
    <w:rsid w:val="0081436E"/>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235"/>
    <w:rsid w:val="00835836"/>
    <w:rsid w:val="00835F61"/>
    <w:rsid w:val="008360A9"/>
    <w:rsid w:val="00836AC4"/>
    <w:rsid w:val="00837A26"/>
    <w:rsid w:val="008408FD"/>
    <w:rsid w:val="00840DE1"/>
    <w:rsid w:val="0084132C"/>
    <w:rsid w:val="00841479"/>
    <w:rsid w:val="008414D3"/>
    <w:rsid w:val="00842B92"/>
    <w:rsid w:val="00842CC6"/>
    <w:rsid w:val="0084316C"/>
    <w:rsid w:val="0084464F"/>
    <w:rsid w:val="008459D4"/>
    <w:rsid w:val="0084769B"/>
    <w:rsid w:val="008479BB"/>
    <w:rsid w:val="00852CC9"/>
    <w:rsid w:val="0085363B"/>
    <w:rsid w:val="008537CB"/>
    <w:rsid w:val="00856277"/>
    <w:rsid w:val="0086059E"/>
    <w:rsid w:val="00860860"/>
    <w:rsid w:val="00862EB3"/>
    <w:rsid w:val="00864292"/>
    <w:rsid w:val="00865E9F"/>
    <w:rsid w:val="00871517"/>
    <w:rsid w:val="00871B8B"/>
    <w:rsid w:val="00873BAE"/>
    <w:rsid w:val="00874429"/>
    <w:rsid w:val="008762D7"/>
    <w:rsid w:val="00876590"/>
    <w:rsid w:val="00882575"/>
    <w:rsid w:val="00882ED1"/>
    <w:rsid w:val="008846D2"/>
    <w:rsid w:val="008850E8"/>
    <w:rsid w:val="00885474"/>
    <w:rsid w:val="0088679D"/>
    <w:rsid w:val="00886B93"/>
    <w:rsid w:val="00893C5B"/>
    <w:rsid w:val="00893DEC"/>
    <w:rsid w:val="00894530"/>
    <w:rsid w:val="008968E0"/>
    <w:rsid w:val="008A268F"/>
    <w:rsid w:val="008A4A6E"/>
    <w:rsid w:val="008A6176"/>
    <w:rsid w:val="008A70AD"/>
    <w:rsid w:val="008A76E6"/>
    <w:rsid w:val="008B09F7"/>
    <w:rsid w:val="008B1518"/>
    <w:rsid w:val="008B15A3"/>
    <w:rsid w:val="008B19A1"/>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8F7EB1"/>
    <w:rsid w:val="00901630"/>
    <w:rsid w:val="00902205"/>
    <w:rsid w:val="0090310E"/>
    <w:rsid w:val="00903DD2"/>
    <w:rsid w:val="00904CCE"/>
    <w:rsid w:val="00905052"/>
    <w:rsid w:val="00906593"/>
    <w:rsid w:val="00911651"/>
    <w:rsid w:val="00912E21"/>
    <w:rsid w:val="00915959"/>
    <w:rsid w:val="009167B6"/>
    <w:rsid w:val="00916E47"/>
    <w:rsid w:val="00917AA6"/>
    <w:rsid w:val="00922C62"/>
    <w:rsid w:val="00922EDD"/>
    <w:rsid w:val="009251BB"/>
    <w:rsid w:val="00926111"/>
    <w:rsid w:val="009269CA"/>
    <w:rsid w:val="00926C60"/>
    <w:rsid w:val="00926D12"/>
    <w:rsid w:val="00926DFB"/>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56BC6"/>
    <w:rsid w:val="00960982"/>
    <w:rsid w:val="00964BF5"/>
    <w:rsid w:val="00965F81"/>
    <w:rsid w:val="009670E0"/>
    <w:rsid w:val="00967207"/>
    <w:rsid w:val="00967890"/>
    <w:rsid w:val="009722E6"/>
    <w:rsid w:val="00972E4E"/>
    <w:rsid w:val="0097388E"/>
    <w:rsid w:val="00973D5C"/>
    <w:rsid w:val="00974FA5"/>
    <w:rsid w:val="009752EA"/>
    <w:rsid w:val="0097666D"/>
    <w:rsid w:val="00977116"/>
    <w:rsid w:val="009776A0"/>
    <w:rsid w:val="0098171D"/>
    <w:rsid w:val="0098237E"/>
    <w:rsid w:val="00982B0C"/>
    <w:rsid w:val="00983D3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00CB"/>
    <w:rsid w:val="009C30CF"/>
    <w:rsid w:val="009C3C8C"/>
    <w:rsid w:val="009C5EE7"/>
    <w:rsid w:val="009C61C7"/>
    <w:rsid w:val="009C642D"/>
    <w:rsid w:val="009C6D08"/>
    <w:rsid w:val="009D0225"/>
    <w:rsid w:val="009D0AE0"/>
    <w:rsid w:val="009D45F9"/>
    <w:rsid w:val="009D63C8"/>
    <w:rsid w:val="009E0409"/>
    <w:rsid w:val="009E1B9B"/>
    <w:rsid w:val="009E1D39"/>
    <w:rsid w:val="009E1FA6"/>
    <w:rsid w:val="009E2184"/>
    <w:rsid w:val="009E3346"/>
    <w:rsid w:val="009E3E04"/>
    <w:rsid w:val="009E41E9"/>
    <w:rsid w:val="009E6B1B"/>
    <w:rsid w:val="009F0F1A"/>
    <w:rsid w:val="009F1EFB"/>
    <w:rsid w:val="009F2260"/>
    <w:rsid w:val="009F2D7F"/>
    <w:rsid w:val="009F5C05"/>
    <w:rsid w:val="009F62B6"/>
    <w:rsid w:val="009F7AD4"/>
    <w:rsid w:val="00A001E8"/>
    <w:rsid w:val="00A00365"/>
    <w:rsid w:val="00A00CB5"/>
    <w:rsid w:val="00A02601"/>
    <w:rsid w:val="00A02E02"/>
    <w:rsid w:val="00A10B48"/>
    <w:rsid w:val="00A10E93"/>
    <w:rsid w:val="00A12DCC"/>
    <w:rsid w:val="00A12EBA"/>
    <w:rsid w:val="00A12FC7"/>
    <w:rsid w:val="00A1422D"/>
    <w:rsid w:val="00A142C0"/>
    <w:rsid w:val="00A15758"/>
    <w:rsid w:val="00A161F6"/>
    <w:rsid w:val="00A20301"/>
    <w:rsid w:val="00A20CD1"/>
    <w:rsid w:val="00A22634"/>
    <w:rsid w:val="00A22BAF"/>
    <w:rsid w:val="00A23A35"/>
    <w:rsid w:val="00A2430F"/>
    <w:rsid w:val="00A24BDD"/>
    <w:rsid w:val="00A24D74"/>
    <w:rsid w:val="00A257CF"/>
    <w:rsid w:val="00A2671A"/>
    <w:rsid w:val="00A30DC3"/>
    <w:rsid w:val="00A3226D"/>
    <w:rsid w:val="00A33287"/>
    <w:rsid w:val="00A33C27"/>
    <w:rsid w:val="00A33C3B"/>
    <w:rsid w:val="00A3586D"/>
    <w:rsid w:val="00A35ECA"/>
    <w:rsid w:val="00A3648F"/>
    <w:rsid w:val="00A36FCB"/>
    <w:rsid w:val="00A370E6"/>
    <w:rsid w:val="00A37CEF"/>
    <w:rsid w:val="00A409DF"/>
    <w:rsid w:val="00A4455E"/>
    <w:rsid w:val="00A47F76"/>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6E"/>
    <w:rsid w:val="00A84249"/>
    <w:rsid w:val="00A8495E"/>
    <w:rsid w:val="00A84B45"/>
    <w:rsid w:val="00A85F66"/>
    <w:rsid w:val="00A87839"/>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29AC"/>
    <w:rsid w:val="00AB3CEB"/>
    <w:rsid w:val="00AB585F"/>
    <w:rsid w:val="00AC05FC"/>
    <w:rsid w:val="00AC0624"/>
    <w:rsid w:val="00AC0E3C"/>
    <w:rsid w:val="00AC18EC"/>
    <w:rsid w:val="00AC1C0D"/>
    <w:rsid w:val="00AC3ABF"/>
    <w:rsid w:val="00AC3D9A"/>
    <w:rsid w:val="00AC4350"/>
    <w:rsid w:val="00AC6E25"/>
    <w:rsid w:val="00AC70E3"/>
    <w:rsid w:val="00AC72EE"/>
    <w:rsid w:val="00AC789E"/>
    <w:rsid w:val="00AD030F"/>
    <w:rsid w:val="00AD310B"/>
    <w:rsid w:val="00AD3C72"/>
    <w:rsid w:val="00AD4457"/>
    <w:rsid w:val="00AD518C"/>
    <w:rsid w:val="00AD5705"/>
    <w:rsid w:val="00AD6B7F"/>
    <w:rsid w:val="00AD79AE"/>
    <w:rsid w:val="00AE0EC5"/>
    <w:rsid w:val="00AE13E3"/>
    <w:rsid w:val="00AE2C22"/>
    <w:rsid w:val="00AE352C"/>
    <w:rsid w:val="00AE382F"/>
    <w:rsid w:val="00AE3F41"/>
    <w:rsid w:val="00AE405A"/>
    <w:rsid w:val="00AE42A4"/>
    <w:rsid w:val="00AE4C81"/>
    <w:rsid w:val="00AE57BB"/>
    <w:rsid w:val="00AE7ACB"/>
    <w:rsid w:val="00AF052F"/>
    <w:rsid w:val="00AF1A6F"/>
    <w:rsid w:val="00AF1DCE"/>
    <w:rsid w:val="00AF27F3"/>
    <w:rsid w:val="00AF3545"/>
    <w:rsid w:val="00AF5910"/>
    <w:rsid w:val="00AF73ED"/>
    <w:rsid w:val="00AF7E2F"/>
    <w:rsid w:val="00B0050B"/>
    <w:rsid w:val="00B00D82"/>
    <w:rsid w:val="00B02E7E"/>
    <w:rsid w:val="00B03441"/>
    <w:rsid w:val="00B0454A"/>
    <w:rsid w:val="00B04AAC"/>
    <w:rsid w:val="00B053C8"/>
    <w:rsid w:val="00B05797"/>
    <w:rsid w:val="00B05EE5"/>
    <w:rsid w:val="00B07083"/>
    <w:rsid w:val="00B11269"/>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5E1D"/>
    <w:rsid w:val="00B36FBC"/>
    <w:rsid w:val="00B40FFB"/>
    <w:rsid w:val="00B4211D"/>
    <w:rsid w:val="00B43373"/>
    <w:rsid w:val="00B44056"/>
    <w:rsid w:val="00B44805"/>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77BD2"/>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876"/>
    <w:rsid w:val="00BA291C"/>
    <w:rsid w:val="00BA589A"/>
    <w:rsid w:val="00BA7CCC"/>
    <w:rsid w:val="00BB00DE"/>
    <w:rsid w:val="00BB14BB"/>
    <w:rsid w:val="00BB1E97"/>
    <w:rsid w:val="00BB27BF"/>
    <w:rsid w:val="00BB2951"/>
    <w:rsid w:val="00BB5F95"/>
    <w:rsid w:val="00BB7231"/>
    <w:rsid w:val="00BB7E63"/>
    <w:rsid w:val="00BC04AB"/>
    <w:rsid w:val="00BC127E"/>
    <w:rsid w:val="00BC143E"/>
    <w:rsid w:val="00BC574D"/>
    <w:rsid w:val="00BC6AF4"/>
    <w:rsid w:val="00BC7A42"/>
    <w:rsid w:val="00BD05D0"/>
    <w:rsid w:val="00BD53BB"/>
    <w:rsid w:val="00BD6842"/>
    <w:rsid w:val="00BD7AAA"/>
    <w:rsid w:val="00BE0958"/>
    <w:rsid w:val="00BE18B8"/>
    <w:rsid w:val="00BE19D7"/>
    <w:rsid w:val="00BE22C7"/>
    <w:rsid w:val="00BE478D"/>
    <w:rsid w:val="00BE5A15"/>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269"/>
    <w:rsid w:val="00C00E37"/>
    <w:rsid w:val="00C01B2B"/>
    <w:rsid w:val="00C02EAC"/>
    <w:rsid w:val="00C05BEF"/>
    <w:rsid w:val="00C06D63"/>
    <w:rsid w:val="00C07A60"/>
    <w:rsid w:val="00C07E57"/>
    <w:rsid w:val="00C105F1"/>
    <w:rsid w:val="00C11962"/>
    <w:rsid w:val="00C157C2"/>
    <w:rsid w:val="00C15E96"/>
    <w:rsid w:val="00C16161"/>
    <w:rsid w:val="00C1743B"/>
    <w:rsid w:val="00C21AA9"/>
    <w:rsid w:val="00C22368"/>
    <w:rsid w:val="00C23D0E"/>
    <w:rsid w:val="00C2554A"/>
    <w:rsid w:val="00C2619E"/>
    <w:rsid w:val="00C2734B"/>
    <w:rsid w:val="00C275D1"/>
    <w:rsid w:val="00C27F69"/>
    <w:rsid w:val="00C30037"/>
    <w:rsid w:val="00C30B0C"/>
    <w:rsid w:val="00C310A3"/>
    <w:rsid w:val="00C31899"/>
    <w:rsid w:val="00C33606"/>
    <w:rsid w:val="00C40059"/>
    <w:rsid w:val="00C40869"/>
    <w:rsid w:val="00C4125E"/>
    <w:rsid w:val="00C41E4D"/>
    <w:rsid w:val="00C424A7"/>
    <w:rsid w:val="00C42D54"/>
    <w:rsid w:val="00C43ABF"/>
    <w:rsid w:val="00C456B2"/>
    <w:rsid w:val="00C45F80"/>
    <w:rsid w:val="00C51113"/>
    <w:rsid w:val="00C51738"/>
    <w:rsid w:val="00C5223D"/>
    <w:rsid w:val="00C53475"/>
    <w:rsid w:val="00C537FA"/>
    <w:rsid w:val="00C53A51"/>
    <w:rsid w:val="00C53DD0"/>
    <w:rsid w:val="00C5443F"/>
    <w:rsid w:val="00C55B2A"/>
    <w:rsid w:val="00C57563"/>
    <w:rsid w:val="00C576D1"/>
    <w:rsid w:val="00C57846"/>
    <w:rsid w:val="00C607A5"/>
    <w:rsid w:val="00C60F5C"/>
    <w:rsid w:val="00C61354"/>
    <w:rsid w:val="00C61EAE"/>
    <w:rsid w:val="00C65FF7"/>
    <w:rsid w:val="00C66C36"/>
    <w:rsid w:val="00C6743A"/>
    <w:rsid w:val="00C7030D"/>
    <w:rsid w:val="00C718F6"/>
    <w:rsid w:val="00C71A8E"/>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3786"/>
    <w:rsid w:val="00CA7114"/>
    <w:rsid w:val="00CA7435"/>
    <w:rsid w:val="00CA7894"/>
    <w:rsid w:val="00CB0BD7"/>
    <w:rsid w:val="00CB0CF3"/>
    <w:rsid w:val="00CB0E90"/>
    <w:rsid w:val="00CB166A"/>
    <w:rsid w:val="00CB34C0"/>
    <w:rsid w:val="00CB3AF5"/>
    <w:rsid w:val="00CB7126"/>
    <w:rsid w:val="00CB75CB"/>
    <w:rsid w:val="00CC04AA"/>
    <w:rsid w:val="00CC1EF2"/>
    <w:rsid w:val="00CC3710"/>
    <w:rsid w:val="00CC3EF4"/>
    <w:rsid w:val="00CC487F"/>
    <w:rsid w:val="00CC549E"/>
    <w:rsid w:val="00CD0C00"/>
    <w:rsid w:val="00CD27D6"/>
    <w:rsid w:val="00CD31F7"/>
    <w:rsid w:val="00CD3888"/>
    <w:rsid w:val="00CD447C"/>
    <w:rsid w:val="00CD4804"/>
    <w:rsid w:val="00CD6C8D"/>
    <w:rsid w:val="00CD7690"/>
    <w:rsid w:val="00CE03AA"/>
    <w:rsid w:val="00CE2E45"/>
    <w:rsid w:val="00CE32F0"/>
    <w:rsid w:val="00CE4A25"/>
    <w:rsid w:val="00CE501B"/>
    <w:rsid w:val="00CE57EB"/>
    <w:rsid w:val="00CE5B07"/>
    <w:rsid w:val="00CE6DCC"/>
    <w:rsid w:val="00CE7023"/>
    <w:rsid w:val="00CF552B"/>
    <w:rsid w:val="00CF56FB"/>
    <w:rsid w:val="00CF665B"/>
    <w:rsid w:val="00D02361"/>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22CD"/>
    <w:rsid w:val="00D2323F"/>
    <w:rsid w:val="00D23355"/>
    <w:rsid w:val="00D23397"/>
    <w:rsid w:val="00D246A0"/>
    <w:rsid w:val="00D258FB"/>
    <w:rsid w:val="00D26624"/>
    <w:rsid w:val="00D276D6"/>
    <w:rsid w:val="00D27B96"/>
    <w:rsid w:val="00D3108F"/>
    <w:rsid w:val="00D33AB1"/>
    <w:rsid w:val="00D3476D"/>
    <w:rsid w:val="00D34EF4"/>
    <w:rsid w:val="00D358E6"/>
    <w:rsid w:val="00D368E4"/>
    <w:rsid w:val="00D37D75"/>
    <w:rsid w:val="00D40DCF"/>
    <w:rsid w:val="00D42DA3"/>
    <w:rsid w:val="00D432A3"/>
    <w:rsid w:val="00D44C0F"/>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44B"/>
    <w:rsid w:val="00D66FC9"/>
    <w:rsid w:val="00D67576"/>
    <w:rsid w:val="00D71047"/>
    <w:rsid w:val="00D719C3"/>
    <w:rsid w:val="00D72A63"/>
    <w:rsid w:val="00D73449"/>
    <w:rsid w:val="00D777AC"/>
    <w:rsid w:val="00D8007B"/>
    <w:rsid w:val="00D80E4C"/>
    <w:rsid w:val="00D81052"/>
    <w:rsid w:val="00D81ED7"/>
    <w:rsid w:val="00D82582"/>
    <w:rsid w:val="00D85127"/>
    <w:rsid w:val="00D8592A"/>
    <w:rsid w:val="00D85E77"/>
    <w:rsid w:val="00D8600B"/>
    <w:rsid w:val="00D8685E"/>
    <w:rsid w:val="00D87113"/>
    <w:rsid w:val="00D90E83"/>
    <w:rsid w:val="00D9285E"/>
    <w:rsid w:val="00D97E96"/>
    <w:rsid w:val="00DA1421"/>
    <w:rsid w:val="00DA15EF"/>
    <w:rsid w:val="00DA68D0"/>
    <w:rsid w:val="00DA6CDA"/>
    <w:rsid w:val="00DB06CA"/>
    <w:rsid w:val="00DB077A"/>
    <w:rsid w:val="00DB0C5D"/>
    <w:rsid w:val="00DB1B4A"/>
    <w:rsid w:val="00DB275E"/>
    <w:rsid w:val="00DB2A2E"/>
    <w:rsid w:val="00DB3FCB"/>
    <w:rsid w:val="00DB68D2"/>
    <w:rsid w:val="00DB6A87"/>
    <w:rsid w:val="00DC012F"/>
    <w:rsid w:val="00DC04A9"/>
    <w:rsid w:val="00DC1BC6"/>
    <w:rsid w:val="00DC2F59"/>
    <w:rsid w:val="00DC30A1"/>
    <w:rsid w:val="00DC371F"/>
    <w:rsid w:val="00DC56D6"/>
    <w:rsid w:val="00DC64D7"/>
    <w:rsid w:val="00DC7462"/>
    <w:rsid w:val="00DC76AF"/>
    <w:rsid w:val="00DD0AB9"/>
    <w:rsid w:val="00DD0B11"/>
    <w:rsid w:val="00DD140D"/>
    <w:rsid w:val="00DD2031"/>
    <w:rsid w:val="00DD256C"/>
    <w:rsid w:val="00DD3A56"/>
    <w:rsid w:val="00DD64F6"/>
    <w:rsid w:val="00DD6629"/>
    <w:rsid w:val="00DD6E33"/>
    <w:rsid w:val="00DE42EE"/>
    <w:rsid w:val="00DE46EB"/>
    <w:rsid w:val="00DE4966"/>
    <w:rsid w:val="00DE510D"/>
    <w:rsid w:val="00DE64E0"/>
    <w:rsid w:val="00DE67FD"/>
    <w:rsid w:val="00DE7640"/>
    <w:rsid w:val="00DE7A19"/>
    <w:rsid w:val="00DF2676"/>
    <w:rsid w:val="00DF3812"/>
    <w:rsid w:val="00DF4942"/>
    <w:rsid w:val="00DF4CBD"/>
    <w:rsid w:val="00DF68F3"/>
    <w:rsid w:val="00DF73EC"/>
    <w:rsid w:val="00DF7577"/>
    <w:rsid w:val="00E00182"/>
    <w:rsid w:val="00E004F6"/>
    <w:rsid w:val="00E00E11"/>
    <w:rsid w:val="00E00E50"/>
    <w:rsid w:val="00E01BD7"/>
    <w:rsid w:val="00E03404"/>
    <w:rsid w:val="00E03760"/>
    <w:rsid w:val="00E044FC"/>
    <w:rsid w:val="00E0506A"/>
    <w:rsid w:val="00E067A7"/>
    <w:rsid w:val="00E06D4A"/>
    <w:rsid w:val="00E073A6"/>
    <w:rsid w:val="00E13409"/>
    <w:rsid w:val="00E1390E"/>
    <w:rsid w:val="00E1415E"/>
    <w:rsid w:val="00E16370"/>
    <w:rsid w:val="00E1655E"/>
    <w:rsid w:val="00E202B7"/>
    <w:rsid w:val="00E20D9A"/>
    <w:rsid w:val="00E219CD"/>
    <w:rsid w:val="00E21DD7"/>
    <w:rsid w:val="00E22B11"/>
    <w:rsid w:val="00E235E3"/>
    <w:rsid w:val="00E248FC"/>
    <w:rsid w:val="00E25551"/>
    <w:rsid w:val="00E27C7D"/>
    <w:rsid w:val="00E30B41"/>
    <w:rsid w:val="00E3174A"/>
    <w:rsid w:val="00E3276D"/>
    <w:rsid w:val="00E337C3"/>
    <w:rsid w:val="00E3555B"/>
    <w:rsid w:val="00E36302"/>
    <w:rsid w:val="00E36B5F"/>
    <w:rsid w:val="00E36E4B"/>
    <w:rsid w:val="00E4044E"/>
    <w:rsid w:val="00E42572"/>
    <w:rsid w:val="00E429CE"/>
    <w:rsid w:val="00E42AF7"/>
    <w:rsid w:val="00E42D8A"/>
    <w:rsid w:val="00E4348F"/>
    <w:rsid w:val="00E50877"/>
    <w:rsid w:val="00E56499"/>
    <w:rsid w:val="00E565BA"/>
    <w:rsid w:val="00E56C70"/>
    <w:rsid w:val="00E56D10"/>
    <w:rsid w:val="00E56D52"/>
    <w:rsid w:val="00E625CF"/>
    <w:rsid w:val="00E62710"/>
    <w:rsid w:val="00E62870"/>
    <w:rsid w:val="00E64B23"/>
    <w:rsid w:val="00E664B6"/>
    <w:rsid w:val="00E670D2"/>
    <w:rsid w:val="00E7034C"/>
    <w:rsid w:val="00E71E4E"/>
    <w:rsid w:val="00E72A74"/>
    <w:rsid w:val="00E73E0D"/>
    <w:rsid w:val="00E7500D"/>
    <w:rsid w:val="00E75688"/>
    <w:rsid w:val="00E8084C"/>
    <w:rsid w:val="00E81FD6"/>
    <w:rsid w:val="00E82404"/>
    <w:rsid w:val="00E82EE6"/>
    <w:rsid w:val="00E85522"/>
    <w:rsid w:val="00E86598"/>
    <w:rsid w:val="00E9076A"/>
    <w:rsid w:val="00E90D2B"/>
    <w:rsid w:val="00E96708"/>
    <w:rsid w:val="00E97637"/>
    <w:rsid w:val="00EA0606"/>
    <w:rsid w:val="00EA0C3D"/>
    <w:rsid w:val="00EA6364"/>
    <w:rsid w:val="00EA668A"/>
    <w:rsid w:val="00EA7043"/>
    <w:rsid w:val="00EA7FC1"/>
    <w:rsid w:val="00EB04F8"/>
    <w:rsid w:val="00EB053B"/>
    <w:rsid w:val="00EB4942"/>
    <w:rsid w:val="00EB6090"/>
    <w:rsid w:val="00EB6608"/>
    <w:rsid w:val="00EB67B0"/>
    <w:rsid w:val="00EC32BC"/>
    <w:rsid w:val="00EC465F"/>
    <w:rsid w:val="00EC530E"/>
    <w:rsid w:val="00EC5AA9"/>
    <w:rsid w:val="00EC5C57"/>
    <w:rsid w:val="00EC636D"/>
    <w:rsid w:val="00ED16E0"/>
    <w:rsid w:val="00ED1D04"/>
    <w:rsid w:val="00ED1FB6"/>
    <w:rsid w:val="00ED26C1"/>
    <w:rsid w:val="00ED3032"/>
    <w:rsid w:val="00ED5A1C"/>
    <w:rsid w:val="00ED5F19"/>
    <w:rsid w:val="00EE1DF4"/>
    <w:rsid w:val="00EE3695"/>
    <w:rsid w:val="00EE638D"/>
    <w:rsid w:val="00EE6F6E"/>
    <w:rsid w:val="00EE6FD2"/>
    <w:rsid w:val="00EF0085"/>
    <w:rsid w:val="00EF07A9"/>
    <w:rsid w:val="00EF3352"/>
    <w:rsid w:val="00EF43A6"/>
    <w:rsid w:val="00EF69A4"/>
    <w:rsid w:val="00EF7534"/>
    <w:rsid w:val="00EF7B5E"/>
    <w:rsid w:val="00F001A8"/>
    <w:rsid w:val="00F00B67"/>
    <w:rsid w:val="00F00C80"/>
    <w:rsid w:val="00F01785"/>
    <w:rsid w:val="00F01BD2"/>
    <w:rsid w:val="00F0411A"/>
    <w:rsid w:val="00F04A41"/>
    <w:rsid w:val="00F04D08"/>
    <w:rsid w:val="00F05406"/>
    <w:rsid w:val="00F054C0"/>
    <w:rsid w:val="00F06636"/>
    <w:rsid w:val="00F06CBB"/>
    <w:rsid w:val="00F07DC5"/>
    <w:rsid w:val="00F117A7"/>
    <w:rsid w:val="00F11B80"/>
    <w:rsid w:val="00F11ED4"/>
    <w:rsid w:val="00F12012"/>
    <w:rsid w:val="00F12533"/>
    <w:rsid w:val="00F12910"/>
    <w:rsid w:val="00F14F72"/>
    <w:rsid w:val="00F1628D"/>
    <w:rsid w:val="00F16595"/>
    <w:rsid w:val="00F17C8A"/>
    <w:rsid w:val="00F20CC2"/>
    <w:rsid w:val="00F20FC4"/>
    <w:rsid w:val="00F21E76"/>
    <w:rsid w:val="00F225B3"/>
    <w:rsid w:val="00F23343"/>
    <w:rsid w:val="00F24969"/>
    <w:rsid w:val="00F265D9"/>
    <w:rsid w:val="00F267DE"/>
    <w:rsid w:val="00F27602"/>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2AF5"/>
    <w:rsid w:val="00F53956"/>
    <w:rsid w:val="00F53D99"/>
    <w:rsid w:val="00F5524D"/>
    <w:rsid w:val="00F600AB"/>
    <w:rsid w:val="00F603DE"/>
    <w:rsid w:val="00F60F6F"/>
    <w:rsid w:val="00F61C4B"/>
    <w:rsid w:val="00F61D8D"/>
    <w:rsid w:val="00F62027"/>
    <w:rsid w:val="00F62EB1"/>
    <w:rsid w:val="00F64753"/>
    <w:rsid w:val="00F64F8A"/>
    <w:rsid w:val="00F65D15"/>
    <w:rsid w:val="00F66D1F"/>
    <w:rsid w:val="00F676B1"/>
    <w:rsid w:val="00F70072"/>
    <w:rsid w:val="00F7210B"/>
    <w:rsid w:val="00F72A05"/>
    <w:rsid w:val="00F7350F"/>
    <w:rsid w:val="00F740B9"/>
    <w:rsid w:val="00F75FCD"/>
    <w:rsid w:val="00F76096"/>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00AC"/>
    <w:rsid w:val="00FB1C48"/>
    <w:rsid w:val="00FB2835"/>
    <w:rsid w:val="00FB6142"/>
    <w:rsid w:val="00FC44DB"/>
    <w:rsid w:val="00FC4CB1"/>
    <w:rsid w:val="00FC56B9"/>
    <w:rsid w:val="00FC5F75"/>
    <w:rsid w:val="00FD04B5"/>
    <w:rsid w:val="00FD27C0"/>
    <w:rsid w:val="00FD2E98"/>
    <w:rsid w:val="00FD2F39"/>
    <w:rsid w:val="00FD61A3"/>
    <w:rsid w:val="00FD61DB"/>
    <w:rsid w:val="00FD64E6"/>
    <w:rsid w:val="00FE07EC"/>
    <w:rsid w:val="00FE4571"/>
    <w:rsid w:val="00FE4EDA"/>
    <w:rsid w:val="00FE5DFC"/>
    <w:rsid w:val="00FE7ED6"/>
    <w:rsid w:val="00FF01D9"/>
    <w:rsid w:val="00FF101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3C54"/>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8F3"/>
    <w:pPr>
      <w:spacing w:after="0" w:line="240" w:lineRule="auto"/>
      <w:jc w:val="left"/>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63A5-5822-481F-B8CC-06388F81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26</Pages>
  <Words>6004</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T. Mabona</dc:creator>
  <cp:lastModifiedBy>sathish sarshan  mohan</cp:lastModifiedBy>
  <cp:revision>9</cp:revision>
  <cp:lastPrinted>2024-04-19T13:39:00Z</cp:lastPrinted>
  <dcterms:created xsi:type="dcterms:W3CDTF">2024-04-17T10:43:00Z</dcterms:created>
  <dcterms:modified xsi:type="dcterms:W3CDTF">2024-05-04T06:17:00Z</dcterms:modified>
</cp:coreProperties>
</file>