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ED5F5" w14:textId="77777777" w:rsidR="0009034F" w:rsidRDefault="0009034F" w:rsidP="0009034F">
      <w:pPr>
        <w:spacing w:line="360" w:lineRule="auto"/>
        <w:jc w:val="center"/>
        <w:rPr>
          <w:rFonts w:ascii="Raavi" w:eastAsia="Calibri" w:hAnsi="Raavi" w:cs="Raavi"/>
          <w:b/>
          <w:sz w:val="28"/>
          <w:szCs w:val="28"/>
          <w:u w:val="single"/>
        </w:rPr>
      </w:pPr>
      <w:r>
        <w:rPr>
          <w:noProof/>
          <w:lang w:eastAsia="en-ZA"/>
        </w:rPr>
        <w:drawing>
          <wp:inline distT="0" distB="0" distL="0" distR="0" wp14:anchorId="532C5AA7" wp14:editId="679EA89C">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4DF2E2C8" w14:textId="77777777" w:rsidR="0009034F" w:rsidRPr="004D66CF" w:rsidRDefault="0009034F" w:rsidP="0009034F">
      <w:pPr>
        <w:spacing w:line="360" w:lineRule="auto"/>
        <w:jc w:val="center"/>
        <w:rPr>
          <w:rFonts w:ascii="Arial" w:eastAsia="Calibri" w:hAnsi="Arial" w:cs="Arial"/>
          <w:b/>
          <w:sz w:val="28"/>
          <w:szCs w:val="28"/>
          <w:u w:val="single"/>
        </w:rPr>
      </w:pPr>
      <w:r w:rsidRPr="004D66CF">
        <w:rPr>
          <w:rFonts w:ascii="Arial" w:eastAsia="Calibri" w:hAnsi="Arial" w:cs="Arial"/>
          <w:b/>
          <w:sz w:val="28"/>
          <w:szCs w:val="28"/>
          <w:u w:val="single"/>
        </w:rPr>
        <w:t>IN THE HIGH COURT OF SOUTH AFRICA</w:t>
      </w:r>
    </w:p>
    <w:p w14:paraId="79F2F722" w14:textId="77777777" w:rsidR="0009034F" w:rsidRPr="004D66CF" w:rsidRDefault="0009034F" w:rsidP="0009034F">
      <w:pPr>
        <w:spacing w:line="360" w:lineRule="auto"/>
        <w:jc w:val="center"/>
        <w:rPr>
          <w:rFonts w:ascii="Arial" w:eastAsia="Calibri" w:hAnsi="Arial" w:cs="Arial"/>
          <w:b/>
          <w:sz w:val="28"/>
          <w:szCs w:val="28"/>
        </w:rPr>
      </w:pPr>
      <w:r w:rsidRPr="004D66CF">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09034F" w:rsidRPr="004D66CF" w14:paraId="11AB8747" w14:textId="77777777" w:rsidTr="00DC00C7">
        <w:tc>
          <w:tcPr>
            <w:tcW w:w="4673" w:type="dxa"/>
          </w:tcPr>
          <w:p w14:paraId="78FFC371" w14:textId="77777777" w:rsidR="0009034F" w:rsidRPr="004D66CF" w:rsidRDefault="0009034F" w:rsidP="00BE0718">
            <w:pPr>
              <w:spacing w:line="240" w:lineRule="auto"/>
              <w:rPr>
                <w:rFonts w:ascii="Arial" w:eastAsia="Calibri" w:hAnsi="Arial" w:cs="Arial"/>
                <w:b/>
                <w:sz w:val="18"/>
                <w:szCs w:val="18"/>
              </w:rPr>
            </w:pPr>
            <w:r w:rsidRPr="004D66CF">
              <w:rPr>
                <w:rFonts w:ascii="Arial" w:eastAsia="Calibri" w:hAnsi="Arial" w:cs="Arial"/>
                <w:b/>
                <w:sz w:val="18"/>
                <w:szCs w:val="18"/>
              </w:rPr>
              <w:t>DELETE WHICHEVER IS NOT APPLICABLE</w:t>
            </w:r>
          </w:p>
          <w:p w14:paraId="06F9BC11" w14:textId="77777777" w:rsidR="0009034F" w:rsidRPr="004D66CF" w:rsidRDefault="0009034F" w:rsidP="00BE0718">
            <w:pPr>
              <w:spacing w:line="240" w:lineRule="auto"/>
              <w:rPr>
                <w:rFonts w:ascii="Arial" w:eastAsia="Calibri" w:hAnsi="Arial" w:cs="Arial"/>
                <w:b/>
                <w:sz w:val="18"/>
                <w:szCs w:val="18"/>
              </w:rPr>
            </w:pPr>
            <w:r w:rsidRPr="004D66CF">
              <w:rPr>
                <w:rFonts w:ascii="Arial" w:eastAsia="Calibri" w:hAnsi="Arial" w:cs="Arial"/>
                <w:b/>
                <w:sz w:val="18"/>
                <w:szCs w:val="18"/>
              </w:rPr>
              <w:t>(1) REPORTABLE:  YES / NO.</w:t>
            </w:r>
          </w:p>
          <w:p w14:paraId="35B08EF3" w14:textId="77777777" w:rsidR="0009034F" w:rsidRPr="004D66CF" w:rsidRDefault="0009034F" w:rsidP="00BE0718">
            <w:pPr>
              <w:spacing w:line="240" w:lineRule="auto"/>
              <w:rPr>
                <w:rFonts w:ascii="Arial" w:eastAsia="Calibri" w:hAnsi="Arial" w:cs="Arial"/>
                <w:b/>
                <w:sz w:val="18"/>
                <w:szCs w:val="18"/>
              </w:rPr>
            </w:pPr>
            <w:r w:rsidRPr="004D66CF">
              <w:rPr>
                <w:rFonts w:ascii="Arial" w:eastAsia="Calibri" w:hAnsi="Arial" w:cs="Arial"/>
                <w:b/>
                <w:sz w:val="18"/>
                <w:szCs w:val="18"/>
              </w:rPr>
              <w:t>(2) OF INTEREST TO OTHER JUDGES:  YES / NO.</w:t>
            </w:r>
          </w:p>
          <w:p w14:paraId="5168D1A6" w14:textId="77777777" w:rsidR="0009034F" w:rsidRPr="004D66CF" w:rsidRDefault="0009034F" w:rsidP="00BE0718">
            <w:pPr>
              <w:spacing w:line="240" w:lineRule="auto"/>
              <w:rPr>
                <w:rFonts w:ascii="Arial" w:eastAsia="Calibri" w:hAnsi="Arial" w:cs="Arial"/>
                <w:b/>
                <w:sz w:val="18"/>
                <w:szCs w:val="18"/>
              </w:rPr>
            </w:pPr>
            <w:r w:rsidRPr="004D66CF">
              <w:rPr>
                <w:rFonts w:ascii="Arial" w:eastAsia="Calibri" w:hAnsi="Arial" w:cs="Arial"/>
                <w:b/>
                <w:sz w:val="18"/>
                <w:szCs w:val="18"/>
              </w:rPr>
              <w:t>(3) REVISED.</w:t>
            </w:r>
          </w:p>
          <w:p w14:paraId="3D3FB12F" w14:textId="77777777" w:rsidR="0009034F" w:rsidRPr="004D66CF" w:rsidRDefault="0009034F" w:rsidP="00BE0718">
            <w:pPr>
              <w:spacing w:line="240" w:lineRule="auto"/>
              <w:rPr>
                <w:rFonts w:ascii="Arial" w:eastAsia="Calibri" w:hAnsi="Arial" w:cs="Arial"/>
                <w:b/>
                <w:sz w:val="18"/>
                <w:szCs w:val="18"/>
              </w:rPr>
            </w:pPr>
          </w:p>
          <w:p w14:paraId="4F7D36C8" w14:textId="77777777" w:rsidR="0009034F" w:rsidRPr="004D66CF" w:rsidRDefault="0009034F" w:rsidP="00BE0718">
            <w:pPr>
              <w:spacing w:line="240" w:lineRule="auto"/>
              <w:rPr>
                <w:rFonts w:ascii="Arial" w:eastAsia="Calibri" w:hAnsi="Arial" w:cs="Arial"/>
                <w:b/>
                <w:sz w:val="18"/>
                <w:szCs w:val="18"/>
                <w:u w:val="single"/>
              </w:rPr>
            </w:pPr>
            <w:r w:rsidRPr="004D66CF">
              <w:rPr>
                <w:rFonts w:ascii="Arial" w:eastAsia="Calibri" w:hAnsi="Arial" w:cs="Arial"/>
                <w:b/>
                <w:sz w:val="18"/>
                <w:szCs w:val="18"/>
                <w:u w:val="single"/>
              </w:rPr>
              <w:t>DATE</w:t>
            </w:r>
            <w:r w:rsidRPr="004D66CF">
              <w:rPr>
                <w:rFonts w:ascii="Arial" w:eastAsia="Calibri" w:hAnsi="Arial" w:cs="Arial"/>
                <w:b/>
                <w:sz w:val="18"/>
                <w:szCs w:val="18"/>
              </w:rPr>
              <w:t xml:space="preserve">                                            </w:t>
            </w:r>
            <w:r w:rsidRPr="004D66CF">
              <w:rPr>
                <w:rFonts w:ascii="Arial" w:eastAsia="Calibri" w:hAnsi="Arial" w:cs="Arial"/>
                <w:b/>
                <w:sz w:val="18"/>
                <w:szCs w:val="18"/>
                <w:u w:val="single"/>
              </w:rPr>
              <w:t>SIGNATURE</w:t>
            </w:r>
          </w:p>
        </w:tc>
      </w:tr>
    </w:tbl>
    <w:p w14:paraId="7C71627D" w14:textId="7A0099FE" w:rsidR="0009034F" w:rsidRPr="001B5C27" w:rsidRDefault="00080870" w:rsidP="00080870">
      <w:pPr>
        <w:spacing w:line="360" w:lineRule="auto"/>
        <w:jc w:val="center"/>
        <w:rPr>
          <w:rFonts w:ascii="Arial" w:eastAsia="Calibri" w:hAnsi="Arial" w:cs="Arial"/>
          <w:sz w:val="24"/>
          <w:szCs w:val="24"/>
        </w:rPr>
      </w:pPr>
      <w:r>
        <w:rPr>
          <w:rFonts w:ascii="Arial" w:eastAsia="Calibri" w:hAnsi="Arial" w:cs="Arial"/>
          <w:sz w:val="28"/>
          <w:szCs w:val="28"/>
        </w:rPr>
        <w:t xml:space="preserve">                                                                        </w:t>
      </w:r>
      <w:r w:rsidR="001B5C27">
        <w:rPr>
          <w:rFonts w:ascii="Arial" w:eastAsia="Calibri" w:hAnsi="Arial" w:cs="Arial"/>
          <w:sz w:val="28"/>
          <w:szCs w:val="28"/>
        </w:rPr>
        <w:t xml:space="preserve">   </w:t>
      </w:r>
      <w:r w:rsidR="0009034F" w:rsidRPr="001B5C27">
        <w:rPr>
          <w:rFonts w:ascii="Arial" w:eastAsia="Calibri" w:hAnsi="Arial" w:cs="Arial"/>
          <w:sz w:val="24"/>
          <w:szCs w:val="24"/>
        </w:rPr>
        <w:t xml:space="preserve">Case Number: </w:t>
      </w:r>
      <w:r w:rsidR="004E2051" w:rsidRPr="001B5C27">
        <w:rPr>
          <w:rFonts w:ascii="Arial" w:eastAsia="Calibri" w:hAnsi="Arial" w:cs="Arial"/>
          <w:sz w:val="24"/>
          <w:szCs w:val="24"/>
        </w:rPr>
        <w:t>37455</w:t>
      </w:r>
      <w:r w:rsidR="00CF548A" w:rsidRPr="001B5C27">
        <w:rPr>
          <w:rFonts w:ascii="Arial" w:eastAsia="Calibri" w:hAnsi="Arial" w:cs="Arial"/>
          <w:sz w:val="24"/>
          <w:szCs w:val="24"/>
        </w:rPr>
        <w:t>/2</w:t>
      </w:r>
      <w:r w:rsidR="004E2051" w:rsidRPr="001B5C27">
        <w:rPr>
          <w:rFonts w:ascii="Arial" w:eastAsia="Calibri" w:hAnsi="Arial" w:cs="Arial"/>
          <w:sz w:val="24"/>
          <w:szCs w:val="24"/>
        </w:rPr>
        <w:t>3</w:t>
      </w:r>
      <w:r w:rsidR="0009034F" w:rsidRPr="001B5C27">
        <w:rPr>
          <w:rFonts w:ascii="Arial" w:eastAsia="Calibri" w:hAnsi="Arial" w:cs="Arial"/>
          <w:sz w:val="24"/>
          <w:szCs w:val="24"/>
        </w:rPr>
        <w:t xml:space="preserve"> </w:t>
      </w:r>
    </w:p>
    <w:p w14:paraId="24DC625A" w14:textId="0A256396" w:rsidR="0009034F" w:rsidRPr="004D66CF" w:rsidRDefault="0009034F" w:rsidP="0009034F">
      <w:pPr>
        <w:spacing w:line="360" w:lineRule="auto"/>
        <w:jc w:val="both"/>
        <w:rPr>
          <w:rFonts w:ascii="Arial" w:eastAsia="Calibri" w:hAnsi="Arial" w:cs="Arial"/>
          <w:sz w:val="28"/>
          <w:szCs w:val="28"/>
        </w:rPr>
      </w:pPr>
      <w:r w:rsidRPr="001B5C27">
        <w:rPr>
          <w:rFonts w:ascii="Arial" w:eastAsia="Calibri" w:hAnsi="Arial" w:cs="Arial"/>
          <w:sz w:val="24"/>
          <w:szCs w:val="24"/>
        </w:rPr>
        <w:t>In</w:t>
      </w:r>
      <w:r w:rsidR="00CF548A" w:rsidRPr="001B5C27">
        <w:rPr>
          <w:rFonts w:ascii="Arial" w:eastAsia="Calibri" w:hAnsi="Arial" w:cs="Arial"/>
          <w:sz w:val="24"/>
          <w:szCs w:val="24"/>
        </w:rPr>
        <w:t xml:space="preserve"> the matter between</w:t>
      </w:r>
      <w:r w:rsidR="00080870">
        <w:rPr>
          <w:rFonts w:ascii="Arial" w:eastAsia="Calibri" w:hAnsi="Arial" w:cs="Arial"/>
          <w:sz w:val="28"/>
          <w:szCs w:val="28"/>
        </w:rPr>
        <w:t>:</w:t>
      </w:r>
    </w:p>
    <w:p w14:paraId="1DF209B1" w14:textId="4CD0754D" w:rsidR="00CF548A" w:rsidRPr="003F7B7F" w:rsidRDefault="00DC0EAB" w:rsidP="00CF548A">
      <w:pPr>
        <w:spacing w:line="360" w:lineRule="auto"/>
        <w:rPr>
          <w:rFonts w:ascii="Arial" w:hAnsi="Arial" w:cs="Arial"/>
          <w:b/>
          <w:sz w:val="24"/>
          <w:szCs w:val="24"/>
        </w:rPr>
      </w:pPr>
      <w:r>
        <w:rPr>
          <w:rFonts w:ascii="Arial" w:hAnsi="Arial" w:cs="Arial"/>
          <w:b/>
          <w:sz w:val="24"/>
          <w:szCs w:val="24"/>
          <w:u w:val="single"/>
        </w:rPr>
        <w:t>Mercedes</w:t>
      </w:r>
      <w:r w:rsidR="003F7B7F">
        <w:rPr>
          <w:rFonts w:ascii="Arial" w:hAnsi="Arial" w:cs="Arial"/>
          <w:b/>
          <w:sz w:val="24"/>
          <w:szCs w:val="24"/>
          <w:u w:val="single"/>
        </w:rPr>
        <w:t xml:space="preserve"> Benz Financial Services SA (Pty) Ltd</w:t>
      </w:r>
      <w:r w:rsidR="00CF548A">
        <w:rPr>
          <w:rFonts w:ascii="Arial" w:hAnsi="Arial" w:cs="Arial"/>
          <w:b/>
          <w:sz w:val="28"/>
          <w:szCs w:val="28"/>
        </w:rPr>
        <w:tab/>
      </w:r>
      <w:r w:rsidR="00CF548A">
        <w:rPr>
          <w:rFonts w:ascii="Arial" w:hAnsi="Arial" w:cs="Arial"/>
          <w:b/>
          <w:sz w:val="28"/>
          <w:szCs w:val="28"/>
        </w:rPr>
        <w:tab/>
      </w:r>
      <w:r w:rsidR="00CF548A">
        <w:rPr>
          <w:rFonts w:ascii="Arial" w:hAnsi="Arial" w:cs="Arial"/>
          <w:b/>
          <w:sz w:val="28"/>
          <w:szCs w:val="28"/>
        </w:rPr>
        <w:tab/>
        <w:t xml:space="preserve">    </w:t>
      </w:r>
      <w:r w:rsidR="003F7B7F">
        <w:rPr>
          <w:rFonts w:ascii="Arial" w:hAnsi="Arial" w:cs="Arial"/>
          <w:b/>
          <w:sz w:val="28"/>
          <w:szCs w:val="28"/>
        </w:rPr>
        <w:t xml:space="preserve">     </w:t>
      </w:r>
      <w:r w:rsidR="003F7B7F">
        <w:rPr>
          <w:rFonts w:ascii="Arial" w:hAnsi="Arial" w:cs="Arial"/>
          <w:b/>
          <w:sz w:val="24"/>
          <w:szCs w:val="24"/>
        </w:rPr>
        <w:t>Plaintiff</w:t>
      </w:r>
    </w:p>
    <w:p w14:paraId="2300C5DF" w14:textId="72AA0564" w:rsidR="00CF548A" w:rsidRPr="003F7B7F" w:rsidRDefault="003F7B7F" w:rsidP="00CF548A">
      <w:pPr>
        <w:spacing w:line="360" w:lineRule="auto"/>
        <w:rPr>
          <w:rFonts w:ascii="Arial" w:hAnsi="Arial" w:cs="Arial"/>
          <w:bCs/>
          <w:sz w:val="24"/>
          <w:szCs w:val="24"/>
        </w:rPr>
      </w:pPr>
      <w:r>
        <w:rPr>
          <w:rFonts w:ascii="Arial" w:hAnsi="Arial" w:cs="Arial"/>
          <w:bCs/>
          <w:sz w:val="24"/>
          <w:szCs w:val="24"/>
        </w:rPr>
        <w:t>and</w:t>
      </w:r>
    </w:p>
    <w:p w14:paraId="54F4BD7B" w14:textId="5D93DFE3" w:rsidR="00D313CD" w:rsidRPr="004E2051" w:rsidRDefault="001B5C27" w:rsidP="004E2051">
      <w:pPr>
        <w:spacing w:line="360" w:lineRule="auto"/>
        <w:rPr>
          <w:rFonts w:ascii="Arial" w:hAnsi="Arial" w:cs="Arial"/>
          <w:b/>
          <w:sz w:val="28"/>
          <w:szCs w:val="28"/>
        </w:rPr>
      </w:pPr>
      <w:r>
        <w:rPr>
          <w:rFonts w:ascii="Arial" w:hAnsi="Arial" w:cs="Arial"/>
          <w:b/>
          <w:sz w:val="24"/>
          <w:szCs w:val="24"/>
          <w:u w:val="single"/>
        </w:rPr>
        <w:t>Maile Benjamin Mojela</w:t>
      </w:r>
      <w:r w:rsidR="00CF548A">
        <w:rPr>
          <w:rFonts w:ascii="Arial" w:hAnsi="Arial" w:cs="Arial"/>
          <w:b/>
          <w:sz w:val="28"/>
          <w:szCs w:val="28"/>
        </w:rPr>
        <w:tab/>
      </w:r>
      <w:r w:rsidR="00CF548A">
        <w:rPr>
          <w:rFonts w:ascii="Arial" w:hAnsi="Arial" w:cs="Arial"/>
          <w:b/>
          <w:sz w:val="28"/>
          <w:szCs w:val="28"/>
        </w:rPr>
        <w:tab/>
      </w:r>
      <w:r w:rsidR="00CF548A">
        <w:rPr>
          <w:rFonts w:ascii="Arial" w:hAnsi="Arial" w:cs="Arial"/>
          <w:b/>
          <w:sz w:val="28"/>
          <w:szCs w:val="28"/>
        </w:rPr>
        <w:tab/>
      </w:r>
      <w:r w:rsidR="00CF548A">
        <w:rPr>
          <w:rFonts w:ascii="Arial" w:hAnsi="Arial" w:cs="Arial"/>
          <w:b/>
          <w:sz w:val="28"/>
          <w:szCs w:val="28"/>
        </w:rPr>
        <w:tab/>
      </w:r>
      <w:r>
        <w:rPr>
          <w:rFonts w:ascii="Arial" w:hAnsi="Arial" w:cs="Arial"/>
          <w:b/>
          <w:sz w:val="28"/>
          <w:szCs w:val="28"/>
        </w:rPr>
        <w:t xml:space="preserve">                              </w:t>
      </w:r>
      <w:r w:rsidRPr="008C672C">
        <w:rPr>
          <w:rFonts w:ascii="Arial" w:hAnsi="Arial" w:cs="Arial"/>
          <w:b/>
          <w:sz w:val="24"/>
          <w:szCs w:val="24"/>
        </w:rPr>
        <w:t>Defendant</w:t>
      </w:r>
    </w:p>
    <w:p w14:paraId="283A74F7" w14:textId="57E179F2" w:rsidR="008C672C" w:rsidRPr="001B5C27" w:rsidRDefault="008C672C" w:rsidP="008C672C">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Pr="001B5C27">
        <w:rPr>
          <w:rFonts w:ascii="Arial" w:eastAsia="Calibri" w:hAnsi="Arial" w:cs="Arial"/>
          <w:sz w:val="24"/>
          <w:szCs w:val="24"/>
        </w:rPr>
        <w:t>Case Number: 374</w:t>
      </w:r>
      <w:r>
        <w:rPr>
          <w:rFonts w:ascii="Arial" w:eastAsia="Calibri" w:hAnsi="Arial" w:cs="Arial"/>
          <w:sz w:val="24"/>
          <w:szCs w:val="24"/>
        </w:rPr>
        <w:t>69</w:t>
      </w:r>
      <w:r w:rsidRPr="001B5C27">
        <w:rPr>
          <w:rFonts w:ascii="Arial" w:eastAsia="Calibri" w:hAnsi="Arial" w:cs="Arial"/>
          <w:sz w:val="24"/>
          <w:szCs w:val="24"/>
        </w:rPr>
        <w:t xml:space="preserve">/23 </w:t>
      </w:r>
    </w:p>
    <w:p w14:paraId="65A5F19C" w14:textId="77777777" w:rsidR="008C672C" w:rsidRPr="004D66CF" w:rsidRDefault="008C672C" w:rsidP="008C672C">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2A32CB42" w14:textId="760A7086" w:rsidR="008C672C" w:rsidRPr="003F7B7F" w:rsidRDefault="00DC0EAB" w:rsidP="008C672C">
      <w:pPr>
        <w:spacing w:line="360" w:lineRule="auto"/>
        <w:rPr>
          <w:rFonts w:ascii="Arial" w:hAnsi="Arial" w:cs="Arial"/>
          <w:b/>
          <w:sz w:val="24"/>
          <w:szCs w:val="24"/>
        </w:rPr>
      </w:pPr>
      <w:r>
        <w:rPr>
          <w:rFonts w:ascii="Arial" w:hAnsi="Arial" w:cs="Arial"/>
          <w:b/>
          <w:sz w:val="24"/>
          <w:szCs w:val="24"/>
          <w:u w:val="single"/>
        </w:rPr>
        <w:t>Mercedes</w:t>
      </w:r>
      <w:r w:rsidR="008C672C">
        <w:rPr>
          <w:rFonts w:ascii="Arial" w:hAnsi="Arial" w:cs="Arial"/>
          <w:b/>
          <w:sz w:val="24"/>
          <w:szCs w:val="24"/>
          <w:u w:val="single"/>
        </w:rPr>
        <w:t xml:space="preserve"> Benz Financial Services SA (Pty) Ltd</w:t>
      </w:r>
      <w:r w:rsidR="008C672C">
        <w:rPr>
          <w:rFonts w:ascii="Arial" w:hAnsi="Arial" w:cs="Arial"/>
          <w:b/>
          <w:sz w:val="28"/>
          <w:szCs w:val="28"/>
        </w:rPr>
        <w:tab/>
      </w:r>
      <w:r w:rsidR="008C672C">
        <w:rPr>
          <w:rFonts w:ascii="Arial" w:hAnsi="Arial" w:cs="Arial"/>
          <w:b/>
          <w:sz w:val="28"/>
          <w:szCs w:val="28"/>
        </w:rPr>
        <w:tab/>
      </w:r>
      <w:r w:rsidR="008C672C">
        <w:rPr>
          <w:rFonts w:ascii="Arial" w:hAnsi="Arial" w:cs="Arial"/>
          <w:b/>
          <w:sz w:val="28"/>
          <w:szCs w:val="28"/>
        </w:rPr>
        <w:tab/>
        <w:t xml:space="preserve">         </w:t>
      </w:r>
      <w:r w:rsidR="008C672C">
        <w:rPr>
          <w:rFonts w:ascii="Arial" w:hAnsi="Arial" w:cs="Arial"/>
          <w:b/>
          <w:sz w:val="24"/>
          <w:szCs w:val="24"/>
        </w:rPr>
        <w:t>Plaintiff</w:t>
      </w:r>
    </w:p>
    <w:p w14:paraId="79AC77CB" w14:textId="77777777" w:rsidR="008C672C" w:rsidRPr="003F7B7F" w:rsidRDefault="008C672C" w:rsidP="008C672C">
      <w:pPr>
        <w:spacing w:line="360" w:lineRule="auto"/>
        <w:rPr>
          <w:rFonts w:ascii="Arial" w:hAnsi="Arial" w:cs="Arial"/>
          <w:bCs/>
          <w:sz w:val="24"/>
          <w:szCs w:val="24"/>
        </w:rPr>
      </w:pPr>
      <w:r>
        <w:rPr>
          <w:rFonts w:ascii="Arial" w:hAnsi="Arial" w:cs="Arial"/>
          <w:bCs/>
          <w:sz w:val="24"/>
          <w:szCs w:val="24"/>
        </w:rPr>
        <w:t>and</w:t>
      </w:r>
    </w:p>
    <w:p w14:paraId="687C9843" w14:textId="40D8F244" w:rsidR="008C672C" w:rsidRPr="008C672C" w:rsidRDefault="008C672C" w:rsidP="008C672C">
      <w:pPr>
        <w:spacing w:line="360" w:lineRule="auto"/>
        <w:rPr>
          <w:rFonts w:ascii="Arial" w:hAnsi="Arial" w:cs="Arial"/>
          <w:b/>
          <w:sz w:val="24"/>
          <w:szCs w:val="24"/>
        </w:rPr>
      </w:pPr>
      <w:r>
        <w:rPr>
          <w:rFonts w:ascii="Arial" w:hAnsi="Arial" w:cs="Arial"/>
          <w:b/>
          <w:sz w:val="24"/>
          <w:szCs w:val="24"/>
          <w:u w:val="single"/>
        </w:rPr>
        <w:t>Sibusiso Ngema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8C672C">
        <w:rPr>
          <w:rFonts w:ascii="Arial" w:hAnsi="Arial" w:cs="Arial"/>
          <w:b/>
          <w:sz w:val="24"/>
          <w:szCs w:val="24"/>
        </w:rPr>
        <w:t>Defendant</w:t>
      </w:r>
    </w:p>
    <w:p w14:paraId="74000457" w14:textId="69A6348A" w:rsidR="00D313CD" w:rsidRPr="00CF548A" w:rsidRDefault="00D313CD" w:rsidP="00D313CD">
      <w:pPr>
        <w:spacing w:line="360" w:lineRule="auto"/>
        <w:rPr>
          <w:rFonts w:ascii="Arial" w:hAnsi="Arial" w:cs="Arial"/>
          <w:b/>
          <w:sz w:val="28"/>
          <w:szCs w:val="28"/>
        </w:rPr>
      </w:pPr>
    </w:p>
    <w:p w14:paraId="0E0BD3BB" w14:textId="77777777" w:rsidR="00D313CD" w:rsidRDefault="00D313CD" w:rsidP="0009034F">
      <w:pPr>
        <w:spacing w:line="360" w:lineRule="auto"/>
        <w:rPr>
          <w:rFonts w:ascii="Arial" w:hAnsi="Arial" w:cs="Arial"/>
          <w:b/>
          <w:sz w:val="28"/>
          <w:szCs w:val="28"/>
        </w:rPr>
      </w:pPr>
    </w:p>
    <w:p w14:paraId="3D2DA29E" w14:textId="248885A4" w:rsidR="00DC0EAB" w:rsidRPr="001B5C27" w:rsidRDefault="00955623" w:rsidP="00DC0EAB">
      <w:pPr>
        <w:spacing w:line="360" w:lineRule="auto"/>
        <w:ind w:left="5760"/>
        <w:rPr>
          <w:rFonts w:ascii="Arial" w:eastAsia="Calibri" w:hAnsi="Arial" w:cs="Arial"/>
          <w:sz w:val="24"/>
          <w:szCs w:val="24"/>
        </w:rPr>
      </w:pPr>
      <w:r>
        <w:rPr>
          <w:rFonts w:ascii="Arial" w:eastAsia="Calibri" w:hAnsi="Arial" w:cs="Arial"/>
          <w:sz w:val="24"/>
          <w:szCs w:val="24"/>
        </w:rPr>
        <w:lastRenderedPageBreak/>
        <w:t xml:space="preserve">  </w:t>
      </w:r>
      <w:r w:rsidR="00DC0EAB" w:rsidRPr="001B5C27">
        <w:rPr>
          <w:rFonts w:ascii="Arial" w:eastAsia="Calibri" w:hAnsi="Arial" w:cs="Arial"/>
          <w:sz w:val="24"/>
          <w:szCs w:val="24"/>
        </w:rPr>
        <w:t xml:space="preserve">Case Number: </w:t>
      </w:r>
      <w:r>
        <w:rPr>
          <w:rFonts w:ascii="Arial" w:eastAsia="Calibri" w:hAnsi="Arial" w:cs="Arial"/>
          <w:sz w:val="24"/>
          <w:szCs w:val="24"/>
        </w:rPr>
        <w:t>5059/2023</w:t>
      </w:r>
      <w:r w:rsidR="00DC0EAB" w:rsidRPr="001B5C27">
        <w:rPr>
          <w:rFonts w:ascii="Arial" w:eastAsia="Calibri" w:hAnsi="Arial" w:cs="Arial"/>
          <w:sz w:val="24"/>
          <w:szCs w:val="24"/>
        </w:rPr>
        <w:t xml:space="preserve"> </w:t>
      </w:r>
    </w:p>
    <w:p w14:paraId="1AC458FF" w14:textId="77777777" w:rsidR="00DC0EAB" w:rsidRPr="004D66CF" w:rsidRDefault="00DC0EAB" w:rsidP="00DC0EAB">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7997010E" w14:textId="345CC3E1" w:rsidR="00DC0EAB" w:rsidRPr="003F7B7F" w:rsidRDefault="00DC0EAB" w:rsidP="00DC0EAB">
      <w:pPr>
        <w:spacing w:line="360" w:lineRule="auto"/>
        <w:rPr>
          <w:rFonts w:ascii="Arial" w:hAnsi="Arial" w:cs="Arial"/>
          <w:b/>
          <w:sz w:val="24"/>
          <w:szCs w:val="24"/>
        </w:rPr>
      </w:pPr>
      <w:r>
        <w:rPr>
          <w:rFonts w:ascii="Arial" w:hAnsi="Arial" w:cs="Arial"/>
          <w:b/>
          <w:sz w:val="24"/>
          <w:szCs w:val="24"/>
          <w:u w:val="single"/>
        </w:rPr>
        <w:t xml:space="preserve">First Rand Bank Ltd t/a </w:t>
      </w:r>
      <w:r w:rsidR="00834E7A">
        <w:rPr>
          <w:rFonts w:ascii="Arial" w:hAnsi="Arial" w:cs="Arial"/>
          <w:b/>
          <w:sz w:val="24"/>
          <w:szCs w:val="24"/>
          <w:u w:val="single"/>
        </w:rPr>
        <w:t>WesBank</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4"/>
          <w:szCs w:val="24"/>
        </w:rPr>
        <w:t>Plaintiff</w:t>
      </w:r>
    </w:p>
    <w:p w14:paraId="31106ECC" w14:textId="77777777" w:rsidR="00DC0EAB" w:rsidRPr="003F7B7F" w:rsidRDefault="00DC0EAB" w:rsidP="00DC0EAB">
      <w:pPr>
        <w:spacing w:line="360" w:lineRule="auto"/>
        <w:rPr>
          <w:rFonts w:ascii="Arial" w:hAnsi="Arial" w:cs="Arial"/>
          <w:bCs/>
          <w:sz w:val="24"/>
          <w:szCs w:val="24"/>
        </w:rPr>
      </w:pPr>
      <w:r>
        <w:rPr>
          <w:rFonts w:ascii="Arial" w:hAnsi="Arial" w:cs="Arial"/>
          <w:bCs/>
          <w:sz w:val="24"/>
          <w:szCs w:val="24"/>
        </w:rPr>
        <w:t>and</w:t>
      </w:r>
    </w:p>
    <w:p w14:paraId="5E775390" w14:textId="6EA6D3EC" w:rsidR="00DC0EAB" w:rsidRDefault="00955623" w:rsidP="00DC0EAB">
      <w:pPr>
        <w:spacing w:line="360" w:lineRule="auto"/>
        <w:rPr>
          <w:rFonts w:ascii="Arial" w:hAnsi="Arial" w:cs="Arial"/>
          <w:b/>
          <w:sz w:val="24"/>
          <w:szCs w:val="24"/>
        </w:rPr>
      </w:pPr>
      <w:r>
        <w:rPr>
          <w:rFonts w:ascii="Arial" w:hAnsi="Arial" w:cs="Arial"/>
          <w:b/>
          <w:sz w:val="24"/>
          <w:szCs w:val="24"/>
          <w:u w:val="single"/>
        </w:rPr>
        <w:t xml:space="preserve">Dereck </w:t>
      </w:r>
      <w:proofErr w:type="spellStart"/>
      <w:r>
        <w:rPr>
          <w:rFonts w:ascii="Arial" w:hAnsi="Arial" w:cs="Arial"/>
          <w:b/>
          <w:sz w:val="24"/>
          <w:szCs w:val="24"/>
          <w:u w:val="single"/>
        </w:rPr>
        <w:t>Muwawa</w:t>
      </w:r>
      <w:proofErr w:type="spellEnd"/>
      <w:r>
        <w:rPr>
          <w:rFonts w:ascii="Arial" w:hAnsi="Arial" w:cs="Arial"/>
          <w:b/>
          <w:sz w:val="24"/>
          <w:szCs w:val="24"/>
          <w:u w:val="single"/>
        </w:rPr>
        <w:t xml:space="preserve"> Phiri</w:t>
      </w:r>
      <w:r w:rsidR="00DC0EAB">
        <w:rPr>
          <w:rFonts w:ascii="Arial" w:hAnsi="Arial" w:cs="Arial"/>
          <w:b/>
          <w:sz w:val="28"/>
          <w:szCs w:val="28"/>
        </w:rPr>
        <w:tab/>
      </w:r>
      <w:r w:rsidR="00DC0EAB">
        <w:rPr>
          <w:rFonts w:ascii="Arial" w:hAnsi="Arial" w:cs="Arial"/>
          <w:b/>
          <w:sz w:val="28"/>
          <w:szCs w:val="28"/>
        </w:rPr>
        <w:tab/>
      </w:r>
      <w:r w:rsidR="00DC0EAB">
        <w:rPr>
          <w:rFonts w:ascii="Arial" w:hAnsi="Arial" w:cs="Arial"/>
          <w:b/>
          <w:sz w:val="28"/>
          <w:szCs w:val="28"/>
        </w:rPr>
        <w:tab/>
        <w:t xml:space="preserve">                                          </w:t>
      </w:r>
      <w:r w:rsidR="00DC0EAB" w:rsidRPr="008C672C">
        <w:rPr>
          <w:rFonts w:ascii="Arial" w:hAnsi="Arial" w:cs="Arial"/>
          <w:b/>
          <w:sz w:val="24"/>
          <w:szCs w:val="24"/>
        </w:rPr>
        <w:t>Defendant</w:t>
      </w:r>
    </w:p>
    <w:p w14:paraId="222233A0" w14:textId="77777777" w:rsidR="00955623" w:rsidRDefault="00955623" w:rsidP="00DC0EAB">
      <w:pPr>
        <w:spacing w:line="360" w:lineRule="auto"/>
        <w:rPr>
          <w:rFonts w:ascii="Arial" w:hAnsi="Arial" w:cs="Arial"/>
          <w:b/>
          <w:sz w:val="24"/>
          <w:szCs w:val="24"/>
        </w:rPr>
      </w:pPr>
    </w:p>
    <w:p w14:paraId="3C8AC968" w14:textId="1F01D356" w:rsidR="00955623" w:rsidRPr="001B5C27" w:rsidRDefault="00955623" w:rsidP="00955623">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Pr="001B5C27">
        <w:rPr>
          <w:rFonts w:ascii="Arial" w:eastAsia="Calibri" w:hAnsi="Arial" w:cs="Arial"/>
          <w:sz w:val="24"/>
          <w:szCs w:val="24"/>
        </w:rPr>
        <w:t xml:space="preserve">Case Number: </w:t>
      </w:r>
      <w:r>
        <w:rPr>
          <w:rFonts w:ascii="Arial" w:eastAsia="Calibri" w:hAnsi="Arial" w:cs="Arial"/>
          <w:sz w:val="24"/>
          <w:szCs w:val="24"/>
        </w:rPr>
        <w:t>17344</w:t>
      </w:r>
      <w:r w:rsidRPr="001B5C27">
        <w:rPr>
          <w:rFonts w:ascii="Arial" w:eastAsia="Calibri" w:hAnsi="Arial" w:cs="Arial"/>
          <w:sz w:val="24"/>
          <w:szCs w:val="24"/>
        </w:rPr>
        <w:t xml:space="preserve">/23 </w:t>
      </w:r>
    </w:p>
    <w:p w14:paraId="335D6FD3" w14:textId="77777777" w:rsidR="00955623" w:rsidRPr="004D66CF" w:rsidRDefault="00955623" w:rsidP="00955623">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2297D1B6" w14:textId="63B51F5F" w:rsidR="00955623" w:rsidRPr="003F7B7F" w:rsidRDefault="00834E7A" w:rsidP="00955623">
      <w:pPr>
        <w:spacing w:line="360" w:lineRule="auto"/>
        <w:rPr>
          <w:rFonts w:ascii="Arial" w:hAnsi="Arial" w:cs="Arial"/>
          <w:b/>
          <w:sz w:val="24"/>
          <w:szCs w:val="24"/>
        </w:rPr>
      </w:pPr>
      <w:r>
        <w:rPr>
          <w:rFonts w:ascii="Arial" w:hAnsi="Arial" w:cs="Arial"/>
          <w:b/>
          <w:sz w:val="24"/>
          <w:szCs w:val="24"/>
          <w:u w:val="single"/>
        </w:rPr>
        <w:t xml:space="preserve">First Rand Bank Ltd t/a </w:t>
      </w:r>
      <w:r w:rsidR="00553496">
        <w:rPr>
          <w:rFonts w:ascii="Arial" w:hAnsi="Arial" w:cs="Arial"/>
          <w:b/>
          <w:sz w:val="24"/>
          <w:szCs w:val="24"/>
          <w:u w:val="single"/>
        </w:rPr>
        <w:t>WesBank</w:t>
      </w:r>
      <w:r w:rsidR="00955623">
        <w:rPr>
          <w:rFonts w:ascii="Arial" w:hAnsi="Arial" w:cs="Arial"/>
          <w:b/>
          <w:sz w:val="28"/>
          <w:szCs w:val="28"/>
        </w:rPr>
        <w:tab/>
      </w:r>
      <w:r w:rsidR="00955623">
        <w:rPr>
          <w:rFonts w:ascii="Arial" w:hAnsi="Arial" w:cs="Arial"/>
          <w:b/>
          <w:sz w:val="28"/>
          <w:szCs w:val="28"/>
        </w:rPr>
        <w:tab/>
      </w:r>
      <w:r w:rsidR="00955623">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sidR="00F000CF">
        <w:rPr>
          <w:rFonts w:ascii="Arial" w:hAnsi="Arial" w:cs="Arial"/>
          <w:b/>
          <w:sz w:val="28"/>
          <w:szCs w:val="28"/>
        </w:rPr>
        <w:t xml:space="preserve">      </w:t>
      </w:r>
      <w:r w:rsidR="00955623">
        <w:rPr>
          <w:rFonts w:ascii="Arial" w:hAnsi="Arial" w:cs="Arial"/>
          <w:b/>
          <w:sz w:val="28"/>
          <w:szCs w:val="28"/>
        </w:rPr>
        <w:t xml:space="preserve">  </w:t>
      </w:r>
      <w:r w:rsidR="00955623">
        <w:rPr>
          <w:rFonts w:ascii="Arial" w:hAnsi="Arial" w:cs="Arial"/>
          <w:b/>
          <w:sz w:val="24"/>
          <w:szCs w:val="24"/>
        </w:rPr>
        <w:t>Plaintiff</w:t>
      </w:r>
    </w:p>
    <w:p w14:paraId="355507B6" w14:textId="77777777" w:rsidR="00955623" w:rsidRPr="003F7B7F" w:rsidRDefault="00955623" w:rsidP="00955623">
      <w:pPr>
        <w:spacing w:line="360" w:lineRule="auto"/>
        <w:rPr>
          <w:rFonts w:ascii="Arial" w:hAnsi="Arial" w:cs="Arial"/>
          <w:bCs/>
          <w:sz w:val="24"/>
          <w:szCs w:val="24"/>
        </w:rPr>
      </w:pPr>
      <w:r>
        <w:rPr>
          <w:rFonts w:ascii="Arial" w:hAnsi="Arial" w:cs="Arial"/>
          <w:bCs/>
          <w:sz w:val="24"/>
          <w:szCs w:val="24"/>
        </w:rPr>
        <w:t>and</w:t>
      </w:r>
    </w:p>
    <w:p w14:paraId="1A15ADBB" w14:textId="0B53A24A" w:rsidR="00955623" w:rsidRPr="008C672C" w:rsidRDefault="00834E7A" w:rsidP="00955623">
      <w:pPr>
        <w:spacing w:line="360" w:lineRule="auto"/>
        <w:rPr>
          <w:rFonts w:ascii="Arial" w:hAnsi="Arial" w:cs="Arial"/>
          <w:b/>
          <w:sz w:val="24"/>
          <w:szCs w:val="24"/>
        </w:rPr>
      </w:pPr>
      <w:r>
        <w:rPr>
          <w:rFonts w:ascii="Arial" w:hAnsi="Arial" w:cs="Arial"/>
          <w:b/>
          <w:sz w:val="24"/>
          <w:szCs w:val="24"/>
          <w:u w:val="single"/>
        </w:rPr>
        <w:t>Sipho Robert Dlamini</w:t>
      </w:r>
      <w:r w:rsidR="00955623">
        <w:rPr>
          <w:rFonts w:ascii="Arial" w:hAnsi="Arial" w:cs="Arial"/>
          <w:b/>
          <w:sz w:val="28"/>
          <w:szCs w:val="28"/>
        </w:rPr>
        <w:tab/>
      </w:r>
      <w:r w:rsidR="00955623">
        <w:rPr>
          <w:rFonts w:ascii="Arial" w:hAnsi="Arial" w:cs="Arial"/>
          <w:b/>
          <w:sz w:val="28"/>
          <w:szCs w:val="28"/>
        </w:rPr>
        <w:tab/>
      </w:r>
      <w:r w:rsidR="00955623">
        <w:rPr>
          <w:rFonts w:ascii="Arial" w:hAnsi="Arial" w:cs="Arial"/>
          <w:b/>
          <w:sz w:val="28"/>
          <w:szCs w:val="28"/>
        </w:rPr>
        <w:tab/>
        <w:t xml:space="preserve">                                          </w:t>
      </w:r>
      <w:r w:rsidR="00955623" w:rsidRPr="008C672C">
        <w:rPr>
          <w:rFonts w:ascii="Arial" w:hAnsi="Arial" w:cs="Arial"/>
          <w:b/>
          <w:sz w:val="24"/>
          <w:szCs w:val="24"/>
        </w:rPr>
        <w:t>Defendant</w:t>
      </w:r>
    </w:p>
    <w:p w14:paraId="2285A2DD" w14:textId="208818E7" w:rsidR="00834E7A" w:rsidRPr="001B5C27" w:rsidRDefault="00834E7A" w:rsidP="00834E7A">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Pr="001B5C27">
        <w:rPr>
          <w:rFonts w:ascii="Arial" w:eastAsia="Calibri" w:hAnsi="Arial" w:cs="Arial"/>
          <w:sz w:val="24"/>
          <w:szCs w:val="24"/>
        </w:rPr>
        <w:t>Case Number: 3</w:t>
      </w:r>
      <w:r>
        <w:rPr>
          <w:rFonts w:ascii="Arial" w:eastAsia="Calibri" w:hAnsi="Arial" w:cs="Arial"/>
          <w:sz w:val="24"/>
          <w:szCs w:val="24"/>
        </w:rPr>
        <w:t>8400</w:t>
      </w:r>
      <w:r w:rsidRPr="001B5C27">
        <w:rPr>
          <w:rFonts w:ascii="Arial" w:eastAsia="Calibri" w:hAnsi="Arial" w:cs="Arial"/>
          <w:sz w:val="24"/>
          <w:szCs w:val="24"/>
        </w:rPr>
        <w:t xml:space="preserve">/23 </w:t>
      </w:r>
    </w:p>
    <w:p w14:paraId="7BC5B1AD" w14:textId="77777777" w:rsidR="00834E7A" w:rsidRPr="004D66CF" w:rsidRDefault="00834E7A" w:rsidP="00834E7A">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6A3E3F4B" w14:textId="0132D17E" w:rsidR="00834E7A" w:rsidRPr="003F7B7F" w:rsidRDefault="00553496" w:rsidP="00834E7A">
      <w:pPr>
        <w:spacing w:line="360" w:lineRule="auto"/>
        <w:rPr>
          <w:rFonts w:ascii="Arial" w:hAnsi="Arial" w:cs="Arial"/>
          <w:b/>
          <w:sz w:val="24"/>
          <w:szCs w:val="24"/>
        </w:rPr>
      </w:pPr>
      <w:r>
        <w:rPr>
          <w:rFonts w:ascii="Arial" w:hAnsi="Arial" w:cs="Arial"/>
          <w:b/>
          <w:sz w:val="24"/>
          <w:szCs w:val="24"/>
          <w:u w:val="single"/>
        </w:rPr>
        <w:t>First Rand Bank Ltd t/a WesBank</w:t>
      </w:r>
      <w:r>
        <w:rPr>
          <w:rFonts w:ascii="Arial" w:hAnsi="Arial" w:cs="Arial"/>
          <w:b/>
          <w:sz w:val="24"/>
          <w:szCs w:val="24"/>
        </w:rPr>
        <w:tab/>
      </w:r>
      <w:r>
        <w:rPr>
          <w:rFonts w:ascii="Arial" w:hAnsi="Arial" w:cs="Arial"/>
          <w:b/>
          <w:sz w:val="24"/>
          <w:szCs w:val="24"/>
        </w:rPr>
        <w:tab/>
      </w:r>
      <w:r w:rsidR="00834E7A">
        <w:rPr>
          <w:rFonts w:ascii="Arial" w:hAnsi="Arial" w:cs="Arial"/>
          <w:b/>
          <w:sz w:val="28"/>
          <w:szCs w:val="28"/>
        </w:rPr>
        <w:tab/>
      </w:r>
      <w:r w:rsidR="00834E7A">
        <w:rPr>
          <w:rFonts w:ascii="Arial" w:hAnsi="Arial" w:cs="Arial"/>
          <w:b/>
          <w:sz w:val="28"/>
          <w:szCs w:val="28"/>
        </w:rPr>
        <w:tab/>
      </w:r>
      <w:r w:rsidR="00834E7A">
        <w:rPr>
          <w:rFonts w:ascii="Arial" w:hAnsi="Arial" w:cs="Arial"/>
          <w:b/>
          <w:sz w:val="28"/>
          <w:szCs w:val="28"/>
        </w:rPr>
        <w:tab/>
        <w:t xml:space="preserve">         </w:t>
      </w:r>
      <w:r w:rsidR="00834E7A">
        <w:rPr>
          <w:rFonts w:ascii="Arial" w:hAnsi="Arial" w:cs="Arial"/>
          <w:b/>
          <w:sz w:val="24"/>
          <w:szCs w:val="24"/>
        </w:rPr>
        <w:t>Plaintiff</w:t>
      </w:r>
    </w:p>
    <w:p w14:paraId="710F0D6A" w14:textId="77777777" w:rsidR="00834E7A" w:rsidRPr="003F7B7F" w:rsidRDefault="00834E7A" w:rsidP="00834E7A">
      <w:pPr>
        <w:spacing w:line="360" w:lineRule="auto"/>
        <w:rPr>
          <w:rFonts w:ascii="Arial" w:hAnsi="Arial" w:cs="Arial"/>
          <w:bCs/>
          <w:sz w:val="24"/>
          <w:szCs w:val="24"/>
        </w:rPr>
      </w:pPr>
      <w:r>
        <w:rPr>
          <w:rFonts w:ascii="Arial" w:hAnsi="Arial" w:cs="Arial"/>
          <w:bCs/>
          <w:sz w:val="24"/>
          <w:szCs w:val="24"/>
        </w:rPr>
        <w:t>and</w:t>
      </w:r>
    </w:p>
    <w:p w14:paraId="69828E4C" w14:textId="6A91E4B7" w:rsidR="00834E7A" w:rsidRPr="008C672C" w:rsidRDefault="00553496" w:rsidP="00834E7A">
      <w:pPr>
        <w:spacing w:line="360" w:lineRule="auto"/>
        <w:rPr>
          <w:rFonts w:ascii="Arial" w:hAnsi="Arial" w:cs="Arial"/>
          <w:b/>
          <w:sz w:val="24"/>
          <w:szCs w:val="24"/>
        </w:rPr>
      </w:pPr>
      <w:proofErr w:type="spellStart"/>
      <w:r>
        <w:rPr>
          <w:rFonts w:ascii="Arial" w:hAnsi="Arial" w:cs="Arial"/>
          <w:b/>
          <w:sz w:val="24"/>
          <w:szCs w:val="24"/>
          <w:u w:val="single"/>
        </w:rPr>
        <w:t>Musala</w:t>
      </w:r>
      <w:proofErr w:type="spellEnd"/>
      <w:r>
        <w:rPr>
          <w:rFonts w:ascii="Arial" w:hAnsi="Arial" w:cs="Arial"/>
          <w:b/>
          <w:sz w:val="24"/>
          <w:szCs w:val="24"/>
          <w:u w:val="single"/>
        </w:rPr>
        <w:t xml:space="preserve"> Ken</w:t>
      </w:r>
      <w:r w:rsidR="009366D7">
        <w:rPr>
          <w:rFonts w:ascii="Arial" w:hAnsi="Arial" w:cs="Arial"/>
          <w:b/>
          <w:sz w:val="24"/>
          <w:szCs w:val="24"/>
          <w:u w:val="single"/>
        </w:rPr>
        <w:t xml:space="preserve">neth </w:t>
      </w:r>
      <w:proofErr w:type="spellStart"/>
      <w:r w:rsidR="009366D7">
        <w:rPr>
          <w:rFonts w:ascii="Arial" w:hAnsi="Arial" w:cs="Arial"/>
          <w:b/>
          <w:sz w:val="24"/>
          <w:szCs w:val="24"/>
          <w:u w:val="single"/>
        </w:rPr>
        <w:t>Nemutudi</w:t>
      </w:r>
      <w:proofErr w:type="spellEnd"/>
      <w:r w:rsidR="00834E7A">
        <w:rPr>
          <w:rFonts w:ascii="Arial" w:hAnsi="Arial" w:cs="Arial"/>
          <w:b/>
          <w:sz w:val="28"/>
          <w:szCs w:val="28"/>
        </w:rPr>
        <w:tab/>
      </w:r>
      <w:r w:rsidR="00834E7A">
        <w:rPr>
          <w:rFonts w:ascii="Arial" w:hAnsi="Arial" w:cs="Arial"/>
          <w:b/>
          <w:sz w:val="28"/>
          <w:szCs w:val="28"/>
        </w:rPr>
        <w:tab/>
        <w:t xml:space="preserve">                                         </w:t>
      </w:r>
      <w:r w:rsidR="00834E7A" w:rsidRPr="008C672C">
        <w:rPr>
          <w:rFonts w:ascii="Arial" w:hAnsi="Arial" w:cs="Arial"/>
          <w:b/>
          <w:sz w:val="24"/>
          <w:szCs w:val="24"/>
        </w:rPr>
        <w:t>Defendant</w:t>
      </w:r>
    </w:p>
    <w:p w14:paraId="7A002E19" w14:textId="162FD529" w:rsidR="009366D7" w:rsidRPr="001B5C27" w:rsidRDefault="009366D7" w:rsidP="009366D7">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Pr="001B5C27">
        <w:rPr>
          <w:rFonts w:ascii="Arial" w:eastAsia="Calibri" w:hAnsi="Arial" w:cs="Arial"/>
          <w:sz w:val="24"/>
          <w:szCs w:val="24"/>
        </w:rPr>
        <w:t>Case Number: 3</w:t>
      </w:r>
      <w:r>
        <w:rPr>
          <w:rFonts w:ascii="Arial" w:eastAsia="Calibri" w:hAnsi="Arial" w:cs="Arial"/>
          <w:sz w:val="24"/>
          <w:szCs w:val="24"/>
        </w:rPr>
        <w:t>55224</w:t>
      </w:r>
      <w:r w:rsidRPr="001B5C27">
        <w:rPr>
          <w:rFonts w:ascii="Arial" w:eastAsia="Calibri" w:hAnsi="Arial" w:cs="Arial"/>
          <w:sz w:val="24"/>
          <w:szCs w:val="24"/>
        </w:rPr>
        <w:t xml:space="preserve">/23 </w:t>
      </w:r>
    </w:p>
    <w:p w14:paraId="73F56B51" w14:textId="77777777" w:rsidR="009366D7" w:rsidRPr="004D66CF" w:rsidRDefault="009366D7" w:rsidP="009366D7">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2922F48B" w14:textId="67932E7B" w:rsidR="009366D7" w:rsidRPr="003F7B7F" w:rsidRDefault="009366D7" w:rsidP="009366D7">
      <w:pPr>
        <w:spacing w:line="360" w:lineRule="auto"/>
        <w:rPr>
          <w:rFonts w:ascii="Arial" w:hAnsi="Arial" w:cs="Arial"/>
          <w:b/>
          <w:sz w:val="24"/>
          <w:szCs w:val="24"/>
        </w:rPr>
      </w:pPr>
      <w:r>
        <w:rPr>
          <w:rFonts w:ascii="Arial" w:hAnsi="Arial" w:cs="Arial"/>
          <w:b/>
          <w:sz w:val="24"/>
          <w:szCs w:val="24"/>
          <w:u w:val="single"/>
        </w:rPr>
        <w:t>Toyota Financial Services SA (Pty) Ltd</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4"/>
          <w:szCs w:val="24"/>
        </w:rPr>
        <w:t>Plaintiff</w:t>
      </w:r>
    </w:p>
    <w:p w14:paraId="3D0C448C" w14:textId="77777777" w:rsidR="009366D7" w:rsidRPr="003F7B7F" w:rsidRDefault="009366D7" w:rsidP="009366D7">
      <w:pPr>
        <w:spacing w:line="360" w:lineRule="auto"/>
        <w:rPr>
          <w:rFonts w:ascii="Arial" w:hAnsi="Arial" w:cs="Arial"/>
          <w:bCs/>
          <w:sz w:val="24"/>
          <w:szCs w:val="24"/>
        </w:rPr>
      </w:pPr>
      <w:r>
        <w:rPr>
          <w:rFonts w:ascii="Arial" w:hAnsi="Arial" w:cs="Arial"/>
          <w:bCs/>
          <w:sz w:val="24"/>
          <w:szCs w:val="24"/>
        </w:rPr>
        <w:t>and</w:t>
      </w:r>
    </w:p>
    <w:p w14:paraId="1AAE96B6" w14:textId="4FD5B3CF" w:rsidR="009366D7" w:rsidRPr="008C672C" w:rsidRDefault="00F85D23" w:rsidP="009366D7">
      <w:pPr>
        <w:spacing w:line="360" w:lineRule="auto"/>
        <w:rPr>
          <w:rFonts w:ascii="Arial" w:hAnsi="Arial" w:cs="Arial"/>
          <w:b/>
          <w:sz w:val="24"/>
          <w:szCs w:val="24"/>
        </w:rPr>
      </w:pPr>
      <w:r>
        <w:rPr>
          <w:rFonts w:ascii="Arial" w:hAnsi="Arial" w:cs="Arial"/>
          <w:b/>
          <w:sz w:val="24"/>
          <w:szCs w:val="24"/>
          <w:u w:val="single"/>
        </w:rPr>
        <w:t xml:space="preserve">Bongani </w:t>
      </w:r>
      <w:proofErr w:type="spellStart"/>
      <w:r>
        <w:rPr>
          <w:rFonts w:ascii="Arial" w:hAnsi="Arial" w:cs="Arial"/>
          <w:b/>
          <w:sz w:val="24"/>
          <w:szCs w:val="24"/>
          <w:u w:val="single"/>
        </w:rPr>
        <w:t>Stephesen</w:t>
      </w:r>
      <w:proofErr w:type="spellEnd"/>
      <w:r>
        <w:rPr>
          <w:rFonts w:ascii="Arial" w:hAnsi="Arial" w:cs="Arial"/>
          <w:b/>
          <w:sz w:val="24"/>
          <w:szCs w:val="24"/>
          <w:u w:val="single"/>
        </w:rPr>
        <w:t xml:space="preserve"> </w:t>
      </w:r>
      <w:proofErr w:type="spellStart"/>
      <w:r>
        <w:rPr>
          <w:rFonts w:ascii="Arial" w:hAnsi="Arial" w:cs="Arial"/>
          <w:b/>
          <w:sz w:val="24"/>
          <w:szCs w:val="24"/>
          <w:u w:val="single"/>
        </w:rPr>
        <w:t>Matsheni</w:t>
      </w:r>
      <w:proofErr w:type="spellEnd"/>
      <w:r w:rsidR="009366D7">
        <w:rPr>
          <w:rFonts w:ascii="Arial" w:hAnsi="Arial" w:cs="Arial"/>
          <w:b/>
          <w:sz w:val="28"/>
          <w:szCs w:val="28"/>
        </w:rPr>
        <w:tab/>
      </w:r>
      <w:r w:rsidR="009366D7">
        <w:rPr>
          <w:rFonts w:ascii="Arial" w:hAnsi="Arial" w:cs="Arial"/>
          <w:b/>
          <w:sz w:val="28"/>
          <w:szCs w:val="28"/>
        </w:rPr>
        <w:tab/>
        <w:t xml:space="preserve">                                          </w:t>
      </w:r>
      <w:r w:rsidR="009366D7" w:rsidRPr="008C672C">
        <w:rPr>
          <w:rFonts w:ascii="Arial" w:hAnsi="Arial" w:cs="Arial"/>
          <w:b/>
          <w:sz w:val="24"/>
          <w:szCs w:val="24"/>
        </w:rPr>
        <w:t>Defendant</w:t>
      </w:r>
    </w:p>
    <w:p w14:paraId="0526CCC8" w14:textId="77777777" w:rsidR="00955623" w:rsidRDefault="00955623" w:rsidP="00DC0EAB">
      <w:pPr>
        <w:spacing w:line="360" w:lineRule="auto"/>
        <w:rPr>
          <w:rFonts w:ascii="Arial" w:hAnsi="Arial" w:cs="Arial"/>
          <w:b/>
          <w:sz w:val="24"/>
          <w:szCs w:val="24"/>
        </w:rPr>
      </w:pPr>
    </w:p>
    <w:p w14:paraId="62AB8E58" w14:textId="503B3FE7" w:rsidR="00F85D23" w:rsidRPr="001B5C27" w:rsidRDefault="000E66B0" w:rsidP="00F85D23">
      <w:pPr>
        <w:spacing w:line="360" w:lineRule="auto"/>
        <w:ind w:left="5760"/>
        <w:rPr>
          <w:rFonts w:ascii="Arial" w:eastAsia="Calibri" w:hAnsi="Arial" w:cs="Arial"/>
          <w:sz w:val="24"/>
          <w:szCs w:val="24"/>
        </w:rPr>
      </w:pPr>
      <w:r>
        <w:rPr>
          <w:rFonts w:ascii="Arial" w:eastAsia="Calibri" w:hAnsi="Arial" w:cs="Arial"/>
          <w:sz w:val="24"/>
          <w:szCs w:val="24"/>
        </w:rPr>
        <w:lastRenderedPageBreak/>
        <w:t xml:space="preserve">    </w:t>
      </w:r>
      <w:r w:rsidR="00F85D23" w:rsidRPr="001B5C27">
        <w:rPr>
          <w:rFonts w:ascii="Arial" w:eastAsia="Calibri" w:hAnsi="Arial" w:cs="Arial"/>
          <w:sz w:val="24"/>
          <w:szCs w:val="24"/>
        </w:rPr>
        <w:t xml:space="preserve">Case Number: </w:t>
      </w:r>
      <w:r>
        <w:rPr>
          <w:rFonts w:ascii="Arial" w:eastAsia="Calibri" w:hAnsi="Arial" w:cs="Arial"/>
          <w:sz w:val="24"/>
          <w:szCs w:val="24"/>
        </w:rPr>
        <w:t>49733</w:t>
      </w:r>
      <w:r w:rsidR="00F85D23" w:rsidRPr="001B5C27">
        <w:rPr>
          <w:rFonts w:ascii="Arial" w:eastAsia="Calibri" w:hAnsi="Arial" w:cs="Arial"/>
          <w:sz w:val="24"/>
          <w:szCs w:val="24"/>
        </w:rPr>
        <w:t xml:space="preserve">/23 </w:t>
      </w:r>
    </w:p>
    <w:p w14:paraId="6A80BD54" w14:textId="77777777" w:rsidR="00F85D23" w:rsidRPr="004D66CF" w:rsidRDefault="00F85D23" w:rsidP="00F85D23">
      <w:pPr>
        <w:spacing w:line="360" w:lineRule="auto"/>
        <w:jc w:val="both"/>
        <w:rPr>
          <w:rFonts w:ascii="Arial" w:eastAsia="Calibri" w:hAnsi="Arial" w:cs="Arial"/>
          <w:sz w:val="28"/>
          <w:szCs w:val="28"/>
        </w:rPr>
      </w:pPr>
      <w:r w:rsidRPr="001B5C27">
        <w:rPr>
          <w:rFonts w:ascii="Arial" w:eastAsia="Calibri" w:hAnsi="Arial" w:cs="Arial"/>
          <w:sz w:val="24"/>
          <w:szCs w:val="24"/>
        </w:rPr>
        <w:t>In the matter between</w:t>
      </w:r>
      <w:r>
        <w:rPr>
          <w:rFonts w:ascii="Arial" w:eastAsia="Calibri" w:hAnsi="Arial" w:cs="Arial"/>
          <w:sz w:val="28"/>
          <w:szCs w:val="28"/>
        </w:rPr>
        <w:t>:</w:t>
      </w:r>
    </w:p>
    <w:p w14:paraId="67EC26EA" w14:textId="77777777" w:rsidR="00F85D23" w:rsidRPr="003F7B7F" w:rsidRDefault="00F85D23" w:rsidP="00F85D23">
      <w:pPr>
        <w:spacing w:line="360" w:lineRule="auto"/>
        <w:rPr>
          <w:rFonts w:ascii="Arial" w:hAnsi="Arial" w:cs="Arial"/>
          <w:b/>
          <w:sz w:val="24"/>
          <w:szCs w:val="24"/>
        </w:rPr>
      </w:pPr>
      <w:r>
        <w:rPr>
          <w:rFonts w:ascii="Arial" w:hAnsi="Arial" w:cs="Arial"/>
          <w:b/>
          <w:sz w:val="24"/>
          <w:szCs w:val="24"/>
          <w:u w:val="single"/>
        </w:rPr>
        <w:t>Toyota Financial Services SA (Pty) Ltd</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4"/>
          <w:szCs w:val="24"/>
        </w:rPr>
        <w:t>Plaintiff</w:t>
      </w:r>
    </w:p>
    <w:p w14:paraId="699DD252" w14:textId="77777777" w:rsidR="00F85D23" w:rsidRPr="003F7B7F" w:rsidRDefault="00F85D23" w:rsidP="00F85D23">
      <w:pPr>
        <w:spacing w:line="360" w:lineRule="auto"/>
        <w:rPr>
          <w:rFonts w:ascii="Arial" w:hAnsi="Arial" w:cs="Arial"/>
          <w:bCs/>
          <w:sz w:val="24"/>
          <w:szCs w:val="24"/>
        </w:rPr>
      </w:pPr>
      <w:r>
        <w:rPr>
          <w:rFonts w:ascii="Arial" w:hAnsi="Arial" w:cs="Arial"/>
          <w:bCs/>
          <w:sz w:val="24"/>
          <w:szCs w:val="24"/>
        </w:rPr>
        <w:t>and</w:t>
      </w:r>
    </w:p>
    <w:p w14:paraId="5F55604F" w14:textId="7C9375D2" w:rsidR="00A26720" w:rsidRDefault="000E66B0" w:rsidP="0009034F">
      <w:pPr>
        <w:spacing w:line="360" w:lineRule="auto"/>
        <w:rPr>
          <w:rFonts w:ascii="Arial" w:hAnsi="Arial" w:cs="Arial"/>
          <w:b/>
          <w:sz w:val="24"/>
          <w:szCs w:val="24"/>
        </w:rPr>
      </w:pPr>
      <w:proofErr w:type="spellStart"/>
      <w:r>
        <w:rPr>
          <w:rFonts w:ascii="Arial" w:hAnsi="Arial" w:cs="Arial"/>
          <w:b/>
          <w:sz w:val="24"/>
          <w:szCs w:val="24"/>
          <w:u w:val="single"/>
        </w:rPr>
        <w:t>Raphalani</w:t>
      </w:r>
      <w:proofErr w:type="spellEnd"/>
      <w:r>
        <w:rPr>
          <w:rFonts w:ascii="Arial" w:hAnsi="Arial" w:cs="Arial"/>
          <w:b/>
          <w:sz w:val="24"/>
          <w:szCs w:val="24"/>
          <w:u w:val="single"/>
        </w:rPr>
        <w:t xml:space="preserve"> Joshua </w:t>
      </w:r>
      <w:proofErr w:type="spellStart"/>
      <w:r>
        <w:rPr>
          <w:rFonts w:ascii="Arial" w:hAnsi="Arial" w:cs="Arial"/>
          <w:b/>
          <w:sz w:val="24"/>
          <w:szCs w:val="24"/>
          <w:u w:val="single"/>
        </w:rPr>
        <w:t>Ramasunzi</w:t>
      </w:r>
      <w:proofErr w:type="spellEnd"/>
      <w:r w:rsidR="00F85D23">
        <w:rPr>
          <w:rFonts w:ascii="Arial" w:hAnsi="Arial" w:cs="Arial"/>
          <w:b/>
          <w:sz w:val="28"/>
          <w:szCs w:val="28"/>
        </w:rPr>
        <w:tab/>
      </w:r>
      <w:r w:rsidR="00F85D23">
        <w:rPr>
          <w:rFonts w:ascii="Arial" w:hAnsi="Arial" w:cs="Arial"/>
          <w:b/>
          <w:sz w:val="28"/>
          <w:szCs w:val="28"/>
        </w:rPr>
        <w:tab/>
        <w:t xml:space="preserve">                                          </w:t>
      </w:r>
      <w:r w:rsidR="00F85D23" w:rsidRPr="008C672C">
        <w:rPr>
          <w:rFonts w:ascii="Arial" w:hAnsi="Arial" w:cs="Arial"/>
          <w:b/>
          <w:sz w:val="24"/>
          <w:szCs w:val="24"/>
        </w:rPr>
        <w:t>Defendant</w:t>
      </w:r>
    </w:p>
    <w:p w14:paraId="27047561" w14:textId="48A04403" w:rsidR="00A26720" w:rsidRDefault="00843F7A" w:rsidP="00A26720">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00A26720">
        <w:rPr>
          <w:rFonts w:ascii="Arial" w:eastAsia="Calibri" w:hAnsi="Arial" w:cs="Arial"/>
          <w:sz w:val="24"/>
          <w:szCs w:val="24"/>
        </w:rPr>
        <w:t xml:space="preserve">Case Number: </w:t>
      </w:r>
      <w:r w:rsidR="00A26720">
        <w:rPr>
          <w:rFonts w:ascii="Arial" w:eastAsia="Calibri" w:hAnsi="Arial" w:cs="Arial"/>
          <w:sz w:val="24"/>
          <w:szCs w:val="24"/>
        </w:rPr>
        <w:t>009154/</w:t>
      </w:r>
      <w:r w:rsidR="00A26720">
        <w:rPr>
          <w:rFonts w:ascii="Arial" w:eastAsia="Calibri" w:hAnsi="Arial" w:cs="Arial"/>
          <w:sz w:val="24"/>
          <w:szCs w:val="24"/>
        </w:rPr>
        <w:t xml:space="preserve">23 </w:t>
      </w:r>
    </w:p>
    <w:p w14:paraId="7117E2F3" w14:textId="77777777" w:rsidR="00A26720" w:rsidRDefault="00A26720" w:rsidP="00A26720">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3C6A86E1" w14:textId="6A431261" w:rsidR="00A26720" w:rsidRDefault="00A32B08" w:rsidP="00A26720">
      <w:pPr>
        <w:spacing w:line="360" w:lineRule="auto"/>
        <w:rPr>
          <w:rFonts w:ascii="Arial" w:hAnsi="Arial" w:cs="Arial"/>
          <w:b/>
          <w:sz w:val="24"/>
          <w:szCs w:val="24"/>
        </w:rPr>
      </w:pPr>
      <w:r>
        <w:rPr>
          <w:rFonts w:ascii="Arial" w:hAnsi="Arial" w:cs="Arial"/>
          <w:b/>
          <w:sz w:val="24"/>
          <w:szCs w:val="24"/>
          <w:u w:val="single"/>
        </w:rPr>
        <w:t>CVI Shackleton (Pty)</w:t>
      </w:r>
      <w:proofErr w:type="gramStart"/>
      <w:r>
        <w:rPr>
          <w:rFonts w:ascii="Arial" w:hAnsi="Arial" w:cs="Arial"/>
          <w:b/>
          <w:sz w:val="24"/>
          <w:szCs w:val="24"/>
          <w:u w:val="single"/>
        </w:rPr>
        <w:t xml:space="preserve">Ltd  </w:t>
      </w:r>
      <w:r w:rsidR="00A26720">
        <w:rPr>
          <w:rFonts w:ascii="Arial" w:hAnsi="Arial" w:cs="Arial"/>
          <w:b/>
          <w:sz w:val="28"/>
          <w:szCs w:val="28"/>
        </w:rPr>
        <w:tab/>
      </w:r>
      <w:proofErr w:type="gramEnd"/>
      <w:r w:rsidR="00251EEA">
        <w:rPr>
          <w:rFonts w:ascii="Arial" w:hAnsi="Arial" w:cs="Arial"/>
          <w:b/>
          <w:sz w:val="28"/>
          <w:szCs w:val="28"/>
        </w:rPr>
        <w:tab/>
      </w:r>
      <w:r w:rsidR="00A26720">
        <w:rPr>
          <w:rFonts w:ascii="Arial" w:hAnsi="Arial" w:cs="Arial"/>
          <w:b/>
          <w:sz w:val="28"/>
          <w:szCs w:val="28"/>
        </w:rPr>
        <w:t xml:space="preserve">                </w:t>
      </w:r>
      <w:r w:rsidR="00251EEA">
        <w:rPr>
          <w:rFonts w:ascii="Arial" w:hAnsi="Arial" w:cs="Arial"/>
          <w:b/>
          <w:sz w:val="28"/>
          <w:szCs w:val="28"/>
        </w:rPr>
        <w:t xml:space="preserve">  </w:t>
      </w:r>
      <w:r w:rsidR="00251EEA">
        <w:rPr>
          <w:rFonts w:ascii="Arial" w:hAnsi="Arial" w:cs="Arial"/>
          <w:b/>
          <w:sz w:val="28"/>
          <w:szCs w:val="28"/>
        </w:rPr>
        <w:tab/>
      </w:r>
      <w:r w:rsidR="00251EEA">
        <w:rPr>
          <w:rFonts w:ascii="Arial" w:hAnsi="Arial" w:cs="Arial"/>
          <w:b/>
          <w:sz w:val="28"/>
          <w:szCs w:val="28"/>
        </w:rPr>
        <w:tab/>
      </w:r>
      <w:r w:rsidR="00251EEA">
        <w:rPr>
          <w:rFonts w:ascii="Arial" w:hAnsi="Arial" w:cs="Arial"/>
          <w:b/>
          <w:sz w:val="28"/>
          <w:szCs w:val="28"/>
        </w:rPr>
        <w:tab/>
      </w:r>
      <w:r w:rsidR="00251EEA">
        <w:rPr>
          <w:rFonts w:ascii="Arial" w:hAnsi="Arial" w:cs="Arial"/>
          <w:b/>
          <w:sz w:val="28"/>
          <w:szCs w:val="28"/>
        </w:rPr>
        <w:tab/>
      </w:r>
      <w:r w:rsidR="00251EEA">
        <w:rPr>
          <w:rFonts w:ascii="Arial" w:hAnsi="Arial" w:cs="Arial"/>
          <w:b/>
          <w:sz w:val="28"/>
          <w:szCs w:val="28"/>
        </w:rPr>
        <w:tab/>
      </w:r>
      <w:r w:rsidR="00A26720">
        <w:rPr>
          <w:rFonts w:ascii="Arial" w:hAnsi="Arial" w:cs="Arial"/>
          <w:b/>
          <w:sz w:val="24"/>
          <w:szCs w:val="24"/>
        </w:rPr>
        <w:t>Plaintiff</w:t>
      </w:r>
    </w:p>
    <w:p w14:paraId="5DC5304A" w14:textId="77777777" w:rsidR="00A26720" w:rsidRDefault="00A26720" w:rsidP="00A26720">
      <w:pPr>
        <w:spacing w:line="360" w:lineRule="auto"/>
        <w:rPr>
          <w:rFonts w:ascii="Arial" w:hAnsi="Arial" w:cs="Arial"/>
          <w:bCs/>
          <w:sz w:val="24"/>
          <w:szCs w:val="24"/>
        </w:rPr>
      </w:pPr>
      <w:r>
        <w:rPr>
          <w:rFonts w:ascii="Arial" w:hAnsi="Arial" w:cs="Arial"/>
          <w:bCs/>
          <w:sz w:val="24"/>
          <w:szCs w:val="24"/>
        </w:rPr>
        <w:t>and</w:t>
      </w:r>
    </w:p>
    <w:p w14:paraId="70DA7CD1" w14:textId="09B8C10E" w:rsidR="00A26720" w:rsidRDefault="00251EEA" w:rsidP="00A26720">
      <w:pPr>
        <w:spacing w:line="360" w:lineRule="auto"/>
        <w:rPr>
          <w:rFonts w:ascii="Arial" w:hAnsi="Arial" w:cs="Arial"/>
          <w:b/>
          <w:sz w:val="24"/>
          <w:szCs w:val="24"/>
        </w:rPr>
      </w:pPr>
      <w:r>
        <w:rPr>
          <w:rFonts w:ascii="Arial" w:hAnsi="Arial" w:cs="Arial"/>
          <w:b/>
          <w:sz w:val="24"/>
          <w:szCs w:val="24"/>
          <w:u w:val="single"/>
        </w:rPr>
        <w:t xml:space="preserve">Dalene Fay </w:t>
      </w:r>
      <w:proofErr w:type="spellStart"/>
      <w:r>
        <w:rPr>
          <w:rFonts w:ascii="Arial" w:hAnsi="Arial" w:cs="Arial"/>
          <w:b/>
          <w:sz w:val="24"/>
          <w:szCs w:val="24"/>
          <w:u w:val="single"/>
        </w:rPr>
        <w:t>Mynhardt</w:t>
      </w:r>
      <w:proofErr w:type="spellEnd"/>
      <w:r w:rsidR="00A26720">
        <w:rPr>
          <w:rFonts w:ascii="Arial" w:hAnsi="Arial" w:cs="Arial"/>
          <w:b/>
          <w:sz w:val="28"/>
          <w:szCs w:val="28"/>
        </w:rPr>
        <w:tab/>
      </w:r>
      <w:r w:rsidR="00A26720">
        <w:rPr>
          <w:rFonts w:ascii="Arial" w:hAnsi="Arial" w:cs="Arial"/>
          <w:b/>
          <w:sz w:val="28"/>
          <w:szCs w:val="28"/>
        </w:rPr>
        <w:tab/>
        <w:t xml:space="preserve">                                         </w:t>
      </w:r>
      <w:r>
        <w:rPr>
          <w:rFonts w:ascii="Arial" w:hAnsi="Arial" w:cs="Arial"/>
          <w:b/>
          <w:sz w:val="28"/>
          <w:szCs w:val="28"/>
        </w:rPr>
        <w:tab/>
        <w:t xml:space="preserve">     </w:t>
      </w:r>
      <w:r w:rsidR="00A26720">
        <w:rPr>
          <w:rFonts w:ascii="Arial" w:hAnsi="Arial" w:cs="Arial"/>
          <w:b/>
          <w:sz w:val="28"/>
          <w:szCs w:val="28"/>
        </w:rPr>
        <w:t xml:space="preserve"> </w:t>
      </w:r>
      <w:r w:rsidR="00A26720">
        <w:rPr>
          <w:rFonts w:ascii="Arial" w:hAnsi="Arial" w:cs="Arial"/>
          <w:b/>
          <w:sz w:val="24"/>
          <w:szCs w:val="24"/>
        </w:rPr>
        <w:t>Defendant</w:t>
      </w:r>
    </w:p>
    <w:p w14:paraId="5D6EE239" w14:textId="48B1D74F" w:rsidR="00843F7A" w:rsidRDefault="00843F7A" w:rsidP="00843F7A">
      <w:pPr>
        <w:spacing w:line="360" w:lineRule="auto"/>
        <w:ind w:left="5760"/>
        <w:rPr>
          <w:rFonts w:ascii="Arial" w:eastAsia="Calibri" w:hAnsi="Arial" w:cs="Arial"/>
          <w:sz w:val="24"/>
          <w:szCs w:val="24"/>
        </w:rPr>
      </w:pPr>
      <w:r>
        <w:rPr>
          <w:rFonts w:ascii="Arial" w:eastAsia="Calibri" w:hAnsi="Arial" w:cs="Arial"/>
          <w:sz w:val="24"/>
          <w:szCs w:val="24"/>
        </w:rPr>
        <w:t xml:space="preserve">     Case Number: </w:t>
      </w:r>
      <w:r>
        <w:rPr>
          <w:rFonts w:ascii="Arial" w:eastAsia="Calibri" w:hAnsi="Arial" w:cs="Arial"/>
          <w:sz w:val="24"/>
          <w:szCs w:val="24"/>
        </w:rPr>
        <w:t>037146</w:t>
      </w:r>
      <w:r>
        <w:rPr>
          <w:rFonts w:ascii="Arial" w:eastAsia="Calibri" w:hAnsi="Arial" w:cs="Arial"/>
          <w:sz w:val="24"/>
          <w:szCs w:val="24"/>
        </w:rPr>
        <w:t xml:space="preserve">/23 </w:t>
      </w:r>
    </w:p>
    <w:p w14:paraId="01E99913" w14:textId="77777777" w:rsidR="00843F7A" w:rsidRDefault="00843F7A" w:rsidP="00843F7A">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79A224BF" w14:textId="6ED500FA" w:rsidR="00843F7A" w:rsidRDefault="00843F7A" w:rsidP="00843F7A">
      <w:pPr>
        <w:spacing w:line="360" w:lineRule="auto"/>
        <w:rPr>
          <w:rFonts w:ascii="Arial" w:hAnsi="Arial" w:cs="Arial"/>
          <w:b/>
          <w:sz w:val="24"/>
          <w:szCs w:val="24"/>
        </w:rPr>
      </w:pPr>
      <w:r>
        <w:rPr>
          <w:rFonts w:ascii="Arial" w:hAnsi="Arial" w:cs="Arial"/>
          <w:b/>
          <w:sz w:val="24"/>
          <w:szCs w:val="24"/>
          <w:u w:val="single"/>
        </w:rPr>
        <w:t xml:space="preserve">BMW Financial Services </w:t>
      </w:r>
      <w:r>
        <w:rPr>
          <w:rFonts w:ascii="Arial" w:hAnsi="Arial" w:cs="Arial"/>
          <w:b/>
          <w:sz w:val="24"/>
          <w:szCs w:val="24"/>
          <w:u w:val="single"/>
        </w:rPr>
        <w:t xml:space="preserve">  </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5C68B217" w14:textId="77777777" w:rsidR="00843F7A" w:rsidRDefault="00843F7A" w:rsidP="00843F7A">
      <w:pPr>
        <w:spacing w:line="360" w:lineRule="auto"/>
        <w:rPr>
          <w:rFonts w:ascii="Arial" w:hAnsi="Arial" w:cs="Arial"/>
          <w:bCs/>
          <w:sz w:val="24"/>
          <w:szCs w:val="24"/>
        </w:rPr>
      </w:pPr>
      <w:r>
        <w:rPr>
          <w:rFonts w:ascii="Arial" w:hAnsi="Arial" w:cs="Arial"/>
          <w:bCs/>
          <w:sz w:val="24"/>
          <w:szCs w:val="24"/>
        </w:rPr>
        <w:t>and</w:t>
      </w:r>
    </w:p>
    <w:p w14:paraId="3785131E" w14:textId="107EF5D6" w:rsidR="00843F7A" w:rsidRDefault="00B044DB" w:rsidP="00843F7A">
      <w:pPr>
        <w:spacing w:line="360" w:lineRule="auto"/>
        <w:rPr>
          <w:rFonts w:ascii="Arial" w:hAnsi="Arial" w:cs="Arial"/>
          <w:b/>
          <w:sz w:val="24"/>
          <w:szCs w:val="24"/>
        </w:rPr>
      </w:pPr>
      <w:r>
        <w:rPr>
          <w:rFonts w:ascii="Arial" w:hAnsi="Arial" w:cs="Arial"/>
          <w:b/>
          <w:sz w:val="24"/>
          <w:szCs w:val="24"/>
          <w:u w:val="single"/>
        </w:rPr>
        <w:t xml:space="preserve">C </w:t>
      </w:r>
      <w:proofErr w:type="spellStart"/>
      <w:r>
        <w:rPr>
          <w:rFonts w:ascii="Arial" w:hAnsi="Arial" w:cs="Arial"/>
          <w:b/>
          <w:sz w:val="24"/>
          <w:szCs w:val="24"/>
          <w:u w:val="single"/>
        </w:rPr>
        <w:t>Jozana</w:t>
      </w:r>
      <w:proofErr w:type="spellEnd"/>
      <w:r>
        <w:rPr>
          <w:rFonts w:ascii="Arial" w:hAnsi="Arial" w:cs="Arial"/>
          <w:b/>
          <w:sz w:val="24"/>
          <w:szCs w:val="24"/>
        </w:rPr>
        <w:tab/>
      </w:r>
      <w:r>
        <w:rPr>
          <w:rFonts w:ascii="Arial" w:hAnsi="Arial" w:cs="Arial"/>
          <w:b/>
          <w:sz w:val="24"/>
          <w:szCs w:val="24"/>
        </w:rPr>
        <w:tab/>
      </w:r>
      <w:r w:rsidR="00843F7A">
        <w:rPr>
          <w:rFonts w:ascii="Arial" w:hAnsi="Arial" w:cs="Arial"/>
          <w:b/>
          <w:sz w:val="28"/>
          <w:szCs w:val="28"/>
        </w:rPr>
        <w:tab/>
      </w:r>
      <w:r w:rsidR="00843F7A">
        <w:rPr>
          <w:rFonts w:ascii="Arial" w:hAnsi="Arial" w:cs="Arial"/>
          <w:b/>
          <w:sz w:val="28"/>
          <w:szCs w:val="28"/>
        </w:rPr>
        <w:tab/>
        <w:t xml:space="preserve">                                         </w:t>
      </w:r>
      <w:r w:rsidR="00843F7A">
        <w:rPr>
          <w:rFonts w:ascii="Arial" w:hAnsi="Arial" w:cs="Arial"/>
          <w:b/>
          <w:sz w:val="28"/>
          <w:szCs w:val="28"/>
        </w:rPr>
        <w:tab/>
        <w:t xml:space="preserve">      </w:t>
      </w:r>
      <w:r w:rsidR="00843F7A">
        <w:rPr>
          <w:rFonts w:ascii="Arial" w:hAnsi="Arial" w:cs="Arial"/>
          <w:b/>
          <w:sz w:val="24"/>
          <w:szCs w:val="24"/>
        </w:rPr>
        <w:t>Defendant</w:t>
      </w:r>
    </w:p>
    <w:p w14:paraId="71A9C192" w14:textId="3264D618" w:rsidR="00B044DB" w:rsidRDefault="00B044DB" w:rsidP="00B044DB">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  </w:t>
      </w:r>
      <w:r>
        <w:rPr>
          <w:rFonts w:ascii="Arial" w:eastAsia="Calibri" w:hAnsi="Arial" w:cs="Arial"/>
          <w:sz w:val="24"/>
          <w:szCs w:val="24"/>
        </w:rPr>
        <w:t xml:space="preserve"> Case Number: </w:t>
      </w:r>
      <w:r>
        <w:rPr>
          <w:rFonts w:ascii="Arial" w:eastAsia="Calibri" w:hAnsi="Arial" w:cs="Arial"/>
          <w:sz w:val="24"/>
          <w:szCs w:val="24"/>
        </w:rPr>
        <w:t>63147</w:t>
      </w:r>
      <w:r>
        <w:rPr>
          <w:rFonts w:ascii="Arial" w:eastAsia="Calibri" w:hAnsi="Arial" w:cs="Arial"/>
          <w:sz w:val="24"/>
          <w:szCs w:val="24"/>
        </w:rPr>
        <w:t xml:space="preserve">/23 </w:t>
      </w:r>
    </w:p>
    <w:p w14:paraId="1873EC09" w14:textId="77777777" w:rsidR="00B044DB" w:rsidRDefault="00B044DB" w:rsidP="00B044DB">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3232E19F" w14:textId="281911BC" w:rsidR="00B044DB" w:rsidRDefault="00B044DB" w:rsidP="00B044DB">
      <w:pPr>
        <w:spacing w:line="360" w:lineRule="auto"/>
        <w:rPr>
          <w:rFonts w:ascii="Arial" w:hAnsi="Arial" w:cs="Arial"/>
          <w:b/>
          <w:sz w:val="24"/>
          <w:szCs w:val="24"/>
        </w:rPr>
      </w:pPr>
      <w:r>
        <w:rPr>
          <w:rFonts w:ascii="Arial" w:hAnsi="Arial" w:cs="Arial"/>
          <w:b/>
          <w:sz w:val="24"/>
          <w:szCs w:val="24"/>
          <w:u w:val="single"/>
        </w:rPr>
        <w:t xml:space="preserve">Standard Bank of South Africa </w:t>
      </w:r>
      <w:r w:rsidR="0004088D">
        <w:rPr>
          <w:rFonts w:ascii="Arial" w:hAnsi="Arial" w:cs="Arial"/>
          <w:b/>
          <w:sz w:val="24"/>
          <w:szCs w:val="24"/>
          <w:u w:val="single"/>
        </w:rPr>
        <w:t xml:space="preserve">Ltd </w:t>
      </w:r>
      <w:r w:rsidR="0004088D">
        <w:rPr>
          <w:rFonts w:ascii="Arial" w:hAnsi="Arial" w:cs="Arial"/>
          <w:b/>
          <w:sz w:val="24"/>
          <w:szCs w:val="24"/>
          <w:u w:val="single"/>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65066E1F" w14:textId="77777777" w:rsidR="00B044DB" w:rsidRDefault="00B044DB" w:rsidP="00B044DB">
      <w:pPr>
        <w:spacing w:line="360" w:lineRule="auto"/>
        <w:rPr>
          <w:rFonts w:ascii="Arial" w:hAnsi="Arial" w:cs="Arial"/>
          <w:bCs/>
          <w:sz w:val="24"/>
          <w:szCs w:val="24"/>
        </w:rPr>
      </w:pPr>
      <w:r>
        <w:rPr>
          <w:rFonts w:ascii="Arial" w:hAnsi="Arial" w:cs="Arial"/>
          <w:bCs/>
          <w:sz w:val="24"/>
          <w:szCs w:val="24"/>
        </w:rPr>
        <w:t>and</w:t>
      </w:r>
    </w:p>
    <w:p w14:paraId="42BB818A" w14:textId="5DF67E7E" w:rsidR="00B044DB" w:rsidRDefault="00B044DB" w:rsidP="00B044DB">
      <w:pPr>
        <w:spacing w:line="360" w:lineRule="auto"/>
        <w:rPr>
          <w:rFonts w:ascii="Arial" w:hAnsi="Arial" w:cs="Arial"/>
          <w:b/>
          <w:sz w:val="24"/>
          <w:szCs w:val="24"/>
        </w:rPr>
      </w:pPr>
      <w:r>
        <w:rPr>
          <w:rFonts w:ascii="Arial" w:hAnsi="Arial" w:cs="Arial"/>
          <w:b/>
          <w:sz w:val="24"/>
          <w:szCs w:val="24"/>
          <w:u w:val="single"/>
        </w:rPr>
        <w:t>Jean Pierre Botha</w:t>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 xml:space="preserve">    </w:t>
      </w:r>
      <w:r w:rsidR="0004088D">
        <w:rPr>
          <w:rFonts w:ascii="Arial" w:hAnsi="Arial" w:cs="Arial"/>
          <w:b/>
          <w:sz w:val="28"/>
          <w:szCs w:val="28"/>
        </w:rPr>
        <w:tab/>
        <w:t xml:space="preserve">   </w:t>
      </w:r>
      <w:r>
        <w:rPr>
          <w:rFonts w:ascii="Arial" w:hAnsi="Arial" w:cs="Arial"/>
          <w:b/>
          <w:sz w:val="28"/>
          <w:szCs w:val="28"/>
        </w:rPr>
        <w:t xml:space="preserve">  </w:t>
      </w:r>
      <w:r>
        <w:rPr>
          <w:rFonts w:ascii="Arial" w:hAnsi="Arial" w:cs="Arial"/>
          <w:b/>
          <w:sz w:val="24"/>
          <w:szCs w:val="24"/>
        </w:rPr>
        <w:t>Defendant</w:t>
      </w:r>
    </w:p>
    <w:p w14:paraId="4F3B7201" w14:textId="77777777" w:rsidR="0004088D" w:rsidRDefault="0004088D" w:rsidP="0004088D">
      <w:pPr>
        <w:spacing w:line="360" w:lineRule="auto"/>
        <w:ind w:left="5760"/>
        <w:rPr>
          <w:rFonts w:ascii="Arial" w:eastAsia="Calibri" w:hAnsi="Arial" w:cs="Arial"/>
          <w:sz w:val="24"/>
          <w:szCs w:val="24"/>
        </w:rPr>
      </w:pPr>
      <w:r>
        <w:rPr>
          <w:rFonts w:ascii="Arial" w:eastAsia="Calibri" w:hAnsi="Arial" w:cs="Arial"/>
          <w:sz w:val="24"/>
          <w:szCs w:val="24"/>
        </w:rPr>
        <w:t xml:space="preserve">     </w:t>
      </w:r>
    </w:p>
    <w:p w14:paraId="05534B2B" w14:textId="77777777" w:rsidR="0004088D" w:rsidRDefault="0004088D" w:rsidP="0004088D">
      <w:pPr>
        <w:spacing w:line="360" w:lineRule="auto"/>
        <w:ind w:left="5760"/>
        <w:rPr>
          <w:rFonts w:ascii="Arial" w:eastAsia="Calibri" w:hAnsi="Arial" w:cs="Arial"/>
          <w:sz w:val="24"/>
          <w:szCs w:val="24"/>
        </w:rPr>
      </w:pPr>
    </w:p>
    <w:p w14:paraId="6613B200" w14:textId="07541D31" w:rsidR="000E7C0D" w:rsidRDefault="000E7C0D" w:rsidP="000E7C0D">
      <w:pPr>
        <w:spacing w:line="360" w:lineRule="auto"/>
        <w:ind w:left="5760"/>
        <w:rPr>
          <w:rFonts w:ascii="Arial" w:eastAsia="Calibri" w:hAnsi="Arial" w:cs="Arial"/>
          <w:sz w:val="24"/>
          <w:szCs w:val="24"/>
        </w:rPr>
      </w:pPr>
      <w:r>
        <w:rPr>
          <w:rFonts w:ascii="Arial" w:eastAsia="Calibri" w:hAnsi="Arial" w:cs="Arial"/>
          <w:sz w:val="24"/>
          <w:szCs w:val="24"/>
        </w:rPr>
        <w:lastRenderedPageBreak/>
        <w:t xml:space="preserve">     </w:t>
      </w:r>
      <w:r>
        <w:rPr>
          <w:rFonts w:ascii="Arial" w:eastAsia="Calibri" w:hAnsi="Arial" w:cs="Arial"/>
          <w:sz w:val="24"/>
          <w:szCs w:val="24"/>
        </w:rPr>
        <w:t xml:space="preserve">Case Number: </w:t>
      </w:r>
      <w:r w:rsidR="0016318F">
        <w:rPr>
          <w:rFonts w:ascii="Arial" w:eastAsia="Calibri" w:hAnsi="Arial" w:cs="Arial"/>
          <w:sz w:val="24"/>
          <w:szCs w:val="24"/>
        </w:rPr>
        <w:t>18082/2022</w:t>
      </w:r>
      <w:r>
        <w:rPr>
          <w:rFonts w:ascii="Arial" w:eastAsia="Calibri" w:hAnsi="Arial" w:cs="Arial"/>
          <w:sz w:val="24"/>
          <w:szCs w:val="24"/>
        </w:rPr>
        <w:t xml:space="preserve"> </w:t>
      </w:r>
    </w:p>
    <w:p w14:paraId="1CA0A8A2" w14:textId="77777777" w:rsidR="000E7C0D" w:rsidRDefault="000E7C0D" w:rsidP="000E7C0D">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5A720147" w14:textId="67C8C139" w:rsidR="000E7C0D" w:rsidRDefault="000E7C0D" w:rsidP="000E7C0D">
      <w:pPr>
        <w:spacing w:line="360" w:lineRule="auto"/>
        <w:rPr>
          <w:rFonts w:ascii="Arial" w:hAnsi="Arial" w:cs="Arial"/>
          <w:b/>
          <w:sz w:val="24"/>
          <w:szCs w:val="24"/>
        </w:rPr>
      </w:pPr>
      <w:r>
        <w:rPr>
          <w:rFonts w:ascii="Arial" w:hAnsi="Arial" w:cs="Arial"/>
          <w:b/>
          <w:sz w:val="24"/>
          <w:szCs w:val="24"/>
          <w:u w:val="single"/>
        </w:rPr>
        <w:t xml:space="preserve">Standard Bank of South Africa Ltd </w:t>
      </w:r>
      <w:r w:rsidR="0016318F">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62A7E3FF" w14:textId="77777777" w:rsidR="000E7C0D" w:rsidRDefault="000E7C0D" w:rsidP="000E7C0D">
      <w:pPr>
        <w:spacing w:line="360" w:lineRule="auto"/>
        <w:rPr>
          <w:rFonts w:ascii="Arial" w:hAnsi="Arial" w:cs="Arial"/>
          <w:bCs/>
          <w:sz w:val="24"/>
          <w:szCs w:val="24"/>
        </w:rPr>
      </w:pPr>
      <w:r>
        <w:rPr>
          <w:rFonts w:ascii="Arial" w:hAnsi="Arial" w:cs="Arial"/>
          <w:bCs/>
          <w:sz w:val="24"/>
          <w:szCs w:val="24"/>
        </w:rPr>
        <w:t>and</w:t>
      </w:r>
    </w:p>
    <w:p w14:paraId="5DE29A5B" w14:textId="35BDEF78" w:rsidR="000E7C0D" w:rsidRDefault="0016318F" w:rsidP="000E7C0D">
      <w:pPr>
        <w:spacing w:line="360" w:lineRule="auto"/>
        <w:rPr>
          <w:rFonts w:ascii="Arial" w:hAnsi="Arial" w:cs="Arial"/>
          <w:b/>
          <w:sz w:val="24"/>
          <w:szCs w:val="24"/>
        </w:rPr>
      </w:pPr>
      <w:r>
        <w:rPr>
          <w:rFonts w:ascii="Arial" w:hAnsi="Arial" w:cs="Arial"/>
          <w:b/>
          <w:sz w:val="24"/>
          <w:szCs w:val="24"/>
          <w:u w:val="single"/>
        </w:rPr>
        <w:t>AE Mkhatshwa</w:t>
      </w:r>
      <w:r w:rsidR="000E7C0D">
        <w:rPr>
          <w:rFonts w:ascii="Arial" w:hAnsi="Arial" w:cs="Arial"/>
          <w:b/>
          <w:sz w:val="28"/>
          <w:szCs w:val="28"/>
        </w:rPr>
        <w:tab/>
      </w:r>
      <w:r w:rsidR="000E7C0D">
        <w:rPr>
          <w:rFonts w:ascii="Arial" w:hAnsi="Arial" w:cs="Arial"/>
          <w:b/>
          <w:sz w:val="28"/>
          <w:szCs w:val="28"/>
        </w:rPr>
        <w:tab/>
        <w:t xml:space="preserve">                                         </w:t>
      </w:r>
      <w:r w:rsidR="000E7C0D">
        <w:rPr>
          <w:rFonts w:ascii="Arial" w:hAnsi="Arial" w:cs="Arial"/>
          <w:b/>
          <w:sz w:val="28"/>
          <w:szCs w:val="28"/>
        </w:rPr>
        <w:tab/>
        <w:t xml:space="preserve">    </w:t>
      </w:r>
      <w:r w:rsidR="000E7C0D">
        <w:rPr>
          <w:rFonts w:ascii="Arial" w:hAnsi="Arial" w:cs="Arial"/>
          <w:b/>
          <w:sz w:val="28"/>
          <w:szCs w:val="28"/>
        </w:rPr>
        <w:tab/>
        <w:t xml:space="preserve">     </w:t>
      </w:r>
      <w:r w:rsidR="000E7C0D">
        <w:rPr>
          <w:rFonts w:ascii="Arial" w:hAnsi="Arial" w:cs="Arial"/>
          <w:b/>
          <w:sz w:val="24"/>
          <w:szCs w:val="24"/>
        </w:rPr>
        <w:t>Defendant</w:t>
      </w:r>
    </w:p>
    <w:p w14:paraId="5298B133" w14:textId="70DB0FB4" w:rsidR="0016318F" w:rsidRDefault="0016318F" w:rsidP="0016318F">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Case Number: </w:t>
      </w:r>
      <w:r>
        <w:rPr>
          <w:rFonts w:ascii="Arial" w:eastAsia="Calibri" w:hAnsi="Arial" w:cs="Arial"/>
          <w:sz w:val="24"/>
          <w:szCs w:val="24"/>
        </w:rPr>
        <w:t>35837</w:t>
      </w:r>
      <w:r>
        <w:rPr>
          <w:rFonts w:ascii="Arial" w:eastAsia="Calibri" w:hAnsi="Arial" w:cs="Arial"/>
          <w:sz w:val="24"/>
          <w:szCs w:val="24"/>
        </w:rPr>
        <w:t xml:space="preserve">/23 </w:t>
      </w:r>
    </w:p>
    <w:p w14:paraId="46D2CCDD" w14:textId="77777777" w:rsidR="0016318F" w:rsidRDefault="0016318F" w:rsidP="0016318F">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200A243C" w14:textId="6C00EB96" w:rsidR="0016318F" w:rsidRDefault="0016318F" w:rsidP="0016318F">
      <w:pPr>
        <w:spacing w:line="360" w:lineRule="auto"/>
        <w:rPr>
          <w:rFonts w:ascii="Arial" w:hAnsi="Arial" w:cs="Arial"/>
          <w:b/>
          <w:sz w:val="24"/>
          <w:szCs w:val="24"/>
        </w:rPr>
      </w:pPr>
      <w:r>
        <w:rPr>
          <w:rFonts w:ascii="Arial" w:hAnsi="Arial" w:cs="Arial"/>
          <w:b/>
          <w:sz w:val="24"/>
          <w:szCs w:val="24"/>
          <w:u w:val="single"/>
        </w:rPr>
        <w:t xml:space="preserve">Standard Bank of South Africa Ltd </w:t>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401CE57E" w14:textId="77777777" w:rsidR="0016318F" w:rsidRDefault="0016318F" w:rsidP="0016318F">
      <w:pPr>
        <w:spacing w:line="360" w:lineRule="auto"/>
        <w:rPr>
          <w:rFonts w:ascii="Arial" w:hAnsi="Arial" w:cs="Arial"/>
          <w:bCs/>
          <w:sz w:val="24"/>
          <w:szCs w:val="24"/>
        </w:rPr>
      </w:pPr>
      <w:r>
        <w:rPr>
          <w:rFonts w:ascii="Arial" w:hAnsi="Arial" w:cs="Arial"/>
          <w:bCs/>
          <w:sz w:val="24"/>
          <w:szCs w:val="24"/>
        </w:rPr>
        <w:t>and</w:t>
      </w:r>
    </w:p>
    <w:p w14:paraId="2F9CE87E" w14:textId="236DAE58" w:rsidR="0016318F" w:rsidRDefault="0016318F" w:rsidP="0016318F">
      <w:pPr>
        <w:spacing w:line="360" w:lineRule="auto"/>
        <w:rPr>
          <w:rFonts w:ascii="Arial" w:hAnsi="Arial" w:cs="Arial"/>
          <w:b/>
          <w:sz w:val="24"/>
          <w:szCs w:val="24"/>
        </w:rPr>
      </w:pPr>
      <w:proofErr w:type="spellStart"/>
      <w:r>
        <w:rPr>
          <w:rFonts w:ascii="Arial" w:hAnsi="Arial" w:cs="Arial"/>
          <w:b/>
          <w:sz w:val="24"/>
          <w:szCs w:val="24"/>
          <w:u w:val="single"/>
        </w:rPr>
        <w:t>Phumudza</w:t>
      </w:r>
      <w:proofErr w:type="spellEnd"/>
      <w:r>
        <w:rPr>
          <w:rFonts w:ascii="Arial" w:hAnsi="Arial" w:cs="Arial"/>
          <w:b/>
          <w:sz w:val="24"/>
          <w:szCs w:val="24"/>
          <w:u w:val="single"/>
        </w:rPr>
        <w:t xml:space="preserve"> Mufamadi</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4"/>
          <w:szCs w:val="24"/>
        </w:rPr>
        <w:t>Defendant</w:t>
      </w:r>
    </w:p>
    <w:p w14:paraId="03E65876" w14:textId="69375430" w:rsidR="007F609B" w:rsidRDefault="007F609B" w:rsidP="007F609B">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Case Number: </w:t>
      </w:r>
      <w:r>
        <w:rPr>
          <w:rFonts w:ascii="Arial" w:eastAsia="Calibri" w:hAnsi="Arial" w:cs="Arial"/>
          <w:sz w:val="24"/>
          <w:szCs w:val="24"/>
        </w:rPr>
        <w:t>13725</w:t>
      </w:r>
      <w:r>
        <w:rPr>
          <w:rFonts w:ascii="Arial" w:eastAsia="Calibri" w:hAnsi="Arial" w:cs="Arial"/>
          <w:sz w:val="24"/>
          <w:szCs w:val="24"/>
        </w:rPr>
        <w:t xml:space="preserve">/23 </w:t>
      </w:r>
    </w:p>
    <w:p w14:paraId="36DC5373" w14:textId="77777777" w:rsidR="007F609B" w:rsidRDefault="007F609B" w:rsidP="007F609B">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3D7A3F8A" w14:textId="6F38AF9E" w:rsidR="007F609B" w:rsidRDefault="007F609B" w:rsidP="007F609B">
      <w:pPr>
        <w:spacing w:line="360" w:lineRule="auto"/>
        <w:rPr>
          <w:rFonts w:ascii="Arial" w:hAnsi="Arial" w:cs="Arial"/>
          <w:b/>
          <w:sz w:val="24"/>
          <w:szCs w:val="24"/>
        </w:rPr>
      </w:pPr>
      <w:r>
        <w:rPr>
          <w:rFonts w:ascii="Arial" w:hAnsi="Arial" w:cs="Arial"/>
          <w:b/>
          <w:sz w:val="24"/>
          <w:szCs w:val="24"/>
          <w:u w:val="single"/>
        </w:rPr>
        <w:t>Nedbank Limited t/a MFC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15E46608" w14:textId="77777777" w:rsidR="007F609B" w:rsidRDefault="007F609B" w:rsidP="007F609B">
      <w:pPr>
        <w:spacing w:line="360" w:lineRule="auto"/>
        <w:rPr>
          <w:rFonts w:ascii="Arial" w:hAnsi="Arial" w:cs="Arial"/>
          <w:bCs/>
          <w:sz w:val="24"/>
          <w:szCs w:val="24"/>
        </w:rPr>
      </w:pPr>
      <w:r>
        <w:rPr>
          <w:rFonts w:ascii="Arial" w:hAnsi="Arial" w:cs="Arial"/>
          <w:bCs/>
          <w:sz w:val="24"/>
          <w:szCs w:val="24"/>
        </w:rPr>
        <w:t>and</w:t>
      </w:r>
    </w:p>
    <w:p w14:paraId="762AECA9" w14:textId="1FFD770A" w:rsidR="007F609B" w:rsidRDefault="007F609B" w:rsidP="007F609B">
      <w:pPr>
        <w:spacing w:line="360" w:lineRule="auto"/>
        <w:rPr>
          <w:rFonts w:ascii="Arial" w:hAnsi="Arial" w:cs="Arial"/>
          <w:b/>
          <w:sz w:val="24"/>
          <w:szCs w:val="24"/>
        </w:rPr>
      </w:pPr>
      <w:r>
        <w:rPr>
          <w:rFonts w:ascii="Arial" w:hAnsi="Arial" w:cs="Arial"/>
          <w:b/>
          <w:sz w:val="24"/>
          <w:szCs w:val="24"/>
          <w:u w:val="single"/>
        </w:rPr>
        <w:t>Joshua</w:t>
      </w:r>
      <w:r w:rsidR="003F04AE">
        <w:rPr>
          <w:rFonts w:ascii="Arial" w:hAnsi="Arial" w:cs="Arial"/>
          <w:b/>
          <w:sz w:val="24"/>
          <w:szCs w:val="24"/>
          <w:u w:val="single"/>
        </w:rPr>
        <w:t xml:space="preserve"> George Juwel Xaba</w:t>
      </w: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4"/>
          <w:szCs w:val="24"/>
        </w:rPr>
        <w:t>Defendant</w:t>
      </w:r>
    </w:p>
    <w:p w14:paraId="7C44C411" w14:textId="731B9314" w:rsidR="0004088D" w:rsidRDefault="0004088D" w:rsidP="000E7C0D">
      <w:pPr>
        <w:spacing w:line="360" w:lineRule="auto"/>
        <w:rPr>
          <w:rFonts w:ascii="Arial" w:hAnsi="Arial" w:cs="Arial"/>
          <w:b/>
          <w:sz w:val="24"/>
          <w:szCs w:val="24"/>
        </w:rPr>
      </w:pPr>
    </w:p>
    <w:p w14:paraId="6999DEE0" w14:textId="7E7079A8" w:rsidR="003F04AE" w:rsidRDefault="003F04AE" w:rsidP="003F04AE">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Case Number: </w:t>
      </w:r>
      <w:r>
        <w:rPr>
          <w:rFonts w:ascii="Arial" w:eastAsia="Calibri" w:hAnsi="Arial" w:cs="Arial"/>
          <w:sz w:val="24"/>
          <w:szCs w:val="24"/>
        </w:rPr>
        <w:t>2278/2022</w:t>
      </w:r>
      <w:r>
        <w:rPr>
          <w:rFonts w:ascii="Arial" w:eastAsia="Calibri" w:hAnsi="Arial" w:cs="Arial"/>
          <w:sz w:val="24"/>
          <w:szCs w:val="24"/>
        </w:rPr>
        <w:t xml:space="preserve"> </w:t>
      </w:r>
    </w:p>
    <w:p w14:paraId="4F0820F3" w14:textId="77777777" w:rsidR="003F04AE" w:rsidRDefault="003F04AE" w:rsidP="003F04AE">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05E4E17F" w14:textId="36E69763" w:rsidR="003F04AE" w:rsidRDefault="003F04AE" w:rsidP="003F04AE">
      <w:pPr>
        <w:spacing w:line="360" w:lineRule="auto"/>
        <w:rPr>
          <w:rFonts w:ascii="Arial" w:hAnsi="Arial" w:cs="Arial"/>
          <w:b/>
          <w:sz w:val="24"/>
          <w:szCs w:val="24"/>
        </w:rPr>
      </w:pPr>
      <w:r>
        <w:rPr>
          <w:rFonts w:ascii="Arial" w:hAnsi="Arial" w:cs="Arial"/>
          <w:b/>
          <w:sz w:val="24"/>
          <w:szCs w:val="24"/>
          <w:u w:val="single"/>
        </w:rPr>
        <w:t>Velocity Finance (RF) Ltd</w:t>
      </w:r>
      <w:r>
        <w:rPr>
          <w:rFonts w:ascii="Arial" w:hAnsi="Arial" w:cs="Arial"/>
          <w:b/>
          <w:sz w:val="24"/>
          <w:szCs w:val="24"/>
        </w:rPr>
        <w:tab/>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38AB8919" w14:textId="77777777" w:rsidR="003F04AE" w:rsidRDefault="003F04AE" w:rsidP="003F04AE">
      <w:pPr>
        <w:spacing w:line="360" w:lineRule="auto"/>
        <w:rPr>
          <w:rFonts w:ascii="Arial" w:hAnsi="Arial" w:cs="Arial"/>
          <w:bCs/>
          <w:sz w:val="24"/>
          <w:szCs w:val="24"/>
        </w:rPr>
      </w:pPr>
      <w:r>
        <w:rPr>
          <w:rFonts w:ascii="Arial" w:hAnsi="Arial" w:cs="Arial"/>
          <w:bCs/>
          <w:sz w:val="24"/>
          <w:szCs w:val="24"/>
        </w:rPr>
        <w:t>and</w:t>
      </w:r>
    </w:p>
    <w:p w14:paraId="27B75442" w14:textId="7D9435AE" w:rsidR="003F04AE" w:rsidRDefault="00E47218" w:rsidP="003F04AE">
      <w:pPr>
        <w:spacing w:line="360" w:lineRule="auto"/>
        <w:rPr>
          <w:rFonts w:ascii="Arial" w:hAnsi="Arial" w:cs="Arial"/>
          <w:b/>
          <w:sz w:val="24"/>
          <w:szCs w:val="24"/>
        </w:rPr>
      </w:pPr>
      <w:r>
        <w:rPr>
          <w:rFonts w:ascii="Arial" w:hAnsi="Arial" w:cs="Arial"/>
          <w:b/>
          <w:sz w:val="24"/>
          <w:szCs w:val="24"/>
          <w:u w:val="single"/>
        </w:rPr>
        <w:t>Mauritius Monde Qulu</w:t>
      </w:r>
      <w:r w:rsidR="003F04AE">
        <w:rPr>
          <w:rFonts w:ascii="Arial" w:hAnsi="Arial" w:cs="Arial"/>
          <w:b/>
          <w:sz w:val="28"/>
          <w:szCs w:val="28"/>
        </w:rPr>
        <w:tab/>
        <w:t xml:space="preserve">                                        </w:t>
      </w:r>
      <w:r w:rsidR="003F04AE">
        <w:rPr>
          <w:rFonts w:ascii="Arial" w:hAnsi="Arial" w:cs="Arial"/>
          <w:b/>
          <w:sz w:val="28"/>
          <w:szCs w:val="28"/>
        </w:rPr>
        <w:tab/>
        <w:t xml:space="preserve">    </w:t>
      </w:r>
      <w:r w:rsidR="003F04AE">
        <w:rPr>
          <w:rFonts w:ascii="Arial" w:hAnsi="Arial" w:cs="Arial"/>
          <w:b/>
          <w:sz w:val="28"/>
          <w:szCs w:val="28"/>
        </w:rPr>
        <w:tab/>
        <w:t xml:space="preserve">     </w:t>
      </w:r>
      <w:r w:rsidR="003F04AE">
        <w:rPr>
          <w:rFonts w:ascii="Arial" w:hAnsi="Arial" w:cs="Arial"/>
          <w:b/>
          <w:sz w:val="24"/>
          <w:szCs w:val="24"/>
        </w:rPr>
        <w:t>Defendant</w:t>
      </w:r>
    </w:p>
    <w:p w14:paraId="682119BF" w14:textId="77777777" w:rsidR="00E47218" w:rsidRDefault="00E47218" w:rsidP="00E47218">
      <w:pPr>
        <w:spacing w:line="360" w:lineRule="auto"/>
        <w:ind w:left="5760"/>
        <w:rPr>
          <w:rFonts w:ascii="Arial" w:eastAsia="Calibri" w:hAnsi="Arial" w:cs="Arial"/>
          <w:sz w:val="24"/>
          <w:szCs w:val="24"/>
        </w:rPr>
      </w:pPr>
    </w:p>
    <w:p w14:paraId="39DC4CC5" w14:textId="68632295" w:rsidR="00E47218" w:rsidRDefault="00E47218" w:rsidP="00E47218">
      <w:pPr>
        <w:spacing w:line="360" w:lineRule="auto"/>
        <w:ind w:left="5760"/>
        <w:rPr>
          <w:rFonts w:ascii="Arial" w:eastAsia="Calibri" w:hAnsi="Arial" w:cs="Arial"/>
          <w:sz w:val="24"/>
          <w:szCs w:val="24"/>
        </w:rPr>
      </w:pPr>
      <w:r>
        <w:rPr>
          <w:rFonts w:ascii="Arial" w:eastAsia="Calibri" w:hAnsi="Arial" w:cs="Arial"/>
          <w:sz w:val="24"/>
          <w:szCs w:val="24"/>
        </w:rPr>
        <w:lastRenderedPageBreak/>
        <w:t xml:space="preserve">     </w:t>
      </w:r>
      <w:r>
        <w:rPr>
          <w:rFonts w:ascii="Arial" w:eastAsia="Calibri" w:hAnsi="Arial" w:cs="Arial"/>
          <w:sz w:val="24"/>
          <w:szCs w:val="24"/>
        </w:rPr>
        <w:t xml:space="preserve">Case Number: </w:t>
      </w:r>
      <w:r w:rsidR="00AD7030">
        <w:rPr>
          <w:rFonts w:ascii="Arial" w:eastAsia="Calibri" w:hAnsi="Arial" w:cs="Arial"/>
          <w:sz w:val="24"/>
          <w:szCs w:val="24"/>
        </w:rPr>
        <w:t>1689</w:t>
      </w:r>
      <w:r>
        <w:rPr>
          <w:rFonts w:ascii="Arial" w:eastAsia="Calibri" w:hAnsi="Arial" w:cs="Arial"/>
          <w:sz w:val="24"/>
          <w:szCs w:val="24"/>
        </w:rPr>
        <w:t>/2</w:t>
      </w:r>
      <w:r w:rsidR="00AD7030">
        <w:rPr>
          <w:rFonts w:ascii="Arial" w:eastAsia="Calibri" w:hAnsi="Arial" w:cs="Arial"/>
          <w:sz w:val="24"/>
          <w:szCs w:val="24"/>
        </w:rPr>
        <w:t>2</w:t>
      </w:r>
      <w:r>
        <w:rPr>
          <w:rFonts w:ascii="Arial" w:eastAsia="Calibri" w:hAnsi="Arial" w:cs="Arial"/>
          <w:sz w:val="24"/>
          <w:szCs w:val="24"/>
        </w:rPr>
        <w:t xml:space="preserve"> </w:t>
      </w:r>
    </w:p>
    <w:p w14:paraId="537A0572" w14:textId="77777777" w:rsidR="00E47218" w:rsidRDefault="00E47218" w:rsidP="00E47218">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0B2FC521" w14:textId="6FE64DA7" w:rsidR="00E47218" w:rsidRDefault="00E47218" w:rsidP="00E47218">
      <w:pPr>
        <w:spacing w:line="360" w:lineRule="auto"/>
        <w:rPr>
          <w:rFonts w:ascii="Arial" w:hAnsi="Arial" w:cs="Arial"/>
          <w:b/>
          <w:sz w:val="24"/>
          <w:szCs w:val="24"/>
        </w:rPr>
      </w:pPr>
      <w:r>
        <w:rPr>
          <w:rFonts w:ascii="Arial" w:hAnsi="Arial" w:cs="Arial"/>
          <w:b/>
          <w:sz w:val="24"/>
          <w:szCs w:val="24"/>
          <w:u w:val="single"/>
        </w:rPr>
        <w:t>Nedbank Ltd</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D7030">
        <w:rPr>
          <w:rFonts w:ascii="Arial" w:hAnsi="Arial" w:cs="Arial"/>
          <w:b/>
          <w:sz w:val="28"/>
          <w:szCs w:val="28"/>
        </w:rPr>
        <w:tab/>
      </w:r>
      <w:r w:rsidR="00AD7030">
        <w:rPr>
          <w:rFonts w:ascii="Arial" w:hAnsi="Arial" w:cs="Arial"/>
          <w:b/>
          <w:sz w:val="28"/>
          <w:szCs w:val="28"/>
        </w:rPr>
        <w:tab/>
      </w:r>
      <w:r w:rsidR="00AD7030">
        <w:rPr>
          <w:rFonts w:ascii="Arial" w:hAnsi="Arial" w:cs="Arial"/>
          <w:b/>
          <w:sz w:val="28"/>
          <w:szCs w:val="28"/>
        </w:rPr>
        <w:tab/>
      </w:r>
      <w:r w:rsidR="00AD7030">
        <w:rPr>
          <w:rFonts w:ascii="Arial" w:hAnsi="Arial" w:cs="Arial"/>
          <w:b/>
          <w:sz w:val="28"/>
          <w:szCs w:val="28"/>
        </w:rPr>
        <w:tab/>
      </w:r>
      <w:r>
        <w:rPr>
          <w:rFonts w:ascii="Arial" w:hAnsi="Arial" w:cs="Arial"/>
          <w:b/>
          <w:sz w:val="24"/>
          <w:szCs w:val="24"/>
        </w:rPr>
        <w:t>Plaintiff</w:t>
      </w:r>
    </w:p>
    <w:p w14:paraId="42AA26E1" w14:textId="77777777" w:rsidR="00E47218" w:rsidRDefault="00E47218" w:rsidP="00E47218">
      <w:pPr>
        <w:spacing w:line="360" w:lineRule="auto"/>
        <w:rPr>
          <w:rFonts w:ascii="Arial" w:hAnsi="Arial" w:cs="Arial"/>
          <w:bCs/>
          <w:sz w:val="24"/>
          <w:szCs w:val="24"/>
        </w:rPr>
      </w:pPr>
      <w:r>
        <w:rPr>
          <w:rFonts w:ascii="Arial" w:hAnsi="Arial" w:cs="Arial"/>
          <w:bCs/>
          <w:sz w:val="24"/>
          <w:szCs w:val="24"/>
        </w:rPr>
        <w:t>and</w:t>
      </w:r>
    </w:p>
    <w:p w14:paraId="14A25FCE" w14:textId="7F39D134" w:rsidR="00E47218" w:rsidRDefault="00AD7030" w:rsidP="00E47218">
      <w:pPr>
        <w:spacing w:line="360" w:lineRule="auto"/>
        <w:rPr>
          <w:rFonts w:ascii="Arial" w:hAnsi="Arial" w:cs="Arial"/>
          <w:b/>
          <w:sz w:val="24"/>
          <w:szCs w:val="24"/>
        </w:rPr>
      </w:pPr>
      <w:r>
        <w:rPr>
          <w:rFonts w:ascii="Arial" w:hAnsi="Arial" w:cs="Arial"/>
          <w:b/>
          <w:sz w:val="24"/>
          <w:szCs w:val="24"/>
          <w:u w:val="single"/>
        </w:rPr>
        <w:t xml:space="preserve">CK </w:t>
      </w:r>
      <w:proofErr w:type="spellStart"/>
      <w:r>
        <w:rPr>
          <w:rFonts w:ascii="Arial" w:hAnsi="Arial" w:cs="Arial"/>
          <w:b/>
          <w:sz w:val="24"/>
          <w:szCs w:val="24"/>
          <w:u w:val="single"/>
        </w:rPr>
        <w:t>Magabane</w:t>
      </w:r>
      <w:proofErr w:type="spellEnd"/>
      <w:r w:rsidR="00E47218">
        <w:rPr>
          <w:rFonts w:ascii="Arial" w:hAnsi="Arial" w:cs="Arial"/>
          <w:b/>
          <w:sz w:val="28"/>
          <w:szCs w:val="28"/>
        </w:rPr>
        <w:tab/>
      </w:r>
      <w:r w:rsidR="00E47218">
        <w:rPr>
          <w:rFonts w:ascii="Arial" w:hAnsi="Arial" w:cs="Arial"/>
          <w:b/>
          <w:sz w:val="28"/>
          <w:szCs w:val="28"/>
        </w:rPr>
        <w:tab/>
        <w:t xml:space="preserve">                                         </w:t>
      </w:r>
      <w:r w:rsidR="00E47218">
        <w:rPr>
          <w:rFonts w:ascii="Arial" w:hAnsi="Arial" w:cs="Arial"/>
          <w:b/>
          <w:sz w:val="28"/>
          <w:szCs w:val="28"/>
        </w:rPr>
        <w:tab/>
        <w:t xml:space="preserve">    </w:t>
      </w:r>
      <w:r w:rsidR="00E47218">
        <w:rPr>
          <w:rFonts w:ascii="Arial" w:hAnsi="Arial" w:cs="Arial"/>
          <w:b/>
          <w:sz w:val="28"/>
          <w:szCs w:val="28"/>
        </w:rPr>
        <w:tab/>
        <w:t xml:space="preserve">     </w:t>
      </w:r>
      <w:r w:rsidR="00E47218">
        <w:rPr>
          <w:rFonts w:ascii="Arial" w:hAnsi="Arial" w:cs="Arial"/>
          <w:b/>
          <w:sz w:val="24"/>
          <w:szCs w:val="24"/>
        </w:rPr>
        <w:t>Defendant</w:t>
      </w:r>
    </w:p>
    <w:p w14:paraId="681BC3EE" w14:textId="0922612A" w:rsidR="00AD7030" w:rsidRDefault="00AD7030" w:rsidP="00AD7030">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Case Number: </w:t>
      </w:r>
      <w:r>
        <w:rPr>
          <w:rFonts w:ascii="Arial" w:eastAsia="Calibri" w:hAnsi="Arial" w:cs="Arial"/>
          <w:sz w:val="24"/>
          <w:szCs w:val="24"/>
        </w:rPr>
        <w:t>55621</w:t>
      </w:r>
      <w:r>
        <w:rPr>
          <w:rFonts w:ascii="Arial" w:eastAsia="Calibri" w:hAnsi="Arial" w:cs="Arial"/>
          <w:sz w:val="24"/>
          <w:szCs w:val="24"/>
        </w:rPr>
        <w:t>/2</w:t>
      </w:r>
      <w:r>
        <w:rPr>
          <w:rFonts w:ascii="Arial" w:eastAsia="Calibri" w:hAnsi="Arial" w:cs="Arial"/>
          <w:sz w:val="24"/>
          <w:szCs w:val="24"/>
        </w:rPr>
        <w:t>1</w:t>
      </w:r>
      <w:r>
        <w:rPr>
          <w:rFonts w:ascii="Arial" w:eastAsia="Calibri" w:hAnsi="Arial" w:cs="Arial"/>
          <w:sz w:val="24"/>
          <w:szCs w:val="24"/>
        </w:rPr>
        <w:t xml:space="preserve"> </w:t>
      </w:r>
    </w:p>
    <w:p w14:paraId="0C386E09" w14:textId="77777777" w:rsidR="00AD7030" w:rsidRDefault="00AD7030" w:rsidP="00AD7030">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6BE20A50" w14:textId="7335462F" w:rsidR="00AD7030" w:rsidRDefault="00AD7030" w:rsidP="00AD7030">
      <w:pPr>
        <w:spacing w:line="360" w:lineRule="auto"/>
        <w:rPr>
          <w:rFonts w:ascii="Arial" w:hAnsi="Arial" w:cs="Arial"/>
          <w:b/>
          <w:sz w:val="24"/>
          <w:szCs w:val="24"/>
        </w:rPr>
      </w:pPr>
      <w:r>
        <w:rPr>
          <w:rFonts w:ascii="Arial" w:hAnsi="Arial" w:cs="Arial"/>
          <w:b/>
          <w:sz w:val="24"/>
          <w:szCs w:val="24"/>
          <w:u w:val="single"/>
        </w:rPr>
        <w:t>BMW Financial Services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59B27DFF" w14:textId="77777777" w:rsidR="00AD7030" w:rsidRDefault="00AD7030" w:rsidP="00AD7030">
      <w:pPr>
        <w:spacing w:line="360" w:lineRule="auto"/>
        <w:rPr>
          <w:rFonts w:ascii="Arial" w:hAnsi="Arial" w:cs="Arial"/>
          <w:bCs/>
          <w:sz w:val="24"/>
          <w:szCs w:val="24"/>
        </w:rPr>
      </w:pPr>
      <w:r>
        <w:rPr>
          <w:rFonts w:ascii="Arial" w:hAnsi="Arial" w:cs="Arial"/>
          <w:bCs/>
          <w:sz w:val="24"/>
          <w:szCs w:val="24"/>
        </w:rPr>
        <w:t>and</w:t>
      </w:r>
    </w:p>
    <w:p w14:paraId="2F987EDF" w14:textId="73C867B5" w:rsidR="00AD7030" w:rsidRDefault="00E447D4" w:rsidP="00AD7030">
      <w:pPr>
        <w:spacing w:line="360" w:lineRule="auto"/>
        <w:rPr>
          <w:rFonts w:ascii="Arial" w:hAnsi="Arial" w:cs="Arial"/>
          <w:b/>
          <w:sz w:val="24"/>
          <w:szCs w:val="24"/>
        </w:rPr>
      </w:pPr>
      <w:r>
        <w:rPr>
          <w:rFonts w:ascii="Arial" w:hAnsi="Arial" w:cs="Arial"/>
          <w:b/>
          <w:sz w:val="24"/>
          <w:szCs w:val="24"/>
          <w:u w:val="single"/>
        </w:rPr>
        <w:t xml:space="preserve">SB </w:t>
      </w:r>
      <w:proofErr w:type="spellStart"/>
      <w:r>
        <w:rPr>
          <w:rFonts w:ascii="Arial" w:hAnsi="Arial" w:cs="Arial"/>
          <w:b/>
          <w:sz w:val="24"/>
          <w:szCs w:val="24"/>
          <w:u w:val="single"/>
        </w:rPr>
        <w:t>Seremane</w:t>
      </w:r>
      <w:proofErr w:type="spellEnd"/>
      <w:r w:rsidR="00AD7030">
        <w:rPr>
          <w:rFonts w:ascii="Arial" w:hAnsi="Arial" w:cs="Arial"/>
          <w:b/>
          <w:sz w:val="28"/>
          <w:szCs w:val="28"/>
        </w:rPr>
        <w:tab/>
      </w:r>
      <w:r w:rsidR="00AD7030">
        <w:rPr>
          <w:rFonts w:ascii="Arial" w:hAnsi="Arial" w:cs="Arial"/>
          <w:b/>
          <w:sz w:val="28"/>
          <w:szCs w:val="28"/>
        </w:rPr>
        <w:tab/>
        <w:t xml:space="preserve">                                         </w:t>
      </w:r>
      <w:r w:rsidR="00AD7030">
        <w:rPr>
          <w:rFonts w:ascii="Arial" w:hAnsi="Arial" w:cs="Arial"/>
          <w:b/>
          <w:sz w:val="28"/>
          <w:szCs w:val="28"/>
        </w:rPr>
        <w:tab/>
        <w:t xml:space="preserve">    </w:t>
      </w:r>
      <w:r w:rsidR="00AD7030">
        <w:rPr>
          <w:rFonts w:ascii="Arial" w:hAnsi="Arial" w:cs="Arial"/>
          <w:b/>
          <w:sz w:val="28"/>
          <w:szCs w:val="28"/>
        </w:rPr>
        <w:tab/>
        <w:t xml:space="preserve">     </w:t>
      </w:r>
      <w:r w:rsidR="00AD7030">
        <w:rPr>
          <w:rFonts w:ascii="Arial" w:hAnsi="Arial" w:cs="Arial"/>
          <w:b/>
          <w:sz w:val="24"/>
          <w:szCs w:val="24"/>
        </w:rPr>
        <w:t>Defendant</w:t>
      </w:r>
    </w:p>
    <w:p w14:paraId="3F83780C" w14:textId="2A542B6D" w:rsidR="00E447D4" w:rsidRDefault="00E447D4" w:rsidP="00E447D4">
      <w:pPr>
        <w:spacing w:line="360" w:lineRule="auto"/>
        <w:ind w:left="5760"/>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 xml:space="preserve">Case Number: </w:t>
      </w:r>
      <w:r>
        <w:rPr>
          <w:rFonts w:ascii="Arial" w:eastAsia="Calibri" w:hAnsi="Arial" w:cs="Arial"/>
          <w:sz w:val="24"/>
          <w:szCs w:val="24"/>
        </w:rPr>
        <w:t>30772</w:t>
      </w:r>
      <w:r>
        <w:rPr>
          <w:rFonts w:ascii="Arial" w:eastAsia="Calibri" w:hAnsi="Arial" w:cs="Arial"/>
          <w:sz w:val="24"/>
          <w:szCs w:val="24"/>
        </w:rPr>
        <w:t xml:space="preserve">/21 </w:t>
      </w:r>
    </w:p>
    <w:p w14:paraId="31A13D3A" w14:textId="77777777" w:rsidR="00E447D4" w:rsidRDefault="00E447D4" w:rsidP="00E447D4">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11B69DE2" w14:textId="77777777" w:rsidR="00E447D4" w:rsidRDefault="00E447D4" w:rsidP="00E447D4">
      <w:pPr>
        <w:spacing w:line="360" w:lineRule="auto"/>
        <w:rPr>
          <w:rFonts w:ascii="Arial" w:hAnsi="Arial" w:cs="Arial"/>
          <w:b/>
          <w:sz w:val="24"/>
          <w:szCs w:val="24"/>
        </w:rPr>
      </w:pPr>
      <w:r>
        <w:rPr>
          <w:rFonts w:ascii="Arial" w:hAnsi="Arial" w:cs="Arial"/>
          <w:b/>
          <w:sz w:val="24"/>
          <w:szCs w:val="24"/>
          <w:u w:val="single"/>
        </w:rPr>
        <w:t>BMW Financial Services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25D3A957" w14:textId="77777777" w:rsidR="00E447D4" w:rsidRDefault="00E447D4" w:rsidP="00E447D4">
      <w:pPr>
        <w:spacing w:line="360" w:lineRule="auto"/>
        <w:rPr>
          <w:rFonts w:ascii="Arial" w:hAnsi="Arial" w:cs="Arial"/>
          <w:bCs/>
          <w:sz w:val="24"/>
          <w:szCs w:val="24"/>
        </w:rPr>
      </w:pPr>
      <w:r>
        <w:rPr>
          <w:rFonts w:ascii="Arial" w:hAnsi="Arial" w:cs="Arial"/>
          <w:bCs/>
          <w:sz w:val="24"/>
          <w:szCs w:val="24"/>
        </w:rPr>
        <w:t>and</w:t>
      </w:r>
    </w:p>
    <w:p w14:paraId="441437F6" w14:textId="223A66DE" w:rsidR="00E447D4" w:rsidRDefault="00E447D4" w:rsidP="00E447D4">
      <w:pPr>
        <w:spacing w:line="360" w:lineRule="auto"/>
        <w:rPr>
          <w:rFonts w:ascii="Arial" w:hAnsi="Arial" w:cs="Arial"/>
          <w:b/>
          <w:sz w:val="24"/>
          <w:szCs w:val="24"/>
        </w:rPr>
      </w:pPr>
      <w:r>
        <w:rPr>
          <w:rFonts w:ascii="Arial" w:hAnsi="Arial" w:cs="Arial"/>
          <w:b/>
          <w:sz w:val="24"/>
          <w:szCs w:val="24"/>
          <w:u w:val="single"/>
        </w:rPr>
        <w:t xml:space="preserve">P </w:t>
      </w:r>
      <w:proofErr w:type="spellStart"/>
      <w:r>
        <w:rPr>
          <w:rFonts w:ascii="Arial" w:hAnsi="Arial" w:cs="Arial"/>
          <w:b/>
          <w:sz w:val="24"/>
          <w:szCs w:val="24"/>
          <w:u w:val="single"/>
        </w:rPr>
        <w:t>Binneman</w:t>
      </w:r>
      <w:proofErr w:type="spellEnd"/>
      <w:r>
        <w:rPr>
          <w:rFonts w:ascii="Arial" w:hAnsi="Arial" w:cs="Arial"/>
          <w:b/>
          <w:sz w:val="24"/>
          <w:szCs w:val="24"/>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4"/>
          <w:szCs w:val="24"/>
        </w:rPr>
        <w:t>Defendant</w:t>
      </w:r>
    </w:p>
    <w:p w14:paraId="35891A22" w14:textId="536C8A01" w:rsidR="00E447D4" w:rsidRDefault="00992BB5" w:rsidP="00E447D4">
      <w:pPr>
        <w:spacing w:line="360" w:lineRule="auto"/>
        <w:ind w:left="5760"/>
        <w:rPr>
          <w:rFonts w:ascii="Arial" w:eastAsia="Calibri" w:hAnsi="Arial" w:cs="Arial"/>
          <w:sz w:val="24"/>
          <w:szCs w:val="24"/>
        </w:rPr>
      </w:pPr>
      <w:r>
        <w:rPr>
          <w:rFonts w:ascii="Arial" w:eastAsia="Calibri" w:hAnsi="Arial" w:cs="Arial"/>
          <w:sz w:val="24"/>
          <w:szCs w:val="24"/>
        </w:rPr>
        <w:t xml:space="preserve">       </w:t>
      </w:r>
      <w:r w:rsidR="00E447D4">
        <w:rPr>
          <w:rFonts w:ascii="Arial" w:eastAsia="Calibri" w:hAnsi="Arial" w:cs="Arial"/>
          <w:sz w:val="24"/>
          <w:szCs w:val="24"/>
        </w:rPr>
        <w:t xml:space="preserve">Case Number: </w:t>
      </w:r>
      <w:r>
        <w:rPr>
          <w:rFonts w:ascii="Arial" w:eastAsia="Calibri" w:hAnsi="Arial" w:cs="Arial"/>
          <w:sz w:val="24"/>
          <w:szCs w:val="24"/>
        </w:rPr>
        <w:t>47042</w:t>
      </w:r>
      <w:r w:rsidR="00E447D4">
        <w:rPr>
          <w:rFonts w:ascii="Arial" w:eastAsia="Calibri" w:hAnsi="Arial" w:cs="Arial"/>
          <w:sz w:val="24"/>
          <w:szCs w:val="24"/>
        </w:rPr>
        <w:t xml:space="preserve">/21 </w:t>
      </w:r>
    </w:p>
    <w:p w14:paraId="67BC48C4" w14:textId="77777777" w:rsidR="00E447D4" w:rsidRDefault="00E447D4" w:rsidP="00E447D4">
      <w:pPr>
        <w:spacing w:line="360" w:lineRule="auto"/>
        <w:jc w:val="both"/>
        <w:rPr>
          <w:rFonts w:ascii="Arial" w:eastAsia="Calibri" w:hAnsi="Arial" w:cs="Arial"/>
          <w:sz w:val="28"/>
          <w:szCs w:val="28"/>
        </w:rPr>
      </w:pPr>
      <w:r>
        <w:rPr>
          <w:rFonts w:ascii="Arial" w:eastAsia="Calibri" w:hAnsi="Arial" w:cs="Arial"/>
          <w:sz w:val="24"/>
          <w:szCs w:val="24"/>
        </w:rPr>
        <w:t>In the matter between</w:t>
      </w:r>
      <w:r>
        <w:rPr>
          <w:rFonts w:ascii="Arial" w:eastAsia="Calibri" w:hAnsi="Arial" w:cs="Arial"/>
          <w:sz w:val="28"/>
          <w:szCs w:val="28"/>
        </w:rPr>
        <w:t>:</w:t>
      </w:r>
    </w:p>
    <w:p w14:paraId="3D406CCE" w14:textId="77777777" w:rsidR="00E447D4" w:rsidRDefault="00E447D4" w:rsidP="00E447D4">
      <w:pPr>
        <w:spacing w:line="360" w:lineRule="auto"/>
        <w:rPr>
          <w:rFonts w:ascii="Arial" w:hAnsi="Arial" w:cs="Arial"/>
          <w:b/>
          <w:sz w:val="24"/>
          <w:szCs w:val="24"/>
        </w:rPr>
      </w:pPr>
      <w:r>
        <w:rPr>
          <w:rFonts w:ascii="Arial" w:hAnsi="Arial" w:cs="Arial"/>
          <w:b/>
          <w:sz w:val="24"/>
          <w:szCs w:val="24"/>
          <w:u w:val="single"/>
        </w:rPr>
        <w:t>BMW Financial Services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4"/>
          <w:szCs w:val="24"/>
        </w:rPr>
        <w:t>Plaintiff</w:t>
      </w:r>
    </w:p>
    <w:p w14:paraId="6B9B005D" w14:textId="77777777" w:rsidR="00E447D4" w:rsidRDefault="00E447D4" w:rsidP="00E447D4">
      <w:pPr>
        <w:spacing w:line="360" w:lineRule="auto"/>
        <w:rPr>
          <w:rFonts w:ascii="Arial" w:hAnsi="Arial" w:cs="Arial"/>
          <w:bCs/>
          <w:sz w:val="24"/>
          <w:szCs w:val="24"/>
        </w:rPr>
      </w:pPr>
      <w:r>
        <w:rPr>
          <w:rFonts w:ascii="Arial" w:hAnsi="Arial" w:cs="Arial"/>
          <w:bCs/>
          <w:sz w:val="24"/>
          <w:szCs w:val="24"/>
        </w:rPr>
        <w:t>and</w:t>
      </w:r>
    </w:p>
    <w:p w14:paraId="3469CE59" w14:textId="7F437CDC" w:rsidR="00E447D4" w:rsidRDefault="00992BB5" w:rsidP="00E447D4">
      <w:pPr>
        <w:spacing w:line="360" w:lineRule="auto"/>
        <w:rPr>
          <w:rFonts w:ascii="Arial" w:hAnsi="Arial" w:cs="Arial"/>
          <w:b/>
          <w:sz w:val="24"/>
          <w:szCs w:val="24"/>
        </w:rPr>
      </w:pPr>
      <w:r>
        <w:rPr>
          <w:rFonts w:ascii="Arial" w:hAnsi="Arial" w:cs="Arial"/>
          <w:b/>
          <w:sz w:val="24"/>
          <w:szCs w:val="24"/>
          <w:u w:val="single"/>
        </w:rPr>
        <w:t xml:space="preserve">P M </w:t>
      </w:r>
      <w:proofErr w:type="spellStart"/>
      <w:r>
        <w:rPr>
          <w:rFonts w:ascii="Arial" w:hAnsi="Arial" w:cs="Arial"/>
          <w:b/>
          <w:sz w:val="24"/>
          <w:szCs w:val="24"/>
          <w:u w:val="single"/>
        </w:rPr>
        <w:t>Tlabela</w:t>
      </w:r>
      <w:proofErr w:type="spellEnd"/>
      <w:r>
        <w:rPr>
          <w:rFonts w:ascii="Arial" w:hAnsi="Arial" w:cs="Arial"/>
          <w:b/>
          <w:sz w:val="24"/>
          <w:szCs w:val="24"/>
        </w:rPr>
        <w:tab/>
      </w:r>
      <w:r w:rsidR="00E447D4">
        <w:rPr>
          <w:rFonts w:ascii="Arial" w:hAnsi="Arial" w:cs="Arial"/>
          <w:b/>
          <w:sz w:val="28"/>
          <w:szCs w:val="28"/>
        </w:rPr>
        <w:tab/>
      </w:r>
      <w:r w:rsidR="00E447D4">
        <w:rPr>
          <w:rFonts w:ascii="Arial" w:hAnsi="Arial" w:cs="Arial"/>
          <w:b/>
          <w:sz w:val="28"/>
          <w:szCs w:val="28"/>
        </w:rPr>
        <w:tab/>
        <w:t xml:space="preserve">                                         </w:t>
      </w:r>
      <w:r w:rsidR="00E447D4">
        <w:rPr>
          <w:rFonts w:ascii="Arial" w:hAnsi="Arial" w:cs="Arial"/>
          <w:b/>
          <w:sz w:val="28"/>
          <w:szCs w:val="28"/>
        </w:rPr>
        <w:tab/>
        <w:t xml:space="preserve">    </w:t>
      </w:r>
      <w:r w:rsidR="00E447D4">
        <w:rPr>
          <w:rFonts w:ascii="Arial" w:hAnsi="Arial" w:cs="Arial"/>
          <w:b/>
          <w:sz w:val="28"/>
          <w:szCs w:val="28"/>
        </w:rPr>
        <w:tab/>
        <w:t xml:space="preserve">     </w:t>
      </w:r>
      <w:r w:rsidR="00E447D4">
        <w:rPr>
          <w:rFonts w:ascii="Arial" w:hAnsi="Arial" w:cs="Arial"/>
          <w:b/>
          <w:sz w:val="24"/>
          <w:szCs w:val="24"/>
        </w:rPr>
        <w:t>Defendant</w:t>
      </w:r>
    </w:p>
    <w:p w14:paraId="137AD068" w14:textId="77777777" w:rsidR="003F04AE" w:rsidRDefault="003F04AE" w:rsidP="000E7C0D">
      <w:pPr>
        <w:spacing w:line="360" w:lineRule="auto"/>
        <w:rPr>
          <w:rFonts w:ascii="Arial" w:hAnsi="Arial" w:cs="Arial"/>
          <w:b/>
          <w:sz w:val="24"/>
          <w:szCs w:val="24"/>
        </w:rPr>
      </w:pPr>
    </w:p>
    <w:p w14:paraId="20F93A99" w14:textId="77777777" w:rsidR="00A26720" w:rsidRPr="000E66B0" w:rsidRDefault="00A26720" w:rsidP="0009034F">
      <w:pPr>
        <w:spacing w:line="360" w:lineRule="auto"/>
        <w:rPr>
          <w:rFonts w:ascii="Arial" w:hAnsi="Arial" w:cs="Arial"/>
          <w:b/>
          <w:sz w:val="24"/>
          <w:szCs w:val="24"/>
        </w:rPr>
      </w:pPr>
    </w:p>
    <w:p w14:paraId="022F5C09" w14:textId="77777777" w:rsidR="004D66CF" w:rsidRDefault="004D66CF" w:rsidP="0004015D">
      <w:pPr>
        <w:pBdr>
          <w:top w:val="single" w:sz="12" w:space="1" w:color="auto"/>
          <w:bottom w:val="single" w:sz="12" w:space="1" w:color="auto"/>
        </w:pBdr>
        <w:spacing w:line="240" w:lineRule="auto"/>
        <w:rPr>
          <w:rFonts w:ascii="Arial" w:hAnsi="Arial" w:cs="Arial"/>
          <w:b/>
          <w:sz w:val="28"/>
          <w:szCs w:val="28"/>
        </w:rPr>
      </w:pPr>
    </w:p>
    <w:p w14:paraId="7475C8D0" w14:textId="1489B69D" w:rsidR="0009034F" w:rsidRDefault="0009034F" w:rsidP="004D66CF">
      <w:pPr>
        <w:pBdr>
          <w:top w:val="single" w:sz="12" w:space="1" w:color="auto"/>
          <w:bottom w:val="single" w:sz="12" w:space="1" w:color="auto"/>
        </w:pBdr>
        <w:jc w:val="center"/>
        <w:rPr>
          <w:rFonts w:ascii="Arial" w:hAnsi="Arial" w:cs="Arial"/>
          <w:b/>
          <w:sz w:val="28"/>
          <w:szCs w:val="28"/>
        </w:rPr>
      </w:pPr>
      <w:r w:rsidRPr="004D66CF">
        <w:rPr>
          <w:rFonts w:ascii="Arial" w:hAnsi="Arial" w:cs="Arial"/>
          <w:b/>
          <w:sz w:val="28"/>
          <w:szCs w:val="28"/>
        </w:rPr>
        <w:t>JUDGMENT</w:t>
      </w:r>
    </w:p>
    <w:p w14:paraId="59043397" w14:textId="77777777" w:rsidR="004D66CF" w:rsidRPr="004D66CF" w:rsidRDefault="004D66CF" w:rsidP="004D66CF">
      <w:pPr>
        <w:pBdr>
          <w:top w:val="single" w:sz="12" w:space="1" w:color="auto"/>
          <w:bottom w:val="single" w:sz="12" w:space="1" w:color="auto"/>
        </w:pBdr>
        <w:spacing w:line="240" w:lineRule="auto"/>
        <w:jc w:val="center"/>
        <w:rPr>
          <w:rFonts w:ascii="Arial" w:hAnsi="Arial" w:cs="Arial"/>
          <w:b/>
          <w:sz w:val="28"/>
          <w:szCs w:val="28"/>
        </w:rPr>
      </w:pPr>
    </w:p>
    <w:p w14:paraId="256C5272" w14:textId="77777777" w:rsidR="0009034F" w:rsidRPr="004D66CF" w:rsidRDefault="0009034F" w:rsidP="0009034F">
      <w:pPr>
        <w:rPr>
          <w:rFonts w:ascii="Arial" w:hAnsi="Arial" w:cs="Arial"/>
          <w:b/>
          <w:sz w:val="28"/>
          <w:szCs w:val="28"/>
        </w:rPr>
      </w:pPr>
      <w:r w:rsidRPr="004D66CF">
        <w:rPr>
          <w:rFonts w:ascii="Arial" w:hAnsi="Arial" w:cs="Arial"/>
          <w:b/>
          <w:sz w:val="28"/>
          <w:szCs w:val="28"/>
        </w:rPr>
        <w:t>MTSWENI AJ</w:t>
      </w:r>
    </w:p>
    <w:p w14:paraId="4C2327FA" w14:textId="77777777" w:rsidR="00DC00C7" w:rsidRDefault="00DC00C7" w:rsidP="0009034F">
      <w:pPr>
        <w:rPr>
          <w:rFonts w:ascii="Arial" w:hAnsi="Arial" w:cs="Arial"/>
          <w:b/>
          <w:sz w:val="24"/>
          <w:szCs w:val="24"/>
          <w:u w:val="single"/>
        </w:rPr>
      </w:pPr>
    </w:p>
    <w:p w14:paraId="5DF2D8BF" w14:textId="400648C9" w:rsidR="00C33CA6" w:rsidRDefault="00C33CA6" w:rsidP="0009034F">
      <w:pPr>
        <w:rPr>
          <w:rFonts w:ascii="Arial" w:hAnsi="Arial" w:cs="Arial"/>
          <w:b/>
          <w:sz w:val="24"/>
          <w:szCs w:val="24"/>
          <w:u w:val="single"/>
        </w:rPr>
      </w:pPr>
      <w:r w:rsidRPr="004D66CF">
        <w:rPr>
          <w:rFonts w:ascii="Arial" w:hAnsi="Arial" w:cs="Arial"/>
          <w:b/>
          <w:sz w:val="24"/>
          <w:szCs w:val="24"/>
          <w:u w:val="single"/>
        </w:rPr>
        <w:t>INTRODUCTION:</w:t>
      </w:r>
    </w:p>
    <w:p w14:paraId="48F11139" w14:textId="77777777" w:rsidR="00DC00C7" w:rsidRPr="004D66CF" w:rsidRDefault="00DC00C7" w:rsidP="0009034F">
      <w:pPr>
        <w:rPr>
          <w:rFonts w:ascii="Arial" w:hAnsi="Arial" w:cs="Arial"/>
          <w:b/>
          <w:sz w:val="24"/>
          <w:szCs w:val="24"/>
          <w:u w:val="single"/>
        </w:rPr>
      </w:pPr>
    </w:p>
    <w:p w14:paraId="752F5249" w14:textId="74CA73A4" w:rsidR="00DC00C7" w:rsidRDefault="00DC00C7" w:rsidP="005011E5">
      <w:pPr>
        <w:spacing w:before="480" w:after="0" w:line="480" w:lineRule="auto"/>
        <w:ind w:left="720" w:hanging="720"/>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r>
      <w:r w:rsidR="008064F7">
        <w:rPr>
          <w:rFonts w:ascii="Arial" w:hAnsi="Arial" w:cs="Arial"/>
          <w:bCs/>
          <w:sz w:val="24"/>
          <w:szCs w:val="24"/>
        </w:rPr>
        <w:t>B</w:t>
      </w:r>
      <w:r>
        <w:rPr>
          <w:rFonts w:ascii="Arial" w:hAnsi="Arial" w:cs="Arial"/>
          <w:bCs/>
          <w:sz w:val="24"/>
          <w:szCs w:val="24"/>
        </w:rPr>
        <w:t>efore me, are seven matter</w:t>
      </w:r>
      <w:r w:rsidR="008064F7">
        <w:rPr>
          <w:rFonts w:ascii="Arial" w:hAnsi="Arial" w:cs="Arial"/>
          <w:bCs/>
          <w:sz w:val="24"/>
          <w:szCs w:val="24"/>
        </w:rPr>
        <w:t>s</w:t>
      </w:r>
      <w:r>
        <w:rPr>
          <w:rFonts w:ascii="Arial" w:hAnsi="Arial" w:cs="Arial"/>
          <w:bCs/>
          <w:sz w:val="24"/>
          <w:szCs w:val="24"/>
        </w:rPr>
        <w:t xml:space="preserve"> </w:t>
      </w:r>
      <w:r w:rsidR="00FF3A95">
        <w:rPr>
          <w:rFonts w:ascii="Arial" w:hAnsi="Arial" w:cs="Arial"/>
          <w:bCs/>
          <w:sz w:val="24"/>
          <w:szCs w:val="24"/>
        </w:rPr>
        <w:t>referred for</w:t>
      </w:r>
      <w:r>
        <w:rPr>
          <w:rFonts w:ascii="Arial" w:hAnsi="Arial" w:cs="Arial"/>
          <w:bCs/>
          <w:sz w:val="24"/>
          <w:szCs w:val="24"/>
        </w:rPr>
        <w:t xml:space="preserve"> </w:t>
      </w:r>
      <w:r w:rsidR="00FF428F">
        <w:rPr>
          <w:rFonts w:ascii="Arial" w:hAnsi="Arial" w:cs="Arial"/>
          <w:bCs/>
          <w:sz w:val="24"/>
          <w:szCs w:val="24"/>
        </w:rPr>
        <w:t xml:space="preserve">consideration of applications </w:t>
      </w:r>
      <w:r w:rsidR="00BE7D85">
        <w:rPr>
          <w:rFonts w:ascii="Arial" w:hAnsi="Arial" w:cs="Arial"/>
          <w:bCs/>
          <w:sz w:val="24"/>
          <w:szCs w:val="24"/>
        </w:rPr>
        <w:t>default judgment</w:t>
      </w:r>
      <w:r w:rsidR="005D5FF7">
        <w:rPr>
          <w:rFonts w:ascii="Arial" w:hAnsi="Arial" w:cs="Arial"/>
          <w:bCs/>
          <w:sz w:val="24"/>
          <w:szCs w:val="24"/>
        </w:rPr>
        <w:t xml:space="preserve"> in chambers</w:t>
      </w:r>
      <w:r w:rsidR="009F6DC2">
        <w:rPr>
          <w:rStyle w:val="FootnoteReference"/>
          <w:rFonts w:ascii="Arial" w:hAnsi="Arial" w:cs="Arial"/>
          <w:bCs/>
          <w:sz w:val="24"/>
          <w:szCs w:val="24"/>
        </w:rPr>
        <w:footnoteReference w:id="1"/>
      </w:r>
      <w:r w:rsidR="00BE7D85">
        <w:rPr>
          <w:rFonts w:ascii="Arial" w:hAnsi="Arial" w:cs="Arial"/>
          <w:bCs/>
          <w:sz w:val="24"/>
          <w:szCs w:val="24"/>
        </w:rPr>
        <w:t>. These matters arise out of credit agreements in terms of the National Credit Act</w:t>
      </w:r>
      <w:r w:rsidR="005011E5">
        <w:rPr>
          <w:rStyle w:val="FootnoteReference"/>
          <w:rFonts w:ascii="Arial" w:hAnsi="Arial" w:cs="Arial"/>
          <w:bCs/>
          <w:sz w:val="24"/>
          <w:szCs w:val="24"/>
        </w:rPr>
        <w:footnoteReference w:id="2"/>
      </w:r>
      <w:r w:rsidR="005011E5">
        <w:rPr>
          <w:rFonts w:ascii="Arial" w:hAnsi="Arial" w:cs="Arial"/>
          <w:bCs/>
          <w:sz w:val="24"/>
          <w:szCs w:val="24"/>
        </w:rPr>
        <w:t>.</w:t>
      </w:r>
    </w:p>
    <w:p w14:paraId="76D4966F" w14:textId="059BDABA" w:rsidR="00283D10" w:rsidRDefault="005011E5" w:rsidP="005011E5">
      <w:pPr>
        <w:spacing w:before="480" w:after="0" w:line="480" w:lineRule="auto"/>
        <w:ind w:left="720" w:hanging="72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FE608E">
        <w:rPr>
          <w:rFonts w:ascii="Arial" w:hAnsi="Arial" w:cs="Arial"/>
          <w:bCs/>
          <w:sz w:val="24"/>
          <w:szCs w:val="24"/>
        </w:rPr>
        <w:t>T</w:t>
      </w:r>
      <w:r>
        <w:rPr>
          <w:rFonts w:ascii="Arial" w:hAnsi="Arial" w:cs="Arial"/>
          <w:bCs/>
          <w:sz w:val="24"/>
          <w:szCs w:val="24"/>
        </w:rPr>
        <w:t>he</w:t>
      </w:r>
      <w:r w:rsidR="005D5FF7">
        <w:rPr>
          <w:rFonts w:ascii="Arial" w:hAnsi="Arial" w:cs="Arial"/>
          <w:bCs/>
          <w:sz w:val="24"/>
          <w:szCs w:val="24"/>
        </w:rPr>
        <w:t xml:space="preserve"> referral is made pursuant to the provisions of the directive issued by the then, Acting Judge President </w:t>
      </w:r>
      <w:r w:rsidR="00821A59">
        <w:rPr>
          <w:rFonts w:ascii="Arial" w:hAnsi="Arial" w:cs="Arial"/>
          <w:bCs/>
          <w:sz w:val="24"/>
          <w:szCs w:val="24"/>
        </w:rPr>
        <w:t>Ledwaba AJP</w:t>
      </w:r>
      <w:r w:rsidR="00FF3A95">
        <w:rPr>
          <w:rFonts w:ascii="Arial" w:hAnsi="Arial" w:cs="Arial"/>
          <w:bCs/>
          <w:sz w:val="24"/>
          <w:szCs w:val="24"/>
        </w:rPr>
        <w:t xml:space="preserve"> </w:t>
      </w:r>
      <w:proofErr w:type="gramStart"/>
      <w:r w:rsidR="00FF3A95">
        <w:rPr>
          <w:rFonts w:ascii="Arial" w:hAnsi="Arial" w:cs="Arial"/>
          <w:bCs/>
          <w:sz w:val="24"/>
          <w:szCs w:val="24"/>
        </w:rPr>
        <w:t>( as</w:t>
      </w:r>
      <w:proofErr w:type="gramEnd"/>
      <w:r w:rsidR="00FF3A95">
        <w:rPr>
          <w:rFonts w:ascii="Arial" w:hAnsi="Arial" w:cs="Arial"/>
          <w:bCs/>
          <w:sz w:val="24"/>
          <w:szCs w:val="24"/>
        </w:rPr>
        <w:t xml:space="preserve"> he then was)</w:t>
      </w:r>
      <w:r w:rsidR="00821A59">
        <w:rPr>
          <w:rFonts w:ascii="Arial" w:hAnsi="Arial" w:cs="Arial"/>
          <w:bCs/>
          <w:sz w:val="24"/>
          <w:szCs w:val="24"/>
        </w:rPr>
        <w:t xml:space="preserve">, dated </w:t>
      </w:r>
      <w:r w:rsidR="00017377">
        <w:rPr>
          <w:rFonts w:ascii="Arial" w:hAnsi="Arial" w:cs="Arial"/>
          <w:bCs/>
          <w:sz w:val="24"/>
          <w:szCs w:val="24"/>
        </w:rPr>
        <w:t>22</w:t>
      </w:r>
      <w:r w:rsidR="00017377" w:rsidRPr="00017377">
        <w:rPr>
          <w:rFonts w:ascii="Arial" w:hAnsi="Arial" w:cs="Arial"/>
          <w:bCs/>
          <w:sz w:val="24"/>
          <w:szCs w:val="24"/>
          <w:vertAlign w:val="superscript"/>
        </w:rPr>
        <w:t>nd</w:t>
      </w:r>
      <w:r w:rsidR="00017377">
        <w:rPr>
          <w:rFonts w:ascii="Arial" w:hAnsi="Arial" w:cs="Arial"/>
          <w:bCs/>
          <w:sz w:val="24"/>
          <w:szCs w:val="24"/>
        </w:rPr>
        <w:t xml:space="preserve"> February 2022</w:t>
      </w:r>
      <w:r w:rsidR="003E7D29">
        <w:rPr>
          <w:rStyle w:val="FootnoteReference"/>
          <w:rFonts w:ascii="Arial" w:hAnsi="Arial" w:cs="Arial"/>
          <w:bCs/>
          <w:sz w:val="24"/>
          <w:szCs w:val="24"/>
        </w:rPr>
        <w:footnoteReference w:id="3"/>
      </w:r>
      <w:r w:rsidR="00017377">
        <w:rPr>
          <w:rFonts w:ascii="Arial" w:hAnsi="Arial" w:cs="Arial"/>
          <w:bCs/>
          <w:sz w:val="24"/>
          <w:szCs w:val="24"/>
        </w:rPr>
        <w:t xml:space="preserve">. </w:t>
      </w:r>
    </w:p>
    <w:p w14:paraId="068AB595" w14:textId="212D2B14" w:rsidR="005011E5" w:rsidRDefault="00283D10" w:rsidP="005011E5">
      <w:pPr>
        <w:spacing w:before="480" w:after="0" w:line="480" w:lineRule="auto"/>
        <w:ind w:left="720" w:hanging="72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017377">
        <w:rPr>
          <w:rFonts w:ascii="Arial" w:hAnsi="Arial" w:cs="Arial"/>
          <w:bCs/>
          <w:sz w:val="24"/>
          <w:szCs w:val="24"/>
        </w:rPr>
        <w:t>In terms of the directive, all applications for default judgment brought in terms of Rule 31(5) of the Uniform Rules of Court, arising out of credit agreement where the NCA</w:t>
      </w:r>
      <w:r w:rsidR="001C7EB0">
        <w:rPr>
          <w:rFonts w:ascii="Arial" w:hAnsi="Arial" w:cs="Arial"/>
          <w:bCs/>
          <w:sz w:val="24"/>
          <w:szCs w:val="24"/>
        </w:rPr>
        <w:t xml:space="preserve"> </w:t>
      </w:r>
      <w:r w:rsidR="00017377">
        <w:rPr>
          <w:rFonts w:ascii="Arial" w:hAnsi="Arial" w:cs="Arial"/>
          <w:bCs/>
          <w:sz w:val="24"/>
          <w:szCs w:val="24"/>
        </w:rPr>
        <w:t xml:space="preserve">applies, </w:t>
      </w:r>
      <w:r w:rsidR="002F54FE">
        <w:rPr>
          <w:rFonts w:ascii="Arial" w:hAnsi="Arial" w:cs="Arial"/>
          <w:bCs/>
          <w:sz w:val="24"/>
          <w:szCs w:val="24"/>
        </w:rPr>
        <w:t xml:space="preserve">shall be referred to the Registrar. </w:t>
      </w:r>
      <w:r w:rsidR="0075438F">
        <w:rPr>
          <w:rFonts w:ascii="Arial" w:hAnsi="Arial" w:cs="Arial"/>
          <w:bCs/>
          <w:sz w:val="24"/>
          <w:szCs w:val="24"/>
        </w:rPr>
        <w:t>The Registrar</w:t>
      </w:r>
      <w:r w:rsidR="002F54FE">
        <w:rPr>
          <w:rFonts w:ascii="Arial" w:hAnsi="Arial" w:cs="Arial"/>
          <w:bCs/>
          <w:sz w:val="24"/>
          <w:szCs w:val="24"/>
        </w:rPr>
        <w:t xml:space="preserve"> shall </w:t>
      </w:r>
      <w:r w:rsidR="006B15A0">
        <w:rPr>
          <w:rFonts w:ascii="Arial" w:hAnsi="Arial" w:cs="Arial"/>
          <w:bCs/>
          <w:sz w:val="24"/>
          <w:szCs w:val="24"/>
        </w:rPr>
        <w:t xml:space="preserve">consider whether the matter is ripe for an order. If he/she is satisfied that the matter is ripe for an order, refer the matter </w:t>
      </w:r>
      <w:r w:rsidR="003B2AF3">
        <w:rPr>
          <w:rFonts w:ascii="Arial" w:hAnsi="Arial" w:cs="Arial"/>
          <w:bCs/>
          <w:sz w:val="24"/>
          <w:szCs w:val="24"/>
        </w:rPr>
        <w:t xml:space="preserve">to a Judge in </w:t>
      </w:r>
      <w:r w:rsidR="00FE608E">
        <w:rPr>
          <w:rFonts w:ascii="Arial" w:hAnsi="Arial" w:cs="Arial"/>
          <w:bCs/>
          <w:sz w:val="24"/>
          <w:szCs w:val="24"/>
        </w:rPr>
        <w:t>Chambers,</w:t>
      </w:r>
      <w:r w:rsidR="003B2AF3">
        <w:rPr>
          <w:rFonts w:ascii="Arial" w:hAnsi="Arial" w:cs="Arial"/>
          <w:bCs/>
          <w:sz w:val="24"/>
          <w:szCs w:val="24"/>
        </w:rPr>
        <w:t xml:space="preserve"> for </w:t>
      </w:r>
      <w:r w:rsidR="003B2AF3">
        <w:rPr>
          <w:rFonts w:ascii="Arial" w:hAnsi="Arial" w:cs="Arial"/>
          <w:bCs/>
          <w:sz w:val="24"/>
          <w:szCs w:val="24"/>
        </w:rPr>
        <w:lastRenderedPageBreak/>
        <w:t>consideration</w:t>
      </w:r>
      <w:r w:rsidR="00206B54">
        <w:rPr>
          <w:rStyle w:val="FootnoteReference"/>
          <w:rFonts w:ascii="Arial" w:hAnsi="Arial" w:cs="Arial"/>
          <w:bCs/>
          <w:sz w:val="24"/>
          <w:szCs w:val="24"/>
        </w:rPr>
        <w:footnoteReference w:id="4"/>
      </w:r>
      <w:r w:rsidR="003B2AF3">
        <w:rPr>
          <w:rFonts w:ascii="Arial" w:hAnsi="Arial" w:cs="Arial"/>
          <w:bCs/>
          <w:sz w:val="24"/>
          <w:szCs w:val="24"/>
        </w:rPr>
        <w:t xml:space="preserve">. If the Judge is of the view that the matter is in order, he/she </w:t>
      </w:r>
      <w:r w:rsidR="00206B54">
        <w:rPr>
          <w:rFonts w:ascii="Arial" w:hAnsi="Arial" w:cs="Arial"/>
          <w:bCs/>
          <w:sz w:val="24"/>
          <w:szCs w:val="24"/>
        </w:rPr>
        <w:t>may make an order, either granting or refusing default judgment</w:t>
      </w:r>
      <w:r>
        <w:rPr>
          <w:rStyle w:val="FootnoteReference"/>
          <w:rFonts w:ascii="Arial" w:hAnsi="Arial" w:cs="Arial"/>
          <w:bCs/>
          <w:sz w:val="24"/>
          <w:szCs w:val="24"/>
        </w:rPr>
        <w:footnoteReference w:id="5"/>
      </w:r>
      <w:r w:rsidR="00206B54">
        <w:rPr>
          <w:rFonts w:ascii="Arial" w:hAnsi="Arial" w:cs="Arial"/>
          <w:bCs/>
          <w:sz w:val="24"/>
          <w:szCs w:val="24"/>
        </w:rPr>
        <w:t>.</w:t>
      </w:r>
    </w:p>
    <w:p w14:paraId="3CE192F9" w14:textId="3355E77C" w:rsidR="008333F0" w:rsidRPr="0075438F" w:rsidRDefault="00FE608E" w:rsidP="0075438F">
      <w:pPr>
        <w:spacing w:before="480" w:after="0" w:line="480" w:lineRule="auto"/>
        <w:ind w:left="720" w:hanging="72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7702C7">
        <w:rPr>
          <w:rFonts w:ascii="Arial" w:hAnsi="Arial" w:cs="Arial"/>
          <w:bCs/>
          <w:sz w:val="24"/>
          <w:szCs w:val="24"/>
        </w:rPr>
        <w:t xml:space="preserve">The </w:t>
      </w:r>
      <w:r w:rsidR="002F4CF9">
        <w:rPr>
          <w:rFonts w:ascii="Arial" w:hAnsi="Arial" w:cs="Arial"/>
          <w:bCs/>
          <w:sz w:val="24"/>
          <w:szCs w:val="24"/>
        </w:rPr>
        <w:t xml:space="preserve">then </w:t>
      </w:r>
      <w:r w:rsidR="007702C7">
        <w:rPr>
          <w:rFonts w:ascii="Arial" w:hAnsi="Arial" w:cs="Arial"/>
          <w:bCs/>
          <w:sz w:val="24"/>
          <w:szCs w:val="24"/>
        </w:rPr>
        <w:t>Acting Judge President’s directive</w:t>
      </w:r>
      <w:r>
        <w:rPr>
          <w:rFonts w:ascii="Arial" w:hAnsi="Arial" w:cs="Arial"/>
          <w:bCs/>
          <w:sz w:val="24"/>
          <w:szCs w:val="24"/>
        </w:rPr>
        <w:t xml:space="preserve"> </w:t>
      </w:r>
      <w:r w:rsidR="00F77CED">
        <w:rPr>
          <w:rFonts w:ascii="Arial" w:hAnsi="Arial" w:cs="Arial"/>
          <w:bCs/>
          <w:sz w:val="24"/>
          <w:szCs w:val="24"/>
        </w:rPr>
        <w:t>was an attempt, in my view, to resolve the conundrum created by two judgments</w:t>
      </w:r>
      <w:r>
        <w:rPr>
          <w:rFonts w:ascii="Arial" w:hAnsi="Arial" w:cs="Arial"/>
          <w:bCs/>
          <w:sz w:val="24"/>
          <w:szCs w:val="24"/>
        </w:rPr>
        <w:t xml:space="preserve">, one by the Constitutional Court and another by this </w:t>
      </w:r>
      <w:r w:rsidR="007702C7">
        <w:rPr>
          <w:rFonts w:ascii="Arial" w:hAnsi="Arial" w:cs="Arial"/>
          <w:bCs/>
          <w:sz w:val="24"/>
          <w:szCs w:val="24"/>
        </w:rPr>
        <w:t>Court</w:t>
      </w:r>
      <w:r>
        <w:rPr>
          <w:rFonts w:ascii="Arial" w:hAnsi="Arial" w:cs="Arial"/>
          <w:bCs/>
          <w:sz w:val="24"/>
          <w:szCs w:val="24"/>
        </w:rPr>
        <w:t xml:space="preserve">. These judgments </w:t>
      </w:r>
      <w:r w:rsidR="007702C7">
        <w:rPr>
          <w:rFonts w:ascii="Arial" w:hAnsi="Arial" w:cs="Arial"/>
          <w:bCs/>
          <w:sz w:val="24"/>
          <w:szCs w:val="24"/>
        </w:rPr>
        <w:t>are</w:t>
      </w:r>
      <w:r w:rsidR="008333F0" w:rsidRPr="00DC00C7">
        <w:rPr>
          <w:rFonts w:ascii="Arial" w:hAnsi="Arial" w:cs="Arial"/>
          <w:bCs/>
          <w:sz w:val="24"/>
          <w:szCs w:val="24"/>
        </w:rPr>
        <w:t xml:space="preserve"> </w:t>
      </w:r>
      <w:proofErr w:type="spellStart"/>
      <w:r w:rsidR="007702C7">
        <w:rPr>
          <w:rFonts w:ascii="Arial" w:hAnsi="Arial" w:cs="Arial"/>
          <w:b/>
          <w:sz w:val="24"/>
          <w:szCs w:val="24"/>
          <w:u w:val="single"/>
        </w:rPr>
        <w:t>N</w:t>
      </w:r>
      <w:r w:rsidR="008333F0" w:rsidRPr="00DC00C7">
        <w:rPr>
          <w:rFonts w:ascii="Arial" w:hAnsi="Arial" w:cs="Arial"/>
          <w:b/>
          <w:sz w:val="24"/>
          <w:szCs w:val="24"/>
          <w:u w:val="single"/>
        </w:rPr>
        <w:t>kata</w:t>
      </w:r>
      <w:proofErr w:type="spellEnd"/>
      <w:r w:rsidR="008333F0" w:rsidRPr="00DC00C7">
        <w:rPr>
          <w:rFonts w:ascii="Arial" w:hAnsi="Arial" w:cs="Arial"/>
          <w:b/>
          <w:sz w:val="24"/>
          <w:szCs w:val="24"/>
          <w:u w:val="single"/>
        </w:rPr>
        <w:t xml:space="preserve"> v First Rand Bank Ltd</w:t>
      </w:r>
      <w:r w:rsidR="008333F0" w:rsidRPr="004D66CF">
        <w:rPr>
          <w:rStyle w:val="FootnoteReference"/>
          <w:rFonts w:ascii="Arial" w:hAnsi="Arial" w:cs="Arial"/>
          <w:bCs/>
          <w:sz w:val="24"/>
          <w:szCs w:val="24"/>
        </w:rPr>
        <w:footnoteReference w:id="6"/>
      </w:r>
      <w:r w:rsidR="007702C7">
        <w:rPr>
          <w:rFonts w:ascii="Arial" w:hAnsi="Arial" w:cs="Arial"/>
          <w:bCs/>
          <w:sz w:val="24"/>
          <w:szCs w:val="24"/>
        </w:rPr>
        <w:t xml:space="preserve">, handed down on the </w:t>
      </w:r>
      <w:r w:rsidR="008C2136">
        <w:rPr>
          <w:rFonts w:ascii="Arial" w:hAnsi="Arial" w:cs="Arial"/>
          <w:bCs/>
          <w:sz w:val="24"/>
          <w:szCs w:val="24"/>
        </w:rPr>
        <w:t>16</w:t>
      </w:r>
      <w:r w:rsidR="008C2136" w:rsidRPr="00B94272">
        <w:rPr>
          <w:rFonts w:ascii="Arial" w:hAnsi="Arial" w:cs="Arial"/>
          <w:bCs/>
          <w:sz w:val="24"/>
          <w:szCs w:val="24"/>
          <w:vertAlign w:val="superscript"/>
        </w:rPr>
        <w:t xml:space="preserve">th </w:t>
      </w:r>
      <w:r w:rsidR="00B94272">
        <w:rPr>
          <w:rFonts w:ascii="Arial" w:hAnsi="Arial" w:cs="Arial"/>
          <w:bCs/>
          <w:sz w:val="24"/>
          <w:szCs w:val="24"/>
        </w:rPr>
        <w:t>April 2016, wherein the Constitutional Cour</w:t>
      </w:r>
      <w:r w:rsidR="004F6A26">
        <w:rPr>
          <w:rFonts w:ascii="Arial" w:hAnsi="Arial" w:cs="Arial"/>
          <w:bCs/>
          <w:sz w:val="24"/>
          <w:szCs w:val="24"/>
        </w:rPr>
        <w:t xml:space="preserve">t, </w:t>
      </w:r>
      <w:r w:rsidR="008333F0" w:rsidRPr="00DC00C7">
        <w:rPr>
          <w:rFonts w:ascii="Arial" w:hAnsi="Arial" w:cs="Arial"/>
          <w:bCs/>
          <w:sz w:val="24"/>
          <w:szCs w:val="24"/>
        </w:rPr>
        <w:t xml:space="preserve">held that the </w:t>
      </w:r>
      <w:r w:rsidR="004F6A26">
        <w:rPr>
          <w:rFonts w:ascii="Arial" w:hAnsi="Arial" w:cs="Arial"/>
          <w:bCs/>
          <w:sz w:val="24"/>
          <w:szCs w:val="24"/>
        </w:rPr>
        <w:t>granting of default judgments by the</w:t>
      </w:r>
      <w:r w:rsidR="00A94082">
        <w:rPr>
          <w:rFonts w:ascii="Arial" w:hAnsi="Arial" w:cs="Arial"/>
          <w:bCs/>
          <w:sz w:val="24"/>
          <w:szCs w:val="24"/>
        </w:rPr>
        <w:t xml:space="preserve"> Registrar</w:t>
      </w:r>
      <w:r w:rsidR="004F6A26">
        <w:rPr>
          <w:rFonts w:ascii="Arial" w:hAnsi="Arial" w:cs="Arial"/>
          <w:bCs/>
          <w:sz w:val="24"/>
          <w:szCs w:val="24"/>
        </w:rPr>
        <w:t xml:space="preserve"> was incompatible with </w:t>
      </w:r>
      <w:r w:rsidR="008333F0" w:rsidRPr="00DC00C7">
        <w:rPr>
          <w:rFonts w:ascii="Arial" w:hAnsi="Arial" w:cs="Arial"/>
          <w:bCs/>
          <w:sz w:val="24"/>
          <w:szCs w:val="24"/>
        </w:rPr>
        <w:t>section 130(3) of the National Credit Act,</w:t>
      </w:r>
      <w:r w:rsidR="00A94082">
        <w:rPr>
          <w:rFonts w:ascii="Arial" w:hAnsi="Arial" w:cs="Arial"/>
          <w:bCs/>
          <w:sz w:val="24"/>
          <w:szCs w:val="24"/>
        </w:rPr>
        <w:t xml:space="preserve"> which required the Court</w:t>
      </w:r>
      <w:r w:rsidR="008333F0" w:rsidRPr="00DC00C7">
        <w:rPr>
          <w:rFonts w:ascii="Arial" w:hAnsi="Arial" w:cs="Arial"/>
          <w:bCs/>
          <w:sz w:val="24"/>
          <w:szCs w:val="24"/>
        </w:rPr>
        <w:t xml:space="preserve"> </w:t>
      </w:r>
      <w:r w:rsidR="00A94082">
        <w:rPr>
          <w:rFonts w:ascii="Arial" w:hAnsi="Arial" w:cs="Arial"/>
          <w:bCs/>
          <w:sz w:val="24"/>
          <w:szCs w:val="24"/>
        </w:rPr>
        <w:t xml:space="preserve">to determine such </w:t>
      </w:r>
      <w:r w:rsidR="008333F0" w:rsidRPr="00DC00C7">
        <w:rPr>
          <w:rFonts w:ascii="Arial" w:hAnsi="Arial" w:cs="Arial"/>
          <w:bCs/>
          <w:sz w:val="24"/>
          <w:szCs w:val="24"/>
        </w:rPr>
        <w:t>empowered to grant default judgment</w:t>
      </w:r>
      <w:r w:rsidR="00F525A8">
        <w:rPr>
          <w:rStyle w:val="FootnoteReference"/>
          <w:rFonts w:ascii="Arial" w:hAnsi="Arial" w:cs="Arial"/>
          <w:bCs/>
          <w:sz w:val="24"/>
          <w:szCs w:val="24"/>
        </w:rPr>
        <w:footnoteReference w:id="7"/>
      </w:r>
      <w:r w:rsidR="0075438F">
        <w:rPr>
          <w:rFonts w:ascii="Arial" w:hAnsi="Arial" w:cs="Arial"/>
          <w:bCs/>
          <w:sz w:val="24"/>
          <w:szCs w:val="24"/>
        </w:rPr>
        <w:t xml:space="preserve"> and  </w:t>
      </w:r>
      <w:r w:rsidR="008333F0" w:rsidRPr="0075438F">
        <w:rPr>
          <w:rFonts w:ascii="Arial" w:hAnsi="Arial" w:cs="Arial"/>
          <w:b/>
          <w:sz w:val="24"/>
          <w:szCs w:val="24"/>
          <w:u w:val="single"/>
        </w:rPr>
        <w:t>Theu v First Rand Auto</w:t>
      </w:r>
      <w:r w:rsidR="008333F0" w:rsidRPr="004D66CF">
        <w:rPr>
          <w:rStyle w:val="FootnoteReference"/>
          <w:rFonts w:ascii="Arial" w:hAnsi="Arial" w:cs="Arial"/>
          <w:bCs/>
          <w:sz w:val="24"/>
          <w:szCs w:val="24"/>
        </w:rPr>
        <w:footnoteReference w:id="8"/>
      </w:r>
      <w:r w:rsidR="008333F0" w:rsidRPr="0075438F">
        <w:rPr>
          <w:rFonts w:ascii="Arial" w:hAnsi="Arial" w:cs="Arial"/>
          <w:bCs/>
          <w:sz w:val="24"/>
          <w:szCs w:val="24"/>
        </w:rPr>
        <w:t xml:space="preserve"> wherein this court per</w:t>
      </w:r>
      <w:r w:rsidR="0075438F">
        <w:rPr>
          <w:rFonts w:ascii="Arial" w:hAnsi="Arial" w:cs="Arial"/>
          <w:bCs/>
          <w:sz w:val="24"/>
          <w:szCs w:val="24"/>
        </w:rPr>
        <w:t xml:space="preserve"> Matebese </w:t>
      </w:r>
      <w:r w:rsidR="008333F0" w:rsidRPr="0075438F">
        <w:rPr>
          <w:rFonts w:ascii="Arial" w:hAnsi="Arial" w:cs="Arial"/>
          <w:bCs/>
          <w:sz w:val="24"/>
          <w:szCs w:val="24"/>
        </w:rPr>
        <w:t xml:space="preserve">AJ, </w:t>
      </w:r>
      <w:r w:rsidR="00F77CED">
        <w:rPr>
          <w:rFonts w:ascii="Arial" w:hAnsi="Arial" w:cs="Arial"/>
          <w:bCs/>
          <w:sz w:val="24"/>
          <w:szCs w:val="24"/>
        </w:rPr>
        <w:t xml:space="preserve">confirmed that on proper </w:t>
      </w:r>
      <w:r w:rsidR="008333F0" w:rsidRPr="0075438F">
        <w:rPr>
          <w:rFonts w:ascii="Arial" w:hAnsi="Arial" w:cs="Arial"/>
          <w:bCs/>
          <w:sz w:val="24"/>
          <w:szCs w:val="24"/>
        </w:rPr>
        <w:t xml:space="preserve">interpretation of section 130(3) of the NCA, the Registrar had no </w:t>
      </w:r>
      <w:r w:rsidR="00510E18">
        <w:rPr>
          <w:rFonts w:ascii="Arial" w:hAnsi="Arial" w:cs="Arial"/>
          <w:bCs/>
          <w:sz w:val="24"/>
          <w:szCs w:val="24"/>
        </w:rPr>
        <w:t>jurisdiction</w:t>
      </w:r>
      <w:r w:rsidR="008333F0" w:rsidRPr="0075438F">
        <w:rPr>
          <w:rFonts w:ascii="Arial" w:hAnsi="Arial" w:cs="Arial"/>
          <w:bCs/>
          <w:sz w:val="24"/>
          <w:szCs w:val="24"/>
        </w:rPr>
        <w:t xml:space="preserve"> to grant</w:t>
      </w:r>
      <w:r w:rsidR="00510E18">
        <w:rPr>
          <w:rFonts w:ascii="Arial" w:hAnsi="Arial" w:cs="Arial"/>
          <w:bCs/>
          <w:sz w:val="24"/>
          <w:szCs w:val="24"/>
        </w:rPr>
        <w:t xml:space="preserve"> default </w:t>
      </w:r>
      <w:r w:rsidR="008333F0" w:rsidRPr="0075438F">
        <w:rPr>
          <w:rFonts w:ascii="Arial" w:hAnsi="Arial" w:cs="Arial"/>
          <w:bCs/>
          <w:sz w:val="24"/>
          <w:szCs w:val="24"/>
        </w:rPr>
        <w:t xml:space="preserve"> judgments flowing from the National Credit Act</w:t>
      </w:r>
      <w:r w:rsidR="0053043B">
        <w:rPr>
          <w:rStyle w:val="FootnoteReference"/>
          <w:rFonts w:ascii="Arial" w:hAnsi="Arial" w:cs="Arial"/>
          <w:bCs/>
          <w:sz w:val="24"/>
          <w:szCs w:val="24"/>
        </w:rPr>
        <w:footnoteReference w:id="9"/>
      </w:r>
      <w:r w:rsidR="008333F0" w:rsidRPr="0075438F">
        <w:rPr>
          <w:rFonts w:ascii="Arial" w:hAnsi="Arial" w:cs="Arial"/>
          <w:bCs/>
          <w:sz w:val="24"/>
          <w:szCs w:val="24"/>
        </w:rPr>
        <w:t xml:space="preserve">. </w:t>
      </w:r>
      <w:r w:rsidR="00EC1719">
        <w:rPr>
          <w:rFonts w:ascii="Arial" w:hAnsi="Arial" w:cs="Arial"/>
          <w:bCs/>
          <w:sz w:val="24"/>
          <w:szCs w:val="24"/>
        </w:rPr>
        <w:t xml:space="preserve"> </w:t>
      </w:r>
      <w:r w:rsidR="0058415A">
        <w:rPr>
          <w:rFonts w:ascii="Arial" w:hAnsi="Arial" w:cs="Arial"/>
          <w:bCs/>
          <w:sz w:val="24"/>
          <w:szCs w:val="24"/>
        </w:rPr>
        <w:t xml:space="preserve">The </w:t>
      </w:r>
      <w:r w:rsidR="002F4CF9">
        <w:rPr>
          <w:rFonts w:ascii="Arial" w:hAnsi="Arial" w:cs="Arial"/>
          <w:bCs/>
          <w:sz w:val="24"/>
          <w:szCs w:val="24"/>
        </w:rPr>
        <w:t>issues</w:t>
      </w:r>
      <w:r w:rsidR="0058415A">
        <w:rPr>
          <w:rFonts w:ascii="Arial" w:hAnsi="Arial" w:cs="Arial"/>
          <w:bCs/>
          <w:sz w:val="24"/>
          <w:szCs w:val="24"/>
        </w:rPr>
        <w:t xml:space="preserve"> raised </w:t>
      </w:r>
      <w:r w:rsidR="002F4CF9">
        <w:rPr>
          <w:rFonts w:ascii="Arial" w:hAnsi="Arial" w:cs="Arial"/>
          <w:bCs/>
          <w:sz w:val="24"/>
          <w:szCs w:val="24"/>
        </w:rPr>
        <w:t>by</w:t>
      </w:r>
      <w:r w:rsidR="0058415A">
        <w:rPr>
          <w:rFonts w:ascii="Arial" w:hAnsi="Arial" w:cs="Arial"/>
          <w:bCs/>
          <w:sz w:val="24"/>
          <w:szCs w:val="24"/>
        </w:rPr>
        <w:t xml:space="preserve"> these judgments, has been a subject of a debate in </w:t>
      </w:r>
      <w:proofErr w:type="gramStart"/>
      <w:r w:rsidR="0058415A">
        <w:rPr>
          <w:rFonts w:ascii="Arial" w:hAnsi="Arial" w:cs="Arial"/>
          <w:bCs/>
          <w:sz w:val="24"/>
          <w:szCs w:val="24"/>
        </w:rPr>
        <w:t xml:space="preserve">a </w:t>
      </w:r>
      <w:r w:rsidR="00842AAC">
        <w:rPr>
          <w:rFonts w:ascii="Arial" w:hAnsi="Arial" w:cs="Arial"/>
          <w:bCs/>
          <w:sz w:val="24"/>
          <w:szCs w:val="24"/>
        </w:rPr>
        <w:t>number of</w:t>
      </w:r>
      <w:proofErr w:type="gramEnd"/>
      <w:r w:rsidR="00EC1719">
        <w:rPr>
          <w:rFonts w:ascii="Arial" w:hAnsi="Arial" w:cs="Arial"/>
          <w:bCs/>
          <w:sz w:val="24"/>
          <w:szCs w:val="24"/>
        </w:rPr>
        <w:t xml:space="preserve"> </w:t>
      </w:r>
      <w:r w:rsidR="00536802">
        <w:rPr>
          <w:rFonts w:ascii="Arial" w:hAnsi="Arial" w:cs="Arial"/>
          <w:bCs/>
          <w:sz w:val="24"/>
          <w:szCs w:val="24"/>
        </w:rPr>
        <w:t>cases</w:t>
      </w:r>
      <w:r w:rsidR="00D769C6">
        <w:rPr>
          <w:rFonts w:ascii="Arial" w:hAnsi="Arial" w:cs="Arial"/>
          <w:bCs/>
          <w:sz w:val="24"/>
          <w:szCs w:val="24"/>
        </w:rPr>
        <w:t xml:space="preserve"> before our Courts</w:t>
      </w:r>
      <w:r w:rsidR="00536802">
        <w:rPr>
          <w:rStyle w:val="FootnoteReference"/>
          <w:rFonts w:ascii="Arial" w:hAnsi="Arial" w:cs="Arial"/>
          <w:bCs/>
          <w:sz w:val="24"/>
          <w:szCs w:val="24"/>
        </w:rPr>
        <w:footnoteReference w:id="10"/>
      </w:r>
      <w:r w:rsidR="00536802">
        <w:rPr>
          <w:rFonts w:ascii="Arial" w:hAnsi="Arial" w:cs="Arial"/>
          <w:bCs/>
          <w:sz w:val="24"/>
          <w:szCs w:val="24"/>
        </w:rPr>
        <w:t>.</w:t>
      </w:r>
    </w:p>
    <w:p w14:paraId="08942E02" w14:textId="5F30DC35" w:rsidR="008333F0" w:rsidRPr="0053043B" w:rsidRDefault="0053043B" w:rsidP="006C688E">
      <w:pPr>
        <w:spacing w:before="480" w:after="0" w:line="480" w:lineRule="auto"/>
        <w:ind w:left="720" w:hanging="72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8333F0" w:rsidRPr="0053043B">
        <w:rPr>
          <w:rFonts w:ascii="Arial" w:hAnsi="Arial" w:cs="Arial"/>
          <w:bCs/>
          <w:sz w:val="24"/>
          <w:szCs w:val="24"/>
        </w:rPr>
        <w:t>Th</w:t>
      </w:r>
      <w:r w:rsidR="006C688E">
        <w:rPr>
          <w:rFonts w:ascii="Arial" w:hAnsi="Arial" w:cs="Arial"/>
          <w:bCs/>
          <w:sz w:val="24"/>
          <w:szCs w:val="24"/>
        </w:rPr>
        <w:t xml:space="preserve">e procedure outlined in paragraphs 3 and 4 of the Directive has since </w:t>
      </w:r>
      <w:r w:rsidR="008064F7">
        <w:rPr>
          <w:rFonts w:ascii="Arial" w:hAnsi="Arial" w:cs="Arial"/>
          <w:bCs/>
          <w:sz w:val="24"/>
          <w:szCs w:val="24"/>
        </w:rPr>
        <w:t>been a</w:t>
      </w:r>
      <w:r w:rsidR="006C688E">
        <w:rPr>
          <w:rFonts w:ascii="Arial" w:hAnsi="Arial" w:cs="Arial"/>
          <w:bCs/>
          <w:sz w:val="24"/>
          <w:szCs w:val="24"/>
        </w:rPr>
        <w:t xml:space="preserve"> practice in this Division.</w:t>
      </w:r>
    </w:p>
    <w:p w14:paraId="1CDD68F3" w14:textId="57171131" w:rsidR="00AF00C2" w:rsidRDefault="00BE6879" w:rsidP="00AF00C2">
      <w:pPr>
        <w:spacing w:before="480" w:after="0" w:line="480" w:lineRule="auto"/>
        <w:ind w:left="720" w:hanging="720"/>
        <w:jc w:val="both"/>
        <w:rPr>
          <w:rFonts w:ascii="Arial" w:hAnsi="Arial" w:cs="Arial"/>
          <w:bCs/>
          <w:sz w:val="24"/>
          <w:szCs w:val="24"/>
        </w:rPr>
      </w:pPr>
      <w:r>
        <w:rPr>
          <w:rFonts w:ascii="Arial" w:hAnsi="Arial" w:cs="Arial"/>
          <w:bCs/>
          <w:sz w:val="24"/>
          <w:szCs w:val="24"/>
        </w:rPr>
        <w:lastRenderedPageBreak/>
        <w:t>5.</w:t>
      </w:r>
      <w:r>
        <w:rPr>
          <w:rFonts w:ascii="Arial" w:hAnsi="Arial" w:cs="Arial"/>
          <w:bCs/>
          <w:sz w:val="24"/>
          <w:szCs w:val="24"/>
        </w:rPr>
        <w:tab/>
      </w:r>
      <w:r w:rsidR="00694FF4">
        <w:rPr>
          <w:rFonts w:ascii="Arial" w:hAnsi="Arial" w:cs="Arial"/>
          <w:bCs/>
          <w:sz w:val="24"/>
          <w:szCs w:val="24"/>
        </w:rPr>
        <w:t>I</w:t>
      </w:r>
      <w:r w:rsidR="008333F0" w:rsidRPr="00BE6879">
        <w:rPr>
          <w:rFonts w:ascii="Arial" w:hAnsi="Arial" w:cs="Arial"/>
          <w:bCs/>
          <w:sz w:val="24"/>
          <w:szCs w:val="24"/>
        </w:rPr>
        <w:t>n terms of the practice directive</w:t>
      </w:r>
      <w:r>
        <w:rPr>
          <w:rFonts w:ascii="Arial" w:hAnsi="Arial" w:cs="Arial"/>
          <w:bCs/>
          <w:sz w:val="24"/>
          <w:szCs w:val="24"/>
        </w:rPr>
        <w:t xml:space="preserve"> and the practice</w:t>
      </w:r>
      <w:r w:rsidR="008333F0" w:rsidRPr="00BE6879">
        <w:rPr>
          <w:rFonts w:ascii="Arial" w:hAnsi="Arial" w:cs="Arial"/>
          <w:bCs/>
          <w:sz w:val="24"/>
          <w:szCs w:val="24"/>
        </w:rPr>
        <w:t>,</w:t>
      </w:r>
      <w:r>
        <w:rPr>
          <w:rFonts w:ascii="Arial" w:hAnsi="Arial" w:cs="Arial"/>
          <w:bCs/>
          <w:sz w:val="24"/>
          <w:szCs w:val="24"/>
        </w:rPr>
        <w:t xml:space="preserve"> I am required</w:t>
      </w:r>
      <w:r w:rsidR="008333F0" w:rsidRPr="00BE6879">
        <w:rPr>
          <w:rFonts w:ascii="Arial" w:hAnsi="Arial" w:cs="Arial"/>
          <w:bCs/>
          <w:sz w:val="24"/>
          <w:szCs w:val="24"/>
        </w:rPr>
        <w:t xml:space="preserve"> to consider the requests for default judgment and if satisfied, grant same and if not satisfied, refuse same. </w:t>
      </w:r>
    </w:p>
    <w:p w14:paraId="0F7AE41D" w14:textId="77777777" w:rsidR="00EC4F3F" w:rsidRDefault="00AF00C2" w:rsidP="00AF00C2">
      <w:pPr>
        <w:spacing w:before="480" w:after="0" w:line="480" w:lineRule="auto"/>
        <w:ind w:left="720" w:hanging="720"/>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8333F0" w:rsidRPr="00AF00C2">
        <w:rPr>
          <w:rFonts w:ascii="Arial" w:hAnsi="Arial" w:cs="Arial"/>
          <w:bCs/>
          <w:sz w:val="24"/>
          <w:szCs w:val="24"/>
        </w:rPr>
        <w:t>However</w:t>
      </w:r>
      <w:r>
        <w:rPr>
          <w:rFonts w:ascii="Arial" w:hAnsi="Arial" w:cs="Arial"/>
          <w:bCs/>
          <w:sz w:val="24"/>
          <w:szCs w:val="24"/>
        </w:rPr>
        <w:t>, before I proceed to consider the</w:t>
      </w:r>
      <w:r w:rsidR="006D1875">
        <w:rPr>
          <w:rFonts w:ascii="Arial" w:hAnsi="Arial" w:cs="Arial"/>
          <w:bCs/>
          <w:sz w:val="24"/>
          <w:szCs w:val="24"/>
        </w:rPr>
        <w:t>se</w:t>
      </w:r>
      <w:r>
        <w:rPr>
          <w:rFonts w:ascii="Arial" w:hAnsi="Arial" w:cs="Arial"/>
          <w:bCs/>
          <w:sz w:val="24"/>
          <w:szCs w:val="24"/>
        </w:rPr>
        <w:t xml:space="preserve"> applications,</w:t>
      </w:r>
      <w:r w:rsidR="00EC4F3F">
        <w:rPr>
          <w:rFonts w:ascii="Arial" w:hAnsi="Arial" w:cs="Arial"/>
          <w:bCs/>
          <w:sz w:val="24"/>
          <w:szCs w:val="24"/>
        </w:rPr>
        <w:t xml:space="preserve"> there are two issues, which require my attention. These are;</w:t>
      </w:r>
    </w:p>
    <w:p w14:paraId="517AFA4D" w14:textId="50620714" w:rsidR="001A14AD" w:rsidRDefault="00EC4F3F" w:rsidP="00EC4F3F">
      <w:pPr>
        <w:spacing w:before="480" w:after="0" w:line="480" w:lineRule="auto"/>
        <w:ind w:left="1440" w:hanging="720"/>
        <w:jc w:val="both"/>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850ED9">
        <w:rPr>
          <w:rFonts w:ascii="Arial" w:hAnsi="Arial" w:cs="Arial"/>
          <w:bCs/>
          <w:sz w:val="24"/>
          <w:szCs w:val="24"/>
        </w:rPr>
        <w:t xml:space="preserve">whether </w:t>
      </w:r>
      <w:r w:rsidR="006F7FE9">
        <w:rPr>
          <w:rFonts w:ascii="Arial" w:hAnsi="Arial" w:cs="Arial"/>
          <w:bCs/>
          <w:sz w:val="24"/>
          <w:szCs w:val="24"/>
        </w:rPr>
        <w:t xml:space="preserve">a “Judge </w:t>
      </w:r>
      <w:r w:rsidR="006D1875">
        <w:rPr>
          <w:rFonts w:ascii="Arial" w:hAnsi="Arial" w:cs="Arial"/>
          <w:bCs/>
          <w:sz w:val="24"/>
          <w:szCs w:val="24"/>
        </w:rPr>
        <w:t>in chambers</w:t>
      </w:r>
      <w:r w:rsidR="006F7FE9">
        <w:rPr>
          <w:rFonts w:ascii="Arial" w:hAnsi="Arial" w:cs="Arial"/>
          <w:bCs/>
          <w:sz w:val="24"/>
          <w:szCs w:val="24"/>
        </w:rPr>
        <w:t xml:space="preserve">”, has the jurisdiction </w:t>
      </w:r>
      <w:r w:rsidR="00BA5A90" w:rsidRPr="00AF00C2">
        <w:rPr>
          <w:rFonts w:ascii="Arial" w:hAnsi="Arial" w:cs="Arial"/>
          <w:bCs/>
          <w:sz w:val="24"/>
          <w:szCs w:val="24"/>
        </w:rPr>
        <w:t>t</w:t>
      </w:r>
      <w:r w:rsidR="006F7FE9">
        <w:rPr>
          <w:rFonts w:ascii="Arial" w:hAnsi="Arial" w:cs="Arial"/>
          <w:bCs/>
          <w:sz w:val="24"/>
          <w:szCs w:val="24"/>
        </w:rPr>
        <w:t>o</w:t>
      </w:r>
      <w:r w:rsidR="00BA5A90" w:rsidRPr="00AF00C2">
        <w:rPr>
          <w:rFonts w:ascii="Arial" w:hAnsi="Arial" w:cs="Arial"/>
          <w:bCs/>
          <w:sz w:val="24"/>
          <w:szCs w:val="24"/>
        </w:rPr>
        <w:t xml:space="preserve"> consideration of </w:t>
      </w:r>
      <w:r w:rsidR="00E56D36">
        <w:rPr>
          <w:rFonts w:ascii="Arial" w:hAnsi="Arial" w:cs="Arial"/>
          <w:bCs/>
          <w:sz w:val="24"/>
          <w:szCs w:val="24"/>
        </w:rPr>
        <w:t xml:space="preserve">these </w:t>
      </w:r>
      <w:r w:rsidR="00BA5A90" w:rsidRPr="00AF00C2">
        <w:rPr>
          <w:rFonts w:ascii="Arial" w:hAnsi="Arial" w:cs="Arial"/>
          <w:bCs/>
          <w:sz w:val="24"/>
          <w:szCs w:val="24"/>
        </w:rPr>
        <w:t>default judgment</w:t>
      </w:r>
      <w:r w:rsidR="00E56D36">
        <w:rPr>
          <w:rFonts w:ascii="Arial" w:hAnsi="Arial" w:cs="Arial"/>
          <w:bCs/>
          <w:sz w:val="24"/>
          <w:szCs w:val="24"/>
        </w:rPr>
        <w:t xml:space="preserve"> applications</w:t>
      </w:r>
      <w:r w:rsidR="00E65652">
        <w:rPr>
          <w:rFonts w:ascii="Arial" w:hAnsi="Arial" w:cs="Arial"/>
          <w:bCs/>
          <w:sz w:val="24"/>
          <w:szCs w:val="24"/>
        </w:rPr>
        <w:t>, as required by s 130(3) of the National Credit Act</w:t>
      </w:r>
      <w:r w:rsidR="00311225">
        <w:rPr>
          <w:rStyle w:val="FootnoteReference"/>
          <w:rFonts w:ascii="Arial" w:hAnsi="Arial" w:cs="Arial"/>
          <w:bCs/>
          <w:sz w:val="24"/>
          <w:szCs w:val="24"/>
        </w:rPr>
        <w:footnoteReference w:id="11"/>
      </w:r>
      <w:r w:rsidR="001A14AD">
        <w:rPr>
          <w:rFonts w:ascii="Arial" w:hAnsi="Arial" w:cs="Arial"/>
          <w:bCs/>
          <w:sz w:val="24"/>
          <w:szCs w:val="24"/>
        </w:rPr>
        <w:t>.</w:t>
      </w:r>
    </w:p>
    <w:p w14:paraId="5443D534" w14:textId="1B1766DB" w:rsidR="0009034F" w:rsidRPr="00C12AE5" w:rsidRDefault="001A14AD" w:rsidP="00C12AE5">
      <w:pPr>
        <w:spacing w:before="480" w:after="0" w:line="480" w:lineRule="auto"/>
        <w:ind w:left="1440" w:hanging="720"/>
        <w:jc w:val="both"/>
        <w:rPr>
          <w:rFonts w:ascii="Arial" w:hAnsi="Arial" w:cs="Arial"/>
          <w:bCs/>
          <w:sz w:val="24"/>
          <w:szCs w:val="24"/>
        </w:rPr>
      </w:pPr>
      <w:r>
        <w:rPr>
          <w:rFonts w:ascii="Arial" w:hAnsi="Arial" w:cs="Arial"/>
          <w:bCs/>
          <w:sz w:val="24"/>
          <w:szCs w:val="24"/>
        </w:rPr>
        <w:t>6.2.</w:t>
      </w:r>
      <w:r>
        <w:rPr>
          <w:rFonts w:ascii="Arial" w:hAnsi="Arial" w:cs="Arial"/>
          <w:bCs/>
          <w:sz w:val="24"/>
          <w:szCs w:val="24"/>
        </w:rPr>
        <w:tab/>
        <w:t xml:space="preserve">if not, whether the Acting Judge President’s directive of the </w:t>
      </w:r>
      <w:proofErr w:type="gramStart"/>
      <w:r>
        <w:rPr>
          <w:rFonts w:ascii="Arial" w:hAnsi="Arial" w:cs="Arial"/>
          <w:bCs/>
          <w:sz w:val="24"/>
          <w:szCs w:val="24"/>
        </w:rPr>
        <w:t>22</w:t>
      </w:r>
      <w:r w:rsidRPr="001A14AD">
        <w:rPr>
          <w:rFonts w:ascii="Arial" w:hAnsi="Arial" w:cs="Arial"/>
          <w:bCs/>
          <w:sz w:val="24"/>
          <w:szCs w:val="24"/>
          <w:vertAlign w:val="superscript"/>
        </w:rPr>
        <w:t>nd</w:t>
      </w:r>
      <w:proofErr w:type="gramEnd"/>
      <w:r>
        <w:rPr>
          <w:rFonts w:ascii="Arial" w:hAnsi="Arial" w:cs="Arial"/>
          <w:bCs/>
          <w:sz w:val="24"/>
          <w:szCs w:val="24"/>
        </w:rPr>
        <w:t xml:space="preserve"> February 2022, confers upon “a Judge in chambers”, jurisdiction to consider matters arising out of the NCA.</w:t>
      </w:r>
      <w:r w:rsidR="006D1875">
        <w:rPr>
          <w:rFonts w:ascii="Arial" w:hAnsi="Arial" w:cs="Arial"/>
          <w:bCs/>
          <w:sz w:val="24"/>
          <w:szCs w:val="24"/>
        </w:rPr>
        <w:t xml:space="preserve"> </w:t>
      </w:r>
      <w:r w:rsidR="00BA5A90" w:rsidRPr="00AF00C2">
        <w:rPr>
          <w:rFonts w:ascii="Arial" w:hAnsi="Arial" w:cs="Arial"/>
          <w:bCs/>
          <w:sz w:val="24"/>
          <w:szCs w:val="24"/>
        </w:rPr>
        <w:t xml:space="preserve"> </w:t>
      </w:r>
      <w:r w:rsidR="00BA5A90" w:rsidRPr="00321FC6">
        <w:rPr>
          <w:rFonts w:ascii="Arial" w:hAnsi="Arial" w:cs="Arial"/>
          <w:sz w:val="24"/>
          <w:szCs w:val="24"/>
        </w:rPr>
        <w:t xml:space="preserve"> </w:t>
      </w:r>
    </w:p>
    <w:p w14:paraId="3BEDADED" w14:textId="4F14F0CD" w:rsidR="00295AFD" w:rsidRDefault="00C12AE5" w:rsidP="00321FC6">
      <w:pPr>
        <w:spacing w:before="480" w:after="0" w:line="480" w:lineRule="auto"/>
        <w:ind w:left="720" w:hanging="720"/>
        <w:jc w:val="both"/>
        <w:rPr>
          <w:rFonts w:ascii="Arial" w:hAnsi="Arial" w:cs="Arial"/>
          <w:sz w:val="24"/>
          <w:szCs w:val="24"/>
        </w:rPr>
      </w:pPr>
      <w:r>
        <w:rPr>
          <w:rFonts w:ascii="Arial" w:hAnsi="Arial" w:cs="Arial"/>
          <w:sz w:val="24"/>
          <w:szCs w:val="24"/>
        </w:rPr>
        <w:t>7</w:t>
      </w:r>
      <w:r w:rsidR="00295AFD">
        <w:rPr>
          <w:rFonts w:ascii="Arial" w:hAnsi="Arial" w:cs="Arial"/>
          <w:sz w:val="24"/>
          <w:szCs w:val="24"/>
        </w:rPr>
        <w:t>.</w:t>
      </w:r>
      <w:r w:rsidR="00295AFD">
        <w:rPr>
          <w:rFonts w:ascii="Arial" w:hAnsi="Arial" w:cs="Arial"/>
          <w:sz w:val="24"/>
          <w:szCs w:val="24"/>
        </w:rPr>
        <w:tab/>
      </w:r>
      <w:r w:rsidR="00A61557">
        <w:rPr>
          <w:rFonts w:ascii="Arial" w:hAnsi="Arial" w:cs="Arial"/>
          <w:sz w:val="24"/>
          <w:szCs w:val="24"/>
        </w:rPr>
        <w:t>G</w:t>
      </w:r>
      <w:r w:rsidR="00295AFD">
        <w:rPr>
          <w:rFonts w:ascii="Arial" w:hAnsi="Arial" w:cs="Arial"/>
          <w:sz w:val="24"/>
          <w:szCs w:val="24"/>
        </w:rPr>
        <w:t xml:space="preserve">iven the </w:t>
      </w:r>
      <w:proofErr w:type="gramStart"/>
      <w:r w:rsidR="00295AFD">
        <w:rPr>
          <w:rFonts w:ascii="Arial" w:hAnsi="Arial" w:cs="Arial"/>
          <w:sz w:val="24"/>
          <w:szCs w:val="24"/>
        </w:rPr>
        <w:t>manner in which</w:t>
      </w:r>
      <w:proofErr w:type="gramEnd"/>
      <w:r w:rsidR="00295AFD">
        <w:rPr>
          <w:rFonts w:ascii="Arial" w:hAnsi="Arial" w:cs="Arial"/>
          <w:sz w:val="24"/>
          <w:szCs w:val="24"/>
        </w:rPr>
        <w:t xml:space="preserve"> these matters were brought before me, </w:t>
      </w:r>
      <w:r w:rsidR="003D546B">
        <w:rPr>
          <w:rFonts w:ascii="Arial" w:hAnsi="Arial" w:cs="Arial"/>
          <w:sz w:val="24"/>
          <w:szCs w:val="24"/>
        </w:rPr>
        <w:t>I could not despite my best endeavours to constitute an open Court for the purposes of hearing submissions</w:t>
      </w:r>
      <w:r>
        <w:rPr>
          <w:rFonts w:ascii="Arial" w:hAnsi="Arial" w:cs="Arial"/>
          <w:sz w:val="24"/>
          <w:szCs w:val="24"/>
        </w:rPr>
        <w:t xml:space="preserve">, I was unable to do so. </w:t>
      </w:r>
      <w:proofErr w:type="gramStart"/>
      <w:r>
        <w:rPr>
          <w:rFonts w:ascii="Arial" w:hAnsi="Arial" w:cs="Arial"/>
          <w:sz w:val="24"/>
          <w:szCs w:val="24"/>
        </w:rPr>
        <w:t>However</w:t>
      </w:r>
      <w:proofErr w:type="gramEnd"/>
      <w:r>
        <w:rPr>
          <w:rFonts w:ascii="Arial" w:hAnsi="Arial" w:cs="Arial"/>
          <w:sz w:val="24"/>
          <w:szCs w:val="24"/>
        </w:rPr>
        <w:t xml:space="preserve"> to ensure that I have the benefit of </w:t>
      </w:r>
      <w:r w:rsidR="00847137">
        <w:rPr>
          <w:rFonts w:ascii="Arial" w:hAnsi="Arial" w:cs="Arial"/>
          <w:sz w:val="24"/>
          <w:szCs w:val="24"/>
        </w:rPr>
        <w:t>divergent view point, a notice was issued, calling upon interested parties, to submit written arguments on the two questions posed above.</w:t>
      </w:r>
    </w:p>
    <w:p w14:paraId="6762870E" w14:textId="23135371" w:rsidR="003F3FBD" w:rsidRPr="005717DD" w:rsidRDefault="00847137" w:rsidP="005717DD">
      <w:pPr>
        <w:spacing w:before="480" w:after="0" w:line="480" w:lineRule="auto"/>
        <w:ind w:left="556" w:hanging="556"/>
        <w:jc w:val="both"/>
        <w:rPr>
          <w:rFonts w:ascii="Arial" w:hAnsi="Arial" w:cs="Arial"/>
          <w:sz w:val="24"/>
          <w:szCs w:val="24"/>
        </w:rPr>
      </w:pPr>
      <w:r>
        <w:rPr>
          <w:rFonts w:ascii="Arial" w:hAnsi="Arial" w:cs="Arial"/>
          <w:sz w:val="24"/>
          <w:szCs w:val="24"/>
        </w:rPr>
        <w:t>8.</w:t>
      </w:r>
      <w:r>
        <w:rPr>
          <w:rFonts w:ascii="Arial" w:hAnsi="Arial" w:cs="Arial"/>
          <w:sz w:val="24"/>
          <w:szCs w:val="24"/>
        </w:rPr>
        <w:tab/>
      </w:r>
      <w:proofErr w:type="gramStart"/>
      <w:r w:rsidR="00A61557">
        <w:rPr>
          <w:rFonts w:ascii="Arial" w:hAnsi="Arial" w:cs="Arial"/>
          <w:sz w:val="24"/>
          <w:szCs w:val="24"/>
        </w:rPr>
        <w:t>A</w:t>
      </w:r>
      <w:r>
        <w:rPr>
          <w:rFonts w:ascii="Arial" w:hAnsi="Arial" w:cs="Arial"/>
          <w:sz w:val="24"/>
          <w:szCs w:val="24"/>
        </w:rPr>
        <w:t xml:space="preserve"> number of</w:t>
      </w:r>
      <w:proofErr w:type="gramEnd"/>
      <w:r>
        <w:rPr>
          <w:rFonts w:ascii="Arial" w:hAnsi="Arial" w:cs="Arial"/>
          <w:sz w:val="24"/>
          <w:szCs w:val="24"/>
        </w:rPr>
        <w:t xml:space="preserve"> parties responded to the invitation, including </w:t>
      </w:r>
      <w:r w:rsidR="00A61557">
        <w:rPr>
          <w:rFonts w:ascii="Arial" w:hAnsi="Arial" w:cs="Arial"/>
          <w:sz w:val="24"/>
          <w:szCs w:val="24"/>
        </w:rPr>
        <w:t xml:space="preserve">the Banking Association of South Africa. I </w:t>
      </w:r>
      <w:r w:rsidR="00F60D5E">
        <w:rPr>
          <w:rFonts w:ascii="Arial" w:hAnsi="Arial" w:cs="Arial"/>
          <w:sz w:val="24"/>
          <w:szCs w:val="24"/>
        </w:rPr>
        <w:t xml:space="preserve">am grateful to all the parties, who responded to the invitation. Their submissions were of great assistance in me, arriving at the </w:t>
      </w:r>
      <w:r w:rsidR="00273B62">
        <w:rPr>
          <w:rFonts w:ascii="Arial" w:hAnsi="Arial" w:cs="Arial"/>
          <w:sz w:val="24"/>
          <w:szCs w:val="24"/>
        </w:rPr>
        <w:t>conclusions I have reached in this judgment.</w:t>
      </w:r>
    </w:p>
    <w:p w14:paraId="7C62E46B" w14:textId="49E41D2B" w:rsidR="00033EB1" w:rsidRPr="003F3FBD" w:rsidRDefault="003F3FBD" w:rsidP="003F3FBD">
      <w:pPr>
        <w:spacing w:before="480" w:after="0"/>
        <w:jc w:val="both"/>
        <w:rPr>
          <w:rFonts w:ascii="Arial" w:hAnsi="Arial" w:cs="Arial"/>
          <w:b/>
          <w:bCs/>
          <w:sz w:val="24"/>
          <w:szCs w:val="24"/>
          <w:u w:val="single"/>
        </w:rPr>
      </w:pPr>
      <w:r w:rsidRPr="004D66CF">
        <w:rPr>
          <w:rFonts w:ascii="Arial" w:hAnsi="Arial" w:cs="Arial"/>
          <w:b/>
          <w:bCs/>
          <w:sz w:val="24"/>
          <w:szCs w:val="24"/>
          <w:u w:val="single"/>
        </w:rPr>
        <w:lastRenderedPageBreak/>
        <w:t xml:space="preserve">WHETHER </w:t>
      </w:r>
      <w:r>
        <w:rPr>
          <w:rFonts w:ascii="Arial" w:hAnsi="Arial" w:cs="Arial"/>
          <w:b/>
          <w:bCs/>
          <w:sz w:val="24"/>
          <w:szCs w:val="24"/>
          <w:u w:val="single"/>
        </w:rPr>
        <w:t>“</w:t>
      </w:r>
      <w:r w:rsidRPr="004D66CF">
        <w:rPr>
          <w:rFonts w:ascii="Arial" w:hAnsi="Arial" w:cs="Arial"/>
          <w:b/>
          <w:bCs/>
          <w:sz w:val="24"/>
          <w:szCs w:val="24"/>
          <w:u w:val="single"/>
        </w:rPr>
        <w:t>A JUDGE IN CHAMBERS</w:t>
      </w:r>
      <w:r>
        <w:rPr>
          <w:rFonts w:ascii="Arial" w:hAnsi="Arial" w:cs="Arial"/>
          <w:b/>
          <w:bCs/>
          <w:sz w:val="24"/>
          <w:szCs w:val="24"/>
          <w:u w:val="single"/>
        </w:rPr>
        <w:t>”</w:t>
      </w:r>
      <w:r w:rsidRPr="004D66CF">
        <w:rPr>
          <w:rFonts w:ascii="Arial" w:hAnsi="Arial" w:cs="Arial"/>
          <w:b/>
          <w:bCs/>
          <w:sz w:val="24"/>
          <w:szCs w:val="24"/>
          <w:u w:val="single"/>
        </w:rPr>
        <w:t xml:space="preserve"> </w:t>
      </w:r>
      <w:r>
        <w:rPr>
          <w:rFonts w:ascii="Arial" w:hAnsi="Arial" w:cs="Arial"/>
          <w:b/>
          <w:bCs/>
          <w:sz w:val="24"/>
          <w:szCs w:val="24"/>
          <w:u w:val="single"/>
        </w:rPr>
        <w:t>HAS JURISDICTION</w:t>
      </w:r>
      <w:r w:rsidRPr="004D66CF">
        <w:rPr>
          <w:rFonts w:ascii="Arial" w:hAnsi="Arial" w:cs="Arial"/>
          <w:b/>
          <w:bCs/>
          <w:sz w:val="24"/>
          <w:szCs w:val="24"/>
          <w:u w:val="single"/>
        </w:rPr>
        <w:t xml:space="preserve"> TO DETERMINE DEFAULT JUDGMENT APPLICATIONS ARISING OUT OF NCA?</w:t>
      </w:r>
    </w:p>
    <w:p w14:paraId="0B38CBC2" w14:textId="4E41E4D2" w:rsidR="00033EB1" w:rsidRPr="00033EB1" w:rsidRDefault="00033EB1" w:rsidP="0022240F">
      <w:pPr>
        <w:spacing w:before="480" w:after="0" w:line="480" w:lineRule="auto"/>
        <w:ind w:left="556" w:hanging="556"/>
        <w:jc w:val="both"/>
        <w:rPr>
          <w:rFonts w:ascii="Arial" w:hAnsi="Arial" w:cs="Arial"/>
          <w:sz w:val="24"/>
          <w:szCs w:val="24"/>
        </w:rPr>
      </w:pPr>
      <w:r>
        <w:rPr>
          <w:rFonts w:ascii="Arial" w:hAnsi="Arial" w:cs="Arial"/>
          <w:sz w:val="24"/>
          <w:szCs w:val="24"/>
        </w:rPr>
        <w:t>9.</w:t>
      </w:r>
      <w:r>
        <w:rPr>
          <w:rFonts w:ascii="Arial" w:hAnsi="Arial" w:cs="Arial"/>
          <w:sz w:val="24"/>
          <w:szCs w:val="24"/>
        </w:rPr>
        <w:tab/>
      </w:r>
      <w:r w:rsidR="00BA5A90" w:rsidRPr="00033EB1">
        <w:rPr>
          <w:rFonts w:ascii="Arial" w:hAnsi="Arial" w:cs="Arial"/>
          <w:sz w:val="24"/>
          <w:szCs w:val="24"/>
        </w:rPr>
        <w:t xml:space="preserve">A determination of the question posed above, is premised in the </w:t>
      </w:r>
      <w:r w:rsidR="00C14D45" w:rsidRPr="00033EB1">
        <w:rPr>
          <w:rFonts w:ascii="Arial" w:hAnsi="Arial" w:cs="Arial"/>
          <w:sz w:val="24"/>
          <w:szCs w:val="24"/>
        </w:rPr>
        <w:t xml:space="preserve">determination of whether, a “Judge in chambers” is </w:t>
      </w:r>
      <w:r w:rsidR="00DA582E" w:rsidRPr="00033EB1">
        <w:rPr>
          <w:rFonts w:ascii="Arial" w:hAnsi="Arial" w:cs="Arial"/>
          <w:sz w:val="24"/>
          <w:szCs w:val="24"/>
        </w:rPr>
        <w:t>“a</w:t>
      </w:r>
      <w:r w:rsidR="00C14D45" w:rsidRPr="00033EB1">
        <w:rPr>
          <w:rFonts w:ascii="Arial" w:hAnsi="Arial" w:cs="Arial"/>
          <w:sz w:val="24"/>
          <w:szCs w:val="24"/>
        </w:rPr>
        <w:t xml:space="preserve"> Court” as contemplated in</w:t>
      </w:r>
      <w:r w:rsidR="004521E1" w:rsidRPr="00033EB1">
        <w:rPr>
          <w:rFonts w:ascii="Arial" w:hAnsi="Arial" w:cs="Arial"/>
          <w:sz w:val="24"/>
          <w:szCs w:val="24"/>
        </w:rPr>
        <w:t xml:space="preserve"> </w:t>
      </w:r>
      <w:r w:rsidR="00E16712" w:rsidRPr="00033EB1">
        <w:rPr>
          <w:rFonts w:ascii="Arial" w:hAnsi="Arial" w:cs="Arial"/>
          <w:sz w:val="24"/>
          <w:szCs w:val="24"/>
        </w:rPr>
        <w:t>s</w:t>
      </w:r>
      <w:r w:rsidR="00BA5A90" w:rsidRPr="00033EB1">
        <w:rPr>
          <w:rFonts w:ascii="Arial" w:hAnsi="Arial" w:cs="Arial"/>
          <w:sz w:val="24"/>
          <w:szCs w:val="24"/>
        </w:rPr>
        <w:t xml:space="preserve"> 130(3) of the National Credit Act</w:t>
      </w:r>
      <w:r w:rsidR="004521E1" w:rsidRPr="00033EB1">
        <w:rPr>
          <w:rFonts w:ascii="Arial" w:hAnsi="Arial" w:cs="Arial"/>
          <w:sz w:val="24"/>
          <w:szCs w:val="24"/>
        </w:rPr>
        <w:t>.</w:t>
      </w:r>
      <w:r w:rsidR="00273B62" w:rsidRPr="00033EB1">
        <w:rPr>
          <w:rFonts w:ascii="Arial" w:hAnsi="Arial" w:cs="Arial"/>
          <w:sz w:val="24"/>
          <w:szCs w:val="24"/>
        </w:rPr>
        <w:t xml:space="preserve"> </w:t>
      </w:r>
      <w:r w:rsidRPr="00033EB1">
        <w:rPr>
          <w:rFonts w:ascii="Arial" w:hAnsi="Arial" w:cs="Arial"/>
          <w:sz w:val="24"/>
          <w:szCs w:val="24"/>
        </w:rPr>
        <w:t>The section provides that;</w:t>
      </w:r>
    </w:p>
    <w:p w14:paraId="6496082F" w14:textId="77777777" w:rsidR="0022240F" w:rsidRDefault="00273B62" w:rsidP="0022240F">
      <w:pPr>
        <w:spacing w:before="480" w:after="0" w:line="480" w:lineRule="auto"/>
        <w:ind w:left="1440" w:hanging="884"/>
        <w:jc w:val="both"/>
        <w:rPr>
          <w:rFonts w:ascii="Arial" w:hAnsi="Arial" w:cs="Arial"/>
          <w:bCs/>
          <w:i/>
          <w:iCs/>
          <w:sz w:val="24"/>
          <w:szCs w:val="24"/>
          <w:u w:val="single"/>
        </w:rPr>
      </w:pPr>
      <w:r w:rsidRPr="0022240F">
        <w:rPr>
          <w:rFonts w:ascii="Arial" w:hAnsi="Arial" w:cs="Arial"/>
          <w:bCs/>
          <w:sz w:val="24"/>
          <w:szCs w:val="24"/>
        </w:rPr>
        <w:t>“</w:t>
      </w:r>
      <w:r w:rsidRPr="0022240F">
        <w:rPr>
          <w:rFonts w:ascii="Arial" w:hAnsi="Arial" w:cs="Arial"/>
          <w:bCs/>
          <w:i/>
          <w:iCs/>
          <w:sz w:val="24"/>
          <w:szCs w:val="24"/>
        </w:rPr>
        <w:t>130(3)</w:t>
      </w:r>
      <w:r w:rsidR="00033EB1" w:rsidRPr="0022240F">
        <w:rPr>
          <w:rFonts w:ascii="Arial" w:hAnsi="Arial" w:cs="Arial"/>
          <w:bCs/>
          <w:i/>
          <w:iCs/>
          <w:sz w:val="24"/>
          <w:szCs w:val="24"/>
        </w:rPr>
        <w:t>.</w:t>
      </w:r>
      <w:r w:rsidR="00033EB1" w:rsidRPr="0022240F">
        <w:rPr>
          <w:rFonts w:ascii="Arial" w:hAnsi="Arial" w:cs="Arial"/>
          <w:bCs/>
          <w:i/>
          <w:iCs/>
          <w:sz w:val="24"/>
          <w:szCs w:val="24"/>
        </w:rPr>
        <w:tab/>
      </w:r>
      <w:r w:rsidRPr="0022240F">
        <w:rPr>
          <w:rFonts w:ascii="Arial" w:hAnsi="Arial" w:cs="Arial"/>
          <w:bCs/>
          <w:i/>
          <w:iCs/>
          <w:sz w:val="24"/>
          <w:szCs w:val="24"/>
        </w:rPr>
        <w:t xml:space="preserve"> Despite any provision of law or contract to the contrary, in any proceedings 45 commenced in a court in respect of a credit agreement to which this Act applies</w:t>
      </w:r>
      <w:r w:rsidRPr="0022240F">
        <w:rPr>
          <w:rFonts w:ascii="Arial" w:hAnsi="Arial" w:cs="Arial"/>
          <w:bCs/>
          <w:i/>
          <w:iCs/>
          <w:sz w:val="24"/>
          <w:szCs w:val="24"/>
          <w:u w:val="single"/>
        </w:rPr>
        <w:t xml:space="preserve">, </w:t>
      </w:r>
      <w:r w:rsidRPr="0022240F">
        <w:rPr>
          <w:rFonts w:ascii="Arial" w:hAnsi="Arial" w:cs="Arial"/>
          <w:b/>
          <w:i/>
          <w:iCs/>
          <w:sz w:val="24"/>
          <w:szCs w:val="24"/>
          <w:u w:val="single"/>
        </w:rPr>
        <w:t>the court</w:t>
      </w:r>
      <w:r w:rsidRPr="0022240F">
        <w:rPr>
          <w:rFonts w:ascii="Arial" w:hAnsi="Arial" w:cs="Arial"/>
          <w:bCs/>
          <w:i/>
          <w:iCs/>
          <w:sz w:val="24"/>
          <w:szCs w:val="24"/>
          <w:u w:val="single"/>
        </w:rPr>
        <w:t xml:space="preserve"> may determine the matter only if the court is satisfied that-…”</w:t>
      </w:r>
    </w:p>
    <w:p w14:paraId="1A3E20F7" w14:textId="3DF3DCAD" w:rsidR="00BA5A90" w:rsidRPr="0022240F" w:rsidRDefault="0022240F" w:rsidP="0022240F">
      <w:pPr>
        <w:spacing w:before="480" w:after="0" w:line="480" w:lineRule="auto"/>
        <w:ind w:left="556" w:hanging="556"/>
        <w:jc w:val="both"/>
        <w:rPr>
          <w:rFonts w:ascii="Arial" w:hAnsi="Arial" w:cs="Arial"/>
          <w:bCs/>
          <w:i/>
          <w:iCs/>
          <w:sz w:val="24"/>
          <w:szCs w:val="24"/>
          <w:u w:val="single"/>
        </w:rPr>
      </w:pPr>
      <w:r>
        <w:rPr>
          <w:rFonts w:ascii="Arial" w:hAnsi="Arial" w:cs="Arial"/>
          <w:bCs/>
          <w:sz w:val="24"/>
          <w:szCs w:val="24"/>
        </w:rPr>
        <w:t>10.</w:t>
      </w:r>
      <w:r>
        <w:rPr>
          <w:rFonts w:ascii="Arial" w:hAnsi="Arial" w:cs="Arial"/>
          <w:bCs/>
          <w:sz w:val="24"/>
          <w:szCs w:val="24"/>
        </w:rPr>
        <w:tab/>
      </w:r>
      <w:r w:rsidR="003F3FBD">
        <w:rPr>
          <w:rFonts w:ascii="Arial" w:hAnsi="Arial" w:cs="Arial"/>
          <w:bCs/>
          <w:sz w:val="24"/>
          <w:szCs w:val="24"/>
        </w:rPr>
        <w:t>I</w:t>
      </w:r>
      <w:r>
        <w:rPr>
          <w:rFonts w:ascii="Arial" w:hAnsi="Arial" w:cs="Arial"/>
          <w:bCs/>
          <w:sz w:val="24"/>
          <w:szCs w:val="24"/>
        </w:rPr>
        <w:t xml:space="preserve">n making this determination, </w:t>
      </w:r>
      <w:r w:rsidR="00BE01AC">
        <w:rPr>
          <w:rFonts w:ascii="Arial" w:hAnsi="Arial" w:cs="Arial"/>
          <w:sz w:val="24"/>
          <w:szCs w:val="24"/>
        </w:rPr>
        <w:t xml:space="preserve">I am </w:t>
      </w:r>
      <w:r w:rsidR="004521E1">
        <w:rPr>
          <w:rFonts w:ascii="Arial" w:hAnsi="Arial" w:cs="Arial"/>
          <w:sz w:val="24"/>
          <w:szCs w:val="24"/>
        </w:rPr>
        <w:t>require</w:t>
      </w:r>
      <w:r w:rsidR="00BE01AC">
        <w:rPr>
          <w:rFonts w:ascii="Arial" w:hAnsi="Arial" w:cs="Arial"/>
          <w:sz w:val="24"/>
          <w:szCs w:val="24"/>
        </w:rPr>
        <w:t>d</w:t>
      </w:r>
      <w:r w:rsidR="004521E1">
        <w:rPr>
          <w:rFonts w:ascii="Arial" w:hAnsi="Arial" w:cs="Arial"/>
          <w:sz w:val="24"/>
          <w:szCs w:val="24"/>
        </w:rPr>
        <w:t xml:space="preserve"> </w:t>
      </w:r>
      <w:r w:rsidR="00BE01AC">
        <w:rPr>
          <w:rFonts w:ascii="Arial" w:hAnsi="Arial" w:cs="Arial"/>
          <w:sz w:val="24"/>
          <w:szCs w:val="24"/>
        </w:rPr>
        <w:t xml:space="preserve">to </w:t>
      </w:r>
      <w:r w:rsidR="003F3FBD">
        <w:rPr>
          <w:rFonts w:ascii="Arial" w:hAnsi="Arial" w:cs="Arial"/>
          <w:sz w:val="24"/>
          <w:szCs w:val="24"/>
        </w:rPr>
        <w:t>interprete s</w:t>
      </w:r>
      <w:r w:rsidR="004521E1">
        <w:rPr>
          <w:rFonts w:ascii="Arial" w:hAnsi="Arial" w:cs="Arial"/>
          <w:sz w:val="24"/>
          <w:szCs w:val="24"/>
        </w:rPr>
        <w:t>130(</w:t>
      </w:r>
      <w:proofErr w:type="gramStart"/>
      <w:r w:rsidR="004521E1">
        <w:rPr>
          <w:rFonts w:ascii="Arial" w:hAnsi="Arial" w:cs="Arial"/>
          <w:sz w:val="24"/>
          <w:szCs w:val="24"/>
        </w:rPr>
        <w:t>3)</w:t>
      </w:r>
      <w:r w:rsidR="003F3FBD">
        <w:rPr>
          <w:rFonts w:ascii="Arial" w:hAnsi="Arial" w:cs="Arial"/>
          <w:sz w:val="24"/>
          <w:szCs w:val="24"/>
        </w:rPr>
        <w:t>of</w:t>
      </w:r>
      <w:proofErr w:type="gramEnd"/>
      <w:r w:rsidR="003F3FBD">
        <w:rPr>
          <w:rFonts w:ascii="Arial" w:hAnsi="Arial" w:cs="Arial"/>
          <w:sz w:val="24"/>
          <w:szCs w:val="24"/>
        </w:rPr>
        <w:t xml:space="preserve"> the NCA</w:t>
      </w:r>
      <w:r w:rsidR="004521E1">
        <w:rPr>
          <w:rFonts w:ascii="Arial" w:hAnsi="Arial" w:cs="Arial"/>
          <w:sz w:val="24"/>
          <w:szCs w:val="24"/>
        </w:rPr>
        <w:t xml:space="preserve">. The starting point in the interpretation of statutes is trite. </w:t>
      </w:r>
      <w:r w:rsidR="00DA582E">
        <w:rPr>
          <w:rFonts w:ascii="Arial" w:hAnsi="Arial" w:cs="Arial"/>
          <w:sz w:val="24"/>
          <w:szCs w:val="24"/>
        </w:rPr>
        <w:t xml:space="preserve">It is </w:t>
      </w:r>
      <w:r w:rsidR="00227526">
        <w:rPr>
          <w:rFonts w:ascii="Arial" w:hAnsi="Arial" w:cs="Arial"/>
          <w:sz w:val="24"/>
          <w:szCs w:val="24"/>
        </w:rPr>
        <w:t>attributing meaning</w:t>
      </w:r>
      <w:r w:rsidR="00B213F3" w:rsidRPr="00E16712">
        <w:rPr>
          <w:rFonts w:ascii="Arial" w:hAnsi="Arial" w:cs="Arial"/>
          <w:sz w:val="24"/>
          <w:szCs w:val="24"/>
        </w:rPr>
        <w:t xml:space="preserve"> to the words used in a document, be it legislation, some other statutory instrument, or contract having regard to the context provided by reading the particular provision or provisions </w:t>
      </w:r>
      <w:proofErr w:type="gramStart"/>
      <w:r w:rsidR="00B213F3" w:rsidRPr="00E16712">
        <w:rPr>
          <w:rFonts w:ascii="Arial" w:hAnsi="Arial" w:cs="Arial"/>
          <w:sz w:val="24"/>
          <w:szCs w:val="24"/>
        </w:rPr>
        <w:t>in light of</w:t>
      </w:r>
      <w:proofErr w:type="gramEnd"/>
      <w:r w:rsidR="00B213F3" w:rsidRPr="00E16712">
        <w:rPr>
          <w:rFonts w:ascii="Arial" w:hAnsi="Arial" w:cs="Arial"/>
          <w:sz w:val="24"/>
          <w:szCs w:val="24"/>
        </w:rPr>
        <w:t xml:space="preserve"> the document as a whole and the circumstances attended upon its coming into existence. Whatever the nature of the document, consideration must be given to the language used </w:t>
      </w:r>
      <w:proofErr w:type="gramStart"/>
      <w:r w:rsidR="00B213F3" w:rsidRPr="00E16712">
        <w:rPr>
          <w:rFonts w:ascii="Arial" w:hAnsi="Arial" w:cs="Arial"/>
          <w:sz w:val="24"/>
          <w:szCs w:val="24"/>
        </w:rPr>
        <w:t>in light of</w:t>
      </w:r>
      <w:proofErr w:type="gramEnd"/>
      <w:r w:rsidR="00B213F3" w:rsidRPr="00E16712">
        <w:rPr>
          <w:rFonts w:ascii="Arial" w:hAnsi="Arial" w:cs="Arial"/>
          <w:sz w:val="24"/>
          <w:szCs w:val="24"/>
        </w:rPr>
        <w:t xml:space="preserve"> the general rules of grammar and sentence, the context in which the provision appears, the apparent purpose to which it is </w:t>
      </w:r>
      <w:r w:rsidR="00FD514C" w:rsidRPr="00E16712">
        <w:rPr>
          <w:rFonts w:ascii="Arial" w:hAnsi="Arial" w:cs="Arial"/>
          <w:sz w:val="24"/>
          <w:szCs w:val="24"/>
        </w:rPr>
        <w:t>directed,</w:t>
      </w:r>
      <w:r w:rsidR="00B213F3" w:rsidRPr="00E16712">
        <w:rPr>
          <w:rFonts w:ascii="Arial" w:hAnsi="Arial" w:cs="Arial"/>
          <w:sz w:val="24"/>
          <w:szCs w:val="24"/>
        </w:rPr>
        <w:t xml:space="preserve"> and the material known to those responsible for its production. Where more than one meaning is possible, each possibility must be weighed </w:t>
      </w:r>
      <w:proofErr w:type="gramStart"/>
      <w:r w:rsidR="00B213F3" w:rsidRPr="00E16712">
        <w:rPr>
          <w:rFonts w:ascii="Arial" w:hAnsi="Arial" w:cs="Arial"/>
          <w:sz w:val="24"/>
          <w:szCs w:val="24"/>
        </w:rPr>
        <w:t>in light of</w:t>
      </w:r>
      <w:proofErr w:type="gramEnd"/>
      <w:r w:rsidR="00B213F3" w:rsidRPr="00E16712">
        <w:rPr>
          <w:rFonts w:ascii="Arial" w:hAnsi="Arial" w:cs="Arial"/>
          <w:sz w:val="24"/>
          <w:szCs w:val="24"/>
        </w:rPr>
        <w:t xml:space="preserve"> all these factors. The process is objective and not subjective. A sensible meaning is to be preferred to one that leads to insensible </w:t>
      </w:r>
      <w:r w:rsidR="00B213F3" w:rsidRPr="00E16712">
        <w:rPr>
          <w:rFonts w:ascii="Arial" w:hAnsi="Arial" w:cs="Arial"/>
          <w:sz w:val="24"/>
          <w:szCs w:val="24"/>
        </w:rPr>
        <w:lastRenderedPageBreak/>
        <w:t>or unbusinesslike results and undermines the apparent purpose of the document</w:t>
      </w:r>
      <w:r w:rsidR="00B213F3" w:rsidRPr="004D66CF">
        <w:rPr>
          <w:rStyle w:val="FootnoteReference"/>
          <w:rFonts w:ascii="Arial" w:hAnsi="Arial" w:cs="Arial"/>
          <w:sz w:val="24"/>
          <w:szCs w:val="24"/>
        </w:rPr>
        <w:footnoteReference w:id="12"/>
      </w:r>
      <w:r w:rsidR="00FD514C">
        <w:rPr>
          <w:rFonts w:ascii="Arial" w:hAnsi="Arial" w:cs="Arial"/>
          <w:sz w:val="24"/>
          <w:szCs w:val="24"/>
        </w:rPr>
        <w:t>.</w:t>
      </w:r>
    </w:p>
    <w:p w14:paraId="016330CF" w14:textId="2DED304F" w:rsidR="00B213F3" w:rsidRPr="00FD514C" w:rsidRDefault="00C5514B" w:rsidP="00C5514B">
      <w:pPr>
        <w:spacing w:before="480" w:after="0" w:line="480" w:lineRule="auto"/>
        <w:ind w:left="556" w:hanging="556"/>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213F3" w:rsidRPr="00FD514C">
        <w:rPr>
          <w:rFonts w:ascii="Arial" w:hAnsi="Arial" w:cs="Arial"/>
          <w:sz w:val="24"/>
          <w:szCs w:val="24"/>
        </w:rPr>
        <w:t xml:space="preserve">These principles were amplified by </w:t>
      </w:r>
      <w:proofErr w:type="spellStart"/>
      <w:r w:rsidR="00B213F3" w:rsidRPr="00FD514C">
        <w:rPr>
          <w:rFonts w:ascii="Arial" w:hAnsi="Arial" w:cs="Arial"/>
          <w:sz w:val="24"/>
          <w:szCs w:val="24"/>
        </w:rPr>
        <w:t>Ma</w:t>
      </w:r>
      <w:r>
        <w:rPr>
          <w:rFonts w:ascii="Arial" w:hAnsi="Arial" w:cs="Arial"/>
          <w:sz w:val="24"/>
          <w:szCs w:val="24"/>
        </w:rPr>
        <w:t>t</w:t>
      </w:r>
      <w:r w:rsidR="00B213F3" w:rsidRPr="00FD514C">
        <w:rPr>
          <w:rFonts w:ascii="Arial" w:hAnsi="Arial" w:cs="Arial"/>
          <w:sz w:val="24"/>
          <w:szCs w:val="24"/>
        </w:rPr>
        <w:t>ji</w:t>
      </w:r>
      <w:r>
        <w:rPr>
          <w:rFonts w:ascii="Arial" w:hAnsi="Arial" w:cs="Arial"/>
          <w:sz w:val="24"/>
          <w:szCs w:val="24"/>
        </w:rPr>
        <w:t>e</w:t>
      </w:r>
      <w:r w:rsidR="00B213F3" w:rsidRPr="00FD514C">
        <w:rPr>
          <w:rFonts w:ascii="Arial" w:hAnsi="Arial" w:cs="Arial"/>
          <w:sz w:val="24"/>
          <w:szCs w:val="24"/>
        </w:rPr>
        <w:t>d</w:t>
      </w:r>
      <w:proofErr w:type="spellEnd"/>
      <w:r w:rsidR="00B213F3" w:rsidRPr="00FD514C">
        <w:rPr>
          <w:rFonts w:ascii="Arial" w:hAnsi="Arial" w:cs="Arial"/>
          <w:sz w:val="24"/>
          <w:szCs w:val="24"/>
        </w:rPr>
        <w:t xml:space="preserve"> AJ (as he then was) in </w:t>
      </w:r>
      <w:r w:rsidR="00B213F3" w:rsidRPr="00FD514C">
        <w:rPr>
          <w:rFonts w:ascii="Arial" w:hAnsi="Arial" w:cs="Arial"/>
          <w:b/>
          <w:bCs/>
          <w:sz w:val="24"/>
          <w:szCs w:val="24"/>
          <w:u w:val="single"/>
        </w:rPr>
        <w:t>Cool Ideas 1186 CC v Hubb</w:t>
      </w:r>
      <w:r w:rsidR="00694FF4">
        <w:rPr>
          <w:rFonts w:ascii="Arial" w:hAnsi="Arial" w:cs="Arial"/>
          <w:b/>
          <w:bCs/>
          <w:sz w:val="24"/>
          <w:szCs w:val="24"/>
          <w:u w:val="single"/>
        </w:rPr>
        <w:t>ard</w:t>
      </w:r>
      <w:r w:rsidR="00B213F3" w:rsidRPr="00FD514C">
        <w:rPr>
          <w:rFonts w:ascii="Arial" w:hAnsi="Arial" w:cs="Arial"/>
          <w:b/>
          <w:bCs/>
          <w:sz w:val="24"/>
          <w:szCs w:val="24"/>
          <w:u w:val="single"/>
        </w:rPr>
        <w:t xml:space="preserve"> and Another</w:t>
      </w:r>
      <w:r w:rsidR="00B213F3" w:rsidRPr="004D66CF">
        <w:rPr>
          <w:rStyle w:val="FootnoteReference"/>
          <w:rFonts w:ascii="Arial" w:hAnsi="Arial" w:cs="Arial"/>
          <w:b/>
          <w:bCs/>
          <w:sz w:val="24"/>
          <w:szCs w:val="24"/>
          <w:u w:val="single"/>
        </w:rPr>
        <w:footnoteReference w:id="13"/>
      </w:r>
      <w:r w:rsidR="00B213F3" w:rsidRPr="00FD514C">
        <w:rPr>
          <w:rFonts w:ascii="Arial" w:hAnsi="Arial" w:cs="Arial"/>
          <w:sz w:val="24"/>
          <w:szCs w:val="24"/>
        </w:rPr>
        <w:t xml:space="preserve"> as follows:  </w:t>
      </w:r>
    </w:p>
    <w:p w14:paraId="2F195D01" w14:textId="62A172C8" w:rsidR="00B213F3" w:rsidRPr="004D66CF" w:rsidRDefault="00B213F3" w:rsidP="00B213F3">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“[28] </w:t>
      </w:r>
      <w:r w:rsidRPr="004D66CF">
        <w:rPr>
          <w:rFonts w:ascii="Arial" w:hAnsi="Arial" w:cs="Arial"/>
          <w:i/>
          <w:iCs/>
          <w:sz w:val="24"/>
          <w:szCs w:val="24"/>
        </w:rPr>
        <w:tab/>
        <w:t>A fundamental tenet of statutory interpretation is that the words in a statute must be given their ordinary grammatical meaning, unless to do so would result in an absurdity.  There are three important interrelated riders to this general principle, namely:</w:t>
      </w:r>
    </w:p>
    <w:p w14:paraId="42E94E14" w14:textId="77777777" w:rsidR="00B213F3" w:rsidRPr="004D66CF" w:rsidRDefault="00B213F3" w:rsidP="00B213F3">
      <w:pPr>
        <w:pStyle w:val="ListParagraph"/>
        <w:spacing w:before="480" w:after="0" w:line="480" w:lineRule="auto"/>
        <w:ind w:left="2268" w:hanging="708"/>
        <w:jc w:val="both"/>
        <w:rPr>
          <w:rFonts w:ascii="Arial" w:hAnsi="Arial" w:cs="Arial"/>
          <w:i/>
          <w:iCs/>
          <w:sz w:val="24"/>
          <w:szCs w:val="24"/>
        </w:rPr>
      </w:pPr>
      <w:r w:rsidRPr="004D66CF">
        <w:rPr>
          <w:rFonts w:ascii="Arial" w:hAnsi="Arial" w:cs="Arial"/>
          <w:i/>
          <w:iCs/>
          <w:sz w:val="24"/>
          <w:szCs w:val="24"/>
        </w:rPr>
        <w:t xml:space="preserve">(a) </w:t>
      </w:r>
      <w:r w:rsidRPr="004D66CF">
        <w:rPr>
          <w:rFonts w:ascii="Arial" w:hAnsi="Arial" w:cs="Arial"/>
          <w:i/>
          <w:iCs/>
          <w:sz w:val="24"/>
          <w:szCs w:val="24"/>
        </w:rPr>
        <w:tab/>
        <w:t>that statutory provisions should always be interpreted purposively;</w:t>
      </w:r>
    </w:p>
    <w:p w14:paraId="6A930AF7" w14:textId="77777777" w:rsidR="00B213F3" w:rsidRPr="004D66CF" w:rsidRDefault="00B213F3" w:rsidP="00B213F3">
      <w:pPr>
        <w:pStyle w:val="ListParagraph"/>
        <w:spacing w:before="480" w:after="0" w:line="480" w:lineRule="auto"/>
        <w:ind w:left="2268" w:hanging="708"/>
        <w:jc w:val="both"/>
        <w:rPr>
          <w:rFonts w:ascii="Arial" w:hAnsi="Arial" w:cs="Arial"/>
          <w:i/>
          <w:iCs/>
          <w:sz w:val="24"/>
          <w:szCs w:val="24"/>
        </w:rPr>
      </w:pPr>
      <w:r w:rsidRPr="004D66CF">
        <w:rPr>
          <w:rFonts w:ascii="Arial" w:hAnsi="Arial" w:cs="Arial"/>
          <w:i/>
          <w:iCs/>
          <w:sz w:val="24"/>
          <w:szCs w:val="24"/>
        </w:rPr>
        <w:t xml:space="preserve">(b) </w:t>
      </w:r>
      <w:r w:rsidRPr="004D66CF">
        <w:rPr>
          <w:rFonts w:ascii="Arial" w:hAnsi="Arial" w:cs="Arial"/>
          <w:i/>
          <w:iCs/>
          <w:sz w:val="24"/>
          <w:szCs w:val="24"/>
        </w:rPr>
        <w:tab/>
        <w:t>the relevant statutory provision must be properly contextualised; and</w:t>
      </w:r>
    </w:p>
    <w:p w14:paraId="52D98FAA" w14:textId="54C8769B" w:rsidR="00FD514C" w:rsidRPr="002112BC" w:rsidRDefault="00B213F3" w:rsidP="002112BC">
      <w:pPr>
        <w:pStyle w:val="ListParagraph"/>
        <w:spacing w:before="480" w:after="0" w:line="480" w:lineRule="auto"/>
        <w:ind w:left="2268" w:hanging="708"/>
        <w:jc w:val="both"/>
        <w:rPr>
          <w:rFonts w:ascii="Arial" w:hAnsi="Arial" w:cs="Arial"/>
          <w:i/>
          <w:iCs/>
          <w:sz w:val="24"/>
          <w:szCs w:val="24"/>
        </w:rPr>
      </w:pPr>
      <w:r w:rsidRPr="004D66CF">
        <w:rPr>
          <w:rFonts w:ascii="Arial" w:hAnsi="Arial" w:cs="Arial"/>
          <w:i/>
          <w:iCs/>
          <w:sz w:val="24"/>
          <w:szCs w:val="24"/>
        </w:rPr>
        <w:t xml:space="preserve">(c) </w:t>
      </w:r>
      <w:r w:rsidRPr="004D66CF">
        <w:rPr>
          <w:rFonts w:ascii="Arial" w:hAnsi="Arial" w:cs="Arial"/>
          <w:i/>
          <w:iCs/>
          <w:sz w:val="24"/>
          <w:szCs w:val="24"/>
        </w:rPr>
        <w:tab/>
        <w:t>all statutes must be construed consistently with the Constitution, that is, where reasonably possible, legislative provisions ought to be interpreted to preserve their constitutional validity.</w:t>
      </w:r>
      <w:r w:rsidR="004F60D3">
        <w:rPr>
          <w:rStyle w:val="FootnoteReference"/>
          <w:rFonts w:ascii="Arial" w:hAnsi="Arial" w:cs="Arial"/>
          <w:i/>
          <w:iCs/>
          <w:sz w:val="24"/>
          <w:szCs w:val="24"/>
        </w:rPr>
        <w:footnoteReference w:id="14"/>
      </w:r>
      <w:r w:rsidRPr="004D66CF">
        <w:rPr>
          <w:rFonts w:ascii="Arial" w:hAnsi="Arial" w:cs="Arial"/>
          <w:i/>
          <w:iCs/>
          <w:sz w:val="24"/>
          <w:szCs w:val="24"/>
        </w:rPr>
        <w:t xml:space="preserve">  “</w:t>
      </w:r>
    </w:p>
    <w:p w14:paraId="5AC667AC" w14:textId="70E84FF5" w:rsidR="00BA5A90" w:rsidRPr="00FD514C" w:rsidRDefault="00C5514B" w:rsidP="00C5514B">
      <w:pPr>
        <w:spacing w:before="480"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213F3" w:rsidRPr="00FD514C">
        <w:rPr>
          <w:rFonts w:ascii="Arial" w:hAnsi="Arial" w:cs="Arial"/>
          <w:sz w:val="24"/>
          <w:szCs w:val="24"/>
        </w:rPr>
        <w:t>On plain reading of section 130(3)</w:t>
      </w:r>
      <w:r w:rsidR="002C56A6">
        <w:rPr>
          <w:rFonts w:ascii="Arial" w:hAnsi="Arial" w:cs="Arial"/>
          <w:sz w:val="24"/>
          <w:szCs w:val="24"/>
        </w:rPr>
        <w:t xml:space="preserve"> and the Act as a whole</w:t>
      </w:r>
      <w:r w:rsidR="002C56A6">
        <w:rPr>
          <w:rStyle w:val="FootnoteReference"/>
          <w:rFonts w:ascii="Arial" w:hAnsi="Arial" w:cs="Arial"/>
          <w:sz w:val="24"/>
          <w:szCs w:val="24"/>
        </w:rPr>
        <w:footnoteReference w:id="15"/>
      </w:r>
      <w:r w:rsidR="00B213F3" w:rsidRPr="00FD514C">
        <w:rPr>
          <w:rFonts w:ascii="Arial" w:hAnsi="Arial" w:cs="Arial"/>
          <w:sz w:val="24"/>
          <w:szCs w:val="24"/>
        </w:rPr>
        <w:t xml:space="preserve"> </w:t>
      </w:r>
      <w:proofErr w:type="gramStart"/>
      <w:r w:rsidR="00B213F3" w:rsidRPr="00FD514C">
        <w:rPr>
          <w:rFonts w:ascii="Arial" w:hAnsi="Arial" w:cs="Arial"/>
          <w:sz w:val="24"/>
          <w:szCs w:val="24"/>
        </w:rPr>
        <w:t>in light of</w:t>
      </w:r>
      <w:proofErr w:type="gramEnd"/>
      <w:r w:rsidR="00B213F3" w:rsidRPr="00FD514C">
        <w:rPr>
          <w:rFonts w:ascii="Arial" w:hAnsi="Arial" w:cs="Arial"/>
          <w:sz w:val="24"/>
          <w:szCs w:val="24"/>
        </w:rPr>
        <w:t xml:space="preserve"> the aforementioned principles, it is palpably clear that the legislature reserve</w:t>
      </w:r>
      <w:r w:rsidR="002112BC">
        <w:rPr>
          <w:rFonts w:ascii="Arial" w:hAnsi="Arial" w:cs="Arial"/>
          <w:sz w:val="24"/>
          <w:szCs w:val="24"/>
        </w:rPr>
        <w:t>d</w:t>
      </w:r>
      <w:r w:rsidR="00B213F3" w:rsidRPr="00FD514C">
        <w:rPr>
          <w:rFonts w:ascii="Arial" w:hAnsi="Arial" w:cs="Arial"/>
          <w:sz w:val="24"/>
          <w:szCs w:val="24"/>
        </w:rPr>
        <w:t xml:space="preserve"> the determination of matters arising out </w:t>
      </w:r>
      <w:r w:rsidR="008615D0" w:rsidRPr="00FD514C">
        <w:rPr>
          <w:rFonts w:ascii="Arial" w:hAnsi="Arial" w:cs="Arial"/>
          <w:sz w:val="24"/>
          <w:szCs w:val="24"/>
        </w:rPr>
        <w:t>of the N</w:t>
      </w:r>
      <w:r w:rsidR="002112BC">
        <w:rPr>
          <w:rFonts w:ascii="Arial" w:hAnsi="Arial" w:cs="Arial"/>
          <w:sz w:val="24"/>
          <w:szCs w:val="24"/>
        </w:rPr>
        <w:t>C</w:t>
      </w:r>
      <w:r w:rsidR="008615D0" w:rsidRPr="00FD514C">
        <w:rPr>
          <w:rFonts w:ascii="Arial" w:hAnsi="Arial" w:cs="Arial"/>
          <w:sz w:val="24"/>
          <w:szCs w:val="24"/>
        </w:rPr>
        <w:t xml:space="preserve">A, to </w:t>
      </w:r>
      <w:r w:rsidR="002112BC">
        <w:rPr>
          <w:rFonts w:ascii="Arial" w:hAnsi="Arial" w:cs="Arial"/>
          <w:sz w:val="24"/>
          <w:szCs w:val="24"/>
        </w:rPr>
        <w:t>“</w:t>
      </w:r>
      <w:r w:rsidR="008615D0" w:rsidRPr="00FD514C">
        <w:rPr>
          <w:rFonts w:ascii="Arial" w:hAnsi="Arial" w:cs="Arial"/>
          <w:sz w:val="24"/>
          <w:szCs w:val="24"/>
        </w:rPr>
        <w:t>a</w:t>
      </w:r>
      <w:r w:rsidR="002112BC">
        <w:rPr>
          <w:rFonts w:ascii="Arial" w:hAnsi="Arial" w:cs="Arial"/>
          <w:sz w:val="24"/>
          <w:szCs w:val="24"/>
        </w:rPr>
        <w:t xml:space="preserve"> </w:t>
      </w:r>
      <w:r w:rsidR="003334EE">
        <w:rPr>
          <w:rFonts w:ascii="Arial" w:hAnsi="Arial" w:cs="Arial"/>
          <w:sz w:val="24"/>
          <w:szCs w:val="24"/>
        </w:rPr>
        <w:t>C</w:t>
      </w:r>
      <w:r w:rsidR="008615D0" w:rsidRPr="00FD514C">
        <w:rPr>
          <w:rFonts w:ascii="Arial" w:hAnsi="Arial" w:cs="Arial"/>
          <w:sz w:val="24"/>
          <w:szCs w:val="24"/>
        </w:rPr>
        <w:t>ourt”</w:t>
      </w:r>
      <w:r w:rsidR="00D22BD5">
        <w:rPr>
          <w:rStyle w:val="FootnoteReference"/>
          <w:rFonts w:ascii="Arial" w:hAnsi="Arial" w:cs="Arial"/>
          <w:sz w:val="24"/>
          <w:szCs w:val="24"/>
        </w:rPr>
        <w:footnoteReference w:id="16"/>
      </w:r>
      <w:r w:rsidR="008615D0" w:rsidRPr="00FD514C">
        <w:rPr>
          <w:rFonts w:ascii="Arial" w:hAnsi="Arial" w:cs="Arial"/>
          <w:sz w:val="24"/>
          <w:szCs w:val="24"/>
        </w:rPr>
        <w:t xml:space="preserve">. </w:t>
      </w:r>
    </w:p>
    <w:p w14:paraId="790E8066" w14:textId="77777777" w:rsidR="004C4ED1" w:rsidRDefault="00ED32A3" w:rsidP="008A7C13">
      <w:pPr>
        <w:spacing w:before="480" w:after="0" w:line="480" w:lineRule="auto"/>
        <w:ind w:left="720" w:hanging="720"/>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4968D3">
        <w:rPr>
          <w:rFonts w:ascii="Arial" w:hAnsi="Arial" w:cs="Arial"/>
          <w:sz w:val="24"/>
          <w:szCs w:val="24"/>
        </w:rPr>
        <w:t>I</w:t>
      </w:r>
      <w:r w:rsidR="0038796E">
        <w:rPr>
          <w:rFonts w:ascii="Arial" w:hAnsi="Arial" w:cs="Arial"/>
          <w:sz w:val="24"/>
          <w:szCs w:val="24"/>
        </w:rPr>
        <w:t>n determin</w:t>
      </w:r>
      <w:r w:rsidR="004C4ED1">
        <w:rPr>
          <w:rFonts w:ascii="Arial" w:hAnsi="Arial" w:cs="Arial"/>
          <w:sz w:val="24"/>
          <w:szCs w:val="24"/>
        </w:rPr>
        <w:t>ation of</w:t>
      </w:r>
      <w:r w:rsidR="0038796E">
        <w:rPr>
          <w:rFonts w:ascii="Arial" w:hAnsi="Arial" w:cs="Arial"/>
          <w:sz w:val="24"/>
          <w:szCs w:val="24"/>
        </w:rPr>
        <w:t xml:space="preserve"> </w:t>
      </w:r>
      <w:r w:rsidR="00C14F3A">
        <w:rPr>
          <w:rFonts w:ascii="Arial" w:hAnsi="Arial" w:cs="Arial"/>
          <w:sz w:val="24"/>
          <w:szCs w:val="24"/>
        </w:rPr>
        <w:t xml:space="preserve">whether “a Court” as </w:t>
      </w:r>
      <w:r w:rsidR="0038796E">
        <w:rPr>
          <w:rFonts w:ascii="Arial" w:hAnsi="Arial" w:cs="Arial"/>
          <w:sz w:val="24"/>
          <w:szCs w:val="24"/>
        </w:rPr>
        <w:t>envisaged</w:t>
      </w:r>
      <w:r w:rsidR="00C14F3A">
        <w:rPr>
          <w:rFonts w:ascii="Arial" w:hAnsi="Arial" w:cs="Arial"/>
          <w:sz w:val="24"/>
          <w:szCs w:val="24"/>
        </w:rPr>
        <w:t xml:space="preserve"> in section 130(3),</w:t>
      </w:r>
      <w:r w:rsidR="0038796E">
        <w:rPr>
          <w:rFonts w:ascii="Arial" w:hAnsi="Arial" w:cs="Arial"/>
          <w:sz w:val="24"/>
          <w:szCs w:val="24"/>
        </w:rPr>
        <w:t xml:space="preserve"> includes a </w:t>
      </w:r>
      <w:r w:rsidR="007817A8">
        <w:rPr>
          <w:rFonts w:ascii="Arial" w:hAnsi="Arial" w:cs="Arial"/>
          <w:sz w:val="24"/>
          <w:szCs w:val="24"/>
        </w:rPr>
        <w:t>“Judge</w:t>
      </w:r>
      <w:r w:rsidR="0038796E">
        <w:rPr>
          <w:rFonts w:ascii="Arial" w:hAnsi="Arial" w:cs="Arial"/>
          <w:sz w:val="24"/>
          <w:szCs w:val="24"/>
        </w:rPr>
        <w:t xml:space="preserve"> in chambers”, the starting point is </w:t>
      </w:r>
      <w:r w:rsidR="007817A8">
        <w:rPr>
          <w:rFonts w:ascii="Arial" w:hAnsi="Arial" w:cs="Arial"/>
          <w:sz w:val="24"/>
          <w:szCs w:val="24"/>
        </w:rPr>
        <w:t>Rule 1 of the Uniform Rules of Court</w:t>
      </w:r>
      <w:r w:rsidR="008615D0" w:rsidRPr="00ED32A3">
        <w:rPr>
          <w:rFonts w:ascii="Arial" w:hAnsi="Arial" w:cs="Arial"/>
          <w:sz w:val="24"/>
          <w:szCs w:val="24"/>
        </w:rPr>
        <w:t>.</w:t>
      </w:r>
      <w:r w:rsidR="007817A8">
        <w:rPr>
          <w:rFonts w:ascii="Arial" w:hAnsi="Arial" w:cs="Arial"/>
          <w:sz w:val="24"/>
          <w:szCs w:val="24"/>
        </w:rPr>
        <w:t xml:space="preserve"> </w:t>
      </w:r>
    </w:p>
    <w:p w14:paraId="287245F6" w14:textId="6D82BF6E" w:rsidR="00870CAC" w:rsidRPr="008A7C13" w:rsidRDefault="004C4ED1" w:rsidP="008A7C13">
      <w:pPr>
        <w:spacing w:before="480"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615D0" w:rsidRPr="007817A8">
        <w:rPr>
          <w:rFonts w:ascii="Arial" w:hAnsi="Arial" w:cs="Arial"/>
          <w:sz w:val="24"/>
          <w:szCs w:val="24"/>
        </w:rPr>
        <w:t>Rule 1 of the Uniform Rules defines “</w:t>
      </w:r>
      <w:r w:rsidR="007817A8">
        <w:rPr>
          <w:rFonts w:ascii="Arial" w:hAnsi="Arial" w:cs="Arial"/>
          <w:sz w:val="24"/>
          <w:szCs w:val="24"/>
        </w:rPr>
        <w:t>C</w:t>
      </w:r>
      <w:r w:rsidR="008615D0" w:rsidRPr="007817A8">
        <w:rPr>
          <w:rFonts w:ascii="Arial" w:hAnsi="Arial" w:cs="Arial"/>
          <w:sz w:val="24"/>
          <w:szCs w:val="24"/>
        </w:rPr>
        <w:t xml:space="preserve">ourt” </w:t>
      </w:r>
      <w:r w:rsidR="004968D3">
        <w:rPr>
          <w:rFonts w:ascii="Arial" w:hAnsi="Arial" w:cs="Arial"/>
          <w:sz w:val="24"/>
          <w:szCs w:val="24"/>
        </w:rPr>
        <w:t>a</w:t>
      </w:r>
      <w:r w:rsidR="008A7C13">
        <w:rPr>
          <w:rFonts w:ascii="Arial" w:hAnsi="Arial" w:cs="Arial"/>
          <w:sz w:val="24"/>
          <w:szCs w:val="24"/>
        </w:rPr>
        <w:t>s</w:t>
      </w:r>
      <w:r w:rsidR="00987E99" w:rsidRPr="008A7C13">
        <w:rPr>
          <w:rFonts w:ascii="Arial" w:hAnsi="Arial" w:cs="Arial"/>
          <w:sz w:val="24"/>
          <w:szCs w:val="24"/>
        </w:rPr>
        <w:t xml:space="preserve"> “</w:t>
      </w:r>
      <w:r w:rsidR="008615D0" w:rsidRPr="008A7C13">
        <w:rPr>
          <w:rFonts w:ascii="Arial" w:hAnsi="Arial" w:cs="Arial"/>
          <w:i/>
          <w:iCs/>
          <w:sz w:val="24"/>
          <w:szCs w:val="24"/>
        </w:rPr>
        <w:t>in relation to civil matters, the High Court as referred to in section 6 of the Act</w:t>
      </w:r>
      <w:r w:rsidR="009D723F">
        <w:rPr>
          <w:rStyle w:val="FootnoteReference"/>
          <w:rFonts w:ascii="Arial" w:hAnsi="Arial" w:cs="Arial"/>
          <w:i/>
          <w:iCs/>
          <w:sz w:val="24"/>
          <w:szCs w:val="24"/>
        </w:rPr>
        <w:footnoteReference w:id="17"/>
      </w:r>
      <w:proofErr w:type="gramStart"/>
      <w:r w:rsidR="009D723F" w:rsidRPr="008A7C13">
        <w:rPr>
          <w:rFonts w:ascii="Arial" w:hAnsi="Arial" w:cs="Arial"/>
          <w:i/>
          <w:iCs/>
          <w:sz w:val="24"/>
          <w:szCs w:val="24"/>
        </w:rPr>
        <w:t>”</w:t>
      </w:r>
      <w:r w:rsidR="008615D0" w:rsidRPr="008A7C13">
        <w:rPr>
          <w:rFonts w:ascii="Arial" w:hAnsi="Arial" w:cs="Arial"/>
          <w:i/>
          <w:iCs/>
          <w:sz w:val="24"/>
          <w:szCs w:val="24"/>
        </w:rPr>
        <w:t xml:space="preserve"> </w:t>
      </w:r>
      <w:r>
        <w:rPr>
          <w:rFonts w:ascii="Arial" w:hAnsi="Arial" w:cs="Arial"/>
          <w:sz w:val="24"/>
          <w:szCs w:val="24"/>
        </w:rPr>
        <w:t>.</w:t>
      </w:r>
      <w:proofErr w:type="gramEnd"/>
      <w:r>
        <w:rPr>
          <w:rFonts w:ascii="Arial" w:hAnsi="Arial" w:cs="Arial"/>
          <w:sz w:val="24"/>
          <w:szCs w:val="24"/>
        </w:rPr>
        <w:t xml:space="preserve"> </w:t>
      </w:r>
      <w:r w:rsidR="005369B7">
        <w:rPr>
          <w:rFonts w:ascii="Arial" w:hAnsi="Arial" w:cs="Arial"/>
          <w:sz w:val="24"/>
          <w:szCs w:val="24"/>
        </w:rPr>
        <w:t>I</w:t>
      </w:r>
      <w:r>
        <w:rPr>
          <w:rFonts w:ascii="Arial" w:hAnsi="Arial" w:cs="Arial"/>
          <w:sz w:val="24"/>
          <w:szCs w:val="24"/>
        </w:rPr>
        <w:t xml:space="preserve">t also </w:t>
      </w:r>
      <w:r w:rsidR="004415C0">
        <w:rPr>
          <w:rFonts w:ascii="Arial" w:hAnsi="Arial" w:cs="Arial"/>
          <w:sz w:val="24"/>
          <w:szCs w:val="24"/>
        </w:rPr>
        <w:t>define</w:t>
      </w:r>
      <w:r w:rsidR="008A7C13">
        <w:rPr>
          <w:rFonts w:ascii="Arial" w:hAnsi="Arial" w:cs="Arial"/>
          <w:sz w:val="24"/>
          <w:szCs w:val="24"/>
        </w:rPr>
        <w:t>s</w:t>
      </w:r>
      <w:r w:rsidR="004415C0">
        <w:rPr>
          <w:rFonts w:ascii="Arial" w:hAnsi="Arial" w:cs="Arial"/>
          <w:sz w:val="24"/>
          <w:szCs w:val="24"/>
        </w:rPr>
        <w:t xml:space="preserve"> a “Judge </w:t>
      </w:r>
      <w:r w:rsidR="00987E99">
        <w:rPr>
          <w:rFonts w:ascii="Arial" w:hAnsi="Arial" w:cs="Arial"/>
          <w:sz w:val="24"/>
          <w:szCs w:val="24"/>
        </w:rPr>
        <w:t>“as</w:t>
      </w:r>
      <w:r w:rsidR="004415C0">
        <w:rPr>
          <w:rFonts w:ascii="Arial" w:hAnsi="Arial" w:cs="Arial"/>
          <w:sz w:val="24"/>
          <w:szCs w:val="24"/>
        </w:rPr>
        <w:t xml:space="preserve"> follows</w:t>
      </w:r>
      <w:r w:rsidR="008A7C13">
        <w:rPr>
          <w:rFonts w:ascii="Arial" w:hAnsi="Arial" w:cs="Arial"/>
          <w:sz w:val="24"/>
          <w:szCs w:val="24"/>
        </w:rPr>
        <w:t xml:space="preserve"> </w:t>
      </w:r>
      <w:r w:rsidR="00870CAC">
        <w:rPr>
          <w:rFonts w:ascii="Arial" w:hAnsi="Arial" w:cs="Arial"/>
          <w:sz w:val="24"/>
          <w:szCs w:val="24"/>
        </w:rPr>
        <w:t>“</w:t>
      </w:r>
      <w:r w:rsidR="00870CAC">
        <w:rPr>
          <w:rFonts w:ascii="Arial" w:hAnsi="Arial" w:cs="Arial"/>
          <w:i/>
          <w:iCs/>
          <w:sz w:val="24"/>
          <w:szCs w:val="24"/>
        </w:rPr>
        <w:t>a Judge sitting otherwise than in open Court”</w:t>
      </w:r>
      <w:r w:rsidR="004968D3">
        <w:rPr>
          <w:rFonts w:ascii="Arial" w:hAnsi="Arial" w:cs="Arial"/>
          <w:i/>
          <w:iCs/>
          <w:sz w:val="24"/>
          <w:szCs w:val="24"/>
        </w:rPr>
        <w:t>.</w:t>
      </w:r>
    </w:p>
    <w:p w14:paraId="07690064" w14:textId="7CC98846" w:rsidR="005659DD" w:rsidRDefault="00516D96" w:rsidP="00516D96">
      <w:pPr>
        <w:spacing w:before="480" w:after="0" w:line="480" w:lineRule="auto"/>
        <w:ind w:left="720" w:hanging="720"/>
        <w:jc w:val="both"/>
        <w:rPr>
          <w:rFonts w:ascii="Arial" w:hAnsi="Arial" w:cs="Arial"/>
          <w:sz w:val="24"/>
          <w:szCs w:val="24"/>
        </w:rPr>
      </w:pPr>
      <w:r>
        <w:rPr>
          <w:rFonts w:ascii="Arial" w:hAnsi="Arial" w:cs="Arial"/>
          <w:sz w:val="24"/>
          <w:szCs w:val="24"/>
        </w:rPr>
        <w:t>1</w:t>
      </w:r>
      <w:r w:rsidR="00EC56DE">
        <w:rPr>
          <w:rFonts w:ascii="Arial" w:hAnsi="Arial" w:cs="Arial"/>
          <w:sz w:val="24"/>
          <w:szCs w:val="24"/>
        </w:rPr>
        <w:t>4</w:t>
      </w:r>
      <w:r>
        <w:rPr>
          <w:rFonts w:ascii="Arial" w:hAnsi="Arial" w:cs="Arial"/>
          <w:sz w:val="24"/>
          <w:szCs w:val="24"/>
        </w:rPr>
        <w:t>.</w:t>
      </w:r>
      <w:r>
        <w:rPr>
          <w:rFonts w:ascii="Arial" w:hAnsi="Arial" w:cs="Arial"/>
          <w:sz w:val="24"/>
          <w:szCs w:val="24"/>
        </w:rPr>
        <w:tab/>
      </w:r>
      <w:r w:rsidR="008615D0" w:rsidRPr="00516D96">
        <w:rPr>
          <w:rFonts w:ascii="Arial" w:hAnsi="Arial" w:cs="Arial"/>
          <w:sz w:val="24"/>
          <w:szCs w:val="24"/>
        </w:rPr>
        <w:t>In</w:t>
      </w:r>
      <w:r w:rsidR="008E6CD5">
        <w:rPr>
          <w:rFonts w:ascii="Arial" w:hAnsi="Arial" w:cs="Arial"/>
          <w:sz w:val="24"/>
          <w:szCs w:val="24"/>
        </w:rPr>
        <w:t xml:space="preserve"> </w:t>
      </w:r>
      <w:r w:rsidR="008E6CD5" w:rsidRPr="008E6CD5">
        <w:rPr>
          <w:rFonts w:ascii="Arial" w:hAnsi="Arial" w:cs="Arial"/>
          <w:b/>
          <w:bCs/>
          <w:sz w:val="24"/>
          <w:szCs w:val="24"/>
          <w:u w:val="single"/>
        </w:rPr>
        <w:t>Menzi</w:t>
      </w:r>
      <w:r w:rsidR="00B31ABE">
        <w:rPr>
          <w:rFonts w:ascii="Arial" w:hAnsi="Arial" w:cs="Arial"/>
          <w:b/>
          <w:bCs/>
          <w:sz w:val="24"/>
          <w:szCs w:val="24"/>
          <w:u w:val="single"/>
        </w:rPr>
        <w:t>e</w:t>
      </w:r>
      <w:r w:rsidR="008E6CD5" w:rsidRPr="008E6CD5">
        <w:rPr>
          <w:rFonts w:ascii="Arial" w:hAnsi="Arial" w:cs="Arial"/>
          <w:b/>
          <w:bCs/>
          <w:sz w:val="24"/>
          <w:szCs w:val="24"/>
          <w:u w:val="single"/>
        </w:rPr>
        <w:t xml:space="preserve">s, </w:t>
      </w:r>
      <w:r w:rsidR="005659DD" w:rsidRPr="008E6CD5">
        <w:rPr>
          <w:rFonts w:ascii="Arial" w:hAnsi="Arial" w:cs="Arial"/>
          <w:b/>
          <w:bCs/>
          <w:sz w:val="24"/>
          <w:szCs w:val="24"/>
          <w:u w:val="single"/>
        </w:rPr>
        <w:t>B</w:t>
      </w:r>
      <w:r w:rsidR="00B31ABE">
        <w:rPr>
          <w:rFonts w:ascii="Arial" w:hAnsi="Arial" w:cs="Arial"/>
          <w:b/>
          <w:bCs/>
          <w:sz w:val="24"/>
          <w:szCs w:val="24"/>
          <w:u w:val="single"/>
        </w:rPr>
        <w:t>i</w:t>
      </w:r>
      <w:r w:rsidR="005659DD" w:rsidRPr="008E6CD5">
        <w:rPr>
          <w:rFonts w:ascii="Arial" w:hAnsi="Arial" w:cs="Arial"/>
          <w:b/>
          <w:bCs/>
          <w:sz w:val="24"/>
          <w:szCs w:val="24"/>
          <w:u w:val="single"/>
        </w:rPr>
        <w:t xml:space="preserve">rse </w:t>
      </w:r>
      <w:r w:rsidR="008E6CD5" w:rsidRPr="008E6CD5">
        <w:rPr>
          <w:rFonts w:ascii="Arial" w:hAnsi="Arial" w:cs="Arial"/>
          <w:b/>
          <w:bCs/>
          <w:sz w:val="24"/>
          <w:szCs w:val="24"/>
          <w:u w:val="single"/>
        </w:rPr>
        <w:t>&amp;</w:t>
      </w:r>
      <w:r w:rsidR="005659DD" w:rsidRPr="008E6CD5">
        <w:rPr>
          <w:rFonts w:ascii="Arial" w:hAnsi="Arial" w:cs="Arial"/>
          <w:b/>
          <w:bCs/>
          <w:sz w:val="24"/>
          <w:szCs w:val="24"/>
          <w:u w:val="single"/>
        </w:rPr>
        <w:t xml:space="preserve"> Chiddy v Hall</w:t>
      </w:r>
      <w:r w:rsidR="009F7DFE">
        <w:rPr>
          <w:rStyle w:val="FootnoteReference"/>
          <w:rFonts w:ascii="Arial" w:hAnsi="Arial" w:cs="Arial"/>
          <w:b/>
          <w:bCs/>
          <w:sz w:val="24"/>
          <w:szCs w:val="24"/>
          <w:u w:val="single"/>
        </w:rPr>
        <w:footnoteReference w:id="18"/>
      </w:r>
      <w:r w:rsidR="005659DD" w:rsidRPr="00516D96">
        <w:rPr>
          <w:rFonts w:ascii="Arial" w:hAnsi="Arial" w:cs="Arial"/>
          <w:sz w:val="24"/>
          <w:szCs w:val="24"/>
        </w:rPr>
        <w:t xml:space="preserve"> the</w:t>
      </w:r>
      <w:r w:rsidR="00602395">
        <w:rPr>
          <w:rFonts w:ascii="Arial" w:hAnsi="Arial" w:cs="Arial"/>
          <w:sz w:val="24"/>
          <w:szCs w:val="24"/>
        </w:rPr>
        <w:t xml:space="preserve"> </w:t>
      </w:r>
      <w:r w:rsidR="00F032EC">
        <w:rPr>
          <w:rFonts w:ascii="Arial" w:hAnsi="Arial" w:cs="Arial"/>
          <w:sz w:val="24"/>
          <w:szCs w:val="24"/>
        </w:rPr>
        <w:t xml:space="preserve">Court </w:t>
      </w:r>
      <w:r w:rsidR="00F032EC" w:rsidRPr="00516D96">
        <w:rPr>
          <w:rFonts w:ascii="Arial" w:hAnsi="Arial" w:cs="Arial"/>
          <w:sz w:val="24"/>
          <w:szCs w:val="24"/>
        </w:rPr>
        <w:t>found</w:t>
      </w:r>
      <w:r w:rsidR="00F032EC">
        <w:rPr>
          <w:rFonts w:ascii="Arial" w:hAnsi="Arial" w:cs="Arial"/>
          <w:sz w:val="24"/>
          <w:szCs w:val="24"/>
        </w:rPr>
        <w:t xml:space="preserve">, although within the context of whether an appeal lies against a judgment or order from a Judge in chambers, held </w:t>
      </w:r>
      <w:r w:rsidR="000516F3">
        <w:rPr>
          <w:rFonts w:ascii="Arial" w:hAnsi="Arial" w:cs="Arial"/>
          <w:sz w:val="24"/>
          <w:szCs w:val="24"/>
        </w:rPr>
        <w:t xml:space="preserve">that </w:t>
      </w:r>
      <w:r w:rsidR="00602395">
        <w:rPr>
          <w:rFonts w:ascii="Arial" w:hAnsi="Arial" w:cs="Arial"/>
          <w:sz w:val="24"/>
          <w:szCs w:val="24"/>
        </w:rPr>
        <w:t xml:space="preserve">a Judge sitting in chambers, is not a </w:t>
      </w:r>
      <w:r w:rsidR="00262F48">
        <w:rPr>
          <w:rFonts w:ascii="Arial" w:hAnsi="Arial" w:cs="Arial"/>
          <w:sz w:val="24"/>
          <w:szCs w:val="24"/>
        </w:rPr>
        <w:t>C</w:t>
      </w:r>
      <w:r w:rsidR="00602395">
        <w:rPr>
          <w:rFonts w:ascii="Arial" w:hAnsi="Arial" w:cs="Arial"/>
          <w:sz w:val="24"/>
          <w:szCs w:val="24"/>
        </w:rPr>
        <w:t xml:space="preserve">ourt. In doing so, it held </w:t>
      </w:r>
      <w:r w:rsidR="00262F48">
        <w:rPr>
          <w:rFonts w:ascii="Arial" w:hAnsi="Arial" w:cs="Arial"/>
          <w:sz w:val="24"/>
          <w:szCs w:val="24"/>
        </w:rPr>
        <w:t>that:</w:t>
      </w:r>
      <w:r w:rsidR="005659DD" w:rsidRPr="00516D96">
        <w:rPr>
          <w:rFonts w:ascii="Arial" w:hAnsi="Arial" w:cs="Arial"/>
          <w:sz w:val="24"/>
          <w:szCs w:val="24"/>
        </w:rPr>
        <w:t xml:space="preserve"> </w:t>
      </w:r>
    </w:p>
    <w:p w14:paraId="07877437" w14:textId="36DA74E8" w:rsidR="009463FE" w:rsidRDefault="009463FE" w:rsidP="00516D96">
      <w:pPr>
        <w:spacing w:before="480" w:after="0" w:line="480" w:lineRule="auto"/>
        <w:ind w:left="720" w:hanging="720"/>
        <w:jc w:val="both"/>
        <w:rPr>
          <w:rFonts w:ascii="Arial" w:hAnsi="Arial" w:cs="Arial"/>
          <w:i/>
          <w:iCs/>
          <w:sz w:val="24"/>
          <w:szCs w:val="24"/>
        </w:rPr>
      </w:pPr>
      <w:r>
        <w:rPr>
          <w:rFonts w:ascii="Arial" w:hAnsi="Arial" w:cs="Arial"/>
          <w:sz w:val="24"/>
          <w:szCs w:val="24"/>
        </w:rPr>
        <w:tab/>
        <w:t>“</w:t>
      </w:r>
      <w:r w:rsidRPr="00F43851">
        <w:rPr>
          <w:rFonts w:ascii="Arial" w:hAnsi="Arial" w:cs="Arial"/>
          <w:b/>
          <w:bCs/>
          <w:i/>
          <w:iCs/>
          <w:sz w:val="24"/>
          <w:szCs w:val="24"/>
          <w:u w:val="single"/>
        </w:rPr>
        <w:t>as an appeal only lies in general from a Divisional Court, and as a Judge sitting in chambers</w:t>
      </w:r>
      <w:r w:rsidR="001B5E09" w:rsidRPr="00F43851">
        <w:rPr>
          <w:rFonts w:ascii="Arial" w:hAnsi="Arial" w:cs="Arial"/>
          <w:b/>
          <w:bCs/>
          <w:i/>
          <w:iCs/>
          <w:sz w:val="24"/>
          <w:szCs w:val="24"/>
          <w:u w:val="single"/>
        </w:rPr>
        <w:t xml:space="preserve"> is not such a Court</w:t>
      </w:r>
      <w:r w:rsidR="001B5E09">
        <w:rPr>
          <w:rFonts w:ascii="Arial" w:hAnsi="Arial" w:cs="Arial"/>
          <w:i/>
          <w:iCs/>
          <w:sz w:val="24"/>
          <w:szCs w:val="24"/>
        </w:rPr>
        <w:t xml:space="preserve">, it follows that, when specifically provided by a </w:t>
      </w:r>
      <w:proofErr w:type="gramStart"/>
      <w:r w:rsidR="001B5E09">
        <w:rPr>
          <w:rFonts w:ascii="Arial" w:hAnsi="Arial" w:cs="Arial"/>
          <w:i/>
          <w:iCs/>
          <w:sz w:val="24"/>
          <w:szCs w:val="24"/>
        </w:rPr>
        <w:t>statute ,</w:t>
      </w:r>
      <w:proofErr w:type="gramEnd"/>
      <w:r w:rsidR="001B5E09">
        <w:rPr>
          <w:rFonts w:ascii="Arial" w:hAnsi="Arial" w:cs="Arial"/>
          <w:i/>
          <w:iCs/>
          <w:sz w:val="24"/>
          <w:szCs w:val="24"/>
        </w:rPr>
        <w:t xml:space="preserve"> there is no appeal from the judgment or order given by a Judge sitting in chambers, and that an appeal consequently will not lie in the present matter.</w:t>
      </w:r>
      <w:r w:rsidR="00F032EC">
        <w:rPr>
          <w:rFonts w:ascii="Arial" w:hAnsi="Arial" w:cs="Arial"/>
          <w:i/>
          <w:iCs/>
          <w:sz w:val="24"/>
          <w:szCs w:val="24"/>
        </w:rPr>
        <w:t>”</w:t>
      </w:r>
    </w:p>
    <w:p w14:paraId="72906A35" w14:textId="20C366D3" w:rsidR="00F032EC" w:rsidRPr="00F032EC" w:rsidRDefault="00F032EC" w:rsidP="00F032EC">
      <w:pPr>
        <w:spacing w:before="480" w:after="0" w:line="480" w:lineRule="auto"/>
        <w:jc w:val="both"/>
        <w:rPr>
          <w:rFonts w:ascii="Arial" w:hAnsi="Arial" w:cs="Arial"/>
          <w:sz w:val="24"/>
          <w:szCs w:val="24"/>
        </w:rPr>
      </w:pPr>
      <w:r>
        <w:rPr>
          <w:rFonts w:ascii="Arial" w:hAnsi="Arial" w:cs="Arial"/>
          <w:sz w:val="24"/>
          <w:szCs w:val="24"/>
        </w:rPr>
        <w:t>1</w:t>
      </w:r>
      <w:r w:rsidR="001A3A38">
        <w:rPr>
          <w:rFonts w:ascii="Arial" w:hAnsi="Arial" w:cs="Arial"/>
          <w:sz w:val="24"/>
          <w:szCs w:val="24"/>
        </w:rPr>
        <w:t>5</w:t>
      </w:r>
      <w:r>
        <w:rPr>
          <w:rFonts w:ascii="Arial" w:hAnsi="Arial" w:cs="Arial"/>
          <w:sz w:val="24"/>
          <w:szCs w:val="24"/>
        </w:rPr>
        <w:t>.</w:t>
      </w:r>
      <w:r>
        <w:rPr>
          <w:rFonts w:ascii="Arial" w:hAnsi="Arial" w:cs="Arial"/>
          <w:sz w:val="24"/>
          <w:szCs w:val="24"/>
        </w:rPr>
        <w:tab/>
      </w:r>
      <w:r w:rsidR="00CC63A6">
        <w:rPr>
          <w:rFonts w:ascii="Arial" w:hAnsi="Arial" w:cs="Arial"/>
          <w:sz w:val="24"/>
          <w:szCs w:val="24"/>
        </w:rPr>
        <w:t>It went</w:t>
      </w:r>
      <w:r>
        <w:rPr>
          <w:rFonts w:ascii="Arial" w:hAnsi="Arial" w:cs="Arial"/>
          <w:sz w:val="24"/>
          <w:szCs w:val="24"/>
        </w:rPr>
        <w:t xml:space="preserve"> on the explain the rationale for it’s </w:t>
      </w:r>
      <w:r w:rsidR="00F43851">
        <w:rPr>
          <w:rFonts w:ascii="Arial" w:hAnsi="Arial" w:cs="Arial"/>
          <w:sz w:val="24"/>
          <w:szCs w:val="24"/>
        </w:rPr>
        <w:t>finding above, as follows;</w:t>
      </w:r>
    </w:p>
    <w:p w14:paraId="5010014D" w14:textId="5AC64313" w:rsidR="005659DD" w:rsidRPr="004D66CF" w:rsidRDefault="005659DD" w:rsidP="005659DD">
      <w:pPr>
        <w:pStyle w:val="ListParagraph"/>
        <w:spacing w:before="480" w:after="0" w:line="480" w:lineRule="auto"/>
        <w:jc w:val="both"/>
        <w:rPr>
          <w:rFonts w:ascii="Arial" w:hAnsi="Arial" w:cs="Arial"/>
          <w:sz w:val="24"/>
          <w:szCs w:val="24"/>
        </w:rPr>
      </w:pPr>
      <w:r w:rsidRPr="004D66CF">
        <w:rPr>
          <w:rFonts w:ascii="Arial" w:hAnsi="Arial" w:cs="Arial"/>
          <w:sz w:val="24"/>
          <w:szCs w:val="24"/>
        </w:rPr>
        <w:t>“</w:t>
      </w:r>
      <w:r w:rsidRPr="004D66CF">
        <w:rPr>
          <w:rFonts w:ascii="Arial" w:hAnsi="Arial" w:cs="Arial"/>
          <w:i/>
          <w:iCs/>
          <w:sz w:val="24"/>
          <w:szCs w:val="24"/>
        </w:rPr>
        <w:t xml:space="preserve">Under the rule now in question, </w:t>
      </w:r>
      <w:r w:rsidRPr="00262F48">
        <w:rPr>
          <w:rFonts w:ascii="Arial" w:hAnsi="Arial" w:cs="Arial"/>
          <w:b/>
          <w:bCs/>
          <w:i/>
          <w:iCs/>
          <w:sz w:val="24"/>
          <w:szCs w:val="24"/>
          <w:u w:val="single"/>
        </w:rPr>
        <w:t xml:space="preserve">the </w:t>
      </w:r>
      <w:r w:rsidR="000516F3" w:rsidRPr="00262F48">
        <w:rPr>
          <w:rFonts w:ascii="Arial" w:hAnsi="Arial" w:cs="Arial"/>
          <w:b/>
          <w:bCs/>
          <w:i/>
          <w:iCs/>
          <w:sz w:val="24"/>
          <w:szCs w:val="24"/>
          <w:u w:val="single"/>
        </w:rPr>
        <w:t>J</w:t>
      </w:r>
      <w:r w:rsidRPr="00262F48">
        <w:rPr>
          <w:rFonts w:ascii="Arial" w:hAnsi="Arial" w:cs="Arial"/>
          <w:b/>
          <w:bCs/>
          <w:i/>
          <w:iCs/>
          <w:sz w:val="24"/>
          <w:szCs w:val="24"/>
          <w:u w:val="single"/>
        </w:rPr>
        <w:t xml:space="preserve">udge sits purely as a </w:t>
      </w:r>
      <w:r w:rsidR="00262F48">
        <w:rPr>
          <w:rFonts w:ascii="Arial" w:hAnsi="Arial" w:cs="Arial"/>
          <w:b/>
          <w:bCs/>
          <w:i/>
          <w:iCs/>
          <w:sz w:val="24"/>
          <w:szCs w:val="24"/>
          <w:u w:val="single"/>
        </w:rPr>
        <w:t>J</w:t>
      </w:r>
      <w:r w:rsidRPr="00262F48">
        <w:rPr>
          <w:rFonts w:ascii="Arial" w:hAnsi="Arial" w:cs="Arial"/>
          <w:b/>
          <w:bCs/>
          <w:i/>
          <w:iCs/>
          <w:sz w:val="24"/>
          <w:szCs w:val="24"/>
          <w:u w:val="single"/>
        </w:rPr>
        <w:t>udge in chambers and does not purport (whether in term or on vacation) to exercise the functions of the court,</w:t>
      </w:r>
      <w:r w:rsidRPr="004D66CF">
        <w:rPr>
          <w:rFonts w:ascii="Arial" w:hAnsi="Arial" w:cs="Arial"/>
          <w:i/>
          <w:iCs/>
          <w:sz w:val="24"/>
          <w:szCs w:val="24"/>
        </w:rPr>
        <w:t xml:space="preserve"> and there is in my view, no appeal from </w:t>
      </w:r>
      <w:r w:rsidRPr="004D66CF">
        <w:rPr>
          <w:rFonts w:ascii="Arial" w:hAnsi="Arial" w:cs="Arial"/>
          <w:i/>
          <w:iCs/>
          <w:sz w:val="24"/>
          <w:szCs w:val="24"/>
        </w:rPr>
        <w:lastRenderedPageBreak/>
        <w:t xml:space="preserve">his decision. That it was competent to take away the right of appeal by the new rule is, I think, clear from the fact that there is no inherent right to a litigant to “review” the taxation of the Taxing Master </w:t>
      </w:r>
      <w:r w:rsidR="009F7DFE">
        <w:rPr>
          <w:rFonts w:ascii="Arial" w:hAnsi="Arial" w:cs="Arial"/>
          <w:i/>
          <w:iCs/>
          <w:sz w:val="24"/>
          <w:szCs w:val="24"/>
        </w:rPr>
        <w:t>-</w:t>
      </w:r>
      <w:r w:rsidRPr="004D66CF">
        <w:rPr>
          <w:rFonts w:ascii="Arial" w:hAnsi="Arial" w:cs="Arial"/>
          <w:i/>
          <w:iCs/>
          <w:sz w:val="24"/>
          <w:szCs w:val="24"/>
        </w:rPr>
        <w:t>which is a nature of a ruling by an administrative official</w:t>
      </w:r>
      <w:r w:rsidR="000516F3">
        <w:rPr>
          <w:rFonts w:ascii="Arial" w:hAnsi="Arial" w:cs="Arial"/>
          <w:i/>
          <w:iCs/>
          <w:sz w:val="24"/>
          <w:szCs w:val="24"/>
        </w:rPr>
        <w:t>- save f</w:t>
      </w:r>
      <w:r w:rsidRPr="004D66CF">
        <w:rPr>
          <w:rFonts w:ascii="Arial" w:hAnsi="Arial" w:cs="Arial"/>
          <w:i/>
          <w:iCs/>
          <w:sz w:val="24"/>
          <w:szCs w:val="24"/>
        </w:rPr>
        <w:t>or gross irregularity or other resolution makes it per se reviewable. Here is given the right “review” which is indirectly a revision, on the merits of that ruling and there is in no sense proceedings of the court. It was consequently competent by this rule to make such revision the last word on this subject.”</w:t>
      </w:r>
      <w:r w:rsidR="00B31ABE">
        <w:rPr>
          <w:rStyle w:val="FootnoteReference"/>
          <w:rFonts w:ascii="Arial" w:hAnsi="Arial" w:cs="Arial"/>
          <w:i/>
          <w:iCs/>
          <w:sz w:val="24"/>
          <w:szCs w:val="24"/>
        </w:rPr>
        <w:footnoteReference w:id="19"/>
      </w:r>
      <w:r w:rsidRPr="004D66CF">
        <w:rPr>
          <w:rFonts w:ascii="Arial" w:hAnsi="Arial" w:cs="Arial"/>
          <w:sz w:val="24"/>
          <w:szCs w:val="24"/>
        </w:rPr>
        <w:t xml:space="preserve"> </w:t>
      </w:r>
    </w:p>
    <w:p w14:paraId="2EA3F41A" w14:textId="7CC0DFD7" w:rsidR="008615D0" w:rsidRPr="00246C10" w:rsidRDefault="00246C10" w:rsidP="003E4F11">
      <w:pPr>
        <w:spacing w:before="480" w:after="0" w:line="480" w:lineRule="auto"/>
        <w:ind w:left="720" w:hanging="720"/>
        <w:jc w:val="both"/>
        <w:rPr>
          <w:rFonts w:ascii="Arial" w:hAnsi="Arial" w:cs="Arial"/>
          <w:sz w:val="24"/>
          <w:szCs w:val="24"/>
        </w:rPr>
      </w:pPr>
      <w:r>
        <w:rPr>
          <w:rFonts w:ascii="Arial" w:hAnsi="Arial" w:cs="Arial"/>
          <w:sz w:val="24"/>
          <w:szCs w:val="24"/>
        </w:rPr>
        <w:t>1</w:t>
      </w:r>
      <w:r w:rsidR="00023852">
        <w:rPr>
          <w:rFonts w:ascii="Arial" w:hAnsi="Arial" w:cs="Arial"/>
          <w:sz w:val="24"/>
          <w:szCs w:val="24"/>
        </w:rPr>
        <w:t>5</w:t>
      </w:r>
      <w:r>
        <w:rPr>
          <w:rFonts w:ascii="Arial" w:hAnsi="Arial" w:cs="Arial"/>
          <w:sz w:val="24"/>
          <w:szCs w:val="24"/>
        </w:rPr>
        <w:t>.</w:t>
      </w:r>
      <w:r>
        <w:rPr>
          <w:rFonts w:ascii="Arial" w:hAnsi="Arial" w:cs="Arial"/>
          <w:sz w:val="24"/>
          <w:szCs w:val="24"/>
        </w:rPr>
        <w:tab/>
      </w:r>
      <w:r w:rsidR="00D37824" w:rsidRPr="00246C10">
        <w:rPr>
          <w:rFonts w:ascii="Arial" w:hAnsi="Arial" w:cs="Arial"/>
          <w:sz w:val="24"/>
          <w:szCs w:val="24"/>
        </w:rPr>
        <w:t xml:space="preserve">The </w:t>
      </w:r>
      <w:r w:rsidR="00C90F0F">
        <w:rPr>
          <w:rFonts w:ascii="Arial" w:hAnsi="Arial" w:cs="Arial"/>
          <w:sz w:val="24"/>
          <w:szCs w:val="24"/>
        </w:rPr>
        <w:t xml:space="preserve">reasoning </w:t>
      </w:r>
      <w:r w:rsidR="00D37824" w:rsidRPr="00246C10">
        <w:rPr>
          <w:rFonts w:ascii="Arial" w:hAnsi="Arial" w:cs="Arial"/>
          <w:sz w:val="24"/>
          <w:szCs w:val="24"/>
        </w:rPr>
        <w:t xml:space="preserve">expressed in </w:t>
      </w:r>
      <w:r w:rsidR="00C90F0F">
        <w:rPr>
          <w:rFonts w:ascii="Arial" w:hAnsi="Arial" w:cs="Arial"/>
          <w:sz w:val="24"/>
          <w:szCs w:val="24"/>
        </w:rPr>
        <w:t xml:space="preserve">the </w:t>
      </w:r>
      <w:r w:rsidR="003E4F11">
        <w:rPr>
          <w:rFonts w:ascii="Arial" w:hAnsi="Arial" w:cs="Arial"/>
          <w:sz w:val="24"/>
          <w:szCs w:val="24"/>
        </w:rPr>
        <w:t>Menzi</w:t>
      </w:r>
      <w:r w:rsidR="00023852">
        <w:rPr>
          <w:rFonts w:ascii="Arial" w:hAnsi="Arial" w:cs="Arial"/>
          <w:sz w:val="24"/>
          <w:szCs w:val="24"/>
        </w:rPr>
        <w:t>e</w:t>
      </w:r>
      <w:r w:rsidR="003E4F11">
        <w:rPr>
          <w:rFonts w:ascii="Arial" w:hAnsi="Arial" w:cs="Arial"/>
          <w:sz w:val="24"/>
          <w:szCs w:val="24"/>
        </w:rPr>
        <w:t>s</w:t>
      </w:r>
      <w:r w:rsidR="00C90F0F">
        <w:rPr>
          <w:rFonts w:ascii="Arial" w:hAnsi="Arial" w:cs="Arial"/>
          <w:sz w:val="24"/>
          <w:szCs w:val="24"/>
        </w:rPr>
        <w:t xml:space="preserve"> </w:t>
      </w:r>
      <w:r w:rsidR="00D37824" w:rsidRPr="00246C10">
        <w:rPr>
          <w:rFonts w:ascii="Arial" w:hAnsi="Arial" w:cs="Arial"/>
          <w:sz w:val="24"/>
          <w:szCs w:val="24"/>
        </w:rPr>
        <w:t>cases w</w:t>
      </w:r>
      <w:r w:rsidR="00C90F0F">
        <w:rPr>
          <w:rFonts w:ascii="Arial" w:hAnsi="Arial" w:cs="Arial"/>
          <w:sz w:val="24"/>
          <w:szCs w:val="24"/>
        </w:rPr>
        <w:t>as</w:t>
      </w:r>
      <w:r w:rsidR="00D37824" w:rsidRPr="00246C10">
        <w:rPr>
          <w:rFonts w:ascii="Arial" w:hAnsi="Arial" w:cs="Arial"/>
          <w:sz w:val="24"/>
          <w:szCs w:val="24"/>
        </w:rPr>
        <w:t xml:space="preserve"> endorsed by </w:t>
      </w:r>
      <w:proofErr w:type="spellStart"/>
      <w:r w:rsidR="00D37824" w:rsidRPr="00246C10">
        <w:rPr>
          <w:rFonts w:ascii="Arial" w:hAnsi="Arial" w:cs="Arial"/>
          <w:sz w:val="24"/>
          <w:szCs w:val="24"/>
        </w:rPr>
        <w:t>L</w:t>
      </w:r>
      <w:r w:rsidR="003E4F11">
        <w:rPr>
          <w:rFonts w:ascii="Arial" w:hAnsi="Arial" w:cs="Arial"/>
          <w:sz w:val="24"/>
          <w:szCs w:val="24"/>
        </w:rPr>
        <w:t>itsoane</w:t>
      </w:r>
      <w:proofErr w:type="spellEnd"/>
      <w:r w:rsidR="00D37824" w:rsidRPr="00246C10">
        <w:rPr>
          <w:rFonts w:ascii="Arial" w:hAnsi="Arial" w:cs="Arial"/>
          <w:sz w:val="24"/>
          <w:szCs w:val="24"/>
        </w:rPr>
        <w:t xml:space="preserve"> J in the unreported judgment of</w:t>
      </w:r>
      <w:r w:rsidR="003E4F11">
        <w:rPr>
          <w:rFonts w:ascii="Arial" w:hAnsi="Arial" w:cs="Arial"/>
          <w:sz w:val="24"/>
          <w:szCs w:val="24"/>
        </w:rPr>
        <w:t xml:space="preserve"> </w:t>
      </w:r>
      <w:proofErr w:type="spellStart"/>
      <w:r w:rsidR="003E4F11" w:rsidRPr="003E4F11">
        <w:rPr>
          <w:rFonts w:ascii="Arial" w:hAnsi="Arial" w:cs="Arial"/>
          <w:b/>
          <w:bCs/>
          <w:sz w:val="24"/>
          <w:szCs w:val="24"/>
          <w:u w:val="single"/>
        </w:rPr>
        <w:t>Fezile</w:t>
      </w:r>
      <w:proofErr w:type="spellEnd"/>
      <w:r w:rsidR="003E4F11" w:rsidRPr="003E4F11">
        <w:rPr>
          <w:rFonts w:ascii="Arial" w:hAnsi="Arial" w:cs="Arial"/>
          <w:b/>
          <w:bCs/>
          <w:sz w:val="24"/>
          <w:szCs w:val="24"/>
          <w:u w:val="single"/>
        </w:rPr>
        <w:t xml:space="preserve"> Dabi</w:t>
      </w:r>
      <w:r w:rsidR="003E4F11">
        <w:rPr>
          <w:rFonts w:ascii="Arial" w:hAnsi="Arial" w:cs="Arial"/>
          <w:sz w:val="24"/>
          <w:szCs w:val="24"/>
        </w:rPr>
        <w:t xml:space="preserve"> </w:t>
      </w:r>
      <w:r w:rsidR="00D37824" w:rsidRPr="00246C10">
        <w:rPr>
          <w:rFonts w:ascii="Arial" w:hAnsi="Arial" w:cs="Arial"/>
          <w:b/>
          <w:bCs/>
          <w:sz w:val="24"/>
          <w:szCs w:val="24"/>
          <w:u w:val="single"/>
        </w:rPr>
        <w:t>District Municipality v Maximum Profit Recovery (Pty) Ltd and Another</w:t>
      </w:r>
      <w:r w:rsidR="00D37824" w:rsidRPr="004D66CF">
        <w:rPr>
          <w:rStyle w:val="FootnoteReference"/>
          <w:rFonts w:ascii="Arial" w:hAnsi="Arial" w:cs="Arial"/>
          <w:b/>
          <w:bCs/>
          <w:sz w:val="24"/>
          <w:szCs w:val="24"/>
          <w:u w:val="single"/>
        </w:rPr>
        <w:footnoteReference w:id="20"/>
      </w:r>
      <w:r w:rsidR="00D37824" w:rsidRPr="00246C10">
        <w:rPr>
          <w:rFonts w:ascii="Arial" w:hAnsi="Arial" w:cs="Arial"/>
          <w:sz w:val="24"/>
          <w:szCs w:val="24"/>
        </w:rPr>
        <w:t xml:space="preserve"> wherein she declined to hear an appeal against a decision of  a single judge sitting in chambers in terms of rule 48(6) of the Uniform Rules, on the </w:t>
      </w:r>
      <w:r w:rsidR="00881B47">
        <w:rPr>
          <w:rFonts w:ascii="Arial" w:hAnsi="Arial" w:cs="Arial"/>
          <w:sz w:val="24"/>
          <w:szCs w:val="24"/>
        </w:rPr>
        <w:t xml:space="preserve">basis </w:t>
      </w:r>
      <w:r w:rsidR="00D37824" w:rsidRPr="00246C10">
        <w:rPr>
          <w:rFonts w:ascii="Arial" w:hAnsi="Arial" w:cs="Arial"/>
          <w:sz w:val="24"/>
          <w:szCs w:val="24"/>
        </w:rPr>
        <w:t xml:space="preserve">that a </w:t>
      </w:r>
      <w:r w:rsidR="00881B47">
        <w:rPr>
          <w:rFonts w:ascii="Arial" w:hAnsi="Arial" w:cs="Arial"/>
          <w:sz w:val="24"/>
          <w:szCs w:val="24"/>
        </w:rPr>
        <w:t>J</w:t>
      </w:r>
      <w:r w:rsidR="00D37824" w:rsidRPr="00246C10">
        <w:rPr>
          <w:rFonts w:ascii="Arial" w:hAnsi="Arial" w:cs="Arial"/>
          <w:sz w:val="24"/>
          <w:szCs w:val="24"/>
        </w:rPr>
        <w:t>udge sitting in chambers, does not</w:t>
      </w:r>
      <w:r w:rsidR="00881B47">
        <w:rPr>
          <w:rFonts w:ascii="Arial" w:hAnsi="Arial" w:cs="Arial"/>
          <w:sz w:val="24"/>
          <w:szCs w:val="24"/>
        </w:rPr>
        <w:t xml:space="preserve"> purport</w:t>
      </w:r>
      <w:r w:rsidR="006E7659">
        <w:rPr>
          <w:rFonts w:ascii="Arial" w:hAnsi="Arial" w:cs="Arial"/>
          <w:sz w:val="24"/>
          <w:szCs w:val="24"/>
        </w:rPr>
        <w:t xml:space="preserve"> </w:t>
      </w:r>
      <w:r w:rsidR="00D37824" w:rsidRPr="00246C10">
        <w:rPr>
          <w:rFonts w:ascii="Arial" w:hAnsi="Arial" w:cs="Arial"/>
          <w:sz w:val="24"/>
          <w:szCs w:val="24"/>
        </w:rPr>
        <w:t xml:space="preserve">to exercise the functions of </w:t>
      </w:r>
      <w:r w:rsidR="005D789C">
        <w:rPr>
          <w:rFonts w:ascii="Arial" w:hAnsi="Arial" w:cs="Arial"/>
          <w:sz w:val="24"/>
          <w:szCs w:val="24"/>
        </w:rPr>
        <w:t>a</w:t>
      </w:r>
      <w:r w:rsidR="00D37824" w:rsidRPr="00246C10">
        <w:rPr>
          <w:rFonts w:ascii="Arial" w:hAnsi="Arial" w:cs="Arial"/>
          <w:sz w:val="24"/>
          <w:szCs w:val="24"/>
        </w:rPr>
        <w:t xml:space="preserve"> court. </w:t>
      </w:r>
    </w:p>
    <w:p w14:paraId="572988C8" w14:textId="40A45E42" w:rsidR="00D37824" w:rsidRPr="005D789C" w:rsidRDefault="005D789C" w:rsidP="005D789C">
      <w:pPr>
        <w:spacing w:before="480" w:after="0" w:line="480" w:lineRule="auto"/>
        <w:ind w:left="720" w:hanging="720"/>
        <w:jc w:val="both"/>
        <w:rPr>
          <w:rFonts w:ascii="Arial" w:hAnsi="Arial" w:cs="Arial"/>
          <w:sz w:val="24"/>
          <w:szCs w:val="24"/>
        </w:rPr>
      </w:pPr>
      <w:r>
        <w:rPr>
          <w:rFonts w:ascii="Arial" w:hAnsi="Arial" w:cs="Arial"/>
          <w:sz w:val="24"/>
          <w:szCs w:val="24"/>
        </w:rPr>
        <w:t>1</w:t>
      </w:r>
      <w:r w:rsidR="00023852">
        <w:rPr>
          <w:rFonts w:ascii="Arial" w:hAnsi="Arial" w:cs="Arial"/>
          <w:sz w:val="24"/>
          <w:szCs w:val="24"/>
        </w:rPr>
        <w:t>6</w:t>
      </w:r>
      <w:r>
        <w:rPr>
          <w:rFonts w:ascii="Arial" w:hAnsi="Arial" w:cs="Arial"/>
          <w:sz w:val="24"/>
          <w:szCs w:val="24"/>
        </w:rPr>
        <w:t>.</w:t>
      </w:r>
      <w:r>
        <w:rPr>
          <w:rFonts w:ascii="Arial" w:hAnsi="Arial" w:cs="Arial"/>
          <w:sz w:val="24"/>
          <w:szCs w:val="24"/>
        </w:rPr>
        <w:tab/>
      </w:r>
      <w:r w:rsidR="00D37824" w:rsidRPr="005D789C">
        <w:rPr>
          <w:rFonts w:ascii="Arial" w:hAnsi="Arial" w:cs="Arial"/>
          <w:sz w:val="24"/>
          <w:szCs w:val="24"/>
        </w:rPr>
        <w:t>In</w:t>
      </w:r>
      <w:r w:rsidR="00D37824" w:rsidRPr="005D789C">
        <w:rPr>
          <w:rFonts w:ascii="Arial" w:hAnsi="Arial" w:cs="Arial"/>
          <w:b/>
          <w:bCs/>
          <w:sz w:val="24"/>
          <w:szCs w:val="24"/>
          <w:u w:val="single"/>
        </w:rPr>
        <w:t xml:space="preserve"> Brown and Others v Papad</w:t>
      </w:r>
      <w:r w:rsidR="00881B47" w:rsidRPr="005D789C">
        <w:rPr>
          <w:rFonts w:ascii="Arial" w:hAnsi="Arial" w:cs="Arial"/>
          <w:b/>
          <w:bCs/>
          <w:sz w:val="24"/>
          <w:szCs w:val="24"/>
          <w:u w:val="single"/>
        </w:rPr>
        <w:t>a</w:t>
      </w:r>
      <w:r w:rsidR="00D37824" w:rsidRPr="005D789C">
        <w:rPr>
          <w:rFonts w:ascii="Arial" w:hAnsi="Arial" w:cs="Arial"/>
          <w:b/>
          <w:bCs/>
          <w:sz w:val="24"/>
          <w:szCs w:val="24"/>
          <w:u w:val="single"/>
        </w:rPr>
        <w:t>kis and Other</w:t>
      </w:r>
      <w:r w:rsidR="00D37824" w:rsidRPr="004D66CF">
        <w:rPr>
          <w:rStyle w:val="FootnoteReference"/>
          <w:rFonts w:ascii="Arial" w:hAnsi="Arial" w:cs="Arial"/>
          <w:b/>
          <w:bCs/>
          <w:sz w:val="24"/>
          <w:szCs w:val="24"/>
          <w:u w:val="single"/>
        </w:rPr>
        <w:footnoteReference w:id="21"/>
      </w:r>
      <w:r w:rsidR="00D37824" w:rsidRPr="005D789C">
        <w:rPr>
          <w:rFonts w:ascii="Arial" w:hAnsi="Arial" w:cs="Arial"/>
          <w:sz w:val="24"/>
          <w:szCs w:val="24"/>
        </w:rPr>
        <w:t xml:space="preserve"> the court </w:t>
      </w:r>
      <w:r>
        <w:rPr>
          <w:rFonts w:ascii="Arial" w:hAnsi="Arial" w:cs="Arial"/>
          <w:sz w:val="24"/>
          <w:szCs w:val="24"/>
        </w:rPr>
        <w:t xml:space="preserve">drew the distinction between </w:t>
      </w:r>
      <w:r w:rsidR="00D37824" w:rsidRPr="005D789C">
        <w:rPr>
          <w:rFonts w:ascii="Arial" w:hAnsi="Arial" w:cs="Arial"/>
          <w:sz w:val="24"/>
          <w:szCs w:val="24"/>
        </w:rPr>
        <w:t xml:space="preserve">a </w:t>
      </w:r>
      <w:r>
        <w:rPr>
          <w:rFonts w:ascii="Arial" w:hAnsi="Arial" w:cs="Arial"/>
          <w:sz w:val="24"/>
          <w:szCs w:val="24"/>
        </w:rPr>
        <w:t>J</w:t>
      </w:r>
      <w:r w:rsidR="00D37824" w:rsidRPr="005D789C">
        <w:rPr>
          <w:rFonts w:ascii="Arial" w:hAnsi="Arial" w:cs="Arial"/>
          <w:sz w:val="24"/>
          <w:szCs w:val="24"/>
        </w:rPr>
        <w:t xml:space="preserve">udge sitting in chambers </w:t>
      </w:r>
      <w:r>
        <w:rPr>
          <w:rFonts w:ascii="Arial" w:hAnsi="Arial" w:cs="Arial"/>
          <w:sz w:val="24"/>
          <w:szCs w:val="24"/>
        </w:rPr>
        <w:t>and</w:t>
      </w:r>
      <w:r w:rsidR="00D37824" w:rsidRPr="005D789C">
        <w:rPr>
          <w:rFonts w:ascii="Arial" w:hAnsi="Arial" w:cs="Arial"/>
          <w:sz w:val="24"/>
          <w:szCs w:val="24"/>
        </w:rPr>
        <w:t xml:space="preserve"> </w:t>
      </w:r>
      <w:r>
        <w:rPr>
          <w:rFonts w:ascii="Arial" w:hAnsi="Arial" w:cs="Arial"/>
          <w:sz w:val="24"/>
          <w:szCs w:val="24"/>
        </w:rPr>
        <w:t>“</w:t>
      </w:r>
      <w:r w:rsidR="00D37824" w:rsidRPr="005D789C">
        <w:rPr>
          <w:rFonts w:ascii="Arial" w:hAnsi="Arial" w:cs="Arial"/>
          <w:sz w:val="24"/>
          <w:szCs w:val="24"/>
        </w:rPr>
        <w:t xml:space="preserve">a </w:t>
      </w:r>
      <w:r>
        <w:rPr>
          <w:rFonts w:ascii="Arial" w:hAnsi="Arial" w:cs="Arial"/>
          <w:sz w:val="24"/>
          <w:szCs w:val="24"/>
        </w:rPr>
        <w:t>C</w:t>
      </w:r>
      <w:r w:rsidR="00D37824" w:rsidRPr="005D789C">
        <w:rPr>
          <w:rFonts w:ascii="Arial" w:hAnsi="Arial" w:cs="Arial"/>
          <w:sz w:val="24"/>
          <w:szCs w:val="24"/>
        </w:rPr>
        <w:t>ourt</w:t>
      </w:r>
      <w:r>
        <w:rPr>
          <w:rFonts w:ascii="Arial" w:hAnsi="Arial" w:cs="Arial"/>
          <w:sz w:val="24"/>
          <w:szCs w:val="24"/>
        </w:rPr>
        <w:t>”</w:t>
      </w:r>
      <w:r w:rsidR="00D37824" w:rsidRPr="005D789C">
        <w:rPr>
          <w:rFonts w:ascii="Arial" w:hAnsi="Arial" w:cs="Arial"/>
          <w:sz w:val="24"/>
          <w:szCs w:val="24"/>
        </w:rPr>
        <w:t xml:space="preserve">, as follows:  </w:t>
      </w:r>
    </w:p>
    <w:p w14:paraId="39A96CAE" w14:textId="6E7BC099" w:rsidR="00F42CE9" w:rsidRPr="00982841" w:rsidRDefault="00D37824" w:rsidP="00982841">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“[10] </w:t>
      </w:r>
      <w:r w:rsidRPr="004D66CF">
        <w:rPr>
          <w:rFonts w:ascii="Arial" w:hAnsi="Arial" w:cs="Arial"/>
          <w:i/>
          <w:iCs/>
          <w:sz w:val="24"/>
          <w:szCs w:val="24"/>
        </w:rPr>
        <w:tab/>
        <w:t xml:space="preserve">It should also be noted that "Judge" is defined in rule 1 of the rules of court as meaning "a judge sitting otherwise than in open court", and "court" in relation to civil matters is defined as meaning "a court constituted in terms of section thirteen of the Act. Section 13 of the </w:t>
      </w:r>
      <w:r w:rsidRPr="004D66CF">
        <w:rPr>
          <w:rFonts w:ascii="Arial" w:hAnsi="Arial" w:cs="Arial"/>
          <w:i/>
          <w:iCs/>
          <w:sz w:val="24"/>
          <w:szCs w:val="24"/>
        </w:rPr>
        <w:lastRenderedPageBreak/>
        <w:t xml:space="preserve">Supreme Court Act 59 of 1959 ("the Act") provides, insofar as it is relevant to the present matter, that a court of first instance shall be "constituted before a single judge of the division concerned". </w:t>
      </w:r>
    </w:p>
    <w:p w14:paraId="553CA244" w14:textId="48E78A3C" w:rsidR="00D37824" w:rsidRPr="00982841" w:rsidRDefault="00982841" w:rsidP="00982841">
      <w:pPr>
        <w:spacing w:before="480"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proofErr w:type="spellStart"/>
      <w:r w:rsidR="00D37824" w:rsidRPr="00982841">
        <w:rPr>
          <w:rFonts w:ascii="Arial" w:hAnsi="Arial" w:cs="Arial"/>
          <w:sz w:val="24"/>
          <w:szCs w:val="24"/>
        </w:rPr>
        <w:t>Snellenb</w:t>
      </w:r>
      <w:r w:rsidR="0089511A">
        <w:rPr>
          <w:rFonts w:ascii="Arial" w:hAnsi="Arial" w:cs="Arial"/>
          <w:sz w:val="24"/>
          <w:szCs w:val="24"/>
        </w:rPr>
        <w:t>u</w:t>
      </w:r>
      <w:r w:rsidR="00D37824" w:rsidRPr="00982841">
        <w:rPr>
          <w:rFonts w:ascii="Arial" w:hAnsi="Arial" w:cs="Arial"/>
          <w:sz w:val="24"/>
          <w:szCs w:val="24"/>
        </w:rPr>
        <w:t>rg</w:t>
      </w:r>
      <w:proofErr w:type="spellEnd"/>
      <w:r w:rsidR="00D37824" w:rsidRPr="00982841">
        <w:rPr>
          <w:rFonts w:ascii="Arial" w:hAnsi="Arial" w:cs="Arial"/>
          <w:sz w:val="24"/>
          <w:szCs w:val="24"/>
        </w:rPr>
        <w:t xml:space="preserve"> AJ in </w:t>
      </w:r>
      <w:proofErr w:type="spellStart"/>
      <w:r w:rsidR="00D37824" w:rsidRPr="00982841">
        <w:rPr>
          <w:rFonts w:ascii="Arial" w:hAnsi="Arial" w:cs="Arial"/>
          <w:b/>
          <w:bCs/>
          <w:sz w:val="24"/>
          <w:szCs w:val="24"/>
          <w:u w:val="single"/>
        </w:rPr>
        <w:t>Gcasambe</w:t>
      </w:r>
      <w:proofErr w:type="spellEnd"/>
      <w:r w:rsidR="00D37824" w:rsidRPr="00982841">
        <w:rPr>
          <w:rFonts w:ascii="Arial" w:hAnsi="Arial" w:cs="Arial"/>
          <w:b/>
          <w:bCs/>
          <w:sz w:val="24"/>
          <w:szCs w:val="24"/>
          <w:u w:val="single"/>
        </w:rPr>
        <w:t xml:space="preserve"> v Mercedes Benz Financial Services SA (Pty) Ltd and Another</w:t>
      </w:r>
      <w:r w:rsidR="00D37824" w:rsidRPr="004D66CF">
        <w:rPr>
          <w:rStyle w:val="FootnoteReference"/>
          <w:rFonts w:ascii="Arial" w:hAnsi="Arial" w:cs="Arial"/>
          <w:b/>
          <w:bCs/>
          <w:sz w:val="24"/>
          <w:szCs w:val="24"/>
          <w:u w:val="single"/>
        </w:rPr>
        <w:footnoteReference w:id="22"/>
      </w:r>
      <w:r w:rsidR="00D37824" w:rsidRPr="00982841">
        <w:rPr>
          <w:rFonts w:ascii="Arial" w:hAnsi="Arial" w:cs="Arial"/>
          <w:sz w:val="24"/>
          <w:szCs w:val="24"/>
        </w:rPr>
        <w:t xml:space="preserve"> </w:t>
      </w:r>
      <w:r>
        <w:rPr>
          <w:rFonts w:ascii="Arial" w:hAnsi="Arial" w:cs="Arial"/>
          <w:sz w:val="24"/>
          <w:szCs w:val="24"/>
        </w:rPr>
        <w:t>in finding that a Judge in chambers has no jurisdiction to consider default judgment application wherein the NCA is applica</w:t>
      </w:r>
      <w:r w:rsidR="00C97530">
        <w:rPr>
          <w:rFonts w:ascii="Arial" w:hAnsi="Arial" w:cs="Arial"/>
          <w:sz w:val="24"/>
          <w:szCs w:val="24"/>
        </w:rPr>
        <w:t xml:space="preserve">ble, </w:t>
      </w:r>
      <w:r w:rsidR="00D37824" w:rsidRPr="00982841">
        <w:rPr>
          <w:rFonts w:ascii="Arial" w:hAnsi="Arial" w:cs="Arial"/>
          <w:sz w:val="24"/>
          <w:szCs w:val="24"/>
        </w:rPr>
        <w:t xml:space="preserve">said the following:  </w:t>
      </w:r>
    </w:p>
    <w:p w14:paraId="35C7349A" w14:textId="2819F1E2" w:rsidR="00D37824" w:rsidRPr="004D66CF" w:rsidRDefault="00D37824" w:rsidP="001D4921">
      <w:pPr>
        <w:pStyle w:val="ListParagraph"/>
        <w:spacing w:before="480" w:after="0" w:line="480" w:lineRule="auto"/>
        <w:ind w:left="1560" w:hanging="840"/>
        <w:jc w:val="both"/>
        <w:rPr>
          <w:rFonts w:ascii="Arial" w:hAnsi="Arial" w:cs="Arial"/>
          <w:i/>
          <w:iCs/>
          <w:sz w:val="24"/>
          <w:szCs w:val="24"/>
        </w:rPr>
      </w:pPr>
      <w:r w:rsidRPr="004D66CF">
        <w:rPr>
          <w:rFonts w:ascii="Arial" w:hAnsi="Arial" w:cs="Arial"/>
          <w:sz w:val="24"/>
          <w:szCs w:val="24"/>
        </w:rPr>
        <w:t>“</w:t>
      </w:r>
      <w:r w:rsidR="001D4921" w:rsidRPr="004D66CF">
        <w:rPr>
          <w:rFonts w:ascii="Arial" w:hAnsi="Arial" w:cs="Arial"/>
          <w:sz w:val="24"/>
          <w:szCs w:val="24"/>
        </w:rPr>
        <w:t>[</w:t>
      </w:r>
      <w:r w:rsidR="001D4921" w:rsidRPr="004D66CF">
        <w:rPr>
          <w:rFonts w:ascii="Arial" w:hAnsi="Arial" w:cs="Arial"/>
          <w:i/>
          <w:iCs/>
          <w:sz w:val="24"/>
          <w:szCs w:val="24"/>
        </w:rPr>
        <w:t xml:space="preserve">59]   </w:t>
      </w:r>
      <w:r w:rsidR="001D4921" w:rsidRPr="004D66CF">
        <w:rPr>
          <w:rFonts w:ascii="Arial" w:hAnsi="Arial" w:cs="Arial"/>
          <w:i/>
          <w:iCs/>
          <w:sz w:val="24"/>
          <w:szCs w:val="24"/>
        </w:rPr>
        <w:tab/>
        <w:t xml:space="preserve">Section 6 of the Superior Courts Act deals with the constitution of High Courts. In Civil Procedure in the Superior Courts the author observes that in statutes the difference between use of the word “court” and “judge” usually reflects the difference of sitting in ‘open court’ or ‘in </w:t>
      </w:r>
      <w:r w:rsidR="007F174A" w:rsidRPr="004D66CF">
        <w:rPr>
          <w:rFonts w:ascii="Arial" w:hAnsi="Arial" w:cs="Arial"/>
          <w:i/>
          <w:iCs/>
          <w:sz w:val="24"/>
          <w:szCs w:val="24"/>
        </w:rPr>
        <w:t>chambers</w:t>
      </w:r>
      <w:r w:rsidR="001D4921" w:rsidRPr="004D66CF">
        <w:rPr>
          <w:rFonts w:ascii="Arial" w:hAnsi="Arial" w:cs="Arial"/>
          <w:i/>
          <w:iCs/>
          <w:sz w:val="24"/>
          <w:szCs w:val="24"/>
        </w:rPr>
        <w:t xml:space="preserve">. To this end Schutz JA suggested in </w:t>
      </w:r>
      <w:r w:rsidR="001D4921" w:rsidRPr="00DA6E50">
        <w:rPr>
          <w:rFonts w:ascii="Arial" w:hAnsi="Arial" w:cs="Arial"/>
          <w:i/>
          <w:iCs/>
          <w:sz w:val="24"/>
          <w:szCs w:val="24"/>
          <w:u w:val="single"/>
        </w:rPr>
        <w:t>Pretoria Portland Cement Co Ltd and Another v Competition Commission and Others</w:t>
      </w:r>
      <w:r w:rsidR="001D4921" w:rsidRPr="004D66CF">
        <w:rPr>
          <w:rStyle w:val="FootnoteReference"/>
          <w:rFonts w:ascii="Arial" w:hAnsi="Arial" w:cs="Arial"/>
          <w:i/>
          <w:iCs/>
          <w:sz w:val="24"/>
          <w:szCs w:val="24"/>
        </w:rPr>
        <w:footnoteReference w:id="23"/>
      </w:r>
      <w:r w:rsidR="001D4921" w:rsidRPr="004D66CF">
        <w:rPr>
          <w:rFonts w:ascii="Arial" w:hAnsi="Arial" w:cs="Arial"/>
          <w:i/>
          <w:iCs/>
          <w:sz w:val="24"/>
          <w:szCs w:val="24"/>
        </w:rPr>
        <w:t xml:space="preserve"> that where a Judge’s services are properly engaged, legislation should refer to a court and not a Judge.</w:t>
      </w:r>
    </w:p>
    <w:p w14:paraId="029EBA92" w14:textId="77777777"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p>
    <w:p w14:paraId="54C734F5" w14:textId="359ECE30"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[60]   </w:t>
      </w:r>
      <w:r w:rsidRPr="004D66CF">
        <w:rPr>
          <w:rFonts w:ascii="Arial" w:hAnsi="Arial" w:cs="Arial"/>
          <w:i/>
          <w:iCs/>
          <w:sz w:val="24"/>
          <w:szCs w:val="24"/>
        </w:rPr>
        <w:tab/>
        <w:t xml:space="preserve">When ascertaining the legislative intention with s130(3) purposively in its proper context, s130(3) requires that there must be judicial intervention by the Court before proceedings that have been commenced by a credit provider may be determined. Following that, the proceedings must be determined by the Court. The section therefore requires judicial oversight before the proceedings initiated by </w:t>
      </w:r>
      <w:r w:rsidRPr="004D66CF">
        <w:rPr>
          <w:rFonts w:ascii="Arial" w:hAnsi="Arial" w:cs="Arial"/>
          <w:i/>
          <w:iCs/>
          <w:sz w:val="24"/>
          <w:szCs w:val="24"/>
        </w:rPr>
        <w:lastRenderedPageBreak/>
        <w:t>a credit provider may be determined. The section is expressly formulated in a way that shows that the Court may or may not determine the matter, depending on whether the Court is satisfied that there has been due compliance with the matters mentioned in the section. There cannot be judicial intervention or judicial oversight if the Court is not involved.”</w:t>
      </w:r>
    </w:p>
    <w:p w14:paraId="4D0890EC" w14:textId="77777777"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p>
    <w:p w14:paraId="5CAC9B34" w14:textId="41FC74ED"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[61]   </w:t>
      </w:r>
      <w:r w:rsidRPr="004D66CF">
        <w:rPr>
          <w:rFonts w:ascii="Arial" w:hAnsi="Arial" w:cs="Arial"/>
          <w:i/>
          <w:iCs/>
          <w:sz w:val="24"/>
          <w:szCs w:val="24"/>
        </w:rPr>
        <w:tab/>
        <w:t>The section clearly provides a mandatory judicial intervention to ‘ensure that, upon termination of a credit agreement, a consumer is protected’. The Court’s role is clearly and expressly spelt out, just as it is spelt out in other sections of the NCA dealing specifically with debt enforcement by repossession and judgment, notably for instance s131.</w:t>
      </w:r>
    </w:p>
    <w:p w14:paraId="71B9CE98" w14:textId="77777777"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p>
    <w:p w14:paraId="74B5F178" w14:textId="65F8AB08"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[62]   </w:t>
      </w:r>
      <w:r w:rsidRPr="004D66CF">
        <w:rPr>
          <w:rFonts w:ascii="Arial" w:hAnsi="Arial" w:cs="Arial"/>
          <w:i/>
          <w:iCs/>
          <w:sz w:val="24"/>
          <w:szCs w:val="24"/>
        </w:rPr>
        <w:tab/>
        <w:t xml:space="preserve">The meaning of ‘court’ in s130(3) cannot be interpreted to impliedly include anybody else performing the functions therein contained.  </w:t>
      </w:r>
    </w:p>
    <w:p w14:paraId="11620D2F" w14:textId="77777777" w:rsidR="001D4921" w:rsidRPr="004D66CF" w:rsidRDefault="001D4921" w:rsidP="001D4921">
      <w:pPr>
        <w:pStyle w:val="ListParagraph"/>
        <w:spacing w:before="480" w:after="0" w:line="480" w:lineRule="auto"/>
        <w:ind w:left="1560" w:hanging="840"/>
        <w:jc w:val="both"/>
        <w:rPr>
          <w:rFonts w:ascii="Arial" w:hAnsi="Arial" w:cs="Arial"/>
          <w:i/>
          <w:iCs/>
          <w:sz w:val="24"/>
          <w:szCs w:val="24"/>
        </w:rPr>
      </w:pPr>
    </w:p>
    <w:p w14:paraId="70C220C3" w14:textId="297E5C69" w:rsidR="001D4921" w:rsidRPr="006029DA" w:rsidRDefault="001D4921" w:rsidP="006029DA">
      <w:pPr>
        <w:pStyle w:val="ListParagraph"/>
        <w:spacing w:before="480" w:after="0" w:line="480" w:lineRule="auto"/>
        <w:ind w:left="1560" w:hanging="840"/>
        <w:jc w:val="both"/>
        <w:rPr>
          <w:rFonts w:ascii="Arial" w:hAnsi="Arial" w:cs="Arial"/>
          <w:i/>
          <w:iCs/>
          <w:sz w:val="24"/>
          <w:szCs w:val="24"/>
        </w:rPr>
      </w:pPr>
      <w:r w:rsidRPr="004D66CF">
        <w:rPr>
          <w:rFonts w:ascii="Arial" w:hAnsi="Arial" w:cs="Arial"/>
          <w:i/>
          <w:iCs/>
          <w:sz w:val="24"/>
          <w:szCs w:val="24"/>
        </w:rPr>
        <w:t xml:space="preserve">[63]   </w:t>
      </w:r>
      <w:r w:rsidRPr="004D66CF">
        <w:rPr>
          <w:rFonts w:ascii="Arial" w:hAnsi="Arial" w:cs="Arial"/>
          <w:i/>
          <w:iCs/>
          <w:sz w:val="24"/>
          <w:szCs w:val="24"/>
        </w:rPr>
        <w:tab/>
        <w:t>The ‘court’ in s130(3) of the NCA clearly refers to a Judge sitting in open court.”</w:t>
      </w:r>
    </w:p>
    <w:p w14:paraId="78AD4CC7" w14:textId="731A3CF1" w:rsidR="001860A8" w:rsidRDefault="000E5471" w:rsidP="000E5471">
      <w:pPr>
        <w:spacing w:before="480"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D4921" w:rsidRPr="000E5471">
        <w:rPr>
          <w:rFonts w:ascii="Arial" w:hAnsi="Arial" w:cs="Arial"/>
          <w:sz w:val="24"/>
          <w:szCs w:val="24"/>
        </w:rPr>
        <w:t xml:space="preserve">From </w:t>
      </w:r>
      <w:r w:rsidRPr="000E5471">
        <w:rPr>
          <w:rFonts w:ascii="Arial" w:hAnsi="Arial" w:cs="Arial"/>
          <w:sz w:val="24"/>
          <w:szCs w:val="24"/>
        </w:rPr>
        <w:t>these</w:t>
      </w:r>
      <w:r w:rsidR="001D4921" w:rsidRPr="000E5471">
        <w:rPr>
          <w:rFonts w:ascii="Arial" w:hAnsi="Arial" w:cs="Arial"/>
          <w:sz w:val="24"/>
          <w:szCs w:val="24"/>
        </w:rPr>
        <w:t xml:space="preserve"> authorities referred to above</w:t>
      </w:r>
      <w:r w:rsidR="0067488C">
        <w:rPr>
          <w:rFonts w:ascii="Arial" w:hAnsi="Arial" w:cs="Arial"/>
          <w:sz w:val="24"/>
          <w:szCs w:val="24"/>
        </w:rPr>
        <w:t>, which I fully ascribe to</w:t>
      </w:r>
      <w:r w:rsidR="001D4921" w:rsidRPr="000E5471">
        <w:rPr>
          <w:rFonts w:ascii="Arial" w:hAnsi="Arial" w:cs="Arial"/>
          <w:sz w:val="24"/>
          <w:szCs w:val="24"/>
        </w:rPr>
        <w:t xml:space="preserve">, it is palpably clear that there is a significant difference between a </w:t>
      </w:r>
      <w:r w:rsidR="000E5CCC">
        <w:rPr>
          <w:rFonts w:ascii="Arial" w:hAnsi="Arial" w:cs="Arial"/>
          <w:sz w:val="24"/>
          <w:szCs w:val="24"/>
        </w:rPr>
        <w:t>J</w:t>
      </w:r>
      <w:r w:rsidR="001D4921" w:rsidRPr="000E5471">
        <w:rPr>
          <w:rFonts w:ascii="Arial" w:hAnsi="Arial" w:cs="Arial"/>
          <w:sz w:val="24"/>
          <w:szCs w:val="24"/>
        </w:rPr>
        <w:t>udge sitting in chambers as well as a</w:t>
      </w:r>
      <w:r w:rsidR="00873C4C">
        <w:rPr>
          <w:rFonts w:ascii="Arial" w:hAnsi="Arial" w:cs="Arial"/>
          <w:sz w:val="24"/>
          <w:szCs w:val="24"/>
        </w:rPr>
        <w:t xml:space="preserve"> J</w:t>
      </w:r>
      <w:r w:rsidR="001D4921" w:rsidRPr="000E5471">
        <w:rPr>
          <w:rFonts w:ascii="Arial" w:hAnsi="Arial" w:cs="Arial"/>
          <w:sz w:val="24"/>
          <w:szCs w:val="24"/>
        </w:rPr>
        <w:t xml:space="preserve">udge sitting in open court. From this, </w:t>
      </w:r>
      <w:proofErr w:type="gramStart"/>
      <w:r w:rsidR="001D4921" w:rsidRPr="000E5471">
        <w:rPr>
          <w:rFonts w:ascii="Arial" w:hAnsi="Arial" w:cs="Arial"/>
          <w:sz w:val="24"/>
          <w:szCs w:val="24"/>
        </w:rPr>
        <w:t xml:space="preserve">it is clear </w:t>
      </w:r>
      <w:r w:rsidRPr="000E5471">
        <w:rPr>
          <w:rFonts w:ascii="Arial" w:hAnsi="Arial" w:cs="Arial"/>
          <w:sz w:val="24"/>
          <w:szCs w:val="24"/>
        </w:rPr>
        <w:t xml:space="preserve">that </w:t>
      </w:r>
      <w:r w:rsidR="000E5CCC">
        <w:rPr>
          <w:rFonts w:ascii="Arial" w:hAnsi="Arial" w:cs="Arial"/>
          <w:sz w:val="24"/>
          <w:szCs w:val="24"/>
        </w:rPr>
        <w:t>to</w:t>
      </w:r>
      <w:proofErr w:type="gramEnd"/>
      <w:r w:rsidR="000E5CCC">
        <w:rPr>
          <w:rFonts w:ascii="Arial" w:hAnsi="Arial" w:cs="Arial"/>
          <w:sz w:val="24"/>
          <w:szCs w:val="24"/>
        </w:rPr>
        <w:t xml:space="preserve"> constitute or to be referred to as </w:t>
      </w:r>
      <w:r w:rsidR="0067488C">
        <w:rPr>
          <w:rFonts w:ascii="Arial" w:hAnsi="Arial" w:cs="Arial"/>
          <w:sz w:val="24"/>
          <w:szCs w:val="24"/>
        </w:rPr>
        <w:t>“</w:t>
      </w:r>
      <w:r w:rsidR="000E5CCC">
        <w:rPr>
          <w:rFonts w:ascii="Arial" w:hAnsi="Arial" w:cs="Arial"/>
          <w:sz w:val="24"/>
          <w:szCs w:val="24"/>
        </w:rPr>
        <w:t>a Court</w:t>
      </w:r>
      <w:r w:rsidR="0067488C">
        <w:rPr>
          <w:rFonts w:ascii="Arial" w:hAnsi="Arial" w:cs="Arial"/>
          <w:sz w:val="24"/>
          <w:szCs w:val="24"/>
        </w:rPr>
        <w:t>”</w:t>
      </w:r>
      <w:r w:rsidR="000E5CCC">
        <w:rPr>
          <w:rFonts w:ascii="Arial" w:hAnsi="Arial" w:cs="Arial"/>
          <w:sz w:val="24"/>
          <w:szCs w:val="24"/>
        </w:rPr>
        <w:t>, the Judge must be sitting in Court</w:t>
      </w:r>
      <w:r w:rsidR="0067488C">
        <w:rPr>
          <w:rFonts w:ascii="Arial" w:hAnsi="Arial" w:cs="Arial"/>
          <w:sz w:val="24"/>
          <w:szCs w:val="24"/>
        </w:rPr>
        <w:t>.</w:t>
      </w:r>
      <w:r w:rsidR="008F002B">
        <w:rPr>
          <w:rFonts w:ascii="Arial" w:hAnsi="Arial" w:cs="Arial"/>
          <w:sz w:val="24"/>
          <w:szCs w:val="24"/>
        </w:rPr>
        <w:t xml:space="preserve"> This is fortified by s </w:t>
      </w:r>
      <w:r w:rsidR="00AA1C41">
        <w:rPr>
          <w:rFonts w:ascii="Arial" w:hAnsi="Arial" w:cs="Arial"/>
          <w:sz w:val="24"/>
          <w:szCs w:val="24"/>
        </w:rPr>
        <w:t>14</w:t>
      </w:r>
      <w:r w:rsidR="00871631">
        <w:rPr>
          <w:rFonts w:ascii="Arial" w:hAnsi="Arial" w:cs="Arial"/>
          <w:sz w:val="24"/>
          <w:szCs w:val="24"/>
        </w:rPr>
        <w:t>(1) (a) of the Superior Court Act, which provides that “</w:t>
      </w:r>
      <w:r w:rsidR="00871631" w:rsidRPr="00871631">
        <w:rPr>
          <w:rFonts w:ascii="Arial" w:hAnsi="Arial" w:cs="Arial"/>
          <w:b/>
          <w:bCs/>
          <w:i/>
          <w:iCs/>
          <w:sz w:val="24"/>
          <w:szCs w:val="24"/>
          <w:u w:val="single"/>
        </w:rPr>
        <w:t>a cour</w:t>
      </w:r>
      <w:r w:rsidR="00871631">
        <w:rPr>
          <w:rFonts w:ascii="Arial" w:hAnsi="Arial" w:cs="Arial"/>
          <w:b/>
          <w:bCs/>
          <w:i/>
          <w:iCs/>
          <w:sz w:val="24"/>
          <w:szCs w:val="24"/>
          <w:u w:val="single"/>
        </w:rPr>
        <w:t xml:space="preserve">t </w:t>
      </w:r>
      <w:r w:rsidR="00871631">
        <w:rPr>
          <w:rFonts w:ascii="Arial" w:hAnsi="Arial" w:cs="Arial"/>
          <w:i/>
          <w:iCs/>
          <w:sz w:val="24"/>
          <w:szCs w:val="24"/>
          <w:u w:val="single"/>
        </w:rPr>
        <w:t xml:space="preserve">of a Division </w:t>
      </w:r>
      <w:r w:rsidR="00381043">
        <w:rPr>
          <w:rFonts w:ascii="Arial" w:hAnsi="Arial" w:cs="Arial"/>
          <w:i/>
          <w:iCs/>
          <w:sz w:val="24"/>
          <w:szCs w:val="24"/>
          <w:u w:val="single"/>
        </w:rPr>
        <w:t xml:space="preserve">must be constitute before a single Judge when sitting as a Court of </w:t>
      </w:r>
      <w:r w:rsidR="00381043">
        <w:rPr>
          <w:rFonts w:ascii="Arial" w:hAnsi="Arial" w:cs="Arial"/>
          <w:i/>
          <w:iCs/>
          <w:sz w:val="24"/>
          <w:szCs w:val="24"/>
          <w:u w:val="single"/>
        </w:rPr>
        <w:lastRenderedPageBreak/>
        <w:t>first instance for the hearing of any civil ma</w:t>
      </w:r>
      <w:r w:rsidR="00493097">
        <w:rPr>
          <w:rFonts w:ascii="Arial" w:hAnsi="Arial" w:cs="Arial"/>
          <w:i/>
          <w:iCs/>
          <w:sz w:val="24"/>
          <w:szCs w:val="24"/>
          <w:u w:val="single"/>
        </w:rPr>
        <w:t>t</w:t>
      </w:r>
      <w:r w:rsidR="00381043">
        <w:rPr>
          <w:rFonts w:ascii="Arial" w:hAnsi="Arial" w:cs="Arial"/>
          <w:i/>
          <w:iCs/>
          <w:sz w:val="24"/>
          <w:szCs w:val="24"/>
          <w:u w:val="single"/>
        </w:rPr>
        <w:t xml:space="preserve">ter, </w:t>
      </w:r>
      <w:r w:rsidR="00381043">
        <w:rPr>
          <w:rFonts w:ascii="Arial" w:hAnsi="Arial" w:cs="Arial"/>
          <w:i/>
          <w:iCs/>
          <w:sz w:val="24"/>
          <w:szCs w:val="24"/>
        </w:rPr>
        <w:t xml:space="preserve">but the Judge President </w:t>
      </w:r>
      <w:r w:rsidR="008C442F">
        <w:rPr>
          <w:rFonts w:ascii="Arial" w:hAnsi="Arial" w:cs="Arial"/>
          <w:i/>
          <w:iCs/>
          <w:sz w:val="24"/>
          <w:szCs w:val="24"/>
        </w:rPr>
        <w:t xml:space="preserve">or in the absence of </w:t>
      </w:r>
      <w:r w:rsidR="00493097">
        <w:rPr>
          <w:rFonts w:ascii="Arial" w:hAnsi="Arial" w:cs="Arial"/>
          <w:i/>
          <w:iCs/>
          <w:sz w:val="24"/>
          <w:szCs w:val="24"/>
        </w:rPr>
        <w:t>both the Judge President or Deputy Judge President</w:t>
      </w:r>
      <w:r w:rsidR="002D69E3">
        <w:rPr>
          <w:rFonts w:ascii="Arial" w:hAnsi="Arial" w:cs="Arial"/>
          <w:i/>
          <w:iCs/>
          <w:sz w:val="24"/>
          <w:szCs w:val="24"/>
        </w:rPr>
        <w:t xml:space="preserve">, the senior Judge, may at </w:t>
      </w:r>
      <w:proofErr w:type="spellStart"/>
      <w:r w:rsidR="002D69E3">
        <w:rPr>
          <w:rFonts w:ascii="Arial" w:hAnsi="Arial" w:cs="Arial"/>
          <w:i/>
          <w:iCs/>
          <w:sz w:val="24"/>
          <w:szCs w:val="24"/>
        </w:rPr>
        <w:t>anytime</w:t>
      </w:r>
      <w:proofErr w:type="spellEnd"/>
      <w:r w:rsidR="002D69E3">
        <w:rPr>
          <w:rFonts w:ascii="Arial" w:hAnsi="Arial" w:cs="Arial"/>
          <w:i/>
          <w:iCs/>
          <w:sz w:val="24"/>
          <w:szCs w:val="24"/>
        </w:rPr>
        <w:t xml:space="preserve"> direct that any matter be heard by a court consisting of not more than three judges as or she may determine”</w:t>
      </w:r>
      <w:r w:rsidR="002D69E3">
        <w:rPr>
          <w:rFonts w:ascii="Arial" w:hAnsi="Arial" w:cs="Arial"/>
          <w:sz w:val="24"/>
          <w:szCs w:val="24"/>
        </w:rPr>
        <w:t>.</w:t>
      </w:r>
    </w:p>
    <w:p w14:paraId="0EC53DD9" w14:textId="77777777" w:rsidR="00A501D1" w:rsidRDefault="001860A8" w:rsidP="006720AD">
      <w:pPr>
        <w:spacing w:before="480"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720AD">
        <w:rPr>
          <w:rFonts w:ascii="Arial" w:hAnsi="Arial" w:cs="Arial"/>
          <w:sz w:val="24"/>
          <w:szCs w:val="24"/>
        </w:rPr>
        <w:t xml:space="preserve">A Judge sitting in chambers </w:t>
      </w:r>
      <w:r>
        <w:rPr>
          <w:rFonts w:ascii="Arial" w:hAnsi="Arial" w:cs="Arial"/>
          <w:sz w:val="24"/>
          <w:szCs w:val="24"/>
        </w:rPr>
        <w:t xml:space="preserve">may </w:t>
      </w:r>
      <w:r w:rsidR="003A15D8">
        <w:rPr>
          <w:rFonts w:ascii="Arial" w:hAnsi="Arial" w:cs="Arial"/>
          <w:sz w:val="24"/>
          <w:szCs w:val="24"/>
        </w:rPr>
        <w:t xml:space="preserve">only </w:t>
      </w:r>
      <w:r>
        <w:rPr>
          <w:rFonts w:ascii="Arial" w:hAnsi="Arial" w:cs="Arial"/>
          <w:sz w:val="24"/>
          <w:szCs w:val="24"/>
        </w:rPr>
        <w:t xml:space="preserve">be referred to as </w:t>
      </w:r>
      <w:r w:rsidR="008F002B">
        <w:rPr>
          <w:rFonts w:ascii="Arial" w:hAnsi="Arial" w:cs="Arial"/>
          <w:sz w:val="24"/>
          <w:szCs w:val="24"/>
        </w:rPr>
        <w:t>“a</w:t>
      </w:r>
      <w:r w:rsidR="003A15D8">
        <w:rPr>
          <w:rFonts w:ascii="Arial" w:hAnsi="Arial" w:cs="Arial"/>
          <w:sz w:val="24"/>
          <w:szCs w:val="24"/>
        </w:rPr>
        <w:t xml:space="preserve"> Court”, when the law empowers him</w:t>
      </w:r>
      <w:r w:rsidR="006720AD">
        <w:rPr>
          <w:rFonts w:ascii="Arial" w:hAnsi="Arial" w:cs="Arial"/>
          <w:sz w:val="24"/>
          <w:szCs w:val="24"/>
        </w:rPr>
        <w:t>/her</w:t>
      </w:r>
      <w:r w:rsidR="003A15D8">
        <w:rPr>
          <w:rFonts w:ascii="Arial" w:hAnsi="Arial" w:cs="Arial"/>
          <w:sz w:val="24"/>
          <w:szCs w:val="24"/>
        </w:rPr>
        <w:t xml:space="preserve"> to consider such matter in chambers</w:t>
      </w:r>
      <w:r w:rsidR="006029DA">
        <w:rPr>
          <w:rFonts w:ascii="Arial" w:hAnsi="Arial" w:cs="Arial"/>
          <w:sz w:val="24"/>
          <w:szCs w:val="24"/>
        </w:rPr>
        <w:t>.</w:t>
      </w:r>
      <w:r w:rsidR="008F002B">
        <w:rPr>
          <w:rFonts w:ascii="Arial" w:hAnsi="Arial" w:cs="Arial"/>
          <w:sz w:val="24"/>
          <w:szCs w:val="24"/>
        </w:rPr>
        <w:t xml:space="preserve"> </w:t>
      </w:r>
    </w:p>
    <w:p w14:paraId="7D4110C9" w14:textId="3E3E00E0" w:rsidR="00E45D6E" w:rsidRDefault="00A501D1" w:rsidP="006720AD">
      <w:pPr>
        <w:spacing w:before="480"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E45D6E">
        <w:rPr>
          <w:rFonts w:ascii="Arial" w:hAnsi="Arial" w:cs="Arial"/>
          <w:sz w:val="24"/>
          <w:szCs w:val="24"/>
        </w:rPr>
        <w:t xml:space="preserve">the Banks and Basa in their submissions, placed reliance on the Judgment by the full Court in Mpumalanga in the matter of </w:t>
      </w:r>
      <w:r w:rsidR="00940FAE">
        <w:rPr>
          <w:rFonts w:ascii="Arial" w:hAnsi="Arial" w:cs="Arial"/>
          <w:b/>
          <w:bCs/>
          <w:sz w:val="24"/>
          <w:szCs w:val="24"/>
          <w:u w:val="single"/>
        </w:rPr>
        <w:t xml:space="preserve">Nedbank v </w:t>
      </w:r>
      <w:proofErr w:type="spellStart"/>
      <w:r w:rsidR="00940FAE">
        <w:rPr>
          <w:rFonts w:ascii="Arial" w:hAnsi="Arial" w:cs="Arial"/>
          <w:b/>
          <w:bCs/>
          <w:sz w:val="24"/>
          <w:szCs w:val="24"/>
          <w:u w:val="single"/>
        </w:rPr>
        <w:t>Mollentze</w:t>
      </w:r>
      <w:proofErr w:type="spellEnd"/>
      <w:r w:rsidR="00940FAE">
        <w:rPr>
          <w:rStyle w:val="FootnoteReference"/>
          <w:rFonts w:ascii="Arial" w:hAnsi="Arial" w:cs="Arial"/>
          <w:b/>
          <w:bCs/>
          <w:sz w:val="24"/>
          <w:szCs w:val="24"/>
          <w:u w:val="single"/>
        </w:rPr>
        <w:footnoteReference w:id="24"/>
      </w:r>
      <w:r w:rsidR="00940FAE">
        <w:rPr>
          <w:rFonts w:ascii="Arial" w:hAnsi="Arial" w:cs="Arial"/>
          <w:sz w:val="24"/>
          <w:szCs w:val="24"/>
        </w:rPr>
        <w:t xml:space="preserve">, wherein the Court found that the Registrar </w:t>
      </w:r>
      <w:r w:rsidR="009B7768">
        <w:rPr>
          <w:rFonts w:ascii="Arial" w:hAnsi="Arial" w:cs="Arial"/>
          <w:sz w:val="24"/>
          <w:szCs w:val="24"/>
        </w:rPr>
        <w:t>had the power to grant default judgment in terms of Rule 31(5)(b)(vii) of the Rules.</w:t>
      </w:r>
    </w:p>
    <w:p w14:paraId="03D54AE8" w14:textId="00A352B3" w:rsidR="009B7768" w:rsidRDefault="009B7768" w:rsidP="006720AD">
      <w:pPr>
        <w:spacing w:before="480"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judgment in </w:t>
      </w:r>
      <w:proofErr w:type="spellStart"/>
      <w:r>
        <w:rPr>
          <w:rFonts w:ascii="Arial" w:hAnsi="Arial" w:cs="Arial"/>
          <w:sz w:val="24"/>
          <w:szCs w:val="24"/>
        </w:rPr>
        <w:t>Mollentze</w:t>
      </w:r>
      <w:proofErr w:type="spellEnd"/>
      <w:r>
        <w:rPr>
          <w:rFonts w:ascii="Arial" w:hAnsi="Arial" w:cs="Arial"/>
          <w:sz w:val="24"/>
          <w:szCs w:val="24"/>
        </w:rPr>
        <w:t>, despite being a judgment of the full court, in my view does not answer the question posed above. In that matter</w:t>
      </w:r>
      <w:r w:rsidR="00AF0CEF">
        <w:rPr>
          <w:rFonts w:ascii="Arial" w:hAnsi="Arial" w:cs="Arial"/>
          <w:sz w:val="24"/>
          <w:szCs w:val="24"/>
        </w:rPr>
        <w:t xml:space="preserve">, the Court had to grapple with the question of the Registrar’s power to grant default judgments in matters arising out of the NCA. </w:t>
      </w:r>
    </w:p>
    <w:p w14:paraId="14EC3BA8" w14:textId="3DC39DDD" w:rsidR="00AF0CEF" w:rsidRDefault="00AF0CEF" w:rsidP="006720AD">
      <w:pPr>
        <w:spacing w:before="480"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In the present matter, the issue is whether a Judge in chamber, is a Court for the purposes of granting default judgments in matters arising out of the NCA. </w:t>
      </w:r>
    </w:p>
    <w:p w14:paraId="65022745" w14:textId="246D8A36" w:rsidR="00AF0CEF" w:rsidRPr="00940FAE" w:rsidRDefault="00AF0CEF" w:rsidP="00E848E6">
      <w:pPr>
        <w:spacing w:before="480"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In the premises</w:t>
      </w:r>
      <w:r w:rsidR="00E848E6">
        <w:rPr>
          <w:rFonts w:ascii="Arial" w:hAnsi="Arial" w:cs="Arial"/>
          <w:sz w:val="24"/>
          <w:szCs w:val="24"/>
        </w:rPr>
        <w:t xml:space="preserve">, I am not persuaded that the judgment in </w:t>
      </w:r>
      <w:proofErr w:type="spellStart"/>
      <w:r w:rsidR="00E848E6">
        <w:rPr>
          <w:rFonts w:ascii="Arial" w:hAnsi="Arial" w:cs="Arial"/>
          <w:sz w:val="24"/>
          <w:szCs w:val="24"/>
        </w:rPr>
        <w:t>Mollentze</w:t>
      </w:r>
      <w:proofErr w:type="spellEnd"/>
      <w:r w:rsidR="00E848E6">
        <w:rPr>
          <w:rFonts w:ascii="Arial" w:hAnsi="Arial" w:cs="Arial"/>
          <w:sz w:val="24"/>
          <w:szCs w:val="24"/>
        </w:rPr>
        <w:t xml:space="preserve"> provides an answer to the question posed above.</w:t>
      </w:r>
    </w:p>
    <w:p w14:paraId="53BD8321" w14:textId="5D9327ED" w:rsidR="001D4921" w:rsidRPr="004D66CF" w:rsidRDefault="00E848E6" w:rsidP="00753F33">
      <w:pPr>
        <w:spacing w:before="480" w:after="0" w:line="480" w:lineRule="auto"/>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proofErr w:type="gramStart"/>
      <w:r w:rsidR="001D4921" w:rsidRPr="004D66CF">
        <w:rPr>
          <w:rFonts w:ascii="Arial" w:hAnsi="Arial" w:cs="Arial"/>
          <w:sz w:val="24"/>
          <w:szCs w:val="24"/>
        </w:rPr>
        <w:t>In light of</w:t>
      </w:r>
      <w:proofErr w:type="gramEnd"/>
      <w:r w:rsidR="001D4921" w:rsidRPr="004D66CF">
        <w:rPr>
          <w:rFonts w:ascii="Arial" w:hAnsi="Arial" w:cs="Arial"/>
          <w:sz w:val="24"/>
          <w:szCs w:val="24"/>
        </w:rPr>
        <w:t xml:space="preserve"> the aforegoing, it is my view that </w:t>
      </w:r>
      <w:r w:rsidR="00A501D1">
        <w:rPr>
          <w:rFonts w:ascii="Arial" w:hAnsi="Arial" w:cs="Arial"/>
          <w:sz w:val="24"/>
          <w:szCs w:val="24"/>
        </w:rPr>
        <w:t>a J</w:t>
      </w:r>
      <w:r w:rsidR="001D4921" w:rsidRPr="004D66CF">
        <w:rPr>
          <w:rFonts w:ascii="Arial" w:hAnsi="Arial" w:cs="Arial"/>
          <w:sz w:val="24"/>
          <w:szCs w:val="24"/>
        </w:rPr>
        <w:t xml:space="preserve">udge sitting in chambers does not constitute “a court” within the </w:t>
      </w:r>
      <w:r w:rsidR="00A501D1">
        <w:rPr>
          <w:rFonts w:ascii="Arial" w:hAnsi="Arial" w:cs="Arial"/>
          <w:sz w:val="24"/>
          <w:szCs w:val="24"/>
        </w:rPr>
        <w:t>language</w:t>
      </w:r>
      <w:r w:rsidR="001D4921" w:rsidRPr="004D66CF">
        <w:rPr>
          <w:rFonts w:ascii="Arial" w:hAnsi="Arial" w:cs="Arial"/>
          <w:sz w:val="24"/>
          <w:szCs w:val="24"/>
        </w:rPr>
        <w:t xml:space="preserve"> of section 130(3) of the NCA</w:t>
      </w:r>
      <w:r w:rsidR="00753F33">
        <w:rPr>
          <w:rFonts w:ascii="Arial" w:hAnsi="Arial" w:cs="Arial"/>
          <w:sz w:val="24"/>
          <w:szCs w:val="24"/>
        </w:rPr>
        <w:t xml:space="preserve"> and thus</w:t>
      </w:r>
      <w:r w:rsidR="0011139D">
        <w:rPr>
          <w:rFonts w:ascii="Arial" w:hAnsi="Arial" w:cs="Arial"/>
          <w:sz w:val="24"/>
          <w:szCs w:val="24"/>
        </w:rPr>
        <w:t>, has no jurisdiction to adjudicate any matter, including applications for default judgment, to which the NCA applies</w:t>
      </w:r>
      <w:r w:rsidR="002F5D9B">
        <w:rPr>
          <w:rFonts w:ascii="Arial" w:hAnsi="Arial" w:cs="Arial"/>
          <w:sz w:val="24"/>
          <w:szCs w:val="24"/>
        </w:rPr>
        <w:t>.</w:t>
      </w:r>
    </w:p>
    <w:p w14:paraId="56BB54AD" w14:textId="2EF6D437" w:rsidR="001D4921" w:rsidRPr="004D66CF" w:rsidRDefault="001E17DD" w:rsidP="001E17DD">
      <w:pPr>
        <w:spacing w:before="480" w:after="0"/>
        <w:jc w:val="both"/>
        <w:rPr>
          <w:rFonts w:ascii="Arial" w:hAnsi="Arial" w:cs="Arial"/>
          <w:b/>
          <w:bCs/>
          <w:sz w:val="24"/>
          <w:szCs w:val="24"/>
          <w:u w:val="single"/>
        </w:rPr>
      </w:pPr>
      <w:r>
        <w:rPr>
          <w:rFonts w:ascii="Arial" w:hAnsi="Arial" w:cs="Arial"/>
          <w:b/>
          <w:bCs/>
          <w:sz w:val="24"/>
          <w:szCs w:val="24"/>
          <w:u w:val="single"/>
        </w:rPr>
        <w:t xml:space="preserve">WHETHER </w:t>
      </w:r>
      <w:r w:rsidR="001D4921" w:rsidRPr="004D66CF">
        <w:rPr>
          <w:rFonts w:ascii="Arial" w:hAnsi="Arial" w:cs="Arial"/>
          <w:b/>
          <w:bCs/>
          <w:sz w:val="24"/>
          <w:szCs w:val="24"/>
          <w:u w:val="single"/>
        </w:rPr>
        <w:t>THE ACTING JUDGE PRESIDENT’S DIRECTIVE DATED 14 FEBRUARY 2022</w:t>
      </w:r>
      <w:r>
        <w:rPr>
          <w:rFonts w:ascii="Arial" w:hAnsi="Arial" w:cs="Arial"/>
          <w:b/>
          <w:bCs/>
          <w:sz w:val="24"/>
          <w:szCs w:val="24"/>
          <w:u w:val="single"/>
        </w:rPr>
        <w:t>, CONFERS JURISDICTION TO A JUDGE IN CHAMBERS, TO CONSIDER MATTERS IN WHICH THE NCA APPLIES</w:t>
      </w:r>
      <w:r w:rsidR="001D4921" w:rsidRPr="004D66CF">
        <w:rPr>
          <w:rFonts w:ascii="Arial" w:hAnsi="Arial" w:cs="Arial"/>
          <w:b/>
          <w:bCs/>
          <w:sz w:val="24"/>
          <w:szCs w:val="24"/>
          <w:u w:val="single"/>
        </w:rPr>
        <w:t xml:space="preserve"> </w:t>
      </w:r>
    </w:p>
    <w:p w14:paraId="230240BB" w14:textId="08904294" w:rsidR="00D9730A" w:rsidRDefault="005B4E6B" w:rsidP="00D9730A">
      <w:pPr>
        <w:spacing w:before="480" w:after="0" w:line="480" w:lineRule="auto"/>
        <w:ind w:left="720" w:hanging="720"/>
        <w:jc w:val="both"/>
        <w:rPr>
          <w:rFonts w:ascii="Arial" w:hAnsi="Arial" w:cs="Arial"/>
          <w:sz w:val="24"/>
          <w:szCs w:val="24"/>
        </w:rPr>
      </w:pPr>
      <w:r>
        <w:rPr>
          <w:rFonts w:ascii="Arial" w:hAnsi="Arial" w:cs="Arial"/>
          <w:sz w:val="24"/>
          <w:szCs w:val="24"/>
        </w:rPr>
        <w:t>2</w:t>
      </w:r>
      <w:r w:rsidR="00753F33">
        <w:rPr>
          <w:rFonts w:ascii="Arial" w:hAnsi="Arial" w:cs="Arial"/>
          <w:sz w:val="24"/>
          <w:szCs w:val="24"/>
        </w:rPr>
        <w:t>5</w:t>
      </w:r>
      <w:r>
        <w:rPr>
          <w:rFonts w:ascii="Arial" w:hAnsi="Arial" w:cs="Arial"/>
          <w:sz w:val="24"/>
          <w:szCs w:val="24"/>
        </w:rPr>
        <w:t>.</w:t>
      </w:r>
      <w:r>
        <w:rPr>
          <w:rFonts w:ascii="Arial" w:hAnsi="Arial" w:cs="Arial"/>
          <w:sz w:val="24"/>
          <w:szCs w:val="24"/>
        </w:rPr>
        <w:tab/>
      </w:r>
      <w:r w:rsidR="001D4921" w:rsidRPr="005B4E6B">
        <w:rPr>
          <w:rFonts w:ascii="Arial" w:hAnsi="Arial" w:cs="Arial"/>
          <w:sz w:val="24"/>
          <w:szCs w:val="24"/>
        </w:rPr>
        <w:t>I have pointed out earlier</w:t>
      </w:r>
      <w:r w:rsidR="007E38D5">
        <w:rPr>
          <w:rFonts w:ascii="Arial" w:hAnsi="Arial" w:cs="Arial"/>
          <w:sz w:val="24"/>
          <w:szCs w:val="24"/>
        </w:rPr>
        <w:t xml:space="preserve"> that following </w:t>
      </w:r>
      <w:r w:rsidR="001D4921" w:rsidRPr="005B4E6B">
        <w:rPr>
          <w:rFonts w:ascii="Arial" w:hAnsi="Arial" w:cs="Arial"/>
          <w:sz w:val="24"/>
          <w:szCs w:val="24"/>
        </w:rPr>
        <w:t xml:space="preserve">the </w:t>
      </w:r>
      <w:proofErr w:type="spellStart"/>
      <w:r w:rsidR="007E38D5" w:rsidRPr="005B4E6B">
        <w:rPr>
          <w:rFonts w:ascii="Arial" w:hAnsi="Arial" w:cs="Arial"/>
          <w:b/>
          <w:bCs/>
          <w:sz w:val="24"/>
          <w:szCs w:val="24"/>
          <w:u w:val="single"/>
        </w:rPr>
        <w:t>Nkata</w:t>
      </w:r>
      <w:proofErr w:type="spellEnd"/>
      <w:r w:rsidR="007E38D5" w:rsidRPr="005B4E6B">
        <w:rPr>
          <w:rFonts w:ascii="Arial" w:hAnsi="Arial" w:cs="Arial"/>
          <w:b/>
          <w:bCs/>
          <w:sz w:val="24"/>
          <w:szCs w:val="24"/>
          <w:u w:val="single"/>
        </w:rPr>
        <w:t xml:space="preserve"> </w:t>
      </w:r>
      <w:r w:rsidR="007E38D5">
        <w:rPr>
          <w:rFonts w:ascii="Arial" w:hAnsi="Arial" w:cs="Arial"/>
          <w:sz w:val="24"/>
          <w:szCs w:val="24"/>
        </w:rPr>
        <w:t>and</w:t>
      </w:r>
      <w:r>
        <w:rPr>
          <w:rFonts w:ascii="Arial" w:hAnsi="Arial" w:cs="Arial"/>
          <w:sz w:val="24"/>
          <w:szCs w:val="24"/>
        </w:rPr>
        <w:t xml:space="preserve"> </w:t>
      </w:r>
      <w:r w:rsidRPr="005B4E6B">
        <w:rPr>
          <w:rFonts w:ascii="Arial" w:hAnsi="Arial" w:cs="Arial"/>
          <w:b/>
          <w:bCs/>
          <w:sz w:val="24"/>
          <w:szCs w:val="24"/>
          <w:u w:val="single"/>
        </w:rPr>
        <w:t>Theu</w:t>
      </w:r>
      <w:r>
        <w:rPr>
          <w:rFonts w:ascii="Arial" w:hAnsi="Arial" w:cs="Arial"/>
          <w:sz w:val="24"/>
          <w:szCs w:val="24"/>
        </w:rPr>
        <w:t xml:space="preserve"> </w:t>
      </w:r>
      <w:r w:rsidR="001D4921" w:rsidRPr="005B4E6B">
        <w:rPr>
          <w:rFonts w:ascii="Arial" w:hAnsi="Arial" w:cs="Arial"/>
          <w:sz w:val="24"/>
          <w:szCs w:val="24"/>
        </w:rPr>
        <w:t>judgements</w:t>
      </w:r>
      <w:r>
        <w:rPr>
          <w:rFonts w:ascii="Arial" w:hAnsi="Arial" w:cs="Arial"/>
          <w:sz w:val="24"/>
          <w:szCs w:val="24"/>
        </w:rPr>
        <w:t xml:space="preserve">, </w:t>
      </w:r>
      <w:r w:rsidR="001D4921" w:rsidRPr="005B4E6B">
        <w:rPr>
          <w:rFonts w:ascii="Arial" w:hAnsi="Arial" w:cs="Arial"/>
          <w:sz w:val="24"/>
          <w:szCs w:val="24"/>
        </w:rPr>
        <w:t>the Acting Judge President issued a directive</w:t>
      </w:r>
      <w:r w:rsidR="007E38D5">
        <w:rPr>
          <w:rFonts w:ascii="Arial" w:hAnsi="Arial" w:cs="Arial"/>
          <w:sz w:val="24"/>
          <w:szCs w:val="24"/>
        </w:rPr>
        <w:t xml:space="preserve">. The Directive was aimed </w:t>
      </w:r>
      <w:r w:rsidR="00CE27AE">
        <w:rPr>
          <w:rFonts w:ascii="Arial" w:hAnsi="Arial" w:cs="Arial"/>
          <w:sz w:val="24"/>
          <w:szCs w:val="24"/>
        </w:rPr>
        <w:t xml:space="preserve">at </w:t>
      </w:r>
      <w:r w:rsidR="00CE27AE" w:rsidRPr="005B4E6B">
        <w:rPr>
          <w:rFonts w:ascii="Arial" w:hAnsi="Arial" w:cs="Arial"/>
          <w:sz w:val="24"/>
          <w:szCs w:val="24"/>
        </w:rPr>
        <w:t>resolving</w:t>
      </w:r>
      <w:r w:rsidR="00D9730A">
        <w:rPr>
          <w:rFonts w:ascii="Arial" w:hAnsi="Arial" w:cs="Arial"/>
          <w:sz w:val="24"/>
          <w:szCs w:val="24"/>
        </w:rPr>
        <w:t xml:space="preserve"> the conundrum caused by the key findings in these judgments and to provide </w:t>
      </w:r>
      <w:proofErr w:type="gramStart"/>
      <w:r w:rsidR="00D9730A">
        <w:rPr>
          <w:rFonts w:ascii="Arial" w:hAnsi="Arial" w:cs="Arial"/>
          <w:sz w:val="24"/>
          <w:szCs w:val="24"/>
        </w:rPr>
        <w:t>for the manner in which</w:t>
      </w:r>
      <w:proofErr w:type="gramEnd"/>
      <w:r w:rsidR="00D9730A">
        <w:rPr>
          <w:rFonts w:ascii="Arial" w:hAnsi="Arial" w:cs="Arial"/>
          <w:sz w:val="24"/>
          <w:szCs w:val="24"/>
        </w:rPr>
        <w:t xml:space="preserve"> these findings can be remedied. It introduced the consideration of these matters by a Judge in chambers.</w:t>
      </w:r>
    </w:p>
    <w:p w14:paraId="0BAEE6A0" w14:textId="1B343610" w:rsidR="00626800" w:rsidRDefault="002D27C4" w:rsidP="00D9730A">
      <w:pPr>
        <w:spacing w:before="480" w:after="0" w:line="480" w:lineRule="auto"/>
        <w:ind w:left="720" w:hanging="720"/>
        <w:jc w:val="both"/>
        <w:rPr>
          <w:rFonts w:ascii="Arial" w:hAnsi="Arial" w:cs="Arial"/>
          <w:sz w:val="24"/>
          <w:szCs w:val="24"/>
        </w:rPr>
      </w:pPr>
      <w:r>
        <w:rPr>
          <w:rFonts w:ascii="Arial" w:hAnsi="Arial" w:cs="Arial"/>
          <w:sz w:val="24"/>
          <w:szCs w:val="24"/>
        </w:rPr>
        <w:t>2</w:t>
      </w:r>
      <w:r w:rsidR="00753F33">
        <w:rPr>
          <w:rFonts w:ascii="Arial" w:hAnsi="Arial" w:cs="Arial"/>
          <w:sz w:val="24"/>
          <w:szCs w:val="24"/>
        </w:rPr>
        <w:t>6</w:t>
      </w:r>
      <w:r>
        <w:rPr>
          <w:rFonts w:ascii="Arial" w:hAnsi="Arial" w:cs="Arial"/>
          <w:sz w:val="24"/>
          <w:szCs w:val="24"/>
        </w:rPr>
        <w:t>.</w:t>
      </w:r>
      <w:r>
        <w:rPr>
          <w:rFonts w:ascii="Arial" w:hAnsi="Arial" w:cs="Arial"/>
          <w:sz w:val="24"/>
          <w:szCs w:val="24"/>
        </w:rPr>
        <w:tab/>
      </w:r>
      <w:r w:rsidR="00B95E6B">
        <w:rPr>
          <w:rFonts w:ascii="Arial" w:hAnsi="Arial" w:cs="Arial"/>
          <w:sz w:val="24"/>
          <w:szCs w:val="24"/>
        </w:rPr>
        <w:t>T</w:t>
      </w:r>
      <w:r w:rsidR="00626800">
        <w:rPr>
          <w:rFonts w:ascii="Arial" w:hAnsi="Arial" w:cs="Arial"/>
          <w:sz w:val="24"/>
          <w:szCs w:val="24"/>
        </w:rPr>
        <w:t>his in turn, raises a question, whether the Directive confers jurisdiction to Judges in chambers, to consider matters in which the NCA applies</w:t>
      </w:r>
      <w:r w:rsidR="00B95E6B">
        <w:rPr>
          <w:rFonts w:ascii="Arial" w:hAnsi="Arial" w:cs="Arial"/>
          <w:sz w:val="24"/>
          <w:szCs w:val="24"/>
        </w:rPr>
        <w:t>.</w:t>
      </w:r>
    </w:p>
    <w:p w14:paraId="54DF3F27" w14:textId="5F37A2C7" w:rsidR="001D4921" w:rsidRDefault="00B95E6B" w:rsidP="00D9730A">
      <w:pPr>
        <w:spacing w:before="480" w:after="0" w:line="480" w:lineRule="auto"/>
        <w:ind w:left="720" w:hanging="720"/>
        <w:jc w:val="both"/>
        <w:rPr>
          <w:rFonts w:ascii="Arial" w:hAnsi="Arial" w:cs="Arial"/>
          <w:sz w:val="24"/>
          <w:szCs w:val="24"/>
        </w:rPr>
      </w:pPr>
      <w:r>
        <w:rPr>
          <w:rFonts w:ascii="Arial" w:hAnsi="Arial" w:cs="Arial"/>
          <w:sz w:val="24"/>
          <w:szCs w:val="24"/>
        </w:rPr>
        <w:t>2</w:t>
      </w:r>
      <w:r w:rsidR="00753F33">
        <w:rPr>
          <w:rFonts w:ascii="Arial" w:hAnsi="Arial" w:cs="Arial"/>
          <w:sz w:val="24"/>
          <w:szCs w:val="24"/>
        </w:rPr>
        <w:t>7</w:t>
      </w:r>
      <w:r>
        <w:rPr>
          <w:rFonts w:ascii="Arial" w:hAnsi="Arial" w:cs="Arial"/>
          <w:sz w:val="24"/>
          <w:szCs w:val="24"/>
        </w:rPr>
        <w:t>.</w:t>
      </w:r>
      <w:r>
        <w:rPr>
          <w:rFonts w:ascii="Arial" w:hAnsi="Arial" w:cs="Arial"/>
          <w:sz w:val="24"/>
          <w:szCs w:val="24"/>
        </w:rPr>
        <w:tab/>
      </w:r>
      <w:r w:rsidR="001D4921" w:rsidRPr="004D66CF">
        <w:rPr>
          <w:rFonts w:ascii="Arial" w:hAnsi="Arial" w:cs="Arial"/>
          <w:sz w:val="24"/>
          <w:szCs w:val="24"/>
        </w:rPr>
        <w:t xml:space="preserve">The directive was issued </w:t>
      </w:r>
      <w:r w:rsidR="00262009">
        <w:rPr>
          <w:rFonts w:ascii="Arial" w:hAnsi="Arial" w:cs="Arial"/>
          <w:sz w:val="24"/>
          <w:szCs w:val="24"/>
        </w:rPr>
        <w:t>in terms of</w:t>
      </w:r>
      <w:r w:rsidR="001D4921" w:rsidRPr="004D66CF">
        <w:rPr>
          <w:rFonts w:ascii="Arial" w:hAnsi="Arial" w:cs="Arial"/>
          <w:sz w:val="24"/>
          <w:szCs w:val="24"/>
        </w:rPr>
        <w:t xml:space="preserve"> </w:t>
      </w:r>
      <w:proofErr w:type="spellStart"/>
      <w:r w:rsidR="001D4921" w:rsidRPr="004D66CF">
        <w:rPr>
          <w:rFonts w:ascii="Arial" w:hAnsi="Arial" w:cs="Arial"/>
          <w:sz w:val="24"/>
          <w:szCs w:val="24"/>
        </w:rPr>
        <w:t>to</w:t>
      </w:r>
      <w:proofErr w:type="spellEnd"/>
      <w:r w:rsidR="00C2684A">
        <w:rPr>
          <w:rFonts w:ascii="Arial" w:hAnsi="Arial" w:cs="Arial"/>
          <w:sz w:val="24"/>
          <w:szCs w:val="24"/>
        </w:rPr>
        <w:t xml:space="preserve"> s 8(6) of the Superior Courts Act. Th</w:t>
      </w:r>
      <w:r w:rsidR="00645713">
        <w:rPr>
          <w:rFonts w:ascii="Arial" w:hAnsi="Arial" w:cs="Arial"/>
          <w:sz w:val="24"/>
          <w:szCs w:val="24"/>
        </w:rPr>
        <w:t xml:space="preserve">e section gives the Judge President or Acting Judge President </w:t>
      </w:r>
      <w:r w:rsidR="00907334">
        <w:rPr>
          <w:rFonts w:ascii="Arial" w:hAnsi="Arial" w:cs="Arial"/>
          <w:sz w:val="24"/>
          <w:szCs w:val="24"/>
        </w:rPr>
        <w:t>(in</w:t>
      </w:r>
      <w:r w:rsidR="00645713">
        <w:rPr>
          <w:rFonts w:ascii="Arial" w:hAnsi="Arial" w:cs="Arial"/>
          <w:sz w:val="24"/>
          <w:szCs w:val="24"/>
        </w:rPr>
        <w:t xml:space="preserve"> the absence of the Judge President, to;</w:t>
      </w:r>
      <w:r w:rsidR="00C2684A">
        <w:rPr>
          <w:rFonts w:ascii="Arial" w:hAnsi="Arial" w:cs="Arial"/>
          <w:sz w:val="24"/>
          <w:szCs w:val="24"/>
        </w:rPr>
        <w:t xml:space="preserve"> </w:t>
      </w:r>
    </w:p>
    <w:p w14:paraId="2720F67C" w14:textId="045C8144" w:rsidR="00FC1B7D" w:rsidRDefault="00FC1B7D" w:rsidP="00D9730A">
      <w:pPr>
        <w:spacing w:before="480" w:after="0" w:line="480" w:lineRule="auto"/>
        <w:ind w:left="720" w:hanging="720"/>
        <w:jc w:val="both"/>
        <w:rPr>
          <w:rFonts w:ascii="Arial" w:hAnsi="Arial" w:cs="Arial"/>
          <w:sz w:val="24"/>
          <w:szCs w:val="24"/>
        </w:rPr>
      </w:pPr>
      <w:r>
        <w:rPr>
          <w:rFonts w:ascii="Arial" w:hAnsi="Arial" w:cs="Arial"/>
          <w:sz w:val="24"/>
          <w:szCs w:val="24"/>
        </w:rPr>
        <w:tab/>
        <w:t>2</w:t>
      </w:r>
      <w:r w:rsidR="00753F33">
        <w:rPr>
          <w:rFonts w:ascii="Arial" w:hAnsi="Arial" w:cs="Arial"/>
          <w:sz w:val="24"/>
          <w:szCs w:val="24"/>
        </w:rPr>
        <w:t>7</w:t>
      </w:r>
      <w:r>
        <w:rPr>
          <w:rFonts w:ascii="Arial" w:hAnsi="Arial" w:cs="Arial"/>
          <w:sz w:val="24"/>
          <w:szCs w:val="24"/>
        </w:rPr>
        <w:t>.1.</w:t>
      </w:r>
      <w:r>
        <w:rPr>
          <w:rFonts w:ascii="Arial" w:hAnsi="Arial" w:cs="Arial"/>
          <w:sz w:val="24"/>
          <w:szCs w:val="24"/>
        </w:rPr>
        <w:tab/>
        <w:t>determine the sittings of the specific courts;</w:t>
      </w:r>
    </w:p>
    <w:p w14:paraId="3F61B140" w14:textId="4F994DB1" w:rsidR="00FC1B7D" w:rsidRDefault="00FC1B7D" w:rsidP="00D9730A">
      <w:pPr>
        <w:spacing w:before="480" w:after="0" w:line="480" w:lineRule="auto"/>
        <w:ind w:left="720" w:hanging="720"/>
        <w:jc w:val="both"/>
        <w:rPr>
          <w:rFonts w:ascii="Arial" w:hAnsi="Arial" w:cs="Arial"/>
          <w:sz w:val="24"/>
          <w:szCs w:val="24"/>
        </w:rPr>
      </w:pPr>
      <w:r>
        <w:rPr>
          <w:rFonts w:ascii="Arial" w:hAnsi="Arial" w:cs="Arial"/>
          <w:sz w:val="24"/>
          <w:szCs w:val="24"/>
        </w:rPr>
        <w:tab/>
        <w:t>2</w:t>
      </w:r>
      <w:r w:rsidR="00753F33">
        <w:rPr>
          <w:rFonts w:ascii="Arial" w:hAnsi="Arial" w:cs="Arial"/>
          <w:sz w:val="24"/>
          <w:szCs w:val="24"/>
        </w:rPr>
        <w:t>7</w:t>
      </w:r>
      <w:r>
        <w:rPr>
          <w:rFonts w:ascii="Arial" w:hAnsi="Arial" w:cs="Arial"/>
          <w:sz w:val="24"/>
          <w:szCs w:val="24"/>
        </w:rPr>
        <w:t>.2.</w:t>
      </w:r>
      <w:r>
        <w:rPr>
          <w:rFonts w:ascii="Arial" w:hAnsi="Arial" w:cs="Arial"/>
          <w:sz w:val="24"/>
          <w:szCs w:val="24"/>
        </w:rPr>
        <w:tab/>
        <w:t xml:space="preserve">assignment of judicial officers </w:t>
      </w:r>
      <w:r w:rsidR="00907334">
        <w:rPr>
          <w:rFonts w:ascii="Arial" w:hAnsi="Arial" w:cs="Arial"/>
          <w:sz w:val="24"/>
          <w:szCs w:val="24"/>
        </w:rPr>
        <w:t>to sittings;</w:t>
      </w:r>
    </w:p>
    <w:p w14:paraId="6B3EF6BF" w14:textId="725D7A29" w:rsidR="00907334" w:rsidRDefault="00907334" w:rsidP="00D9730A">
      <w:pPr>
        <w:spacing w:before="480" w:after="0" w:line="480" w:lineRule="auto"/>
        <w:ind w:left="720" w:hanging="720"/>
        <w:jc w:val="both"/>
        <w:rPr>
          <w:rFonts w:ascii="Arial" w:hAnsi="Arial" w:cs="Arial"/>
          <w:sz w:val="24"/>
          <w:szCs w:val="24"/>
        </w:rPr>
      </w:pPr>
      <w:r>
        <w:rPr>
          <w:rFonts w:ascii="Arial" w:hAnsi="Arial" w:cs="Arial"/>
          <w:sz w:val="24"/>
          <w:szCs w:val="24"/>
        </w:rPr>
        <w:tab/>
        <w:t>2</w:t>
      </w:r>
      <w:r w:rsidR="00753F33">
        <w:rPr>
          <w:rFonts w:ascii="Arial" w:hAnsi="Arial" w:cs="Arial"/>
          <w:sz w:val="24"/>
          <w:szCs w:val="24"/>
        </w:rPr>
        <w:t>7</w:t>
      </w:r>
      <w:r>
        <w:rPr>
          <w:rFonts w:ascii="Arial" w:hAnsi="Arial" w:cs="Arial"/>
          <w:sz w:val="24"/>
          <w:szCs w:val="24"/>
        </w:rPr>
        <w:t>.3.</w:t>
      </w:r>
      <w:r>
        <w:rPr>
          <w:rFonts w:ascii="Arial" w:hAnsi="Arial" w:cs="Arial"/>
          <w:sz w:val="24"/>
          <w:szCs w:val="24"/>
        </w:rPr>
        <w:tab/>
        <w:t>assign to cases and other judicial duties to judicial officers;</w:t>
      </w:r>
    </w:p>
    <w:p w14:paraId="72EC7196" w14:textId="1967B4F5" w:rsidR="00907334" w:rsidRDefault="00907334" w:rsidP="00D9730A">
      <w:pPr>
        <w:spacing w:before="480" w:after="0" w:line="480" w:lineRule="auto"/>
        <w:ind w:left="720" w:hanging="720"/>
        <w:jc w:val="both"/>
        <w:rPr>
          <w:rFonts w:ascii="Arial" w:hAnsi="Arial" w:cs="Arial"/>
          <w:sz w:val="24"/>
          <w:szCs w:val="24"/>
        </w:rPr>
      </w:pPr>
      <w:r>
        <w:rPr>
          <w:rFonts w:ascii="Arial" w:hAnsi="Arial" w:cs="Arial"/>
          <w:sz w:val="24"/>
          <w:szCs w:val="24"/>
        </w:rPr>
        <w:lastRenderedPageBreak/>
        <w:tab/>
        <w:t>2</w:t>
      </w:r>
      <w:r w:rsidR="00753F33">
        <w:rPr>
          <w:rFonts w:ascii="Arial" w:hAnsi="Arial" w:cs="Arial"/>
          <w:sz w:val="24"/>
          <w:szCs w:val="24"/>
        </w:rPr>
        <w:t>7</w:t>
      </w:r>
      <w:r>
        <w:rPr>
          <w:rFonts w:ascii="Arial" w:hAnsi="Arial" w:cs="Arial"/>
          <w:sz w:val="24"/>
          <w:szCs w:val="24"/>
        </w:rPr>
        <w:t>.4.</w:t>
      </w:r>
      <w:r>
        <w:rPr>
          <w:rFonts w:ascii="Arial" w:hAnsi="Arial" w:cs="Arial"/>
          <w:sz w:val="24"/>
          <w:szCs w:val="24"/>
        </w:rPr>
        <w:tab/>
      </w:r>
      <w:r w:rsidR="009C3F0C">
        <w:rPr>
          <w:rFonts w:ascii="Arial" w:hAnsi="Arial" w:cs="Arial"/>
          <w:sz w:val="24"/>
          <w:szCs w:val="24"/>
        </w:rPr>
        <w:t>determine sitting schedules and places of sittings for judicial officers</w:t>
      </w:r>
      <w:r w:rsidR="00297EA4">
        <w:rPr>
          <w:rFonts w:ascii="Arial" w:hAnsi="Arial" w:cs="Arial"/>
          <w:sz w:val="24"/>
          <w:szCs w:val="24"/>
        </w:rPr>
        <w:t>;</w:t>
      </w:r>
    </w:p>
    <w:p w14:paraId="57103D09" w14:textId="2204E080" w:rsidR="00297EA4" w:rsidRDefault="00297EA4" w:rsidP="00297EA4">
      <w:pPr>
        <w:spacing w:before="480" w:after="0" w:line="480" w:lineRule="auto"/>
        <w:ind w:left="1440" w:hanging="720"/>
        <w:jc w:val="both"/>
        <w:rPr>
          <w:rFonts w:ascii="Arial" w:hAnsi="Arial" w:cs="Arial"/>
          <w:sz w:val="24"/>
          <w:szCs w:val="24"/>
        </w:rPr>
      </w:pPr>
      <w:r>
        <w:rPr>
          <w:rFonts w:ascii="Arial" w:hAnsi="Arial" w:cs="Arial"/>
          <w:sz w:val="24"/>
          <w:szCs w:val="24"/>
        </w:rPr>
        <w:t>2</w:t>
      </w:r>
      <w:r w:rsidR="00753F33">
        <w:rPr>
          <w:rFonts w:ascii="Arial" w:hAnsi="Arial" w:cs="Arial"/>
          <w:sz w:val="24"/>
          <w:szCs w:val="24"/>
        </w:rPr>
        <w:t>7</w:t>
      </w:r>
      <w:r>
        <w:rPr>
          <w:rFonts w:ascii="Arial" w:hAnsi="Arial" w:cs="Arial"/>
          <w:sz w:val="24"/>
          <w:szCs w:val="24"/>
        </w:rPr>
        <w:t>.5.</w:t>
      </w:r>
      <w:r>
        <w:rPr>
          <w:rFonts w:ascii="Arial" w:hAnsi="Arial" w:cs="Arial"/>
          <w:sz w:val="24"/>
          <w:szCs w:val="24"/>
        </w:rPr>
        <w:tab/>
        <w:t>management of procedures to be adhered to in respect of-</w:t>
      </w:r>
    </w:p>
    <w:p w14:paraId="5930EC13" w14:textId="252C4E46" w:rsidR="00297EA4" w:rsidRDefault="00297EA4" w:rsidP="00297EA4">
      <w:pPr>
        <w:spacing w:before="480" w:after="0" w:line="480" w:lineRule="auto"/>
        <w:ind w:left="1440"/>
        <w:jc w:val="both"/>
        <w:rPr>
          <w:rFonts w:ascii="Arial" w:hAnsi="Arial" w:cs="Arial"/>
          <w:sz w:val="24"/>
          <w:szCs w:val="24"/>
        </w:rPr>
      </w:pPr>
      <w:r>
        <w:rPr>
          <w:rFonts w:ascii="Arial" w:hAnsi="Arial" w:cs="Arial"/>
          <w:sz w:val="24"/>
          <w:szCs w:val="24"/>
        </w:rPr>
        <w:t>2</w:t>
      </w:r>
      <w:r w:rsidR="00753F33">
        <w:rPr>
          <w:rFonts w:ascii="Arial" w:hAnsi="Arial" w:cs="Arial"/>
          <w:sz w:val="24"/>
          <w:szCs w:val="24"/>
        </w:rPr>
        <w:t>7</w:t>
      </w:r>
      <w:r>
        <w:rPr>
          <w:rFonts w:ascii="Arial" w:hAnsi="Arial" w:cs="Arial"/>
          <w:sz w:val="24"/>
          <w:szCs w:val="24"/>
        </w:rPr>
        <w:t>.5.1.</w:t>
      </w:r>
      <w:r>
        <w:rPr>
          <w:rFonts w:ascii="Arial" w:hAnsi="Arial" w:cs="Arial"/>
          <w:sz w:val="24"/>
          <w:szCs w:val="24"/>
        </w:rPr>
        <w:tab/>
        <w:t>case flow management;</w:t>
      </w:r>
    </w:p>
    <w:p w14:paraId="1F1D9A33" w14:textId="7BCA9C10" w:rsidR="00297EA4" w:rsidRDefault="00297EA4" w:rsidP="001165E1">
      <w:pPr>
        <w:spacing w:before="480" w:after="0" w:line="480" w:lineRule="auto"/>
        <w:ind w:left="2880" w:hanging="1440"/>
        <w:jc w:val="both"/>
        <w:rPr>
          <w:rFonts w:ascii="Arial" w:hAnsi="Arial" w:cs="Arial"/>
          <w:sz w:val="24"/>
          <w:szCs w:val="24"/>
        </w:rPr>
      </w:pPr>
      <w:r>
        <w:rPr>
          <w:rFonts w:ascii="Arial" w:hAnsi="Arial" w:cs="Arial"/>
          <w:sz w:val="24"/>
          <w:szCs w:val="24"/>
        </w:rPr>
        <w:t>2</w:t>
      </w:r>
      <w:r w:rsidR="00753F33">
        <w:rPr>
          <w:rFonts w:ascii="Arial" w:hAnsi="Arial" w:cs="Arial"/>
          <w:sz w:val="24"/>
          <w:szCs w:val="24"/>
        </w:rPr>
        <w:t>7</w:t>
      </w:r>
      <w:r>
        <w:rPr>
          <w:rFonts w:ascii="Arial" w:hAnsi="Arial" w:cs="Arial"/>
          <w:sz w:val="24"/>
          <w:szCs w:val="24"/>
        </w:rPr>
        <w:t>.5.2.</w:t>
      </w:r>
      <w:r>
        <w:rPr>
          <w:rFonts w:ascii="Arial" w:hAnsi="Arial" w:cs="Arial"/>
          <w:sz w:val="24"/>
          <w:szCs w:val="24"/>
        </w:rPr>
        <w:tab/>
      </w:r>
      <w:r w:rsidR="001165E1">
        <w:rPr>
          <w:rFonts w:ascii="Arial" w:hAnsi="Arial" w:cs="Arial"/>
          <w:sz w:val="24"/>
          <w:szCs w:val="24"/>
        </w:rPr>
        <w:t xml:space="preserve">finalisation of any matter before a judicial </w:t>
      </w:r>
      <w:proofErr w:type="gramStart"/>
      <w:r w:rsidR="001165E1">
        <w:rPr>
          <w:rFonts w:ascii="Arial" w:hAnsi="Arial" w:cs="Arial"/>
          <w:sz w:val="24"/>
          <w:szCs w:val="24"/>
        </w:rPr>
        <w:t>officer ,</w:t>
      </w:r>
      <w:proofErr w:type="gramEnd"/>
      <w:r w:rsidR="001165E1">
        <w:rPr>
          <w:rFonts w:ascii="Arial" w:hAnsi="Arial" w:cs="Arial"/>
          <w:sz w:val="24"/>
          <w:szCs w:val="24"/>
        </w:rPr>
        <w:t xml:space="preserve"> including any outstanding judgment , decision or order; and </w:t>
      </w:r>
    </w:p>
    <w:p w14:paraId="5757512E" w14:textId="60CB3AA6" w:rsidR="001165E1" w:rsidRPr="004D66CF" w:rsidRDefault="001165E1" w:rsidP="001165E1">
      <w:pPr>
        <w:spacing w:before="480" w:after="0" w:line="480" w:lineRule="auto"/>
        <w:ind w:left="2880" w:hanging="1440"/>
        <w:jc w:val="both"/>
        <w:rPr>
          <w:rFonts w:ascii="Arial" w:hAnsi="Arial" w:cs="Arial"/>
          <w:sz w:val="24"/>
          <w:szCs w:val="24"/>
        </w:rPr>
      </w:pPr>
      <w:r>
        <w:rPr>
          <w:rFonts w:ascii="Arial" w:hAnsi="Arial" w:cs="Arial"/>
          <w:sz w:val="24"/>
          <w:szCs w:val="24"/>
        </w:rPr>
        <w:t>2</w:t>
      </w:r>
      <w:r w:rsidR="00753F33">
        <w:rPr>
          <w:rFonts w:ascii="Arial" w:hAnsi="Arial" w:cs="Arial"/>
          <w:sz w:val="24"/>
          <w:szCs w:val="24"/>
        </w:rPr>
        <w:t>7</w:t>
      </w:r>
      <w:r>
        <w:rPr>
          <w:rFonts w:ascii="Arial" w:hAnsi="Arial" w:cs="Arial"/>
          <w:sz w:val="24"/>
          <w:szCs w:val="24"/>
        </w:rPr>
        <w:t>.5.3.</w:t>
      </w:r>
      <w:r>
        <w:rPr>
          <w:rFonts w:ascii="Arial" w:hAnsi="Arial" w:cs="Arial"/>
          <w:sz w:val="24"/>
          <w:szCs w:val="24"/>
        </w:rPr>
        <w:tab/>
        <w:t xml:space="preserve">recess </w:t>
      </w:r>
      <w:r w:rsidR="00462114">
        <w:rPr>
          <w:rFonts w:ascii="Arial" w:hAnsi="Arial" w:cs="Arial"/>
          <w:sz w:val="24"/>
          <w:szCs w:val="24"/>
        </w:rPr>
        <w:t>of superior courts</w:t>
      </w:r>
      <w:r w:rsidR="008E6606">
        <w:rPr>
          <w:rFonts w:ascii="Arial" w:hAnsi="Arial" w:cs="Arial"/>
          <w:sz w:val="24"/>
          <w:szCs w:val="24"/>
        </w:rPr>
        <w:t>.</w:t>
      </w:r>
    </w:p>
    <w:p w14:paraId="0C343623" w14:textId="47585B19" w:rsidR="00E9723E" w:rsidRDefault="008E6606" w:rsidP="004F304B">
      <w:pPr>
        <w:spacing w:before="480" w:after="0" w:line="480" w:lineRule="auto"/>
        <w:ind w:left="720" w:hanging="720"/>
        <w:jc w:val="both"/>
        <w:rPr>
          <w:rFonts w:ascii="Arial" w:hAnsi="Arial" w:cs="Arial"/>
          <w:sz w:val="24"/>
          <w:szCs w:val="24"/>
        </w:rPr>
      </w:pPr>
      <w:r>
        <w:rPr>
          <w:rFonts w:ascii="Arial" w:hAnsi="Arial" w:cs="Arial"/>
          <w:sz w:val="24"/>
          <w:szCs w:val="24"/>
        </w:rPr>
        <w:t>2</w:t>
      </w:r>
      <w:r w:rsidR="008D43C7">
        <w:rPr>
          <w:rFonts w:ascii="Arial" w:hAnsi="Arial" w:cs="Arial"/>
          <w:sz w:val="24"/>
          <w:szCs w:val="24"/>
        </w:rPr>
        <w:t>8</w:t>
      </w:r>
      <w:r>
        <w:rPr>
          <w:rFonts w:ascii="Arial" w:hAnsi="Arial" w:cs="Arial"/>
          <w:sz w:val="24"/>
          <w:szCs w:val="24"/>
        </w:rPr>
        <w:t>.</w:t>
      </w:r>
      <w:r>
        <w:rPr>
          <w:rFonts w:ascii="Arial" w:hAnsi="Arial" w:cs="Arial"/>
          <w:sz w:val="24"/>
          <w:szCs w:val="24"/>
        </w:rPr>
        <w:tab/>
      </w:r>
      <w:r w:rsidR="008D43C7">
        <w:rPr>
          <w:rFonts w:ascii="Arial" w:hAnsi="Arial" w:cs="Arial"/>
          <w:sz w:val="24"/>
          <w:szCs w:val="24"/>
        </w:rPr>
        <w:t xml:space="preserve">The question </w:t>
      </w:r>
      <w:r>
        <w:rPr>
          <w:rFonts w:ascii="Arial" w:hAnsi="Arial" w:cs="Arial"/>
          <w:sz w:val="24"/>
          <w:szCs w:val="24"/>
        </w:rPr>
        <w:t xml:space="preserve">whether the directive confers jurisdiction on Judge’s in chambers, must be </w:t>
      </w:r>
      <w:r w:rsidR="008D43C7">
        <w:rPr>
          <w:rFonts w:ascii="Arial" w:hAnsi="Arial" w:cs="Arial"/>
          <w:sz w:val="24"/>
          <w:szCs w:val="24"/>
        </w:rPr>
        <w:t>answered</w:t>
      </w:r>
      <w:r>
        <w:rPr>
          <w:rFonts w:ascii="Arial" w:hAnsi="Arial" w:cs="Arial"/>
          <w:sz w:val="24"/>
          <w:szCs w:val="24"/>
        </w:rPr>
        <w:t xml:space="preserve"> </w:t>
      </w:r>
      <w:proofErr w:type="gramStart"/>
      <w:r>
        <w:rPr>
          <w:rFonts w:ascii="Arial" w:hAnsi="Arial" w:cs="Arial"/>
          <w:sz w:val="24"/>
          <w:szCs w:val="24"/>
        </w:rPr>
        <w:t>in light of</w:t>
      </w:r>
      <w:proofErr w:type="gramEnd"/>
      <w:r>
        <w:rPr>
          <w:rFonts w:ascii="Arial" w:hAnsi="Arial" w:cs="Arial"/>
          <w:sz w:val="24"/>
          <w:szCs w:val="24"/>
        </w:rPr>
        <w:t xml:space="preserve"> the provisions of </w:t>
      </w:r>
      <w:r w:rsidR="00C10828">
        <w:rPr>
          <w:rFonts w:ascii="Arial" w:hAnsi="Arial" w:cs="Arial"/>
          <w:sz w:val="24"/>
          <w:szCs w:val="24"/>
        </w:rPr>
        <w:t xml:space="preserve">the Superior Courts Act, which deals with the High Court’s jurisdiction. S 21(1) </w:t>
      </w:r>
      <w:r w:rsidR="00B24B88">
        <w:rPr>
          <w:rFonts w:ascii="Arial" w:hAnsi="Arial" w:cs="Arial"/>
          <w:sz w:val="24"/>
          <w:szCs w:val="24"/>
        </w:rPr>
        <w:t xml:space="preserve">provides that </w:t>
      </w:r>
    </w:p>
    <w:p w14:paraId="584FAA00" w14:textId="5ECA256A" w:rsidR="00E9723E" w:rsidRDefault="0078430C" w:rsidP="000D728A">
      <w:pPr>
        <w:spacing w:before="480" w:after="0" w:line="480" w:lineRule="auto"/>
        <w:ind w:left="1440" w:hanging="720"/>
        <w:jc w:val="both"/>
        <w:rPr>
          <w:rFonts w:ascii="Arial" w:hAnsi="Arial" w:cs="Arial"/>
          <w:i/>
          <w:iCs/>
          <w:sz w:val="24"/>
          <w:szCs w:val="24"/>
        </w:rPr>
      </w:pPr>
      <w:r>
        <w:rPr>
          <w:rFonts w:ascii="Arial" w:hAnsi="Arial" w:cs="Arial"/>
          <w:i/>
          <w:iCs/>
          <w:sz w:val="24"/>
          <w:szCs w:val="24"/>
        </w:rPr>
        <w:t>“</w:t>
      </w:r>
      <w:r w:rsidR="000D728A" w:rsidRPr="0078430C">
        <w:rPr>
          <w:rFonts w:ascii="Arial" w:hAnsi="Arial" w:cs="Arial"/>
          <w:i/>
          <w:iCs/>
          <w:sz w:val="24"/>
          <w:szCs w:val="24"/>
        </w:rPr>
        <w:t>(1).</w:t>
      </w:r>
      <w:r w:rsidR="000D728A">
        <w:rPr>
          <w:rFonts w:ascii="Arial" w:hAnsi="Arial" w:cs="Arial"/>
          <w:sz w:val="24"/>
          <w:szCs w:val="24"/>
        </w:rPr>
        <w:tab/>
      </w:r>
      <w:r w:rsidR="00B24B88">
        <w:rPr>
          <w:rFonts w:ascii="Arial" w:hAnsi="Arial" w:cs="Arial"/>
          <w:i/>
          <w:iCs/>
          <w:sz w:val="24"/>
          <w:szCs w:val="24"/>
        </w:rPr>
        <w:t xml:space="preserve">a division has jurisdiction over all persons residing or being in, and in relation to all causes and all offences </w:t>
      </w:r>
      <w:r w:rsidR="00110B34">
        <w:rPr>
          <w:rFonts w:ascii="Arial" w:hAnsi="Arial" w:cs="Arial"/>
          <w:i/>
          <w:iCs/>
          <w:sz w:val="24"/>
          <w:szCs w:val="24"/>
        </w:rPr>
        <w:t xml:space="preserve">triable within, its area of jurisdiction and all other matter of which it may according to law, take </w:t>
      </w:r>
      <w:r w:rsidR="001F187E">
        <w:rPr>
          <w:rFonts w:ascii="Arial" w:hAnsi="Arial" w:cs="Arial"/>
          <w:i/>
          <w:iCs/>
          <w:sz w:val="24"/>
          <w:szCs w:val="24"/>
        </w:rPr>
        <w:t>cognisance</w:t>
      </w:r>
      <w:r w:rsidR="00110B34">
        <w:rPr>
          <w:rFonts w:ascii="Arial" w:hAnsi="Arial" w:cs="Arial"/>
          <w:i/>
          <w:iCs/>
          <w:sz w:val="24"/>
          <w:szCs w:val="24"/>
        </w:rPr>
        <w:t>, and has the power</w:t>
      </w:r>
      <w:r w:rsidR="00E9723E">
        <w:rPr>
          <w:rFonts w:ascii="Arial" w:hAnsi="Arial" w:cs="Arial"/>
          <w:i/>
          <w:iCs/>
          <w:sz w:val="24"/>
          <w:szCs w:val="24"/>
        </w:rPr>
        <w:t>;</w:t>
      </w:r>
    </w:p>
    <w:p w14:paraId="6421CD50" w14:textId="77832689" w:rsidR="004F304B" w:rsidRDefault="001E22E0" w:rsidP="001F187E">
      <w:pPr>
        <w:spacing w:before="480" w:after="0" w:line="480" w:lineRule="auto"/>
        <w:ind w:left="2160" w:hanging="720"/>
        <w:jc w:val="both"/>
        <w:rPr>
          <w:rFonts w:ascii="Arial" w:hAnsi="Arial" w:cs="Arial"/>
          <w:i/>
          <w:iCs/>
          <w:sz w:val="24"/>
          <w:szCs w:val="24"/>
        </w:rPr>
      </w:pPr>
      <w:r>
        <w:rPr>
          <w:rFonts w:ascii="Arial" w:hAnsi="Arial" w:cs="Arial"/>
          <w:i/>
          <w:iCs/>
          <w:sz w:val="24"/>
          <w:szCs w:val="24"/>
        </w:rPr>
        <w:t>(a)</w:t>
      </w:r>
      <w:r w:rsidR="004F304B">
        <w:rPr>
          <w:rFonts w:ascii="Arial" w:hAnsi="Arial" w:cs="Arial"/>
          <w:i/>
          <w:iCs/>
          <w:sz w:val="24"/>
          <w:szCs w:val="24"/>
        </w:rPr>
        <w:t>.</w:t>
      </w:r>
      <w:r w:rsidR="004F304B">
        <w:rPr>
          <w:rFonts w:ascii="Arial" w:hAnsi="Arial" w:cs="Arial"/>
          <w:i/>
          <w:iCs/>
          <w:sz w:val="24"/>
          <w:szCs w:val="24"/>
        </w:rPr>
        <w:tab/>
      </w:r>
      <w:r>
        <w:rPr>
          <w:rFonts w:ascii="Arial" w:hAnsi="Arial" w:cs="Arial"/>
          <w:i/>
          <w:iCs/>
          <w:sz w:val="24"/>
          <w:szCs w:val="24"/>
        </w:rPr>
        <w:t xml:space="preserve">hear and determine appeals from all </w:t>
      </w:r>
      <w:r w:rsidR="004F304B">
        <w:rPr>
          <w:rFonts w:ascii="Arial" w:hAnsi="Arial" w:cs="Arial"/>
          <w:i/>
          <w:iCs/>
          <w:sz w:val="24"/>
          <w:szCs w:val="24"/>
        </w:rPr>
        <w:t>Magistrates</w:t>
      </w:r>
      <w:r>
        <w:rPr>
          <w:rFonts w:ascii="Arial" w:hAnsi="Arial" w:cs="Arial"/>
          <w:i/>
          <w:iCs/>
          <w:sz w:val="24"/>
          <w:szCs w:val="24"/>
        </w:rPr>
        <w:t xml:space="preserve"> courts within its area of jurisdiction; </w:t>
      </w:r>
    </w:p>
    <w:p w14:paraId="66FD0374" w14:textId="77777777" w:rsidR="004F304B" w:rsidRDefault="001E22E0" w:rsidP="001F187E">
      <w:pPr>
        <w:spacing w:before="480" w:after="0" w:line="480" w:lineRule="auto"/>
        <w:ind w:left="1440"/>
        <w:jc w:val="both"/>
        <w:rPr>
          <w:rFonts w:ascii="Arial" w:hAnsi="Arial" w:cs="Arial"/>
          <w:i/>
          <w:iCs/>
          <w:sz w:val="24"/>
          <w:szCs w:val="24"/>
        </w:rPr>
      </w:pPr>
      <w:r>
        <w:rPr>
          <w:rFonts w:ascii="Arial" w:hAnsi="Arial" w:cs="Arial"/>
          <w:i/>
          <w:iCs/>
          <w:sz w:val="24"/>
          <w:szCs w:val="24"/>
        </w:rPr>
        <w:t>(b)</w:t>
      </w:r>
      <w:r w:rsidR="004F304B">
        <w:rPr>
          <w:rFonts w:ascii="Arial" w:hAnsi="Arial" w:cs="Arial"/>
          <w:i/>
          <w:iCs/>
          <w:sz w:val="24"/>
          <w:szCs w:val="24"/>
        </w:rPr>
        <w:t>.</w:t>
      </w:r>
      <w:r w:rsidR="004F304B">
        <w:rPr>
          <w:rFonts w:ascii="Arial" w:hAnsi="Arial" w:cs="Arial"/>
          <w:i/>
          <w:iCs/>
          <w:sz w:val="24"/>
          <w:szCs w:val="24"/>
        </w:rPr>
        <w:tab/>
      </w:r>
      <w:r>
        <w:rPr>
          <w:rFonts w:ascii="Arial" w:hAnsi="Arial" w:cs="Arial"/>
          <w:i/>
          <w:iCs/>
          <w:sz w:val="24"/>
          <w:szCs w:val="24"/>
        </w:rPr>
        <w:t xml:space="preserve"> to review the proceedings </w:t>
      </w:r>
      <w:r w:rsidR="00E9723E">
        <w:rPr>
          <w:rFonts w:ascii="Arial" w:hAnsi="Arial" w:cs="Arial"/>
          <w:i/>
          <w:iCs/>
          <w:sz w:val="24"/>
          <w:szCs w:val="24"/>
        </w:rPr>
        <w:t>of all such courts;</w:t>
      </w:r>
    </w:p>
    <w:p w14:paraId="44209162" w14:textId="77777777" w:rsidR="001F187E" w:rsidRDefault="00E9723E" w:rsidP="001F187E">
      <w:pPr>
        <w:spacing w:before="480" w:after="0" w:line="480" w:lineRule="auto"/>
        <w:ind w:left="2160" w:hanging="720"/>
        <w:jc w:val="both"/>
        <w:rPr>
          <w:rFonts w:ascii="Arial" w:hAnsi="Arial" w:cs="Arial"/>
          <w:i/>
          <w:iCs/>
          <w:sz w:val="24"/>
          <w:szCs w:val="24"/>
        </w:rPr>
      </w:pPr>
      <w:r>
        <w:rPr>
          <w:rFonts w:ascii="Arial" w:hAnsi="Arial" w:cs="Arial"/>
          <w:i/>
          <w:iCs/>
          <w:sz w:val="24"/>
          <w:szCs w:val="24"/>
        </w:rPr>
        <w:lastRenderedPageBreak/>
        <w:t>(c)</w:t>
      </w:r>
      <w:r w:rsidR="004F304B">
        <w:rPr>
          <w:rFonts w:ascii="Arial" w:hAnsi="Arial" w:cs="Arial"/>
          <w:i/>
          <w:iCs/>
          <w:sz w:val="24"/>
          <w:szCs w:val="24"/>
        </w:rPr>
        <w:t>.</w:t>
      </w:r>
      <w:r w:rsidR="004F304B">
        <w:rPr>
          <w:rFonts w:ascii="Arial" w:hAnsi="Arial" w:cs="Arial"/>
          <w:i/>
          <w:iCs/>
          <w:sz w:val="24"/>
          <w:szCs w:val="24"/>
        </w:rPr>
        <w:tab/>
      </w:r>
      <w:r>
        <w:rPr>
          <w:rFonts w:ascii="Arial" w:hAnsi="Arial" w:cs="Arial"/>
          <w:i/>
          <w:iCs/>
          <w:sz w:val="24"/>
          <w:szCs w:val="24"/>
        </w:rPr>
        <w:t xml:space="preserve">in its discretion </w:t>
      </w:r>
      <w:r w:rsidR="004F304B">
        <w:rPr>
          <w:rFonts w:ascii="Arial" w:hAnsi="Arial" w:cs="Arial"/>
          <w:i/>
          <w:iCs/>
          <w:sz w:val="24"/>
          <w:szCs w:val="24"/>
        </w:rPr>
        <w:t>and at the instance o</w:t>
      </w:r>
      <w:r w:rsidR="00B90EF7">
        <w:rPr>
          <w:rFonts w:ascii="Arial" w:hAnsi="Arial" w:cs="Arial"/>
          <w:i/>
          <w:iCs/>
          <w:sz w:val="24"/>
          <w:szCs w:val="24"/>
        </w:rPr>
        <w:t xml:space="preserve">f any interested </w:t>
      </w:r>
      <w:proofErr w:type="gramStart"/>
      <w:r w:rsidR="00B90EF7">
        <w:rPr>
          <w:rFonts w:ascii="Arial" w:hAnsi="Arial" w:cs="Arial"/>
          <w:i/>
          <w:iCs/>
          <w:sz w:val="24"/>
          <w:szCs w:val="24"/>
        </w:rPr>
        <w:t>person ,</w:t>
      </w:r>
      <w:proofErr w:type="gramEnd"/>
      <w:r w:rsidR="00B90EF7">
        <w:rPr>
          <w:rFonts w:ascii="Arial" w:hAnsi="Arial" w:cs="Arial"/>
          <w:i/>
          <w:iCs/>
          <w:sz w:val="24"/>
          <w:szCs w:val="24"/>
        </w:rPr>
        <w:t xml:space="preserve"> to enquire into and determine </w:t>
      </w:r>
      <w:r w:rsidR="000D728A">
        <w:rPr>
          <w:rFonts w:ascii="Arial" w:hAnsi="Arial" w:cs="Arial"/>
          <w:i/>
          <w:iCs/>
          <w:sz w:val="24"/>
          <w:szCs w:val="24"/>
        </w:rPr>
        <w:t>any existing, future or contingent right or obligation, notwithstanding that such a person cannot claim any relief consequential upon determination.</w:t>
      </w:r>
    </w:p>
    <w:p w14:paraId="48F5041B" w14:textId="571F1CCF" w:rsidR="0078430C" w:rsidRDefault="0078430C" w:rsidP="009E3533">
      <w:pPr>
        <w:spacing w:before="480" w:after="0" w:line="480" w:lineRule="auto"/>
        <w:ind w:left="1440" w:hanging="720"/>
        <w:jc w:val="both"/>
        <w:rPr>
          <w:rFonts w:ascii="Arial" w:hAnsi="Arial" w:cs="Arial"/>
          <w:i/>
          <w:iCs/>
          <w:sz w:val="24"/>
          <w:szCs w:val="24"/>
        </w:rPr>
      </w:pPr>
      <w:r>
        <w:rPr>
          <w:rFonts w:ascii="Arial" w:hAnsi="Arial" w:cs="Arial"/>
          <w:i/>
          <w:iCs/>
          <w:sz w:val="24"/>
          <w:szCs w:val="24"/>
        </w:rPr>
        <w:t>(2).</w:t>
      </w:r>
      <w:r>
        <w:rPr>
          <w:rFonts w:ascii="Arial" w:hAnsi="Arial" w:cs="Arial"/>
          <w:i/>
          <w:iCs/>
          <w:sz w:val="24"/>
          <w:szCs w:val="24"/>
        </w:rPr>
        <w:tab/>
        <w:t xml:space="preserve">A Division also has jurisdiction over any person </w:t>
      </w:r>
      <w:r w:rsidR="00204983">
        <w:rPr>
          <w:rFonts w:ascii="Arial" w:hAnsi="Arial" w:cs="Arial"/>
          <w:i/>
          <w:iCs/>
          <w:sz w:val="24"/>
          <w:szCs w:val="24"/>
        </w:rPr>
        <w:t>residing or being outside its area of jurisdiction who is joined as a party to any cause in relation to which such court has jurisdiction or who in terms of a third party notice becomes a party to such cause of action</w:t>
      </w:r>
      <w:r w:rsidR="009E3533">
        <w:rPr>
          <w:rFonts w:ascii="Arial" w:hAnsi="Arial" w:cs="Arial"/>
          <w:i/>
          <w:iCs/>
          <w:sz w:val="24"/>
          <w:szCs w:val="24"/>
        </w:rPr>
        <w:t>, if the person resides or is within its area of jurisdiction of any other division.</w:t>
      </w:r>
      <w:r w:rsidR="00333E49">
        <w:rPr>
          <w:rFonts w:ascii="Arial" w:hAnsi="Arial" w:cs="Arial"/>
          <w:i/>
          <w:iCs/>
          <w:sz w:val="24"/>
          <w:szCs w:val="24"/>
        </w:rPr>
        <w:t>”</w:t>
      </w:r>
    </w:p>
    <w:p w14:paraId="3A135436" w14:textId="0E4418A8" w:rsidR="00967AC7" w:rsidRDefault="001F187E" w:rsidP="0046659D">
      <w:pPr>
        <w:spacing w:before="480" w:after="0" w:line="480" w:lineRule="auto"/>
        <w:ind w:left="720" w:hanging="720"/>
        <w:jc w:val="both"/>
        <w:rPr>
          <w:rFonts w:ascii="Arial" w:hAnsi="Arial" w:cs="Arial"/>
          <w:sz w:val="24"/>
          <w:szCs w:val="24"/>
        </w:rPr>
      </w:pPr>
      <w:r>
        <w:rPr>
          <w:rFonts w:ascii="Arial" w:hAnsi="Arial" w:cs="Arial"/>
          <w:sz w:val="24"/>
          <w:szCs w:val="24"/>
        </w:rPr>
        <w:t>2</w:t>
      </w:r>
      <w:r w:rsidR="008D43C7">
        <w:rPr>
          <w:rFonts w:ascii="Arial" w:hAnsi="Arial" w:cs="Arial"/>
          <w:sz w:val="24"/>
          <w:szCs w:val="24"/>
        </w:rPr>
        <w:t>9</w:t>
      </w:r>
      <w:r>
        <w:rPr>
          <w:rFonts w:ascii="Arial" w:hAnsi="Arial" w:cs="Arial"/>
          <w:sz w:val="24"/>
          <w:szCs w:val="24"/>
        </w:rPr>
        <w:t>.</w:t>
      </w:r>
      <w:r>
        <w:rPr>
          <w:rFonts w:ascii="Arial" w:hAnsi="Arial" w:cs="Arial"/>
          <w:sz w:val="24"/>
          <w:szCs w:val="24"/>
        </w:rPr>
        <w:tab/>
      </w:r>
      <w:r w:rsidR="0046659D">
        <w:rPr>
          <w:rFonts w:ascii="Arial" w:hAnsi="Arial" w:cs="Arial"/>
          <w:sz w:val="24"/>
          <w:szCs w:val="24"/>
        </w:rPr>
        <w:t>A</w:t>
      </w:r>
      <w:r w:rsidR="00531EF6">
        <w:rPr>
          <w:rFonts w:ascii="Arial" w:hAnsi="Arial" w:cs="Arial"/>
          <w:sz w:val="24"/>
          <w:szCs w:val="24"/>
        </w:rPr>
        <w:t xml:space="preserve"> reading of s 21, reveals that in addition to</w:t>
      </w:r>
      <w:r w:rsidR="002A0585">
        <w:rPr>
          <w:rFonts w:ascii="Arial" w:hAnsi="Arial" w:cs="Arial"/>
          <w:sz w:val="24"/>
          <w:szCs w:val="24"/>
        </w:rPr>
        <w:t xml:space="preserve"> appellate and review jurisdiction, a </w:t>
      </w:r>
      <w:proofErr w:type="gramStart"/>
      <w:r w:rsidR="002A0585">
        <w:rPr>
          <w:rFonts w:ascii="Arial" w:hAnsi="Arial" w:cs="Arial"/>
          <w:sz w:val="24"/>
          <w:szCs w:val="24"/>
        </w:rPr>
        <w:t>Division</w:t>
      </w:r>
      <w:proofErr w:type="gramEnd"/>
      <w:r w:rsidR="002A0585">
        <w:rPr>
          <w:rFonts w:ascii="Arial" w:hAnsi="Arial" w:cs="Arial"/>
          <w:sz w:val="24"/>
          <w:szCs w:val="24"/>
        </w:rPr>
        <w:t xml:space="preserve"> has jurisdiction over, (</w:t>
      </w:r>
      <w:proofErr w:type="spellStart"/>
      <w:r w:rsidR="002A0585">
        <w:rPr>
          <w:rFonts w:ascii="Arial" w:hAnsi="Arial" w:cs="Arial"/>
          <w:sz w:val="24"/>
          <w:szCs w:val="24"/>
        </w:rPr>
        <w:t>i</w:t>
      </w:r>
      <w:proofErr w:type="spellEnd"/>
      <w:r w:rsidR="002A0585">
        <w:rPr>
          <w:rFonts w:ascii="Arial" w:hAnsi="Arial" w:cs="Arial"/>
          <w:sz w:val="24"/>
          <w:szCs w:val="24"/>
        </w:rPr>
        <w:t xml:space="preserve">) </w:t>
      </w:r>
      <w:r w:rsidR="00D971C9">
        <w:rPr>
          <w:rFonts w:ascii="Arial" w:hAnsi="Arial" w:cs="Arial"/>
          <w:sz w:val="24"/>
          <w:szCs w:val="24"/>
        </w:rPr>
        <w:t>all persons residing or who are in it’s a area of jurisdiction, (ii) all causes of action and causes of action triable within its are of jurisdiction and, (iii)</w:t>
      </w:r>
      <w:r w:rsidR="0046659D">
        <w:rPr>
          <w:rFonts w:ascii="Arial" w:hAnsi="Arial" w:cs="Arial"/>
          <w:sz w:val="24"/>
          <w:szCs w:val="24"/>
        </w:rPr>
        <w:t xml:space="preserve"> matters it may according to determine or hear.</w:t>
      </w:r>
    </w:p>
    <w:p w14:paraId="64BE79B2" w14:textId="5141F112" w:rsidR="00A204D6" w:rsidRDefault="008D43C7" w:rsidP="00A204D6">
      <w:pPr>
        <w:spacing w:before="480" w:after="0" w:line="480" w:lineRule="auto"/>
        <w:ind w:left="720" w:hanging="720"/>
        <w:jc w:val="both"/>
        <w:rPr>
          <w:rFonts w:ascii="Arial" w:hAnsi="Arial" w:cs="Arial"/>
          <w:sz w:val="24"/>
          <w:szCs w:val="24"/>
        </w:rPr>
      </w:pPr>
      <w:r>
        <w:rPr>
          <w:rFonts w:ascii="Arial" w:hAnsi="Arial" w:cs="Arial"/>
          <w:sz w:val="24"/>
          <w:szCs w:val="24"/>
        </w:rPr>
        <w:t>30</w:t>
      </w:r>
      <w:r w:rsidR="00530729">
        <w:rPr>
          <w:rFonts w:ascii="Arial" w:hAnsi="Arial" w:cs="Arial"/>
          <w:sz w:val="24"/>
          <w:szCs w:val="24"/>
        </w:rPr>
        <w:t>.</w:t>
      </w:r>
      <w:r w:rsidR="00530729">
        <w:rPr>
          <w:rFonts w:ascii="Arial" w:hAnsi="Arial" w:cs="Arial"/>
          <w:sz w:val="24"/>
          <w:szCs w:val="24"/>
        </w:rPr>
        <w:tab/>
      </w:r>
      <w:r w:rsidR="00345A73">
        <w:rPr>
          <w:rFonts w:ascii="Arial" w:hAnsi="Arial" w:cs="Arial"/>
          <w:sz w:val="24"/>
          <w:szCs w:val="24"/>
        </w:rPr>
        <w:t>T</w:t>
      </w:r>
      <w:r w:rsidR="004222E0">
        <w:rPr>
          <w:rFonts w:ascii="Arial" w:hAnsi="Arial" w:cs="Arial"/>
          <w:sz w:val="24"/>
          <w:szCs w:val="24"/>
        </w:rPr>
        <w:t xml:space="preserve">he Judge President’s powers in relation to the jurisdiction of a </w:t>
      </w:r>
      <w:r w:rsidR="00653E90">
        <w:rPr>
          <w:rFonts w:ascii="Arial" w:hAnsi="Arial" w:cs="Arial"/>
          <w:sz w:val="24"/>
          <w:szCs w:val="24"/>
        </w:rPr>
        <w:t>division</w:t>
      </w:r>
      <w:r w:rsidR="004222E0">
        <w:rPr>
          <w:rFonts w:ascii="Arial" w:hAnsi="Arial" w:cs="Arial"/>
          <w:sz w:val="24"/>
          <w:szCs w:val="24"/>
        </w:rPr>
        <w:t xml:space="preserve"> are limited and set out by s7 of the Superior Court</w:t>
      </w:r>
      <w:r w:rsidR="00681729">
        <w:rPr>
          <w:rFonts w:ascii="Arial" w:hAnsi="Arial" w:cs="Arial"/>
          <w:sz w:val="24"/>
          <w:szCs w:val="24"/>
        </w:rPr>
        <w:t xml:space="preserve">s Act. To this end, it provides that the Judge President may by notice, </w:t>
      </w:r>
      <w:r w:rsidR="006059BD">
        <w:rPr>
          <w:rFonts w:ascii="Arial" w:hAnsi="Arial" w:cs="Arial"/>
          <w:sz w:val="24"/>
          <w:szCs w:val="24"/>
        </w:rPr>
        <w:t xml:space="preserve">establish circuit districts for the adjudication of civil or criminal matters and may by notice, </w:t>
      </w:r>
      <w:r w:rsidR="00345A73">
        <w:rPr>
          <w:rFonts w:ascii="Arial" w:hAnsi="Arial" w:cs="Arial"/>
          <w:sz w:val="24"/>
          <w:szCs w:val="24"/>
        </w:rPr>
        <w:t>alter the boundaries of any such district, within the area of jurisdiction of his division.</w:t>
      </w:r>
    </w:p>
    <w:p w14:paraId="595BF3F3" w14:textId="7FC5F92D" w:rsidR="0028150F" w:rsidRDefault="008D43C7" w:rsidP="00A204D6">
      <w:pPr>
        <w:spacing w:before="480" w:after="0" w:line="480" w:lineRule="auto"/>
        <w:ind w:left="720" w:hanging="720"/>
        <w:jc w:val="both"/>
        <w:rPr>
          <w:rFonts w:ascii="Arial" w:hAnsi="Arial" w:cs="Arial"/>
          <w:sz w:val="24"/>
          <w:szCs w:val="24"/>
        </w:rPr>
      </w:pPr>
      <w:r>
        <w:rPr>
          <w:rFonts w:ascii="Arial" w:hAnsi="Arial" w:cs="Arial"/>
          <w:sz w:val="24"/>
          <w:szCs w:val="24"/>
        </w:rPr>
        <w:t>31</w:t>
      </w:r>
      <w:r w:rsidR="00A204D6">
        <w:rPr>
          <w:rFonts w:ascii="Arial" w:hAnsi="Arial" w:cs="Arial"/>
          <w:sz w:val="24"/>
          <w:szCs w:val="24"/>
        </w:rPr>
        <w:t>.</w:t>
      </w:r>
      <w:r w:rsidR="00A204D6">
        <w:rPr>
          <w:rFonts w:ascii="Arial" w:hAnsi="Arial" w:cs="Arial"/>
          <w:sz w:val="24"/>
          <w:szCs w:val="24"/>
        </w:rPr>
        <w:tab/>
        <w:t xml:space="preserve">Thus, save for the powers set out in s 7, the Judge President has no power to determine </w:t>
      </w:r>
      <w:r w:rsidR="00155775">
        <w:rPr>
          <w:rFonts w:ascii="Arial" w:hAnsi="Arial" w:cs="Arial"/>
          <w:sz w:val="24"/>
          <w:szCs w:val="24"/>
        </w:rPr>
        <w:t xml:space="preserve">or alter </w:t>
      </w:r>
      <w:r w:rsidR="001620D2">
        <w:rPr>
          <w:rFonts w:ascii="Arial" w:hAnsi="Arial" w:cs="Arial"/>
          <w:sz w:val="24"/>
          <w:szCs w:val="24"/>
        </w:rPr>
        <w:t xml:space="preserve">or </w:t>
      </w:r>
      <w:r w:rsidR="003A4375">
        <w:rPr>
          <w:rFonts w:ascii="Arial" w:hAnsi="Arial" w:cs="Arial"/>
          <w:sz w:val="24"/>
          <w:szCs w:val="24"/>
        </w:rPr>
        <w:t xml:space="preserve">add to </w:t>
      </w:r>
      <w:r w:rsidR="003B3F13">
        <w:rPr>
          <w:rFonts w:ascii="Arial" w:hAnsi="Arial" w:cs="Arial"/>
          <w:sz w:val="24"/>
          <w:szCs w:val="24"/>
        </w:rPr>
        <w:t>the jurisdiction</w:t>
      </w:r>
      <w:r w:rsidR="001825AD">
        <w:rPr>
          <w:rFonts w:ascii="Arial" w:hAnsi="Arial" w:cs="Arial"/>
          <w:sz w:val="24"/>
          <w:szCs w:val="24"/>
        </w:rPr>
        <w:t xml:space="preserve"> bestowed by s 21 to his</w:t>
      </w:r>
      <w:r w:rsidR="00A204D6">
        <w:rPr>
          <w:rFonts w:ascii="Arial" w:hAnsi="Arial" w:cs="Arial"/>
          <w:sz w:val="24"/>
          <w:szCs w:val="24"/>
        </w:rPr>
        <w:t xml:space="preserve"> </w:t>
      </w:r>
      <w:r w:rsidR="00996E94">
        <w:rPr>
          <w:rFonts w:ascii="Arial" w:hAnsi="Arial" w:cs="Arial"/>
          <w:sz w:val="24"/>
          <w:szCs w:val="24"/>
        </w:rPr>
        <w:t xml:space="preserve">of his or her </w:t>
      </w:r>
      <w:r w:rsidR="00BB55DC">
        <w:rPr>
          <w:rFonts w:ascii="Arial" w:hAnsi="Arial" w:cs="Arial"/>
          <w:sz w:val="24"/>
          <w:szCs w:val="24"/>
        </w:rPr>
        <w:lastRenderedPageBreak/>
        <w:t>division</w:t>
      </w:r>
      <w:r w:rsidR="00996E94">
        <w:rPr>
          <w:rFonts w:ascii="Arial" w:hAnsi="Arial" w:cs="Arial"/>
          <w:sz w:val="24"/>
          <w:szCs w:val="24"/>
        </w:rPr>
        <w:t>.</w:t>
      </w:r>
      <w:r w:rsidR="00E7245E">
        <w:rPr>
          <w:rFonts w:ascii="Arial" w:hAnsi="Arial" w:cs="Arial"/>
          <w:sz w:val="24"/>
          <w:szCs w:val="24"/>
        </w:rPr>
        <w:t xml:space="preserve"> This was made clear by </w:t>
      </w:r>
      <w:proofErr w:type="spellStart"/>
      <w:r w:rsidR="003B3F13">
        <w:rPr>
          <w:rFonts w:ascii="Arial" w:hAnsi="Arial" w:cs="Arial"/>
          <w:sz w:val="24"/>
          <w:szCs w:val="24"/>
        </w:rPr>
        <w:t>Molemela</w:t>
      </w:r>
      <w:proofErr w:type="spellEnd"/>
      <w:r w:rsidR="003B3F13">
        <w:rPr>
          <w:rFonts w:ascii="Arial" w:hAnsi="Arial" w:cs="Arial"/>
          <w:sz w:val="24"/>
          <w:szCs w:val="24"/>
        </w:rPr>
        <w:t xml:space="preserve"> JA in</w:t>
      </w:r>
      <w:r w:rsidR="00E7245E">
        <w:rPr>
          <w:rFonts w:ascii="Arial" w:hAnsi="Arial" w:cs="Arial"/>
          <w:sz w:val="24"/>
          <w:szCs w:val="24"/>
        </w:rPr>
        <w:t xml:space="preserve"> </w:t>
      </w:r>
      <w:r w:rsidR="00E7245E">
        <w:rPr>
          <w:rFonts w:ascii="Arial" w:hAnsi="Arial" w:cs="Arial"/>
          <w:b/>
          <w:bCs/>
          <w:sz w:val="24"/>
          <w:szCs w:val="24"/>
          <w:u w:val="single"/>
        </w:rPr>
        <w:t>Mhlongo and Others v Mokoena N.O and Others</w:t>
      </w:r>
      <w:r w:rsidR="00653E90">
        <w:rPr>
          <w:rStyle w:val="FootnoteReference"/>
          <w:rFonts w:ascii="Arial" w:hAnsi="Arial" w:cs="Arial"/>
          <w:b/>
          <w:bCs/>
          <w:sz w:val="24"/>
          <w:szCs w:val="24"/>
          <w:u w:val="single"/>
        </w:rPr>
        <w:footnoteReference w:id="25"/>
      </w:r>
      <w:r w:rsidR="00996E94">
        <w:rPr>
          <w:rFonts w:ascii="Arial" w:hAnsi="Arial" w:cs="Arial"/>
          <w:sz w:val="24"/>
          <w:szCs w:val="24"/>
        </w:rPr>
        <w:t xml:space="preserve"> </w:t>
      </w:r>
      <w:r w:rsidR="0028150F">
        <w:rPr>
          <w:rFonts w:ascii="Arial" w:hAnsi="Arial" w:cs="Arial"/>
          <w:sz w:val="24"/>
          <w:szCs w:val="24"/>
        </w:rPr>
        <w:t xml:space="preserve"> as follows;</w:t>
      </w:r>
    </w:p>
    <w:p w14:paraId="2825C75A" w14:textId="0789C40E" w:rsidR="0028150F" w:rsidRPr="0028150F" w:rsidRDefault="0028150F" w:rsidP="009A5F20">
      <w:pPr>
        <w:spacing w:before="480" w:after="0" w:line="480" w:lineRule="auto"/>
        <w:ind w:left="1440" w:hanging="720"/>
        <w:jc w:val="both"/>
        <w:rPr>
          <w:rFonts w:ascii="Arial" w:hAnsi="Arial" w:cs="Arial"/>
          <w:i/>
          <w:iCs/>
          <w:sz w:val="24"/>
          <w:szCs w:val="24"/>
        </w:rPr>
      </w:pPr>
      <w:r>
        <w:rPr>
          <w:rFonts w:ascii="Arial" w:hAnsi="Arial" w:cs="Arial"/>
          <w:i/>
          <w:iCs/>
          <w:sz w:val="24"/>
          <w:szCs w:val="24"/>
        </w:rPr>
        <w:t>“(12).</w:t>
      </w:r>
      <w:r>
        <w:rPr>
          <w:rFonts w:ascii="Arial" w:hAnsi="Arial" w:cs="Arial"/>
          <w:i/>
          <w:iCs/>
          <w:sz w:val="24"/>
          <w:szCs w:val="24"/>
        </w:rPr>
        <w:tab/>
        <w:t>As can be determined from the provisions of s7 of the Superior Courts Act, the powers of a Judge President in relation to establishment of circuit court di</w:t>
      </w:r>
      <w:r w:rsidR="00D62348">
        <w:rPr>
          <w:rFonts w:ascii="Arial" w:hAnsi="Arial" w:cs="Arial"/>
          <w:i/>
          <w:iCs/>
          <w:sz w:val="24"/>
          <w:szCs w:val="24"/>
        </w:rPr>
        <w:t>stricts and their boundaries are circumscribed by legislation; the Judge President cannot exercise any more power than that granted to him or her by Legislation</w:t>
      </w:r>
      <w:r w:rsidR="00F12F21">
        <w:rPr>
          <w:rFonts w:ascii="Arial" w:hAnsi="Arial" w:cs="Arial"/>
          <w:i/>
          <w:iCs/>
          <w:sz w:val="24"/>
          <w:szCs w:val="24"/>
        </w:rPr>
        <w:t xml:space="preserve">.it is clear in terms of s6(3) of the Superior Courts Act, only the Minister </w:t>
      </w:r>
      <w:r w:rsidR="00EC389C">
        <w:rPr>
          <w:rFonts w:ascii="Arial" w:hAnsi="Arial" w:cs="Arial"/>
          <w:i/>
          <w:iCs/>
          <w:sz w:val="24"/>
          <w:szCs w:val="24"/>
        </w:rPr>
        <w:t xml:space="preserve">has the power to determine the jurisdictional areas of various divisions of the High Court. The fact that the Judge </w:t>
      </w:r>
      <w:r w:rsidR="00BB55DC">
        <w:rPr>
          <w:rFonts w:ascii="Arial" w:hAnsi="Arial" w:cs="Arial"/>
          <w:i/>
          <w:iCs/>
          <w:sz w:val="24"/>
          <w:szCs w:val="24"/>
        </w:rPr>
        <w:t>President,</w:t>
      </w:r>
      <w:r w:rsidR="00480372">
        <w:rPr>
          <w:rFonts w:ascii="Arial" w:hAnsi="Arial" w:cs="Arial"/>
          <w:i/>
          <w:iCs/>
          <w:sz w:val="24"/>
          <w:szCs w:val="24"/>
        </w:rPr>
        <w:t xml:space="preserve"> </w:t>
      </w:r>
      <w:proofErr w:type="gramStart"/>
      <w:r w:rsidR="00480372">
        <w:rPr>
          <w:rFonts w:ascii="Arial" w:hAnsi="Arial" w:cs="Arial"/>
          <w:i/>
          <w:iCs/>
          <w:sz w:val="24"/>
          <w:szCs w:val="24"/>
        </w:rPr>
        <w:t>may ,</w:t>
      </w:r>
      <w:proofErr w:type="gramEnd"/>
      <w:r w:rsidR="00480372">
        <w:rPr>
          <w:rFonts w:ascii="Arial" w:hAnsi="Arial" w:cs="Arial"/>
          <w:i/>
          <w:iCs/>
          <w:sz w:val="24"/>
          <w:szCs w:val="24"/>
        </w:rPr>
        <w:t xml:space="preserve"> in terms of s 7(1) alter the boundaries of any circuit courts that have been established </w:t>
      </w:r>
      <w:r w:rsidR="009A5F20">
        <w:rPr>
          <w:rFonts w:ascii="Arial" w:hAnsi="Arial" w:cs="Arial"/>
          <w:i/>
          <w:iCs/>
          <w:sz w:val="24"/>
          <w:szCs w:val="24"/>
        </w:rPr>
        <w:t>under a particular division should not be equated with the power , granted exclusively to the Minister, to determine the area under the jurisdiction of that division”</w:t>
      </w:r>
    </w:p>
    <w:p w14:paraId="51C17386" w14:textId="181965AD" w:rsidR="002F1C01" w:rsidRDefault="00BB55DC" w:rsidP="00714540">
      <w:pPr>
        <w:spacing w:before="480" w:after="0" w:line="480" w:lineRule="auto"/>
        <w:jc w:val="both"/>
        <w:rPr>
          <w:rFonts w:ascii="Arial" w:hAnsi="Arial" w:cs="Arial"/>
          <w:sz w:val="24"/>
          <w:szCs w:val="24"/>
        </w:rPr>
      </w:pPr>
      <w:r>
        <w:rPr>
          <w:rFonts w:ascii="Arial" w:hAnsi="Arial" w:cs="Arial"/>
          <w:sz w:val="24"/>
          <w:szCs w:val="24"/>
        </w:rPr>
        <w:t>32</w:t>
      </w:r>
      <w:r w:rsidR="00D4090D">
        <w:rPr>
          <w:rFonts w:ascii="Arial" w:hAnsi="Arial" w:cs="Arial"/>
          <w:sz w:val="24"/>
          <w:szCs w:val="24"/>
        </w:rPr>
        <w:t>.</w:t>
      </w:r>
      <w:r w:rsidR="002F1C01">
        <w:rPr>
          <w:rFonts w:ascii="Arial" w:hAnsi="Arial" w:cs="Arial"/>
          <w:sz w:val="24"/>
          <w:szCs w:val="24"/>
        </w:rPr>
        <w:tab/>
        <w:t>Makgoka JA, dissenting, said the following;</w:t>
      </w:r>
    </w:p>
    <w:p w14:paraId="0579AC88" w14:textId="3948D683" w:rsidR="002F1C01" w:rsidRDefault="002F1C01" w:rsidP="00903C16">
      <w:pPr>
        <w:spacing w:before="480" w:after="0" w:line="480" w:lineRule="auto"/>
        <w:ind w:left="2160" w:hanging="720"/>
        <w:jc w:val="both"/>
        <w:rPr>
          <w:rFonts w:ascii="Arial" w:hAnsi="Arial" w:cs="Arial"/>
          <w:i/>
          <w:iCs/>
          <w:sz w:val="24"/>
          <w:szCs w:val="24"/>
        </w:rPr>
      </w:pPr>
      <w:r>
        <w:rPr>
          <w:rFonts w:ascii="Arial" w:hAnsi="Arial" w:cs="Arial"/>
          <w:sz w:val="24"/>
          <w:szCs w:val="24"/>
        </w:rPr>
        <w:t>“</w:t>
      </w:r>
      <w:r>
        <w:rPr>
          <w:rFonts w:ascii="Arial" w:hAnsi="Arial" w:cs="Arial"/>
          <w:i/>
          <w:iCs/>
          <w:sz w:val="24"/>
          <w:szCs w:val="24"/>
        </w:rPr>
        <w:t>(19).</w:t>
      </w:r>
      <w:r>
        <w:rPr>
          <w:rFonts w:ascii="Arial" w:hAnsi="Arial" w:cs="Arial"/>
          <w:i/>
          <w:iCs/>
          <w:sz w:val="24"/>
          <w:szCs w:val="24"/>
        </w:rPr>
        <w:tab/>
        <w:t xml:space="preserve">Jurisdiction is a matter of law, and not of discretion or equity, which is what ss 173 and 34 are concerned with. The present case, jurisdiction is governed by s21 of the Superior </w:t>
      </w:r>
      <w:r w:rsidR="00903C16">
        <w:rPr>
          <w:rFonts w:ascii="Arial" w:hAnsi="Arial" w:cs="Arial"/>
          <w:i/>
          <w:iCs/>
          <w:sz w:val="24"/>
          <w:szCs w:val="24"/>
        </w:rPr>
        <w:t>Courts</w:t>
      </w:r>
      <w:r>
        <w:rPr>
          <w:rFonts w:ascii="Arial" w:hAnsi="Arial" w:cs="Arial"/>
          <w:i/>
          <w:iCs/>
          <w:sz w:val="24"/>
          <w:szCs w:val="24"/>
        </w:rPr>
        <w:t xml:space="preserve"> Act, which regulates the </w:t>
      </w:r>
      <w:r w:rsidR="00903C16">
        <w:rPr>
          <w:rFonts w:ascii="Arial" w:hAnsi="Arial" w:cs="Arial"/>
          <w:i/>
          <w:iCs/>
          <w:sz w:val="24"/>
          <w:szCs w:val="24"/>
        </w:rPr>
        <w:t>jurisdiction</w:t>
      </w:r>
      <w:r>
        <w:rPr>
          <w:rFonts w:ascii="Arial" w:hAnsi="Arial" w:cs="Arial"/>
          <w:i/>
          <w:iCs/>
          <w:sz w:val="24"/>
          <w:szCs w:val="24"/>
        </w:rPr>
        <w:t xml:space="preserve"> </w:t>
      </w:r>
      <w:r w:rsidR="00903C16">
        <w:rPr>
          <w:rFonts w:ascii="Arial" w:hAnsi="Arial" w:cs="Arial"/>
          <w:i/>
          <w:iCs/>
          <w:sz w:val="24"/>
          <w:szCs w:val="24"/>
        </w:rPr>
        <w:t>of the various divisions of the high court over persons and in relation to matters</w:t>
      </w:r>
      <w:r w:rsidR="00B24489">
        <w:rPr>
          <w:rFonts w:ascii="Arial" w:hAnsi="Arial" w:cs="Arial"/>
          <w:i/>
          <w:iCs/>
          <w:sz w:val="24"/>
          <w:szCs w:val="24"/>
        </w:rPr>
        <w:t xml:space="preserve">. Thus, whether the court has jurisdiction </w:t>
      </w:r>
      <w:r w:rsidR="003D15E3">
        <w:rPr>
          <w:rFonts w:ascii="Arial" w:hAnsi="Arial" w:cs="Arial"/>
          <w:i/>
          <w:iCs/>
          <w:sz w:val="24"/>
          <w:szCs w:val="24"/>
        </w:rPr>
        <w:t>or not</w:t>
      </w:r>
      <w:r w:rsidR="00CA4587">
        <w:rPr>
          <w:rFonts w:ascii="Arial" w:hAnsi="Arial" w:cs="Arial"/>
          <w:i/>
          <w:iCs/>
          <w:sz w:val="24"/>
          <w:szCs w:val="24"/>
        </w:rPr>
        <w:t>, is determined with reference to that section only. If it has jurisdiction</w:t>
      </w:r>
      <w:r w:rsidR="00012D8B">
        <w:rPr>
          <w:rFonts w:ascii="Arial" w:hAnsi="Arial" w:cs="Arial"/>
          <w:i/>
          <w:iCs/>
          <w:sz w:val="24"/>
          <w:szCs w:val="24"/>
        </w:rPr>
        <w:t xml:space="preserve">, that is the end of the enquiry. </w:t>
      </w:r>
      <w:r w:rsidR="00012D8B">
        <w:rPr>
          <w:rFonts w:ascii="Arial" w:hAnsi="Arial" w:cs="Arial"/>
          <w:i/>
          <w:iCs/>
          <w:sz w:val="24"/>
          <w:szCs w:val="24"/>
        </w:rPr>
        <w:lastRenderedPageBreak/>
        <w:t>The Court does not need either s 173 or s 34 to justify exercising it. Similarly, if a court does not have jurisdiction</w:t>
      </w:r>
      <w:r w:rsidR="00795207">
        <w:rPr>
          <w:rFonts w:ascii="Arial" w:hAnsi="Arial" w:cs="Arial"/>
          <w:i/>
          <w:iCs/>
          <w:sz w:val="24"/>
          <w:szCs w:val="24"/>
        </w:rPr>
        <w:t xml:space="preserve"> to justify exercising it. </w:t>
      </w:r>
      <w:r w:rsidR="00CE1DB7">
        <w:rPr>
          <w:rFonts w:ascii="Arial" w:hAnsi="Arial" w:cs="Arial"/>
          <w:i/>
          <w:iCs/>
          <w:sz w:val="24"/>
          <w:szCs w:val="24"/>
        </w:rPr>
        <w:t>Similarly,</w:t>
      </w:r>
      <w:r w:rsidR="00795207">
        <w:rPr>
          <w:rFonts w:ascii="Arial" w:hAnsi="Arial" w:cs="Arial"/>
          <w:i/>
          <w:iCs/>
          <w:sz w:val="24"/>
          <w:szCs w:val="24"/>
        </w:rPr>
        <w:t xml:space="preserve"> if a court does not have jurisdiction, the enquiry ends there</w:t>
      </w:r>
      <w:r w:rsidR="002D1A1D">
        <w:rPr>
          <w:rFonts w:ascii="Arial" w:hAnsi="Arial" w:cs="Arial"/>
          <w:i/>
          <w:iCs/>
          <w:sz w:val="24"/>
          <w:szCs w:val="24"/>
        </w:rPr>
        <w:t>.</w:t>
      </w:r>
    </w:p>
    <w:p w14:paraId="188D2842" w14:textId="7F0754B3" w:rsidR="002D1A1D" w:rsidRDefault="002D1A1D" w:rsidP="00903C16">
      <w:pPr>
        <w:spacing w:before="480" w:after="0" w:line="480" w:lineRule="auto"/>
        <w:ind w:left="2160" w:hanging="720"/>
        <w:jc w:val="both"/>
        <w:rPr>
          <w:rFonts w:ascii="Arial" w:hAnsi="Arial" w:cs="Arial"/>
          <w:i/>
          <w:iCs/>
          <w:sz w:val="24"/>
          <w:szCs w:val="24"/>
        </w:rPr>
      </w:pPr>
      <w:r>
        <w:rPr>
          <w:rFonts w:ascii="Arial" w:hAnsi="Arial" w:cs="Arial"/>
          <w:i/>
          <w:iCs/>
          <w:sz w:val="24"/>
          <w:szCs w:val="24"/>
        </w:rPr>
        <w:t>(20).</w:t>
      </w:r>
      <w:r>
        <w:rPr>
          <w:rFonts w:ascii="Arial" w:hAnsi="Arial" w:cs="Arial"/>
          <w:i/>
          <w:iCs/>
          <w:sz w:val="24"/>
          <w:szCs w:val="24"/>
        </w:rPr>
        <w:tab/>
        <w:t>As explained by the Constitutional Court in S v Mulaudzi</w:t>
      </w:r>
      <w:r w:rsidR="00680480">
        <w:rPr>
          <w:rFonts w:ascii="Arial" w:hAnsi="Arial" w:cs="Arial"/>
          <w:i/>
          <w:iCs/>
          <w:sz w:val="24"/>
          <w:szCs w:val="24"/>
        </w:rPr>
        <w:t xml:space="preserve">, a court cannot use s 173 power to assume jurisdiction that it does not otherwise have. Axiomatically, it cannot use s173 </w:t>
      </w:r>
      <w:r w:rsidR="001E5FE5">
        <w:rPr>
          <w:rFonts w:ascii="Arial" w:hAnsi="Arial" w:cs="Arial"/>
          <w:i/>
          <w:iCs/>
          <w:sz w:val="24"/>
          <w:szCs w:val="24"/>
        </w:rPr>
        <w:t>power to oust jurisdiction which it ordinarily has. The same applies with equal force to the right of access to courts guaranteed in s</w:t>
      </w:r>
      <w:proofErr w:type="gramStart"/>
      <w:r w:rsidR="001E5FE5">
        <w:rPr>
          <w:rFonts w:ascii="Arial" w:hAnsi="Arial" w:cs="Arial"/>
          <w:i/>
          <w:iCs/>
          <w:sz w:val="24"/>
          <w:szCs w:val="24"/>
        </w:rPr>
        <w:t xml:space="preserve">34 </w:t>
      </w:r>
      <w:r w:rsidR="00681B4B">
        <w:rPr>
          <w:rFonts w:ascii="Arial" w:hAnsi="Arial" w:cs="Arial"/>
          <w:i/>
          <w:iCs/>
          <w:sz w:val="24"/>
          <w:szCs w:val="24"/>
        </w:rPr>
        <w:t>.</w:t>
      </w:r>
      <w:proofErr w:type="gramEnd"/>
      <w:r w:rsidR="00681B4B">
        <w:rPr>
          <w:rFonts w:ascii="Arial" w:hAnsi="Arial" w:cs="Arial"/>
          <w:i/>
          <w:iCs/>
          <w:sz w:val="24"/>
          <w:szCs w:val="24"/>
        </w:rPr>
        <w:t xml:space="preserve"> the section has no place to the enquiry </w:t>
      </w:r>
      <w:proofErr w:type="gramStart"/>
      <w:r w:rsidR="00681B4B">
        <w:rPr>
          <w:rFonts w:ascii="Arial" w:hAnsi="Arial" w:cs="Arial"/>
          <w:i/>
          <w:iCs/>
          <w:sz w:val="24"/>
          <w:szCs w:val="24"/>
        </w:rPr>
        <w:t>whether or not</w:t>
      </w:r>
      <w:proofErr w:type="gramEnd"/>
      <w:r w:rsidR="00681B4B">
        <w:rPr>
          <w:rFonts w:ascii="Arial" w:hAnsi="Arial" w:cs="Arial"/>
          <w:i/>
          <w:iCs/>
          <w:sz w:val="24"/>
          <w:szCs w:val="24"/>
        </w:rPr>
        <w:t xml:space="preserve"> has a jurisdiction. No reason of equity could ever clothe a court with jurisdiction it does not have.</w:t>
      </w:r>
    </w:p>
    <w:p w14:paraId="2BAED62A" w14:textId="6FC05210" w:rsidR="002F1C01" w:rsidRPr="004E79FD" w:rsidRDefault="007744E2" w:rsidP="004E79FD">
      <w:pPr>
        <w:spacing w:before="480" w:after="0" w:line="480" w:lineRule="auto"/>
        <w:ind w:left="2160" w:hanging="720"/>
        <w:jc w:val="both"/>
        <w:rPr>
          <w:rFonts w:ascii="Arial" w:hAnsi="Arial" w:cs="Arial"/>
          <w:i/>
          <w:iCs/>
          <w:sz w:val="24"/>
          <w:szCs w:val="24"/>
        </w:rPr>
      </w:pPr>
      <w:r>
        <w:rPr>
          <w:rFonts w:ascii="Arial" w:hAnsi="Arial" w:cs="Arial"/>
          <w:i/>
          <w:iCs/>
          <w:sz w:val="24"/>
          <w:szCs w:val="24"/>
        </w:rPr>
        <w:t>(21).</w:t>
      </w:r>
      <w:r>
        <w:rPr>
          <w:rFonts w:ascii="Arial" w:hAnsi="Arial" w:cs="Arial"/>
          <w:i/>
          <w:iCs/>
          <w:sz w:val="24"/>
          <w:szCs w:val="24"/>
        </w:rPr>
        <w:tab/>
        <w:t xml:space="preserve">It follows that ss 173 and 34 considerations are totally irrelevant to the enquiry whether a court has jurisdiction or </w:t>
      </w:r>
      <w:r w:rsidR="00193859">
        <w:rPr>
          <w:rFonts w:ascii="Arial" w:hAnsi="Arial" w:cs="Arial"/>
          <w:i/>
          <w:iCs/>
          <w:sz w:val="24"/>
          <w:szCs w:val="24"/>
        </w:rPr>
        <w:t xml:space="preserve">not. Equally irrelevant to the jurisdiction enquiry, are the objectives </w:t>
      </w:r>
      <w:r w:rsidR="004E79FD">
        <w:rPr>
          <w:rFonts w:ascii="Arial" w:hAnsi="Arial" w:cs="Arial"/>
          <w:i/>
          <w:iCs/>
          <w:sz w:val="24"/>
          <w:szCs w:val="24"/>
        </w:rPr>
        <w:t xml:space="preserve">sought to be achieved through the practice </w:t>
      </w:r>
      <w:r w:rsidR="00CE1DB7">
        <w:rPr>
          <w:rFonts w:ascii="Arial" w:hAnsi="Arial" w:cs="Arial"/>
          <w:i/>
          <w:iCs/>
          <w:sz w:val="24"/>
          <w:szCs w:val="24"/>
        </w:rPr>
        <w:t>directive”.</w:t>
      </w:r>
    </w:p>
    <w:p w14:paraId="22F21689" w14:textId="3DDAE6DD" w:rsidR="001E2626" w:rsidRDefault="004E79FD" w:rsidP="00BB55DC">
      <w:pPr>
        <w:spacing w:before="480" w:after="0" w:line="480" w:lineRule="auto"/>
        <w:ind w:left="720" w:hanging="720"/>
        <w:jc w:val="both"/>
        <w:rPr>
          <w:rFonts w:ascii="Arial" w:hAnsi="Arial" w:cs="Arial"/>
          <w:sz w:val="24"/>
          <w:szCs w:val="24"/>
        </w:rPr>
      </w:pPr>
      <w:r>
        <w:rPr>
          <w:rFonts w:ascii="Arial" w:hAnsi="Arial" w:cs="Arial"/>
          <w:sz w:val="24"/>
          <w:szCs w:val="24"/>
        </w:rPr>
        <w:t>3</w:t>
      </w:r>
      <w:r w:rsidR="00BB55DC">
        <w:rPr>
          <w:rFonts w:ascii="Arial" w:hAnsi="Arial" w:cs="Arial"/>
          <w:sz w:val="24"/>
          <w:szCs w:val="24"/>
        </w:rPr>
        <w:t>3</w:t>
      </w:r>
      <w:r>
        <w:rPr>
          <w:rFonts w:ascii="Arial" w:hAnsi="Arial" w:cs="Arial"/>
          <w:sz w:val="24"/>
          <w:szCs w:val="24"/>
        </w:rPr>
        <w:t>.</w:t>
      </w:r>
      <w:r>
        <w:rPr>
          <w:rFonts w:ascii="Arial" w:hAnsi="Arial" w:cs="Arial"/>
          <w:sz w:val="24"/>
          <w:szCs w:val="24"/>
        </w:rPr>
        <w:tab/>
      </w:r>
      <w:r w:rsidR="00D4090D">
        <w:rPr>
          <w:rFonts w:ascii="Arial" w:hAnsi="Arial" w:cs="Arial"/>
          <w:sz w:val="24"/>
          <w:szCs w:val="24"/>
        </w:rPr>
        <w:t xml:space="preserve">I fully ascribe to the ratio of the </w:t>
      </w:r>
      <w:r w:rsidR="001C7010">
        <w:rPr>
          <w:rFonts w:ascii="Arial" w:hAnsi="Arial" w:cs="Arial"/>
          <w:sz w:val="24"/>
          <w:szCs w:val="24"/>
        </w:rPr>
        <w:t xml:space="preserve">SCA </w:t>
      </w:r>
      <w:r w:rsidR="00D4090D">
        <w:rPr>
          <w:rFonts w:ascii="Arial" w:hAnsi="Arial" w:cs="Arial"/>
          <w:sz w:val="24"/>
          <w:szCs w:val="24"/>
        </w:rPr>
        <w:t xml:space="preserve">above. To that I may add that the Judge President’s powers in terms of s </w:t>
      </w:r>
      <w:r w:rsidR="001C7010">
        <w:rPr>
          <w:rFonts w:ascii="Arial" w:hAnsi="Arial" w:cs="Arial"/>
          <w:sz w:val="24"/>
          <w:szCs w:val="24"/>
        </w:rPr>
        <w:t xml:space="preserve">8(6), to </w:t>
      </w:r>
      <w:r w:rsidR="00A038C5">
        <w:rPr>
          <w:rFonts w:ascii="Arial" w:hAnsi="Arial" w:cs="Arial"/>
          <w:sz w:val="24"/>
          <w:szCs w:val="24"/>
        </w:rPr>
        <w:t xml:space="preserve">assign cases and judicial duties to judicial officers or to issue directives to </w:t>
      </w:r>
      <w:r w:rsidR="009D451D">
        <w:rPr>
          <w:rFonts w:ascii="Arial" w:hAnsi="Arial" w:cs="Arial"/>
          <w:sz w:val="24"/>
          <w:szCs w:val="24"/>
        </w:rPr>
        <w:t>manage the case flow management or finalisation if matters before judicial officers, does not include or</w:t>
      </w:r>
      <w:r w:rsidR="00F95A3B">
        <w:rPr>
          <w:rFonts w:ascii="Arial" w:hAnsi="Arial" w:cs="Arial"/>
          <w:sz w:val="24"/>
          <w:szCs w:val="24"/>
        </w:rPr>
        <w:t xml:space="preserve"> cannot be</w:t>
      </w:r>
      <w:r w:rsidR="009D451D">
        <w:rPr>
          <w:rFonts w:ascii="Arial" w:hAnsi="Arial" w:cs="Arial"/>
          <w:sz w:val="24"/>
          <w:szCs w:val="24"/>
        </w:rPr>
        <w:t xml:space="preserve"> equate</w:t>
      </w:r>
      <w:r w:rsidR="00F95A3B">
        <w:rPr>
          <w:rFonts w:ascii="Arial" w:hAnsi="Arial" w:cs="Arial"/>
          <w:sz w:val="24"/>
          <w:szCs w:val="24"/>
        </w:rPr>
        <w:t>d</w:t>
      </w:r>
      <w:r w:rsidR="009D451D">
        <w:rPr>
          <w:rFonts w:ascii="Arial" w:hAnsi="Arial" w:cs="Arial"/>
          <w:sz w:val="24"/>
          <w:szCs w:val="24"/>
        </w:rPr>
        <w:t xml:space="preserve"> to the power to </w:t>
      </w:r>
      <w:r w:rsidR="00021D08">
        <w:rPr>
          <w:rFonts w:ascii="Arial" w:hAnsi="Arial" w:cs="Arial"/>
          <w:sz w:val="24"/>
          <w:szCs w:val="24"/>
        </w:rPr>
        <w:t xml:space="preserve">alter or amend the </w:t>
      </w:r>
      <w:r w:rsidR="000E51AA">
        <w:rPr>
          <w:rFonts w:ascii="Arial" w:hAnsi="Arial" w:cs="Arial"/>
          <w:sz w:val="24"/>
          <w:szCs w:val="24"/>
        </w:rPr>
        <w:t>jurisdiction bestowed upon his division by legislation.</w:t>
      </w:r>
      <w:r w:rsidR="00A038C5">
        <w:rPr>
          <w:rFonts w:ascii="Arial" w:hAnsi="Arial" w:cs="Arial"/>
          <w:sz w:val="24"/>
          <w:szCs w:val="24"/>
        </w:rPr>
        <w:t xml:space="preserve"> </w:t>
      </w:r>
    </w:p>
    <w:p w14:paraId="49E9AA13" w14:textId="4570F982" w:rsidR="005F7897" w:rsidRDefault="00D73148" w:rsidP="00BB55DC">
      <w:pPr>
        <w:spacing w:before="480" w:after="0" w:line="480" w:lineRule="auto"/>
        <w:ind w:left="720" w:hanging="720"/>
        <w:jc w:val="both"/>
        <w:rPr>
          <w:rFonts w:ascii="Arial" w:hAnsi="Arial" w:cs="Arial"/>
          <w:sz w:val="24"/>
          <w:szCs w:val="24"/>
        </w:rPr>
      </w:pPr>
      <w:r>
        <w:rPr>
          <w:rFonts w:ascii="Arial" w:hAnsi="Arial" w:cs="Arial"/>
          <w:sz w:val="24"/>
          <w:szCs w:val="24"/>
        </w:rPr>
        <w:lastRenderedPageBreak/>
        <w:t>3</w:t>
      </w:r>
      <w:r w:rsidR="00A23532">
        <w:rPr>
          <w:rFonts w:ascii="Arial" w:hAnsi="Arial" w:cs="Arial"/>
          <w:sz w:val="24"/>
          <w:szCs w:val="24"/>
        </w:rPr>
        <w:t>4</w:t>
      </w:r>
      <w:r w:rsidR="001E2626">
        <w:rPr>
          <w:rFonts w:ascii="Arial" w:hAnsi="Arial" w:cs="Arial"/>
          <w:sz w:val="24"/>
          <w:szCs w:val="24"/>
        </w:rPr>
        <w:t>.</w:t>
      </w:r>
      <w:r w:rsidR="001E2626">
        <w:rPr>
          <w:rFonts w:ascii="Arial" w:hAnsi="Arial" w:cs="Arial"/>
          <w:sz w:val="24"/>
          <w:szCs w:val="24"/>
        </w:rPr>
        <w:tab/>
      </w:r>
      <w:r w:rsidR="000E51AA">
        <w:rPr>
          <w:rFonts w:ascii="Arial" w:hAnsi="Arial" w:cs="Arial"/>
          <w:sz w:val="24"/>
          <w:szCs w:val="24"/>
        </w:rPr>
        <w:t xml:space="preserve">In </w:t>
      </w:r>
      <w:r w:rsidR="003D4711">
        <w:rPr>
          <w:rFonts w:ascii="Arial" w:hAnsi="Arial" w:cs="Arial"/>
          <w:b/>
          <w:bCs/>
          <w:sz w:val="24"/>
          <w:szCs w:val="24"/>
          <w:u w:val="single"/>
        </w:rPr>
        <w:t xml:space="preserve">The National Director of Public Prosecutions </w:t>
      </w:r>
      <w:r w:rsidR="00B74A29">
        <w:rPr>
          <w:rFonts w:ascii="Arial" w:hAnsi="Arial" w:cs="Arial"/>
          <w:b/>
          <w:bCs/>
          <w:sz w:val="24"/>
          <w:szCs w:val="24"/>
          <w:u w:val="single"/>
        </w:rPr>
        <w:t>(</w:t>
      </w:r>
      <w:r w:rsidR="00B74A29">
        <w:rPr>
          <w:rFonts w:ascii="Arial" w:hAnsi="Arial" w:cs="Arial"/>
          <w:b/>
          <w:bCs/>
          <w:i/>
          <w:iCs/>
          <w:sz w:val="24"/>
          <w:szCs w:val="24"/>
          <w:u w:val="single"/>
        </w:rPr>
        <w:t>ex</w:t>
      </w:r>
      <w:r w:rsidR="001E2626">
        <w:rPr>
          <w:rFonts w:ascii="Arial" w:hAnsi="Arial" w:cs="Arial"/>
          <w:b/>
          <w:bCs/>
          <w:i/>
          <w:iCs/>
          <w:sz w:val="24"/>
          <w:szCs w:val="24"/>
          <w:u w:val="single"/>
        </w:rPr>
        <w:t xml:space="preserve"> </w:t>
      </w:r>
      <w:proofErr w:type="spellStart"/>
      <w:r w:rsidR="001E2626">
        <w:rPr>
          <w:rFonts w:ascii="Arial" w:hAnsi="Arial" w:cs="Arial"/>
          <w:b/>
          <w:bCs/>
          <w:i/>
          <w:iCs/>
          <w:sz w:val="24"/>
          <w:szCs w:val="24"/>
          <w:u w:val="single"/>
        </w:rPr>
        <w:t>parte</w:t>
      </w:r>
      <w:proofErr w:type="spellEnd"/>
      <w:r w:rsidR="001E2626">
        <w:rPr>
          <w:rFonts w:ascii="Arial" w:hAnsi="Arial" w:cs="Arial"/>
          <w:b/>
          <w:bCs/>
          <w:i/>
          <w:iCs/>
          <w:sz w:val="24"/>
          <w:szCs w:val="24"/>
          <w:u w:val="single"/>
        </w:rPr>
        <w:t xml:space="preserve"> application)</w:t>
      </w:r>
      <w:r w:rsidR="001E2626">
        <w:rPr>
          <w:rStyle w:val="FootnoteReference"/>
          <w:rFonts w:ascii="Arial" w:hAnsi="Arial" w:cs="Arial"/>
          <w:b/>
          <w:bCs/>
          <w:i/>
          <w:iCs/>
          <w:sz w:val="24"/>
          <w:szCs w:val="24"/>
          <w:u w:val="single"/>
        </w:rPr>
        <w:footnoteReference w:id="26"/>
      </w:r>
      <w:r w:rsidR="001C7010">
        <w:rPr>
          <w:rFonts w:ascii="Arial" w:hAnsi="Arial" w:cs="Arial"/>
          <w:sz w:val="24"/>
          <w:szCs w:val="24"/>
        </w:rPr>
        <w:t xml:space="preserve"> </w:t>
      </w:r>
      <w:r w:rsidR="005F7897">
        <w:rPr>
          <w:rFonts w:ascii="Arial" w:hAnsi="Arial" w:cs="Arial"/>
          <w:sz w:val="24"/>
          <w:szCs w:val="24"/>
        </w:rPr>
        <w:t>, the SCA, clarified the legal status of practice directives as follows;</w:t>
      </w:r>
    </w:p>
    <w:p w14:paraId="27F34FA9" w14:textId="62EDC78F" w:rsidR="005F7897" w:rsidRDefault="005F7897" w:rsidP="004E7C5E">
      <w:pPr>
        <w:spacing w:before="480" w:after="0" w:line="480" w:lineRule="auto"/>
        <w:ind w:left="2160" w:hanging="720"/>
        <w:jc w:val="both"/>
        <w:rPr>
          <w:rFonts w:ascii="Arial" w:hAnsi="Arial" w:cs="Arial"/>
          <w:sz w:val="24"/>
          <w:szCs w:val="24"/>
        </w:rPr>
      </w:pPr>
      <w:r>
        <w:rPr>
          <w:rFonts w:ascii="Arial" w:hAnsi="Arial" w:cs="Arial"/>
          <w:sz w:val="24"/>
          <w:szCs w:val="24"/>
        </w:rPr>
        <w:t>“</w:t>
      </w:r>
      <w:r w:rsidRPr="005F7897">
        <w:rPr>
          <w:rFonts w:ascii="Arial" w:hAnsi="Arial" w:cs="Arial"/>
          <w:i/>
          <w:iCs/>
          <w:sz w:val="24"/>
          <w:szCs w:val="24"/>
        </w:rPr>
        <w:t>(19</w:t>
      </w:r>
      <w:r>
        <w:rPr>
          <w:rFonts w:ascii="Arial" w:hAnsi="Arial" w:cs="Arial"/>
          <w:i/>
          <w:iCs/>
          <w:sz w:val="24"/>
          <w:szCs w:val="24"/>
        </w:rPr>
        <w:t>).</w:t>
      </w:r>
      <w:r>
        <w:rPr>
          <w:rFonts w:ascii="Arial" w:hAnsi="Arial" w:cs="Arial"/>
          <w:i/>
          <w:iCs/>
          <w:sz w:val="24"/>
          <w:szCs w:val="24"/>
        </w:rPr>
        <w:tab/>
        <w:t xml:space="preserve">Practice directives provide essential guidance for the daily functioning </w:t>
      </w:r>
      <w:r w:rsidR="00B404EE">
        <w:rPr>
          <w:rFonts w:ascii="Arial" w:hAnsi="Arial" w:cs="Arial"/>
          <w:i/>
          <w:iCs/>
          <w:sz w:val="24"/>
          <w:szCs w:val="24"/>
        </w:rPr>
        <w:t xml:space="preserve">of the Courts. Practice directives may not derogate from legislation, the common law or rules of court that have obligatory force. A </w:t>
      </w:r>
      <w:r w:rsidR="004E7C5E">
        <w:rPr>
          <w:rFonts w:ascii="Arial" w:hAnsi="Arial" w:cs="Arial"/>
          <w:i/>
          <w:iCs/>
          <w:sz w:val="24"/>
          <w:szCs w:val="24"/>
        </w:rPr>
        <w:t xml:space="preserve">statute that permits the use of procedure </w:t>
      </w:r>
      <w:proofErr w:type="gramStart"/>
      <w:r w:rsidR="004E7C5E">
        <w:rPr>
          <w:rFonts w:ascii="Arial" w:hAnsi="Arial" w:cs="Arial"/>
          <w:i/>
          <w:iCs/>
          <w:sz w:val="24"/>
          <w:szCs w:val="24"/>
        </w:rPr>
        <w:t>so as to</w:t>
      </w:r>
      <w:proofErr w:type="gramEnd"/>
      <w:r w:rsidR="004E7C5E">
        <w:rPr>
          <w:rFonts w:ascii="Arial" w:hAnsi="Arial" w:cs="Arial"/>
          <w:i/>
          <w:iCs/>
          <w:sz w:val="24"/>
          <w:szCs w:val="24"/>
        </w:rPr>
        <w:t xml:space="preserve"> make its </w:t>
      </w:r>
      <w:r w:rsidR="00A83F61">
        <w:rPr>
          <w:rFonts w:ascii="Arial" w:hAnsi="Arial" w:cs="Arial"/>
          <w:i/>
          <w:iCs/>
          <w:sz w:val="24"/>
          <w:szCs w:val="24"/>
        </w:rPr>
        <w:t xml:space="preserve">enforcement effective must be </w:t>
      </w:r>
      <w:r w:rsidR="00B74A29">
        <w:rPr>
          <w:rFonts w:ascii="Arial" w:hAnsi="Arial" w:cs="Arial"/>
          <w:i/>
          <w:iCs/>
          <w:sz w:val="24"/>
          <w:szCs w:val="24"/>
        </w:rPr>
        <w:t>adhered to</w:t>
      </w:r>
      <w:r w:rsidR="00A83F61">
        <w:rPr>
          <w:rFonts w:ascii="Arial" w:hAnsi="Arial" w:cs="Arial"/>
          <w:i/>
          <w:iCs/>
          <w:sz w:val="24"/>
          <w:szCs w:val="24"/>
        </w:rPr>
        <w:t xml:space="preserve">. The competence of the courts to give practice directive is an important means by which the work of the courts may be carried out. </w:t>
      </w:r>
      <w:r w:rsidR="00B74A29">
        <w:rPr>
          <w:rFonts w:ascii="Arial" w:hAnsi="Arial" w:cs="Arial"/>
          <w:i/>
          <w:iCs/>
          <w:sz w:val="24"/>
          <w:szCs w:val="24"/>
        </w:rPr>
        <w:t>However,</w:t>
      </w:r>
      <w:r w:rsidR="00A83F61">
        <w:rPr>
          <w:rFonts w:ascii="Arial" w:hAnsi="Arial" w:cs="Arial"/>
          <w:i/>
          <w:iCs/>
          <w:sz w:val="24"/>
          <w:szCs w:val="24"/>
        </w:rPr>
        <w:t xml:space="preserve"> practice directives must facilitate what a statute </w:t>
      </w:r>
      <w:r w:rsidR="00D0141C">
        <w:rPr>
          <w:rFonts w:ascii="Arial" w:hAnsi="Arial" w:cs="Arial"/>
          <w:i/>
          <w:iCs/>
          <w:sz w:val="24"/>
          <w:szCs w:val="24"/>
        </w:rPr>
        <w:t>requires. Practice directives should not place obstacles in the way of achieving the objects of a statute.</w:t>
      </w:r>
    </w:p>
    <w:p w14:paraId="1DF2BC63" w14:textId="1928657D" w:rsidR="00995835" w:rsidRPr="00D73148" w:rsidRDefault="00D73148" w:rsidP="00A23532">
      <w:pPr>
        <w:spacing w:before="480" w:after="0" w:line="480" w:lineRule="auto"/>
        <w:ind w:left="720" w:hanging="720"/>
        <w:jc w:val="both"/>
        <w:rPr>
          <w:rFonts w:ascii="Arial" w:hAnsi="Arial" w:cs="Arial"/>
          <w:i/>
          <w:iCs/>
          <w:sz w:val="24"/>
          <w:szCs w:val="24"/>
        </w:rPr>
      </w:pPr>
      <w:r>
        <w:rPr>
          <w:rFonts w:ascii="Arial" w:hAnsi="Arial" w:cs="Arial"/>
          <w:sz w:val="24"/>
          <w:szCs w:val="24"/>
        </w:rPr>
        <w:t>3</w:t>
      </w:r>
      <w:r w:rsidR="002A20B6">
        <w:rPr>
          <w:rFonts w:ascii="Arial" w:hAnsi="Arial" w:cs="Arial"/>
          <w:sz w:val="24"/>
          <w:szCs w:val="24"/>
        </w:rPr>
        <w:t>5</w:t>
      </w:r>
      <w:r w:rsidR="00B74A29">
        <w:rPr>
          <w:rFonts w:ascii="Arial" w:hAnsi="Arial" w:cs="Arial"/>
          <w:sz w:val="24"/>
          <w:szCs w:val="24"/>
        </w:rPr>
        <w:t>.</w:t>
      </w:r>
      <w:r w:rsidR="00B74A29">
        <w:rPr>
          <w:rFonts w:ascii="Arial" w:hAnsi="Arial" w:cs="Arial"/>
          <w:sz w:val="24"/>
          <w:szCs w:val="24"/>
        </w:rPr>
        <w:tab/>
      </w:r>
      <w:r>
        <w:rPr>
          <w:rFonts w:ascii="Arial" w:hAnsi="Arial" w:cs="Arial"/>
          <w:sz w:val="24"/>
          <w:szCs w:val="24"/>
        </w:rPr>
        <w:t>F</w:t>
      </w:r>
      <w:r w:rsidR="00A239F9">
        <w:rPr>
          <w:rFonts w:ascii="Arial" w:hAnsi="Arial" w:cs="Arial"/>
          <w:sz w:val="24"/>
          <w:szCs w:val="24"/>
        </w:rPr>
        <w:t xml:space="preserve">rom the above, </w:t>
      </w:r>
      <w:proofErr w:type="gramStart"/>
      <w:r w:rsidR="00A239F9">
        <w:rPr>
          <w:rFonts w:ascii="Arial" w:hAnsi="Arial" w:cs="Arial"/>
          <w:sz w:val="24"/>
          <w:szCs w:val="24"/>
        </w:rPr>
        <w:t>it is clear that that</w:t>
      </w:r>
      <w:proofErr w:type="gramEnd"/>
      <w:r w:rsidR="00A239F9">
        <w:rPr>
          <w:rFonts w:ascii="Arial" w:hAnsi="Arial" w:cs="Arial"/>
          <w:sz w:val="24"/>
          <w:szCs w:val="24"/>
        </w:rPr>
        <w:t xml:space="preserve"> s 21 clear</w:t>
      </w:r>
      <w:r w:rsidR="002431A0">
        <w:rPr>
          <w:rFonts w:ascii="Arial" w:hAnsi="Arial" w:cs="Arial"/>
          <w:sz w:val="24"/>
          <w:szCs w:val="24"/>
        </w:rPr>
        <w:t>ly</w:t>
      </w:r>
      <w:r w:rsidR="00A239F9">
        <w:rPr>
          <w:rFonts w:ascii="Arial" w:hAnsi="Arial" w:cs="Arial"/>
          <w:sz w:val="24"/>
          <w:szCs w:val="24"/>
        </w:rPr>
        <w:t xml:space="preserve"> defines the area or persons or persons over which a </w:t>
      </w:r>
      <w:r w:rsidR="002431A0">
        <w:rPr>
          <w:rFonts w:ascii="Arial" w:hAnsi="Arial" w:cs="Arial"/>
          <w:sz w:val="24"/>
          <w:szCs w:val="24"/>
        </w:rPr>
        <w:t xml:space="preserve">division has jurisdiction. In </w:t>
      </w:r>
      <w:r w:rsidR="00ED58AD">
        <w:rPr>
          <w:rFonts w:ascii="Arial" w:hAnsi="Arial" w:cs="Arial"/>
          <w:sz w:val="24"/>
          <w:szCs w:val="24"/>
        </w:rPr>
        <w:t>addition,</w:t>
      </w:r>
      <w:r w:rsidR="002431A0">
        <w:rPr>
          <w:rFonts w:ascii="Arial" w:hAnsi="Arial" w:cs="Arial"/>
          <w:sz w:val="24"/>
          <w:szCs w:val="24"/>
        </w:rPr>
        <w:t xml:space="preserve"> </w:t>
      </w:r>
      <w:r w:rsidR="00CE1DB7">
        <w:rPr>
          <w:rFonts w:ascii="Arial" w:hAnsi="Arial" w:cs="Arial"/>
          <w:sz w:val="24"/>
          <w:szCs w:val="24"/>
        </w:rPr>
        <w:t>thereto</w:t>
      </w:r>
      <w:r w:rsidR="00712DEF">
        <w:rPr>
          <w:rFonts w:ascii="Arial" w:hAnsi="Arial" w:cs="Arial"/>
          <w:sz w:val="24"/>
          <w:szCs w:val="24"/>
        </w:rPr>
        <w:t xml:space="preserve">, it confers upon a Division jurisdiction to hear matters, which the law </w:t>
      </w:r>
      <w:r w:rsidR="00B9460A">
        <w:rPr>
          <w:rFonts w:ascii="Arial" w:hAnsi="Arial" w:cs="Arial"/>
          <w:sz w:val="24"/>
          <w:szCs w:val="24"/>
        </w:rPr>
        <w:t>confers upon, the jurisdiction to</w:t>
      </w:r>
      <w:r w:rsidR="00712DEF">
        <w:rPr>
          <w:rFonts w:ascii="Arial" w:hAnsi="Arial" w:cs="Arial"/>
          <w:sz w:val="24"/>
          <w:szCs w:val="24"/>
        </w:rPr>
        <w:t xml:space="preserve"> hear.</w:t>
      </w:r>
    </w:p>
    <w:p w14:paraId="1ACE5A0F" w14:textId="0EBD3310" w:rsidR="00AF7B9B" w:rsidRDefault="00B9460A" w:rsidP="00A23532">
      <w:pPr>
        <w:spacing w:before="480" w:after="0" w:line="480" w:lineRule="auto"/>
        <w:ind w:left="720" w:hanging="720"/>
        <w:jc w:val="both"/>
        <w:rPr>
          <w:rFonts w:ascii="Arial" w:hAnsi="Arial" w:cs="Arial"/>
          <w:sz w:val="24"/>
          <w:szCs w:val="24"/>
        </w:rPr>
      </w:pPr>
      <w:r>
        <w:rPr>
          <w:rFonts w:ascii="Arial" w:hAnsi="Arial" w:cs="Arial"/>
          <w:sz w:val="24"/>
          <w:szCs w:val="24"/>
        </w:rPr>
        <w:t>3</w:t>
      </w:r>
      <w:r w:rsidR="002A20B6">
        <w:rPr>
          <w:rFonts w:ascii="Arial" w:hAnsi="Arial" w:cs="Arial"/>
          <w:sz w:val="24"/>
          <w:szCs w:val="24"/>
        </w:rPr>
        <w:t>6</w:t>
      </w:r>
      <w:r w:rsidR="00995835">
        <w:rPr>
          <w:rFonts w:ascii="Arial" w:hAnsi="Arial" w:cs="Arial"/>
          <w:sz w:val="24"/>
          <w:szCs w:val="24"/>
        </w:rPr>
        <w:t>.</w:t>
      </w:r>
      <w:r w:rsidR="00995835">
        <w:rPr>
          <w:rFonts w:ascii="Arial" w:hAnsi="Arial" w:cs="Arial"/>
          <w:sz w:val="24"/>
          <w:szCs w:val="24"/>
        </w:rPr>
        <w:tab/>
      </w:r>
      <w:r w:rsidR="00C50DB7">
        <w:rPr>
          <w:rFonts w:ascii="Arial" w:hAnsi="Arial" w:cs="Arial"/>
          <w:sz w:val="24"/>
          <w:szCs w:val="24"/>
        </w:rPr>
        <w:t>S 130(3)</w:t>
      </w:r>
      <w:r w:rsidR="00995835">
        <w:rPr>
          <w:rFonts w:ascii="Arial" w:hAnsi="Arial" w:cs="Arial"/>
          <w:sz w:val="24"/>
          <w:szCs w:val="24"/>
        </w:rPr>
        <w:t xml:space="preserve"> expressly confers upon “a Court” the jurisdiction to hear matters </w:t>
      </w:r>
      <w:r w:rsidR="00CF6F53">
        <w:rPr>
          <w:rFonts w:ascii="Arial" w:hAnsi="Arial" w:cs="Arial"/>
          <w:sz w:val="24"/>
          <w:szCs w:val="24"/>
        </w:rPr>
        <w:t xml:space="preserve">to which the NCA, applies. I have already found earlier herein that </w:t>
      </w:r>
      <w:r w:rsidR="00AF7B9B">
        <w:rPr>
          <w:rFonts w:ascii="Arial" w:hAnsi="Arial" w:cs="Arial"/>
          <w:sz w:val="24"/>
          <w:szCs w:val="24"/>
        </w:rPr>
        <w:t xml:space="preserve">a “Court </w:t>
      </w:r>
      <w:r w:rsidR="00C50DB7">
        <w:rPr>
          <w:rFonts w:ascii="Arial" w:hAnsi="Arial" w:cs="Arial"/>
          <w:sz w:val="24"/>
          <w:szCs w:val="24"/>
        </w:rPr>
        <w:t>“does</w:t>
      </w:r>
      <w:r w:rsidR="00AF7B9B">
        <w:rPr>
          <w:rFonts w:ascii="Arial" w:hAnsi="Arial" w:cs="Arial"/>
          <w:sz w:val="24"/>
          <w:szCs w:val="24"/>
        </w:rPr>
        <w:t xml:space="preserve"> not include a Judge in chambers.</w:t>
      </w:r>
    </w:p>
    <w:p w14:paraId="5D460E32" w14:textId="3E3B5EE7" w:rsidR="002D0D64" w:rsidRDefault="002D0D64" w:rsidP="00263D89">
      <w:pPr>
        <w:spacing w:before="480" w:after="0" w:line="480" w:lineRule="auto"/>
        <w:ind w:left="720" w:hanging="720"/>
        <w:jc w:val="both"/>
        <w:rPr>
          <w:rFonts w:ascii="Arial" w:hAnsi="Arial" w:cs="Arial"/>
          <w:sz w:val="24"/>
          <w:szCs w:val="24"/>
        </w:rPr>
      </w:pPr>
      <w:r>
        <w:rPr>
          <w:rFonts w:ascii="Arial" w:hAnsi="Arial" w:cs="Arial"/>
          <w:sz w:val="24"/>
          <w:szCs w:val="24"/>
        </w:rPr>
        <w:lastRenderedPageBreak/>
        <w:t>3</w:t>
      </w:r>
      <w:r w:rsidR="00263D89">
        <w:rPr>
          <w:rFonts w:ascii="Arial" w:hAnsi="Arial" w:cs="Arial"/>
          <w:sz w:val="24"/>
          <w:szCs w:val="24"/>
        </w:rPr>
        <w:t>7</w:t>
      </w:r>
      <w:r>
        <w:rPr>
          <w:rFonts w:ascii="Arial" w:hAnsi="Arial" w:cs="Arial"/>
          <w:sz w:val="24"/>
          <w:szCs w:val="24"/>
        </w:rPr>
        <w:t>.</w:t>
      </w:r>
      <w:r>
        <w:rPr>
          <w:rFonts w:ascii="Arial" w:hAnsi="Arial" w:cs="Arial"/>
          <w:sz w:val="24"/>
          <w:szCs w:val="24"/>
        </w:rPr>
        <w:tab/>
      </w:r>
      <w:r w:rsidR="00D812C2">
        <w:rPr>
          <w:rFonts w:ascii="Arial" w:hAnsi="Arial" w:cs="Arial"/>
          <w:sz w:val="24"/>
          <w:szCs w:val="24"/>
        </w:rPr>
        <w:t>T</w:t>
      </w:r>
      <w:r>
        <w:rPr>
          <w:rFonts w:ascii="Arial" w:hAnsi="Arial" w:cs="Arial"/>
          <w:sz w:val="24"/>
          <w:szCs w:val="24"/>
        </w:rPr>
        <w:t xml:space="preserve">herefore, the </w:t>
      </w:r>
      <w:r w:rsidR="00D812C2">
        <w:rPr>
          <w:rFonts w:ascii="Arial" w:hAnsi="Arial" w:cs="Arial"/>
          <w:sz w:val="24"/>
          <w:szCs w:val="24"/>
        </w:rPr>
        <w:t xml:space="preserve">Acting </w:t>
      </w:r>
      <w:r>
        <w:rPr>
          <w:rFonts w:ascii="Arial" w:hAnsi="Arial" w:cs="Arial"/>
          <w:sz w:val="24"/>
          <w:szCs w:val="24"/>
        </w:rPr>
        <w:t xml:space="preserve">Judge President cannot by way of a practice directive, confer jurisdiction upon a Judge </w:t>
      </w:r>
      <w:r w:rsidR="00D812C2">
        <w:rPr>
          <w:rFonts w:ascii="Arial" w:hAnsi="Arial" w:cs="Arial"/>
          <w:sz w:val="24"/>
          <w:szCs w:val="24"/>
        </w:rPr>
        <w:t>in chambers, to hear matter, which the Act has expressly and exclusively reserved for a Court.</w:t>
      </w:r>
    </w:p>
    <w:p w14:paraId="38EEBB1E" w14:textId="58BBFCAB" w:rsidR="004E6EBE" w:rsidRDefault="00D812C2" w:rsidP="00263D89">
      <w:pPr>
        <w:spacing w:before="480" w:after="0" w:line="480" w:lineRule="auto"/>
        <w:ind w:left="720" w:hanging="720"/>
        <w:jc w:val="both"/>
        <w:rPr>
          <w:rFonts w:ascii="Arial" w:hAnsi="Arial" w:cs="Arial"/>
          <w:sz w:val="24"/>
          <w:szCs w:val="24"/>
        </w:rPr>
      </w:pPr>
      <w:r>
        <w:rPr>
          <w:rFonts w:ascii="Arial" w:hAnsi="Arial" w:cs="Arial"/>
          <w:sz w:val="24"/>
          <w:szCs w:val="24"/>
        </w:rPr>
        <w:t>3</w:t>
      </w:r>
      <w:r w:rsidR="00263D89">
        <w:rPr>
          <w:rFonts w:ascii="Arial" w:hAnsi="Arial" w:cs="Arial"/>
          <w:sz w:val="24"/>
          <w:szCs w:val="24"/>
        </w:rPr>
        <w:t>8</w:t>
      </w:r>
      <w:r>
        <w:rPr>
          <w:rFonts w:ascii="Arial" w:hAnsi="Arial" w:cs="Arial"/>
          <w:sz w:val="24"/>
          <w:szCs w:val="24"/>
        </w:rPr>
        <w:t>.</w:t>
      </w:r>
      <w:r>
        <w:rPr>
          <w:rFonts w:ascii="Arial" w:hAnsi="Arial" w:cs="Arial"/>
          <w:sz w:val="24"/>
          <w:szCs w:val="24"/>
        </w:rPr>
        <w:tab/>
      </w:r>
      <w:r w:rsidR="00A57CAB">
        <w:rPr>
          <w:rFonts w:ascii="Arial" w:hAnsi="Arial" w:cs="Arial"/>
          <w:sz w:val="24"/>
          <w:szCs w:val="24"/>
        </w:rPr>
        <w:t>F</w:t>
      </w:r>
      <w:r>
        <w:rPr>
          <w:rFonts w:ascii="Arial" w:hAnsi="Arial" w:cs="Arial"/>
          <w:sz w:val="24"/>
          <w:szCs w:val="24"/>
        </w:rPr>
        <w:t xml:space="preserve">urthermore, to the extent that the Acting Judge President’s directive </w:t>
      </w:r>
      <w:r w:rsidR="002A5777">
        <w:rPr>
          <w:rFonts w:ascii="Arial" w:hAnsi="Arial" w:cs="Arial"/>
          <w:sz w:val="24"/>
          <w:szCs w:val="24"/>
        </w:rPr>
        <w:t xml:space="preserve">is or may be interpreted or intended to confer jurisdiction to hear matter to which the NCA applies, such interpretation </w:t>
      </w:r>
      <w:r w:rsidR="00640845">
        <w:rPr>
          <w:rFonts w:ascii="Arial" w:hAnsi="Arial" w:cs="Arial"/>
          <w:sz w:val="24"/>
          <w:szCs w:val="24"/>
        </w:rPr>
        <w:t xml:space="preserve">or </w:t>
      </w:r>
      <w:r w:rsidR="00A57CAB">
        <w:rPr>
          <w:rFonts w:ascii="Arial" w:hAnsi="Arial" w:cs="Arial"/>
          <w:sz w:val="24"/>
          <w:szCs w:val="24"/>
        </w:rPr>
        <w:t>intention is</w:t>
      </w:r>
      <w:r w:rsidR="00640845">
        <w:rPr>
          <w:rFonts w:ascii="Arial" w:hAnsi="Arial" w:cs="Arial"/>
          <w:sz w:val="24"/>
          <w:szCs w:val="24"/>
        </w:rPr>
        <w:t xml:space="preserve"> at odds with the law, </w:t>
      </w:r>
      <w:proofErr w:type="gramStart"/>
      <w:r w:rsidR="00640845">
        <w:rPr>
          <w:rFonts w:ascii="Arial" w:hAnsi="Arial" w:cs="Arial"/>
          <w:sz w:val="24"/>
          <w:szCs w:val="24"/>
        </w:rPr>
        <w:t>in particular,</w:t>
      </w:r>
      <w:proofErr w:type="gramEnd"/>
      <w:r w:rsidR="00640845">
        <w:rPr>
          <w:rFonts w:ascii="Arial" w:hAnsi="Arial" w:cs="Arial"/>
          <w:sz w:val="24"/>
          <w:szCs w:val="24"/>
        </w:rPr>
        <w:t xml:space="preserve"> the principle of legality. This is because the Acting Judge President, cannot exercise powers</w:t>
      </w:r>
      <w:r w:rsidR="00A57CAB">
        <w:rPr>
          <w:rFonts w:ascii="Arial" w:hAnsi="Arial" w:cs="Arial"/>
          <w:sz w:val="24"/>
          <w:szCs w:val="24"/>
        </w:rPr>
        <w:t xml:space="preserve"> which he/she in law does not have</w:t>
      </w:r>
      <w:r w:rsidR="00A57CAB">
        <w:rPr>
          <w:rStyle w:val="FootnoteReference"/>
          <w:rFonts w:ascii="Arial" w:hAnsi="Arial" w:cs="Arial"/>
          <w:sz w:val="24"/>
          <w:szCs w:val="24"/>
        </w:rPr>
        <w:footnoteReference w:id="27"/>
      </w:r>
      <w:r w:rsidR="00A57CAB">
        <w:rPr>
          <w:rFonts w:ascii="Arial" w:hAnsi="Arial" w:cs="Arial"/>
          <w:sz w:val="24"/>
          <w:szCs w:val="24"/>
        </w:rPr>
        <w:t>.</w:t>
      </w:r>
      <w:r w:rsidR="00AE3B09">
        <w:rPr>
          <w:rFonts w:ascii="Arial" w:hAnsi="Arial" w:cs="Arial"/>
          <w:sz w:val="24"/>
          <w:szCs w:val="24"/>
        </w:rPr>
        <w:t xml:space="preserve"> </w:t>
      </w:r>
    </w:p>
    <w:p w14:paraId="2C24D757" w14:textId="2614480F" w:rsidR="005D4774" w:rsidRDefault="004E6EBE" w:rsidP="00263D89">
      <w:pPr>
        <w:spacing w:before="480" w:after="0" w:line="480" w:lineRule="auto"/>
        <w:ind w:left="720" w:hanging="720"/>
        <w:jc w:val="both"/>
        <w:rPr>
          <w:rFonts w:ascii="Arial" w:hAnsi="Arial" w:cs="Arial"/>
          <w:i/>
          <w:iCs/>
          <w:sz w:val="24"/>
          <w:szCs w:val="24"/>
        </w:rPr>
      </w:pPr>
      <w:r>
        <w:rPr>
          <w:rFonts w:ascii="Arial" w:hAnsi="Arial" w:cs="Arial"/>
          <w:sz w:val="24"/>
          <w:szCs w:val="24"/>
        </w:rPr>
        <w:t>3</w:t>
      </w:r>
      <w:r w:rsidR="00263D89">
        <w:rPr>
          <w:rFonts w:ascii="Arial" w:hAnsi="Arial" w:cs="Arial"/>
          <w:sz w:val="24"/>
          <w:szCs w:val="24"/>
        </w:rPr>
        <w:t>9</w:t>
      </w:r>
      <w:r>
        <w:rPr>
          <w:rFonts w:ascii="Arial" w:hAnsi="Arial" w:cs="Arial"/>
          <w:sz w:val="24"/>
          <w:szCs w:val="24"/>
        </w:rPr>
        <w:t>.</w:t>
      </w:r>
      <w:r>
        <w:rPr>
          <w:rFonts w:ascii="Arial" w:hAnsi="Arial" w:cs="Arial"/>
          <w:sz w:val="24"/>
          <w:szCs w:val="24"/>
        </w:rPr>
        <w:tab/>
      </w:r>
      <w:r w:rsidR="00A372B6">
        <w:rPr>
          <w:rFonts w:ascii="Arial" w:hAnsi="Arial" w:cs="Arial"/>
          <w:sz w:val="24"/>
          <w:szCs w:val="24"/>
        </w:rPr>
        <w:t>Therefore,</w:t>
      </w:r>
      <w:r>
        <w:rPr>
          <w:rFonts w:ascii="Arial" w:hAnsi="Arial" w:cs="Arial"/>
          <w:sz w:val="24"/>
          <w:szCs w:val="24"/>
        </w:rPr>
        <w:t xml:space="preserve"> I find that,</w:t>
      </w:r>
      <w:r w:rsidR="00AE3B09">
        <w:rPr>
          <w:rFonts w:ascii="Arial" w:hAnsi="Arial" w:cs="Arial"/>
          <w:sz w:val="24"/>
          <w:szCs w:val="24"/>
        </w:rPr>
        <w:t xml:space="preserve"> </w:t>
      </w:r>
      <w:r w:rsidR="009B25BE">
        <w:rPr>
          <w:rFonts w:ascii="Arial" w:hAnsi="Arial" w:cs="Arial"/>
          <w:sz w:val="24"/>
          <w:szCs w:val="24"/>
        </w:rPr>
        <w:t>the Acting Judge President’s directive does not confer jurisdiction on a Judge in chamber to determine matters in which the NCA applies</w:t>
      </w:r>
      <w:r w:rsidR="008C492F">
        <w:rPr>
          <w:rFonts w:ascii="Arial" w:hAnsi="Arial" w:cs="Arial"/>
          <w:sz w:val="24"/>
          <w:szCs w:val="24"/>
        </w:rPr>
        <w:t xml:space="preserve"> and </w:t>
      </w:r>
      <w:r w:rsidR="00AE3B09">
        <w:rPr>
          <w:rFonts w:ascii="Arial" w:hAnsi="Arial" w:cs="Arial"/>
          <w:sz w:val="24"/>
          <w:szCs w:val="24"/>
        </w:rPr>
        <w:t xml:space="preserve">to the extent that the Directive is intended to confer jurisdiction to a Judge in chambers to determine matter to which the NCA applies, it is </w:t>
      </w:r>
      <w:r w:rsidR="005D4774">
        <w:rPr>
          <w:rFonts w:ascii="Arial" w:hAnsi="Arial" w:cs="Arial"/>
          <w:sz w:val="24"/>
          <w:szCs w:val="24"/>
        </w:rPr>
        <w:t xml:space="preserve">null and </w:t>
      </w:r>
      <w:r w:rsidR="005D4774">
        <w:rPr>
          <w:rFonts w:ascii="Arial" w:hAnsi="Arial" w:cs="Arial"/>
          <w:i/>
          <w:iCs/>
          <w:sz w:val="24"/>
          <w:szCs w:val="24"/>
        </w:rPr>
        <w:t>void ab initio.</w:t>
      </w:r>
    </w:p>
    <w:p w14:paraId="7BC23495" w14:textId="3103803C" w:rsidR="008217EC" w:rsidRDefault="00263D89" w:rsidP="00263D89">
      <w:pPr>
        <w:spacing w:before="480" w:after="0" w:line="480" w:lineRule="auto"/>
        <w:ind w:left="720" w:hanging="720"/>
        <w:jc w:val="both"/>
        <w:rPr>
          <w:rFonts w:ascii="Arial" w:hAnsi="Arial" w:cs="Arial"/>
          <w:sz w:val="24"/>
          <w:szCs w:val="24"/>
        </w:rPr>
      </w:pPr>
      <w:r>
        <w:rPr>
          <w:rFonts w:ascii="Arial" w:hAnsi="Arial" w:cs="Arial"/>
          <w:sz w:val="24"/>
          <w:szCs w:val="24"/>
        </w:rPr>
        <w:t>40</w:t>
      </w:r>
      <w:r w:rsidR="005D4774">
        <w:rPr>
          <w:rFonts w:ascii="Arial" w:hAnsi="Arial" w:cs="Arial"/>
          <w:sz w:val="24"/>
          <w:szCs w:val="24"/>
        </w:rPr>
        <w:t>.</w:t>
      </w:r>
      <w:r w:rsidR="005D4774">
        <w:rPr>
          <w:rFonts w:ascii="Arial" w:hAnsi="Arial" w:cs="Arial"/>
          <w:sz w:val="24"/>
          <w:szCs w:val="24"/>
        </w:rPr>
        <w:tab/>
      </w:r>
      <w:r w:rsidR="00B435F2">
        <w:rPr>
          <w:rFonts w:ascii="Arial" w:hAnsi="Arial" w:cs="Arial"/>
          <w:sz w:val="24"/>
          <w:szCs w:val="24"/>
        </w:rPr>
        <w:t>E</w:t>
      </w:r>
      <w:r w:rsidR="008217EC">
        <w:rPr>
          <w:rFonts w:ascii="Arial" w:hAnsi="Arial" w:cs="Arial"/>
          <w:sz w:val="24"/>
          <w:szCs w:val="24"/>
        </w:rPr>
        <w:t xml:space="preserve">ven </w:t>
      </w:r>
      <w:r w:rsidR="002574EA">
        <w:rPr>
          <w:rFonts w:ascii="Arial" w:hAnsi="Arial" w:cs="Arial"/>
          <w:sz w:val="24"/>
          <w:szCs w:val="24"/>
        </w:rPr>
        <w:t>if I</w:t>
      </w:r>
      <w:r w:rsidR="008217EC">
        <w:rPr>
          <w:rFonts w:ascii="Arial" w:hAnsi="Arial" w:cs="Arial"/>
          <w:sz w:val="24"/>
          <w:szCs w:val="24"/>
        </w:rPr>
        <w:t xml:space="preserve"> am wrong on findings on the Acting Judge President’s directive </w:t>
      </w:r>
      <w:r w:rsidR="00C24B32">
        <w:rPr>
          <w:rFonts w:ascii="Arial" w:hAnsi="Arial" w:cs="Arial"/>
          <w:sz w:val="24"/>
          <w:szCs w:val="24"/>
        </w:rPr>
        <w:t>conferring jurisdiction on a Judge in chambers to hear matter to which the NCA applies, it my view that s</w:t>
      </w:r>
      <w:r w:rsidR="00156ABD">
        <w:rPr>
          <w:rFonts w:ascii="Arial" w:hAnsi="Arial" w:cs="Arial"/>
          <w:sz w:val="24"/>
          <w:szCs w:val="24"/>
        </w:rPr>
        <w:t xml:space="preserve"> </w:t>
      </w:r>
      <w:r w:rsidR="00C24B32">
        <w:rPr>
          <w:rFonts w:ascii="Arial" w:hAnsi="Arial" w:cs="Arial"/>
          <w:sz w:val="24"/>
          <w:szCs w:val="24"/>
        </w:rPr>
        <w:t>130(3) constitutes an exception to the practice directive. This is because the s</w:t>
      </w:r>
      <w:r w:rsidR="00156ABD">
        <w:rPr>
          <w:rFonts w:ascii="Arial" w:hAnsi="Arial" w:cs="Arial"/>
          <w:sz w:val="24"/>
          <w:szCs w:val="24"/>
        </w:rPr>
        <w:t xml:space="preserve"> 130(3), expressly ex</w:t>
      </w:r>
      <w:r w:rsidR="00F502F8">
        <w:rPr>
          <w:rFonts w:ascii="Arial" w:hAnsi="Arial" w:cs="Arial"/>
          <w:sz w:val="24"/>
          <w:szCs w:val="24"/>
        </w:rPr>
        <w:t>empts</w:t>
      </w:r>
      <w:r w:rsidR="00B5464F">
        <w:rPr>
          <w:rFonts w:ascii="Arial" w:hAnsi="Arial" w:cs="Arial"/>
          <w:sz w:val="24"/>
          <w:szCs w:val="24"/>
        </w:rPr>
        <w:t>, matters</w:t>
      </w:r>
      <w:r w:rsidR="00F9713F">
        <w:rPr>
          <w:rFonts w:ascii="Arial" w:hAnsi="Arial" w:cs="Arial"/>
          <w:sz w:val="24"/>
          <w:szCs w:val="24"/>
        </w:rPr>
        <w:t xml:space="preserve"> to which the NCA applies, from the application of such law or contract.</w:t>
      </w:r>
    </w:p>
    <w:p w14:paraId="2B253B72" w14:textId="21DBEE8A" w:rsidR="005D4774" w:rsidRDefault="00263D89" w:rsidP="00263D89">
      <w:pPr>
        <w:spacing w:before="480" w:after="0" w:line="480" w:lineRule="auto"/>
        <w:ind w:left="720" w:hanging="720"/>
        <w:jc w:val="both"/>
        <w:rPr>
          <w:rFonts w:ascii="Arial" w:hAnsi="Arial" w:cs="Arial"/>
          <w:sz w:val="24"/>
          <w:szCs w:val="24"/>
        </w:rPr>
      </w:pPr>
      <w:r>
        <w:rPr>
          <w:rFonts w:ascii="Arial" w:hAnsi="Arial" w:cs="Arial"/>
          <w:sz w:val="24"/>
          <w:szCs w:val="24"/>
        </w:rPr>
        <w:t>41</w:t>
      </w:r>
      <w:r w:rsidR="00F9713F">
        <w:rPr>
          <w:rFonts w:ascii="Arial" w:hAnsi="Arial" w:cs="Arial"/>
          <w:sz w:val="24"/>
          <w:szCs w:val="24"/>
        </w:rPr>
        <w:t>.</w:t>
      </w:r>
      <w:r w:rsidR="00F9713F">
        <w:rPr>
          <w:rFonts w:ascii="Arial" w:hAnsi="Arial" w:cs="Arial"/>
          <w:sz w:val="24"/>
          <w:szCs w:val="24"/>
        </w:rPr>
        <w:tab/>
      </w:r>
      <w:r w:rsidR="005D4774">
        <w:rPr>
          <w:rFonts w:ascii="Arial" w:hAnsi="Arial" w:cs="Arial"/>
          <w:sz w:val="24"/>
          <w:szCs w:val="24"/>
        </w:rPr>
        <w:t xml:space="preserve">I am alive to the fact that </w:t>
      </w:r>
      <w:r w:rsidR="00C36E4D">
        <w:rPr>
          <w:rFonts w:ascii="Arial" w:hAnsi="Arial" w:cs="Arial"/>
          <w:sz w:val="24"/>
          <w:szCs w:val="24"/>
        </w:rPr>
        <w:t xml:space="preserve">since the inception of the directive and the practice to refer the default judgment applications to which the NCA applies, there have </w:t>
      </w:r>
      <w:r w:rsidR="00C36E4D">
        <w:rPr>
          <w:rFonts w:ascii="Arial" w:hAnsi="Arial" w:cs="Arial"/>
          <w:sz w:val="24"/>
          <w:szCs w:val="24"/>
        </w:rPr>
        <w:lastRenderedPageBreak/>
        <w:t xml:space="preserve">been many default judgments </w:t>
      </w:r>
      <w:r w:rsidR="007753BD">
        <w:rPr>
          <w:rFonts w:ascii="Arial" w:hAnsi="Arial" w:cs="Arial"/>
          <w:sz w:val="24"/>
          <w:szCs w:val="24"/>
        </w:rPr>
        <w:t xml:space="preserve">granted in terms of the practice and the directive and this judgment might result in this Division and other Courts, in which similar directives or </w:t>
      </w:r>
      <w:r w:rsidR="00606B65">
        <w:rPr>
          <w:rFonts w:ascii="Arial" w:hAnsi="Arial" w:cs="Arial"/>
          <w:sz w:val="24"/>
          <w:szCs w:val="24"/>
        </w:rPr>
        <w:t xml:space="preserve">practices have been in place, being inundated with rescission applications on the basis that the Judge in chambers did not have the jurisdiction to grant them. </w:t>
      </w:r>
    </w:p>
    <w:p w14:paraId="3DB2C2DF" w14:textId="574821F8" w:rsidR="00606B65" w:rsidRDefault="002574EA" w:rsidP="002574EA">
      <w:pPr>
        <w:spacing w:before="480" w:after="0" w:line="480" w:lineRule="auto"/>
        <w:ind w:left="720" w:hanging="720"/>
        <w:jc w:val="both"/>
        <w:rPr>
          <w:rFonts w:ascii="Arial" w:hAnsi="Arial" w:cs="Arial"/>
          <w:sz w:val="24"/>
          <w:szCs w:val="24"/>
        </w:rPr>
      </w:pPr>
      <w:r>
        <w:rPr>
          <w:rFonts w:ascii="Arial" w:hAnsi="Arial" w:cs="Arial"/>
          <w:sz w:val="24"/>
          <w:szCs w:val="24"/>
        </w:rPr>
        <w:t>42</w:t>
      </w:r>
      <w:r w:rsidR="00606B65">
        <w:rPr>
          <w:rFonts w:ascii="Arial" w:hAnsi="Arial" w:cs="Arial"/>
          <w:sz w:val="24"/>
          <w:szCs w:val="24"/>
        </w:rPr>
        <w:t>.</w:t>
      </w:r>
      <w:r w:rsidR="00606B65">
        <w:rPr>
          <w:rFonts w:ascii="Arial" w:hAnsi="Arial" w:cs="Arial"/>
          <w:sz w:val="24"/>
          <w:szCs w:val="24"/>
        </w:rPr>
        <w:tab/>
      </w:r>
      <w:r w:rsidR="008C492F">
        <w:rPr>
          <w:rFonts w:ascii="Arial" w:hAnsi="Arial" w:cs="Arial"/>
          <w:sz w:val="24"/>
          <w:szCs w:val="24"/>
        </w:rPr>
        <w:t>Therefore,</w:t>
      </w:r>
      <w:r w:rsidR="00606B65">
        <w:rPr>
          <w:rFonts w:ascii="Arial" w:hAnsi="Arial" w:cs="Arial"/>
          <w:sz w:val="24"/>
          <w:szCs w:val="24"/>
        </w:rPr>
        <w:t xml:space="preserve"> to </w:t>
      </w:r>
      <w:r w:rsidR="00BE3AE7">
        <w:rPr>
          <w:rFonts w:ascii="Arial" w:hAnsi="Arial" w:cs="Arial"/>
          <w:sz w:val="24"/>
          <w:szCs w:val="24"/>
        </w:rPr>
        <w:t xml:space="preserve">mitigate against </w:t>
      </w:r>
      <w:r w:rsidR="00606B65">
        <w:rPr>
          <w:rFonts w:ascii="Arial" w:hAnsi="Arial" w:cs="Arial"/>
          <w:sz w:val="24"/>
          <w:szCs w:val="24"/>
        </w:rPr>
        <w:t xml:space="preserve">such and without </w:t>
      </w:r>
      <w:r w:rsidR="00595848">
        <w:rPr>
          <w:rFonts w:ascii="Arial" w:hAnsi="Arial" w:cs="Arial"/>
          <w:sz w:val="24"/>
          <w:szCs w:val="24"/>
        </w:rPr>
        <w:t xml:space="preserve">making any pronouncement on the validity of those default judgments, I intend limiting the </w:t>
      </w:r>
      <w:r w:rsidR="001F3D82">
        <w:rPr>
          <w:rFonts w:ascii="Arial" w:hAnsi="Arial" w:cs="Arial"/>
          <w:sz w:val="24"/>
          <w:szCs w:val="24"/>
        </w:rPr>
        <w:t>consequences of this judgment</w:t>
      </w:r>
      <w:r w:rsidR="00595848">
        <w:rPr>
          <w:rFonts w:ascii="Arial" w:hAnsi="Arial" w:cs="Arial"/>
          <w:sz w:val="24"/>
          <w:szCs w:val="24"/>
        </w:rPr>
        <w:t xml:space="preserve">, to those matters in which default judgments had not been granted </w:t>
      </w:r>
      <w:r w:rsidR="00C7729C">
        <w:rPr>
          <w:rFonts w:ascii="Arial" w:hAnsi="Arial" w:cs="Arial"/>
          <w:sz w:val="24"/>
          <w:szCs w:val="24"/>
        </w:rPr>
        <w:t>as at the time of this judgment. However, such limitation, cannot and should not be construed to take away any person’s rights to approach a Court to have a default judgment granted by a Judge in chambers, rescinded and/or declared invalid and/or unlawful.</w:t>
      </w:r>
    </w:p>
    <w:p w14:paraId="6AC0E3E6" w14:textId="102A8C61" w:rsidR="00A26E64" w:rsidRDefault="005E63C9" w:rsidP="002574EA">
      <w:pPr>
        <w:spacing w:before="480" w:after="0" w:line="480" w:lineRule="auto"/>
        <w:jc w:val="both"/>
        <w:rPr>
          <w:rFonts w:ascii="Arial" w:hAnsi="Arial" w:cs="Arial"/>
          <w:sz w:val="24"/>
          <w:szCs w:val="24"/>
        </w:rPr>
      </w:pPr>
      <w:r>
        <w:rPr>
          <w:rFonts w:ascii="Arial" w:hAnsi="Arial" w:cs="Arial"/>
          <w:sz w:val="24"/>
          <w:szCs w:val="24"/>
        </w:rPr>
        <w:t>4</w:t>
      </w:r>
      <w:r w:rsidR="002574EA">
        <w:rPr>
          <w:rFonts w:ascii="Arial" w:hAnsi="Arial" w:cs="Arial"/>
          <w:sz w:val="24"/>
          <w:szCs w:val="24"/>
        </w:rPr>
        <w:t>3</w:t>
      </w:r>
      <w:r w:rsidR="008C492F">
        <w:rPr>
          <w:rFonts w:ascii="Arial" w:hAnsi="Arial" w:cs="Arial"/>
          <w:sz w:val="24"/>
          <w:szCs w:val="24"/>
        </w:rPr>
        <w:t>.</w:t>
      </w:r>
      <w:r w:rsidR="008C492F">
        <w:rPr>
          <w:rFonts w:ascii="Arial" w:hAnsi="Arial" w:cs="Arial"/>
          <w:sz w:val="24"/>
          <w:szCs w:val="24"/>
        </w:rPr>
        <w:tab/>
        <w:t xml:space="preserve"> </w:t>
      </w:r>
      <w:r>
        <w:rPr>
          <w:rFonts w:ascii="Arial" w:hAnsi="Arial" w:cs="Arial"/>
          <w:sz w:val="24"/>
          <w:szCs w:val="24"/>
        </w:rPr>
        <w:t>I</w:t>
      </w:r>
      <w:r w:rsidR="008C492F">
        <w:rPr>
          <w:rFonts w:ascii="Arial" w:hAnsi="Arial" w:cs="Arial"/>
          <w:sz w:val="24"/>
          <w:szCs w:val="24"/>
        </w:rPr>
        <w:t>n the premises</w:t>
      </w:r>
      <w:r w:rsidR="00A26E64">
        <w:rPr>
          <w:rFonts w:ascii="Arial" w:hAnsi="Arial" w:cs="Arial"/>
          <w:sz w:val="24"/>
          <w:szCs w:val="24"/>
        </w:rPr>
        <w:t>, the following order is made;</w:t>
      </w:r>
    </w:p>
    <w:p w14:paraId="29C03167" w14:textId="47216F0C" w:rsidR="0009034F" w:rsidRDefault="002574EA" w:rsidP="00470D51">
      <w:pPr>
        <w:spacing w:before="480" w:after="0" w:line="480" w:lineRule="auto"/>
        <w:ind w:left="1440" w:hanging="720"/>
        <w:jc w:val="both"/>
        <w:rPr>
          <w:rFonts w:ascii="Arial" w:hAnsi="Arial" w:cs="Arial"/>
          <w:sz w:val="24"/>
          <w:szCs w:val="24"/>
        </w:rPr>
      </w:pPr>
      <w:r>
        <w:rPr>
          <w:rFonts w:ascii="Arial" w:hAnsi="Arial" w:cs="Arial"/>
          <w:sz w:val="24"/>
          <w:szCs w:val="24"/>
        </w:rPr>
        <w:t>43</w:t>
      </w:r>
      <w:r w:rsidR="00470D51">
        <w:rPr>
          <w:rFonts w:ascii="Arial" w:hAnsi="Arial" w:cs="Arial"/>
          <w:sz w:val="24"/>
          <w:szCs w:val="24"/>
        </w:rPr>
        <w:t>.1.</w:t>
      </w:r>
      <w:r w:rsidR="00470D51">
        <w:rPr>
          <w:rFonts w:ascii="Arial" w:hAnsi="Arial" w:cs="Arial"/>
          <w:sz w:val="24"/>
          <w:szCs w:val="24"/>
        </w:rPr>
        <w:tab/>
      </w:r>
      <w:r w:rsidR="006E33DB">
        <w:rPr>
          <w:rFonts w:ascii="Arial" w:hAnsi="Arial" w:cs="Arial"/>
          <w:sz w:val="24"/>
          <w:szCs w:val="24"/>
        </w:rPr>
        <w:t>T</w:t>
      </w:r>
      <w:r w:rsidR="00B1137F">
        <w:rPr>
          <w:rFonts w:ascii="Arial" w:hAnsi="Arial" w:cs="Arial"/>
          <w:sz w:val="24"/>
          <w:szCs w:val="24"/>
        </w:rPr>
        <w:t>he Registrar is hereby directed and authorised to forthwith</w:t>
      </w:r>
      <w:r w:rsidR="00A83957">
        <w:rPr>
          <w:rFonts w:ascii="Arial" w:hAnsi="Arial" w:cs="Arial"/>
          <w:sz w:val="24"/>
          <w:szCs w:val="24"/>
        </w:rPr>
        <w:t xml:space="preserve"> enrol all applications for default judgment, arising from credit agreements, to which the NCA, applies, on the default judgment roll</w:t>
      </w:r>
      <w:r w:rsidR="00AB2463">
        <w:rPr>
          <w:rFonts w:ascii="Arial" w:hAnsi="Arial" w:cs="Arial"/>
          <w:sz w:val="24"/>
          <w:szCs w:val="24"/>
        </w:rPr>
        <w:t xml:space="preserve"> for hearing in an ope</w:t>
      </w:r>
      <w:r w:rsidR="006E33DB">
        <w:rPr>
          <w:rFonts w:ascii="Arial" w:hAnsi="Arial" w:cs="Arial"/>
          <w:sz w:val="24"/>
          <w:szCs w:val="24"/>
        </w:rPr>
        <w:t>n Court</w:t>
      </w:r>
      <w:r w:rsidR="00A83957">
        <w:rPr>
          <w:rFonts w:ascii="Arial" w:hAnsi="Arial" w:cs="Arial"/>
          <w:sz w:val="24"/>
          <w:szCs w:val="24"/>
        </w:rPr>
        <w:t>, subject to the Applicants</w:t>
      </w:r>
      <w:r w:rsidR="006E33DB">
        <w:rPr>
          <w:rFonts w:ascii="Arial" w:hAnsi="Arial" w:cs="Arial"/>
          <w:sz w:val="24"/>
          <w:szCs w:val="24"/>
        </w:rPr>
        <w:t xml:space="preserve"> </w:t>
      </w:r>
      <w:r w:rsidR="00A83957">
        <w:rPr>
          <w:rFonts w:ascii="Arial" w:hAnsi="Arial" w:cs="Arial"/>
          <w:sz w:val="24"/>
          <w:szCs w:val="24"/>
        </w:rPr>
        <w:t xml:space="preserve">complying with the provisions of </w:t>
      </w:r>
      <w:r w:rsidR="00827998">
        <w:rPr>
          <w:rFonts w:ascii="Arial" w:hAnsi="Arial" w:cs="Arial"/>
          <w:sz w:val="24"/>
          <w:szCs w:val="24"/>
        </w:rPr>
        <w:t>3</w:t>
      </w:r>
      <w:r w:rsidR="00AB2463">
        <w:rPr>
          <w:rFonts w:ascii="Arial" w:hAnsi="Arial" w:cs="Arial"/>
          <w:sz w:val="24"/>
          <w:szCs w:val="24"/>
        </w:rPr>
        <w:t xml:space="preserve"> of the</w:t>
      </w:r>
      <w:r w:rsidR="00827998">
        <w:rPr>
          <w:rFonts w:ascii="Arial" w:hAnsi="Arial" w:cs="Arial"/>
          <w:sz w:val="24"/>
          <w:szCs w:val="24"/>
        </w:rPr>
        <w:t xml:space="preserve"> Acting</w:t>
      </w:r>
      <w:r w:rsidR="00AB2463">
        <w:rPr>
          <w:rFonts w:ascii="Arial" w:hAnsi="Arial" w:cs="Arial"/>
          <w:sz w:val="24"/>
          <w:szCs w:val="24"/>
        </w:rPr>
        <w:t xml:space="preserve"> Judge President’s </w:t>
      </w:r>
      <w:r w:rsidR="00196E09">
        <w:rPr>
          <w:rFonts w:ascii="Arial" w:hAnsi="Arial" w:cs="Arial"/>
          <w:sz w:val="24"/>
          <w:szCs w:val="24"/>
        </w:rPr>
        <w:t xml:space="preserve">practice </w:t>
      </w:r>
      <w:proofErr w:type="gramStart"/>
      <w:r w:rsidR="00196E09">
        <w:rPr>
          <w:rFonts w:ascii="Arial" w:hAnsi="Arial" w:cs="Arial"/>
          <w:sz w:val="24"/>
          <w:szCs w:val="24"/>
        </w:rPr>
        <w:t>directive</w:t>
      </w:r>
      <w:proofErr w:type="gramEnd"/>
      <w:r w:rsidR="00AB2463">
        <w:rPr>
          <w:rFonts w:ascii="Arial" w:hAnsi="Arial" w:cs="Arial"/>
          <w:sz w:val="24"/>
          <w:szCs w:val="24"/>
        </w:rPr>
        <w:t xml:space="preserve"> dated </w:t>
      </w:r>
      <w:r w:rsidR="00827998">
        <w:rPr>
          <w:rFonts w:ascii="Arial" w:hAnsi="Arial" w:cs="Arial"/>
          <w:sz w:val="24"/>
          <w:szCs w:val="24"/>
        </w:rPr>
        <w:t>14</w:t>
      </w:r>
      <w:r w:rsidR="00827998" w:rsidRPr="00827998">
        <w:rPr>
          <w:rFonts w:ascii="Arial" w:hAnsi="Arial" w:cs="Arial"/>
          <w:sz w:val="24"/>
          <w:szCs w:val="24"/>
          <w:vertAlign w:val="superscript"/>
        </w:rPr>
        <w:t>th</w:t>
      </w:r>
      <w:r w:rsidR="00827998">
        <w:rPr>
          <w:rFonts w:ascii="Arial" w:hAnsi="Arial" w:cs="Arial"/>
          <w:sz w:val="24"/>
          <w:szCs w:val="24"/>
        </w:rPr>
        <w:t xml:space="preserve"> February 2022.</w:t>
      </w:r>
    </w:p>
    <w:p w14:paraId="70D3174A" w14:textId="77777777" w:rsidR="00470D51" w:rsidRDefault="00470D51" w:rsidP="00470D51">
      <w:pPr>
        <w:spacing w:before="480" w:after="0" w:line="480" w:lineRule="auto"/>
        <w:ind w:left="1440" w:hanging="720"/>
        <w:jc w:val="both"/>
        <w:rPr>
          <w:rFonts w:ascii="Arial" w:hAnsi="Arial" w:cs="Arial"/>
          <w:sz w:val="24"/>
          <w:szCs w:val="24"/>
        </w:rPr>
      </w:pPr>
    </w:p>
    <w:p w14:paraId="19A28DD1" w14:textId="77777777" w:rsidR="00470D51" w:rsidRPr="00827998" w:rsidRDefault="00470D51" w:rsidP="00470D51">
      <w:pPr>
        <w:spacing w:before="480" w:after="0" w:line="480" w:lineRule="auto"/>
        <w:ind w:left="1440" w:hanging="720"/>
        <w:jc w:val="both"/>
        <w:rPr>
          <w:rFonts w:ascii="Arial" w:hAnsi="Arial" w:cs="Arial"/>
          <w:sz w:val="24"/>
          <w:szCs w:val="24"/>
        </w:rPr>
      </w:pPr>
    </w:p>
    <w:p w14:paraId="4D33FB22" w14:textId="77777777" w:rsidR="0009034F" w:rsidRPr="004D66CF" w:rsidRDefault="0009034F" w:rsidP="00BA5A90">
      <w:pPr>
        <w:spacing w:before="480" w:after="0" w:line="480" w:lineRule="auto"/>
        <w:jc w:val="right"/>
        <w:rPr>
          <w:rFonts w:ascii="Arial" w:eastAsia="Calibri" w:hAnsi="Arial" w:cs="Arial"/>
        </w:rPr>
      </w:pPr>
      <w:r w:rsidRPr="004D66CF">
        <w:rPr>
          <w:rFonts w:ascii="Arial" w:eastAsia="Calibri" w:hAnsi="Arial" w:cs="Arial"/>
          <w:b/>
          <w:sz w:val="24"/>
          <w:szCs w:val="24"/>
        </w:rPr>
        <w:lastRenderedPageBreak/>
        <w:t>__________________</w:t>
      </w:r>
    </w:p>
    <w:p w14:paraId="5E362276" w14:textId="77777777" w:rsidR="0009034F" w:rsidRPr="004D66CF" w:rsidRDefault="0009034F" w:rsidP="00BA5A90">
      <w:pPr>
        <w:spacing w:before="480" w:after="0" w:line="480" w:lineRule="auto"/>
        <w:jc w:val="right"/>
        <w:rPr>
          <w:rFonts w:ascii="Arial" w:eastAsia="Calibri" w:hAnsi="Arial" w:cs="Arial"/>
          <w:b/>
          <w:sz w:val="24"/>
          <w:szCs w:val="24"/>
        </w:rPr>
      </w:pPr>
      <w:r w:rsidRPr="004D66CF">
        <w:rPr>
          <w:rFonts w:ascii="Arial" w:eastAsia="Calibri" w:hAnsi="Arial" w:cs="Arial"/>
          <w:b/>
          <w:sz w:val="24"/>
          <w:szCs w:val="24"/>
        </w:rPr>
        <w:t>V.D. MTSWENI</w:t>
      </w:r>
    </w:p>
    <w:p w14:paraId="1813A262" w14:textId="71BFA16C" w:rsidR="005717DD" w:rsidRPr="009429B3" w:rsidRDefault="0009034F" w:rsidP="009429B3">
      <w:pPr>
        <w:spacing w:line="240" w:lineRule="auto"/>
        <w:jc w:val="right"/>
        <w:rPr>
          <w:rFonts w:ascii="Arial" w:eastAsia="Calibri" w:hAnsi="Arial" w:cs="Arial"/>
          <w:b/>
          <w:sz w:val="24"/>
          <w:szCs w:val="24"/>
        </w:rPr>
      </w:pPr>
      <w:r w:rsidRPr="004D66CF">
        <w:rPr>
          <w:rFonts w:ascii="Arial" w:eastAsia="Calibri" w:hAnsi="Arial" w:cs="Arial"/>
          <w:b/>
          <w:sz w:val="24"/>
          <w:szCs w:val="24"/>
        </w:rPr>
        <w:t>ACTING JUDGE OF THE HIGH COU</w:t>
      </w:r>
      <w:r w:rsidR="006A46F1">
        <w:rPr>
          <w:rFonts w:ascii="Arial" w:eastAsia="Calibri" w:hAnsi="Arial" w:cs="Arial"/>
          <w:b/>
          <w:sz w:val="24"/>
          <w:szCs w:val="24"/>
        </w:rPr>
        <w:t>RT</w:t>
      </w:r>
    </w:p>
    <w:sectPr w:rsidR="005717DD" w:rsidRPr="009429B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77DCD" w14:textId="77777777" w:rsidR="00627193" w:rsidRDefault="00627193">
      <w:pPr>
        <w:spacing w:after="0" w:line="240" w:lineRule="auto"/>
      </w:pPr>
      <w:r>
        <w:separator/>
      </w:r>
    </w:p>
  </w:endnote>
  <w:endnote w:type="continuationSeparator" w:id="0">
    <w:p w14:paraId="272505F5" w14:textId="77777777" w:rsidR="00627193" w:rsidRDefault="0062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77C0F" w14:textId="77777777" w:rsidR="00627193" w:rsidRDefault="00627193">
      <w:pPr>
        <w:spacing w:after="0" w:line="240" w:lineRule="auto"/>
      </w:pPr>
      <w:r>
        <w:separator/>
      </w:r>
    </w:p>
  </w:footnote>
  <w:footnote w:type="continuationSeparator" w:id="0">
    <w:p w14:paraId="317627F8" w14:textId="77777777" w:rsidR="00627193" w:rsidRDefault="00627193">
      <w:pPr>
        <w:spacing w:after="0" w:line="240" w:lineRule="auto"/>
      </w:pPr>
      <w:r>
        <w:continuationSeparator/>
      </w:r>
    </w:p>
  </w:footnote>
  <w:footnote w:id="1">
    <w:p w14:paraId="417FC903" w14:textId="77777777" w:rsidR="008F5BFC" w:rsidRDefault="009F6DC2">
      <w:pPr>
        <w:pStyle w:val="FootnoteText"/>
        <w:rPr>
          <w:rFonts w:ascii="Arial" w:hAnsi="Arial" w:cs="Arial"/>
        </w:rPr>
      </w:pPr>
      <w:r>
        <w:rPr>
          <w:rStyle w:val="FootnoteReference"/>
        </w:rPr>
        <w:footnoteRef/>
      </w:r>
      <w:r>
        <w:t xml:space="preserve"> </w:t>
      </w:r>
      <w:r>
        <w:tab/>
      </w:r>
      <w:r w:rsidRPr="008F5BFC">
        <w:rPr>
          <w:rFonts w:ascii="Arial" w:hAnsi="Arial" w:cs="Arial"/>
          <w:b/>
          <w:bCs/>
          <w:u w:val="single"/>
        </w:rPr>
        <w:t>Mercedes Benz Financial Services SA(Pty) Ltd v Maile Benjamin Mojela</w:t>
      </w:r>
      <w:r w:rsidRPr="008F5BFC">
        <w:rPr>
          <w:rFonts w:ascii="Arial" w:hAnsi="Arial" w:cs="Arial"/>
        </w:rPr>
        <w:t>, case no:</w:t>
      </w:r>
    </w:p>
    <w:p w14:paraId="65FD539B" w14:textId="5F46098D" w:rsidR="00E241BE" w:rsidRDefault="009F6DC2" w:rsidP="008F5BFC">
      <w:pPr>
        <w:pStyle w:val="FootnoteText"/>
        <w:ind w:firstLine="720"/>
        <w:rPr>
          <w:rFonts w:ascii="Arial" w:hAnsi="Arial" w:cs="Arial"/>
        </w:rPr>
      </w:pPr>
      <w:r w:rsidRPr="008F5BFC">
        <w:rPr>
          <w:rFonts w:ascii="Arial" w:hAnsi="Arial" w:cs="Arial"/>
        </w:rPr>
        <w:t xml:space="preserve">37455/2023; </w:t>
      </w:r>
      <w:r w:rsidRPr="008F5BFC">
        <w:rPr>
          <w:rFonts w:ascii="Arial" w:hAnsi="Arial" w:cs="Arial"/>
          <w:b/>
          <w:bCs/>
          <w:u w:val="single"/>
        </w:rPr>
        <w:t>Mercedes Benz Financial Services SA (Pty) Ltd v Sibusiso Ngema</w:t>
      </w:r>
      <w:r w:rsidRPr="008F5BFC">
        <w:rPr>
          <w:rFonts w:ascii="Arial" w:hAnsi="Arial" w:cs="Arial"/>
        </w:rPr>
        <w:t xml:space="preserve">, case </w:t>
      </w:r>
    </w:p>
    <w:p w14:paraId="00591CB1" w14:textId="0B51E189" w:rsidR="009F6DC2" w:rsidRPr="008F5BFC" w:rsidRDefault="009F6DC2" w:rsidP="00E241BE">
      <w:pPr>
        <w:pStyle w:val="FootnoteText"/>
        <w:ind w:left="720"/>
        <w:jc w:val="both"/>
        <w:rPr>
          <w:rFonts w:ascii="Arial" w:hAnsi="Arial" w:cs="Arial"/>
        </w:rPr>
      </w:pPr>
      <w:r w:rsidRPr="008F5BFC">
        <w:rPr>
          <w:rFonts w:ascii="Arial" w:hAnsi="Arial" w:cs="Arial"/>
        </w:rPr>
        <w:t xml:space="preserve">no:37469/2023; </w:t>
      </w:r>
      <w:r w:rsidRPr="008F5BFC">
        <w:rPr>
          <w:rFonts w:ascii="Arial" w:hAnsi="Arial" w:cs="Arial"/>
          <w:b/>
          <w:bCs/>
          <w:u w:val="single"/>
        </w:rPr>
        <w:t xml:space="preserve">First Rand Bank Ltd t/a </w:t>
      </w:r>
      <w:proofErr w:type="spellStart"/>
      <w:r w:rsidRPr="008F5BFC">
        <w:rPr>
          <w:rFonts w:ascii="Arial" w:hAnsi="Arial" w:cs="Arial"/>
          <w:b/>
          <w:bCs/>
          <w:u w:val="single"/>
        </w:rPr>
        <w:t>Wesbank</w:t>
      </w:r>
      <w:proofErr w:type="spellEnd"/>
      <w:r w:rsidRPr="008F5BFC">
        <w:rPr>
          <w:rFonts w:ascii="Arial" w:hAnsi="Arial" w:cs="Arial"/>
          <w:b/>
          <w:bCs/>
          <w:u w:val="single"/>
        </w:rPr>
        <w:t xml:space="preserve"> v Dereck </w:t>
      </w:r>
      <w:proofErr w:type="spellStart"/>
      <w:r w:rsidRPr="008F5BFC">
        <w:rPr>
          <w:rFonts w:ascii="Arial" w:hAnsi="Arial" w:cs="Arial"/>
          <w:b/>
          <w:bCs/>
          <w:u w:val="single"/>
        </w:rPr>
        <w:t>Muwawa</w:t>
      </w:r>
      <w:proofErr w:type="spellEnd"/>
      <w:r w:rsidRPr="008F5BFC">
        <w:rPr>
          <w:rFonts w:ascii="Arial" w:hAnsi="Arial" w:cs="Arial"/>
          <w:b/>
          <w:bCs/>
          <w:u w:val="single"/>
        </w:rPr>
        <w:t xml:space="preserve"> Phiri,</w:t>
      </w:r>
      <w:r w:rsidRPr="008F5BFC">
        <w:rPr>
          <w:rFonts w:ascii="Arial" w:hAnsi="Arial" w:cs="Arial"/>
        </w:rPr>
        <w:t xml:space="preserve"> case no:</w:t>
      </w:r>
      <w:r w:rsidR="00E241BE">
        <w:rPr>
          <w:rFonts w:ascii="Arial" w:hAnsi="Arial" w:cs="Arial"/>
        </w:rPr>
        <w:t xml:space="preserve"> </w:t>
      </w:r>
      <w:r w:rsidRPr="008F5BFC">
        <w:rPr>
          <w:rFonts w:ascii="Arial" w:hAnsi="Arial" w:cs="Arial"/>
        </w:rPr>
        <w:t>5059/</w:t>
      </w:r>
      <w:proofErr w:type="gramStart"/>
      <w:r w:rsidRPr="008F5BFC">
        <w:rPr>
          <w:rFonts w:ascii="Arial" w:hAnsi="Arial" w:cs="Arial"/>
        </w:rPr>
        <w:t>2023;</w:t>
      </w:r>
      <w:r w:rsidR="00E241BE">
        <w:rPr>
          <w:rFonts w:ascii="Arial" w:hAnsi="Arial" w:cs="Arial"/>
        </w:rPr>
        <w:t xml:space="preserve"> </w:t>
      </w:r>
      <w:r w:rsidRPr="008F5BFC">
        <w:rPr>
          <w:rFonts w:ascii="Arial" w:hAnsi="Arial" w:cs="Arial"/>
        </w:rPr>
        <w:t xml:space="preserve"> </w:t>
      </w:r>
      <w:r w:rsidRPr="008F5BFC">
        <w:rPr>
          <w:rFonts w:ascii="Arial" w:hAnsi="Arial" w:cs="Arial"/>
          <w:b/>
          <w:bCs/>
          <w:u w:val="single"/>
        </w:rPr>
        <w:t>First</w:t>
      </w:r>
      <w:proofErr w:type="gramEnd"/>
      <w:r w:rsidRPr="008F5BFC">
        <w:rPr>
          <w:rFonts w:ascii="Arial" w:hAnsi="Arial" w:cs="Arial"/>
          <w:b/>
          <w:bCs/>
          <w:u w:val="single"/>
        </w:rPr>
        <w:t xml:space="preserve"> Rand Bank Ltd t/a </w:t>
      </w:r>
      <w:proofErr w:type="spellStart"/>
      <w:r w:rsidRPr="008F5BFC">
        <w:rPr>
          <w:rFonts w:ascii="Arial" w:hAnsi="Arial" w:cs="Arial"/>
          <w:b/>
          <w:bCs/>
          <w:u w:val="single"/>
        </w:rPr>
        <w:t>Wesbank</w:t>
      </w:r>
      <w:proofErr w:type="spellEnd"/>
      <w:r w:rsidRPr="008F5BFC">
        <w:rPr>
          <w:rFonts w:ascii="Arial" w:hAnsi="Arial" w:cs="Arial"/>
          <w:b/>
          <w:bCs/>
          <w:u w:val="single"/>
        </w:rPr>
        <w:t xml:space="preserve"> v Sipho Robert Dlamini</w:t>
      </w:r>
      <w:r w:rsidRPr="008F5BFC">
        <w:rPr>
          <w:rFonts w:ascii="Arial" w:hAnsi="Arial" w:cs="Arial"/>
        </w:rPr>
        <w:t>, case</w:t>
      </w:r>
      <w:r w:rsidR="00E241BE">
        <w:rPr>
          <w:rFonts w:ascii="Arial" w:hAnsi="Arial" w:cs="Arial"/>
        </w:rPr>
        <w:t xml:space="preserve"> </w:t>
      </w:r>
      <w:r w:rsidRPr="008F5BFC">
        <w:rPr>
          <w:rFonts w:ascii="Arial" w:hAnsi="Arial" w:cs="Arial"/>
        </w:rPr>
        <w:t xml:space="preserve">no:17344/2023; First Rand Bank Ltd t/a </w:t>
      </w:r>
      <w:proofErr w:type="spellStart"/>
      <w:r w:rsidRPr="008F5BFC">
        <w:rPr>
          <w:rFonts w:ascii="Arial" w:hAnsi="Arial" w:cs="Arial"/>
          <w:b/>
          <w:bCs/>
          <w:u w:val="single"/>
        </w:rPr>
        <w:t>Wesbank</w:t>
      </w:r>
      <w:proofErr w:type="spellEnd"/>
      <w:r w:rsidRPr="008F5BFC">
        <w:rPr>
          <w:rFonts w:ascii="Arial" w:hAnsi="Arial" w:cs="Arial"/>
          <w:b/>
          <w:bCs/>
          <w:u w:val="single"/>
        </w:rPr>
        <w:t xml:space="preserve"> v Masala Kenneth </w:t>
      </w:r>
      <w:proofErr w:type="spellStart"/>
      <w:r w:rsidRPr="008F5BFC">
        <w:rPr>
          <w:rFonts w:ascii="Arial" w:hAnsi="Arial" w:cs="Arial"/>
          <w:b/>
          <w:bCs/>
          <w:u w:val="single"/>
        </w:rPr>
        <w:t>Nemutudi</w:t>
      </w:r>
      <w:proofErr w:type="spellEnd"/>
      <w:r w:rsidRPr="008F5BFC">
        <w:rPr>
          <w:rFonts w:ascii="Arial" w:hAnsi="Arial" w:cs="Arial"/>
        </w:rPr>
        <w:t>, case no:</w:t>
      </w:r>
      <w:r w:rsidRPr="008F5BFC">
        <w:rPr>
          <w:rFonts w:ascii="Arial" w:hAnsi="Arial" w:cs="Arial"/>
          <w:b/>
          <w:bCs/>
          <w:u w:val="single"/>
        </w:rPr>
        <w:t xml:space="preserve"> </w:t>
      </w:r>
      <w:r w:rsidRPr="008F5BFC">
        <w:rPr>
          <w:rFonts w:ascii="Arial" w:hAnsi="Arial" w:cs="Arial"/>
        </w:rPr>
        <w:t xml:space="preserve">38400/2023; </w:t>
      </w:r>
      <w:r w:rsidRPr="008F5BFC">
        <w:rPr>
          <w:rFonts w:ascii="Arial" w:hAnsi="Arial" w:cs="Arial"/>
          <w:b/>
          <w:bCs/>
          <w:u w:val="single"/>
        </w:rPr>
        <w:t xml:space="preserve">Toyota Financial Services SA Ltd v Bongani </w:t>
      </w:r>
      <w:proofErr w:type="spellStart"/>
      <w:r w:rsidRPr="008F5BFC">
        <w:rPr>
          <w:rFonts w:ascii="Arial" w:hAnsi="Arial" w:cs="Arial"/>
          <w:b/>
          <w:bCs/>
          <w:u w:val="single"/>
        </w:rPr>
        <w:t>Stephesen</w:t>
      </w:r>
      <w:proofErr w:type="spellEnd"/>
      <w:r w:rsidRPr="008F5BFC">
        <w:rPr>
          <w:rFonts w:ascii="Arial" w:hAnsi="Arial" w:cs="Arial"/>
          <w:b/>
          <w:bCs/>
          <w:u w:val="single"/>
        </w:rPr>
        <w:t xml:space="preserve"> </w:t>
      </w:r>
      <w:proofErr w:type="spellStart"/>
      <w:r w:rsidRPr="008F5BFC">
        <w:rPr>
          <w:rFonts w:ascii="Arial" w:hAnsi="Arial" w:cs="Arial"/>
          <w:b/>
          <w:bCs/>
          <w:u w:val="single"/>
        </w:rPr>
        <w:t>Matsheni</w:t>
      </w:r>
      <w:proofErr w:type="spellEnd"/>
      <w:r w:rsidRPr="008F5BFC">
        <w:rPr>
          <w:rFonts w:ascii="Arial" w:hAnsi="Arial" w:cs="Arial"/>
        </w:rPr>
        <w:t>, case no:55224/2023;</w:t>
      </w:r>
      <w:r w:rsidRPr="008F5BFC">
        <w:rPr>
          <w:rFonts w:ascii="Arial" w:hAnsi="Arial" w:cs="Arial"/>
          <w:b/>
          <w:bCs/>
          <w:u w:val="single"/>
        </w:rPr>
        <w:t xml:space="preserve"> Toyota Financial Services  SA Ltd v </w:t>
      </w:r>
      <w:proofErr w:type="spellStart"/>
      <w:r w:rsidRPr="008F5BFC">
        <w:rPr>
          <w:rFonts w:ascii="Arial" w:hAnsi="Arial" w:cs="Arial"/>
          <w:b/>
          <w:bCs/>
          <w:u w:val="single"/>
        </w:rPr>
        <w:t>Raphalani</w:t>
      </w:r>
      <w:proofErr w:type="spellEnd"/>
      <w:r w:rsidRPr="008F5BFC">
        <w:rPr>
          <w:rFonts w:ascii="Arial" w:hAnsi="Arial" w:cs="Arial"/>
          <w:b/>
          <w:bCs/>
          <w:u w:val="single"/>
        </w:rPr>
        <w:t xml:space="preserve"> Joshua </w:t>
      </w:r>
      <w:proofErr w:type="spellStart"/>
      <w:r w:rsidRPr="008F5BFC">
        <w:rPr>
          <w:rFonts w:ascii="Arial" w:hAnsi="Arial" w:cs="Arial"/>
          <w:b/>
          <w:bCs/>
          <w:u w:val="single"/>
        </w:rPr>
        <w:t>Ramasunzi</w:t>
      </w:r>
      <w:proofErr w:type="spellEnd"/>
      <w:r w:rsidRPr="008F5BFC">
        <w:rPr>
          <w:rFonts w:ascii="Arial" w:hAnsi="Arial" w:cs="Arial"/>
          <w:b/>
          <w:bCs/>
          <w:u w:val="single"/>
        </w:rPr>
        <w:t>,</w:t>
      </w:r>
      <w:r w:rsidRPr="008F5BFC">
        <w:rPr>
          <w:rFonts w:ascii="Arial" w:hAnsi="Arial" w:cs="Arial"/>
        </w:rPr>
        <w:t xml:space="preserve"> case no:49733/2023</w:t>
      </w:r>
    </w:p>
  </w:footnote>
  <w:footnote w:id="2">
    <w:p w14:paraId="11817F09" w14:textId="5D782673" w:rsidR="005011E5" w:rsidRPr="00FE608E" w:rsidRDefault="005011E5">
      <w:pPr>
        <w:pStyle w:val="FootnoteText"/>
        <w:rPr>
          <w:rFonts w:ascii="Arial" w:hAnsi="Arial" w:cs="Arial"/>
        </w:rPr>
      </w:pPr>
      <w:r>
        <w:rPr>
          <w:rStyle w:val="FootnoteReference"/>
        </w:rPr>
        <w:footnoteRef/>
      </w:r>
      <w:r>
        <w:t xml:space="preserve"> </w:t>
      </w:r>
      <w:r>
        <w:tab/>
      </w:r>
      <w:r w:rsidRPr="00FE608E">
        <w:rPr>
          <w:rFonts w:ascii="Arial" w:hAnsi="Arial" w:cs="Arial"/>
        </w:rPr>
        <w:t>No 34 of 2005</w:t>
      </w:r>
    </w:p>
  </w:footnote>
  <w:footnote w:id="3">
    <w:p w14:paraId="3493938A" w14:textId="77777777" w:rsidR="008C2136" w:rsidRDefault="003E7D29" w:rsidP="003E7D29">
      <w:pPr>
        <w:pStyle w:val="FootnoteText"/>
        <w:jc w:val="both"/>
        <w:rPr>
          <w:rFonts w:ascii="Arial" w:hAnsi="Arial" w:cs="Arial"/>
          <w:b/>
          <w:bCs/>
          <w:u w:val="single"/>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rPr>
        <w:tab/>
        <w:t xml:space="preserve">Directive titled: </w:t>
      </w:r>
      <w:r w:rsidRPr="008C2136">
        <w:rPr>
          <w:rFonts w:ascii="Arial" w:hAnsi="Arial" w:cs="Arial"/>
          <w:b/>
          <w:bCs/>
          <w:u w:val="single"/>
        </w:rPr>
        <w:t xml:space="preserve">Judgments relating to Default Judgment in terms of Rule 31(5) in </w:t>
      </w:r>
      <w:proofErr w:type="gramStart"/>
      <w:r w:rsidRPr="008C2136">
        <w:rPr>
          <w:rFonts w:ascii="Arial" w:hAnsi="Arial" w:cs="Arial"/>
          <w:b/>
          <w:bCs/>
          <w:u w:val="single"/>
        </w:rPr>
        <w:t>matters</w:t>
      </w:r>
      <w:proofErr w:type="gramEnd"/>
    </w:p>
    <w:p w14:paraId="44B099AC" w14:textId="79442B85" w:rsidR="003E7D29" w:rsidRPr="008C2136" w:rsidRDefault="003E7D29" w:rsidP="008C2136">
      <w:pPr>
        <w:pStyle w:val="FootnoteText"/>
        <w:ind w:firstLine="720"/>
        <w:jc w:val="both"/>
        <w:rPr>
          <w:rFonts w:ascii="Arial" w:hAnsi="Arial" w:cs="Arial"/>
          <w:b/>
          <w:bCs/>
          <w:u w:val="single"/>
        </w:rPr>
      </w:pPr>
      <w:r w:rsidRPr="008C2136">
        <w:rPr>
          <w:rFonts w:ascii="Arial" w:hAnsi="Arial" w:cs="Arial"/>
          <w:b/>
          <w:bCs/>
          <w:u w:val="single"/>
        </w:rPr>
        <w:t xml:space="preserve"> </w:t>
      </w:r>
      <w:r w:rsidR="008C2136">
        <w:rPr>
          <w:rFonts w:ascii="Arial" w:hAnsi="Arial" w:cs="Arial"/>
          <w:b/>
          <w:bCs/>
          <w:u w:val="single"/>
        </w:rPr>
        <w:t>w</w:t>
      </w:r>
      <w:r w:rsidRPr="008C2136">
        <w:rPr>
          <w:rFonts w:ascii="Arial" w:hAnsi="Arial" w:cs="Arial"/>
          <w:b/>
          <w:bCs/>
          <w:u w:val="single"/>
        </w:rPr>
        <w:t>ithin</w:t>
      </w:r>
      <w:r w:rsidR="008C2136">
        <w:rPr>
          <w:rFonts w:ascii="Arial" w:hAnsi="Arial" w:cs="Arial"/>
          <w:b/>
          <w:bCs/>
          <w:u w:val="single"/>
        </w:rPr>
        <w:t xml:space="preserve"> </w:t>
      </w:r>
      <w:r w:rsidRPr="008C2136">
        <w:rPr>
          <w:rFonts w:ascii="Arial" w:hAnsi="Arial" w:cs="Arial"/>
          <w:b/>
          <w:bCs/>
          <w:u w:val="single"/>
        </w:rPr>
        <w:t xml:space="preserve">ambit of the </w:t>
      </w:r>
      <w:r w:rsidR="00FE608E" w:rsidRPr="008C2136">
        <w:rPr>
          <w:rFonts w:ascii="Arial" w:hAnsi="Arial" w:cs="Arial"/>
          <w:b/>
          <w:bCs/>
          <w:u w:val="single"/>
        </w:rPr>
        <w:t>National Credit Act</w:t>
      </w:r>
      <w:r w:rsidR="00FE608E" w:rsidRPr="00FE608E">
        <w:rPr>
          <w:rFonts w:ascii="Arial" w:hAnsi="Arial" w:cs="Arial"/>
        </w:rPr>
        <w:t>, dated 14</w:t>
      </w:r>
      <w:r w:rsidR="00FE608E" w:rsidRPr="00FE608E">
        <w:rPr>
          <w:rFonts w:ascii="Arial" w:hAnsi="Arial" w:cs="Arial"/>
          <w:vertAlign w:val="superscript"/>
        </w:rPr>
        <w:t>th</w:t>
      </w:r>
      <w:r w:rsidR="00FE608E" w:rsidRPr="00FE608E">
        <w:rPr>
          <w:rFonts w:ascii="Arial" w:hAnsi="Arial" w:cs="Arial"/>
        </w:rPr>
        <w:t xml:space="preserve"> February 2022</w:t>
      </w:r>
    </w:p>
  </w:footnote>
  <w:footnote w:id="4">
    <w:p w14:paraId="5F89B36D" w14:textId="18156988" w:rsidR="00206B54" w:rsidRPr="00FE608E" w:rsidRDefault="00206B54">
      <w:pPr>
        <w:pStyle w:val="FootnoteText"/>
        <w:rPr>
          <w:rFonts w:ascii="Arial" w:hAnsi="Arial" w:cs="Arial"/>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rPr>
        <w:tab/>
        <w:t xml:space="preserve">Para 3 of the </w:t>
      </w:r>
      <w:r w:rsidR="008C2136">
        <w:rPr>
          <w:rFonts w:ascii="Arial" w:hAnsi="Arial" w:cs="Arial"/>
        </w:rPr>
        <w:t>Directive</w:t>
      </w:r>
    </w:p>
  </w:footnote>
  <w:footnote w:id="5">
    <w:p w14:paraId="5254700E" w14:textId="5F266585" w:rsidR="00283D10" w:rsidRPr="00283D10" w:rsidRDefault="00283D10">
      <w:pPr>
        <w:pStyle w:val="FootnoteText"/>
        <w:rPr>
          <w:rFonts w:ascii="Arial" w:hAnsi="Arial" w:cs="Arial"/>
        </w:rPr>
      </w:pPr>
      <w:r>
        <w:rPr>
          <w:rStyle w:val="FootnoteReference"/>
        </w:rPr>
        <w:footnoteRef/>
      </w:r>
      <w:r>
        <w:t xml:space="preserve"> </w:t>
      </w:r>
      <w:r>
        <w:tab/>
      </w:r>
      <w:r>
        <w:rPr>
          <w:rFonts w:ascii="Arial" w:hAnsi="Arial" w:cs="Arial"/>
        </w:rPr>
        <w:t>Para 4 of the Directive</w:t>
      </w:r>
    </w:p>
  </w:footnote>
  <w:footnote w:id="6">
    <w:p w14:paraId="15CBB6DC" w14:textId="2DA02667" w:rsidR="008333F0" w:rsidRPr="00FE608E" w:rsidRDefault="008333F0">
      <w:pPr>
        <w:pStyle w:val="FootnoteText"/>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t xml:space="preserve">2016 (4) SA 257 (CC) </w:t>
      </w:r>
    </w:p>
  </w:footnote>
  <w:footnote w:id="7">
    <w:p w14:paraId="1B932759" w14:textId="127AED30" w:rsidR="00F525A8" w:rsidRDefault="00F525A8">
      <w:pPr>
        <w:pStyle w:val="FootnoteText"/>
      </w:pPr>
      <w:r>
        <w:rPr>
          <w:rStyle w:val="FootnoteReference"/>
        </w:rPr>
        <w:footnoteRef/>
      </w:r>
      <w:r>
        <w:t xml:space="preserve"> </w:t>
      </w:r>
      <w:r>
        <w:tab/>
      </w:r>
      <w:r w:rsidRPr="00F525A8">
        <w:rPr>
          <w:rFonts w:ascii="Arial" w:hAnsi="Arial" w:cs="Arial"/>
        </w:rPr>
        <w:t>At para 173</w:t>
      </w:r>
    </w:p>
  </w:footnote>
  <w:footnote w:id="8">
    <w:p w14:paraId="02AFACE3" w14:textId="4B1833DC" w:rsidR="008333F0" w:rsidRPr="00FE608E" w:rsidRDefault="008333F0">
      <w:pPr>
        <w:pStyle w:val="FootnoteText"/>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t>(8937/19) (2020) ZAGPPHC 319 (12 June 2020)</w:t>
      </w:r>
    </w:p>
  </w:footnote>
  <w:footnote w:id="9">
    <w:p w14:paraId="57945088" w14:textId="3B7E89C1" w:rsidR="0053043B" w:rsidRPr="0053043B" w:rsidRDefault="0053043B">
      <w:pPr>
        <w:pStyle w:val="FootnoteText"/>
        <w:rPr>
          <w:rFonts w:ascii="Arial" w:hAnsi="Arial" w:cs="Arial"/>
        </w:rPr>
      </w:pPr>
      <w:r>
        <w:rPr>
          <w:rStyle w:val="FootnoteReference"/>
        </w:rPr>
        <w:footnoteRef/>
      </w:r>
      <w:r>
        <w:t xml:space="preserve"> </w:t>
      </w:r>
      <w:r>
        <w:rPr>
          <w:rFonts w:ascii="Arial" w:hAnsi="Arial" w:cs="Arial"/>
        </w:rPr>
        <w:tab/>
        <w:t xml:space="preserve">At para 47 </w:t>
      </w:r>
    </w:p>
  </w:footnote>
  <w:footnote w:id="10">
    <w:p w14:paraId="2D460BBA" w14:textId="38C511ED" w:rsidR="00D36120" w:rsidRDefault="00536802">
      <w:pPr>
        <w:pStyle w:val="FootnoteText"/>
        <w:rPr>
          <w:rFonts w:ascii="Arial" w:hAnsi="Arial" w:cs="Arial"/>
        </w:rPr>
      </w:pPr>
      <w:r>
        <w:rPr>
          <w:rStyle w:val="FootnoteReference"/>
        </w:rPr>
        <w:footnoteRef/>
      </w:r>
      <w:r>
        <w:t xml:space="preserve"> </w:t>
      </w:r>
      <w:r>
        <w:tab/>
      </w:r>
      <w:r w:rsidRPr="00E551DE">
        <w:rPr>
          <w:rFonts w:ascii="Arial" w:hAnsi="Arial" w:cs="Arial"/>
          <w:b/>
          <w:bCs/>
          <w:u w:val="single"/>
        </w:rPr>
        <w:t>Xulu v Standard Bank of South Africa Limited</w:t>
      </w:r>
      <w:r>
        <w:t xml:space="preserve"> </w:t>
      </w:r>
      <w:r w:rsidR="00B32FD2" w:rsidRPr="00D36120">
        <w:rPr>
          <w:rFonts w:ascii="Arial" w:hAnsi="Arial" w:cs="Arial"/>
        </w:rPr>
        <w:t>(1570</w:t>
      </w:r>
      <w:r w:rsidRPr="00D36120">
        <w:rPr>
          <w:rFonts w:ascii="Arial" w:hAnsi="Arial" w:cs="Arial"/>
        </w:rPr>
        <w:t>/21; 2909/14) {2021} ZAKZPHC (23</w:t>
      </w:r>
    </w:p>
    <w:p w14:paraId="4A449983" w14:textId="0FCFDA15" w:rsidR="001F2DB3" w:rsidRDefault="00536802" w:rsidP="00134EF7">
      <w:pPr>
        <w:pStyle w:val="FootnoteText"/>
        <w:ind w:left="720"/>
        <w:jc w:val="both"/>
        <w:rPr>
          <w:rFonts w:ascii="Arial" w:hAnsi="Arial" w:cs="Arial"/>
          <w:b/>
          <w:bCs/>
          <w:u w:val="single"/>
        </w:rPr>
      </w:pPr>
      <w:r w:rsidRPr="00D36120">
        <w:rPr>
          <w:rFonts w:ascii="Arial" w:hAnsi="Arial" w:cs="Arial"/>
        </w:rPr>
        <w:t xml:space="preserve"> August</w:t>
      </w:r>
      <w:r w:rsidR="00D36120">
        <w:rPr>
          <w:rFonts w:ascii="Arial" w:hAnsi="Arial" w:cs="Arial"/>
        </w:rPr>
        <w:t xml:space="preserve"> </w:t>
      </w:r>
      <w:r w:rsidRPr="00D36120">
        <w:rPr>
          <w:rFonts w:ascii="Arial" w:hAnsi="Arial" w:cs="Arial"/>
        </w:rPr>
        <w:t>2023</w:t>
      </w:r>
      <w:r w:rsidR="00E241BE" w:rsidRPr="00D36120">
        <w:rPr>
          <w:rFonts w:ascii="Arial" w:hAnsi="Arial" w:cs="Arial"/>
        </w:rPr>
        <w:t>)</w:t>
      </w:r>
      <w:r w:rsidR="00E241BE">
        <w:rPr>
          <w:rFonts w:ascii="Arial" w:hAnsi="Arial" w:cs="Arial"/>
        </w:rPr>
        <w:t>; Nedbank</w:t>
      </w:r>
      <w:r w:rsidR="00C71A4E">
        <w:rPr>
          <w:rFonts w:ascii="Arial" w:hAnsi="Arial" w:cs="Arial"/>
          <w:b/>
          <w:bCs/>
          <w:u w:val="single"/>
        </w:rPr>
        <w:t xml:space="preserve"> Ltd</w:t>
      </w:r>
      <w:r w:rsidR="0058415A" w:rsidRPr="00C71A4E">
        <w:rPr>
          <w:rFonts w:ascii="Arial" w:hAnsi="Arial" w:cs="Arial"/>
          <w:b/>
          <w:bCs/>
          <w:u w:val="single"/>
        </w:rPr>
        <w:t xml:space="preserve"> </w:t>
      </w:r>
      <w:r w:rsidR="0022460F" w:rsidRPr="00C71A4E">
        <w:rPr>
          <w:rFonts w:ascii="Arial" w:hAnsi="Arial" w:cs="Arial"/>
          <w:b/>
          <w:bCs/>
          <w:u w:val="single"/>
        </w:rPr>
        <w:t xml:space="preserve">v </w:t>
      </w:r>
      <w:proofErr w:type="spellStart"/>
      <w:r w:rsidR="0022460F" w:rsidRPr="00C71A4E">
        <w:rPr>
          <w:rFonts w:ascii="Arial" w:hAnsi="Arial" w:cs="Arial"/>
          <w:b/>
          <w:bCs/>
          <w:u w:val="single"/>
        </w:rPr>
        <w:t>Mollentze</w:t>
      </w:r>
      <w:proofErr w:type="spellEnd"/>
      <w:r w:rsidR="0022460F" w:rsidRPr="00C71A4E">
        <w:rPr>
          <w:rFonts w:ascii="Arial" w:hAnsi="Arial" w:cs="Arial"/>
          <w:b/>
          <w:bCs/>
          <w:u w:val="single"/>
        </w:rPr>
        <w:t>; First Rand Auto</w:t>
      </w:r>
      <w:r w:rsidR="00C71A4E">
        <w:rPr>
          <w:rFonts w:ascii="Arial" w:hAnsi="Arial" w:cs="Arial"/>
          <w:b/>
          <w:bCs/>
          <w:u w:val="single"/>
        </w:rPr>
        <w:t xml:space="preserve"> </w:t>
      </w:r>
      <w:r w:rsidR="0022460F" w:rsidRPr="00C71A4E">
        <w:rPr>
          <w:rFonts w:ascii="Arial" w:hAnsi="Arial" w:cs="Arial"/>
          <w:b/>
          <w:bCs/>
          <w:u w:val="single"/>
        </w:rPr>
        <w:t xml:space="preserve">Receivables (RF) Ltd v Radebe </w:t>
      </w:r>
      <w:r w:rsidR="00AC2C03">
        <w:rPr>
          <w:rFonts w:ascii="Arial" w:hAnsi="Arial" w:cs="Arial"/>
          <w:b/>
          <w:bCs/>
          <w:u w:val="single"/>
        </w:rPr>
        <w:t xml:space="preserve">and Another </w:t>
      </w:r>
      <w:r w:rsidR="00AC2C03">
        <w:rPr>
          <w:rFonts w:ascii="Arial" w:hAnsi="Arial" w:cs="Arial"/>
        </w:rPr>
        <w:t>2022(4) SA 597 (ML)</w:t>
      </w:r>
      <w:r w:rsidR="0022460F">
        <w:rPr>
          <w:rFonts w:ascii="Arial" w:hAnsi="Arial" w:cs="Arial"/>
        </w:rPr>
        <w:t xml:space="preserve">; </w:t>
      </w:r>
      <w:r w:rsidR="000C4AA5" w:rsidRPr="00C71A4E">
        <w:rPr>
          <w:rFonts w:ascii="Arial" w:hAnsi="Arial" w:cs="Arial"/>
          <w:b/>
          <w:bCs/>
          <w:u w:val="single"/>
        </w:rPr>
        <w:t xml:space="preserve">Seleka v </w:t>
      </w:r>
      <w:r w:rsidR="001F2DB3" w:rsidRPr="00C71A4E">
        <w:rPr>
          <w:rFonts w:ascii="Arial" w:hAnsi="Arial" w:cs="Arial"/>
          <w:b/>
          <w:bCs/>
          <w:u w:val="single"/>
        </w:rPr>
        <w:t>Fast Issuer SPV(RF) Ltd and Another</w:t>
      </w:r>
      <w:r w:rsidR="00134EF7">
        <w:rPr>
          <w:rFonts w:ascii="Arial" w:hAnsi="Arial" w:cs="Arial"/>
          <w:b/>
          <w:bCs/>
          <w:u w:val="single"/>
        </w:rPr>
        <w:br/>
      </w:r>
      <w:r w:rsidR="001F2DB3">
        <w:rPr>
          <w:rFonts w:ascii="Arial" w:hAnsi="Arial" w:cs="Arial"/>
        </w:rPr>
        <w:t xml:space="preserve">(46620/20) {2021} ZAGPPHC 12 (10 March </w:t>
      </w:r>
      <w:r w:rsidR="00C71A4E">
        <w:rPr>
          <w:rFonts w:ascii="Arial" w:hAnsi="Arial" w:cs="Arial"/>
        </w:rPr>
        <w:t>2021)</w:t>
      </w:r>
      <w:r w:rsidR="00B32FD2">
        <w:rPr>
          <w:rFonts w:ascii="Arial" w:hAnsi="Arial" w:cs="Arial"/>
        </w:rPr>
        <w:t xml:space="preserve">; </w:t>
      </w:r>
      <w:proofErr w:type="spellStart"/>
      <w:r w:rsidR="000E6E14">
        <w:rPr>
          <w:rFonts w:ascii="Arial" w:hAnsi="Arial" w:cs="Arial"/>
          <w:b/>
          <w:bCs/>
          <w:u w:val="single"/>
        </w:rPr>
        <w:t>Ngandela</w:t>
      </w:r>
      <w:proofErr w:type="spellEnd"/>
      <w:r w:rsidR="000E6E14">
        <w:rPr>
          <w:rFonts w:ascii="Arial" w:hAnsi="Arial" w:cs="Arial"/>
          <w:b/>
          <w:bCs/>
          <w:u w:val="single"/>
        </w:rPr>
        <w:t xml:space="preserve"> v Absa Bank Ltd and Another</w:t>
      </w:r>
    </w:p>
    <w:p w14:paraId="6DECA70C" w14:textId="45ECEDF4" w:rsidR="000E6E14" w:rsidRPr="00894E3F" w:rsidRDefault="005573F6" w:rsidP="00134EF7">
      <w:pPr>
        <w:pStyle w:val="FootnoteText"/>
        <w:ind w:left="720"/>
        <w:jc w:val="both"/>
        <w:rPr>
          <w:rFonts w:ascii="Arial" w:hAnsi="Arial" w:cs="Arial"/>
        </w:rPr>
      </w:pPr>
      <w:r>
        <w:rPr>
          <w:rFonts w:ascii="Arial" w:hAnsi="Arial" w:cs="Arial"/>
          <w:b/>
          <w:bCs/>
          <w:u w:val="single"/>
        </w:rPr>
        <w:t>(</w:t>
      </w:r>
      <w:r>
        <w:rPr>
          <w:rFonts w:ascii="Arial" w:hAnsi="Arial" w:cs="Arial"/>
          <w:u w:val="single"/>
        </w:rPr>
        <w:t xml:space="preserve">1637/2021) {2023} ZAELLC </w:t>
      </w:r>
      <w:proofErr w:type="gramStart"/>
      <w:r>
        <w:rPr>
          <w:rFonts w:ascii="Arial" w:hAnsi="Arial" w:cs="Arial"/>
          <w:u w:val="single"/>
        </w:rPr>
        <w:t>6( 31</w:t>
      </w:r>
      <w:proofErr w:type="gramEnd"/>
      <w:r>
        <w:rPr>
          <w:rFonts w:ascii="Arial" w:hAnsi="Arial" w:cs="Arial"/>
          <w:u w:val="single"/>
        </w:rPr>
        <w:t xml:space="preserve"> January 2023; </w:t>
      </w:r>
      <w:proofErr w:type="spellStart"/>
      <w:r>
        <w:rPr>
          <w:rFonts w:ascii="Arial" w:hAnsi="Arial" w:cs="Arial"/>
          <w:b/>
          <w:bCs/>
          <w:u w:val="single"/>
        </w:rPr>
        <w:t>Gcasambe</w:t>
      </w:r>
      <w:proofErr w:type="spellEnd"/>
      <w:r>
        <w:rPr>
          <w:rFonts w:ascii="Arial" w:hAnsi="Arial" w:cs="Arial"/>
          <w:b/>
          <w:bCs/>
          <w:u w:val="single"/>
        </w:rPr>
        <w:t xml:space="preserve"> </w:t>
      </w:r>
      <w:r w:rsidR="00894E3F">
        <w:rPr>
          <w:rFonts w:ascii="Arial" w:hAnsi="Arial" w:cs="Arial"/>
          <w:b/>
          <w:bCs/>
          <w:u w:val="single"/>
        </w:rPr>
        <w:t xml:space="preserve">v </w:t>
      </w:r>
      <w:proofErr w:type="spellStart"/>
      <w:r w:rsidR="00894E3F">
        <w:rPr>
          <w:rFonts w:ascii="Arial" w:hAnsi="Arial" w:cs="Arial"/>
          <w:b/>
          <w:bCs/>
          <w:u w:val="single"/>
        </w:rPr>
        <w:t>Mercdes</w:t>
      </w:r>
      <w:proofErr w:type="spellEnd"/>
      <w:r w:rsidR="00894E3F">
        <w:rPr>
          <w:rFonts w:ascii="Arial" w:hAnsi="Arial" w:cs="Arial"/>
          <w:b/>
          <w:bCs/>
          <w:u w:val="single"/>
        </w:rPr>
        <w:t xml:space="preserve">-Benz Financial services SA (Pty) Ltd </w:t>
      </w:r>
      <w:r w:rsidR="00894E3F">
        <w:rPr>
          <w:rFonts w:ascii="Arial" w:hAnsi="Arial" w:cs="Arial"/>
        </w:rPr>
        <w:t>2023 (1) SA 141 (FB)</w:t>
      </w:r>
    </w:p>
  </w:footnote>
  <w:footnote w:id="11">
    <w:p w14:paraId="5BB66A19" w14:textId="6D16F104" w:rsidR="00311225" w:rsidRDefault="00311225">
      <w:pPr>
        <w:pStyle w:val="FootnoteText"/>
      </w:pPr>
    </w:p>
  </w:footnote>
  <w:footnote w:id="12">
    <w:p w14:paraId="3FB7B77B" w14:textId="7713FC71" w:rsidR="00B213F3" w:rsidRPr="00FE608E" w:rsidRDefault="00B213F3" w:rsidP="00B213F3">
      <w:pPr>
        <w:pStyle w:val="FootnoteText"/>
        <w:ind w:left="709" w:hanging="709"/>
        <w:jc w:val="both"/>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r>
      <w:r w:rsidRPr="00FE608E">
        <w:rPr>
          <w:rFonts w:ascii="Arial" w:hAnsi="Arial" w:cs="Arial"/>
          <w:b/>
          <w:bCs/>
          <w:u w:val="single"/>
          <w:lang w:val="en-US"/>
        </w:rPr>
        <w:t xml:space="preserve">Natal Joint Municipal Pension Fund v </w:t>
      </w:r>
      <w:proofErr w:type="spellStart"/>
      <w:r w:rsidRPr="00FE608E">
        <w:rPr>
          <w:rFonts w:ascii="Arial" w:hAnsi="Arial" w:cs="Arial"/>
          <w:b/>
          <w:bCs/>
          <w:u w:val="single"/>
          <w:lang w:val="en-US"/>
        </w:rPr>
        <w:t>Edumeni</w:t>
      </w:r>
      <w:proofErr w:type="spellEnd"/>
      <w:r w:rsidRPr="00FE608E">
        <w:rPr>
          <w:rFonts w:ascii="Arial" w:hAnsi="Arial" w:cs="Arial"/>
          <w:b/>
          <w:bCs/>
          <w:u w:val="single"/>
          <w:lang w:val="en-US"/>
        </w:rPr>
        <w:t xml:space="preserve"> Municipality</w:t>
      </w:r>
      <w:r w:rsidRPr="00FE608E">
        <w:rPr>
          <w:rFonts w:ascii="Arial" w:hAnsi="Arial" w:cs="Arial"/>
          <w:lang w:val="en-US"/>
        </w:rPr>
        <w:t xml:space="preserve"> 2012 (4) SA 583 (SCA) at par 18; </w:t>
      </w:r>
      <w:r w:rsidRPr="00FE608E">
        <w:rPr>
          <w:rFonts w:ascii="Arial" w:hAnsi="Arial" w:cs="Arial"/>
          <w:b/>
          <w:bCs/>
          <w:u w:val="single"/>
          <w:lang w:val="en-US"/>
        </w:rPr>
        <w:t>Airports Company SA v Big Five Duty Free (Pty) Ltd and Others</w:t>
      </w:r>
      <w:r w:rsidRPr="00FE608E">
        <w:rPr>
          <w:rFonts w:ascii="Arial" w:hAnsi="Arial" w:cs="Arial"/>
          <w:lang w:val="en-US"/>
        </w:rPr>
        <w:t xml:space="preserve"> 2019 (5) SA 1 (CC) at par 29; </w:t>
      </w:r>
      <w:proofErr w:type="spellStart"/>
      <w:r w:rsidRPr="00FE608E">
        <w:rPr>
          <w:rFonts w:ascii="Arial" w:hAnsi="Arial" w:cs="Arial"/>
          <w:b/>
          <w:bCs/>
          <w:u w:val="single"/>
          <w:lang w:val="en-US"/>
        </w:rPr>
        <w:t>Waenhuiskraans</w:t>
      </w:r>
      <w:proofErr w:type="spellEnd"/>
      <w:r w:rsidRPr="00FE608E">
        <w:rPr>
          <w:rFonts w:ascii="Arial" w:hAnsi="Arial" w:cs="Arial"/>
          <w:b/>
          <w:bCs/>
          <w:u w:val="single"/>
          <w:lang w:val="en-US"/>
        </w:rPr>
        <w:t xml:space="preserve"> Rate Payers Association and Another v </w:t>
      </w:r>
      <w:proofErr w:type="spellStart"/>
      <w:r w:rsidRPr="00FE608E">
        <w:rPr>
          <w:rFonts w:ascii="Arial" w:hAnsi="Arial" w:cs="Arial"/>
          <w:b/>
          <w:bCs/>
          <w:u w:val="single"/>
          <w:lang w:val="en-US"/>
        </w:rPr>
        <w:t>Vereweide</w:t>
      </w:r>
      <w:proofErr w:type="spellEnd"/>
      <w:r w:rsidRPr="00FE608E">
        <w:rPr>
          <w:rFonts w:ascii="Arial" w:hAnsi="Arial" w:cs="Arial"/>
          <w:b/>
          <w:bCs/>
          <w:u w:val="single"/>
          <w:lang w:val="en-US"/>
        </w:rPr>
        <w:t xml:space="preserve"> </w:t>
      </w:r>
      <w:proofErr w:type="spellStart"/>
      <w:r w:rsidRPr="00FE608E">
        <w:rPr>
          <w:rFonts w:ascii="Arial" w:hAnsi="Arial" w:cs="Arial"/>
          <w:b/>
          <w:bCs/>
          <w:u w:val="single"/>
          <w:lang w:val="en-US"/>
        </w:rPr>
        <w:t>Ontwikkelings</w:t>
      </w:r>
      <w:proofErr w:type="spellEnd"/>
      <w:r w:rsidRPr="00FE608E">
        <w:rPr>
          <w:rFonts w:ascii="Arial" w:hAnsi="Arial" w:cs="Arial"/>
          <w:b/>
          <w:bCs/>
          <w:u w:val="single"/>
          <w:lang w:val="en-US"/>
        </w:rPr>
        <w:t xml:space="preserve"> (</w:t>
      </w:r>
      <w:proofErr w:type="spellStart"/>
      <w:r w:rsidRPr="00FE608E">
        <w:rPr>
          <w:rFonts w:ascii="Arial" w:hAnsi="Arial" w:cs="Arial"/>
          <w:b/>
          <w:bCs/>
          <w:u w:val="single"/>
          <w:lang w:val="en-US"/>
        </w:rPr>
        <w:t>Edms</w:t>
      </w:r>
      <w:proofErr w:type="spellEnd"/>
      <w:r w:rsidRPr="00FE608E">
        <w:rPr>
          <w:rFonts w:ascii="Arial" w:hAnsi="Arial" w:cs="Arial"/>
          <w:b/>
          <w:bCs/>
          <w:u w:val="single"/>
          <w:lang w:val="en-US"/>
        </w:rPr>
        <w:t>.) Bpk.</w:t>
      </w:r>
      <w:r w:rsidRPr="00FE608E">
        <w:rPr>
          <w:rFonts w:ascii="Arial" w:hAnsi="Arial" w:cs="Arial"/>
          <w:lang w:val="en-US"/>
        </w:rPr>
        <w:t xml:space="preserve"> 2011 (3) SA 434 (WCC) at par 146</w:t>
      </w:r>
    </w:p>
  </w:footnote>
  <w:footnote w:id="13">
    <w:p w14:paraId="287B9E74" w14:textId="26802958" w:rsidR="00B213F3" w:rsidRPr="00FE608E" w:rsidRDefault="00B213F3">
      <w:pPr>
        <w:pStyle w:val="FootnoteText"/>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t>2014 (4) SA 47 (CC) at par 28</w:t>
      </w:r>
    </w:p>
  </w:footnote>
  <w:footnote w:id="14">
    <w:p w14:paraId="297B0661" w14:textId="5869252D" w:rsidR="004F60D3" w:rsidRPr="00406F51" w:rsidRDefault="004F60D3">
      <w:pPr>
        <w:pStyle w:val="FootnoteText"/>
        <w:rPr>
          <w:rFonts w:ascii="Arial" w:hAnsi="Arial" w:cs="Arial"/>
        </w:rPr>
      </w:pPr>
      <w:r>
        <w:rPr>
          <w:rStyle w:val="FootnoteReference"/>
        </w:rPr>
        <w:footnoteRef/>
      </w:r>
      <w:r>
        <w:t xml:space="preserve"> </w:t>
      </w:r>
      <w:r>
        <w:tab/>
      </w:r>
      <w:proofErr w:type="spellStart"/>
      <w:r w:rsidRPr="00A1388D">
        <w:rPr>
          <w:rFonts w:ascii="Arial" w:hAnsi="Arial" w:cs="Arial"/>
          <w:b/>
          <w:bCs/>
          <w:u w:val="single"/>
        </w:rPr>
        <w:t>Chisuse</w:t>
      </w:r>
      <w:proofErr w:type="spellEnd"/>
      <w:r w:rsidRPr="00A1388D">
        <w:rPr>
          <w:rFonts w:ascii="Arial" w:hAnsi="Arial" w:cs="Arial"/>
          <w:b/>
          <w:bCs/>
          <w:u w:val="single"/>
        </w:rPr>
        <w:t xml:space="preserve"> v D</w:t>
      </w:r>
      <w:r w:rsidR="00A1388D" w:rsidRPr="00A1388D">
        <w:rPr>
          <w:rFonts w:ascii="Arial" w:hAnsi="Arial" w:cs="Arial"/>
          <w:b/>
          <w:bCs/>
          <w:u w:val="single"/>
        </w:rPr>
        <w:t xml:space="preserve">irector </w:t>
      </w:r>
      <w:r w:rsidR="00987E99" w:rsidRPr="00A1388D">
        <w:rPr>
          <w:rFonts w:ascii="Arial" w:hAnsi="Arial" w:cs="Arial"/>
          <w:b/>
          <w:bCs/>
          <w:u w:val="single"/>
        </w:rPr>
        <w:t>General,</w:t>
      </w:r>
      <w:r w:rsidRPr="00A1388D">
        <w:rPr>
          <w:rFonts w:ascii="Arial" w:hAnsi="Arial" w:cs="Arial"/>
          <w:b/>
          <w:bCs/>
          <w:u w:val="single"/>
        </w:rPr>
        <w:t xml:space="preserve"> Dep</w:t>
      </w:r>
      <w:r w:rsidR="00A1388D" w:rsidRPr="00A1388D">
        <w:rPr>
          <w:rFonts w:ascii="Arial" w:hAnsi="Arial" w:cs="Arial"/>
          <w:b/>
          <w:bCs/>
          <w:u w:val="single"/>
        </w:rPr>
        <w:t>artment</w:t>
      </w:r>
      <w:r w:rsidRPr="00A1388D">
        <w:rPr>
          <w:rFonts w:ascii="Arial" w:hAnsi="Arial" w:cs="Arial"/>
          <w:b/>
          <w:bCs/>
          <w:u w:val="single"/>
        </w:rPr>
        <w:t xml:space="preserve"> of Home Affairs</w:t>
      </w:r>
      <w:r>
        <w:t xml:space="preserve"> </w:t>
      </w:r>
      <w:r w:rsidRPr="00406F51">
        <w:rPr>
          <w:rFonts w:ascii="Arial" w:hAnsi="Arial" w:cs="Arial"/>
        </w:rPr>
        <w:t>2020 (6) SA 14 (CC) at para</w:t>
      </w:r>
      <w:r w:rsidR="00A1388D" w:rsidRPr="00406F51">
        <w:rPr>
          <w:rFonts w:ascii="Arial" w:hAnsi="Arial" w:cs="Arial"/>
        </w:rPr>
        <w:t xml:space="preserve"> 47</w:t>
      </w:r>
    </w:p>
  </w:footnote>
  <w:footnote w:id="15">
    <w:p w14:paraId="2EB74BE0" w14:textId="5D150F6E" w:rsidR="002C56A6" w:rsidRPr="00406F51" w:rsidRDefault="002C56A6">
      <w:pPr>
        <w:pStyle w:val="FootnoteText"/>
        <w:rPr>
          <w:rFonts w:ascii="Arial" w:hAnsi="Arial" w:cs="Arial"/>
        </w:rPr>
      </w:pPr>
      <w:r w:rsidRPr="00406F51">
        <w:rPr>
          <w:rStyle w:val="FootnoteReference"/>
          <w:rFonts w:ascii="Arial" w:hAnsi="Arial" w:cs="Arial"/>
        </w:rPr>
        <w:footnoteRef/>
      </w:r>
      <w:r w:rsidRPr="00406F51">
        <w:rPr>
          <w:rFonts w:ascii="Arial" w:hAnsi="Arial" w:cs="Arial"/>
        </w:rPr>
        <w:t xml:space="preserve"> </w:t>
      </w:r>
      <w:r w:rsidRPr="00406F51">
        <w:rPr>
          <w:rFonts w:ascii="Arial" w:hAnsi="Arial" w:cs="Arial"/>
        </w:rPr>
        <w:tab/>
        <w:t xml:space="preserve">Section </w:t>
      </w:r>
      <w:r w:rsidR="00987E99" w:rsidRPr="00406F51">
        <w:rPr>
          <w:rFonts w:ascii="Arial" w:hAnsi="Arial" w:cs="Arial"/>
        </w:rPr>
        <w:t>130(4</w:t>
      </w:r>
      <w:r w:rsidR="00147A40" w:rsidRPr="00406F51">
        <w:rPr>
          <w:rFonts w:ascii="Arial" w:hAnsi="Arial" w:cs="Arial"/>
        </w:rPr>
        <w:t>)</w:t>
      </w:r>
    </w:p>
  </w:footnote>
  <w:footnote w:id="16">
    <w:p w14:paraId="5A82E0FD" w14:textId="7AB7C59E" w:rsidR="00B73771" w:rsidRDefault="00D22BD5">
      <w:pPr>
        <w:pStyle w:val="FootnoteText"/>
        <w:rPr>
          <w:rFonts w:ascii="Arial" w:hAnsi="Arial" w:cs="Arial"/>
        </w:rPr>
      </w:pPr>
      <w:r>
        <w:rPr>
          <w:rStyle w:val="FootnoteReference"/>
        </w:rPr>
        <w:footnoteRef/>
      </w:r>
      <w:r>
        <w:t xml:space="preserve"> </w:t>
      </w:r>
      <w:r>
        <w:tab/>
      </w:r>
      <w:proofErr w:type="spellStart"/>
      <w:r w:rsidRPr="00D22BD5">
        <w:rPr>
          <w:rFonts w:ascii="Arial" w:hAnsi="Arial" w:cs="Arial"/>
          <w:b/>
          <w:bCs/>
          <w:u w:val="single"/>
        </w:rPr>
        <w:t>Nkata</w:t>
      </w:r>
      <w:proofErr w:type="spellEnd"/>
      <w:r w:rsidRPr="00D22BD5">
        <w:rPr>
          <w:rFonts w:ascii="Arial" w:hAnsi="Arial" w:cs="Arial"/>
        </w:rPr>
        <w:t xml:space="preserve"> supra</w:t>
      </w:r>
      <w:r w:rsidR="00447AF1">
        <w:rPr>
          <w:rFonts w:ascii="Arial" w:hAnsi="Arial" w:cs="Arial"/>
        </w:rPr>
        <w:t xml:space="preserve"> at para 169</w:t>
      </w:r>
      <w:r w:rsidR="00B73771">
        <w:rPr>
          <w:rFonts w:ascii="Arial" w:hAnsi="Arial" w:cs="Arial"/>
        </w:rPr>
        <w:t xml:space="preserve"> -17</w:t>
      </w:r>
      <w:r w:rsidR="000C737F">
        <w:rPr>
          <w:rFonts w:ascii="Arial" w:hAnsi="Arial" w:cs="Arial"/>
        </w:rPr>
        <w:t>3</w:t>
      </w:r>
      <w:r w:rsidR="00447AF1">
        <w:rPr>
          <w:rFonts w:ascii="Arial" w:hAnsi="Arial" w:cs="Arial"/>
        </w:rPr>
        <w:t xml:space="preserve">; </w:t>
      </w:r>
      <w:proofErr w:type="spellStart"/>
      <w:r w:rsidR="00447AF1" w:rsidRPr="006B4031">
        <w:rPr>
          <w:rFonts w:ascii="Arial" w:hAnsi="Arial" w:cs="Arial"/>
          <w:b/>
          <w:bCs/>
          <w:u w:val="single"/>
        </w:rPr>
        <w:t>Kubyana</w:t>
      </w:r>
      <w:proofErr w:type="spellEnd"/>
      <w:r w:rsidR="00447AF1" w:rsidRPr="006B4031">
        <w:rPr>
          <w:rFonts w:ascii="Arial" w:hAnsi="Arial" w:cs="Arial"/>
          <w:b/>
          <w:bCs/>
          <w:u w:val="single"/>
        </w:rPr>
        <w:t xml:space="preserve"> v Standard Bank of SA Ltd</w:t>
      </w:r>
      <w:r w:rsidR="00447AF1">
        <w:rPr>
          <w:rFonts w:ascii="Arial" w:hAnsi="Arial" w:cs="Arial"/>
        </w:rPr>
        <w:t xml:space="preserve"> </w:t>
      </w:r>
      <w:r w:rsidR="006B4031">
        <w:rPr>
          <w:rFonts w:ascii="Arial" w:hAnsi="Arial" w:cs="Arial"/>
        </w:rPr>
        <w:t>2014 (4) BCLR 400</w:t>
      </w:r>
    </w:p>
    <w:p w14:paraId="06296F39" w14:textId="77777777" w:rsidR="00B73771" w:rsidRDefault="006B4031" w:rsidP="00B73771">
      <w:pPr>
        <w:pStyle w:val="FootnoteText"/>
        <w:ind w:firstLine="720"/>
        <w:rPr>
          <w:rFonts w:ascii="Arial" w:hAnsi="Arial" w:cs="Arial"/>
        </w:rPr>
      </w:pPr>
      <w:r>
        <w:rPr>
          <w:rFonts w:ascii="Arial" w:hAnsi="Arial" w:cs="Arial"/>
        </w:rPr>
        <w:t xml:space="preserve"> (CC</w:t>
      </w:r>
      <w:proofErr w:type="gramStart"/>
      <w:r>
        <w:rPr>
          <w:rFonts w:ascii="Arial" w:hAnsi="Arial" w:cs="Arial"/>
        </w:rPr>
        <w:t xml:space="preserve">); </w:t>
      </w:r>
      <w:r w:rsidR="00B73771">
        <w:rPr>
          <w:rFonts w:ascii="Arial" w:hAnsi="Arial" w:cs="Arial"/>
        </w:rPr>
        <w:t xml:space="preserve"> </w:t>
      </w:r>
      <w:r w:rsidRPr="009C7E90">
        <w:rPr>
          <w:rFonts w:ascii="Arial" w:hAnsi="Arial" w:cs="Arial"/>
          <w:b/>
          <w:bCs/>
          <w:u w:val="single"/>
        </w:rPr>
        <w:t>Sebola</w:t>
      </w:r>
      <w:proofErr w:type="gramEnd"/>
      <w:r w:rsidR="009C7E90" w:rsidRPr="009C7E90">
        <w:rPr>
          <w:rFonts w:ascii="Arial" w:hAnsi="Arial" w:cs="Arial"/>
          <w:b/>
          <w:bCs/>
          <w:u w:val="single"/>
        </w:rPr>
        <w:t xml:space="preserve"> and Another v Standard Bank of South Africa and Another</w:t>
      </w:r>
      <w:r w:rsidR="009C7E90">
        <w:rPr>
          <w:rFonts w:ascii="Arial" w:hAnsi="Arial" w:cs="Arial"/>
        </w:rPr>
        <w:t xml:space="preserve"> 2012 (5) SA</w:t>
      </w:r>
    </w:p>
    <w:p w14:paraId="2E62ACFD" w14:textId="77777777" w:rsidR="007A4696" w:rsidRDefault="009C7E90" w:rsidP="00B73771">
      <w:pPr>
        <w:pStyle w:val="FootnoteText"/>
        <w:ind w:firstLine="720"/>
        <w:rPr>
          <w:rFonts w:ascii="Arial" w:hAnsi="Arial" w:cs="Arial"/>
          <w:b/>
          <w:bCs/>
          <w:u w:val="single"/>
        </w:rPr>
      </w:pPr>
      <w:r>
        <w:rPr>
          <w:rFonts w:ascii="Arial" w:hAnsi="Arial" w:cs="Arial"/>
        </w:rPr>
        <w:t xml:space="preserve"> 142 (CC)</w:t>
      </w:r>
      <w:r w:rsidR="00D52836">
        <w:rPr>
          <w:rFonts w:ascii="Arial" w:hAnsi="Arial" w:cs="Arial"/>
        </w:rPr>
        <w:t xml:space="preserve">; </w:t>
      </w:r>
      <w:r w:rsidR="00D52836" w:rsidRPr="007A4696">
        <w:rPr>
          <w:rFonts w:ascii="Arial" w:hAnsi="Arial" w:cs="Arial"/>
          <w:b/>
          <w:bCs/>
          <w:u w:val="single"/>
        </w:rPr>
        <w:t>University of Stellen</w:t>
      </w:r>
      <w:r w:rsidR="00CE75F9" w:rsidRPr="007A4696">
        <w:rPr>
          <w:rFonts w:ascii="Arial" w:hAnsi="Arial" w:cs="Arial"/>
          <w:b/>
          <w:bCs/>
          <w:u w:val="single"/>
        </w:rPr>
        <w:t>bosch Legal Aid Clinic and Others v Minister of Justice</w:t>
      </w:r>
    </w:p>
    <w:p w14:paraId="2A8CB097" w14:textId="6601D830" w:rsidR="00CE75F9" w:rsidRPr="00CC4015" w:rsidRDefault="00CE75F9" w:rsidP="00CC4015">
      <w:pPr>
        <w:pStyle w:val="FootnoteText"/>
        <w:ind w:left="720"/>
        <w:rPr>
          <w:rFonts w:ascii="Arial" w:hAnsi="Arial" w:cs="Arial"/>
        </w:rPr>
      </w:pPr>
      <w:r w:rsidRPr="007A4696">
        <w:rPr>
          <w:rFonts w:ascii="Arial" w:hAnsi="Arial" w:cs="Arial"/>
          <w:b/>
          <w:bCs/>
          <w:u w:val="single"/>
        </w:rPr>
        <w:t xml:space="preserve"> and Correctional </w:t>
      </w:r>
      <w:r w:rsidR="007A4696" w:rsidRPr="007A4696">
        <w:rPr>
          <w:rFonts w:ascii="Arial" w:hAnsi="Arial" w:cs="Arial"/>
          <w:b/>
          <w:bCs/>
          <w:u w:val="single"/>
        </w:rPr>
        <w:t>Services and Others</w:t>
      </w:r>
      <w:r w:rsidR="007A4696">
        <w:rPr>
          <w:rFonts w:ascii="Arial" w:hAnsi="Arial" w:cs="Arial"/>
        </w:rPr>
        <w:t xml:space="preserve"> 2016 (6) SA 596 (CC</w:t>
      </w:r>
      <w:proofErr w:type="gramStart"/>
      <w:r w:rsidR="007A4696">
        <w:rPr>
          <w:rFonts w:ascii="Arial" w:hAnsi="Arial" w:cs="Arial"/>
        </w:rPr>
        <w:t>)  at</w:t>
      </w:r>
      <w:proofErr w:type="gramEnd"/>
      <w:r w:rsidR="007A4696">
        <w:rPr>
          <w:rFonts w:ascii="Arial" w:hAnsi="Arial" w:cs="Arial"/>
        </w:rPr>
        <w:t xml:space="preserve"> para</w:t>
      </w:r>
      <w:r w:rsidR="005E62D5">
        <w:rPr>
          <w:rFonts w:ascii="Arial" w:hAnsi="Arial" w:cs="Arial"/>
        </w:rPr>
        <w:t>s 23</w:t>
      </w:r>
      <w:r w:rsidR="00275DCB">
        <w:rPr>
          <w:rFonts w:ascii="Arial" w:hAnsi="Arial" w:cs="Arial"/>
        </w:rPr>
        <w:t xml:space="preserve"> to 27</w:t>
      </w:r>
      <w:r w:rsidR="00CC4015">
        <w:rPr>
          <w:rFonts w:ascii="Arial" w:hAnsi="Arial" w:cs="Arial"/>
        </w:rPr>
        <w:t xml:space="preserve">; </w:t>
      </w:r>
      <w:proofErr w:type="spellStart"/>
      <w:r w:rsidR="00CC4015" w:rsidRPr="000B5DAA">
        <w:rPr>
          <w:rFonts w:ascii="Arial" w:hAnsi="Arial" w:cs="Arial"/>
          <w:b/>
          <w:bCs/>
          <w:u w:val="single"/>
        </w:rPr>
        <w:t>Gcasambe</w:t>
      </w:r>
      <w:proofErr w:type="spellEnd"/>
      <w:r w:rsidR="00CC4015" w:rsidRPr="000B5DAA">
        <w:rPr>
          <w:rFonts w:ascii="Arial" w:hAnsi="Arial" w:cs="Arial"/>
          <w:b/>
          <w:bCs/>
          <w:u w:val="single"/>
        </w:rPr>
        <w:t xml:space="preserve"> v Mercedes Benz</w:t>
      </w:r>
      <w:r w:rsidR="000B5DAA">
        <w:rPr>
          <w:rFonts w:ascii="Arial" w:hAnsi="Arial" w:cs="Arial"/>
        </w:rPr>
        <w:t xml:space="preserve"> </w:t>
      </w:r>
      <w:proofErr w:type="spellStart"/>
      <w:r w:rsidR="000B5DAA">
        <w:rPr>
          <w:rFonts w:ascii="Arial" w:hAnsi="Arial" w:cs="Arial"/>
        </w:rPr>
        <w:t>fn</w:t>
      </w:r>
      <w:proofErr w:type="spellEnd"/>
      <w:r w:rsidR="000B5DAA">
        <w:rPr>
          <w:rFonts w:ascii="Arial" w:hAnsi="Arial" w:cs="Arial"/>
        </w:rPr>
        <w:t xml:space="preserve"> 10 supra at paras 45.1 to 45.8</w:t>
      </w:r>
    </w:p>
  </w:footnote>
  <w:footnote w:id="17">
    <w:p w14:paraId="284D3AB9" w14:textId="2AB7B7D5" w:rsidR="009D723F" w:rsidRPr="00246C10" w:rsidRDefault="009D723F">
      <w:pPr>
        <w:pStyle w:val="FootnoteText"/>
        <w:rPr>
          <w:rFonts w:ascii="Arial" w:hAnsi="Arial" w:cs="Arial"/>
        </w:rPr>
      </w:pPr>
      <w:r>
        <w:rPr>
          <w:rStyle w:val="FootnoteReference"/>
        </w:rPr>
        <w:footnoteRef/>
      </w:r>
      <w:r>
        <w:t xml:space="preserve"> </w:t>
      </w:r>
      <w:r>
        <w:tab/>
      </w:r>
      <w:r w:rsidRPr="00246C10">
        <w:rPr>
          <w:rFonts w:ascii="Arial" w:hAnsi="Arial" w:cs="Arial"/>
        </w:rPr>
        <w:t>The Superior Court Act 1</w:t>
      </w:r>
      <w:r w:rsidR="004415C0" w:rsidRPr="00246C10">
        <w:rPr>
          <w:rFonts w:ascii="Arial" w:hAnsi="Arial" w:cs="Arial"/>
        </w:rPr>
        <w:t>0</w:t>
      </w:r>
      <w:r w:rsidRPr="00246C10">
        <w:rPr>
          <w:rFonts w:ascii="Arial" w:hAnsi="Arial" w:cs="Arial"/>
        </w:rPr>
        <w:t xml:space="preserve"> of</w:t>
      </w:r>
      <w:r w:rsidR="004415C0" w:rsidRPr="00246C10">
        <w:rPr>
          <w:rFonts w:ascii="Arial" w:hAnsi="Arial" w:cs="Arial"/>
        </w:rPr>
        <w:t xml:space="preserve"> 2013</w:t>
      </w:r>
      <w:r w:rsidRPr="00246C10">
        <w:rPr>
          <w:rFonts w:ascii="Arial" w:hAnsi="Arial" w:cs="Arial"/>
        </w:rPr>
        <w:t xml:space="preserve"> </w:t>
      </w:r>
    </w:p>
  </w:footnote>
  <w:footnote w:id="18">
    <w:p w14:paraId="4864F703" w14:textId="4F0F7E0D" w:rsidR="009F7DFE" w:rsidRDefault="009F7DFE">
      <w:pPr>
        <w:pStyle w:val="FootnoteText"/>
      </w:pPr>
      <w:r>
        <w:rPr>
          <w:rStyle w:val="FootnoteReference"/>
        </w:rPr>
        <w:footnoteRef/>
      </w:r>
      <w:r>
        <w:t xml:space="preserve"> </w:t>
      </w:r>
      <w:r>
        <w:tab/>
      </w:r>
      <w:r w:rsidRPr="00246C10">
        <w:rPr>
          <w:rFonts w:ascii="Arial" w:hAnsi="Arial" w:cs="Arial"/>
        </w:rPr>
        <w:t>1941 CPD 297 at 301</w:t>
      </w:r>
    </w:p>
  </w:footnote>
  <w:footnote w:id="19">
    <w:p w14:paraId="030818A8" w14:textId="5E82B25D" w:rsidR="00B31ABE" w:rsidRDefault="00B31ABE">
      <w:pPr>
        <w:pStyle w:val="FootnoteText"/>
      </w:pPr>
      <w:r>
        <w:rPr>
          <w:rStyle w:val="FootnoteReference"/>
        </w:rPr>
        <w:footnoteRef/>
      </w:r>
      <w:r>
        <w:t xml:space="preserve"> </w:t>
      </w:r>
      <w:r>
        <w:tab/>
        <w:t>At 302</w:t>
      </w:r>
    </w:p>
  </w:footnote>
  <w:footnote w:id="20">
    <w:p w14:paraId="4BAF831E" w14:textId="2C2DBFAB" w:rsidR="00D37824" w:rsidRPr="00FE608E" w:rsidRDefault="00D37824">
      <w:pPr>
        <w:pStyle w:val="FootnoteText"/>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t>(2051/2019) (201) ZAFSHC 248</w:t>
      </w:r>
    </w:p>
  </w:footnote>
  <w:footnote w:id="21">
    <w:p w14:paraId="2F768753" w14:textId="7857E4E1" w:rsidR="00D37824" w:rsidRPr="00FE608E" w:rsidRDefault="00D37824" w:rsidP="00D37824">
      <w:pPr>
        <w:pStyle w:val="FootnoteText"/>
        <w:ind w:left="709" w:hanging="709"/>
        <w:jc w:val="both"/>
        <w:rPr>
          <w:rFonts w:ascii="Arial" w:hAnsi="Arial" w:cs="Arial"/>
          <w:lang w:val="en-US"/>
        </w:rPr>
      </w:pPr>
      <w:r w:rsidRPr="00FE608E">
        <w:rPr>
          <w:rStyle w:val="FootnoteReference"/>
          <w:rFonts w:ascii="Arial" w:hAnsi="Arial" w:cs="Arial"/>
        </w:rPr>
        <w:footnoteRef/>
      </w:r>
      <w:r w:rsidRPr="00FE608E">
        <w:rPr>
          <w:rFonts w:ascii="Arial" w:hAnsi="Arial" w:cs="Arial"/>
        </w:rPr>
        <w:t xml:space="preserve"> </w:t>
      </w:r>
      <w:r w:rsidRPr="00FE608E">
        <w:rPr>
          <w:rFonts w:ascii="Arial" w:hAnsi="Arial" w:cs="Arial"/>
          <w:lang w:val="en-US"/>
        </w:rPr>
        <w:tab/>
        <w:t>13420/2007 (17 February 2011)</w:t>
      </w:r>
    </w:p>
  </w:footnote>
  <w:footnote w:id="22">
    <w:p w14:paraId="23CA32EE" w14:textId="447C871B" w:rsidR="00D37824" w:rsidRPr="00CF548A" w:rsidRDefault="00D37824">
      <w:pPr>
        <w:pStyle w:val="FootnoteText"/>
        <w:rPr>
          <w:rFonts w:ascii="Arial" w:hAnsi="Arial" w:cs="Arial"/>
          <w:lang w:val="pt-BR"/>
        </w:rPr>
      </w:pPr>
      <w:r w:rsidRPr="00FE608E">
        <w:rPr>
          <w:rStyle w:val="FootnoteReference"/>
          <w:rFonts w:ascii="Arial" w:hAnsi="Arial" w:cs="Arial"/>
        </w:rPr>
        <w:footnoteRef/>
      </w:r>
      <w:r w:rsidRPr="00CF548A">
        <w:rPr>
          <w:rFonts w:ascii="Arial" w:hAnsi="Arial" w:cs="Arial"/>
          <w:lang w:val="pt-BR"/>
        </w:rPr>
        <w:t xml:space="preserve"> </w:t>
      </w:r>
      <w:r w:rsidRPr="00CF548A">
        <w:rPr>
          <w:rFonts w:ascii="Arial" w:hAnsi="Arial" w:cs="Arial"/>
          <w:lang w:val="pt-BR"/>
        </w:rPr>
        <w:tab/>
        <w:t>2023 (1) SA 141 (FB)</w:t>
      </w:r>
    </w:p>
  </w:footnote>
  <w:footnote w:id="23">
    <w:p w14:paraId="2388B6FA" w14:textId="1F2A4004" w:rsidR="001D4921" w:rsidRPr="00CF548A" w:rsidRDefault="001D4921">
      <w:pPr>
        <w:pStyle w:val="FootnoteText"/>
        <w:rPr>
          <w:lang w:val="pt-BR"/>
        </w:rPr>
      </w:pPr>
      <w:r w:rsidRPr="00FE608E">
        <w:rPr>
          <w:rStyle w:val="FootnoteReference"/>
          <w:rFonts w:ascii="Arial" w:hAnsi="Arial" w:cs="Arial"/>
        </w:rPr>
        <w:footnoteRef/>
      </w:r>
      <w:r w:rsidRPr="00CF548A">
        <w:rPr>
          <w:rFonts w:ascii="Arial" w:hAnsi="Arial" w:cs="Arial"/>
          <w:lang w:val="pt-BR"/>
        </w:rPr>
        <w:t xml:space="preserve"> </w:t>
      </w:r>
      <w:r w:rsidRPr="00CF548A">
        <w:rPr>
          <w:rFonts w:ascii="Arial" w:hAnsi="Arial" w:cs="Arial"/>
          <w:lang w:val="pt-BR"/>
        </w:rPr>
        <w:tab/>
        <w:t>2003 (2) SA 385 (SCA)</w:t>
      </w:r>
      <w:r w:rsidRPr="00CF548A">
        <w:rPr>
          <w:lang w:val="pt-BR"/>
        </w:rPr>
        <w:t xml:space="preserve"> at par 14</w:t>
      </w:r>
    </w:p>
  </w:footnote>
  <w:footnote w:id="24">
    <w:p w14:paraId="699417F0" w14:textId="4DC77675" w:rsidR="00940FAE" w:rsidRPr="00CF548A" w:rsidRDefault="00940FAE">
      <w:pPr>
        <w:pStyle w:val="FootnoteText"/>
        <w:rPr>
          <w:lang w:val="pt-BR"/>
        </w:rPr>
      </w:pPr>
      <w:r>
        <w:rPr>
          <w:rStyle w:val="FootnoteReference"/>
        </w:rPr>
        <w:footnoteRef/>
      </w:r>
      <w:r w:rsidRPr="00CF548A">
        <w:rPr>
          <w:lang w:val="pt-BR"/>
        </w:rPr>
        <w:t xml:space="preserve"> </w:t>
      </w:r>
      <w:r w:rsidRPr="00CF548A">
        <w:rPr>
          <w:lang w:val="pt-BR"/>
        </w:rPr>
        <w:tab/>
        <w:t>2022 (4) SA 597 (ML)</w:t>
      </w:r>
    </w:p>
  </w:footnote>
  <w:footnote w:id="25">
    <w:p w14:paraId="299AA3AF" w14:textId="7932BD4D" w:rsidR="00653E90" w:rsidRPr="00CF548A" w:rsidRDefault="00653E90">
      <w:pPr>
        <w:pStyle w:val="FootnoteText"/>
        <w:rPr>
          <w:lang w:val="pt-BR"/>
        </w:rPr>
      </w:pPr>
      <w:r>
        <w:rPr>
          <w:rStyle w:val="FootnoteReference"/>
        </w:rPr>
        <w:footnoteRef/>
      </w:r>
      <w:r w:rsidRPr="00CF548A">
        <w:rPr>
          <w:lang w:val="pt-BR"/>
        </w:rPr>
        <w:t xml:space="preserve"> </w:t>
      </w:r>
      <w:r w:rsidRPr="00CF548A">
        <w:rPr>
          <w:lang w:val="pt-BR"/>
        </w:rPr>
        <w:tab/>
        <w:t xml:space="preserve">2022 (6) </w:t>
      </w:r>
      <w:r w:rsidRPr="00CF548A">
        <w:rPr>
          <w:lang w:val="pt-BR"/>
        </w:rPr>
        <w:tab/>
        <w:t xml:space="preserve">SA 129 (SCA) </w:t>
      </w:r>
    </w:p>
  </w:footnote>
  <w:footnote w:id="26">
    <w:p w14:paraId="40F82680" w14:textId="30C4E4AF" w:rsidR="001E2626" w:rsidRDefault="001E2626">
      <w:pPr>
        <w:pStyle w:val="FootnoteText"/>
      </w:pPr>
      <w:r>
        <w:rPr>
          <w:rStyle w:val="FootnoteReference"/>
        </w:rPr>
        <w:footnoteRef/>
      </w:r>
      <w:r>
        <w:t xml:space="preserve"> </w:t>
      </w:r>
      <w:r>
        <w:tab/>
      </w:r>
      <w:r w:rsidRPr="001E2626">
        <w:rPr>
          <w:rFonts w:ascii="Arial" w:hAnsi="Arial" w:cs="Arial"/>
        </w:rPr>
        <w:t>2022(1) SACR 1 (SCA) at para 19</w:t>
      </w:r>
    </w:p>
  </w:footnote>
  <w:footnote w:id="27">
    <w:p w14:paraId="02399FF8" w14:textId="0DB3750E" w:rsidR="00A57CAB" w:rsidRDefault="00A57CAB">
      <w:pPr>
        <w:pStyle w:val="FootnoteText"/>
      </w:pPr>
      <w:r>
        <w:rPr>
          <w:rStyle w:val="FootnoteReference"/>
        </w:rPr>
        <w:footnoteRef/>
      </w:r>
      <w:r>
        <w:t xml:space="preserve"> </w:t>
      </w:r>
      <w:r>
        <w:tab/>
      </w:r>
      <w:r w:rsidRPr="00C04B92">
        <w:rPr>
          <w:rFonts w:ascii="Arial" w:hAnsi="Arial" w:cs="Arial"/>
        </w:rPr>
        <w:t xml:space="preserve">Mhlongo at para </w:t>
      </w:r>
      <w:r w:rsidR="00C04B92" w:rsidRPr="00C04B92">
        <w:rPr>
          <w:rFonts w:ascii="Arial" w:hAnsi="Arial" w:cs="Arial"/>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024094"/>
      <w:docPartObj>
        <w:docPartGallery w:val="Page Numbers (Top of Page)"/>
        <w:docPartUnique/>
      </w:docPartObj>
    </w:sdtPr>
    <w:sdtEndPr>
      <w:rPr>
        <w:noProof/>
      </w:rPr>
    </w:sdtEndPr>
    <w:sdtContent>
      <w:p w14:paraId="5EE7AE66" w14:textId="77777777" w:rsidR="002879FD" w:rsidRDefault="0009034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91A58F7" w14:textId="77777777" w:rsidR="002879FD" w:rsidRDefault="0028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A715C"/>
    <w:multiLevelType w:val="hybridMultilevel"/>
    <w:tmpl w:val="AFDE4EA0"/>
    <w:lvl w:ilvl="0" w:tplc="C3FC16E4">
      <w:start w:val="1"/>
      <w:numFmt w:val="decimal"/>
      <w:lvlText w:val="[%1]"/>
      <w:lvlJc w:val="left"/>
      <w:pPr>
        <w:ind w:left="720"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C09A2"/>
    <w:multiLevelType w:val="hybridMultilevel"/>
    <w:tmpl w:val="82E60FA4"/>
    <w:lvl w:ilvl="0" w:tplc="C3FC16E4">
      <w:start w:val="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57680">
    <w:abstractNumId w:val="0"/>
  </w:num>
  <w:num w:numId="2" w16cid:durableId="211937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4F"/>
    <w:rsid w:val="00012D8B"/>
    <w:rsid w:val="00017377"/>
    <w:rsid w:val="00021D08"/>
    <w:rsid w:val="00023852"/>
    <w:rsid w:val="00033EB1"/>
    <w:rsid w:val="0004015D"/>
    <w:rsid w:val="0004088D"/>
    <w:rsid w:val="000450D5"/>
    <w:rsid w:val="000516F3"/>
    <w:rsid w:val="00080870"/>
    <w:rsid w:val="0009034F"/>
    <w:rsid w:val="000922B3"/>
    <w:rsid w:val="000B5DAA"/>
    <w:rsid w:val="000C4AA5"/>
    <w:rsid w:val="000C737F"/>
    <w:rsid w:val="000D728A"/>
    <w:rsid w:val="000E2401"/>
    <w:rsid w:val="000E51AA"/>
    <w:rsid w:val="000E5471"/>
    <w:rsid w:val="000E5CCC"/>
    <w:rsid w:val="000E66B0"/>
    <w:rsid w:val="000E6E14"/>
    <w:rsid w:val="000E7C0D"/>
    <w:rsid w:val="00110B34"/>
    <w:rsid w:val="0011139D"/>
    <w:rsid w:val="001165E1"/>
    <w:rsid w:val="00134EF7"/>
    <w:rsid w:val="001469E1"/>
    <w:rsid w:val="00147A40"/>
    <w:rsid w:val="00155775"/>
    <w:rsid w:val="00156ABD"/>
    <w:rsid w:val="001620D2"/>
    <w:rsid w:val="0016318F"/>
    <w:rsid w:val="00165DEB"/>
    <w:rsid w:val="001825AD"/>
    <w:rsid w:val="00185FA8"/>
    <w:rsid w:val="001860A8"/>
    <w:rsid w:val="00193859"/>
    <w:rsid w:val="00196E09"/>
    <w:rsid w:val="001A14AD"/>
    <w:rsid w:val="001A3A38"/>
    <w:rsid w:val="001A4686"/>
    <w:rsid w:val="001B5C27"/>
    <w:rsid w:val="001B5E09"/>
    <w:rsid w:val="001C7010"/>
    <w:rsid w:val="001C7EB0"/>
    <w:rsid w:val="001D4921"/>
    <w:rsid w:val="001E17DD"/>
    <w:rsid w:val="001E22E0"/>
    <w:rsid w:val="001E2626"/>
    <w:rsid w:val="001E5FE5"/>
    <w:rsid w:val="001F187E"/>
    <w:rsid w:val="001F2DB3"/>
    <w:rsid w:val="001F3D82"/>
    <w:rsid w:val="00204983"/>
    <w:rsid w:val="00206B54"/>
    <w:rsid w:val="002112BC"/>
    <w:rsid w:val="0022240F"/>
    <w:rsid w:val="0022460F"/>
    <w:rsid w:val="00227526"/>
    <w:rsid w:val="002431A0"/>
    <w:rsid w:val="00246C10"/>
    <w:rsid w:val="00251EEA"/>
    <w:rsid w:val="002574EA"/>
    <w:rsid w:val="00262009"/>
    <w:rsid w:val="00262F48"/>
    <w:rsid w:val="00263D89"/>
    <w:rsid w:val="00273B62"/>
    <w:rsid w:val="00275DCB"/>
    <w:rsid w:val="0028150F"/>
    <w:rsid w:val="00283D10"/>
    <w:rsid w:val="002879FD"/>
    <w:rsid w:val="00295AFD"/>
    <w:rsid w:val="00297EA4"/>
    <w:rsid w:val="002A0585"/>
    <w:rsid w:val="002A20B6"/>
    <w:rsid w:val="002A5777"/>
    <w:rsid w:val="002C0A3A"/>
    <w:rsid w:val="002C56A6"/>
    <w:rsid w:val="002D0D64"/>
    <w:rsid w:val="002D1A1D"/>
    <w:rsid w:val="002D27C4"/>
    <w:rsid w:val="002D5478"/>
    <w:rsid w:val="002D69E3"/>
    <w:rsid w:val="002F1C01"/>
    <w:rsid w:val="002F4CF9"/>
    <w:rsid w:val="002F54FE"/>
    <w:rsid w:val="002F5D9B"/>
    <w:rsid w:val="00311225"/>
    <w:rsid w:val="00321FC6"/>
    <w:rsid w:val="003334EE"/>
    <w:rsid w:val="00333E49"/>
    <w:rsid w:val="00345A73"/>
    <w:rsid w:val="00360B5C"/>
    <w:rsid w:val="00381043"/>
    <w:rsid w:val="0038796E"/>
    <w:rsid w:val="003A15D8"/>
    <w:rsid w:val="003A4375"/>
    <w:rsid w:val="003B2AF3"/>
    <w:rsid w:val="003B3F13"/>
    <w:rsid w:val="003D15E3"/>
    <w:rsid w:val="003D4711"/>
    <w:rsid w:val="003D546B"/>
    <w:rsid w:val="003E4F11"/>
    <w:rsid w:val="003E7D29"/>
    <w:rsid w:val="003F04AE"/>
    <w:rsid w:val="003F3FBD"/>
    <w:rsid w:val="003F7B7F"/>
    <w:rsid w:val="00406F51"/>
    <w:rsid w:val="004222E0"/>
    <w:rsid w:val="004415C0"/>
    <w:rsid w:val="00447AF1"/>
    <w:rsid w:val="004521E1"/>
    <w:rsid w:val="00462114"/>
    <w:rsid w:val="0046659D"/>
    <w:rsid w:val="00470D51"/>
    <w:rsid w:val="00480372"/>
    <w:rsid w:val="00493097"/>
    <w:rsid w:val="004968D3"/>
    <w:rsid w:val="00497701"/>
    <w:rsid w:val="004C4ED1"/>
    <w:rsid w:val="004C5F2F"/>
    <w:rsid w:val="004D66CF"/>
    <w:rsid w:val="004E2051"/>
    <w:rsid w:val="004E6EBE"/>
    <w:rsid w:val="004E79FD"/>
    <w:rsid w:val="004E7C5E"/>
    <w:rsid w:val="004F304B"/>
    <w:rsid w:val="004F60D3"/>
    <w:rsid w:val="004F6A26"/>
    <w:rsid w:val="005011E5"/>
    <w:rsid w:val="00510E18"/>
    <w:rsid w:val="00516D96"/>
    <w:rsid w:val="0053043B"/>
    <w:rsid w:val="00530729"/>
    <w:rsid w:val="00531EF6"/>
    <w:rsid w:val="00536802"/>
    <w:rsid w:val="005369B7"/>
    <w:rsid w:val="00553496"/>
    <w:rsid w:val="005573F6"/>
    <w:rsid w:val="005659DD"/>
    <w:rsid w:val="00570E81"/>
    <w:rsid w:val="005717DD"/>
    <w:rsid w:val="0058415A"/>
    <w:rsid w:val="00595848"/>
    <w:rsid w:val="005B4E6B"/>
    <w:rsid w:val="005D4774"/>
    <w:rsid w:val="005D5FF7"/>
    <w:rsid w:val="005D789C"/>
    <w:rsid w:val="005E62D5"/>
    <w:rsid w:val="005E63C9"/>
    <w:rsid w:val="005F7897"/>
    <w:rsid w:val="00602395"/>
    <w:rsid w:val="006029DA"/>
    <w:rsid w:val="006059BD"/>
    <w:rsid w:val="00606B65"/>
    <w:rsid w:val="00626800"/>
    <w:rsid w:val="00627193"/>
    <w:rsid w:val="00640845"/>
    <w:rsid w:val="00645713"/>
    <w:rsid w:val="00653E90"/>
    <w:rsid w:val="006623A2"/>
    <w:rsid w:val="00662412"/>
    <w:rsid w:val="006720AD"/>
    <w:rsid w:val="0067488C"/>
    <w:rsid w:val="00680480"/>
    <w:rsid w:val="00681729"/>
    <w:rsid w:val="00681B4B"/>
    <w:rsid w:val="00694FF4"/>
    <w:rsid w:val="006A3371"/>
    <w:rsid w:val="006A46F1"/>
    <w:rsid w:val="006B15A0"/>
    <w:rsid w:val="006B4031"/>
    <w:rsid w:val="006C688E"/>
    <w:rsid w:val="006D1875"/>
    <w:rsid w:val="006E33DB"/>
    <w:rsid w:val="006E7659"/>
    <w:rsid w:val="006F2F18"/>
    <w:rsid w:val="006F7FE9"/>
    <w:rsid w:val="00703CE1"/>
    <w:rsid w:val="00712DEF"/>
    <w:rsid w:val="00714015"/>
    <w:rsid w:val="00714540"/>
    <w:rsid w:val="007158CD"/>
    <w:rsid w:val="0073395E"/>
    <w:rsid w:val="00753F33"/>
    <w:rsid w:val="0075438F"/>
    <w:rsid w:val="007702C7"/>
    <w:rsid w:val="007744E2"/>
    <w:rsid w:val="007753BD"/>
    <w:rsid w:val="007817A8"/>
    <w:rsid w:val="0078430C"/>
    <w:rsid w:val="00795207"/>
    <w:rsid w:val="007A4696"/>
    <w:rsid w:val="007D70C7"/>
    <w:rsid w:val="007E38D5"/>
    <w:rsid w:val="007F174A"/>
    <w:rsid w:val="007F609B"/>
    <w:rsid w:val="007F7606"/>
    <w:rsid w:val="008064F7"/>
    <w:rsid w:val="008217EC"/>
    <w:rsid w:val="00821A59"/>
    <w:rsid w:val="00827998"/>
    <w:rsid w:val="008333F0"/>
    <w:rsid w:val="00834E7A"/>
    <w:rsid w:val="00842AAC"/>
    <w:rsid w:val="00843F7A"/>
    <w:rsid w:val="00847137"/>
    <w:rsid w:val="00850ED9"/>
    <w:rsid w:val="008615D0"/>
    <w:rsid w:val="00870CAC"/>
    <w:rsid w:val="00871631"/>
    <w:rsid w:val="00873C4C"/>
    <w:rsid w:val="00881B47"/>
    <w:rsid w:val="00886501"/>
    <w:rsid w:val="00894E3F"/>
    <w:rsid w:val="0089511A"/>
    <w:rsid w:val="008A7C13"/>
    <w:rsid w:val="008B6EBC"/>
    <w:rsid w:val="008C2136"/>
    <w:rsid w:val="008C442F"/>
    <w:rsid w:val="008C492F"/>
    <w:rsid w:val="008C4E52"/>
    <w:rsid w:val="008C672C"/>
    <w:rsid w:val="008D43C7"/>
    <w:rsid w:val="008E6606"/>
    <w:rsid w:val="008E6CD5"/>
    <w:rsid w:val="008F002B"/>
    <w:rsid w:val="008F47AA"/>
    <w:rsid w:val="008F5BFC"/>
    <w:rsid w:val="008F6094"/>
    <w:rsid w:val="00903C16"/>
    <w:rsid w:val="00907334"/>
    <w:rsid w:val="00921B9A"/>
    <w:rsid w:val="0093421B"/>
    <w:rsid w:val="009366D7"/>
    <w:rsid w:val="00940FAE"/>
    <w:rsid w:val="009429B3"/>
    <w:rsid w:val="009463FE"/>
    <w:rsid w:val="0095497A"/>
    <w:rsid w:val="00955623"/>
    <w:rsid w:val="00967AC7"/>
    <w:rsid w:val="00982841"/>
    <w:rsid w:val="00987E99"/>
    <w:rsid w:val="00992BB5"/>
    <w:rsid w:val="00995835"/>
    <w:rsid w:val="00996E94"/>
    <w:rsid w:val="009A2167"/>
    <w:rsid w:val="009A5F20"/>
    <w:rsid w:val="009B25BE"/>
    <w:rsid w:val="009B7768"/>
    <w:rsid w:val="009C3F0C"/>
    <w:rsid w:val="009C7E90"/>
    <w:rsid w:val="009D037C"/>
    <w:rsid w:val="009D451D"/>
    <w:rsid w:val="009D723F"/>
    <w:rsid w:val="009E224B"/>
    <w:rsid w:val="009E3533"/>
    <w:rsid w:val="009F6DC2"/>
    <w:rsid w:val="009F7DFE"/>
    <w:rsid w:val="00A038C5"/>
    <w:rsid w:val="00A1388D"/>
    <w:rsid w:val="00A204D6"/>
    <w:rsid w:val="00A23532"/>
    <w:rsid w:val="00A239F9"/>
    <w:rsid w:val="00A26720"/>
    <w:rsid w:val="00A26E64"/>
    <w:rsid w:val="00A32B08"/>
    <w:rsid w:val="00A372B6"/>
    <w:rsid w:val="00A501D1"/>
    <w:rsid w:val="00A57CAB"/>
    <w:rsid w:val="00A61557"/>
    <w:rsid w:val="00A83957"/>
    <w:rsid w:val="00A83F61"/>
    <w:rsid w:val="00A94082"/>
    <w:rsid w:val="00AA1C41"/>
    <w:rsid w:val="00AB2463"/>
    <w:rsid w:val="00AC2C03"/>
    <w:rsid w:val="00AD7030"/>
    <w:rsid w:val="00AE2410"/>
    <w:rsid w:val="00AE3B09"/>
    <w:rsid w:val="00AF00C2"/>
    <w:rsid w:val="00AF0CEF"/>
    <w:rsid w:val="00AF7B9B"/>
    <w:rsid w:val="00B044DB"/>
    <w:rsid w:val="00B1137F"/>
    <w:rsid w:val="00B213F3"/>
    <w:rsid w:val="00B24489"/>
    <w:rsid w:val="00B24B88"/>
    <w:rsid w:val="00B31ABE"/>
    <w:rsid w:val="00B32FD2"/>
    <w:rsid w:val="00B404EE"/>
    <w:rsid w:val="00B40B58"/>
    <w:rsid w:val="00B435F2"/>
    <w:rsid w:val="00B5464F"/>
    <w:rsid w:val="00B5484D"/>
    <w:rsid w:val="00B73771"/>
    <w:rsid w:val="00B74A29"/>
    <w:rsid w:val="00B90EF7"/>
    <w:rsid w:val="00B94272"/>
    <w:rsid w:val="00B9460A"/>
    <w:rsid w:val="00B95E6B"/>
    <w:rsid w:val="00BA5A90"/>
    <w:rsid w:val="00BB4F9D"/>
    <w:rsid w:val="00BB55DC"/>
    <w:rsid w:val="00BE01AC"/>
    <w:rsid w:val="00BE3AE7"/>
    <w:rsid w:val="00BE6879"/>
    <w:rsid w:val="00BE7D85"/>
    <w:rsid w:val="00C04B92"/>
    <w:rsid w:val="00C10828"/>
    <w:rsid w:val="00C12AE5"/>
    <w:rsid w:val="00C14D45"/>
    <w:rsid w:val="00C14F3A"/>
    <w:rsid w:val="00C24B32"/>
    <w:rsid w:val="00C2684A"/>
    <w:rsid w:val="00C33CA6"/>
    <w:rsid w:val="00C36E4D"/>
    <w:rsid w:val="00C50DB7"/>
    <w:rsid w:val="00C5514B"/>
    <w:rsid w:val="00C71A4E"/>
    <w:rsid w:val="00C7729C"/>
    <w:rsid w:val="00C90F0F"/>
    <w:rsid w:val="00C97530"/>
    <w:rsid w:val="00CA4587"/>
    <w:rsid w:val="00CC4015"/>
    <w:rsid w:val="00CC63A6"/>
    <w:rsid w:val="00CE1DB7"/>
    <w:rsid w:val="00CE22F9"/>
    <w:rsid w:val="00CE27AE"/>
    <w:rsid w:val="00CE75F9"/>
    <w:rsid w:val="00CF3BA4"/>
    <w:rsid w:val="00CF548A"/>
    <w:rsid w:val="00CF6F53"/>
    <w:rsid w:val="00D0141C"/>
    <w:rsid w:val="00D22BD5"/>
    <w:rsid w:val="00D266D0"/>
    <w:rsid w:val="00D313CD"/>
    <w:rsid w:val="00D3281C"/>
    <w:rsid w:val="00D36120"/>
    <w:rsid w:val="00D37824"/>
    <w:rsid w:val="00D4090D"/>
    <w:rsid w:val="00D41A26"/>
    <w:rsid w:val="00D52836"/>
    <w:rsid w:val="00D62348"/>
    <w:rsid w:val="00D73148"/>
    <w:rsid w:val="00D769C6"/>
    <w:rsid w:val="00D812C2"/>
    <w:rsid w:val="00D971C9"/>
    <w:rsid w:val="00D9730A"/>
    <w:rsid w:val="00DA582E"/>
    <w:rsid w:val="00DA6E50"/>
    <w:rsid w:val="00DC00C7"/>
    <w:rsid w:val="00DC0EAB"/>
    <w:rsid w:val="00DE0304"/>
    <w:rsid w:val="00E16712"/>
    <w:rsid w:val="00E241BE"/>
    <w:rsid w:val="00E447D4"/>
    <w:rsid w:val="00E45D6E"/>
    <w:rsid w:val="00E47218"/>
    <w:rsid w:val="00E522C9"/>
    <w:rsid w:val="00E551DE"/>
    <w:rsid w:val="00E56D36"/>
    <w:rsid w:val="00E57D52"/>
    <w:rsid w:val="00E65652"/>
    <w:rsid w:val="00E7245E"/>
    <w:rsid w:val="00E848E6"/>
    <w:rsid w:val="00E9723E"/>
    <w:rsid w:val="00EC1719"/>
    <w:rsid w:val="00EC389C"/>
    <w:rsid w:val="00EC4F3F"/>
    <w:rsid w:val="00EC56DE"/>
    <w:rsid w:val="00ED32A3"/>
    <w:rsid w:val="00ED58AD"/>
    <w:rsid w:val="00F000CF"/>
    <w:rsid w:val="00F032EC"/>
    <w:rsid w:val="00F12F21"/>
    <w:rsid w:val="00F42CE9"/>
    <w:rsid w:val="00F42E66"/>
    <w:rsid w:val="00F43851"/>
    <w:rsid w:val="00F502F8"/>
    <w:rsid w:val="00F525A8"/>
    <w:rsid w:val="00F60D5E"/>
    <w:rsid w:val="00F76ED2"/>
    <w:rsid w:val="00F77CED"/>
    <w:rsid w:val="00F85D23"/>
    <w:rsid w:val="00F95A3B"/>
    <w:rsid w:val="00F9713F"/>
    <w:rsid w:val="00FA2B69"/>
    <w:rsid w:val="00FC1B7D"/>
    <w:rsid w:val="00FD514C"/>
    <w:rsid w:val="00FD5198"/>
    <w:rsid w:val="00FE608E"/>
    <w:rsid w:val="00FF3A95"/>
    <w:rsid w:val="00FF42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CEC"/>
  <w15:chartTrackingRefBased/>
  <w15:docId w15:val="{8266B16F-F147-434F-AD41-ADA85F3B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4F"/>
  </w:style>
  <w:style w:type="paragraph" w:styleId="ListParagraph">
    <w:name w:val="List Paragraph"/>
    <w:basedOn w:val="Normal"/>
    <w:uiPriority w:val="34"/>
    <w:qFormat/>
    <w:rsid w:val="00C33CA6"/>
    <w:pPr>
      <w:ind w:left="720"/>
      <w:contextualSpacing/>
    </w:pPr>
  </w:style>
  <w:style w:type="paragraph" w:styleId="FootnoteText">
    <w:name w:val="footnote text"/>
    <w:basedOn w:val="Normal"/>
    <w:link w:val="FootnoteTextChar"/>
    <w:uiPriority w:val="99"/>
    <w:semiHidden/>
    <w:unhideWhenUsed/>
    <w:rsid w:val="00833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3F0"/>
    <w:rPr>
      <w:sz w:val="20"/>
      <w:szCs w:val="20"/>
    </w:rPr>
  </w:style>
  <w:style w:type="character" w:styleId="FootnoteReference">
    <w:name w:val="footnote reference"/>
    <w:basedOn w:val="DefaultParagraphFont"/>
    <w:uiPriority w:val="99"/>
    <w:semiHidden/>
    <w:unhideWhenUsed/>
    <w:rsid w:val="00833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619891">
      <w:bodyDiv w:val="1"/>
      <w:marLeft w:val="0"/>
      <w:marRight w:val="0"/>
      <w:marTop w:val="0"/>
      <w:marBottom w:val="0"/>
      <w:divBdr>
        <w:top w:val="none" w:sz="0" w:space="0" w:color="auto"/>
        <w:left w:val="none" w:sz="0" w:space="0" w:color="auto"/>
        <w:bottom w:val="none" w:sz="0" w:space="0" w:color="auto"/>
        <w:right w:val="none" w:sz="0" w:space="0" w:color="auto"/>
      </w:divBdr>
    </w:div>
    <w:div w:id="953636194">
      <w:bodyDiv w:val="1"/>
      <w:marLeft w:val="0"/>
      <w:marRight w:val="0"/>
      <w:marTop w:val="0"/>
      <w:marBottom w:val="0"/>
      <w:divBdr>
        <w:top w:val="none" w:sz="0" w:space="0" w:color="auto"/>
        <w:left w:val="none" w:sz="0" w:space="0" w:color="auto"/>
        <w:bottom w:val="none" w:sz="0" w:space="0" w:color="auto"/>
        <w:right w:val="none" w:sz="0" w:space="0" w:color="auto"/>
      </w:divBdr>
    </w:div>
    <w:div w:id="14382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29F6-4C87-4836-8DFB-F102B85F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Dave Mtsweni</cp:lastModifiedBy>
  <cp:revision>6</cp:revision>
  <cp:lastPrinted>2024-04-30T13:20:00Z</cp:lastPrinted>
  <dcterms:created xsi:type="dcterms:W3CDTF">2024-04-30T13:15:00Z</dcterms:created>
  <dcterms:modified xsi:type="dcterms:W3CDTF">2024-04-30T18:12:00Z</dcterms:modified>
</cp:coreProperties>
</file>