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360D7" w14:textId="77777777" w:rsidR="00384B39" w:rsidRPr="004E4858" w:rsidRDefault="00384B39" w:rsidP="00384B39">
      <w:pPr>
        <w:pStyle w:val="Body"/>
        <w:tabs>
          <w:tab w:val="center" w:pos="4693"/>
          <w:tab w:val="left" w:pos="8020"/>
        </w:tabs>
        <w:spacing w:line="360" w:lineRule="auto"/>
        <w:rPr>
          <w:rFonts w:hAnsi="Arial" w:cs="Arial"/>
          <w:b/>
          <w:bCs/>
          <w:color w:val="auto"/>
        </w:rPr>
      </w:pPr>
      <w:r w:rsidRPr="004E4858">
        <w:rPr>
          <w:rFonts w:hAnsi="Arial" w:cs="Arial"/>
          <w:b/>
          <w:bCs/>
          <w:color w:val="auto"/>
        </w:rPr>
        <w:tab/>
        <w:t xml:space="preserve">REPUBLIC OF SOUTH AFRICA </w:t>
      </w:r>
    </w:p>
    <w:p w14:paraId="4E66ED26" w14:textId="77777777" w:rsidR="00384B39" w:rsidRPr="004E4858" w:rsidRDefault="00384B39" w:rsidP="00384B39">
      <w:pPr>
        <w:pStyle w:val="Body"/>
        <w:tabs>
          <w:tab w:val="center" w:pos="4693"/>
          <w:tab w:val="left" w:pos="8020"/>
        </w:tabs>
        <w:spacing w:line="360" w:lineRule="auto"/>
        <w:rPr>
          <w:rFonts w:hAnsi="Arial" w:cs="Arial"/>
          <w:b/>
          <w:bCs/>
          <w:color w:val="auto"/>
        </w:rPr>
      </w:pPr>
    </w:p>
    <w:p w14:paraId="5DA4AADC" w14:textId="77777777" w:rsidR="00384B39" w:rsidRPr="004E4858" w:rsidRDefault="00384B39" w:rsidP="00384B39">
      <w:pPr>
        <w:pStyle w:val="Body"/>
        <w:tabs>
          <w:tab w:val="center" w:pos="4693"/>
          <w:tab w:val="left" w:pos="8020"/>
        </w:tabs>
        <w:spacing w:line="360" w:lineRule="auto"/>
        <w:ind w:left="360"/>
        <w:jc w:val="center"/>
        <w:rPr>
          <w:rFonts w:hAnsi="Arial" w:cs="Arial"/>
          <w:b/>
          <w:bCs/>
          <w:color w:val="auto"/>
        </w:rPr>
      </w:pPr>
      <w:r w:rsidRPr="004E4858">
        <w:rPr>
          <w:rFonts w:ascii="Arial Black" w:eastAsia="Calibri" w:hAnsi="Arial Black" w:cs="Times New Roman"/>
          <w:b/>
          <w:noProof/>
          <w:color w:val="auto"/>
          <w:lang w:val="en-ZA" w:eastAsia="en-ZA"/>
        </w:rPr>
        <w:drawing>
          <wp:inline distT="0" distB="0" distL="0" distR="0" wp14:anchorId="7584157A" wp14:editId="6738EB9E">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113BB4E2" w14:textId="77777777" w:rsidR="00384B39" w:rsidRPr="004E4858" w:rsidRDefault="00384B39" w:rsidP="00384B39">
      <w:pPr>
        <w:pStyle w:val="Body"/>
        <w:spacing w:line="360" w:lineRule="auto"/>
        <w:jc w:val="center"/>
        <w:rPr>
          <w:rFonts w:hAnsi="Arial" w:cs="Arial"/>
          <w:b/>
          <w:bCs/>
          <w:color w:val="auto"/>
        </w:rPr>
      </w:pPr>
    </w:p>
    <w:p w14:paraId="3A96F85A" w14:textId="77777777" w:rsidR="00384B39" w:rsidRPr="004E4858" w:rsidRDefault="00384B39" w:rsidP="00384B39">
      <w:pPr>
        <w:pStyle w:val="Body"/>
        <w:spacing w:line="360" w:lineRule="auto"/>
        <w:jc w:val="center"/>
        <w:rPr>
          <w:rFonts w:hAnsi="Arial" w:cs="Arial"/>
          <w:b/>
          <w:bCs/>
          <w:color w:val="auto"/>
        </w:rPr>
      </w:pPr>
      <w:r w:rsidRPr="004E4858">
        <w:rPr>
          <w:rFonts w:hAnsi="Arial" w:cs="Arial"/>
          <w:b/>
          <w:bCs/>
          <w:color w:val="auto"/>
        </w:rPr>
        <w:t>IN THE HIGH COURT OF SOUTH AFRICA</w:t>
      </w:r>
    </w:p>
    <w:p w14:paraId="4CC25BA7" w14:textId="77777777" w:rsidR="00384B39" w:rsidRPr="004E4858" w:rsidRDefault="00384B39" w:rsidP="00384B39">
      <w:pPr>
        <w:pStyle w:val="Body"/>
        <w:spacing w:line="360" w:lineRule="auto"/>
        <w:jc w:val="center"/>
        <w:rPr>
          <w:rFonts w:hAnsi="Arial" w:cs="Arial"/>
          <w:b/>
          <w:bCs/>
          <w:color w:val="auto"/>
        </w:rPr>
      </w:pPr>
      <w:r w:rsidRPr="004E4858">
        <w:rPr>
          <w:rFonts w:hAnsi="Arial" w:cs="Arial"/>
          <w:b/>
          <w:bCs/>
          <w:color w:val="auto"/>
        </w:rPr>
        <w:t>GAUTENG DIVISION, PRETORIA</w:t>
      </w:r>
    </w:p>
    <w:p w14:paraId="5742F008" w14:textId="77777777" w:rsidR="00384B39" w:rsidRPr="004E4858" w:rsidRDefault="00384B39" w:rsidP="00384B39">
      <w:pPr>
        <w:pStyle w:val="Body"/>
        <w:ind w:left="5760" w:firstLine="720"/>
        <w:jc w:val="center"/>
        <w:rPr>
          <w:rFonts w:hAnsi="Arial" w:cs="Arial"/>
          <w:b/>
          <w:bCs/>
          <w:color w:val="auto"/>
        </w:rPr>
      </w:pPr>
      <w:r w:rsidRPr="004E4858">
        <w:rPr>
          <w:rFonts w:cs="Arial"/>
          <w:b/>
          <w:noProof/>
          <w:color w:val="auto"/>
          <w:u w:val="single"/>
          <w:lang w:val="en-ZA" w:eastAsia="en-ZA"/>
        </w:rPr>
        <mc:AlternateContent>
          <mc:Choice Requires="wps">
            <w:drawing>
              <wp:anchor distT="0" distB="0" distL="114300" distR="114300" simplePos="0" relativeHeight="251659264" behindDoc="0" locked="0" layoutInCell="1" allowOverlap="1" wp14:anchorId="0DB407CF" wp14:editId="4E9C49E5">
                <wp:simplePos x="0" y="0"/>
                <wp:positionH relativeFrom="column">
                  <wp:posOffset>-269421</wp:posOffset>
                </wp:positionH>
                <wp:positionV relativeFrom="paragraph">
                  <wp:posOffset>183878</wp:posOffset>
                </wp:positionV>
                <wp:extent cx="2953775" cy="1213757"/>
                <wp:effectExtent l="0" t="0" r="1841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213757"/>
                        </a:xfrm>
                        <a:prstGeom prst="rect">
                          <a:avLst/>
                        </a:prstGeom>
                        <a:solidFill>
                          <a:srgbClr val="FFFFFF"/>
                        </a:solidFill>
                        <a:ln w="9525">
                          <a:solidFill>
                            <a:srgbClr val="000000"/>
                          </a:solidFill>
                          <a:miter lim="800000"/>
                          <a:headEnd/>
                          <a:tailEnd/>
                        </a:ln>
                      </wps:spPr>
                      <wps:txbx>
                        <w:txbxContent>
                          <w:p w14:paraId="5CCBAAC9" w14:textId="77777777" w:rsidR="002F6D98" w:rsidRPr="007C20F4" w:rsidRDefault="002F6D98" w:rsidP="00384B39">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0C63BDA2" w14:textId="77777777" w:rsidR="002F6D98" w:rsidRPr="007C20F4" w:rsidRDefault="002F6D98" w:rsidP="00384B39">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696EB6CE" w14:textId="77777777" w:rsidR="002F6D98" w:rsidRPr="007C20F4" w:rsidRDefault="002F6D98" w:rsidP="00384B39">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r>
                              <w:rPr>
                                <w:rFonts w:ascii="Calibri" w:eastAsia="Calibri" w:hAnsi="Calibri" w:cs="Times New Roman"/>
                                <w:sz w:val="20"/>
                                <w:szCs w:val="20"/>
                                <w:lang w:val="af-ZA"/>
                              </w:rPr>
                              <w:t>: YES/NO</w:t>
                            </w:r>
                          </w:p>
                          <w:p w14:paraId="5767FD90" w14:textId="77777777" w:rsidR="002F6D98" w:rsidRDefault="002F6D98" w:rsidP="00384B39">
                            <w:pPr>
                              <w:tabs>
                                <w:tab w:val="center" w:pos="4320"/>
                                <w:tab w:val="right" w:pos="8640"/>
                              </w:tabs>
                              <w:ind w:left="720"/>
                              <w:contextualSpacing/>
                              <w:rPr>
                                <w:rFonts w:ascii="Calibri" w:eastAsia="Calibri" w:hAnsi="Calibri" w:cs="Times New Roman"/>
                                <w:sz w:val="20"/>
                                <w:szCs w:val="20"/>
                                <w:lang w:val="af-ZA"/>
                              </w:rPr>
                            </w:pPr>
                          </w:p>
                          <w:p w14:paraId="4B775966" w14:textId="77777777" w:rsidR="002F6D98" w:rsidRPr="007C20F4" w:rsidRDefault="002F6D98" w:rsidP="00384B39">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3CAD80F6" w14:textId="77777777" w:rsidR="002F6D98" w:rsidRPr="00D3790A" w:rsidRDefault="002F6D98" w:rsidP="00384B39">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2pt;margin-top:14.5pt;width:232.6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">
                <v:textbox>
                  <w:txbxContent>
                    <w:p w14:paraId="5CCBAAC9" w14:textId="77777777" w:rsidR="002F6D98" w:rsidRPr="007C20F4" w:rsidRDefault="002F6D98" w:rsidP="00384B39">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0C63BDA2" w14:textId="77777777" w:rsidR="002F6D98" w:rsidRPr="007C20F4" w:rsidRDefault="002F6D98" w:rsidP="00384B39">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696EB6CE" w14:textId="77777777" w:rsidR="002F6D98" w:rsidRPr="007C20F4" w:rsidRDefault="002F6D98" w:rsidP="00384B39">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r>
                        <w:rPr>
                          <w:rFonts w:ascii="Calibri" w:eastAsia="Calibri" w:hAnsi="Calibri" w:cs="Times New Roman"/>
                          <w:sz w:val="20"/>
                          <w:szCs w:val="20"/>
                          <w:lang w:val="af-ZA"/>
                        </w:rPr>
                        <w:t>: YES/NO</w:t>
                      </w:r>
                    </w:p>
                    <w:p w14:paraId="5767FD90" w14:textId="77777777" w:rsidR="002F6D98" w:rsidRDefault="002F6D98" w:rsidP="00384B39">
                      <w:pPr>
                        <w:tabs>
                          <w:tab w:val="center" w:pos="4320"/>
                          <w:tab w:val="right" w:pos="8640"/>
                        </w:tabs>
                        <w:ind w:left="720"/>
                        <w:contextualSpacing/>
                        <w:rPr>
                          <w:rFonts w:ascii="Calibri" w:eastAsia="Calibri" w:hAnsi="Calibri" w:cs="Times New Roman"/>
                          <w:sz w:val="20"/>
                          <w:szCs w:val="20"/>
                          <w:lang w:val="af-ZA"/>
                        </w:rPr>
                      </w:pPr>
                    </w:p>
                    <w:p w14:paraId="4B775966" w14:textId="77777777" w:rsidR="002F6D98" w:rsidRPr="007C20F4" w:rsidRDefault="002F6D98" w:rsidP="00384B39">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3CAD80F6" w14:textId="77777777" w:rsidR="002F6D98" w:rsidRPr="00D3790A" w:rsidRDefault="002F6D98" w:rsidP="00384B39">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DFF3EFE" w14:textId="77777777" w:rsidR="00384B39" w:rsidRPr="004E4858" w:rsidRDefault="00384B39" w:rsidP="00384B39">
      <w:pPr>
        <w:pStyle w:val="Body"/>
        <w:ind w:left="3600" w:firstLine="720"/>
        <w:jc w:val="center"/>
        <w:rPr>
          <w:rFonts w:hAnsi="Arial" w:cs="Arial"/>
          <w:b/>
          <w:bCs/>
          <w:color w:val="auto"/>
        </w:rPr>
      </w:pPr>
    </w:p>
    <w:p w14:paraId="0420792F" w14:textId="77777777" w:rsidR="00384B39" w:rsidRPr="004E4858" w:rsidRDefault="00384B39" w:rsidP="00384B39">
      <w:pPr>
        <w:pStyle w:val="Body"/>
        <w:ind w:left="3600" w:firstLine="720"/>
        <w:jc w:val="center"/>
        <w:rPr>
          <w:rFonts w:hAnsi="Arial" w:cs="Arial"/>
          <w:b/>
          <w:bCs/>
          <w:color w:val="auto"/>
        </w:rPr>
      </w:pPr>
    </w:p>
    <w:p w14:paraId="6CD5AA8E" w14:textId="77777777" w:rsidR="00384B39" w:rsidRPr="004E4858" w:rsidRDefault="00384B39" w:rsidP="00384B39">
      <w:pPr>
        <w:pStyle w:val="Body"/>
        <w:ind w:left="3600" w:firstLine="720"/>
        <w:jc w:val="center"/>
        <w:rPr>
          <w:rFonts w:hAnsi="Arial" w:cs="Arial"/>
          <w:b/>
          <w:bCs/>
          <w:color w:val="auto"/>
        </w:rPr>
      </w:pPr>
    </w:p>
    <w:p w14:paraId="5BFD096A" w14:textId="77777777" w:rsidR="00384B39" w:rsidRPr="004E4858" w:rsidRDefault="00384B39" w:rsidP="00384B39">
      <w:pPr>
        <w:pStyle w:val="Body"/>
        <w:spacing w:line="360" w:lineRule="auto"/>
        <w:ind w:left="3600" w:firstLine="720"/>
        <w:rPr>
          <w:rFonts w:hAnsi="Arial" w:cs="Arial"/>
          <w:b/>
          <w:bCs/>
          <w:color w:val="auto"/>
        </w:rPr>
      </w:pPr>
    </w:p>
    <w:p w14:paraId="155EFCDB" w14:textId="77777777" w:rsidR="00384B39" w:rsidRPr="004E4858" w:rsidRDefault="00384B39" w:rsidP="00384B39">
      <w:pPr>
        <w:spacing w:line="360" w:lineRule="auto"/>
        <w:jc w:val="both"/>
        <w:outlineLvl w:val="0"/>
        <w:rPr>
          <w:rFonts w:ascii="Arial" w:hAnsi="Arial" w:cs="Arial"/>
          <w:b/>
          <w:bCs/>
          <w:sz w:val="24"/>
          <w:szCs w:val="24"/>
        </w:rPr>
      </w:pPr>
      <w:r w:rsidRPr="004E4858">
        <w:rPr>
          <w:rFonts w:ascii="Arial" w:hAnsi="Arial" w:cs="Arial"/>
          <w:b/>
          <w:bCs/>
          <w:sz w:val="24"/>
          <w:szCs w:val="24"/>
        </w:rPr>
        <w:t xml:space="preserve">       </w:t>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p>
    <w:p w14:paraId="78170CC3" w14:textId="77777777" w:rsidR="00384B39" w:rsidRPr="004E4858" w:rsidRDefault="00384B39" w:rsidP="00384B39">
      <w:pPr>
        <w:pStyle w:val="WWBodyText"/>
        <w:widowControl w:val="0"/>
        <w:rPr>
          <w:rFonts w:cs="Arial"/>
          <w:szCs w:val="24"/>
        </w:rPr>
      </w:pPr>
    </w:p>
    <w:p w14:paraId="27517F51" w14:textId="3F97705E" w:rsidR="00384B39" w:rsidRDefault="00DA6459" w:rsidP="00384B39">
      <w:pPr>
        <w:pStyle w:val="WWBodyText"/>
        <w:widowControl w:val="0"/>
        <w:rPr>
          <w:rFonts w:cs="Arial"/>
          <w:szCs w:val="24"/>
        </w:rPr>
      </w:pPr>
      <w:r>
        <w:rPr>
          <w:rFonts w:cs="Arial"/>
          <w:szCs w:val="24"/>
        </w:rPr>
        <w:t>In the application</w:t>
      </w:r>
      <w:r w:rsidR="00384B39" w:rsidRPr="004E4858">
        <w:rPr>
          <w:rFonts w:cs="Arial"/>
          <w:szCs w:val="24"/>
        </w:rPr>
        <w:t xml:space="preserve"> between:</w:t>
      </w:r>
    </w:p>
    <w:tbl>
      <w:tblPr>
        <w:tblW w:w="0" w:type="auto"/>
        <w:tblLook w:val="04A0" w:firstRow="1" w:lastRow="0" w:firstColumn="1" w:lastColumn="0" w:noHBand="0" w:noVBand="1"/>
      </w:tblPr>
      <w:tblGrid>
        <w:gridCol w:w="6204"/>
        <w:gridCol w:w="3038"/>
      </w:tblGrid>
      <w:tr w:rsidR="005B01FC" w:rsidRPr="001D317F" w14:paraId="07FEFBF8" w14:textId="77777777" w:rsidTr="009A5A9D">
        <w:tc>
          <w:tcPr>
            <w:tcW w:w="9242" w:type="dxa"/>
            <w:gridSpan w:val="2"/>
            <w:shd w:val="clear" w:color="auto" w:fill="auto"/>
          </w:tcPr>
          <w:p w14:paraId="376A6705" w14:textId="75DCC73A" w:rsidR="005B01FC" w:rsidRPr="001D317F" w:rsidRDefault="005B01FC" w:rsidP="009A5A9D">
            <w:pPr>
              <w:spacing w:after="0" w:line="240" w:lineRule="auto"/>
              <w:jc w:val="right"/>
              <w:rPr>
                <w:rFonts w:ascii="Arial" w:eastAsia="Calibri" w:hAnsi="Arial" w:cs="Arial"/>
                <w:b/>
                <w:sz w:val="25"/>
                <w:szCs w:val="25"/>
              </w:rPr>
            </w:pPr>
            <w:r w:rsidRPr="001D317F">
              <w:rPr>
                <w:rFonts w:ascii="Arial" w:eastAsia="Calibri" w:hAnsi="Arial" w:cs="Arial"/>
                <w:b/>
                <w:sz w:val="25"/>
                <w:szCs w:val="25"/>
              </w:rPr>
              <w:t xml:space="preserve">CASE NO: </w:t>
            </w:r>
            <w:r w:rsidR="00B27D5F">
              <w:rPr>
                <w:rFonts w:ascii="Arial" w:eastAsia="Calibri" w:hAnsi="Arial" w:cs="Arial"/>
                <w:b/>
                <w:sz w:val="25"/>
                <w:szCs w:val="25"/>
              </w:rPr>
              <w:t xml:space="preserve">56219/2021       </w:t>
            </w:r>
          </w:p>
        </w:tc>
      </w:tr>
      <w:tr w:rsidR="005B01FC" w:rsidRPr="001D317F" w14:paraId="71AF3B5C" w14:textId="77777777" w:rsidTr="00C67E30">
        <w:tc>
          <w:tcPr>
            <w:tcW w:w="6204" w:type="dxa"/>
            <w:shd w:val="clear" w:color="auto" w:fill="auto"/>
            <w:hideMark/>
          </w:tcPr>
          <w:p w14:paraId="5C1501B4" w14:textId="6768545E" w:rsidR="005B01FC" w:rsidRPr="001D317F" w:rsidRDefault="005B01FC" w:rsidP="009A5A9D">
            <w:pPr>
              <w:spacing w:after="0" w:line="240" w:lineRule="auto"/>
              <w:rPr>
                <w:rFonts w:ascii="Arial" w:eastAsia="Calibri" w:hAnsi="Arial" w:cs="Arial"/>
                <w:sz w:val="25"/>
                <w:szCs w:val="25"/>
              </w:rPr>
            </w:pPr>
          </w:p>
        </w:tc>
        <w:tc>
          <w:tcPr>
            <w:tcW w:w="3038" w:type="dxa"/>
            <w:shd w:val="clear" w:color="auto" w:fill="auto"/>
          </w:tcPr>
          <w:p w14:paraId="2CEF4177" w14:textId="77777777" w:rsidR="005B01FC" w:rsidRPr="001D317F" w:rsidRDefault="005B01FC" w:rsidP="009A5A9D">
            <w:pPr>
              <w:spacing w:after="0" w:line="240" w:lineRule="auto"/>
              <w:jc w:val="right"/>
              <w:rPr>
                <w:rFonts w:ascii="Arial" w:eastAsia="Calibri" w:hAnsi="Arial" w:cs="Arial"/>
                <w:b/>
                <w:sz w:val="25"/>
                <w:szCs w:val="25"/>
              </w:rPr>
            </w:pPr>
          </w:p>
        </w:tc>
      </w:tr>
      <w:tr w:rsidR="005B01FC" w:rsidRPr="001D317F" w14:paraId="2D66CA9B" w14:textId="77777777" w:rsidTr="00C67E30">
        <w:tc>
          <w:tcPr>
            <w:tcW w:w="6204" w:type="dxa"/>
            <w:shd w:val="clear" w:color="auto" w:fill="auto"/>
          </w:tcPr>
          <w:p w14:paraId="6A851D0C" w14:textId="77777777" w:rsidR="005B01FC" w:rsidRPr="001D317F" w:rsidRDefault="005B01FC" w:rsidP="009A5A9D">
            <w:pPr>
              <w:spacing w:after="0" w:line="240" w:lineRule="auto"/>
              <w:rPr>
                <w:rFonts w:ascii="Arial" w:eastAsia="Calibri" w:hAnsi="Arial" w:cs="Arial"/>
                <w:sz w:val="25"/>
                <w:szCs w:val="25"/>
              </w:rPr>
            </w:pPr>
          </w:p>
        </w:tc>
        <w:tc>
          <w:tcPr>
            <w:tcW w:w="3038" w:type="dxa"/>
            <w:shd w:val="clear" w:color="auto" w:fill="auto"/>
          </w:tcPr>
          <w:p w14:paraId="0FB85378" w14:textId="77777777" w:rsidR="005B01FC" w:rsidRPr="001D317F" w:rsidRDefault="005B01FC" w:rsidP="009A5A9D">
            <w:pPr>
              <w:spacing w:after="0" w:line="240" w:lineRule="auto"/>
              <w:jc w:val="right"/>
              <w:rPr>
                <w:rFonts w:ascii="Arial" w:eastAsia="Calibri" w:hAnsi="Arial" w:cs="Arial"/>
                <w:b/>
                <w:sz w:val="25"/>
                <w:szCs w:val="25"/>
              </w:rPr>
            </w:pPr>
          </w:p>
        </w:tc>
      </w:tr>
      <w:tr w:rsidR="005B01FC" w:rsidRPr="001D317F" w14:paraId="60A78AED" w14:textId="77777777" w:rsidTr="00C67E30">
        <w:tc>
          <w:tcPr>
            <w:tcW w:w="6204" w:type="dxa"/>
            <w:shd w:val="clear" w:color="auto" w:fill="auto"/>
          </w:tcPr>
          <w:p w14:paraId="5B7775FF" w14:textId="77777777" w:rsidR="005B01FC" w:rsidRPr="001D317F" w:rsidRDefault="005B01FC" w:rsidP="009A5A9D">
            <w:pPr>
              <w:spacing w:after="0" w:line="240" w:lineRule="auto"/>
              <w:rPr>
                <w:rFonts w:ascii="Arial" w:eastAsia="Calibri" w:hAnsi="Arial" w:cs="Arial"/>
                <w:sz w:val="25"/>
                <w:szCs w:val="25"/>
              </w:rPr>
            </w:pPr>
          </w:p>
        </w:tc>
        <w:tc>
          <w:tcPr>
            <w:tcW w:w="3038" w:type="dxa"/>
            <w:shd w:val="clear" w:color="auto" w:fill="auto"/>
          </w:tcPr>
          <w:p w14:paraId="10F6A1BD" w14:textId="77777777" w:rsidR="005B01FC" w:rsidRPr="001D317F" w:rsidRDefault="005B01FC" w:rsidP="009A5A9D">
            <w:pPr>
              <w:spacing w:after="0" w:line="240" w:lineRule="auto"/>
              <w:jc w:val="right"/>
              <w:rPr>
                <w:rFonts w:ascii="Arial" w:eastAsia="Calibri" w:hAnsi="Arial" w:cs="Arial"/>
                <w:b/>
                <w:sz w:val="25"/>
                <w:szCs w:val="25"/>
              </w:rPr>
            </w:pPr>
          </w:p>
        </w:tc>
      </w:tr>
      <w:tr w:rsidR="005B01FC" w:rsidRPr="001D317F" w14:paraId="28BFB860" w14:textId="77777777" w:rsidTr="00C67E30">
        <w:tc>
          <w:tcPr>
            <w:tcW w:w="6204" w:type="dxa"/>
            <w:shd w:val="clear" w:color="auto" w:fill="auto"/>
            <w:hideMark/>
          </w:tcPr>
          <w:p w14:paraId="168999F1" w14:textId="3791838E" w:rsidR="005B01FC" w:rsidRPr="00F30712" w:rsidRDefault="00B27D5F" w:rsidP="009A5A9D">
            <w:pPr>
              <w:spacing w:after="0" w:line="240" w:lineRule="auto"/>
              <w:rPr>
                <w:rFonts w:ascii="Arial" w:eastAsia="Calibri" w:hAnsi="Arial" w:cs="Arial"/>
                <w:b/>
                <w:sz w:val="25"/>
                <w:szCs w:val="25"/>
              </w:rPr>
            </w:pPr>
            <w:r>
              <w:rPr>
                <w:rFonts w:ascii="Arial" w:hAnsi="Arial" w:cs="Arial"/>
                <w:b/>
                <w:sz w:val="24"/>
              </w:rPr>
              <w:t xml:space="preserve">COMPENSATION COMMISSIONER </w:t>
            </w:r>
          </w:p>
        </w:tc>
        <w:tc>
          <w:tcPr>
            <w:tcW w:w="3038" w:type="dxa"/>
            <w:shd w:val="clear" w:color="auto" w:fill="auto"/>
            <w:hideMark/>
          </w:tcPr>
          <w:p w14:paraId="37E35EFC" w14:textId="0A527E63" w:rsidR="005B01FC" w:rsidRPr="001D317F" w:rsidRDefault="00B27D5F" w:rsidP="009A5A9D">
            <w:pPr>
              <w:spacing w:after="0" w:line="240" w:lineRule="auto"/>
              <w:jc w:val="right"/>
              <w:rPr>
                <w:rFonts w:ascii="Arial" w:eastAsia="Calibri" w:hAnsi="Arial" w:cs="Arial"/>
                <w:sz w:val="25"/>
                <w:szCs w:val="25"/>
              </w:rPr>
            </w:pPr>
            <w:r>
              <w:rPr>
                <w:rFonts w:ascii="Arial" w:eastAsia="Calibri" w:hAnsi="Arial" w:cs="Arial"/>
                <w:sz w:val="25"/>
                <w:szCs w:val="25"/>
              </w:rPr>
              <w:t>1</w:t>
            </w:r>
            <w:r w:rsidRPr="00B27D5F">
              <w:rPr>
                <w:rFonts w:ascii="Arial" w:eastAsia="Calibri" w:hAnsi="Arial" w:cs="Arial"/>
                <w:sz w:val="25"/>
                <w:szCs w:val="25"/>
                <w:vertAlign w:val="superscript"/>
              </w:rPr>
              <w:t>ST</w:t>
            </w:r>
            <w:r>
              <w:rPr>
                <w:rFonts w:ascii="Arial" w:eastAsia="Calibri" w:hAnsi="Arial" w:cs="Arial"/>
                <w:sz w:val="25"/>
                <w:szCs w:val="25"/>
              </w:rPr>
              <w:t xml:space="preserve"> Applicant/Defendant</w:t>
            </w:r>
            <w:r w:rsidR="005B01FC" w:rsidRPr="001D317F">
              <w:rPr>
                <w:rFonts w:ascii="Arial" w:eastAsia="Calibri" w:hAnsi="Arial" w:cs="Arial"/>
                <w:sz w:val="25"/>
                <w:szCs w:val="25"/>
              </w:rPr>
              <w:t xml:space="preserve">  </w:t>
            </w:r>
          </w:p>
        </w:tc>
      </w:tr>
      <w:tr w:rsidR="005B01FC" w:rsidRPr="001D317F" w14:paraId="3C5856BA" w14:textId="77777777" w:rsidTr="00C67E30">
        <w:tc>
          <w:tcPr>
            <w:tcW w:w="6204" w:type="dxa"/>
            <w:shd w:val="clear" w:color="auto" w:fill="auto"/>
          </w:tcPr>
          <w:p w14:paraId="5E10F1A5" w14:textId="77777777" w:rsidR="005B01FC" w:rsidRPr="001D317F" w:rsidRDefault="005B01FC" w:rsidP="009A5A9D">
            <w:pPr>
              <w:spacing w:after="0" w:line="240" w:lineRule="auto"/>
              <w:rPr>
                <w:rFonts w:ascii="Arial" w:eastAsia="Calibri" w:hAnsi="Arial" w:cs="Arial"/>
                <w:sz w:val="25"/>
                <w:szCs w:val="25"/>
              </w:rPr>
            </w:pPr>
          </w:p>
        </w:tc>
        <w:tc>
          <w:tcPr>
            <w:tcW w:w="3038" w:type="dxa"/>
            <w:shd w:val="clear" w:color="auto" w:fill="auto"/>
          </w:tcPr>
          <w:p w14:paraId="4B133EAD" w14:textId="77777777" w:rsidR="005B01FC" w:rsidRPr="001D317F" w:rsidRDefault="005B01FC" w:rsidP="009A5A9D">
            <w:pPr>
              <w:spacing w:after="0" w:line="240" w:lineRule="auto"/>
              <w:jc w:val="right"/>
              <w:rPr>
                <w:rFonts w:ascii="Arial" w:eastAsia="Calibri" w:hAnsi="Arial" w:cs="Arial"/>
                <w:b/>
                <w:sz w:val="25"/>
                <w:szCs w:val="25"/>
              </w:rPr>
            </w:pPr>
          </w:p>
        </w:tc>
      </w:tr>
      <w:tr w:rsidR="005B01FC" w:rsidRPr="001D317F" w14:paraId="2ED23636" w14:textId="77777777" w:rsidTr="00C67E30">
        <w:tc>
          <w:tcPr>
            <w:tcW w:w="6204" w:type="dxa"/>
            <w:shd w:val="clear" w:color="auto" w:fill="auto"/>
          </w:tcPr>
          <w:p w14:paraId="2403FC48" w14:textId="44A5F8BF" w:rsidR="005B01FC" w:rsidRPr="001D317F" w:rsidRDefault="00E90544" w:rsidP="009A5A9D">
            <w:pPr>
              <w:spacing w:after="0" w:line="240" w:lineRule="auto"/>
              <w:rPr>
                <w:rFonts w:ascii="Arial" w:eastAsia="Calibri" w:hAnsi="Arial" w:cs="Arial"/>
                <w:b/>
                <w:sz w:val="25"/>
                <w:szCs w:val="25"/>
              </w:rPr>
            </w:pPr>
            <w:r>
              <w:rPr>
                <w:rFonts w:ascii="Arial" w:eastAsia="Calibri" w:hAnsi="Arial" w:cs="Arial"/>
                <w:b/>
                <w:sz w:val="25"/>
                <w:szCs w:val="25"/>
              </w:rPr>
              <w:t>DIRECTOR GENERAL, DEPARTMENT OF LABOUR</w:t>
            </w:r>
          </w:p>
        </w:tc>
        <w:tc>
          <w:tcPr>
            <w:tcW w:w="3038" w:type="dxa"/>
            <w:shd w:val="clear" w:color="auto" w:fill="auto"/>
          </w:tcPr>
          <w:p w14:paraId="112F8B14" w14:textId="77777777" w:rsidR="006216B8" w:rsidRDefault="006216B8" w:rsidP="00C67E30">
            <w:pPr>
              <w:spacing w:after="0" w:line="240" w:lineRule="auto"/>
              <w:jc w:val="right"/>
              <w:rPr>
                <w:rFonts w:ascii="Arial" w:eastAsia="Calibri" w:hAnsi="Arial" w:cs="Arial"/>
                <w:sz w:val="25"/>
                <w:szCs w:val="25"/>
              </w:rPr>
            </w:pPr>
          </w:p>
          <w:p w14:paraId="47F22069" w14:textId="19454332" w:rsidR="00E90544" w:rsidRPr="00E90544" w:rsidRDefault="00C67E30" w:rsidP="00C67E30">
            <w:pPr>
              <w:spacing w:after="0" w:line="240" w:lineRule="auto"/>
              <w:jc w:val="right"/>
              <w:rPr>
                <w:rFonts w:ascii="Arial" w:eastAsia="Calibri" w:hAnsi="Arial" w:cs="Arial"/>
                <w:sz w:val="25"/>
                <w:szCs w:val="25"/>
              </w:rPr>
            </w:pPr>
            <w:r>
              <w:rPr>
                <w:rFonts w:ascii="Arial" w:eastAsia="Calibri" w:hAnsi="Arial" w:cs="Arial"/>
                <w:sz w:val="25"/>
                <w:szCs w:val="25"/>
              </w:rPr>
              <w:t>2</w:t>
            </w:r>
            <w:r w:rsidRPr="00C67E30">
              <w:rPr>
                <w:rFonts w:ascii="Arial" w:eastAsia="Calibri" w:hAnsi="Arial" w:cs="Arial"/>
                <w:sz w:val="25"/>
                <w:szCs w:val="25"/>
                <w:vertAlign w:val="superscript"/>
              </w:rPr>
              <w:t>ND</w:t>
            </w:r>
            <w:r>
              <w:rPr>
                <w:rFonts w:ascii="Arial" w:eastAsia="Calibri" w:hAnsi="Arial" w:cs="Arial"/>
                <w:sz w:val="25"/>
                <w:szCs w:val="25"/>
                <w:vertAlign w:val="superscript"/>
              </w:rPr>
              <w:t xml:space="preserve"> </w:t>
            </w:r>
            <w:r w:rsidR="006216B8">
              <w:rPr>
                <w:rFonts w:ascii="Arial" w:eastAsia="Calibri" w:hAnsi="Arial" w:cs="Arial"/>
                <w:sz w:val="25"/>
                <w:szCs w:val="25"/>
              </w:rPr>
              <w:t>Applicant/Defendant</w:t>
            </w:r>
            <w:r>
              <w:rPr>
                <w:rFonts w:ascii="Arial" w:eastAsia="Calibri" w:hAnsi="Arial" w:cs="Arial"/>
                <w:sz w:val="25"/>
                <w:szCs w:val="25"/>
              </w:rPr>
              <w:t xml:space="preserve"> </w:t>
            </w:r>
          </w:p>
        </w:tc>
      </w:tr>
      <w:tr w:rsidR="005B01FC" w:rsidRPr="001D317F" w14:paraId="530E1A21" w14:textId="77777777" w:rsidTr="00C67E30">
        <w:tc>
          <w:tcPr>
            <w:tcW w:w="6204" w:type="dxa"/>
            <w:shd w:val="clear" w:color="auto" w:fill="auto"/>
          </w:tcPr>
          <w:p w14:paraId="517675D4" w14:textId="7E98BD60" w:rsidR="005B01FC" w:rsidRPr="001D317F" w:rsidRDefault="005B01FC" w:rsidP="009A5A9D">
            <w:pPr>
              <w:spacing w:after="0" w:line="240" w:lineRule="auto"/>
              <w:rPr>
                <w:rFonts w:ascii="Arial" w:eastAsia="Calibri" w:hAnsi="Arial" w:cs="Arial"/>
                <w:sz w:val="25"/>
                <w:szCs w:val="25"/>
              </w:rPr>
            </w:pPr>
          </w:p>
        </w:tc>
        <w:tc>
          <w:tcPr>
            <w:tcW w:w="3038" w:type="dxa"/>
            <w:shd w:val="clear" w:color="auto" w:fill="auto"/>
          </w:tcPr>
          <w:p w14:paraId="48933968" w14:textId="77777777" w:rsidR="005B01FC" w:rsidRPr="001D317F" w:rsidRDefault="005B01FC" w:rsidP="009A5A9D">
            <w:pPr>
              <w:spacing w:after="0" w:line="240" w:lineRule="auto"/>
              <w:jc w:val="right"/>
              <w:rPr>
                <w:rFonts w:ascii="Arial" w:eastAsia="Calibri" w:hAnsi="Arial" w:cs="Arial"/>
                <w:b/>
                <w:sz w:val="25"/>
                <w:szCs w:val="25"/>
              </w:rPr>
            </w:pPr>
          </w:p>
        </w:tc>
      </w:tr>
      <w:tr w:rsidR="005B01FC" w:rsidRPr="001D317F" w14:paraId="57614E51" w14:textId="77777777" w:rsidTr="00C67E30">
        <w:tc>
          <w:tcPr>
            <w:tcW w:w="6204" w:type="dxa"/>
            <w:shd w:val="clear" w:color="auto" w:fill="auto"/>
          </w:tcPr>
          <w:p w14:paraId="5F0D4B8A" w14:textId="67F7390B" w:rsidR="005B01FC" w:rsidRPr="001D317F" w:rsidRDefault="006216B8" w:rsidP="009A5A9D">
            <w:pPr>
              <w:spacing w:after="0" w:line="240" w:lineRule="auto"/>
              <w:rPr>
                <w:rFonts w:ascii="Arial" w:eastAsia="Calibri" w:hAnsi="Arial" w:cs="Arial"/>
                <w:b/>
                <w:sz w:val="25"/>
                <w:szCs w:val="25"/>
              </w:rPr>
            </w:pPr>
            <w:r>
              <w:rPr>
                <w:rFonts w:ascii="Arial" w:eastAsia="Calibri" w:hAnsi="Arial" w:cs="Arial"/>
                <w:b/>
                <w:sz w:val="25"/>
                <w:szCs w:val="25"/>
              </w:rPr>
              <w:t>THE MINISTER OF LABOUR</w:t>
            </w:r>
          </w:p>
        </w:tc>
        <w:tc>
          <w:tcPr>
            <w:tcW w:w="3038" w:type="dxa"/>
            <w:shd w:val="clear" w:color="auto" w:fill="auto"/>
          </w:tcPr>
          <w:p w14:paraId="1C17C806" w14:textId="395E8221" w:rsidR="005B01FC" w:rsidRPr="006216B8" w:rsidRDefault="006216B8" w:rsidP="009A5A9D">
            <w:pPr>
              <w:spacing w:after="0" w:line="240" w:lineRule="auto"/>
              <w:jc w:val="right"/>
              <w:rPr>
                <w:rFonts w:ascii="Arial" w:eastAsia="Calibri" w:hAnsi="Arial" w:cs="Arial"/>
                <w:sz w:val="25"/>
                <w:szCs w:val="25"/>
              </w:rPr>
            </w:pPr>
            <w:r w:rsidRPr="006216B8">
              <w:rPr>
                <w:rFonts w:ascii="Arial" w:eastAsia="Calibri" w:hAnsi="Arial" w:cs="Arial"/>
                <w:sz w:val="25"/>
                <w:szCs w:val="25"/>
              </w:rPr>
              <w:t>3</w:t>
            </w:r>
            <w:r w:rsidRPr="006216B8">
              <w:rPr>
                <w:rFonts w:ascii="Arial" w:eastAsia="Calibri" w:hAnsi="Arial" w:cs="Arial"/>
                <w:sz w:val="25"/>
                <w:szCs w:val="25"/>
                <w:vertAlign w:val="superscript"/>
              </w:rPr>
              <w:t>RD</w:t>
            </w:r>
            <w:r w:rsidRPr="006216B8">
              <w:rPr>
                <w:rFonts w:ascii="Arial" w:eastAsia="Calibri" w:hAnsi="Arial" w:cs="Arial"/>
                <w:sz w:val="25"/>
                <w:szCs w:val="25"/>
              </w:rPr>
              <w:t xml:space="preserve"> Applicant/Defendant</w:t>
            </w:r>
          </w:p>
        </w:tc>
      </w:tr>
      <w:tr w:rsidR="005B01FC" w:rsidRPr="001D317F" w14:paraId="3137B626" w14:textId="77777777" w:rsidTr="00C67E30">
        <w:tc>
          <w:tcPr>
            <w:tcW w:w="6204" w:type="dxa"/>
            <w:shd w:val="clear" w:color="auto" w:fill="auto"/>
          </w:tcPr>
          <w:p w14:paraId="4B0665D9" w14:textId="77777777" w:rsidR="005B01FC" w:rsidRPr="001D317F" w:rsidRDefault="005B01FC" w:rsidP="009A5A9D">
            <w:pPr>
              <w:spacing w:after="0" w:line="240" w:lineRule="auto"/>
              <w:rPr>
                <w:rFonts w:ascii="Arial" w:eastAsia="Calibri" w:hAnsi="Arial" w:cs="Arial"/>
                <w:b/>
                <w:sz w:val="25"/>
                <w:szCs w:val="25"/>
              </w:rPr>
            </w:pPr>
          </w:p>
        </w:tc>
        <w:tc>
          <w:tcPr>
            <w:tcW w:w="3038" w:type="dxa"/>
            <w:shd w:val="clear" w:color="auto" w:fill="auto"/>
          </w:tcPr>
          <w:p w14:paraId="4F7E094D" w14:textId="77777777" w:rsidR="005B01FC" w:rsidRPr="001D317F" w:rsidRDefault="005B01FC" w:rsidP="009A5A9D">
            <w:pPr>
              <w:spacing w:after="0" w:line="240" w:lineRule="auto"/>
              <w:jc w:val="right"/>
              <w:rPr>
                <w:rFonts w:ascii="Arial" w:eastAsia="Calibri" w:hAnsi="Arial" w:cs="Arial"/>
                <w:b/>
                <w:sz w:val="25"/>
                <w:szCs w:val="25"/>
              </w:rPr>
            </w:pPr>
          </w:p>
        </w:tc>
      </w:tr>
      <w:tr w:rsidR="006216B8" w:rsidRPr="001D317F" w14:paraId="3AC9C224" w14:textId="77777777" w:rsidTr="00C67E30">
        <w:tc>
          <w:tcPr>
            <w:tcW w:w="6204" w:type="dxa"/>
            <w:shd w:val="clear" w:color="auto" w:fill="auto"/>
          </w:tcPr>
          <w:p w14:paraId="025B3029" w14:textId="77777777" w:rsidR="006216B8" w:rsidRPr="001D317F" w:rsidRDefault="006216B8" w:rsidP="009A5A9D">
            <w:pPr>
              <w:spacing w:after="0" w:line="240" w:lineRule="auto"/>
              <w:rPr>
                <w:rFonts w:ascii="Arial" w:eastAsia="Calibri" w:hAnsi="Arial" w:cs="Arial"/>
                <w:b/>
                <w:sz w:val="25"/>
                <w:szCs w:val="25"/>
              </w:rPr>
            </w:pPr>
          </w:p>
        </w:tc>
        <w:tc>
          <w:tcPr>
            <w:tcW w:w="3038" w:type="dxa"/>
            <w:shd w:val="clear" w:color="auto" w:fill="auto"/>
          </w:tcPr>
          <w:p w14:paraId="7F5353FB" w14:textId="77777777" w:rsidR="006216B8" w:rsidRPr="001D317F" w:rsidRDefault="006216B8" w:rsidP="009A5A9D">
            <w:pPr>
              <w:spacing w:after="0" w:line="240" w:lineRule="auto"/>
              <w:jc w:val="right"/>
              <w:rPr>
                <w:rFonts w:ascii="Arial" w:eastAsia="Calibri" w:hAnsi="Arial" w:cs="Arial"/>
                <w:b/>
                <w:sz w:val="25"/>
                <w:szCs w:val="25"/>
              </w:rPr>
            </w:pPr>
          </w:p>
        </w:tc>
      </w:tr>
      <w:tr w:rsidR="006216B8" w:rsidRPr="001D317F" w14:paraId="0B8FF623" w14:textId="77777777" w:rsidTr="00C67E30">
        <w:tc>
          <w:tcPr>
            <w:tcW w:w="6204" w:type="dxa"/>
            <w:shd w:val="clear" w:color="auto" w:fill="auto"/>
          </w:tcPr>
          <w:p w14:paraId="7AA3FFE2" w14:textId="605A2DAC" w:rsidR="006216B8" w:rsidRPr="00FD12C7" w:rsidRDefault="00FD12C7" w:rsidP="009A5A9D">
            <w:pPr>
              <w:spacing w:after="0" w:line="240" w:lineRule="auto"/>
              <w:rPr>
                <w:rFonts w:ascii="Arial" w:eastAsia="Calibri" w:hAnsi="Arial" w:cs="Arial"/>
                <w:sz w:val="25"/>
                <w:szCs w:val="25"/>
              </w:rPr>
            </w:pPr>
            <w:r>
              <w:rPr>
                <w:rFonts w:ascii="Arial" w:eastAsia="Calibri" w:hAnsi="Arial" w:cs="Arial"/>
                <w:sz w:val="25"/>
                <w:szCs w:val="25"/>
              </w:rPr>
              <w:t xml:space="preserve">And </w:t>
            </w:r>
          </w:p>
        </w:tc>
        <w:tc>
          <w:tcPr>
            <w:tcW w:w="3038" w:type="dxa"/>
            <w:shd w:val="clear" w:color="auto" w:fill="auto"/>
          </w:tcPr>
          <w:p w14:paraId="009C69B5" w14:textId="77777777" w:rsidR="006216B8" w:rsidRPr="001D317F" w:rsidRDefault="006216B8" w:rsidP="009A5A9D">
            <w:pPr>
              <w:spacing w:after="0" w:line="240" w:lineRule="auto"/>
              <w:jc w:val="right"/>
              <w:rPr>
                <w:rFonts w:ascii="Arial" w:eastAsia="Calibri" w:hAnsi="Arial" w:cs="Arial"/>
                <w:b/>
                <w:sz w:val="25"/>
                <w:szCs w:val="25"/>
              </w:rPr>
            </w:pPr>
          </w:p>
        </w:tc>
      </w:tr>
      <w:tr w:rsidR="00FD12C7" w:rsidRPr="001D317F" w14:paraId="48A18770" w14:textId="77777777" w:rsidTr="00C67E30">
        <w:tc>
          <w:tcPr>
            <w:tcW w:w="6204" w:type="dxa"/>
            <w:shd w:val="clear" w:color="auto" w:fill="auto"/>
          </w:tcPr>
          <w:p w14:paraId="4D4648FC" w14:textId="77777777" w:rsidR="00FD12C7" w:rsidRPr="001D317F" w:rsidRDefault="00FD12C7" w:rsidP="009A5A9D">
            <w:pPr>
              <w:spacing w:after="0" w:line="240" w:lineRule="auto"/>
              <w:rPr>
                <w:rFonts w:ascii="Arial" w:eastAsia="Calibri" w:hAnsi="Arial" w:cs="Arial"/>
                <w:b/>
                <w:sz w:val="25"/>
                <w:szCs w:val="25"/>
              </w:rPr>
            </w:pPr>
          </w:p>
        </w:tc>
        <w:tc>
          <w:tcPr>
            <w:tcW w:w="3038" w:type="dxa"/>
            <w:shd w:val="clear" w:color="auto" w:fill="auto"/>
          </w:tcPr>
          <w:p w14:paraId="1C6ACF5B" w14:textId="77777777" w:rsidR="00FD12C7" w:rsidRPr="001D317F" w:rsidRDefault="00FD12C7" w:rsidP="009A5A9D">
            <w:pPr>
              <w:spacing w:after="0" w:line="240" w:lineRule="auto"/>
              <w:jc w:val="right"/>
              <w:rPr>
                <w:rFonts w:ascii="Arial" w:eastAsia="Calibri" w:hAnsi="Arial" w:cs="Arial"/>
                <w:b/>
                <w:sz w:val="25"/>
                <w:szCs w:val="25"/>
              </w:rPr>
            </w:pPr>
          </w:p>
        </w:tc>
      </w:tr>
      <w:tr w:rsidR="006216B8" w:rsidRPr="001D317F" w14:paraId="4E1E4D4E" w14:textId="77777777" w:rsidTr="00C67E30">
        <w:tc>
          <w:tcPr>
            <w:tcW w:w="6204" w:type="dxa"/>
            <w:shd w:val="clear" w:color="auto" w:fill="auto"/>
          </w:tcPr>
          <w:p w14:paraId="0BECA33A" w14:textId="77777777" w:rsidR="006216B8" w:rsidRPr="001D317F" w:rsidRDefault="006216B8" w:rsidP="009A5A9D">
            <w:pPr>
              <w:spacing w:after="0" w:line="240" w:lineRule="auto"/>
              <w:rPr>
                <w:rFonts w:ascii="Arial" w:eastAsia="Calibri" w:hAnsi="Arial" w:cs="Arial"/>
                <w:b/>
                <w:sz w:val="25"/>
                <w:szCs w:val="25"/>
              </w:rPr>
            </w:pPr>
          </w:p>
        </w:tc>
        <w:tc>
          <w:tcPr>
            <w:tcW w:w="3038" w:type="dxa"/>
            <w:shd w:val="clear" w:color="auto" w:fill="auto"/>
          </w:tcPr>
          <w:p w14:paraId="103EA3CB" w14:textId="77777777" w:rsidR="006216B8" w:rsidRPr="001D317F" w:rsidRDefault="006216B8" w:rsidP="009A5A9D">
            <w:pPr>
              <w:spacing w:after="0" w:line="240" w:lineRule="auto"/>
              <w:jc w:val="right"/>
              <w:rPr>
                <w:rFonts w:ascii="Arial" w:eastAsia="Calibri" w:hAnsi="Arial" w:cs="Arial"/>
                <w:b/>
                <w:sz w:val="25"/>
                <w:szCs w:val="25"/>
              </w:rPr>
            </w:pPr>
          </w:p>
        </w:tc>
      </w:tr>
      <w:tr w:rsidR="005B01FC" w:rsidRPr="001D317F" w14:paraId="76A5CBC1" w14:textId="77777777" w:rsidTr="00C67E30">
        <w:tc>
          <w:tcPr>
            <w:tcW w:w="6204" w:type="dxa"/>
            <w:shd w:val="clear" w:color="auto" w:fill="auto"/>
          </w:tcPr>
          <w:p w14:paraId="4153AE37" w14:textId="2D1C200F" w:rsidR="005B01FC" w:rsidRPr="00CE6EE9" w:rsidRDefault="00FD12C7" w:rsidP="009A5A9D">
            <w:pPr>
              <w:spacing w:after="0" w:line="240" w:lineRule="auto"/>
              <w:rPr>
                <w:rFonts w:ascii="Arial" w:eastAsia="Calibri" w:hAnsi="Arial" w:cs="Arial"/>
                <w:b/>
                <w:sz w:val="24"/>
                <w:szCs w:val="25"/>
              </w:rPr>
            </w:pPr>
            <w:r>
              <w:rPr>
                <w:rFonts w:ascii="Arial" w:hAnsi="Arial" w:cs="Arial"/>
                <w:b/>
                <w:sz w:val="24"/>
              </w:rPr>
              <w:t>COMPENSATION SOLUTIONS (PTY) LTD</w:t>
            </w:r>
          </w:p>
        </w:tc>
        <w:tc>
          <w:tcPr>
            <w:tcW w:w="3038" w:type="dxa"/>
            <w:shd w:val="clear" w:color="auto" w:fill="auto"/>
          </w:tcPr>
          <w:p w14:paraId="424F48B9" w14:textId="3D43C6B7" w:rsidR="005B01FC" w:rsidRPr="001D317F" w:rsidRDefault="005B01FC" w:rsidP="009A5A9D">
            <w:pPr>
              <w:spacing w:after="0" w:line="240" w:lineRule="auto"/>
              <w:jc w:val="right"/>
              <w:rPr>
                <w:rFonts w:ascii="Arial" w:eastAsia="Calibri" w:hAnsi="Arial" w:cs="Arial"/>
                <w:sz w:val="25"/>
                <w:szCs w:val="25"/>
              </w:rPr>
            </w:pPr>
            <w:r w:rsidRPr="001D317F">
              <w:rPr>
                <w:rFonts w:ascii="Arial" w:eastAsia="Calibri" w:hAnsi="Arial" w:cs="Arial"/>
                <w:sz w:val="25"/>
                <w:szCs w:val="25"/>
              </w:rPr>
              <w:t>Respondent</w:t>
            </w:r>
            <w:r w:rsidR="00FD12C7">
              <w:rPr>
                <w:rFonts w:ascii="Arial" w:eastAsia="Calibri" w:hAnsi="Arial" w:cs="Arial"/>
                <w:sz w:val="25"/>
                <w:szCs w:val="25"/>
              </w:rPr>
              <w:t>/Plaintiff</w:t>
            </w:r>
          </w:p>
        </w:tc>
      </w:tr>
    </w:tbl>
    <w:p w14:paraId="1AC9C6E6" w14:textId="77777777" w:rsidR="00FC4BDB" w:rsidRDefault="00FC4BDB" w:rsidP="00384B39">
      <w:pPr>
        <w:spacing w:after="0" w:line="240" w:lineRule="auto"/>
        <w:rPr>
          <w:rFonts w:ascii="Arial" w:eastAsia="Calibri" w:hAnsi="Arial" w:cs="Arial"/>
          <w:b/>
          <w:sz w:val="24"/>
          <w:szCs w:val="24"/>
          <w:lang w:val="en-ZA" w:eastAsia="en-GB"/>
        </w:rPr>
      </w:pPr>
    </w:p>
    <w:p w14:paraId="5EC0B1A8" w14:textId="77777777" w:rsidR="005A163F" w:rsidRPr="00B8348A" w:rsidRDefault="005A163F" w:rsidP="00384B39">
      <w:pPr>
        <w:spacing w:after="0" w:line="240" w:lineRule="auto"/>
        <w:rPr>
          <w:rFonts w:ascii="Arial" w:eastAsia="Calibri" w:hAnsi="Arial" w:cs="Arial"/>
          <w:sz w:val="24"/>
          <w:szCs w:val="24"/>
          <w:lang w:val="en-ZA" w:eastAsia="en-GB"/>
        </w:rPr>
      </w:pPr>
    </w:p>
    <w:p w14:paraId="49E02252" w14:textId="7B8AC472" w:rsidR="00384B39" w:rsidRPr="004E4858" w:rsidRDefault="00E36CFA" w:rsidP="00384B39">
      <w:pPr>
        <w:pStyle w:val="msonormalcxspmiddlecxspmiddle"/>
        <w:pBdr>
          <w:bottom w:val="single" w:sz="12" w:space="1" w:color="auto"/>
        </w:pBdr>
        <w:spacing w:before="0" w:after="0" w:line="360" w:lineRule="auto"/>
        <w:rPr>
          <w:rFonts w:ascii="Arial" w:hAnsi="Arial" w:cs="Arial"/>
          <w:b/>
          <w:bCs/>
          <w:color w:val="auto"/>
        </w:rPr>
      </w:pPr>
      <w:r>
        <w:rPr>
          <w:rFonts w:ascii="Arial" w:hAnsi="Arial" w:cs="Arial"/>
          <w:b/>
          <w:color w:val="auto"/>
        </w:rPr>
        <w:t xml:space="preserve">           </w:t>
      </w:r>
    </w:p>
    <w:p w14:paraId="3691898B" w14:textId="77777777" w:rsidR="00384B39" w:rsidRPr="004E4858" w:rsidRDefault="00384B39" w:rsidP="00384B39">
      <w:pPr>
        <w:pStyle w:val="msonormalcxspmiddlecxspmiddle"/>
        <w:pBdr>
          <w:top w:val="none" w:sz="0" w:space="0" w:color="auto"/>
        </w:pBdr>
        <w:spacing w:before="0" w:after="0" w:line="360" w:lineRule="auto"/>
        <w:jc w:val="center"/>
        <w:rPr>
          <w:rFonts w:ascii="Arial" w:hAnsi="Arial" w:cs="Arial"/>
          <w:b/>
          <w:bCs/>
          <w:color w:val="auto"/>
        </w:rPr>
      </w:pPr>
    </w:p>
    <w:p w14:paraId="0856669A" w14:textId="4F788CDC" w:rsidR="00384B39" w:rsidRPr="004E4858" w:rsidRDefault="005A163F" w:rsidP="00384B39">
      <w:pPr>
        <w:pStyle w:val="msonormalcxspmiddlecxspmiddle"/>
        <w:pBdr>
          <w:top w:val="none" w:sz="0" w:space="0" w:color="auto"/>
        </w:pBdr>
        <w:spacing w:before="0" w:after="0" w:line="360" w:lineRule="auto"/>
        <w:jc w:val="center"/>
        <w:rPr>
          <w:rFonts w:ascii="Arial" w:hAnsi="Arial" w:cs="Arial"/>
          <w:b/>
          <w:bCs/>
          <w:color w:val="auto"/>
        </w:rPr>
      </w:pPr>
      <w:r>
        <w:rPr>
          <w:rFonts w:ascii="Arial" w:hAnsi="Arial" w:cs="Arial"/>
          <w:b/>
          <w:bCs/>
          <w:color w:val="auto"/>
        </w:rPr>
        <w:t>JUDG</w:t>
      </w:r>
      <w:r w:rsidR="00384B39" w:rsidRPr="004E4858">
        <w:rPr>
          <w:rFonts w:ascii="Arial" w:hAnsi="Arial" w:cs="Arial"/>
          <w:b/>
          <w:bCs/>
          <w:color w:val="auto"/>
        </w:rPr>
        <w:t xml:space="preserve">MENT </w:t>
      </w:r>
    </w:p>
    <w:p w14:paraId="75AAD1E5" w14:textId="77777777" w:rsidR="00384B39" w:rsidRPr="004E4858" w:rsidRDefault="00384B39" w:rsidP="00384B39">
      <w:pPr>
        <w:pStyle w:val="msonormalcxspmiddlecxspmiddle"/>
        <w:pBdr>
          <w:top w:val="none" w:sz="0" w:space="0" w:color="auto"/>
        </w:pBdr>
        <w:spacing w:before="0" w:after="0" w:line="360" w:lineRule="auto"/>
        <w:jc w:val="center"/>
        <w:rPr>
          <w:rFonts w:ascii="Arial" w:hAnsi="Arial" w:cs="Arial"/>
          <w:b/>
          <w:bCs/>
          <w:color w:val="auto"/>
        </w:rPr>
      </w:pPr>
      <w:r w:rsidRPr="004E4858">
        <w:rPr>
          <w:rFonts w:ascii="Arial" w:hAnsi="Arial" w:cs="Arial"/>
          <w:b/>
          <w:bCs/>
          <w:color w:val="auto"/>
        </w:rPr>
        <w:t>____________________________________________________________________</w:t>
      </w:r>
    </w:p>
    <w:p w14:paraId="354347FC" w14:textId="77777777" w:rsidR="00384B39" w:rsidRPr="004E4858" w:rsidRDefault="00384B39" w:rsidP="00384B39">
      <w:pPr>
        <w:tabs>
          <w:tab w:val="right" w:pos="0"/>
        </w:tabs>
        <w:spacing w:line="360" w:lineRule="auto"/>
        <w:jc w:val="both"/>
        <w:rPr>
          <w:rFonts w:ascii="Arial" w:hAnsi="Arial" w:cs="Arial"/>
          <w:b/>
          <w:sz w:val="24"/>
          <w:szCs w:val="24"/>
          <w:lang w:val="en-ZA"/>
        </w:rPr>
      </w:pPr>
    </w:p>
    <w:p w14:paraId="712D69E2" w14:textId="34403AF8" w:rsidR="00384B39" w:rsidRPr="008C4008" w:rsidRDefault="0058710B" w:rsidP="0058710B">
      <w:pPr>
        <w:widowControl w:val="0"/>
        <w:spacing w:before="240" w:after="240" w:line="480" w:lineRule="auto"/>
        <w:ind w:left="851" w:hanging="851"/>
        <w:jc w:val="both"/>
        <w:rPr>
          <w:rFonts w:ascii="Arial" w:eastAsia="Times New Roman" w:hAnsi="Arial" w:cs="Arial"/>
          <w:b/>
          <w:sz w:val="24"/>
          <w:szCs w:val="25"/>
          <w:u w:val="single"/>
        </w:rPr>
      </w:pPr>
      <w:r w:rsidRPr="008C4008">
        <w:rPr>
          <w:rFonts w:ascii="Arial" w:eastAsia="Times New Roman" w:hAnsi="Arial" w:cs="Arial"/>
          <w:b/>
          <w:sz w:val="24"/>
          <w:szCs w:val="25"/>
          <w:u w:val="single"/>
        </w:rPr>
        <w:t>POTGIETER AJ:</w:t>
      </w:r>
    </w:p>
    <w:p w14:paraId="4E9199B0" w14:textId="614A6988" w:rsidR="00586614" w:rsidRDefault="00833889" w:rsidP="00CF0DC7">
      <w:pPr>
        <w:widowControl w:val="0"/>
        <w:spacing w:before="240" w:after="240" w:line="480" w:lineRule="auto"/>
        <w:ind w:left="851" w:hanging="851"/>
        <w:jc w:val="both"/>
        <w:rPr>
          <w:rFonts w:ascii="Arial" w:eastAsia="Times New Roman" w:hAnsi="Arial" w:cs="Arial"/>
          <w:sz w:val="24"/>
          <w:szCs w:val="25"/>
        </w:rPr>
      </w:pPr>
      <w:r>
        <w:rPr>
          <w:rFonts w:ascii="Arial" w:eastAsia="Times New Roman" w:hAnsi="Arial" w:cs="Arial"/>
          <w:sz w:val="24"/>
          <w:szCs w:val="25"/>
        </w:rPr>
        <w:t>[1]</w:t>
      </w:r>
      <w:r>
        <w:rPr>
          <w:rFonts w:ascii="Arial" w:eastAsia="Times New Roman" w:hAnsi="Arial" w:cs="Arial"/>
          <w:sz w:val="24"/>
          <w:szCs w:val="25"/>
        </w:rPr>
        <w:tab/>
      </w:r>
      <w:r w:rsidR="00586614">
        <w:rPr>
          <w:rFonts w:ascii="Arial" w:eastAsia="Times New Roman" w:hAnsi="Arial" w:cs="Arial"/>
          <w:sz w:val="24"/>
          <w:szCs w:val="25"/>
        </w:rPr>
        <w:t xml:space="preserve">The three Applicants are the three Defendants in the main action whilst the Respondent is the Plaintiff in same. I shall hereinafter </w:t>
      </w:r>
      <w:r w:rsidR="00834B73">
        <w:rPr>
          <w:rFonts w:ascii="Arial" w:eastAsia="Times New Roman" w:hAnsi="Arial" w:cs="Arial"/>
          <w:sz w:val="24"/>
          <w:szCs w:val="25"/>
        </w:rPr>
        <w:t>refer</w:t>
      </w:r>
      <w:r w:rsidR="00586614">
        <w:rPr>
          <w:rFonts w:ascii="Arial" w:eastAsia="Times New Roman" w:hAnsi="Arial" w:cs="Arial"/>
          <w:sz w:val="24"/>
          <w:szCs w:val="25"/>
        </w:rPr>
        <w:t xml:space="preserve"> to them as in the main action, i.e. the Applicants shall be referred to as the </w:t>
      </w:r>
      <w:r w:rsidR="00834B73">
        <w:rPr>
          <w:rFonts w:ascii="Arial" w:eastAsia="Times New Roman" w:hAnsi="Arial" w:cs="Arial"/>
          <w:sz w:val="24"/>
          <w:szCs w:val="25"/>
        </w:rPr>
        <w:t>Defendants and the Respondent as the Plaintiff.</w:t>
      </w:r>
    </w:p>
    <w:p w14:paraId="7A0CDED0" w14:textId="2FD39ABF" w:rsidR="00DF1B02" w:rsidRDefault="00DF1B02" w:rsidP="00CF0DC7">
      <w:pPr>
        <w:widowControl w:val="0"/>
        <w:spacing w:before="240" w:after="240" w:line="480" w:lineRule="auto"/>
        <w:ind w:left="851" w:hanging="851"/>
        <w:jc w:val="both"/>
        <w:rPr>
          <w:rFonts w:ascii="Arial" w:eastAsia="Times New Roman" w:hAnsi="Arial" w:cs="Arial"/>
          <w:sz w:val="24"/>
          <w:szCs w:val="25"/>
        </w:rPr>
      </w:pPr>
      <w:r>
        <w:rPr>
          <w:rFonts w:ascii="Arial" w:eastAsia="Times New Roman" w:hAnsi="Arial" w:cs="Arial"/>
          <w:sz w:val="24"/>
          <w:szCs w:val="25"/>
        </w:rPr>
        <w:t>[2]</w:t>
      </w:r>
      <w:r>
        <w:rPr>
          <w:rFonts w:ascii="Arial" w:eastAsia="Times New Roman" w:hAnsi="Arial" w:cs="Arial"/>
          <w:sz w:val="24"/>
          <w:szCs w:val="25"/>
        </w:rPr>
        <w:tab/>
        <w:t>The Defendants are applying for leave to amend their Plea, more particularly by substituting their existing Plea with, as the Defendants ter</w:t>
      </w:r>
      <w:r w:rsidR="00233901">
        <w:rPr>
          <w:rFonts w:ascii="Arial" w:eastAsia="Times New Roman" w:hAnsi="Arial" w:cs="Arial"/>
          <w:sz w:val="24"/>
          <w:szCs w:val="25"/>
        </w:rPr>
        <w:t>med it in their Notice of Intention to Apply for Leave to Amend, “…</w:t>
      </w:r>
      <w:r w:rsidR="00233901" w:rsidRPr="00233901">
        <w:rPr>
          <w:rFonts w:ascii="Arial" w:eastAsia="Times New Roman" w:hAnsi="Arial" w:cs="Arial"/>
          <w:i/>
          <w:sz w:val="24"/>
          <w:szCs w:val="25"/>
        </w:rPr>
        <w:t>a completely new plea</w:t>
      </w:r>
      <w:r w:rsidR="00233901">
        <w:rPr>
          <w:rFonts w:ascii="Arial" w:eastAsia="Times New Roman" w:hAnsi="Arial" w:cs="Arial"/>
          <w:sz w:val="24"/>
          <w:szCs w:val="25"/>
        </w:rPr>
        <w:t xml:space="preserve">” of which a copy was attached to the </w:t>
      </w:r>
      <w:r w:rsidR="00AC26A2">
        <w:rPr>
          <w:rFonts w:ascii="Arial" w:eastAsia="Times New Roman" w:hAnsi="Arial" w:cs="Arial"/>
          <w:sz w:val="24"/>
          <w:szCs w:val="25"/>
        </w:rPr>
        <w:t>Notice of Intention to Amend. The present application arises from the Plaintiff’s objections to the proposed new Plea. There are many grounds of objection but</w:t>
      </w:r>
      <w:r w:rsidR="007B0798">
        <w:rPr>
          <w:rFonts w:ascii="Arial" w:eastAsia="Times New Roman" w:hAnsi="Arial" w:cs="Arial"/>
          <w:sz w:val="24"/>
          <w:szCs w:val="25"/>
        </w:rPr>
        <w:t xml:space="preserve"> they are numerous only because there are numerous issues raised in the proposed new Plea. However, and for reasons which shall become apparent immediately below</w:t>
      </w:r>
      <w:r w:rsidR="00DA2970">
        <w:rPr>
          <w:rFonts w:ascii="Arial" w:eastAsia="Times New Roman" w:hAnsi="Arial" w:cs="Arial"/>
          <w:sz w:val="24"/>
          <w:szCs w:val="25"/>
        </w:rPr>
        <w:t xml:space="preserve">, the Defendants are only allowed to amend their Plea to raise two </w:t>
      </w:r>
      <w:r w:rsidR="002F517F">
        <w:rPr>
          <w:rFonts w:ascii="Arial" w:eastAsia="Times New Roman" w:hAnsi="Arial" w:cs="Arial"/>
          <w:sz w:val="24"/>
          <w:szCs w:val="25"/>
        </w:rPr>
        <w:t xml:space="preserve">Special </w:t>
      </w:r>
      <w:r w:rsidR="00DA2970">
        <w:rPr>
          <w:rFonts w:ascii="Arial" w:eastAsia="Times New Roman" w:hAnsi="Arial" w:cs="Arial"/>
          <w:sz w:val="24"/>
          <w:szCs w:val="25"/>
        </w:rPr>
        <w:t>Pleas of different types of prescription</w:t>
      </w:r>
      <w:r w:rsidR="00CC6CD2">
        <w:rPr>
          <w:rStyle w:val="FootnoteReference"/>
          <w:rFonts w:ascii="Arial" w:eastAsia="Times New Roman" w:hAnsi="Arial" w:cs="Arial"/>
          <w:sz w:val="24"/>
          <w:szCs w:val="25"/>
        </w:rPr>
        <w:footnoteReference w:id="1"/>
      </w:r>
      <w:r w:rsidR="00CC6CD2">
        <w:rPr>
          <w:rFonts w:ascii="Arial" w:eastAsia="Times New Roman" w:hAnsi="Arial" w:cs="Arial"/>
          <w:sz w:val="24"/>
          <w:szCs w:val="25"/>
        </w:rPr>
        <w:t xml:space="preserve"> </w:t>
      </w:r>
      <w:r w:rsidR="00DA2970">
        <w:rPr>
          <w:rFonts w:ascii="Arial" w:eastAsia="Times New Roman" w:hAnsi="Arial" w:cs="Arial"/>
          <w:sz w:val="24"/>
          <w:szCs w:val="25"/>
        </w:rPr>
        <w:t xml:space="preserve"> and consequently it is not necessary to list the other grounds of objection because </w:t>
      </w:r>
      <w:r w:rsidR="002A0BF8">
        <w:rPr>
          <w:rFonts w:ascii="Arial" w:eastAsia="Times New Roman" w:hAnsi="Arial" w:cs="Arial"/>
          <w:sz w:val="24"/>
          <w:szCs w:val="25"/>
        </w:rPr>
        <w:t>the other grounds of amendment to the Defendant’s Plea are impermissible.</w:t>
      </w:r>
    </w:p>
    <w:p w14:paraId="44FF2D44" w14:textId="3383B522" w:rsidR="002A0BF8" w:rsidRDefault="00995E00" w:rsidP="00CF0DC7">
      <w:pPr>
        <w:widowControl w:val="0"/>
        <w:spacing w:before="240" w:after="240" w:line="480" w:lineRule="auto"/>
        <w:ind w:left="851" w:hanging="851"/>
        <w:jc w:val="both"/>
        <w:rPr>
          <w:rFonts w:ascii="Arial" w:eastAsia="Times New Roman" w:hAnsi="Arial" w:cs="Arial"/>
          <w:sz w:val="24"/>
          <w:szCs w:val="25"/>
        </w:rPr>
      </w:pPr>
      <w:r>
        <w:rPr>
          <w:rFonts w:ascii="Arial" w:eastAsia="Times New Roman" w:hAnsi="Arial" w:cs="Arial"/>
          <w:sz w:val="24"/>
          <w:szCs w:val="25"/>
        </w:rPr>
        <w:t>[3]</w:t>
      </w:r>
      <w:r>
        <w:rPr>
          <w:rFonts w:ascii="Arial" w:eastAsia="Times New Roman" w:hAnsi="Arial" w:cs="Arial"/>
          <w:sz w:val="24"/>
          <w:szCs w:val="25"/>
        </w:rPr>
        <w:tab/>
        <w:t>When the Defendants originally pleaded the Plaintiff applied for summary judgment. The matter served before Ally, AJ who, on 17 July 2023, refused the Plaintiff’s application for summary judgment</w:t>
      </w:r>
      <w:r w:rsidR="00C229C2">
        <w:rPr>
          <w:rFonts w:ascii="Arial" w:eastAsia="Times New Roman" w:hAnsi="Arial" w:cs="Arial"/>
          <w:sz w:val="24"/>
          <w:szCs w:val="25"/>
        </w:rPr>
        <w:t xml:space="preserve"> and gave the Defendants leave to file a Notice of Amendment of the Def</w:t>
      </w:r>
      <w:r w:rsidR="00136C1B">
        <w:rPr>
          <w:rFonts w:ascii="Arial" w:eastAsia="Times New Roman" w:hAnsi="Arial" w:cs="Arial"/>
          <w:sz w:val="24"/>
          <w:szCs w:val="25"/>
        </w:rPr>
        <w:t>endants’ Plea in order to raise</w:t>
      </w:r>
      <w:r w:rsidR="00C229C2">
        <w:rPr>
          <w:rFonts w:ascii="Arial" w:eastAsia="Times New Roman" w:hAnsi="Arial" w:cs="Arial"/>
          <w:sz w:val="24"/>
          <w:szCs w:val="25"/>
        </w:rPr>
        <w:t xml:space="preserve"> alleged prescri</w:t>
      </w:r>
      <w:r w:rsidR="00922ED2">
        <w:rPr>
          <w:rFonts w:ascii="Arial" w:eastAsia="Times New Roman" w:hAnsi="Arial" w:cs="Arial"/>
          <w:sz w:val="24"/>
          <w:szCs w:val="25"/>
        </w:rPr>
        <w:t>ption of the Plaintiff’s claims. T</w:t>
      </w:r>
      <w:r w:rsidR="003A652A">
        <w:rPr>
          <w:rFonts w:ascii="Arial" w:eastAsia="Times New Roman" w:hAnsi="Arial" w:cs="Arial"/>
          <w:sz w:val="24"/>
          <w:szCs w:val="25"/>
        </w:rPr>
        <w:t>he only conceivable</w:t>
      </w:r>
      <w:r w:rsidR="00922ED2">
        <w:rPr>
          <w:rFonts w:ascii="Arial" w:eastAsia="Times New Roman" w:hAnsi="Arial" w:cs="Arial"/>
          <w:sz w:val="24"/>
          <w:szCs w:val="25"/>
        </w:rPr>
        <w:t xml:space="preserve"> Prescription Pleas are:</w:t>
      </w:r>
    </w:p>
    <w:p w14:paraId="4E2DBDC1" w14:textId="2A498AB6" w:rsidR="00C229C2" w:rsidRDefault="00C229C2" w:rsidP="00F61D6D">
      <w:pPr>
        <w:widowControl w:val="0"/>
        <w:spacing w:before="240" w:after="240" w:line="480" w:lineRule="auto"/>
        <w:ind w:left="2160" w:hanging="1305"/>
        <w:jc w:val="both"/>
        <w:rPr>
          <w:rFonts w:ascii="Arial" w:eastAsia="Times New Roman" w:hAnsi="Arial" w:cs="Arial"/>
          <w:sz w:val="24"/>
          <w:szCs w:val="25"/>
        </w:rPr>
      </w:pPr>
      <w:r>
        <w:rPr>
          <w:rFonts w:ascii="Arial" w:eastAsia="Times New Roman" w:hAnsi="Arial" w:cs="Arial"/>
          <w:sz w:val="24"/>
          <w:szCs w:val="25"/>
        </w:rPr>
        <w:t>[</w:t>
      </w:r>
      <w:r w:rsidR="00F61D6D">
        <w:rPr>
          <w:rFonts w:ascii="Arial" w:eastAsia="Times New Roman" w:hAnsi="Arial" w:cs="Arial"/>
          <w:sz w:val="24"/>
          <w:szCs w:val="25"/>
        </w:rPr>
        <w:t>3.1]</w:t>
      </w:r>
      <w:r w:rsidR="00F61D6D">
        <w:rPr>
          <w:rFonts w:ascii="Arial" w:eastAsia="Times New Roman" w:hAnsi="Arial" w:cs="Arial"/>
          <w:sz w:val="24"/>
          <w:szCs w:val="25"/>
        </w:rPr>
        <w:tab/>
        <w:t>prescription based upon sections 43 and 44 of the so-called COIDA, Act;</w:t>
      </w:r>
    </w:p>
    <w:p w14:paraId="625B41E1" w14:textId="1AF51734" w:rsidR="00F61D6D" w:rsidRDefault="00F61D6D" w:rsidP="00F61D6D">
      <w:pPr>
        <w:widowControl w:val="0"/>
        <w:spacing w:before="240" w:after="240" w:line="480" w:lineRule="auto"/>
        <w:ind w:left="2160" w:hanging="1305"/>
        <w:jc w:val="both"/>
        <w:rPr>
          <w:rFonts w:ascii="Arial" w:eastAsia="Times New Roman" w:hAnsi="Arial" w:cs="Arial"/>
          <w:sz w:val="24"/>
          <w:szCs w:val="25"/>
        </w:rPr>
      </w:pPr>
      <w:r>
        <w:rPr>
          <w:rFonts w:ascii="Arial" w:eastAsia="Times New Roman" w:hAnsi="Arial" w:cs="Arial"/>
          <w:sz w:val="24"/>
          <w:szCs w:val="25"/>
        </w:rPr>
        <w:t>[3.2]</w:t>
      </w:r>
      <w:r>
        <w:rPr>
          <w:rFonts w:ascii="Arial" w:eastAsia="Times New Roman" w:hAnsi="Arial" w:cs="Arial"/>
          <w:sz w:val="24"/>
          <w:szCs w:val="25"/>
        </w:rPr>
        <w:tab/>
        <w:t xml:space="preserve">prescription </w:t>
      </w:r>
      <w:r w:rsidR="006A6866">
        <w:rPr>
          <w:rFonts w:ascii="Arial" w:eastAsia="Times New Roman" w:hAnsi="Arial" w:cs="Arial"/>
          <w:sz w:val="24"/>
          <w:szCs w:val="25"/>
        </w:rPr>
        <w:t>in terms of the 1969 Prescription Act.</w:t>
      </w:r>
    </w:p>
    <w:p w14:paraId="4787DA91" w14:textId="5D9E2472" w:rsidR="006A6866" w:rsidRDefault="006A6866" w:rsidP="006A6866">
      <w:pPr>
        <w:widowControl w:val="0"/>
        <w:spacing w:before="240" w:after="240" w:line="480" w:lineRule="auto"/>
        <w:ind w:left="720" w:hanging="720"/>
        <w:jc w:val="both"/>
        <w:rPr>
          <w:rFonts w:ascii="Arial" w:eastAsia="Times New Roman" w:hAnsi="Arial" w:cs="Arial"/>
          <w:sz w:val="24"/>
          <w:szCs w:val="25"/>
          <w:lang w:val="en-GB"/>
        </w:rPr>
      </w:pPr>
      <w:r>
        <w:rPr>
          <w:rFonts w:ascii="Arial" w:eastAsia="Times New Roman" w:hAnsi="Arial" w:cs="Arial"/>
          <w:sz w:val="24"/>
          <w:szCs w:val="25"/>
        </w:rPr>
        <w:t>[4]</w:t>
      </w:r>
      <w:r>
        <w:rPr>
          <w:rFonts w:ascii="Arial" w:eastAsia="Times New Roman" w:hAnsi="Arial" w:cs="Arial"/>
          <w:sz w:val="24"/>
          <w:szCs w:val="25"/>
        </w:rPr>
        <w:tab/>
        <w:t>Ally, AJ furthermore ordered that in the event of Defendants’ failing to file the said Notice of Intention to Amend within a prescribed period, the Plaintiff could re-</w:t>
      </w:r>
      <w:r w:rsidRPr="006A6866">
        <w:rPr>
          <w:rFonts w:ascii="Arial" w:eastAsia="Times New Roman" w:hAnsi="Arial" w:cs="Arial"/>
          <w:sz w:val="24"/>
          <w:szCs w:val="25"/>
          <w:lang w:val="en-GB"/>
        </w:rPr>
        <w:t xml:space="preserve">enrol </w:t>
      </w:r>
      <w:r w:rsidR="00E179F3">
        <w:rPr>
          <w:rFonts w:ascii="Arial" w:eastAsia="Times New Roman" w:hAnsi="Arial" w:cs="Arial"/>
          <w:sz w:val="24"/>
          <w:szCs w:val="25"/>
          <w:lang w:val="en-GB"/>
        </w:rPr>
        <w:t>the application for summary judgment and apply for summary judgment.</w:t>
      </w:r>
    </w:p>
    <w:p w14:paraId="2DBA42B7" w14:textId="28B5A2FA" w:rsidR="00E179F3" w:rsidRDefault="00E179F3" w:rsidP="006A6866">
      <w:pPr>
        <w:widowControl w:val="0"/>
        <w:spacing w:before="240" w:after="240" w:line="480" w:lineRule="auto"/>
        <w:ind w:left="720" w:hanging="720"/>
        <w:jc w:val="both"/>
        <w:rPr>
          <w:rFonts w:ascii="Arial" w:eastAsia="Times New Roman" w:hAnsi="Arial" w:cs="Arial"/>
          <w:sz w:val="24"/>
          <w:szCs w:val="25"/>
          <w:lang w:val="en-GB"/>
        </w:rPr>
      </w:pPr>
      <w:r>
        <w:rPr>
          <w:rFonts w:ascii="Arial" w:eastAsia="Times New Roman" w:hAnsi="Arial" w:cs="Arial"/>
          <w:sz w:val="24"/>
          <w:szCs w:val="25"/>
          <w:lang w:val="en-GB"/>
        </w:rPr>
        <w:t>[5]</w:t>
      </w:r>
      <w:r>
        <w:rPr>
          <w:rFonts w:ascii="Arial" w:eastAsia="Times New Roman" w:hAnsi="Arial" w:cs="Arial"/>
          <w:sz w:val="24"/>
          <w:szCs w:val="25"/>
          <w:lang w:val="en-GB"/>
        </w:rPr>
        <w:tab/>
        <w:t>There can be no doubt that what Ally, AJ, had found was that had it not been for the possibility of properly pleaded Pleas of Prescription summary jud</w:t>
      </w:r>
      <w:r w:rsidR="00656945">
        <w:rPr>
          <w:rFonts w:ascii="Arial" w:eastAsia="Times New Roman" w:hAnsi="Arial" w:cs="Arial"/>
          <w:sz w:val="24"/>
          <w:szCs w:val="25"/>
          <w:lang w:val="en-GB"/>
        </w:rPr>
        <w:t>gment would have been granted</w:t>
      </w:r>
      <w:r>
        <w:rPr>
          <w:rFonts w:ascii="Arial" w:eastAsia="Times New Roman" w:hAnsi="Arial" w:cs="Arial"/>
          <w:sz w:val="24"/>
          <w:szCs w:val="25"/>
          <w:lang w:val="en-GB"/>
        </w:rPr>
        <w:t xml:space="preserve"> the Plaintiff. The deadline for filing a Notice of Intention to Amend to raise the said Prescription Pleas and the </w:t>
      </w:r>
      <w:r w:rsidRPr="00E179F3">
        <w:rPr>
          <w:rFonts w:ascii="Arial" w:eastAsia="Times New Roman" w:hAnsi="Arial" w:cs="Arial"/>
          <w:i/>
          <w:sz w:val="24"/>
          <w:szCs w:val="25"/>
          <w:lang w:val="en-GB"/>
        </w:rPr>
        <w:t>sequelae</w:t>
      </w:r>
      <w:r>
        <w:rPr>
          <w:rFonts w:ascii="Arial" w:eastAsia="Times New Roman" w:hAnsi="Arial" w:cs="Arial"/>
          <w:sz w:val="24"/>
          <w:szCs w:val="25"/>
          <w:lang w:val="en-GB"/>
        </w:rPr>
        <w:t xml:space="preserve"> of failing to do so timeously </w:t>
      </w:r>
      <w:r w:rsidRPr="00E179F3">
        <w:rPr>
          <w:rFonts w:ascii="Arial" w:eastAsia="Times New Roman" w:hAnsi="Arial" w:cs="Arial"/>
          <w:i/>
          <w:sz w:val="24"/>
          <w:szCs w:val="25"/>
          <w:lang w:val="en-GB"/>
        </w:rPr>
        <w:t>viz</w:t>
      </w:r>
      <w:r>
        <w:rPr>
          <w:rFonts w:ascii="Arial" w:eastAsia="Times New Roman" w:hAnsi="Arial" w:cs="Arial"/>
          <w:sz w:val="24"/>
          <w:szCs w:val="25"/>
          <w:lang w:val="en-GB"/>
        </w:rPr>
        <w:t xml:space="preserve"> that the Plaintiff could apply for summary judgment</w:t>
      </w:r>
      <w:r w:rsidR="00FD0DA7">
        <w:rPr>
          <w:rFonts w:ascii="Arial" w:eastAsia="Times New Roman" w:hAnsi="Arial" w:cs="Arial"/>
          <w:sz w:val="24"/>
          <w:szCs w:val="25"/>
          <w:lang w:val="en-GB"/>
        </w:rPr>
        <w:t xml:space="preserve"> again, in my opinion, makes this conclusion inevitable. </w:t>
      </w:r>
    </w:p>
    <w:p w14:paraId="6F122920" w14:textId="3E073EAC" w:rsidR="00FD0DA7" w:rsidRDefault="00FD0DA7" w:rsidP="006A6866">
      <w:pPr>
        <w:widowControl w:val="0"/>
        <w:spacing w:before="240" w:after="240" w:line="480" w:lineRule="auto"/>
        <w:ind w:left="720" w:hanging="720"/>
        <w:jc w:val="both"/>
        <w:rPr>
          <w:rFonts w:ascii="Arial" w:eastAsia="Times New Roman" w:hAnsi="Arial" w:cs="Arial"/>
          <w:sz w:val="24"/>
          <w:szCs w:val="25"/>
          <w:lang w:val="en-GB"/>
        </w:rPr>
      </w:pPr>
      <w:r>
        <w:rPr>
          <w:rFonts w:ascii="Arial" w:eastAsia="Times New Roman" w:hAnsi="Arial" w:cs="Arial"/>
          <w:sz w:val="24"/>
          <w:szCs w:val="25"/>
          <w:lang w:val="en-GB"/>
        </w:rPr>
        <w:t>[6]</w:t>
      </w:r>
      <w:r>
        <w:rPr>
          <w:rFonts w:ascii="Arial" w:eastAsia="Times New Roman" w:hAnsi="Arial" w:cs="Arial"/>
          <w:sz w:val="24"/>
          <w:szCs w:val="25"/>
          <w:lang w:val="en-GB"/>
        </w:rPr>
        <w:tab/>
        <w:t xml:space="preserve">In the premises, when the Defendants’ Counsel rose to address me I enquired from him on what basis the Defendants sought to raise new issues other than merely the two Prescription Pleas aforementioned? I indicated that </w:t>
      </w:r>
      <w:r w:rsidR="005D1C2F">
        <w:rPr>
          <w:rFonts w:ascii="Arial" w:eastAsia="Times New Roman" w:hAnsi="Arial" w:cs="Arial"/>
          <w:sz w:val="24"/>
          <w:szCs w:val="25"/>
          <w:lang w:val="en-GB"/>
        </w:rPr>
        <w:t xml:space="preserve">I was disinclined to hear argument pertaining to any other amendments because of my interpretation of Ally, AJ’s aforementioned judgment. </w:t>
      </w:r>
    </w:p>
    <w:p w14:paraId="15AD8D02" w14:textId="19B9DAF2" w:rsidR="005D1C2F" w:rsidRDefault="005D1C2F" w:rsidP="006A6866">
      <w:pPr>
        <w:widowControl w:val="0"/>
        <w:spacing w:before="240" w:after="240" w:line="480" w:lineRule="auto"/>
        <w:ind w:left="720" w:hanging="720"/>
        <w:jc w:val="both"/>
        <w:rPr>
          <w:rFonts w:ascii="Arial" w:eastAsia="Times New Roman" w:hAnsi="Arial" w:cs="Arial"/>
          <w:sz w:val="24"/>
          <w:szCs w:val="25"/>
          <w:lang w:val="en-GB"/>
        </w:rPr>
      </w:pPr>
      <w:r>
        <w:rPr>
          <w:rFonts w:ascii="Arial" w:eastAsia="Times New Roman" w:hAnsi="Arial" w:cs="Arial"/>
          <w:sz w:val="24"/>
          <w:szCs w:val="25"/>
          <w:lang w:val="en-GB"/>
        </w:rPr>
        <w:t>[7]</w:t>
      </w:r>
      <w:r>
        <w:rPr>
          <w:rFonts w:ascii="Arial" w:eastAsia="Times New Roman" w:hAnsi="Arial" w:cs="Arial"/>
          <w:sz w:val="24"/>
          <w:szCs w:val="25"/>
          <w:lang w:val="en-GB"/>
        </w:rPr>
        <w:tab/>
        <w:t xml:space="preserve">The Defendants’ Counsel could not advance any argument to dispel my </w:t>
      </w:r>
      <w:r w:rsidRPr="005D1C2F">
        <w:rPr>
          <w:rFonts w:ascii="Arial" w:eastAsia="Times New Roman" w:hAnsi="Arial" w:cs="Arial"/>
          <w:i/>
          <w:sz w:val="24"/>
          <w:szCs w:val="25"/>
          <w:lang w:val="en-GB"/>
        </w:rPr>
        <w:t>prima facie</w:t>
      </w:r>
      <w:r>
        <w:rPr>
          <w:rFonts w:ascii="Arial" w:eastAsia="Times New Roman" w:hAnsi="Arial" w:cs="Arial"/>
          <w:sz w:val="24"/>
          <w:szCs w:val="25"/>
          <w:lang w:val="en-GB"/>
        </w:rPr>
        <w:t xml:space="preserve"> view of the matter and consequently, (and correctly so), indicated that the Defendants would pursue merely an amendment in respect of the two Pleas of </w:t>
      </w:r>
      <w:r w:rsidR="000B353C">
        <w:rPr>
          <w:rFonts w:ascii="Arial" w:eastAsia="Times New Roman" w:hAnsi="Arial" w:cs="Arial"/>
          <w:sz w:val="24"/>
          <w:szCs w:val="25"/>
          <w:lang w:val="en-GB"/>
        </w:rPr>
        <w:t>Prescription</w:t>
      </w:r>
      <w:r>
        <w:rPr>
          <w:rFonts w:ascii="Arial" w:eastAsia="Times New Roman" w:hAnsi="Arial" w:cs="Arial"/>
          <w:sz w:val="24"/>
          <w:szCs w:val="25"/>
          <w:lang w:val="en-GB"/>
        </w:rPr>
        <w:t xml:space="preserve">. </w:t>
      </w:r>
    </w:p>
    <w:p w14:paraId="4D2226DD" w14:textId="6AF2698C" w:rsidR="005D1C2F" w:rsidRDefault="005D1C2F" w:rsidP="006A6866">
      <w:pPr>
        <w:widowControl w:val="0"/>
        <w:spacing w:before="240" w:after="240" w:line="480" w:lineRule="auto"/>
        <w:ind w:left="720" w:hanging="720"/>
        <w:jc w:val="both"/>
        <w:rPr>
          <w:rFonts w:ascii="Arial" w:eastAsia="Times New Roman" w:hAnsi="Arial" w:cs="Arial"/>
          <w:sz w:val="24"/>
          <w:szCs w:val="25"/>
          <w:lang w:val="en-GB"/>
        </w:rPr>
      </w:pPr>
      <w:r>
        <w:rPr>
          <w:rFonts w:ascii="Arial" w:eastAsia="Times New Roman" w:hAnsi="Arial" w:cs="Arial"/>
          <w:sz w:val="24"/>
          <w:szCs w:val="25"/>
          <w:lang w:val="en-GB"/>
        </w:rPr>
        <w:t>[8]</w:t>
      </w:r>
      <w:r>
        <w:rPr>
          <w:rFonts w:ascii="Arial" w:eastAsia="Times New Roman" w:hAnsi="Arial" w:cs="Arial"/>
          <w:sz w:val="24"/>
          <w:szCs w:val="25"/>
          <w:lang w:val="en-GB"/>
        </w:rPr>
        <w:tab/>
        <w:t>The</w:t>
      </w:r>
      <w:r w:rsidR="00E547BA">
        <w:rPr>
          <w:rFonts w:ascii="Arial" w:eastAsia="Times New Roman" w:hAnsi="Arial" w:cs="Arial"/>
          <w:sz w:val="24"/>
          <w:szCs w:val="25"/>
          <w:lang w:val="en-GB"/>
        </w:rPr>
        <w:t xml:space="preserve"> fact that the Defendants attempted</w:t>
      </w:r>
      <w:r>
        <w:rPr>
          <w:rFonts w:ascii="Arial" w:eastAsia="Times New Roman" w:hAnsi="Arial" w:cs="Arial"/>
          <w:sz w:val="24"/>
          <w:szCs w:val="25"/>
          <w:lang w:val="en-GB"/>
        </w:rPr>
        <w:t xml:space="preserve"> to amend their Plea in various respects not permitted in terms of Ally, AJ’s judgment means </w:t>
      </w:r>
      <w:r w:rsidR="00E547BA">
        <w:rPr>
          <w:rFonts w:ascii="Arial" w:eastAsia="Times New Roman" w:hAnsi="Arial" w:cs="Arial"/>
          <w:sz w:val="24"/>
          <w:szCs w:val="25"/>
          <w:lang w:val="en-GB"/>
        </w:rPr>
        <w:t xml:space="preserve">that this </w:t>
      </w:r>
      <w:r w:rsidR="00FC3C4D">
        <w:rPr>
          <w:rFonts w:ascii="Arial" w:eastAsia="Times New Roman" w:hAnsi="Arial" w:cs="Arial"/>
          <w:sz w:val="24"/>
          <w:szCs w:val="25"/>
          <w:lang w:val="en-GB"/>
        </w:rPr>
        <w:t>is not an application to amend the Defendants’ Plea in the terms permitted by Ally, AJ.  The Defendants’</w:t>
      </w:r>
      <w:r w:rsidR="00662395">
        <w:rPr>
          <w:rFonts w:ascii="Arial" w:eastAsia="Times New Roman" w:hAnsi="Arial" w:cs="Arial"/>
          <w:sz w:val="24"/>
          <w:szCs w:val="25"/>
          <w:lang w:val="en-GB"/>
        </w:rPr>
        <w:t xml:space="preserve"> application should, on this ground, be dismissed. However, it cannot be gainsaid that the abor</w:t>
      </w:r>
      <w:r w:rsidR="00E547BA">
        <w:rPr>
          <w:rFonts w:ascii="Arial" w:eastAsia="Times New Roman" w:hAnsi="Arial" w:cs="Arial"/>
          <w:sz w:val="24"/>
          <w:szCs w:val="25"/>
          <w:lang w:val="en-GB"/>
        </w:rPr>
        <w:t>tive amendment also contains</w:t>
      </w:r>
      <w:r w:rsidR="00662395">
        <w:rPr>
          <w:rFonts w:ascii="Arial" w:eastAsia="Times New Roman" w:hAnsi="Arial" w:cs="Arial"/>
          <w:sz w:val="24"/>
          <w:szCs w:val="25"/>
          <w:lang w:val="en-GB"/>
        </w:rPr>
        <w:t xml:space="preserve"> two types of prescription which was indeed </w:t>
      </w:r>
      <w:r w:rsidR="00E547BA">
        <w:rPr>
          <w:rFonts w:ascii="Arial" w:eastAsia="Times New Roman" w:hAnsi="Arial" w:cs="Arial"/>
          <w:sz w:val="24"/>
          <w:szCs w:val="25"/>
          <w:lang w:val="en-GB"/>
        </w:rPr>
        <w:t xml:space="preserve">something </w:t>
      </w:r>
      <w:r w:rsidR="00662395">
        <w:rPr>
          <w:rFonts w:ascii="Arial" w:eastAsia="Times New Roman" w:hAnsi="Arial" w:cs="Arial"/>
          <w:sz w:val="24"/>
          <w:szCs w:val="25"/>
          <w:lang w:val="en-GB"/>
        </w:rPr>
        <w:t xml:space="preserve">permitted to be raised in a Notice of Intention to Amend, by Ally, AJ. A dismissal of the Defendants’ present application on the grounds that it </w:t>
      </w:r>
      <w:r w:rsidR="00C309D8">
        <w:rPr>
          <w:rFonts w:ascii="Arial" w:eastAsia="Times New Roman" w:hAnsi="Arial" w:cs="Arial"/>
          <w:sz w:val="24"/>
          <w:szCs w:val="25"/>
          <w:lang w:val="en-GB"/>
        </w:rPr>
        <w:t>did not comply with the permission granted by All, AJ, to apply to amend the Defend</w:t>
      </w:r>
      <w:r w:rsidR="00815ECD">
        <w:rPr>
          <w:rFonts w:ascii="Arial" w:eastAsia="Times New Roman" w:hAnsi="Arial" w:cs="Arial"/>
          <w:sz w:val="24"/>
          <w:szCs w:val="25"/>
          <w:lang w:val="en-GB"/>
        </w:rPr>
        <w:t>ants’ Plea to raise only</w:t>
      </w:r>
      <w:r w:rsidR="00C309D8">
        <w:rPr>
          <w:rFonts w:ascii="Arial" w:eastAsia="Times New Roman" w:hAnsi="Arial" w:cs="Arial"/>
          <w:sz w:val="24"/>
          <w:szCs w:val="25"/>
          <w:lang w:val="en-GB"/>
        </w:rPr>
        <w:t xml:space="preserve"> Prescription, would, inevitably, lead to another round of an application to amend and objections thereto. Another Court would </w:t>
      </w:r>
      <w:r w:rsidR="00774BE6">
        <w:rPr>
          <w:rFonts w:ascii="Arial" w:eastAsia="Times New Roman" w:hAnsi="Arial" w:cs="Arial"/>
          <w:sz w:val="24"/>
          <w:szCs w:val="25"/>
          <w:lang w:val="en-GB"/>
        </w:rPr>
        <w:t>be burdened with the copious papers I have been burdened with in this application and that is obviously undesirable, especially in the light of the fact that I have considered the issues underlying the two Pleas for Prescription foreshadowed in Ally, AJ’s order. I thus proceed to</w:t>
      </w:r>
      <w:r w:rsidR="00AE6106">
        <w:rPr>
          <w:rFonts w:ascii="Arial" w:eastAsia="Times New Roman" w:hAnsi="Arial" w:cs="Arial"/>
          <w:sz w:val="24"/>
          <w:szCs w:val="25"/>
          <w:lang w:val="en-GB"/>
        </w:rPr>
        <w:t xml:space="preserve"> consider the objections to</w:t>
      </w:r>
      <w:r w:rsidR="00774BE6">
        <w:rPr>
          <w:rFonts w:ascii="Arial" w:eastAsia="Times New Roman" w:hAnsi="Arial" w:cs="Arial"/>
          <w:sz w:val="24"/>
          <w:szCs w:val="25"/>
          <w:lang w:val="en-GB"/>
        </w:rPr>
        <w:t xml:space="preserve"> those two proposed amendments to the Defendants’ Plea.</w:t>
      </w:r>
    </w:p>
    <w:p w14:paraId="42861FDB" w14:textId="1B256D2B" w:rsidR="001B6DB4" w:rsidRDefault="00774BE6" w:rsidP="006A6866">
      <w:pPr>
        <w:widowControl w:val="0"/>
        <w:spacing w:before="240" w:after="240" w:line="480" w:lineRule="auto"/>
        <w:ind w:left="720" w:hanging="720"/>
        <w:jc w:val="both"/>
        <w:rPr>
          <w:rFonts w:ascii="Arial" w:eastAsia="Times New Roman" w:hAnsi="Arial" w:cs="Arial"/>
          <w:sz w:val="24"/>
          <w:szCs w:val="25"/>
          <w:lang w:val="en-GB"/>
        </w:rPr>
      </w:pPr>
      <w:r>
        <w:rPr>
          <w:rFonts w:ascii="Arial" w:eastAsia="Times New Roman" w:hAnsi="Arial" w:cs="Arial"/>
          <w:sz w:val="24"/>
          <w:szCs w:val="25"/>
          <w:lang w:val="en-GB"/>
        </w:rPr>
        <w:t>[9]</w:t>
      </w:r>
      <w:r>
        <w:rPr>
          <w:rFonts w:ascii="Arial" w:eastAsia="Times New Roman" w:hAnsi="Arial" w:cs="Arial"/>
          <w:sz w:val="24"/>
          <w:szCs w:val="25"/>
          <w:lang w:val="en-GB"/>
        </w:rPr>
        <w:tab/>
        <w:t xml:space="preserve">The Plaintiff’s objection to the proposed </w:t>
      </w:r>
      <w:r w:rsidR="000B353C">
        <w:rPr>
          <w:rFonts w:ascii="Arial" w:eastAsia="Times New Roman" w:hAnsi="Arial" w:cs="Arial"/>
          <w:sz w:val="24"/>
          <w:szCs w:val="25"/>
          <w:lang w:val="en-GB"/>
        </w:rPr>
        <w:t xml:space="preserve">Special </w:t>
      </w:r>
      <w:r>
        <w:rPr>
          <w:rFonts w:ascii="Arial" w:eastAsia="Times New Roman" w:hAnsi="Arial" w:cs="Arial"/>
          <w:sz w:val="24"/>
          <w:szCs w:val="25"/>
          <w:lang w:val="en-GB"/>
        </w:rPr>
        <w:t>Plea in terms of sections 43 and 44 of COIDA is approximately four pages long and consists of three sub-paragraphs of which sub-paragraph 3.2 consists, in turn, of 10 sub-sub-paragraphs. I therefore do not</w:t>
      </w:r>
      <w:r w:rsidR="00A621A9">
        <w:rPr>
          <w:rFonts w:ascii="Arial" w:eastAsia="Times New Roman" w:hAnsi="Arial" w:cs="Arial"/>
          <w:sz w:val="24"/>
          <w:szCs w:val="25"/>
          <w:lang w:val="en-GB"/>
        </w:rPr>
        <w:t xml:space="preserve"> intend repeating those grounds</w:t>
      </w:r>
      <w:r>
        <w:rPr>
          <w:rFonts w:ascii="Arial" w:eastAsia="Times New Roman" w:hAnsi="Arial" w:cs="Arial"/>
          <w:sz w:val="24"/>
          <w:szCs w:val="25"/>
          <w:lang w:val="en-GB"/>
        </w:rPr>
        <w:t xml:space="preserve"> especially where some of the grounds consist of merely motivating the gravamen of the objection. The gravamen of the objection is that the </w:t>
      </w:r>
      <w:r w:rsidR="001B6DB4">
        <w:rPr>
          <w:rFonts w:ascii="Arial" w:eastAsia="Times New Roman" w:hAnsi="Arial" w:cs="Arial"/>
          <w:sz w:val="24"/>
          <w:szCs w:val="25"/>
          <w:lang w:val="en-GB"/>
        </w:rPr>
        <w:t>Plaintiff</w:t>
      </w:r>
      <w:r>
        <w:rPr>
          <w:rFonts w:ascii="Arial" w:eastAsia="Times New Roman" w:hAnsi="Arial" w:cs="Arial"/>
          <w:sz w:val="24"/>
          <w:szCs w:val="25"/>
          <w:lang w:val="en-GB"/>
        </w:rPr>
        <w:t xml:space="preserve">’s claims </w:t>
      </w:r>
      <w:r w:rsidR="007F241F">
        <w:rPr>
          <w:rFonts w:ascii="Arial" w:eastAsia="Times New Roman" w:hAnsi="Arial" w:cs="Arial"/>
          <w:sz w:val="24"/>
          <w:szCs w:val="25"/>
          <w:lang w:val="en-GB"/>
        </w:rPr>
        <w:t>do not fall within the ambit of sections 43 and 44</w:t>
      </w:r>
      <w:r w:rsidR="00A621A9">
        <w:rPr>
          <w:rFonts w:ascii="Arial" w:eastAsia="Times New Roman" w:hAnsi="Arial" w:cs="Arial"/>
          <w:sz w:val="24"/>
          <w:szCs w:val="25"/>
          <w:lang w:val="en-GB"/>
        </w:rPr>
        <w:t xml:space="preserve"> of COIDA</w:t>
      </w:r>
      <w:r w:rsidR="007F241F">
        <w:rPr>
          <w:rFonts w:ascii="Arial" w:eastAsia="Times New Roman" w:hAnsi="Arial" w:cs="Arial"/>
          <w:sz w:val="24"/>
          <w:szCs w:val="25"/>
          <w:lang w:val="en-GB"/>
        </w:rPr>
        <w:t xml:space="preserve"> because the </w:t>
      </w:r>
      <w:r w:rsidR="001B6DB4">
        <w:rPr>
          <w:rFonts w:ascii="Arial" w:eastAsia="Times New Roman" w:hAnsi="Arial" w:cs="Arial"/>
          <w:sz w:val="24"/>
          <w:szCs w:val="25"/>
          <w:lang w:val="en-GB"/>
        </w:rPr>
        <w:t>Plaintiff</w:t>
      </w:r>
      <w:r w:rsidR="007F241F">
        <w:rPr>
          <w:rFonts w:ascii="Arial" w:eastAsia="Times New Roman" w:hAnsi="Arial" w:cs="Arial"/>
          <w:sz w:val="24"/>
          <w:szCs w:val="25"/>
          <w:lang w:val="en-GB"/>
        </w:rPr>
        <w:t>’s claims are based on medical invoices in respect of medical services</w:t>
      </w:r>
      <w:r w:rsidR="00A621A9">
        <w:rPr>
          <w:rFonts w:ascii="Arial" w:eastAsia="Times New Roman" w:hAnsi="Arial" w:cs="Arial"/>
          <w:sz w:val="24"/>
          <w:szCs w:val="25"/>
          <w:lang w:val="en-GB"/>
        </w:rPr>
        <w:t xml:space="preserve"> provided, albeit that same were</w:t>
      </w:r>
      <w:r w:rsidR="007F241F">
        <w:rPr>
          <w:rFonts w:ascii="Arial" w:eastAsia="Times New Roman" w:hAnsi="Arial" w:cs="Arial"/>
          <w:sz w:val="24"/>
          <w:szCs w:val="25"/>
          <w:lang w:val="en-GB"/>
        </w:rPr>
        <w:t xml:space="preserve"> ultimately </w:t>
      </w:r>
      <w:r w:rsidR="00A621A9">
        <w:rPr>
          <w:rFonts w:ascii="Arial" w:eastAsia="Times New Roman" w:hAnsi="Arial" w:cs="Arial"/>
          <w:sz w:val="24"/>
          <w:szCs w:val="25"/>
          <w:lang w:val="en-GB"/>
        </w:rPr>
        <w:t xml:space="preserve">in respect of services </w:t>
      </w:r>
      <w:r w:rsidR="007F241F">
        <w:rPr>
          <w:rFonts w:ascii="Arial" w:eastAsia="Times New Roman" w:hAnsi="Arial" w:cs="Arial"/>
          <w:sz w:val="24"/>
          <w:szCs w:val="25"/>
          <w:lang w:val="en-GB"/>
        </w:rPr>
        <w:t xml:space="preserve">for the benefit of an employee. The following words in paragraph 3.2.3 of the Plaintiff’s </w:t>
      </w:r>
      <w:r w:rsidR="001B6DB4">
        <w:rPr>
          <w:rFonts w:ascii="Arial" w:eastAsia="Times New Roman" w:hAnsi="Arial" w:cs="Arial"/>
          <w:sz w:val="24"/>
          <w:szCs w:val="25"/>
          <w:lang w:val="en-GB"/>
        </w:rPr>
        <w:t>objection to the proposed amendment sum up the position of the Plaintiff:</w:t>
      </w:r>
    </w:p>
    <w:p w14:paraId="3F458CEC" w14:textId="695405A1" w:rsidR="00774BE6" w:rsidRPr="006A6866" w:rsidRDefault="001B6DB4" w:rsidP="00431370">
      <w:pPr>
        <w:widowControl w:val="0"/>
        <w:spacing w:before="240" w:after="240" w:line="480" w:lineRule="auto"/>
        <w:ind w:left="2160"/>
        <w:jc w:val="both"/>
        <w:rPr>
          <w:rFonts w:ascii="Arial" w:eastAsia="Times New Roman" w:hAnsi="Arial" w:cs="Arial"/>
          <w:sz w:val="24"/>
          <w:szCs w:val="25"/>
          <w:lang w:val="en-GB"/>
        </w:rPr>
      </w:pPr>
      <w:r>
        <w:rPr>
          <w:rFonts w:ascii="Arial" w:eastAsia="Times New Roman" w:hAnsi="Arial" w:cs="Arial"/>
          <w:sz w:val="24"/>
          <w:szCs w:val="25"/>
          <w:lang w:val="en-GB"/>
        </w:rPr>
        <w:t>“</w:t>
      </w:r>
      <w:r w:rsidR="00431370" w:rsidRPr="00431370">
        <w:rPr>
          <w:rFonts w:ascii="Arial" w:eastAsia="Times New Roman" w:hAnsi="Arial" w:cs="Arial"/>
          <w:i/>
          <w:szCs w:val="25"/>
          <w:lang w:val="en-GB"/>
        </w:rPr>
        <w:t>To interpret these sections as to include medical invoices would lead</w:t>
      </w:r>
      <w:r w:rsidR="00774BE6" w:rsidRPr="00431370">
        <w:rPr>
          <w:rFonts w:ascii="Arial" w:eastAsia="Times New Roman" w:hAnsi="Arial" w:cs="Arial"/>
          <w:i/>
          <w:szCs w:val="25"/>
          <w:lang w:val="en-GB"/>
        </w:rPr>
        <w:t xml:space="preserve"> </w:t>
      </w:r>
      <w:r w:rsidR="00294AFE">
        <w:rPr>
          <w:rFonts w:ascii="Arial" w:eastAsia="Times New Roman" w:hAnsi="Arial" w:cs="Arial"/>
          <w:i/>
          <w:szCs w:val="25"/>
          <w:lang w:val="en-GB"/>
        </w:rPr>
        <w:t xml:space="preserve">to </w:t>
      </w:r>
      <w:r w:rsidR="00431370" w:rsidRPr="00431370">
        <w:rPr>
          <w:rFonts w:ascii="Arial" w:eastAsia="Times New Roman" w:hAnsi="Arial" w:cs="Arial"/>
          <w:i/>
          <w:szCs w:val="25"/>
          <w:lang w:val="en-GB"/>
        </w:rPr>
        <w:t>an absurdity</w:t>
      </w:r>
      <w:r w:rsidR="00431370">
        <w:rPr>
          <w:rFonts w:ascii="Arial" w:eastAsia="Times New Roman" w:hAnsi="Arial" w:cs="Arial"/>
          <w:sz w:val="24"/>
          <w:szCs w:val="25"/>
          <w:lang w:val="en-GB"/>
        </w:rPr>
        <w:t>.”</w:t>
      </w:r>
    </w:p>
    <w:p w14:paraId="0DF73F77" w14:textId="6B1FD480" w:rsidR="00834B73" w:rsidRDefault="00582AF5" w:rsidP="00CF0DC7">
      <w:pPr>
        <w:widowControl w:val="0"/>
        <w:spacing w:before="240" w:after="240" w:line="480" w:lineRule="auto"/>
        <w:ind w:left="851" w:hanging="851"/>
        <w:jc w:val="both"/>
        <w:rPr>
          <w:rFonts w:ascii="Arial" w:eastAsia="Times New Roman" w:hAnsi="Arial" w:cs="Arial"/>
          <w:sz w:val="24"/>
          <w:szCs w:val="25"/>
        </w:rPr>
      </w:pPr>
      <w:r>
        <w:rPr>
          <w:rFonts w:ascii="Arial" w:eastAsia="Times New Roman" w:hAnsi="Arial" w:cs="Arial"/>
          <w:sz w:val="24"/>
          <w:szCs w:val="25"/>
        </w:rPr>
        <w:t>[10]</w:t>
      </w:r>
      <w:r>
        <w:rPr>
          <w:rFonts w:ascii="Arial" w:eastAsia="Times New Roman" w:hAnsi="Arial" w:cs="Arial"/>
          <w:sz w:val="24"/>
          <w:szCs w:val="25"/>
        </w:rPr>
        <w:tab/>
      </w:r>
      <w:r w:rsidR="00C0782B">
        <w:rPr>
          <w:rFonts w:ascii="Arial" w:eastAsia="Times New Roman" w:hAnsi="Arial" w:cs="Arial"/>
          <w:sz w:val="24"/>
          <w:szCs w:val="25"/>
        </w:rPr>
        <w:t>The Plaintiff’s grounds of objection to the Plea of Prescription in terms of the Prescription A</w:t>
      </w:r>
      <w:r w:rsidR="006768FA">
        <w:rPr>
          <w:rFonts w:ascii="Arial" w:eastAsia="Times New Roman" w:hAnsi="Arial" w:cs="Arial"/>
          <w:sz w:val="24"/>
          <w:szCs w:val="25"/>
        </w:rPr>
        <w:t>ct are</w:t>
      </w:r>
      <w:r w:rsidR="00C0782B">
        <w:rPr>
          <w:rFonts w:ascii="Arial" w:eastAsia="Times New Roman" w:hAnsi="Arial" w:cs="Arial"/>
          <w:sz w:val="24"/>
          <w:szCs w:val="25"/>
        </w:rPr>
        <w:t xml:space="preserve"> </w:t>
      </w:r>
      <w:r w:rsidR="006768FA">
        <w:rPr>
          <w:rFonts w:ascii="Arial" w:eastAsia="Times New Roman" w:hAnsi="Arial" w:cs="Arial"/>
          <w:sz w:val="24"/>
          <w:szCs w:val="25"/>
        </w:rPr>
        <w:t>that the Plea is bad in law for the following reasons:</w:t>
      </w:r>
    </w:p>
    <w:p w14:paraId="4CF8D522" w14:textId="517A702A" w:rsidR="006768FA" w:rsidRDefault="006768FA" w:rsidP="006768FA">
      <w:pPr>
        <w:widowControl w:val="0"/>
        <w:spacing w:before="240" w:after="240" w:line="480" w:lineRule="auto"/>
        <w:ind w:left="2160" w:hanging="1305"/>
        <w:jc w:val="both"/>
        <w:rPr>
          <w:rFonts w:ascii="Arial" w:eastAsia="Times New Roman" w:hAnsi="Arial" w:cs="Arial"/>
          <w:sz w:val="24"/>
          <w:szCs w:val="25"/>
        </w:rPr>
      </w:pPr>
      <w:r>
        <w:rPr>
          <w:rFonts w:ascii="Arial" w:eastAsia="Times New Roman" w:hAnsi="Arial" w:cs="Arial"/>
          <w:sz w:val="24"/>
          <w:szCs w:val="25"/>
        </w:rPr>
        <w:t>[10.1]</w:t>
      </w:r>
      <w:r>
        <w:rPr>
          <w:rFonts w:ascii="Arial" w:eastAsia="Times New Roman" w:hAnsi="Arial" w:cs="Arial"/>
          <w:sz w:val="24"/>
          <w:szCs w:val="25"/>
        </w:rPr>
        <w:tab/>
        <w:t>The Defendants fail to state why the claims have prescribed. The Defendants fail to contend when the liability arose in respect of each claim and consequently the Plea is excipiable.</w:t>
      </w:r>
    </w:p>
    <w:p w14:paraId="612DD6BE" w14:textId="4037DC28" w:rsidR="006768FA" w:rsidRDefault="006768FA" w:rsidP="006768FA">
      <w:pPr>
        <w:widowControl w:val="0"/>
        <w:spacing w:before="240" w:after="240" w:line="480" w:lineRule="auto"/>
        <w:ind w:left="2160" w:hanging="1305"/>
        <w:jc w:val="both"/>
        <w:rPr>
          <w:rFonts w:ascii="Arial" w:eastAsia="Times New Roman" w:hAnsi="Arial" w:cs="Arial"/>
          <w:sz w:val="24"/>
          <w:szCs w:val="25"/>
        </w:rPr>
      </w:pPr>
      <w:r>
        <w:rPr>
          <w:rFonts w:ascii="Arial" w:eastAsia="Times New Roman" w:hAnsi="Arial" w:cs="Arial"/>
          <w:sz w:val="24"/>
          <w:szCs w:val="25"/>
        </w:rPr>
        <w:t>[10.2]</w:t>
      </w:r>
      <w:r>
        <w:rPr>
          <w:rFonts w:ascii="Arial" w:eastAsia="Times New Roman" w:hAnsi="Arial" w:cs="Arial"/>
          <w:sz w:val="24"/>
          <w:szCs w:val="25"/>
        </w:rPr>
        <w:tab/>
        <w:t>A variety of factual averments and what must be made from these averments, (</w:t>
      </w:r>
      <w:r w:rsidRPr="00F12A9F">
        <w:rPr>
          <w:rFonts w:ascii="Arial" w:eastAsia="Times New Roman" w:hAnsi="Arial" w:cs="Arial"/>
          <w:i/>
          <w:sz w:val="24"/>
          <w:szCs w:val="25"/>
        </w:rPr>
        <w:t>vide</w:t>
      </w:r>
      <w:r>
        <w:rPr>
          <w:rFonts w:ascii="Arial" w:eastAsia="Times New Roman" w:hAnsi="Arial" w:cs="Arial"/>
          <w:sz w:val="24"/>
          <w:szCs w:val="25"/>
        </w:rPr>
        <w:t xml:space="preserve"> paragraphs 4.2.2, 4.2.3 and 4.2.4 of the Notice of Objection).</w:t>
      </w:r>
      <w:r w:rsidR="00F12A9F">
        <w:rPr>
          <w:rFonts w:ascii="Arial" w:eastAsia="Times New Roman" w:hAnsi="Arial" w:cs="Arial"/>
          <w:sz w:val="24"/>
          <w:szCs w:val="25"/>
        </w:rPr>
        <w:t xml:space="preserve"> I deem it unnecessary to list these facts because the contention that the Prescription Plea based on the Prescription Act is “</w:t>
      </w:r>
      <w:r w:rsidR="00F12A9F" w:rsidRPr="00F12A9F">
        <w:rPr>
          <w:rFonts w:ascii="Arial" w:eastAsia="Times New Roman" w:hAnsi="Arial" w:cs="Arial"/>
          <w:i/>
          <w:sz w:val="24"/>
          <w:szCs w:val="25"/>
        </w:rPr>
        <w:t>bad in law</w:t>
      </w:r>
      <w:r w:rsidR="00F12A9F">
        <w:rPr>
          <w:rFonts w:ascii="Arial" w:eastAsia="Times New Roman" w:hAnsi="Arial" w:cs="Arial"/>
          <w:sz w:val="24"/>
          <w:szCs w:val="25"/>
        </w:rPr>
        <w:t xml:space="preserve">” means that the principles applicable to the </w:t>
      </w:r>
      <w:r w:rsidR="0038338A">
        <w:rPr>
          <w:rFonts w:ascii="Arial" w:eastAsia="Times New Roman" w:hAnsi="Arial" w:cs="Arial"/>
          <w:sz w:val="24"/>
          <w:szCs w:val="25"/>
        </w:rPr>
        <w:t>adjudication of Exceptions apply and that does not permit the introduction of extraneous evidence and/or documentation.</w:t>
      </w:r>
    </w:p>
    <w:p w14:paraId="2B1ADA5D" w14:textId="575226CD" w:rsidR="0038338A" w:rsidRDefault="002F1D5D" w:rsidP="006768FA">
      <w:pPr>
        <w:widowControl w:val="0"/>
        <w:spacing w:before="240" w:after="240" w:line="480" w:lineRule="auto"/>
        <w:ind w:left="2160" w:hanging="1305"/>
        <w:jc w:val="both"/>
        <w:rPr>
          <w:rFonts w:ascii="Arial" w:eastAsia="Times New Roman" w:hAnsi="Arial" w:cs="Arial"/>
          <w:sz w:val="24"/>
          <w:szCs w:val="25"/>
        </w:rPr>
      </w:pPr>
      <w:r>
        <w:rPr>
          <w:rFonts w:ascii="Arial" w:eastAsia="Times New Roman" w:hAnsi="Arial" w:cs="Arial"/>
          <w:sz w:val="24"/>
          <w:szCs w:val="25"/>
        </w:rPr>
        <w:t>[10.3]</w:t>
      </w:r>
      <w:r>
        <w:rPr>
          <w:rFonts w:ascii="Arial" w:eastAsia="Times New Roman" w:hAnsi="Arial" w:cs="Arial"/>
          <w:sz w:val="24"/>
          <w:szCs w:val="25"/>
        </w:rPr>
        <w:tab/>
        <w:t>Should the proposed amendment be permitted the amended Plea will disclose no defence and will, accordingly, be excipiable.</w:t>
      </w:r>
    </w:p>
    <w:p w14:paraId="05A7658F" w14:textId="530E01CD" w:rsidR="002F1D5D" w:rsidRDefault="00E73F91" w:rsidP="00E73F91">
      <w:pPr>
        <w:widowControl w:val="0"/>
        <w:spacing w:before="240" w:after="240" w:line="480" w:lineRule="auto"/>
        <w:ind w:left="720" w:hanging="720"/>
        <w:jc w:val="both"/>
        <w:rPr>
          <w:rFonts w:ascii="Arial" w:eastAsia="Times New Roman" w:hAnsi="Arial" w:cs="Arial"/>
          <w:sz w:val="24"/>
          <w:szCs w:val="25"/>
        </w:rPr>
      </w:pPr>
      <w:r>
        <w:rPr>
          <w:rFonts w:ascii="Arial" w:eastAsia="Times New Roman" w:hAnsi="Arial" w:cs="Arial"/>
          <w:sz w:val="24"/>
          <w:szCs w:val="25"/>
        </w:rPr>
        <w:t>[11]</w:t>
      </w:r>
      <w:r>
        <w:rPr>
          <w:rFonts w:ascii="Arial" w:eastAsia="Times New Roman" w:hAnsi="Arial" w:cs="Arial"/>
          <w:sz w:val="24"/>
          <w:szCs w:val="25"/>
        </w:rPr>
        <w:tab/>
        <w:t xml:space="preserve">The Defendants’ present application was supported by a Founding Affidavit to which the Plaintiff filed an Answering Affidavit and the Defendants thereupon filed a Reply. In my finding the Affidavits were </w:t>
      </w:r>
      <w:r w:rsidR="001F707B">
        <w:rPr>
          <w:rFonts w:ascii="Arial" w:eastAsia="Times New Roman" w:hAnsi="Arial" w:cs="Arial"/>
          <w:sz w:val="24"/>
          <w:szCs w:val="25"/>
        </w:rPr>
        <w:t xml:space="preserve">largely </w:t>
      </w:r>
      <w:r>
        <w:rPr>
          <w:rFonts w:ascii="Arial" w:eastAsia="Times New Roman" w:hAnsi="Arial" w:cs="Arial"/>
          <w:sz w:val="24"/>
          <w:szCs w:val="25"/>
        </w:rPr>
        <w:t xml:space="preserve">either </w:t>
      </w:r>
      <w:r w:rsidR="0006236F">
        <w:rPr>
          <w:rFonts w:ascii="Arial" w:eastAsia="Times New Roman" w:hAnsi="Arial" w:cs="Arial"/>
          <w:sz w:val="24"/>
          <w:szCs w:val="25"/>
        </w:rPr>
        <w:t>unnecessary or failed to take anything of any import any further</w:t>
      </w:r>
      <w:r w:rsidR="001F707B">
        <w:rPr>
          <w:rFonts w:ascii="Arial" w:eastAsia="Times New Roman" w:hAnsi="Arial" w:cs="Arial"/>
          <w:sz w:val="24"/>
          <w:szCs w:val="25"/>
        </w:rPr>
        <w:t xml:space="preserve"> given the principles applicable to </w:t>
      </w:r>
      <w:r w:rsidR="003A652A">
        <w:rPr>
          <w:rFonts w:ascii="Arial" w:eastAsia="Times New Roman" w:hAnsi="Arial" w:cs="Arial"/>
          <w:sz w:val="24"/>
          <w:szCs w:val="25"/>
        </w:rPr>
        <w:t>e</w:t>
      </w:r>
      <w:bookmarkStart w:id="0" w:name="_GoBack"/>
      <w:bookmarkEnd w:id="0"/>
      <w:r w:rsidR="001F707B">
        <w:rPr>
          <w:rFonts w:ascii="Arial" w:eastAsia="Times New Roman" w:hAnsi="Arial" w:cs="Arial"/>
          <w:sz w:val="24"/>
          <w:szCs w:val="25"/>
        </w:rPr>
        <w:t>xceptions and applications to amend pleadings</w:t>
      </w:r>
      <w:r w:rsidR="0006236F">
        <w:rPr>
          <w:rFonts w:ascii="Arial" w:eastAsia="Times New Roman" w:hAnsi="Arial" w:cs="Arial"/>
          <w:sz w:val="24"/>
          <w:szCs w:val="25"/>
        </w:rPr>
        <w:t xml:space="preserve">. I thus do not intend dealing with the contents of the Affidavits </w:t>
      </w:r>
      <w:r w:rsidR="00A37BA1">
        <w:rPr>
          <w:rFonts w:ascii="Arial" w:eastAsia="Times New Roman" w:hAnsi="Arial" w:cs="Arial"/>
          <w:sz w:val="24"/>
          <w:szCs w:val="25"/>
        </w:rPr>
        <w:t>to any</w:t>
      </w:r>
      <w:r w:rsidR="004935D7">
        <w:rPr>
          <w:rFonts w:ascii="Arial" w:eastAsia="Times New Roman" w:hAnsi="Arial" w:cs="Arial"/>
          <w:sz w:val="24"/>
          <w:szCs w:val="25"/>
        </w:rPr>
        <w:t xml:space="preserve"> material extent </w:t>
      </w:r>
      <w:r w:rsidR="0006236F">
        <w:rPr>
          <w:rFonts w:ascii="Arial" w:eastAsia="Times New Roman" w:hAnsi="Arial" w:cs="Arial"/>
          <w:sz w:val="24"/>
          <w:szCs w:val="25"/>
        </w:rPr>
        <w:t>save to remark about the late Reply.</w:t>
      </w:r>
    </w:p>
    <w:p w14:paraId="1C62D59D" w14:textId="1900E175" w:rsidR="0006236F" w:rsidRDefault="0006236F" w:rsidP="00E73F91">
      <w:pPr>
        <w:widowControl w:val="0"/>
        <w:spacing w:before="240" w:after="240" w:line="480" w:lineRule="auto"/>
        <w:ind w:left="720" w:hanging="720"/>
        <w:jc w:val="both"/>
        <w:rPr>
          <w:rFonts w:ascii="Arial" w:eastAsia="Times New Roman" w:hAnsi="Arial" w:cs="Arial"/>
          <w:sz w:val="24"/>
          <w:szCs w:val="25"/>
        </w:rPr>
      </w:pPr>
      <w:r>
        <w:rPr>
          <w:rFonts w:ascii="Arial" w:eastAsia="Times New Roman" w:hAnsi="Arial" w:cs="Arial"/>
          <w:sz w:val="24"/>
          <w:szCs w:val="25"/>
        </w:rPr>
        <w:t>[12]</w:t>
      </w:r>
      <w:r>
        <w:rPr>
          <w:rFonts w:ascii="Arial" w:eastAsia="Times New Roman" w:hAnsi="Arial" w:cs="Arial"/>
          <w:sz w:val="24"/>
          <w:szCs w:val="25"/>
        </w:rPr>
        <w:tab/>
        <w:t>The Reply was way out of time. The excuse proffered is that the more junior of the two Junior Counsels appearing for the Defendants became indisposed, (</w:t>
      </w:r>
      <w:r w:rsidR="00B46F6E">
        <w:rPr>
          <w:rFonts w:ascii="Arial" w:eastAsia="Times New Roman" w:hAnsi="Arial" w:cs="Arial"/>
          <w:sz w:val="24"/>
          <w:szCs w:val="25"/>
        </w:rPr>
        <w:t xml:space="preserve">she was pregnant and apparently developments in her pregnancy led to the indisposition), and was not available for some months to attend to the Reply. </w:t>
      </w:r>
      <w:r w:rsidR="00B46F6E" w:rsidRPr="00B46F6E">
        <w:rPr>
          <w:rFonts w:ascii="Arial" w:eastAsia="Times New Roman" w:hAnsi="Arial" w:cs="Arial"/>
          <w:i/>
          <w:sz w:val="24"/>
          <w:szCs w:val="25"/>
        </w:rPr>
        <w:t>Non constat</w:t>
      </w:r>
      <w:r w:rsidR="00B46F6E">
        <w:rPr>
          <w:rFonts w:ascii="Arial" w:eastAsia="Times New Roman" w:hAnsi="Arial" w:cs="Arial"/>
          <w:sz w:val="24"/>
          <w:szCs w:val="25"/>
        </w:rPr>
        <w:t xml:space="preserve"> that no cogent or plausible reason was advanced why the more senior of the </w:t>
      </w:r>
      <w:r w:rsidR="0049271D">
        <w:rPr>
          <w:rFonts w:ascii="Arial" w:eastAsia="Times New Roman" w:hAnsi="Arial" w:cs="Arial"/>
          <w:sz w:val="24"/>
          <w:szCs w:val="25"/>
        </w:rPr>
        <w:t xml:space="preserve">two Juniors appearing for the Defendants could not settle the Reply which is, in any event, a document of no consequence as it does not really deal with what is contained in the Plaintiff’s Answering Affidavit. The proffered excuse </w:t>
      </w:r>
      <w:r w:rsidR="00B61095">
        <w:rPr>
          <w:rFonts w:ascii="Arial" w:eastAsia="Times New Roman" w:hAnsi="Arial" w:cs="Arial"/>
          <w:sz w:val="24"/>
          <w:szCs w:val="25"/>
        </w:rPr>
        <w:t>that the more senior of the two Counsels appearing for the Defendants was busy with other matters in his practice is singularly without merit. No details of what was be</w:t>
      </w:r>
      <w:r w:rsidR="002F18BB">
        <w:rPr>
          <w:rFonts w:ascii="Arial" w:eastAsia="Times New Roman" w:hAnsi="Arial" w:cs="Arial"/>
          <w:sz w:val="24"/>
          <w:szCs w:val="25"/>
        </w:rPr>
        <w:t xml:space="preserve">ing done and </w:t>
      </w:r>
      <w:r w:rsidR="007338D1">
        <w:rPr>
          <w:rFonts w:ascii="Arial" w:eastAsia="Times New Roman" w:hAnsi="Arial" w:cs="Arial"/>
          <w:sz w:val="24"/>
          <w:szCs w:val="25"/>
        </w:rPr>
        <w:t xml:space="preserve">what time was absorbed that could have possibly been used </w:t>
      </w:r>
      <w:r w:rsidR="006B1476">
        <w:rPr>
          <w:rFonts w:ascii="Arial" w:eastAsia="Times New Roman" w:hAnsi="Arial" w:cs="Arial"/>
          <w:sz w:val="24"/>
          <w:szCs w:val="25"/>
        </w:rPr>
        <w:t>to draft the Reply timeously, have been provided. A simple generic averment has been made and its lack of merit is, in the light of trite principles which are applicable when condonation is requested, dictate that the proffered excuse is meaningless.</w:t>
      </w:r>
    </w:p>
    <w:p w14:paraId="5AC41684" w14:textId="476D1394" w:rsidR="005E3D7F" w:rsidRDefault="0064064C" w:rsidP="00E73F91">
      <w:pPr>
        <w:widowControl w:val="0"/>
        <w:spacing w:before="240" w:after="240" w:line="480" w:lineRule="auto"/>
        <w:ind w:left="720" w:hanging="720"/>
        <w:jc w:val="both"/>
        <w:rPr>
          <w:rFonts w:ascii="Arial" w:eastAsia="Times New Roman" w:hAnsi="Arial" w:cs="Arial"/>
          <w:sz w:val="24"/>
          <w:szCs w:val="25"/>
        </w:rPr>
      </w:pPr>
      <w:r>
        <w:rPr>
          <w:rFonts w:ascii="Arial" w:eastAsia="Times New Roman" w:hAnsi="Arial" w:cs="Arial"/>
          <w:sz w:val="24"/>
          <w:szCs w:val="25"/>
        </w:rPr>
        <w:t>[13]</w:t>
      </w:r>
      <w:r>
        <w:rPr>
          <w:rFonts w:ascii="Arial" w:eastAsia="Times New Roman" w:hAnsi="Arial" w:cs="Arial"/>
          <w:sz w:val="24"/>
          <w:szCs w:val="25"/>
        </w:rPr>
        <w:tab/>
        <w:t>I have nevertheless decided to have regard to the contents of the Reply becau</w:t>
      </w:r>
      <w:r w:rsidR="000C691E">
        <w:rPr>
          <w:rFonts w:ascii="Arial" w:eastAsia="Times New Roman" w:hAnsi="Arial" w:cs="Arial"/>
          <w:sz w:val="24"/>
          <w:szCs w:val="25"/>
        </w:rPr>
        <w:t>se to do otherwise</w:t>
      </w:r>
      <w:r>
        <w:rPr>
          <w:rFonts w:ascii="Arial" w:eastAsia="Times New Roman" w:hAnsi="Arial" w:cs="Arial"/>
          <w:sz w:val="24"/>
          <w:szCs w:val="25"/>
        </w:rPr>
        <w:t xml:space="preserve"> opens the door to a potential lament and the potential </w:t>
      </w:r>
      <w:r w:rsidRPr="0064064C">
        <w:rPr>
          <w:rFonts w:ascii="Arial" w:eastAsia="Times New Roman" w:hAnsi="Arial" w:cs="Arial"/>
          <w:i/>
          <w:sz w:val="24"/>
          <w:szCs w:val="25"/>
        </w:rPr>
        <w:t>sequelae</w:t>
      </w:r>
      <w:r>
        <w:rPr>
          <w:rFonts w:ascii="Arial" w:eastAsia="Times New Roman" w:hAnsi="Arial" w:cs="Arial"/>
          <w:sz w:val="24"/>
          <w:szCs w:val="25"/>
        </w:rPr>
        <w:t xml:space="preserve"> thereof. It is precisely because of the meaningless</w:t>
      </w:r>
      <w:r w:rsidR="00E25626">
        <w:rPr>
          <w:rFonts w:ascii="Arial" w:eastAsia="Times New Roman" w:hAnsi="Arial" w:cs="Arial"/>
          <w:sz w:val="24"/>
          <w:szCs w:val="25"/>
        </w:rPr>
        <w:t>ness</w:t>
      </w:r>
      <w:r>
        <w:rPr>
          <w:rFonts w:ascii="Arial" w:eastAsia="Times New Roman" w:hAnsi="Arial" w:cs="Arial"/>
          <w:sz w:val="24"/>
          <w:szCs w:val="25"/>
        </w:rPr>
        <w:t xml:space="preserve"> of the Reply, with a corollary</w:t>
      </w:r>
      <w:r w:rsidR="005E3D7F">
        <w:rPr>
          <w:rFonts w:ascii="Arial" w:eastAsia="Times New Roman" w:hAnsi="Arial" w:cs="Arial"/>
          <w:sz w:val="24"/>
          <w:szCs w:val="25"/>
        </w:rPr>
        <w:t xml:space="preserve"> that it does not matter whether the Reply is considered or not, that has constrained me to have had regard to the reply.</w:t>
      </w:r>
    </w:p>
    <w:p w14:paraId="7F3CB9D0" w14:textId="0B2FC646" w:rsidR="005E3D7F" w:rsidRDefault="005E3D7F" w:rsidP="00E73F91">
      <w:pPr>
        <w:widowControl w:val="0"/>
        <w:spacing w:before="240" w:after="240" w:line="480" w:lineRule="auto"/>
        <w:ind w:left="720" w:hanging="720"/>
        <w:jc w:val="both"/>
        <w:rPr>
          <w:rFonts w:ascii="Arial" w:eastAsia="Times New Roman" w:hAnsi="Arial" w:cs="Arial"/>
          <w:sz w:val="24"/>
          <w:szCs w:val="25"/>
        </w:rPr>
      </w:pPr>
      <w:r>
        <w:rPr>
          <w:rFonts w:ascii="Arial" w:eastAsia="Times New Roman" w:hAnsi="Arial" w:cs="Arial"/>
          <w:sz w:val="24"/>
          <w:szCs w:val="25"/>
        </w:rPr>
        <w:t>[14]</w:t>
      </w:r>
      <w:r>
        <w:rPr>
          <w:rFonts w:ascii="Arial" w:eastAsia="Times New Roman" w:hAnsi="Arial" w:cs="Arial"/>
          <w:sz w:val="24"/>
          <w:szCs w:val="25"/>
        </w:rPr>
        <w:tab/>
        <w:t>In the premises the application for condonation for the late filing of the Reply is granted and the Defendants are ordered to pay the costs of the application for condonation.</w:t>
      </w:r>
      <w:r w:rsidR="000C691E">
        <w:rPr>
          <w:rFonts w:ascii="Arial" w:eastAsia="Times New Roman" w:hAnsi="Arial" w:cs="Arial"/>
          <w:sz w:val="24"/>
          <w:szCs w:val="25"/>
        </w:rPr>
        <w:t xml:space="preserve"> The scale of costs a</w:t>
      </w:r>
      <w:r w:rsidR="0030595F">
        <w:rPr>
          <w:rFonts w:ascii="Arial" w:eastAsia="Times New Roman" w:hAnsi="Arial" w:cs="Arial"/>
          <w:sz w:val="24"/>
          <w:szCs w:val="25"/>
        </w:rPr>
        <w:t>re addressed herein later.</w:t>
      </w:r>
    </w:p>
    <w:p w14:paraId="51D5FB27" w14:textId="2C01F53B" w:rsidR="006B1476" w:rsidRDefault="005E3D7F" w:rsidP="00E73F91">
      <w:pPr>
        <w:widowControl w:val="0"/>
        <w:spacing w:before="240" w:after="240" w:line="480" w:lineRule="auto"/>
        <w:ind w:left="720" w:hanging="720"/>
        <w:jc w:val="both"/>
        <w:rPr>
          <w:rFonts w:ascii="Arial" w:eastAsia="Times New Roman" w:hAnsi="Arial" w:cs="Arial"/>
          <w:sz w:val="24"/>
          <w:szCs w:val="25"/>
        </w:rPr>
      </w:pPr>
      <w:r>
        <w:rPr>
          <w:rFonts w:ascii="Arial" w:eastAsia="Times New Roman" w:hAnsi="Arial" w:cs="Arial"/>
          <w:sz w:val="24"/>
          <w:szCs w:val="25"/>
        </w:rPr>
        <w:t>[15]</w:t>
      </w:r>
      <w:r>
        <w:rPr>
          <w:rFonts w:ascii="Arial" w:eastAsia="Times New Roman" w:hAnsi="Arial" w:cs="Arial"/>
          <w:sz w:val="24"/>
          <w:szCs w:val="25"/>
        </w:rPr>
        <w:tab/>
        <w:t xml:space="preserve">The Plaintiff’s objection to the Defendants’ proposed Plea of Prescription, relying upon COIDA, does not object to the proposed amendment on the grounds that the issue is </w:t>
      </w:r>
      <w:r w:rsidRPr="005E3D7F">
        <w:rPr>
          <w:rFonts w:ascii="Arial" w:eastAsia="Times New Roman" w:hAnsi="Arial" w:cs="Arial"/>
          <w:i/>
          <w:sz w:val="24"/>
          <w:szCs w:val="25"/>
        </w:rPr>
        <w:t>res iudicata</w:t>
      </w:r>
      <w:r>
        <w:rPr>
          <w:rFonts w:ascii="Arial" w:eastAsia="Times New Roman" w:hAnsi="Arial" w:cs="Arial"/>
          <w:sz w:val="24"/>
          <w:szCs w:val="25"/>
        </w:rPr>
        <w:t xml:space="preserve"> yet the</w:t>
      </w:r>
      <w:r w:rsidR="0064064C">
        <w:rPr>
          <w:rFonts w:ascii="Arial" w:eastAsia="Times New Roman" w:hAnsi="Arial" w:cs="Arial"/>
          <w:sz w:val="24"/>
          <w:szCs w:val="25"/>
        </w:rPr>
        <w:t xml:space="preserve"> </w:t>
      </w:r>
      <w:r w:rsidR="00430BF5">
        <w:rPr>
          <w:rFonts w:ascii="Arial" w:eastAsia="Times New Roman" w:hAnsi="Arial" w:cs="Arial"/>
          <w:sz w:val="24"/>
          <w:szCs w:val="25"/>
        </w:rPr>
        <w:t xml:space="preserve">Plaintiff’s Answering Affidavit and the Plaintiff’s heads of argument </w:t>
      </w:r>
      <w:r w:rsidR="00430BF5" w:rsidRPr="00430BF5">
        <w:rPr>
          <w:rFonts w:ascii="Arial" w:eastAsia="Times New Roman" w:hAnsi="Arial" w:cs="Arial"/>
          <w:i/>
          <w:sz w:val="24"/>
          <w:szCs w:val="25"/>
        </w:rPr>
        <w:t>in casu</w:t>
      </w:r>
      <w:r w:rsidR="00430BF5">
        <w:rPr>
          <w:rFonts w:ascii="Arial" w:eastAsia="Times New Roman" w:hAnsi="Arial" w:cs="Arial"/>
          <w:sz w:val="24"/>
          <w:szCs w:val="25"/>
        </w:rPr>
        <w:t xml:space="preserve"> rely heavily on this issue. This gives rise to the </w:t>
      </w:r>
      <w:r w:rsidR="00B83A21">
        <w:rPr>
          <w:rFonts w:ascii="Arial" w:eastAsia="Times New Roman" w:hAnsi="Arial" w:cs="Arial"/>
          <w:sz w:val="24"/>
          <w:szCs w:val="25"/>
        </w:rPr>
        <w:t xml:space="preserve">interesting question whether the Plaintiff can rely on other grounds than those stipulated in the Plaintiff’s Notice of Objection? My </w:t>
      </w:r>
      <w:r w:rsidR="00B83A21" w:rsidRPr="00B83A21">
        <w:rPr>
          <w:rFonts w:ascii="Arial" w:eastAsia="Times New Roman" w:hAnsi="Arial" w:cs="Arial"/>
          <w:i/>
          <w:sz w:val="24"/>
          <w:szCs w:val="25"/>
        </w:rPr>
        <w:t>prima facie</w:t>
      </w:r>
      <w:r w:rsidR="00B83A21">
        <w:rPr>
          <w:rFonts w:ascii="Arial" w:eastAsia="Times New Roman" w:hAnsi="Arial" w:cs="Arial"/>
          <w:sz w:val="24"/>
          <w:szCs w:val="25"/>
        </w:rPr>
        <w:t xml:space="preserve"> opinion is that the Plaintiff cannot do so but the fact </w:t>
      </w:r>
      <w:r w:rsidR="0030595F">
        <w:rPr>
          <w:rFonts w:ascii="Arial" w:eastAsia="Times New Roman" w:hAnsi="Arial" w:cs="Arial"/>
          <w:sz w:val="24"/>
          <w:szCs w:val="25"/>
        </w:rPr>
        <w:t xml:space="preserve">is </w:t>
      </w:r>
      <w:r w:rsidR="00B83A21">
        <w:rPr>
          <w:rFonts w:ascii="Arial" w:eastAsia="Times New Roman" w:hAnsi="Arial" w:cs="Arial"/>
          <w:sz w:val="24"/>
          <w:szCs w:val="25"/>
        </w:rPr>
        <w:t xml:space="preserve">that both parties fully argued the question of </w:t>
      </w:r>
      <w:r w:rsidR="00B83A21" w:rsidRPr="00B83A21">
        <w:rPr>
          <w:rFonts w:ascii="Arial" w:eastAsia="Times New Roman" w:hAnsi="Arial" w:cs="Arial"/>
          <w:i/>
          <w:sz w:val="24"/>
          <w:szCs w:val="25"/>
        </w:rPr>
        <w:t>res iudicata</w:t>
      </w:r>
      <w:r w:rsidR="00B83A21">
        <w:rPr>
          <w:rFonts w:ascii="Arial" w:eastAsia="Times New Roman" w:hAnsi="Arial" w:cs="Arial"/>
          <w:sz w:val="24"/>
          <w:szCs w:val="25"/>
        </w:rPr>
        <w:t xml:space="preserve"> and the </w:t>
      </w:r>
      <w:r w:rsidR="00731F88">
        <w:rPr>
          <w:rFonts w:ascii="Arial" w:eastAsia="Times New Roman" w:hAnsi="Arial" w:cs="Arial"/>
          <w:sz w:val="24"/>
          <w:szCs w:val="25"/>
        </w:rPr>
        <w:t xml:space="preserve">point I have mentioned as being an interesting one, was not argued at all. In the premises, and for present purposes only, I shall deal with the </w:t>
      </w:r>
      <w:r w:rsidR="00731F88" w:rsidRPr="00731F88">
        <w:rPr>
          <w:rFonts w:ascii="Arial" w:eastAsia="Times New Roman" w:hAnsi="Arial" w:cs="Arial"/>
          <w:i/>
          <w:sz w:val="24"/>
          <w:szCs w:val="25"/>
        </w:rPr>
        <w:t>res iudicata</w:t>
      </w:r>
      <w:r w:rsidR="00731F88">
        <w:rPr>
          <w:rFonts w:ascii="Arial" w:eastAsia="Times New Roman" w:hAnsi="Arial" w:cs="Arial"/>
          <w:sz w:val="24"/>
          <w:szCs w:val="25"/>
        </w:rPr>
        <w:t xml:space="preserve"> point and shall firstly do so because if there is merit therein, </w:t>
      </w:r>
      <w:r w:rsidR="00731F88" w:rsidRPr="00731F88">
        <w:rPr>
          <w:rFonts w:ascii="Arial" w:eastAsia="Times New Roman" w:hAnsi="Arial" w:cs="Arial"/>
          <w:i/>
          <w:sz w:val="24"/>
          <w:szCs w:val="25"/>
        </w:rPr>
        <w:t>cadit quaestio</w:t>
      </w:r>
      <w:r w:rsidR="00731F88">
        <w:rPr>
          <w:rFonts w:ascii="Arial" w:eastAsia="Times New Roman" w:hAnsi="Arial" w:cs="Arial"/>
          <w:sz w:val="24"/>
          <w:szCs w:val="25"/>
        </w:rPr>
        <w:t xml:space="preserve">. </w:t>
      </w:r>
    </w:p>
    <w:p w14:paraId="2B27B647" w14:textId="3D678522" w:rsidR="00C46C0E" w:rsidRDefault="00C46C0E" w:rsidP="00E73F91">
      <w:pPr>
        <w:widowControl w:val="0"/>
        <w:spacing w:before="240" w:after="240" w:line="480" w:lineRule="auto"/>
        <w:ind w:left="720" w:hanging="720"/>
        <w:jc w:val="both"/>
        <w:rPr>
          <w:rFonts w:ascii="Arial" w:eastAsia="Times New Roman" w:hAnsi="Arial" w:cs="Arial"/>
          <w:sz w:val="24"/>
          <w:szCs w:val="25"/>
        </w:rPr>
      </w:pPr>
      <w:r>
        <w:rPr>
          <w:rFonts w:ascii="Arial" w:eastAsia="Times New Roman" w:hAnsi="Arial" w:cs="Arial"/>
          <w:sz w:val="24"/>
          <w:szCs w:val="25"/>
        </w:rPr>
        <w:t xml:space="preserve">[16] </w:t>
      </w:r>
      <w:r>
        <w:rPr>
          <w:rFonts w:ascii="Arial" w:eastAsia="Times New Roman" w:hAnsi="Arial" w:cs="Arial"/>
          <w:sz w:val="24"/>
          <w:szCs w:val="25"/>
        </w:rPr>
        <w:tab/>
        <w:t>The Defendants do not dispute that there are other decisions in this Division in actions between the same parties as at present which have ruled that precisely the same Plea ba</w:t>
      </w:r>
      <w:r w:rsidR="00E806B7">
        <w:rPr>
          <w:rFonts w:ascii="Arial" w:eastAsia="Times New Roman" w:hAnsi="Arial" w:cs="Arial"/>
          <w:sz w:val="24"/>
          <w:szCs w:val="25"/>
        </w:rPr>
        <w:t>sed on sections 43 and 44 of COIDA</w:t>
      </w:r>
      <w:r w:rsidR="0010359D">
        <w:rPr>
          <w:rFonts w:ascii="Arial" w:eastAsia="Times New Roman" w:hAnsi="Arial" w:cs="Arial"/>
          <w:sz w:val="24"/>
          <w:szCs w:val="25"/>
        </w:rPr>
        <w:t xml:space="preserve"> </w:t>
      </w:r>
      <w:r w:rsidR="001F29BA">
        <w:rPr>
          <w:rFonts w:ascii="Arial" w:eastAsia="Times New Roman" w:hAnsi="Arial" w:cs="Arial"/>
          <w:sz w:val="24"/>
          <w:szCs w:val="25"/>
        </w:rPr>
        <w:t>is</w:t>
      </w:r>
      <w:r w:rsidR="00850870">
        <w:rPr>
          <w:rFonts w:ascii="Arial" w:eastAsia="Times New Roman" w:hAnsi="Arial" w:cs="Arial"/>
          <w:sz w:val="24"/>
          <w:szCs w:val="25"/>
        </w:rPr>
        <w:t xml:space="preserve"> unsustainable. The Defendants merely argue that all of those decisions are the subject matter of appeals or steps to </w:t>
      </w:r>
      <w:r w:rsidR="009F5874">
        <w:rPr>
          <w:rFonts w:ascii="Arial" w:eastAsia="Times New Roman" w:hAnsi="Arial" w:cs="Arial"/>
          <w:sz w:val="24"/>
          <w:szCs w:val="25"/>
        </w:rPr>
        <w:t xml:space="preserve">ensure that appeals can occur, (i.e. pending applications for leave to appeal, one of which awaits an outcome from the </w:t>
      </w:r>
      <w:r w:rsidR="00B35076">
        <w:rPr>
          <w:rFonts w:ascii="Arial" w:eastAsia="Times New Roman" w:hAnsi="Arial" w:cs="Arial"/>
          <w:sz w:val="24"/>
          <w:szCs w:val="25"/>
        </w:rPr>
        <w:t xml:space="preserve">Apex </w:t>
      </w:r>
      <w:r w:rsidR="009F5874">
        <w:rPr>
          <w:rFonts w:ascii="Arial" w:eastAsia="Times New Roman" w:hAnsi="Arial" w:cs="Arial"/>
          <w:sz w:val="24"/>
          <w:szCs w:val="25"/>
        </w:rPr>
        <w:t>Court).</w:t>
      </w:r>
    </w:p>
    <w:p w14:paraId="45AA8571" w14:textId="470F5A71" w:rsidR="009F5874" w:rsidRDefault="00221CB2" w:rsidP="00E73F91">
      <w:pPr>
        <w:widowControl w:val="0"/>
        <w:spacing w:before="240" w:after="240" w:line="480" w:lineRule="auto"/>
        <w:ind w:left="720" w:hanging="720"/>
        <w:jc w:val="both"/>
        <w:rPr>
          <w:rFonts w:ascii="Arial" w:hAnsi="Arial" w:cs="Arial"/>
          <w:sz w:val="24"/>
          <w:lang w:val="en-GB"/>
        </w:rPr>
      </w:pPr>
      <w:r>
        <w:rPr>
          <w:rFonts w:ascii="Arial" w:eastAsia="Times New Roman" w:hAnsi="Arial" w:cs="Arial"/>
          <w:sz w:val="24"/>
          <w:szCs w:val="25"/>
        </w:rPr>
        <w:t>[17]</w:t>
      </w:r>
      <w:r>
        <w:rPr>
          <w:rFonts w:ascii="Arial" w:eastAsia="Times New Roman" w:hAnsi="Arial" w:cs="Arial"/>
          <w:sz w:val="24"/>
          <w:szCs w:val="25"/>
        </w:rPr>
        <w:tab/>
        <w:t>The Defendants furthermore do not dispute that the Supreme Court of Appeal, (“</w:t>
      </w:r>
      <w:r w:rsidRPr="00221CB2">
        <w:rPr>
          <w:rFonts w:ascii="Arial" w:eastAsia="Times New Roman" w:hAnsi="Arial" w:cs="Arial"/>
          <w:i/>
          <w:sz w:val="24"/>
          <w:szCs w:val="25"/>
        </w:rPr>
        <w:t>SCA</w:t>
      </w:r>
      <w:r>
        <w:rPr>
          <w:rFonts w:ascii="Arial" w:eastAsia="Times New Roman" w:hAnsi="Arial" w:cs="Arial"/>
          <w:sz w:val="24"/>
          <w:szCs w:val="25"/>
        </w:rPr>
        <w:t xml:space="preserve">”), in an action between the same parties as </w:t>
      </w:r>
      <w:r w:rsidRPr="00221CB2">
        <w:rPr>
          <w:rFonts w:ascii="Arial" w:eastAsia="Times New Roman" w:hAnsi="Arial" w:cs="Arial"/>
          <w:i/>
          <w:sz w:val="24"/>
          <w:szCs w:val="25"/>
        </w:rPr>
        <w:t>in casu</w:t>
      </w:r>
      <w:r>
        <w:rPr>
          <w:rFonts w:ascii="Arial" w:eastAsia="Times New Roman" w:hAnsi="Arial" w:cs="Arial"/>
          <w:sz w:val="24"/>
          <w:szCs w:val="25"/>
        </w:rPr>
        <w:t xml:space="preserve">, found, (and </w:t>
      </w:r>
      <w:r w:rsidR="00480D91">
        <w:rPr>
          <w:rFonts w:ascii="Arial" w:eastAsia="Times New Roman" w:hAnsi="Arial" w:cs="Arial"/>
          <w:sz w:val="24"/>
          <w:szCs w:val="25"/>
        </w:rPr>
        <w:t>here I am paraphrasing), that “</w:t>
      </w:r>
      <w:r w:rsidR="00480D91" w:rsidRPr="00480D91">
        <w:rPr>
          <w:rFonts w:ascii="Arial" w:eastAsia="Times New Roman" w:hAnsi="Arial" w:cs="Arial"/>
          <w:i/>
          <w:sz w:val="24"/>
          <w:szCs w:val="25"/>
        </w:rPr>
        <w:t>compensation</w:t>
      </w:r>
      <w:r w:rsidR="00480D91">
        <w:rPr>
          <w:rFonts w:ascii="Arial" w:eastAsia="Times New Roman" w:hAnsi="Arial" w:cs="Arial"/>
          <w:sz w:val="24"/>
          <w:szCs w:val="25"/>
        </w:rPr>
        <w:t>” and “</w:t>
      </w:r>
      <w:r w:rsidR="00480D91" w:rsidRPr="00480D91">
        <w:rPr>
          <w:rFonts w:ascii="Arial" w:eastAsia="Times New Roman" w:hAnsi="Arial" w:cs="Arial"/>
          <w:i/>
          <w:sz w:val="24"/>
          <w:szCs w:val="25"/>
        </w:rPr>
        <w:t>medical costs</w:t>
      </w:r>
      <w:r w:rsidR="00480D91">
        <w:rPr>
          <w:rFonts w:ascii="Arial" w:eastAsia="Times New Roman" w:hAnsi="Arial" w:cs="Arial"/>
          <w:sz w:val="24"/>
          <w:szCs w:val="25"/>
        </w:rPr>
        <w:t>”</w:t>
      </w:r>
      <w:r>
        <w:rPr>
          <w:rFonts w:ascii="Arial" w:eastAsia="Times New Roman" w:hAnsi="Arial" w:cs="Arial"/>
          <w:sz w:val="24"/>
          <w:szCs w:val="25"/>
        </w:rPr>
        <w:t xml:space="preserve"> </w:t>
      </w:r>
      <w:r w:rsidR="00480D91">
        <w:rPr>
          <w:rFonts w:ascii="Arial" w:eastAsia="Times New Roman" w:hAnsi="Arial" w:cs="Arial"/>
          <w:sz w:val="24"/>
          <w:szCs w:val="25"/>
        </w:rPr>
        <w:t>are not the same thing</w:t>
      </w:r>
      <w:r w:rsidR="00CB434B">
        <w:rPr>
          <w:rFonts w:ascii="Arial" w:eastAsia="Times New Roman" w:hAnsi="Arial" w:cs="Arial"/>
          <w:sz w:val="24"/>
          <w:szCs w:val="25"/>
        </w:rPr>
        <w:t xml:space="preserve">. </w:t>
      </w:r>
      <w:r w:rsidR="00CB434B">
        <w:rPr>
          <w:rStyle w:val="FootnoteReference"/>
          <w:rFonts w:ascii="Arial" w:eastAsia="Times New Roman" w:hAnsi="Arial" w:cs="Arial"/>
          <w:sz w:val="24"/>
          <w:szCs w:val="25"/>
        </w:rPr>
        <w:footnoteReference w:id="2"/>
      </w:r>
      <w:r w:rsidR="00A1663B">
        <w:rPr>
          <w:rFonts w:ascii="Arial" w:eastAsia="Times New Roman" w:hAnsi="Arial" w:cs="Arial"/>
          <w:sz w:val="24"/>
          <w:szCs w:val="25"/>
        </w:rPr>
        <w:t xml:space="preserve"> </w:t>
      </w:r>
      <w:r w:rsidR="00A1663B" w:rsidRPr="00A1663B">
        <w:rPr>
          <w:rFonts w:ascii="Arial" w:hAnsi="Arial" w:cs="Arial"/>
          <w:sz w:val="24"/>
          <w:lang w:val="en-GB"/>
        </w:rPr>
        <w:t>The SCA finding supports the Plaintiff’s contention that sections 43 and 44 of COIDA do not apply to the Plaintiff’s claims</w:t>
      </w:r>
      <w:r w:rsidR="00A1663B">
        <w:rPr>
          <w:rFonts w:ascii="Arial" w:hAnsi="Arial" w:cs="Arial"/>
          <w:sz w:val="24"/>
          <w:lang w:val="en-GB"/>
        </w:rPr>
        <w:t>.</w:t>
      </w:r>
    </w:p>
    <w:p w14:paraId="2918F884" w14:textId="09F7BF71" w:rsidR="00A1663B" w:rsidRDefault="00A1663B"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[18]</w:t>
      </w:r>
      <w:r>
        <w:rPr>
          <w:rFonts w:ascii="Arial" w:hAnsi="Arial" w:cs="Arial"/>
          <w:sz w:val="24"/>
          <w:lang w:val="en-GB"/>
        </w:rPr>
        <w:tab/>
        <w:t xml:space="preserve">The Defendants address the aforegoing decisions on the basis that they are all decided wrong and </w:t>
      </w:r>
      <w:r w:rsidR="003C26C0">
        <w:rPr>
          <w:rFonts w:ascii="Arial" w:hAnsi="Arial" w:cs="Arial"/>
          <w:sz w:val="24"/>
          <w:lang w:val="en-GB"/>
        </w:rPr>
        <w:t>have invited me to formulate my own opinion. As far as the SCA’s judgment is concerned, it would be fruitless of me to do so because I am in any event bound by whatever the SCA has ruled.</w:t>
      </w:r>
    </w:p>
    <w:p w14:paraId="0ECA825C" w14:textId="479D0906" w:rsidR="003C26C0" w:rsidRDefault="003C26C0"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[19]</w:t>
      </w:r>
      <w:r>
        <w:rPr>
          <w:rFonts w:ascii="Arial" w:hAnsi="Arial" w:cs="Arial"/>
          <w:sz w:val="24"/>
          <w:lang w:val="en-GB"/>
        </w:rPr>
        <w:tab/>
        <w:t xml:space="preserve">Insofar as </w:t>
      </w:r>
      <w:r w:rsidR="00A51D8D">
        <w:rPr>
          <w:rFonts w:ascii="Arial" w:hAnsi="Arial" w:cs="Arial"/>
          <w:sz w:val="24"/>
          <w:lang w:val="en-GB"/>
        </w:rPr>
        <w:t xml:space="preserve">decisions by other Courts of the same stature as this Court are concerned I can only depart from same if I am convinced that they are clearly wrong. Besides the fact that no argument was advanced in support of a contention that the previous decisions of Courts of equal stature </w:t>
      </w:r>
      <w:r w:rsidR="00F36D0A">
        <w:rPr>
          <w:rFonts w:ascii="Arial" w:hAnsi="Arial" w:cs="Arial"/>
          <w:sz w:val="24"/>
          <w:lang w:val="en-GB"/>
        </w:rPr>
        <w:t xml:space="preserve">to this one, are wrong, I am in any event not convinced that any of the previous decisions dismissing a </w:t>
      </w:r>
      <w:r w:rsidR="00396EC3">
        <w:rPr>
          <w:rFonts w:ascii="Arial" w:hAnsi="Arial" w:cs="Arial"/>
          <w:sz w:val="24"/>
          <w:lang w:val="en-GB"/>
        </w:rPr>
        <w:t xml:space="preserve">Special </w:t>
      </w:r>
      <w:r w:rsidR="00F36D0A">
        <w:rPr>
          <w:rFonts w:ascii="Arial" w:hAnsi="Arial" w:cs="Arial"/>
          <w:sz w:val="24"/>
          <w:lang w:val="en-GB"/>
        </w:rPr>
        <w:t xml:space="preserve">Plea such as the present </w:t>
      </w:r>
      <w:r w:rsidR="00396EC3">
        <w:rPr>
          <w:rFonts w:ascii="Arial" w:hAnsi="Arial" w:cs="Arial"/>
          <w:sz w:val="24"/>
          <w:lang w:val="en-GB"/>
        </w:rPr>
        <w:t xml:space="preserve">Special </w:t>
      </w:r>
      <w:r w:rsidR="00F36D0A">
        <w:rPr>
          <w:rFonts w:ascii="Arial" w:hAnsi="Arial" w:cs="Arial"/>
          <w:sz w:val="24"/>
          <w:lang w:val="en-GB"/>
        </w:rPr>
        <w:t xml:space="preserve">Plea relying upon sections 43 and 44 of COIDA are wrong. Some of those decisions rejecting such a Plea either </w:t>
      </w:r>
      <w:r w:rsidR="0008019A">
        <w:rPr>
          <w:rFonts w:ascii="Arial" w:hAnsi="Arial" w:cs="Arial"/>
          <w:sz w:val="24"/>
          <w:lang w:val="en-GB"/>
        </w:rPr>
        <w:t xml:space="preserve">rely </w:t>
      </w:r>
      <w:r w:rsidR="002B5C00">
        <w:rPr>
          <w:rFonts w:ascii="Arial" w:hAnsi="Arial" w:cs="Arial"/>
          <w:sz w:val="24"/>
          <w:lang w:val="en-GB"/>
        </w:rPr>
        <w:t>upon the aforementioned SCA case or analyses of COIDA which result in the same conclusion as the SCA made. Rather than there being any grounds to conclude that the previous decisions ar</w:t>
      </w:r>
      <w:r w:rsidR="006C5942">
        <w:rPr>
          <w:rFonts w:ascii="Arial" w:hAnsi="Arial" w:cs="Arial"/>
          <w:sz w:val="24"/>
          <w:lang w:val="en-GB"/>
        </w:rPr>
        <w:t>e clearly wrong, there</w:t>
      </w:r>
      <w:r w:rsidR="002B5C00">
        <w:rPr>
          <w:rFonts w:ascii="Arial" w:hAnsi="Arial" w:cs="Arial"/>
          <w:sz w:val="24"/>
          <w:lang w:val="en-GB"/>
        </w:rPr>
        <w:t xml:space="preserve"> appears to me to be grounds to the contrary. </w:t>
      </w:r>
    </w:p>
    <w:p w14:paraId="7B23B3C7" w14:textId="655A7799" w:rsidR="002B5C00" w:rsidRDefault="007A0BAE"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[20]</w:t>
      </w:r>
      <w:r>
        <w:rPr>
          <w:rFonts w:ascii="Arial" w:hAnsi="Arial" w:cs="Arial"/>
          <w:sz w:val="24"/>
          <w:lang w:val="en-GB"/>
        </w:rPr>
        <w:tab/>
        <w:t>In the premises the application to amend the Defendants’ Plea to raise a Plea of Prescription based upon sections 43 and 44 of COIDA is dismissed with costs. (The S</w:t>
      </w:r>
      <w:r w:rsidR="007A6627">
        <w:rPr>
          <w:rFonts w:ascii="Arial" w:hAnsi="Arial" w:cs="Arial"/>
          <w:sz w:val="24"/>
          <w:lang w:val="en-GB"/>
        </w:rPr>
        <w:t>cale will be addressed herein later).</w:t>
      </w:r>
    </w:p>
    <w:p w14:paraId="5B9B06A3" w14:textId="484BF59A" w:rsidR="007A6627" w:rsidRDefault="007A6627"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[21]</w:t>
      </w:r>
      <w:r>
        <w:rPr>
          <w:rFonts w:ascii="Arial" w:hAnsi="Arial" w:cs="Arial"/>
          <w:sz w:val="24"/>
          <w:lang w:val="en-GB"/>
        </w:rPr>
        <w:tab/>
        <w:t xml:space="preserve">I turn now to deal with the objections to the Special Plea based on </w:t>
      </w:r>
      <w:r w:rsidR="00151127">
        <w:rPr>
          <w:rFonts w:ascii="Arial" w:hAnsi="Arial" w:cs="Arial"/>
          <w:sz w:val="24"/>
          <w:lang w:val="en-GB"/>
        </w:rPr>
        <w:t>prescription in terms of the Prescription Act.</w:t>
      </w:r>
    </w:p>
    <w:p w14:paraId="2519E62B" w14:textId="72A8E4BA" w:rsidR="00151127" w:rsidRDefault="00151127"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[22]</w:t>
      </w:r>
      <w:r>
        <w:rPr>
          <w:rFonts w:ascii="Arial" w:hAnsi="Arial" w:cs="Arial"/>
          <w:sz w:val="24"/>
          <w:lang w:val="en-GB"/>
        </w:rPr>
        <w:tab/>
        <w:t xml:space="preserve">In my finding the only ground of objection to the proposed Plea of Prescription based on the Prescription Act which is worthy of consideration in proceedings of this nature is </w:t>
      </w:r>
      <w:r w:rsidR="00751F97">
        <w:rPr>
          <w:rFonts w:ascii="Arial" w:hAnsi="Arial" w:cs="Arial"/>
          <w:sz w:val="24"/>
          <w:lang w:val="en-GB"/>
        </w:rPr>
        <w:t xml:space="preserve">the </w:t>
      </w:r>
      <w:r>
        <w:rPr>
          <w:rFonts w:ascii="Arial" w:hAnsi="Arial" w:cs="Arial"/>
          <w:sz w:val="24"/>
          <w:lang w:val="en-GB"/>
        </w:rPr>
        <w:t xml:space="preserve">objection that the </w:t>
      </w:r>
      <w:r w:rsidR="00751F97">
        <w:rPr>
          <w:rFonts w:ascii="Arial" w:hAnsi="Arial" w:cs="Arial"/>
          <w:sz w:val="24"/>
          <w:lang w:val="en-GB"/>
        </w:rPr>
        <w:t xml:space="preserve">Special Plea falls foul of </w:t>
      </w:r>
      <w:r w:rsidR="006C5942">
        <w:rPr>
          <w:rFonts w:ascii="Arial" w:hAnsi="Arial" w:cs="Arial"/>
          <w:b/>
          <w:sz w:val="24"/>
          <w:lang w:val="en-GB"/>
        </w:rPr>
        <w:t>Gericke v Sack 1978 (1) SA 821</w:t>
      </w:r>
      <w:r w:rsidR="00751F97" w:rsidRPr="00751F97">
        <w:rPr>
          <w:rFonts w:ascii="Arial" w:hAnsi="Arial" w:cs="Arial"/>
          <w:b/>
          <w:sz w:val="24"/>
          <w:lang w:val="en-GB"/>
        </w:rPr>
        <w:t xml:space="preserve"> (SCA)</w:t>
      </w:r>
      <w:r w:rsidR="00751F97">
        <w:rPr>
          <w:rFonts w:ascii="Arial" w:hAnsi="Arial" w:cs="Arial"/>
          <w:sz w:val="24"/>
          <w:lang w:val="en-GB"/>
        </w:rPr>
        <w:t xml:space="preserve">, i.e. a Plea of Prescription which does not contain certain details is excipiable and does not disclose a defence. </w:t>
      </w:r>
      <w:r w:rsidR="0031524F">
        <w:rPr>
          <w:rStyle w:val="FootnoteReference"/>
          <w:rFonts w:ascii="Arial" w:hAnsi="Arial" w:cs="Arial"/>
          <w:sz w:val="24"/>
          <w:lang w:val="en-GB"/>
        </w:rPr>
        <w:footnoteReference w:id="3"/>
      </w:r>
    </w:p>
    <w:p w14:paraId="7FFCD4B0" w14:textId="6D764909" w:rsidR="00E94112" w:rsidRDefault="00E94112"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[23]</w:t>
      </w:r>
      <w:r>
        <w:rPr>
          <w:rFonts w:ascii="Arial" w:hAnsi="Arial" w:cs="Arial"/>
          <w:sz w:val="24"/>
          <w:lang w:val="en-GB"/>
        </w:rPr>
        <w:tab/>
        <w:t xml:space="preserve">The other grounds of objection to the Prescription Act Plea are, largely, if not completely, reliant upon </w:t>
      </w:r>
      <w:r w:rsidR="00E92F6F">
        <w:rPr>
          <w:rFonts w:ascii="Arial" w:hAnsi="Arial" w:cs="Arial"/>
          <w:sz w:val="24"/>
          <w:lang w:val="en-GB"/>
        </w:rPr>
        <w:t>facts and interpretations to be made of those facts. It has long been the practice in this Division that the question of prescription is something best dealt with at trial.</w:t>
      </w:r>
      <w:r w:rsidR="00576510">
        <w:rPr>
          <w:rFonts w:ascii="Arial" w:hAnsi="Arial" w:cs="Arial"/>
          <w:sz w:val="24"/>
          <w:lang w:val="en-GB"/>
        </w:rPr>
        <w:t xml:space="preserve"> Only in the clearest of cases, where it is not readily conceivable what evidence at trial could be proffered to disturb a </w:t>
      </w:r>
      <w:r w:rsidR="00576510" w:rsidRPr="00576510">
        <w:rPr>
          <w:rFonts w:ascii="Arial" w:hAnsi="Arial" w:cs="Arial"/>
          <w:i/>
          <w:sz w:val="24"/>
          <w:lang w:val="en-GB"/>
        </w:rPr>
        <w:t>prima facie</w:t>
      </w:r>
      <w:r w:rsidR="00576510">
        <w:rPr>
          <w:rFonts w:ascii="Arial" w:hAnsi="Arial" w:cs="Arial"/>
          <w:sz w:val="24"/>
          <w:lang w:val="en-GB"/>
        </w:rPr>
        <w:t xml:space="preserve"> impression that prescription either is good or bad, are issues pertaining to prescription decided in applications of this nature.</w:t>
      </w:r>
      <w:r w:rsidR="00975E22">
        <w:rPr>
          <w:rFonts w:ascii="Arial" w:hAnsi="Arial" w:cs="Arial"/>
          <w:sz w:val="24"/>
          <w:lang w:val="en-GB"/>
        </w:rPr>
        <w:t xml:space="preserve"> This excludes evidence.</w:t>
      </w:r>
    </w:p>
    <w:p w14:paraId="6B752185" w14:textId="3D6A3D6E" w:rsidR="00B35076" w:rsidRDefault="00B35076"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[24]</w:t>
      </w:r>
      <w:r>
        <w:rPr>
          <w:rFonts w:ascii="Arial" w:hAnsi="Arial" w:cs="Arial"/>
          <w:sz w:val="24"/>
          <w:lang w:val="en-GB"/>
        </w:rPr>
        <w:tab/>
        <w:t>A similar objection to the Defendants’ Prescription Plea based on the Prescription Act arose in case number 4915/2021 before, HF Jacobs, AJ. It was found, (</w:t>
      </w:r>
      <w:r w:rsidRPr="00B35076">
        <w:rPr>
          <w:rFonts w:ascii="Arial" w:hAnsi="Arial" w:cs="Arial"/>
          <w:i/>
          <w:sz w:val="24"/>
          <w:lang w:val="en-GB"/>
        </w:rPr>
        <w:t>vide</w:t>
      </w:r>
      <w:r>
        <w:rPr>
          <w:rFonts w:ascii="Arial" w:hAnsi="Arial" w:cs="Arial"/>
          <w:sz w:val="24"/>
          <w:lang w:val="en-GB"/>
        </w:rPr>
        <w:t xml:space="preserve"> paragraph [8] at CaseLines 0-59 under the lastmentioned case number), that the Defendants’ Plea “</w:t>
      </w:r>
      <w:r w:rsidR="007321A7">
        <w:rPr>
          <w:rFonts w:ascii="Arial" w:hAnsi="Arial" w:cs="Arial"/>
          <w:sz w:val="24"/>
          <w:lang w:val="en-GB"/>
        </w:rPr>
        <w:t>…</w:t>
      </w:r>
      <w:r w:rsidR="007321A7" w:rsidRPr="007321A7">
        <w:rPr>
          <w:rFonts w:ascii="Arial" w:hAnsi="Arial" w:cs="Arial"/>
          <w:i/>
          <w:sz w:val="24"/>
          <w:lang w:val="en-GB"/>
        </w:rPr>
        <w:t>lacks a firm allegation of the date of inception and the date of completion of the period of prescription as stated in Gericke v Sacks</w:t>
      </w:r>
      <w:r w:rsidR="007321A7" w:rsidRPr="007321A7">
        <w:rPr>
          <w:rFonts w:ascii="Arial" w:hAnsi="Arial" w:cs="Arial"/>
          <w:sz w:val="24"/>
          <w:lang w:val="en-GB"/>
        </w:rPr>
        <w:t xml:space="preserve"> </w:t>
      </w:r>
      <w:r w:rsidR="007321A7">
        <w:rPr>
          <w:rFonts w:ascii="Arial" w:hAnsi="Arial" w:cs="Arial"/>
          <w:sz w:val="24"/>
          <w:lang w:val="en-GB"/>
        </w:rPr>
        <w:t>(sic)”.</w:t>
      </w:r>
    </w:p>
    <w:p w14:paraId="0B0DD682" w14:textId="0F839A15" w:rsidR="00ED2369" w:rsidRDefault="00E65859"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[25]</w:t>
      </w:r>
      <w:r>
        <w:rPr>
          <w:rFonts w:ascii="Arial" w:hAnsi="Arial" w:cs="Arial"/>
          <w:sz w:val="24"/>
          <w:lang w:val="en-GB"/>
        </w:rPr>
        <w:tab/>
      </w:r>
      <w:r w:rsidRPr="00E65859">
        <w:rPr>
          <w:rFonts w:ascii="Arial" w:hAnsi="Arial" w:cs="Arial"/>
          <w:i/>
          <w:sz w:val="24"/>
          <w:lang w:val="en-GB"/>
        </w:rPr>
        <w:t>In casu</w:t>
      </w:r>
      <w:r>
        <w:rPr>
          <w:rFonts w:ascii="Arial" w:hAnsi="Arial" w:cs="Arial"/>
          <w:sz w:val="24"/>
          <w:lang w:val="en-GB"/>
        </w:rPr>
        <w:t xml:space="preserve"> the Defendants’ Counsel contends that the difference between this case and any previous case is that the Defendants have now attached Annexure “</w:t>
      </w:r>
      <w:r w:rsidR="00DF5C04">
        <w:rPr>
          <w:rFonts w:ascii="Arial" w:hAnsi="Arial" w:cs="Arial"/>
          <w:sz w:val="24"/>
          <w:lang w:val="en-GB"/>
        </w:rPr>
        <w:t>M</w:t>
      </w:r>
      <w:r w:rsidR="00ED2369">
        <w:rPr>
          <w:rFonts w:ascii="Arial" w:hAnsi="Arial" w:cs="Arial"/>
          <w:sz w:val="24"/>
          <w:lang w:val="en-GB"/>
        </w:rPr>
        <w:t>M</w:t>
      </w:r>
      <w:r>
        <w:rPr>
          <w:rFonts w:ascii="Arial" w:hAnsi="Arial" w:cs="Arial"/>
          <w:sz w:val="24"/>
          <w:lang w:val="en-GB"/>
        </w:rPr>
        <w:t xml:space="preserve">2” to their proposed amended Plea. On my understanding of the Defendants’ Counsel’s submissions and on my understanding of paragraph 4.2 of the </w:t>
      </w:r>
      <w:r w:rsidR="00DF5C04">
        <w:rPr>
          <w:rFonts w:ascii="Arial" w:hAnsi="Arial" w:cs="Arial"/>
          <w:sz w:val="24"/>
          <w:lang w:val="en-GB"/>
        </w:rPr>
        <w:t>proposed amended Plea, (p. 002-298), Annexure “</w:t>
      </w:r>
      <w:r w:rsidR="00ED2369">
        <w:rPr>
          <w:rFonts w:ascii="Arial" w:hAnsi="Arial" w:cs="Arial"/>
          <w:sz w:val="24"/>
          <w:lang w:val="en-GB"/>
        </w:rPr>
        <w:t>MM</w:t>
      </w:r>
      <w:r w:rsidR="00DF5C04">
        <w:rPr>
          <w:rFonts w:ascii="Arial" w:hAnsi="Arial" w:cs="Arial"/>
          <w:sz w:val="24"/>
          <w:lang w:val="en-GB"/>
        </w:rPr>
        <w:t>2”</w:t>
      </w:r>
      <w:r w:rsidR="008A793F">
        <w:rPr>
          <w:rFonts w:ascii="Arial" w:hAnsi="Arial" w:cs="Arial"/>
          <w:sz w:val="24"/>
          <w:lang w:val="en-GB"/>
        </w:rPr>
        <w:t xml:space="preserve"> is an extract from Annexure “CS1” attached to the Plaintiff’s Particulars of Claim.</w:t>
      </w:r>
      <w:r w:rsidR="005A3F77">
        <w:rPr>
          <w:rFonts w:ascii="Arial" w:hAnsi="Arial" w:cs="Arial"/>
          <w:sz w:val="24"/>
          <w:lang w:val="en-GB"/>
        </w:rPr>
        <w:t xml:space="preserve"> It is, if my understanding is correct, </w:t>
      </w:r>
      <w:r w:rsidR="007369F7">
        <w:rPr>
          <w:rFonts w:ascii="Arial" w:hAnsi="Arial" w:cs="Arial"/>
          <w:sz w:val="24"/>
          <w:lang w:val="en-GB"/>
        </w:rPr>
        <w:t xml:space="preserve">thus contended that the Defendants no longer rely solely on a contention that everything contained in Annexures to the Plaintiff’s Particulars of Claim have prescribed but are more specific in that Annexure </w:t>
      </w:r>
      <w:r w:rsidR="00F4760F">
        <w:rPr>
          <w:rFonts w:ascii="Arial" w:hAnsi="Arial" w:cs="Arial"/>
          <w:sz w:val="24"/>
          <w:lang w:val="en-GB"/>
        </w:rPr>
        <w:t>“</w:t>
      </w:r>
      <w:r w:rsidR="00ED2369">
        <w:rPr>
          <w:rFonts w:ascii="Arial" w:hAnsi="Arial" w:cs="Arial"/>
          <w:sz w:val="24"/>
          <w:lang w:val="en-GB"/>
        </w:rPr>
        <w:t>MM</w:t>
      </w:r>
      <w:r w:rsidR="00F4760F">
        <w:rPr>
          <w:rFonts w:ascii="Arial" w:hAnsi="Arial" w:cs="Arial"/>
          <w:sz w:val="24"/>
          <w:lang w:val="en-GB"/>
        </w:rPr>
        <w:t>2” has identified specific</w:t>
      </w:r>
      <w:r w:rsidR="00ED2369">
        <w:rPr>
          <w:rFonts w:ascii="Arial" w:hAnsi="Arial" w:cs="Arial"/>
          <w:sz w:val="24"/>
          <w:lang w:val="en-GB"/>
        </w:rPr>
        <w:t xml:space="preserve"> claims as being prescribed.</w:t>
      </w:r>
    </w:p>
    <w:p w14:paraId="403BC714" w14:textId="6ADDA605" w:rsidR="00AB6EBE" w:rsidRDefault="00ED2369"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[26]</w:t>
      </w:r>
      <w:r>
        <w:rPr>
          <w:rFonts w:ascii="Arial" w:hAnsi="Arial" w:cs="Arial"/>
          <w:sz w:val="24"/>
          <w:lang w:val="en-GB"/>
        </w:rPr>
        <w:tab/>
        <w:t xml:space="preserve">Whether or not the Defendants’ submissions pertaining to Annexure “MM2” are correct, I simply do not know. I have deemed it unnecessary </w:t>
      </w:r>
      <w:r w:rsidR="00A86586">
        <w:rPr>
          <w:rFonts w:ascii="Arial" w:hAnsi="Arial" w:cs="Arial"/>
          <w:sz w:val="24"/>
          <w:lang w:val="en-GB"/>
        </w:rPr>
        <w:t>to compare Annexure “CS1” to the Plaintiff’s Particulars of Claim with Annexure “MM2” to the proposed Plea. This would have been a time consuming exercise simply to ascertain</w:t>
      </w:r>
      <w:r w:rsidR="007D5B01">
        <w:rPr>
          <w:rFonts w:ascii="Arial" w:hAnsi="Arial" w:cs="Arial"/>
          <w:sz w:val="24"/>
          <w:lang w:val="en-GB"/>
        </w:rPr>
        <w:t xml:space="preserve"> an irrelevancy</w:t>
      </w:r>
      <w:r w:rsidR="00AB6EBE">
        <w:rPr>
          <w:rFonts w:ascii="Arial" w:hAnsi="Arial" w:cs="Arial"/>
          <w:sz w:val="24"/>
          <w:lang w:val="en-GB"/>
        </w:rPr>
        <w:t>. This would still not address the gravamen of the Plaintiff’s objection which, so it appears to me, remains the same as the objection raised by the Plaintiff in the case before HF Jacobs, AJ.</w:t>
      </w:r>
    </w:p>
    <w:p w14:paraId="21AF6453" w14:textId="69754C8D" w:rsidR="00E65859" w:rsidRDefault="001661B0"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[27]</w:t>
      </w:r>
      <w:r>
        <w:rPr>
          <w:rFonts w:ascii="Arial" w:hAnsi="Arial" w:cs="Arial"/>
          <w:sz w:val="24"/>
          <w:lang w:val="en-GB"/>
        </w:rPr>
        <w:tab/>
        <w:t>The Defendants’ Special Plea on the Prescription Act, (i.e. the “</w:t>
      </w:r>
      <w:r w:rsidRPr="001661B0">
        <w:rPr>
          <w:rFonts w:ascii="Arial" w:hAnsi="Arial" w:cs="Arial"/>
          <w:i/>
          <w:sz w:val="24"/>
          <w:lang w:val="en-GB"/>
        </w:rPr>
        <w:t>fourth special plea</w:t>
      </w:r>
      <w:r>
        <w:rPr>
          <w:rFonts w:ascii="Arial" w:hAnsi="Arial" w:cs="Arial"/>
          <w:sz w:val="24"/>
          <w:lang w:val="en-GB"/>
        </w:rPr>
        <w:t xml:space="preserve">”), is extremely succinct. It consists of one paragraph with only three sub-paragraphs, (excluding the </w:t>
      </w:r>
      <w:r w:rsidR="007D5B01">
        <w:rPr>
          <w:rFonts w:ascii="Arial" w:hAnsi="Arial" w:cs="Arial"/>
          <w:sz w:val="24"/>
          <w:lang w:val="en-GB"/>
        </w:rPr>
        <w:t xml:space="preserve">sub-paragraph making the </w:t>
      </w:r>
      <w:r>
        <w:rPr>
          <w:rFonts w:ascii="Arial" w:hAnsi="Arial" w:cs="Arial"/>
          <w:sz w:val="24"/>
          <w:lang w:val="en-GB"/>
        </w:rPr>
        <w:t>conclusion that allegedly the Plaintiff’s claims had prescribed</w:t>
      </w:r>
      <w:r w:rsidR="007C753B">
        <w:rPr>
          <w:rFonts w:ascii="Arial" w:hAnsi="Arial" w:cs="Arial"/>
          <w:sz w:val="24"/>
          <w:lang w:val="en-GB"/>
        </w:rPr>
        <w:t>)</w:t>
      </w:r>
      <w:r>
        <w:rPr>
          <w:rFonts w:ascii="Arial" w:hAnsi="Arial" w:cs="Arial"/>
          <w:sz w:val="24"/>
          <w:lang w:val="en-GB"/>
        </w:rPr>
        <w:t xml:space="preserve">, and Annexure “MM2”. It is from these that one must attempt to </w:t>
      </w:r>
      <w:r w:rsidR="003A4A1C">
        <w:rPr>
          <w:rFonts w:ascii="Arial" w:hAnsi="Arial" w:cs="Arial"/>
          <w:sz w:val="24"/>
          <w:lang w:val="en-GB"/>
        </w:rPr>
        <w:t>glean why the Defendants contend</w:t>
      </w:r>
      <w:r w:rsidR="008E41CB">
        <w:rPr>
          <w:rFonts w:ascii="Arial" w:hAnsi="Arial" w:cs="Arial"/>
          <w:sz w:val="24"/>
          <w:lang w:val="en-GB"/>
        </w:rPr>
        <w:t xml:space="preserve"> that the Plaintiff’s claims have</w:t>
      </w:r>
      <w:r w:rsidR="003A4A1C">
        <w:rPr>
          <w:rFonts w:ascii="Arial" w:hAnsi="Arial" w:cs="Arial"/>
          <w:sz w:val="24"/>
          <w:lang w:val="en-GB"/>
        </w:rPr>
        <w:t xml:space="preserve"> prescribed. This is something I have found to be impossible </w:t>
      </w:r>
      <w:r w:rsidR="008E41CB">
        <w:rPr>
          <w:rFonts w:ascii="Arial" w:hAnsi="Arial" w:cs="Arial"/>
          <w:sz w:val="24"/>
          <w:lang w:val="en-GB"/>
        </w:rPr>
        <w:t xml:space="preserve">to do </w:t>
      </w:r>
      <w:r w:rsidR="003A4A1C">
        <w:rPr>
          <w:rFonts w:ascii="Arial" w:hAnsi="Arial" w:cs="Arial"/>
          <w:sz w:val="24"/>
          <w:lang w:val="en-GB"/>
        </w:rPr>
        <w:t xml:space="preserve">by perusing the </w:t>
      </w:r>
      <w:r w:rsidR="00270994">
        <w:rPr>
          <w:rFonts w:ascii="Arial" w:hAnsi="Arial" w:cs="Arial"/>
          <w:sz w:val="24"/>
          <w:lang w:val="en-GB"/>
        </w:rPr>
        <w:t>relevant Plea read with Annexure “MM2”. The fact that Annexure “MM2” contains two columns with, respectively, the following headings “</w:t>
      </w:r>
      <w:r w:rsidR="00D21074" w:rsidRPr="00D21074">
        <w:rPr>
          <w:rFonts w:ascii="Arial" w:hAnsi="Arial" w:cs="Arial"/>
          <w:i/>
          <w:sz w:val="24"/>
          <w:lang w:val="en-GB"/>
        </w:rPr>
        <w:t>Date of incident</w:t>
      </w:r>
      <w:r w:rsidR="00D21074">
        <w:rPr>
          <w:rFonts w:ascii="Arial" w:hAnsi="Arial" w:cs="Arial"/>
          <w:sz w:val="24"/>
          <w:lang w:val="en-GB"/>
        </w:rPr>
        <w:t>”</w:t>
      </w:r>
      <w:r w:rsidR="00F4760F">
        <w:rPr>
          <w:rFonts w:ascii="Arial" w:hAnsi="Arial" w:cs="Arial"/>
          <w:sz w:val="24"/>
          <w:lang w:val="en-GB"/>
        </w:rPr>
        <w:t xml:space="preserve"> </w:t>
      </w:r>
      <w:r w:rsidR="00D21074">
        <w:rPr>
          <w:rFonts w:ascii="Arial" w:hAnsi="Arial" w:cs="Arial"/>
          <w:sz w:val="24"/>
          <w:lang w:val="en-GB"/>
        </w:rPr>
        <w:t>and “</w:t>
      </w:r>
      <w:r w:rsidR="00D21074" w:rsidRPr="00D21074">
        <w:rPr>
          <w:rFonts w:ascii="Arial" w:hAnsi="Arial" w:cs="Arial"/>
          <w:i/>
          <w:sz w:val="24"/>
          <w:lang w:val="en-GB"/>
        </w:rPr>
        <w:t>First Acceptance Date</w:t>
      </w:r>
      <w:r w:rsidR="00D21074">
        <w:rPr>
          <w:rFonts w:ascii="Arial" w:hAnsi="Arial" w:cs="Arial"/>
          <w:sz w:val="24"/>
          <w:lang w:val="en-GB"/>
        </w:rPr>
        <w:t xml:space="preserve">” do </w:t>
      </w:r>
      <w:r w:rsidR="007557EE">
        <w:rPr>
          <w:rFonts w:ascii="Arial" w:hAnsi="Arial" w:cs="Arial"/>
          <w:sz w:val="24"/>
          <w:lang w:val="en-GB"/>
        </w:rPr>
        <w:t>not assist, especially in the light of the fact that the present case bears a 2021 case number</w:t>
      </w:r>
      <w:r w:rsidR="008E41CB">
        <w:rPr>
          <w:rFonts w:ascii="Arial" w:hAnsi="Arial" w:cs="Arial"/>
          <w:sz w:val="24"/>
          <w:lang w:val="en-GB"/>
        </w:rPr>
        <w:t xml:space="preserve"> and some of the listed dates are 2021 dates</w:t>
      </w:r>
      <w:r w:rsidR="007557EE">
        <w:rPr>
          <w:rFonts w:ascii="Arial" w:hAnsi="Arial" w:cs="Arial"/>
          <w:sz w:val="24"/>
          <w:lang w:val="en-GB"/>
        </w:rPr>
        <w:t>.</w:t>
      </w:r>
    </w:p>
    <w:p w14:paraId="3733584E" w14:textId="0F753910" w:rsidR="004445C2" w:rsidRDefault="007557EE"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[28]</w:t>
      </w:r>
      <w:r>
        <w:rPr>
          <w:rFonts w:ascii="Arial" w:hAnsi="Arial" w:cs="Arial"/>
          <w:sz w:val="24"/>
          <w:lang w:val="en-GB"/>
        </w:rPr>
        <w:tab/>
        <w:t xml:space="preserve">I am therefore, in the premises, constrained to conclude that the Defendants have failed to properly plead prescription based on the Prescription Act and consequently the amendment, </w:t>
      </w:r>
      <w:r>
        <w:rPr>
          <w:rFonts w:ascii="Arial" w:hAnsi="Arial" w:cs="Arial"/>
          <w:b/>
          <w:sz w:val="24"/>
          <w:lang w:val="en-GB"/>
        </w:rPr>
        <w:t>as it now stands</w:t>
      </w:r>
      <w:r>
        <w:rPr>
          <w:rFonts w:ascii="Arial" w:hAnsi="Arial" w:cs="Arial"/>
          <w:sz w:val="24"/>
          <w:lang w:val="en-GB"/>
        </w:rPr>
        <w:t xml:space="preserve">, cannot be entertained. The application to amend the Defendants’ Plea as set out in the Defendants’ present </w:t>
      </w:r>
      <w:r w:rsidR="004445C2">
        <w:rPr>
          <w:rFonts w:ascii="Arial" w:hAnsi="Arial" w:cs="Arial"/>
          <w:sz w:val="24"/>
          <w:lang w:val="en-GB"/>
        </w:rPr>
        <w:t>fourth Special Plea, (i.e. the Plea of Prescription based on the Prescript</w:t>
      </w:r>
      <w:r w:rsidR="006D3180">
        <w:rPr>
          <w:rFonts w:ascii="Arial" w:hAnsi="Arial" w:cs="Arial"/>
          <w:sz w:val="24"/>
          <w:lang w:val="en-GB"/>
        </w:rPr>
        <w:t>ion Act), is refused with costs as set out below.</w:t>
      </w:r>
    </w:p>
    <w:p w14:paraId="788C010A" w14:textId="77777777" w:rsidR="001C595C" w:rsidRDefault="004445C2"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[29]</w:t>
      </w:r>
      <w:r>
        <w:rPr>
          <w:rFonts w:ascii="Arial" w:hAnsi="Arial" w:cs="Arial"/>
          <w:sz w:val="24"/>
          <w:lang w:val="en-GB"/>
        </w:rPr>
        <w:tab/>
        <w:t xml:space="preserve">What remains to be dealt with </w:t>
      </w:r>
      <w:r w:rsidR="001C595C">
        <w:rPr>
          <w:rFonts w:ascii="Arial" w:hAnsi="Arial" w:cs="Arial"/>
          <w:sz w:val="24"/>
          <w:lang w:val="en-GB"/>
        </w:rPr>
        <w:t>pertains to costs.</w:t>
      </w:r>
    </w:p>
    <w:p w14:paraId="38AFE221" w14:textId="77777777" w:rsidR="00F76A24" w:rsidRDefault="001C595C"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[30]</w:t>
      </w:r>
      <w:r>
        <w:rPr>
          <w:rFonts w:ascii="Arial" w:hAnsi="Arial" w:cs="Arial"/>
          <w:sz w:val="24"/>
          <w:lang w:val="en-GB"/>
        </w:rPr>
        <w:tab/>
        <w:t>The Plaintiff’s main motivation, (I do not imply that this might necessarily be the only motivation but it is the only one of any import in my opinion), for a punitive costs order is that the Defendants persist in attempting to raise Pleas which have already been dismissed as unmeritorious by previous decisions. I am not convinced that there is any merit in this</w:t>
      </w:r>
      <w:r w:rsidR="00F76A24">
        <w:rPr>
          <w:rFonts w:ascii="Arial" w:hAnsi="Arial" w:cs="Arial"/>
          <w:sz w:val="24"/>
          <w:lang w:val="en-GB"/>
        </w:rPr>
        <w:t xml:space="preserve"> contention insofar as everything done by the Defendants is concerned. </w:t>
      </w:r>
    </w:p>
    <w:p w14:paraId="7B213D47" w14:textId="17294397" w:rsidR="009A4AD4" w:rsidRDefault="00F76A24"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[31]</w:t>
      </w:r>
      <w:r>
        <w:rPr>
          <w:rFonts w:ascii="Arial" w:hAnsi="Arial" w:cs="Arial"/>
          <w:sz w:val="24"/>
          <w:lang w:val="en-GB"/>
        </w:rPr>
        <w:tab/>
        <w:t>It furthermore appears to me that in other de</w:t>
      </w:r>
      <w:r w:rsidR="006D3180">
        <w:rPr>
          <w:rFonts w:ascii="Arial" w:hAnsi="Arial" w:cs="Arial"/>
          <w:sz w:val="24"/>
          <w:lang w:val="en-GB"/>
        </w:rPr>
        <w:t>cisions punitive costs were</w:t>
      </w:r>
      <w:r>
        <w:rPr>
          <w:rFonts w:ascii="Arial" w:hAnsi="Arial" w:cs="Arial"/>
          <w:sz w:val="24"/>
          <w:lang w:val="en-GB"/>
        </w:rPr>
        <w:t xml:space="preserve"> ordered for the reasons relied upon by the Plaintiff which I have recorded directly above. Axiomatically I am not bound by those previous decisions pertaining to</w:t>
      </w:r>
      <w:r w:rsidR="00B61310">
        <w:rPr>
          <w:rFonts w:ascii="Arial" w:hAnsi="Arial" w:cs="Arial"/>
          <w:sz w:val="24"/>
          <w:lang w:val="en-GB"/>
        </w:rPr>
        <w:t xml:space="preserve"> the appropriate scale of costs and, in any event, </w:t>
      </w:r>
      <w:r w:rsidR="00BD417F">
        <w:rPr>
          <w:rFonts w:ascii="Arial" w:hAnsi="Arial" w:cs="Arial"/>
          <w:sz w:val="24"/>
          <w:lang w:val="en-GB"/>
        </w:rPr>
        <w:t>I do not regard the fact that</w:t>
      </w:r>
      <w:r w:rsidR="007C087A">
        <w:rPr>
          <w:rFonts w:ascii="Arial" w:hAnsi="Arial" w:cs="Arial"/>
          <w:sz w:val="24"/>
          <w:lang w:val="en-GB"/>
        </w:rPr>
        <w:t xml:space="preserve"> the Defendants persist in raising or attempting to raise Pleas that had been dismissed as unmeritorious in the past by a Court of equal stature</w:t>
      </w:r>
      <w:r w:rsidR="004C05F9">
        <w:rPr>
          <w:rFonts w:ascii="Arial" w:hAnsi="Arial" w:cs="Arial"/>
          <w:sz w:val="24"/>
          <w:lang w:val="en-GB"/>
        </w:rPr>
        <w:t xml:space="preserve"> as a ground to justify a punitive costs order</w:t>
      </w:r>
      <w:r w:rsidR="007C087A">
        <w:rPr>
          <w:rFonts w:ascii="Arial" w:hAnsi="Arial" w:cs="Arial"/>
          <w:sz w:val="24"/>
          <w:lang w:val="en-GB"/>
        </w:rPr>
        <w:t xml:space="preserve">. The situation might have been different had all of the </w:t>
      </w:r>
      <w:r w:rsidR="008153A4">
        <w:rPr>
          <w:rFonts w:ascii="Arial" w:hAnsi="Arial" w:cs="Arial"/>
          <w:sz w:val="24"/>
          <w:lang w:val="en-GB"/>
        </w:rPr>
        <w:t>appeal attempts</w:t>
      </w:r>
      <w:r w:rsidR="00CD080A">
        <w:rPr>
          <w:rFonts w:ascii="Arial" w:hAnsi="Arial" w:cs="Arial"/>
          <w:sz w:val="24"/>
          <w:lang w:val="en-GB"/>
        </w:rPr>
        <w:t xml:space="preserve"> on which the Defendants have embarked, run thei</w:t>
      </w:r>
      <w:r w:rsidR="004C05F9">
        <w:rPr>
          <w:rFonts w:ascii="Arial" w:hAnsi="Arial" w:cs="Arial"/>
          <w:sz w:val="24"/>
          <w:lang w:val="en-GB"/>
        </w:rPr>
        <w:t>r course and the Defendants had</w:t>
      </w:r>
      <w:r w:rsidR="00CD080A">
        <w:rPr>
          <w:rFonts w:ascii="Arial" w:hAnsi="Arial" w:cs="Arial"/>
          <w:sz w:val="24"/>
          <w:lang w:val="en-GB"/>
        </w:rPr>
        <w:t xml:space="preserve"> failed to upset the previous judgments on the same issues. However, this is not the case. </w:t>
      </w:r>
    </w:p>
    <w:p w14:paraId="2869C43B" w14:textId="399A3EB2" w:rsidR="00E919BA" w:rsidRDefault="009A4AD4"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[32]</w:t>
      </w:r>
      <w:r w:rsidR="00906FA0">
        <w:rPr>
          <w:rFonts w:ascii="Arial" w:hAnsi="Arial" w:cs="Arial"/>
          <w:sz w:val="24"/>
          <w:lang w:val="en-GB"/>
        </w:rPr>
        <w:tab/>
        <w:t>If one were to punish a litigant merely because previous decision</w:t>
      </w:r>
      <w:r w:rsidR="0013747E">
        <w:rPr>
          <w:rFonts w:ascii="Arial" w:hAnsi="Arial" w:cs="Arial"/>
          <w:sz w:val="24"/>
          <w:lang w:val="en-GB"/>
        </w:rPr>
        <w:t xml:space="preserve">s by a Court of the same stature as the Court in which </w:t>
      </w:r>
      <w:r w:rsidR="004C4C11">
        <w:rPr>
          <w:rFonts w:ascii="Arial" w:hAnsi="Arial" w:cs="Arial"/>
          <w:sz w:val="24"/>
          <w:lang w:val="en-GB"/>
        </w:rPr>
        <w:t xml:space="preserve">a present application is being adjudicated have found against a litigant on the same issue, this would imply that there is an element of finality in the previous decisions </w:t>
      </w:r>
      <w:r w:rsidR="008C5E07">
        <w:rPr>
          <w:rFonts w:ascii="Arial" w:hAnsi="Arial" w:cs="Arial"/>
          <w:sz w:val="24"/>
          <w:lang w:val="en-GB"/>
        </w:rPr>
        <w:t xml:space="preserve">despite the fact </w:t>
      </w:r>
      <w:r w:rsidR="004C4C11">
        <w:rPr>
          <w:rFonts w:ascii="Arial" w:hAnsi="Arial" w:cs="Arial"/>
          <w:sz w:val="24"/>
          <w:lang w:val="en-GB"/>
        </w:rPr>
        <w:t xml:space="preserve">that </w:t>
      </w:r>
      <w:r w:rsidR="008C5E07">
        <w:rPr>
          <w:rFonts w:ascii="Arial" w:hAnsi="Arial" w:cs="Arial"/>
          <w:sz w:val="24"/>
          <w:lang w:val="en-GB"/>
        </w:rPr>
        <w:t xml:space="preserve">they </w:t>
      </w:r>
      <w:r w:rsidR="004C4C11">
        <w:rPr>
          <w:rFonts w:ascii="Arial" w:hAnsi="Arial" w:cs="Arial"/>
          <w:sz w:val="24"/>
          <w:lang w:val="en-GB"/>
        </w:rPr>
        <w:t xml:space="preserve">are pending the outcome of higher Courts on </w:t>
      </w:r>
      <w:r w:rsidR="00821FDD">
        <w:rPr>
          <w:rFonts w:ascii="Arial" w:hAnsi="Arial" w:cs="Arial"/>
          <w:sz w:val="24"/>
          <w:lang w:val="en-GB"/>
        </w:rPr>
        <w:t>precisely the question whether or not the previous decisions are correct. Whilst it is true that a decision of a Court remains effective and must be complied with until it is set aside by a competent Court, (</w:t>
      </w:r>
      <w:r w:rsidR="00821FDD" w:rsidRPr="00821FDD">
        <w:rPr>
          <w:rFonts w:ascii="Arial" w:hAnsi="Arial" w:cs="Arial"/>
          <w:i/>
          <w:sz w:val="24"/>
          <w:lang w:val="en-GB"/>
        </w:rPr>
        <w:t>in casu</w:t>
      </w:r>
      <w:r w:rsidR="00821FDD">
        <w:rPr>
          <w:rFonts w:ascii="Arial" w:hAnsi="Arial" w:cs="Arial"/>
          <w:sz w:val="24"/>
          <w:lang w:val="en-GB"/>
        </w:rPr>
        <w:t xml:space="preserve">, a higher Court), </w:t>
      </w:r>
      <w:r w:rsidR="00CA553D">
        <w:rPr>
          <w:rFonts w:ascii="Arial" w:hAnsi="Arial" w:cs="Arial"/>
          <w:sz w:val="24"/>
          <w:lang w:val="en-GB"/>
        </w:rPr>
        <w:t xml:space="preserve">one cannot lose sight of the fact that </w:t>
      </w:r>
      <w:r w:rsidR="003E466F">
        <w:rPr>
          <w:rFonts w:ascii="Arial" w:hAnsi="Arial" w:cs="Arial"/>
          <w:sz w:val="24"/>
          <w:lang w:val="en-GB"/>
        </w:rPr>
        <w:t>the principle I am referring to is analogous to the principle that</w:t>
      </w:r>
      <w:r w:rsidR="00592F65">
        <w:rPr>
          <w:rFonts w:ascii="Arial" w:hAnsi="Arial" w:cs="Arial"/>
          <w:sz w:val="24"/>
          <w:lang w:val="en-GB"/>
        </w:rPr>
        <w:t xml:space="preserve"> </w:t>
      </w:r>
      <w:r w:rsidR="00CA553D">
        <w:rPr>
          <w:rFonts w:ascii="Arial" w:hAnsi="Arial" w:cs="Arial"/>
          <w:sz w:val="24"/>
          <w:lang w:val="en-GB"/>
        </w:rPr>
        <w:t>judgments against which appeals hav</w:t>
      </w:r>
      <w:r w:rsidR="00592F65">
        <w:rPr>
          <w:rFonts w:ascii="Arial" w:hAnsi="Arial" w:cs="Arial"/>
          <w:sz w:val="24"/>
          <w:lang w:val="en-GB"/>
        </w:rPr>
        <w:t>e been noted and are pending, are</w:t>
      </w:r>
      <w:r w:rsidR="00CA553D">
        <w:rPr>
          <w:rFonts w:ascii="Arial" w:hAnsi="Arial" w:cs="Arial"/>
          <w:sz w:val="24"/>
          <w:lang w:val="en-GB"/>
        </w:rPr>
        <w:t xml:space="preserve"> suspended pending the outcome of the appeal. Only in extraordinary circumstances is the contrary true.</w:t>
      </w:r>
    </w:p>
    <w:p w14:paraId="1D5BAC51" w14:textId="2897FE3A" w:rsidR="00E919BA" w:rsidRDefault="00E919BA"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[33]</w:t>
      </w:r>
      <w:r>
        <w:rPr>
          <w:rFonts w:ascii="Arial" w:hAnsi="Arial" w:cs="Arial"/>
          <w:sz w:val="24"/>
          <w:lang w:val="en-GB"/>
        </w:rPr>
        <w:tab/>
        <w:t>In the premises I find that the mere fact that there are previous decisions on the same issues which are the subject matter of appeals</w:t>
      </w:r>
      <w:r w:rsidR="00697562">
        <w:rPr>
          <w:rFonts w:ascii="Arial" w:hAnsi="Arial" w:cs="Arial"/>
          <w:sz w:val="24"/>
          <w:lang w:val="en-GB"/>
        </w:rPr>
        <w:t xml:space="preserve"> cannot be justification for penalizing a</w:t>
      </w:r>
      <w:r>
        <w:rPr>
          <w:rFonts w:ascii="Arial" w:hAnsi="Arial" w:cs="Arial"/>
          <w:sz w:val="24"/>
          <w:lang w:val="en-GB"/>
        </w:rPr>
        <w:t xml:space="preserve"> litigant raising the same issue in other cases before a Court of similar stature to those Courts who made the previous decisions subject to appeal. </w:t>
      </w:r>
    </w:p>
    <w:p w14:paraId="1FC44B2B" w14:textId="77777777" w:rsidR="00234E36" w:rsidRDefault="00D61FB6" w:rsidP="00E73F91">
      <w:pPr>
        <w:widowControl w:val="0"/>
        <w:spacing w:before="240" w:after="240" w:line="480" w:lineRule="auto"/>
        <w:ind w:left="720" w:hanging="720"/>
        <w:jc w:val="both"/>
        <w:rPr>
          <w:rFonts w:ascii="Arial" w:hAnsi="Arial" w:cs="Arial"/>
          <w:sz w:val="24"/>
          <w:lang w:val="en-GB"/>
        </w:rPr>
      </w:pPr>
      <w:r>
        <w:rPr>
          <w:rFonts w:ascii="Arial" w:hAnsi="Arial" w:cs="Arial"/>
          <w:sz w:val="24"/>
          <w:lang w:val="en-GB"/>
        </w:rPr>
        <w:t>[34]</w:t>
      </w:r>
      <w:r>
        <w:rPr>
          <w:rFonts w:ascii="Arial" w:hAnsi="Arial" w:cs="Arial"/>
          <w:sz w:val="24"/>
          <w:lang w:val="en-GB"/>
        </w:rPr>
        <w:tab/>
      </w:r>
      <w:r w:rsidR="00234E36">
        <w:rPr>
          <w:rFonts w:ascii="Arial" w:hAnsi="Arial" w:cs="Arial"/>
          <w:sz w:val="24"/>
          <w:lang w:val="en-GB"/>
        </w:rPr>
        <w:t xml:space="preserve">Having stated the aforegoing there is certain conduct of the Defendants which justifies a punitive cost order </w:t>
      </w:r>
      <w:r w:rsidR="00234E36" w:rsidRPr="00234E36">
        <w:rPr>
          <w:rFonts w:ascii="Arial" w:hAnsi="Arial" w:cs="Arial"/>
          <w:i/>
          <w:sz w:val="24"/>
          <w:lang w:val="en-GB"/>
        </w:rPr>
        <w:t>viz</w:t>
      </w:r>
      <w:r w:rsidR="00234E36">
        <w:rPr>
          <w:rFonts w:ascii="Arial" w:hAnsi="Arial" w:cs="Arial"/>
          <w:sz w:val="24"/>
          <w:lang w:val="en-GB"/>
        </w:rPr>
        <w:t>:</w:t>
      </w:r>
    </w:p>
    <w:p w14:paraId="6DD2427D" w14:textId="0D05EC21" w:rsidR="002A6946" w:rsidRDefault="002A6946" w:rsidP="002A6946">
      <w:pPr>
        <w:widowControl w:val="0"/>
        <w:spacing w:before="240" w:after="240" w:line="480" w:lineRule="auto"/>
        <w:ind w:left="2160" w:hanging="1440"/>
        <w:jc w:val="both"/>
        <w:rPr>
          <w:rFonts w:ascii="Arial" w:hAnsi="Arial" w:cs="Arial"/>
          <w:sz w:val="24"/>
          <w:lang w:val="en-GB"/>
        </w:rPr>
      </w:pPr>
      <w:r>
        <w:rPr>
          <w:rFonts w:ascii="Arial" w:hAnsi="Arial" w:cs="Arial"/>
          <w:sz w:val="24"/>
          <w:lang w:val="en-GB"/>
        </w:rPr>
        <w:t>[34.1]</w:t>
      </w:r>
      <w:r>
        <w:rPr>
          <w:rFonts w:ascii="Arial" w:hAnsi="Arial" w:cs="Arial"/>
          <w:sz w:val="24"/>
          <w:lang w:val="en-GB"/>
        </w:rPr>
        <w:tab/>
        <w:t xml:space="preserve">The late filing of a Replying Affidavit without any proper application for condonation therefor. </w:t>
      </w:r>
    </w:p>
    <w:p w14:paraId="0E9F36CC" w14:textId="2FF64915" w:rsidR="002A6946" w:rsidRDefault="002A6946" w:rsidP="002A6946">
      <w:pPr>
        <w:widowControl w:val="0"/>
        <w:spacing w:before="240" w:after="240" w:line="480" w:lineRule="auto"/>
        <w:ind w:left="2160" w:hanging="1440"/>
        <w:jc w:val="both"/>
        <w:rPr>
          <w:rFonts w:ascii="Arial" w:hAnsi="Arial" w:cs="Arial"/>
          <w:sz w:val="24"/>
          <w:lang w:val="en-GB"/>
        </w:rPr>
      </w:pPr>
      <w:r>
        <w:rPr>
          <w:rFonts w:ascii="Arial" w:hAnsi="Arial" w:cs="Arial"/>
          <w:sz w:val="24"/>
          <w:lang w:val="en-GB"/>
        </w:rPr>
        <w:t>[34.2]</w:t>
      </w:r>
      <w:r>
        <w:rPr>
          <w:rFonts w:ascii="Arial" w:hAnsi="Arial" w:cs="Arial"/>
          <w:sz w:val="24"/>
          <w:lang w:val="en-GB"/>
        </w:rPr>
        <w:tab/>
        <w:t xml:space="preserve">The attempt to amend the Defendants’ Plea by raising other Pleas than those </w:t>
      </w:r>
      <w:r w:rsidR="004C1D33">
        <w:rPr>
          <w:rFonts w:ascii="Arial" w:hAnsi="Arial" w:cs="Arial"/>
          <w:sz w:val="24"/>
          <w:lang w:val="en-GB"/>
        </w:rPr>
        <w:t>permitted by Ally, AJ.</w:t>
      </w:r>
    </w:p>
    <w:p w14:paraId="51547416" w14:textId="62D035A5" w:rsidR="004C1D33" w:rsidRDefault="004C1D33" w:rsidP="004C1D33">
      <w:pPr>
        <w:widowControl w:val="0"/>
        <w:spacing w:before="240" w:after="240" w:line="480" w:lineRule="auto"/>
        <w:jc w:val="both"/>
        <w:rPr>
          <w:rFonts w:ascii="Arial" w:hAnsi="Arial" w:cs="Arial"/>
          <w:sz w:val="24"/>
          <w:lang w:val="en-GB"/>
        </w:rPr>
      </w:pPr>
      <w:r>
        <w:rPr>
          <w:rFonts w:ascii="Arial" w:hAnsi="Arial" w:cs="Arial"/>
          <w:sz w:val="24"/>
          <w:lang w:val="en-GB"/>
        </w:rPr>
        <w:t>[35]</w:t>
      </w:r>
      <w:r>
        <w:rPr>
          <w:rFonts w:ascii="Arial" w:hAnsi="Arial" w:cs="Arial"/>
          <w:sz w:val="24"/>
          <w:lang w:val="en-GB"/>
        </w:rPr>
        <w:tab/>
        <w:t>In the premises I make the following orders:</w:t>
      </w:r>
    </w:p>
    <w:p w14:paraId="68A6F167" w14:textId="679AAD5D" w:rsidR="004C1D33" w:rsidRDefault="004C1D33" w:rsidP="004C1D33">
      <w:pPr>
        <w:widowControl w:val="0"/>
        <w:spacing w:before="240" w:after="240" w:line="480" w:lineRule="auto"/>
        <w:ind w:left="2160" w:hanging="1440"/>
        <w:jc w:val="both"/>
        <w:rPr>
          <w:rFonts w:ascii="Arial" w:hAnsi="Arial" w:cs="Arial"/>
          <w:sz w:val="24"/>
          <w:lang w:val="en-GB"/>
        </w:rPr>
      </w:pPr>
      <w:r>
        <w:rPr>
          <w:rFonts w:ascii="Arial" w:hAnsi="Arial" w:cs="Arial"/>
          <w:sz w:val="24"/>
          <w:lang w:val="en-GB"/>
        </w:rPr>
        <w:t>[35.1]</w:t>
      </w:r>
      <w:r>
        <w:rPr>
          <w:rFonts w:ascii="Arial" w:hAnsi="Arial" w:cs="Arial"/>
          <w:sz w:val="24"/>
          <w:lang w:val="en-GB"/>
        </w:rPr>
        <w:tab/>
        <w:t xml:space="preserve">The Defendants’ application to amend the Defendants’ Plea as set out in the Defendants’ new Plea attached as Annexure to the Defendants’ Notice of Intention to Amend, is refused with costs. These costs are to be on Scale B, (and, to avoid doubt, shall include the costs of Senior Counsel where so employed </w:t>
      </w:r>
      <w:r w:rsidR="00697562">
        <w:rPr>
          <w:rFonts w:ascii="Arial" w:hAnsi="Arial" w:cs="Arial"/>
          <w:sz w:val="24"/>
          <w:lang w:val="en-GB"/>
        </w:rPr>
        <w:t>but</w:t>
      </w:r>
      <w:r w:rsidR="00210593">
        <w:rPr>
          <w:rFonts w:ascii="Arial" w:hAnsi="Arial" w:cs="Arial"/>
          <w:sz w:val="24"/>
          <w:lang w:val="en-GB"/>
        </w:rPr>
        <w:t xml:space="preserve"> will not be on </w:t>
      </w:r>
      <w:r w:rsidR="00697562">
        <w:rPr>
          <w:rFonts w:ascii="Arial" w:hAnsi="Arial" w:cs="Arial"/>
          <w:sz w:val="24"/>
          <w:lang w:val="en-GB"/>
        </w:rPr>
        <w:t xml:space="preserve">an </w:t>
      </w:r>
      <w:r w:rsidR="00210593">
        <w:rPr>
          <w:rFonts w:ascii="Arial" w:hAnsi="Arial" w:cs="Arial"/>
          <w:sz w:val="24"/>
          <w:lang w:val="en-GB"/>
        </w:rPr>
        <w:t xml:space="preserve">attorney and own client </w:t>
      </w:r>
      <w:r w:rsidR="000F0C1D">
        <w:rPr>
          <w:rFonts w:ascii="Arial" w:hAnsi="Arial" w:cs="Arial"/>
          <w:sz w:val="24"/>
          <w:lang w:val="en-GB"/>
        </w:rPr>
        <w:t xml:space="preserve">or attorney and client </w:t>
      </w:r>
      <w:r w:rsidR="00210593">
        <w:rPr>
          <w:rFonts w:ascii="Arial" w:hAnsi="Arial" w:cs="Arial"/>
          <w:sz w:val="24"/>
          <w:lang w:val="en-GB"/>
        </w:rPr>
        <w:t>basis).</w:t>
      </w:r>
      <w:r w:rsidR="00487CCE">
        <w:rPr>
          <w:rFonts w:ascii="Arial" w:hAnsi="Arial" w:cs="Arial"/>
          <w:sz w:val="24"/>
          <w:lang w:val="en-GB"/>
        </w:rPr>
        <w:t xml:space="preserve"> This is subject to the costs orders made below.</w:t>
      </w:r>
    </w:p>
    <w:p w14:paraId="2220100C" w14:textId="5E6850C5" w:rsidR="00210593" w:rsidRDefault="00210593" w:rsidP="004C1D33">
      <w:pPr>
        <w:widowControl w:val="0"/>
        <w:spacing w:before="240" w:after="240" w:line="480" w:lineRule="auto"/>
        <w:ind w:left="2160" w:hanging="1440"/>
        <w:jc w:val="both"/>
        <w:rPr>
          <w:rFonts w:ascii="Arial" w:hAnsi="Arial" w:cs="Arial"/>
          <w:sz w:val="24"/>
          <w:lang w:val="en-GB"/>
        </w:rPr>
      </w:pPr>
      <w:r>
        <w:rPr>
          <w:rFonts w:ascii="Arial" w:hAnsi="Arial" w:cs="Arial"/>
          <w:sz w:val="24"/>
          <w:lang w:val="en-GB"/>
        </w:rPr>
        <w:t>[35.2]</w:t>
      </w:r>
      <w:r>
        <w:rPr>
          <w:rFonts w:ascii="Arial" w:hAnsi="Arial" w:cs="Arial"/>
          <w:sz w:val="24"/>
          <w:lang w:val="en-GB"/>
        </w:rPr>
        <w:tab/>
        <w:t>The Defendants’ application for condonation for the late filing of the Reply is granted and the Defendants are ordered to pay the costs of same on an attorney and own client scale, (</w:t>
      </w:r>
      <w:r w:rsidR="00487CCE">
        <w:rPr>
          <w:rFonts w:ascii="Arial" w:hAnsi="Arial" w:cs="Arial"/>
          <w:sz w:val="24"/>
          <w:lang w:val="en-GB"/>
        </w:rPr>
        <w:t>in order to avoid doubt, on Scale C).</w:t>
      </w:r>
    </w:p>
    <w:p w14:paraId="30D1098E" w14:textId="33F9C65E" w:rsidR="00487CCE" w:rsidRDefault="00487CCE" w:rsidP="004C1D33">
      <w:pPr>
        <w:widowControl w:val="0"/>
        <w:spacing w:before="240" w:after="240" w:line="480" w:lineRule="auto"/>
        <w:ind w:left="2160" w:hanging="1440"/>
        <w:jc w:val="both"/>
        <w:rPr>
          <w:rFonts w:ascii="Arial" w:hAnsi="Arial" w:cs="Arial"/>
          <w:sz w:val="24"/>
          <w:lang w:val="en-GB"/>
        </w:rPr>
      </w:pPr>
      <w:r>
        <w:rPr>
          <w:rFonts w:ascii="Arial" w:hAnsi="Arial" w:cs="Arial"/>
          <w:sz w:val="24"/>
          <w:lang w:val="en-GB"/>
        </w:rPr>
        <w:t>[35.3]</w:t>
      </w:r>
      <w:r>
        <w:rPr>
          <w:rFonts w:ascii="Arial" w:hAnsi="Arial" w:cs="Arial"/>
          <w:sz w:val="24"/>
          <w:lang w:val="en-GB"/>
        </w:rPr>
        <w:tab/>
      </w:r>
      <w:r w:rsidR="007A628F">
        <w:rPr>
          <w:rFonts w:ascii="Arial" w:hAnsi="Arial" w:cs="Arial"/>
          <w:sz w:val="24"/>
          <w:lang w:val="en-GB"/>
        </w:rPr>
        <w:t xml:space="preserve">The costs occasioned by the Defendants’ attempt to amend the Defendants’ Plea beyond the scope of the permission granted by Ally, AJ on 17 July 2023, are to be paid by the Defendants </w:t>
      </w:r>
      <w:r w:rsidR="000F0C1D">
        <w:rPr>
          <w:rFonts w:ascii="Arial" w:hAnsi="Arial" w:cs="Arial"/>
          <w:sz w:val="24"/>
          <w:lang w:val="en-GB"/>
        </w:rPr>
        <w:t xml:space="preserve">on </w:t>
      </w:r>
      <w:r w:rsidR="007A628F">
        <w:rPr>
          <w:rFonts w:ascii="Arial" w:hAnsi="Arial" w:cs="Arial"/>
          <w:sz w:val="24"/>
          <w:lang w:val="en-GB"/>
        </w:rPr>
        <w:t>Scale C, (in order to avoid doubt they are to be attorney and own client costs).</w:t>
      </w:r>
    </w:p>
    <w:p w14:paraId="6E50FB7D" w14:textId="52C23BB1" w:rsidR="00E375DA" w:rsidRPr="00833889" w:rsidRDefault="00234E36" w:rsidP="003A098E">
      <w:pPr>
        <w:widowControl w:val="0"/>
        <w:spacing w:before="240" w:after="240" w:line="480" w:lineRule="auto"/>
        <w:ind w:left="720" w:hanging="720"/>
        <w:jc w:val="both"/>
        <w:rPr>
          <w:rFonts w:ascii="Arial" w:eastAsia="Times New Roman" w:hAnsi="Arial" w:cs="Arial"/>
          <w:sz w:val="24"/>
          <w:szCs w:val="25"/>
        </w:rPr>
      </w:pPr>
      <w:r>
        <w:rPr>
          <w:rFonts w:ascii="Arial" w:hAnsi="Arial" w:cs="Arial"/>
          <w:sz w:val="24"/>
          <w:lang w:val="en-GB"/>
        </w:rPr>
        <w:tab/>
      </w:r>
    </w:p>
    <w:p w14:paraId="58842DD1" w14:textId="77777777" w:rsidR="00517A93" w:rsidRPr="004E4858" w:rsidRDefault="00517A93" w:rsidP="00896DE8">
      <w:pPr>
        <w:snapToGrid w:val="0"/>
        <w:spacing w:after="0" w:line="360" w:lineRule="auto"/>
        <w:ind w:left="1440" w:hanging="720"/>
        <w:jc w:val="right"/>
        <w:rPr>
          <w:rFonts w:ascii="Arial" w:eastAsia="Times New Roman" w:hAnsi="Arial" w:cs="Arial"/>
          <w:sz w:val="24"/>
          <w:szCs w:val="24"/>
          <w:lang w:val="en-ZA" w:eastAsia="en-GB"/>
        </w:rPr>
      </w:pPr>
      <w:r w:rsidRPr="004E4858">
        <w:rPr>
          <w:rFonts w:ascii="Arial" w:eastAsia="Times New Roman" w:hAnsi="Arial" w:cs="Arial"/>
          <w:sz w:val="24"/>
          <w:szCs w:val="24"/>
          <w:lang w:val="en-ZA" w:eastAsia="en-GB"/>
        </w:rPr>
        <w:t>________________________</w:t>
      </w:r>
    </w:p>
    <w:p w14:paraId="61DE813E" w14:textId="2C2E11F3" w:rsidR="00517A93" w:rsidRPr="004E4858" w:rsidRDefault="004C3E29" w:rsidP="00896DE8">
      <w:pPr>
        <w:spacing w:after="0" w:line="360" w:lineRule="auto"/>
        <w:jc w:val="right"/>
        <w:rPr>
          <w:rFonts w:ascii="Arial" w:eastAsia="Times New Roman" w:hAnsi="Arial" w:cs="Arial"/>
          <w:b/>
          <w:sz w:val="24"/>
          <w:szCs w:val="16"/>
          <w:lang w:val="en-ZA" w:eastAsia="en-GB"/>
        </w:rPr>
      </w:pPr>
      <w:r>
        <w:rPr>
          <w:rFonts w:ascii="Arial" w:eastAsia="Times New Roman" w:hAnsi="Arial" w:cs="Arial"/>
          <w:b/>
          <w:sz w:val="24"/>
          <w:szCs w:val="16"/>
          <w:lang w:val="en-ZA" w:eastAsia="en-GB"/>
        </w:rPr>
        <w:t xml:space="preserve">TALL POTGIETER </w:t>
      </w:r>
    </w:p>
    <w:p w14:paraId="18DE0DE8" w14:textId="3ECE9401" w:rsidR="00517A93" w:rsidRPr="00784628" w:rsidRDefault="00833889" w:rsidP="00896DE8">
      <w:pPr>
        <w:snapToGrid w:val="0"/>
        <w:spacing w:after="0" w:line="360" w:lineRule="auto"/>
        <w:ind w:left="1440" w:hanging="720"/>
        <w:jc w:val="right"/>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ACTING </w:t>
      </w:r>
      <w:r w:rsidR="00517A93" w:rsidRPr="004E4858">
        <w:rPr>
          <w:rFonts w:ascii="Arial" w:eastAsia="Times New Roman" w:hAnsi="Arial" w:cs="Arial"/>
          <w:b/>
          <w:sz w:val="24"/>
          <w:szCs w:val="24"/>
          <w:lang w:val="en-ZA" w:eastAsia="en-GB"/>
        </w:rPr>
        <w:t>JUDGE OF THE HIGH COURT, PRETORIA</w:t>
      </w:r>
    </w:p>
    <w:p w14:paraId="69DEF2C5" w14:textId="77777777" w:rsidR="00896DE8" w:rsidRDefault="00896DE8" w:rsidP="00517A93">
      <w:pPr>
        <w:spacing w:after="0" w:line="480" w:lineRule="auto"/>
        <w:rPr>
          <w:rFonts w:ascii="Arial" w:eastAsia="Times New Roman" w:hAnsi="Arial" w:cs="Arial"/>
          <w:b/>
          <w:sz w:val="24"/>
          <w:szCs w:val="24"/>
          <w:lang w:val="en-ZA" w:eastAsia="en-GB"/>
        </w:rPr>
      </w:pPr>
    </w:p>
    <w:p w14:paraId="3162045F" w14:textId="6FB824F8" w:rsidR="00517A93" w:rsidRPr="00775CAE" w:rsidRDefault="00517A93" w:rsidP="00517A93">
      <w:pPr>
        <w:spacing w:after="0" w:line="480" w:lineRule="auto"/>
        <w:rPr>
          <w:rFonts w:ascii="Arial" w:eastAsia="Times New Roman" w:hAnsi="Arial" w:cs="Arial"/>
          <w:b/>
          <w:sz w:val="24"/>
          <w:szCs w:val="24"/>
          <w:lang w:val="en-ZA" w:eastAsia="en-GB"/>
        </w:rPr>
      </w:pPr>
      <w:r w:rsidRPr="004E4858">
        <w:rPr>
          <w:rFonts w:ascii="Arial" w:eastAsia="Times New Roman" w:hAnsi="Arial" w:cs="Arial"/>
          <w:b/>
          <w:sz w:val="24"/>
          <w:szCs w:val="24"/>
          <w:lang w:val="en-ZA" w:eastAsia="en-GB"/>
        </w:rPr>
        <w:t>APPEARANCES:</w:t>
      </w:r>
    </w:p>
    <w:p w14:paraId="280DDF0F" w14:textId="77777777" w:rsidR="00A122E0" w:rsidRDefault="00A122E0" w:rsidP="00143B4D">
      <w:pPr>
        <w:spacing w:before="120" w:after="120" w:line="240" w:lineRule="auto"/>
        <w:rPr>
          <w:rFonts w:ascii="Arial" w:eastAsia="Calibri" w:hAnsi="Arial" w:cs="Arial"/>
          <w:sz w:val="24"/>
          <w:szCs w:val="24"/>
          <w:lang w:val="en-ZA" w:eastAsia="en-GB"/>
        </w:rPr>
      </w:pPr>
    </w:p>
    <w:p w14:paraId="7F147669" w14:textId="77777777" w:rsidR="00DA56CC" w:rsidRDefault="004E20E6" w:rsidP="00143B4D">
      <w:pPr>
        <w:spacing w:before="120" w:after="120" w:line="240" w:lineRule="auto"/>
        <w:rPr>
          <w:rFonts w:ascii="Arial" w:eastAsia="Calibri" w:hAnsi="Arial" w:cs="Arial"/>
          <w:sz w:val="24"/>
          <w:szCs w:val="24"/>
          <w:lang w:val="en-ZA" w:eastAsia="en-GB"/>
        </w:rPr>
      </w:pPr>
      <w:r>
        <w:rPr>
          <w:rFonts w:ascii="Arial" w:eastAsia="Calibri" w:hAnsi="Arial" w:cs="Arial"/>
          <w:sz w:val="24"/>
          <w:szCs w:val="24"/>
          <w:lang w:val="en-ZA" w:eastAsia="en-GB"/>
        </w:rPr>
        <w:t xml:space="preserve">FOR PLAINTIFF (RESPONDENT IN </w:t>
      </w:r>
    </w:p>
    <w:p w14:paraId="46CC5566" w14:textId="45C095D7" w:rsidR="005B1172" w:rsidRPr="00DA56CC" w:rsidRDefault="00DA56CC" w:rsidP="00143B4D">
      <w:pPr>
        <w:spacing w:before="120" w:after="120" w:line="240" w:lineRule="auto"/>
        <w:rPr>
          <w:rFonts w:ascii="Arial" w:eastAsia="Calibri" w:hAnsi="Arial" w:cs="Arial"/>
          <w:sz w:val="24"/>
          <w:szCs w:val="24"/>
          <w:lang w:val="en-ZA" w:eastAsia="en-GB"/>
        </w:rPr>
      </w:pPr>
      <w:r>
        <w:rPr>
          <w:rFonts w:ascii="Arial" w:eastAsia="Calibri" w:hAnsi="Arial" w:cs="Arial"/>
          <w:sz w:val="24"/>
          <w:szCs w:val="24"/>
          <w:lang w:val="en-ZA" w:eastAsia="en-GB"/>
        </w:rPr>
        <w:t xml:space="preserve">THE </w:t>
      </w:r>
      <w:r w:rsidR="004E20E6">
        <w:rPr>
          <w:rFonts w:ascii="Arial" w:eastAsia="Calibri" w:hAnsi="Arial" w:cs="Arial"/>
          <w:sz w:val="24"/>
          <w:szCs w:val="24"/>
          <w:lang w:val="en-ZA" w:eastAsia="en-GB"/>
        </w:rPr>
        <w:t>APPLICATION TO AMEND</w:t>
      </w:r>
      <w:r w:rsidR="00784628">
        <w:rPr>
          <w:rFonts w:ascii="Arial" w:eastAsia="Calibri" w:hAnsi="Arial" w:cs="Arial"/>
          <w:sz w:val="24"/>
          <w:szCs w:val="24"/>
          <w:lang w:val="en-ZA" w:eastAsia="en-GB"/>
        </w:rPr>
        <w:t xml:space="preserve">: </w:t>
      </w:r>
      <w:r w:rsidR="001E2632">
        <w:rPr>
          <w:rFonts w:ascii="Arial" w:eastAsia="Calibri" w:hAnsi="Arial" w:cs="Arial"/>
          <w:sz w:val="24"/>
          <w:szCs w:val="24"/>
          <w:lang w:val="en-ZA" w:eastAsia="en-GB"/>
        </w:rPr>
        <w:tab/>
      </w:r>
      <w:r w:rsidR="00784628">
        <w:rPr>
          <w:rFonts w:ascii="Arial" w:eastAsia="Times New Roman" w:hAnsi="Arial" w:cs="Arial"/>
          <w:sz w:val="24"/>
          <w:szCs w:val="25"/>
        </w:rPr>
        <w:t xml:space="preserve">ADV </w:t>
      </w:r>
      <w:r w:rsidR="00181C85">
        <w:rPr>
          <w:rFonts w:ascii="Arial" w:hAnsi="Arial" w:cs="Arial"/>
          <w:sz w:val="24"/>
        </w:rPr>
        <w:t>EJJ NEL</w:t>
      </w:r>
    </w:p>
    <w:p w14:paraId="2947A4C9" w14:textId="08412264" w:rsidR="00181C85" w:rsidRDefault="00181C85" w:rsidP="00143B4D">
      <w:pPr>
        <w:spacing w:before="120" w:after="12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CELL:</w:t>
      </w:r>
      <w:r w:rsidR="00DA56CC">
        <w:rPr>
          <w:rFonts w:ascii="Arial" w:hAnsi="Arial" w:cs="Arial"/>
          <w:sz w:val="24"/>
        </w:rPr>
        <w:tab/>
      </w:r>
      <w:r w:rsidR="00DA56CC">
        <w:rPr>
          <w:rFonts w:ascii="Arial" w:hAnsi="Arial" w:cs="Arial"/>
          <w:sz w:val="24"/>
        </w:rPr>
        <w:tab/>
      </w:r>
      <w:r>
        <w:rPr>
          <w:rFonts w:ascii="Arial" w:hAnsi="Arial" w:cs="Arial"/>
          <w:sz w:val="24"/>
        </w:rPr>
        <w:t>082 414 2634</w:t>
      </w:r>
    </w:p>
    <w:p w14:paraId="21245872" w14:textId="6B946265" w:rsidR="00181C85" w:rsidRDefault="00181C85" w:rsidP="00143B4D">
      <w:pPr>
        <w:spacing w:before="120" w:after="120" w:line="240" w:lineRule="auto"/>
        <w:rPr>
          <w:rFonts w:ascii="Arial" w:eastAsia="Times New Roman" w:hAnsi="Arial" w:cs="Arial"/>
          <w:sz w:val="24"/>
          <w:szCs w:val="25"/>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A56CC">
        <w:rPr>
          <w:rFonts w:ascii="Arial" w:hAnsi="Arial" w:cs="Arial"/>
          <w:sz w:val="24"/>
        </w:rPr>
        <w:t>E-MAIL:</w:t>
      </w:r>
      <w:r w:rsidR="00DA56CC">
        <w:rPr>
          <w:rFonts w:ascii="Arial" w:hAnsi="Arial" w:cs="Arial"/>
          <w:sz w:val="24"/>
        </w:rPr>
        <w:tab/>
      </w:r>
      <w:hyperlink r:id="rId10" w:history="1">
        <w:r w:rsidR="003F5C0F" w:rsidRPr="003B7208">
          <w:rPr>
            <w:rStyle w:val="Hyperlink"/>
            <w:rFonts w:ascii="Arial" w:hAnsi="Arial" w:cs="Arial"/>
            <w:sz w:val="24"/>
          </w:rPr>
          <w:t>ejj.nel@brooklynadvocates.co.za</w:t>
        </w:r>
      </w:hyperlink>
      <w:r w:rsidR="003F5C0F">
        <w:rPr>
          <w:rFonts w:ascii="Arial" w:hAnsi="Arial" w:cs="Arial"/>
          <w:sz w:val="24"/>
        </w:rPr>
        <w:t xml:space="preserve"> </w:t>
      </w:r>
      <w:r w:rsidR="00DA56CC">
        <w:rPr>
          <w:rFonts w:ascii="Arial" w:hAnsi="Arial" w:cs="Arial"/>
          <w:sz w:val="24"/>
        </w:rPr>
        <w:t xml:space="preserve"> </w:t>
      </w:r>
    </w:p>
    <w:p w14:paraId="62998533" w14:textId="681CD580" w:rsidR="00DE755D" w:rsidRDefault="003F5C0F" w:rsidP="003F5C0F">
      <w:pPr>
        <w:spacing w:after="0" w:line="360" w:lineRule="auto"/>
        <w:ind w:left="3600" w:firstLine="720"/>
        <w:rPr>
          <w:rFonts w:ascii="Arial" w:hAnsi="Arial" w:cs="Arial"/>
          <w:sz w:val="24"/>
        </w:rPr>
      </w:pPr>
      <w:r>
        <w:rPr>
          <w:rFonts w:ascii="Arial" w:hAnsi="Arial" w:cs="Arial"/>
          <w:sz w:val="24"/>
        </w:rPr>
        <w:t>VDT ATTORNEYS (DONALD FISCHER)</w:t>
      </w:r>
    </w:p>
    <w:p w14:paraId="676999BA" w14:textId="0E1B89AC" w:rsidR="00DE755D" w:rsidRDefault="003F5C0F" w:rsidP="003F5C0F">
      <w:pPr>
        <w:spacing w:after="0" w:line="360" w:lineRule="auto"/>
        <w:ind w:left="3600" w:firstLine="720"/>
        <w:rPr>
          <w:rFonts w:ascii="Arial" w:hAnsi="Arial" w:cs="Arial"/>
          <w:sz w:val="24"/>
        </w:rPr>
      </w:pPr>
      <w:r>
        <w:rPr>
          <w:rFonts w:ascii="Arial" w:hAnsi="Arial" w:cs="Arial"/>
          <w:sz w:val="24"/>
        </w:rPr>
        <w:t>CELL</w:t>
      </w:r>
      <w:r w:rsidR="00DE755D">
        <w:rPr>
          <w:rFonts w:ascii="Arial" w:hAnsi="Arial" w:cs="Arial"/>
          <w:sz w:val="24"/>
        </w:rPr>
        <w:t xml:space="preserve">: </w:t>
      </w:r>
      <w:r>
        <w:rPr>
          <w:rFonts w:ascii="Arial" w:hAnsi="Arial" w:cs="Arial"/>
          <w:sz w:val="24"/>
        </w:rPr>
        <w:tab/>
        <w:t>082 226 3695</w:t>
      </w:r>
    </w:p>
    <w:p w14:paraId="39E93A9B" w14:textId="5A3A0432" w:rsidR="00DE755D" w:rsidRDefault="00DE755D" w:rsidP="003F5C0F">
      <w:pPr>
        <w:spacing w:after="0" w:line="360" w:lineRule="auto"/>
        <w:ind w:left="3600" w:firstLine="720"/>
        <w:rPr>
          <w:rFonts w:ascii="Arial" w:hAnsi="Arial" w:cs="Arial"/>
          <w:sz w:val="24"/>
        </w:rPr>
      </w:pPr>
      <w:r>
        <w:rPr>
          <w:rFonts w:ascii="Arial" w:hAnsi="Arial" w:cs="Arial"/>
          <w:sz w:val="24"/>
        </w:rPr>
        <w:t xml:space="preserve">E-MAIL: </w:t>
      </w:r>
      <w:r w:rsidR="007209CE">
        <w:rPr>
          <w:rFonts w:ascii="Arial" w:hAnsi="Arial" w:cs="Arial"/>
          <w:sz w:val="24"/>
        </w:rPr>
        <w:tab/>
      </w:r>
      <w:hyperlink r:id="rId11" w:history="1">
        <w:r w:rsidR="003F5C0F" w:rsidRPr="003B7208">
          <w:rPr>
            <w:rStyle w:val="Hyperlink"/>
            <w:rFonts w:ascii="Arial" w:hAnsi="Arial" w:cs="Arial"/>
            <w:sz w:val="24"/>
          </w:rPr>
          <w:t>donaldf@vdt.co.za</w:t>
        </w:r>
      </w:hyperlink>
      <w:r w:rsidR="003F5C0F">
        <w:rPr>
          <w:rFonts w:ascii="Arial" w:hAnsi="Arial" w:cs="Arial"/>
          <w:sz w:val="24"/>
        </w:rPr>
        <w:t xml:space="preserve"> </w:t>
      </w:r>
    </w:p>
    <w:p w14:paraId="6FD0392D" w14:textId="7EBFE6AD" w:rsidR="00E375DA" w:rsidRPr="00C17793" w:rsidRDefault="00DE755D" w:rsidP="00217804">
      <w:pPr>
        <w:spacing w:after="0" w:line="360" w:lineRule="auto"/>
        <w:ind w:left="2880" w:firstLine="720"/>
        <w:rPr>
          <w:rFonts w:ascii="Arial" w:eastAsia="Calibri" w:hAnsi="Arial" w:cs="Arial"/>
          <w:sz w:val="28"/>
          <w:szCs w:val="24"/>
          <w:lang w:val="en-ZA" w:eastAsia="en-GB"/>
        </w:rPr>
      </w:pPr>
      <w:r>
        <w:rPr>
          <w:rFonts w:ascii="Arial" w:hAnsi="Arial" w:cs="Arial"/>
          <w:sz w:val="24"/>
        </w:rPr>
        <w:tab/>
      </w:r>
      <w:r w:rsidR="007209CE">
        <w:rPr>
          <w:rFonts w:ascii="Arial" w:hAnsi="Arial" w:cs="Arial"/>
          <w:sz w:val="24"/>
        </w:rPr>
        <w:tab/>
      </w:r>
      <w:r w:rsidR="00E375DA">
        <w:rPr>
          <w:rFonts w:ascii="Arial" w:hAnsi="Arial" w:cs="Arial"/>
          <w:sz w:val="24"/>
        </w:rPr>
        <w:t xml:space="preserve"> </w:t>
      </w:r>
    </w:p>
    <w:p w14:paraId="3E229A53" w14:textId="77777777" w:rsidR="00517A93" w:rsidRPr="005251C1" w:rsidRDefault="00517A93" w:rsidP="00784628">
      <w:pPr>
        <w:spacing w:after="0" w:line="240" w:lineRule="auto"/>
        <w:rPr>
          <w:rFonts w:ascii="Arial" w:eastAsia="Calibri" w:hAnsi="Arial" w:cs="Arial"/>
          <w:sz w:val="24"/>
          <w:szCs w:val="24"/>
          <w:lang w:val="en-ZA" w:eastAsia="en-GB"/>
        </w:rPr>
      </w:pPr>
    </w:p>
    <w:p w14:paraId="68733112" w14:textId="3BDE6F11" w:rsidR="00E145B1" w:rsidRDefault="00784628" w:rsidP="00143B4D">
      <w:pPr>
        <w:spacing w:before="120" w:after="120" w:line="240" w:lineRule="auto"/>
        <w:rPr>
          <w:rFonts w:ascii="Arial" w:eastAsia="Calibri" w:hAnsi="Arial" w:cs="Arial"/>
          <w:sz w:val="24"/>
          <w:szCs w:val="24"/>
          <w:lang w:val="en-ZA" w:eastAsia="en-GB"/>
        </w:rPr>
      </w:pPr>
      <w:r>
        <w:rPr>
          <w:rFonts w:ascii="Arial" w:eastAsia="Calibri" w:hAnsi="Arial" w:cs="Arial"/>
          <w:sz w:val="24"/>
          <w:szCs w:val="24"/>
          <w:lang w:val="en-ZA" w:eastAsia="en-GB"/>
        </w:rPr>
        <w:t>FOR</w:t>
      </w:r>
      <w:r w:rsidR="00E145B1">
        <w:rPr>
          <w:rFonts w:ascii="Arial" w:eastAsia="Calibri" w:hAnsi="Arial" w:cs="Arial"/>
          <w:sz w:val="24"/>
          <w:szCs w:val="24"/>
          <w:lang w:val="en-ZA" w:eastAsia="en-GB"/>
        </w:rPr>
        <w:t xml:space="preserve"> DEFENDANTS (APPLICANTS</w:t>
      </w:r>
    </w:p>
    <w:p w14:paraId="56C81C48" w14:textId="33D98BA1" w:rsidR="00784628" w:rsidRDefault="00E145B1" w:rsidP="00143B4D">
      <w:pPr>
        <w:spacing w:before="120" w:after="120" w:line="240" w:lineRule="auto"/>
        <w:rPr>
          <w:rFonts w:ascii="Arial" w:eastAsia="Times New Roman" w:hAnsi="Arial" w:cs="Arial"/>
          <w:sz w:val="24"/>
          <w:szCs w:val="25"/>
        </w:rPr>
      </w:pPr>
      <w:r>
        <w:rPr>
          <w:rFonts w:ascii="Arial" w:eastAsia="Calibri" w:hAnsi="Arial" w:cs="Arial"/>
          <w:sz w:val="24"/>
          <w:szCs w:val="24"/>
          <w:lang w:val="en-ZA" w:eastAsia="en-GB"/>
        </w:rPr>
        <w:t>IN THE APPLICATION TO AMEND</w:t>
      </w:r>
      <w:r w:rsidR="00784628">
        <w:rPr>
          <w:rFonts w:ascii="Arial" w:eastAsia="Calibri" w:hAnsi="Arial" w:cs="Arial"/>
          <w:sz w:val="24"/>
          <w:szCs w:val="24"/>
          <w:lang w:val="en-ZA" w:eastAsia="en-GB"/>
        </w:rPr>
        <w:t xml:space="preserve">: </w:t>
      </w:r>
      <w:r w:rsidR="003C6B52">
        <w:rPr>
          <w:rFonts w:ascii="Arial" w:eastAsia="Calibri" w:hAnsi="Arial" w:cs="Arial"/>
          <w:sz w:val="24"/>
          <w:szCs w:val="24"/>
          <w:lang w:val="en-ZA" w:eastAsia="en-GB"/>
        </w:rPr>
        <w:tab/>
      </w:r>
      <w:r w:rsidR="00885965">
        <w:rPr>
          <w:rFonts w:ascii="Arial" w:eastAsia="Times New Roman" w:hAnsi="Arial" w:cs="Arial"/>
          <w:sz w:val="24"/>
          <w:szCs w:val="25"/>
        </w:rPr>
        <w:t xml:space="preserve">ADV </w:t>
      </w:r>
      <w:r w:rsidR="002F6D98">
        <w:rPr>
          <w:rFonts w:ascii="Arial" w:eastAsia="Times New Roman" w:hAnsi="Arial" w:cs="Arial"/>
          <w:sz w:val="24"/>
          <w:szCs w:val="25"/>
        </w:rPr>
        <w:t>M MAKHUBELA</w:t>
      </w:r>
    </w:p>
    <w:p w14:paraId="2B0D2F3A" w14:textId="5F2AB114" w:rsidR="002F6D98" w:rsidRDefault="002F6D98" w:rsidP="00143B4D">
      <w:pPr>
        <w:spacing w:before="120" w:after="120" w:line="240" w:lineRule="auto"/>
        <w:rPr>
          <w:rFonts w:ascii="Arial" w:eastAsia="Times New Roman" w:hAnsi="Arial" w:cs="Arial"/>
          <w:sz w:val="24"/>
          <w:szCs w:val="25"/>
        </w:rPr>
      </w:pP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t>CELL:</w:t>
      </w:r>
      <w:r>
        <w:rPr>
          <w:rFonts w:ascii="Arial" w:eastAsia="Times New Roman" w:hAnsi="Arial" w:cs="Arial"/>
          <w:sz w:val="24"/>
          <w:szCs w:val="25"/>
        </w:rPr>
        <w:tab/>
      </w:r>
      <w:r>
        <w:rPr>
          <w:rFonts w:ascii="Arial" w:eastAsia="Times New Roman" w:hAnsi="Arial" w:cs="Arial"/>
          <w:sz w:val="24"/>
          <w:szCs w:val="25"/>
        </w:rPr>
        <w:tab/>
        <w:t>078 199 1150</w:t>
      </w:r>
    </w:p>
    <w:p w14:paraId="17E24982" w14:textId="36875752" w:rsidR="002F6D98" w:rsidRDefault="002F6D98" w:rsidP="00143B4D">
      <w:pPr>
        <w:spacing w:before="120" w:after="120" w:line="240" w:lineRule="auto"/>
        <w:rPr>
          <w:rFonts w:ascii="Arial" w:eastAsia="Times New Roman" w:hAnsi="Arial" w:cs="Arial"/>
          <w:sz w:val="24"/>
          <w:szCs w:val="25"/>
        </w:rPr>
      </w:pP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t>E-MAIL:</w:t>
      </w:r>
      <w:r>
        <w:rPr>
          <w:rFonts w:ascii="Arial" w:eastAsia="Times New Roman" w:hAnsi="Arial" w:cs="Arial"/>
          <w:sz w:val="24"/>
          <w:szCs w:val="25"/>
        </w:rPr>
        <w:tab/>
      </w:r>
      <w:hyperlink r:id="rId12" w:history="1">
        <w:r w:rsidR="005976C7" w:rsidRPr="003B7208">
          <w:rPr>
            <w:rStyle w:val="Hyperlink"/>
            <w:rFonts w:ascii="Arial" w:eastAsia="Times New Roman" w:hAnsi="Arial" w:cs="Arial"/>
            <w:sz w:val="24"/>
            <w:szCs w:val="25"/>
          </w:rPr>
          <w:t>mswazim@law.co.za</w:t>
        </w:r>
      </w:hyperlink>
      <w:r w:rsidR="005976C7">
        <w:rPr>
          <w:rFonts w:ascii="Arial" w:eastAsia="Times New Roman" w:hAnsi="Arial" w:cs="Arial"/>
          <w:sz w:val="24"/>
          <w:szCs w:val="25"/>
        </w:rPr>
        <w:t xml:space="preserve"> </w:t>
      </w:r>
    </w:p>
    <w:p w14:paraId="012DA5E8" w14:textId="256F3F84" w:rsidR="005976C7" w:rsidRDefault="005976C7" w:rsidP="00143B4D">
      <w:pPr>
        <w:spacing w:before="120" w:after="120" w:line="240" w:lineRule="auto"/>
        <w:rPr>
          <w:rFonts w:ascii="Arial" w:eastAsia="Times New Roman" w:hAnsi="Arial" w:cs="Arial"/>
          <w:sz w:val="24"/>
          <w:szCs w:val="25"/>
        </w:rPr>
      </w:pP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t>ADV MS NTESO</w:t>
      </w:r>
    </w:p>
    <w:p w14:paraId="6162C6BE" w14:textId="5E6F3053" w:rsidR="005976C7" w:rsidRDefault="005976C7" w:rsidP="00143B4D">
      <w:pPr>
        <w:spacing w:before="120" w:after="120" w:line="240" w:lineRule="auto"/>
        <w:rPr>
          <w:rFonts w:ascii="Arial" w:eastAsia="Times New Roman" w:hAnsi="Arial" w:cs="Arial"/>
          <w:sz w:val="24"/>
          <w:szCs w:val="25"/>
        </w:rPr>
      </w:pP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t>CELL:</w:t>
      </w:r>
      <w:r>
        <w:rPr>
          <w:rFonts w:ascii="Arial" w:eastAsia="Times New Roman" w:hAnsi="Arial" w:cs="Arial"/>
          <w:sz w:val="24"/>
          <w:szCs w:val="25"/>
        </w:rPr>
        <w:tab/>
      </w:r>
      <w:r>
        <w:rPr>
          <w:rFonts w:ascii="Arial" w:eastAsia="Times New Roman" w:hAnsi="Arial" w:cs="Arial"/>
          <w:sz w:val="24"/>
          <w:szCs w:val="25"/>
        </w:rPr>
        <w:tab/>
        <w:t>063 964 6112</w:t>
      </w:r>
    </w:p>
    <w:p w14:paraId="56679295" w14:textId="26DEF0E9" w:rsidR="005976C7" w:rsidRPr="00885965" w:rsidRDefault="005976C7" w:rsidP="00143B4D">
      <w:pPr>
        <w:spacing w:before="120" w:after="120" w:line="240" w:lineRule="auto"/>
        <w:rPr>
          <w:rFonts w:ascii="Arial" w:eastAsia="Calibri" w:hAnsi="Arial" w:cs="Arial"/>
          <w:sz w:val="24"/>
          <w:szCs w:val="24"/>
          <w:lang w:val="en-ZA" w:eastAsia="en-GB"/>
        </w:rPr>
      </w:pP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t>E-MAIL:</w:t>
      </w:r>
      <w:r>
        <w:rPr>
          <w:rFonts w:ascii="Arial" w:eastAsia="Times New Roman" w:hAnsi="Arial" w:cs="Arial"/>
          <w:sz w:val="24"/>
          <w:szCs w:val="25"/>
        </w:rPr>
        <w:tab/>
      </w:r>
      <w:hyperlink r:id="rId13" w:history="1">
        <w:r w:rsidR="00937343" w:rsidRPr="003B7208">
          <w:rPr>
            <w:rStyle w:val="Hyperlink"/>
            <w:rFonts w:ascii="Arial" w:eastAsia="Times New Roman" w:hAnsi="Arial" w:cs="Arial"/>
            <w:sz w:val="24"/>
            <w:szCs w:val="25"/>
          </w:rPr>
          <w:t>butsinteso@gmail.com</w:t>
        </w:r>
      </w:hyperlink>
      <w:r w:rsidR="00937343">
        <w:rPr>
          <w:rFonts w:ascii="Arial" w:eastAsia="Times New Roman" w:hAnsi="Arial" w:cs="Arial"/>
          <w:sz w:val="24"/>
          <w:szCs w:val="25"/>
        </w:rPr>
        <w:t xml:space="preserve"> </w:t>
      </w:r>
    </w:p>
    <w:p w14:paraId="53DD8DC3" w14:textId="6CBE2F87" w:rsidR="005C7120" w:rsidRDefault="00217804" w:rsidP="00217804">
      <w:pPr>
        <w:spacing w:before="120" w:after="120" w:line="240" w:lineRule="auto"/>
        <w:rPr>
          <w:rFonts w:ascii="Arial" w:eastAsia="Times New Roman" w:hAnsi="Arial" w:cs="Arial"/>
          <w:sz w:val="24"/>
          <w:szCs w:val="25"/>
        </w:rPr>
      </w:pP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sidR="00937343">
        <w:rPr>
          <w:rFonts w:ascii="Arial" w:eastAsia="Times New Roman" w:hAnsi="Arial" w:cs="Arial"/>
          <w:sz w:val="24"/>
          <w:szCs w:val="25"/>
        </w:rPr>
        <w:tab/>
        <w:t>THE STATE ATTORNEY</w:t>
      </w:r>
    </w:p>
    <w:p w14:paraId="44041C4B" w14:textId="7AEEBED0" w:rsidR="00937343" w:rsidRDefault="00937343" w:rsidP="00217804">
      <w:pPr>
        <w:spacing w:before="120" w:after="120" w:line="240" w:lineRule="auto"/>
        <w:rPr>
          <w:rFonts w:ascii="Arial" w:eastAsia="Times New Roman" w:hAnsi="Arial" w:cs="Arial"/>
          <w:sz w:val="24"/>
          <w:szCs w:val="25"/>
        </w:rPr>
      </w:pP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Pr>
          <w:rFonts w:ascii="Arial" w:eastAsia="Times New Roman" w:hAnsi="Arial" w:cs="Arial"/>
          <w:sz w:val="24"/>
          <w:szCs w:val="25"/>
        </w:rPr>
        <w:tab/>
      </w:r>
      <w:r w:rsidR="00646251">
        <w:rPr>
          <w:rFonts w:ascii="Arial" w:eastAsia="Times New Roman" w:hAnsi="Arial" w:cs="Arial"/>
          <w:sz w:val="24"/>
          <w:szCs w:val="25"/>
        </w:rPr>
        <w:t>RUDZANI SIKHALA</w:t>
      </w:r>
    </w:p>
    <w:p w14:paraId="09D04358" w14:textId="7CDF1503" w:rsidR="00FB4CE4" w:rsidRDefault="00646251" w:rsidP="00646251">
      <w:pPr>
        <w:spacing w:after="0" w:line="360" w:lineRule="auto"/>
        <w:ind w:left="3600" w:firstLine="720"/>
        <w:rPr>
          <w:rFonts w:ascii="Arial" w:eastAsia="Calibri" w:hAnsi="Arial" w:cs="Arial"/>
          <w:sz w:val="24"/>
          <w:szCs w:val="24"/>
          <w:lang w:val="en-ZA" w:eastAsia="en-GB"/>
        </w:rPr>
      </w:pPr>
      <w:r>
        <w:rPr>
          <w:rFonts w:ascii="Arial" w:eastAsia="Calibri" w:hAnsi="Arial" w:cs="Arial"/>
          <w:sz w:val="24"/>
          <w:szCs w:val="24"/>
          <w:lang w:val="en-ZA" w:eastAsia="en-GB"/>
        </w:rPr>
        <w:t>CELL</w:t>
      </w:r>
      <w:r w:rsidR="005C7120">
        <w:rPr>
          <w:rFonts w:ascii="Arial" w:eastAsia="Calibri" w:hAnsi="Arial" w:cs="Arial"/>
          <w:sz w:val="24"/>
          <w:szCs w:val="24"/>
          <w:lang w:val="en-ZA" w:eastAsia="en-GB"/>
        </w:rPr>
        <w:t xml:space="preserve">: </w:t>
      </w:r>
      <w:r>
        <w:rPr>
          <w:rFonts w:ascii="Arial" w:eastAsia="Calibri" w:hAnsi="Arial" w:cs="Arial"/>
          <w:sz w:val="24"/>
          <w:szCs w:val="24"/>
          <w:lang w:val="en-ZA" w:eastAsia="en-GB"/>
        </w:rPr>
        <w:tab/>
        <w:t>072 046 4045</w:t>
      </w:r>
    </w:p>
    <w:p w14:paraId="23114E94" w14:textId="7C11D18B" w:rsidR="00BB0529" w:rsidRDefault="00FB4CE4" w:rsidP="00646251">
      <w:pPr>
        <w:spacing w:after="0" w:line="360" w:lineRule="auto"/>
        <w:ind w:left="3600" w:firstLine="720"/>
        <w:rPr>
          <w:rFonts w:ascii="Arial" w:eastAsia="Calibri" w:hAnsi="Arial" w:cs="Arial"/>
          <w:sz w:val="24"/>
          <w:szCs w:val="24"/>
          <w:lang w:val="en-ZA" w:eastAsia="en-GB"/>
        </w:rPr>
      </w:pPr>
      <w:r>
        <w:rPr>
          <w:rFonts w:ascii="Arial" w:eastAsia="Calibri" w:hAnsi="Arial" w:cs="Arial"/>
          <w:sz w:val="24"/>
          <w:szCs w:val="24"/>
          <w:lang w:val="en-ZA" w:eastAsia="en-GB"/>
        </w:rPr>
        <w:t>E-MAIL:</w:t>
      </w:r>
      <w:r w:rsidR="005F1696">
        <w:rPr>
          <w:rFonts w:ascii="Arial" w:eastAsia="Calibri" w:hAnsi="Arial" w:cs="Arial"/>
          <w:sz w:val="24"/>
          <w:szCs w:val="24"/>
          <w:lang w:val="en-ZA" w:eastAsia="en-GB"/>
        </w:rPr>
        <w:t xml:space="preserve"> </w:t>
      </w:r>
      <w:r w:rsidR="007209CE">
        <w:rPr>
          <w:rFonts w:ascii="Arial" w:eastAsia="Calibri" w:hAnsi="Arial" w:cs="Arial"/>
          <w:sz w:val="24"/>
          <w:szCs w:val="24"/>
          <w:lang w:val="en-ZA" w:eastAsia="en-GB"/>
        </w:rPr>
        <w:tab/>
      </w:r>
      <w:hyperlink r:id="rId14" w:history="1">
        <w:r w:rsidR="00997A29" w:rsidRPr="003B7208">
          <w:rPr>
            <w:rStyle w:val="Hyperlink"/>
            <w:rFonts w:ascii="Arial" w:eastAsia="Calibri" w:hAnsi="Arial" w:cs="Arial"/>
            <w:sz w:val="24"/>
            <w:szCs w:val="24"/>
            <w:lang w:val="en-ZA" w:eastAsia="en-GB"/>
          </w:rPr>
          <w:t>rsikhala@justice.gov.za</w:t>
        </w:r>
      </w:hyperlink>
      <w:r w:rsidR="005C7120">
        <w:rPr>
          <w:rFonts w:ascii="Arial" w:eastAsia="Calibri" w:hAnsi="Arial" w:cs="Arial"/>
          <w:sz w:val="24"/>
          <w:szCs w:val="24"/>
          <w:lang w:val="en-ZA" w:eastAsia="en-GB"/>
        </w:rPr>
        <w:t xml:space="preserve"> </w:t>
      </w:r>
    </w:p>
    <w:p w14:paraId="33CCE4D8" w14:textId="6A0050DD" w:rsidR="00E375DA" w:rsidRPr="005C7120" w:rsidRDefault="00775CAE" w:rsidP="005C7120">
      <w:pPr>
        <w:spacing w:after="0" w:line="360" w:lineRule="auto"/>
        <w:ind w:left="2880" w:firstLine="720"/>
        <w:rPr>
          <w:rFonts w:ascii="Arial" w:eastAsia="Calibri" w:hAnsi="Arial" w:cs="Arial"/>
          <w:sz w:val="24"/>
          <w:szCs w:val="24"/>
          <w:lang w:val="en-ZA" w:eastAsia="en-GB"/>
        </w:rPr>
      </w:pPr>
      <w:r>
        <w:rPr>
          <w:rFonts w:ascii="Arial" w:eastAsia="Calibri" w:hAnsi="Arial" w:cs="Arial"/>
          <w:sz w:val="24"/>
          <w:szCs w:val="24"/>
          <w:lang w:val="en-ZA" w:eastAsia="en-GB"/>
        </w:rPr>
        <w:tab/>
      </w:r>
      <w:r>
        <w:rPr>
          <w:rFonts w:ascii="Arial" w:eastAsia="Calibri" w:hAnsi="Arial" w:cs="Arial"/>
          <w:sz w:val="24"/>
          <w:szCs w:val="24"/>
          <w:lang w:val="en-ZA" w:eastAsia="en-GB"/>
        </w:rPr>
        <w:tab/>
      </w:r>
      <w:r>
        <w:rPr>
          <w:rFonts w:ascii="Arial" w:eastAsia="Calibri" w:hAnsi="Arial" w:cs="Arial"/>
          <w:sz w:val="24"/>
          <w:szCs w:val="24"/>
          <w:lang w:val="en-ZA" w:eastAsia="en-GB"/>
        </w:rPr>
        <w:tab/>
      </w:r>
    </w:p>
    <w:p w14:paraId="6B2E97D7" w14:textId="40757B5B" w:rsidR="00517A93" w:rsidRDefault="00517A93" w:rsidP="00517A93">
      <w:pPr>
        <w:spacing w:after="0" w:line="480" w:lineRule="auto"/>
        <w:rPr>
          <w:rFonts w:ascii="Arial" w:eastAsia="Times New Roman" w:hAnsi="Arial" w:cs="Arial"/>
          <w:sz w:val="24"/>
          <w:szCs w:val="24"/>
          <w:lang w:val="en-ZA" w:eastAsia="en-GB"/>
        </w:rPr>
      </w:pPr>
      <w:r w:rsidRPr="0073286A">
        <w:rPr>
          <w:rFonts w:ascii="Arial" w:eastAsia="Times New Roman" w:hAnsi="Arial" w:cs="Arial"/>
          <w:sz w:val="24"/>
          <w:szCs w:val="24"/>
          <w:lang w:val="en-ZA" w:eastAsia="en-GB"/>
        </w:rPr>
        <w:t xml:space="preserve">This judgment has been delivered by uploading it to the </w:t>
      </w:r>
      <w:r w:rsidR="00896DE8" w:rsidRPr="0073286A">
        <w:rPr>
          <w:rFonts w:ascii="Arial" w:eastAsia="Times New Roman" w:hAnsi="Arial" w:cs="Arial"/>
          <w:sz w:val="24"/>
          <w:szCs w:val="24"/>
          <w:lang w:val="en-ZA" w:eastAsia="en-GB"/>
        </w:rPr>
        <w:t xml:space="preserve">Court Online </w:t>
      </w:r>
      <w:r w:rsidRPr="0073286A">
        <w:rPr>
          <w:rFonts w:ascii="Arial" w:eastAsia="Times New Roman" w:hAnsi="Arial" w:cs="Arial"/>
          <w:sz w:val="24"/>
          <w:szCs w:val="24"/>
          <w:lang w:val="en-ZA" w:eastAsia="en-GB"/>
        </w:rPr>
        <w:t>digital data base of the Gauteng Division, Pretoria and by e-mail to the attorneys of record of the parties. The deemed da</w:t>
      </w:r>
      <w:r w:rsidR="006D3A11">
        <w:rPr>
          <w:rFonts w:ascii="Arial" w:eastAsia="Times New Roman" w:hAnsi="Arial" w:cs="Arial"/>
          <w:sz w:val="24"/>
          <w:szCs w:val="24"/>
          <w:lang w:val="en-ZA" w:eastAsia="en-GB"/>
        </w:rPr>
        <w:t xml:space="preserve">te and </w:t>
      </w:r>
      <w:r w:rsidR="00775CAE">
        <w:rPr>
          <w:rFonts w:ascii="Arial" w:eastAsia="Times New Roman" w:hAnsi="Arial" w:cs="Arial"/>
          <w:sz w:val="24"/>
          <w:szCs w:val="24"/>
          <w:lang w:val="en-ZA" w:eastAsia="en-GB"/>
        </w:rPr>
        <w:t>for the delivery is</w:t>
      </w:r>
      <w:r w:rsidR="000F0C1D">
        <w:rPr>
          <w:rFonts w:ascii="Arial" w:eastAsia="Times New Roman" w:hAnsi="Arial" w:cs="Arial"/>
          <w:sz w:val="24"/>
          <w:szCs w:val="24"/>
          <w:lang w:val="en-ZA" w:eastAsia="en-GB"/>
        </w:rPr>
        <w:t xml:space="preserve"> the 14</w:t>
      </w:r>
      <w:r w:rsidR="000F0C1D" w:rsidRPr="000F0C1D">
        <w:rPr>
          <w:rFonts w:ascii="Arial" w:eastAsia="Times New Roman" w:hAnsi="Arial" w:cs="Arial"/>
          <w:sz w:val="24"/>
          <w:szCs w:val="24"/>
          <w:vertAlign w:val="superscript"/>
          <w:lang w:val="en-ZA" w:eastAsia="en-GB"/>
        </w:rPr>
        <w:t>TH</w:t>
      </w:r>
      <w:r w:rsidR="003A098E">
        <w:rPr>
          <w:rFonts w:ascii="Arial" w:eastAsia="Times New Roman" w:hAnsi="Arial" w:cs="Arial"/>
          <w:sz w:val="24"/>
          <w:szCs w:val="24"/>
          <w:lang w:val="en-ZA" w:eastAsia="en-GB"/>
        </w:rPr>
        <w:t xml:space="preserve"> </w:t>
      </w:r>
      <w:r w:rsidR="00896DE8">
        <w:rPr>
          <w:rFonts w:ascii="Arial" w:eastAsia="Times New Roman" w:hAnsi="Arial" w:cs="Arial"/>
          <w:sz w:val="24"/>
          <w:szCs w:val="24"/>
          <w:lang w:val="en-ZA" w:eastAsia="en-GB"/>
        </w:rPr>
        <w:t>day of MAY 2024</w:t>
      </w:r>
      <w:r w:rsidR="006D3A11">
        <w:rPr>
          <w:rFonts w:ascii="Arial" w:eastAsia="Times New Roman" w:hAnsi="Arial" w:cs="Arial"/>
          <w:sz w:val="24"/>
          <w:szCs w:val="24"/>
          <w:lang w:val="en-ZA" w:eastAsia="en-GB"/>
        </w:rPr>
        <w:t>.</w:t>
      </w:r>
    </w:p>
    <w:p w14:paraId="4A558A11" w14:textId="77777777" w:rsidR="00930BB5" w:rsidRDefault="00930BB5" w:rsidP="00517A93">
      <w:pPr>
        <w:spacing w:after="0" w:line="480" w:lineRule="auto"/>
        <w:rPr>
          <w:rFonts w:ascii="Arial" w:eastAsia="Times New Roman" w:hAnsi="Arial" w:cs="Arial"/>
          <w:sz w:val="24"/>
          <w:szCs w:val="24"/>
          <w:lang w:val="en-ZA" w:eastAsia="en-GB"/>
        </w:rPr>
      </w:pPr>
    </w:p>
    <w:p w14:paraId="4E9E7EF3" w14:textId="2F84E84F" w:rsidR="00930BB5" w:rsidRPr="00517A93" w:rsidRDefault="00930BB5" w:rsidP="00517A93">
      <w:pPr>
        <w:spacing w:after="0" w:line="480" w:lineRule="auto"/>
        <w:rPr>
          <w:rFonts w:ascii="Arial" w:eastAsia="Times New Roman" w:hAnsi="Arial" w:cs="Arial"/>
          <w:sz w:val="24"/>
          <w:szCs w:val="24"/>
          <w:lang w:val="en-ZA" w:eastAsia="en-GB"/>
        </w:rPr>
      </w:pPr>
    </w:p>
    <w:sectPr w:rsidR="00930BB5" w:rsidRPr="00517A9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D8F2D" w14:textId="77777777" w:rsidR="00B268CE" w:rsidRDefault="00B268CE" w:rsidP="00833889">
      <w:pPr>
        <w:spacing w:after="0" w:line="240" w:lineRule="auto"/>
      </w:pPr>
      <w:r>
        <w:separator/>
      </w:r>
    </w:p>
  </w:endnote>
  <w:endnote w:type="continuationSeparator" w:id="0">
    <w:p w14:paraId="1D17C980" w14:textId="77777777" w:rsidR="00B268CE" w:rsidRDefault="00B268CE" w:rsidP="0083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AA289" w14:textId="77777777" w:rsidR="00B268CE" w:rsidRDefault="00B268CE" w:rsidP="00833889">
      <w:pPr>
        <w:spacing w:after="0" w:line="240" w:lineRule="auto"/>
      </w:pPr>
      <w:r>
        <w:separator/>
      </w:r>
    </w:p>
  </w:footnote>
  <w:footnote w:type="continuationSeparator" w:id="0">
    <w:p w14:paraId="026E0D3F" w14:textId="77777777" w:rsidR="00B268CE" w:rsidRDefault="00B268CE" w:rsidP="00833889">
      <w:pPr>
        <w:spacing w:after="0" w:line="240" w:lineRule="auto"/>
      </w:pPr>
      <w:r>
        <w:continuationSeparator/>
      </w:r>
    </w:p>
  </w:footnote>
  <w:footnote w:id="1">
    <w:p w14:paraId="63E45A37" w14:textId="078229FC" w:rsidR="00CC6CD2" w:rsidRPr="00CC6CD2" w:rsidRDefault="00CC6CD2" w:rsidP="00BF4B32">
      <w:pPr>
        <w:pStyle w:val="FootnoteText"/>
        <w:ind w:left="709" w:hanging="709"/>
        <w:jc w:val="both"/>
        <w:rPr>
          <w:lang w:val="en-GB"/>
        </w:rPr>
      </w:pPr>
      <w:r>
        <w:rPr>
          <w:rStyle w:val="FootnoteReference"/>
        </w:rPr>
        <w:footnoteRef/>
      </w:r>
      <w:r>
        <w:t xml:space="preserve">  </w:t>
      </w:r>
      <w:r>
        <w:tab/>
        <w:t xml:space="preserve">The Plaintiff contends that, in fact, the Defendants are only allowed to plead one type of prescription </w:t>
      </w:r>
      <w:r w:rsidR="00AC24FC" w:rsidRPr="00AC24FC">
        <w:rPr>
          <w:i/>
        </w:rPr>
        <w:t xml:space="preserve">viz </w:t>
      </w:r>
      <w:r w:rsidR="00136C1B">
        <w:t xml:space="preserve">prescription </w:t>
      </w:r>
      <w:r>
        <w:t>in terms of the Prescription Act</w:t>
      </w:r>
      <w:r w:rsidR="00BF4B32">
        <w:t>. Whether this is correct or not is of no import in the light of my findings and orders herein later.</w:t>
      </w:r>
    </w:p>
  </w:footnote>
  <w:footnote w:id="2">
    <w:p w14:paraId="2CE56BF6" w14:textId="330D87A1" w:rsidR="002F6D98" w:rsidRPr="00CB434B" w:rsidRDefault="002F6D98" w:rsidP="006415A6">
      <w:pPr>
        <w:pStyle w:val="FootnoteText"/>
        <w:ind w:left="709" w:hanging="709"/>
        <w:jc w:val="both"/>
        <w:rPr>
          <w:lang w:val="en-GB"/>
        </w:rPr>
      </w:pPr>
      <w:r>
        <w:rPr>
          <w:rStyle w:val="FootnoteReference"/>
        </w:rPr>
        <w:footnoteRef/>
      </w:r>
      <w:r>
        <w:t xml:space="preserve"> </w:t>
      </w:r>
      <w:r>
        <w:rPr>
          <w:lang w:val="en-GB"/>
        </w:rPr>
        <w:t xml:space="preserve"> </w:t>
      </w:r>
      <w:r>
        <w:rPr>
          <w:lang w:val="en-GB"/>
        </w:rPr>
        <w:tab/>
      </w:r>
      <w:r w:rsidRPr="006415A6">
        <w:rPr>
          <w:b/>
          <w:lang w:val="en-GB"/>
        </w:rPr>
        <w:t>Compensation Commissioner v Compensation Solutions (Pty) Ltd (997/2021) ZASCA 165 (29 November 2023) at par. [26]</w:t>
      </w:r>
      <w:r>
        <w:rPr>
          <w:lang w:val="en-GB"/>
        </w:rPr>
        <w:t xml:space="preserve">. </w:t>
      </w:r>
    </w:p>
  </w:footnote>
  <w:footnote w:id="3">
    <w:p w14:paraId="5DB2F617" w14:textId="184BDBC7" w:rsidR="002F6D98" w:rsidRPr="0031524F" w:rsidRDefault="002F6D98" w:rsidP="00975E22">
      <w:pPr>
        <w:pStyle w:val="FootnoteText"/>
        <w:ind w:left="709" w:hanging="709"/>
        <w:jc w:val="both"/>
        <w:rPr>
          <w:lang w:val="en-GB"/>
        </w:rPr>
      </w:pPr>
      <w:r>
        <w:rPr>
          <w:rStyle w:val="FootnoteReference"/>
        </w:rPr>
        <w:footnoteRef/>
      </w:r>
      <w:r>
        <w:t xml:space="preserve"> </w:t>
      </w:r>
      <w:r>
        <w:rPr>
          <w:lang w:val="en-GB"/>
        </w:rPr>
        <w:t xml:space="preserve"> </w:t>
      </w:r>
      <w:r>
        <w:rPr>
          <w:lang w:val="en-GB"/>
        </w:rPr>
        <w:tab/>
      </w:r>
      <w:r w:rsidRPr="0031524F">
        <w:rPr>
          <w:i/>
          <w:lang w:val="en-GB"/>
        </w:rPr>
        <w:t>Vide</w:t>
      </w:r>
      <w:r>
        <w:rPr>
          <w:lang w:val="en-GB"/>
        </w:rPr>
        <w:t xml:space="preserve"> par. 25 </w:t>
      </w:r>
      <w:r w:rsidR="009F2719">
        <w:rPr>
          <w:lang w:val="en-GB"/>
        </w:rPr>
        <w:t xml:space="preserve">of the Plaintiff’s heads of argument </w:t>
      </w:r>
      <w:r>
        <w:rPr>
          <w:lang w:val="en-GB"/>
        </w:rPr>
        <w:t>at p. 016-12.</w:t>
      </w:r>
      <w:r w:rsidR="009F2719">
        <w:rPr>
          <w:lang w:val="en-GB"/>
        </w:rPr>
        <w:t xml:space="preserve"> The reference of the </w:t>
      </w:r>
      <w:r w:rsidR="009F2719" w:rsidRPr="00896B39">
        <w:rPr>
          <w:b/>
          <w:lang w:val="en-GB"/>
        </w:rPr>
        <w:t>Gericke</w:t>
      </w:r>
      <w:r w:rsidR="009F2719">
        <w:rPr>
          <w:lang w:val="en-GB"/>
        </w:rPr>
        <w:t xml:space="preserve"> decision appears to be incorrect and I have </w:t>
      </w:r>
      <w:r w:rsidR="00975E22">
        <w:rPr>
          <w:lang w:val="en-GB"/>
        </w:rPr>
        <w:t>given the correct reference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56411"/>
      <w:docPartObj>
        <w:docPartGallery w:val="Page Numbers (Top of Page)"/>
        <w:docPartUnique/>
      </w:docPartObj>
    </w:sdtPr>
    <w:sdtEndPr>
      <w:rPr>
        <w:noProof/>
      </w:rPr>
    </w:sdtEndPr>
    <w:sdtContent>
      <w:p w14:paraId="77F6C37D" w14:textId="08C42FF5" w:rsidR="002F6D98" w:rsidRDefault="002F6D98">
        <w:pPr>
          <w:pStyle w:val="Header"/>
          <w:jc w:val="right"/>
        </w:pPr>
        <w:r>
          <w:fldChar w:fldCharType="begin"/>
        </w:r>
        <w:r>
          <w:instrText xml:space="preserve"> PAGE   \* MERGEFORMAT </w:instrText>
        </w:r>
        <w:r>
          <w:fldChar w:fldCharType="separate"/>
        </w:r>
        <w:r w:rsidR="00B268CE">
          <w:rPr>
            <w:noProof/>
          </w:rPr>
          <w:t>1</w:t>
        </w:r>
        <w:r>
          <w:rPr>
            <w:noProof/>
          </w:rPr>
          <w:fldChar w:fldCharType="end"/>
        </w:r>
      </w:p>
    </w:sdtContent>
  </w:sdt>
  <w:p w14:paraId="69D342D0" w14:textId="77777777" w:rsidR="002F6D98" w:rsidRDefault="002F6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9"/>
    <w:rsid w:val="0000126E"/>
    <w:rsid w:val="00015911"/>
    <w:rsid w:val="000369C7"/>
    <w:rsid w:val="000575A4"/>
    <w:rsid w:val="0006236F"/>
    <w:rsid w:val="00067764"/>
    <w:rsid w:val="0007247C"/>
    <w:rsid w:val="0008019A"/>
    <w:rsid w:val="00096F46"/>
    <w:rsid w:val="000A116F"/>
    <w:rsid w:val="000B3124"/>
    <w:rsid w:val="000B353C"/>
    <w:rsid w:val="000B6281"/>
    <w:rsid w:val="000C29E4"/>
    <w:rsid w:val="000C2F86"/>
    <w:rsid w:val="000C691E"/>
    <w:rsid w:val="000D3287"/>
    <w:rsid w:val="000F0C1D"/>
    <w:rsid w:val="0010359D"/>
    <w:rsid w:val="00133BC1"/>
    <w:rsid w:val="00136C1B"/>
    <w:rsid w:val="0013747E"/>
    <w:rsid w:val="00143B4D"/>
    <w:rsid w:val="00151127"/>
    <w:rsid w:val="001661B0"/>
    <w:rsid w:val="00181C85"/>
    <w:rsid w:val="00186746"/>
    <w:rsid w:val="001A64A6"/>
    <w:rsid w:val="001A7801"/>
    <w:rsid w:val="001B23D6"/>
    <w:rsid w:val="001B6DB4"/>
    <w:rsid w:val="001C0321"/>
    <w:rsid w:val="001C288E"/>
    <w:rsid w:val="001C4D36"/>
    <w:rsid w:val="001C595C"/>
    <w:rsid w:val="001D505E"/>
    <w:rsid w:val="001E2632"/>
    <w:rsid w:val="001F29BA"/>
    <w:rsid w:val="001F707B"/>
    <w:rsid w:val="00210593"/>
    <w:rsid w:val="00214462"/>
    <w:rsid w:val="002147C1"/>
    <w:rsid w:val="00217804"/>
    <w:rsid w:val="00221CB2"/>
    <w:rsid w:val="00231BD3"/>
    <w:rsid w:val="00233901"/>
    <w:rsid w:val="00234E36"/>
    <w:rsid w:val="00245C67"/>
    <w:rsid w:val="00270994"/>
    <w:rsid w:val="00275E78"/>
    <w:rsid w:val="00294AFE"/>
    <w:rsid w:val="002975E0"/>
    <w:rsid w:val="002A0BF8"/>
    <w:rsid w:val="002A1C7F"/>
    <w:rsid w:val="002A6237"/>
    <w:rsid w:val="002A6946"/>
    <w:rsid w:val="002B5C00"/>
    <w:rsid w:val="002E088A"/>
    <w:rsid w:val="002F18BB"/>
    <w:rsid w:val="002F1D5D"/>
    <w:rsid w:val="002F517F"/>
    <w:rsid w:val="002F6D98"/>
    <w:rsid w:val="002F7C1C"/>
    <w:rsid w:val="0030595F"/>
    <w:rsid w:val="0030600D"/>
    <w:rsid w:val="00314D58"/>
    <w:rsid w:val="0031524F"/>
    <w:rsid w:val="003173AA"/>
    <w:rsid w:val="0038338A"/>
    <w:rsid w:val="00384B39"/>
    <w:rsid w:val="00391995"/>
    <w:rsid w:val="00391CA9"/>
    <w:rsid w:val="00396EC3"/>
    <w:rsid w:val="003A098E"/>
    <w:rsid w:val="003A4A1C"/>
    <w:rsid w:val="003A652A"/>
    <w:rsid w:val="003A7FDF"/>
    <w:rsid w:val="003C26C0"/>
    <w:rsid w:val="003C30A3"/>
    <w:rsid w:val="003C6B52"/>
    <w:rsid w:val="003D06C8"/>
    <w:rsid w:val="003E3D73"/>
    <w:rsid w:val="003E466F"/>
    <w:rsid w:val="003E6BFD"/>
    <w:rsid w:val="003E7B9C"/>
    <w:rsid w:val="003F137E"/>
    <w:rsid w:val="003F5C0F"/>
    <w:rsid w:val="00403FFB"/>
    <w:rsid w:val="00411773"/>
    <w:rsid w:val="0041774D"/>
    <w:rsid w:val="00430BF5"/>
    <w:rsid w:val="00431370"/>
    <w:rsid w:val="004430B1"/>
    <w:rsid w:val="004445C2"/>
    <w:rsid w:val="0044482D"/>
    <w:rsid w:val="00444974"/>
    <w:rsid w:val="004517D2"/>
    <w:rsid w:val="00460733"/>
    <w:rsid w:val="0046447C"/>
    <w:rsid w:val="004655AC"/>
    <w:rsid w:val="004658CF"/>
    <w:rsid w:val="00466707"/>
    <w:rsid w:val="00480D91"/>
    <w:rsid w:val="00485237"/>
    <w:rsid w:val="00487CCE"/>
    <w:rsid w:val="00490EC0"/>
    <w:rsid w:val="0049271D"/>
    <w:rsid w:val="004935D7"/>
    <w:rsid w:val="004A1319"/>
    <w:rsid w:val="004C05F9"/>
    <w:rsid w:val="004C1D33"/>
    <w:rsid w:val="004C3E29"/>
    <w:rsid w:val="004C4C11"/>
    <w:rsid w:val="004C59FE"/>
    <w:rsid w:val="004C5DE7"/>
    <w:rsid w:val="004D348B"/>
    <w:rsid w:val="004E20E6"/>
    <w:rsid w:val="00503736"/>
    <w:rsid w:val="005046ED"/>
    <w:rsid w:val="00517A93"/>
    <w:rsid w:val="00526BE3"/>
    <w:rsid w:val="0054285F"/>
    <w:rsid w:val="005618EA"/>
    <w:rsid w:val="005623BD"/>
    <w:rsid w:val="00564152"/>
    <w:rsid w:val="00575CC3"/>
    <w:rsid w:val="00576510"/>
    <w:rsid w:val="00582AF5"/>
    <w:rsid w:val="00586614"/>
    <w:rsid w:val="0058710B"/>
    <w:rsid w:val="00592F65"/>
    <w:rsid w:val="005936B1"/>
    <w:rsid w:val="005976C7"/>
    <w:rsid w:val="005A163F"/>
    <w:rsid w:val="005A18F0"/>
    <w:rsid w:val="005A3F77"/>
    <w:rsid w:val="005A6BFF"/>
    <w:rsid w:val="005B01FC"/>
    <w:rsid w:val="005B1172"/>
    <w:rsid w:val="005C7120"/>
    <w:rsid w:val="005D0256"/>
    <w:rsid w:val="005D1C2F"/>
    <w:rsid w:val="005D44D5"/>
    <w:rsid w:val="005E3D7F"/>
    <w:rsid w:val="005F1696"/>
    <w:rsid w:val="005F2CEB"/>
    <w:rsid w:val="005F6583"/>
    <w:rsid w:val="00603A0D"/>
    <w:rsid w:val="00611A30"/>
    <w:rsid w:val="00621197"/>
    <w:rsid w:val="006216B8"/>
    <w:rsid w:val="00625041"/>
    <w:rsid w:val="0064064C"/>
    <w:rsid w:val="006415A6"/>
    <w:rsid w:val="006422E3"/>
    <w:rsid w:val="00646251"/>
    <w:rsid w:val="00656945"/>
    <w:rsid w:val="00662395"/>
    <w:rsid w:val="006723AE"/>
    <w:rsid w:val="006768FA"/>
    <w:rsid w:val="006817E1"/>
    <w:rsid w:val="006868A1"/>
    <w:rsid w:val="00691C3D"/>
    <w:rsid w:val="00697562"/>
    <w:rsid w:val="006A1BC9"/>
    <w:rsid w:val="006A46D4"/>
    <w:rsid w:val="006A6866"/>
    <w:rsid w:val="006B1476"/>
    <w:rsid w:val="006B1ABE"/>
    <w:rsid w:val="006C11D1"/>
    <w:rsid w:val="006C18EF"/>
    <w:rsid w:val="006C5942"/>
    <w:rsid w:val="006C62C1"/>
    <w:rsid w:val="006C7A5E"/>
    <w:rsid w:val="006D197B"/>
    <w:rsid w:val="006D231A"/>
    <w:rsid w:val="006D3180"/>
    <w:rsid w:val="006D3A11"/>
    <w:rsid w:val="006F1387"/>
    <w:rsid w:val="006F4B55"/>
    <w:rsid w:val="00703E61"/>
    <w:rsid w:val="007209CE"/>
    <w:rsid w:val="0073083F"/>
    <w:rsid w:val="00731F88"/>
    <w:rsid w:val="007321A7"/>
    <w:rsid w:val="007338D1"/>
    <w:rsid w:val="007369F7"/>
    <w:rsid w:val="00740727"/>
    <w:rsid w:val="00740F83"/>
    <w:rsid w:val="00743A3E"/>
    <w:rsid w:val="00744731"/>
    <w:rsid w:val="007450DD"/>
    <w:rsid w:val="00750B5A"/>
    <w:rsid w:val="00751F97"/>
    <w:rsid w:val="007557EE"/>
    <w:rsid w:val="00764D6C"/>
    <w:rsid w:val="00774BE6"/>
    <w:rsid w:val="00775CAE"/>
    <w:rsid w:val="00780D4B"/>
    <w:rsid w:val="007838EE"/>
    <w:rsid w:val="00784628"/>
    <w:rsid w:val="007A0BAE"/>
    <w:rsid w:val="007A2D91"/>
    <w:rsid w:val="007A628F"/>
    <w:rsid w:val="007A6627"/>
    <w:rsid w:val="007B0798"/>
    <w:rsid w:val="007C087A"/>
    <w:rsid w:val="007C753B"/>
    <w:rsid w:val="007D2ACA"/>
    <w:rsid w:val="007D3E2E"/>
    <w:rsid w:val="007D5B01"/>
    <w:rsid w:val="007E1111"/>
    <w:rsid w:val="007F241F"/>
    <w:rsid w:val="007F27EB"/>
    <w:rsid w:val="00801755"/>
    <w:rsid w:val="00803056"/>
    <w:rsid w:val="0080401B"/>
    <w:rsid w:val="008041D8"/>
    <w:rsid w:val="008153A4"/>
    <w:rsid w:val="00815ECD"/>
    <w:rsid w:val="00821C6E"/>
    <w:rsid w:val="00821FDD"/>
    <w:rsid w:val="00822C6A"/>
    <w:rsid w:val="00823BEE"/>
    <w:rsid w:val="008265F8"/>
    <w:rsid w:val="008266E8"/>
    <w:rsid w:val="008314D6"/>
    <w:rsid w:val="00833889"/>
    <w:rsid w:val="00834B73"/>
    <w:rsid w:val="00850870"/>
    <w:rsid w:val="00861462"/>
    <w:rsid w:val="00877FB5"/>
    <w:rsid w:val="0088131D"/>
    <w:rsid w:val="00885965"/>
    <w:rsid w:val="00893D9F"/>
    <w:rsid w:val="00896B39"/>
    <w:rsid w:val="00896DE8"/>
    <w:rsid w:val="008A043F"/>
    <w:rsid w:val="008A48C3"/>
    <w:rsid w:val="008A5DC0"/>
    <w:rsid w:val="008A793F"/>
    <w:rsid w:val="008B30C9"/>
    <w:rsid w:val="008C2BD0"/>
    <w:rsid w:val="008C4008"/>
    <w:rsid w:val="008C5E07"/>
    <w:rsid w:val="008E1EC9"/>
    <w:rsid w:val="008E21F4"/>
    <w:rsid w:val="008E41CB"/>
    <w:rsid w:val="008F2083"/>
    <w:rsid w:val="008F3B99"/>
    <w:rsid w:val="00906FA0"/>
    <w:rsid w:val="00922ED2"/>
    <w:rsid w:val="00927620"/>
    <w:rsid w:val="00927AF0"/>
    <w:rsid w:val="00930BB5"/>
    <w:rsid w:val="00934EC6"/>
    <w:rsid w:val="00937343"/>
    <w:rsid w:val="00964EDD"/>
    <w:rsid w:val="00975E22"/>
    <w:rsid w:val="00980F9C"/>
    <w:rsid w:val="00983B82"/>
    <w:rsid w:val="00985542"/>
    <w:rsid w:val="00995E00"/>
    <w:rsid w:val="00997A29"/>
    <w:rsid w:val="009A2A01"/>
    <w:rsid w:val="009A2C9F"/>
    <w:rsid w:val="009A4AD4"/>
    <w:rsid w:val="009A5736"/>
    <w:rsid w:val="009A5A9D"/>
    <w:rsid w:val="009A6CAD"/>
    <w:rsid w:val="009B2248"/>
    <w:rsid w:val="009C1D88"/>
    <w:rsid w:val="009C6DF7"/>
    <w:rsid w:val="009F2719"/>
    <w:rsid w:val="009F5874"/>
    <w:rsid w:val="00A122E0"/>
    <w:rsid w:val="00A1262C"/>
    <w:rsid w:val="00A1663B"/>
    <w:rsid w:val="00A200AD"/>
    <w:rsid w:val="00A20E80"/>
    <w:rsid w:val="00A27FF6"/>
    <w:rsid w:val="00A37BA1"/>
    <w:rsid w:val="00A510B4"/>
    <w:rsid w:val="00A51D8D"/>
    <w:rsid w:val="00A574E7"/>
    <w:rsid w:val="00A621A9"/>
    <w:rsid w:val="00A70BC7"/>
    <w:rsid w:val="00A7548F"/>
    <w:rsid w:val="00A75F94"/>
    <w:rsid w:val="00A7702A"/>
    <w:rsid w:val="00A80749"/>
    <w:rsid w:val="00A81B87"/>
    <w:rsid w:val="00A83BC4"/>
    <w:rsid w:val="00A86586"/>
    <w:rsid w:val="00A9120F"/>
    <w:rsid w:val="00AA3778"/>
    <w:rsid w:val="00AA3973"/>
    <w:rsid w:val="00AB279A"/>
    <w:rsid w:val="00AB6EBE"/>
    <w:rsid w:val="00AC24FC"/>
    <w:rsid w:val="00AC26A2"/>
    <w:rsid w:val="00AD67AC"/>
    <w:rsid w:val="00AE371D"/>
    <w:rsid w:val="00AE6106"/>
    <w:rsid w:val="00B010A4"/>
    <w:rsid w:val="00B268CE"/>
    <w:rsid w:val="00B27D5F"/>
    <w:rsid w:val="00B30846"/>
    <w:rsid w:val="00B31F66"/>
    <w:rsid w:val="00B35076"/>
    <w:rsid w:val="00B40328"/>
    <w:rsid w:val="00B46F6E"/>
    <w:rsid w:val="00B559BB"/>
    <w:rsid w:val="00B60E05"/>
    <w:rsid w:val="00B61095"/>
    <w:rsid w:val="00B61310"/>
    <w:rsid w:val="00B6711C"/>
    <w:rsid w:val="00B707C3"/>
    <w:rsid w:val="00B73BD9"/>
    <w:rsid w:val="00B74322"/>
    <w:rsid w:val="00B83A21"/>
    <w:rsid w:val="00B9486A"/>
    <w:rsid w:val="00B95284"/>
    <w:rsid w:val="00BA7475"/>
    <w:rsid w:val="00BB0529"/>
    <w:rsid w:val="00BB249D"/>
    <w:rsid w:val="00BD36A2"/>
    <w:rsid w:val="00BD417F"/>
    <w:rsid w:val="00BF4B32"/>
    <w:rsid w:val="00C01CE6"/>
    <w:rsid w:val="00C041F4"/>
    <w:rsid w:val="00C0782B"/>
    <w:rsid w:val="00C17793"/>
    <w:rsid w:val="00C229C2"/>
    <w:rsid w:val="00C24B98"/>
    <w:rsid w:val="00C309D8"/>
    <w:rsid w:val="00C46C0E"/>
    <w:rsid w:val="00C47395"/>
    <w:rsid w:val="00C57224"/>
    <w:rsid w:val="00C60919"/>
    <w:rsid w:val="00C66F7F"/>
    <w:rsid w:val="00C67E30"/>
    <w:rsid w:val="00C8539E"/>
    <w:rsid w:val="00C86087"/>
    <w:rsid w:val="00C943EE"/>
    <w:rsid w:val="00CA553D"/>
    <w:rsid w:val="00CB434B"/>
    <w:rsid w:val="00CB59CB"/>
    <w:rsid w:val="00CC45B4"/>
    <w:rsid w:val="00CC6CD2"/>
    <w:rsid w:val="00CD080A"/>
    <w:rsid w:val="00CD33A5"/>
    <w:rsid w:val="00CD4F1E"/>
    <w:rsid w:val="00CE230C"/>
    <w:rsid w:val="00CE3DB0"/>
    <w:rsid w:val="00CE6EE9"/>
    <w:rsid w:val="00CF0DC7"/>
    <w:rsid w:val="00CF69E5"/>
    <w:rsid w:val="00D02C7C"/>
    <w:rsid w:val="00D21074"/>
    <w:rsid w:val="00D24F50"/>
    <w:rsid w:val="00D25712"/>
    <w:rsid w:val="00D26480"/>
    <w:rsid w:val="00D471BE"/>
    <w:rsid w:val="00D555B5"/>
    <w:rsid w:val="00D61FB6"/>
    <w:rsid w:val="00D673E4"/>
    <w:rsid w:val="00D75148"/>
    <w:rsid w:val="00DA26FB"/>
    <w:rsid w:val="00DA2970"/>
    <w:rsid w:val="00DA56CC"/>
    <w:rsid w:val="00DA6459"/>
    <w:rsid w:val="00DB238D"/>
    <w:rsid w:val="00DC0BBE"/>
    <w:rsid w:val="00DC232A"/>
    <w:rsid w:val="00DC5872"/>
    <w:rsid w:val="00DD40AB"/>
    <w:rsid w:val="00DE755D"/>
    <w:rsid w:val="00DF1B02"/>
    <w:rsid w:val="00DF2054"/>
    <w:rsid w:val="00DF31E0"/>
    <w:rsid w:val="00DF5C04"/>
    <w:rsid w:val="00E10764"/>
    <w:rsid w:val="00E131CC"/>
    <w:rsid w:val="00E145B1"/>
    <w:rsid w:val="00E179F3"/>
    <w:rsid w:val="00E25626"/>
    <w:rsid w:val="00E300A5"/>
    <w:rsid w:val="00E36CFA"/>
    <w:rsid w:val="00E375DA"/>
    <w:rsid w:val="00E53EB9"/>
    <w:rsid w:val="00E547BA"/>
    <w:rsid w:val="00E54ADB"/>
    <w:rsid w:val="00E55D52"/>
    <w:rsid w:val="00E5613E"/>
    <w:rsid w:val="00E65859"/>
    <w:rsid w:val="00E67816"/>
    <w:rsid w:val="00E71839"/>
    <w:rsid w:val="00E73F91"/>
    <w:rsid w:val="00E806B7"/>
    <w:rsid w:val="00E90544"/>
    <w:rsid w:val="00E919BA"/>
    <w:rsid w:val="00E92F6F"/>
    <w:rsid w:val="00E94112"/>
    <w:rsid w:val="00EA443C"/>
    <w:rsid w:val="00EB77AC"/>
    <w:rsid w:val="00ED2369"/>
    <w:rsid w:val="00ED7389"/>
    <w:rsid w:val="00EF7370"/>
    <w:rsid w:val="00F068CB"/>
    <w:rsid w:val="00F12A9F"/>
    <w:rsid w:val="00F20BD3"/>
    <w:rsid w:val="00F242C3"/>
    <w:rsid w:val="00F30712"/>
    <w:rsid w:val="00F313A2"/>
    <w:rsid w:val="00F329F6"/>
    <w:rsid w:val="00F36D0A"/>
    <w:rsid w:val="00F41FF7"/>
    <w:rsid w:val="00F452A3"/>
    <w:rsid w:val="00F46890"/>
    <w:rsid w:val="00F4760F"/>
    <w:rsid w:val="00F512DC"/>
    <w:rsid w:val="00F61D6D"/>
    <w:rsid w:val="00F72167"/>
    <w:rsid w:val="00F76A24"/>
    <w:rsid w:val="00F77A99"/>
    <w:rsid w:val="00F81FE4"/>
    <w:rsid w:val="00F905F6"/>
    <w:rsid w:val="00F937D2"/>
    <w:rsid w:val="00FB4CE4"/>
    <w:rsid w:val="00FC3C4D"/>
    <w:rsid w:val="00FC3CFE"/>
    <w:rsid w:val="00FC4573"/>
    <w:rsid w:val="00FC4BDB"/>
    <w:rsid w:val="00FD0DA7"/>
    <w:rsid w:val="00FD12C7"/>
    <w:rsid w:val="00FD3479"/>
    <w:rsid w:val="00FD4933"/>
    <w:rsid w:val="00FE081C"/>
    <w:rsid w:val="00F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4B39"/>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msonormalcxspmiddlecxspmiddle">
    <w:name w:val="msonormalcxspmiddlecxspmiddle"/>
    <w:rsid w:val="00384B3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WWBodyText">
    <w:name w:val="WW_BodyText"/>
    <w:basedOn w:val="Normal"/>
    <w:rsid w:val="00384B39"/>
    <w:pPr>
      <w:spacing w:before="360" w:after="240" w:line="360" w:lineRule="auto"/>
      <w:jc w:val="both"/>
    </w:pPr>
    <w:rPr>
      <w:rFonts w:ascii="Arial" w:eastAsia="Times New Roman" w:hAnsi="Arial" w:cs="Times New Roman"/>
      <w:sz w:val="24"/>
      <w:szCs w:val="20"/>
      <w:lang w:val="en-ZA" w:eastAsia="en-ZA"/>
    </w:rPr>
  </w:style>
  <w:style w:type="character" w:styleId="Hyperlink">
    <w:name w:val="Hyperlink"/>
    <w:basedOn w:val="DefaultParagraphFont"/>
    <w:uiPriority w:val="99"/>
    <w:unhideWhenUsed/>
    <w:rsid w:val="001E2632"/>
    <w:rPr>
      <w:color w:val="0563C1" w:themeColor="hyperlink"/>
      <w:u w:val="single"/>
    </w:rPr>
  </w:style>
  <w:style w:type="paragraph" w:styleId="BalloonText">
    <w:name w:val="Balloon Text"/>
    <w:basedOn w:val="Normal"/>
    <w:link w:val="BalloonTextChar"/>
    <w:uiPriority w:val="99"/>
    <w:semiHidden/>
    <w:unhideWhenUsed/>
    <w:rsid w:val="005B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FC"/>
    <w:rPr>
      <w:rFonts w:ascii="Tahoma" w:hAnsi="Tahoma" w:cs="Tahoma"/>
      <w:sz w:val="16"/>
      <w:szCs w:val="16"/>
    </w:rPr>
  </w:style>
  <w:style w:type="paragraph" w:styleId="ListParagraph">
    <w:name w:val="List Paragraph"/>
    <w:basedOn w:val="Normal"/>
    <w:uiPriority w:val="34"/>
    <w:qFormat/>
    <w:rsid w:val="00833889"/>
    <w:pPr>
      <w:ind w:left="720"/>
      <w:contextualSpacing/>
    </w:pPr>
    <w:rPr>
      <w:lang w:val="en-ZA"/>
    </w:rPr>
  </w:style>
  <w:style w:type="paragraph" w:styleId="FootnoteText">
    <w:name w:val="footnote text"/>
    <w:basedOn w:val="Normal"/>
    <w:link w:val="FootnoteTextChar"/>
    <w:uiPriority w:val="99"/>
    <w:semiHidden/>
    <w:unhideWhenUsed/>
    <w:rsid w:val="00833889"/>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33889"/>
    <w:rPr>
      <w:sz w:val="20"/>
      <w:szCs w:val="20"/>
      <w:lang w:val="en-ZA"/>
    </w:rPr>
  </w:style>
  <w:style w:type="character" w:styleId="FootnoteReference">
    <w:name w:val="footnote reference"/>
    <w:basedOn w:val="DefaultParagraphFont"/>
    <w:uiPriority w:val="99"/>
    <w:semiHidden/>
    <w:unhideWhenUsed/>
    <w:rsid w:val="00833889"/>
    <w:rPr>
      <w:vertAlign w:val="superscript"/>
    </w:rPr>
  </w:style>
  <w:style w:type="paragraph" w:styleId="Header">
    <w:name w:val="header"/>
    <w:basedOn w:val="Normal"/>
    <w:link w:val="HeaderChar"/>
    <w:uiPriority w:val="99"/>
    <w:unhideWhenUsed/>
    <w:rsid w:val="0044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2D"/>
  </w:style>
  <w:style w:type="paragraph" w:styleId="Footer">
    <w:name w:val="footer"/>
    <w:basedOn w:val="Normal"/>
    <w:link w:val="FooterChar"/>
    <w:uiPriority w:val="99"/>
    <w:unhideWhenUsed/>
    <w:rsid w:val="0044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4B39"/>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msonormalcxspmiddlecxspmiddle">
    <w:name w:val="msonormalcxspmiddlecxspmiddle"/>
    <w:rsid w:val="00384B3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WWBodyText">
    <w:name w:val="WW_BodyText"/>
    <w:basedOn w:val="Normal"/>
    <w:rsid w:val="00384B39"/>
    <w:pPr>
      <w:spacing w:before="360" w:after="240" w:line="360" w:lineRule="auto"/>
      <w:jc w:val="both"/>
    </w:pPr>
    <w:rPr>
      <w:rFonts w:ascii="Arial" w:eastAsia="Times New Roman" w:hAnsi="Arial" w:cs="Times New Roman"/>
      <w:sz w:val="24"/>
      <w:szCs w:val="20"/>
      <w:lang w:val="en-ZA" w:eastAsia="en-ZA"/>
    </w:rPr>
  </w:style>
  <w:style w:type="character" w:styleId="Hyperlink">
    <w:name w:val="Hyperlink"/>
    <w:basedOn w:val="DefaultParagraphFont"/>
    <w:uiPriority w:val="99"/>
    <w:unhideWhenUsed/>
    <w:rsid w:val="001E2632"/>
    <w:rPr>
      <w:color w:val="0563C1" w:themeColor="hyperlink"/>
      <w:u w:val="single"/>
    </w:rPr>
  </w:style>
  <w:style w:type="paragraph" w:styleId="BalloonText">
    <w:name w:val="Balloon Text"/>
    <w:basedOn w:val="Normal"/>
    <w:link w:val="BalloonTextChar"/>
    <w:uiPriority w:val="99"/>
    <w:semiHidden/>
    <w:unhideWhenUsed/>
    <w:rsid w:val="005B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FC"/>
    <w:rPr>
      <w:rFonts w:ascii="Tahoma" w:hAnsi="Tahoma" w:cs="Tahoma"/>
      <w:sz w:val="16"/>
      <w:szCs w:val="16"/>
    </w:rPr>
  </w:style>
  <w:style w:type="paragraph" w:styleId="ListParagraph">
    <w:name w:val="List Paragraph"/>
    <w:basedOn w:val="Normal"/>
    <w:uiPriority w:val="34"/>
    <w:qFormat/>
    <w:rsid w:val="00833889"/>
    <w:pPr>
      <w:ind w:left="720"/>
      <w:contextualSpacing/>
    </w:pPr>
    <w:rPr>
      <w:lang w:val="en-ZA"/>
    </w:rPr>
  </w:style>
  <w:style w:type="paragraph" w:styleId="FootnoteText">
    <w:name w:val="footnote text"/>
    <w:basedOn w:val="Normal"/>
    <w:link w:val="FootnoteTextChar"/>
    <w:uiPriority w:val="99"/>
    <w:semiHidden/>
    <w:unhideWhenUsed/>
    <w:rsid w:val="00833889"/>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33889"/>
    <w:rPr>
      <w:sz w:val="20"/>
      <w:szCs w:val="20"/>
      <w:lang w:val="en-ZA"/>
    </w:rPr>
  </w:style>
  <w:style w:type="character" w:styleId="FootnoteReference">
    <w:name w:val="footnote reference"/>
    <w:basedOn w:val="DefaultParagraphFont"/>
    <w:uiPriority w:val="99"/>
    <w:semiHidden/>
    <w:unhideWhenUsed/>
    <w:rsid w:val="00833889"/>
    <w:rPr>
      <w:vertAlign w:val="superscript"/>
    </w:rPr>
  </w:style>
  <w:style w:type="paragraph" w:styleId="Header">
    <w:name w:val="header"/>
    <w:basedOn w:val="Normal"/>
    <w:link w:val="HeaderChar"/>
    <w:uiPriority w:val="99"/>
    <w:unhideWhenUsed/>
    <w:rsid w:val="0044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2D"/>
  </w:style>
  <w:style w:type="paragraph" w:styleId="Footer">
    <w:name w:val="footer"/>
    <w:basedOn w:val="Normal"/>
    <w:link w:val="FooterChar"/>
    <w:uiPriority w:val="99"/>
    <w:unhideWhenUsed/>
    <w:rsid w:val="0044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tsinteso@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wazim@law.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aldf@vdt.co.z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jj.nel@brooklynadvocates.co.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sikhala@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2CD5-671F-4F8F-B03D-C9FA2FDA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15</Pages>
  <Words>3078</Words>
  <Characters>17548</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NGOBENI</dc:creator>
  <cp:lastModifiedBy>Secretary</cp:lastModifiedBy>
  <cp:revision>27</cp:revision>
  <cp:lastPrinted>2024-05-14T08:50:00Z</cp:lastPrinted>
  <dcterms:created xsi:type="dcterms:W3CDTF">2024-05-13T11:10:00Z</dcterms:created>
  <dcterms:modified xsi:type="dcterms:W3CDTF">2024-05-14T09:08:00Z</dcterms:modified>
</cp:coreProperties>
</file>