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DD1F2D" w14:textId="77777777" w:rsidR="00B50E11" w:rsidRDefault="00B50E11" w:rsidP="00B50E11">
      <w:pPr>
        <w:pStyle w:val="Body"/>
        <w:jc w:val="center"/>
      </w:pPr>
      <w:r>
        <w:rPr>
          <w:noProof/>
          <w:lang w:val="en-ZA" w:eastAsia="en-ZA"/>
        </w:rPr>
        <w:drawing>
          <wp:inline distT="0" distB="0" distL="0" distR="0" wp14:anchorId="6B5B6C71" wp14:editId="0B128042">
            <wp:extent cx="1494790" cy="1293286"/>
            <wp:effectExtent l="0" t="0" r="3810" b="254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stretch>
                      <a:fillRect/>
                    </a:stretch>
                  </pic:blipFill>
                  <pic:spPr>
                    <a:xfrm>
                      <a:off x="0" y="0"/>
                      <a:ext cx="1513475" cy="1309452"/>
                    </a:xfrm>
                    <a:prstGeom prst="rect">
                      <a:avLst/>
                    </a:prstGeom>
                    <a:ln w="12700" cap="flat">
                      <a:noFill/>
                      <a:miter lim="400000"/>
                    </a:ln>
                    <a:effectLst/>
                  </pic:spPr>
                </pic:pic>
              </a:graphicData>
            </a:graphic>
          </wp:inline>
        </w:drawing>
      </w:r>
    </w:p>
    <w:p w14:paraId="1D01E514" w14:textId="52A01189" w:rsidR="00B50E11" w:rsidRPr="0031449E" w:rsidRDefault="00B50E11" w:rsidP="008E6813">
      <w:pPr>
        <w:pStyle w:val="Body"/>
        <w:spacing w:line="360" w:lineRule="auto"/>
        <w:jc w:val="center"/>
        <w:outlineLvl w:val="0"/>
        <w:rPr>
          <w:rFonts w:cs="Arial"/>
          <w:b/>
          <w:bCs/>
          <w:sz w:val="24"/>
          <w:szCs w:val="24"/>
        </w:rPr>
      </w:pPr>
      <w:r w:rsidRPr="0031449E">
        <w:rPr>
          <w:rFonts w:cs="Arial"/>
          <w:b/>
          <w:bCs/>
          <w:sz w:val="24"/>
          <w:szCs w:val="24"/>
          <w:u w:val="single"/>
        </w:rPr>
        <w:t>IN THE HIGH COURT OF SOUTH AFRICA</w:t>
      </w:r>
    </w:p>
    <w:p w14:paraId="350B431D" w14:textId="72E88555" w:rsidR="00C519B2" w:rsidRPr="008E6813" w:rsidRDefault="00B50E11" w:rsidP="008E6813">
      <w:pPr>
        <w:pStyle w:val="Body"/>
        <w:spacing w:line="360" w:lineRule="auto"/>
        <w:jc w:val="center"/>
        <w:rPr>
          <w:rFonts w:cs="Arial"/>
          <w:b/>
          <w:bCs/>
          <w:sz w:val="24"/>
          <w:szCs w:val="24"/>
          <w:u w:val="single"/>
        </w:rPr>
      </w:pPr>
      <w:r w:rsidRPr="0031449E">
        <w:rPr>
          <w:rFonts w:cs="Arial"/>
          <w:b/>
          <w:bCs/>
          <w:sz w:val="24"/>
          <w:szCs w:val="24"/>
          <w:u w:val="single"/>
          <w:lang w:val="de-DE"/>
        </w:rPr>
        <w:t>(GAUTENG DIVISION, PRETORIA)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tblGrid>
      <w:tr w:rsidR="00C519B2" w:rsidRPr="004164F3" w14:paraId="7564B942" w14:textId="77777777" w:rsidTr="00765AB3">
        <w:trPr>
          <w:trHeight w:val="2006"/>
        </w:trPr>
        <w:tc>
          <w:tcPr>
            <w:tcW w:w="3856" w:type="dxa"/>
          </w:tcPr>
          <w:p w14:paraId="0C1A8C99" w14:textId="77777777" w:rsidR="00C519B2" w:rsidRPr="004164F3" w:rsidRDefault="00C519B2" w:rsidP="00C64B6A">
            <w:pPr>
              <w:rPr>
                <w:rFonts w:ascii="Arial Unicode MS" w:eastAsia="Arial Unicode MS" w:hAnsi="Arial Unicode MS" w:cs="Arial Unicode MS"/>
                <w:b/>
                <w:sz w:val="16"/>
                <w:szCs w:val="16"/>
              </w:rPr>
            </w:pPr>
            <w:r w:rsidRPr="004164F3">
              <w:rPr>
                <w:rFonts w:ascii="Arial Unicode MS" w:eastAsia="Arial Unicode MS" w:hAnsi="Arial Unicode MS" w:cs="Arial Unicode MS"/>
                <w:b/>
                <w:sz w:val="16"/>
                <w:szCs w:val="16"/>
              </w:rPr>
              <w:t>DELETE WHICHEVER IS NOT APPLICABLE</w:t>
            </w:r>
          </w:p>
          <w:p w14:paraId="719093FC" w14:textId="64B5F9B5"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(1)</w:t>
            </w:r>
            <w:r w:rsidR="008E6813">
              <w:rPr>
                <w:rFonts w:ascii="Arial Unicode MS" w:eastAsia="Arial Unicode MS" w:hAnsi="Arial Unicode MS" w:cs="Arial Unicode MS"/>
                <w:sz w:val="16"/>
                <w:szCs w:val="16"/>
              </w:rPr>
              <w:t xml:space="preserve">  </w:t>
            </w:r>
            <w:r w:rsidRPr="00EE2E6D">
              <w:rPr>
                <w:rFonts w:ascii="Arial Unicode MS" w:eastAsia="Arial Unicode MS" w:hAnsi="Arial Unicode MS" w:cs="Arial Unicode MS"/>
                <w:sz w:val="16"/>
                <w:szCs w:val="16"/>
              </w:rPr>
              <w:t>REPORTABLE:</w:t>
            </w:r>
            <w:r w:rsidRPr="00EE2E6D">
              <w:rPr>
                <w:rFonts w:ascii="Arial Unicode MS" w:eastAsia="Arial Unicode MS" w:hAnsi="Arial Unicode MS" w:cs="Arial Unicode MS"/>
                <w:sz w:val="16"/>
                <w:szCs w:val="16"/>
              </w:rPr>
              <w:tab/>
            </w:r>
            <w:r w:rsidRPr="00EE2E6D">
              <w:rPr>
                <w:rFonts w:ascii="Arial Unicode MS" w:eastAsia="Arial Unicode MS" w:hAnsi="Arial Unicode MS" w:cs="Arial Unicode MS"/>
                <w:strike/>
                <w:sz w:val="16"/>
                <w:szCs w:val="16"/>
              </w:rPr>
              <w:t>YES</w:t>
            </w:r>
            <w:r w:rsidRPr="00EE2E6D">
              <w:rPr>
                <w:rFonts w:ascii="Arial Unicode MS" w:eastAsia="Arial Unicode MS" w:hAnsi="Arial Unicode MS" w:cs="Arial Unicode MS"/>
                <w:sz w:val="16"/>
                <w:szCs w:val="16"/>
              </w:rPr>
              <w:t>/</w:t>
            </w:r>
            <w:r w:rsidRPr="00EE2E6D">
              <w:rPr>
                <w:rFonts w:ascii="Arial Unicode MS" w:eastAsia="Arial Unicode MS" w:hAnsi="Arial Unicode MS" w:cs="Arial Unicode MS"/>
                <w:b/>
                <w:bCs/>
                <w:sz w:val="16"/>
                <w:szCs w:val="16"/>
              </w:rPr>
              <w:t>NO</w:t>
            </w:r>
          </w:p>
          <w:p w14:paraId="528A128C" w14:textId="4608575A"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(2)</w:t>
            </w:r>
            <w:r w:rsidR="008E681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 xml:space="preserve">OF INTEREST TO OTHER JUDGES: </w:t>
            </w:r>
            <w:r w:rsidRPr="00EE2E6D">
              <w:rPr>
                <w:rFonts w:ascii="Arial Unicode MS" w:eastAsia="Arial Unicode MS" w:hAnsi="Arial Unicode MS" w:cs="Arial Unicode MS"/>
                <w:strike/>
                <w:sz w:val="16"/>
                <w:szCs w:val="16"/>
              </w:rPr>
              <w:t>YES/</w:t>
            </w:r>
            <w:r w:rsidRPr="00EE2E6D">
              <w:rPr>
                <w:rFonts w:ascii="Arial Unicode MS" w:eastAsia="Arial Unicode MS" w:hAnsi="Arial Unicode MS" w:cs="Arial Unicode MS"/>
                <w:b/>
                <w:bCs/>
                <w:sz w:val="16"/>
                <w:szCs w:val="16"/>
              </w:rPr>
              <w:t>NO</w:t>
            </w:r>
          </w:p>
          <w:p w14:paraId="15F66332" w14:textId="7A6D1695"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(3)</w:t>
            </w:r>
            <w:r w:rsidR="008E681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REVISED</w:t>
            </w:r>
          </w:p>
          <w:p w14:paraId="284842F1" w14:textId="63EC845C" w:rsidR="00C519B2" w:rsidRPr="004164F3" w:rsidRDefault="00C519B2" w:rsidP="00C64B6A">
            <w:pPr>
              <w:spacing w:before="120"/>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DATE:</w:t>
            </w:r>
            <w:r w:rsidR="00EE2E6D">
              <w:rPr>
                <w:rFonts w:ascii="Arial Unicode MS" w:eastAsia="Arial Unicode MS" w:hAnsi="Arial Unicode MS" w:cs="Arial Unicode MS"/>
                <w:sz w:val="16"/>
                <w:szCs w:val="16"/>
              </w:rPr>
              <w:t xml:space="preserve">   </w:t>
            </w:r>
            <w:r w:rsidR="00EE2E6D">
              <w:rPr>
                <w:rFonts w:ascii="Arial Unicode MS" w:eastAsia="Arial Unicode MS" w:hAnsi="Arial Unicode MS" w:cs="Arial Unicode MS"/>
                <w:b/>
                <w:bCs/>
                <w:sz w:val="16"/>
                <w:szCs w:val="16"/>
              </w:rPr>
              <w:t>15 May 2024</w:t>
            </w:r>
            <w:r w:rsidR="00EE2E6D">
              <w:rPr>
                <w:rFonts w:ascii="Arial Unicode MS" w:eastAsia="Arial Unicode MS" w:hAnsi="Arial Unicode MS" w:cs="Arial Unicode MS"/>
                <w:sz w:val="16"/>
                <w:szCs w:val="16"/>
              </w:rPr>
              <w:t xml:space="preserve"> </w:t>
            </w:r>
            <w:r>
              <w:rPr>
                <w:rFonts w:ascii="Arial Unicode MS" w:eastAsia="Arial Unicode MS" w:hAnsi="Arial Unicode MS" w:cs="Arial Unicode MS"/>
                <w:sz w:val="16"/>
                <w:szCs w:val="16"/>
              </w:rPr>
              <w:br/>
            </w:r>
          </w:p>
          <w:p w14:paraId="773CDFDB" w14:textId="38719BD2"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SIGNATURE:.……………………</w:t>
            </w:r>
          </w:p>
        </w:tc>
      </w:tr>
    </w:tbl>
    <w:p w14:paraId="46E43E32" w14:textId="13732F39" w:rsidR="00B50E11" w:rsidRPr="0031449E" w:rsidRDefault="00B50E11" w:rsidP="008E6813">
      <w:pPr>
        <w:pStyle w:val="Body"/>
        <w:spacing w:line="360" w:lineRule="auto"/>
        <w:jc w:val="right"/>
        <w:outlineLvl w:val="0"/>
        <w:rPr>
          <w:rFonts w:cs="Arial"/>
          <w:sz w:val="24"/>
          <w:szCs w:val="24"/>
        </w:rPr>
      </w:pPr>
      <w:r w:rsidRPr="0031449E">
        <w:rPr>
          <w:rFonts w:cs="Arial"/>
          <w:sz w:val="24"/>
          <w:szCs w:val="24"/>
        </w:rPr>
        <w:tab/>
      </w:r>
      <w:r w:rsidR="0039413F">
        <w:rPr>
          <w:rFonts w:cs="Arial"/>
          <w:sz w:val="24"/>
          <w:szCs w:val="24"/>
        </w:rPr>
        <w:t xml:space="preserve">     </w:t>
      </w:r>
      <w:r w:rsidRPr="0031449E">
        <w:rPr>
          <w:rFonts w:cs="Arial"/>
          <w:b/>
          <w:bCs/>
          <w:sz w:val="24"/>
          <w:szCs w:val="24"/>
        </w:rPr>
        <w:t>Case No.</w:t>
      </w:r>
      <w:r w:rsidR="00982904">
        <w:rPr>
          <w:rFonts w:cs="Arial"/>
          <w:b/>
          <w:bCs/>
          <w:sz w:val="24"/>
          <w:szCs w:val="24"/>
        </w:rPr>
        <w:t xml:space="preserve"> </w:t>
      </w:r>
      <w:r w:rsidR="00DA408D">
        <w:rPr>
          <w:rFonts w:cs="Arial"/>
          <w:b/>
          <w:bCs/>
          <w:sz w:val="24"/>
          <w:szCs w:val="24"/>
        </w:rPr>
        <w:t>051162/2024</w:t>
      </w:r>
    </w:p>
    <w:tbl>
      <w:tblPr>
        <w:tblStyle w:val="TableGrid"/>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544"/>
        <w:gridCol w:w="131"/>
      </w:tblGrid>
      <w:tr w:rsidR="00B50E11" w:rsidRPr="0031449E" w14:paraId="22698168" w14:textId="77777777" w:rsidTr="0045792B">
        <w:trPr>
          <w:gridAfter w:val="1"/>
          <w:wAfter w:w="131" w:type="dxa"/>
        </w:trPr>
        <w:tc>
          <w:tcPr>
            <w:tcW w:w="5954" w:type="dxa"/>
          </w:tcPr>
          <w:p w14:paraId="3D32D802" w14:textId="77777777" w:rsidR="00B50E11" w:rsidRPr="0031449E" w:rsidRDefault="00B50E11" w:rsidP="008E6813">
            <w:pPr>
              <w:pStyle w:val="Body"/>
              <w:spacing w:line="360" w:lineRule="auto"/>
              <w:jc w:val="both"/>
              <w:rPr>
                <w:rFonts w:cs="Arial"/>
                <w:sz w:val="24"/>
                <w:szCs w:val="24"/>
              </w:rPr>
            </w:pPr>
            <w:r w:rsidRPr="0031449E">
              <w:rPr>
                <w:rFonts w:cs="Arial"/>
                <w:sz w:val="24"/>
                <w:szCs w:val="24"/>
              </w:rPr>
              <w:t>In the matter between:</w:t>
            </w:r>
          </w:p>
        </w:tc>
        <w:tc>
          <w:tcPr>
            <w:tcW w:w="3544" w:type="dxa"/>
          </w:tcPr>
          <w:p w14:paraId="6295A861" w14:textId="77777777" w:rsidR="00B50E11" w:rsidRPr="0031449E"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sz w:val="24"/>
                <w:szCs w:val="24"/>
              </w:rPr>
            </w:pPr>
          </w:p>
        </w:tc>
      </w:tr>
      <w:tr w:rsidR="00B50E11" w:rsidRPr="0031449E" w14:paraId="4638A8A4" w14:textId="77777777" w:rsidTr="0045792B">
        <w:trPr>
          <w:gridAfter w:val="1"/>
          <w:wAfter w:w="131" w:type="dxa"/>
          <w:trHeight w:val="1045"/>
        </w:trPr>
        <w:tc>
          <w:tcPr>
            <w:tcW w:w="5954" w:type="dxa"/>
          </w:tcPr>
          <w:p w14:paraId="2456782D" w14:textId="77777777" w:rsidR="00B50E11" w:rsidRDefault="00B50E11" w:rsidP="0045792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cs="Arial"/>
                <w:sz w:val="24"/>
                <w:szCs w:val="24"/>
              </w:rPr>
            </w:pPr>
          </w:p>
          <w:p w14:paraId="548AA6FE" w14:textId="7A849CA5" w:rsidR="00982904" w:rsidRPr="0045792B" w:rsidRDefault="00DA408D" w:rsidP="0045792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cs="Arial"/>
                <w:b/>
                <w:bCs/>
                <w:sz w:val="24"/>
                <w:szCs w:val="24"/>
              </w:rPr>
            </w:pPr>
            <w:r>
              <w:rPr>
                <w:rFonts w:cs="Arial"/>
                <w:b/>
                <w:bCs/>
                <w:sz w:val="24"/>
                <w:szCs w:val="24"/>
              </w:rPr>
              <w:t>MATLHWANA, MATSOBANE SHAUN</w:t>
            </w:r>
          </w:p>
        </w:tc>
        <w:tc>
          <w:tcPr>
            <w:tcW w:w="3544" w:type="dxa"/>
          </w:tcPr>
          <w:p w14:paraId="66354F6A" w14:textId="77777777" w:rsidR="00B50E11" w:rsidRDefault="00B50E11" w:rsidP="0045792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right"/>
              <w:rPr>
                <w:rFonts w:cs="Arial"/>
                <w:b/>
                <w:sz w:val="24"/>
                <w:szCs w:val="24"/>
              </w:rPr>
            </w:pPr>
          </w:p>
          <w:p w14:paraId="263479FD" w14:textId="3C401DD1" w:rsidR="00B50E11" w:rsidRPr="0031449E" w:rsidRDefault="00982904" w:rsidP="0045792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right"/>
              <w:rPr>
                <w:rFonts w:cs="Arial"/>
                <w:b/>
                <w:sz w:val="24"/>
                <w:szCs w:val="24"/>
              </w:rPr>
            </w:pPr>
            <w:r>
              <w:rPr>
                <w:rFonts w:cs="Arial"/>
                <w:b/>
                <w:sz w:val="24"/>
                <w:szCs w:val="24"/>
              </w:rPr>
              <w:t>A</w:t>
            </w:r>
            <w:r w:rsidR="00DA408D">
              <w:rPr>
                <w:rFonts w:cs="Arial"/>
                <w:b/>
                <w:sz w:val="24"/>
                <w:szCs w:val="24"/>
              </w:rPr>
              <w:t>pplicant</w:t>
            </w:r>
          </w:p>
        </w:tc>
      </w:tr>
      <w:tr w:rsidR="00B50E11" w:rsidRPr="0031449E" w14:paraId="2DE3831D" w14:textId="77777777" w:rsidTr="0045792B">
        <w:trPr>
          <w:gridAfter w:val="1"/>
          <w:wAfter w:w="131" w:type="dxa"/>
        </w:trPr>
        <w:tc>
          <w:tcPr>
            <w:tcW w:w="5954" w:type="dxa"/>
          </w:tcPr>
          <w:p w14:paraId="52E06D21" w14:textId="65F278A7" w:rsidR="00B50E11" w:rsidRPr="0031449E" w:rsidRDefault="00416EA1" w:rsidP="0045792B">
            <w:pPr>
              <w:pStyle w:val="Body"/>
              <w:spacing w:before="120" w:after="120" w:line="240" w:lineRule="auto"/>
              <w:jc w:val="both"/>
              <w:rPr>
                <w:rFonts w:eastAsia="Tahoma" w:cs="Arial"/>
                <w:sz w:val="24"/>
                <w:szCs w:val="24"/>
              </w:rPr>
            </w:pPr>
            <w:r w:rsidRPr="0031449E">
              <w:rPr>
                <w:rFonts w:cs="Arial"/>
                <w:sz w:val="24"/>
                <w:szCs w:val="24"/>
              </w:rPr>
              <w:t>A</w:t>
            </w:r>
            <w:r w:rsidR="00B50E11" w:rsidRPr="0031449E">
              <w:rPr>
                <w:rFonts w:cs="Arial"/>
                <w:sz w:val="24"/>
                <w:szCs w:val="24"/>
              </w:rPr>
              <w:t>nd</w:t>
            </w:r>
          </w:p>
        </w:tc>
        <w:tc>
          <w:tcPr>
            <w:tcW w:w="3544" w:type="dxa"/>
          </w:tcPr>
          <w:p w14:paraId="06C77BC2" w14:textId="032FD205" w:rsidR="00B50E11" w:rsidRPr="0031449E" w:rsidRDefault="00B50E11" w:rsidP="0045792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right"/>
              <w:rPr>
                <w:rFonts w:cs="Arial"/>
                <w:b/>
                <w:sz w:val="24"/>
                <w:szCs w:val="24"/>
              </w:rPr>
            </w:pPr>
          </w:p>
        </w:tc>
      </w:tr>
      <w:tr w:rsidR="00B50E11" w:rsidRPr="0031449E" w14:paraId="4829D036" w14:textId="77777777" w:rsidTr="0045792B">
        <w:trPr>
          <w:gridAfter w:val="1"/>
          <w:wAfter w:w="131" w:type="dxa"/>
        </w:trPr>
        <w:tc>
          <w:tcPr>
            <w:tcW w:w="5954" w:type="dxa"/>
          </w:tcPr>
          <w:p w14:paraId="5B9F295E" w14:textId="77777777" w:rsidR="0045792B" w:rsidRDefault="0045792B" w:rsidP="0045792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right="-405"/>
              <w:jc w:val="both"/>
              <w:rPr>
                <w:rFonts w:cs="Arial"/>
                <w:b/>
                <w:bCs/>
                <w:sz w:val="24"/>
                <w:szCs w:val="24"/>
                <w:lang w:val="de-DE"/>
              </w:rPr>
            </w:pPr>
          </w:p>
          <w:p w14:paraId="3ACBB1CA" w14:textId="384F7743" w:rsidR="00B50E11" w:rsidRPr="00DA7A8D" w:rsidRDefault="00DA408D" w:rsidP="0045792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right="-405"/>
              <w:jc w:val="both"/>
              <w:rPr>
                <w:rFonts w:cs="Arial"/>
                <w:b/>
                <w:bCs/>
                <w:sz w:val="24"/>
                <w:szCs w:val="24"/>
                <w:lang w:val="de-DE"/>
              </w:rPr>
            </w:pPr>
            <w:r>
              <w:rPr>
                <w:rFonts w:cs="Arial"/>
                <w:b/>
                <w:bCs/>
                <w:sz w:val="24"/>
                <w:szCs w:val="24"/>
                <w:lang w:val="de-DE"/>
              </w:rPr>
              <w:t>THE SOUTH AFRICAN LEGAL PRACTICE COUNCIL</w:t>
            </w:r>
          </w:p>
        </w:tc>
        <w:tc>
          <w:tcPr>
            <w:tcW w:w="3544" w:type="dxa"/>
          </w:tcPr>
          <w:p w14:paraId="0F8A0D8E" w14:textId="77777777" w:rsidR="0045792B" w:rsidRDefault="0045792B" w:rsidP="0045792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right"/>
              <w:rPr>
                <w:rFonts w:cs="Arial"/>
                <w:b/>
                <w:sz w:val="24"/>
                <w:szCs w:val="24"/>
              </w:rPr>
            </w:pPr>
          </w:p>
          <w:p w14:paraId="7853F6A3" w14:textId="72891225" w:rsidR="00B50E11" w:rsidRPr="0031449E" w:rsidRDefault="00DA408D" w:rsidP="0045792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right"/>
              <w:rPr>
                <w:rFonts w:cs="Arial"/>
                <w:b/>
                <w:sz w:val="24"/>
                <w:szCs w:val="24"/>
              </w:rPr>
            </w:pPr>
            <w:r>
              <w:rPr>
                <w:rFonts w:cs="Arial"/>
                <w:b/>
                <w:sz w:val="24"/>
                <w:szCs w:val="24"/>
              </w:rPr>
              <w:t>First Respondent</w:t>
            </w:r>
          </w:p>
        </w:tc>
      </w:tr>
      <w:tr w:rsidR="00DA408D" w:rsidRPr="0031449E" w14:paraId="64AB479D" w14:textId="77777777" w:rsidTr="0045792B">
        <w:trPr>
          <w:gridAfter w:val="1"/>
          <w:wAfter w:w="131" w:type="dxa"/>
        </w:trPr>
        <w:tc>
          <w:tcPr>
            <w:tcW w:w="5954" w:type="dxa"/>
          </w:tcPr>
          <w:p w14:paraId="7E833F1E" w14:textId="77777777" w:rsidR="0045792B" w:rsidRDefault="0045792B" w:rsidP="0045792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rFonts w:cs="Arial"/>
                <w:b/>
                <w:bCs/>
                <w:sz w:val="24"/>
                <w:szCs w:val="24"/>
                <w:lang w:val="de-DE"/>
              </w:rPr>
            </w:pPr>
          </w:p>
          <w:p w14:paraId="561CB86D" w14:textId="0402E7CC" w:rsidR="00DA408D" w:rsidRDefault="0045792B" w:rsidP="0045792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rFonts w:cs="Arial"/>
                <w:b/>
                <w:bCs/>
                <w:sz w:val="24"/>
                <w:szCs w:val="24"/>
                <w:lang w:val="de-DE"/>
              </w:rPr>
            </w:pPr>
            <w:r>
              <w:rPr>
                <w:rFonts w:cs="Arial"/>
                <w:b/>
                <w:bCs/>
                <w:sz w:val="24"/>
                <w:szCs w:val="24"/>
                <w:lang w:val="de-DE"/>
              </w:rPr>
              <w:t>THE CHIEF EXECUTIVE OFFICER OF THE SOUTH AFRICAN LEGAL PRACTICE COUNCIL</w:t>
            </w:r>
          </w:p>
        </w:tc>
        <w:tc>
          <w:tcPr>
            <w:tcW w:w="3544" w:type="dxa"/>
          </w:tcPr>
          <w:p w14:paraId="54A3901A" w14:textId="77777777" w:rsidR="0045792B" w:rsidRDefault="0045792B" w:rsidP="0045792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right"/>
              <w:rPr>
                <w:rFonts w:cs="Arial"/>
                <w:b/>
                <w:sz w:val="24"/>
                <w:szCs w:val="24"/>
              </w:rPr>
            </w:pPr>
          </w:p>
          <w:p w14:paraId="26DC18AC" w14:textId="3E36BAA8" w:rsidR="00DA408D" w:rsidRDefault="0045792B" w:rsidP="0045792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right"/>
              <w:rPr>
                <w:rFonts w:cs="Arial"/>
                <w:b/>
                <w:sz w:val="24"/>
                <w:szCs w:val="24"/>
              </w:rPr>
            </w:pPr>
            <w:r>
              <w:rPr>
                <w:rFonts w:cs="Arial"/>
                <w:b/>
                <w:sz w:val="24"/>
                <w:szCs w:val="24"/>
              </w:rPr>
              <w:t>Second Respondent</w:t>
            </w:r>
          </w:p>
        </w:tc>
      </w:tr>
      <w:tr w:rsidR="00DA408D" w:rsidRPr="0031449E" w14:paraId="72BD32A1" w14:textId="77777777" w:rsidTr="0045792B">
        <w:trPr>
          <w:gridAfter w:val="1"/>
          <w:wAfter w:w="131" w:type="dxa"/>
        </w:trPr>
        <w:tc>
          <w:tcPr>
            <w:tcW w:w="5954" w:type="dxa"/>
          </w:tcPr>
          <w:p w14:paraId="44FAAF70" w14:textId="77777777" w:rsidR="0045792B" w:rsidRDefault="0045792B" w:rsidP="0045792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rFonts w:cs="Arial"/>
                <w:b/>
                <w:bCs/>
                <w:sz w:val="24"/>
                <w:szCs w:val="24"/>
                <w:lang w:val="de-DE"/>
              </w:rPr>
            </w:pPr>
          </w:p>
          <w:p w14:paraId="60B163D8" w14:textId="0C196314" w:rsidR="00DA408D" w:rsidRDefault="0045792B" w:rsidP="0045792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rFonts w:cs="Arial"/>
                <w:b/>
                <w:bCs/>
                <w:sz w:val="24"/>
                <w:szCs w:val="24"/>
                <w:lang w:val="de-DE"/>
              </w:rPr>
            </w:pPr>
            <w:r>
              <w:rPr>
                <w:rFonts w:cs="Arial"/>
                <w:b/>
                <w:bCs/>
                <w:sz w:val="24"/>
                <w:szCs w:val="24"/>
                <w:lang w:val="de-DE"/>
              </w:rPr>
              <w:t>GAUTENG PROVINCIAL DIRECTOR: SOUTH AFRICAN LEGAL PRACTICE COUNCIL</w:t>
            </w:r>
          </w:p>
        </w:tc>
        <w:tc>
          <w:tcPr>
            <w:tcW w:w="3544" w:type="dxa"/>
          </w:tcPr>
          <w:p w14:paraId="1556D1C2" w14:textId="77777777" w:rsidR="0045792B" w:rsidRDefault="0045792B" w:rsidP="0045792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right"/>
              <w:rPr>
                <w:rFonts w:cs="Arial"/>
                <w:b/>
                <w:sz w:val="24"/>
                <w:szCs w:val="24"/>
              </w:rPr>
            </w:pPr>
          </w:p>
          <w:p w14:paraId="105046EA" w14:textId="21DC23D1" w:rsidR="00DA408D" w:rsidRDefault="0045792B" w:rsidP="0045792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right"/>
              <w:rPr>
                <w:rFonts w:cs="Arial"/>
                <w:b/>
                <w:sz w:val="24"/>
                <w:szCs w:val="24"/>
              </w:rPr>
            </w:pPr>
            <w:r>
              <w:rPr>
                <w:rFonts w:cs="Arial"/>
                <w:b/>
                <w:sz w:val="24"/>
                <w:szCs w:val="24"/>
              </w:rPr>
              <w:t>Third Respondent</w:t>
            </w:r>
          </w:p>
        </w:tc>
      </w:tr>
      <w:tr w:rsidR="00DA408D" w:rsidRPr="0031449E" w14:paraId="09444E7E" w14:textId="77777777" w:rsidTr="0045792B">
        <w:trPr>
          <w:gridAfter w:val="1"/>
          <w:wAfter w:w="131" w:type="dxa"/>
        </w:trPr>
        <w:tc>
          <w:tcPr>
            <w:tcW w:w="5954" w:type="dxa"/>
          </w:tcPr>
          <w:p w14:paraId="259E88BF" w14:textId="77777777" w:rsidR="0045792B" w:rsidRDefault="0045792B" w:rsidP="0045792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rFonts w:cs="Arial"/>
                <w:b/>
                <w:bCs/>
                <w:sz w:val="24"/>
                <w:szCs w:val="24"/>
                <w:lang w:val="de-DE"/>
              </w:rPr>
            </w:pPr>
          </w:p>
          <w:p w14:paraId="2BB249C0" w14:textId="602925DD" w:rsidR="00DA408D" w:rsidRDefault="0045792B" w:rsidP="0045792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rFonts w:cs="Arial"/>
                <w:b/>
                <w:bCs/>
                <w:sz w:val="24"/>
                <w:szCs w:val="24"/>
                <w:lang w:val="de-DE"/>
              </w:rPr>
            </w:pPr>
            <w:r>
              <w:rPr>
                <w:rFonts w:cs="Arial"/>
                <w:b/>
                <w:bCs/>
                <w:sz w:val="24"/>
                <w:szCs w:val="24"/>
                <w:lang w:val="de-DE"/>
              </w:rPr>
              <w:t>NAICKER, SHIVANI N.O</w:t>
            </w:r>
          </w:p>
        </w:tc>
        <w:tc>
          <w:tcPr>
            <w:tcW w:w="3544" w:type="dxa"/>
          </w:tcPr>
          <w:p w14:paraId="78436795" w14:textId="77777777" w:rsidR="0045792B" w:rsidRDefault="0045792B" w:rsidP="0045792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right"/>
              <w:rPr>
                <w:rFonts w:cs="Arial"/>
                <w:b/>
                <w:sz w:val="24"/>
                <w:szCs w:val="24"/>
              </w:rPr>
            </w:pPr>
          </w:p>
          <w:p w14:paraId="71C40D6F" w14:textId="3EB9C83B" w:rsidR="00DA408D" w:rsidRDefault="0045792B" w:rsidP="0045792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right"/>
              <w:rPr>
                <w:rFonts w:cs="Arial"/>
                <w:b/>
                <w:sz w:val="24"/>
                <w:szCs w:val="24"/>
              </w:rPr>
            </w:pPr>
            <w:r>
              <w:rPr>
                <w:rFonts w:cs="Arial"/>
                <w:b/>
                <w:sz w:val="24"/>
                <w:szCs w:val="24"/>
              </w:rPr>
              <w:t>Fourth Respondent</w:t>
            </w:r>
          </w:p>
        </w:tc>
      </w:tr>
      <w:tr w:rsidR="00DA408D" w:rsidRPr="0031449E" w14:paraId="7C1653F4" w14:textId="77777777" w:rsidTr="0045792B">
        <w:trPr>
          <w:gridAfter w:val="1"/>
          <w:wAfter w:w="131" w:type="dxa"/>
        </w:trPr>
        <w:tc>
          <w:tcPr>
            <w:tcW w:w="5954" w:type="dxa"/>
          </w:tcPr>
          <w:p w14:paraId="29C444DC" w14:textId="77777777" w:rsidR="0045792B" w:rsidRDefault="0045792B" w:rsidP="0045792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rFonts w:cs="Arial"/>
                <w:b/>
                <w:bCs/>
                <w:sz w:val="24"/>
                <w:szCs w:val="24"/>
                <w:lang w:val="de-DE"/>
              </w:rPr>
            </w:pPr>
          </w:p>
          <w:p w14:paraId="7179740E" w14:textId="4DF0CBB9" w:rsidR="00DA408D" w:rsidRDefault="0045792B" w:rsidP="0045792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rFonts w:cs="Arial"/>
                <w:b/>
                <w:bCs/>
                <w:sz w:val="24"/>
                <w:szCs w:val="24"/>
                <w:lang w:val="de-DE"/>
              </w:rPr>
            </w:pPr>
            <w:r>
              <w:rPr>
                <w:rFonts w:cs="Arial"/>
                <w:b/>
                <w:bCs/>
                <w:sz w:val="24"/>
                <w:szCs w:val="24"/>
                <w:lang w:val="de-DE"/>
              </w:rPr>
              <w:t>LAW SOCIETY OF SOUTH AFRICA</w:t>
            </w:r>
          </w:p>
        </w:tc>
        <w:tc>
          <w:tcPr>
            <w:tcW w:w="3544" w:type="dxa"/>
          </w:tcPr>
          <w:p w14:paraId="3B615407" w14:textId="77777777" w:rsidR="0045792B" w:rsidRDefault="0045792B" w:rsidP="0045792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right"/>
              <w:rPr>
                <w:rFonts w:cs="Arial"/>
                <w:b/>
                <w:sz w:val="24"/>
                <w:szCs w:val="24"/>
              </w:rPr>
            </w:pPr>
          </w:p>
          <w:p w14:paraId="5B663BF0" w14:textId="4CE9AB66" w:rsidR="00DA408D" w:rsidRDefault="0045792B" w:rsidP="0045792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right"/>
              <w:rPr>
                <w:rFonts w:cs="Arial"/>
                <w:b/>
                <w:sz w:val="24"/>
                <w:szCs w:val="24"/>
              </w:rPr>
            </w:pPr>
            <w:r>
              <w:rPr>
                <w:rFonts w:cs="Arial"/>
                <w:b/>
                <w:sz w:val="24"/>
                <w:szCs w:val="24"/>
              </w:rPr>
              <w:t>Fifth Respondent</w:t>
            </w:r>
          </w:p>
        </w:tc>
      </w:tr>
      <w:tr w:rsidR="0027008F" w:rsidRPr="0031449E" w14:paraId="0432C152" w14:textId="77777777" w:rsidTr="0045792B">
        <w:trPr>
          <w:gridAfter w:val="1"/>
          <w:wAfter w:w="131" w:type="dxa"/>
        </w:trPr>
        <w:tc>
          <w:tcPr>
            <w:tcW w:w="5954" w:type="dxa"/>
          </w:tcPr>
          <w:p w14:paraId="3417078A" w14:textId="77777777" w:rsidR="0045792B" w:rsidRDefault="0045792B" w:rsidP="0045792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rFonts w:cs="Arial"/>
                <w:b/>
                <w:bCs/>
                <w:sz w:val="24"/>
                <w:szCs w:val="24"/>
                <w:lang w:val="de-DE"/>
              </w:rPr>
            </w:pPr>
          </w:p>
          <w:p w14:paraId="7F45D086" w14:textId="69927ECA" w:rsidR="0027008F" w:rsidRDefault="0045792B" w:rsidP="0045792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rFonts w:cs="Arial"/>
                <w:b/>
                <w:bCs/>
                <w:sz w:val="24"/>
                <w:szCs w:val="24"/>
                <w:lang w:val="de-DE"/>
              </w:rPr>
            </w:pPr>
            <w:r>
              <w:rPr>
                <w:rFonts w:cs="Arial"/>
                <w:b/>
                <w:bCs/>
                <w:sz w:val="24"/>
                <w:szCs w:val="24"/>
                <w:lang w:val="de-DE"/>
              </w:rPr>
              <w:t>BLACK LAWYERS ASSOCIATION</w:t>
            </w:r>
          </w:p>
        </w:tc>
        <w:tc>
          <w:tcPr>
            <w:tcW w:w="3544" w:type="dxa"/>
          </w:tcPr>
          <w:p w14:paraId="24427438" w14:textId="77777777" w:rsidR="0045792B" w:rsidRDefault="0045792B" w:rsidP="0045792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right"/>
              <w:rPr>
                <w:rFonts w:cs="Arial"/>
                <w:b/>
                <w:sz w:val="24"/>
                <w:szCs w:val="24"/>
              </w:rPr>
            </w:pPr>
          </w:p>
          <w:p w14:paraId="345D8E8F" w14:textId="1FE16092" w:rsidR="0027008F" w:rsidRDefault="0045792B" w:rsidP="0045792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right"/>
              <w:rPr>
                <w:rFonts w:cs="Arial"/>
                <w:b/>
                <w:sz w:val="24"/>
                <w:szCs w:val="24"/>
              </w:rPr>
            </w:pPr>
            <w:r>
              <w:rPr>
                <w:rFonts w:cs="Arial"/>
                <w:b/>
                <w:sz w:val="24"/>
                <w:szCs w:val="24"/>
              </w:rPr>
              <w:t>Sixth Respondent</w:t>
            </w:r>
          </w:p>
        </w:tc>
      </w:tr>
      <w:tr w:rsidR="001D7244" w:rsidRPr="00217B1F" w14:paraId="0BE69F19" w14:textId="77777777" w:rsidTr="001D7244">
        <w:trPr>
          <w:trHeight w:val="1045"/>
        </w:trPr>
        <w:tc>
          <w:tcPr>
            <w:tcW w:w="9629" w:type="dxa"/>
            <w:gridSpan w:val="3"/>
          </w:tcPr>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9403"/>
            </w:tblGrid>
            <w:tr w:rsidR="00194C0C" w14:paraId="34E359B4" w14:textId="77777777" w:rsidTr="00194C0C">
              <w:tc>
                <w:tcPr>
                  <w:tcW w:w="9403" w:type="dxa"/>
                </w:tcPr>
                <w:p w14:paraId="03F6FA0C" w14:textId="77777777" w:rsidR="00194C0C" w:rsidRDefault="00194C0C" w:rsidP="00194C0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bl>
          <w:p w14:paraId="0CA1B4FB" w14:textId="77777777" w:rsidR="001D7244" w:rsidRPr="00217B1F" w:rsidRDefault="001D7244" w:rsidP="00194C0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0"/>
              <w:gridCol w:w="7513"/>
            </w:tblGrid>
            <w:tr w:rsidR="001D7244" w14:paraId="0E758531" w14:textId="77777777" w:rsidTr="00982904">
              <w:tc>
                <w:tcPr>
                  <w:tcW w:w="1790" w:type="dxa"/>
                </w:tcPr>
                <w:p w14:paraId="32A8A6B9" w14:textId="77777777" w:rsidR="001D7244" w:rsidRPr="0039413F" w:rsidRDefault="001D7244" w:rsidP="00194C0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lbertus MT" w:hAnsi="Albertus MT" w:cs="Arial"/>
                      <w:b/>
                      <w:bCs/>
                      <w:sz w:val="24"/>
                      <w:szCs w:val="24"/>
                    </w:rPr>
                  </w:pPr>
                  <w:r w:rsidRPr="0039413F">
                    <w:rPr>
                      <w:rFonts w:ascii="Albertus MT" w:eastAsia="Times New Roman" w:hAnsi="Albertus MT" w:cs="Arial"/>
                      <w:b/>
                      <w:bCs/>
                      <w:i/>
                      <w:iCs/>
                      <w:sz w:val="24"/>
                      <w:szCs w:val="24"/>
                      <w:lang w:val="en-ZA"/>
                    </w:rPr>
                    <w:t>Coram</w:t>
                  </w:r>
                  <w:r w:rsidRPr="0039413F">
                    <w:rPr>
                      <w:rFonts w:ascii="Albertus MT" w:eastAsia="Times New Roman" w:hAnsi="Albertus MT" w:cs="Arial"/>
                      <w:b/>
                      <w:bCs/>
                      <w:sz w:val="24"/>
                      <w:szCs w:val="24"/>
                      <w:lang w:val="en-ZA"/>
                    </w:rPr>
                    <w:t>:          </w:t>
                  </w:r>
                </w:p>
              </w:tc>
              <w:tc>
                <w:tcPr>
                  <w:tcW w:w="7513" w:type="dxa"/>
                </w:tcPr>
                <w:p w14:paraId="0B10E120" w14:textId="77777777" w:rsidR="001D7244" w:rsidRPr="00217B1F" w:rsidRDefault="001D7244" w:rsidP="00194C0C">
                  <w:pPr>
                    <w:tabs>
                      <w:tab w:val="left" w:pos="1417"/>
                    </w:tabs>
                    <w:spacing w:line="360" w:lineRule="auto"/>
                    <w:ind w:left="2268" w:hanging="2268"/>
                    <w:rPr>
                      <w:rFonts w:ascii="Arial" w:eastAsia="Times New Roman" w:hAnsi="Arial" w:cs="Arial"/>
                      <w:color w:val="000000"/>
                      <w:sz w:val="24"/>
                      <w:szCs w:val="24"/>
                    </w:rPr>
                  </w:pPr>
                  <w:r w:rsidRPr="00217B1F">
                    <w:rPr>
                      <w:rFonts w:ascii="Arial" w:eastAsia="Times New Roman" w:hAnsi="Arial" w:cs="Arial"/>
                      <w:color w:val="000000"/>
                      <w:sz w:val="24"/>
                      <w:szCs w:val="24"/>
                      <w:lang w:val="en-ZA"/>
                    </w:rPr>
                    <w:t>Millar J </w:t>
                  </w:r>
                </w:p>
                <w:p w14:paraId="21993AE7" w14:textId="77777777" w:rsidR="001D7244" w:rsidRDefault="001D7244" w:rsidP="00194C0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1D7244" w14:paraId="6DA38292" w14:textId="77777777" w:rsidTr="00982904">
              <w:tc>
                <w:tcPr>
                  <w:tcW w:w="1790" w:type="dxa"/>
                </w:tcPr>
                <w:p w14:paraId="4D835109" w14:textId="77777777" w:rsidR="001D7244" w:rsidRPr="00194C0C" w:rsidRDefault="001D7244" w:rsidP="00194C0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lbertus MT" w:hAnsi="Albertus MT" w:cs="Arial"/>
                      <w:sz w:val="24"/>
                      <w:szCs w:val="24"/>
                    </w:rPr>
                  </w:pPr>
                  <w:r w:rsidRPr="0039413F">
                    <w:rPr>
                      <w:rFonts w:ascii="Albertus MT" w:eastAsia="Times New Roman" w:hAnsi="Albertus MT" w:cs="Arial"/>
                      <w:b/>
                      <w:bCs/>
                      <w:i/>
                      <w:iCs/>
                      <w:sz w:val="24"/>
                      <w:szCs w:val="24"/>
                      <w:lang w:val="en-ZA"/>
                    </w:rPr>
                    <w:t>Heard on</w:t>
                  </w:r>
                  <w:r w:rsidRPr="00194C0C">
                    <w:rPr>
                      <w:rFonts w:ascii="Albertus MT" w:eastAsia="Times New Roman" w:hAnsi="Albertus MT" w:cs="Arial"/>
                      <w:sz w:val="24"/>
                      <w:szCs w:val="24"/>
                      <w:lang w:val="en-ZA"/>
                    </w:rPr>
                    <w:t>:      </w:t>
                  </w:r>
                </w:p>
              </w:tc>
              <w:tc>
                <w:tcPr>
                  <w:tcW w:w="7513" w:type="dxa"/>
                </w:tcPr>
                <w:p w14:paraId="41C8B4DD" w14:textId="3BADE69A" w:rsidR="001D7244" w:rsidRPr="00217B1F" w:rsidRDefault="00982904" w:rsidP="00194C0C">
                  <w:pPr>
                    <w:spacing w:line="360" w:lineRule="auto"/>
                    <w:ind w:left="2268" w:hanging="2268"/>
                    <w:jc w:val="both"/>
                    <w:rPr>
                      <w:rFonts w:ascii="Arial" w:eastAsia="Times New Roman" w:hAnsi="Arial" w:cs="Arial"/>
                      <w:color w:val="000000"/>
                      <w:sz w:val="24"/>
                      <w:szCs w:val="24"/>
                    </w:rPr>
                  </w:pPr>
                  <w:r>
                    <w:rPr>
                      <w:rFonts w:ascii="Arial" w:eastAsia="Times New Roman" w:hAnsi="Arial" w:cs="Arial"/>
                      <w:color w:val="000000"/>
                      <w:sz w:val="24"/>
                      <w:szCs w:val="24"/>
                      <w:lang w:val="en-ZA"/>
                    </w:rPr>
                    <w:t>14 May 202</w:t>
                  </w:r>
                  <w:r w:rsidR="00393DAB">
                    <w:rPr>
                      <w:rFonts w:ascii="Arial" w:eastAsia="Times New Roman" w:hAnsi="Arial" w:cs="Arial"/>
                      <w:color w:val="000000"/>
                      <w:sz w:val="24"/>
                      <w:szCs w:val="24"/>
                      <w:lang w:val="en-ZA"/>
                    </w:rPr>
                    <w:t>4</w:t>
                  </w:r>
                  <w:r w:rsidR="001D7244" w:rsidRPr="00217B1F">
                    <w:rPr>
                      <w:rFonts w:ascii="Arial" w:eastAsia="Times New Roman" w:hAnsi="Arial" w:cs="Arial"/>
                      <w:color w:val="000000"/>
                      <w:sz w:val="24"/>
                      <w:szCs w:val="24"/>
                      <w:lang w:val="en-ZA"/>
                    </w:rPr>
                    <w:t xml:space="preserve"> </w:t>
                  </w:r>
                </w:p>
                <w:p w14:paraId="4BCF6005" w14:textId="77777777" w:rsidR="001D7244" w:rsidRDefault="001D7244" w:rsidP="00194C0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1D7244" w14:paraId="34C7BFA8" w14:textId="77777777" w:rsidTr="00982904">
              <w:tc>
                <w:tcPr>
                  <w:tcW w:w="1790" w:type="dxa"/>
                </w:tcPr>
                <w:p w14:paraId="34D50450" w14:textId="77777777" w:rsidR="001D7244" w:rsidRPr="00194C0C" w:rsidRDefault="001D7244" w:rsidP="00194C0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lbertus MT" w:hAnsi="Albertus MT" w:cs="Arial"/>
                      <w:sz w:val="24"/>
                      <w:szCs w:val="24"/>
                    </w:rPr>
                  </w:pPr>
                  <w:r w:rsidRPr="0039413F">
                    <w:rPr>
                      <w:rFonts w:ascii="Albertus MT" w:eastAsia="Times New Roman" w:hAnsi="Albertus MT" w:cs="Arial"/>
                      <w:b/>
                      <w:bCs/>
                      <w:i/>
                      <w:iCs/>
                      <w:sz w:val="24"/>
                      <w:szCs w:val="24"/>
                      <w:lang w:val="en-ZA"/>
                    </w:rPr>
                    <w:t>Delivered</w:t>
                  </w:r>
                  <w:r w:rsidRPr="00194C0C">
                    <w:rPr>
                      <w:rFonts w:ascii="Albertus MT" w:eastAsia="Times New Roman" w:hAnsi="Albertus MT" w:cs="Arial"/>
                      <w:sz w:val="24"/>
                      <w:szCs w:val="24"/>
                      <w:lang w:val="en-ZA"/>
                    </w:rPr>
                    <w:t xml:space="preserve">:   </w:t>
                  </w:r>
                </w:p>
              </w:tc>
              <w:tc>
                <w:tcPr>
                  <w:tcW w:w="7513" w:type="dxa"/>
                </w:tcPr>
                <w:p w14:paraId="6B1352D7" w14:textId="6A95D43F" w:rsidR="001D7244" w:rsidRPr="00217B1F" w:rsidRDefault="00982904" w:rsidP="00194C0C">
                  <w:pPr>
                    <w:tabs>
                      <w:tab w:val="left" w:pos="0"/>
                    </w:tabs>
                    <w:spacing w:line="360" w:lineRule="auto"/>
                    <w:ind w:right="37" w:hanging="21"/>
                    <w:jc w:val="both"/>
                    <w:rPr>
                      <w:rFonts w:ascii="Arial" w:eastAsia="Times New Roman" w:hAnsi="Arial" w:cs="Arial"/>
                      <w:color w:val="000000"/>
                      <w:sz w:val="24"/>
                      <w:szCs w:val="24"/>
                    </w:rPr>
                  </w:pPr>
                  <w:r>
                    <w:rPr>
                      <w:rFonts w:ascii="Arial" w:eastAsia="Times New Roman" w:hAnsi="Arial" w:cs="Arial"/>
                      <w:color w:val="000000"/>
                      <w:sz w:val="24"/>
                      <w:szCs w:val="24"/>
                      <w:lang w:val="en-ZA"/>
                    </w:rPr>
                    <w:t xml:space="preserve">15 May </w:t>
                  </w:r>
                  <w:r w:rsidR="001D7244" w:rsidRPr="00217B1F">
                    <w:rPr>
                      <w:rFonts w:ascii="Arial" w:eastAsia="Times New Roman" w:hAnsi="Arial" w:cs="Arial"/>
                      <w:color w:val="000000"/>
                      <w:sz w:val="24"/>
                      <w:szCs w:val="24"/>
                      <w:lang w:val="en-ZA"/>
                    </w:rPr>
                    <w:t>202</w:t>
                  </w:r>
                  <w:r w:rsidR="00393DAB">
                    <w:rPr>
                      <w:rFonts w:ascii="Arial" w:eastAsia="Times New Roman" w:hAnsi="Arial" w:cs="Arial"/>
                      <w:color w:val="000000"/>
                      <w:sz w:val="24"/>
                      <w:szCs w:val="24"/>
                      <w:lang w:val="en-ZA"/>
                    </w:rPr>
                    <w:t>4</w:t>
                  </w:r>
                  <w:r w:rsidR="001D7244">
                    <w:rPr>
                      <w:rFonts w:ascii="Arial" w:eastAsia="Times New Roman" w:hAnsi="Arial" w:cs="Arial"/>
                      <w:color w:val="000000"/>
                      <w:sz w:val="24"/>
                      <w:szCs w:val="24"/>
                      <w:lang w:val="en-ZA"/>
                    </w:rPr>
                    <w:t xml:space="preserve"> - T</w:t>
                  </w:r>
                  <w:r w:rsidR="001D7244" w:rsidRPr="00217B1F">
                    <w:rPr>
                      <w:rFonts w:ascii="Arial" w:eastAsia="Times New Roman" w:hAnsi="Arial" w:cs="Arial"/>
                      <w:color w:val="000000"/>
                      <w:sz w:val="24"/>
                      <w:szCs w:val="24"/>
                      <w:lang w:val="en-ZA"/>
                    </w:rPr>
                    <w:t>his judgment was handed down electronically by</w:t>
                  </w:r>
                  <w:r w:rsidR="001D7244">
                    <w:rPr>
                      <w:rFonts w:ascii="Arial" w:eastAsia="Times New Roman" w:hAnsi="Arial" w:cs="Arial"/>
                      <w:color w:val="000000"/>
                      <w:sz w:val="24"/>
                      <w:szCs w:val="24"/>
                      <w:lang w:val="en-ZA"/>
                    </w:rPr>
                    <w:t xml:space="preserve"> </w:t>
                  </w:r>
                  <w:r w:rsidR="001D7244" w:rsidRPr="00217B1F">
                    <w:rPr>
                      <w:rFonts w:ascii="Arial" w:eastAsia="Times New Roman" w:hAnsi="Arial" w:cs="Arial"/>
                      <w:color w:val="000000"/>
                      <w:sz w:val="24"/>
                      <w:szCs w:val="24"/>
                      <w:lang w:val="en-ZA"/>
                    </w:rPr>
                    <w:t>circulation to the</w:t>
                  </w:r>
                  <w:r w:rsidR="001D7244">
                    <w:rPr>
                      <w:rFonts w:ascii="Arial" w:eastAsia="Times New Roman" w:hAnsi="Arial" w:cs="Arial"/>
                      <w:color w:val="000000"/>
                      <w:sz w:val="24"/>
                      <w:szCs w:val="24"/>
                      <w:lang w:val="en-ZA"/>
                    </w:rPr>
                    <w:t xml:space="preserve"> </w:t>
                  </w:r>
                  <w:r w:rsidR="001D7244" w:rsidRPr="00217B1F">
                    <w:rPr>
                      <w:rFonts w:ascii="Arial" w:eastAsia="Times New Roman" w:hAnsi="Arial" w:cs="Arial"/>
                      <w:color w:val="000000"/>
                      <w:sz w:val="24"/>
                      <w:szCs w:val="24"/>
                      <w:lang w:val="en-ZA"/>
                    </w:rPr>
                    <w:t>parties' representatives by email, by being uploaded to the </w:t>
                  </w:r>
                  <w:r w:rsidR="001D7244" w:rsidRPr="00217B1F">
                    <w:rPr>
                      <w:rFonts w:ascii="Arial" w:eastAsia="Times New Roman" w:hAnsi="Arial" w:cs="Arial"/>
                      <w:i/>
                      <w:iCs/>
                      <w:color w:val="000000"/>
                      <w:sz w:val="24"/>
                      <w:szCs w:val="24"/>
                      <w:lang w:val="en-ZA"/>
                    </w:rPr>
                    <w:t>CaseLines</w:t>
                  </w:r>
                  <w:r w:rsidR="001D7244" w:rsidRPr="00217B1F">
                    <w:rPr>
                      <w:rFonts w:ascii="Arial" w:eastAsia="Times New Roman" w:hAnsi="Arial" w:cs="Arial"/>
                      <w:color w:val="000000"/>
                      <w:sz w:val="24"/>
                      <w:szCs w:val="24"/>
                      <w:lang w:val="en-ZA"/>
                    </w:rPr>
                    <w:t xml:space="preserve"> system of the GD and by release to SAFLII. The date and time for hand-down is deemed to be </w:t>
                  </w:r>
                  <w:r w:rsidR="0045792B">
                    <w:rPr>
                      <w:rFonts w:ascii="Arial" w:eastAsia="Times New Roman" w:hAnsi="Arial" w:cs="Arial"/>
                      <w:color w:val="000000"/>
                      <w:sz w:val="24"/>
                      <w:szCs w:val="24"/>
                      <w:lang w:val="en-ZA"/>
                    </w:rPr>
                    <w:t>15h3</w:t>
                  </w:r>
                  <w:r w:rsidR="001D7244" w:rsidRPr="00217B1F">
                    <w:rPr>
                      <w:rFonts w:ascii="Arial" w:eastAsia="Times New Roman" w:hAnsi="Arial" w:cs="Arial"/>
                      <w:color w:val="000000"/>
                      <w:sz w:val="24"/>
                      <w:szCs w:val="24"/>
                      <w:lang w:val="en-ZA"/>
                    </w:rPr>
                    <w:t xml:space="preserve">0 on </w:t>
                  </w:r>
                  <w:r>
                    <w:rPr>
                      <w:rFonts w:ascii="Arial" w:eastAsia="Times New Roman" w:hAnsi="Arial" w:cs="Arial"/>
                      <w:color w:val="000000"/>
                      <w:sz w:val="24"/>
                      <w:szCs w:val="24"/>
                      <w:lang w:val="en-ZA"/>
                    </w:rPr>
                    <w:t>15 May</w:t>
                  </w:r>
                  <w:r w:rsidR="001D7244">
                    <w:rPr>
                      <w:rFonts w:ascii="Arial" w:eastAsia="Times New Roman" w:hAnsi="Arial" w:cs="Arial"/>
                      <w:color w:val="000000"/>
                      <w:sz w:val="24"/>
                      <w:szCs w:val="24"/>
                      <w:lang w:val="en-ZA"/>
                    </w:rPr>
                    <w:t xml:space="preserve">  </w:t>
                  </w:r>
                  <w:r w:rsidR="001D7244" w:rsidRPr="00217B1F">
                    <w:rPr>
                      <w:rFonts w:ascii="Arial" w:eastAsia="Times New Roman" w:hAnsi="Arial" w:cs="Arial"/>
                      <w:color w:val="000000"/>
                      <w:sz w:val="24"/>
                      <w:szCs w:val="24"/>
                      <w:lang w:val="en-ZA"/>
                    </w:rPr>
                    <w:t>202</w:t>
                  </w:r>
                  <w:r w:rsidR="00393DAB">
                    <w:rPr>
                      <w:rFonts w:ascii="Arial" w:eastAsia="Times New Roman" w:hAnsi="Arial" w:cs="Arial"/>
                      <w:color w:val="000000"/>
                      <w:sz w:val="24"/>
                      <w:szCs w:val="24"/>
                      <w:lang w:val="en-ZA"/>
                    </w:rPr>
                    <w:t>4</w:t>
                  </w:r>
                  <w:r w:rsidR="001D7244" w:rsidRPr="00217B1F">
                    <w:rPr>
                      <w:rFonts w:ascii="Arial" w:eastAsia="Times New Roman" w:hAnsi="Arial" w:cs="Arial"/>
                      <w:color w:val="000000"/>
                      <w:sz w:val="24"/>
                      <w:szCs w:val="24"/>
                      <w:lang w:val="en-ZA"/>
                    </w:rPr>
                    <w:t>.</w:t>
                  </w:r>
                </w:p>
                <w:p w14:paraId="5F5E03E1" w14:textId="77777777" w:rsidR="001D7244" w:rsidRDefault="001D7244" w:rsidP="00194C0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bl>
          <w:p w14:paraId="422E790C" w14:textId="77777777" w:rsidR="001D7244" w:rsidRPr="00217B1F" w:rsidRDefault="001D724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1D7244" w:rsidRPr="005D79B5" w14:paraId="35407B94" w14:textId="77777777" w:rsidTr="001D7244">
        <w:tc>
          <w:tcPr>
            <w:tcW w:w="9629" w:type="dxa"/>
            <w:gridSpan w:val="3"/>
          </w:tcPr>
          <w:p w14:paraId="35776624" w14:textId="77777777" w:rsidR="001D7244" w:rsidRPr="00217B1F" w:rsidRDefault="001D7244" w:rsidP="0039413F">
            <w:pPr>
              <w:pStyle w:val="LegalTramLines"/>
              <w:pBdr>
                <w:top w:val="single" w:sz="12" w:space="18" w:color="auto"/>
                <w:bottom w:val="single" w:sz="12" w:space="18" w:color="auto"/>
              </w:pBdr>
              <w:spacing w:after="240"/>
              <w:rPr>
                <w:rFonts w:ascii="Arial" w:hAnsi="Arial" w:cs="Arial"/>
                <w:sz w:val="24"/>
                <w:szCs w:val="24"/>
              </w:rPr>
            </w:pPr>
            <w:r w:rsidRPr="00217B1F">
              <w:rPr>
                <w:rFonts w:ascii="Arial" w:hAnsi="Arial" w:cs="Arial"/>
                <w:sz w:val="24"/>
                <w:szCs w:val="24"/>
              </w:rPr>
              <w:t>ORDER</w:t>
            </w:r>
          </w:p>
          <w:p w14:paraId="6042AE5A" w14:textId="77777777" w:rsidR="001D7244" w:rsidRPr="005D79B5" w:rsidRDefault="001D7244" w:rsidP="0039413F">
            <w:pPr>
              <w:pStyle w:val="LegalMAINHEADING"/>
              <w:spacing w:before="0" w:after="120" w:line="360" w:lineRule="auto"/>
              <w:rPr>
                <w:rFonts w:cs="Arial"/>
                <w:b w:val="0"/>
                <w:caps w:val="0"/>
                <w:sz w:val="24"/>
                <w:szCs w:val="24"/>
                <w:lang w:eastAsia="en-US"/>
              </w:rPr>
            </w:pPr>
            <w:r w:rsidRPr="005D79B5">
              <w:rPr>
                <w:rFonts w:cs="Arial"/>
                <w:caps w:val="0"/>
                <w:sz w:val="24"/>
                <w:szCs w:val="24"/>
                <w:lang w:eastAsia="en-US"/>
              </w:rPr>
              <w:t>It is Ordered</w:t>
            </w:r>
            <w:r w:rsidRPr="005D79B5">
              <w:rPr>
                <w:rFonts w:cs="Arial"/>
                <w:b w:val="0"/>
                <w:caps w:val="0"/>
                <w:sz w:val="24"/>
                <w:szCs w:val="24"/>
                <w:lang w:eastAsia="en-US"/>
              </w:rPr>
              <w:t>:</w:t>
            </w:r>
          </w:p>
          <w:p w14:paraId="7927A841" w14:textId="77777777" w:rsidR="001D7244" w:rsidRPr="005D79B5" w:rsidRDefault="001D7244" w:rsidP="0039413F">
            <w:pPr>
              <w:rPr>
                <w:sz w:val="24"/>
                <w:szCs w:val="24"/>
                <w:lang w:val="en-GB"/>
              </w:rPr>
            </w:pPr>
          </w:p>
          <w:p w14:paraId="016EC598" w14:textId="7E5122E6" w:rsidR="001D7244" w:rsidRDefault="005959D6" w:rsidP="005959D6">
            <w:pPr>
              <w:pStyle w:val="Body"/>
              <w:spacing w:line="360" w:lineRule="auto"/>
              <w:ind w:left="887" w:hanging="851"/>
              <w:jc w:val="both"/>
              <w:rPr>
                <w:rFonts w:cs="Arial"/>
                <w:bCs/>
                <w:sz w:val="24"/>
                <w:szCs w:val="24"/>
              </w:rPr>
            </w:pPr>
            <w:bookmarkStart w:id="0" w:name="_Hlk102030155"/>
            <w:r>
              <w:rPr>
                <w:rFonts w:cs="Arial"/>
                <w:sz w:val="24"/>
                <w:szCs w:val="24"/>
              </w:rPr>
              <w:t>[1]</w:t>
            </w:r>
            <w:r>
              <w:rPr>
                <w:rFonts w:cs="Arial"/>
                <w:sz w:val="24"/>
                <w:szCs w:val="24"/>
              </w:rPr>
              <w:tab/>
            </w:r>
            <w:r w:rsidR="00982904">
              <w:rPr>
                <w:rFonts w:cs="Arial"/>
                <w:bCs/>
                <w:sz w:val="24"/>
                <w:szCs w:val="24"/>
              </w:rPr>
              <w:t xml:space="preserve">The </w:t>
            </w:r>
            <w:r w:rsidR="00344AD1">
              <w:rPr>
                <w:rFonts w:cs="Arial"/>
                <w:bCs/>
                <w:sz w:val="24"/>
                <w:szCs w:val="24"/>
              </w:rPr>
              <w:t>applicant’s non-compliance with the Uniform Rules of Court is hereby condoned and the matter is heard on an urgent basis in terms of rule 6(12)(a) of the Uniform Rules.</w:t>
            </w:r>
          </w:p>
          <w:p w14:paraId="4593E2C5" w14:textId="77777777" w:rsidR="002C6390" w:rsidRDefault="002C6390" w:rsidP="002C6390">
            <w:pPr>
              <w:pStyle w:val="Body"/>
              <w:spacing w:line="360" w:lineRule="auto"/>
              <w:ind w:left="887"/>
              <w:jc w:val="both"/>
              <w:rPr>
                <w:rFonts w:cs="Arial"/>
                <w:bCs/>
                <w:sz w:val="24"/>
                <w:szCs w:val="24"/>
              </w:rPr>
            </w:pPr>
          </w:p>
          <w:p w14:paraId="6A62E3C1" w14:textId="3E19C96D" w:rsidR="00344AD1" w:rsidRDefault="005959D6" w:rsidP="005959D6">
            <w:pPr>
              <w:pStyle w:val="Body"/>
              <w:spacing w:line="360" w:lineRule="auto"/>
              <w:ind w:left="887" w:hanging="851"/>
              <w:jc w:val="both"/>
              <w:rPr>
                <w:rFonts w:cs="Arial"/>
                <w:bCs/>
                <w:sz w:val="24"/>
                <w:szCs w:val="24"/>
              </w:rPr>
            </w:pPr>
            <w:r>
              <w:rPr>
                <w:rFonts w:cs="Arial"/>
                <w:sz w:val="24"/>
                <w:szCs w:val="24"/>
              </w:rPr>
              <w:t>[2]</w:t>
            </w:r>
            <w:r>
              <w:rPr>
                <w:rFonts w:cs="Arial"/>
                <w:sz w:val="24"/>
                <w:szCs w:val="24"/>
              </w:rPr>
              <w:tab/>
            </w:r>
            <w:r w:rsidR="00344AD1">
              <w:rPr>
                <w:rFonts w:cs="Arial"/>
                <w:bCs/>
                <w:sz w:val="24"/>
                <w:szCs w:val="24"/>
              </w:rPr>
              <w:t>The First</w:t>
            </w:r>
            <w:r w:rsidR="00AE6409">
              <w:rPr>
                <w:rFonts w:cs="Arial"/>
                <w:bCs/>
                <w:sz w:val="24"/>
                <w:szCs w:val="24"/>
              </w:rPr>
              <w:t xml:space="preserve"> and/or </w:t>
            </w:r>
            <w:r w:rsidR="00344AD1">
              <w:rPr>
                <w:rFonts w:cs="Arial"/>
                <w:bCs/>
                <w:sz w:val="24"/>
                <w:szCs w:val="24"/>
              </w:rPr>
              <w:t xml:space="preserve">Third </w:t>
            </w:r>
            <w:r w:rsidR="002C6390">
              <w:rPr>
                <w:rFonts w:cs="Arial"/>
                <w:bCs/>
                <w:sz w:val="24"/>
                <w:szCs w:val="24"/>
              </w:rPr>
              <w:t>Respondents’ decision not to register the applicant’s Cession of the PVT Contract is declared unlawful</w:t>
            </w:r>
            <w:r w:rsidR="00AE6409">
              <w:rPr>
                <w:rFonts w:cs="Arial"/>
                <w:bCs/>
                <w:sz w:val="24"/>
                <w:szCs w:val="24"/>
              </w:rPr>
              <w:t xml:space="preserve"> and reviewed and set aside</w:t>
            </w:r>
            <w:r w:rsidR="002C6390">
              <w:rPr>
                <w:rFonts w:cs="Arial"/>
                <w:bCs/>
                <w:sz w:val="24"/>
                <w:szCs w:val="24"/>
              </w:rPr>
              <w:t>.</w:t>
            </w:r>
          </w:p>
          <w:p w14:paraId="3639DA99" w14:textId="77777777" w:rsidR="002C6390" w:rsidRPr="002C6390" w:rsidRDefault="002C6390" w:rsidP="0039413F">
            <w:pPr>
              <w:pStyle w:val="Body"/>
              <w:spacing w:line="360" w:lineRule="auto"/>
              <w:jc w:val="both"/>
              <w:rPr>
                <w:rFonts w:cs="Arial"/>
                <w:bCs/>
                <w:sz w:val="24"/>
                <w:szCs w:val="24"/>
              </w:rPr>
            </w:pPr>
          </w:p>
          <w:p w14:paraId="1905CB15" w14:textId="3F9123DE" w:rsidR="002C6390" w:rsidRDefault="005959D6" w:rsidP="005959D6">
            <w:pPr>
              <w:pStyle w:val="Body"/>
              <w:spacing w:line="360" w:lineRule="auto"/>
              <w:ind w:left="887" w:hanging="851"/>
              <w:jc w:val="both"/>
              <w:rPr>
                <w:rFonts w:cs="Arial"/>
                <w:bCs/>
                <w:sz w:val="24"/>
                <w:szCs w:val="24"/>
              </w:rPr>
            </w:pPr>
            <w:r>
              <w:rPr>
                <w:rFonts w:cs="Arial"/>
                <w:sz w:val="24"/>
                <w:szCs w:val="24"/>
              </w:rPr>
              <w:t>[3]</w:t>
            </w:r>
            <w:r>
              <w:rPr>
                <w:rFonts w:cs="Arial"/>
                <w:sz w:val="24"/>
                <w:szCs w:val="24"/>
              </w:rPr>
              <w:tab/>
            </w:r>
            <w:r w:rsidR="002C6390">
              <w:rPr>
                <w:rFonts w:cs="Arial"/>
                <w:bCs/>
                <w:sz w:val="24"/>
                <w:szCs w:val="24"/>
              </w:rPr>
              <w:t xml:space="preserve">The </w:t>
            </w:r>
            <w:r w:rsidR="003278E5">
              <w:rPr>
                <w:rFonts w:cs="Arial"/>
                <w:bCs/>
                <w:sz w:val="24"/>
                <w:szCs w:val="24"/>
              </w:rPr>
              <w:t>Applicant’s cession of his PVT contract is deemed to have been duly registered on 18 January 2024.</w:t>
            </w:r>
          </w:p>
          <w:p w14:paraId="33AE90CF" w14:textId="77777777" w:rsidR="002C6390" w:rsidRDefault="002C6390" w:rsidP="002C6390">
            <w:pPr>
              <w:pStyle w:val="Body"/>
              <w:spacing w:line="360" w:lineRule="auto"/>
              <w:ind w:left="887"/>
              <w:jc w:val="both"/>
              <w:rPr>
                <w:rFonts w:cs="Arial"/>
                <w:bCs/>
                <w:sz w:val="24"/>
                <w:szCs w:val="24"/>
              </w:rPr>
            </w:pPr>
          </w:p>
          <w:p w14:paraId="389643C6" w14:textId="5724F328" w:rsidR="002C6390" w:rsidRPr="005D79B5" w:rsidRDefault="005959D6" w:rsidP="005959D6">
            <w:pPr>
              <w:pStyle w:val="Body"/>
              <w:spacing w:line="360" w:lineRule="auto"/>
              <w:ind w:left="887" w:hanging="851"/>
              <w:jc w:val="both"/>
              <w:rPr>
                <w:rFonts w:cs="Arial"/>
                <w:bCs/>
                <w:sz w:val="24"/>
                <w:szCs w:val="24"/>
              </w:rPr>
            </w:pPr>
            <w:r w:rsidRPr="005D79B5">
              <w:rPr>
                <w:rFonts w:cs="Arial"/>
                <w:sz w:val="24"/>
                <w:szCs w:val="24"/>
              </w:rPr>
              <w:t>[4]</w:t>
            </w:r>
            <w:r w:rsidRPr="005D79B5">
              <w:rPr>
                <w:rFonts w:cs="Arial"/>
                <w:sz w:val="24"/>
                <w:szCs w:val="24"/>
              </w:rPr>
              <w:tab/>
            </w:r>
            <w:r w:rsidR="002C6390">
              <w:rPr>
                <w:rFonts w:cs="Arial"/>
                <w:bCs/>
                <w:sz w:val="24"/>
                <w:szCs w:val="24"/>
              </w:rPr>
              <w:t xml:space="preserve">The </w:t>
            </w:r>
            <w:r w:rsidR="008638C0">
              <w:rPr>
                <w:rFonts w:cs="Arial"/>
                <w:bCs/>
                <w:sz w:val="24"/>
                <w:szCs w:val="24"/>
              </w:rPr>
              <w:t xml:space="preserve">First </w:t>
            </w:r>
            <w:r w:rsidR="002C6390">
              <w:rPr>
                <w:rFonts w:cs="Arial"/>
                <w:bCs/>
                <w:sz w:val="24"/>
                <w:szCs w:val="24"/>
              </w:rPr>
              <w:t xml:space="preserve">Respondent </w:t>
            </w:r>
            <w:r w:rsidR="008638C0">
              <w:rPr>
                <w:rFonts w:cs="Arial"/>
                <w:bCs/>
                <w:sz w:val="24"/>
                <w:szCs w:val="24"/>
              </w:rPr>
              <w:t>is</w:t>
            </w:r>
            <w:r w:rsidR="002C6390">
              <w:rPr>
                <w:rFonts w:cs="Arial"/>
                <w:bCs/>
                <w:sz w:val="24"/>
                <w:szCs w:val="24"/>
              </w:rPr>
              <w:t xml:space="preserve"> ordered to pay the costs of the application on an attorney and client scale, </w:t>
            </w:r>
            <w:r w:rsidR="008638C0">
              <w:rPr>
                <w:rFonts w:cs="Arial"/>
                <w:bCs/>
                <w:sz w:val="24"/>
                <w:szCs w:val="24"/>
              </w:rPr>
              <w:t xml:space="preserve">which costs include the costs </w:t>
            </w:r>
            <w:r w:rsidR="002C6390">
              <w:rPr>
                <w:rFonts w:cs="Arial"/>
                <w:bCs/>
                <w:sz w:val="24"/>
                <w:szCs w:val="24"/>
              </w:rPr>
              <w:t>of two counsel</w:t>
            </w:r>
            <w:r w:rsidR="008638C0">
              <w:rPr>
                <w:rFonts w:cs="Arial"/>
                <w:bCs/>
                <w:sz w:val="24"/>
                <w:szCs w:val="24"/>
              </w:rPr>
              <w:t>.</w:t>
            </w:r>
          </w:p>
          <w:bookmarkEnd w:id="0"/>
          <w:p w14:paraId="1EF4ED4E" w14:textId="4228DD2C" w:rsidR="001D7244" w:rsidRPr="005D79B5" w:rsidRDefault="001D7244" w:rsidP="008638C0">
            <w:pPr>
              <w:pStyle w:val="Body"/>
              <w:spacing w:line="360" w:lineRule="auto"/>
              <w:jc w:val="both"/>
              <w:rPr>
                <w:rFonts w:cs="Arial"/>
                <w:bCs/>
                <w:sz w:val="24"/>
                <w:szCs w:val="24"/>
              </w:rPr>
            </w:pPr>
          </w:p>
        </w:tc>
      </w:tr>
    </w:tbl>
    <w:p w14:paraId="07259158" w14:textId="77777777" w:rsidR="00B50E11" w:rsidRPr="0031449E" w:rsidRDefault="00B50E11" w:rsidP="00B50E11">
      <w:pPr>
        <w:pStyle w:val="Body"/>
        <w:spacing w:line="360" w:lineRule="auto"/>
        <w:jc w:val="both"/>
        <w:rPr>
          <w:rFonts w:eastAsia="Tahoma" w:cs="Arial"/>
          <w:b/>
          <w:bCs/>
          <w:sz w:val="24"/>
          <w:szCs w:val="24"/>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B50E11" w:rsidRPr="0031449E" w14:paraId="5475438F" w14:textId="77777777" w:rsidTr="0039413F">
        <w:tc>
          <w:tcPr>
            <w:tcW w:w="9350" w:type="dxa"/>
          </w:tcPr>
          <w:p w14:paraId="3A5115EF" w14:textId="77777777" w:rsidR="00650745" w:rsidRDefault="00650745" w:rsidP="0039413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32"/>
                <w:szCs w:val="24"/>
                <w:lang w:val="de-DE"/>
              </w:rPr>
            </w:pPr>
          </w:p>
          <w:p w14:paraId="47459BC2" w14:textId="77777777" w:rsidR="00B50E11" w:rsidRPr="008E6813" w:rsidRDefault="00B50E11" w:rsidP="0039413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24"/>
                <w:szCs w:val="24"/>
                <w:lang w:val="de-DE"/>
              </w:rPr>
            </w:pPr>
            <w:r w:rsidRPr="00F842D6">
              <w:rPr>
                <w:rFonts w:eastAsia="Tahoma" w:cs="Arial"/>
                <w:b/>
                <w:bCs/>
                <w:sz w:val="32"/>
                <w:szCs w:val="32"/>
                <w:lang w:val="de-DE"/>
              </w:rPr>
              <w:t>JUDGMENT</w:t>
            </w:r>
          </w:p>
        </w:tc>
      </w:tr>
    </w:tbl>
    <w:p w14:paraId="397DE03A" w14:textId="77777777" w:rsidR="00C519B2" w:rsidRDefault="00C519B2" w:rsidP="00B50E11">
      <w:pPr>
        <w:pStyle w:val="Body"/>
        <w:jc w:val="both"/>
        <w:rPr>
          <w:b/>
          <w:sz w:val="22"/>
          <w:szCs w:val="22"/>
        </w:rPr>
      </w:pPr>
    </w:p>
    <w:p w14:paraId="31AD95DF" w14:textId="69613071" w:rsidR="00B50E11" w:rsidRPr="00F842D6" w:rsidRDefault="00B50E11" w:rsidP="008E6813">
      <w:pPr>
        <w:pStyle w:val="Body"/>
        <w:spacing w:line="360" w:lineRule="auto"/>
        <w:jc w:val="both"/>
        <w:rPr>
          <w:b/>
          <w:sz w:val="24"/>
          <w:szCs w:val="24"/>
          <w:u w:val="single"/>
        </w:rPr>
      </w:pPr>
      <w:r w:rsidRPr="00F842D6">
        <w:rPr>
          <w:b/>
          <w:sz w:val="24"/>
          <w:szCs w:val="24"/>
          <w:u w:val="single"/>
        </w:rPr>
        <w:lastRenderedPageBreak/>
        <w:t>MILLAR</w:t>
      </w:r>
      <w:r w:rsidR="004075F2" w:rsidRPr="00F842D6">
        <w:rPr>
          <w:b/>
          <w:sz w:val="24"/>
          <w:szCs w:val="24"/>
          <w:u w:val="single"/>
        </w:rPr>
        <w:t xml:space="preserve"> </w:t>
      </w:r>
      <w:r w:rsidRPr="00F842D6">
        <w:rPr>
          <w:b/>
          <w:sz w:val="24"/>
          <w:szCs w:val="24"/>
          <w:u w:val="single"/>
        </w:rPr>
        <w:t>J</w:t>
      </w:r>
    </w:p>
    <w:p w14:paraId="508C58F5" w14:textId="2AFAC980" w:rsidR="008E6813" w:rsidRPr="00F842D6" w:rsidRDefault="008E6813" w:rsidP="00F842D6">
      <w:pPr>
        <w:pStyle w:val="Body"/>
        <w:spacing w:line="360" w:lineRule="auto"/>
        <w:jc w:val="both"/>
        <w:rPr>
          <w:bCs/>
          <w:sz w:val="24"/>
          <w:szCs w:val="24"/>
        </w:rPr>
      </w:pPr>
    </w:p>
    <w:p w14:paraId="721106E4" w14:textId="0ACC3549" w:rsidR="00F842D6" w:rsidRDefault="005959D6" w:rsidP="005959D6">
      <w:pPr>
        <w:pStyle w:val="Body"/>
        <w:spacing w:line="360" w:lineRule="auto"/>
        <w:ind w:left="851" w:hanging="851"/>
        <w:jc w:val="both"/>
        <w:rPr>
          <w:bCs/>
          <w:sz w:val="24"/>
          <w:szCs w:val="24"/>
        </w:rPr>
      </w:pPr>
      <w:r>
        <w:rPr>
          <w:sz w:val="24"/>
          <w:szCs w:val="24"/>
        </w:rPr>
        <w:t>[1]</w:t>
      </w:r>
      <w:r>
        <w:rPr>
          <w:sz w:val="24"/>
          <w:szCs w:val="24"/>
        </w:rPr>
        <w:tab/>
      </w:r>
      <w:r w:rsidR="00024E35">
        <w:rPr>
          <w:bCs/>
          <w:sz w:val="24"/>
          <w:szCs w:val="24"/>
        </w:rPr>
        <w:t xml:space="preserve">The applicant is a candidate legal practitioner who has brought an urgent application seeking </w:t>
      </w:r>
      <w:r w:rsidR="00024E35" w:rsidRPr="00024E35">
        <w:rPr>
          <w:bCs/>
          <w:i/>
          <w:iCs/>
          <w:sz w:val="24"/>
          <w:szCs w:val="24"/>
        </w:rPr>
        <w:t>inter alia</w:t>
      </w:r>
      <w:r w:rsidR="00024E35">
        <w:rPr>
          <w:bCs/>
          <w:sz w:val="24"/>
          <w:szCs w:val="24"/>
        </w:rPr>
        <w:t xml:space="preserve"> to review and set aside the failure of the Gauteng Provincial Office of the Legal Practice Council</w:t>
      </w:r>
      <w:r w:rsidR="00AE6409">
        <w:rPr>
          <w:rStyle w:val="FootnoteReference"/>
          <w:bCs/>
          <w:sz w:val="24"/>
          <w:szCs w:val="24"/>
        </w:rPr>
        <w:footnoteReference w:id="1"/>
      </w:r>
      <w:r w:rsidR="00024E35">
        <w:rPr>
          <w:bCs/>
          <w:sz w:val="24"/>
          <w:szCs w:val="24"/>
        </w:rPr>
        <w:t xml:space="preserve"> to register a cession of his Practical Vocational Training Contract (PVT) on 17 January 2024. The applicant also seeks an order for the registration of such cession.</w:t>
      </w:r>
    </w:p>
    <w:p w14:paraId="3866FB52" w14:textId="77777777" w:rsidR="006C0FD8" w:rsidRPr="00F842D6" w:rsidRDefault="006C0FD8" w:rsidP="006C0FD8">
      <w:pPr>
        <w:pStyle w:val="Body"/>
        <w:spacing w:line="360" w:lineRule="auto"/>
        <w:ind w:left="851"/>
        <w:jc w:val="both"/>
        <w:rPr>
          <w:bCs/>
          <w:sz w:val="24"/>
          <w:szCs w:val="24"/>
        </w:rPr>
      </w:pPr>
    </w:p>
    <w:p w14:paraId="6D28F4A3" w14:textId="14368655" w:rsidR="00F842D6" w:rsidRDefault="005959D6" w:rsidP="005959D6">
      <w:pPr>
        <w:pStyle w:val="Body"/>
        <w:spacing w:line="360" w:lineRule="auto"/>
        <w:ind w:left="851" w:hanging="851"/>
        <w:jc w:val="both"/>
        <w:rPr>
          <w:bCs/>
          <w:sz w:val="24"/>
          <w:szCs w:val="24"/>
        </w:rPr>
      </w:pPr>
      <w:r>
        <w:rPr>
          <w:sz w:val="24"/>
          <w:szCs w:val="24"/>
        </w:rPr>
        <w:t>[2]</w:t>
      </w:r>
      <w:r>
        <w:rPr>
          <w:sz w:val="24"/>
          <w:szCs w:val="24"/>
        </w:rPr>
        <w:tab/>
      </w:r>
      <w:r w:rsidR="006C0FD8">
        <w:rPr>
          <w:bCs/>
          <w:sz w:val="24"/>
          <w:szCs w:val="24"/>
        </w:rPr>
        <w:t>The facts underpinning this application are common cause between the parties.</w:t>
      </w:r>
      <w:r w:rsidR="00BB7775">
        <w:rPr>
          <w:bCs/>
          <w:sz w:val="24"/>
          <w:szCs w:val="24"/>
        </w:rPr>
        <w:t xml:space="preserve">  On 1 February 2022, the applicant entered into a PVT Contract with Mr. Mkhabela in which he undertook to serve Mr. Mkhabela as a Candidate Attorney for a period of 24 months</w:t>
      </w:r>
      <w:r w:rsidR="003F04AB">
        <w:rPr>
          <w:rStyle w:val="FootnoteReference"/>
          <w:bCs/>
          <w:sz w:val="24"/>
          <w:szCs w:val="24"/>
        </w:rPr>
        <w:footnoteReference w:id="2"/>
      </w:r>
      <w:r w:rsidR="00BB7775">
        <w:rPr>
          <w:bCs/>
          <w:sz w:val="24"/>
          <w:szCs w:val="24"/>
        </w:rPr>
        <w:t>.  This period would be completed on 31 January 2024.</w:t>
      </w:r>
    </w:p>
    <w:p w14:paraId="1157CCF8" w14:textId="77777777" w:rsidR="00BB7775" w:rsidRDefault="00BB7775" w:rsidP="00BB7775">
      <w:pPr>
        <w:pStyle w:val="ListParagraph"/>
        <w:rPr>
          <w:bCs/>
        </w:rPr>
      </w:pPr>
    </w:p>
    <w:p w14:paraId="64D9C497" w14:textId="6D7A9F19" w:rsidR="00BB7775" w:rsidRDefault="005959D6" w:rsidP="005959D6">
      <w:pPr>
        <w:pStyle w:val="Body"/>
        <w:spacing w:line="360" w:lineRule="auto"/>
        <w:ind w:left="851" w:hanging="851"/>
        <w:jc w:val="both"/>
        <w:rPr>
          <w:bCs/>
          <w:sz w:val="24"/>
          <w:szCs w:val="24"/>
        </w:rPr>
      </w:pPr>
      <w:r>
        <w:rPr>
          <w:sz w:val="24"/>
          <w:szCs w:val="24"/>
        </w:rPr>
        <w:t>[3]</w:t>
      </w:r>
      <w:r>
        <w:rPr>
          <w:sz w:val="24"/>
          <w:szCs w:val="24"/>
        </w:rPr>
        <w:tab/>
      </w:r>
      <w:r w:rsidR="00BB7775">
        <w:rPr>
          <w:bCs/>
          <w:sz w:val="24"/>
          <w:szCs w:val="24"/>
        </w:rPr>
        <w:t xml:space="preserve">On 20 December 2023, </w:t>
      </w:r>
      <w:r w:rsidR="00B21FFF">
        <w:rPr>
          <w:bCs/>
          <w:sz w:val="24"/>
          <w:szCs w:val="24"/>
        </w:rPr>
        <w:t>some 22 months and 19 days into his PVT Contract, the applicant resigned from Mr. Mkhabela’s employment.  On 17 January 2024, he entered into a Cession Agreement in respect of his PVT Contract with Mr. Diaho. On 18 January 2024, the applicant lodged a Cession Agreement duly signed and completed in all respects with the Gauteng Provin</w:t>
      </w:r>
      <w:r w:rsidR="00F72EFE">
        <w:rPr>
          <w:bCs/>
          <w:sz w:val="24"/>
          <w:szCs w:val="24"/>
        </w:rPr>
        <w:t>c</w:t>
      </w:r>
      <w:r w:rsidR="00B21FFF">
        <w:rPr>
          <w:bCs/>
          <w:sz w:val="24"/>
          <w:szCs w:val="24"/>
        </w:rPr>
        <w:t>ial Office of the Legal Practice Council</w:t>
      </w:r>
      <w:r w:rsidR="00F72EFE">
        <w:rPr>
          <w:bCs/>
          <w:sz w:val="24"/>
          <w:szCs w:val="24"/>
        </w:rPr>
        <w:t xml:space="preserve"> (LPC)</w:t>
      </w:r>
      <w:r w:rsidR="00B21FFF">
        <w:rPr>
          <w:bCs/>
          <w:sz w:val="24"/>
          <w:szCs w:val="24"/>
        </w:rPr>
        <w:t>.   The Cession was lodged for the purpose of registration so that the applicant could continue his practical vocational training a</w:t>
      </w:r>
      <w:r w:rsidR="00FB1DB5">
        <w:rPr>
          <w:bCs/>
          <w:sz w:val="24"/>
          <w:szCs w:val="24"/>
        </w:rPr>
        <w:t xml:space="preserve">s </w:t>
      </w:r>
      <w:r w:rsidR="00B21FFF">
        <w:rPr>
          <w:bCs/>
          <w:sz w:val="24"/>
          <w:szCs w:val="24"/>
        </w:rPr>
        <w:t xml:space="preserve">a candidate attorney and complete the </w:t>
      </w:r>
      <w:r w:rsidR="00F72EFE">
        <w:rPr>
          <w:bCs/>
          <w:sz w:val="24"/>
          <w:szCs w:val="24"/>
        </w:rPr>
        <w:t>24-month</w:t>
      </w:r>
      <w:r w:rsidR="00B21FFF">
        <w:rPr>
          <w:bCs/>
          <w:sz w:val="24"/>
          <w:szCs w:val="24"/>
        </w:rPr>
        <w:t xml:space="preserve"> period of such training for which he had originally contracted.</w:t>
      </w:r>
    </w:p>
    <w:p w14:paraId="1318FB57" w14:textId="77777777" w:rsidR="00B21FFF" w:rsidRDefault="00B21FFF" w:rsidP="00B21FFF">
      <w:pPr>
        <w:pStyle w:val="ListParagraph"/>
        <w:rPr>
          <w:bCs/>
        </w:rPr>
      </w:pPr>
    </w:p>
    <w:p w14:paraId="31F75EC1" w14:textId="7FC61759" w:rsidR="00A57146" w:rsidRDefault="005959D6" w:rsidP="005959D6">
      <w:pPr>
        <w:pStyle w:val="Body"/>
        <w:spacing w:line="360" w:lineRule="auto"/>
        <w:ind w:left="851" w:hanging="851"/>
        <w:jc w:val="both"/>
        <w:rPr>
          <w:bCs/>
          <w:sz w:val="24"/>
          <w:szCs w:val="24"/>
        </w:rPr>
      </w:pPr>
      <w:r>
        <w:rPr>
          <w:sz w:val="24"/>
          <w:szCs w:val="24"/>
        </w:rPr>
        <w:t>[4]</w:t>
      </w:r>
      <w:r>
        <w:rPr>
          <w:sz w:val="24"/>
          <w:szCs w:val="24"/>
        </w:rPr>
        <w:tab/>
      </w:r>
      <w:r w:rsidR="00F72EFE">
        <w:rPr>
          <w:bCs/>
          <w:sz w:val="24"/>
          <w:szCs w:val="24"/>
        </w:rPr>
        <w:t>The applicant heard nothing from the LPC</w:t>
      </w:r>
      <w:r w:rsidR="00A57146">
        <w:rPr>
          <w:bCs/>
          <w:sz w:val="24"/>
          <w:szCs w:val="24"/>
        </w:rPr>
        <w:t>.  It did not acknowledge receipt of the Cession and it also did not communicate whether the Cession had indeed been registered or not.</w:t>
      </w:r>
    </w:p>
    <w:p w14:paraId="79FACEF4" w14:textId="77777777" w:rsidR="00A57146" w:rsidRDefault="00A57146" w:rsidP="00A57146">
      <w:pPr>
        <w:pStyle w:val="ListParagraph"/>
        <w:rPr>
          <w:bCs/>
        </w:rPr>
      </w:pPr>
    </w:p>
    <w:p w14:paraId="4841DF72" w14:textId="0713057C" w:rsidR="00A57146" w:rsidRDefault="005959D6" w:rsidP="005959D6">
      <w:pPr>
        <w:pStyle w:val="Body"/>
        <w:spacing w:line="360" w:lineRule="auto"/>
        <w:ind w:left="851" w:hanging="851"/>
        <w:jc w:val="both"/>
        <w:rPr>
          <w:bCs/>
          <w:sz w:val="24"/>
          <w:szCs w:val="24"/>
        </w:rPr>
      </w:pPr>
      <w:r>
        <w:rPr>
          <w:sz w:val="24"/>
          <w:szCs w:val="24"/>
        </w:rPr>
        <w:lastRenderedPageBreak/>
        <w:t>[5]</w:t>
      </w:r>
      <w:r>
        <w:rPr>
          <w:sz w:val="24"/>
          <w:szCs w:val="24"/>
        </w:rPr>
        <w:tab/>
      </w:r>
      <w:r w:rsidR="00A57146">
        <w:rPr>
          <w:bCs/>
          <w:sz w:val="24"/>
          <w:szCs w:val="24"/>
        </w:rPr>
        <w:t>On 3 April 2024, the applicant having by now completed in the aggregate 24 months of practical vocational training with Mr. Mkhabela and Mr. Diaho respectively, made application for his admission as a legal practitioner.</w:t>
      </w:r>
    </w:p>
    <w:p w14:paraId="2225F34E" w14:textId="77777777" w:rsidR="00A57146" w:rsidRDefault="00A57146" w:rsidP="00A57146">
      <w:pPr>
        <w:pStyle w:val="ListParagraph"/>
        <w:rPr>
          <w:bCs/>
        </w:rPr>
      </w:pPr>
    </w:p>
    <w:p w14:paraId="6CEB2C14" w14:textId="39D3A2A2" w:rsidR="00771916" w:rsidRDefault="005959D6" w:rsidP="005959D6">
      <w:pPr>
        <w:pStyle w:val="Body"/>
        <w:spacing w:line="360" w:lineRule="auto"/>
        <w:ind w:left="851" w:hanging="851"/>
        <w:jc w:val="both"/>
        <w:rPr>
          <w:bCs/>
          <w:sz w:val="24"/>
          <w:szCs w:val="24"/>
        </w:rPr>
      </w:pPr>
      <w:r>
        <w:rPr>
          <w:sz w:val="24"/>
          <w:szCs w:val="24"/>
        </w:rPr>
        <w:t>[6]</w:t>
      </w:r>
      <w:r>
        <w:rPr>
          <w:sz w:val="24"/>
          <w:szCs w:val="24"/>
        </w:rPr>
        <w:tab/>
      </w:r>
      <w:r w:rsidR="00A57146">
        <w:rPr>
          <w:bCs/>
          <w:sz w:val="24"/>
          <w:szCs w:val="24"/>
        </w:rPr>
        <w:t>The application was served on the LPC that day and enrolled for hearing, taking into account that it was required to lie for inspection before the LPC for a period of 30 days, on 16 May 2024.</w:t>
      </w:r>
    </w:p>
    <w:p w14:paraId="1506E212" w14:textId="77777777" w:rsidR="00771916" w:rsidRDefault="00771916" w:rsidP="00771916">
      <w:pPr>
        <w:pStyle w:val="ListParagraph"/>
        <w:rPr>
          <w:bCs/>
        </w:rPr>
      </w:pPr>
    </w:p>
    <w:p w14:paraId="383F54DD" w14:textId="78499485" w:rsidR="00771916" w:rsidRDefault="005959D6" w:rsidP="005959D6">
      <w:pPr>
        <w:pStyle w:val="Body"/>
        <w:spacing w:line="360" w:lineRule="auto"/>
        <w:ind w:left="851" w:hanging="851"/>
        <w:jc w:val="both"/>
        <w:rPr>
          <w:bCs/>
          <w:sz w:val="24"/>
          <w:szCs w:val="24"/>
        </w:rPr>
      </w:pPr>
      <w:r>
        <w:rPr>
          <w:sz w:val="24"/>
          <w:szCs w:val="24"/>
        </w:rPr>
        <w:t>[7]</w:t>
      </w:r>
      <w:r>
        <w:rPr>
          <w:sz w:val="24"/>
          <w:szCs w:val="24"/>
        </w:rPr>
        <w:tab/>
      </w:r>
      <w:r w:rsidR="00771916">
        <w:rPr>
          <w:bCs/>
          <w:sz w:val="24"/>
          <w:szCs w:val="24"/>
        </w:rPr>
        <w:t>On 30 April 2024, when the applicant had heard nothing from the LPC</w:t>
      </w:r>
      <w:r w:rsidR="00E7227D">
        <w:rPr>
          <w:bCs/>
          <w:sz w:val="24"/>
          <w:szCs w:val="24"/>
        </w:rPr>
        <w:t>, he contacted them to enquire</w:t>
      </w:r>
      <w:r w:rsidR="00771916">
        <w:rPr>
          <w:bCs/>
          <w:sz w:val="24"/>
          <w:szCs w:val="24"/>
        </w:rPr>
        <w:t xml:space="preserve"> whether they intended to take issue with any aspect of his application</w:t>
      </w:r>
      <w:r w:rsidR="00D06AF3">
        <w:rPr>
          <w:bCs/>
          <w:sz w:val="24"/>
          <w:szCs w:val="24"/>
        </w:rPr>
        <w:t>.  T</w:t>
      </w:r>
      <w:r w:rsidR="00771916">
        <w:rPr>
          <w:bCs/>
          <w:sz w:val="24"/>
          <w:szCs w:val="24"/>
        </w:rPr>
        <w:t xml:space="preserve">hey then for the first time responded and requested that he withdraw the admission application.  </w:t>
      </w:r>
    </w:p>
    <w:p w14:paraId="70A781E4" w14:textId="77777777" w:rsidR="00771916" w:rsidRDefault="00771916" w:rsidP="00771916">
      <w:pPr>
        <w:pStyle w:val="ListParagraph"/>
        <w:rPr>
          <w:bCs/>
        </w:rPr>
      </w:pPr>
    </w:p>
    <w:p w14:paraId="1588063C" w14:textId="5336CC54" w:rsidR="00771916" w:rsidRDefault="005959D6" w:rsidP="005959D6">
      <w:pPr>
        <w:pStyle w:val="Body"/>
        <w:spacing w:line="360" w:lineRule="auto"/>
        <w:ind w:left="851" w:hanging="851"/>
        <w:jc w:val="both"/>
        <w:rPr>
          <w:bCs/>
          <w:sz w:val="24"/>
          <w:szCs w:val="24"/>
        </w:rPr>
      </w:pPr>
      <w:r>
        <w:rPr>
          <w:sz w:val="24"/>
          <w:szCs w:val="24"/>
        </w:rPr>
        <w:t>[8]</w:t>
      </w:r>
      <w:r>
        <w:rPr>
          <w:sz w:val="24"/>
          <w:szCs w:val="24"/>
        </w:rPr>
        <w:tab/>
      </w:r>
      <w:r w:rsidR="00771916">
        <w:rPr>
          <w:bCs/>
          <w:sz w:val="24"/>
          <w:szCs w:val="24"/>
        </w:rPr>
        <w:t>The reason proferred for making this request was that:</w:t>
      </w:r>
    </w:p>
    <w:p w14:paraId="1E63FA53" w14:textId="77777777" w:rsidR="00771916" w:rsidRDefault="00771916" w:rsidP="00771916">
      <w:pPr>
        <w:pStyle w:val="ListParagraph"/>
        <w:rPr>
          <w:bCs/>
        </w:rPr>
      </w:pPr>
    </w:p>
    <w:p w14:paraId="58A35D7E" w14:textId="6BE8B9A3" w:rsidR="00DA7973" w:rsidRPr="00DA7973" w:rsidRDefault="00771916" w:rsidP="00DA7973">
      <w:pPr>
        <w:pStyle w:val="Body"/>
        <w:spacing w:line="360" w:lineRule="auto"/>
        <w:ind w:left="1418"/>
        <w:jc w:val="both"/>
        <w:rPr>
          <w:bCs/>
          <w:i/>
          <w:iCs/>
          <w:sz w:val="22"/>
          <w:szCs w:val="22"/>
        </w:rPr>
      </w:pPr>
      <w:r w:rsidRPr="00DA7973">
        <w:rPr>
          <w:bCs/>
          <w:i/>
          <w:iCs/>
          <w:sz w:val="22"/>
          <w:szCs w:val="22"/>
        </w:rPr>
        <w:t>“The cession agreement that was entered into during January 2024 was not registered by the Legal Practice Council as there was a 14 day gap between the date you left Mr. Mkhabela and the date you commenced with Mr. Diaho resulting in interrupted service</w:t>
      </w:r>
      <w:r w:rsidR="00DA7973" w:rsidRPr="00DA7973">
        <w:rPr>
          <w:bCs/>
          <w:i/>
          <w:iCs/>
          <w:sz w:val="22"/>
          <w:szCs w:val="22"/>
        </w:rPr>
        <w:t xml:space="preserve"> therefore you cannot rely on the period served under Mr. Diaho as the cession agreement was not registered.”</w:t>
      </w:r>
    </w:p>
    <w:p w14:paraId="55720AE6" w14:textId="089509BD" w:rsidR="00B21FFF" w:rsidRPr="00771916" w:rsidRDefault="00F72EFE" w:rsidP="00771916">
      <w:pPr>
        <w:pStyle w:val="Body"/>
        <w:spacing w:line="360" w:lineRule="auto"/>
        <w:ind w:left="720" w:firstLine="131"/>
        <w:jc w:val="both"/>
        <w:rPr>
          <w:bCs/>
          <w:sz w:val="24"/>
          <w:szCs w:val="24"/>
        </w:rPr>
      </w:pPr>
      <w:r w:rsidRPr="00771916">
        <w:rPr>
          <w:bCs/>
          <w:sz w:val="24"/>
          <w:szCs w:val="24"/>
        </w:rPr>
        <w:t xml:space="preserve"> </w:t>
      </w:r>
    </w:p>
    <w:p w14:paraId="0295CE26" w14:textId="0F0F2623" w:rsidR="00F842D6" w:rsidRDefault="005959D6" w:rsidP="005959D6">
      <w:pPr>
        <w:pStyle w:val="Body"/>
        <w:spacing w:line="360" w:lineRule="auto"/>
        <w:ind w:left="851" w:hanging="851"/>
        <w:jc w:val="both"/>
        <w:rPr>
          <w:bCs/>
          <w:sz w:val="24"/>
          <w:szCs w:val="24"/>
        </w:rPr>
      </w:pPr>
      <w:r>
        <w:rPr>
          <w:sz w:val="24"/>
          <w:szCs w:val="24"/>
        </w:rPr>
        <w:t>[9]</w:t>
      </w:r>
      <w:r>
        <w:rPr>
          <w:sz w:val="24"/>
          <w:szCs w:val="24"/>
        </w:rPr>
        <w:tab/>
      </w:r>
      <w:r w:rsidR="00DA7973">
        <w:rPr>
          <w:bCs/>
          <w:sz w:val="24"/>
          <w:szCs w:val="24"/>
        </w:rPr>
        <w:t>The next step taken by the LPC</w:t>
      </w:r>
      <w:r w:rsidR="00511DF2">
        <w:rPr>
          <w:bCs/>
          <w:sz w:val="24"/>
          <w:szCs w:val="24"/>
        </w:rPr>
        <w:t xml:space="preserve"> was the delivery on 7 May 2024, of a notice of intention to oppose the application for admission.  The present application was launched 2 days thereafter.</w:t>
      </w:r>
    </w:p>
    <w:p w14:paraId="65323F5E" w14:textId="77777777" w:rsidR="00511DF2" w:rsidRPr="00F842D6" w:rsidRDefault="00511DF2" w:rsidP="00511DF2">
      <w:pPr>
        <w:pStyle w:val="Body"/>
        <w:spacing w:line="360" w:lineRule="auto"/>
        <w:ind w:left="851"/>
        <w:jc w:val="both"/>
        <w:rPr>
          <w:bCs/>
          <w:sz w:val="24"/>
          <w:szCs w:val="24"/>
        </w:rPr>
      </w:pPr>
    </w:p>
    <w:p w14:paraId="24CA8D6A" w14:textId="1A60CFC3" w:rsidR="00511DF2" w:rsidRDefault="005959D6" w:rsidP="005959D6">
      <w:pPr>
        <w:pStyle w:val="Body"/>
        <w:spacing w:line="360" w:lineRule="auto"/>
        <w:ind w:left="851" w:hanging="851"/>
        <w:jc w:val="both"/>
        <w:rPr>
          <w:rFonts w:cs="Arial"/>
          <w:bCs/>
          <w:sz w:val="24"/>
          <w:szCs w:val="24"/>
        </w:rPr>
      </w:pPr>
      <w:r>
        <w:rPr>
          <w:rFonts w:cs="Arial"/>
          <w:sz w:val="24"/>
          <w:szCs w:val="24"/>
        </w:rPr>
        <w:t>[10]</w:t>
      </w:r>
      <w:r>
        <w:rPr>
          <w:rFonts w:cs="Arial"/>
          <w:sz w:val="24"/>
          <w:szCs w:val="24"/>
        </w:rPr>
        <w:tab/>
      </w:r>
      <w:r w:rsidR="000174B7">
        <w:rPr>
          <w:rFonts w:cs="Arial"/>
          <w:bCs/>
          <w:sz w:val="24"/>
          <w:szCs w:val="24"/>
        </w:rPr>
        <w:t>The LPC somewhat surprisingly and in view of its failure to notify the applicant of its refusal to register the Cession or to notify him of any concern it had with his application for admission until 30 April 2024, took issue with the fact that the present application was brought as one of urgency.</w:t>
      </w:r>
      <w:r w:rsidR="00E55394">
        <w:rPr>
          <w:rFonts w:cs="Arial"/>
          <w:bCs/>
          <w:sz w:val="24"/>
          <w:szCs w:val="24"/>
        </w:rPr>
        <w:t xml:space="preserve">  It was argued for the LPC, that if there was urgency, then this was entirely self-created as the applicant “</w:t>
      </w:r>
      <w:r w:rsidR="00E55394">
        <w:rPr>
          <w:rFonts w:cs="Arial"/>
          <w:bCs/>
          <w:i/>
          <w:iCs/>
          <w:sz w:val="22"/>
          <w:szCs w:val="22"/>
        </w:rPr>
        <w:t>did nothing, after lodging the purported cession agreement three months ago, to follow up on and procure registration of the purported cession agreement, until last week.”</w:t>
      </w:r>
      <w:r w:rsidR="00C01850">
        <w:rPr>
          <w:rFonts w:cs="Arial"/>
          <w:bCs/>
          <w:i/>
          <w:iCs/>
          <w:sz w:val="22"/>
          <w:szCs w:val="22"/>
        </w:rPr>
        <w:t xml:space="preserve">  </w:t>
      </w:r>
      <w:r w:rsidR="00C01850">
        <w:rPr>
          <w:rFonts w:cs="Arial"/>
          <w:bCs/>
          <w:sz w:val="24"/>
          <w:szCs w:val="24"/>
        </w:rPr>
        <w:t>The LPC also took issue with the fact that the applicant had proceeded to bring an application for admission in circumstances where he was not in possession of all the necessary documentation.</w:t>
      </w:r>
    </w:p>
    <w:p w14:paraId="3F254075" w14:textId="77777777" w:rsidR="008A7AE3" w:rsidRDefault="008A7AE3" w:rsidP="008A7AE3">
      <w:pPr>
        <w:pStyle w:val="ListParagraph"/>
        <w:rPr>
          <w:rFonts w:cs="Arial"/>
          <w:bCs/>
        </w:rPr>
      </w:pPr>
    </w:p>
    <w:p w14:paraId="26E520BA" w14:textId="23F5739B" w:rsidR="008A7AE3" w:rsidRDefault="005959D6" w:rsidP="005959D6">
      <w:pPr>
        <w:pStyle w:val="Body"/>
        <w:spacing w:line="360" w:lineRule="auto"/>
        <w:ind w:left="851" w:hanging="851"/>
        <w:jc w:val="both"/>
        <w:rPr>
          <w:rFonts w:cs="Arial"/>
          <w:bCs/>
          <w:sz w:val="24"/>
          <w:szCs w:val="24"/>
        </w:rPr>
      </w:pPr>
      <w:r>
        <w:rPr>
          <w:rFonts w:cs="Arial"/>
          <w:sz w:val="24"/>
          <w:szCs w:val="24"/>
        </w:rPr>
        <w:lastRenderedPageBreak/>
        <w:t>[11]</w:t>
      </w:r>
      <w:r>
        <w:rPr>
          <w:rFonts w:cs="Arial"/>
          <w:sz w:val="24"/>
          <w:szCs w:val="24"/>
        </w:rPr>
        <w:tab/>
      </w:r>
      <w:r w:rsidR="008A7AE3">
        <w:rPr>
          <w:rFonts w:cs="Arial"/>
          <w:bCs/>
          <w:sz w:val="24"/>
          <w:szCs w:val="24"/>
        </w:rPr>
        <w:t>There is no explanation by the LPC for why it neither acknowledged receipt of the Cession Agreement when it was lodged with them on 17 January 2024, or any notification to the applicant that it did not intend to register the Cession together with the reasons for this.  Furthermore, there is no explanation why only on 30 April 2024, some 3 days before the expiry of the 30 day period for which the application had to lie for inspection, that it was only after enquiry by the applicant that he was notified of the decision of the LPC and the reasons for the decision.</w:t>
      </w:r>
    </w:p>
    <w:p w14:paraId="0A1D4977" w14:textId="77777777" w:rsidR="00C72456" w:rsidRPr="002D17A1" w:rsidRDefault="00C72456" w:rsidP="002D17A1">
      <w:pPr>
        <w:rPr>
          <w:rFonts w:cs="Arial"/>
          <w:bCs/>
        </w:rPr>
      </w:pPr>
    </w:p>
    <w:p w14:paraId="630FAEBE" w14:textId="7967F380" w:rsidR="002D17A1" w:rsidRDefault="005959D6" w:rsidP="005959D6">
      <w:pPr>
        <w:pStyle w:val="Body"/>
        <w:spacing w:line="360" w:lineRule="auto"/>
        <w:ind w:left="851" w:hanging="851"/>
        <w:jc w:val="both"/>
        <w:rPr>
          <w:rFonts w:cs="Arial"/>
          <w:bCs/>
          <w:sz w:val="24"/>
          <w:szCs w:val="24"/>
        </w:rPr>
      </w:pPr>
      <w:r>
        <w:rPr>
          <w:rFonts w:cs="Arial"/>
          <w:sz w:val="24"/>
          <w:szCs w:val="24"/>
        </w:rPr>
        <w:t>[12]</w:t>
      </w:r>
      <w:r>
        <w:rPr>
          <w:rFonts w:cs="Arial"/>
          <w:sz w:val="24"/>
          <w:szCs w:val="24"/>
        </w:rPr>
        <w:tab/>
      </w:r>
      <w:r w:rsidR="002D17A1">
        <w:rPr>
          <w:rFonts w:cs="Arial"/>
          <w:bCs/>
          <w:sz w:val="24"/>
          <w:szCs w:val="24"/>
        </w:rPr>
        <w:t>It is self-evident that if the LPC had communicated its decision to the applicant within a reasonable period of time, after he had lodged the Cession for registration, the present urgent application may have been avoided.  The urgency in the present matter arises in direct consequence of the conduct of the LPC.  It is the Regulator of the Legal Profession and the party to whom the applicant looks for guidance for professional conduct.  For the applicant, the present matter is no mere legal skirmish.  The outcome of this application informs whether or not he is even able to approach the Court for admission.</w:t>
      </w:r>
    </w:p>
    <w:p w14:paraId="3FBB3C95" w14:textId="77777777" w:rsidR="002D17A1" w:rsidRDefault="002D17A1" w:rsidP="002D17A1">
      <w:pPr>
        <w:pStyle w:val="ListParagraph"/>
        <w:rPr>
          <w:rFonts w:cs="Arial"/>
          <w:bCs/>
        </w:rPr>
      </w:pPr>
    </w:p>
    <w:p w14:paraId="30A186C0" w14:textId="78B2AB71" w:rsidR="002D17A1" w:rsidRDefault="005959D6" w:rsidP="005959D6">
      <w:pPr>
        <w:pStyle w:val="Body"/>
        <w:spacing w:line="360" w:lineRule="auto"/>
        <w:ind w:left="851" w:hanging="851"/>
        <w:jc w:val="both"/>
        <w:rPr>
          <w:rFonts w:cs="Arial"/>
          <w:bCs/>
          <w:sz w:val="24"/>
          <w:szCs w:val="24"/>
        </w:rPr>
      </w:pPr>
      <w:r>
        <w:rPr>
          <w:rFonts w:cs="Arial"/>
          <w:sz w:val="24"/>
          <w:szCs w:val="24"/>
        </w:rPr>
        <w:t>[13]</w:t>
      </w:r>
      <w:r>
        <w:rPr>
          <w:rFonts w:cs="Arial"/>
          <w:sz w:val="24"/>
          <w:szCs w:val="24"/>
        </w:rPr>
        <w:tab/>
      </w:r>
      <w:r w:rsidR="002D17A1">
        <w:rPr>
          <w:rFonts w:cs="Arial"/>
          <w:bCs/>
          <w:sz w:val="24"/>
          <w:szCs w:val="24"/>
        </w:rPr>
        <w:t xml:space="preserve">In </w:t>
      </w:r>
      <w:r w:rsidR="002D17A1" w:rsidRPr="005545BD">
        <w:rPr>
          <w:rFonts w:cs="Arial"/>
          <w:bCs/>
          <w:i/>
          <w:sz w:val="24"/>
          <w:szCs w:val="24"/>
        </w:rPr>
        <w:t>Affordable Medicines Trust and Others v Minister of Health of RSA and Another</w:t>
      </w:r>
      <w:r w:rsidR="002D17A1">
        <w:rPr>
          <w:rStyle w:val="FootnoteReference"/>
          <w:rFonts w:cs="Arial"/>
          <w:bCs/>
          <w:sz w:val="24"/>
          <w:szCs w:val="24"/>
        </w:rPr>
        <w:footnoteReference w:id="3"/>
      </w:r>
      <w:r w:rsidR="004A15A0">
        <w:rPr>
          <w:rFonts w:cs="Arial"/>
          <w:bCs/>
          <w:sz w:val="24"/>
          <w:szCs w:val="24"/>
        </w:rPr>
        <w:t>, it was held:</w:t>
      </w:r>
    </w:p>
    <w:p w14:paraId="7CF5D689" w14:textId="77777777" w:rsidR="004A15A0" w:rsidRDefault="004A15A0" w:rsidP="004A15A0">
      <w:pPr>
        <w:pStyle w:val="ListParagraph"/>
        <w:rPr>
          <w:rFonts w:cs="Arial"/>
          <w:bCs/>
        </w:rPr>
      </w:pPr>
    </w:p>
    <w:p w14:paraId="2ADD9336" w14:textId="7B1EEB3E" w:rsidR="004A15A0" w:rsidRPr="004A15A0" w:rsidRDefault="004A15A0" w:rsidP="004A15A0">
      <w:pPr>
        <w:pStyle w:val="Body"/>
        <w:spacing w:line="360" w:lineRule="auto"/>
        <w:ind w:left="1440"/>
        <w:jc w:val="both"/>
        <w:rPr>
          <w:rFonts w:cs="Arial"/>
          <w:bCs/>
          <w:i/>
          <w:iCs/>
          <w:sz w:val="22"/>
          <w:szCs w:val="22"/>
        </w:rPr>
      </w:pPr>
      <w:r w:rsidRPr="004A15A0">
        <w:rPr>
          <w:rFonts w:cs="Arial"/>
          <w:bCs/>
          <w:i/>
          <w:iCs/>
          <w:sz w:val="22"/>
          <w:szCs w:val="22"/>
        </w:rPr>
        <w:t xml:space="preserve">“What is at stake is more than one’s right to earn a living, important though that is.  Freedom to choose a vocation is intrinsic to the nature of a society based on human dignity as contemplated by the Constitution.  One’s work is part of one’s identity and is constitutive of one’s dignity.  Every individual has a right to take up any activity which he or she believes himself or herself prepared to undertake as a profession and to make that activity the very basis of his or her life.  And there is a relationship between work and the human personality as a whole. </w:t>
      </w:r>
      <w:r w:rsidR="004202FD">
        <w:rPr>
          <w:rFonts w:cs="Arial"/>
          <w:bCs/>
          <w:i/>
          <w:iCs/>
          <w:sz w:val="22"/>
          <w:szCs w:val="22"/>
        </w:rPr>
        <w:t>‘</w:t>
      </w:r>
      <w:r w:rsidRPr="004A15A0">
        <w:rPr>
          <w:rFonts w:cs="Arial"/>
          <w:bCs/>
          <w:i/>
          <w:iCs/>
          <w:sz w:val="22"/>
          <w:szCs w:val="22"/>
        </w:rPr>
        <w:t>it is a relationship that shapes and completes the individual over a lifetime of devoted activity; it is the foundation of a person’s existence</w:t>
      </w:r>
      <w:r w:rsidR="004202FD">
        <w:rPr>
          <w:rFonts w:cs="Arial"/>
          <w:bCs/>
          <w:i/>
          <w:iCs/>
          <w:sz w:val="22"/>
          <w:szCs w:val="22"/>
        </w:rPr>
        <w:t>’</w:t>
      </w:r>
      <w:r w:rsidRPr="004A15A0">
        <w:rPr>
          <w:rFonts w:cs="Arial"/>
          <w:bCs/>
          <w:i/>
          <w:iCs/>
          <w:sz w:val="22"/>
          <w:szCs w:val="22"/>
        </w:rPr>
        <w:t>”.</w:t>
      </w:r>
    </w:p>
    <w:p w14:paraId="5E8C5DE8" w14:textId="38A0BA13" w:rsidR="002D17A1" w:rsidRDefault="002D17A1" w:rsidP="002D17A1">
      <w:pPr>
        <w:pStyle w:val="ListParagraph"/>
        <w:rPr>
          <w:rFonts w:cs="Arial"/>
          <w:bCs/>
        </w:rPr>
      </w:pPr>
    </w:p>
    <w:p w14:paraId="090F32D6" w14:textId="271DFD9B" w:rsidR="00AF2488" w:rsidRDefault="00AF2488" w:rsidP="002D17A1">
      <w:pPr>
        <w:pStyle w:val="ListParagraph"/>
        <w:rPr>
          <w:rFonts w:cs="Arial"/>
          <w:bCs/>
        </w:rPr>
      </w:pPr>
    </w:p>
    <w:p w14:paraId="4496F02F" w14:textId="77777777" w:rsidR="00AF2488" w:rsidRDefault="00AF2488" w:rsidP="002D17A1">
      <w:pPr>
        <w:pStyle w:val="ListParagraph"/>
        <w:rPr>
          <w:rFonts w:cs="Arial"/>
          <w:bCs/>
        </w:rPr>
      </w:pPr>
    </w:p>
    <w:p w14:paraId="18D677C7" w14:textId="2F3E00D5" w:rsidR="004A15A0" w:rsidRDefault="005959D6" w:rsidP="005959D6">
      <w:pPr>
        <w:pStyle w:val="Body"/>
        <w:spacing w:line="360" w:lineRule="auto"/>
        <w:ind w:left="851" w:hanging="851"/>
        <w:jc w:val="both"/>
        <w:rPr>
          <w:rFonts w:cs="Arial"/>
          <w:bCs/>
          <w:sz w:val="24"/>
          <w:szCs w:val="24"/>
        </w:rPr>
      </w:pPr>
      <w:r>
        <w:rPr>
          <w:rFonts w:cs="Arial"/>
          <w:sz w:val="24"/>
          <w:szCs w:val="24"/>
        </w:rPr>
        <w:lastRenderedPageBreak/>
        <w:t>[14]</w:t>
      </w:r>
      <w:r>
        <w:rPr>
          <w:rFonts w:cs="Arial"/>
          <w:sz w:val="24"/>
          <w:szCs w:val="24"/>
        </w:rPr>
        <w:tab/>
      </w:r>
      <w:r w:rsidR="004A15A0">
        <w:rPr>
          <w:rFonts w:cs="Arial"/>
          <w:bCs/>
          <w:sz w:val="24"/>
          <w:szCs w:val="24"/>
        </w:rPr>
        <w:t xml:space="preserve">The applicant finds himself before the Court in direct consequence of the conduct of the LPC and given </w:t>
      </w:r>
      <w:r w:rsidR="00FB1DB5">
        <w:rPr>
          <w:rFonts w:cs="Arial"/>
          <w:bCs/>
          <w:sz w:val="24"/>
          <w:szCs w:val="24"/>
        </w:rPr>
        <w:t>what is at stake for him, I find that the matter is indeed urgent.</w:t>
      </w:r>
    </w:p>
    <w:p w14:paraId="4043C1AD" w14:textId="77777777" w:rsidR="00FB1DB5" w:rsidRDefault="00FB1DB5" w:rsidP="00FB1DB5">
      <w:pPr>
        <w:pStyle w:val="Body"/>
        <w:spacing w:line="360" w:lineRule="auto"/>
        <w:ind w:left="851"/>
        <w:jc w:val="both"/>
        <w:rPr>
          <w:rFonts w:cs="Arial"/>
          <w:bCs/>
          <w:sz w:val="24"/>
          <w:szCs w:val="24"/>
        </w:rPr>
      </w:pPr>
    </w:p>
    <w:p w14:paraId="58747A90" w14:textId="76477AC6" w:rsidR="00E04C49" w:rsidRPr="00D06AF3" w:rsidRDefault="005959D6" w:rsidP="005959D6">
      <w:pPr>
        <w:pStyle w:val="Body"/>
        <w:spacing w:line="360" w:lineRule="auto"/>
        <w:ind w:left="851" w:hanging="851"/>
        <w:jc w:val="both"/>
        <w:rPr>
          <w:rFonts w:cs="Arial"/>
          <w:bCs/>
        </w:rPr>
      </w:pPr>
      <w:r w:rsidRPr="00D06AF3">
        <w:rPr>
          <w:rFonts w:cs="Arial"/>
          <w:sz w:val="24"/>
          <w:szCs w:val="24"/>
        </w:rPr>
        <w:t>[15]</w:t>
      </w:r>
      <w:r w:rsidRPr="00D06AF3">
        <w:rPr>
          <w:rFonts w:cs="Arial"/>
          <w:sz w:val="24"/>
          <w:szCs w:val="24"/>
        </w:rPr>
        <w:tab/>
      </w:r>
      <w:r w:rsidR="00C72456" w:rsidRPr="00D06AF3">
        <w:rPr>
          <w:rFonts w:cs="Arial"/>
          <w:bCs/>
          <w:sz w:val="24"/>
          <w:szCs w:val="24"/>
        </w:rPr>
        <w:t>The crisp issue to be decided in this application is whether or not the LPC was entitled to refuse</w:t>
      </w:r>
      <w:r w:rsidR="00D06AF3" w:rsidRPr="00D06AF3">
        <w:rPr>
          <w:rFonts w:cs="Arial"/>
          <w:bCs/>
          <w:sz w:val="24"/>
          <w:szCs w:val="24"/>
        </w:rPr>
        <w:t xml:space="preserve"> to register</w:t>
      </w:r>
      <w:r w:rsidR="00C72456" w:rsidRPr="00D06AF3">
        <w:rPr>
          <w:rFonts w:cs="Arial"/>
          <w:bCs/>
          <w:sz w:val="24"/>
          <w:szCs w:val="24"/>
        </w:rPr>
        <w:t xml:space="preserve"> the Cession of the applicant’s PVT Contract from Mr. Mkhabela to Mr.</w:t>
      </w:r>
      <w:r w:rsidR="003F04AB" w:rsidRPr="00D06AF3">
        <w:rPr>
          <w:rFonts w:cs="Arial"/>
          <w:bCs/>
          <w:sz w:val="24"/>
          <w:szCs w:val="24"/>
        </w:rPr>
        <w:t xml:space="preserve"> </w:t>
      </w:r>
      <w:r w:rsidR="00C72456" w:rsidRPr="00D06AF3">
        <w:rPr>
          <w:rFonts w:cs="Arial"/>
          <w:bCs/>
          <w:sz w:val="24"/>
          <w:szCs w:val="24"/>
        </w:rPr>
        <w:t>Diaho</w:t>
      </w:r>
      <w:r w:rsidR="00351511" w:rsidRPr="00D06AF3">
        <w:rPr>
          <w:rFonts w:cs="Arial"/>
          <w:bCs/>
          <w:sz w:val="24"/>
          <w:szCs w:val="24"/>
        </w:rPr>
        <w:t xml:space="preserve"> and following on from this, whether or not, having regard to the evident </w:t>
      </w:r>
      <w:r w:rsidR="00351511" w:rsidRPr="00D06AF3">
        <w:rPr>
          <w:rFonts w:cs="Arial"/>
          <w:bCs/>
          <w:i/>
          <w:iCs/>
          <w:sz w:val="22"/>
          <w:szCs w:val="22"/>
        </w:rPr>
        <w:t>“break in service”</w:t>
      </w:r>
      <w:r w:rsidR="00351511" w:rsidRPr="00D06AF3">
        <w:rPr>
          <w:rFonts w:cs="Arial"/>
          <w:bCs/>
          <w:sz w:val="22"/>
          <w:szCs w:val="22"/>
        </w:rPr>
        <w:t xml:space="preserve"> </w:t>
      </w:r>
      <w:r w:rsidR="00351511" w:rsidRPr="00D06AF3">
        <w:rPr>
          <w:rFonts w:cs="Arial"/>
          <w:bCs/>
          <w:sz w:val="24"/>
          <w:szCs w:val="24"/>
        </w:rPr>
        <w:t xml:space="preserve">of 2 weeks </w:t>
      </w:r>
      <w:r w:rsidR="00D06AF3" w:rsidRPr="00D06AF3">
        <w:rPr>
          <w:rFonts w:cs="Arial"/>
          <w:bCs/>
          <w:sz w:val="24"/>
          <w:szCs w:val="24"/>
        </w:rPr>
        <w:t>it was entitled to do so.</w:t>
      </w:r>
    </w:p>
    <w:p w14:paraId="4F5DC5C8" w14:textId="77777777" w:rsidR="00D06AF3" w:rsidRDefault="00D06AF3" w:rsidP="00D06AF3">
      <w:pPr>
        <w:pStyle w:val="ListParagraph"/>
        <w:rPr>
          <w:rFonts w:cs="Arial"/>
          <w:bCs/>
        </w:rPr>
      </w:pPr>
    </w:p>
    <w:p w14:paraId="5E5E665C" w14:textId="7692BC1C" w:rsidR="00E04C49" w:rsidRPr="00D06AF3" w:rsidRDefault="005959D6" w:rsidP="005959D6">
      <w:pPr>
        <w:pStyle w:val="Body"/>
        <w:spacing w:line="360" w:lineRule="auto"/>
        <w:ind w:left="851" w:hanging="851"/>
        <w:jc w:val="both"/>
        <w:rPr>
          <w:rFonts w:cs="Arial"/>
          <w:bCs/>
        </w:rPr>
      </w:pPr>
      <w:r w:rsidRPr="00D06AF3">
        <w:rPr>
          <w:rFonts w:cs="Arial"/>
          <w:sz w:val="24"/>
          <w:szCs w:val="24"/>
        </w:rPr>
        <w:t>[16]</w:t>
      </w:r>
      <w:r w:rsidRPr="00D06AF3">
        <w:rPr>
          <w:rFonts w:cs="Arial"/>
          <w:sz w:val="24"/>
          <w:szCs w:val="24"/>
        </w:rPr>
        <w:tab/>
      </w:r>
      <w:r w:rsidR="00E258E8" w:rsidRPr="00D06AF3">
        <w:rPr>
          <w:rFonts w:cs="Arial"/>
          <w:bCs/>
          <w:sz w:val="24"/>
          <w:szCs w:val="24"/>
        </w:rPr>
        <w:t>Rule 22.1.6</w:t>
      </w:r>
      <w:r w:rsidR="00E258E8">
        <w:rPr>
          <w:rStyle w:val="FootnoteReference"/>
          <w:rFonts w:cs="Arial"/>
          <w:bCs/>
          <w:sz w:val="24"/>
          <w:szCs w:val="24"/>
        </w:rPr>
        <w:footnoteReference w:id="4"/>
      </w:r>
      <w:r w:rsidR="00E04C49">
        <w:t xml:space="preserve">, </w:t>
      </w:r>
      <w:r w:rsidR="00E04C49" w:rsidRPr="00D06AF3">
        <w:rPr>
          <w:sz w:val="24"/>
          <w:szCs w:val="24"/>
        </w:rPr>
        <w:t>the rule provides</w:t>
      </w:r>
      <w:r w:rsidR="00E04C49">
        <w:t>:</w:t>
      </w:r>
    </w:p>
    <w:p w14:paraId="56E86B90" w14:textId="77777777" w:rsidR="00315D7C" w:rsidRDefault="00315D7C" w:rsidP="00807D6E">
      <w:pPr>
        <w:pStyle w:val="FootnoteText"/>
        <w:spacing w:line="360" w:lineRule="auto"/>
        <w:rPr>
          <w:rFonts w:ascii="Arial" w:hAnsi="Arial" w:cs="Arial"/>
        </w:rPr>
      </w:pPr>
    </w:p>
    <w:p w14:paraId="614366A9" w14:textId="643B39BD" w:rsidR="00315D7C" w:rsidRDefault="00315D7C" w:rsidP="00807D6E">
      <w:pPr>
        <w:pStyle w:val="FootnoteText"/>
        <w:spacing w:line="360" w:lineRule="auto"/>
        <w:ind w:left="1701" w:hanging="850"/>
        <w:jc w:val="both"/>
        <w:rPr>
          <w:rFonts w:ascii="Arial" w:hAnsi="Arial" w:cs="Arial"/>
        </w:rPr>
      </w:pPr>
      <w:r>
        <w:rPr>
          <w:rFonts w:ascii="Arial" w:hAnsi="Arial" w:cs="Arial"/>
        </w:rPr>
        <w:t>[1</w:t>
      </w:r>
      <w:r w:rsidR="00D06AF3">
        <w:rPr>
          <w:rFonts w:ascii="Arial" w:hAnsi="Arial" w:cs="Arial"/>
        </w:rPr>
        <w:t>6</w:t>
      </w:r>
      <w:r>
        <w:rPr>
          <w:rFonts w:ascii="Arial" w:hAnsi="Arial" w:cs="Arial"/>
        </w:rPr>
        <w:t>.1]</w:t>
      </w:r>
      <w:r>
        <w:rPr>
          <w:rFonts w:ascii="Arial" w:hAnsi="Arial" w:cs="Arial"/>
        </w:rPr>
        <w:tab/>
      </w:r>
      <w:r w:rsidR="00E04C49" w:rsidRPr="001C10BA">
        <w:rPr>
          <w:rFonts w:ascii="Arial" w:hAnsi="Arial" w:cs="Arial"/>
        </w:rPr>
        <w:t>In terms of rule 22.1.6.1 that a practical vocational training contract may with the consent of the principal and the candidate attorney concerned be ceded to any other principal willing to accept such cession;</w:t>
      </w:r>
    </w:p>
    <w:p w14:paraId="61A6A73F" w14:textId="77777777" w:rsidR="00315D7C" w:rsidRDefault="00315D7C" w:rsidP="00315D7C">
      <w:pPr>
        <w:pStyle w:val="FootnoteText"/>
        <w:ind w:left="1701" w:hanging="850"/>
        <w:jc w:val="both"/>
        <w:rPr>
          <w:rFonts w:ascii="Arial" w:hAnsi="Arial" w:cs="Arial"/>
        </w:rPr>
      </w:pPr>
    </w:p>
    <w:p w14:paraId="64F845F8" w14:textId="08235DD2" w:rsidR="00315D7C" w:rsidRDefault="00315D7C" w:rsidP="00807D6E">
      <w:pPr>
        <w:pStyle w:val="FootnoteText"/>
        <w:spacing w:line="360" w:lineRule="auto"/>
        <w:ind w:left="1701" w:hanging="850"/>
        <w:jc w:val="both"/>
        <w:rPr>
          <w:rFonts w:ascii="Arial" w:hAnsi="Arial" w:cs="Arial"/>
        </w:rPr>
      </w:pPr>
      <w:r>
        <w:rPr>
          <w:rFonts w:ascii="Arial" w:hAnsi="Arial" w:cs="Arial"/>
        </w:rPr>
        <w:t>[1</w:t>
      </w:r>
      <w:r w:rsidR="00D06AF3">
        <w:rPr>
          <w:rFonts w:ascii="Arial" w:hAnsi="Arial" w:cs="Arial"/>
        </w:rPr>
        <w:t>6</w:t>
      </w:r>
      <w:r>
        <w:rPr>
          <w:rFonts w:ascii="Arial" w:hAnsi="Arial" w:cs="Arial"/>
        </w:rPr>
        <w:t>.2]</w:t>
      </w:r>
      <w:r>
        <w:rPr>
          <w:rFonts w:ascii="Arial" w:hAnsi="Arial" w:cs="Arial"/>
        </w:rPr>
        <w:tab/>
      </w:r>
      <w:r w:rsidR="00B535E6" w:rsidRPr="001C10BA">
        <w:rPr>
          <w:rFonts w:ascii="Arial" w:hAnsi="Arial" w:cs="Arial"/>
        </w:rPr>
        <w:t>In terms of rule 22.1.6.2, t</w:t>
      </w:r>
      <w:r w:rsidR="00E04C49" w:rsidRPr="001C10BA">
        <w:rPr>
          <w:rFonts w:ascii="Arial" w:hAnsi="Arial" w:cs="Arial"/>
        </w:rPr>
        <w:t xml:space="preserve">hat in the event of the death, mental illness, insolvency, conviction of a crime, suspension from practice, striking off the roll or discontinuation of practice of the principal under whom the candidate attorney is serving, or the debarring of that principal from engaging or continuing to engage a candidate attorney, </w:t>
      </w:r>
      <w:r w:rsidR="00E04C49" w:rsidRPr="001C10BA">
        <w:rPr>
          <w:rFonts w:ascii="Arial" w:hAnsi="Arial" w:cs="Arial"/>
          <w:u w:val="single"/>
        </w:rPr>
        <w:t>or any other cause</w:t>
      </w:r>
      <w:r w:rsidR="00E04C49" w:rsidRPr="001C10BA">
        <w:rPr>
          <w:rFonts w:ascii="Arial" w:hAnsi="Arial" w:cs="Arial"/>
        </w:rPr>
        <w:t>, direct that the practical vocational training contract concerned be ceded to any other principal willing to accept such cession, and all service completed under the ceded contract shall be effective for purposes of the Act and the rules.</w:t>
      </w:r>
    </w:p>
    <w:p w14:paraId="79CEB6E7" w14:textId="77777777" w:rsidR="00315D7C" w:rsidRDefault="00315D7C" w:rsidP="00807D6E">
      <w:pPr>
        <w:pStyle w:val="FootnoteText"/>
        <w:spacing w:line="360" w:lineRule="auto"/>
        <w:ind w:left="1701" w:hanging="850"/>
        <w:jc w:val="both"/>
        <w:rPr>
          <w:rFonts w:ascii="Arial" w:hAnsi="Arial" w:cs="Arial"/>
        </w:rPr>
      </w:pPr>
    </w:p>
    <w:p w14:paraId="680D7172" w14:textId="6E0A1215" w:rsidR="00315D7C" w:rsidRDefault="00315D7C" w:rsidP="00807D6E">
      <w:pPr>
        <w:pStyle w:val="FootnoteText"/>
        <w:spacing w:line="360" w:lineRule="auto"/>
        <w:ind w:left="1701" w:hanging="850"/>
        <w:jc w:val="both"/>
        <w:rPr>
          <w:rFonts w:ascii="Arial" w:hAnsi="Arial" w:cs="Arial"/>
        </w:rPr>
      </w:pPr>
      <w:r>
        <w:rPr>
          <w:rFonts w:ascii="Arial" w:hAnsi="Arial" w:cs="Arial"/>
        </w:rPr>
        <w:t>[1</w:t>
      </w:r>
      <w:r w:rsidR="00D06AF3">
        <w:rPr>
          <w:rFonts w:ascii="Arial" w:hAnsi="Arial" w:cs="Arial"/>
        </w:rPr>
        <w:t>6</w:t>
      </w:r>
      <w:r>
        <w:rPr>
          <w:rFonts w:ascii="Arial" w:hAnsi="Arial" w:cs="Arial"/>
        </w:rPr>
        <w:t>.3]</w:t>
      </w:r>
      <w:r>
        <w:rPr>
          <w:rFonts w:ascii="Arial" w:hAnsi="Arial" w:cs="Arial"/>
        </w:rPr>
        <w:tab/>
      </w:r>
      <w:r w:rsidR="00B535E6" w:rsidRPr="001C10BA">
        <w:rPr>
          <w:rFonts w:ascii="Arial" w:hAnsi="Arial" w:cs="Arial"/>
        </w:rPr>
        <w:t xml:space="preserve">In terms of rule 22.1.6.4, that an agreement for the cession of a practical vocational training contract shall be registered within 2 months from the date on which the service of the candidate attorney concerned </w:t>
      </w:r>
      <w:r w:rsidR="00B535E6" w:rsidRPr="001C10BA">
        <w:rPr>
          <w:rFonts w:ascii="Arial" w:hAnsi="Arial" w:cs="Arial"/>
          <w:u w:val="single"/>
        </w:rPr>
        <w:t>may have terminated</w:t>
      </w:r>
      <w:r w:rsidR="00B535E6" w:rsidRPr="001C10BA">
        <w:rPr>
          <w:rFonts w:ascii="Arial" w:hAnsi="Arial" w:cs="Arial"/>
        </w:rPr>
        <w:t xml:space="preserve"> with the cedent, or within such further period as a court on good cause would allow.</w:t>
      </w:r>
    </w:p>
    <w:p w14:paraId="55C6EBA3" w14:textId="77777777" w:rsidR="00315D7C" w:rsidRDefault="00315D7C" w:rsidP="00807D6E">
      <w:pPr>
        <w:pStyle w:val="FootnoteText"/>
        <w:spacing w:line="360" w:lineRule="auto"/>
        <w:ind w:left="1701" w:hanging="850"/>
        <w:jc w:val="both"/>
        <w:rPr>
          <w:rFonts w:ascii="Arial" w:hAnsi="Arial" w:cs="Arial"/>
        </w:rPr>
      </w:pPr>
    </w:p>
    <w:p w14:paraId="00781A3E" w14:textId="19416A20" w:rsidR="00B535E6" w:rsidRDefault="00315D7C" w:rsidP="00807D6E">
      <w:pPr>
        <w:pStyle w:val="FootnoteText"/>
        <w:spacing w:line="360" w:lineRule="auto"/>
        <w:ind w:left="1701" w:hanging="850"/>
        <w:jc w:val="both"/>
        <w:rPr>
          <w:rFonts w:ascii="Arial" w:hAnsi="Arial" w:cs="Arial"/>
        </w:rPr>
      </w:pPr>
      <w:r>
        <w:rPr>
          <w:rFonts w:ascii="Arial" w:hAnsi="Arial" w:cs="Arial"/>
        </w:rPr>
        <w:lastRenderedPageBreak/>
        <w:t>[1</w:t>
      </w:r>
      <w:r w:rsidR="00D06AF3">
        <w:rPr>
          <w:rFonts w:ascii="Arial" w:hAnsi="Arial" w:cs="Arial"/>
        </w:rPr>
        <w:t>6</w:t>
      </w:r>
      <w:r>
        <w:rPr>
          <w:rFonts w:ascii="Arial" w:hAnsi="Arial" w:cs="Arial"/>
        </w:rPr>
        <w:t>.4]</w:t>
      </w:r>
      <w:r>
        <w:rPr>
          <w:rFonts w:ascii="Arial" w:hAnsi="Arial" w:cs="Arial"/>
        </w:rPr>
        <w:tab/>
      </w:r>
      <w:r w:rsidR="00B535E6" w:rsidRPr="001C10BA">
        <w:rPr>
          <w:rFonts w:ascii="Arial" w:hAnsi="Arial" w:cs="Arial"/>
        </w:rPr>
        <w:t>In terms of rule 22.1.6.4, besides providing for the time period within which the cession is to be lodged, provides further:</w:t>
      </w:r>
    </w:p>
    <w:p w14:paraId="3726863E" w14:textId="77777777" w:rsidR="00315D7C" w:rsidRPr="001C10BA" w:rsidRDefault="00315D7C" w:rsidP="00807D6E">
      <w:pPr>
        <w:pStyle w:val="FootnoteText"/>
        <w:spacing w:line="360" w:lineRule="auto"/>
        <w:ind w:left="1701" w:hanging="850"/>
        <w:jc w:val="both"/>
        <w:rPr>
          <w:rFonts w:ascii="Arial" w:hAnsi="Arial" w:cs="Arial"/>
        </w:rPr>
      </w:pPr>
    </w:p>
    <w:p w14:paraId="127F9E5B" w14:textId="40A1A012" w:rsidR="00B535E6" w:rsidRDefault="00315D7C" w:rsidP="00807D6E">
      <w:pPr>
        <w:pStyle w:val="FootnoteText"/>
        <w:spacing w:line="360" w:lineRule="auto"/>
        <w:ind w:left="2835" w:hanging="1134"/>
        <w:jc w:val="both"/>
        <w:rPr>
          <w:rFonts w:ascii="Arial" w:hAnsi="Arial" w:cs="Arial"/>
        </w:rPr>
      </w:pPr>
      <w:r>
        <w:rPr>
          <w:rFonts w:ascii="Arial" w:hAnsi="Arial" w:cs="Arial"/>
        </w:rPr>
        <w:t>[1</w:t>
      </w:r>
      <w:r w:rsidR="00D06AF3">
        <w:rPr>
          <w:rFonts w:ascii="Arial" w:hAnsi="Arial" w:cs="Arial"/>
        </w:rPr>
        <w:t>6</w:t>
      </w:r>
      <w:r>
        <w:rPr>
          <w:rFonts w:ascii="Arial" w:hAnsi="Arial" w:cs="Arial"/>
        </w:rPr>
        <w:t>.4</w:t>
      </w:r>
      <w:r w:rsidR="00B535E6" w:rsidRPr="001C10BA">
        <w:rPr>
          <w:rFonts w:ascii="Arial" w:hAnsi="Arial" w:cs="Arial"/>
        </w:rPr>
        <w:t>.1</w:t>
      </w:r>
      <w:r>
        <w:rPr>
          <w:rFonts w:ascii="Arial" w:hAnsi="Arial" w:cs="Arial"/>
        </w:rPr>
        <w:t>]</w:t>
      </w:r>
      <w:r w:rsidR="00B535E6" w:rsidRPr="001C10BA">
        <w:rPr>
          <w:rFonts w:ascii="Arial" w:hAnsi="Arial" w:cs="Arial"/>
        </w:rPr>
        <w:tab/>
        <w:t>in terms of rule 22.1.6.4.1 that an affidavit be lodged by the cedent stating whether the provisions of the Act and rules relating to the service of the candidate attorney with him were complied with and the date of on which</w:t>
      </w:r>
      <w:r w:rsidR="00C5432E" w:rsidRPr="001C10BA">
        <w:rPr>
          <w:rFonts w:ascii="Arial" w:hAnsi="Arial" w:cs="Arial"/>
        </w:rPr>
        <w:t xml:space="preserve"> such candidate’s services were terminated and;</w:t>
      </w:r>
    </w:p>
    <w:p w14:paraId="040D6F62" w14:textId="77777777" w:rsidR="00807D6E" w:rsidRDefault="00807D6E" w:rsidP="00807D6E">
      <w:pPr>
        <w:pStyle w:val="FootnoteText"/>
        <w:spacing w:line="360" w:lineRule="auto"/>
        <w:ind w:left="2835" w:hanging="1134"/>
        <w:jc w:val="both"/>
        <w:rPr>
          <w:rFonts w:ascii="Arial" w:hAnsi="Arial" w:cs="Arial"/>
        </w:rPr>
      </w:pPr>
    </w:p>
    <w:p w14:paraId="6D004AFF" w14:textId="32840069" w:rsidR="00C5432E" w:rsidRPr="001C10BA" w:rsidRDefault="00807D6E" w:rsidP="00807D6E">
      <w:pPr>
        <w:pStyle w:val="FootnoteText"/>
        <w:spacing w:line="360" w:lineRule="auto"/>
        <w:ind w:left="2835" w:hanging="1134"/>
        <w:jc w:val="both"/>
        <w:rPr>
          <w:rFonts w:ascii="Arial" w:hAnsi="Arial" w:cs="Arial"/>
        </w:rPr>
      </w:pPr>
      <w:r>
        <w:rPr>
          <w:rFonts w:ascii="Arial" w:hAnsi="Arial" w:cs="Arial"/>
        </w:rPr>
        <w:t>[1</w:t>
      </w:r>
      <w:r w:rsidR="00D06AF3">
        <w:rPr>
          <w:rFonts w:ascii="Arial" w:hAnsi="Arial" w:cs="Arial"/>
        </w:rPr>
        <w:t>6</w:t>
      </w:r>
      <w:r>
        <w:rPr>
          <w:rFonts w:ascii="Arial" w:hAnsi="Arial" w:cs="Arial"/>
        </w:rPr>
        <w:t>.4.2]</w:t>
      </w:r>
      <w:r>
        <w:rPr>
          <w:rFonts w:ascii="Arial" w:hAnsi="Arial" w:cs="Arial"/>
        </w:rPr>
        <w:tab/>
      </w:r>
      <w:r w:rsidR="00C5432E" w:rsidRPr="001C10BA">
        <w:rPr>
          <w:rFonts w:ascii="Arial" w:hAnsi="Arial" w:cs="Arial"/>
        </w:rPr>
        <w:t>in terms of rule 22.1.6.4.2 an affidavit by the cessionary stating the date on which the candidate attorney assumed duty with the cessionary.</w:t>
      </w:r>
    </w:p>
    <w:p w14:paraId="00FEB007" w14:textId="77777777" w:rsidR="00C5432E" w:rsidRDefault="00C5432E" w:rsidP="00B535E6">
      <w:pPr>
        <w:pStyle w:val="FootnoteText"/>
        <w:ind w:left="720"/>
      </w:pPr>
    </w:p>
    <w:p w14:paraId="730B4891" w14:textId="1DFC63F0" w:rsidR="00351511" w:rsidRDefault="005959D6" w:rsidP="005959D6">
      <w:pPr>
        <w:pStyle w:val="Body"/>
        <w:spacing w:line="360" w:lineRule="auto"/>
        <w:ind w:left="851" w:hanging="851"/>
        <w:jc w:val="both"/>
        <w:rPr>
          <w:rFonts w:cs="Arial"/>
          <w:bCs/>
          <w:sz w:val="24"/>
          <w:szCs w:val="24"/>
        </w:rPr>
      </w:pPr>
      <w:r>
        <w:rPr>
          <w:rFonts w:cs="Arial"/>
          <w:sz w:val="24"/>
          <w:szCs w:val="24"/>
        </w:rPr>
        <w:t>[17]</w:t>
      </w:r>
      <w:r>
        <w:rPr>
          <w:rFonts w:cs="Arial"/>
          <w:sz w:val="24"/>
          <w:szCs w:val="24"/>
        </w:rPr>
        <w:tab/>
      </w:r>
      <w:r w:rsidR="00C5432E">
        <w:rPr>
          <w:rFonts w:cs="Arial"/>
          <w:bCs/>
          <w:sz w:val="24"/>
          <w:szCs w:val="24"/>
        </w:rPr>
        <w:t>Insofar as the obligations of the LPC are concerned once they have received the cession agreement and affidavit, rule 22.1.6.5.1 requires it to examine the agreement and affidavits (referred to in rule 22.1.6.4) and; in terms of rule 22.1.6.5.2. if it is satisfied that the cession is in order and it has no objection thereto, to register the cession and notify both the cessionary attorney and the candidate attorney concerned in writing of such registration.</w:t>
      </w:r>
    </w:p>
    <w:p w14:paraId="7CF2612E" w14:textId="77777777" w:rsidR="001C10BA" w:rsidRDefault="001C10BA" w:rsidP="001C10BA">
      <w:pPr>
        <w:pStyle w:val="Body"/>
        <w:spacing w:line="360" w:lineRule="auto"/>
        <w:ind w:left="851"/>
        <w:jc w:val="both"/>
        <w:rPr>
          <w:rFonts w:cs="Arial"/>
          <w:bCs/>
          <w:sz w:val="24"/>
          <w:szCs w:val="24"/>
        </w:rPr>
      </w:pPr>
    </w:p>
    <w:p w14:paraId="6A0CF6F6" w14:textId="363EB040" w:rsidR="00C5432E" w:rsidRDefault="005959D6" w:rsidP="005959D6">
      <w:pPr>
        <w:pStyle w:val="Body"/>
        <w:spacing w:line="360" w:lineRule="auto"/>
        <w:ind w:left="851" w:hanging="851"/>
        <w:jc w:val="both"/>
        <w:rPr>
          <w:rFonts w:cs="Arial"/>
          <w:bCs/>
          <w:sz w:val="24"/>
          <w:szCs w:val="24"/>
        </w:rPr>
      </w:pPr>
      <w:r>
        <w:rPr>
          <w:rFonts w:cs="Arial"/>
          <w:sz w:val="24"/>
          <w:szCs w:val="24"/>
        </w:rPr>
        <w:t>[18]</w:t>
      </w:r>
      <w:r>
        <w:rPr>
          <w:rFonts w:cs="Arial"/>
          <w:sz w:val="24"/>
          <w:szCs w:val="24"/>
        </w:rPr>
        <w:tab/>
      </w:r>
      <w:r w:rsidR="001C10BA">
        <w:rPr>
          <w:rFonts w:cs="Arial"/>
          <w:bCs/>
          <w:sz w:val="24"/>
          <w:szCs w:val="24"/>
        </w:rPr>
        <w:t>Insofar as the requirements set out in rule 22.1.6.4 and 5 are concerned, rule 22.1.6.6 provides that in the circumstances referred to in rule 22.1.6.2</w:t>
      </w:r>
      <w:r w:rsidR="00B64392">
        <w:rPr>
          <w:rFonts w:cs="Arial"/>
          <w:bCs/>
          <w:sz w:val="24"/>
          <w:szCs w:val="24"/>
        </w:rPr>
        <w:t xml:space="preserve"> – where, for the reasons set out in that rule, there is no cedent, provision is made for a third party to sign the affidavit in order to effect the cession.</w:t>
      </w:r>
    </w:p>
    <w:p w14:paraId="632D1216" w14:textId="77777777" w:rsidR="00B64392" w:rsidRDefault="00B64392" w:rsidP="00B64392">
      <w:pPr>
        <w:pStyle w:val="ListParagraph"/>
        <w:rPr>
          <w:rFonts w:cs="Arial"/>
          <w:bCs/>
        </w:rPr>
      </w:pPr>
    </w:p>
    <w:p w14:paraId="6308C9A8" w14:textId="3B2930B7" w:rsidR="00B64392" w:rsidRDefault="005959D6" w:rsidP="005959D6">
      <w:pPr>
        <w:pStyle w:val="Body"/>
        <w:spacing w:line="360" w:lineRule="auto"/>
        <w:ind w:left="851" w:hanging="851"/>
        <w:jc w:val="both"/>
        <w:rPr>
          <w:rFonts w:cs="Arial"/>
          <w:bCs/>
          <w:sz w:val="24"/>
          <w:szCs w:val="24"/>
        </w:rPr>
      </w:pPr>
      <w:r>
        <w:rPr>
          <w:rFonts w:cs="Arial"/>
          <w:sz w:val="24"/>
          <w:szCs w:val="24"/>
        </w:rPr>
        <w:t>[19]</w:t>
      </w:r>
      <w:r>
        <w:rPr>
          <w:rFonts w:cs="Arial"/>
          <w:sz w:val="24"/>
          <w:szCs w:val="24"/>
        </w:rPr>
        <w:tab/>
      </w:r>
      <w:r w:rsidR="00A26D73">
        <w:rPr>
          <w:rFonts w:cs="Arial"/>
          <w:bCs/>
          <w:sz w:val="24"/>
          <w:szCs w:val="24"/>
        </w:rPr>
        <w:t>What is readily apparent from the scheme of the rules is that</w:t>
      </w:r>
      <w:r w:rsidR="00EB7614">
        <w:rPr>
          <w:rFonts w:cs="Arial"/>
          <w:bCs/>
          <w:sz w:val="24"/>
          <w:szCs w:val="24"/>
        </w:rPr>
        <w:t xml:space="preserve"> what is required of the LPC in registering the cession of a PVT Contract is to make sure that the requirements of the rules insofar as the submission of requisite documents referred to in rules</w:t>
      </w:r>
      <w:r w:rsidR="007E4414" w:rsidRPr="007E4414">
        <w:rPr>
          <w:rFonts w:cs="Arial"/>
          <w:bCs/>
          <w:sz w:val="24"/>
          <w:szCs w:val="24"/>
        </w:rPr>
        <w:t xml:space="preserve"> a</w:t>
      </w:r>
      <w:r w:rsidR="00EB7614" w:rsidRPr="007E4414">
        <w:rPr>
          <w:rFonts w:cs="Arial"/>
          <w:bCs/>
          <w:sz w:val="24"/>
          <w:szCs w:val="24"/>
        </w:rPr>
        <w:t>re</w:t>
      </w:r>
      <w:r w:rsidR="00EB7614">
        <w:rPr>
          <w:rFonts w:cs="Arial"/>
          <w:bCs/>
          <w:sz w:val="24"/>
          <w:szCs w:val="24"/>
        </w:rPr>
        <w:t xml:space="preserve"> submitted and properly completed.  Insofar as rule 22.1.6.5 and its sub rules are concerned, the obligation upon the LPC is to ensure that there has been compliance with the rules.</w:t>
      </w:r>
    </w:p>
    <w:p w14:paraId="17527422" w14:textId="77777777" w:rsidR="00EB7614" w:rsidRDefault="00EB7614" w:rsidP="00EB7614">
      <w:pPr>
        <w:pStyle w:val="ListParagraph"/>
        <w:rPr>
          <w:rFonts w:cs="Arial"/>
          <w:bCs/>
        </w:rPr>
      </w:pPr>
    </w:p>
    <w:p w14:paraId="7ED6F3C3" w14:textId="0594DE84" w:rsidR="00EB7614" w:rsidRDefault="005959D6" w:rsidP="005959D6">
      <w:pPr>
        <w:pStyle w:val="Body"/>
        <w:spacing w:line="360" w:lineRule="auto"/>
        <w:ind w:left="851" w:hanging="851"/>
        <w:jc w:val="both"/>
        <w:rPr>
          <w:rFonts w:cs="Arial"/>
          <w:bCs/>
          <w:sz w:val="24"/>
          <w:szCs w:val="24"/>
        </w:rPr>
      </w:pPr>
      <w:r>
        <w:rPr>
          <w:rFonts w:cs="Arial"/>
          <w:sz w:val="24"/>
          <w:szCs w:val="24"/>
        </w:rPr>
        <w:t>[20]</w:t>
      </w:r>
      <w:r>
        <w:rPr>
          <w:rFonts w:cs="Arial"/>
          <w:sz w:val="24"/>
          <w:szCs w:val="24"/>
        </w:rPr>
        <w:tab/>
      </w:r>
      <w:r w:rsidR="00EB7614">
        <w:rPr>
          <w:rFonts w:cs="Arial"/>
          <w:bCs/>
          <w:sz w:val="24"/>
          <w:szCs w:val="24"/>
        </w:rPr>
        <w:t xml:space="preserve">It does not behoove the LPC to argue, as it has done in the present matter, that </w:t>
      </w:r>
      <w:r w:rsidR="00790442">
        <w:rPr>
          <w:rFonts w:cs="Arial"/>
          <w:bCs/>
          <w:sz w:val="24"/>
          <w:szCs w:val="24"/>
        </w:rPr>
        <w:t xml:space="preserve">the </w:t>
      </w:r>
      <w:r w:rsidR="00EB7614">
        <w:rPr>
          <w:rFonts w:cs="Arial"/>
          <w:bCs/>
          <w:sz w:val="24"/>
          <w:szCs w:val="24"/>
        </w:rPr>
        <w:t xml:space="preserve">consequence of </w:t>
      </w:r>
      <w:r w:rsidR="00055163">
        <w:rPr>
          <w:rFonts w:cs="Arial"/>
          <w:bCs/>
          <w:sz w:val="24"/>
          <w:szCs w:val="24"/>
        </w:rPr>
        <w:t xml:space="preserve">a break in service of 2 weeks is tantamount to a termination or abandonment of the PVT Contract by the applicant.  </w:t>
      </w:r>
      <w:r w:rsidR="00971F7D">
        <w:rPr>
          <w:rFonts w:cs="Arial"/>
          <w:bCs/>
          <w:sz w:val="24"/>
          <w:szCs w:val="24"/>
        </w:rPr>
        <w:t xml:space="preserve">The rules </w:t>
      </w:r>
      <w:r w:rsidR="00971F7D">
        <w:rPr>
          <w:rFonts w:cs="Arial"/>
          <w:bCs/>
          <w:sz w:val="24"/>
          <w:szCs w:val="24"/>
        </w:rPr>
        <w:lastRenderedPageBreak/>
        <w:t>themselves provide that there may be circumstances in which there would be an interruption in service such as for example the death of a principal as provided for in rule 22.1.6.2</w:t>
      </w:r>
      <w:r w:rsidR="00A449B8">
        <w:rPr>
          <w:rFonts w:cs="Arial"/>
          <w:bCs/>
          <w:sz w:val="24"/>
          <w:szCs w:val="24"/>
        </w:rPr>
        <w:t>.  T</w:t>
      </w:r>
      <w:r w:rsidR="00971F7D">
        <w:rPr>
          <w:rFonts w:cs="Arial"/>
          <w:bCs/>
          <w:sz w:val="24"/>
          <w:szCs w:val="24"/>
        </w:rPr>
        <w:t xml:space="preserve">he rules themselves provide for a </w:t>
      </w:r>
      <w:r w:rsidR="00A449B8">
        <w:rPr>
          <w:rFonts w:cs="Arial"/>
          <w:bCs/>
          <w:sz w:val="24"/>
          <w:szCs w:val="24"/>
        </w:rPr>
        <w:t>C</w:t>
      </w:r>
      <w:r w:rsidR="00971F7D">
        <w:rPr>
          <w:rFonts w:cs="Arial"/>
          <w:bCs/>
          <w:sz w:val="24"/>
          <w:szCs w:val="24"/>
        </w:rPr>
        <w:t xml:space="preserve">ession in such circumstances, rule 22.1.6.6 enabling the LPC to accept a </w:t>
      </w:r>
      <w:r w:rsidR="00A449B8">
        <w:rPr>
          <w:rFonts w:cs="Arial"/>
          <w:bCs/>
          <w:sz w:val="24"/>
          <w:szCs w:val="24"/>
        </w:rPr>
        <w:t>C</w:t>
      </w:r>
      <w:r w:rsidR="00971F7D">
        <w:rPr>
          <w:rFonts w:cs="Arial"/>
          <w:bCs/>
          <w:sz w:val="24"/>
          <w:szCs w:val="24"/>
        </w:rPr>
        <w:t xml:space="preserve">ession signed by a third party. </w:t>
      </w:r>
    </w:p>
    <w:p w14:paraId="1D326D23" w14:textId="77777777" w:rsidR="00971F7D" w:rsidRDefault="00971F7D" w:rsidP="00971F7D">
      <w:pPr>
        <w:pStyle w:val="ListParagraph"/>
        <w:rPr>
          <w:rFonts w:cs="Arial"/>
          <w:bCs/>
        </w:rPr>
      </w:pPr>
    </w:p>
    <w:p w14:paraId="7717B4A2" w14:textId="3DA888CC" w:rsidR="00A449B8" w:rsidRDefault="005959D6" w:rsidP="005959D6">
      <w:pPr>
        <w:pStyle w:val="Body"/>
        <w:spacing w:line="360" w:lineRule="auto"/>
        <w:ind w:left="851" w:hanging="851"/>
        <w:jc w:val="both"/>
        <w:rPr>
          <w:rFonts w:cs="Arial"/>
          <w:bCs/>
          <w:sz w:val="24"/>
          <w:szCs w:val="24"/>
        </w:rPr>
      </w:pPr>
      <w:r>
        <w:rPr>
          <w:rFonts w:cs="Arial"/>
          <w:sz w:val="24"/>
          <w:szCs w:val="24"/>
        </w:rPr>
        <w:t>[21]</w:t>
      </w:r>
      <w:r>
        <w:rPr>
          <w:rFonts w:cs="Arial"/>
          <w:sz w:val="24"/>
          <w:szCs w:val="24"/>
        </w:rPr>
        <w:tab/>
      </w:r>
      <w:r w:rsidR="00A449B8">
        <w:rPr>
          <w:rFonts w:cs="Arial"/>
          <w:bCs/>
          <w:sz w:val="24"/>
          <w:szCs w:val="24"/>
        </w:rPr>
        <w:t>The rule cannot be interpreted in the manner that the LPC contends it must be.  To do so would create the anomalous situation where a Candidate Attorney whose Principal has suffered a misfortune is in a better position and can be assisted by the LPC to register a Cession of the PVT Contract but where the Principal has suffered no misfortune, the Candidate Attorney is in a more onerous position.</w:t>
      </w:r>
    </w:p>
    <w:p w14:paraId="6379B23F" w14:textId="77777777" w:rsidR="00A449B8" w:rsidRDefault="00A449B8" w:rsidP="00A449B8">
      <w:pPr>
        <w:pStyle w:val="ListParagraph"/>
        <w:rPr>
          <w:rFonts w:cs="Arial"/>
          <w:bCs/>
        </w:rPr>
      </w:pPr>
    </w:p>
    <w:p w14:paraId="6C6FEF0B" w14:textId="10523ADA" w:rsidR="00971F7D" w:rsidRDefault="005959D6" w:rsidP="005959D6">
      <w:pPr>
        <w:pStyle w:val="Body"/>
        <w:spacing w:line="360" w:lineRule="auto"/>
        <w:ind w:left="851" w:hanging="851"/>
        <w:jc w:val="both"/>
        <w:rPr>
          <w:rFonts w:cs="Arial"/>
          <w:bCs/>
          <w:sz w:val="24"/>
          <w:szCs w:val="24"/>
        </w:rPr>
      </w:pPr>
      <w:r>
        <w:rPr>
          <w:rFonts w:cs="Arial"/>
          <w:sz w:val="24"/>
          <w:szCs w:val="24"/>
        </w:rPr>
        <w:t>[22]</w:t>
      </w:r>
      <w:r>
        <w:rPr>
          <w:rFonts w:cs="Arial"/>
          <w:sz w:val="24"/>
          <w:szCs w:val="24"/>
        </w:rPr>
        <w:tab/>
      </w:r>
      <w:r w:rsidR="00971F7D">
        <w:rPr>
          <w:rFonts w:cs="Arial"/>
          <w:bCs/>
          <w:sz w:val="24"/>
          <w:szCs w:val="24"/>
        </w:rPr>
        <w:t>In the circumstances of the present matter, notwithstanding that the applicant left the service of Mr. Mkhabela on 20 December 2023, the fact that he signed a cession and the required affidavit in order to effect cession of the applicant’s contract to Mr. Diaho, demonstrates clearly that it was never within the contemplation of either the applicant or Mr. Mkhabela for that matter, that the applicant’s PVT training was terminated or abandoned by him</w:t>
      </w:r>
      <w:r w:rsidR="00332442">
        <w:rPr>
          <w:rFonts w:cs="Arial"/>
          <w:bCs/>
          <w:sz w:val="24"/>
          <w:szCs w:val="24"/>
        </w:rPr>
        <w:t xml:space="preserve"> as provided for in rule 22.1.7.  If it had been within the contemplation of Mr. Mkhabela, he would in terms of the rule, have been required to notify the LPC in writing of that fact.  It is common cause that he did not. </w:t>
      </w:r>
    </w:p>
    <w:p w14:paraId="318A9487" w14:textId="77777777" w:rsidR="00EB7614" w:rsidRPr="00315D7C" w:rsidRDefault="00EB7614" w:rsidP="00315D7C">
      <w:pPr>
        <w:rPr>
          <w:rFonts w:cs="Arial"/>
          <w:bCs/>
        </w:rPr>
      </w:pPr>
    </w:p>
    <w:p w14:paraId="5C7FE53F" w14:textId="3C833342" w:rsidR="00EB7614" w:rsidRDefault="005959D6" w:rsidP="005959D6">
      <w:pPr>
        <w:pStyle w:val="Body"/>
        <w:spacing w:line="360" w:lineRule="auto"/>
        <w:ind w:left="851" w:hanging="851"/>
        <w:jc w:val="both"/>
        <w:rPr>
          <w:rFonts w:cs="Arial"/>
          <w:bCs/>
          <w:sz w:val="24"/>
          <w:szCs w:val="24"/>
        </w:rPr>
      </w:pPr>
      <w:r>
        <w:rPr>
          <w:rFonts w:cs="Arial"/>
          <w:sz w:val="24"/>
          <w:szCs w:val="24"/>
        </w:rPr>
        <w:t>[23]</w:t>
      </w:r>
      <w:r>
        <w:rPr>
          <w:rFonts w:cs="Arial"/>
          <w:sz w:val="24"/>
          <w:szCs w:val="24"/>
        </w:rPr>
        <w:tab/>
      </w:r>
      <w:r w:rsidR="003A6738">
        <w:rPr>
          <w:rFonts w:cs="Arial"/>
          <w:bCs/>
          <w:sz w:val="24"/>
          <w:szCs w:val="24"/>
        </w:rPr>
        <w:t>Additionally, it was argued, that insofar as a cession provided for in rule 22.1.6.1 clearly and unequivocally related to a “transfer of rights and obligations” whereas termination as provided for in rule 22.1.7.2 relates to “cancellation or abandonment”.  Two separate and distinct concepts and in respect of which on the facts in the present application, there is no suggestion that it was ever within the contemplation of either Mr. Mkhabela or the applicant that there was to be any cancellation or abandonment of the PVT Contract.</w:t>
      </w:r>
    </w:p>
    <w:p w14:paraId="53C29FFF" w14:textId="77777777" w:rsidR="000B69C1" w:rsidRDefault="000B69C1" w:rsidP="000B69C1">
      <w:pPr>
        <w:pStyle w:val="ListParagraph"/>
        <w:rPr>
          <w:rFonts w:cs="Arial"/>
          <w:bCs/>
        </w:rPr>
      </w:pPr>
    </w:p>
    <w:p w14:paraId="13E0C375" w14:textId="2D915C00" w:rsidR="004202FD" w:rsidRDefault="005959D6" w:rsidP="005959D6">
      <w:pPr>
        <w:pStyle w:val="Body"/>
        <w:spacing w:line="360" w:lineRule="auto"/>
        <w:ind w:left="851" w:hanging="851"/>
        <w:jc w:val="both"/>
        <w:rPr>
          <w:rFonts w:cs="Arial"/>
          <w:bCs/>
          <w:sz w:val="24"/>
          <w:szCs w:val="24"/>
        </w:rPr>
      </w:pPr>
      <w:r>
        <w:rPr>
          <w:rFonts w:cs="Arial"/>
          <w:sz w:val="24"/>
          <w:szCs w:val="24"/>
        </w:rPr>
        <w:t>[24]</w:t>
      </w:r>
      <w:r>
        <w:rPr>
          <w:rFonts w:cs="Arial"/>
          <w:sz w:val="24"/>
          <w:szCs w:val="24"/>
        </w:rPr>
        <w:tab/>
      </w:r>
      <w:r w:rsidR="00277F94">
        <w:rPr>
          <w:rFonts w:cs="Arial"/>
          <w:bCs/>
          <w:sz w:val="24"/>
          <w:szCs w:val="24"/>
        </w:rPr>
        <w:t xml:space="preserve">It was argued for the LPC that the present application was in any event a </w:t>
      </w:r>
      <w:r w:rsidR="00277F94">
        <w:rPr>
          <w:rFonts w:cs="Arial"/>
          <w:bCs/>
          <w:i/>
          <w:iCs/>
          <w:sz w:val="24"/>
          <w:szCs w:val="24"/>
        </w:rPr>
        <w:t xml:space="preserve">brutum fulmen </w:t>
      </w:r>
      <w:r w:rsidR="00277F94">
        <w:rPr>
          <w:rFonts w:cs="Arial"/>
          <w:bCs/>
          <w:sz w:val="24"/>
          <w:szCs w:val="24"/>
        </w:rPr>
        <w:t xml:space="preserve">in that the applicant would not in any event be entitled to admission in consequence of the break in service. The basis of this argument was that regulation 6(1)(a) requires that in order to be admitted, the applicant </w:t>
      </w:r>
      <w:r w:rsidR="00277F94">
        <w:rPr>
          <w:rFonts w:cs="Arial"/>
          <w:bCs/>
          <w:sz w:val="24"/>
          <w:szCs w:val="24"/>
        </w:rPr>
        <w:lastRenderedPageBreak/>
        <w:t xml:space="preserve">was required to serve a </w:t>
      </w:r>
      <w:r w:rsidR="00277F94" w:rsidRPr="00277F94">
        <w:rPr>
          <w:rFonts w:cs="Arial"/>
          <w:bCs/>
          <w:i/>
          <w:iCs/>
          <w:sz w:val="22"/>
          <w:szCs w:val="22"/>
        </w:rPr>
        <w:t>“uninterrupted period of 24 months</w:t>
      </w:r>
      <w:r w:rsidR="001409A4">
        <w:rPr>
          <w:rFonts w:cs="Arial"/>
          <w:bCs/>
          <w:i/>
          <w:iCs/>
          <w:sz w:val="22"/>
          <w:szCs w:val="22"/>
        </w:rPr>
        <w:t>.</w:t>
      </w:r>
      <w:r w:rsidR="00277F94" w:rsidRPr="00277F94">
        <w:rPr>
          <w:rFonts w:cs="Arial"/>
          <w:bCs/>
          <w:i/>
          <w:iCs/>
          <w:sz w:val="22"/>
          <w:szCs w:val="22"/>
        </w:rPr>
        <w:t>”</w:t>
      </w:r>
      <w:r w:rsidR="00277F94">
        <w:rPr>
          <w:rFonts w:cs="Arial"/>
          <w:bCs/>
          <w:i/>
          <w:iCs/>
          <w:sz w:val="22"/>
          <w:szCs w:val="22"/>
        </w:rPr>
        <w:t xml:space="preserve"> </w:t>
      </w:r>
      <w:r w:rsidR="001409A4">
        <w:rPr>
          <w:rFonts w:cs="Arial"/>
          <w:bCs/>
          <w:i/>
          <w:iCs/>
          <w:sz w:val="22"/>
          <w:szCs w:val="22"/>
        </w:rPr>
        <w:t xml:space="preserve"> </w:t>
      </w:r>
      <w:r w:rsidR="001409A4">
        <w:rPr>
          <w:rFonts w:cs="Arial"/>
          <w:bCs/>
          <w:sz w:val="24"/>
          <w:szCs w:val="24"/>
        </w:rPr>
        <w:t xml:space="preserve">This regulation however must be read subject to the provisions of rule 22.1.6 and the objects of the LPA.  The regulation properly interpreted does not mean uninterrupted in the sense of the period being continuous and </w:t>
      </w:r>
      <w:r w:rsidR="00282F50">
        <w:rPr>
          <w:rFonts w:cs="Arial"/>
          <w:bCs/>
          <w:sz w:val="24"/>
          <w:szCs w:val="24"/>
        </w:rPr>
        <w:t>contiguous</w:t>
      </w:r>
      <w:r w:rsidR="001409A4">
        <w:rPr>
          <w:rFonts w:cs="Arial"/>
          <w:bCs/>
          <w:sz w:val="24"/>
          <w:szCs w:val="24"/>
        </w:rPr>
        <w:t xml:space="preserve"> – if that were so, it would render the provisions of rule 22.1.6.2 </w:t>
      </w:r>
      <w:r w:rsidR="00282F50">
        <w:rPr>
          <w:rFonts w:cs="Arial"/>
          <w:bCs/>
          <w:sz w:val="24"/>
          <w:szCs w:val="24"/>
        </w:rPr>
        <w:t>superfluous</w:t>
      </w:r>
      <w:r w:rsidR="001409A4">
        <w:rPr>
          <w:rFonts w:cs="Arial"/>
          <w:bCs/>
          <w:sz w:val="24"/>
          <w:szCs w:val="24"/>
        </w:rPr>
        <w:t xml:space="preserve"> and would mean that any applicant in respect of whom there was any broken service for whatever reason would be disqualified</w:t>
      </w:r>
      <w:r w:rsidR="00282F50">
        <w:rPr>
          <w:rFonts w:cs="Arial"/>
          <w:bCs/>
          <w:sz w:val="24"/>
          <w:szCs w:val="24"/>
        </w:rPr>
        <w:t xml:space="preserve">.  </w:t>
      </w:r>
    </w:p>
    <w:p w14:paraId="30B71AC6" w14:textId="77777777" w:rsidR="004202FD" w:rsidRDefault="004202FD" w:rsidP="004202FD">
      <w:pPr>
        <w:pStyle w:val="ListParagraph"/>
        <w:rPr>
          <w:rFonts w:cs="Arial"/>
          <w:bCs/>
        </w:rPr>
      </w:pPr>
    </w:p>
    <w:p w14:paraId="16E05A77" w14:textId="701D429C" w:rsidR="00277F94" w:rsidRDefault="005959D6" w:rsidP="005959D6">
      <w:pPr>
        <w:pStyle w:val="Body"/>
        <w:spacing w:line="360" w:lineRule="auto"/>
        <w:ind w:left="851" w:hanging="851"/>
        <w:jc w:val="both"/>
        <w:rPr>
          <w:rFonts w:cs="Arial"/>
          <w:bCs/>
          <w:sz w:val="24"/>
          <w:szCs w:val="24"/>
        </w:rPr>
      </w:pPr>
      <w:r>
        <w:rPr>
          <w:rFonts w:cs="Arial"/>
          <w:sz w:val="24"/>
          <w:szCs w:val="24"/>
        </w:rPr>
        <w:t>[25]</w:t>
      </w:r>
      <w:r>
        <w:rPr>
          <w:rFonts w:cs="Arial"/>
          <w:sz w:val="24"/>
          <w:szCs w:val="24"/>
        </w:rPr>
        <w:tab/>
      </w:r>
      <w:r w:rsidR="00282F50">
        <w:rPr>
          <w:rFonts w:cs="Arial"/>
          <w:bCs/>
          <w:sz w:val="24"/>
          <w:szCs w:val="24"/>
        </w:rPr>
        <w:t xml:space="preserve">The applicant does not seek credit for the period of the break in service in order to claim the completion of 24 months of PVT but relies on the subsequent service with Mr. Diaho which should have been </w:t>
      </w:r>
      <w:r w:rsidR="004202FD">
        <w:rPr>
          <w:rFonts w:cs="Arial"/>
          <w:bCs/>
          <w:sz w:val="24"/>
          <w:szCs w:val="24"/>
        </w:rPr>
        <w:t>considered</w:t>
      </w:r>
      <w:r w:rsidR="00282F50">
        <w:rPr>
          <w:rFonts w:cs="Arial"/>
          <w:bCs/>
          <w:sz w:val="24"/>
          <w:szCs w:val="24"/>
        </w:rPr>
        <w:t xml:space="preserve"> had the LPC registered the Cession timeously.</w:t>
      </w:r>
      <w:r w:rsidR="00282F50">
        <w:rPr>
          <w:rStyle w:val="FootnoteReference"/>
          <w:rFonts w:cs="Arial"/>
          <w:bCs/>
          <w:sz w:val="24"/>
          <w:szCs w:val="24"/>
        </w:rPr>
        <w:footnoteReference w:id="5"/>
      </w:r>
    </w:p>
    <w:p w14:paraId="37FB4100" w14:textId="77777777" w:rsidR="00277F94" w:rsidRDefault="00277F94" w:rsidP="00277F94">
      <w:pPr>
        <w:pStyle w:val="ListParagraph"/>
        <w:rPr>
          <w:rFonts w:cs="Arial"/>
          <w:bCs/>
        </w:rPr>
      </w:pPr>
    </w:p>
    <w:p w14:paraId="6DB7C7DD" w14:textId="637DE73F" w:rsidR="00B63AF8" w:rsidRDefault="005959D6" w:rsidP="005959D6">
      <w:pPr>
        <w:pStyle w:val="Body"/>
        <w:spacing w:line="360" w:lineRule="auto"/>
        <w:ind w:left="851" w:hanging="851"/>
        <w:jc w:val="both"/>
        <w:rPr>
          <w:rFonts w:cs="Arial"/>
          <w:bCs/>
          <w:sz w:val="24"/>
          <w:szCs w:val="24"/>
        </w:rPr>
      </w:pPr>
      <w:r>
        <w:rPr>
          <w:rFonts w:cs="Arial"/>
          <w:sz w:val="24"/>
          <w:szCs w:val="24"/>
        </w:rPr>
        <w:t>[26]</w:t>
      </w:r>
      <w:r>
        <w:rPr>
          <w:rFonts w:cs="Arial"/>
          <w:sz w:val="24"/>
          <w:szCs w:val="24"/>
        </w:rPr>
        <w:tab/>
      </w:r>
      <w:r w:rsidR="000B69C1">
        <w:rPr>
          <w:rFonts w:cs="Arial"/>
          <w:bCs/>
          <w:sz w:val="24"/>
          <w:szCs w:val="24"/>
        </w:rPr>
        <w:t>In the present application, although it did not form the basis for the initial decision communicated on 30 April 2024, the LPC also took issue with the fact that the applicant had entered into a secondment agreement with Mr. Diaho in terms of which he would be seconded to another firm of attorneys in order to gain experience in the field of competition law.  The applicant, quite rightly in my view, argued that</w:t>
      </w:r>
      <w:r w:rsidR="009C279C">
        <w:rPr>
          <w:rFonts w:cs="Arial"/>
          <w:bCs/>
          <w:sz w:val="24"/>
          <w:szCs w:val="24"/>
        </w:rPr>
        <w:t xml:space="preserve"> any concern which the LPC may have had with the secondment of the applicant could only arise if his Cession to Mr. Diaho had in fact been registered.  </w:t>
      </w:r>
    </w:p>
    <w:p w14:paraId="3E7B60A5" w14:textId="77777777" w:rsidR="00B63AF8" w:rsidRDefault="00B63AF8" w:rsidP="00B63AF8">
      <w:pPr>
        <w:pStyle w:val="ListParagraph"/>
        <w:rPr>
          <w:rFonts w:cs="Arial"/>
          <w:bCs/>
        </w:rPr>
      </w:pPr>
    </w:p>
    <w:p w14:paraId="5CF23AB2" w14:textId="063612DA" w:rsidR="000B69C1" w:rsidRDefault="005959D6" w:rsidP="005959D6">
      <w:pPr>
        <w:pStyle w:val="Body"/>
        <w:spacing w:line="360" w:lineRule="auto"/>
        <w:ind w:left="851" w:hanging="851"/>
        <w:jc w:val="both"/>
        <w:rPr>
          <w:rFonts w:cs="Arial"/>
          <w:bCs/>
          <w:sz w:val="24"/>
          <w:szCs w:val="24"/>
        </w:rPr>
      </w:pPr>
      <w:r>
        <w:rPr>
          <w:rFonts w:cs="Arial"/>
          <w:sz w:val="24"/>
          <w:szCs w:val="24"/>
        </w:rPr>
        <w:t>[27]</w:t>
      </w:r>
      <w:r>
        <w:rPr>
          <w:rFonts w:cs="Arial"/>
          <w:sz w:val="24"/>
          <w:szCs w:val="24"/>
        </w:rPr>
        <w:tab/>
      </w:r>
      <w:r w:rsidR="009C279C">
        <w:rPr>
          <w:rFonts w:cs="Arial"/>
          <w:bCs/>
          <w:sz w:val="24"/>
          <w:szCs w:val="24"/>
        </w:rPr>
        <w:t>If his Contract had been abandoned or terminated as the LPC argued, and for that reason a Cession could not be registered, then on that basis, the LPC had no authority to interrogate the reason for the secondment and whether or not it was permissible under a PVT Contract.  This issue relates to whether or not the applicant complied with his obligations in terms of the Act with regards to completion of his PVT training and was on that basis an issue more properly to be raised before the Court hearing his application for admission that this Court.</w:t>
      </w:r>
    </w:p>
    <w:p w14:paraId="4D43BEFD" w14:textId="77777777" w:rsidR="009C279C" w:rsidRDefault="009C279C" w:rsidP="009C279C">
      <w:pPr>
        <w:pStyle w:val="ListParagraph"/>
        <w:rPr>
          <w:rFonts w:cs="Arial"/>
          <w:bCs/>
        </w:rPr>
      </w:pPr>
    </w:p>
    <w:p w14:paraId="3599183D" w14:textId="422AFCEE" w:rsidR="009C279C" w:rsidRDefault="005959D6" w:rsidP="005959D6">
      <w:pPr>
        <w:pStyle w:val="Body"/>
        <w:spacing w:line="360" w:lineRule="auto"/>
        <w:ind w:left="851" w:hanging="851"/>
        <w:jc w:val="both"/>
        <w:rPr>
          <w:rFonts w:cs="Arial"/>
          <w:bCs/>
          <w:sz w:val="24"/>
          <w:szCs w:val="24"/>
        </w:rPr>
      </w:pPr>
      <w:r>
        <w:rPr>
          <w:rFonts w:cs="Arial"/>
          <w:sz w:val="24"/>
          <w:szCs w:val="24"/>
        </w:rPr>
        <w:t>[28]</w:t>
      </w:r>
      <w:r>
        <w:rPr>
          <w:rFonts w:cs="Arial"/>
          <w:sz w:val="24"/>
          <w:szCs w:val="24"/>
        </w:rPr>
        <w:tab/>
      </w:r>
      <w:r w:rsidR="00455B18">
        <w:rPr>
          <w:rFonts w:cs="Arial"/>
          <w:bCs/>
          <w:sz w:val="24"/>
          <w:szCs w:val="24"/>
        </w:rPr>
        <w:t xml:space="preserve">Of course, even on the applicant’s version, </w:t>
      </w:r>
      <w:r w:rsidR="00894D98">
        <w:rPr>
          <w:rFonts w:cs="Arial"/>
          <w:bCs/>
          <w:sz w:val="24"/>
          <w:szCs w:val="24"/>
        </w:rPr>
        <w:t xml:space="preserve">without the Cession being registered, he is unable to proceed with his application for admission and the issue relating to the secondment and for that matter also whether or not the </w:t>
      </w:r>
      <w:r w:rsidR="00894D98">
        <w:rPr>
          <w:rFonts w:cs="Arial"/>
          <w:bCs/>
          <w:sz w:val="24"/>
          <w:szCs w:val="24"/>
        </w:rPr>
        <w:lastRenderedPageBreak/>
        <w:t>common cause, two week break in service, also ventilated as an issue before the Court for decision.</w:t>
      </w:r>
    </w:p>
    <w:p w14:paraId="25A2890F" w14:textId="77777777" w:rsidR="003F04AB" w:rsidRDefault="003F04AB" w:rsidP="003F04AB">
      <w:pPr>
        <w:pStyle w:val="Body"/>
        <w:spacing w:line="360" w:lineRule="auto"/>
        <w:jc w:val="both"/>
        <w:rPr>
          <w:rFonts w:cs="Arial"/>
          <w:bCs/>
          <w:sz w:val="24"/>
          <w:szCs w:val="24"/>
        </w:rPr>
      </w:pPr>
    </w:p>
    <w:p w14:paraId="67CEAAD1" w14:textId="64C70580" w:rsidR="00FF2104" w:rsidRDefault="005959D6" w:rsidP="005959D6">
      <w:pPr>
        <w:pStyle w:val="Body"/>
        <w:spacing w:line="360" w:lineRule="auto"/>
        <w:ind w:left="851" w:hanging="851"/>
        <w:jc w:val="both"/>
        <w:rPr>
          <w:rFonts w:cs="Arial"/>
          <w:bCs/>
          <w:sz w:val="24"/>
          <w:szCs w:val="24"/>
        </w:rPr>
      </w:pPr>
      <w:r>
        <w:rPr>
          <w:rFonts w:cs="Arial"/>
          <w:sz w:val="24"/>
          <w:szCs w:val="24"/>
        </w:rPr>
        <w:t>[29]</w:t>
      </w:r>
      <w:r>
        <w:rPr>
          <w:rFonts w:cs="Arial"/>
          <w:sz w:val="24"/>
          <w:szCs w:val="24"/>
        </w:rPr>
        <w:tab/>
      </w:r>
      <w:r w:rsidR="00FF2104">
        <w:rPr>
          <w:rFonts w:cs="Arial"/>
          <w:bCs/>
          <w:sz w:val="24"/>
          <w:szCs w:val="24"/>
        </w:rPr>
        <w:t>For this reason, I decline to make any finding on the issue of the secondment, save to state that it is not uncommon that Candidate Legal Practitioners, whether as Candidate Attorneys or Pupil Advocates, are often seconded to other firms of attorneys / advocates so that they may gain exposure to areas of practice which their principal may not be engaged in for their benefit.</w:t>
      </w:r>
      <w:r w:rsidR="004202FD">
        <w:rPr>
          <w:rFonts w:cs="Arial"/>
          <w:bCs/>
          <w:sz w:val="24"/>
          <w:szCs w:val="24"/>
        </w:rPr>
        <w:t xml:space="preserve"> This in no way detracts from the training they receive or their respective obligations.</w:t>
      </w:r>
    </w:p>
    <w:p w14:paraId="76966DAB" w14:textId="77777777" w:rsidR="00FF2104" w:rsidRDefault="00FF2104" w:rsidP="00FF2104">
      <w:pPr>
        <w:pStyle w:val="ListParagraph"/>
        <w:rPr>
          <w:rFonts w:cs="Arial"/>
          <w:bCs/>
        </w:rPr>
      </w:pPr>
    </w:p>
    <w:p w14:paraId="7A0C493D" w14:textId="29134EE9" w:rsidR="004E2C65" w:rsidRDefault="005959D6" w:rsidP="005959D6">
      <w:pPr>
        <w:pStyle w:val="Body"/>
        <w:spacing w:line="360" w:lineRule="auto"/>
        <w:ind w:left="851" w:hanging="851"/>
        <w:jc w:val="both"/>
        <w:rPr>
          <w:rFonts w:cs="Arial"/>
          <w:bCs/>
          <w:sz w:val="24"/>
          <w:szCs w:val="24"/>
        </w:rPr>
      </w:pPr>
      <w:r>
        <w:rPr>
          <w:rFonts w:cs="Arial"/>
          <w:sz w:val="24"/>
          <w:szCs w:val="24"/>
        </w:rPr>
        <w:t>[30]</w:t>
      </w:r>
      <w:r>
        <w:rPr>
          <w:rFonts w:cs="Arial"/>
          <w:sz w:val="24"/>
          <w:szCs w:val="24"/>
        </w:rPr>
        <w:tab/>
      </w:r>
      <w:r w:rsidR="00127981">
        <w:rPr>
          <w:rFonts w:cs="Arial"/>
          <w:bCs/>
          <w:sz w:val="24"/>
          <w:szCs w:val="24"/>
        </w:rPr>
        <w:t xml:space="preserve">Turning now to the grounds of review, </w:t>
      </w:r>
      <w:r w:rsidR="004E2C65">
        <w:rPr>
          <w:rFonts w:cs="Arial"/>
          <w:bCs/>
          <w:sz w:val="24"/>
          <w:szCs w:val="24"/>
        </w:rPr>
        <w:t>the applicant argues that the failure and refusal of the LPC to register the Cession of his PVT Contract, is an administrative decision falling within the ambit of the Promotion of Administrative Justice Act (PAJA).</w:t>
      </w:r>
      <w:r w:rsidR="004E2C65">
        <w:rPr>
          <w:rStyle w:val="FootnoteReference"/>
          <w:rFonts w:cs="Arial"/>
          <w:bCs/>
          <w:sz w:val="24"/>
          <w:szCs w:val="24"/>
        </w:rPr>
        <w:footnoteReference w:id="6"/>
      </w:r>
      <w:r w:rsidR="004E2C65">
        <w:rPr>
          <w:rFonts w:cs="Arial"/>
          <w:bCs/>
          <w:sz w:val="24"/>
          <w:szCs w:val="24"/>
        </w:rPr>
        <w:t xml:space="preserve">  It was argued for the applicant that the decision to refuse registration of the Cession falls squarely within s 1</w:t>
      </w:r>
      <w:r w:rsidR="004E2C65">
        <w:rPr>
          <w:rStyle w:val="FootnoteReference"/>
          <w:rFonts w:cs="Arial"/>
          <w:bCs/>
          <w:sz w:val="24"/>
          <w:szCs w:val="24"/>
        </w:rPr>
        <w:footnoteReference w:id="7"/>
      </w:r>
      <w:r w:rsidR="004E2C65">
        <w:rPr>
          <w:rFonts w:cs="Arial"/>
          <w:bCs/>
          <w:sz w:val="24"/>
          <w:szCs w:val="24"/>
        </w:rPr>
        <w:t xml:space="preserve"> of PAJA.  </w:t>
      </w:r>
    </w:p>
    <w:p w14:paraId="2BF8C63D" w14:textId="77777777" w:rsidR="00AF2488" w:rsidRPr="00594510" w:rsidRDefault="00AF2488" w:rsidP="00594510">
      <w:pPr>
        <w:rPr>
          <w:rFonts w:cs="Arial"/>
          <w:bCs/>
        </w:rPr>
      </w:pPr>
    </w:p>
    <w:p w14:paraId="2F085FDC" w14:textId="76B8C2BA" w:rsidR="00614716" w:rsidRDefault="005959D6" w:rsidP="005959D6">
      <w:pPr>
        <w:pStyle w:val="Body"/>
        <w:spacing w:line="360" w:lineRule="auto"/>
        <w:ind w:left="851" w:hanging="851"/>
        <w:jc w:val="both"/>
        <w:rPr>
          <w:rFonts w:cs="Arial"/>
          <w:bCs/>
          <w:sz w:val="24"/>
          <w:szCs w:val="24"/>
        </w:rPr>
      </w:pPr>
      <w:r>
        <w:rPr>
          <w:rFonts w:cs="Arial"/>
          <w:sz w:val="24"/>
          <w:szCs w:val="24"/>
        </w:rPr>
        <w:t>[31]</w:t>
      </w:r>
      <w:r>
        <w:rPr>
          <w:rFonts w:cs="Arial"/>
          <w:sz w:val="24"/>
          <w:szCs w:val="24"/>
        </w:rPr>
        <w:tab/>
      </w:r>
      <w:r w:rsidR="005267ED">
        <w:rPr>
          <w:rFonts w:cs="Arial"/>
          <w:bCs/>
          <w:sz w:val="24"/>
          <w:szCs w:val="24"/>
        </w:rPr>
        <w:t>It was argued by the LPC that its failure to register the Cession is not administrative action and that there was no decision-making function exercised by it.  It was argued that the acts of the LPC in this regard w</w:t>
      </w:r>
      <w:r w:rsidR="00614716">
        <w:rPr>
          <w:rFonts w:cs="Arial"/>
          <w:bCs/>
          <w:sz w:val="24"/>
          <w:szCs w:val="24"/>
        </w:rPr>
        <w:t>ere</w:t>
      </w:r>
      <w:r w:rsidR="005267ED">
        <w:rPr>
          <w:rFonts w:cs="Arial"/>
          <w:bCs/>
          <w:sz w:val="24"/>
          <w:szCs w:val="24"/>
        </w:rPr>
        <w:t xml:space="preserve"> purely clerical.</w:t>
      </w:r>
      <w:r w:rsidR="005267ED">
        <w:rPr>
          <w:rStyle w:val="FootnoteReference"/>
          <w:rFonts w:cs="Arial"/>
          <w:bCs/>
          <w:sz w:val="24"/>
          <w:szCs w:val="24"/>
        </w:rPr>
        <w:footnoteReference w:id="8"/>
      </w:r>
      <w:r w:rsidR="005267ED">
        <w:rPr>
          <w:rFonts w:cs="Arial"/>
          <w:bCs/>
          <w:sz w:val="24"/>
          <w:szCs w:val="24"/>
        </w:rPr>
        <w:t xml:space="preserve">  This is precisely the point that was argued for the applicant – that the LPC was required to register the Cession but </w:t>
      </w:r>
      <w:r w:rsidR="004202FD">
        <w:rPr>
          <w:rFonts w:cs="Arial"/>
          <w:bCs/>
          <w:sz w:val="24"/>
          <w:szCs w:val="24"/>
        </w:rPr>
        <w:t xml:space="preserve">that any determination of </w:t>
      </w:r>
      <w:r w:rsidR="005267ED">
        <w:rPr>
          <w:rFonts w:cs="Arial"/>
          <w:bCs/>
          <w:sz w:val="24"/>
          <w:szCs w:val="24"/>
        </w:rPr>
        <w:t xml:space="preserve">its validity insofar as meeting the requirements of regulation 6 (1)(a) is concerned is something that more properly was to be dealt with by the Court from whom the applicant would seek admission.  </w:t>
      </w:r>
    </w:p>
    <w:p w14:paraId="6F5242DA" w14:textId="77777777" w:rsidR="00614716" w:rsidRDefault="00614716" w:rsidP="00614716">
      <w:pPr>
        <w:pStyle w:val="ListParagraph"/>
        <w:rPr>
          <w:rFonts w:cs="Arial"/>
          <w:bCs/>
        </w:rPr>
      </w:pPr>
    </w:p>
    <w:p w14:paraId="1FEB1ED7" w14:textId="4E10D499" w:rsidR="005267ED" w:rsidRDefault="005959D6" w:rsidP="005959D6">
      <w:pPr>
        <w:pStyle w:val="Body"/>
        <w:spacing w:line="360" w:lineRule="auto"/>
        <w:ind w:left="851" w:hanging="851"/>
        <w:jc w:val="both"/>
        <w:rPr>
          <w:rFonts w:cs="Arial"/>
          <w:bCs/>
          <w:sz w:val="24"/>
          <w:szCs w:val="24"/>
        </w:rPr>
      </w:pPr>
      <w:r>
        <w:rPr>
          <w:rFonts w:cs="Arial"/>
          <w:sz w:val="24"/>
          <w:szCs w:val="24"/>
        </w:rPr>
        <w:t>[32]</w:t>
      </w:r>
      <w:r>
        <w:rPr>
          <w:rFonts w:cs="Arial"/>
          <w:sz w:val="24"/>
          <w:szCs w:val="24"/>
        </w:rPr>
        <w:tab/>
      </w:r>
      <w:r w:rsidR="005267ED">
        <w:rPr>
          <w:rFonts w:cs="Arial"/>
          <w:bCs/>
          <w:sz w:val="24"/>
          <w:szCs w:val="24"/>
        </w:rPr>
        <w:t xml:space="preserve">The decision to refuse registration on substantive grounds as it did on </w:t>
      </w:r>
      <w:r w:rsidR="000C0BD3">
        <w:rPr>
          <w:rFonts w:cs="Arial"/>
          <w:bCs/>
          <w:sz w:val="24"/>
          <w:szCs w:val="24"/>
        </w:rPr>
        <w:t>30 April 2024, means that a decision was taken which falls squarely within the ambit of PAJA.  It is on that basis that I find the decision to be reviewable under PAJA.</w:t>
      </w:r>
    </w:p>
    <w:p w14:paraId="1A0AD555" w14:textId="77777777" w:rsidR="005267ED" w:rsidRDefault="005267ED" w:rsidP="005267ED">
      <w:pPr>
        <w:pStyle w:val="ListParagraph"/>
        <w:rPr>
          <w:rFonts w:cs="Arial"/>
          <w:bCs/>
        </w:rPr>
      </w:pPr>
    </w:p>
    <w:p w14:paraId="072E6328" w14:textId="737AEE31" w:rsidR="007F7A7E" w:rsidRDefault="005959D6" w:rsidP="005959D6">
      <w:pPr>
        <w:pStyle w:val="Body"/>
        <w:spacing w:line="360" w:lineRule="auto"/>
        <w:ind w:left="851" w:hanging="851"/>
        <w:jc w:val="both"/>
        <w:rPr>
          <w:rFonts w:cs="Arial"/>
          <w:bCs/>
          <w:sz w:val="24"/>
          <w:szCs w:val="24"/>
        </w:rPr>
      </w:pPr>
      <w:r>
        <w:rPr>
          <w:rFonts w:cs="Arial"/>
          <w:sz w:val="24"/>
          <w:szCs w:val="24"/>
        </w:rPr>
        <w:t>[33]</w:t>
      </w:r>
      <w:r>
        <w:rPr>
          <w:rFonts w:cs="Arial"/>
          <w:sz w:val="24"/>
          <w:szCs w:val="24"/>
        </w:rPr>
        <w:tab/>
      </w:r>
      <w:r w:rsidR="000C0BD3">
        <w:rPr>
          <w:rFonts w:cs="Arial"/>
          <w:bCs/>
          <w:sz w:val="24"/>
          <w:szCs w:val="24"/>
        </w:rPr>
        <w:t xml:space="preserve">It </w:t>
      </w:r>
      <w:r w:rsidR="007F7A7E">
        <w:rPr>
          <w:rFonts w:cs="Arial"/>
          <w:bCs/>
          <w:sz w:val="24"/>
          <w:szCs w:val="24"/>
        </w:rPr>
        <w:t>was argued that the decision of the LPC was reviewable on the following basis:</w:t>
      </w:r>
    </w:p>
    <w:p w14:paraId="199EBBAB" w14:textId="77777777" w:rsidR="007F7A7E" w:rsidRDefault="007F7A7E" w:rsidP="007F7A7E">
      <w:pPr>
        <w:pStyle w:val="ListParagraph"/>
        <w:rPr>
          <w:rFonts w:cs="Arial"/>
          <w:bCs/>
        </w:rPr>
      </w:pPr>
    </w:p>
    <w:p w14:paraId="47FEA985" w14:textId="43256211" w:rsidR="006470BA" w:rsidRDefault="007F7A7E" w:rsidP="006470BA">
      <w:pPr>
        <w:pStyle w:val="Body"/>
        <w:spacing w:line="360" w:lineRule="auto"/>
        <w:ind w:left="1985" w:hanging="1134"/>
        <w:jc w:val="both"/>
        <w:rPr>
          <w:rFonts w:cs="Arial"/>
          <w:bCs/>
          <w:sz w:val="24"/>
          <w:szCs w:val="24"/>
        </w:rPr>
      </w:pPr>
      <w:r>
        <w:rPr>
          <w:rFonts w:cs="Arial"/>
          <w:bCs/>
          <w:sz w:val="24"/>
          <w:szCs w:val="24"/>
        </w:rPr>
        <w:lastRenderedPageBreak/>
        <w:t>[</w:t>
      </w:r>
      <w:r w:rsidR="000C0BD3">
        <w:rPr>
          <w:rFonts w:cs="Arial"/>
          <w:bCs/>
          <w:sz w:val="24"/>
          <w:szCs w:val="24"/>
        </w:rPr>
        <w:t>31</w:t>
      </w:r>
      <w:r>
        <w:rPr>
          <w:rFonts w:cs="Arial"/>
          <w:bCs/>
          <w:sz w:val="24"/>
          <w:szCs w:val="24"/>
        </w:rPr>
        <w:t>.1]</w:t>
      </w:r>
      <w:r>
        <w:rPr>
          <w:rFonts w:cs="Arial"/>
          <w:bCs/>
          <w:sz w:val="24"/>
          <w:szCs w:val="24"/>
        </w:rPr>
        <w:tab/>
      </w:r>
      <w:r w:rsidR="00864863">
        <w:rPr>
          <w:rFonts w:cs="Arial"/>
          <w:bCs/>
          <w:sz w:val="24"/>
          <w:szCs w:val="24"/>
        </w:rPr>
        <w:t>T</w:t>
      </w:r>
      <w:r>
        <w:rPr>
          <w:rFonts w:cs="Arial"/>
          <w:bCs/>
          <w:sz w:val="24"/>
          <w:szCs w:val="24"/>
        </w:rPr>
        <w:t>hat the action was procedurally unfair</w:t>
      </w:r>
      <w:r w:rsidR="006470BA">
        <w:rPr>
          <w:rFonts w:cs="Arial"/>
          <w:bCs/>
          <w:sz w:val="24"/>
          <w:szCs w:val="24"/>
        </w:rPr>
        <w:t>.</w:t>
      </w:r>
      <w:r>
        <w:rPr>
          <w:rStyle w:val="FootnoteReference"/>
          <w:rFonts w:cs="Arial"/>
          <w:bCs/>
          <w:sz w:val="24"/>
          <w:szCs w:val="24"/>
        </w:rPr>
        <w:footnoteReference w:id="9"/>
      </w:r>
    </w:p>
    <w:p w14:paraId="1A6A2EE9" w14:textId="072C4278" w:rsidR="00FF2104" w:rsidRDefault="004E2C65" w:rsidP="006470BA">
      <w:pPr>
        <w:pStyle w:val="Body"/>
        <w:spacing w:line="360" w:lineRule="auto"/>
        <w:ind w:left="1985" w:hanging="1134"/>
        <w:jc w:val="both"/>
        <w:rPr>
          <w:rFonts w:cs="Arial"/>
          <w:bCs/>
          <w:sz w:val="24"/>
          <w:szCs w:val="24"/>
        </w:rPr>
      </w:pPr>
      <w:r>
        <w:rPr>
          <w:rFonts w:cs="Arial"/>
          <w:bCs/>
          <w:sz w:val="24"/>
          <w:szCs w:val="24"/>
        </w:rPr>
        <w:t xml:space="preserve"> </w:t>
      </w:r>
    </w:p>
    <w:p w14:paraId="5975D21C" w14:textId="3C78E270" w:rsidR="007F7A7E" w:rsidRDefault="007F7A7E" w:rsidP="006470BA">
      <w:pPr>
        <w:pStyle w:val="Body"/>
        <w:spacing w:line="360" w:lineRule="auto"/>
        <w:ind w:left="1985" w:hanging="1134"/>
        <w:jc w:val="both"/>
        <w:rPr>
          <w:rFonts w:cs="Arial"/>
          <w:bCs/>
          <w:sz w:val="24"/>
          <w:szCs w:val="24"/>
        </w:rPr>
      </w:pPr>
      <w:r>
        <w:rPr>
          <w:rFonts w:cs="Arial"/>
          <w:bCs/>
          <w:sz w:val="24"/>
          <w:szCs w:val="24"/>
        </w:rPr>
        <w:t>[</w:t>
      </w:r>
      <w:r w:rsidR="007E0B8D">
        <w:rPr>
          <w:rFonts w:cs="Arial"/>
          <w:bCs/>
          <w:sz w:val="24"/>
          <w:szCs w:val="24"/>
        </w:rPr>
        <w:t>31</w:t>
      </w:r>
      <w:r>
        <w:rPr>
          <w:rFonts w:cs="Arial"/>
          <w:bCs/>
          <w:sz w:val="24"/>
          <w:szCs w:val="24"/>
        </w:rPr>
        <w:t>.2]</w:t>
      </w:r>
      <w:r>
        <w:rPr>
          <w:rFonts w:cs="Arial"/>
          <w:bCs/>
          <w:sz w:val="24"/>
          <w:szCs w:val="24"/>
        </w:rPr>
        <w:tab/>
      </w:r>
      <w:r w:rsidR="00864863">
        <w:rPr>
          <w:rFonts w:cs="Arial"/>
          <w:bCs/>
          <w:sz w:val="24"/>
          <w:szCs w:val="24"/>
        </w:rPr>
        <w:t>T</w:t>
      </w:r>
      <w:r>
        <w:rPr>
          <w:rFonts w:cs="Arial"/>
          <w:bCs/>
          <w:sz w:val="24"/>
          <w:szCs w:val="24"/>
        </w:rPr>
        <w:t>he decision was materially influenced by an error of law</w:t>
      </w:r>
      <w:r>
        <w:rPr>
          <w:rStyle w:val="FootnoteReference"/>
          <w:rFonts w:cs="Arial"/>
          <w:bCs/>
          <w:sz w:val="24"/>
          <w:szCs w:val="24"/>
        </w:rPr>
        <w:footnoteReference w:id="10"/>
      </w:r>
      <w:r>
        <w:rPr>
          <w:rFonts w:cs="Arial"/>
          <w:bCs/>
          <w:sz w:val="24"/>
          <w:szCs w:val="24"/>
        </w:rPr>
        <w:t xml:space="preserve"> and</w:t>
      </w:r>
    </w:p>
    <w:p w14:paraId="73AE1159" w14:textId="77777777" w:rsidR="006470BA" w:rsidRDefault="006470BA" w:rsidP="006470BA">
      <w:pPr>
        <w:pStyle w:val="Body"/>
        <w:spacing w:line="360" w:lineRule="auto"/>
        <w:ind w:left="1985" w:hanging="1134"/>
        <w:jc w:val="both"/>
        <w:rPr>
          <w:rFonts w:cs="Arial"/>
          <w:bCs/>
          <w:sz w:val="24"/>
          <w:szCs w:val="24"/>
        </w:rPr>
      </w:pPr>
    </w:p>
    <w:p w14:paraId="0AAEE982" w14:textId="75671946" w:rsidR="007F7A7E" w:rsidRDefault="007F7A7E" w:rsidP="00864863">
      <w:pPr>
        <w:pStyle w:val="Body"/>
        <w:spacing w:line="360" w:lineRule="auto"/>
        <w:ind w:left="1985" w:hanging="1134"/>
        <w:jc w:val="both"/>
        <w:rPr>
          <w:rFonts w:cs="Arial"/>
          <w:bCs/>
          <w:sz w:val="24"/>
          <w:szCs w:val="24"/>
        </w:rPr>
      </w:pPr>
      <w:r>
        <w:rPr>
          <w:rFonts w:cs="Arial"/>
          <w:bCs/>
          <w:sz w:val="24"/>
          <w:szCs w:val="24"/>
        </w:rPr>
        <w:t>[</w:t>
      </w:r>
      <w:r w:rsidR="007E0B8D">
        <w:rPr>
          <w:rFonts w:cs="Arial"/>
          <w:bCs/>
          <w:sz w:val="24"/>
          <w:szCs w:val="24"/>
        </w:rPr>
        <w:t>31</w:t>
      </w:r>
      <w:r>
        <w:rPr>
          <w:rFonts w:cs="Arial"/>
          <w:bCs/>
          <w:sz w:val="24"/>
          <w:szCs w:val="24"/>
        </w:rPr>
        <w:t>.3]</w:t>
      </w:r>
      <w:r>
        <w:rPr>
          <w:rFonts w:cs="Arial"/>
          <w:bCs/>
          <w:sz w:val="24"/>
          <w:szCs w:val="24"/>
        </w:rPr>
        <w:tab/>
        <w:t>the action was not taken</w:t>
      </w:r>
      <w:r w:rsidR="006470BA">
        <w:rPr>
          <w:rStyle w:val="FootnoteReference"/>
          <w:rFonts w:cs="Arial"/>
          <w:bCs/>
          <w:sz w:val="24"/>
          <w:szCs w:val="24"/>
        </w:rPr>
        <w:footnoteReference w:id="11"/>
      </w:r>
      <w:r>
        <w:rPr>
          <w:rFonts w:cs="Arial"/>
          <w:bCs/>
          <w:sz w:val="24"/>
          <w:szCs w:val="24"/>
        </w:rPr>
        <w:t xml:space="preserve"> rationally to the purpose for which it was taken and or the purpose of the empowering provision</w:t>
      </w:r>
      <w:r w:rsidR="00864863">
        <w:rPr>
          <w:rFonts w:cs="Arial"/>
          <w:bCs/>
          <w:sz w:val="24"/>
          <w:szCs w:val="24"/>
        </w:rPr>
        <w:t xml:space="preserve">.” </w:t>
      </w:r>
      <w:r w:rsidR="006470BA">
        <w:rPr>
          <w:rStyle w:val="FootnoteReference"/>
          <w:rFonts w:cs="Arial"/>
          <w:bCs/>
          <w:sz w:val="24"/>
          <w:szCs w:val="24"/>
        </w:rPr>
        <w:footnoteReference w:id="12"/>
      </w:r>
    </w:p>
    <w:p w14:paraId="2677A930" w14:textId="77777777" w:rsidR="00271CBD" w:rsidRDefault="00271CBD" w:rsidP="00864863">
      <w:pPr>
        <w:pStyle w:val="Body"/>
        <w:spacing w:line="360" w:lineRule="auto"/>
        <w:jc w:val="both"/>
        <w:rPr>
          <w:rFonts w:cs="Arial"/>
          <w:bCs/>
          <w:sz w:val="24"/>
          <w:szCs w:val="24"/>
        </w:rPr>
      </w:pPr>
    </w:p>
    <w:p w14:paraId="47C13131" w14:textId="7A03810E" w:rsidR="006470BA" w:rsidRDefault="005959D6" w:rsidP="005959D6">
      <w:pPr>
        <w:pStyle w:val="Body"/>
        <w:spacing w:line="360" w:lineRule="auto"/>
        <w:ind w:left="851" w:hanging="851"/>
        <w:jc w:val="both"/>
        <w:rPr>
          <w:rFonts w:cs="Arial"/>
          <w:bCs/>
          <w:sz w:val="24"/>
          <w:szCs w:val="24"/>
        </w:rPr>
      </w:pPr>
      <w:r>
        <w:rPr>
          <w:rFonts w:cs="Arial"/>
          <w:sz w:val="24"/>
          <w:szCs w:val="24"/>
        </w:rPr>
        <w:t>[34]</w:t>
      </w:r>
      <w:r>
        <w:rPr>
          <w:rFonts w:cs="Arial"/>
          <w:sz w:val="24"/>
          <w:szCs w:val="24"/>
        </w:rPr>
        <w:tab/>
      </w:r>
      <w:r w:rsidR="00271CBD">
        <w:rPr>
          <w:rFonts w:cs="Arial"/>
          <w:bCs/>
          <w:sz w:val="24"/>
          <w:szCs w:val="24"/>
        </w:rPr>
        <w:t xml:space="preserve">I </w:t>
      </w:r>
      <w:r w:rsidR="006470BA">
        <w:rPr>
          <w:rFonts w:cs="Arial"/>
          <w:bCs/>
          <w:sz w:val="24"/>
          <w:szCs w:val="24"/>
        </w:rPr>
        <w:t>propose dealing with each of these in turn.</w:t>
      </w:r>
    </w:p>
    <w:p w14:paraId="6E141082" w14:textId="77777777" w:rsidR="006470BA" w:rsidRDefault="006470BA" w:rsidP="006470BA">
      <w:pPr>
        <w:pStyle w:val="Body"/>
        <w:spacing w:line="360" w:lineRule="auto"/>
        <w:ind w:left="1985" w:hanging="1134"/>
        <w:jc w:val="both"/>
        <w:rPr>
          <w:rFonts w:cs="Arial"/>
          <w:bCs/>
          <w:sz w:val="24"/>
          <w:szCs w:val="24"/>
        </w:rPr>
      </w:pPr>
    </w:p>
    <w:p w14:paraId="4428B12B" w14:textId="62A5D6F5" w:rsidR="006470BA" w:rsidRPr="0026085E" w:rsidRDefault="006470BA" w:rsidP="006470BA">
      <w:pPr>
        <w:pStyle w:val="Body"/>
        <w:spacing w:line="360" w:lineRule="auto"/>
        <w:ind w:left="1985" w:hanging="1134"/>
        <w:jc w:val="both"/>
        <w:rPr>
          <w:rFonts w:cs="Arial"/>
          <w:bCs/>
          <w:sz w:val="24"/>
          <w:szCs w:val="24"/>
        </w:rPr>
      </w:pPr>
      <w:r w:rsidRPr="0026085E">
        <w:rPr>
          <w:rFonts w:cs="Arial"/>
          <w:bCs/>
          <w:sz w:val="24"/>
          <w:szCs w:val="24"/>
        </w:rPr>
        <w:t>[</w:t>
      </w:r>
      <w:r w:rsidR="00726F7B" w:rsidRPr="0026085E">
        <w:rPr>
          <w:rFonts w:cs="Arial"/>
          <w:bCs/>
          <w:sz w:val="24"/>
          <w:szCs w:val="24"/>
        </w:rPr>
        <w:t>3</w:t>
      </w:r>
      <w:r w:rsidR="007E0B8D" w:rsidRPr="0026085E">
        <w:rPr>
          <w:rFonts w:cs="Arial"/>
          <w:bCs/>
          <w:sz w:val="24"/>
          <w:szCs w:val="24"/>
        </w:rPr>
        <w:t>2</w:t>
      </w:r>
      <w:r w:rsidRPr="0026085E">
        <w:rPr>
          <w:rFonts w:cs="Arial"/>
          <w:bCs/>
          <w:sz w:val="24"/>
          <w:szCs w:val="24"/>
        </w:rPr>
        <w:t>.1]</w:t>
      </w:r>
      <w:r w:rsidRPr="0026085E">
        <w:rPr>
          <w:rFonts w:cs="Arial"/>
          <w:bCs/>
          <w:sz w:val="24"/>
          <w:szCs w:val="24"/>
        </w:rPr>
        <w:tab/>
      </w:r>
      <w:r w:rsidR="0003278B" w:rsidRPr="0026085E">
        <w:rPr>
          <w:rFonts w:cs="Arial"/>
          <w:bCs/>
          <w:sz w:val="24"/>
          <w:szCs w:val="24"/>
        </w:rPr>
        <w:t>T</w:t>
      </w:r>
      <w:r w:rsidR="00864863" w:rsidRPr="0026085E">
        <w:rPr>
          <w:rFonts w:cs="Arial"/>
          <w:bCs/>
          <w:sz w:val="24"/>
          <w:szCs w:val="24"/>
        </w:rPr>
        <w:t>hat the action was procedurally unfair.</w:t>
      </w:r>
    </w:p>
    <w:p w14:paraId="68219E9A" w14:textId="5D1C0BAC" w:rsidR="006470BA" w:rsidRDefault="006470BA" w:rsidP="006470BA">
      <w:pPr>
        <w:pStyle w:val="Body"/>
        <w:spacing w:line="360" w:lineRule="auto"/>
        <w:ind w:left="1985" w:hanging="1134"/>
        <w:jc w:val="both"/>
        <w:rPr>
          <w:rFonts w:cs="Arial"/>
          <w:bCs/>
          <w:sz w:val="24"/>
          <w:szCs w:val="24"/>
        </w:rPr>
      </w:pPr>
      <w:r>
        <w:rPr>
          <w:rFonts w:cs="Arial"/>
          <w:bCs/>
          <w:sz w:val="24"/>
          <w:szCs w:val="24"/>
        </w:rPr>
        <w:t xml:space="preserve"> </w:t>
      </w:r>
    </w:p>
    <w:p w14:paraId="5231095D" w14:textId="67A444E7" w:rsidR="00864863" w:rsidRDefault="0061484E" w:rsidP="00E74E49">
      <w:pPr>
        <w:pStyle w:val="Body"/>
        <w:tabs>
          <w:tab w:val="center" w:pos="3402"/>
        </w:tabs>
        <w:spacing w:line="360" w:lineRule="auto"/>
        <w:ind w:left="3119" w:hanging="1134"/>
        <w:jc w:val="both"/>
        <w:rPr>
          <w:rFonts w:cs="Arial"/>
          <w:bCs/>
          <w:sz w:val="24"/>
          <w:szCs w:val="24"/>
        </w:rPr>
      </w:pPr>
      <w:r>
        <w:rPr>
          <w:rFonts w:cs="Arial"/>
          <w:bCs/>
          <w:sz w:val="24"/>
          <w:szCs w:val="24"/>
        </w:rPr>
        <w:t>[</w:t>
      </w:r>
      <w:r w:rsidR="00726F7B">
        <w:rPr>
          <w:rFonts w:cs="Arial"/>
          <w:bCs/>
          <w:sz w:val="24"/>
          <w:szCs w:val="24"/>
        </w:rPr>
        <w:t>3</w:t>
      </w:r>
      <w:r w:rsidR="007E0B8D">
        <w:rPr>
          <w:rFonts w:cs="Arial"/>
          <w:bCs/>
          <w:sz w:val="24"/>
          <w:szCs w:val="24"/>
        </w:rPr>
        <w:t>2</w:t>
      </w:r>
      <w:r>
        <w:rPr>
          <w:rFonts w:cs="Arial"/>
          <w:bCs/>
          <w:sz w:val="24"/>
          <w:szCs w:val="24"/>
        </w:rPr>
        <w:t>.1.1]</w:t>
      </w:r>
      <w:r>
        <w:rPr>
          <w:rFonts w:cs="Arial"/>
          <w:bCs/>
          <w:sz w:val="24"/>
          <w:szCs w:val="24"/>
        </w:rPr>
        <w:tab/>
      </w:r>
      <w:r w:rsidR="00E74E49">
        <w:rPr>
          <w:rFonts w:cs="Arial"/>
          <w:bCs/>
          <w:sz w:val="24"/>
          <w:szCs w:val="24"/>
        </w:rPr>
        <w:t>In the present matter, the LPC neither notified the applicant of its decision, furnished him with any reason for the decision until 30 April 2024.  This was 3,5 months after the cession had been submitted for registration and only 16 days before the hearing of his application for admission.  Notwithstanding the obligation on the LPC to furnish reasons for the decision, the only reason given was that communicated on 30 April 2024, as set out in par</w:t>
      </w:r>
      <w:r w:rsidR="00726F7B">
        <w:rPr>
          <w:rFonts w:cs="Arial"/>
          <w:bCs/>
          <w:sz w:val="24"/>
          <w:szCs w:val="24"/>
        </w:rPr>
        <w:t xml:space="preserve">a 8 </w:t>
      </w:r>
      <w:r w:rsidR="00E74E49">
        <w:rPr>
          <w:rFonts w:cs="Arial"/>
          <w:bCs/>
          <w:sz w:val="24"/>
          <w:szCs w:val="24"/>
        </w:rPr>
        <w:t xml:space="preserve">above.  </w:t>
      </w:r>
    </w:p>
    <w:p w14:paraId="6486D781" w14:textId="77777777" w:rsidR="00864863" w:rsidRDefault="00864863" w:rsidP="00E74E49">
      <w:pPr>
        <w:pStyle w:val="Body"/>
        <w:tabs>
          <w:tab w:val="center" w:pos="3402"/>
        </w:tabs>
        <w:spacing w:line="360" w:lineRule="auto"/>
        <w:ind w:left="3119" w:hanging="1134"/>
        <w:jc w:val="both"/>
        <w:rPr>
          <w:rFonts w:cs="Arial"/>
          <w:bCs/>
          <w:sz w:val="24"/>
          <w:szCs w:val="24"/>
        </w:rPr>
      </w:pPr>
    </w:p>
    <w:p w14:paraId="18228CBF" w14:textId="6B7009ED" w:rsidR="00864863" w:rsidRDefault="00864863" w:rsidP="00E74E49">
      <w:pPr>
        <w:pStyle w:val="Body"/>
        <w:tabs>
          <w:tab w:val="center" w:pos="3402"/>
        </w:tabs>
        <w:spacing w:line="360" w:lineRule="auto"/>
        <w:ind w:left="3119" w:hanging="1134"/>
        <w:jc w:val="both"/>
        <w:rPr>
          <w:rFonts w:cs="Arial"/>
          <w:bCs/>
          <w:sz w:val="24"/>
          <w:szCs w:val="24"/>
        </w:rPr>
      </w:pPr>
      <w:r>
        <w:rPr>
          <w:rFonts w:cs="Arial"/>
          <w:bCs/>
          <w:sz w:val="24"/>
          <w:szCs w:val="24"/>
        </w:rPr>
        <w:t>[</w:t>
      </w:r>
      <w:r w:rsidR="00726F7B">
        <w:rPr>
          <w:rFonts w:cs="Arial"/>
          <w:bCs/>
          <w:sz w:val="24"/>
          <w:szCs w:val="24"/>
        </w:rPr>
        <w:t>3</w:t>
      </w:r>
      <w:r w:rsidR="007E0B8D">
        <w:rPr>
          <w:rFonts w:cs="Arial"/>
          <w:bCs/>
          <w:sz w:val="24"/>
          <w:szCs w:val="24"/>
        </w:rPr>
        <w:t>2</w:t>
      </w:r>
      <w:r>
        <w:rPr>
          <w:rFonts w:cs="Arial"/>
          <w:bCs/>
          <w:sz w:val="24"/>
          <w:szCs w:val="24"/>
        </w:rPr>
        <w:t>.1.2]</w:t>
      </w:r>
      <w:r>
        <w:rPr>
          <w:rFonts w:cs="Arial"/>
          <w:bCs/>
          <w:sz w:val="24"/>
          <w:szCs w:val="24"/>
        </w:rPr>
        <w:tab/>
      </w:r>
      <w:r w:rsidR="00E74E49">
        <w:rPr>
          <w:rFonts w:cs="Arial"/>
          <w:bCs/>
          <w:sz w:val="24"/>
          <w:szCs w:val="24"/>
        </w:rPr>
        <w:t xml:space="preserve">It was argued by the applicant that in conducting itself in this way by withholding alternatively the registration of the cession or the decision not to register the cession and the reasons therefore to the proverbial eleventh hour of his application for admission was prejudicial and tantamount to an ambush and patently procedurally unfair. </w:t>
      </w:r>
    </w:p>
    <w:p w14:paraId="03BEC720" w14:textId="77777777" w:rsidR="00864863" w:rsidRDefault="00864863" w:rsidP="00E74E49">
      <w:pPr>
        <w:pStyle w:val="Body"/>
        <w:tabs>
          <w:tab w:val="center" w:pos="3402"/>
        </w:tabs>
        <w:spacing w:line="360" w:lineRule="auto"/>
        <w:ind w:left="3119" w:hanging="1134"/>
        <w:jc w:val="both"/>
        <w:rPr>
          <w:rFonts w:cs="Arial"/>
          <w:bCs/>
          <w:sz w:val="24"/>
          <w:szCs w:val="24"/>
        </w:rPr>
      </w:pPr>
    </w:p>
    <w:p w14:paraId="17F8A026" w14:textId="7828BDED" w:rsidR="0061484E" w:rsidRDefault="00864863" w:rsidP="00E74E49">
      <w:pPr>
        <w:pStyle w:val="Body"/>
        <w:tabs>
          <w:tab w:val="center" w:pos="3402"/>
        </w:tabs>
        <w:spacing w:line="360" w:lineRule="auto"/>
        <w:ind w:left="3119" w:hanging="1134"/>
        <w:jc w:val="both"/>
        <w:rPr>
          <w:rFonts w:cs="Arial"/>
          <w:bCs/>
          <w:sz w:val="24"/>
          <w:szCs w:val="24"/>
        </w:rPr>
      </w:pPr>
      <w:r>
        <w:rPr>
          <w:rFonts w:cs="Arial"/>
          <w:bCs/>
          <w:sz w:val="24"/>
          <w:szCs w:val="24"/>
        </w:rPr>
        <w:lastRenderedPageBreak/>
        <w:t>[</w:t>
      </w:r>
      <w:r w:rsidR="00726F7B">
        <w:rPr>
          <w:rFonts w:cs="Arial"/>
          <w:bCs/>
          <w:sz w:val="24"/>
          <w:szCs w:val="24"/>
        </w:rPr>
        <w:t>3</w:t>
      </w:r>
      <w:r w:rsidR="007E0B8D">
        <w:rPr>
          <w:rFonts w:cs="Arial"/>
          <w:bCs/>
          <w:sz w:val="24"/>
          <w:szCs w:val="24"/>
        </w:rPr>
        <w:t>2</w:t>
      </w:r>
      <w:r>
        <w:rPr>
          <w:rFonts w:cs="Arial"/>
          <w:bCs/>
          <w:sz w:val="24"/>
          <w:szCs w:val="24"/>
        </w:rPr>
        <w:t>.1.3]</w:t>
      </w:r>
      <w:r>
        <w:rPr>
          <w:rFonts w:cs="Arial"/>
          <w:bCs/>
          <w:sz w:val="24"/>
          <w:szCs w:val="24"/>
        </w:rPr>
        <w:tab/>
      </w:r>
      <w:r w:rsidR="00E74E49">
        <w:rPr>
          <w:rFonts w:cs="Arial"/>
          <w:bCs/>
          <w:sz w:val="24"/>
          <w:szCs w:val="24"/>
        </w:rPr>
        <w:t xml:space="preserve">The LPC has placed nothing before the Court which in any way disturbs the submission being as it is, founded upon what is common cause between the parties. </w:t>
      </w:r>
    </w:p>
    <w:p w14:paraId="690DA195" w14:textId="77777777" w:rsidR="002706C7" w:rsidRDefault="002706C7" w:rsidP="002706C7">
      <w:pPr>
        <w:pStyle w:val="Body"/>
        <w:tabs>
          <w:tab w:val="center" w:pos="3402"/>
        </w:tabs>
        <w:spacing w:line="360" w:lineRule="auto"/>
        <w:ind w:left="1985"/>
        <w:jc w:val="both"/>
        <w:rPr>
          <w:rFonts w:cs="Arial"/>
          <w:bCs/>
          <w:sz w:val="24"/>
          <w:szCs w:val="24"/>
        </w:rPr>
      </w:pPr>
    </w:p>
    <w:p w14:paraId="6CCE6DEF" w14:textId="1C4BE684" w:rsidR="006470BA" w:rsidRPr="0026085E" w:rsidRDefault="006470BA" w:rsidP="006470BA">
      <w:pPr>
        <w:pStyle w:val="Body"/>
        <w:spacing w:line="360" w:lineRule="auto"/>
        <w:ind w:left="1985" w:hanging="1134"/>
        <w:jc w:val="both"/>
        <w:rPr>
          <w:rFonts w:cs="Arial"/>
          <w:bCs/>
          <w:sz w:val="24"/>
          <w:szCs w:val="24"/>
        </w:rPr>
      </w:pPr>
      <w:r w:rsidRPr="0026085E">
        <w:rPr>
          <w:rFonts w:cs="Arial"/>
          <w:bCs/>
          <w:sz w:val="24"/>
          <w:szCs w:val="24"/>
        </w:rPr>
        <w:t>[</w:t>
      </w:r>
      <w:r w:rsidR="00726F7B" w:rsidRPr="0026085E">
        <w:rPr>
          <w:rFonts w:cs="Arial"/>
          <w:bCs/>
          <w:sz w:val="24"/>
          <w:szCs w:val="24"/>
        </w:rPr>
        <w:t>3</w:t>
      </w:r>
      <w:r w:rsidR="007E0B8D" w:rsidRPr="0026085E">
        <w:rPr>
          <w:rFonts w:cs="Arial"/>
          <w:bCs/>
          <w:sz w:val="24"/>
          <w:szCs w:val="24"/>
        </w:rPr>
        <w:t>2</w:t>
      </w:r>
      <w:r w:rsidRPr="0026085E">
        <w:rPr>
          <w:rFonts w:cs="Arial"/>
          <w:bCs/>
          <w:sz w:val="24"/>
          <w:szCs w:val="24"/>
        </w:rPr>
        <w:t>.2]</w:t>
      </w:r>
      <w:r w:rsidRPr="0026085E">
        <w:rPr>
          <w:rFonts w:cs="Arial"/>
          <w:bCs/>
          <w:sz w:val="24"/>
          <w:szCs w:val="24"/>
        </w:rPr>
        <w:tab/>
      </w:r>
      <w:r w:rsidR="00864863" w:rsidRPr="0026085E">
        <w:rPr>
          <w:rFonts w:cs="Arial"/>
          <w:bCs/>
          <w:sz w:val="24"/>
          <w:szCs w:val="24"/>
        </w:rPr>
        <w:t>The decision was materially influenced by an error of law</w:t>
      </w:r>
      <w:r w:rsidRPr="0026085E">
        <w:rPr>
          <w:rFonts w:cs="Arial"/>
          <w:bCs/>
          <w:sz w:val="24"/>
          <w:szCs w:val="24"/>
        </w:rPr>
        <w:t>.</w:t>
      </w:r>
    </w:p>
    <w:p w14:paraId="465C4A8E" w14:textId="68EB6222" w:rsidR="006470BA" w:rsidRDefault="006470BA" w:rsidP="006470BA">
      <w:pPr>
        <w:pStyle w:val="Body"/>
        <w:spacing w:line="360" w:lineRule="auto"/>
        <w:ind w:left="1985" w:hanging="1134"/>
        <w:jc w:val="both"/>
        <w:rPr>
          <w:rFonts w:cs="Arial"/>
          <w:bCs/>
          <w:sz w:val="24"/>
          <w:szCs w:val="24"/>
        </w:rPr>
      </w:pPr>
    </w:p>
    <w:p w14:paraId="65E7A956" w14:textId="22F62E1C" w:rsidR="002706C7" w:rsidRDefault="002706C7" w:rsidP="00864863">
      <w:pPr>
        <w:pStyle w:val="Body"/>
        <w:tabs>
          <w:tab w:val="center" w:pos="3402"/>
        </w:tabs>
        <w:spacing w:line="360" w:lineRule="auto"/>
        <w:ind w:left="3119" w:hanging="1134"/>
        <w:jc w:val="both"/>
        <w:rPr>
          <w:rFonts w:cs="Arial"/>
          <w:bCs/>
          <w:sz w:val="24"/>
          <w:szCs w:val="24"/>
        </w:rPr>
      </w:pPr>
      <w:r>
        <w:rPr>
          <w:rFonts w:cs="Arial"/>
          <w:bCs/>
          <w:sz w:val="24"/>
          <w:szCs w:val="24"/>
        </w:rPr>
        <w:t>[</w:t>
      </w:r>
      <w:r w:rsidR="00726F7B">
        <w:rPr>
          <w:rFonts w:cs="Arial"/>
          <w:bCs/>
          <w:sz w:val="24"/>
          <w:szCs w:val="24"/>
        </w:rPr>
        <w:t>3</w:t>
      </w:r>
      <w:r w:rsidR="007E0B8D">
        <w:rPr>
          <w:rFonts w:cs="Arial"/>
          <w:bCs/>
          <w:sz w:val="24"/>
          <w:szCs w:val="24"/>
        </w:rPr>
        <w:t>2</w:t>
      </w:r>
      <w:r>
        <w:rPr>
          <w:rFonts w:cs="Arial"/>
          <w:bCs/>
          <w:sz w:val="24"/>
          <w:szCs w:val="24"/>
        </w:rPr>
        <w:t>.2.1]</w:t>
      </w:r>
      <w:r w:rsidR="0080026C">
        <w:rPr>
          <w:rFonts w:cs="Arial"/>
          <w:bCs/>
          <w:sz w:val="24"/>
          <w:szCs w:val="24"/>
        </w:rPr>
        <w:tab/>
      </w:r>
      <w:r>
        <w:rPr>
          <w:rFonts w:cs="Arial"/>
          <w:bCs/>
          <w:sz w:val="24"/>
          <w:szCs w:val="24"/>
        </w:rPr>
        <w:tab/>
      </w:r>
      <w:r w:rsidR="0080026C">
        <w:rPr>
          <w:rFonts w:cs="Arial"/>
          <w:bCs/>
          <w:sz w:val="24"/>
          <w:szCs w:val="24"/>
        </w:rPr>
        <w:t xml:space="preserve">It was argued by the applicant that the LPC in failing to register the Cession has misconstrued the provisions of rule 22.1.6.  For the reasons that have been set out above, I find that the LPC’s interpretation of the rule and application of it to exclude persons such as the applicant, who may have had broken service, from registering a cession of their contract when the rule itself specifically provides for the registration of cessions in certain circumstances were broken service is permitted and that a Cession of the PVT Contract notwithstanding such broken service can be registered. </w:t>
      </w:r>
    </w:p>
    <w:p w14:paraId="03582382" w14:textId="77777777" w:rsidR="002706C7" w:rsidRDefault="002706C7" w:rsidP="002706C7">
      <w:pPr>
        <w:pStyle w:val="Body"/>
        <w:spacing w:line="360" w:lineRule="auto"/>
        <w:ind w:left="1985"/>
        <w:jc w:val="both"/>
        <w:rPr>
          <w:rFonts w:cs="Arial"/>
          <w:bCs/>
          <w:sz w:val="24"/>
          <w:szCs w:val="24"/>
        </w:rPr>
      </w:pPr>
    </w:p>
    <w:p w14:paraId="25A89A78" w14:textId="78D751D8" w:rsidR="006470BA" w:rsidRDefault="002706C7" w:rsidP="00726F7B">
      <w:pPr>
        <w:pStyle w:val="Body"/>
        <w:spacing w:line="360" w:lineRule="auto"/>
        <w:ind w:left="3119" w:hanging="1134"/>
        <w:jc w:val="both"/>
        <w:rPr>
          <w:rFonts w:cs="Arial"/>
          <w:bCs/>
          <w:sz w:val="24"/>
          <w:szCs w:val="24"/>
        </w:rPr>
      </w:pPr>
      <w:r>
        <w:rPr>
          <w:rFonts w:cs="Arial"/>
          <w:bCs/>
          <w:sz w:val="24"/>
          <w:szCs w:val="24"/>
        </w:rPr>
        <w:t>[</w:t>
      </w:r>
      <w:r w:rsidR="00726F7B">
        <w:rPr>
          <w:rFonts w:cs="Arial"/>
          <w:bCs/>
          <w:sz w:val="24"/>
          <w:szCs w:val="24"/>
        </w:rPr>
        <w:t>3</w:t>
      </w:r>
      <w:r w:rsidR="007E0B8D">
        <w:rPr>
          <w:rFonts w:cs="Arial"/>
          <w:bCs/>
          <w:sz w:val="24"/>
          <w:szCs w:val="24"/>
        </w:rPr>
        <w:t>2</w:t>
      </w:r>
      <w:r>
        <w:rPr>
          <w:rFonts w:cs="Arial"/>
          <w:bCs/>
          <w:sz w:val="24"/>
          <w:szCs w:val="24"/>
        </w:rPr>
        <w:t>.2.2]</w:t>
      </w:r>
      <w:r w:rsidR="0080026C">
        <w:rPr>
          <w:rFonts w:cs="Arial"/>
          <w:bCs/>
          <w:sz w:val="24"/>
          <w:szCs w:val="24"/>
        </w:rPr>
        <w:tab/>
        <w:t xml:space="preserve">In </w:t>
      </w:r>
      <w:r w:rsidR="0080026C" w:rsidRPr="0080026C">
        <w:rPr>
          <w:rFonts w:cs="Arial"/>
          <w:bCs/>
          <w:i/>
          <w:iCs/>
          <w:sz w:val="24"/>
          <w:szCs w:val="24"/>
        </w:rPr>
        <w:t xml:space="preserve">Genesis Medical Scheme v Registrar of Medical Schemes </w:t>
      </w:r>
      <w:r w:rsidR="00E010DF" w:rsidRPr="0080026C">
        <w:rPr>
          <w:rFonts w:cs="Arial"/>
          <w:bCs/>
          <w:i/>
          <w:iCs/>
          <w:sz w:val="24"/>
          <w:szCs w:val="24"/>
        </w:rPr>
        <w:t>and Another</w:t>
      </w:r>
      <w:r w:rsidR="0080026C">
        <w:rPr>
          <w:rFonts w:cs="Arial"/>
          <w:bCs/>
          <w:sz w:val="24"/>
          <w:szCs w:val="24"/>
        </w:rPr>
        <w:t xml:space="preserve"> </w:t>
      </w:r>
      <w:r w:rsidR="0080026C">
        <w:rPr>
          <w:rStyle w:val="FootnoteReference"/>
          <w:rFonts w:cs="Arial"/>
          <w:bCs/>
          <w:sz w:val="24"/>
          <w:szCs w:val="24"/>
        </w:rPr>
        <w:footnoteReference w:id="13"/>
      </w:r>
      <w:r w:rsidR="0080026C">
        <w:rPr>
          <w:rFonts w:cs="Arial"/>
          <w:bCs/>
          <w:sz w:val="24"/>
          <w:szCs w:val="24"/>
        </w:rPr>
        <w:t xml:space="preserve"> it was held by the Constitutional Court that an error of law must be so material that the proper application of the law would render the decision so taken as being reviewable.  To my mind,</w:t>
      </w:r>
      <w:r w:rsidR="00377BC6">
        <w:rPr>
          <w:rFonts w:cs="Arial"/>
          <w:bCs/>
          <w:sz w:val="24"/>
          <w:szCs w:val="24"/>
        </w:rPr>
        <w:t xml:space="preserve"> this is apposite to the present case.</w:t>
      </w:r>
    </w:p>
    <w:p w14:paraId="25FE9955" w14:textId="77777777" w:rsidR="002706C7" w:rsidRDefault="002706C7" w:rsidP="00277F94">
      <w:pPr>
        <w:pStyle w:val="Body"/>
        <w:spacing w:line="360" w:lineRule="auto"/>
        <w:jc w:val="both"/>
        <w:rPr>
          <w:rFonts w:cs="Arial"/>
          <w:bCs/>
          <w:sz w:val="24"/>
          <w:szCs w:val="24"/>
        </w:rPr>
      </w:pPr>
    </w:p>
    <w:p w14:paraId="503AA8A3" w14:textId="7A1B9DB6" w:rsidR="006470BA" w:rsidRPr="0026085E" w:rsidRDefault="006470BA" w:rsidP="006470BA">
      <w:pPr>
        <w:pStyle w:val="Body"/>
        <w:spacing w:line="360" w:lineRule="auto"/>
        <w:ind w:left="1985" w:hanging="1134"/>
        <w:jc w:val="both"/>
        <w:rPr>
          <w:rFonts w:cs="Arial"/>
          <w:bCs/>
          <w:sz w:val="24"/>
          <w:szCs w:val="24"/>
        </w:rPr>
      </w:pPr>
      <w:r w:rsidRPr="0026085E">
        <w:rPr>
          <w:rFonts w:cs="Arial"/>
          <w:bCs/>
          <w:sz w:val="24"/>
          <w:szCs w:val="24"/>
        </w:rPr>
        <w:t>[</w:t>
      </w:r>
      <w:r w:rsidR="00726F7B" w:rsidRPr="0026085E">
        <w:rPr>
          <w:rFonts w:cs="Arial"/>
          <w:bCs/>
          <w:sz w:val="24"/>
          <w:szCs w:val="24"/>
        </w:rPr>
        <w:t>3</w:t>
      </w:r>
      <w:r w:rsidR="007E0B8D" w:rsidRPr="0026085E">
        <w:rPr>
          <w:rFonts w:cs="Arial"/>
          <w:bCs/>
          <w:sz w:val="24"/>
          <w:szCs w:val="24"/>
        </w:rPr>
        <w:t>2</w:t>
      </w:r>
      <w:r w:rsidRPr="0026085E">
        <w:rPr>
          <w:rFonts w:cs="Arial"/>
          <w:bCs/>
          <w:sz w:val="24"/>
          <w:szCs w:val="24"/>
        </w:rPr>
        <w:t>.</w:t>
      </w:r>
      <w:r w:rsidR="00864863" w:rsidRPr="0026085E">
        <w:rPr>
          <w:rFonts w:cs="Arial"/>
          <w:bCs/>
          <w:sz w:val="24"/>
          <w:szCs w:val="24"/>
        </w:rPr>
        <w:t>3</w:t>
      </w:r>
      <w:r w:rsidRPr="0026085E">
        <w:rPr>
          <w:rFonts w:cs="Arial"/>
          <w:bCs/>
          <w:sz w:val="24"/>
          <w:szCs w:val="24"/>
        </w:rPr>
        <w:t>]</w:t>
      </w:r>
      <w:r w:rsidRPr="0026085E">
        <w:rPr>
          <w:rFonts w:cs="Arial"/>
          <w:bCs/>
          <w:sz w:val="24"/>
          <w:szCs w:val="24"/>
        </w:rPr>
        <w:tab/>
      </w:r>
      <w:r w:rsidR="00864863" w:rsidRPr="0026085E">
        <w:rPr>
          <w:rFonts w:cs="Arial"/>
          <w:bCs/>
          <w:sz w:val="24"/>
          <w:szCs w:val="24"/>
        </w:rPr>
        <w:t>The action was not taken rationally to the purpose for which it was taken and/or the purpose of the empowering provision</w:t>
      </w:r>
      <w:r w:rsidR="0003278B" w:rsidRPr="0026085E">
        <w:rPr>
          <w:rFonts w:cs="Arial"/>
          <w:bCs/>
          <w:sz w:val="24"/>
          <w:szCs w:val="24"/>
        </w:rPr>
        <w:t>.</w:t>
      </w:r>
    </w:p>
    <w:p w14:paraId="49002281" w14:textId="77777777" w:rsidR="002706C7" w:rsidRPr="0003278B" w:rsidRDefault="002706C7" w:rsidP="006470BA">
      <w:pPr>
        <w:pStyle w:val="Body"/>
        <w:spacing w:line="360" w:lineRule="auto"/>
        <w:ind w:left="1985" w:hanging="1134"/>
        <w:jc w:val="both"/>
        <w:rPr>
          <w:rFonts w:cs="Arial"/>
          <w:b/>
          <w:sz w:val="24"/>
          <w:szCs w:val="24"/>
        </w:rPr>
      </w:pPr>
    </w:p>
    <w:p w14:paraId="0D380599" w14:textId="5A313D77" w:rsidR="00E010DF" w:rsidRDefault="002706C7" w:rsidP="00E010DF">
      <w:pPr>
        <w:pStyle w:val="Body"/>
        <w:tabs>
          <w:tab w:val="center" w:pos="3402"/>
        </w:tabs>
        <w:spacing w:line="360" w:lineRule="auto"/>
        <w:ind w:left="3119" w:hanging="1134"/>
        <w:jc w:val="both"/>
        <w:rPr>
          <w:rFonts w:cs="Arial"/>
          <w:bCs/>
          <w:sz w:val="24"/>
          <w:szCs w:val="24"/>
        </w:rPr>
      </w:pPr>
      <w:r>
        <w:rPr>
          <w:rFonts w:cs="Arial"/>
          <w:bCs/>
          <w:sz w:val="24"/>
          <w:szCs w:val="24"/>
        </w:rPr>
        <w:t>[</w:t>
      </w:r>
      <w:r w:rsidR="00726F7B">
        <w:rPr>
          <w:rFonts w:cs="Arial"/>
          <w:bCs/>
          <w:sz w:val="24"/>
          <w:szCs w:val="24"/>
        </w:rPr>
        <w:t>3</w:t>
      </w:r>
      <w:r w:rsidR="007E0B8D">
        <w:rPr>
          <w:rFonts w:cs="Arial"/>
          <w:bCs/>
          <w:sz w:val="24"/>
          <w:szCs w:val="24"/>
        </w:rPr>
        <w:t>2</w:t>
      </w:r>
      <w:r>
        <w:rPr>
          <w:rFonts w:cs="Arial"/>
          <w:bCs/>
          <w:sz w:val="24"/>
          <w:szCs w:val="24"/>
        </w:rPr>
        <w:t>.</w:t>
      </w:r>
      <w:r w:rsidR="00864863">
        <w:rPr>
          <w:rFonts w:cs="Arial"/>
          <w:bCs/>
          <w:sz w:val="24"/>
          <w:szCs w:val="24"/>
        </w:rPr>
        <w:t>3</w:t>
      </w:r>
      <w:r>
        <w:rPr>
          <w:rFonts w:cs="Arial"/>
          <w:bCs/>
          <w:sz w:val="24"/>
          <w:szCs w:val="24"/>
        </w:rPr>
        <w:t>.1]</w:t>
      </w:r>
      <w:r>
        <w:rPr>
          <w:rFonts w:cs="Arial"/>
          <w:bCs/>
          <w:sz w:val="24"/>
          <w:szCs w:val="24"/>
        </w:rPr>
        <w:tab/>
      </w:r>
      <w:r w:rsidR="00377BC6">
        <w:rPr>
          <w:rFonts w:cs="Arial"/>
          <w:bCs/>
          <w:sz w:val="24"/>
          <w:szCs w:val="24"/>
        </w:rPr>
        <w:tab/>
        <w:t>The main purpose of rule 22.1.6 is to fairly and practically cater for instances Candidate Attorneys such as the applicant find themselves for whatever reason, in a position where they are no longer able</w:t>
      </w:r>
      <w:r w:rsidR="002C040B">
        <w:rPr>
          <w:rFonts w:cs="Arial"/>
          <w:bCs/>
          <w:sz w:val="24"/>
          <w:szCs w:val="24"/>
        </w:rPr>
        <w:t xml:space="preserve"> or willing to </w:t>
      </w:r>
      <w:r w:rsidR="002C040B">
        <w:rPr>
          <w:rFonts w:cs="Arial"/>
          <w:bCs/>
          <w:sz w:val="24"/>
          <w:szCs w:val="24"/>
        </w:rPr>
        <w:lastRenderedPageBreak/>
        <w:t xml:space="preserve">continue with their PVT training with their initial principal and seek to complete that training with another principal.  </w:t>
      </w:r>
    </w:p>
    <w:p w14:paraId="3B9B9834" w14:textId="77777777" w:rsidR="00E010DF" w:rsidRDefault="00E010DF" w:rsidP="00E010DF">
      <w:pPr>
        <w:pStyle w:val="Body"/>
        <w:tabs>
          <w:tab w:val="center" w:pos="3402"/>
        </w:tabs>
        <w:spacing w:line="360" w:lineRule="auto"/>
        <w:ind w:left="3119" w:hanging="1134"/>
        <w:jc w:val="both"/>
        <w:rPr>
          <w:rFonts w:cs="Arial"/>
          <w:bCs/>
          <w:sz w:val="24"/>
          <w:szCs w:val="24"/>
        </w:rPr>
      </w:pPr>
    </w:p>
    <w:p w14:paraId="0E11C4F5" w14:textId="30D29CDC" w:rsidR="00726F7B" w:rsidRDefault="00E010DF" w:rsidP="00E010DF">
      <w:pPr>
        <w:pStyle w:val="Body"/>
        <w:tabs>
          <w:tab w:val="center" w:pos="3402"/>
        </w:tabs>
        <w:spacing w:line="360" w:lineRule="auto"/>
        <w:ind w:left="3119" w:hanging="1134"/>
        <w:jc w:val="both"/>
        <w:rPr>
          <w:rFonts w:cs="Arial"/>
          <w:bCs/>
          <w:sz w:val="24"/>
          <w:szCs w:val="24"/>
        </w:rPr>
      </w:pPr>
      <w:r>
        <w:rPr>
          <w:rFonts w:cs="Arial"/>
          <w:bCs/>
          <w:sz w:val="24"/>
          <w:szCs w:val="24"/>
        </w:rPr>
        <w:t>[</w:t>
      </w:r>
      <w:r w:rsidR="00726F7B">
        <w:rPr>
          <w:rFonts w:cs="Arial"/>
          <w:bCs/>
          <w:sz w:val="24"/>
          <w:szCs w:val="24"/>
        </w:rPr>
        <w:t>3</w:t>
      </w:r>
      <w:r w:rsidR="007E0B8D">
        <w:rPr>
          <w:rFonts w:cs="Arial"/>
          <w:bCs/>
          <w:sz w:val="24"/>
          <w:szCs w:val="24"/>
        </w:rPr>
        <w:t>2</w:t>
      </w:r>
      <w:r>
        <w:rPr>
          <w:rFonts w:cs="Arial"/>
          <w:bCs/>
          <w:sz w:val="24"/>
          <w:szCs w:val="24"/>
        </w:rPr>
        <w:t>.3.2]</w:t>
      </w:r>
      <w:r>
        <w:rPr>
          <w:rFonts w:cs="Arial"/>
          <w:bCs/>
          <w:sz w:val="24"/>
          <w:szCs w:val="24"/>
        </w:rPr>
        <w:tab/>
      </w:r>
      <w:r w:rsidR="00726F7B">
        <w:rPr>
          <w:rFonts w:cs="Arial"/>
          <w:bCs/>
          <w:sz w:val="24"/>
          <w:szCs w:val="24"/>
        </w:rPr>
        <w:t>It was argued on the part of the LPC that broken service was not permitted because once a PVC Contract had terminated (</w:t>
      </w:r>
      <w:r w:rsidR="00726F7B" w:rsidRPr="00726F7B">
        <w:rPr>
          <w:rFonts w:cs="Arial"/>
          <w:bCs/>
          <w:i/>
          <w:iCs/>
          <w:sz w:val="24"/>
          <w:szCs w:val="24"/>
        </w:rPr>
        <w:t>ipso facto</w:t>
      </w:r>
      <w:r w:rsidR="00726F7B">
        <w:rPr>
          <w:rFonts w:cs="Arial"/>
          <w:bCs/>
          <w:sz w:val="24"/>
          <w:szCs w:val="24"/>
        </w:rPr>
        <w:t xml:space="preserve"> a break in service so it was argued) meant that there was no extant Contract that could be ceded and that for that reason alone, there was no obligation upon the LPC to register the Cession.</w:t>
      </w:r>
    </w:p>
    <w:p w14:paraId="55E27A06" w14:textId="6C701BC2" w:rsidR="00726F7B" w:rsidRDefault="00726F7B" w:rsidP="00E010DF">
      <w:pPr>
        <w:pStyle w:val="Body"/>
        <w:tabs>
          <w:tab w:val="center" w:pos="3402"/>
        </w:tabs>
        <w:spacing w:line="360" w:lineRule="auto"/>
        <w:ind w:left="3119" w:hanging="1134"/>
        <w:jc w:val="both"/>
        <w:rPr>
          <w:rFonts w:cs="Arial"/>
          <w:bCs/>
          <w:sz w:val="24"/>
          <w:szCs w:val="24"/>
        </w:rPr>
      </w:pPr>
    </w:p>
    <w:p w14:paraId="23E5CAAE" w14:textId="7BA2F2EF" w:rsidR="00726F7B" w:rsidRDefault="00726F7B" w:rsidP="009C0342">
      <w:pPr>
        <w:pStyle w:val="Body"/>
        <w:tabs>
          <w:tab w:val="center" w:pos="3402"/>
        </w:tabs>
        <w:spacing w:line="360" w:lineRule="auto"/>
        <w:ind w:left="3119" w:hanging="1134"/>
        <w:jc w:val="both"/>
        <w:rPr>
          <w:rFonts w:cs="Arial"/>
          <w:bCs/>
          <w:sz w:val="24"/>
          <w:szCs w:val="24"/>
        </w:rPr>
      </w:pPr>
      <w:r>
        <w:rPr>
          <w:rFonts w:cs="Arial"/>
          <w:bCs/>
          <w:sz w:val="24"/>
          <w:szCs w:val="24"/>
        </w:rPr>
        <w:t>[3</w:t>
      </w:r>
      <w:r w:rsidR="007E0B8D">
        <w:rPr>
          <w:rFonts w:cs="Arial"/>
          <w:bCs/>
          <w:sz w:val="24"/>
          <w:szCs w:val="24"/>
        </w:rPr>
        <w:t>2</w:t>
      </w:r>
      <w:r>
        <w:rPr>
          <w:rFonts w:cs="Arial"/>
          <w:bCs/>
          <w:sz w:val="24"/>
          <w:szCs w:val="24"/>
        </w:rPr>
        <w:t>.3.3]</w:t>
      </w:r>
      <w:r>
        <w:rPr>
          <w:rFonts w:cs="Arial"/>
          <w:bCs/>
          <w:sz w:val="24"/>
          <w:szCs w:val="24"/>
        </w:rPr>
        <w:tab/>
        <w:t>The</w:t>
      </w:r>
      <w:r w:rsidR="0058761F">
        <w:rPr>
          <w:rFonts w:cs="Arial"/>
          <w:bCs/>
          <w:sz w:val="24"/>
          <w:szCs w:val="24"/>
        </w:rPr>
        <w:t xml:space="preserve"> LPC sought to rely on </w:t>
      </w:r>
      <w:r w:rsidR="0058761F" w:rsidRPr="0058761F">
        <w:rPr>
          <w:rFonts w:cs="Arial"/>
          <w:bCs/>
          <w:i/>
          <w:iCs/>
          <w:sz w:val="24"/>
          <w:szCs w:val="24"/>
        </w:rPr>
        <w:t>De Kock &amp; Others v Legal Practice Council Gauteng, Provincial Office</w:t>
      </w:r>
      <w:r w:rsidR="0058761F">
        <w:rPr>
          <w:rStyle w:val="FootnoteReference"/>
          <w:rFonts w:cs="Arial"/>
          <w:bCs/>
          <w:sz w:val="24"/>
          <w:szCs w:val="24"/>
        </w:rPr>
        <w:footnoteReference w:id="14"/>
      </w:r>
      <w:r w:rsidR="0058761F">
        <w:rPr>
          <w:rFonts w:cs="Arial"/>
          <w:bCs/>
          <w:sz w:val="24"/>
          <w:szCs w:val="24"/>
        </w:rPr>
        <w:t xml:space="preserve"> as authority for this proposition.  The present matter is however distinguishable.  In </w:t>
      </w:r>
      <w:r w:rsidR="0058761F" w:rsidRPr="0058761F">
        <w:rPr>
          <w:rFonts w:cs="Arial"/>
          <w:bCs/>
          <w:i/>
          <w:iCs/>
          <w:sz w:val="24"/>
          <w:szCs w:val="24"/>
        </w:rPr>
        <w:t>De Kock &amp; Others</w:t>
      </w:r>
      <w:r w:rsidR="0058761F">
        <w:rPr>
          <w:rFonts w:cs="Arial"/>
          <w:bCs/>
          <w:sz w:val="24"/>
          <w:szCs w:val="24"/>
        </w:rPr>
        <w:t xml:space="preserve">, the applicants sought an order compelling the registration of </w:t>
      </w:r>
      <w:r w:rsidR="0058761F" w:rsidRPr="00A04229">
        <w:rPr>
          <w:rFonts w:cs="Arial"/>
          <w:bCs/>
          <w:sz w:val="24"/>
          <w:szCs w:val="24"/>
        </w:rPr>
        <w:t xml:space="preserve">cessions of contract outside of the 2-month period referred to in rule 22.1.6.4.  In the present instance, the applicant had within a few weeks commenced employment and </w:t>
      </w:r>
      <w:r w:rsidR="0058761F">
        <w:rPr>
          <w:rFonts w:cs="Arial"/>
          <w:bCs/>
          <w:sz w:val="24"/>
          <w:szCs w:val="24"/>
        </w:rPr>
        <w:t>submitted his Cession to the LPC for registration.</w:t>
      </w:r>
    </w:p>
    <w:p w14:paraId="5FC9EF26" w14:textId="60E85D25" w:rsidR="0058761F" w:rsidRDefault="0058761F" w:rsidP="00E010DF">
      <w:pPr>
        <w:pStyle w:val="Body"/>
        <w:tabs>
          <w:tab w:val="center" w:pos="3402"/>
        </w:tabs>
        <w:spacing w:line="360" w:lineRule="auto"/>
        <w:ind w:left="3119" w:hanging="1134"/>
        <w:jc w:val="both"/>
        <w:rPr>
          <w:rFonts w:cs="Arial"/>
          <w:bCs/>
          <w:sz w:val="24"/>
          <w:szCs w:val="24"/>
        </w:rPr>
      </w:pPr>
    </w:p>
    <w:p w14:paraId="06D642F0" w14:textId="28F0E74A" w:rsidR="00A04229" w:rsidRDefault="0058761F" w:rsidP="000D7AB2">
      <w:pPr>
        <w:pStyle w:val="Body"/>
        <w:tabs>
          <w:tab w:val="center" w:pos="3402"/>
        </w:tabs>
        <w:spacing w:line="360" w:lineRule="auto"/>
        <w:ind w:left="3119" w:hanging="1134"/>
        <w:jc w:val="both"/>
        <w:rPr>
          <w:rFonts w:cs="Arial"/>
          <w:bCs/>
          <w:sz w:val="24"/>
          <w:szCs w:val="24"/>
        </w:rPr>
      </w:pPr>
      <w:r>
        <w:rPr>
          <w:rFonts w:cs="Arial"/>
          <w:bCs/>
          <w:sz w:val="24"/>
          <w:szCs w:val="24"/>
        </w:rPr>
        <w:t>[3</w:t>
      </w:r>
      <w:r w:rsidR="007E0B8D">
        <w:rPr>
          <w:rFonts w:cs="Arial"/>
          <w:bCs/>
          <w:sz w:val="24"/>
          <w:szCs w:val="24"/>
        </w:rPr>
        <w:t>2</w:t>
      </w:r>
      <w:r>
        <w:rPr>
          <w:rFonts w:cs="Arial"/>
          <w:bCs/>
          <w:sz w:val="24"/>
          <w:szCs w:val="24"/>
        </w:rPr>
        <w:t>.3.4]</w:t>
      </w:r>
      <w:r>
        <w:rPr>
          <w:rFonts w:cs="Arial"/>
          <w:bCs/>
          <w:sz w:val="24"/>
          <w:szCs w:val="24"/>
        </w:rPr>
        <w:tab/>
        <w:t xml:space="preserve">In </w:t>
      </w:r>
      <w:r w:rsidRPr="000D7AB2">
        <w:rPr>
          <w:rFonts w:cs="Arial"/>
          <w:bCs/>
          <w:i/>
          <w:iCs/>
          <w:sz w:val="24"/>
          <w:szCs w:val="24"/>
        </w:rPr>
        <w:t>De Kock &amp; Others</w:t>
      </w:r>
      <w:r>
        <w:rPr>
          <w:rFonts w:cs="Arial"/>
          <w:bCs/>
          <w:sz w:val="24"/>
          <w:szCs w:val="24"/>
        </w:rPr>
        <w:t xml:space="preserve"> it was found that: </w:t>
      </w:r>
      <w:r w:rsidR="000D7AB2">
        <w:rPr>
          <w:rFonts w:cs="Arial"/>
          <w:bCs/>
          <w:sz w:val="24"/>
          <w:szCs w:val="24"/>
        </w:rPr>
        <w:t xml:space="preserve"> </w:t>
      </w:r>
      <w:r w:rsidRPr="000D7AB2">
        <w:rPr>
          <w:rFonts w:cs="Arial"/>
          <w:bCs/>
          <w:i/>
          <w:iCs/>
          <w:sz w:val="22"/>
          <w:szCs w:val="22"/>
        </w:rPr>
        <w:t>“</w:t>
      </w:r>
      <w:r w:rsidR="000D7AB2" w:rsidRPr="000D7AB2">
        <w:rPr>
          <w:rFonts w:cs="Arial"/>
          <w:bCs/>
          <w:i/>
          <w:iCs/>
          <w:sz w:val="22"/>
          <w:szCs w:val="22"/>
        </w:rPr>
        <w:t>A cession can only take place if the contract that is ceded is still in existence at the time of the cession and a cession has the affect of transferring the ceded rights immediately from the cedent to the cessionary.”</w:t>
      </w:r>
      <w:r w:rsidR="000D7AB2">
        <w:rPr>
          <w:rFonts w:cs="Arial"/>
          <w:bCs/>
          <w:i/>
          <w:iCs/>
          <w:sz w:val="22"/>
          <w:szCs w:val="22"/>
        </w:rPr>
        <w:t xml:space="preserve">  </w:t>
      </w:r>
      <w:r w:rsidR="000D7AB2">
        <w:rPr>
          <w:rFonts w:cs="Arial"/>
          <w:bCs/>
          <w:sz w:val="24"/>
          <w:szCs w:val="24"/>
        </w:rPr>
        <w:t xml:space="preserve">The PVT Contract is not an ordinary commercial contract, for the reasons I have set out above.  </w:t>
      </w:r>
    </w:p>
    <w:p w14:paraId="01E9A994" w14:textId="77777777" w:rsidR="00A04229" w:rsidRDefault="00A04229" w:rsidP="000D7AB2">
      <w:pPr>
        <w:pStyle w:val="Body"/>
        <w:tabs>
          <w:tab w:val="center" w:pos="3402"/>
        </w:tabs>
        <w:spacing w:line="360" w:lineRule="auto"/>
        <w:ind w:left="3119" w:hanging="1134"/>
        <w:jc w:val="both"/>
        <w:rPr>
          <w:rFonts w:cs="Arial"/>
          <w:bCs/>
          <w:sz w:val="24"/>
          <w:szCs w:val="24"/>
        </w:rPr>
      </w:pPr>
    </w:p>
    <w:p w14:paraId="57D75AEE" w14:textId="5528E80C" w:rsidR="00A04229" w:rsidRDefault="00A04229" w:rsidP="000D7AB2">
      <w:pPr>
        <w:pStyle w:val="Body"/>
        <w:tabs>
          <w:tab w:val="center" w:pos="3402"/>
        </w:tabs>
        <w:spacing w:line="360" w:lineRule="auto"/>
        <w:ind w:left="3119" w:hanging="1134"/>
        <w:jc w:val="both"/>
        <w:rPr>
          <w:rFonts w:cs="Arial"/>
          <w:bCs/>
          <w:sz w:val="24"/>
          <w:szCs w:val="24"/>
        </w:rPr>
      </w:pPr>
      <w:r>
        <w:rPr>
          <w:rFonts w:cs="Arial"/>
          <w:bCs/>
          <w:sz w:val="24"/>
          <w:szCs w:val="24"/>
        </w:rPr>
        <w:t>[3</w:t>
      </w:r>
      <w:r w:rsidR="007E0B8D">
        <w:rPr>
          <w:rFonts w:cs="Arial"/>
          <w:bCs/>
          <w:sz w:val="24"/>
          <w:szCs w:val="24"/>
        </w:rPr>
        <w:t>2</w:t>
      </w:r>
      <w:r>
        <w:rPr>
          <w:rFonts w:cs="Arial"/>
          <w:bCs/>
          <w:sz w:val="24"/>
          <w:szCs w:val="24"/>
        </w:rPr>
        <w:t>.3.5]</w:t>
      </w:r>
      <w:r>
        <w:rPr>
          <w:rFonts w:cs="Arial"/>
          <w:bCs/>
          <w:sz w:val="24"/>
          <w:szCs w:val="24"/>
        </w:rPr>
        <w:tab/>
      </w:r>
      <w:r w:rsidR="000D7AB2">
        <w:rPr>
          <w:rFonts w:cs="Arial"/>
          <w:bCs/>
          <w:sz w:val="24"/>
          <w:szCs w:val="24"/>
        </w:rPr>
        <w:t xml:space="preserve">It is a special type of contract which finds like in the LPA and which must of necessity be interpreted consonant with the purpose for which the LPA was promulgated.  To do otherwise as I have said, would result in the </w:t>
      </w:r>
      <w:r w:rsidR="000D7AB2">
        <w:rPr>
          <w:rFonts w:cs="Arial"/>
          <w:bCs/>
          <w:sz w:val="24"/>
          <w:szCs w:val="24"/>
        </w:rPr>
        <w:lastRenderedPageBreak/>
        <w:t xml:space="preserve">absurd situation where broken service would be condoned if the principal suffered a misfortune but would not be condoned if he did not.  </w:t>
      </w:r>
    </w:p>
    <w:p w14:paraId="4E6170E8" w14:textId="77777777" w:rsidR="00A04229" w:rsidRDefault="00A04229" w:rsidP="000D7AB2">
      <w:pPr>
        <w:pStyle w:val="Body"/>
        <w:tabs>
          <w:tab w:val="center" w:pos="3402"/>
        </w:tabs>
        <w:spacing w:line="360" w:lineRule="auto"/>
        <w:ind w:left="3119" w:hanging="1134"/>
        <w:jc w:val="both"/>
        <w:rPr>
          <w:rFonts w:cs="Arial"/>
          <w:bCs/>
          <w:sz w:val="24"/>
          <w:szCs w:val="24"/>
        </w:rPr>
      </w:pPr>
    </w:p>
    <w:p w14:paraId="08B3BA09" w14:textId="466235D3" w:rsidR="00A04229" w:rsidRDefault="00A04229" w:rsidP="000D7AB2">
      <w:pPr>
        <w:pStyle w:val="Body"/>
        <w:tabs>
          <w:tab w:val="center" w:pos="3402"/>
        </w:tabs>
        <w:spacing w:line="360" w:lineRule="auto"/>
        <w:ind w:left="3119" w:hanging="1134"/>
        <w:jc w:val="both"/>
        <w:rPr>
          <w:rFonts w:cs="Arial"/>
          <w:bCs/>
          <w:sz w:val="24"/>
          <w:szCs w:val="24"/>
        </w:rPr>
      </w:pPr>
      <w:r>
        <w:rPr>
          <w:rFonts w:cs="Arial"/>
          <w:bCs/>
          <w:sz w:val="24"/>
          <w:szCs w:val="24"/>
        </w:rPr>
        <w:t>[3</w:t>
      </w:r>
      <w:r w:rsidR="007E0B8D">
        <w:rPr>
          <w:rFonts w:cs="Arial"/>
          <w:bCs/>
          <w:sz w:val="24"/>
          <w:szCs w:val="24"/>
        </w:rPr>
        <w:t>2</w:t>
      </w:r>
      <w:r>
        <w:rPr>
          <w:rFonts w:cs="Arial"/>
          <w:bCs/>
          <w:sz w:val="24"/>
          <w:szCs w:val="24"/>
        </w:rPr>
        <w:t>.3.6]</w:t>
      </w:r>
      <w:r>
        <w:rPr>
          <w:rFonts w:cs="Arial"/>
          <w:bCs/>
          <w:sz w:val="24"/>
          <w:szCs w:val="24"/>
        </w:rPr>
        <w:tab/>
      </w:r>
      <w:r w:rsidR="000D7AB2">
        <w:rPr>
          <w:rFonts w:cs="Arial"/>
          <w:bCs/>
          <w:sz w:val="24"/>
          <w:szCs w:val="24"/>
        </w:rPr>
        <w:t>Whether or not there has indeed been proper and satisfactory service under the PVT Contract whether continuously or broken, is more properly a matter to be decided by the Court hearing an application for admission.</w:t>
      </w:r>
      <w:r w:rsidR="00880943">
        <w:rPr>
          <w:rFonts w:cs="Arial"/>
          <w:bCs/>
          <w:sz w:val="24"/>
          <w:szCs w:val="24"/>
        </w:rPr>
        <w:t xml:space="preserve">  Such a Court would be in a position to review the entirety of the period for which the Candidate Attorney had served and all the circumstances relating thereto and to then decide whether or not that Candidate Attorney has met the requirement for admission.  </w:t>
      </w:r>
    </w:p>
    <w:p w14:paraId="4DE5B4CE" w14:textId="77777777" w:rsidR="00A04229" w:rsidRDefault="00A04229" w:rsidP="000D7AB2">
      <w:pPr>
        <w:pStyle w:val="Body"/>
        <w:tabs>
          <w:tab w:val="center" w:pos="3402"/>
        </w:tabs>
        <w:spacing w:line="360" w:lineRule="auto"/>
        <w:ind w:left="3119" w:hanging="1134"/>
        <w:jc w:val="both"/>
        <w:rPr>
          <w:rFonts w:cs="Arial"/>
          <w:bCs/>
          <w:sz w:val="24"/>
          <w:szCs w:val="24"/>
        </w:rPr>
      </w:pPr>
    </w:p>
    <w:p w14:paraId="4D4A3433" w14:textId="4C430D5F" w:rsidR="0058761F" w:rsidRDefault="00A04229" w:rsidP="000D7AB2">
      <w:pPr>
        <w:pStyle w:val="Body"/>
        <w:tabs>
          <w:tab w:val="center" w:pos="3402"/>
        </w:tabs>
        <w:spacing w:line="360" w:lineRule="auto"/>
        <w:ind w:left="3119" w:hanging="1134"/>
        <w:jc w:val="both"/>
        <w:rPr>
          <w:rFonts w:cs="Arial"/>
          <w:bCs/>
          <w:sz w:val="24"/>
          <w:szCs w:val="24"/>
        </w:rPr>
      </w:pPr>
      <w:r>
        <w:rPr>
          <w:rFonts w:cs="Arial"/>
          <w:bCs/>
          <w:sz w:val="24"/>
          <w:szCs w:val="24"/>
        </w:rPr>
        <w:t>[3</w:t>
      </w:r>
      <w:r w:rsidR="007E0B8D">
        <w:rPr>
          <w:rFonts w:cs="Arial"/>
          <w:bCs/>
          <w:sz w:val="24"/>
          <w:szCs w:val="24"/>
        </w:rPr>
        <w:t>2</w:t>
      </w:r>
      <w:r>
        <w:rPr>
          <w:rFonts w:cs="Arial"/>
          <w:bCs/>
          <w:sz w:val="24"/>
          <w:szCs w:val="24"/>
        </w:rPr>
        <w:t>.3.7]</w:t>
      </w:r>
      <w:r>
        <w:rPr>
          <w:rFonts w:cs="Arial"/>
          <w:bCs/>
          <w:sz w:val="24"/>
          <w:szCs w:val="24"/>
        </w:rPr>
        <w:tab/>
      </w:r>
      <w:r w:rsidR="00880943">
        <w:rPr>
          <w:rFonts w:cs="Arial"/>
          <w:bCs/>
          <w:sz w:val="24"/>
          <w:szCs w:val="24"/>
        </w:rPr>
        <w:t xml:space="preserve">It is simply not open to the LPC to adopt an interpretation of the rules which has as its consequence the arbitrary exclusion of certain persons from pursuing entry into the legal profession. </w:t>
      </w:r>
    </w:p>
    <w:p w14:paraId="4364C1B7" w14:textId="77777777" w:rsidR="009032D0" w:rsidRPr="000D7AB2" w:rsidRDefault="009032D0" w:rsidP="000D7AB2">
      <w:pPr>
        <w:pStyle w:val="Body"/>
        <w:tabs>
          <w:tab w:val="center" w:pos="3402"/>
        </w:tabs>
        <w:spacing w:line="360" w:lineRule="auto"/>
        <w:ind w:left="3119" w:hanging="1134"/>
        <w:jc w:val="both"/>
        <w:rPr>
          <w:rFonts w:cs="Arial"/>
          <w:bCs/>
          <w:sz w:val="24"/>
          <w:szCs w:val="24"/>
        </w:rPr>
      </w:pPr>
    </w:p>
    <w:p w14:paraId="48FD3835" w14:textId="2A2E7EAD" w:rsidR="00E010DF" w:rsidRDefault="009032D0" w:rsidP="00E010DF">
      <w:pPr>
        <w:pStyle w:val="Body"/>
        <w:tabs>
          <w:tab w:val="center" w:pos="3402"/>
        </w:tabs>
        <w:spacing w:line="360" w:lineRule="auto"/>
        <w:ind w:left="3119" w:hanging="1134"/>
        <w:jc w:val="both"/>
        <w:rPr>
          <w:rFonts w:cs="Arial"/>
          <w:bCs/>
          <w:sz w:val="24"/>
          <w:szCs w:val="24"/>
        </w:rPr>
      </w:pPr>
      <w:r>
        <w:rPr>
          <w:rFonts w:cs="Arial"/>
          <w:bCs/>
          <w:sz w:val="24"/>
          <w:szCs w:val="24"/>
        </w:rPr>
        <w:t xml:space="preserve"> </w:t>
      </w:r>
      <w:r w:rsidR="000D7AB2">
        <w:rPr>
          <w:rFonts w:cs="Arial"/>
          <w:bCs/>
          <w:sz w:val="24"/>
          <w:szCs w:val="24"/>
        </w:rPr>
        <w:t>[3</w:t>
      </w:r>
      <w:r w:rsidR="007E0B8D">
        <w:rPr>
          <w:rFonts w:cs="Arial"/>
          <w:bCs/>
          <w:sz w:val="24"/>
          <w:szCs w:val="24"/>
        </w:rPr>
        <w:t>2</w:t>
      </w:r>
      <w:r w:rsidR="00A04229">
        <w:rPr>
          <w:rFonts w:cs="Arial"/>
          <w:bCs/>
          <w:sz w:val="24"/>
          <w:szCs w:val="24"/>
        </w:rPr>
        <w:t>.3.8]</w:t>
      </w:r>
      <w:r w:rsidR="00A04229">
        <w:rPr>
          <w:rFonts w:cs="Arial"/>
          <w:bCs/>
          <w:sz w:val="24"/>
          <w:szCs w:val="24"/>
        </w:rPr>
        <w:tab/>
      </w:r>
      <w:r w:rsidR="002C040B">
        <w:rPr>
          <w:rFonts w:cs="Arial"/>
          <w:bCs/>
          <w:sz w:val="24"/>
          <w:szCs w:val="24"/>
        </w:rPr>
        <w:t>It is not possible to enumerate all the reasons why this may occur.  The reasons for this may be benign in that the Candidate Attorney wishes to obtain experience in areas of law in which the principal does not practice</w:t>
      </w:r>
      <w:r w:rsidR="006821CF">
        <w:rPr>
          <w:rFonts w:cs="Arial"/>
          <w:bCs/>
          <w:sz w:val="24"/>
          <w:szCs w:val="24"/>
        </w:rPr>
        <w:t xml:space="preserve"> or less benign where for example, the work environment and the relationship between the Candidate Attorney and the Principal have irretrievably been broken down.  </w:t>
      </w:r>
    </w:p>
    <w:p w14:paraId="13A0C219" w14:textId="77777777" w:rsidR="00E010DF" w:rsidRDefault="00E010DF" w:rsidP="00E010DF">
      <w:pPr>
        <w:pStyle w:val="Body"/>
        <w:tabs>
          <w:tab w:val="center" w:pos="3402"/>
        </w:tabs>
        <w:spacing w:line="360" w:lineRule="auto"/>
        <w:ind w:left="3119" w:hanging="1134"/>
        <w:jc w:val="both"/>
        <w:rPr>
          <w:rFonts w:cs="Arial"/>
          <w:bCs/>
          <w:sz w:val="24"/>
          <w:szCs w:val="24"/>
        </w:rPr>
      </w:pPr>
    </w:p>
    <w:p w14:paraId="70EA2B7D" w14:textId="4FFF5049" w:rsidR="00E010DF" w:rsidRDefault="00E010DF" w:rsidP="00E010DF">
      <w:pPr>
        <w:pStyle w:val="Body"/>
        <w:tabs>
          <w:tab w:val="center" w:pos="3402"/>
        </w:tabs>
        <w:spacing w:line="360" w:lineRule="auto"/>
        <w:ind w:left="3119" w:hanging="1134"/>
        <w:jc w:val="both"/>
        <w:rPr>
          <w:rFonts w:cs="Arial"/>
          <w:bCs/>
          <w:sz w:val="24"/>
          <w:szCs w:val="24"/>
        </w:rPr>
      </w:pPr>
      <w:r>
        <w:rPr>
          <w:rFonts w:cs="Arial"/>
          <w:bCs/>
          <w:sz w:val="24"/>
          <w:szCs w:val="24"/>
        </w:rPr>
        <w:t>[</w:t>
      </w:r>
      <w:r w:rsidR="00726F7B">
        <w:rPr>
          <w:rFonts w:cs="Arial"/>
          <w:bCs/>
          <w:sz w:val="24"/>
          <w:szCs w:val="24"/>
        </w:rPr>
        <w:t>3</w:t>
      </w:r>
      <w:r w:rsidR="007E0B8D">
        <w:rPr>
          <w:rFonts w:cs="Arial"/>
          <w:bCs/>
          <w:sz w:val="24"/>
          <w:szCs w:val="24"/>
        </w:rPr>
        <w:t>2</w:t>
      </w:r>
      <w:r>
        <w:rPr>
          <w:rFonts w:cs="Arial"/>
          <w:bCs/>
          <w:sz w:val="24"/>
          <w:szCs w:val="24"/>
        </w:rPr>
        <w:t>.3.</w:t>
      </w:r>
      <w:r w:rsidR="00A04229">
        <w:rPr>
          <w:rFonts w:cs="Arial"/>
          <w:bCs/>
          <w:sz w:val="24"/>
          <w:szCs w:val="24"/>
        </w:rPr>
        <w:t>9</w:t>
      </w:r>
      <w:r>
        <w:rPr>
          <w:rFonts w:cs="Arial"/>
          <w:bCs/>
          <w:sz w:val="24"/>
          <w:szCs w:val="24"/>
        </w:rPr>
        <w:t>]</w:t>
      </w:r>
      <w:r>
        <w:rPr>
          <w:rFonts w:cs="Arial"/>
          <w:bCs/>
          <w:sz w:val="24"/>
          <w:szCs w:val="24"/>
        </w:rPr>
        <w:tab/>
      </w:r>
      <w:r>
        <w:rPr>
          <w:rFonts w:cs="Arial"/>
          <w:bCs/>
          <w:sz w:val="24"/>
          <w:szCs w:val="24"/>
        </w:rPr>
        <w:tab/>
      </w:r>
      <w:r w:rsidR="00AA287D">
        <w:rPr>
          <w:rFonts w:cs="Arial"/>
          <w:bCs/>
          <w:sz w:val="24"/>
          <w:szCs w:val="24"/>
        </w:rPr>
        <w:t xml:space="preserve">Circumstances in which the maintenance of an ongoing working relationship is to be preserved while a Candidate Attorney is then required to secure an alternative Principal and to then start working for that principal the day after he or she leaves the employ of the first Principal is wholly impractical and may well, dependent upon the circumstances, be prejudicial.  </w:t>
      </w:r>
    </w:p>
    <w:p w14:paraId="482AE040" w14:textId="77777777" w:rsidR="00E010DF" w:rsidRDefault="00E010DF" w:rsidP="00377BC6">
      <w:pPr>
        <w:pStyle w:val="Body"/>
        <w:tabs>
          <w:tab w:val="center" w:pos="3402"/>
        </w:tabs>
        <w:spacing w:line="360" w:lineRule="auto"/>
        <w:ind w:left="1985"/>
        <w:jc w:val="both"/>
        <w:rPr>
          <w:rFonts w:cs="Arial"/>
          <w:bCs/>
          <w:sz w:val="24"/>
          <w:szCs w:val="24"/>
        </w:rPr>
      </w:pPr>
    </w:p>
    <w:p w14:paraId="75645425" w14:textId="0E845763" w:rsidR="006470BA" w:rsidRDefault="00E010DF" w:rsidP="00E010DF">
      <w:pPr>
        <w:pStyle w:val="Body"/>
        <w:tabs>
          <w:tab w:val="center" w:pos="3402"/>
        </w:tabs>
        <w:spacing w:line="360" w:lineRule="auto"/>
        <w:ind w:left="3119" w:hanging="1134"/>
        <w:jc w:val="both"/>
        <w:rPr>
          <w:rFonts w:cs="Arial"/>
          <w:bCs/>
          <w:sz w:val="24"/>
          <w:szCs w:val="24"/>
        </w:rPr>
      </w:pPr>
      <w:r>
        <w:rPr>
          <w:rFonts w:cs="Arial"/>
          <w:bCs/>
          <w:sz w:val="24"/>
          <w:szCs w:val="24"/>
        </w:rPr>
        <w:lastRenderedPageBreak/>
        <w:t>[</w:t>
      </w:r>
      <w:r w:rsidR="00726F7B">
        <w:rPr>
          <w:rFonts w:cs="Arial"/>
          <w:bCs/>
          <w:sz w:val="24"/>
          <w:szCs w:val="24"/>
        </w:rPr>
        <w:t>3</w:t>
      </w:r>
      <w:r w:rsidR="007E0B8D">
        <w:rPr>
          <w:rFonts w:cs="Arial"/>
          <w:bCs/>
          <w:sz w:val="24"/>
          <w:szCs w:val="24"/>
        </w:rPr>
        <w:t>2</w:t>
      </w:r>
      <w:r>
        <w:rPr>
          <w:rFonts w:cs="Arial"/>
          <w:bCs/>
          <w:sz w:val="24"/>
          <w:szCs w:val="24"/>
        </w:rPr>
        <w:t>.3.</w:t>
      </w:r>
      <w:r w:rsidR="00A04229">
        <w:rPr>
          <w:rFonts w:cs="Arial"/>
          <w:bCs/>
          <w:sz w:val="24"/>
          <w:szCs w:val="24"/>
        </w:rPr>
        <w:t>10</w:t>
      </w:r>
      <w:r>
        <w:rPr>
          <w:rFonts w:cs="Arial"/>
          <w:bCs/>
          <w:sz w:val="24"/>
          <w:szCs w:val="24"/>
        </w:rPr>
        <w:t>]</w:t>
      </w:r>
      <w:r>
        <w:rPr>
          <w:rFonts w:cs="Arial"/>
          <w:bCs/>
          <w:sz w:val="24"/>
          <w:szCs w:val="24"/>
        </w:rPr>
        <w:tab/>
      </w:r>
      <w:r>
        <w:rPr>
          <w:rFonts w:cs="Arial"/>
          <w:bCs/>
          <w:sz w:val="24"/>
          <w:szCs w:val="24"/>
        </w:rPr>
        <w:tab/>
      </w:r>
      <w:r w:rsidR="00AA287D">
        <w:rPr>
          <w:rFonts w:cs="Arial"/>
          <w:bCs/>
          <w:sz w:val="24"/>
          <w:szCs w:val="24"/>
        </w:rPr>
        <w:t>Having regard to the scheme of the LPA</w:t>
      </w:r>
      <w:r w:rsidR="00AF45D7">
        <w:rPr>
          <w:rFonts w:cs="Arial"/>
          <w:bCs/>
          <w:sz w:val="24"/>
          <w:szCs w:val="24"/>
        </w:rPr>
        <w:t xml:space="preserve"> and the purpose for which the LPC is established – to “</w:t>
      </w:r>
      <w:r w:rsidR="00AF45D7">
        <w:rPr>
          <w:rFonts w:cs="Arial"/>
          <w:bCs/>
          <w:i/>
          <w:iCs/>
          <w:sz w:val="22"/>
          <w:szCs w:val="22"/>
        </w:rPr>
        <w:t>promote access to the legal profession</w:t>
      </w:r>
      <w:r w:rsidR="00AF45D7">
        <w:rPr>
          <w:rStyle w:val="FootnoteReference"/>
          <w:rFonts w:cs="Arial"/>
          <w:bCs/>
          <w:i/>
          <w:iCs/>
          <w:sz w:val="22"/>
          <w:szCs w:val="22"/>
        </w:rPr>
        <w:footnoteReference w:id="15"/>
      </w:r>
      <w:r w:rsidR="00AF45D7">
        <w:rPr>
          <w:rFonts w:cs="Arial"/>
          <w:bCs/>
          <w:i/>
          <w:iCs/>
          <w:sz w:val="22"/>
          <w:szCs w:val="22"/>
        </w:rPr>
        <w:t xml:space="preserve">” </w:t>
      </w:r>
      <w:r w:rsidR="00AF45D7">
        <w:rPr>
          <w:rFonts w:cs="Arial"/>
          <w:bCs/>
          <w:sz w:val="24"/>
          <w:szCs w:val="24"/>
        </w:rPr>
        <w:t>and to “</w:t>
      </w:r>
      <w:r w:rsidR="00AF45D7">
        <w:rPr>
          <w:rFonts w:cs="Arial"/>
          <w:bCs/>
          <w:i/>
          <w:iCs/>
          <w:sz w:val="22"/>
          <w:szCs w:val="22"/>
        </w:rPr>
        <w:t>ensure accessible</w:t>
      </w:r>
      <w:r w:rsidR="001952ED">
        <w:rPr>
          <w:rFonts w:cs="Arial"/>
          <w:bCs/>
          <w:i/>
          <w:iCs/>
          <w:sz w:val="22"/>
          <w:szCs w:val="22"/>
        </w:rPr>
        <w:t xml:space="preserve"> and sustainable training of law graduates aspiring to be admitted and enrolled as legal practitioners” </w:t>
      </w:r>
      <w:r w:rsidR="001952ED">
        <w:rPr>
          <w:rStyle w:val="FootnoteReference"/>
          <w:rFonts w:cs="Arial"/>
          <w:bCs/>
          <w:i/>
          <w:iCs/>
          <w:sz w:val="22"/>
          <w:szCs w:val="22"/>
        </w:rPr>
        <w:footnoteReference w:id="16"/>
      </w:r>
      <w:r w:rsidR="001952ED">
        <w:rPr>
          <w:rFonts w:cs="Arial"/>
          <w:bCs/>
          <w:i/>
          <w:iCs/>
          <w:sz w:val="22"/>
          <w:szCs w:val="22"/>
        </w:rPr>
        <w:t xml:space="preserve"> </w:t>
      </w:r>
      <w:r w:rsidR="001952ED">
        <w:rPr>
          <w:rFonts w:cs="Arial"/>
          <w:bCs/>
          <w:sz w:val="24"/>
          <w:szCs w:val="24"/>
        </w:rPr>
        <w:t>and to “achieve the purpose”</w:t>
      </w:r>
      <w:r w:rsidR="001952ED" w:rsidRPr="001952ED">
        <w:rPr>
          <w:rStyle w:val="FootnoteReference"/>
          <w:rFonts w:cs="Arial"/>
          <w:bCs/>
          <w:sz w:val="24"/>
          <w:szCs w:val="24"/>
        </w:rPr>
        <w:t xml:space="preserve"> </w:t>
      </w:r>
      <w:r w:rsidR="001952ED">
        <w:rPr>
          <w:rStyle w:val="FootnoteReference"/>
          <w:rFonts w:cs="Arial"/>
          <w:bCs/>
          <w:sz w:val="24"/>
          <w:szCs w:val="24"/>
        </w:rPr>
        <w:footnoteReference w:id="17"/>
      </w:r>
      <w:r w:rsidR="001952ED">
        <w:rPr>
          <w:rFonts w:cs="Arial"/>
          <w:bCs/>
          <w:sz w:val="24"/>
          <w:szCs w:val="24"/>
        </w:rPr>
        <w:t xml:space="preserve"> of the LPA as set out in section 3(b)(iii) which enjoins the LPC to </w:t>
      </w:r>
      <w:r w:rsidR="001952ED" w:rsidRPr="001952ED">
        <w:rPr>
          <w:rFonts w:cs="Arial"/>
          <w:bCs/>
          <w:i/>
          <w:iCs/>
          <w:sz w:val="22"/>
          <w:szCs w:val="22"/>
        </w:rPr>
        <w:t>“broaden access to justice by putting in place – measures that provide equal opportunities for all aspirant legal practitioners in order to have a legal profession that broadly reflects the demographics of the Republic</w:t>
      </w:r>
      <w:r w:rsidR="001952ED">
        <w:rPr>
          <w:rFonts w:cs="Arial"/>
          <w:bCs/>
          <w:sz w:val="24"/>
          <w:szCs w:val="24"/>
        </w:rPr>
        <w:t>.”</w:t>
      </w:r>
      <w:r w:rsidR="001A21B6">
        <w:rPr>
          <w:rFonts w:cs="Arial"/>
          <w:bCs/>
          <w:sz w:val="24"/>
          <w:szCs w:val="24"/>
        </w:rPr>
        <w:t xml:space="preserve"> </w:t>
      </w:r>
    </w:p>
    <w:p w14:paraId="53117618" w14:textId="5FEC49D0" w:rsidR="001A21B6" w:rsidRDefault="001A21B6" w:rsidP="00377BC6">
      <w:pPr>
        <w:pStyle w:val="Body"/>
        <w:tabs>
          <w:tab w:val="center" w:pos="3402"/>
        </w:tabs>
        <w:spacing w:line="360" w:lineRule="auto"/>
        <w:ind w:left="1985"/>
        <w:jc w:val="both"/>
        <w:rPr>
          <w:rFonts w:cs="Arial"/>
          <w:bCs/>
          <w:sz w:val="24"/>
          <w:szCs w:val="24"/>
        </w:rPr>
      </w:pPr>
    </w:p>
    <w:p w14:paraId="06D89B44" w14:textId="04E75DE4" w:rsidR="001A21B6" w:rsidRPr="001952ED" w:rsidRDefault="00E010DF" w:rsidP="00E010DF">
      <w:pPr>
        <w:pStyle w:val="Body"/>
        <w:tabs>
          <w:tab w:val="center" w:pos="3402"/>
        </w:tabs>
        <w:spacing w:line="360" w:lineRule="auto"/>
        <w:ind w:left="3119" w:hanging="1134"/>
        <w:jc w:val="both"/>
        <w:rPr>
          <w:rFonts w:cs="Arial"/>
          <w:bCs/>
          <w:sz w:val="24"/>
          <w:szCs w:val="24"/>
        </w:rPr>
      </w:pPr>
      <w:r>
        <w:rPr>
          <w:rFonts w:cs="Arial"/>
          <w:bCs/>
          <w:sz w:val="24"/>
          <w:szCs w:val="24"/>
        </w:rPr>
        <w:t>[</w:t>
      </w:r>
      <w:r w:rsidR="00A04229">
        <w:rPr>
          <w:rFonts w:cs="Arial"/>
          <w:bCs/>
          <w:sz w:val="24"/>
          <w:szCs w:val="24"/>
        </w:rPr>
        <w:t>3</w:t>
      </w:r>
      <w:r w:rsidR="007E0B8D">
        <w:rPr>
          <w:rFonts w:cs="Arial"/>
          <w:bCs/>
          <w:sz w:val="24"/>
          <w:szCs w:val="24"/>
        </w:rPr>
        <w:t>2</w:t>
      </w:r>
      <w:r>
        <w:rPr>
          <w:rFonts w:cs="Arial"/>
          <w:bCs/>
          <w:sz w:val="24"/>
          <w:szCs w:val="24"/>
        </w:rPr>
        <w:t>.3</w:t>
      </w:r>
      <w:r w:rsidR="00A04229">
        <w:rPr>
          <w:rFonts w:cs="Arial"/>
          <w:bCs/>
          <w:sz w:val="24"/>
          <w:szCs w:val="24"/>
        </w:rPr>
        <w:t>.11</w:t>
      </w:r>
      <w:r>
        <w:rPr>
          <w:rFonts w:cs="Arial"/>
          <w:bCs/>
          <w:sz w:val="24"/>
          <w:szCs w:val="24"/>
        </w:rPr>
        <w:t>]</w:t>
      </w:r>
      <w:r>
        <w:rPr>
          <w:rFonts w:cs="Arial"/>
          <w:bCs/>
          <w:sz w:val="24"/>
          <w:szCs w:val="24"/>
        </w:rPr>
        <w:tab/>
      </w:r>
      <w:r>
        <w:rPr>
          <w:rFonts w:cs="Arial"/>
          <w:bCs/>
          <w:sz w:val="24"/>
          <w:szCs w:val="24"/>
        </w:rPr>
        <w:tab/>
      </w:r>
      <w:r w:rsidR="001A21B6">
        <w:rPr>
          <w:rFonts w:cs="Arial"/>
          <w:bCs/>
          <w:sz w:val="24"/>
          <w:szCs w:val="24"/>
        </w:rPr>
        <w:t xml:space="preserve">It was argued on behalf of the applicant that properly construed, the two month period referred to in rule </w:t>
      </w:r>
      <w:r w:rsidR="006B2A1E">
        <w:rPr>
          <w:rFonts w:cs="Arial"/>
          <w:bCs/>
          <w:sz w:val="24"/>
          <w:szCs w:val="24"/>
        </w:rPr>
        <w:t>22.1.6.4 in considering the purpose for which the rule was made must mean that a Candidate Attorney is afforded an opportunity, if the circumstances require it, to find a new Principal who would accept Cession of the PVT Contract.</w:t>
      </w:r>
    </w:p>
    <w:p w14:paraId="757A12D1" w14:textId="77777777" w:rsidR="006470BA" w:rsidRDefault="006470BA" w:rsidP="002706C7">
      <w:pPr>
        <w:pStyle w:val="Body"/>
        <w:spacing w:line="360" w:lineRule="auto"/>
        <w:jc w:val="both"/>
        <w:rPr>
          <w:rFonts w:cs="Arial"/>
          <w:bCs/>
          <w:sz w:val="24"/>
          <w:szCs w:val="24"/>
        </w:rPr>
      </w:pPr>
    </w:p>
    <w:p w14:paraId="7B7EBA65" w14:textId="70A16097" w:rsidR="000C0BD3" w:rsidRDefault="005959D6" w:rsidP="005959D6">
      <w:pPr>
        <w:pStyle w:val="Body"/>
        <w:spacing w:line="360" w:lineRule="auto"/>
        <w:ind w:left="851" w:hanging="851"/>
        <w:jc w:val="both"/>
        <w:rPr>
          <w:rFonts w:cs="Arial"/>
          <w:bCs/>
          <w:sz w:val="24"/>
          <w:szCs w:val="24"/>
        </w:rPr>
      </w:pPr>
      <w:r>
        <w:rPr>
          <w:rFonts w:cs="Arial"/>
          <w:sz w:val="24"/>
          <w:szCs w:val="24"/>
        </w:rPr>
        <w:t>[35]</w:t>
      </w:r>
      <w:r>
        <w:rPr>
          <w:rFonts w:cs="Arial"/>
          <w:sz w:val="24"/>
          <w:szCs w:val="24"/>
        </w:rPr>
        <w:tab/>
      </w:r>
      <w:r w:rsidR="000C0BD3">
        <w:rPr>
          <w:rFonts w:cs="Arial"/>
          <w:bCs/>
          <w:sz w:val="24"/>
          <w:szCs w:val="24"/>
        </w:rPr>
        <w:t>For the reasons that I have set out above, I find that the applicant has made out a case for the order sought.</w:t>
      </w:r>
      <w:r w:rsidR="003278E5">
        <w:rPr>
          <w:rFonts w:cs="Arial"/>
          <w:b/>
          <w:sz w:val="32"/>
          <w:szCs w:val="32"/>
        </w:rPr>
        <w:t xml:space="preserve"> </w:t>
      </w:r>
      <w:r w:rsidR="003278E5">
        <w:rPr>
          <w:rFonts w:cs="Arial"/>
          <w:bCs/>
          <w:sz w:val="24"/>
          <w:szCs w:val="24"/>
        </w:rPr>
        <w:t>Since his application for admission is enrolled for hearing tomorrow and to obviate any prejudice with further delays on the part of the LPC I intend to make an order deeming</w:t>
      </w:r>
      <w:r w:rsidR="003278E5">
        <w:rPr>
          <w:rStyle w:val="FootnoteReference"/>
          <w:rFonts w:cs="Arial"/>
          <w:bCs/>
          <w:sz w:val="24"/>
          <w:szCs w:val="24"/>
        </w:rPr>
        <w:footnoteReference w:id="18"/>
      </w:r>
      <w:r w:rsidR="003278E5">
        <w:rPr>
          <w:rFonts w:cs="Arial"/>
          <w:bCs/>
          <w:sz w:val="24"/>
          <w:szCs w:val="24"/>
        </w:rPr>
        <w:t xml:space="preserve"> the Cession to have been registered on 18 January 2024 when it was delivered to the LPC.</w:t>
      </w:r>
    </w:p>
    <w:p w14:paraId="1663995E" w14:textId="77777777" w:rsidR="000C0BD3" w:rsidRDefault="000C0BD3" w:rsidP="000C0BD3">
      <w:pPr>
        <w:pStyle w:val="Body"/>
        <w:spacing w:line="360" w:lineRule="auto"/>
        <w:ind w:left="851"/>
        <w:jc w:val="both"/>
        <w:rPr>
          <w:rFonts w:cs="Arial"/>
          <w:bCs/>
          <w:sz w:val="24"/>
          <w:szCs w:val="24"/>
        </w:rPr>
      </w:pPr>
    </w:p>
    <w:p w14:paraId="2FEF5C88" w14:textId="1AF62976" w:rsidR="000C0BD3" w:rsidRDefault="005959D6" w:rsidP="005959D6">
      <w:pPr>
        <w:pStyle w:val="Body"/>
        <w:spacing w:line="360" w:lineRule="auto"/>
        <w:ind w:left="851" w:hanging="851"/>
        <w:jc w:val="both"/>
        <w:rPr>
          <w:rFonts w:cs="Arial"/>
          <w:bCs/>
          <w:sz w:val="24"/>
          <w:szCs w:val="24"/>
        </w:rPr>
      </w:pPr>
      <w:r>
        <w:rPr>
          <w:rFonts w:cs="Arial"/>
          <w:sz w:val="24"/>
          <w:szCs w:val="24"/>
        </w:rPr>
        <w:t>[36]</w:t>
      </w:r>
      <w:r>
        <w:rPr>
          <w:rFonts w:cs="Arial"/>
          <w:sz w:val="24"/>
          <w:szCs w:val="24"/>
        </w:rPr>
        <w:tab/>
      </w:r>
      <w:r w:rsidR="000C0BD3">
        <w:rPr>
          <w:rFonts w:cs="Arial"/>
          <w:bCs/>
          <w:sz w:val="24"/>
          <w:szCs w:val="24"/>
        </w:rPr>
        <w:t xml:space="preserve">In regard to costs, these ordinarily follow the result.  It was argued on behalf of the applicant that given the nature and importance of the matter, that it was a wise and reasonable precaution for him to have engaged the services of two counsel in this matter.  The applicant further argued that given the particular circumstances under which the LPC had conducted itself, that the Court as a mark of its displeasure make a punitive order for costs against the LPC.  The </w:t>
      </w:r>
      <w:r w:rsidR="000C0BD3">
        <w:rPr>
          <w:rFonts w:cs="Arial"/>
          <w:bCs/>
          <w:sz w:val="24"/>
          <w:szCs w:val="24"/>
        </w:rPr>
        <w:lastRenderedPageBreak/>
        <w:t>LPC for its part argued that there is a general rule that the LPC is entitled to its costs even if unsuccessful and usually on an attorney and client scale.</w:t>
      </w:r>
      <w:r w:rsidR="007E0B8D">
        <w:rPr>
          <w:rStyle w:val="FootnoteReference"/>
          <w:rFonts w:cs="Arial"/>
          <w:bCs/>
          <w:sz w:val="24"/>
          <w:szCs w:val="24"/>
        </w:rPr>
        <w:footnoteReference w:id="19"/>
      </w:r>
    </w:p>
    <w:p w14:paraId="15A399C8" w14:textId="77777777" w:rsidR="007E0B8D" w:rsidRDefault="007E0B8D" w:rsidP="007E0B8D">
      <w:pPr>
        <w:pStyle w:val="ListParagraph"/>
        <w:rPr>
          <w:rFonts w:cs="Arial"/>
          <w:bCs/>
        </w:rPr>
      </w:pPr>
    </w:p>
    <w:p w14:paraId="10F15702" w14:textId="42BB817C" w:rsidR="007E0B8D" w:rsidRDefault="005959D6" w:rsidP="005959D6">
      <w:pPr>
        <w:pStyle w:val="Body"/>
        <w:spacing w:line="360" w:lineRule="auto"/>
        <w:ind w:left="851" w:hanging="851"/>
        <w:jc w:val="both"/>
        <w:rPr>
          <w:rFonts w:cs="Arial"/>
          <w:bCs/>
          <w:sz w:val="24"/>
          <w:szCs w:val="24"/>
        </w:rPr>
      </w:pPr>
      <w:r>
        <w:rPr>
          <w:rFonts w:cs="Arial"/>
          <w:sz w:val="24"/>
          <w:szCs w:val="24"/>
        </w:rPr>
        <w:t>[37]</w:t>
      </w:r>
      <w:r>
        <w:rPr>
          <w:rFonts w:cs="Arial"/>
          <w:sz w:val="24"/>
          <w:szCs w:val="24"/>
        </w:rPr>
        <w:tab/>
      </w:r>
      <w:r w:rsidR="007E0B8D">
        <w:rPr>
          <w:rFonts w:cs="Arial"/>
          <w:bCs/>
          <w:sz w:val="24"/>
          <w:szCs w:val="24"/>
        </w:rPr>
        <w:t>Having regard to the particular facts and circumstances in this matter, I am not persuaded that the applicant, a Candidate Attorney, ought to be deprived of his costs in view of the fact that he has been successful in the application.  The approach adopted by the LPC is not in keeping with its statutory obligations and is to be deprecated.  It is for this reason that I make the costs order that I do.</w:t>
      </w:r>
    </w:p>
    <w:p w14:paraId="0CBDA394" w14:textId="77777777" w:rsidR="000C0BD3" w:rsidRDefault="000C0BD3" w:rsidP="000C0BD3">
      <w:pPr>
        <w:pStyle w:val="ListParagraph"/>
        <w:rPr>
          <w:rFonts w:cs="Arial"/>
          <w:bCs/>
        </w:rPr>
      </w:pPr>
    </w:p>
    <w:p w14:paraId="6E5B6ABC" w14:textId="20644BC5" w:rsidR="00E5307D" w:rsidRDefault="005959D6" w:rsidP="005959D6">
      <w:pPr>
        <w:pStyle w:val="Body"/>
        <w:spacing w:line="360" w:lineRule="auto"/>
        <w:ind w:left="851" w:hanging="851"/>
        <w:jc w:val="both"/>
        <w:rPr>
          <w:rFonts w:cs="Arial"/>
          <w:bCs/>
          <w:sz w:val="24"/>
          <w:szCs w:val="24"/>
        </w:rPr>
      </w:pPr>
      <w:r>
        <w:rPr>
          <w:rFonts w:cs="Arial"/>
          <w:sz w:val="24"/>
          <w:szCs w:val="24"/>
        </w:rPr>
        <w:t>[38]</w:t>
      </w:r>
      <w:r>
        <w:rPr>
          <w:rFonts w:cs="Arial"/>
          <w:sz w:val="24"/>
          <w:szCs w:val="24"/>
        </w:rPr>
        <w:tab/>
      </w:r>
      <w:r w:rsidR="00E5307D">
        <w:rPr>
          <w:rFonts w:cs="Arial"/>
          <w:bCs/>
          <w:sz w:val="24"/>
          <w:szCs w:val="24"/>
        </w:rPr>
        <w:t>In the circumstances, it is ordered:</w:t>
      </w:r>
    </w:p>
    <w:p w14:paraId="543EE948" w14:textId="77777777" w:rsidR="004B1B24" w:rsidRDefault="004B1B24" w:rsidP="004B1B24">
      <w:pPr>
        <w:pStyle w:val="Body"/>
        <w:spacing w:line="360" w:lineRule="auto"/>
        <w:ind w:left="851"/>
        <w:jc w:val="both"/>
        <w:rPr>
          <w:rFonts w:cs="Arial"/>
          <w:bCs/>
          <w:sz w:val="24"/>
          <w:szCs w:val="24"/>
        </w:rPr>
      </w:pPr>
    </w:p>
    <w:p w14:paraId="6FCB174E" w14:textId="1273029B" w:rsidR="00E5307D" w:rsidRDefault="00E5307D" w:rsidP="004B1B24">
      <w:pPr>
        <w:pStyle w:val="Body"/>
        <w:spacing w:line="360" w:lineRule="auto"/>
        <w:ind w:left="1701" w:hanging="850"/>
        <w:jc w:val="both"/>
        <w:rPr>
          <w:rFonts w:cs="Arial"/>
          <w:bCs/>
          <w:sz w:val="24"/>
          <w:szCs w:val="24"/>
        </w:rPr>
      </w:pPr>
      <w:r>
        <w:rPr>
          <w:rFonts w:cs="Arial"/>
          <w:bCs/>
          <w:sz w:val="24"/>
          <w:szCs w:val="24"/>
        </w:rPr>
        <w:t>[</w:t>
      </w:r>
      <w:r w:rsidR="00A04229">
        <w:rPr>
          <w:rFonts w:cs="Arial"/>
          <w:bCs/>
          <w:sz w:val="24"/>
          <w:szCs w:val="24"/>
        </w:rPr>
        <w:t>3</w:t>
      </w:r>
      <w:r w:rsidR="007E0B8D">
        <w:rPr>
          <w:rFonts w:cs="Arial"/>
          <w:bCs/>
          <w:sz w:val="24"/>
          <w:szCs w:val="24"/>
        </w:rPr>
        <w:t>6</w:t>
      </w:r>
      <w:r>
        <w:rPr>
          <w:rFonts w:cs="Arial"/>
          <w:bCs/>
          <w:sz w:val="24"/>
          <w:szCs w:val="24"/>
        </w:rPr>
        <w:t>.1]</w:t>
      </w:r>
      <w:r>
        <w:rPr>
          <w:rFonts w:cs="Arial"/>
          <w:bCs/>
          <w:sz w:val="24"/>
          <w:szCs w:val="24"/>
        </w:rPr>
        <w:tab/>
        <w:t>The applicant’s non-compliance with the Uniform Rules of Court is hereby condoned and the matter is heard on an urgent basis in terms of rule 6(12)(a) of the Uniform Rules.</w:t>
      </w:r>
    </w:p>
    <w:p w14:paraId="788A8E44" w14:textId="77777777" w:rsidR="00E5307D" w:rsidRDefault="00E5307D" w:rsidP="004B1B24">
      <w:pPr>
        <w:pStyle w:val="Body"/>
        <w:spacing w:line="360" w:lineRule="auto"/>
        <w:ind w:left="1701" w:hanging="850"/>
        <w:jc w:val="both"/>
        <w:rPr>
          <w:rFonts w:cs="Arial"/>
          <w:bCs/>
          <w:sz w:val="24"/>
          <w:szCs w:val="24"/>
        </w:rPr>
      </w:pPr>
    </w:p>
    <w:p w14:paraId="477D8556" w14:textId="1D852F51" w:rsidR="00E5307D" w:rsidRDefault="00E5307D" w:rsidP="004B1B24">
      <w:pPr>
        <w:pStyle w:val="Body"/>
        <w:spacing w:line="360" w:lineRule="auto"/>
        <w:ind w:left="1701" w:hanging="850"/>
        <w:jc w:val="both"/>
        <w:rPr>
          <w:rFonts w:cs="Arial"/>
          <w:bCs/>
          <w:sz w:val="24"/>
          <w:szCs w:val="24"/>
        </w:rPr>
      </w:pPr>
      <w:r>
        <w:rPr>
          <w:rFonts w:cs="Arial"/>
          <w:bCs/>
          <w:sz w:val="24"/>
          <w:szCs w:val="24"/>
        </w:rPr>
        <w:t>[</w:t>
      </w:r>
      <w:r w:rsidR="00A04229">
        <w:rPr>
          <w:rFonts w:cs="Arial"/>
          <w:bCs/>
          <w:sz w:val="24"/>
          <w:szCs w:val="24"/>
        </w:rPr>
        <w:t>3</w:t>
      </w:r>
      <w:r w:rsidR="007E0B8D">
        <w:rPr>
          <w:rFonts w:cs="Arial"/>
          <w:bCs/>
          <w:sz w:val="24"/>
          <w:szCs w:val="24"/>
        </w:rPr>
        <w:t>6</w:t>
      </w:r>
      <w:r>
        <w:rPr>
          <w:rFonts w:cs="Arial"/>
          <w:bCs/>
          <w:sz w:val="24"/>
          <w:szCs w:val="24"/>
        </w:rPr>
        <w:t>.2]</w:t>
      </w:r>
      <w:r>
        <w:rPr>
          <w:rFonts w:cs="Arial"/>
          <w:bCs/>
          <w:sz w:val="24"/>
          <w:szCs w:val="24"/>
        </w:rPr>
        <w:tab/>
        <w:t>The First</w:t>
      </w:r>
      <w:r w:rsidR="00AE6409">
        <w:rPr>
          <w:rFonts w:cs="Arial"/>
          <w:bCs/>
          <w:sz w:val="24"/>
          <w:szCs w:val="24"/>
        </w:rPr>
        <w:t xml:space="preserve"> </w:t>
      </w:r>
      <w:r>
        <w:rPr>
          <w:rFonts w:cs="Arial"/>
          <w:bCs/>
          <w:sz w:val="24"/>
          <w:szCs w:val="24"/>
        </w:rPr>
        <w:t xml:space="preserve">and/or </w:t>
      </w:r>
      <w:r w:rsidR="00AE6409">
        <w:rPr>
          <w:rFonts w:cs="Arial"/>
          <w:bCs/>
          <w:sz w:val="24"/>
          <w:szCs w:val="24"/>
        </w:rPr>
        <w:t>Third</w:t>
      </w:r>
      <w:r>
        <w:rPr>
          <w:rFonts w:cs="Arial"/>
          <w:bCs/>
          <w:sz w:val="24"/>
          <w:szCs w:val="24"/>
        </w:rPr>
        <w:t xml:space="preserve"> Respondents’ decision not to register the applicant’s Cession of the PVT Contract is declared unlawful</w:t>
      </w:r>
      <w:r w:rsidR="00AE6409">
        <w:rPr>
          <w:rFonts w:cs="Arial"/>
          <w:bCs/>
          <w:sz w:val="24"/>
          <w:szCs w:val="24"/>
        </w:rPr>
        <w:t xml:space="preserve"> and is reviewed and set aside.</w:t>
      </w:r>
    </w:p>
    <w:p w14:paraId="5C85FE06" w14:textId="77777777" w:rsidR="00E5307D" w:rsidRDefault="00E5307D" w:rsidP="00AE6409">
      <w:pPr>
        <w:pStyle w:val="Body"/>
        <w:spacing w:line="360" w:lineRule="auto"/>
        <w:jc w:val="both"/>
        <w:rPr>
          <w:rFonts w:cs="Arial"/>
          <w:bCs/>
          <w:sz w:val="24"/>
          <w:szCs w:val="24"/>
        </w:rPr>
      </w:pPr>
    </w:p>
    <w:p w14:paraId="56B3FA47" w14:textId="77777777" w:rsidR="003278E5" w:rsidRDefault="00E5307D" w:rsidP="00AE6409">
      <w:pPr>
        <w:pStyle w:val="Body"/>
        <w:spacing w:line="360" w:lineRule="auto"/>
        <w:ind w:left="1701" w:hanging="814"/>
        <w:jc w:val="both"/>
        <w:rPr>
          <w:rFonts w:cs="Arial"/>
          <w:bCs/>
          <w:sz w:val="24"/>
          <w:szCs w:val="24"/>
        </w:rPr>
      </w:pPr>
      <w:r>
        <w:rPr>
          <w:rFonts w:cs="Arial"/>
          <w:bCs/>
          <w:sz w:val="24"/>
          <w:szCs w:val="24"/>
        </w:rPr>
        <w:t>[</w:t>
      </w:r>
      <w:r w:rsidR="00A04229">
        <w:rPr>
          <w:rFonts w:cs="Arial"/>
          <w:bCs/>
          <w:sz w:val="24"/>
          <w:szCs w:val="24"/>
        </w:rPr>
        <w:t>3</w:t>
      </w:r>
      <w:r w:rsidR="007E0B8D">
        <w:rPr>
          <w:rFonts w:cs="Arial"/>
          <w:bCs/>
          <w:sz w:val="24"/>
          <w:szCs w:val="24"/>
        </w:rPr>
        <w:t>6</w:t>
      </w:r>
      <w:r>
        <w:rPr>
          <w:rFonts w:cs="Arial"/>
          <w:bCs/>
          <w:sz w:val="24"/>
          <w:szCs w:val="24"/>
        </w:rPr>
        <w:t>.5]</w:t>
      </w:r>
      <w:r>
        <w:rPr>
          <w:rFonts w:cs="Arial"/>
          <w:bCs/>
          <w:sz w:val="24"/>
          <w:szCs w:val="24"/>
        </w:rPr>
        <w:tab/>
      </w:r>
      <w:r w:rsidR="003278E5">
        <w:rPr>
          <w:rFonts w:cs="Arial"/>
          <w:bCs/>
          <w:sz w:val="24"/>
          <w:szCs w:val="24"/>
        </w:rPr>
        <w:t>The Applicant’s cession of his PVT contract is deemed to have been duly registered on 18 January 2024.</w:t>
      </w:r>
    </w:p>
    <w:p w14:paraId="1E42881B" w14:textId="77777777" w:rsidR="004B1B24" w:rsidRDefault="004B1B24" w:rsidP="003278E5">
      <w:pPr>
        <w:pStyle w:val="Body"/>
        <w:spacing w:line="360" w:lineRule="auto"/>
        <w:jc w:val="both"/>
        <w:rPr>
          <w:rFonts w:cs="Arial"/>
          <w:bCs/>
          <w:sz w:val="24"/>
          <w:szCs w:val="24"/>
        </w:rPr>
      </w:pPr>
    </w:p>
    <w:p w14:paraId="57D512B1" w14:textId="542FE1E1" w:rsidR="008638C0" w:rsidRPr="005D79B5" w:rsidRDefault="004B1B24" w:rsidP="008638C0">
      <w:pPr>
        <w:pStyle w:val="Body"/>
        <w:spacing w:line="360" w:lineRule="auto"/>
        <w:ind w:left="1701" w:hanging="814"/>
        <w:jc w:val="both"/>
        <w:rPr>
          <w:rFonts w:cs="Arial"/>
          <w:bCs/>
          <w:sz w:val="24"/>
          <w:szCs w:val="24"/>
        </w:rPr>
      </w:pPr>
      <w:r>
        <w:rPr>
          <w:rFonts w:cs="Arial"/>
          <w:bCs/>
          <w:sz w:val="24"/>
          <w:szCs w:val="24"/>
        </w:rPr>
        <w:t>[</w:t>
      </w:r>
      <w:r w:rsidR="00A04229">
        <w:rPr>
          <w:rFonts w:cs="Arial"/>
          <w:bCs/>
          <w:sz w:val="24"/>
          <w:szCs w:val="24"/>
        </w:rPr>
        <w:t>3</w:t>
      </w:r>
      <w:r w:rsidR="007E0B8D">
        <w:rPr>
          <w:rFonts w:cs="Arial"/>
          <w:bCs/>
          <w:sz w:val="24"/>
          <w:szCs w:val="24"/>
        </w:rPr>
        <w:t>6</w:t>
      </w:r>
      <w:r>
        <w:rPr>
          <w:rFonts w:cs="Arial"/>
          <w:bCs/>
          <w:sz w:val="24"/>
          <w:szCs w:val="24"/>
        </w:rPr>
        <w:t>.6]</w:t>
      </w:r>
      <w:r w:rsidR="008638C0">
        <w:rPr>
          <w:rFonts w:cs="Arial"/>
          <w:bCs/>
          <w:sz w:val="24"/>
          <w:szCs w:val="24"/>
        </w:rPr>
        <w:tab/>
        <w:t>The First Respondent is ordered to pay the costs of the application on an attorney and client scale, which costs include the costs of two counsel.</w:t>
      </w:r>
    </w:p>
    <w:p w14:paraId="3513024C" w14:textId="243AFC20" w:rsidR="00E5307D" w:rsidRDefault="00E5307D" w:rsidP="004B1B24">
      <w:pPr>
        <w:pStyle w:val="Body"/>
        <w:spacing w:line="360" w:lineRule="auto"/>
        <w:ind w:left="1701" w:hanging="850"/>
        <w:jc w:val="both"/>
        <w:rPr>
          <w:rFonts w:cs="Arial"/>
          <w:bCs/>
          <w:sz w:val="24"/>
          <w:szCs w:val="24"/>
        </w:rPr>
      </w:pPr>
    </w:p>
    <w:p w14:paraId="6EB8DA97" w14:textId="44A6C007" w:rsidR="004B1B24" w:rsidRDefault="004B1B24" w:rsidP="004B1B24">
      <w:pPr>
        <w:pStyle w:val="Body"/>
        <w:spacing w:line="360" w:lineRule="auto"/>
        <w:ind w:left="720"/>
        <w:jc w:val="both"/>
        <w:rPr>
          <w:rFonts w:cs="Arial"/>
          <w:bCs/>
          <w:sz w:val="24"/>
          <w:szCs w:val="24"/>
        </w:rPr>
      </w:pPr>
    </w:p>
    <w:p w14:paraId="4C21990B" w14:textId="77777777" w:rsidR="004B1B24" w:rsidRPr="005D79B5" w:rsidRDefault="004B1B24" w:rsidP="004B1B24">
      <w:pPr>
        <w:pStyle w:val="Body"/>
        <w:spacing w:line="360" w:lineRule="auto"/>
        <w:ind w:left="720"/>
        <w:jc w:val="both"/>
        <w:rPr>
          <w:rFonts w:cs="Arial"/>
          <w:bCs/>
          <w:sz w:val="24"/>
          <w:szCs w:val="24"/>
        </w:rPr>
      </w:pPr>
    </w:p>
    <w:p w14:paraId="354BE9BD" w14:textId="77777777" w:rsidR="00E5307D" w:rsidRPr="005D79B5" w:rsidRDefault="00E5307D" w:rsidP="00E5307D">
      <w:pPr>
        <w:pStyle w:val="Body"/>
        <w:spacing w:line="360" w:lineRule="auto"/>
        <w:ind w:left="1134"/>
        <w:jc w:val="both"/>
        <w:rPr>
          <w:rFonts w:cs="Arial"/>
          <w:bCs/>
          <w:sz w:val="24"/>
          <w:szCs w:val="24"/>
        </w:rPr>
      </w:pPr>
    </w:p>
    <w:p w14:paraId="67B4416D" w14:textId="2B0D57E1" w:rsidR="001D6C62" w:rsidRPr="00194C0C" w:rsidRDefault="00101D88" w:rsidP="00194C0C">
      <w:pPr>
        <w:pStyle w:val="Body"/>
        <w:spacing w:line="360" w:lineRule="auto"/>
        <w:ind w:left="720"/>
        <w:jc w:val="right"/>
        <w:rPr>
          <w:rFonts w:cs="Arial"/>
          <w:sz w:val="24"/>
          <w:szCs w:val="24"/>
        </w:rPr>
      </w:pPr>
      <w:r w:rsidRPr="00413603">
        <w:rPr>
          <w:rFonts w:cs="Arial"/>
          <w:b/>
          <w:bCs/>
          <w:sz w:val="24"/>
          <w:szCs w:val="24"/>
        </w:rPr>
        <w:t>_____________________________</w:t>
      </w:r>
    </w:p>
    <w:p w14:paraId="7C493B1F" w14:textId="65ACEF1C" w:rsidR="00101D88" w:rsidRPr="00242E76" w:rsidRDefault="00101D88" w:rsidP="00194C0C">
      <w:pPr>
        <w:pStyle w:val="BodyA"/>
        <w:ind w:left="7920"/>
        <w:jc w:val="right"/>
        <w:rPr>
          <w:rFonts w:ascii="Arial" w:hAnsi="Arial" w:cs="Arial"/>
          <w:b/>
          <w:bCs/>
        </w:rPr>
      </w:pPr>
      <w:r w:rsidRPr="00242E76">
        <w:rPr>
          <w:rFonts w:ascii="Arial" w:hAnsi="Arial" w:cs="Arial"/>
          <w:b/>
          <w:bCs/>
        </w:rPr>
        <w:t>A MILLAR</w:t>
      </w:r>
    </w:p>
    <w:p w14:paraId="206E179D" w14:textId="76294E94" w:rsidR="00101D88" w:rsidRPr="00242E76" w:rsidRDefault="00101D88" w:rsidP="00194C0C">
      <w:pPr>
        <w:pStyle w:val="BodyA"/>
        <w:spacing w:before="120"/>
        <w:ind w:left="720"/>
        <w:jc w:val="right"/>
        <w:rPr>
          <w:rFonts w:ascii="Arial" w:hAnsi="Arial" w:cs="Arial"/>
          <w:b/>
          <w:bCs/>
        </w:rPr>
      </w:pPr>
      <w:r w:rsidRPr="00242E76">
        <w:rPr>
          <w:rFonts w:ascii="Arial" w:hAnsi="Arial" w:cs="Arial"/>
          <w:b/>
          <w:bCs/>
        </w:rPr>
        <w:t xml:space="preserve"> JUDGE OF THE HIGH COURT</w:t>
      </w:r>
    </w:p>
    <w:p w14:paraId="4EBF1408" w14:textId="77777777" w:rsidR="00416EA1" w:rsidRPr="00242E76" w:rsidRDefault="00416EA1" w:rsidP="00194C0C">
      <w:pPr>
        <w:spacing w:before="120"/>
        <w:ind w:left="720"/>
        <w:jc w:val="right"/>
        <w:rPr>
          <w:rFonts w:ascii="Arial" w:eastAsia="Arial Unicode MS" w:hAnsi="Arial" w:cs="Arial"/>
          <w:b/>
          <w:sz w:val="22"/>
          <w:szCs w:val="22"/>
        </w:rPr>
      </w:pPr>
      <w:r w:rsidRPr="00242E76">
        <w:rPr>
          <w:rFonts w:ascii="Arial" w:eastAsia="Arial Unicode MS" w:hAnsi="Arial" w:cs="Arial"/>
          <w:b/>
          <w:sz w:val="22"/>
          <w:szCs w:val="22"/>
        </w:rPr>
        <w:t>GAUTENG DIVISION, PRETORIA</w:t>
      </w:r>
    </w:p>
    <w:p w14:paraId="365DFCFC" w14:textId="77777777" w:rsidR="00416EA1" w:rsidRPr="00077E92" w:rsidRDefault="00416EA1" w:rsidP="008E6813">
      <w:pPr>
        <w:pStyle w:val="BodyA"/>
        <w:spacing w:line="360" w:lineRule="auto"/>
        <w:ind w:left="720"/>
        <w:jc w:val="right"/>
        <w:rPr>
          <w:rFonts w:ascii="Arial" w:eastAsia="Tahoma" w:hAnsi="Arial" w:cs="Arial"/>
          <w:b/>
          <w:bCs/>
        </w:rPr>
      </w:pPr>
    </w:p>
    <w:p w14:paraId="4A2A3FBF" w14:textId="51DC6B83" w:rsidR="00E55848" w:rsidRDefault="00E55848" w:rsidP="008E6813">
      <w:pPr>
        <w:spacing w:line="360" w:lineRule="auto"/>
        <w:ind w:left="567" w:hanging="567"/>
        <w:jc w:val="both"/>
        <w:rPr>
          <w:rFonts w:ascii="Arial" w:hAnsi="Arial" w:cs="Arial"/>
        </w:rPr>
      </w:pPr>
    </w:p>
    <w:p w14:paraId="6370866B" w14:textId="77777777" w:rsidR="00416EA1" w:rsidRDefault="00416EA1" w:rsidP="008E6813">
      <w:pPr>
        <w:spacing w:line="360" w:lineRule="auto"/>
        <w:ind w:left="567" w:hanging="567"/>
        <w:jc w:val="both"/>
        <w:rPr>
          <w:rFonts w:ascii="Arial" w:hAnsi="Arial" w:cs="Arial"/>
        </w:rPr>
      </w:pPr>
    </w:p>
    <w:p w14:paraId="5ACDA854" w14:textId="0517627F" w:rsidR="002040D5" w:rsidRPr="00194C0C" w:rsidRDefault="00412E0C" w:rsidP="00194C0C">
      <w:pPr>
        <w:spacing w:line="360" w:lineRule="auto"/>
        <w:ind w:left="567" w:hanging="567"/>
        <w:jc w:val="both"/>
        <w:rPr>
          <w:rFonts w:ascii="Arial" w:hAnsi="Arial" w:cs="Arial"/>
        </w:rPr>
      </w:pPr>
      <w:r w:rsidRPr="00194C0C">
        <w:rPr>
          <w:rFonts w:ascii="Arial" w:hAnsi="Arial" w:cs="Arial"/>
          <w:b/>
          <w:bCs/>
        </w:rPr>
        <w:t>HEARD ON:</w:t>
      </w:r>
      <w:r w:rsidRPr="00194C0C">
        <w:rPr>
          <w:rFonts w:ascii="Arial" w:hAnsi="Arial" w:cs="Arial"/>
        </w:rPr>
        <w:tab/>
      </w:r>
      <w:r w:rsidRPr="00194C0C">
        <w:rPr>
          <w:rFonts w:ascii="Arial" w:hAnsi="Arial" w:cs="Arial"/>
        </w:rPr>
        <w:tab/>
      </w:r>
      <w:r w:rsidRPr="00194C0C">
        <w:rPr>
          <w:rFonts w:ascii="Arial" w:hAnsi="Arial" w:cs="Arial"/>
        </w:rPr>
        <w:tab/>
      </w:r>
      <w:r w:rsidR="008D34A8" w:rsidRPr="00194C0C">
        <w:rPr>
          <w:rFonts w:ascii="Arial" w:hAnsi="Arial" w:cs="Arial"/>
        </w:rPr>
        <w:tab/>
      </w:r>
      <w:r w:rsidR="008D34A8" w:rsidRPr="00194C0C">
        <w:rPr>
          <w:rFonts w:ascii="Arial" w:hAnsi="Arial" w:cs="Arial"/>
        </w:rPr>
        <w:tab/>
      </w:r>
      <w:r w:rsidR="0027008F" w:rsidRPr="00194C0C">
        <w:rPr>
          <w:rFonts w:ascii="Arial" w:hAnsi="Arial" w:cs="Arial"/>
        </w:rPr>
        <w:tab/>
      </w:r>
      <w:r w:rsidR="00982904" w:rsidRPr="00194C0C">
        <w:rPr>
          <w:rFonts w:ascii="Arial" w:hAnsi="Arial" w:cs="Arial"/>
        </w:rPr>
        <w:t>14 MAY 2024</w:t>
      </w:r>
    </w:p>
    <w:p w14:paraId="7E6457D4" w14:textId="3060A7A4" w:rsidR="002040D5" w:rsidRPr="00194C0C" w:rsidRDefault="006630FB" w:rsidP="00194C0C">
      <w:pPr>
        <w:spacing w:line="360" w:lineRule="auto"/>
        <w:ind w:left="567" w:hanging="567"/>
        <w:jc w:val="both"/>
        <w:rPr>
          <w:rFonts w:ascii="Arial" w:hAnsi="Arial" w:cs="Arial"/>
        </w:rPr>
      </w:pPr>
      <w:r w:rsidRPr="00194C0C">
        <w:rPr>
          <w:rFonts w:ascii="Arial" w:hAnsi="Arial" w:cs="Arial"/>
          <w:b/>
          <w:bCs/>
        </w:rPr>
        <w:t>J</w:t>
      </w:r>
      <w:r w:rsidR="008D34A8" w:rsidRPr="00194C0C">
        <w:rPr>
          <w:rFonts w:ascii="Arial" w:hAnsi="Arial" w:cs="Arial"/>
          <w:b/>
          <w:bCs/>
        </w:rPr>
        <w:t>UDGMENT DELIVERED ON:</w:t>
      </w:r>
      <w:r w:rsidR="008D34A8" w:rsidRPr="00194C0C">
        <w:rPr>
          <w:rFonts w:ascii="Arial" w:hAnsi="Arial" w:cs="Arial"/>
        </w:rPr>
        <w:tab/>
      </w:r>
      <w:r w:rsidR="008D34A8" w:rsidRPr="00194C0C">
        <w:rPr>
          <w:rFonts w:ascii="Arial" w:hAnsi="Arial" w:cs="Arial"/>
        </w:rPr>
        <w:tab/>
      </w:r>
      <w:r w:rsidR="0027008F" w:rsidRPr="00194C0C">
        <w:rPr>
          <w:rFonts w:ascii="Arial" w:hAnsi="Arial" w:cs="Arial"/>
        </w:rPr>
        <w:tab/>
      </w:r>
      <w:r w:rsidR="00982904" w:rsidRPr="00194C0C">
        <w:rPr>
          <w:rFonts w:ascii="Arial" w:hAnsi="Arial" w:cs="Arial"/>
        </w:rPr>
        <w:t>15 MAY 2024</w:t>
      </w:r>
    </w:p>
    <w:p w14:paraId="70B75637" w14:textId="77777777" w:rsidR="006710DC" w:rsidRPr="00194C0C" w:rsidRDefault="006710DC" w:rsidP="00194C0C">
      <w:pPr>
        <w:spacing w:line="360" w:lineRule="auto"/>
        <w:ind w:left="567" w:hanging="567"/>
        <w:jc w:val="both"/>
        <w:rPr>
          <w:rFonts w:ascii="Arial" w:hAnsi="Arial" w:cs="Arial"/>
        </w:rPr>
      </w:pPr>
    </w:p>
    <w:p w14:paraId="02474508" w14:textId="4EB42E3B" w:rsidR="006630FB" w:rsidRDefault="006630FB" w:rsidP="00194C0C">
      <w:pPr>
        <w:spacing w:line="360" w:lineRule="auto"/>
        <w:ind w:left="567" w:hanging="567"/>
        <w:jc w:val="both"/>
        <w:rPr>
          <w:rFonts w:ascii="Arial" w:hAnsi="Arial" w:cs="Arial"/>
        </w:rPr>
      </w:pPr>
      <w:r w:rsidRPr="00194C0C">
        <w:rPr>
          <w:rFonts w:ascii="Arial" w:hAnsi="Arial" w:cs="Arial"/>
          <w:b/>
          <w:bCs/>
        </w:rPr>
        <w:t>COUNSEL</w:t>
      </w:r>
      <w:r w:rsidR="000E6633" w:rsidRPr="00194C0C">
        <w:rPr>
          <w:rFonts w:ascii="Arial" w:hAnsi="Arial" w:cs="Arial"/>
          <w:b/>
          <w:bCs/>
        </w:rPr>
        <w:t xml:space="preserve"> FOR THE </w:t>
      </w:r>
      <w:r w:rsidR="00982904" w:rsidRPr="00194C0C">
        <w:rPr>
          <w:rFonts w:ascii="Arial" w:hAnsi="Arial" w:cs="Arial"/>
          <w:b/>
          <w:bCs/>
        </w:rPr>
        <w:t>APPLICANT</w:t>
      </w:r>
      <w:r w:rsidR="00412E0C" w:rsidRPr="00194C0C">
        <w:rPr>
          <w:rFonts w:ascii="Arial" w:hAnsi="Arial" w:cs="Arial"/>
          <w:b/>
          <w:bCs/>
        </w:rPr>
        <w:t>:</w:t>
      </w:r>
      <w:r w:rsidR="00242E76" w:rsidRPr="00194C0C">
        <w:rPr>
          <w:rFonts w:ascii="Arial" w:hAnsi="Arial" w:cs="Arial"/>
        </w:rPr>
        <w:tab/>
      </w:r>
      <w:r w:rsidR="00D77C76" w:rsidRPr="00194C0C">
        <w:rPr>
          <w:rFonts w:ascii="Arial" w:hAnsi="Arial" w:cs="Arial"/>
        </w:rPr>
        <w:tab/>
        <w:t>ADV.</w:t>
      </w:r>
      <w:r w:rsidR="001F07DD" w:rsidRPr="00194C0C">
        <w:rPr>
          <w:rFonts w:ascii="Arial" w:hAnsi="Arial" w:cs="Arial"/>
        </w:rPr>
        <w:t xml:space="preserve"> </w:t>
      </w:r>
      <w:r w:rsidR="002C1185">
        <w:rPr>
          <w:rFonts w:ascii="Arial" w:hAnsi="Arial" w:cs="Arial"/>
        </w:rPr>
        <w:t>L</w:t>
      </w:r>
      <w:r w:rsidR="0045792B">
        <w:rPr>
          <w:rFonts w:ascii="Arial" w:hAnsi="Arial" w:cs="Arial"/>
        </w:rPr>
        <w:t xml:space="preserve"> MOELA</w:t>
      </w:r>
    </w:p>
    <w:p w14:paraId="16A6620B" w14:textId="5774AD78" w:rsidR="0045792B" w:rsidRPr="00194C0C" w:rsidRDefault="0045792B" w:rsidP="00194C0C">
      <w:pPr>
        <w:spacing w:line="360" w:lineRule="auto"/>
        <w:ind w:left="567" w:hanging="567"/>
        <w:jc w:val="both"/>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C1185">
        <w:rPr>
          <w:rFonts w:ascii="Arial" w:hAnsi="Arial" w:cs="Arial"/>
        </w:rPr>
        <w:t>ADV</w:t>
      </w:r>
      <w:r>
        <w:rPr>
          <w:rFonts w:ascii="Arial" w:hAnsi="Arial" w:cs="Arial"/>
          <w:b/>
          <w:bCs/>
        </w:rPr>
        <w:t>.</w:t>
      </w:r>
      <w:r>
        <w:rPr>
          <w:rFonts w:ascii="Arial" w:hAnsi="Arial" w:cs="Arial"/>
        </w:rPr>
        <w:t xml:space="preserve"> </w:t>
      </w:r>
      <w:r w:rsidR="002C1185">
        <w:rPr>
          <w:rFonts w:ascii="Arial" w:hAnsi="Arial" w:cs="Arial"/>
        </w:rPr>
        <w:t>M KIANGI</w:t>
      </w:r>
    </w:p>
    <w:p w14:paraId="6434C520" w14:textId="00206E7C" w:rsidR="006630FB" w:rsidRPr="00194C0C" w:rsidRDefault="006630FB" w:rsidP="00194C0C">
      <w:pPr>
        <w:spacing w:line="360" w:lineRule="auto"/>
        <w:ind w:left="567" w:hanging="567"/>
        <w:jc w:val="both"/>
        <w:rPr>
          <w:rFonts w:ascii="Arial" w:hAnsi="Arial" w:cs="Arial"/>
        </w:rPr>
      </w:pPr>
      <w:r w:rsidRPr="00194C0C">
        <w:rPr>
          <w:rFonts w:ascii="Arial" w:hAnsi="Arial" w:cs="Arial"/>
        </w:rPr>
        <w:t>INSTRUCTED BY:</w:t>
      </w:r>
      <w:r w:rsidRPr="00194C0C">
        <w:rPr>
          <w:rFonts w:ascii="Arial" w:hAnsi="Arial" w:cs="Arial"/>
        </w:rPr>
        <w:tab/>
      </w:r>
      <w:r w:rsidRPr="00194C0C">
        <w:rPr>
          <w:rFonts w:ascii="Arial" w:hAnsi="Arial" w:cs="Arial"/>
        </w:rPr>
        <w:tab/>
      </w:r>
      <w:r w:rsidRPr="00194C0C">
        <w:rPr>
          <w:rFonts w:ascii="Arial" w:hAnsi="Arial" w:cs="Arial"/>
        </w:rPr>
        <w:tab/>
      </w:r>
      <w:r w:rsidRPr="00194C0C">
        <w:rPr>
          <w:rFonts w:ascii="Arial" w:hAnsi="Arial" w:cs="Arial"/>
        </w:rPr>
        <w:tab/>
      </w:r>
      <w:r w:rsidR="0027008F" w:rsidRPr="00194C0C">
        <w:rPr>
          <w:rFonts w:ascii="Arial" w:hAnsi="Arial" w:cs="Arial"/>
        </w:rPr>
        <w:tab/>
      </w:r>
      <w:r w:rsidR="002C1185">
        <w:rPr>
          <w:rFonts w:ascii="Arial" w:hAnsi="Arial" w:cs="Arial"/>
        </w:rPr>
        <w:t>DIAHO ATTORNEYS INC</w:t>
      </w:r>
    </w:p>
    <w:p w14:paraId="7383FC0C" w14:textId="513375D4" w:rsidR="000E6633" w:rsidRPr="00194C0C" w:rsidRDefault="000E6633" w:rsidP="00194C0C">
      <w:pPr>
        <w:spacing w:line="360" w:lineRule="auto"/>
        <w:ind w:left="567" w:hanging="567"/>
        <w:jc w:val="both"/>
        <w:rPr>
          <w:rFonts w:ascii="Arial" w:hAnsi="Arial" w:cs="Arial"/>
        </w:rPr>
      </w:pPr>
      <w:r w:rsidRPr="00194C0C">
        <w:rPr>
          <w:rFonts w:ascii="Arial" w:hAnsi="Arial" w:cs="Arial"/>
        </w:rPr>
        <w:t>REFERENCE:</w:t>
      </w:r>
      <w:r w:rsidRPr="00194C0C">
        <w:rPr>
          <w:rFonts w:ascii="Arial" w:hAnsi="Arial" w:cs="Arial"/>
        </w:rPr>
        <w:tab/>
      </w:r>
      <w:r w:rsidRPr="00194C0C">
        <w:rPr>
          <w:rFonts w:ascii="Arial" w:hAnsi="Arial" w:cs="Arial"/>
        </w:rPr>
        <w:tab/>
      </w:r>
      <w:r w:rsidRPr="00194C0C">
        <w:rPr>
          <w:rFonts w:ascii="Arial" w:hAnsi="Arial" w:cs="Arial"/>
        </w:rPr>
        <w:tab/>
      </w:r>
      <w:r w:rsidRPr="00194C0C">
        <w:rPr>
          <w:rFonts w:ascii="Arial" w:hAnsi="Arial" w:cs="Arial"/>
        </w:rPr>
        <w:tab/>
      </w:r>
      <w:r w:rsidR="00242E76" w:rsidRPr="00194C0C">
        <w:rPr>
          <w:rFonts w:ascii="Arial" w:hAnsi="Arial" w:cs="Arial"/>
        </w:rPr>
        <w:tab/>
      </w:r>
      <w:r w:rsidR="002C1185">
        <w:rPr>
          <w:rFonts w:ascii="Arial" w:hAnsi="Arial" w:cs="Arial"/>
        </w:rPr>
        <w:t>MR E DIAHO</w:t>
      </w:r>
    </w:p>
    <w:p w14:paraId="4502317A" w14:textId="77777777" w:rsidR="000E6633" w:rsidRPr="00194C0C" w:rsidRDefault="000E6633" w:rsidP="00194C0C">
      <w:pPr>
        <w:spacing w:line="360" w:lineRule="auto"/>
        <w:ind w:left="567" w:hanging="567"/>
        <w:jc w:val="both"/>
        <w:rPr>
          <w:rFonts w:ascii="Arial" w:hAnsi="Arial" w:cs="Arial"/>
        </w:rPr>
      </w:pPr>
    </w:p>
    <w:p w14:paraId="78117EF9" w14:textId="77777777" w:rsidR="002C1185" w:rsidRDefault="002A6A3F" w:rsidP="00194C0C">
      <w:pPr>
        <w:spacing w:line="360" w:lineRule="auto"/>
        <w:ind w:left="567" w:hanging="567"/>
        <w:jc w:val="both"/>
        <w:rPr>
          <w:rFonts w:ascii="Arial" w:hAnsi="Arial" w:cs="Arial"/>
        </w:rPr>
      </w:pPr>
      <w:r w:rsidRPr="00194C0C">
        <w:rPr>
          <w:rFonts w:ascii="Arial" w:hAnsi="Arial" w:cs="Arial"/>
          <w:b/>
          <w:bCs/>
        </w:rPr>
        <w:t xml:space="preserve">COUNSEL FOR </w:t>
      </w:r>
      <w:r w:rsidR="00D77C76" w:rsidRPr="00194C0C">
        <w:rPr>
          <w:rFonts w:ascii="Arial" w:hAnsi="Arial" w:cs="Arial"/>
          <w:b/>
          <w:bCs/>
        </w:rPr>
        <w:t xml:space="preserve">THE </w:t>
      </w:r>
      <w:r w:rsidR="002C1185">
        <w:rPr>
          <w:rFonts w:ascii="Arial" w:hAnsi="Arial" w:cs="Arial"/>
          <w:b/>
          <w:bCs/>
        </w:rPr>
        <w:t>1</w:t>
      </w:r>
      <w:r w:rsidR="002C1185" w:rsidRPr="002C1185">
        <w:rPr>
          <w:rFonts w:ascii="Arial" w:hAnsi="Arial" w:cs="Arial"/>
          <w:b/>
          <w:bCs/>
          <w:vertAlign w:val="superscript"/>
        </w:rPr>
        <w:t>st</w:t>
      </w:r>
      <w:r w:rsidR="002C1185">
        <w:rPr>
          <w:rFonts w:ascii="Arial" w:hAnsi="Arial" w:cs="Arial"/>
          <w:b/>
          <w:bCs/>
        </w:rPr>
        <w:t xml:space="preserve"> to 4</w:t>
      </w:r>
      <w:r w:rsidR="002C1185" w:rsidRPr="002C1185">
        <w:rPr>
          <w:rFonts w:ascii="Arial" w:hAnsi="Arial" w:cs="Arial"/>
          <w:b/>
          <w:bCs/>
          <w:vertAlign w:val="superscript"/>
        </w:rPr>
        <w:t>th</w:t>
      </w:r>
      <w:r w:rsidR="002C1185">
        <w:rPr>
          <w:rFonts w:ascii="Arial" w:hAnsi="Arial" w:cs="Arial"/>
          <w:b/>
          <w:bCs/>
        </w:rPr>
        <w:t xml:space="preserve"> </w:t>
      </w:r>
      <w:r w:rsidR="002D45BD" w:rsidRPr="00194C0C">
        <w:rPr>
          <w:rFonts w:ascii="Arial" w:hAnsi="Arial" w:cs="Arial"/>
          <w:b/>
          <w:bCs/>
        </w:rPr>
        <w:t>RESPON</w:t>
      </w:r>
      <w:r w:rsidR="001B43BA" w:rsidRPr="00194C0C">
        <w:rPr>
          <w:rFonts w:ascii="Arial" w:hAnsi="Arial" w:cs="Arial"/>
          <w:b/>
          <w:bCs/>
        </w:rPr>
        <w:t>D</w:t>
      </w:r>
      <w:r w:rsidR="002D45BD" w:rsidRPr="00194C0C">
        <w:rPr>
          <w:rFonts w:ascii="Arial" w:hAnsi="Arial" w:cs="Arial"/>
          <w:b/>
          <w:bCs/>
        </w:rPr>
        <w:t>E</w:t>
      </w:r>
      <w:r w:rsidR="001B43BA" w:rsidRPr="00194C0C">
        <w:rPr>
          <w:rFonts w:ascii="Arial" w:hAnsi="Arial" w:cs="Arial"/>
          <w:b/>
          <w:bCs/>
        </w:rPr>
        <w:t>NT</w:t>
      </w:r>
      <w:r w:rsidR="002C1185">
        <w:rPr>
          <w:rFonts w:ascii="Arial" w:hAnsi="Arial" w:cs="Arial"/>
          <w:b/>
          <w:bCs/>
        </w:rPr>
        <w:t>S</w:t>
      </w:r>
      <w:r w:rsidR="006630FB" w:rsidRPr="00194C0C">
        <w:rPr>
          <w:rFonts w:ascii="Arial" w:hAnsi="Arial" w:cs="Arial"/>
        </w:rPr>
        <w:t>:</w:t>
      </w:r>
      <w:r w:rsidR="000E07B1" w:rsidRPr="00194C0C">
        <w:rPr>
          <w:rFonts w:ascii="Arial" w:hAnsi="Arial" w:cs="Arial"/>
        </w:rPr>
        <w:tab/>
      </w:r>
    </w:p>
    <w:p w14:paraId="577B443F" w14:textId="38A2A076" w:rsidR="006630FB" w:rsidRPr="00194C0C" w:rsidRDefault="002C1185" w:rsidP="002C1185">
      <w:pPr>
        <w:spacing w:line="360" w:lineRule="auto"/>
        <w:ind w:left="4887" w:firstLine="153"/>
        <w:jc w:val="both"/>
        <w:rPr>
          <w:rFonts w:ascii="Arial" w:hAnsi="Arial" w:cs="Arial"/>
        </w:rPr>
      </w:pPr>
      <w:r w:rsidRPr="002C1185">
        <w:rPr>
          <w:rFonts w:ascii="Arial" w:hAnsi="Arial" w:cs="Arial"/>
        </w:rPr>
        <w:t>MR.</w:t>
      </w:r>
      <w:r>
        <w:rPr>
          <w:rFonts w:ascii="Arial" w:hAnsi="Arial" w:cs="Arial"/>
        </w:rPr>
        <w:t xml:space="preserve"> R STOCKER</w:t>
      </w:r>
    </w:p>
    <w:p w14:paraId="6EEF6A02" w14:textId="692E5852" w:rsidR="008465D6" w:rsidRPr="00194C0C" w:rsidRDefault="006630FB" w:rsidP="00194C0C">
      <w:pPr>
        <w:spacing w:line="360" w:lineRule="auto"/>
        <w:ind w:left="567" w:hanging="567"/>
        <w:jc w:val="both"/>
        <w:rPr>
          <w:rFonts w:ascii="Arial" w:hAnsi="Arial" w:cs="Arial"/>
        </w:rPr>
      </w:pPr>
      <w:r w:rsidRPr="00194C0C">
        <w:rPr>
          <w:rFonts w:ascii="Arial" w:hAnsi="Arial" w:cs="Arial"/>
        </w:rPr>
        <w:t>INSTRUCTED BY:</w:t>
      </w:r>
      <w:r w:rsidRPr="00194C0C">
        <w:rPr>
          <w:rFonts w:ascii="Arial" w:hAnsi="Arial" w:cs="Arial"/>
        </w:rPr>
        <w:tab/>
      </w:r>
      <w:r w:rsidRPr="00194C0C">
        <w:rPr>
          <w:rFonts w:ascii="Arial" w:hAnsi="Arial" w:cs="Arial"/>
        </w:rPr>
        <w:tab/>
      </w:r>
      <w:r w:rsidRPr="00194C0C">
        <w:rPr>
          <w:rFonts w:ascii="Arial" w:hAnsi="Arial" w:cs="Arial"/>
        </w:rPr>
        <w:tab/>
      </w:r>
      <w:r w:rsidRPr="00194C0C">
        <w:rPr>
          <w:rFonts w:ascii="Arial" w:hAnsi="Arial" w:cs="Arial"/>
        </w:rPr>
        <w:tab/>
      </w:r>
      <w:r w:rsidR="00D77C76" w:rsidRPr="00194C0C">
        <w:rPr>
          <w:rFonts w:ascii="Arial" w:hAnsi="Arial" w:cs="Arial"/>
        </w:rPr>
        <w:tab/>
      </w:r>
      <w:r w:rsidR="002C1185">
        <w:rPr>
          <w:rFonts w:ascii="Arial" w:hAnsi="Arial" w:cs="Arial"/>
        </w:rPr>
        <w:t>ROOTH &amp; WESSELS INC</w:t>
      </w:r>
    </w:p>
    <w:p w14:paraId="0030EF17" w14:textId="15ADBCC9" w:rsidR="000E6633" w:rsidRPr="00194C0C" w:rsidRDefault="000E6633" w:rsidP="00194C0C">
      <w:pPr>
        <w:spacing w:line="360" w:lineRule="auto"/>
        <w:ind w:left="567" w:hanging="567"/>
        <w:jc w:val="both"/>
        <w:rPr>
          <w:rFonts w:ascii="Arial" w:hAnsi="Arial" w:cs="Arial"/>
        </w:rPr>
      </w:pPr>
      <w:r w:rsidRPr="00194C0C">
        <w:rPr>
          <w:rFonts w:ascii="Arial" w:hAnsi="Arial" w:cs="Arial"/>
        </w:rPr>
        <w:t>REFERENCE:</w:t>
      </w:r>
      <w:r w:rsidRPr="00194C0C">
        <w:rPr>
          <w:rFonts w:ascii="Arial" w:hAnsi="Arial" w:cs="Arial"/>
        </w:rPr>
        <w:tab/>
      </w:r>
      <w:r w:rsidRPr="00194C0C">
        <w:rPr>
          <w:rFonts w:ascii="Arial" w:hAnsi="Arial" w:cs="Arial"/>
        </w:rPr>
        <w:tab/>
      </w:r>
      <w:r w:rsidRPr="00194C0C">
        <w:rPr>
          <w:rFonts w:ascii="Arial" w:hAnsi="Arial" w:cs="Arial"/>
        </w:rPr>
        <w:tab/>
      </w:r>
      <w:r w:rsidRPr="00194C0C">
        <w:rPr>
          <w:rFonts w:ascii="Arial" w:hAnsi="Arial" w:cs="Arial"/>
        </w:rPr>
        <w:tab/>
      </w:r>
      <w:r w:rsidR="00242E76" w:rsidRPr="00194C0C">
        <w:rPr>
          <w:rFonts w:ascii="Arial" w:hAnsi="Arial" w:cs="Arial"/>
        </w:rPr>
        <w:tab/>
      </w:r>
      <w:r w:rsidR="002C1185">
        <w:rPr>
          <w:rFonts w:ascii="Arial" w:hAnsi="Arial" w:cs="Arial"/>
        </w:rPr>
        <w:t>MR. GROOME</w:t>
      </w:r>
    </w:p>
    <w:p w14:paraId="35960788" w14:textId="57ABBE87" w:rsidR="002D45BD" w:rsidRPr="00194C0C" w:rsidRDefault="002D45BD" w:rsidP="00194C0C">
      <w:pPr>
        <w:spacing w:line="360" w:lineRule="auto"/>
        <w:ind w:left="567" w:hanging="567"/>
        <w:jc w:val="both"/>
        <w:rPr>
          <w:rFonts w:ascii="Arial" w:hAnsi="Arial" w:cs="Arial"/>
        </w:rPr>
      </w:pPr>
    </w:p>
    <w:p w14:paraId="72B91DE0" w14:textId="42B12CDE" w:rsidR="002D45BD" w:rsidRPr="00194C0C" w:rsidRDefault="002D45BD" w:rsidP="00194C0C">
      <w:pPr>
        <w:spacing w:line="360" w:lineRule="auto"/>
        <w:ind w:left="567" w:hanging="567"/>
        <w:jc w:val="both"/>
        <w:rPr>
          <w:rFonts w:ascii="Arial" w:hAnsi="Arial" w:cs="Arial"/>
          <w:b/>
          <w:bCs/>
        </w:rPr>
      </w:pPr>
      <w:r w:rsidRPr="00194C0C">
        <w:rPr>
          <w:rFonts w:ascii="Arial" w:hAnsi="Arial" w:cs="Arial"/>
          <w:b/>
          <w:bCs/>
        </w:rPr>
        <w:t xml:space="preserve">NO APPEARANCE FOR THE </w:t>
      </w:r>
      <w:r w:rsidR="002C1185">
        <w:rPr>
          <w:rFonts w:ascii="Arial" w:hAnsi="Arial" w:cs="Arial"/>
          <w:b/>
          <w:bCs/>
        </w:rPr>
        <w:t>5</w:t>
      </w:r>
      <w:r w:rsidR="002C1185" w:rsidRPr="002C1185">
        <w:rPr>
          <w:rFonts w:ascii="Arial" w:hAnsi="Arial" w:cs="Arial"/>
          <w:b/>
          <w:bCs/>
          <w:vertAlign w:val="superscript"/>
        </w:rPr>
        <w:t>th</w:t>
      </w:r>
      <w:r w:rsidR="002C1185">
        <w:rPr>
          <w:rFonts w:ascii="Arial" w:hAnsi="Arial" w:cs="Arial"/>
          <w:b/>
          <w:bCs/>
        </w:rPr>
        <w:t xml:space="preserve"> or 6</w:t>
      </w:r>
      <w:r w:rsidR="002C1185" w:rsidRPr="002C1185">
        <w:rPr>
          <w:rFonts w:ascii="Arial" w:hAnsi="Arial" w:cs="Arial"/>
          <w:b/>
          <w:bCs/>
          <w:vertAlign w:val="superscript"/>
        </w:rPr>
        <w:t>th</w:t>
      </w:r>
      <w:r w:rsidR="002C1185">
        <w:rPr>
          <w:rFonts w:ascii="Arial" w:hAnsi="Arial" w:cs="Arial"/>
          <w:b/>
          <w:bCs/>
        </w:rPr>
        <w:t xml:space="preserve"> </w:t>
      </w:r>
      <w:r w:rsidRPr="00194C0C">
        <w:rPr>
          <w:rFonts w:ascii="Arial" w:hAnsi="Arial" w:cs="Arial"/>
          <w:b/>
          <w:bCs/>
        </w:rPr>
        <w:t>RESPONDENT</w:t>
      </w:r>
      <w:r w:rsidR="002C1185">
        <w:rPr>
          <w:rFonts w:ascii="Arial" w:hAnsi="Arial" w:cs="Arial"/>
          <w:b/>
          <w:bCs/>
        </w:rPr>
        <w:t>S</w:t>
      </w:r>
    </w:p>
    <w:p w14:paraId="748D69AA" w14:textId="7969D0B6" w:rsidR="00A56BC1" w:rsidRDefault="00A56BC1" w:rsidP="008E6813">
      <w:pPr>
        <w:spacing w:line="360" w:lineRule="auto"/>
        <w:jc w:val="both"/>
        <w:rPr>
          <w:rFonts w:ascii="Arial" w:hAnsi="Arial"/>
          <w:sz w:val="22"/>
          <w:szCs w:val="22"/>
        </w:rPr>
      </w:pPr>
    </w:p>
    <w:p w14:paraId="6072C765" w14:textId="3902A2A7" w:rsidR="0027008F" w:rsidRDefault="0027008F" w:rsidP="008E6813">
      <w:pPr>
        <w:spacing w:line="360" w:lineRule="auto"/>
        <w:ind w:left="567" w:hanging="567"/>
        <w:jc w:val="both"/>
        <w:rPr>
          <w:rFonts w:ascii="Arial" w:hAnsi="Arial" w:cs="Arial"/>
        </w:rPr>
      </w:pPr>
      <w:r>
        <w:rPr>
          <w:rFonts w:ascii="Arial" w:hAnsi="Arial" w:cs="Arial"/>
          <w:sz w:val="22"/>
          <w:szCs w:val="22"/>
        </w:rPr>
        <w:tab/>
      </w:r>
    </w:p>
    <w:p w14:paraId="56023C2B" w14:textId="77777777" w:rsidR="0027008F" w:rsidRPr="00CB6F8A" w:rsidRDefault="0027008F" w:rsidP="00CB6F8A">
      <w:pPr>
        <w:spacing w:line="480" w:lineRule="auto"/>
        <w:jc w:val="both"/>
        <w:rPr>
          <w:rFonts w:ascii="Arial" w:hAnsi="Arial"/>
          <w:sz w:val="22"/>
          <w:szCs w:val="22"/>
        </w:rPr>
      </w:pPr>
    </w:p>
    <w:sectPr w:rsidR="0027008F" w:rsidRPr="00CB6F8A" w:rsidSect="005A4C1A">
      <w:headerReference w:type="even" r:id="rId9"/>
      <w:headerReference w:type="default" r:id="rId10"/>
      <w:pgSz w:w="11900" w:h="16840"/>
      <w:pgMar w:top="25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CEAEFE" w14:textId="77777777" w:rsidR="00543F27" w:rsidRDefault="00543F27" w:rsidP="008C18AE">
      <w:r>
        <w:separator/>
      </w:r>
    </w:p>
  </w:endnote>
  <w:endnote w:type="continuationSeparator" w:id="0">
    <w:p w14:paraId="7B5EAF4E" w14:textId="77777777" w:rsidR="00543F27" w:rsidRDefault="00543F27" w:rsidP="008C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variable"/>
    <w:sig w:usb0="00000003" w:usb1="00000000" w:usb2="00000000" w:usb3="00000000" w:csb0="00000001" w:csb1="00000000"/>
  </w:font>
  <w:font w:name="Albertus M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0C352E" w14:textId="77777777" w:rsidR="00543F27" w:rsidRDefault="00543F27" w:rsidP="008C18AE">
      <w:r>
        <w:separator/>
      </w:r>
    </w:p>
  </w:footnote>
  <w:footnote w:type="continuationSeparator" w:id="0">
    <w:p w14:paraId="38E35ED6" w14:textId="77777777" w:rsidR="00543F27" w:rsidRDefault="00543F27" w:rsidP="008C18AE">
      <w:r>
        <w:continuationSeparator/>
      </w:r>
    </w:p>
  </w:footnote>
  <w:footnote w:id="1">
    <w:p w14:paraId="36B0E3E8" w14:textId="2AF47229" w:rsidR="00AE6409" w:rsidRPr="00AE6409" w:rsidRDefault="00AE6409">
      <w:pPr>
        <w:pStyle w:val="FootnoteText"/>
        <w:rPr>
          <w:rFonts w:ascii="Arial" w:hAnsi="Arial" w:cs="Arial"/>
          <w:sz w:val="20"/>
          <w:szCs w:val="20"/>
        </w:rPr>
      </w:pPr>
      <w:r w:rsidRPr="00AE6409">
        <w:rPr>
          <w:rStyle w:val="FootnoteReference"/>
          <w:rFonts w:ascii="Arial" w:hAnsi="Arial" w:cs="Arial"/>
          <w:sz w:val="20"/>
          <w:szCs w:val="20"/>
        </w:rPr>
        <w:footnoteRef/>
      </w:r>
      <w:r w:rsidRPr="00AE6409">
        <w:rPr>
          <w:rFonts w:ascii="Arial" w:hAnsi="Arial" w:cs="Arial"/>
          <w:sz w:val="20"/>
          <w:szCs w:val="20"/>
        </w:rPr>
        <w:t xml:space="preserve"> Established in terms of the Legal Practice Act </w:t>
      </w:r>
      <w:r>
        <w:rPr>
          <w:rFonts w:ascii="Arial" w:hAnsi="Arial" w:cs="Arial"/>
          <w:sz w:val="20"/>
          <w:szCs w:val="20"/>
        </w:rPr>
        <w:t xml:space="preserve">(LPA) </w:t>
      </w:r>
      <w:r w:rsidRPr="00AE6409">
        <w:rPr>
          <w:rFonts w:ascii="Arial" w:hAnsi="Arial" w:cs="Arial"/>
          <w:sz w:val="20"/>
          <w:szCs w:val="20"/>
        </w:rPr>
        <w:t>28 of 2014 which came into operation on 1 November 2018. The Gauteng Provincial Council of which the third respondent is the director perform the functions it does by virtue of authority to do so delegated to it by in terms of section 21(1)(d) read together with section 23.</w:t>
      </w:r>
    </w:p>
  </w:footnote>
  <w:footnote w:id="2">
    <w:p w14:paraId="061BB0D7" w14:textId="107E2E9D" w:rsidR="0039413F" w:rsidRDefault="0039413F" w:rsidP="00B1010C">
      <w:pPr>
        <w:pStyle w:val="FootnoteText"/>
        <w:ind w:left="284" w:hanging="284"/>
        <w:jc w:val="both"/>
      </w:pPr>
      <w:r>
        <w:rPr>
          <w:rStyle w:val="FootnoteReference"/>
        </w:rPr>
        <w:footnoteRef/>
      </w:r>
      <w:r>
        <w:t xml:space="preserve"> </w:t>
      </w:r>
      <w:r>
        <w:tab/>
      </w:r>
      <w:r w:rsidRPr="00B1010C">
        <w:rPr>
          <w:rFonts w:ascii="Arial" w:hAnsi="Arial" w:cs="Arial"/>
          <w:sz w:val="20"/>
          <w:szCs w:val="20"/>
        </w:rPr>
        <w:t>Regulation 6(1)(a) of the Regulations promulgated under the L</w:t>
      </w:r>
      <w:r w:rsidR="00AE6409">
        <w:rPr>
          <w:rFonts w:ascii="Arial" w:hAnsi="Arial" w:cs="Arial"/>
          <w:sz w:val="20"/>
          <w:szCs w:val="20"/>
        </w:rPr>
        <w:t>PA</w:t>
      </w:r>
      <w:r>
        <w:rPr>
          <w:rFonts w:ascii="Arial" w:hAnsi="Arial" w:cs="Arial"/>
          <w:sz w:val="20"/>
          <w:szCs w:val="20"/>
        </w:rPr>
        <w:t xml:space="preserve"> </w:t>
      </w:r>
      <w:r w:rsidRPr="00B1010C">
        <w:rPr>
          <w:rFonts w:ascii="Arial" w:hAnsi="Arial" w:cs="Arial"/>
          <w:sz w:val="20"/>
          <w:szCs w:val="20"/>
        </w:rPr>
        <w:t>provide that</w:t>
      </w:r>
      <w:r>
        <w:t xml:space="preserve"> : </w:t>
      </w:r>
      <w:r w:rsidRPr="00B1010C">
        <w:rPr>
          <w:rFonts w:ascii="Arial" w:hAnsi="Arial" w:cs="Arial"/>
          <w:i/>
          <w:iCs/>
          <w:sz w:val="20"/>
          <w:szCs w:val="20"/>
        </w:rPr>
        <w:t>“any person intending to be admitted and enrolled as an attorney must, after that person has satisfied all the requirements for a degree referred to in Sections 26(1)(a) or (b) of the Act serve under a practical vocational training contract with a person referred to in sub-regulation (5)</w:t>
      </w:r>
      <w:r>
        <w:rPr>
          <w:rFonts w:ascii="Arial" w:hAnsi="Arial" w:cs="Arial"/>
          <w:i/>
          <w:iCs/>
          <w:sz w:val="20"/>
          <w:szCs w:val="20"/>
        </w:rPr>
        <w:t xml:space="preserve"> – (a)</w:t>
      </w:r>
      <w:r w:rsidRPr="00B1010C">
        <w:rPr>
          <w:rFonts w:ascii="Arial" w:hAnsi="Arial" w:cs="Arial"/>
          <w:i/>
          <w:iCs/>
          <w:sz w:val="20"/>
          <w:szCs w:val="20"/>
        </w:rPr>
        <w:t xml:space="preserve"> for an uninterrupted period of 24 months”.</w:t>
      </w:r>
    </w:p>
  </w:footnote>
  <w:footnote w:id="3">
    <w:p w14:paraId="428B90B0" w14:textId="14456D6C" w:rsidR="002D17A1" w:rsidRPr="00FB1DB5" w:rsidRDefault="002D17A1" w:rsidP="00FB1DB5">
      <w:pPr>
        <w:pStyle w:val="FootnoteText"/>
        <w:ind w:left="284" w:hanging="284"/>
        <w:rPr>
          <w:rFonts w:ascii="Arial" w:hAnsi="Arial" w:cs="Arial"/>
          <w:sz w:val="20"/>
          <w:szCs w:val="20"/>
        </w:rPr>
      </w:pPr>
      <w:r w:rsidRPr="00FB1DB5">
        <w:rPr>
          <w:rStyle w:val="FootnoteReference"/>
          <w:rFonts w:ascii="Arial" w:hAnsi="Arial" w:cs="Arial"/>
          <w:sz w:val="20"/>
          <w:szCs w:val="20"/>
        </w:rPr>
        <w:footnoteRef/>
      </w:r>
      <w:r w:rsidRPr="00FB1DB5">
        <w:rPr>
          <w:rFonts w:ascii="Arial" w:hAnsi="Arial" w:cs="Arial"/>
          <w:sz w:val="20"/>
          <w:szCs w:val="20"/>
        </w:rPr>
        <w:t xml:space="preserve"> </w:t>
      </w:r>
      <w:r w:rsidR="00FB1DB5">
        <w:rPr>
          <w:rFonts w:ascii="Arial" w:hAnsi="Arial" w:cs="Arial"/>
          <w:sz w:val="20"/>
          <w:szCs w:val="20"/>
        </w:rPr>
        <w:tab/>
      </w:r>
      <w:r w:rsidRPr="00FB1DB5">
        <w:rPr>
          <w:rFonts w:ascii="Arial" w:hAnsi="Arial" w:cs="Arial"/>
          <w:sz w:val="20"/>
          <w:szCs w:val="20"/>
        </w:rPr>
        <w:t>200</w:t>
      </w:r>
      <w:r w:rsidR="004202FD">
        <w:rPr>
          <w:rFonts w:ascii="Arial" w:hAnsi="Arial" w:cs="Arial"/>
          <w:sz w:val="20"/>
          <w:szCs w:val="20"/>
        </w:rPr>
        <w:t>6 (3) SA 247 (CC)</w:t>
      </w:r>
      <w:r w:rsidRPr="00FB1DB5">
        <w:rPr>
          <w:rFonts w:ascii="Arial" w:hAnsi="Arial" w:cs="Arial"/>
          <w:sz w:val="20"/>
          <w:szCs w:val="20"/>
        </w:rPr>
        <w:t xml:space="preserve"> </w:t>
      </w:r>
      <w:r w:rsidR="004A15A0" w:rsidRPr="00FB1DB5">
        <w:rPr>
          <w:rFonts w:ascii="Arial" w:hAnsi="Arial" w:cs="Arial"/>
          <w:sz w:val="20"/>
          <w:szCs w:val="20"/>
        </w:rPr>
        <w:t xml:space="preserve"> at para [59].</w:t>
      </w:r>
    </w:p>
  </w:footnote>
  <w:footnote w:id="4">
    <w:p w14:paraId="70627E2C" w14:textId="57BDC8B9" w:rsidR="0039413F" w:rsidRPr="000D0C77" w:rsidRDefault="0039413F" w:rsidP="007E4414">
      <w:pPr>
        <w:pStyle w:val="FootnoteText"/>
        <w:ind w:left="284" w:hanging="284"/>
        <w:jc w:val="both"/>
        <w:rPr>
          <w:rFonts w:ascii="Arial" w:hAnsi="Arial" w:cs="Arial"/>
          <w:sz w:val="20"/>
          <w:szCs w:val="20"/>
        </w:rPr>
      </w:pPr>
      <w:r w:rsidRPr="000D0C77">
        <w:rPr>
          <w:rStyle w:val="FootnoteReference"/>
          <w:rFonts w:ascii="Arial" w:hAnsi="Arial" w:cs="Arial"/>
          <w:sz w:val="20"/>
          <w:szCs w:val="20"/>
        </w:rPr>
        <w:footnoteRef/>
      </w:r>
      <w:r w:rsidRPr="000D0C77">
        <w:rPr>
          <w:rFonts w:ascii="Arial" w:hAnsi="Arial" w:cs="Arial"/>
          <w:sz w:val="20"/>
          <w:szCs w:val="20"/>
        </w:rPr>
        <w:t xml:space="preserve"> </w:t>
      </w:r>
      <w:r>
        <w:rPr>
          <w:rFonts w:ascii="Arial" w:hAnsi="Arial" w:cs="Arial"/>
          <w:sz w:val="20"/>
          <w:szCs w:val="20"/>
        </w:rPr>
        <w:tab/>
      </w:r>
      <w:r w:rsidRPr="000D0C77">
        <w:rPr>
          <w:rFonts w:ascii="Arial" w:hAnsi="Arial" w:cs="Arial"/>
          <w:sz w:val="20"/>
          <w:szCs w:val="20"/>
        </w:rPr>
        <w:t xml:space="preserve">Of the rules promulgated in terms of the LPA, deals with the cession of a practical vocational training contract.  </w:t>
      </w:r>
    </w:p>
  </w:footnote>
  <w:footnote w:id="5">
    <w:p w14:paraId="4652E1D0" w14:textId="44094070" w:rsidR="00282F50" w:rsidRPr="004202FD" w:rsidRDefault="00282F50" w:rsidP="00282F50">
      <w:pPr>
        <w:pStyle w:val="FootnoteText"/>
        <w:ind w:left="284" w:hanging="284"/>
        <w:jc w:val="both"/>
        <w:rPr>
          <w:rFonts w:ascii="Arial" w:hAnsi="Arial" w:cs="Arial"/>
          <w:sz w:val="20"/>
          <w:szCs w:val="20"/>
        </w:rPr>
      </w:pPr>
      <w:r w:rsidRPr="004202FD">
        <w:rPr>
          <w:rStyle w:val="FootnoteReference"/>
          <w:rFonts w:ascii="Arial" w:hAnsi="Arial" w:cs="Arial"/>
          <w:sz w:val="20"/>
          <w:szCs w:val="20"/>
        </w:rPr>
        <w:footnoteRef/>
      </w:r>
      <w:r w:rsidRPr="004202FD">
        <w:rPr>
          <w:rFonts w:ascii="Arial" w:hAnsi="Arial" w:cs="Arial"/>
          <w:sz w:val="20"/>
          <w:szCs w:val="20"/>
        </w:rPr>
        <w:t xml:space="preserve"> </w:t>
      </w:r>
      <w:r w:rsidRPr="004202FD">
        <w:rPr>
          <w:rFonts w:ascii="Arial" w:hAnsi="Arial" w:cs="Arial"/>
          <w:sz w:val="20"/>
          <w:szCs w:val="20"/>
        </w:rPr>
        <w:tab/>
      </w:r>
      <w:r w:rsidRPr="004202FD">
        <w:rPr>
          <w:rFonts w:ascii="Arial" w:hAnsi="Arial" w:cs="Arial"/>
          <w:i/>
          <w:iCs/>
          <w:sz w:val="20"/>
          <w:szCs w:val="20"/>
        </w:rPr>
        <w:t>Law Society of the Northern Provinces v M</w:t>
      </w:r>
      <w:r w:rsidR="004202FD" w:rsidRPr="004202FD">
        <w:rPr>
          <w:rFonts w:ascii="Arial" w:hAnsi="Arial" w:cs="Arial"/>
          <w:i/>
          <w:iCs/>
          <w:sz w:val="20"/>
          <w:szCs w:val="20"/>
        </w:rPr>
        <w:t>a</w:t>
      </w:r>
      <w:r w:rsidRPr="004202FD">
        <w:rPr>
          <w:rFonts w:ascii="Arial" w:hAnsi="Arial" w:cs="Arial"/>
          <w:i/>
          <w:iCs/>
          <w:sz w:val="20"/>
          <w:szCs w:val="20"/>
        </w:rPr>
        <w:t>ho</w:t>
      </w:r>
      <w:r w:rsidR="004202FD" w:rsidRPr="004202FD">
        <w:rPr>
          <w:rFonts w:ascii="Arial" w:hAnsi="Arial" w:cs="Arial"/>
          <w:i/>
          <w:iCs/>
          <w:sz w:val="20"/>
          <w:szCs w:val="20"/>
        </w:rPr>
        <w:t>n</w:t>
      </w:r>
      <w:r w:rsidRPr="004202FD">
        <w:rPr>
          <w:rFonts w:ascii="Arial" w:hAnsi="Arial" w:cs="Arial"/>
          <w:sz w:val="20"/>
          <w:szCs w:val="20"/>
        </w:rPr>
        <w:t xml:space="preserve"> </w:t>
      </w:r>
      <w:r w:rsidR="004202FD" w:rsidRPr="004202FD">
        <w:rPr>
          <w:rFonts w:ascii="Arial" w:hAnsi="Arial" w:cs="Arial"/>
          <w:sz w:val="20"/>
          <w:szCs w:val="20"/>
        </w:rPr>
        <w:t>(</w:t>
      </w:r>
      <w:r w:rsidRPr="004202FD">
        <w:rPr>
          <w:rFonts w:ascii="Arial" w:hAnsi="Arial" w:cs="Arial"/>
          <w:sz w:val="20"/>
          <w:szCs w:val="20"/>
        </w:rPr>
        <w:t>2011</w:t>
      </w:r>
      <w:r w:rsidR="004202FD" w:rsidRPr="004202FD">
        <w:rPr>
          <w:rFonts w:ascii="Arial" w:hAnsi="Arial" w:cs="Arial"/>
          <w:sz w:val="20"/>
          <w:szCs w:val="20"/>
        </w:rPr>
        <w:t>)</w:t>
      </w:r>
      <w:r w:rsidRPr="004202FD">
        <w:rPr>
          <w:rFonts w:ascii="Arial" w:hAnsi="Arial" w:cs="Arial"/>
          <w:sz w:val="20"/>
          <w:szCs w:val="20"/>
        </w:rPr>
        <w:t xml:space="preserve"> </w:t>
      </w:r>
      <w:r w:rsidR="004202FD" w:rsidRPr="004202FD">
        <w:rPr>
          <w:rFonts w:ascii="Arial" w:hAnsi="Arial" w:cs="Arial"/>
          <w:sz w:val="20"/>
          <w:szCs w:val="20"/>
        </w:rPr>
        <w:t xml:space="preserve">2 </w:t>
      </w:r>
      <w:r w:rsidRPr="004202FD">
        <w:rPr>
          <w:rFonts w:ascii="Arial" w:hAnsi="Arial" w:cs="Arial"/>
          <w:sz w:val="20"/>
          <w:szCs w:val="20"/>
        </w:rPr>
        <w:t>SA 441 (SCA) at para [13]</w:t>
      </w:r>
      <w:r w:rsidR="004202FD" w:rsidRPr="004202FD">
        <w:rPr>
          <w:rFonts w:ascii="Arial" w:hAnsi="Arial" w:cs="Arial"/>
          <w:sz w:val="20"/>
          <w:szCs w:val="20"/>
        </w:rPr>
        <w:t>.</w:t>
      </w:r>
    </w:p>
  </w:footnote>
  <w:footnote w:id="6">
    <w:p w14:paraId="065F19A3" w14:textId="26D77DA4" w:rsidR="0039413F" w:rsidRPr="00C01F8D" w:rsidRDefault="0039413F" w:rsidP="00C01F8D">
      <w:pPr>
        <w:pStyle w:val="FootnoteText"/>
        <w:ind w:left="284" w:hanging="284"/>
        <w:rPr>
          <w:rFonts w:ascii="Arial" w:hAnsi="Arial" w:cs="Arial"/>
          <w:sz w:val="20"/>
          <w:szCs w:val="20"/>
        </w:rPr>
      </w:pPr>
      <w:r w:rsidRPr="00C01F8D">
        <w:rPr>
          <w:rStyle w:val="FootnoteReference"/>
          <w:rFonts w:ascii="Arial" w:hAnsi="Arial" w:cs="Arial"/>
          <w:sz w:val="20"/>
          <w:szCs w:val="20"/>
        </w:rPr>
        <w:footnoteRef/>
      </w:r>
      <w:r w:rsidRPr="00C01F8D">
        <w:rPr>
          <w:rFonts w:ascii="Arial" w:hAnsi="Arial" w:cs="Arial"/>
          <w:sz w:val="20"/>
          <w:szCs w:val="20"/>
        </w:rPr>
        <w:t xml:space="preserve"> </w:t>
      </w:r>
      <w:r w:rsidRPr="00C01F8D">
        <w:rPr>
          <w:rFonts w:ascii="Arial" w:hAnsi="Arial" w:cs="Arial"/>
          <w:sz w:val="20"/>
          <w:szCs w:val="20"/>
        </w:rPr>
        <w:tab/>
        <w:t>No. 3 of 2000.</w:t>
      </w:r>
    </w:p>
  </w:footnote>
  <w:footnote w:id="7">
    <w:p w14:paraId="5DD07538" w14:textId="102C128B" w:rsidR="0039413F" w:rsidRPr="00C01F8D" w:rsidRDefault="0039413F" w:rsidP="00C01F8D">
      <w:pPr>
        <w:pStyle w:val="FootnoteText"/>
        <w:ind w:left="284" w:hanging="284"/>
        <w:rPr>
          <w:rFonts w:ascii="Arial" w:hAnsi="Arial" w:cs="Arial"/>
          <w:sz w:val="20"/>
          <w:szCs w:val="20"/>
        </w:rPr>
      </w:pPr>
      <w:r w:rsidRPr="00C01F8D">
        <w:rPr>
          <w:rStyle w:val="FootnoteReference"/>
          <w:rFonts w:ascii="Arial" w:hAnsi="Arial" w:cs="Arial"/>
          <w:sz w:val="20"/>
          <w:szCs w:val="20"/>
        </w:rPr>
        <w:footnoteRef/>
      </w:r>
      <w:r w:rsidRPr="00C01F8D">
        <w:rPr>
          <w:rFonts w:ascii="Arial" w:hAnsi="Arial" w:cs="Arial"/>
          <w:sz w:val="20"/>
          <w:szCs w:val="20"/>
        </w:rPr>
        <w:t xml:space="preserve"> </w:t>
      </w:r>
      <w:r w:rsidRPr="00C01F8D">
        <w:rPr>
          <w:rFonts w:ascii="Arial" w:hAnsi="Arial" w:cs="Arial"/>
          <w:sz w:val="20"/>
          <w:szCs w:val="20"/>
        </w:rPr>
        <w:tab/>
      </w:r>
      <w:r w:rsidRPr="00614716">
        <w:rPr>
          <w:rFonts w:ascii="Arial" w:hAnsi="Arial" w:cs="Arial"/>
          <w:i/>
          <w:iCs/>
          <w:sz w:val="20"/>
          <w:szCs w:val="20"/>
        </w:rPr>
        <w:t xml:space="preserve">Minister of Defence and Military Veterans v Motau </w:t>
      </w:r>
      <w:r w:rsidR="0078441F" w:rsidRPr="00614716">
        <w:rPr>
          <w:rFonts w:ascii="Arial" w:hAnsi="Arial" w:cs="Arial"/>
          <w:i/>
          <w:iCs/>
          <w:sz w:val="20"/>
          <w:szCs w:val="20"/>
        </w:rPr>
        <w:t>&amp;</w:t>
      </w:r>
      <w:r w:rsidRPr="00614716">
        <w:rPr>
          <w:rFonts w:ascii="Arial" w:hAnsi="Arial" w:cs="Arial"/>
          <w:sz w:val="20"/>
          <w:szCs w:val="20"/>
        </w:rPr>
        <w:t xml:space="preserve"> Others (2014) </w:t>
      </w:r>
      <w:r w:rsidR="00614716" w:rsidRPr="00614716">
        <w:rPr>
          <w:rFonts w:ascii="Arial" w:hAnsi="Arial" w:cs="Arial"/>
          <w:sz w:val="20"/>
          <w:szCs w:val="20"/>
        </w:rPr>
        <w:t xml:space="preserve">5 SA 69 (CC) </w:t>
      </w:r>
      <w:r w:rsidRPr="00614716">
        <w:rPr>
          <w:rFonts w:ascii="Arial" w:hAnsi="Arial" w:cs="Arial"/>
          <w:sz w:val="20"/>
          <w:szCs w:val="20"/>
        </w:rPr>
        <w:t>at para 33.</w:t>
      </w:r>
    </w:p>
  </w:footnote>
  <w:footnote w:id="8">
    <w:p w14:paraId="0C6F8AA7" w14:textId="0FB1AD52" w:rsidR="005267ED" w:rsidRPr="007E0B8D" w:rsidRDefault="005267ED" w:rsidP="007E0B8D">
      <w:pPr>
        <w:pStyle w:val="FootnoteText"/>
        <w:ind w:left="284" w:hanging="284"/>
        <w:rPr>
          <w:rFonts w:ascii="Arial" w:hAnsi="Arial" w:cs="Arial"/>
          <w:sz w:val="20"/>
          <w:szCs w:val="20"/>
        </w:rPr>
      </w:pPr>
      <w:r w:rsidRPr="007E0B8D">
        <w:rPr>
          <w:rStyle w:val="FootnoteReference"/>
          <w:rFonts w:ascii="Arial" w:hAnsi="Arial" w:cs="Arial"/>
          <w:sz w:val="20"/>
          <w:szCs w:val="20"/>
        </w:rPr>
        <w:footnoteRef/>
      </w:r>
      <w:r w:rsidRPr="007E0B8D">
        <w:rPr>
          <w:rFonts w:ascii="Arial" w:hAnsi="Arial" w:cs="Arial"/>
          <w:sz w:val="20"/>
          <w:szCs w:val="20"/>
        </w:rPr>
        <w:t xml:space="preserve"> </w:t>
      </w:r>
      <w:r w:rsidR="007E0B8D">
        <w:rPr>
          <w:rFonts w:ascii="Arial" w:hAnsi="Arial" w:cs="Arial"/>
          <w:sz w:val="20"/>
          <w:szCs w:val="20"/>
        </w:rPr>
        <w:tab/>
      </w:r>
      <w:r w:rsidRPr="007E0B8D">
        <w:rPr>
          <w:rFonts w:ascii="Arial" w:hAnsi="Arial" w:cs="Arial"/>
          <w:sz w:val="20"/>
          <w:szCs w:val="20"/>
        </w:rPr>
        <w:t>Nedbank Ltd v Mendelow N.O and An</w:t>
      </w:r>
      <w:r w:rsidR="0026085E">
        <w:rPr>
          <w:rFonts w:ascii="Arial" w:hAnsi="Arial" w:cs="Arial"/>
          <w:sz w:val="20"/>
          <w:szCs w:val="20"/>
        </w:rPr>
        <w:t>o</w:t>
      </w:r>
      <w:r w:rsidRPr="007E0B8D">
        <w:rPr>
          <w:rFonts w:ascii="Arial" w:hAnsi="Arial" w:cs="Arial"/>
          <w:sz w:val="20"/>
          <w:szCs w:val="20"/>
        </w:rPr>
        <w:t>ther 2013 (6) SA 1</w:t>
      </w:r>
      <w:r w:rsidR="0026085E">
        <w:rPr>
          <w:rFonts w:ascii="Arial" w:hAnsi="Arial" w:cs="Arial"/>
          <w:sz w:val="20"/>
          <w:szCs w:val="20"/>
        </w:rPr>
        <w:t>3</w:t>
      </w:r>
      <w:r w:rsidRPr="007E0B8D">
        <w:rPr>
          <w:rFonts w:ascii="Arial" w:hAnsi="Arial" w:cs="Arial"/>
          <w:sz w:val="20"/>
          <w:szCs w:val="20"/>
        </w:rPr>
        <w:t>0 (SCA) at para [25].</w:t>
      </w:r>
    </w:p>
  </w:footnote>
  <w:footnote w:id="9">
    <w:p w14:paraId="5B23E224" w14:textId="5D527014" w:rsidR="0039413F" w:rsidRPr="00C01F8D" w:rsidRDefault="0039413F" w:rsidP="00C01F8D">
      <w:pPr>
        <w:pStyle w:val="FootnoteText"/>
        <w:ind w:left="284" w:hanging="284"/>
        <w:rPr>
          <w:rFonts w:ascii="Arial" w:hAnsi="Arial" w:cs="Arial"/>
          <w:sz w:val="20"/>
          <w:szCs w:val="20"/>
        </w:rPr>
      </w:pPr>
      <w:r w:rsidRPr="00C01F8D">
        <w:rPr>
          <w:rStyle w:val="FootnoteReference"/>
          <w:rFonts w:ascii="Arial" w:hAnsi="Arial" w:cs="Arial"/>
          <w:sz w:val="20"/>
          <w:szCs w:val="20"/>
        </w:rPr>
        <w:footnoteRef/>
      </w:r>
      <w:r w:rsidRPr="00C01F8D">
        <w:rPr>
          <w:rFonts w:ascii="Arial" w:hAnsi="Arial" w:cs="Arial"/>
          <w:sz w:val="20"/>
          <w:szCs w:val="20"/>
        </w:rPr>
        <w:t xml:space="preserve"> </w:t>
      </w:r>
      <w:r w:rsidRPr="00C01F8D">
        <w:rPr>
          <w:rFonts w:ascii="Arial" w:hAnsi="Arial" w:cs="Arial"/>
          <w:sz w:val="20"/>
          <w:szCs w:val="20"/>
        </w:rPr>
        <w:tab/>
        <w:t>Section 6(2)(c) of PAJA.</w:t>
      </w:r>
    </w:p>
  </w:footnote>
  <w:footnote w:id="10">
    <w:p w14:paraId="78A93A16" w14:textId="3EA29DC9" w:rsidR="0039413F" w:rsidRPr="00C01F8D" w:rsidRDefault="0039413F" w:rsidP="00C01F8D">
      <w:pPr>
        <w:pStyle w:val="FootnoteText"/>
        <w:ind w:left="284" w:hanging="284"/>
        <w:rPr>
          <w:rFonts w:ascii="Arial" w:hAnsi="Arial" w:cs="Arial"/>
          <w:sz w:val="20"/>
          <w:szCs w:val="20"/>
        </w:rPr>
      </w:pPr>
      <w:r w:rsidRPr="00C01F8D">
        <w:rPr>
          <w:rStyle w:val="FootnoteReference"/>
          <w:rFonts w:ascii="Arial" w:hAnsi="Arial" w:cs="Arial"/>
          <w:sz w:val="20"/>
          <w:szCs w:val="20"/>
        </w:rPr>
        <w:footnoteRef/>
      </w:r>
      <w:r w:rsidRPr="00C01F8D">
        <w:rPr>
          <w:rFonts w:ascii="Arial" w:hAnsi="Arial" w:cs="Arial"/>
          <w:sz w:val="20"/>
          <w:szCs w:val="20"/>
        </w:rPr>
        <w:t xml:space="preserve"> </w:t>
      </w:r>
      <w:r w:rsidRPr="00C01F8D">
        <w:rPr>
          <w:rFonts w:ascii="Arial" w:hAnsi="Arial" w:cs="Arial"/>
          <w:sz w:val="20"/>
          <w:szCs w:val="20"/>
        </w:rPr>
        <w:tab/>
        <w:t>Section 6(2)(d) of PAJA.</w:t>
      </w:r>
    </w:p>
  </w:footnote>
  <w:footnote w:id="11">
    <w:p w14:paraId="33927FAB" w14:textId="2B16C80B" w:rsidR="0039413F" w:rsidRPr="0061484E" w:rsidRDefault="0039413F" w:rsidP="0061484E">
      <w:pPr>
        <w:pStyle w:val="FootnoteText"/>
        <w:ind w:left="284" w:hanging="284"/>
        <w:rPr>
          <w:rFonts w:ascii="Arial" w:hAnsi="Arial" w:cs="Arial"/>
          <w:sz w:val="20"/>
          <w:szCs w:val="20"/>
        </w:rPr>
      </w:pPr>
      <w:r w:rsidRPr="0061484E">
        <w:rPr>
          <w:rStyle w:val="FootnoteReference"/>
          <w:rFonts w:ascii="Arial" w:hAnsi="Arial" w:cs="Arial"/>
          <w:sz w:val="20"/>
          <w:szCs w:val="20"/>
        </w:rPr>
        <w:footnoteRef/>
      </w:r>
      <w:r w:rsidRPr="0061484E">
        <w:rPr>
          <w:rFonts w:ascii="Arial" w:hAnsi="Arial" w:cs="Arial"/>
          <w:sz w:val="20"/>
          <w:szCs w:val="20"/>
        </w:rPr>
        <w:t xml:space="preserve"> </w:t>
      </w:r>
      <w:r>
        <w:rPr>
          <w:rFonts w:ascii="Arial" w:hAnsi="Arial" w:cs="Arial"/>
          <w:sz w:val="20"/>
          <w:szCs w:val="20"/>
        </w:rPr>
        <w:tab/>
      </w:r>
      <w:r w:rsidRPr="0061484E">
        <w:rPr>
          <w:rFonts w:ascii="Arial" w:hAnsi="Arial" w:cs="Arial"/>
          <w:sz w:val="20"/>
          <w:szCs w:val="20"/>
        </w:rPr>
        <w:t>Section 6(2)(f)(ii) (aa).</w:t>
      </w:r>
    </w:p>
  </w:footnote>
  <w:footnote w:id="12">
    <w:p w14:paraId="10A8EC0F" w14:textId="650ABF53" w:rsidR="0039413F" w:rsidRPr="0061484E" w:rsidRDefault="0039413F" w:rsidP="0061484E">
      <w:pPr>
        <w:pStyle w:val="FootnoteText"/>
        <w:ind w:left="284" w:hanging="284"/>
        <w:rPr>
          <w:rFonts w:ascii="Arial" w:hAnsi="Arial" w:cs="Arial"/>
          <w:sz w:val="20"/>
          <w:szCs w:val="20"/>
        </w:rPr>
      </w:pPr>
      <w:r w:rsidRPr="0061484E">
        <w:rPr>
          <w:rStyle w:val="FootnoteReference"/>
          <w:rFonts w:ascii="Arial" w:hAnsi="Arial" w:cs="Arial"/>
          <w:sz w:val="20"/>
          <w:szCs w:val="20"/>
        </w:rPr>
        <w:footnoteRef/>
      </w:r>
      <w:r w:rsidRPr="0061484E">
        <w:rPr>
          <w:rFonts w:ascii="Arial" w:hAnsi="Arial" w:cs="Arial"/>
          <w:sz w:val="20"/>
          <w:szCs w:val="20"/>
        </w:rPr>
        <w:t xml:space="preserve"> </w:t>
      </w:r>
      <w:r>
        <w:rPr>
          <w:rFonts w:ascii="Arial" w:hAnsi="Arial" w:cs="Arial"/>
          <w:sz w:val="20"/>
          <w:szCs w:val="20"/>
        </w:rPr>
        <w:tab/>
      </w:r>
      <w:r w:rsidRPr="0061484E">
        <w:rPr>
          <w:rFonts w:ascii="Arial" w:hAnsi="Arial" w:cs="Arial"/>
          <w:sz w:val="20"/>
          <w:szCs w:val="20"/>
        </w:rPr>
        <w:t>Section 6(2)(f)(ii) (bb).</w:t>
      </w:r>
    </w:p>
  </w:footnote>
  <w:footnote w:id="13">
    <w:p w14:paraId="45EC9F0C" w14:textId="19F47B4E" w:rsidR="0080026C" w:rsidRPr="00787117" w:rsidRDefault="0080026C" w:rsidP="00E010DF">
      <w:pPr>
        <w:pStyle w:val="FootnoteText"/>
        <w:ind w:left="284" w:hanging="284"/>
        <w:rPr>
          <w:rFonts w:ascii="Arial" w:hAnsi="Arial" w:cs="Arial"/>
          <w:bCs/>
          <w:sz w:val="20"/>
          <w:szCs w:val="20"/>
        </w:rPr>
      </w:pPr>
      <w:r w:rsidRPr="00787117">
        <w:rPr>
          <w:rStyle w:val="FootnoteReference"/>
          <w:rFonts w:ascii="Arial" w:hAnsi="Arial" w:cs="Arial"/>
          <w:bCs/>
          <w:sz w:val="20"/>
          <w:szCs w:val="20"/>
        </w:rPr>
        <w:footnoteRef/>
      </w:r>
      <w:r w:rsidRPr="00787117">
        <w:rPr>
          <w:rFonts w:ascii="Arial" w:hAnsi="Arial" w:cs="Arial"/>
          <w:bCs/>
          <w:sz w:val="20"/>
          <w:szCs w:val="20"/>
        </w:rPr>
        <w:t xml:space="preserve"> </w:t>
      </w:r>
      <w:r w:rsidR="00E010DF" w:rsidRPr="00787117">
        <w:rPr>
          <w:rFonts w:ascii="Arial" w:hAnsi="Arial" w:cs="Arial"/>
          <w:bCs/>
          <w:sz w:val="20"/>
          <w:szCs w:val="20"/>
        </w:rPr>
        <w:tab/>
      </w:r>
      <w:r w:rsidRPr="00787117">
        <w:rPr>
          <w:rFonts w:ascii="Arial" w:hAnsi="Arial" w:cs="Arial"/>
          <w:bCs/>
          <w:sz w:val="20"/>
          <w:szCs w:val="20"/>
        </w:rPr>
        <w:t xml:space="preserve">2017 (6) SA </w:t>
      </w:r>
      <w:r w:rsidR="00787117" w:rsidRPr="00787117">
        <w:rPr>
          <w:rFonts w:ascii="Arial" w:hAnsi="Arial" w:cs="Arial"/>
          <w:bCs/>
          <w:sz w:val="20"/>
          <w:szCs w:val="20"/>
        </w:rPr>
        <w:t>1 (CC) at para [96] – [101].</w:t>
      </w:r>
    </w:p>
  </w:footnote>
  <w:footnote w:id="14">
    <w:p w14:paraId="1DDA27DA" w14:textId="7A84048A" w:rsidR="0058761F" w:rsidRPr="00A04229" w:rsidRDefault="0058761F" w:rsidP="00A04229">
      <w:pPr>
        <w:pStyle w:val="FootnoteText"/>
        <w:ind w:left="284" w:hanging="284"/>
        <w:jc w:val="both"/>
        <w:rPr>
          <w:rFonts w:ascii="Arial" w:hAnsi="Arial" w:cs="Arial"/>
          <w:sz w:val="20"/>
          <w:szCs w:val="20"/>
        </w:rPr>
      </w:pPr>
      <w:r w:rsidRPr="00A04229">
        <w:rPr>
          <w:rStyle w:val="FootnoteReference"/>
          <w:rFonts w:ascii="Arial" w:hAnsi="Arial" w:cs="Arial"/>
          <w:sz w:val="20"/>
          <w:szCs w:val="20"/>
        </w:rPr>
        <w:footnoteRef/>
      </w:r>
      <w:r w:rsidRPr="00A04229">
        <w:rPr>
          <w:rFonts w:ascii="Arial" w:hAnsi="Arial" w:cs="Arial"/>
          <w:sz w:val="20"/>
          <w:szCs w:val="20"/>
        </w:rPr>
        <w:t xml:space="preserve"> </w:t>
      </w:r>
      <w:r w:rsidR="00A04229">
        <w:rPr>
          <w:rFonts w:ascii="Arial" w:hAnsi="Arial" w:cs="Arial"/>
          <w:sz w:val="20"/>
          <w:szCs w:val="20"/>
        </w:rPr>
        <w:tab/>
      </w:r>
      <w:r w:rsidR="009032D0">
        <w:rPr>
          <w:rFonts w:ascii="Arial" w:hAnsi="Arial" w:cs="Arial"/>
          <w:sz w:val="20"/>
          <w:szCs w:val="20"/>
        </w:rPr>
        <w:t>[2020] JOL 47771(GP</w:t>
      </w:r>
      <w:r w:rsidRPr="00A04229">
        <w:rPr>
          <w:rFonts w:ascii="Arial" w:hAnsi="Arial" w:cs="Arial"/>
          <w:sz w:val="20"/>
          <w:szCs w:val="20"/>
        </w:rPr>
        <w:t>).</w:t>
      </w:r>
    </w:p>
  </w:footnote>
  <w:footnote w:id="15">
    <w:p w14:paraId="14C5FB77" w14:textId="52D0BECE" w:rsidR="00AF45D7" w:rsidRPr="001952ED" w:rsidRDefault="00AF45D7" w:rsidP="001952ED">
      <w:pPr>
        <w:pStyle w:val="FootnoteText"/>
        <w:ind w:left="284" w:hanging="284"/>
        <w:rPr>
          <w:rFonts w:ascii="Arial" w:hAnsi="Arial" w:cs="Arial"/>
          <w:sz w:val="20"/>
          <w:szCs w:val="20"/>
        </w:rPr>
      </w:pPr>
      <w:r w:rsidRPr="001952ED">
        <w:rPr>
          <w:rStyle w:val="FootnoteReference"/>
          <w:rFonts w:ascii="Arial" w:hAnsi="Arial" w:cs="Arial"/>
          <w:sz w:val="20"/>
          <w:szCs w:val="20"/>
        </w:rPr>
        <w:footnoteRef/>
      </w:r>
      <w:r w:rsidRPr="001952ED">
        <w:rPr>
          <w:rFonts w:ascii="Arial" w:hAnsi="Arial" w:cs="Arial"/>
          <w:sz w:val="20"/>
          <w:szCs w:val="20"/>
        </w:rPr>
        <w:t xml:space="preserve"> </w:t>
      </w:r>
      <w:r w:rsidR="001952ED">
        <w:rPr>
          <w:rFonts w:ascii="Arial" w:hAnsi="Arial" w:cs="Arial"/>
          <w:sz w:val="20"/>
          <w:szCs w:val="20"/>
        </w:rPr>
        <w:tab/>
      </w:r>
      <w:r w:rsidRPr="001952ED">
        <w:rPr>
          <w:rFonts w:ascii="Arial" w:hAnsi="Arial" w:cs="Arial"/>
          <w:sz w:val="20"/>
          <w:szCs w:val="20"/>
        </w:rPr>
        <w:t>Section 5(i) of the LPA.</w:t>
      </w:r>
    </w:p>
  </w:footnote>
  <w:footnote w:id="16">
    <w:p w14:paraId="46397538" w14:textId="2D34C199" w:rsidR="001952ED" w:rsidRPr="003278E5" w:rsidRDefault="001952ED" w:rsidP="001952ED">
      <w:pPr>
        <w:pStyle w:val="FootnoteText"/>
        <w:ind w:left="284" w:hanging="284"/>
        <w:rPr>
          <w:rFonts w:ascii="Arial" w:hAnsi="Arial" w:cs="Arial"/>
          <w:sz w:val="20"/>
          <w:szCs w:val="20"/>
        </w:rPr>
      </w:pPr>
      <w:r w:rsidRPr="003278E5">
        <w:rPr>
          <w:rStyle w:val="FootnoteReference"/>
          <w:rFonts w:ascii="Arial" w:hAnsi="Arial" w:cs="Arial"/>
          <w:sz w:val="20"/>
          <w:szCs w:val="20"/>
        </w:rPr>
        <w:footnoteRef/>
      </w:r>
      <w:r w:rsidRPr="003278E5">
        <w:rPr>
          <w:rFonts w:ascii="Arial" w:hAnsi="Arial" w:cs="Arial"/>
          <w:sz w:val="20"/>
          <w:szCs w:val="20"/>
        </w:rPr>
        <w:t xml:space="preserve"> </w:t>
      </w:r>
      <w:r w:rsidRPr="003278E5">
        <w:rPr>
          <w:rFonts w:ascii="Arial" w:hAnsi="Arial" w:cs="Arial"/>
          <w:sz w:val="20"/>
          <w:szCs w:val="20"/>
        </w:rPr>
        <w:tab/>
        <w:t>Section 5(j) of the LPA.</w:t>
      </w:r>
    </w:p>
  </w:footnote>
  <w:footnote w:id="17">
    <w:p w14:paraId="029D3422" w14:textId="470E4B8A" w:rsidR="001952ED" w:rsidRPr="003278E5" w:rsidRDefault="001952ED" w:rsidP="00E010DF">
      <w:pPr>
        <w:pStyle w:val="FootnoteText"/>
        <w:ind w:left="284" w:hanging="284"/>
        <w:rPr>
          <w:rFonts w:ascii="Arial" w:hAnsi="Arial" w:cs="Arial"/>
          <w:sz w:val="20"/>
          <w:szCs w:val="20"/>
        </w:rPr>
      </w:pPr>
      <w:r w:rsidRPr="003278E5">
        <w:rPr>
          <w:rStyle w:val="FootnoteReference"/>
          <w:rFonts w:ascii="Arial" w:hAnsi="Arial" w:cs="Arial"/>
          <w:sz w:val="20"/>
          <w:szCs w:val="20"/>
        </w:rPr>
        <w:footnoteRef/>
      </w:r>
      <w:r w:rsidRPr="003278E5">
        <w:rPr>
          <w:rFonts w:ascii="Arial" w:hAnsi="Arial" w:cs="Arial"/>
          <w:sz w:val="20"/>
          <w:szCs w:val="20"/>
        </w:rPr>
        <w:t xml:space="preserve"> </w:t>
      </w:r>
      <w:r w:rsidR="00E010DF" w:rsidRPr="003278E5">
        <w:rPr>
          <w:rFonts w:ascii="Arial" w:hAnsi="Arial" w:cs="Arial"/>
          <w:sz w:val="20"/>
          <w:szCs w:val="20"/>
        </w:rPr>
        <w:tab/>
      </w:r>
      <w:r w:rsidRPr="003278E5">
        <w:rPr>
          <w:rFonts w:ascii="Arial" w:hAnsi="Arial" w:cs="Arial"/>
          <w:sz w:val="20"/>
          <w:szCs w:val="20"/>
        </w:rPr>
        <w:t>Section 5(l) of the LPA.</w:t>
      </w:r>
    </w:p>
  </w:footnote>
  <w:footnote w:id="18">
    <w:p w14:paraId="62FBC603" w14:textId="46FC4055" w:rsidR="003278E5" w:rsidRPr="003278E5" w:rsidRDefault="003278E5">
      <w:pPr>
        <w:pStyle w:val="FootnoteText"/>
        <w:rPr>
          <w:rFonts w:ascii="Arial" w:hAnsi="Arial" w:cs="Arial"/>
          <w:sz w:val="20"/>
          <w:szCs w:val="20"/>
        </w:rPr>
      </w:pPr>
      <w:r w:rsidRPr="003278E5">
        <w:rPr>
          <w:rStyle w:val="FootnoteReference"/>
          <w:rFonts w:ascii="Arial" w:hAnsi="Arial" w:cs="Arial"/>
          <w:sz w:val="20"/>
          <w:szCs w:val="20"/>
        </w:rPr>
        <w:footnoteRef/>
      </w:r>
      <w:r w:rsidRPr="003278E5">
        <w:rPr>
          <w:rFonts w:ascii="Arial" w:hAnsi="Arial" w:cs="Arial"/>
          <w:sz w:val="20"/>
          <w:szCs w:val="20"/>
        </w:rPr>
        <w:t xml:space="preserve"> </w:t>
      </w:r>
      <w:r>
        <w:rPr>
          <w:rFonts w:ascii="Arial" w:hAnsi="Arial" w:cs="Arial"/>
          <w:sz w:val="20"/>
          <w:szCs w:val="20"/>
        </w:rPr>
        <w:t xml:space="preserve">  </w:t>
      </w:r>
      <w:r w:rsidRPr="003278E5">
        <w:rPr>
          <w:rFonts w:ascii="Arial" w:hAnsi="Arial" w:cs="Arial"/>
          <w:sz w:val="20"/>
          <w:szCs w:val="20"/>
        </w:rPr>
        <w:t>In terms of section 8(1)(c)(ii)(bb) of PAJA.</w:t>
      </w:r>
    </w:p>
  </w:footnote>
  <w:footnote w:id="19">
    <w:p w14:paraId="17765D37" w14:textId="3B09A907" w:rsidR="007E0B8D" w:rsidRPr="007E0B8D" w:rsidRDefault="007E0B8D" w:rsidP="007E0B8D">
      <w:pPr>
        <w:pStyle w:val="FootnoteText"/>
        <w:ind w:left="284" w:hanging="284"/>
        <w:jc w:val="both"/>
        <w:rPr>
          <w:rFonts w:ascii="Arial" w:hAnsi="Arial" w:cs="Arial"/>
          <w:sz w:val="20"/>
          <w:szCs w:val="20"/>
        </w:rPr>
      </w:pPr>
      <w:r w:rsidRPr="003278E5">
        <w:rPr>
          <w:rStyle w:val="FootnoteReference"/>
          <w:rFonts w:ascii="Arial" w:hAnsi="Arial" w:cs="Arial"/>
          <w:sz w:val="20"/>
          <w:szCs w:val="20"/>
        </w:rPr>
        <w:footnoteRef/>
      </w:r>
      <w:r w:rsidRPr="003278E5">
        <w:rPr>
          <w:rFonts w:ascii="Arial" w:hAnsi="Arial" w:cs="Arial"/>
          <w:sz w:val="20"/>
          <w:szCs w:val="20"/>
        </w:rPr>
        <w:t xml:space="preserve"> </w:t>
      </w:r>
      <w:r w:rsidRPr="003278E5">
        <w:rPr>
          <w:rFonts w:ascii="Arial" w:hAnsi="Arial" w:cs="Arial"/>
          <w:sz w:val="20"/>
          <w:szCs w:val="20"/>
        </w:rPr>
        <w:tab/>
        <w:t>Law Society of the Northern Provinces v Dube [2012] 4 (SA) 351 (SCA) para [33].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43A27A" w14:textId="77777777" w:rsidR="0039413F" w:rsidRDefault="0039413F" w:rsidP="0039413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98F6DF" w14:textId="77777777" w:rsidR="0039413F" w:rsidRDefault="0039413F" w:rsidP="00B50E1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EA28D8" w14:textId="1E25DE82" w:rsidR="0039413F" w:rsidRDefault="0039413F" w:rsidP="0039413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35E4">
      <w:rPr>
        <w:rStyle w:val="PageNumber"/>
        <w:noProof/>
      </w:rPr>
      <w:t>1</w:t>
    </w:r>
    <w:r>
      <w:rPr>
        <w:rStyle w:val="PageNumber"/>
      </w:rPr>
      <w:fldChar w:fldCharType="end"/>
    </w:r>
  </w:p>
  <w:p w14:paraId="7E704A95" w14:textId="77777777" w:rsidR="0039413F" w:rsidRDefault="0039413F" w:rsidP="00B50E1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4185D"/>
    <w:multiLevelType w:val="hybridMultilevel"/>
    <w:tmpl w:val="D99AA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B0F09"/>
    <w:multiLevelType w:val="multilevel"/>
    <w:tmpl w:val="8DF8FA48"/>
    <w:lvl w:ilvl="0">
      <w:start w:val="1"/>
      <w:numFmt w:val="decimal"/>
      <w:lvlText w:val="[%1]"/>
      <w:lvlJc w:val="left"/>
      <w:pPr>
        <w:ind w:left="720" w:hanging="360"/>
      </w:pPr>
      <w:rPr>
        <w:rFonts w:hint="default"/>
        <w:b w:val="0"/>
        <w:bCs w:val="0"/>
        <w:sz w:val="24"/>
        <w:szCs w:val="24"/>
      </w:rPr>
    </w:lvl>
    <w:lvl w:ilvl="1">
      <w:start w:val="1"/>
      <w:numFmt w:val="decimal"/>
      <w:isLgl/>
      <w:lvlText w:val="%1.%2"/>
      <w:lvlJc w:val="left"/>
      <w:pPr>
        <w:ind w:left="2160" w:hanging="660"/>
      </w:pPr>
      <w:rPr>
        <w:rFonts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500" w:hanging="720"/>
      </w:pPr>
      <w:rPr>
        <w:rFonts w:hint="default"/>
      </w:rPr>
    </w:lvl>
    <w:lvl w:ilvl="4">
      <w:start w:val="1"/>
      <w:numFmt w:val="decimal"/>
      <w:isLgl/>
      <w:lvlText w:val="%1.%2.%3.%4.%5"/>
      <w:lvlJc w:val="left"/>
      <w:pPr>
        <w:ind w:left="6000" w:hanging="1080"/>
      </w:pPr>
      <w:rPr>
        <w:rFonts w:hint="default"/>
      </w:rPr>
    </w:lvl>
    <w:lvl w:ilvl="5">
      <w:start w:val="1"/>
      <w:numFmt w:val="decimal"/>
      <w:isLgl/>
      <w:lvlText w:val="%1.%2.%3.%4.%5.%6"/>
      <w:lvlJc w:val="left"/>
      <w:pPr>
        <w:ind w:left="714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80" w:hanging="1440"/>
      </w:pPr>
      <w:rPr>
        <w:rFonts w:hint="default"/>
      </w:rPr>
    </w:lvl>
    <w:lvl w:ilvl="8">
      <w:start w:val="1"/>
      <w:numFmt w:val="decimal"/>
      <w:isLgl/>
      <w:lvlText w:val="%1.%2.%3.%4.%5.%6.%7.%8.%9"/>
      <w:lvlJc w:val="left"/>
      <w:pPr>
        <w:ind w:left="11280" w:hanging="1800"/>
      </w:pPr>
      <w:rPr>
        <w:rFonts w:hint="default"/>
      </w:rPr>
    </w:lvl>
  </w:abstractNum>
  <w:abstractNum w:abstractNumId="4" w15:restartNumberingAfterBreak="0">
    <w:nsid w:val="12AE5991"/>
    <w:multiLevelType w:val="hybridMultilevel"/>
    <w:tmpl w:val="C3366030"/>
    <w:lvl w:ilvl="0" w:tplc="BC50F0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C6EE2"/>
    <w:multiLevelType w:val="multilevel"/>
    <w:tmpl w:val="338A906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164E695C"/>
    <w:multiLevelType w:val="multilevel"/>
    <w:tmpl w:val="77348F4A"/>
    <w:lvl w:ilvl="0">
      <w:start w:val="2"/>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 w15:restartNumberingAfterBreak="0">
    <w:nsid w:val="1BCE6B6E"/>
    <w:multiLevelType w:val="hybridMultilevel"/>
    <w:tmpl w:val="D97C0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8013E"/>
    <w:multiLevelType w:val="multilevel"/>
    <w:tmpl w:val="96245C56"/>
    <w:lvl w:ilvl="0">
      <w:start w:val="1"/>
      <w:numFmt w:val="decimal"/>
      <w:lvlText w:val="%1."/>
      <w:lvlJc w:val="left"/>
      <w:pPr>
        <w:ind w:left="720" w:hanging="360"/>
      </w:pPr>
    </w:lvl>
    <w:lvl w:ilvl="1">
      <w:start w:val="1"/>
      <w:numFmt w:val="decimal"/>
      <w:isLgl/>
      <w:lvlText w:val="%1.%2"/>
      <w:lvlJc w:val="left"/>
      <w:pPr>
        <w:ind w:left="1007" w:hanging="4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2F3304CF"/>
    <w:multiLevelType w:val="hybridMultilevel"/>
    <w:tmpl w:val="74F446A0"/>
    <w:lvl w:ilvl="0" w:tplc="D1F43B64">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BF27F3"/>
    <w:multiLevelType w:val="multilevel"/>
    <w:tmpl w:val="CB24DB9C"/>
    <w:lvl w:ilvl="0">
      <w:start w:val="1"/>
      <w:numFmt w:val="decimal"/>
      <w:lvlText w:val="[%1]"/>
      <w:lvlJc w:val="left"/>
      <w:pPr>
        <w:ind w:left="720" w:hanging="360"/>
      </w:pPr>
      <w:rPr>
        <w:rFonts w:hint="default"/>
        <w:b w:val="0"/>
        <w:bCs w:val="0"/>
        <w:sz w:val="24"/>
        <w:szCs w:val="24"/>
      </w:rPr>
    </w:lvl>
    <w:lvl w:ilvl="1">
      <w:start w:val="1"/>
      <w:numFmt w:val="decimal"/>
      <w:isLgl/>
      <w:lvlText w:val="%1.%2"/>
      <w:lvlJc w:val="left"/>
      <w:pPr>
        <w:ind w:left="1431" w:hanging="58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1" w15:restartNumberingAfterBreak="0">
    <w:nsid w:val="338C37EF"/>
    <w:multiLevelType w:val="multilevel"/>
    <w:tmpl w:val="264ED5D0"/>
    <w:lvl w:ilvl="0">
      <w:start w:val="39"/>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2" w15:restartNumberingAfterBreak="0">
    <w:nsid w:val="552662AB"/>
    <w:multiLevelType w:val="hybridMultilevel"/>
    <w:tmpl w:val="421A48E8"/>
    <w:lvl w:ilvl="0" w:tplc="B2EEF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FF60F5"/>
    <w:multiLevelType w:val="hybridMultilevel"/>
    <w:tmpl w:val="A570271C"/>
    <w:lvl w:ilvl="0" w:tplc="5FA229FE">
      <w:start w:val="1"/>
      <w:numFmt w:val="decimal"/>
      <w:lvlText w:val="[%1]"/>
      <w:lvlJc w:val="left"/>
      <w:pPr>
        <w:ind w:left="720" w:hanging="360"/>
      </w:pPr>
      <w:rPr>
        <w:rFonts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3149A4"/>
    <w:multiLevelType w:val="multilevel"/>
    <w:tmpl w:val="E58A65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EDF7EF0"/>
    <w:multiLevelType w:val="multilevel"/>
    <w:tmpl w:val="CB7CF6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F4A12EC"/>
    <w:multiLevelType w:val="hybridMultilevel"/>
    <w:tmpl w:val="DC287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9513856">
    <w:abstractNumId w:val="12"/>
  </w:num>
  <w:num w:numId="2" w16cid:durableId="1788892026">
    <w:abstractNumId w:val="8"/>
  </w:num>
  <w:num w:numId="3" w16cid:durableId="1717506821">
    <w:abstractNumId w:val="0"/>
  </w:num>
  <w:num w:numId="4" w16cid:durableId="1363820008">
    <w:abstractNumId w:val="1"/>
  </w:num>
  <w:num w:numId="5" w16cid:durableId="1583300375">
    <w:abstractNumId w:val="6"/>
  </w:num>
  <w:num w:numId="6" w16cid:durableId="402218027">
    <w:abstractNumId w:val="14"/>
  </w:num>
  <w:num w:numId="7" w16cid:durableId="1303535915">
    <w:abstractNumId w:val="16"/>
  </w:num>
  <w:num w:numId="8" w16cid:durableId="363484492">
    <w:abstractNumId w:val="15"/>
  </w:num>
  <w:num w:numId="9" w16cid:durableId="1377507429">
    <w:abstractNumId w:val="5"/>
  </w:num>
  <w:num w:numId="10" w16cid:durableId="2007131802">
    <w:abstractNumId w:val="7"/>
  </w:num>
  <w:num w:numId="11" w16cid:durableId="1729575427">
    <w:abstractNumId w:val="11"/>
  </w:num>
  <w:num w:numId="12" w16cid:durableId="409038913">
    <w:abstractNumId w:val="3"/>
  </w:num>
  <w:num w:numId="13" w16cid:durableId="642347991">
    <w:abstractNumId w:val="9"/>
  </w:num>
  <w:num w:numId="14" w16cid:durableId="31734770">
    <w:abstractNumId w:val="2"/>
  </w:num>
  <w:num w:numId="15" w16cid:durableId="611978247">
    <w:abstractNumId w:val="10"/>
  </w:num>
  <w:num w:numId="16" w16cid:durableId="1872956172">
    <w:abstractNumId w:val="13"/>
  </w:num>
  <w:num w:numId="17" w16cid:durableId="12022809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8C6"/>
    <w:rsid w:val="00004A9C"/>
    <w:rsid w:val="000060CB"/>
    <w:rsid w:val="000104B4"/>
    <w:rsid w:val="00014200"/>
    <w:rsid w:val="000174B7"/>
    <w:rsid w:val="000218AC"/>
    <w:rsid w:val="0002295E"/>
    <w:rsid w:val="00022E29"/>
    <w:rsid w:val="00024E35"/>
    <w:rsid w:val="00030A3B"/>
    <w:rsid w:val="00030EDB"/>
    <w:rsid w:val="0003278B"/>
    <w:rsid w:val="00050078"/>
    <w:rsid w:val="00052547"/>
    <w:rsid w:val="00055163"/>
    <w:rsid w:val="000578D1"/>
    <w:rsid w:val="00062CEF"/>
    <w:rsid w:val="0006302B"/>
    <w:rsid w:val="00064A78"/>
    <w:rsid w:val="00070EA4"/>
    <w:rsid w:val="0007241C"/>
    <w:rsid w:val="000730BB"/>
    <w:rsid w:val="0008376B"/>
    <w:rsid w:val="0008544C"/>
    <w:rsid w:val="00085E25"/>
    <w:rsid w:val="0008693D"/>
    <w:rsid w:val="000964D1"/>
    <w:rsid w:val="000971DB"/>
    <w:rsid w:val="000A26D7"/>
    <w:rsid w:val="000A5272"/>
    <w:rsid w:val="000B3288"/>
    <w:rsid w:val="000B69C1"/>
    <w:rsid w:val="000C091F"/>
    <w:rsid w:val="000C0BD3"/>
    <w:rsid w:val="000C1577"/>
    <w:rsid w:val="000C1D16"/>
    <w:rsid w:val="000C2419"/>
    <w:rsid w:val="000C4554"/>
    <w:rsid w:val="000D0136"/>
    <w:rsid w:val="000D0C77"/>
    <w:rsid w:val="000D7AB2"/>
    <w:rsid w:val="000E07B1"/>
    <w:rsid w:val="000E5109"/>
    <w:rsid w:val="000E5543"/>
    <w:rsid w:val="000E5FB9"/>
    <w:rsid w:val="000E6633"/>
    <w:rsid w:val="00101D88"/>
    <w:rsid w:val="001021EE"/>
    <w:rsid w:val="00103EC1"/>
    <w:rsid w:val="00114724"/>
    <w:rsid w:val="00121456"/>
    <w:rsid w:val="00124D1A"/>
    <w:rsid w:val="00127981"/>
    <w:rsid w:val="0013492F"/>
    <w:rsid w:val="001409A4"/>
    <w:rsid w:val="001418BC"/>
    <w:rsid w:val="001423BF"/>
    <w:rsid w:val="00144EA8"/>
    <w:rsid w:val="00151F35"/>
    <w:rsid w:val="00155668"/>
    <w:rsid w:val="0016046F"/>
    <w:rsid w:val="00161F55"/>
    <w:rsid w:val="00163683"/>
    <w:rsid w:val="001721F5"/>
    <w:rsid w:val="0017465D"/>
    <w:rsid w:val="00194AFD"/>
    <w:rsid w:val="00194BAE"/>
    <w:rsid w:val="00194C0C"/>
    <w:rsid w:val="001952ED"/>
    <w:rsid w:val="001A21B6"/>
    <w:rsid w:val="001A21CD"/>
    <w:rsid w:val="001A7F86"/>
    <w:rsid w:val="001B288A"/>
    <w:rsid w:val="001B43BA"/>
    <w:rsid w:val="001B487B"/>
    <w:rsid w:val="001C10BA"/>
    <w:rsid w:val="001D6C62"/>
    <w:rsid w:val="001D6F4F"/>
    <w:rsid w:val="001D7244"/>
    <w:rsid w:val="001E6710"/>
    <w:rsid w:val="001F07DD"/>
    <w:rsid w:val="001F450A"/>
    <w:rsid w:val="001F4AE5"/>
    <w:rsid w:val="002003EF"/>
    <w:rsid w:val="00201A93"/>
    <w:rsid w:val="002040D5"/>
    <w:rsid w:val="00205098"/>
    <w:rsid w:val="0020751F"/>
    <w:rsid w:val="0021216F"/>
    <w:rsid w:val="002129F5"/>
    <w:rsid w:val="00232BFD"/>
    <w:rsid w:val="00232EA0"/>
    <w:rsid w:val="002332DE"/>
    <w:rsid w:val="00235638"/>
    <w:rsid w:val="0023712A"/>
    <w:rsid w:val="00242E76"/>
    <w:rsid w:val="00244901"/>
    <w:rsid w:val="00247910"/>
    <w:rsid w:val="00254146"/>
    <w:rsid w:val="002551C4"/>
    <w:rsid w:val="00255485"/>
    <w:rsid w:val="0026085E"/>
    <w:rsid w:val="00264079"/>
    <w:rsid w:val="00265336"/>
    <w:rsid w:val="00267036"/>
    <w:rsid w:val="0027008F"/>
    <w:rsid w:val="002706C7"/>
    <w:rsid w:val="00271CBD"/>
    <w:rsid w:val="00277F94"/>
    <w:rsid w:val="00280528"/>
    <w:rsid w:val="00281CA0"/>
    <w:rsid w:val="00282F50"/>
    <w:rsid w:val="00283B34"/>
    <w:rsid w:val="00287E6E"/>
    <w:rsid w:val="002914E5"/>
    <w:rsid w:val="002931DF"/>
    <w:rsid w:val="0029767F"/>
    <w:rsid w:val="002A51AF"/>
    <w:rsid w:val="002A53F8"/>
    <w:rsid w:val="002A6A3F"/>
    <w:rsid w:val="002B0A35"/>
    <w:rsid w:val="002B4437"/>
    <w:rsid w:val="002B69B1"/>
    <w:rsid w:val="002C040B"/>
    <w:rsid w:val="002C1185"/>
    <w:rsid w:val="002C413A"/>
    <w:rsid w:val="002C4D4E"/>
    <w:rsid w:val="002C6390"/>
    <w:rsid w:val="002C7527"/>
    <w:rsid w:val="002D17A1"/>
    <w:rsid w:val="002D45BD"/>
    <w:rsid w:val="002D6A2A"/>
    <w:rsid w:val="002D6BF0"/>
    <w:rsid w:val="002E1F21"/>
    <w:rsid w:val="00307191"/>
    <w:rsid w:val="00313396"/>
    <w:rsid w:val="003155D7"/>
    <w:rsid w:val="00315D7C"/>
    <w:rsid w:val="00316502"/>
    <w:rsid w:val="00316515"/>
    <w:rsid w:val="00322298"/>
    <w:rsid w:val="00323F5E"/>
    <w:rsid w:val="00325E71"/>
    <w:rsid w:val="003278E5"/>
    <w:rsid w:val="00332442"/>
    <w:rsid w:val="00333325"/>
    <w:rsid w:val="003348C6"/>
    <w:rsid w:val="00334F20"/>
    <w:rsid w:val="00335D42"/>
    <w:rsid w:val="00342015"/>
    <w:rsid w:val="00344AD1"/>
    <w:rsid w:val="00351511"/>
    <w:rsid w:val="00360697"/>
    <w:rsid w:val="00363165"/>
    <w:rsid w:val="00371795"/>
    <w:rsid w:val="00371BE5"/>
    <w:rsid w:val="00375DC6"/>
    <w:rsid w:val="00377BC6"/>
    <w:rsid w:val="00385391"/>
    <w:rsid w:val="00385FBC"/>
    <w:rsid w:val="00393DAB"/>
    <w:rsid w:val="0039413F"/>
    <w:rsid w:val="003A14B0"/>
    <w:rsid w:val="003A20FB"/>
    <w:rsid w:val="003A3574"/>
    <w:rsid w:val="003A5BC8"/>
    <w:rsid w:val="003A6738"/>
    <w:rsid w:val="003B6C23"/>
    <w:rsid w:val="003C415E"/>
    <w:rsid w:val="003C432D"/>
    <w:rsid w:val="003E6BDA"/>
    <w:rsid w:val="003F04AB"/>
    <w:rsid w:val="003F37AE"/>
    <w:rsid w:val="003F46D7"/>
    <w:rsid w:val="00406F88"/>
    <w:rsid w:val="004075F2"/>
    <w:rsid w:val="00412E0C"/>
    <w:rsid w:val="00413603"/>
    <w:rsid w:val="00413E2B"/>
    <w:rsid w:val="00416164"/>
    <w:rsid w:val="00416331"/>
    <w:rsid w:val="00416EA1"/>
    <w:rsid w:val="00417BE7"/>
    <w:rsid w:val="004202FD"/>
    <w:rsid w:val="0042184A"/>
    <w:rsid w:val="00423A36"/>
    <w:rsid w:val="004247F2"/>
    <w:rsid w:val="00425F53"/>
    <w:rsid w:val="00430807"/>
    <w:rsid w:val="00432B66"/>
    <w:rsid w:val="00440D4B"/>
    <w:rsid w:val="00440DB6"/>
    <w:rsid w:val="0044117D"/>
    <w:rsid w:val="0044361B"/>
    <w:rsid w:val="00443ADE"/>
    <w:rsid w:val="00444C8B"/>
    <w:rsid w:val="0045149D"/>
    <w:rsid w:val="00452A4C"/>
    <w:rsid w:val="00454072"/>
    <w:rsid w:val="00455B18"/>
    <w:rsid w:val="0045792B"/>
    <w:rsid w:val="00460F1A"/>
    <w:rsid w:val="00461E12"/>
    <w:rsid w:val="00475569"/>
    <w:rsid w:val="00475A8E"/>
    <w:rsid w:val="0048191C"/>
    <w:rsid w:val="00482966"/>
    <w:rsid w:val="004854D5"/>
    <w:rsid w:val="0049074E"/>
    <w:rsid w:val="0049313B"/>
    <w:rsid w:val="004A15A0"/>
    <w:rsid w:val="004B1B24"/>
    <w:rsid w:val="004B6FAF"/>
    <w:rsid w:val="004C6A1E"/>
    <w:rsid w:val="004D12FE"/>
    <w:rsid w:val="004D3845"/>
    <w:rsid w:val="004E2C65"/>
    <w:rsid w:val="004E581A"/>
    <w:rsid w:val="004F0167"/>
    <w:rsid w:val="004F2DF4"/>
    <w:rsid w:val="00500DA0"/>
    <w:rsid w:val="00505FCC"/>
    <w:rsid w:val="005069D9"/>
    <w:rsid w:val="00511DF2"/>
    <w:rsid w:val="00514611"/>
    <w:rsid w:val="0051651C"/>
    <w:rsid w:val="005267ED"/>
    <w:rsid w:val="00540198"/>
    <w:rsid w:val="00543F27"/>
    <w:rsid w:val="00545FBC"/>
    <w:rsid w:val="00547AC7"/>
    <w:rsid w:val="00551B4C"/>
    <w:rsid w:val="0055431B"/>
    <w:rsid w:val="005545BD"/>
    <w:rsid w:val="005560EF"/>
    <w:rsid w:val="005665BF"/>
    <w:rsid w:val="0057074A"/>
    <w:rsid w:val="005720E9"/>
    <w:rsid w:val="00587548"/>
    <w:rsid w:val="0058761F"/>
    <w:rsid w:val="00587BF3"/>
    <w:rsid w:val="00594510"/>
    <w:rsid w:val="00595099"/>
    <w:rsid w:val="005959D6"/>
    <w:rsid w:val="005A2F73"/>
    <w:rsid w:val="005A4C1A"/>
    <w:rsid w:val="005B0DB3"/>
    <w:rsid w:val="005B118D"/>
    <w:rsid w:val="005B6266"/>
    <w:rsid w:val="005B6F86"/>
    <w:rsid w:val="005B75C1"/>
    <w:rsid w:val="005D3007"/>
    <w:rsid w:val="005D4790"/>
    <w:rsid w:val="005E2259"/>
    <w:rsid w:val="005E230C"/>
    <w:rsid w:val="005E448E"/>
    <w:rsid w:val="005F49B3"/>
    <w:rsid w:val="005F653D"/>
    <w:rsid w:val="00601BC7"/>
    <w:rsid w:val="00602F59"/>
    <w:rsid w:val="006036F8"/>
    <w:rsid w:val="00605316"/>
    <w:rsid w:val="006077A9"/>
    <w:rsid w:val="00613E4D"/>
    <w:rsid w:val="00614716"/>
    <w:rsid w:val="0061484E"/>
    <w:rsid w:val="00615A0C"/>
    <w:rsid w:val="006216B4"/>
    <w:rsid w:val="006430C0"/>
    <w:rsid w:val="00644BB3"/>
    <w:rsid w:val="00646138"/>
    <w:rsid w:val="006470BA"/>
    <w:rsid w:val="006500E1"/>
    <w:rsid w:val="00650745"/>
    <w:rsid w:val="00651B9B"/>
    <w:rsid w:val="00653433"/>
    <w:rsid w:val="00655236"/>
    <w:rsid w:val="006630FB"/>
    <w:rsid w:val="006710DC"/>
    <w:rsid w:val="00675035"/>
    <w:rsid w:val="006764D2"/>
    <w:rsid w:val="00676987"/>
    <w:rsid w:val="00677BC9"/>
    <w:rsid w:val="006821CF"/>
    <w:rsid w:val="00683071"/>
    <w:rsid w:val="00686AFF"/>
    <w:rsid w:val="00695533"/>
    <w:rsid w:val="006A1AA8"/>
    <w:rsid w:val="006A37E3"/>
    <w:rsid w:val="006A6DDB"/>
    <w:rsid w:val="006A770C"/>
    <w:rsid w:val="006B0014"/>
    <w:rsid w:val="006B2A1E"/>
    <w:rsid w:val="006B3D1D"/>
    <w:rsid w:val="006B67ED"/>
    <w:rsid w:val="006C0FD8"/>
    <w:rsid w:val="006C705A"/>
    <w:rsid w:val="006E1851"/>
    <w:rsid w:val="006E4415"/>
    <w:rsid w:val="006E462C"/>
    <w:rsid w:val="006F1F39"/>
    <w:rsid w:val="006F2787"/>
    <w:rsid w:val="006F40B5"/>
    <w:rsid w:val="00707C51"/>
    <w:rsid w:val="00713A5D"/>
    <w:rsid w:val="00720FEF"/>
    <w:rsid w:val="0072221F"/>
    <w:rsid w:val="007240E6"/>
    <w:rsid w:val="00726F7B"/>
    <w:rsid w:val="0073212D"/>
    <w:rsid w:val="00733746"/>
    <w:rsid w:val="00735EB8"/>
    <w:rsid w:val="00736CDA"/>
    <w:rsid w:val="00737291"/>
    <w:rsid w:val="00742BAE"/>
    <w:rsid w:val="00750CC1"/>
    <w:rsid w:val="00753AD4"/>
    <w:rsid w:val="00755484"/>
    <w:rsid w:val="00763002"/>
    <w:rsid w:val="007658B3"/>
    <w:rsid w:val="00765AB3"/>
    <w:rsid w:val="007679D5"/>
    <w:rsid w:val="00771916"/>
    <w:rsid w:val="00771E0F"/>
    <w:rsid w:val="007728D2"/>
    <w:rsid w:val="0078441F"/>
    <w:rsid w:val="00785866"/>
    <w:rsid w:val="00787117"/>
    <w:rsid w:val="007875AE"/>
    <w:rsid w:val="0078777C"/>
    <w:rsid w:val="00790442"/>
    <w:rsid w:val="007970E1"/>
    <w:rsid w:val="007A288E"/>
    <w:rsid w:val="007A53BB"/>
    <w:rsid w:val="007B2C1E"/>
    <w:rsid w:val="007B46F6"/>
    <w:rsid w:val="007B63CD"/>
    <w:rsid w:val="007C373C"/>
    <w:rsid w:val="007C7D36"/>
    <w:rsid w:val="007D17B5"/>
    <w:rsid w:val="007D24A3"/>
    <w:rsid w:val="007E0B8D"/>
    <w:rsid w:val="007E14BF"/>
    <w:rsid w:val="007E4414"/>
    <w:rsid w:val="007E7B98"/>
    <w:rsid w:val="007F0BBF"/>
    <w:rsid w:val="007F7A7E"/>
    <w:rsid w:val="007F7FED"/>
    <w:rsid w:val="0080026C"/>
    <w:rsid w:val="0080634A"/>
    <w:rsid w:val="00806DFA"/>
    <w:rsid w:val="00807D6E"/>
    <w:rsid w:val="00821962"/>
    <w:rsid w:val="00822511"/>
    <w:rsid w:val="0083215B"/>
    <w:rsid w:val="0083710F"/>
    <w:rsid w:val="00837200"/>
    <w:rsid w:val="00840547"/>
    <w:rsid w:val="0084332A"/>
    <w:rsid w:val="008465D6"/>
    <w:rsid w:val="00860899"/>
    <w:rsid w:val="008638C0"/>
    <w:rsid w:val="00864351"/>
    <w:rsid w:val="00864863"/>
    <w:rsid w:val="00866025"/>
    <w:rsid w:val="0087637A"/>
    <w:rsid w:val="00880943"/>
    <w:rsid w:val="0088233C"/>
    <w:rsid w:val="00894D98"/>
    <w:rsid w:val="008A3877"/>
    <w:rsid w:val="008A7AE3"/>
    <w:rsid w:val="008B1A58"/>
    <w:rsid w:val="008B1B71"/>
    <w:rsid w:val="008B2182"/>
    <w:rsid w:val="008C18AE"/>
    <w:rsid w:val="008C3603"/>
    <w:rsid w:val="008C45A5"/>
    <w:rsid w:val="008D34A8"/>
    <w:rsid w:val="008D4FD5"/>
    <w:rsid w:val="008E4705"/>
    <w:rsid w:val="008E5BBF"/>
    <w:rsid w:val="008E6813"/>
    <w:rsid w:val="008F2EA2"/>
    <w:rsid w:val="009007B6"/>
    <w:rsid w:val="00901159"/>
    <w:rsid w:val="009026AA"/>
    <w:rsid w:val="009032D0"/>
    <w:rsid w:val="00911000"/>
    <w:rsid w:val="00911F9D"/>
    <w:rsid w:val="009155B3"/>
    <w:rsid w:val="00916812"/>
    <w:rsid w:val="00916FDE"/>
    <w:rsid w:val="009227A6"/>
    <w:rsid w:val="00923678"/>
    <w:rsid w:val="00926EAA"/>
    <w:rsid w:val="0093492C"/>
    <w:rsid w:val="0093762E"/>
    <w:rsid w:val="00940B57"/>
    <w:rsid w:val="00941562"/>
    <w:rsid w:val="009418E8"/>
    <w:rsid w:val="00944BDE"/>
    <w:rsid w:val="0094618C"/>
    <w:rsid w:val="0095576C"/>
    <w:rsid w:val="0095679D"/>
    <w:rsid w:val="00963C7C"/>
    <w:rsid w:val="00971F7D"/>
    <w:rsid w:val="009732B6"/>
    <w:rsid w:val="00974554"/>
    <w:rsid w:val="00976D15"/>
    <w:rsid w:val="00977E1A"/>
    <w:rsid w:val="00982904"/>
    <w:rsid w:val="009838D5"/>
    <w:rsid w:val="00987290"/>
    <w:rsid w:val="009950C9"/>
    <w:rsid w:val="009A269B"/>
    <w:rsid w:val="009A33C1"/>
    <w:rsid w:val="009A79F1"/>
    <w:rsid w:val="009B099B"/>
    <w:rsid w:val="009B2BC9"/>
    <w:rsid w:val="009B36AA"/>
    <w:rsid w:val="009B4C31"/>
    <w:rsid w:val="009C0342"/>
    <w:rsid w:val="009C279C"/>
    <w:rsid w:val="009D57DB"/>
    <w:rsid w:val="009E1EF1"/>
    <w:rsid w:val="009E7528"/>
    <w:rsid w:val="009F22F0"/>
    <w:rsid w:val="009F43A4"/>
    <w:rsid w:val="009F5E83"/>
    <w:rsid w:val="009F79CB"/>
    <w:rsid w:val="009F7FA0"/>
    <w:rsid w:val="00A01777"/>
    <w:rsid w:val="00A04229"/>
    <w:rsid w:val="00A06E43"/>
    <w:rsid w:val="00A07432"/>
    <w:rsid w:val="00A12932"/>
    <w:rsid w:val="00A13793"/>
    <w:rsid w:val="00A156AE"/>
    <w:rsid w:val="00A15E04"/>
    <w:rsid w:val="00A165EA"/>
    <w:rsid w:val="00A22388"/>
    <w:rsid w:val="00A24B4B"/>
    <w:rsid w:val="00A24B93"/>
    <w:rsid w:val="00A26D73"/>
    <w:rsid w:val="00A335E4"/>
    <w:rsid w:val="00A337E6"/>
    <w:rsid w:val="00A354C1"/>
    <w:rsid w:val="00A3600A"/>
    <w:rsid w:val="00A43F9C"/>
    <w:rsid w:val="00A449B8"/>
    <w:rsid w:val="00A4634B"/>
    <w:rsid w:val="00A52FDF"/>
    <w:rsid w:val="00A54C36"/>
    <w:rsid w:val="00A56BC1"/>
    <w:rsid w:val="00A57146"/>
    <w:rsid w:val="00A600CF"/>
    <w:rsid w:val="00A62353"/>
    <w:rsid w:val="00A63F51"/>
    <w:rsid w:val="00A75EF4"/>
    <w:rsid w:val="00A77551"/>
    <w:rsid w:val="00A9010C"/>
    <w:rsid w:val="00A901C5"/>
    <w:rsid w:val="00A9406C"/>
    <w:rsid w:val="00AA287D"/>
    <w:rsid w:val="00AA663B"/>
    <w:rsid w:val="00AB1510"/>
    <w:rsid w:val="00AB2DE7"/>
    <w:rsid w:val="00AB4CA7"/>
    <w:rsid w:val="00AB636E"/>
    <w:rsid w:val="00AB6798"/>
    <w:rsid w:val="00AD49F8"/>
    <w:rsid w:val="00AD7921"/>
    <w:rsid w:val="00AE1958"/>
    <w:rsid w:val="00AE1E5D"/>
    <w:rsid w:val="00AE4E9C"/>
    <w:rsid w:val="00AE6409"/>
    <w:rsid w:val="00AF1688"/>
    <w:rsid w:val="00AF2488"/>
    <w:rsid w:val="00AF3194"/>
    <w:rsid w:val="00AF45D7"/>
    <w:rsid w:val="00B1010C"/>
    <w:rsid w:val="00B11DEB"/>
    <w:rsid w:val="00B120C9"/>
    <w:rsid w:val="00B20170"/>
    <w:rsid w:val="00B21489"/>
    <w:rsid w:val="00B21FFF"/>
    <w:rsid w:val="00B22495"/>
    <w:rsid w:val="00B244B7"/>
    <w:rsid w:val="00B3097A"/>
    <w:rsid w:val="00B3106B"/>
    <w:rsid w:val="00B353FE"/>
    <w:rsid w:val="00B404D0"/>
    <w:rsid w:val="00B44F10"/>
    <w:rsid w:val="00B50E11"/>
    <w:rsid w:val="00B535E6"/>
    <w:rsid w:val="00B63AF8"/>
    <w:rsid w:val="00B64392"/>
    <w:rsid w:val="00B64D36"/>
    <w:rsid w:val="00B70181"/>
    <w:rsid w:val="00B73443"/>
    <w:rsid w:val="00B8347D"/>
    <w:rsid w:val="00B862D2"/>
    <w:rsid w:val="00B908DF"/>
    <w:rsid w:val="00B92A41"/>
    <w:rsid w:val="00B9551D"/>
    <w:rsid w:val="00B95693"/>
    <w:rsid w:val="00B95E84"/>
    <w:rsid w:val="00BA1F62"/>
    <w:rsid w:val="00BB3F9A"/>
    <w:rsid w:val="00BB7775"/>
    <w:rsid w:val="00BD2454"/>
    <w:rsid w:val="00BF09B4"/>
    <w:rsid w:val="00C01850"/>
    <w:rsid w:val="00C01F8D"/>
    <w:rsid w:val="00C04C43"/>
    <w:rsid w:val="00C11D38"/>
    <w:rsid w:val="00C22087"/>
    <w:rsid w:val="00C33AAD"/>
    <w:rsid w:val="00C4185B"/>
    <w:rsid w:val="00C45291"/>
    <w:rsid w:val="00C519B2"/>
    <w:rsid w:val="00C52737"/>
    <w:rsid w:val="00C53B19"/>
    <w:rsid w:val="00C5432E"/>
    <w:rsid w:val="00C5727B"/>
    <w:rsid w:val="00C63FFA"/>
    <w:rsid w:val="00C64B6A"/>
    <w:rsid w:val="00C72456"/>
    <w:rsid w:val="00C72A6C"/>
    <w:rsid w:val="00C7361A"/>
    <w:rsid w:val="00C7460D"/>
    <w:rsid w:val="00C8430A"/>
    <w:rsid w:val="00C9262D"/>
    <w:rsid w:val="00CA6C2A"/>
    <w:rsid w:val="00CB2381"/>
    <w:rsid w:val="00CB2439"/>
    <w:rsid w:val="00CB6F8A"/>
    <w:rsid w:val="00CC3AB3"/>
    <w:rsid w:val="00CD1BDD"/>
    <w:rsid w:val="00CE09E5"/>
    <w:rsid w:val="00CE0CC7"/>
    <w:rsid w:val="00CE30E0"/>
    <w:rsid w:val="00CE3BED"/>
    <w:rsid w:val="00CF05BE"/>
    <w:rsid w:val="00CF6A62"/>
    <w:rsid w:val="00CF7D86"/>
    <w:rsid w:val="00CF7D99"/>
    <w:rsid w:val="00D00B2E"/>
    <w:rsid w:val="00D026E5"/>
    <w:rsid w:val="00D0642F"/>
    <w:rsid w:val="00D06AF3"/>
    <w:rsid w:val="00D16320"/>
    <w:rsid w:val="00D2145B"/>
    <w:rsid w:val="00D23AB6"/>
    <w:rsid w:val="00D2698D"/>
    <w:rsid w:val="00D31928"/>
    <w:rsid w:val="00D344C1"/>
    <w:rsid w:val="00D42B06"/>
    <w:rsid w:val="00D523A1"/>
    <w:rsid w:val="00D526DF"/>
    <w:rsid w:val="00D61362"/>
    <w:rsid w:val="00D77C76"/>
    <w:rsid w:val="00D91BA3"/>
    <w:rsid w:val="00DA408D"/>
    <w:rsid w:val="00DA44A9"/>
    <w:rsid w:val="00DA7973"/>
    <w:rsid w:val="00DA7A8D"/>
    <w:rsid w:val="00DB19FF"/>
    <w:rsid w:val="00DC0738"/>
    <w:rsid w:val="00DD0D2F"/>
    <w:rsid w:val="00DD4D3D"/>
    <w:rsid w:val="00DE0282"/>
    <w:rsid w:val="00DE03E6"/>
    <w:rsid w:val="00DE1587"/>
    <w:rsid w:val="00DE39D7"/>
    <w:rsid w:val="00DF0D64"/>
    <w:rsid w:val="00DF1032"/>
    <w:rsid w:val="00DF4D83"/>
    <w:rsid w:val="00E010DF"/>
    <w:rsid w:val="00E01835"/>
    <w:rsid w:val="00E02EAF"/>
    <w:rsid w:val="00E03204"/>
    <w:rsid w:val="00E03B46"/>
    <w:rsid w:val="00E04C49"/>
    <w:rsid w:val="00E067A2"/>
    <w:rsid w:val="00E077DF"/>
    <w:rsid w:val="00E07A72"/>
    <w:rsid w:val="00E15BCC"/>
    <w:rsid w:val="00E164C0"/>
    <w:rsid w:val="00E258E8"/>
    <w:rsid w:val="00E3052B"/>
    <w:rsid w:val="00E31629"/>
    <w:rsid w:val="00E43F8E"/>
    <w:rsid w:val="00E45186"/>
    <w:rsid w:val="00E50554"/>
    <w:rsid w:val="00E507F0"/>
    <w:rsid w:val="00E51144"/>
    <w:rsid w:val="00E5307D"/>
    <w:rsid w:val="00E55394"/>
    <w:rsid w:val="00E55848"/>
    <w:rsid w:val="00E63F2E"/>
    <w:rsid w:val="00E65FD4"/>
    <w:rsid w:val="00E7210A"/>
    <w:rsid w:val="00E7227D"/>
    <w:rsid w:val="00E72A79"/>
    <w:rsid w:val="00E74E49"/>
    <w:rsid w:val="00E802B6"/>
    <w:rsid w:val="00E82E00"/>
    <w:rsid w:val="00E8500B"/>
    <w:rsid w:val="00E8695C"/>
    <w:rsid w:val="00E86AD4"/>
    <w:rsid w:val="00E904E4"/>
    <w:rsid w:val="00E932B5"/>
    <w:rsid w:val="00E94C86"/>
    <w:rsid w:val="00E95904"/>
    <w:rsid w:val="00E972D3"/>
    <w:rsid w:val="00EB239A"/>
    <w:rsid w:val="00EB382F"/>
    <w:rsid w:val="00EB6D92"/>
    <w:rsid w:val="00EB7614"/>
    <w:rsid w:val="00EC7C52"/>
    <w:rsid w:val="00ED011F"/>
    <w:rsid w:val="00ED23AA"/>
    <w:rsid w:val="00ED58E4"/>
    <w:rsid w:val="00ED68B8"/>
    <w:rsid w:val="00EE0738"/>
    <w:rsid w:val="00EE0DBB"/>
    <w:rsid w:val="00EE2E6D"/>
    <w:rsid w:val="00EE7699"/>
    <w:rsid w:val="00EE7C9E"/>
    <w:rsid w:val="00EF0C48"/>
    <w:rsid w:val="00EF32D7"/>
    <w:rsid w:val="00EF46E6"/>
    <w:rsid w:val="00EF5F44"/>
    <w:rsid w:val="00EF626F"/>
    <w:rsid w:val="00EF6768"/>
    <w:rsid w:val="00F00B18"/>
    <w:rsid w:val="00F07BC9"/>
    <w:rsid w:val="00F12440"/>
    <w:rsid w:val="00F142DB"/>
    <w:rsid w:val="00F16056"/>
    <w:rsid w:val="00F21520"/>
    <w:rsid w:val="00F25D67"/>
    <w:rsid w:val="00F26354"/>
    <w:rsid w:val="00F3578B"/>
    <w:rsid w:val="00F43A15"/>
    <w:rsid w:val="00F43C52"/>
    <w:rsid w:val="00F44185"/>
    <w:rsid w:val="00F471C4"/>
    <w:rsid w:val="00F53553"/>
    <w:rsid w:val="00F5420B"/>
    <w:rsid w:val="00F55C9B"/>
    <w:rsid w:val="00F56324"/>
    <w:rsid w:val="00F57032"/>
    <w:rsid w:val="00F63187"/>
    <w:rsid w:val="00F7040A"/>
    <w:rsid w:val="00F71C68"/>
    <w:rsid w:val="00F72EFE"/>
    <w:rsid w:val="00F842D6"/>
    <w:rsid w:val="00F85632"/>
    <w:rsid w:val="00F87163"/>
    <w:rsid w:val="00F90936"/>
    <w:rsid w:val="00F93BA4"/>
    <w:rsid w:val="00F95B0D"/>
    <w:rsid w:val="00F96145"/>
    <w:rsid w:val="00F97E13"/>
    <w:rsid w:val="00FB1DB5"/>
    <w:rsid w:val="00FC01F2"/>
    <w:rsid w:val="00FC0385"/>
    <w:rsid w:val="00FC4EC8"/>
    <w:rsid w:val="00FC5C38"/>
    <w:rsid w:val="00FC76E7"/>
    <w:rsid w:val="00FD07EE"/>
    <w:rsid w:val="00FD36CE"/>
    <w:rsid w:val="00FD48A0"/>
    <w:rsid w:val="00FE07D3"/>
    <w:rsid w:val="00FE53D2"/>
    <w:rsid w:val="00FF07BC"/>
    <w:rsid w:val="00FF1218"/>
    <w:rsid w:val="00FF2104"/>
    <w:rsid w:val="00FF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E26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5273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18AE"/>
  </w:style>
  <w:style w:type="character" w:customStyle="1" w:styleId="FootnoteTextChar">
    <w:name w:val="Footnote Text Char"/>
    <w:basedOn w:val="DefaultParagraphFont"/>
    <w:link w:val="FootnoteText"/>
    <w:uiPriority w:val="99"/>
    <w:rsid w:val="008C18AE"/>
  </w:style>
  <w:style w:type="character" w:styleId="FootnoteReference">
    <w:name w:val="footnote reference"/>
    <w:basedOn w:val="DefaultParagraphFont"/>
    <w:uiPriority w:val="99"/>
    <w:unhideWhenUsed/>
    <w:rsid w:val="008C18AE"/>
    <w:rPr>
      <w:vertAlign w:val="superscript"/>
    </w:rPr>
  </w:style>
  <w:style w:type="paragraph" w:styleId="ListParagraph">
    <w:name w:val="List Paragraph"/>
    <w:basedOn w:val="Normal"/>
    <w:uiPriority w:val="34"/>
    <w:qFormat/>
    <w:rsid w:val="00A165EA"/>
    <w:pPr>
      <w:ind w:left="720"/>
      <w:contextualSpacing/>
    </w:pPr>
  </w:style>
  <w:style w:type="paragraph" w:customStyle="1" w:styleId="Body">
    <w:name w:val="Body"/>
    <w:rsid w:val="00B50E11"/>
    <w:pPr>
      <w:pBdr>
        <w:top w:val="nil"/>
        <w:left w:val="nil"/>
        <w:bottom w:val="nil"/>
        <w:right w:val="nil"/>
        <w:between w:val="nil"/>
        <w:bar w:val="nil"/>
      </w:pBdr>
      <w:spacing w:line="480" w:lineRule="auto"/>
    </w:pPr>
    <w:rPr>
      <w:rFonts w:ascii="Arial" w:eastAsia="Arial Unicode MS" w:hAnsi="Arial" w:cs="Arial Unicode MS"/>
      <w:color w:val="000000"/>
      <w:sz w:val="26"/>
      <w:szCs w:val="26"/>
      <w:bdr w:val="nil"/>
    </w:rPr>
  </w:style>
  <w:style w:type="table" w:styleId="TableGrid">
    <w:name w:val="Table Grid"/>
    <w:basedOn w:val="TableNormal"/>
    <w:uiPriority w:val="39"/>
    <w:rsid w:val="00B50E11"/>
    <w:pPr>
      <w:pBdr>
        <w:top w:val="nil"/>
        <w:left w:val="nil"/>
        <w:bottom w:val="nil"/>
        <w:right w:val="nil"/>
        <w:between w:val="nil"/>
        <w:bar w:val="nil"/>
      </w:pBdr>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E11"/>
    <w:pPr>
      <w:tabs>
        <w:tab w:val="center" w:pos="4513"/>
        <w:tab w:val="right" w:pos="9026"/>
      </w:tabs>
    </w:pPr>
  </w:style>
  <w:style w:type="character" w:customStyle="1" w:styleId="HeaderChar">
    <w:name w:val="Header Char"/>
    <w:basedOn w:val="DefaultParagraphFont"/>
    <w:link w:val="Header"/>
    <w:uiPriority w:val="99"/>
    <w:rsid w:val="00B50E11"/>
  </w:style>
  <w:style w:type="character" w:styleId="PageNumber">
    <w:name w:val="page number"/>
    <w:basedOn w:val="DefaultParagraphFont"/>
    <w:uiPriority w:val="99"/>
    <w:semiHidden/>
    <w:unhideWhenUsed/>
    <w:rsid w:val="00B50E11"/>
  </w:style>
  <w:style w:type="paragraph" w:customStyle="1" w:styleId="BodyA">
    <w:name w:val="Body A"/>
    <w:rsid w:val="00101D8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NormalWeb">
    <w:name w:val="Normal (Web)"/>
    <w:basedOn w:val="Normal"/>
    <w:uiPriority w:val="99"/>
    <w:unhideWhenUsed/>
    <w:rsid w:val="00A56BC1"/>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C519B2"/>
    <w:rPr>
      <w:rFonts w:ascii="Tahoma" w:hAnsi="Tahoma" w:cs="Tahoma"/>
      <w:sz w:val="16"/>
      <w:szCs w:val="16"/>
    </w:rPr>
  </w:style>
  <w:style w:type="character" w:customStyle="1" w:styleId="BalloonTextChar">
    <w:name w:val="Balloon Text Char"/>
    <w:basedOn w:val="DefaultParagraphFont"/>
    <w:link w:val="BalloonText"/>
    <w:uiPriority w:val="99"/>
    <w:semiHidden/>
    <w:rsid w:val="00C519B2"/>
    <w:rPr>
      <w:rFonts w:ascii="Tahoma" w:hAnsi="Tahoma" w:cs="Tahoma"/>
      <w:sz w:val="16"/>
      <w:szCs w:val="16"/>
    </w:rPr>
  </w:style>
  <w:style w:type="character" w:customStyle="1" w:styleId="apple-converted-space">
    <w:name w:val="apple-converted-space"/>
    <w:basedOn w:val="DefaultParagraphFont"/>
    <w:rsid w:val="003F46D7"/>
  </w:style>
  <w:style w:type="character" w:styleId="Hyperlink">
    <w:name w:val="Hyperlink"/>
    <w:basedOn w:val="DefaultParagraphFont"/>
    <w:uiPriority w:val="99"/>
    <w:semiHidden/>
    <w:unhideWhenUsed/>
    <w:rsid w:val="003F46D7"/>
    <w:rPr>
      <w:color w:val="0000FF"/>
      <w:u w:val="single"/>
    </w:rPr>
  </w:style>
  <w:style w:type="character" w:customStyle="1" w:styleId="Heading2Char">
    <w:name w:val="Heading 2 Char"/>
    <w:basedOn w:val="DefaultParagraphFont"/>
    <w:link w:val="Heading2"/>
    <w:uiPriority w:val="9"/>
    <w:rsid w:val="00C52737"/>
    <w:rPr>
      <w:rFonts w:ascii="Times New Roman" w:hAnsi="Times New Roman" w:cs="Times New Roman"/>
      <w:b/>
      <w:bCs/>
      <w:sz w:val="36"/>
      <w:szCs w:val="36"/>
    </w:rPr>
  </w:style>
  <w:style w:type="paragraph" w:customStyle="1" w:styleId="LegalMAINHEADING">
    <w:name w:val="Legal_MAINHEADING"/>
    <w:basedOn w:val="Normal"/>
    <w:next w:val="Normal"/>
    <w:semiHidden/>
    <w:rsid w:val="001D7244"/>
    <w:pPr>
      <w:keepNext/>
      <w:suppressAutoHyphens/>
      <w:spacing w:before="480" w:after="360" w:line="480" w:lineRule="auto"/>
      <w:jc w:val="both"/>
    </w:pPr>
    <w:rPr>
      <w:rFonts w:ascii="Arial" w:eastAsia="Times New Roman" w:hAnsi="Arial" w:cs="Times New Roman"/>
      <w:b/>
      <w:caps/>
      <w:lang w:val="en-GB" w:eastAsia="en-GB"/>
    </w:rPr>
  </w:style>
  <w:style w:type="paragraph" w:customStyle="1" w:styleId="LegalTramLines">
    <w:name w:val="Legal_TramLines"/>
    <w:basedOn w:val="Normal"/>
    <w:next w:val="Normal"/>
    <w:semiHidden/>
    <w:rsid w:val="001D7244"/>
    <w:pPr>
      <w:pBdr>
        <w:top w:val="single" w:sz="4" w:space="18" w:color="auto"/>
        <w:bottom w:val="single" w:sz="4" w:space="18" w:color="auto"/>
      </w:pBdr>
      <w:suppressAutoHyphens/>
      <w:spacing w:after="480"/>
      <w:jc w:val="center"/>
    </w:pPr>
    <w:rPr>
      <w:rFonts w:ascii="Arial Bold" w:eastAsia="Times New Roman" w:hAnsi="Arial Bold" w:cs="Times New Roman"/>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798764">
      <w:bodyDiv w:val="1"/>
      <w:marLeft w:val="0"/>
      <w:marRight w:val="0"/>
      <w:marTop w:val="0"/>
      <w:marBottom w:val="0"/>
      <w:divBdr>
        <w:top w:val="none" w:sz="0" w:space="0" w:color="auto"/>
        <w:left w:val="none" w:sz="0" w:space="0" w:color="auto"/>
        <w:bottom w:val="none" w:sz="0" w:space="0" w:color="auto"/>
        <w:right w:val="none" w:sz="0" w:space="0" w:color="auto"/>
      </w:divBdr>
    </w:div>
    <w:div w:id="344865891">
      <w:bodyDiv w:val="1"/>
      <w:marLeft w:val="0"/>
      <w:marRight w:val="0"/>
      <w:marTop w:val="0"/>
      <w:marBottom w:val="0"/>
      <w:divBdr>
        <w:top w:val="none" w:sz="0" w:space="0" w:color="auto"/>
        <w:left w:val="none" w:sz="0" w:space="0" w:color="auto"/>
        <w:bottom w:val="none" w:sz="0" w:space="0" w:color="auto"/>
        <w:right w:val="none" w:sz="0" w:space="0" w:color="auto"/>
      </w:divBdr>
    </w:div>
    <w:div w:id="595023076">
      <w:bodyDiv w:val="1"/>
      <w:marLeft w:val="0"/>
      <w:marRight w:val="0"/>
      <w:marTop w:val="0"/>
      <w:marBottom w:val="0"/>
      <w:divBdr>
        <w:top w:val="none" w:sz="0" w:space="0" w:color="auto"/>
        <w:left w:val="none" w:sz="0" w:space="0" w:color="auto"/>
        <w:bottom w:val="none" w:sz="0" w:space="0" w:color="auto"/>
        <w:right w:val="none" w:sz="0" w:space="0" w:color="auto"/>
      </w:divBdr>
    </w:div>
    <w:div w:id="1854999173">
      <w:bodyDiv w:val="1"/>
      <w:marLeft w:val="0"/>
      <w:marRight w:val="0"/>
      <w:marTop w:val="0"/>
      <w:marBottom w:val="0"/>
      <w:divBdr>
        <w:top w:val="none" w:sz="0" w:space="0" w:color="auto"/>
        <w:left w:val="none" w:sz="0" w:space="0" w:color="auto"/>
        <w:bottom w:val="none" w:sz="0" w:space="0" w:color="auto"/>
        <w:right w:val="none" w:sz="0" w:space="0" w:color="auto"/>
      </w:divBdr>
      <w:divsChild>
        <w:div w:id="714280317">
          <w:marLeft w:val="0"/>
          <w:marRight w:val="0"/>
          <w:marTop w:val="0"/>
          <w:marBottom w:val="0"/>
          <w:divBdr>
            <w:top w:val="none" w:sz="0" w:space="0" w:color="auto"/>
            <w:left w:val="none" w:sz="0" w:space="0" w:color="auto"/>
            <w:bottom w:val="none" w:sz="0" w:space="0" w:color="auto"/>
            <w:right w:val="none" w:sz="0" w:space="0" w:color="auto"/>
          </w:divBdr>
          <w:divsChild>
            <w:div w:id="1372001312">
              <w:marLeft w:val="0"/>
              <w:marRight w:val="0"/>
              <w:marTop w:val="0"/>
              <w:marBottom w:val="0"/>
              <w:divBdr>
                <w:top w:val="none" w:sz="0" w:space="0" w:color="auto"/>
                <w:left w:val="none" w:sz="0" w:space="0" w:color="auto"/>
                <w:bottom w:val="none" w:sz="0" w:space="0" w:color="auto"/>
                <w:right w:val="none" w:sz="0" w:space="0" w:color="auto"/>
              </w:divBdr>
              <w:divsChild>
                <w:div w:id="1556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20857">
      <w:bodyDiv w:val="1"/>
      <w:marLeft w:val="0"/>
      <w:marRight w:val="0"/>
      <w:marTop w:val="0"/>
      <w:marBottom w:val="0"/>
      <w:divBdr>
        <w:top w:val="none" w:sz="0" w:space="0" w:color="auto"/>
        <w:left w:val="none" w:sz="0" w:space="0" w:color="auto"/>
        <w:bottom w:val="none" w:sz="0" w:space="0" w:color="auto"/>
        <w:right w:val="none" w:sz="0" w:space="0" w:color="auto"/>
      </w:divBdr>
    </w:div>
    <w:div w:id="2136822873">
      <w:bodyDiv w:val="1"/>
      <w:marLeft w:val="0"/>
      <w:marRight w:val="0"/>
      <w:marTop w:val="0"/>
      <w:marBottom w:val="0"/>
      <w:divBdr>
        <w:top w:val="none" w:sz="0" w:space="0" w:color="auto"/>
        <w:left w:val="none" w:sz="0" w:space="0" w:color="auto"/>
        <w:bottom w:val="none" w:sz="0" w:space="0" w:color="auto"/>
        <w:right w:val="none" w:sz="0" w:space="0" w:color="auto"/>
      </w:divBdr>
      <w:divsChild>
        <w:div w:id="909536353">
          <w:marLeft w:val="0"/>
          <w:marRight w:val="0"/>
          <w:marTop w:val="0"/>
          <w:marBottom w:val="0"/>
          <w:divBdr>
            <w:top w:val="none" w:sz="0" w:space="0" w:color="auto"/>
            <w:left w:val="none" w:sz="0" w:space="0" w:color="auto"/>
            <w:bottom w:val="none" w:sz="0" w:space="0" w:color="auto"/>
            <w:right w:val="none" w:sz="0" w:space="0" w:color="auto"/>
          </w:divBdr>
          <w:divsChild>
            <w:div w:id="67576162">
              <w:marLeft w:val="0"/>
              <w:marRight w:val="0"/>
              <w:marTop w:val="0"/>
              <w:marBottom w:val="0"/>
              <w:divBdr>
                <w:top w:val="none" w:sz="0" w:space="0" w:color="auto"/>
                <w:left w:val="none" w:sz="0" w:space="0" w:color="auto"/>
                <w:bottom w:val="none" w:sz="0" w:space="0" w:color="auto"/>
                <w:right w:val="none" w:sz="0" w:space="0" w:color="auto"/>
              </w:divBdr>
              <w:divsChild>
                <w:div w:id="9654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E999F8D-0668-4673-B1CF-061BE12FC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3976</Words>
  <Characters>22664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Millar</dc:creator>
  <cp:lastModifiedBy>sathish sarshan  mohan</cp:lastModifiedBy>
  <cp:revision>4</cp:revision>
  <cp:lastPrinted>2024-05-15T12:21:00Z</cp:lastPrinted>
  <dcterms:created xsi:type="dcterms:W3CDTF">2024-05-15T12:56:00Z</dcterms:created>
  <dcterms:modified xsi:type="dcterms:W3CDTF">2024-05-24T09:34:00Z</dcterms:modified>
</cp:coreProperties>
</file>