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58C1D5" w14:textId="77777777" w:rsidR="00A16813" w:rsidRPr="009C746D" w:rsidRDefault="00A16813" w:rsidP="00A16813">
      <w:pPr>
        <w:spacing w:after="0" w:line="240" w:lineRule="auto"/>
        <w:jc w:val="center"/>
        <w:rPr>
          <w:rFonts w:ascii="Arial" w:eastAsia="Times New Roman" w:hAnsi="Arial" w:cs="Arial"/>
          <w:sz w:val="24"/>
          <w:szCs w:val="24"/>
          <w:lang w:eastAsia="en-GB"/>
        </w:rPr>
      </w:pPr>
      <w:r w:rsidRPr="009C746D">
        <w:rPr>
          <w:rFonts w:ascii="Arial" w:eastAsia="Times New Roman" w:hAnsi="Arial" w:cs="Arial"/>
          <w:sz w:val="24"/>
          <w:szCs w:val="24"/>
          <w:lang w:eastAsia="en-GB"/>
        </w:rPr>
        <w:t>REPUBLIC OF SOUTH AFRICA</w:t>
      </w:r>
    </w:p>
    <w:p w14:paraId="6810BA21" w14:textId="77777777" w:rsidR="00A16813" w:rsidRPr="009C746D" w:rsidRDefault="00A16813" w:rsidP="00A16813">
      <w:pPr>
        <w:spacing w:after="0" w:line="240" w:lineRule="auto"/>
        <w:jc w:val="center"/>
        <w:rPr>
          <w:rFonts w:ascii="Arial" w:eastAsia="Times New Roman" w:hAnsi="Arial" w:cs="Arial"/>
          <w:sz w:val="24"/>
          <w:szCs w:val="24"/>
          <w:lang w:eastAsia="en-GB"/>
        </w:rPr>
      </w:pPr>
      <w:r w:rsidRPr="009C746D">
        <w:rPr>
          <w:rFonts w:ascii="Arial" w:hAnsi="Arial" w:cs="Arial"/>
          <w:b/>
          <w:noProof/>
          <w:sz w:val="24"/>
          <w:szCs w:val="24"/>
          <w:lang w:eastAsia="en-US"/>
        </w:rPr>
        <w:drawing>
          <wp:inline distT="0" distB="0" distL="0" distR="0" wp14:anchorId="4296ED34" wp14:editId="3316C5E6">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64C17534" w14:textId="77777777" w:rsidR="00A16813" w:rsidRPr="009C746D" w:rsidRDefault="00A16813" w:rsidP="00A16813">
      <w:pPr>
        <w:spacing w:after="0" w:line="240" w:lineRule="auto"/>
        <w:jc w:val="center"/>
        <w:rPr>
          <w:rFonts w:ascii="Arial" w:eastAsia="Times New Roman" w:hAnsi="Arial" w:cs="Arial"/>
          <w:sz w:val="24"/>
          <w:szCs w:val="24"/>
          <w:lang w:eastAsia="en-GB"/>
        </w:rPr>
      </w:pPr>
      <w:r w:rsidRPr="009C746D">
        <w:rPr>
          <w:rFonts w:ascii="Arial" w:eastAsia="Times New Roman" w:hAnsi="Arial" w:cs="Arial"/>
          <w:sz w:val="24"/>
          <w:szCs w:val="24"/>
          <w:lang w:eastAsia="en-GB"/>
        </w:rPr>
        <w:t>IN THE HIGH COURT OF SOUTH AFRICA</w:t>
      </w:r>
    </w:p>
    <w:p w14:paraId="6CBA45B9" w14:textId="77777777" w:rsidR="00A16813" w:rsidRPr="009C746D" w:rsidRDefault="00A16813" w:rsidP="00A16813">
      <w:pPr>
        <w:spacing w:after="0" w:line="240" w:lineRule="auto"/>
        <w:jc w:val="center"/>
        <w:rPr>
          <w:rFonts w:ascii="Arial" w:eastAsia="Times New Roman" w:hAnsi="Arial" w:cs="Arial"/>
          <w:sz w:val="24"/>
          <w:szCs w:val="24"/>
          <w:lang w:eastAsia="en-GB"/>
        </w:rPr>
      </w:pPr>
      <w:r w:rsidRPr="009C746D">
        <w:rPr>
          <w:rFonts w:ascii="Arial" w:eastAsia="Times New Roman" w:hAnsi="Arial" w:cs="Arial"/>
          <w:sz w:val="24"/>
          <w:szCs w:val="24"/>
          <w:lang w:eastAsia="en-GB"/>
        </w:rPr>
        <w:t>GAUTENG DIVISION, PRETORIA</w:t>
      </w:r>
    </w:p>
    <w:p w14:paraId="4111B162" w14:textId="77777777" w:rsidR="00633DA7" w:rsidRPr="009C746D" w:rsidRDefault="00633DA7" w:rsidP="00A16813">
      <w:pPr>
        <w:spacing w:after="0" w:line="240" w:lineRule="auto"/>
        <w:jc w:val="center"/>
        <w:rPr>
          <w:rFonts w:ascii="Arial" w:eastAsia="Times New Roman" w:hAnsi="Arial" w:cs="Arial"/>
          <w:sz w:val="24"/>
          <w:szCs w:val="24"/>
          <w:lang w:eastAsia="en-GB"/>
        </w:rPr>
      </w:pPr>
    </w:p>
    <w:p w14:paraId="5ECEDB16" w14:textId="66750466" w:rsidR="00633DA7" w:rsidRPr="009C746D" w:rsidRDefault="00957B4A" w:rsidP="003C77A3">
      <w:pPr>
        <w:spacing w:before="240" w:after="240" w:line="240" w:lineRule="auto"/>
        <w:jc w:val="right"/>
        <w:rPr>
          <w:rFonts w:ascii="Arial" w:hAnsi="Arial" w:cs="Arial"/>
          <w:sz w:val="24"/>
          <w:szCs w:val="24"/>
        </w:rPr>
      </w:pPr>
      <w:r w:rsidRPr="009C746D">
        <w:rPr>
          <w:rFonts w:ascii="Arial" w:hAnsi="Arial" w:cs="Arial"/>
          <w:sz w:val="24"/>
          <w:szCs w:val="24"/>
        </w:rPr>
        <w:t>CASE Number</w:t>
      </w:r>
      <w:r w:rsidR="00633DA7" w:rsidRPr="009C746D">
        <w:rPr>
          <w:rFonts w:ascii="Arial" w:hAnsi="Arial" w:cs="Arial"/>
          <w:sz w:val="24"/>
          <w:szCs w:val="24"/>
        </w:rPr>
        <w:t xml:space="preserve">: </w:t>
      </w:r>
      <w:r w:rsidR="00266E79" w:rsidRPr="009C746D">
        <w:rPr>
          <w:rFonts w:ascii="Arial" w:hAnsi="Arial" w:cs="Arial"/>
          <w:b/>
          <w:sz w:val="24"/>
          <w:szCs w:val="24"/>
        </w:rPr>
        <w:t>10325/17</w:t>
      </w:r>
    </w:p>
    <w:p w14:paraId="40B7B6B4" w14:textId="77777777" w:rsidR="00A16813" w:rsidRPr="009C746D" w:rsidRDefault="002A6287" w:rsidP="00A16813">
      <w:pPr>
        <w:tabs>
          <w:tab w:val="left" w:pos="4917"/>
        </w:tabs>
        <w:spacing w:after="0" w:line="240" w:lineRule="auto"/>
        <w:jc w:val="center"/>
        <w:rPr>
          <w:rFonts w:ascii="Arial" w:hAnsi="Arial" w:cs="Arial"/>
          <w:sz w:val="24"/>
          <w:szCs w:val="24"/>
        </w:rPr>
      </w:pPr>
      <w:r w:rsidRPr="009C746D">
        <w:rPr>
          <w:rFonts w:ascii="Arial" w:hAnsi="Arial" w:cs="Arial"/>
          <w:noProof/>
          <w:sz w:val="24"/>
          <w:szCs w:val="24"/>
          <w:lang w:eastAsia="en-US"/>
        </w:rPr>
        <mc:AlternateContent>
          <mc:Choice Requires="wps">
            <w:drawing>
              <wp:anchor distT="0" distB="0" distL="114300" distR="114300" simplePos="0" relativeHeight="251659264" behindDoc="0" locked="0" layoutInCell="1" allowOverlap="1" wp14:anchorId="0BB2D283" wp14:editId="6642A9C7">
                <wp:simplePos x="0" y="0"/>
                <wp:positionH relativeFrom="column">
                  <wp:posOffset>6350</wp:posOffset>
                </wp:positionH>
                <wp:positionV relativeFrom="paragraph">
                  <wp:posOffset>8255</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01885B9D" w14:textId="77777777" w:rsidR="00D44DAD" w:rsidRDefault="00D44DAD" w:rsidP="00A16813">
                            <w:pPr>
                              <w:jc w:val="center"/>
                              <w:rPr>
                                <w:rFonts w:ascii="Century Gothic" w:hAnsi="Century Gothic"/>
                                <w:b/>
                                <w:sz w:val="20"/>
                                <w:szCs w:val="20"/>
                              </w:rPr>
                            </w:pPr>
                          </w:p>
                          <w:p w14:paraId="672F3940" w14:textId="4016BB31" w:rsidR="00D44DAD" w:rsidRDefault="00DC3A14" w:rsidP="00DC3A1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D44DAD">
                              <w:rPr>
                                <w:rFonts w:ascii="Century Gothic" w:hAnsi="Century Gothic"/>
                                <w:sz w:val="20"/>
                                <w:szCs w:val="20"/>
                              </w:rPr>
                              <w:t xml:space="preserve">REPORTABLE: </w:t>
                            </w:r>
                            <w:r w:rsidR="00D44DAD" w:rsidRPr="00773DD0">
                              <w:rPr>
                                <w:rFonts w:ascii="Century Gothic" w:hAnsi="Century Gothic"/>
                                <w:b/>
                                <w:bCs/>
                                <w:sz w:val="20"/>
                                <w:szCs w:val="20"/>
                              </w:rPr>
                              <w:t>NO</w:t>
                            </w:r>
                          </w:p>
                          <w:p w14:paraId="19B43454" w14:textId="167921EA" w:rsidR="00D44DAD" w:rsidRDefault="00DC3A14" w:rsidP="00DC3A1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D44DAD">
                              <w:rPr>
                                <w:rFonts w:ascii="Century Gothic" w:hAnsi="Century Gothic"/>
                                <w:sz w:val="20"/>
                                <w:szCs w:val="20"/>
                              </w:rPr>
                              <w:t xml:space="preserve">OF INTEREST TO OTHER JUDGES: </w:t>
                            </w:r>
                            <w:r w:rsidR="00D44DAD" w:rsidRPr="00773DD0">
                              <w:rPr>
                                <w:rFonts w:ascii="Century Gothic" w:hAnsi="Century Gothic"/>
                                <w:b/>
                                <w:bCs/>
                                <w:sz w:val="20"/>
                                <w:szCs w:val="20"/>
                              </w:rPr>
                              <w:t>NO</w:t>
                            </w:r>
                          </w:p>
                          <w:p w14:paraId="314844EC" w14:textId="35C30A91" w:rsidR="00D44DAD" w:rsidRDefault="00DC3A14" w:rsidP="00DC3A1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D44DAD">
                              <w:rPr>
                                <w:rFonts w:ascii="Century Gothic" w:hAnsi="Century Gothic"/>
                                <w:sz w:val="20"/>
                                <w:szCs w:val="20"/>
                              </w:rPr>
                              <w:t>REVISED: YES/NO</w:t>
                            </w:r>
                          </w:p>
                          <w:p w14:paraId="3C88D35F" w14:textId="77777777" w:rsidR="00D44DAD" w:rsidRDefault="00D44DAD" w:rsidP="00A16813">
                            <w:pPr>
                              <w:spacing w:after="0" w:line="240" w:lineRule="auto"/>
                              <w:rPr>
                                <w:rFonts w:ascii="Century Gothic" w:hAnsi="Century Gothic"/>
                                <w:sz w:val="20"/>
                                <w:szCs w:val="20"/>
                              </w:rPr>
                            </w:pPr>
                          </w:p>
                          <w:p w14:paraId="6821C1D8" w14:textId="77777777" w:rsidR="00D44DAD" w:rsidRDefault="00D44DAD" w:rsidP="00A16813">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2166F9B" w14:textId="5090824F" w:rsidR="00D44DAD" w:rsidRDefault="00A8517D" w:rsidP="00A16813">
                            <w:pPr>
                              <w:spacing w:after="0" w:line="240" w:lineRule="auto"/>
                              <w:ind w:firstLine="180"/>
                              <w:rPr>
                                <w:rFonts w:ascii="Century Gothic" w:hAnsi="Century Gothic"/>
                                <w:sz w:val="20"/>
                                <w:szCs w:val="20"/>
                              </w:rPr>
                            </w:pPr>
                            <w:r>
                              <w:rPr>
                                <w:rFonts w:ascii="Century Gothic" w:hAnsi="Century Gothic"/>
                                <w:sz w:val="20"/>
                                <w:szCs w:val="20"/>
                              </w:rPr>
                              <w:t xml:space="preserve">              202</w:t>
                            </w:r>
                            <w:r w:rsidR="00CA7724">
                              <w:rPr>
                                <w:rFonts w:ascii="Century Gothic" w:hAnsi="Century Gothic"/>
                                <w:sz w:val="20"/>
                                <w:szCs w:val="20"/>
                              </w:rPr>
                              <w:t>4</w:t>
                            </w:r>
                            <w:r w:rsidR="00D44DAD" w:rsidRPr="008F1A4A">
                              <w:rPr>
                                <w:rFonts w:ascii="Century Gothic" w:hAnsi="Century Gothic"/>
                                <w:sz w:val="20"/>
                                <w:szCs w:val="20"/>
                              </w:rPr>
                              <w:tab/>
                            </w:r>
                            <w:r w:rsidR="00D44DAD">
                              <w:rPr>
                                <w:rFonts w:ascii="Century Gothic" w:hAnsi="Century Gothic"/>
                                <w:sz w:val="20"/>
                                <w:szCs w:val="20"/>
                              </w:rPr>
                              <w:tab/>
                              <w:t xml:space="preserve">.......................... </w:t>
                            </w:r>
                          </w:p>
                          <w:p w14:paraId="61C47BFA" w14:textId="77777777" w:rsidR="00D44DAD" w:rsidRDefault="00D44DAD" w:rsidP="00A16813">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2D283" id="_x0000_t202" coordsize="21600,21600" o:spt="202" path="m,l,21600r21600,l21600,xe">
                <v:stroke joinstyle="miter"/>
                <v:path gradientshapeok="t" o:connecttype="rect"/>
              </v:shapetype>
              <v:shape id="Text Box 2" o:spid="_x0000_s1026" type="#_x0000_t202" style="position:absolute;left:0;text-align:left;margin-left:.5pt;margin-top:.65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2KGQ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">
                <v:textbox>
                  <w:txbxContent>
                    <w:p w14:paraId="01885B9D" w14:textId="77777777" w:rsidR="00D44DAD" w:rsidRDefault="00D44DAD" w:rsidP="00A16813">
                      <w:pPr>
                        <w:jc w:val="center"/>
                        <w:rPr>
                          <w:rFonts w:ascii="Century Gothic" w:hAnsi="Century Gothic"/>
                          <w:b/>
                          <w:sz w:val="20"/>
                          <w:szCs w:val="20"/>
                        </w:rPr>
                      </w:pPr>
                    </w:p>
                    <w:p w14:paraId="672F3940" w14:textId="4016BB31" w:rsidR="00D44DAD" w:rsidRDefault="00DC3A14" w:rsidP="00DC3A1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D44DAD">
                        <w:rPr>
                          <w:rFonts w:ascii="Century Gothic" w:hAnsi="Century Gothic"/>
                          <w:sz w:val="20"/>
                          <w:szCs w:val="20"/>
                        </w:rPr>
                        <w:t xml:space="preserve">REPORTABLE: </w:t>
                      </w:r>
                      <w:r w:rsidR="00D44DAD" w:rsidRPr="00773DD0">
                        <w:rPr>
                          <w:rFonts w:ascii="Century Gothic" w:hAnsi="Century Gothic"/>
                          <w:b/>
                          <w:bCs/>
                          <w:sz w:val="20"/>
                          <w:szCs w:val="20"/>
                        </w:rPr>
                        <w:t>NO</w:t>
                      </w:r>
                    </w:p>
                    <w:p w14:paraId="19B43454" w14:textId="167921EA" w:rsidR="00D44DAD" w:rsidRDefault="00DC3A14" w:rsidP="00DC3A1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D44DAD">
                        <w:rPr>
                          <w:rFonts w:ascii="Century Gothic" w:hAnsi="Century Gothic"/>
                          <w:sz w:val="20"/>
                          <w:szCs w:val="20"/>
                        </w:rPr>
                        <w:t xml:space="preserve">OF INTEREST TO OTHER JUDGES: </w:t>
                      </w:r>
                      <w:r w:rsidR="00D44DAD" w:rsidRPr="00773DD0">
                        <w:rPr>
                          <w:rFonts w:ascii="Century Gothic" w:hAnsi="Century Gothic"/>
                          <w:b/>
                          <w:bCs/>
                          <w:sz w:val="20"/>
                          <w:szCs w:val="20"/>
                        </w:rPr>
                        <w:t>NO</w:t>
                      </w:r>
                    </w:p>
                    <w:p w14:paraId="314844EC" w14:textId="35C30A91" w:rsidR="00D44DAD" w:rsidRDefault="00DC3A14" w:rsidP="00DC3A1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D44DAD">
                        <w:rPr>
                          <w:rFonts w:ascii="Century Gothic" w:hAnsi="Century Gothic"/>
                          <w:sz w:val="20"/>
                          <w:szCs w:val="20"/>
                        </w:rPr>
                        <w:t>REVISED: YES/NO</w:t>
                      </w:r>
                    </w:p>
                    <w:p w14:paraId="3C88D35F" w14:textId="77777777" w:rsidR="00D44DAD" w:rsidRDefault="00D44DAD" w:rsidP="00A16813">
                      <w:pPr>
                        <w:spacing w:after="0" w:line="240" w:lineRule="auto"/>
                        <w:rPr>
                          <w:rFonts w:ascii="Century Gothic" w:hAnsi="Century Gothic"/>
                          <w:sz w:val="20"/>
                          <w:szCs w:val="20"/>
                        </w:rPr>
                      </w:pPr>
                    </w:p>
                    <w:p w14:paraId="6821C1D8" w14:textId="77777777" w:rsidR="00D44DAD" w:rsidRDefault="00D44DAD" w:rsidP="00A16813">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2166F9B" w14:textId="5090824F" w:rsidR="00D44DAD" w:rsidRDefault="00A8517D" w:rsidP="00A16813">
                      <w:pPr>
                        <w:spacing w:after="0" w:line="240" w:lineRule="auto"/>
                        <w:ind w:firstLine="180"/>
                        <w:rPr>
                          <w:rFonts w:ascii="Century Gothic" w:hAnsi="Century Gothic"/>
                          <w:sz w:val="20"/>
                          <w:szCs w:val="20"/>
                        </w:rPr>
                      </w:pPr>
                      <w:r>
                        <w:rPr>
                          <w:rFonts w:ascii="Century Gothic" w:hAnsi="Century Gothic"/>
                          <w:sz w:val="20"/>
                          <w:szCs w:val="20"/>
                        </w:rPr>
                        <w:t xml:space="preserve">              202</w:t>
                      </w:r>
                      <w:r w:rsidR="00CA7724">
                        <w:rPr>
                          <w:rFonts w:ascii="Century Gothic" w:hAnsi="Century Gothic"/>
                          <w:sz w:val="20"/>
                          <w:szCs w:val="20"/>
                        </w:rPr>
                        <w:t>4</w:t>
                      </w:r>
                      <w:r w:rsidR="00D44DAD" w:rsidRPr="008F1A4A">
                        <w:rPr>
                          <w:rFonts w:ascii="Century Gothic" w:hAnsi="Century Gothic"/>
                          <w:sz w:val="20"/>
                          <w:szCs w:val="20"/>
                        </w:rPr>
                        <w:tab/>
                      </w:r>
                      <w:r w:rsidR="00D44DAD">
                        <w:rPr>
                          <w:rFonts w:ascii="Century Gothic" w:hAnsi="Century Gothic"/>
                          <w:sz w:val="20"/>
                          <w:szCs w:val="20"/>
                        </w:rPr>
                        <w:tab/>
                        <w:t xml:space="preserve">.......................... </w:t>
                      </w:r>
                    </w:p>
                    <w:p w14:paraId="61C47BFA" w14:textId="77777777" w:rsidR="00D44DAD" w:rsidRDefault="00D44DAD" w:rsidP="00A16813">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62E8FDD1" w14:textId="77777777" w:rsidR="00A16813" w:rsidRPr="009C746D" w:rsidRDefault="00A16813" w:rsidP="00A16813">
      <w:pPr>
        <w:tabs>
          <w:tab w:val="left" w:pos="4917"/>
        </w:tabs>
        <w:spacing w:after="0" w:line="240" w:lineRule="auto"/>
        <w:jc w:val="center"/>
        <w:rPr>
          <w:rFonts w:ascii="Arial" w:hAnsi="Arial" w:cs="Arial"/>
          <w:sz w:val="24"/>
          <w:szCs w:val="24"/>
        </w:rPr>
      </w:pPr>
    </w:p>
    <w:p w14:paraId="1F5E2062" w14:textId="77777777" w:rsidR="00A16813" w:rsidRPr="009C746D" w:rsidRDefault="00A16813" w:rsidP="00A16813">
      <w:pPr>
        <w:tabs>
          <w:tab w:val="left" w:pos="4917"/>
        </w:tabs>
        <w:spacing w:after="0" w:line="240" w:lineRule="auto"/>
        <w:jc w:val="right"/>
        <w:rPr>
          <w:rFonts w:ascii="Arial" w:hAnsi="Arial" w:cs="Arial"/>
          <w:b/>
          <w:sz w:val="24"/>
          <w:szCs w:val="24"/>
          <w:u w:val="single"/>
        </w:rPr>
      </w:pPr>
    </w:p>
    <w:p w14:paraId="790D00D4" w14:textId="77777777" w:rsidR="00A16813" w:rsidRPr="009C746D" w:rsidRDefault="00A16813" w:rsidP="00A16813">
      <w:pPr>
        <w:tabs>
          <w:tab w:val="left" w:pos="4917"/>
        </w:tabs>
        <w:spacing w:after="0" w:line="240" w:lineRule="auto"/>
        <w:jc w:val="right"/>
        <w:rPr>
          <w:rFonts w:ascii="Arial" w:hAnsi="Arial" w:cs="Arial"/>
          <w:b/>
          <w:sz w:val="24"/>
          <w:szCs w:val="24"/>
          <w:u w:val="single"/>
        </w:rPr>
      </w:pPr>
    </w:p>
    <w:p w14:paraId="02E5ABD2" w14:textId="77777777" w:rsidR="00A16813" w:rsidRPr="009C746D" w:rsidRDefault="00A16813" w:rsidP="00A16813">
      <w:pPr>
        <w:tabs>
          <w:tab w:val="left" w:pos="4917"/>
        </w:tabs>
        <w:spacing w:after="0" w:line="240" w:lineRule="auto"/>
        <w:jc w:val="right"/>
        <w:rPr>
          <w:rFonts w:ascii="Arial" w:hAnsi="Arial" w:cs="Arial"/>
          <w:b/>
          <w:sz w:val="24"/>
          <w:szCs w:val="24"/>
          <w:u w:val="single"/>
        </w:rPr>
      </w:pPr>
    </w:p>
    <w:p w14:paraId="3FFD52DB" w14:textId="77777777" w:rsidR="00A16813" w:rsidRPr="009C746D" w:rsidRDefault="00A16813" w:rsidP="00A16813">
      <w:pPr>
        <w:tabs>
          <w:tab w:val="left" w:pos="4917"/>
        </w:tabs>
        <w:spacing w:after="0" w:line="240" w:lineRule="auto"/>
        <w:jc w:val="right"/>
        <w:rPr>
          <w:rFonts w:ascii="Arial" w:hAnsi="Arial" w:cs="Arial"/>
          <w:b/>
          <w:sz w:val="24"/>
          <w:szCs w:val="24"/>
          <w:u w:val="single"/>
        </w:rPr>
      </w:pPr>
    </w:p>
    <w:p w14:paraId="746084E8" w14:textId="77777777" w:rsidR="00A16813" w:rsidRPr="009C746D" w:rsidRDefault="00A16813" w:rsidP="00A16813">
      <w:pPr>
        <w:tabs>
          <w:tab w:val="left" w:pos="4917"/>
        </w:tabs>
        <w:spacing w:after="0" w:line="240" w:lineRule="auto"/>
        <w:jc w:val="right"/>
        <w:rPr>
          <w:rFonts w:ascii="Arial" w:hAnsi="Arial" w:cs="Arial"/>
          <w:b/>
          <w:sz w:val="24"/>
          <w:szCs w:val="24"/>
          <w:u w:val="single"/>
        </w:rPr>
      </w:pPr>
    </w:p>
    <w:p w14:paraId="35D7B7F6" w14:textId="77777777" w:rsidR="00A16813" w:rsidRPr="009C746D" w:rsidRDefault="00A16813" w:rsidP="00A16813">
      <w:pPr>
        <w:tabs>
          <w:tab w:val="left" w:pos="4917"/>
        </w:tabs>
        <w:spacing w:after="0" w:line="240" w:lineRule="auto"/>
        <w:jc w:val="right"/>
        <w:rPr>
          <w:rFonts w:ascii="Arial" w:hAnsi="Arial" w:cs="Arial"/>
          <w:b/>
          <w:sz w:val="24"/>
          <w:szCs w:val="24"/>
          <w:u w:val="single"/>
        </w:rPr>
      </w:pPr>
    </w:p>
    <w:p w14:paraId="2FB91FA0" w14:textId="77777777" w:rsidR="00A16813" w:rsidRPr="009C746D" w:rsidRDefault="00A16813" w:rsidP="00A16813">
      <w:pPr>
        <w:tabs>
          <w:tab w:val="left" w:pos="4917"/>
        </w:tabs>
        <w:spacing w:after="0" w:line="240" w:lineRule="auto"/>
        <w:jc w:val="right"/>
        <w:rPr>
          <w:rFonts w:ascii="Arial" w:hAnsi="Arial" w:cs="Arial"/>
          <w:b/>
          <w:sz w:val="24"/>
          <w:szCs w:val="24"/>
          <w:u w:val="single"/>
        </w:rPr>
      </w:pPr>
    </w:p>
    <w:p w14:paraId="1DCE9D27" w14:textId="77777777" w:rsidR="00773DD0" w:rsidRDefault="00773DD0" w:rsidP="00E67A85">
      <w:pPr>
        <w:tabs>
          <w:tab w:val="left" w:pos="4917"/>
        </w:tabs>
        <w:spacing w:after="0" w:line="480" w:lineRule="auto"/>
        <w:jc w:val="both"/>
        <w:rPr>
          <w:rFonts w:ascii="Arial" w:hAnsi="Arial" w:cs="Arial"/>
          <w:sz w:val="24"/>
          <w:szCs w:val="24"/>
        </w:rPr>
      </w:pPr>
    </w:p>
    <w:p w14:paraId="6BFF0CFF" w14:textId="052955D6" w:rsidR="00A16813" w:rsidRPr="009C746D" w:rsidRDefault="00A16813" w:rsidP="00E67A85">
      <w:pPr>
        <w:tabs>
          <w:tab w:val="left" w:pos="4917"/>
        </w:tabs>
        <w:spacing w:after="0" w:line="480" w:lineRule="auto"/>
        <w:jc w:val="both"/>
        <w:rPr>
          <w:rFonts w:ascii="Arial" w:hAnsi="Arial" w:cs="Arial"/>
          <w:sz w:val="24"/>
          <w:szCs w:val="24"/>
        </w:rPr>
      </w:pPr>
      <w:r w:rsidRPr="009C746D">
        <w:rPr>
          <w:rFonts w:ascii="Arial" w:hAnsi="Arial" w:cs="Arial"/>
          <w:sz w:val="24"/>
          <w:szCs w:val="24"/>
        </w:rPr>
        <w:t xml:space="preserve">In the </w:t>
      </w:r>
      <w:r w:rsidR="00AF7E0B" w:rsidRPr="009C746D">
        <w:rPr>
          <w:rFonts w:ascii="Arial" w:hAnsi="Arial" w:cs="Arial"/>
          <w:sz w:val="24"/>
          <w:szCs w:val="24"/>
        </w:rPr>
        <w:t>matter</w:t>
      </w:r>
      <w:r w:rsidRPr="009C746D">
        <w:rPr>
          <w:rFonts w:ascii="Arial" w:hAnsi="Arial" w:cs="Arial"/>
          <w:sz w:val="24"/>
          <w:szCs w:val="24"/>
        </w:rPr>
        <w:t xml:space="preserve"> </w:t>
      </w:r>
      <w:r w:rsidR="0054260C" w:rsidRPr="009C746D">
        <w:rPr>
          <w:rFonts w:ascii="Arial" w:hAnsi="Arial" w:cs="Arial"/>
          <w:sz w:val="24"/>
          <w:szCs w:val="24"/>
        </w:rPr>
        <w:t>between: -</w:t>
      </w:r>
    </w:p>
    <w:p w14:paraId="32A2849B" w14:textId="77777777" w:rsidR="00E67A85" w:rsidRPr="009C746D" w:rsidRDefault="00E67A85" w:rsidP="00E67A85">
      <w:pPr>
        <w:tabs>
          <w:tab w:val="left" w:pos="4917"/>
        </w:tabs>
        <w:spacing w:after="0" w:line="480" w:lineRule="auto"/>
        <w:jc w:val="both"/>
        <w:rPr>
          <w:rFonts w:ascii="Arial" w:hAnsi="Arial" w:cs="Arial"/>
          <w:sz w:val="24"/>
          <w:szCs w:val="24"/>
        </w:rPr>
      </w:pPr>
    </w:p>
    <w:p w14:paraId="1FC5EC6D" w14:textId="50F199C9" w:rsidR="00E67A85" w:rsidRPr="009C746D" w:rsidRDefault="00266E79" w:rsidP="00E67A85">
      <w:pPr>
        <w:tabs>
          <w:tab w:val="left" w:pos="4917"/>
        </w:tabs>
        <w:spacing w:after="0" w:line="480" w:lineRule="auto"/>
        <w:jc w:val="both"/>
        <w:rPr>
          <w:rFonts w:ascii="Arial" w:hAnsi="Arial" w:cs="Arial"/>
          <w:b/>
          <w:sz w:val="24"/>
          <w:szCs w:val="24"/>
        </w:rPr>
      </w:pPr>
      <w:r w:rsidRPr="009C746D">
        <w:rPr>
          <w:rFonts w:ascii="Arial" w:hAnsi="Arial" w:cs="Arial"/>
          <w:b/>
          <w:sz w:val="24"/>
          <w:szCs w:val="24"/>
        </w:rPr>
        <w:t>STEPHEN MMOLOTSI MOTHABANE</w:t>
      </w:r>
      <w:r w:rsidR="00E67A85" w:rsidRPr="009C746D">
        <w:rPr>
          <w:rFonts w:ascii="Arial" w:hAnsi="Arial" w:cs="Arial"/>
          <w:b/>
          <w:sz w:val="24"/>
          <w:szCs w:val="24"/>
        </w:rPr>
        <w:tab/>
      </w:r>
      <w:r w:rsidR="00E67A85" w:rsidRPr="009C746D">
        <w:rPr>
          <w:rFonts w:ascii="Arial" w:hAnsi="Arial" w:cs="Arial"/>
          <w:b/>
          <w:sz w:val="24"/>
          <w:szCs w:val="24"/>
        </w:rPr>
        <w:tab/>
      </w:r>
      <w:r w:rsidR="00E67A85" w:rsidRPr="009C746D">
        <w:rPr>
          <w:rFonts w:ascii="Arial" w:hAnsi="Arial" w:cs="Arial"/>
          <w:b/>
          <w:sz w:val="24"/>
          <w:szCs w:val="24"/>
        </w:rPr>
        <w:tab/>
      </w:r>
      <w:r w:rsidR="00E67A85" w:rsidRPr="009C746D">
        <w:rPr>
          <w:rFonts w:ascii="Arial" w:hAnsi="Arial" w:cs="Arial"/>
          <w:b/>
          <w:sz w:val="24"/>
          <w:szCs w:val="24"/>
        </w:rPr>
        <w:tab/>
      </w:r>
      <w:r w:rsidRPr="009C746D">
        <w:rPr>
          <w:rFonts w:ascii="Arial" w:hAnsi="Arial" w:cs="Arial"/>
          <w:b/>
          <w:sz w:val="24"/>
          <w:szCs w:val="24"/>
        </w:rPr>
        <w:tab/>
      </w:r>
      <w:r w:rsidRPr="009C746D">
        <w:rPr>
          <w:rFonts w:ascii="Arial" w:hAnsi="Arial" w:cs="Arial"/>
          <w:b/>
          <w:sz w:val="24"/>
          <w:szCs w:val="24"/>
        </w:rPr>
        <w:tab/>
        <w:t xml:space="preserve">Plaintiff </w:t>
      </w:r>
    </w:p>
    <w:p w14:paraId="070BDB55" w14:textId="77777777" w:rsidR="00E67A85" w:rsidRPr="009C746D" w:rsidRDefault="00E67A85" w:rsidP="00E67A85">
      <w:pPr>
        <w:tabs>
          <w:tab w:val="left" w:pos="4917"/>
        </w:tabs>
        <w:spacing w:after="0" w:line="480" w:lineRule="auto"/>
        <w:jc w:val="both"/>
        <w:rPr>
          <w:rFonts w:ascii="Arial" w:hAnsi="Arial" w:cs="Arial"/>
          <w:b/>
          <w:sz w:val="24"/>
          <w:szCs w:val="24"/>
        </w:rPr>
      </w:pPr>
    </w:p>
    <w:p w14:paraId="6CE9F529" w14:textId="77777777" w:rsidR="00E67A85" w:rsidRPr="009C746D" w:rsidRDefault="00E67A85" w:rsidP="00E67A85">
      <w:pPr>
        <w:tabs>
          <w:tab w:val="left" w:pos="4917"/>
        </w:tabs>
        <w:spacing w:after="0" w:line="480" w:lineRule="auto"/>
        <w:jc w:val="both"/>
        <w:rPr>
          <w:rFonts w:ascii="Arial" w:hAnsi="Arial" w:cs="Arial"/>
          <w:b/>
          <w:sz w:val="24"/>
          <w:szCs w:val="24"/>
        </w:rPr>
      </w:pPr>
      <w:r w:rsidRPr="009C746D">
        <w:rPr>
          <w:rFonts w:ascii="Arial" w:hAnsi="Arial" w:cs="Arial"/>
          <w:b/>
          <w:sz w:val="24"/>
          <w:szCs w:val="24"/>
        </w:rPr>
        <w:t>and</w:t>
      </w:r>
    </w:p>
    <w:p w14:paraId="666F2951" w14:textId="77777777" w:rsidR="00E67A85" w:rsidRPr="009C746D" w:rsidRDefault="00E67A85" w:rsidP="00E67A85">
      <w:pPr>
        <w:tabs>
          <w:tab w:val="left" w:pos="4917"/>
        </w:tabs>
        <w:spacing w:after="0" w:line="480" w:lineRule="auto"/>
        <w:jc w:val="both"/>
        <w:rPr>
          <w:rFonts w:ascii="Arial" w:hAnsi="Arial" w:cs="Arial"/>
          <w:b/>
          <w:sz w:val="24"/>
          <w:szCs w:val="24"/>
        </w:rPr>
      </w:pPr>
    </w:p>
    <w:p w14:paraId="41BA748B" w14:textId="7B523CC3" w:rsidR="0054260C" w:rsidRPr="009C746D" w:rsidRDefault="00266E79" w:rsidP="00E67A85">
      <w:pPr>
        <w:tabs>
          <w:tab w:val="left" w:pos="4917"/>
        </w:tabs>
        <w:spacing w:after="0" w:line="480" w:lineRule="auto"/>
        <w:jc w:val="both"/>
        <w:rPr>
          <w:rFonts w:ascii="Arial" w:hAnsi="Arial" w:cs="Arial"/>
          <w:b/>
          <w:sz w:val="24"/>
          <w:szCs w:val="24"/>
        </w:rPr>
      </w:pPr>
      <w:r w:rsidRPr="009C746D">
        <w:rPr>
          <w:rFonts w:ascii="Arial" w:hAnsi="Arial" w:cs="Arial"/>
          <w:b/>
          <w:sz w:val="24"/>
          <w:szCs w:val="24"/>
        </w:rPr>
        <w:t>SCAW METALS GROUP</w:t>
      </w:r>
      <w:r w:rsidR="008B1FF7" w:rsidRPr="009C746D">
        <w:rPr>
          <w:rFonts w:ascii="Arial" w:hAnsi="Arial" w:cs="Arial"/>
          <w:b/>
          <w:sz w:val="24"/>
          <w:szCs w:val="24"/>
        </w:rPr>
        <w:tab/>
      </w:r>
      <w:r w:rsidR="00E67A85" w:rsidRPr="009C746D">
        <w:rPr>
          <w:rFonts w:ascii="Arial" w:hAnsi="Arial" w:cs="Arial"/>
          <w:b/>
          <w:sz w:val="24"/>
          <w:szCs w:val="24"/>
        </w:rPr>
        <w:tab/>
      </w:r>
      <w:r w:rsidR="00E67A85" w:rsidRPr="009C746D">
        <w:rPr>
          <w:rFonts w:ascii="Arial" w:hAnsi="Arial" w:cs="Arial"/>
          <w:b/>
          <w:sz w:val="24"/>
          <w:szCs w:val="24"/>
        </w:rPr>
        <w:tab/>
        <w:t xml:space="preserve"> </w:t>
      </w:r>
      <w:r w:rsidR="00E67A85" w:rsidRPr="009C746D">
        <w:rPr>
          <w:rFonts w:ascii="Arial" w:hAnsi="Arial" w:cs="Arial"/>
          <w:b/>
          <w:sz w:val="24"/>
          <w:szCs w:val="24"/>
        </w:rPr>
        <w:tab/>
        <w:t xml:space="preserve">   </w:t>
      </w:r>
      <w:r w:rsidR="008B1FF7" w:rsidRPr="009C746D">
        <w:rPr>
          <w:rFonts w:ascii="Arial" w:hAnsi="Arial" w:cs="Arial"/>
          <w:b/>
          <w:sz w:val="24"/>
          <w:szCs w:val="24"/>
        </w:rPr>
        <w:t>Defendant/Excipient</w:t>
      </w:r>
      <w:r w:rsidR="00E67A85" w:rsidRPr="009C746D">
        <w:rPr>
          <w:rFonts w:ascii="Arial" w:hAnsi="Arial" w:cs="Arial"/>
          <w:b/>
          <w:sz w:val="24"/>
          <w:szCs w:val="24"/>
        </w:rPr>
        <w:t xml:space="preserve"> </w:t>
      </w:r>
    </w:p>
    <w:p w14:paraId="2915CE97" w14:textId="77777777" w:rsidR="00A16813" w:rsidRPr="009C746D" w:rsidRDefault="00000000" w:rsidP="00E67A85">
      <w:pPr>
        <w:tabs>
          <w:tab w:val="left" w:pos="4917"/>
        </w:tabs>
        <w:spacing w:after="0" w:line="480" w:lineRule="auto"/>
        <w:jc w:val="both"/>
        <w:rPr>
          <w:rFonts w:ascii="Arial" w:hAnsi="Arial" w:cs="Arial"/>
          <w:b/>
          <w:sz w:val="24"/>
          <w:szCs w:val="24"/>
        </w:rPr>
      </w:pPr>
      <w:r>
        <w:rPr>
          <w:rFonts w:ascii="Arial" w:hAnsi="Arial" w:cs="Arial"/>
          <w:b/>
          <w:noProof/>
          <w:sz w:val="24"/>
          <w:szCs w:val="24"/>
        </w:rPr>
        <w:pict w14:anchorId="26782E5B">
          <v:rect id="_x0000_i1025" alt="" style="width:451.3pt;height:.05pt;mso-width-percent:0;mso-height-percent:0;mso-width-percent:0;mso-height-percent:0" o:hralign="center" o:hrstd="t" o:hr="t" fillcolor="#a0a0a0" stroked="f"/>
        </w:pict>
      </w:r>
    </w:p>
    <w:p w14:paraId="44A34561" w14:textId="77777777" w:rsidR="00A16813" w:rsidRPr="009C746D" w:rsidRDefault="00A16813" w:rsidP="00E67A85">
      <w:pPr>
        <w:spacing w:after="0" w:line="480" w:lineRule="auto"/>
        <w:jc w:val="center"/>
        <w:rPr>
          <w:rFonts w:ascii="Arial" w:hAnsi="Arial" w:cs="Arial"/>
          <w:b/>
          <w:sz w:val="24"/>
          <w:szCs w:val="24"/>
        </w:rPr>
      </w:pPr>
      <w:r w:rsidRPr="009C746D">
        <w:rPr>
          <w:rFonts w:ascii="Arial" w:hAnsi="Arial" w:cs="Arial"/>
          <w:b/>
          <w:sz w:val="24"/>
          <w:szCs w:val="24"/>
        </w:rPr>
        <w:t>JUDGMENT</w:t>
      </w:r>
    </w:p>
    <w:p w14:paraId="46A981DD" w14:textId="77777777" w:rsidR="00A16813" w:rsidRPr="009C746D" w:rsidRDefault="00000000" w:rsidP="00E67A85">
      <w:pPr>
        <w:spacing w:after="0" w:line="480" w:lineRule="auto"/>
        <w:jc w:val="both"/>
        <w:rPr>
          <w:rFonts w:ascii="Arial" w:hAnsi="Arial" w:cs="Arial"/>
          <w:sz w:val="24"/>
          <w:szCs w:val="24"/>
        </w:rPr>
      </w:pPr>
      <w:r>
        <w:rPr>
          <w:rFonts w:ascii="Arial" w:hAnsi="Arial" w:cs="Arial"/>
          <w:b/>
          <w:noProof/>
          <w:sz w:val="24"/>
          <w:szCs w:val="24"/>
        </w:rPr>
        <w:pict w14:anchorId="6B972495">
          <v:rect id="_x0000_i1026" alt="" style="width:451.3pt;height:.05pt;mso-width-percent:0;mso-height-percent:0;mso-width-percent:0;mso-height-percent:0" o:hralign="center" o:hrstd="t" o:hr="t" fillcolor="#a0a0a0" stroked="f"/>
        </w:pict>
      </w:r>
    </w:p>
    <w:p w14:paraId="6FE7DD24" w14:textId="132AADA5" w:rsidR="00D9531B" w:rsidRPr="009C746D" w:rsidRDefault="00D9531B" w:rsidP="00E67A85">
      <w:pPr>
        <w:spacing w:after="0" w:line="480" w:lineRule="auto"/>
        <w:jc w:val="both"/>
        <w:rPr>
          <w:rFonts w:ascii="Arial" w:hAnsi="Arial" w:cs="Arial"/>
          <w:b/>
          <w:sz w:val="24"/>
          <w:szCs w:val="24"/>
        </w:rPr>
      </w:pPr>
      <w:r w:rsidRPr="009C746D">
        <w:rPr>
          <w:rFonts w:ascii="Arial" w:hAnsi="Arial" w:cs="Arial"/>
          <w:b/>
          <w:sz w:val="24"/>
          <w:szCs w:val="24"/>
        </w:rPr>
        <w:t xml:space="preserve">This Judgment was handed down electronically by circulation to the parties’ and or parties representatives by email and by being uploaded to CaseLines. The date and time for the hand down is deemed on </w:t>
      </w:r>
      <w:r w:rsidR="00872020">
        <w:rPr>
          <w:rFonts w:ascii="Arial" w:hAnsi="Arial" w:cs="Arial"/>
          <w:b/>
          <w:sz w:val="24"/>
          <w:szCs w:val="24"/>
        </w:rPr>
        <w:t>21 May 2024.</w:t>
      </w:r>
      <w:r w:rsidRPr="009C746D">
        <w:rPr>
          <w:rFonts w:ascii="Arial" w:hAnsi="Arial" w:cs="Arial"/>
          <w:b/>
          <w:sz w:val="24"/>
          <w:szCs w:val="24"/>
        </w:rPr>
        <w:t xml:space="preserve">  </w:t>
      </w:r>
    </w:p>
    <w:p w14:paraId="5D741BCC" w14:textId="2CFBAB5F" w:rsidR="00C001A9" w:rsidRDefault="00C001A9" w:rsidP="00C001A9">
      <w:pPr>
        <w:spacing w:before="80" w:after="320" w:line="360" w:lineRule="auto"/>
        <w:jc w:val="both"/>
        <w:rPr>
          <w:rFonts w:ascii="Arial" w:hAnsi="Arial" w:cs="Arial"/>
          <w:b/>
          <w:bCs/>
          <w:sz w:val="24"/>
          <w:szCs w:val="24"/>
          <w:u w:val="single"/>
        </w:rPr>
      </w:pPr>
      <w:r w:rsidRPr="00C001A9">
        <w:rPr>
          <w:rFonts w:ascii="Arial" w:hAnsi="Arial" w:cs="Arial"/>
          <w:b/>
          <w:bCs/>
          <w:sz w:val="24"/>
          <w:szCs w:val="24"/>
          <w:u w:val="single"/>
        </w:rPr>
        <w:lastRenderedPageBreak/>
        <w:t>MEYER AJ</w:t>
      </w:r>
    </w:p>
    <w:p w14:paraId="4DEA149B" w14:textId="77777777" w:rsidR="007F2DCF" w:rsidRPr="00C001A9" w:rsidRDefault="007F2DCF" w:rsidP="00C001A9">
      <w:pPr>
        <w:spacing w:before="80" w:after="320" w:line="360" w:lineRule="auto"/>
        <w:jc w:val="both"/>
        <w:rPr>
          <w:rFonts w:ascii="Arial" w:hAnsi="Arial" w:cs="Arial"/>
          <w:b/>
          <w:bCs/>
          <w:sz w:val="24"/>
          <w:szCs w:val="24"/>
          <w:u w:val="single"/>
        </w:rPr>
      </w:pPr>
    </w:p>
    <w:p w14:paraId="4ADFCF46" w14:textId="2CB4F90C" w:rsidR="009C746D" w:rsidRPr="00DC3A14" w:rsidRDefault="00DC3A14" w:rsidP="00DC3A14">
      <w:pPr>
        <w:spacing w:before="80" w:after="320" w:line="360" w:lineRule="auto"/>
        <w:ind w:left="851" w:hanging="851"/>
        <w:jc w:val="both"/>
        <w:rPr>
          <w:rFonts w:ascii="Arial" w:hAnsi="Arial" w:cs="Arial"/>
          <w:sz w:val="24"/>
          <w:szCs w:val="24"/>
        </w:rPr>
      </w:pPr>
      <w:r w:rsidRPr="009C746D">
        <w:rPr>
          <w:rFonts w:ascii="Arial" w:eastAsia="Calibri" w:hAnsi="Arial" w:cs="Arial"/>
          <w:sz w:val="24"/>
          <w:szCs w:val="24"/>
        </w:rPr>
        <w:t>[1]</w:t>
      </w:r>
      <w:r w:rsidRPr="009C746D">
        <w:rPr>
          <w:rFonts w:ascii="Arial" w:eastAsia="Calibri" w:hAnsi="Arial" w:cs="Arial"/>
          <w:sz w:val="24"/>
          <w:szCs w:val="24"/>
        </w:rPr>
        <w:tab/>
      </w:r>
      <w:r w:rsidR="009C746D" w:rsidRPr="00DC3A14">
        <w:rPr>
          <w:rFonts w:ascii="Arial" w:hAnsi="Arial" w:cs="Arial"/>
          <w:sz w:val="24"/>
          <w:szCs w:val="24"/>
        </w:rPr>
        <w:t>The defendant has excepted to the plaintiff’s particulars of claim which was filed on 3 February 2020 on the basis that the plaintiff was precluded alternatively barred from seeking damages against it by virtue of the provisions of section 35(1) of the Compensation for Compensation for Occupational Injuries and Diseases Act, Act 130 of 1993 (</w:t>
      </w:r>
      <w:r w:rsidR="009C746D" w:rsidRPr="00DC3A14">
        <w:rPr>
          <w:rFonts w:ascii="Arial" w:hAnsi="Arial" w:cs="Arial"/>
          <w:i/>
          <w:iCs/>
          <w:sz w:val="24"/>
          <w:szCs w:val="24"/>
        </w:rPr>
        <w:t>“the Act”</w:t>
      </w:r>
      <w:r w:rsidR="009C746D" w:rsidRPr="00DC3A14">
        <w:rPr>
          <w:rFonts w:ascii="Arial" w:hAnsi="Arial" w:cs="Arial"/>
          <w:sz w:val="24"/>
          <w:szCs w:val="24"/>
        </w:rPr>
        <w:t>) which section states the following:</w:t>
      </w:r>
    </w:p>
    <w:p w14:paraId="071F8CAC" w14:textId="77777777" w:rsidR="009C746D" w:rsidRPr="009C746D" w:rsidRDefault="009C746D" w:rsidP="002329CE">
      <w:pPr>
        <w:pStyle w:val="ListParagraph"/>
        <w:spacing w:before="80" w:after="320" w:line="360" w:lineRule="auto"/>
        <w:ind w:left="851"/>
        <w:contextualSpacing w:val="0"/>
        <w:jc w:val="both"/>
        <w:rPr>
          <w:rFonts w:ascii="Arial" w:hAnsi="Arial" w:cs="Arial"/>
          <w:i/>
          <w:iCs/>
          <w:sz w:val="24"/>
          <w:szCs w:val="24"/>
          <w:lang w:val="en-ZA"/>
        </w:rPr>
      </w:pPr>
      <w:r w:rsidRPr="009C746D">
        <w:rPr>
          <w:rFonts w:ascii="Arial" w:hAnsi="Arial" w:cs="Arial"/>
          <w:i/>
          <w:iCs/>
          <w:sz w:val="24"/>
          <w:szCs w:val="24"/>
          <w:lang w:val="en-ZA"/>
        </w:rPr>
        <w:t>“</w:t>
      </w:r>
      <w:r w:rsidRPr="009C746D">
        <w:rPr>
          <w:rFonts w:ascii="Arial" w:hAnsi="Arial" w:cs="Arial"/>
          <w:b/>
          <w:bCs/>
          <w:i/>
          <w:iCs/>
          <w:sz w:val="24"/>
          <w:szCs w:val="24"/>
          <w:lang w:val="en-ZA"/>
        </w:rPr>
        <w:t>35</w:t>
      </w:r>
      <w:r w:rsidRPr="009C746D">
        <w:rPr>
          <w:rFonts w:ascii="Arial" w:hAnsi="Arial" w:cs="Arial"/>
          <w:b/>
          <w:bCs/>
          <w:i/>
          <w:iCs/>
          <w:sz w:val="24"/>
          <w:szCs w:val="24"/>
          <w:lang w:val="en-ZA"/>
        </w:rPr>
        <w:tab/>
        <w:t>Substitution of compensation for other legal remedies</w:t>
      </w:r>
    </w:p>
    <w:p w14:paraId="60644699" w14:textId="1A6FB3AB" w:rsidR="009C746D" w:rsidRPr="009C746D" w:rsidRDefault="009C746D" w:rsidP="002329CE">
      <w:pPr>
        <w:pStyle w:val="ListParagraph"/>
        <w:spacing w:before="80" w:after="320" w:line="360" w:lineRule="auto"/>
        <w:ind w:left="1439" w:hanging="588"/>
        <w:contextualSpacing w:val="0"/>
        <w:jc w:val="both"/>
        <w:rPr>
          <w:rFonts w:ascii="Arial" w:hAnsi="Arial" w:cs="Arial"/>
          <w:sz w:val="24"/>
          <w:szCs w:val="24"/>
          <w:lang w:val="en-ZA"/>
        </w:rPr>
      </w:pPr>
      <w:r w:rsidRPr="009C746D">
        <w:rPr>
          <w:rFonts w:ascii="Arial" w:hAnsi="Arial" w:cs="Arial"/>
          <w:i/>
          <w:iCs/>
          <w:sz w:val="24"/>
          <w:szCs w:val="24"/>
          <w:lang w:val="en-ZA"/>
        </w:rPr>
        <w:t>(1)</w:t>
      </w:r>
      <w:r w:rsidRPr="009C746D">
        <w:rPr>
          <w:rFonts w:ascii="Arial" w:hAnsi="Arial" w:cs="Arial"/>
          <w:i/>
          <w:iCs/>
          <w:sz w:val="24"/>
          <w:szCs w:val="24"/>
          <w:lang w:val="en-ZA"/>
        </w:rPr>
        <w:tab/>
        <w:t xml:space="preserve">No action shall lie by an employee or any dependent for the recovery of damages in respect of any occupational injury or disease resulting in the disablement or death of such employee against such employee’s employer and no liability for compensation on the part of such employee shall arise under the provisions of this Act in respect of such disablement or death….” </w:t>
      </w:r>
      <w:r w:rsidRPr="009C746D">
        <w:rPr>
          <w:rFonts w:ascii="Arial" w:hAnsi="Arial" w:cs="Arial"/>
          <w:sz w:val="24"/>
          <w:szCs w:val="24"/>
          <w:lang w:val="en-ZA"/>
        </w:rPr>
        <w:t xml:space="preserve">  </w:t>
      </w:r>
    </w:p>
    <w:p w14:paraId="01F54A8E" w14:textId="219372A4" w:rsidR="009C746D" w:rsidRPr="00DC3A14" w:rsidRDefault="00DC3A14" w:rsidP="00DC3A14">
      <w:pPr>
        <w:spacing w:before="80" w:after="320" w:line="360" w:lineRule="auto"/>
        <w:ind w:left="851" w:hanging="851"/>
        <w:jc w:val="both"/>
        <w:rPr>
          <w:rFonts w:ascii="Arial" w:hAnsi="Arial" w:cs="Arial"/>
          <w:sz w:val="24"/>
          <w:szCs w:val="24"/>
        </w:rPr>
      </w:pPr>
      <w:r w:rsidRPr="009C746D">
        <w:rPr>
          <w:rFonts w:ascii="Arial" w:eastAsia="Calibri" w:hAnsi="Arial" w:cs="Arial"/>
          <w:sz w:val="24"/>
          <w:szCs w:val="24"/>
        </w:rPr>
        <w:t>[2]</w:t>
      </w:r>
      <w:r w:rsidRPr="009C746D">
        <w:rPr>
          <w:rFonts w:ascii="Arial" w:eastAsia="Calibri" w:hAnsi="Arial" w:cs="Arial"/>
          <w:sz w:val="24"/>
          <w:szCs w:val="24"/>
        </w:rPr>
        <w:tab/>
      </w:r>
      <w:r w:rsidR="009C746D" w:rsidRPr="00DC3A14">
        <w:rPr>
          <w:rFonts w:ascii="Arial" w:hAnsi="Arial" w:cs="Arial"/>
          <w:sz w:val="24"/>
          <w:szCs w:val="24"/>
        </w:rPr>
        <w:t xml:space="preserve">The procedure for claiming occupational injury benefits </w:t>
      </w:r>
      <w:r w:rsidR="00773DD0" w:rsidRPr="00DC3A14">
        <w:rPr>
          <w:rFonts w:ascii="Arial" w:hAnsi="Arial" w:cs="Arial"/>
          <w:sz w:val="24"/>
          <w:szCs w:val="24"/>
        </w:rPr>
        <w:t xml:space="preserve">by an employee </w:t>
      </w:r>
      <w:r w:rsidR="0048669B" w:rsidRPr="00DC3A14">
        <w:rPr>
          <w:rFonts w:ascii="Arial" w:hAnsi="Arial" w:cs="Arial"/>
          <w:sz w:val="24"/>
          <w:szCs w:val="24"/>
        </w:rPr>
        <w:t xml:space="preserve">under the Act </w:t>
      </w:r>
      <w:r w:rsidR="009C746D" w:rsidRPr="00DC3A14">
        <w:rPr>
          <w:rFonts w:ascii="Arial" w:hAnsi="Arial" w:cs="Arial"/>
          <w:sz w:val="24"/>
          <w:szCs w:val="24"/>
        </w:rPr>
        <w:t xml:space="preserve">is set out in Chapter V </w:t>
      </w:r>
      <w:r w:rsidR="0048669B" w:rsidRPr="00DC3A14">
        <w:rPr>
          <w:rFonts w:ascii="Arial" w:hAnsi="Arial" w:cs="Arial"/>
          <w:sz w:val="24"/>
          <w:szCs w:val="24"/>
        </w:rPr>
        <w:t>thereof</w:t>
      </w:r>
      <w:r w:rsidR="009C746D" w:rsidRPr="00DC3A14">
        <w:rPr>
          <w:rFonts w:ascii="Arial" w:hAnsi="Arial" w:cs="Arial"/>
          <w:sz w:val="24"/>
          <w:szCs w:val="24"/>
        </w:rPr>
        <w:t>.</w:t>
      </w:r>
    </w:p>
    <w:p w14:paraId="3A39DD70" w14:textId="78FD6E5C" w:rsidR="009C746D" w:rsidRPr="00DC3A14" w:rsidRDefault="00DC3A14" w:rsidP="00DC3A14">
      <w:pPr>
        <w:spacing w:before="80" w:after="320" w:line="360" w:lineRule="auto"/>
        <w:ind w:left="851" w:hanging="851"/>
        <w:jc w:val="both"/>
        <w:rPr>
          <w:rFonts w:ascii="Arial" w:hAnsi="Arial" w:cs="Arial"/>
          <w:sz w:val="24"/>
          <w:szCs w:val="24"/>
        </w:rPr>
      </w:pPr>
      <w:r w:rsidRPr="009C746D">
        <w:rPr>
          <w:rFonts w:ascii="Arial" w:eastAsia="Calibri" w:hAnsi="Arial" w:cs="Arial"/>
          <w:sz w:val="24"/>
          <w:szCs w:val="24"/>
        </w:rPr>
        <w:t>[3]</w:t>
      </w:r>
      <w:r w:rsidRPr="009C746D">
        <w:rPr>
          <w:rFonts w:ascii="Arial" w:eastAsia="Calibri" w:hAnsi="Arial" w:cs="Arial"/>
          <w:sz w:val="24"/>
          <w:szCs w:val="24"/>
        </w:rPr>
        <w:tab/>
      </w:r>
      <w:r w:rsidR="009C746D" w:rsidRPr="00DC3A14">
        <w:rPr>
          <w:rFonts w:ascii="Arial" w:hAnsi="Arial" w:cs="Arial"/>
          <w:sz w:val="24"/>
          <w:szCs w:val="24"/>
        </w:rPr>
        <w:t>The plaintiff’s claim is against the defendant</w:t>
      </w:r>
      <w:r w:rsidR="0048669B" w:rsidRPr="00DC3A14">
        <w:rPr>
          <w:rFonts w:ascii="Arial" w:hAnsi="Arial" w:cs="Arial"/>
          <w:sz w:val="24"/>
          <w:szCs w:val="24"/>
        </w:rPr>
        <w:t>, the plaintiff’s employer</w:t>
      </w:r>
      <w:r w:rsidR="009C746D" w:rsidRPr="00DC3A14">
        <w:rPr>
          <w:rFonts w:ascii="Arial" w:hAnsi="Arial" w:cs="Arial"/>
          <w:sz w:val="24"/>
          <w:szCs w:val="24"/>
        </w:rPr>
        <w:t xml:space="preserve"> for compensational damages in the amount of R3 015 000.00 which claim is premised on a breach of the terms and conditions of </w:t>
      </w:r>
      <w:r w:rsidR="0048669B" w:rsidRPr="00DC3A14">
        <w:rPr>
          <w:rFonts w:ascii="Arial" w:hAnsi="Arial" w:cs="Arial"/>
          <w:sz w:val="24"/>
          <w:szCs w:val="24"/>
        </w:rPr>
        <w:t>the defendant’s</w:t>
      </w:r>
      <w:r w:rsidR="009C746D" w:rsidRPr="00DC3A14">
        <w:rPr>
          <w:rFonts w:ascii="Arial" w:hAnsi="Arial" w:cs="Arial"/>
          <w:sz w:val="24"/>
          <w:szCs w:val="24"/>
        </w:rPr>
        <w:t xml:space="preserve"> employment contract </w:t>
      </w:r>
      <w:r w:rsidR="0048669B" w:rsidRPr="00DC3A14">
        <w:rPr>
          <w:rFonts w:ascii="Arial" w:hAnsi="Arial" w:cs="Arial"/>
          <w:sz w:val="24"/>
          <w:szCs w:val="24"/>
        </w:rPr>
        <w:t xml:space="preserve">with the plaintiff </w:t>
      </w:r>
      <w:r w:rsidR="009C746D" w:rsidRPr="00DC3A14">
        <w:rPr>
          <w:rFonts w:ascii="Arial" w:hAnsi="Arial" w:cs="Arial"/>
          <w:sz w:val="24"/>
          <w:szCs w:val="24"/>
        </w:rPr>
        <w:t>alternatively delict. Both claims whilst pleaded in the alternative are premised on common law legal remedies.</w:t>
      </w:r>
    </w:p>
    <w:p w14:paraId="58F0DFD7" w14:textId="69B68BEF" w:rsidR="009C746D" w:rsidRPr="00DC3A14" w:rsidRDefault="00DC3A14" w:rsidP="00DC3A14">
      <w:pPr>
        <w:spacing w:before="80" w:after="320" w:line="360" w:lineRule="auto"/>
        <w:ind w:left="851" w:hanging="851"/>
        <w:jc w:val="both"/>
        <w:rPr>
          <w:rFonts w:ascii="Arial" w:hAnsi="Arial" w:cs="Arial"/>
          <w:sz w:val="24"/>
          <w:szCs w:val="24"/>
        </w:rPr>
      </w:pPr>
      <w:r w:rsidRPr="009C746D">
        <w:rPr>
          <w:rFonts w:ascii="Arial" w:eastAsia="Calibri" w:hAnsi="Arial" w:cs="Arial"/>
          <w:sz w:val="24"/>
          <w:szCs w:val="24"/>
        </w:rPr>
        <w:t>[4]</w:t>
      </w:r>
      <w:r w:rsidRPr="009C746D">
        <w:rPr>
          <w:rFonts w:ascii="Arial" w:eastAsia="Calibri" w:hAnsi="Arial" w:cs="Arial"/>
          <w:sz w:val="24"/>
          <w:szCs w:val="24"/>
        </w:rPr>
        <w:tab/>
      </w:r>
      <w:r w:rsidR="009C746D" w:rsidRPr="00DC3A14">
        <w:rPr>
          <w:rFonts w:ascii="Arial" w:hAnsi="Arial" w:cs="Arial"/>
          <w:sz w:val="24"/>
          <w:szCs w:val="24"/>
        </w:rPr>
        <w:t xml:space="preserve">The plaintiff’s claim </w:t>
      </w:r>
      <w:r w:rsidR="0048669B" w:rsidRPr="00DC3A14">
        <w:rPr>
          <w:rFonts w:ascii="Arial" w:hAnsi="Arial" w:cs="Arial"/>
          <w:sz w:val="24"/>
          <w:szCs w:val="24"/>
        </w:rPr>
        <w:t xml:space="preserve">against the defendant </w:t>
      </w:r>
      <w:r w:rsidR="009C746D" w:rsidRPr="00DC3A14">
        <w:rPr>
          <w:rFonts w:ascii="Arial" w:hAnsi="Arial" w:cs="Arial"/>
          <w:sz w:val="24"/>
          <w:szCs w:val="24"/>
        </w:rPr>
        <w:t>arose out of an occupational injury sustained by the plaintiff on 28 February 2013 whilst in the employ of the defendant as a workshop assistant at its steel factory located in Klerksdorp.</w:t>
      </w:r>
    </w:p>
    <w:p w14:paraId="2BC816E5" w14:textId="601C7101" w:rsidR="009C746D" w:rsidRPr="00DC3A14" w:rsidRDefault="00DC3A14" w:rsidP="00DC3A14">
      <w:pPr>
        <w:spacing w:before="80" w:after="320" w:line="360" w:lineRule="auto"/>
        <w:ind w:left="851" w:hanging="851"/>
        <w:jc w:val="both"/>
        <w:rPr>
          <w:rFonts w:ascii="Arial" w:hAnsi="Arial" w:cs="Arial"/>
          <w:sz w:val="24"/>
          <w:szCs w:val="24"/>
        </w:rPr>
      </w:pPr>
      <w:r w:rsidRPr="009C746D">
        <w:rPr>
          <w:rFonts w:ascii="Arial" w:eastAsia="Calibri" w:hAnsi="Arial" w:cs="Arial"/>
          <w:sz w:val="24"/>
          <w:szCs w:val="24"/>
        </w:rPr>
        <w:t>[5]</w:t>
      </w:r>
      <w:r w:rsidRPr="009C746D">
        <w:rPr>
          <w:rFonts w:ascii="Arial" w:eastAsia="Calibri" w:hAnsi="Arial" w:cs="Arial"/>
          <w:sz w:val="24"/>
          <w:szCs w:val="24"/>
        </w:rPr>
        <w:tab/>
      </w:r>
      <w:r w:rsidR="009C746D" w:rsidRPr="00DC3A14">
        <w:rPr>
          <w:rFonts w:ascii="Arial" w:hAnsi="Arial" w:cs="Arial"/>
          <w:sz w:val="24"/>
          <w:szCs w:val="24"/>
        </w:rPr>
        <w:t xml:space="preserve">It appears from the oral argument advanced before me that it </w:t>
      </w:r>
      <w:r w:rsidR="00773DD0" w:rsidRPr="00DC3A14">
        <w:rPr>
          <w:rFonts w:ascii="Arial" w:hAnsi="Arial" w:cs="Arial"/>
          <w:sz w:val="24"/>
          <w:szCs w:val="24"/>
        </w:rPr>
        <w:t>is</w:t>
      </w:r>
      <w:r w:rsidR="009C746D" w:rsidRPr="00DC3A14">
        <w:rPr>
          <w:rFonts w:ascii="Arial" w:hAnsi="Arial" w:cs="Arial"/>
          <w:sz w:val="24"/>
          <w:szCs w:val="24"/>
        </w:rPr>
        <w:t xml:space="preserve"> not in dispute that the plaintiff had suffered a workplace injury on 28 February 2013 which </w:t>
      </w:r>
      <w:r w:rsidR="009C746D" w:rsidRPr="00DC3A14">
        <w:rPr>
          <w:rFonts w:ascii="Arial" w:hAnsi="Arial" w:cs="Arial"/>
          <w:sz w:val="24"/>
          <w:szCs w:val="24"/>
        </w:rPr>
        <w:lastRenderedPageBreak/>
        <w:t xml:space="preserve">injury fell within the ambit of a </w:t>
      </w:r>
      <w:r w:rsidR="009C746D" w:rsidRPr="00DC3A14">
        <w:rPr>
          <w:rFonts w:ascii="Arial" w:hAnsi="Arial" w:cs="Arial"/>
          <w:i/>
          <w:iCs/>
          <w:sz w:val="24"/>
          <w:szCs w:val="24"/>
        </w:rPr>
        <w:t>“disablement”</w:t>
      </w:r>
      <w:r w:rsidR="00773DD0" w:rsidRPr="00DC3A14">
        <w:rPr>
          <w:rFonts w:ascii="Arial" w:hAnsi="Arial" w:cs="Arial"/>
          <w:i/>
          <w:iCs/>
          <w:sz w:val="24"/>
          <w:szCs w:val="24"/>
        </w:rPr>
        <w:t xml:space="preserve"> </w:t>
      </w:r>
      <w:r w:rsidR="00773DD0" w:rsidRPr="00DC3A14">
        <w:rPr>
          <w:rFonts w:ascii="Arial" w:hAnsi="Arial" w:cs="Arial"/>
          <w:sz w:val="24"/>
          <w:szCs w:val="24"/>
        </w:rPr>
        <w:t>as envisaged under the Act</w:t>
      </w:r>
      <w:r w:rsidR="009C746D" w:rsidRPr="00DC3A14">
        <w:rPr>
          <w:rFonts w:ascii="Arial" w:hAnsi="Arial" w:cs="Arial"/>
          <w:sz w:val="24"/>
          <w:szCs w:val="24"/>
        </w:rPr>
        <w:t xml:space="preserve">, </w:t>
      </w:r>
      <w:r w:rsidR="00773DD0" w:rsidRPr="00DC3A14">
        <w:rPr>
          <w:rFonts w:ascii="Arial" w:hAnsi="Arial" w:cs="Arial"/>
          <w:sz w:val="24"/>
          <w:szCs w:val="24"/>
        </w:rPr>
        <w:t xml:space="preserve">moreover </w:t>
      </w:r>
      <w:r w:rsidR="009C746D" w:rsidRPr="00DC3A14">
        <w:rPr>
          <w:rFonts w:ascii="Arial" w:hAnsi="Arial" w:cs="Arial"/>
          <w:sz w:val="24"/>
          <w:szCs w:val="24"/>
        </w:rPr>
        <w:t xml:space="preserve">it </w:t>
      </w:r>
      <w:r w:rsidR="00773DD0" w:rsidRPr="00DC3A14">
        <w:rPr>
          <w:rFonts w:ascii="Arial" w:hAnsi="Arial" w:cs="Arial"/>
          <w:sz w:val="24"/>
          <w:szCs w:val="24"/>
        </w:rPr>
        <w:t>does not appear to be</w:t>
      </w:r>
      <w:r w:rsidR="009C746D" w:rsidRPr="00DC3A14">
        <w:rPr>
          <w:rFonts w:ascii="Arial" w:hAnsi="Arial" w:cs="Arial"/>
          <w:sz w:val="24"/>
          <w:szCs w:val="24"/>
        </w:rPr>
        <w:t xml:space="preserve"> dispute that the plaintiff and defendant qualified as an </w:t>
      </w:r>
      <w:r w:rsidR="009C746D" w:rsidRPr="00DC3A14">
        <w:rPr>
          <w:rFonts w:ascii="Arial" w:hAnsi="Arial" w:cs="Arial"/>
          <w:i/>
          <w:iCs/>
          <w:sz w:val="24"/>
          <w:szCs w:val="24"/>
        </w:rPr>
        <w:t>“employee”</w:t>
      </w:r>
      <w:r w:rsidR="009C746D" w:rsidRPr="00DC3A14">
        <w:rPr>
          <w:rFonts w:ascii="Arial" w:hAnsi="Arial" w:cs="Arial"/>
          <w:sz w:val="24"/>
          <w:szCs w:val="24"/>
        </w:rPr>
        <w:t xml:space="preserve"> and </w:t>
      </w:r>
      <w:r w:rsidR="009C746D" w:rsidRPr="00DC3A14">
        <w:rPr>
          <w:rFonts w:ascii="Arial" w:hAnsi="Arial" w:cs="Arial"/>
          <w:i/>
          <w:iCs/>
          <w:sz w:val="24"/>
          <w:szCs w:val="24"/>
        </w:rPr>
        <w:t>“employer”</w:t>
      </w:r>
      <w:r w:rsidR="009C746D" w:rsidRPr="00DC3A14">
        <w:rPr>
          <w:rFonts w:ascii="Arial" w:hAnsi="Arial" w:cs="Arial"/>
          <w:sz w:val="24"/>
          <w:szCs w:val="24"/>
        </w:rPr>
        <w:t xml:space="preserve"> </w:t>
      </w:r>
      <w:r w:rsidR="0048669B" w:rsidRPr="00DC3A14">
        <w:rPr>
          <w:rFonts w:ascii="Arial" w:hAnsi="Arial" w:cs="Arial"/>
          <w:sz w:val="24"/>
          <w:szCs w:val="24"/>
        </w:rPr>
        <w:t xml:space="preserve">as envisaged </w:t>
      </w:r>
      <w:r w:rsidR="009C746D" w:rsidRPr="00DC3A14">
        <w:rPr>
          <w:rFonts w:ascii="Arial" w:hAnsi="Arial" w:cs="Arial"/>
          <w:sz w:val="24"/>
          <w:szCs w:val="24"/>
        </w:rPr>
        <w:t xml:space="preserve">under the Act. </w:t>
      </w:r>
    </w:p>
    <w:p w14:paraId="36231639" w14:textId="3D8AA29C" w:rsidR="009C746D" w:rsidRPr="00DC3A14" w:rsidRDefault="00DC3A14" w:rsidP="00DC3A14">
      <w:pPr>
        <w:spacing w:before="80" w:after="320" w:line="360" w:lineRule="auto"/>
        <w:ind w:left="851" w:hanging="851"/>
        <w:jc w:val="both"/>
        <w:rPr>
          <w:rFonts w:ascii="Arial" w:hAnsi="Arial" w:cs="Arial"/>
          <w:sz w:val="24"/>
          <w:szCs w:val="24"/>
        </w:rPr>
      </w:pPr>
      <w:r w:rsidRPr="009C746D">
        <w:rPr>
          <w:rFonts w:ascii="Arial" w:eastAsia="Calibri" w:hAnsi="Arial" w:cs="Arial"/>
          <w:sz w:val="24"/>
          <w:szCs w:val="24"/>
        </w:rPr>
        <w:t>[6]</w:t>
      </w:r>
      <w:r w:rsidRPr="009C746D">
        <w:rPr>
          <w:rFonts w:ascii="Arial" w:eastAsia="Calibri" w:hAnsi="Arial" w:cs="Arial"/>
          <w:sz w:val="24"/>
          <w:szCs w:val="24"/>
        </w:rPr>
        <w:tab/>
      </w:r>
      <w:r w:rsidR="009C746D" w:rsidRPr="00DC3A14">
        <w:rPr>
          <w:rFonts w:ascii="Arial" w:hAnsi="Arial" w:cs="Arial"/>
          <w:sz w:val="24"/>
          <w:szCs w:val="24"/>
        </w:rPr>
        <w:t xml:space="preserve">I have had regard to the </w:t>
      </w:r>
      <w:r w:rsidR="009C746D" w:rsidRPr="00DC3A14">
        <w:rPr>
          <w:rFonts w:ascii="Arial" w:hAnsi="Arial" w:cs="Arial"/>
          <w:b/>
          <w:bCs/>
          <w:sz w:val="24"/>
          <w:szCs w:val="24"/>
        </w:rPr>
        <w:t>Constitutional Court decision of Jooste v Score Supermarket Trading (Pty) Ltd</w:t>
      </w:r>
      <w:r w:rsidR="009C746D" w:rsidRPr="009C746D">
        <w:rPr>
          <w:rStyle w:val="FootnoteReference"/>
          <w:rFonts w:ascii="Arial" w:hAnsi="Arial" w:cs="Arial"/>
          <w:sz w:val="24"/>
          <w:szCs w:val="24"/>
        </w:rPr>
        <w:footnoteReference w:id="1"/>
      </w:r>
      <w:r w:rsidR="009C746D" w:rsidRPr="00DC3A14">
        <w:rPr>
          <w:rFonts w:ascii="Arial" w:hAnsi="Arial" w:cs="Arial"/>
          <w:sz w:val="24"/>
          <w:szCs w:val="24"/>
        </w:rPr>
        <w:t xml:space="preserve"> which succinctly summarised the common-law right of an employee to claim damages and contrasted it to the legislative regime regulated </w:t>
      </w:r>
      <w:r w:rsidR="009B5A08" w:rsidRPr="00DC3A14">
        <w:rPr>
          <w:rFonts w:ascii="Arial" w:hAnsi="Arial" w:cs="Arial"/>
          <w:sz w:val="24"/>
          <w:szCs w:val="24"/>
        </w:rPr>
        <w:t>under</w:t>
      </w:r>
      <w:r w:rsidR="009C746D" w:rsidRPr="00DC3A14">
        <w:rPr>
          <w:rFonts w:ascii="Arial" w:hAnsi="Arial" w:cs="Arial"/>
          <w:sz w:val="24"/>
          <w:szCs w:val="24"/>
        </w:rPr>
        <w:t xml:space="preserve"> the Act in order to advance the context of section 35(1) of the Act which deprived an employee of the right to claim damages under the Act</w:t>
      </w:r>
      <w:r w:rsidR="009C746D" w:rsidRPr="009C746D">
        <w:rPr>
          <w:rStyle w:val="FootnoteReference"/>
          <w:rFonts w:ascii="Arial" w:hAnsi="Arial" w:cs="Arial"/>
          <w:sz w:val="24"/>
          <w:szCs w:val="24"/>
        </w:rPr>
        <w:footnoteReference w:id="2"/>
      </w:r>
      <w:r w:rsidR="009C746D" w:rsidRPr="00DC3A14">
        <w:rPr>
          <w:rFonts w:ascii="Arial" w:hAnsi="Arial" w:cs="Arial"/>
          <w:sz w:val="24"/>
          <w:szCs w:val="24"/>
        </w:rPr>
        <w:t>. The court found that section 35(1) of the Act was logically and rationally connected to the legitimate purpose of the Act, namely a comprehensive regulation of compensation for disablement caused by occupational injuries or diseases sustained or contracted by employees in the course of their employment. Moreover, the Act was found to essentially replace the individualistic common law position, typically represented by civil claims of a plaintiff employee against a defendant employer who may or may not have been negligent</w:t>
      </w:r>
      <w:r w:rsidR="009C746D" w:rsidRPr="009C746D">
        <w:rPr>
          <w:rStyle w:val="FootnoteReference"/>
          <w:rFonts w:ascii="Arial" w:hAnsi="Arial" w:cs="Arial"/>
          <w:sz w:val="24"/>
          <w:szCs w:val="24"/>
        </w:rPr>
        <w:footnoteReference w:id="3"/>
      </w:r>
      <w:r w:rsidR="009C746D" w:rsidRPr="00DC3A14">
        <w:rPr>
          <w:rFonts w:ascii="Arial" w:hAnsi="Arial" w:cs="Arial"/>
          <w:sz w:val="24"/>
          <w:szCs w:val="24"/>
        </w:rPr>
        <w:t>. Th</w:t>
      </w:r>
      <w:r w:rsidR="009B5A08" w:rsidRPr="00DC3A14">
        <w:rPr>
          <w:rFonts w:ascii="Arial" w:hAnsi="Arial" w:cs="Arial"/>
          <w:sz w:val="24"/>
          <w:szCs w:val="24"/>
        </w:rPr>
        <w:t xml:space="preserve">e aforesaid </w:t>
      </w:r>
      <w:r w:rsidR="009C746D" w:rsidRPr="00DC3A14">
        <w:rPr>
          <w:rFonts w:ascii="Arial" w:hAnsi="Arial" w:cs="Arial"/>
          <w:sz w:val="24"/>
          <w:szCs w:val="24"/>
        </w:rPr>
        <w:t xml:space="preserve">position was reaffirmed by the Constitutional Court in </w:t>
      </w:r>
      <w:r w:rsidR="009C746D" w:rsidRPr="00DC3A14">
        <w:rPr>
          <w:rFonts w:ascii="Arial" w:hAnsi="Arial" w:cs="Arial"/>
          <w:b/>
          <w:bCs/>
          <w:sz w:val="24"/>
          <w:szCs w:val="24"/>
        </w:rPr>
        <w:t>Mankayi v Angl</w:t>
      </w:r>
      <w:r w:rsidR="00B42693" w:rsidRPr="00DC3A14">
        <w:rPr>
          <w:rFonts w:ascii="Arial" w:hAnsi="Arial" w:cs="Arial"/>
          <w:b/>
          <w:bCs/>
          <w:sz w:val="24"/>
          <w:szCs w:val="24"/>
        </w:rPr>
        <w:t>o</w:t>
      </w:r>
      <w:r w:rsidR="009C746D" w:rsidRPr="00DC3A14">
        <w:rPr>
          <w:rFonts w:ascii="Arial" w:hAnsi="Arial" w:cs="Arial"/>
          <w:b/>
          <w:bCs/>
          <w:sz w:val="24"/>
          <w:szCs w:val="24"/>
        </w:rPr>
        <w:t>gold Ashanti</w:t>
      </w:r>
      <w:r w:rsidR="009C746D" w:rsidRPr="009C746D">
        <w:rPr>
          <w:rStyle w:val="FootnoteReference"/>
          <w:rFonts w:ascii="Arial" w:hAnsi="Arial" w:cs="Arial"/>
          <w:sz w:val="24"/>
          <w:szCs w:val="24"/>
        </w:rPr>
        <w:footnoteReference w:id="4"/>
      </w:r>
      <w:r w:rsidR="009C746D" w:rsidRPr="00DC3A14">
        <w:rPr>
          <w:rFonts w:ascii="Arial" w:hAnsi="Arial" w:cs="Arial"/>
          <w:sz w:val="24"/>
          <w:szCs w:val="24"/>
        </w:rPr>
        <w:t xml:space="preserve">.  </w:t>
      </w:r>
      <w:r w:rsidR="00E6383E" w:rsidRPr="00DC3A14">
        <w:rPr>
          <w:rFonts w:ascii="Arial" w:hAnsi="Arial" w:cs="Arial"/>
          <w:sz w:val="24"/>
          <w:szCs w:val="24"/>
        </w:rPr>
        <w:t>Notably</w:t>
      </w:r>
      <w:r w:rsidR="009C746D" w:rsidRPr="00DC3A14">
        <w:rPr>
          <w:rFonts w:ascii="Arial" w:hAnsi="Arial" w:cs="Arial"/>
          <w:sz w:val="24"/>
          <w:szCs w:val="24"/>
        </w:rPr>
        <w:t xml:space="preserve">, the Constitutional Court in </w:t>
      </w:r>
      <w:r w:rsidR="009C746D" w:rsidRPr="00DC3A14">
        <w:rPr>
          <w:rFonts w:ascii="Arial" w:hAnsi="Arial" w:cs="Arial"/>
          <w:b/>
          <w:bCs/>
          <w:sz w:val="24"/>
          <w:szCs w:val="24"/>
        </w:rPr>
        <w:t>Jooste v Score Supermarket Trading (Pty) Ltd</w:t>
      </w:r>
      <w:r w:rsidR="009C746D" w:rsidRPr="00DC3A14">
        <w:rPr>
          <w:rFonts w:ascii="Arial" w:hAnsi="Arial" w:cs="Arial"/>
          <w:sz w:val="24"/>
          <w:szCs w:val="24"/>
        </w:rPr>
        <w:t xml:space="preserve"> found that the provisions of section 35(1) of the Act </w:t>
      </w:r>
      <w:r w:rsidR="009B5A08" w:rsidRPr="00DC3A14">
        <w:rPr>
          <w:rFonts w:ascii="Arial" w:hAnsi="Arial" w:cs="Arial"/>
          <w:sz w:val="24"/>
          <w:szCs w:val="24"/>
        </w:rPr>
        <w:t xml:space="preserve">which forms the subject matter of these proceedings </w:t>
      </w:r>
      <w:r w:rsidR="009C746D" w:rsidRPr="00DC3A14">
        <w:rPr>
          <w:rFonts w:ascii="Arial" w:hAnsi="Arial" w:cs="Arial"/>
          <w:sz w:val="24"/>
          <w:szCs w:val="24"/>
        </w:rPr>
        <w:t>were not inconsistent with either the interim or the 1996 Constitution</w:t>
      </w:r>
      <w:r w:rsidR="009C746D" w:rsidRPr="009C746D">
        <w:rPr>
          <w:rStyle w:val="FootnoteReference"/>
          <w:rFonts w:ascii="Arial" w:hAnsi="Arial" w:cs="Arial"/>
          <w:sz w:val="24"/>
          <w:szCs w:val="24"/>
        </w:rPr>
        <w:footnoteReference w:id="5"/>
      </w:r>
      <w:r w:rsidR="009C746D" w:rsidRPr="00DC3A14">
        <w:rPr>
          <w:rFonts w:ascii="Arial" w:hAnsi="Arial" w:cs="Arial"/>
          <w:sz w:val="24"/>
          <w:szCs w:val="24"/>
        </w:rPr>
        <w:t>.</w:t>
      </w:r>
    </w:p>
    <w:p w14:paraId="7B186A09" w14:textId="5BEA3E35" w:rsidR="009C746D" w:rsidRPr="00DC3A14" w:rsidRDefault="00DC3A14" w:rsidP="00DC3A14">
      <w:pPr>
        <w:spacing w:before="80" w:after="320" w:line="360" w:lineRule="auto"/>
        <w:ind w:left="851" w:hanging="851"/>
        <w:jc w:val="both"/>
        <w:rPr>
          <w:rFonts w:ascii="Arial" w:hAnsi="Arial" w:cs="Arial"/>
          <w:sz w:val="24"/>
          <w:szCs w:val="24"/>
        </w:rPr>
      </w:pPr>
      <w:r w:rsidRPr="009C746D">
        <w:rPr>
          <w:rFonts w:ascii="Arial" w:eastAsia="Calibri" w:hAnsi="Arial" w:cs="Arial"/>
          <w:sz w:val="24"/>
          <w:szCs w:val="24"/>
        </w:rPr>
        <w:t>[7]</w:t>
      </w:r>
      <w:r w:rsidRPr="009C746D">
        <w:rPr>
          <w:rFonts w:ascii="Arial" w:eastAsia="Calibri" w:hAnsi="Arial" w:cs="Arial"/>
          <w:sz w:val="24"/>
          <w:szCs w:val="24"/>
        </w:rPr>
        <w:tab/>
      </w:r>
      <w:r w:rsidR="009C746D" w:rsidRPr="00DC3A14">
        <w:rPr>
          <w:rFonts w:ascii="Arial" w:hAnsi="Arial" w:cs="Arial"/>
          <w:sz w:val="24"/>
          <w:szCs w:val="24"/>
        </w:rPr>
        <w:t xml:space="preserve">It is apparent from </w:t>
      </w:r>
      <w:r w:rsidR="009B5A08" w:rsidRPr="00DC3A14">
        <w:rPr>
          <w:rFonts w:ascii="Arial" w:hAnsi="Arial" w:cs="Arial"/>
          <w:sz w:val="24"/>
          <w:szCs w:val="24"/>
        </w:rPr>
        <w:t xml:space="preserve">a reading of the provisions of </w:t>
      </w:r>
      <w:r w:rsidR="009C746D" w:rsidRPr="00DC3A14">
        <w:rPr>
          <w:rFonts w:ascii="Arial" w:hAnsi="Arial" w:cs="Arial"/>
          <w:sz w:val="24"/>
          <w:szCs w:val="24"/>
        </w:rPr>
        <w:t>section 35(1) of the Act</w:t>
      </w:r>
      <w:r w:rsidR="00C355E9" w:rsidRPr="00DC3A14">
        <w:rPr>
          <w:rFonts w:ascii="Arial" w:hAnsi="Arial" w:cs="Arial"/>
          <w:sz w:val="24"/>
          <w:szCs w:val="24"/>
        </w:rPr>
        <w:t xml:space="preserve"> that the relevant section</w:t>
      </w:r>
      <w:r w:rsidR="009C746D" w:rsidRPr="00DC3A14">
        <w:rPr>
          <w:rFonts w:ascii="Arial" w:hAnsi="Arial" w:cs="Arial"/>
          <w:sz w:val="24"/>
          <w:szCs w:val="24"/>
        </w:rPr>
        <w:t xml:space="preserve"> precludes an employee from claiming damages from his employer in respect of an occupational injury such as that sustained </w:t>
      </w:r>
      <w:r w:rsidR="00056DEE" w:rsidRPr="00DC3A14">
        <w:rPr>
          <w:rFonts w:ascii="Arial" w:hAnsi="Arial" w:cs="Arial"/>
          <w:sz w:val="24"/>
          <w:szCs w:val="24"/>
        </w:rPr>
        <w:t xml:space="preserve">per the pleading filed </w:t>
      </w:r>
      <w:r w:rsidR="009C746D" w:rsidRPr="00DC3A14">
        <w:rPr>
          <w:rFonts w:ascii="Arial" w:hAnsi="Arial" w:cs="Arial"/>
          <w:sz w:val="24"/>
          <w:szCs w:val="24"/>
        </w:rPr>
        <w:t xml:space="preserve">by the plaintiff. </w:t>
      </w:r>
    </w:p>
    <w:p w14:paraId="72A8D999" w14:textId="0353D4F4" w:rsidR="009C746D" w:rsidRPr="00DC3A14" w:rsidRDefault="00DC3A14" w:rsidP="00DC3A14">
      <w:pPr>
        <w:spacing w:before="80" w:after="320" w:line="360" w:lineRule="auto"/>
        <w:ind w:left="851" w:hanging="851"/>
        <w:jc w:val="both"/>
        <w:rPr>
          <w:rFonts w:ascii="Arial" w:hAnsi="Arial" w:cs="Arial"/>
          <w:sz w:val="24"/>
          <w:szCs w:val="24"/>
        </w:rPr>
      </w:pPr>
      <w:r w:rsidRPr="009C746D">
        <w:rPr>
          <w:rFonts w:ascii="Arial" w:eastAsia="Calibri" w:hAnsi="Arial" w:cs="Arial"/>
          <w:sz w:val="24"/>
          <w:szCs w:val="24"/>
        </w:rPr>
        <w:t>[8]</w:t>
      </w:r>
      <w:r w:rsidRPr="009C746D">
        <w:rPr>
          <w:rFonts w:ascii="Arial" w:eastAsia="Calibri" w:hAnsi="Arial" w:cs="Arial"/>
          <w:sz w:val="24"/>
          <w:szCs w:val="24"/>
        </w:rPr>
        <w:tab/>
      </w:r>
      <w:r w:rsidR="009C746D" w:rsidRPr="00DC3A14">
        <w:rPr>
          <w:rFonts w:ascii="Arial" w:hAnsi="Arial" w:cs="Arial"/>
          <w:sz w:val="24"/>
          <w:szCs w:val="24"/>
        </w:rPr>
        <w:t>That being said, it was contended on behalf of the plaintiff that notwithstanding the fact that the plaintiff had pleaded a delictual claim as against the defendant</w:t>
      </w:r>
      <w:r w:rsidR="00C355E9" w:rsidRPr="00DC3A14">
        <w:rPr>
          <w:rFonts w:ascii="Arial" w:hAnsi="Arial" w:cs="Arial"/>
          <w:sz w:val="24"/>
          <w:szCs w:val="24"/>
        </w:rPr>
        <w:t xml:space="preserve"> </w:t>
      </w:r>
      <w:r w:rsidR="00C355E9" w:rsidRPr="00DC3A14">
        <w:rPr>
          <w:rFonts w:ascii="Arial" w:hAnsi="Arial" w:cs="Arial"/>
          <w:sz w:val="24"/>
          <w:szCs w:val="24"/>
        </w:rPr>
        <w:lastRenderedPageBreak/>
        <w:t>which claim arose out of an occupational injury</w:t>
      </w:r>
      <w:r w:rsidR="009C746D" w:rsidRPr="00DC3A14">
        <w:rPr>
          <w:rFonts w:ascii="Arial" w:hAnsi="Arial" w:cs="Arial"/>
          <w:sz w:val="24"/>
          <w:szCs w:val="24"/>
        </w:rPr>
        <w:t>, the plaintiff’s cause of action was not destroyed</w:t>
      </w:r>
      <w:r w:rsidR="00C355E9" w:rsidRPr="00DC3A14">
        <w:rPr>
          <w:rFonts w:ascii="Arial" w:hAnsi="Arial" w:cs="Arial"/>
          <w:sz w:val="24"/>
          <w:szCs w:val="24"/>
        </w:rPr>
        <w:t xml:space="preserve"> by the provisions of section 35(1) of the Act</w:t>
      </w:r>
      <w:r w:rsidR="009C746D" w:rsidRPr="00DC3A14">
        <w:rPr>
          <w:rFonts w:ascii="Arial" w:hAnsi="Arial" w:cs="Arial"/>
          <w:sz w:val="24"/>
          <w:szCs w:val="24"/>
        </w:rPr>
        <w:t>. The reason</w:t>
      </w:r>
      <w:r w:rsidR="00056DEE" w:rsidRPr="00DC3A14">
        <w:rPr>
          <w:rFonts w:ascii="Arial" w:hAnsi="Arial" w:cs="Arial"/>
          <w:sz w:val="24"/>
          <w:szCs w:val="24"/>
        </w:rPr>
        <w:t xml:space="preserve">s </w:t>
      </w:r>
      <w:r w:rsidR="009C746D" w:rsidRPr="00DC3A14">
        <w:rPr>
          <w:rFonts w:ascii="Arial" w:hAnsi="Arial" w:cs="Arial"/>
          <w:sz w:val="24"/>
          <w:szCs w:val="24"/>
        </w:rPr>
        <w:t xml:space="preserve"> </w:t>
      </w:r>
      <w:r w:rsidR="0048669B" w:rsidRPr="00DC3A14">
        <w:rPr>
          <w:rFonts w:ascii="Arial" w:hAnsi="Arial" w:cs="Arial"/>
          <w:sz w:val="24"/>
          <w:szCs w:val="24"/>
        </w:rPr>
        <w:t xml:space="preserve">advanced on behalf of the plaintiff </w:t>
      </w:r>
      <w:r w:rsidR="00056DEE" w:rsidRPr="00DC3A14">
        <w:rPr>
          <w:rFonts w:ascii="Arial" w:hAnsi="Arial" w:cs="Arial"/>
          <w:sz w:val="24"/>
          <w:szCs w:val="24"/>
        </w:rPr>
        <w:t>in support of the aforesaid contention are</w:t>
      </w:r>
      <w:r w:rsidR="009C746D" w:rsidRPr="00DC3A14">
        <w:rPr>
          <w:rFonts w:ascii="Arial" w:hAnsi="Arial" w:cs="Arial"/>
          <w:sz w:val="24"/>
          <w:szCs w:val="24"/>
        </w:rPr>
        <w:t xml:space="preserve"> premised on the fact that the plaintiff may proceed to court based on the plaintiff’s constitutional right to bodily security and integrity. </w:t>
      </w:r>
      <w:r w:rsidR="00056DEE" w:rsidRPr="00DC3A14">
        <w:rPr>
          <w:rFonts w:ascii="Arial" w:hAnsi="Arial" w:cs="Arial"/>
          <w:sz w:val="24"/>
          <w:szCs w:val="24"/>
        </w:rPr>
        <w:t>R</w:t>
      </w:r>
      <w:r w:rsidR="009C746D" w:rsidRPr="00DC3A14">
        <w:rPr>
          <w:rFonts w:ascii="Arial" w:hAnsi="Arial" w:cs="Arial"/>
          <w:sz w:val="24"/>
          <w:szCs w:val="24"/>
        </w:rPr>
        <w:t xml:space="preserve">eliance was placed </w:t>
      </w:r>
      <w:r w:rsidR="00056DEE" w:rsidRPr="00DC3A14">
        <w:rPr>
          <w:rFonts w:ascii="Arial" w:hAnsi="Arial" w:cs="Arial"/>
          <w:sz w:val="24"/>
          <w:szCs w:val="24"/>
        </w:rPr>
        <w:t xml:space="preserve">by the plaintiff </w:t>
      </w:r>
      <w:r w:rsidR="009C746D" w:rsidRPr="00DC3A14">
        <w:rPr>
          <w:rFonts w:ascii="Arial" w:hAnsi="Arial" w:cs="Arial"/>
          <w:sz w:val="24"/>
          <w:szCs w:val="24"/>
        </w:rPr>
        <w:t xml:space="preserve">on the Constitutional Court decision of the </w:t>
      </w:r>
      <w:r w:rsidR="009C746D" w:rsidRPr="00DC3A14">
        <w:rPr>
          <w:rFonts w:ascii="Arial" w:hAnsi="Arial" w:cs="Arial"/>
          <w:b/>
          <w:bCs/>
          <w:sz w:val="24"/>
          <w:szCs w:val="24"/>
        </w:rPr>
        <w:t>Minister of Defence and Military Veterans v Thomas</w:t>
      </w:r>
      <w:r w:rsidR="009C746D" w:rsidRPr="009C746D">
        <w:rPr>
          <w:rStyle w:val="FootnoteReference"/>
          <w:rFonts w:ascii="Arial" w:hAnsi="Arial" w:cs="Arial"/>
          <w:sz w:val="24"/>
          <w:szCs w:val="24"/>
        </w:rPr>
        <w:footnoteReference w:id="6"/>
      </w:r>
      <w:r w:rsidR="009C746D" w:rsidRPr="00DC3A14">
        <w:rPr>
          <w:rFonts w:ascii="Arial" w:hAnsi="Arial" w:cs="Arial"/>
          <w:sz w:val="24"/>
          <w:szCs w:val="24"/>
        </w:rPr>
        <w:t>.</w:t>
      </w:r>
    </w:p>
    <w:p w14:paraId="52B0A603" w14:textId="78D47527" w:rsidR="009C746D" w:rsidRPr="00DC3A14" w:rsidRDefault="00DC3A14" w:rsidP="00DC3A14">
      <w:pPr>
        <w:spacing w:before="80" w:after="320" w:line="360" w:lineRule="auto"/>
        <w:ind w:left="851" w:hanging="851"/>
        <w:jc w:val="both"/>
        <w:rPr>
          <w:rFonts w:ascii="Arial" w:hAnsi="Arial" w:cs="Arial"/>
          <w:sz w:val="24"/>
          <w:szCs w:val="24"/>
        </w:rPr>
      </w:pPr>
      <w:r w:rsidRPr="009C746D">
        <w:rPr>
          <w:rFonts w:ascii="Arial" w:eastAsia="Calibri" w:hAnsi="Arial" w:cs="Arial"/>
          <w:sz w:val="24"/>
          <w:szCs w:val="24"/>
        </w:rPr>
        <w:t>[9]</w:t>
      </w:r>
      <w:r w:rsidRPr="009C746D">
        <w:rPr>
          <w:rFonts w:ascii="Arial" w:eastAsia="Calibri" w:hAnsi="Arial" w:cs="Arial"/>
          <w:sz w:val="24"/>
          <w:szCs w:val="24"/>
        </w:rPr>
        <w:tab/>
      </w:r>
      <w:r w:rsidR="009C746D" w:rsidRPr="00DC3A14">
        <w:rPr>
          <w:rFonts w:ascii="Arial" w:hAnsi="Arial" w:cs="Arial"/>
          <w:sz w:val="24"/>
          <w:szCs w:val="24"/>
        </w:rPr>
        <w:t>In the aforesaid matter, the respondent (</w:t>
      </w:r>
      <w:r w:rsidR="00306543" w:rsidRPr="00DC3A14">
        <w:rPr>
          <w:rFonts w:ascii="Arial" w:hAnsi="Arial" w:cs="Arial"/>
          <w:i/>
          <w:iCs/>
          <w:sz w:val="24"/>
          <w:szCs w:val="24"/>
        </w:rPr>
        <w:t>“</w:t>
      </w:r>
      <w:r w:rsidR="004C4A14" w:rsidRPr="00DC3A14">
        <w:rPr>
          <w:rFonts w:ascii="Arial" w:hAnsi="Arial" w:cs="Arial"/>
          <w:i/>
          <w:iCs/>
          <w:sz w:val="24"/>
          <w:szCs w:val="24"/>
        </w:rPr>
        <w:t xml:space="preserve">Dr </w:t>
      </w:r>
      <w:r w:rsidR="009C746D" w:rsidRPr="00DC3A14">
        <w:rPr>
          <w:rFonts w:ascii="Arial" w:hAnsi="Arial" w:cs="Arial"/>
          <w:i/>
          <w:iCs/>
          <w:sz w:val="24"/>
          <w:szCs w:val="24"/>
        </w:rPr>
        <w:t>Thomas</w:t>
      </w:r>
      <w:r w:rsidR="00306543" w:rsidRPr="00DC3A14">
        <w:rPr>
          <w:rFonts w:ascii="Arial" w:hAnsi="Arial" w:cs="Arial"/>
          <w:i/>
          <w:iCs/>
          <w:sz w:val="24"/>
          <w:szCs w:val="24"/>
        </w:rPr>
        <w:t>”</w:t>
      </w:r>
      <w:r w:rsidR="009C746D" w:rsidRPr="00DC3A14">
        <w:rPr>
          <w:rFonts w:ascii="Arial" w:hAnsi="Arial" w:cs="Arial"/>
          <w:sz w:val="24"/>
          <w:szCs w:val="24"/>
        </w:rPr>
        <w:t>)</w:t>
      </w:r>
      <w:r w:rsidR="0048669B" w:rsidRPr="00DC3A14">
        <w:rPr>
          <w:rFonts w:ascii="Arial" w:hAnsi="Arial" w:cs="Arial"/>
          <w:sz w:val="24"/>
          <w:szCs w:val="24"/>
        </w:rPr>
        <w:t>, a medical doctor</w:t>
      </w:r>
      <w:r w:rsidR="009C746D" w:rsidRPr="00DC3A14">
        <w:rPr>
          <w:rFonts w:ascii="Arial" w:hAnsi="Arial" w:cs="Arial"/>
          <w:sz w:val="24"/>
          <w:szCs w:val="24"/>
        </w:rPr>
        <w:t xml:space="preserve"> was employed by the Western Cape Provincial Government (</w:t>
      </w:r>
      <w:r w:rsidR="00306543" w:rsidRPr="00DC3A14">
        <w:rPr>
          <w:rFonts w:ascii="Arial" w:hAnsi="Arial" w:cs="Arial"/>
          <w:i/>
          <w:iCs/>
          <w:sz w:val="24"/>
          <w:szCs w:val="24"/>
        </w:rPr>
        <w:t>“</w:t>
      </w:r>
      <w:r w:rsidR="0048669B" w:rsidRPr="00DC3A14">
        <w:rPr>
          <w:rFonts w:ascii="Arial" w:hAnsi="Arial" w:cs="Arial"/>
          <w:i/>
          <w:iCs/>
          <w:sz w:val="24"/>
          <w:szCs w:val="24"/>
        </w:rPr>
        <w:t xml:space="preserve">the </w:t>
      </w:r>
      <w:r w:rsidR="009C746D" w:rsidRPr="00DC3A14">
        <w:rPr>
          <w:rFonts w:ascii="Arial" w:hAnsi="Arial" w:cs="Arial"/>
          <w:i/>
          <w:iCs/>
          <w:sz w:val="24"/>
          <w:szCs w:val="24"/>
        </w:rPr>
        <w:t>provincial government</w:t>
      </w:r>
      <w:r w:rsidR="00306543" w:rsidRPr="00DC3A14">
        <w:rPr>
          <w:rFonts w:ascii="Arial" w:hAnsi="Arial" w:cs="Arial"/>
          <w:i/>
          <w:iCs/>
          <w:sz w:val="24"/>
          <w:szCs w:val="24"/>
        </w:rPr>
        <w:t>”</w:t>
      </w:r>
      <w:r w:rsidR="009C746D" w:rsidRPr="00DC3A14">
        <w:rPr>
          <w:rFonts w:ascii="Arial" w:hAnsi="Arial" w:cs="Arial"/>
          <w:sz w:val="24"/>
          <w:szCs w:val="24"/>
        </w:rPr>
        <w:t xml:space="preserve">) in its health department. </w:t>
      </w:r>
      <w:r w:rsidR="0048669B" w:rsidRPr="00DC3A14">
        <w:rPr>
          <w:rFonts w:ascii="Arial" w:hAnsi="Arial" w:cs="Arial"/>
          <w:sz w:val="24"/>
          <w:szCs w:val="24"/>
        </w:rPr>
        <w:t xml:space="preserve">While </w:t>
      </w:r>
      <w:r w:rsidR="00306543" w:rsidRPr="00DC3A14">
        <w:rPr>
          <w:rFonts w:ascii="Arial" w:hAnsi="Arial" w:cs="Arial"/>
          <w:sz w:val="24"/>
          <w:szCs w:val="24"/>
        </w:rPr>
        <w:t xml:space="preserve">seconded to a military hospital under the control </w:t>
      </w:r>
      <w:r w:rsidR="009C746D" w:rsidRPr="00DC3A14">
        <w:rPr>
          <w:rFonts w:ascii="Arial" w:hAnsi="Arial" w:cs="Arial"/>
          <w:sz w:val="24"/>
          <w:szCs w:val="24"/>
        </w:rPr>
        <w:t>of the applicant (</w:t>
      </w:r>
      <w:r w:rsidR="00306543" w:rsidRPr="00DC3A14">
        <w:rPr>
          <w:rFonts w:ascii="Arial" w:hAnsi="Arial" w:cs="Arial"/>
          <w:i/>
          <w:iCs/>
          <w:sz w:val="24"/>
          <w:szCs w:val="24"/>
        </w:rPr>
        <w:t xml:space="preserve">“the </w:t>
      </w:r>
      <w:r w:rsidR="009C746D" w:rsidRPr="00DC3A14">
        <w:rPr>
          <w:rFonts w:ascii="Arial" w:hAnsi="Arial" w:cs="Arial"/>
          <w:i/>
          <w:iCs/>
          <w:sz w:val="24"/>
          <w:szCs w:val="24"/>
        </w:rPr>
        <w:t>Minister of Defence</w:t>
      </w:r>
      <w:r w:rsidR="00306543" w:rsidRPr="00DC3A14">
        <w:rPr>
          <w:rFonts w:ascii="Arial" w:hAnsi="Arial" w:cs="Arial"/>
          <w:i/>
          <w:iCs/>
          <w:sz w:val="24"/>
          <w:szCs w:val="24"/>
        </w:rPr>
        <w:t xml:space="preserve"> and Military </w:t>
      </w:r>
      <w:r w:rsidR="00470061" w:rsidRPr="00DC3A14">
        <w:rPr>
          <w:rFonts w:ascii="Arial" w:hAnsi="Arial" w:cs="Arial"/>
          <w:i/>
          <w:iCs/>
          <w:sz w:val="24"/>
          <w:szCs w:val="24"/>
        </w:rPr>
        <w:t>Veterans</w:t>
      </w:r>
      <w:r w:rsidR="00306543" w:rsidRPr="00DC3A14">
        <w:rPr>
          <w:rFonts w:ascii="Arial" w:hAnsi="Arial" w:cs="Arial"/>
          <w:i/>
          <w:iCs/>
          <w:sz w:val="24"/>
          <w:szCs w:val="24"/>
        </w:rPr>
        <w:t>”</w:t>
      </w:r>
      <w:r w:rsidR="009C746D" w:rsidRPr="00DC3A14">
        <w:rPr>
          <w:rFonts w:ascii="Arial" w:hAnsi="Arial" w:cs="Arial"/>
          <w:sz w:val="24"/>
          <w:szCs w:val="24"/>
        </w:rPr>
        <w:t>)</w:t>
      </w:r>
      <w:r w:rsidR="00306543" w:rsidRPr="00DC3A14">
        <w:rPr>
          <w:rFonts w:ascii="Arial" w:hAnsi="Arial" w:cs="Arial"/>
          <w:sz w:val="24"/>
          <w:szCs w:val="24"/>
        </w:rPr>
        <w:t>(</w:t>
      </w:r>
      <w:r w:rsidR="00306543" w:rsidRPr="00DC3A14">
        <w:rPr>
          <w:rFonts w:ascii="Arial" w:hAnsi="Arial" w:cs="Arial"/>
          <w:i/>
          <w:iCs/>
          <w:sz w:val="24"/>
          <w:szCs w:val="24"/>
        </w:rPr>
        <w:t>“the Minister”</w:t>
      </w:r>
      <w:r w:rsidR="00306543" w:rsidRPr="00DC3A14">
        <w:rPr>
          <w:rFonts w:ascii="Arial" w:hAnsi="Arial" w:cs="Arial"/>
          <w:sz w:val="24"/>
          <w:szCs w:val="24"/>
        </w:rPr>
        <w:t xml:space="preserve">), Dr Thomas slipped and injured herself in a building </w:t>
      </w:r>
      <w:r w:rsidR="005518FD" w:rsidRPr="00DC3A14">
        <w:rPr>
          <w:rFonts w:ascii="Arial" w:hAnsi="Arial" w:cs="Arial"/>
          <w:sz w:val="24"/>
          <w:szCs w:val="24"/>
        </w:rPr>
        <w:t xml:space="preserve">which was </w:t>
      </w:r>
      <w:r w:rsidR="00306543" w:rsidRPr="00DC3A14">
        <w:rPr>
          <w:rFonts w:ascii="Arial" w:hAnsi="Arial" w:cs="Arial"/>
          <w:sz w:val="24"/>
          <w:szCs w:val="24"/>
        </w:rPr>
        <w:t>under the control of the Department of Defence</w:t>
      </w:r>
      <w:r w:rsidR="009C746D" w:rsidRPr="00DC3A14">
        <w:rPr>
          <w:rFonts w:ascii="Arial" w:hAnsi="Arial" w:cs="Arial"/>
          <w:sz w:val="24"/>
          <w:szCs w:val="24"/>
        </w:rPr>
        <w:t>.</w:t>
      </w:r>
      <w:r w:rsidR="00306543" w:rsidRPr="00DC3A14">
        <w:rPr>
          <w:rFonts w:ascii="Arial" w:hAnsi="Arial" w:cs="Arial"/>
          <w:sz w:val="24"/>
          <w:szCs w:val="24"/>
        </w:rPr>
        <w:t xml:space="preserve"> Dr Thomas claimed compensation from the provincial government under the Compensation for Occupational Injuries and Disease Act, Act 130 of 1993 (</w:t>
      </w:r>
      <w:r w:rsidR="00306543" w:rsidRPr="00DC3A14">
        <w:rPr>
          <w:rFonts w:ascii="Arial" w:hAnsi="Arial" w:cs="Arial"/>
          <w:i/>
          <w:iCs/>
          <w:sz w:val="24"/>
          <w:szCs w:val="24"/>
        </w:rPr>
        <w:t>“COIDA”</w:t>
      </w:r>
      <w:r w:rsidR="00306543" w:rsidRPr="00DC3A14">
        <w:rPr>
          <w:rFonts w:ascii="Arial" w:hAnsi="Arial" w:cs="Arial"/>
          <w:sz w:val="24"/>
          <w:szCs w:val="24"/>
        </w:rPr>
        <w:t>) and instituted a claim for damages against the Minister.</w:t>
      </w:r>
      <w:r w:rsidR="009C746D" w:rsidRPr="00DC3A14">
        <w:rPr>
          <w:rFonts w:ascii="Arial" w:hAnsi="Arial" w:cs="Arial"/>
          <w:sz w:val="24"/>
          <w:szCs w:val="24"/>
        </w:rPr>
        <w:t xml:space="preserve"> </w:t>
      </w:r>
      <w:r w:rsidR="00052FC4" w:rsidRPr="00DC3A14">
        <w:rPr>
          <w:rFonts w:ascii="Arial" w:hAnsi="Arial" w:cs="Arial"/>
          <w:sz w:val="24"/>
          <w:szCs w:val="24"/>
        </w:rPr>
        <w:t xml:space="preserve">The </w:t>
      </w:r>
      <w:r w:rsidR="00306543" w:rsidRPr="00DC3A14">
        <w:rPr>
          <w:rFonts w:ascii="Arial" w:hAnsi="Arial" w:cs="Arial"/>
          <w:sz w:val="24"/>
          <w:szCs w:val="24"/>
        </w:rPr>
        <w:t xml:space="preserve">Minister </w:t>
      </w:r>
      <w:r w:rsidR="005518FD" w:rsidRPr="00DC3A14">
        <w:rPr>
          <w:rFonts w:ascii="Arial" w:hAnsi="Arial" w:cs="Arial"/>
          <w:sz w:val="24"/>
          <w:szCs w:val="24"/>
        </w:rPr>
        <w:t xml:space="preserve">in turn </w:t>
      </w:r>
      <w:r w:rsidR="00306543" w:rsidRPr="00DC3A14">
        <w:rPr>
          <w:rFonts w:ascii="Arial" w:hAnsi="Arial" w:cs="Arial"/>
          <w:sz w:val="24"/>
          <w:szCs w:val="24"/>
        </w:rPr>
        <w:t xml:space="preserve">raised a special plea resisting </w:t>
      </w:r>
      <w:r w:rsidR="005518FD" w:rsidRPr="00DC3A14">
        <w:rPr>
          <w:rFonts w:ascii="Arial" w:hAnsi="Arial" w:cs="Arial"/>
          <w:sz w:val="24"/>
          <w:szCs w:val="24"/>
        </w:rPr>
        <w:t xml:space="preserve">Dr Thomas’s </w:t>
      </w:r>
      <w:r w:rsidR="00306543" w:rsidRPr="00DC3A14">
        <w:rPr>
          <w:rFonts w:ascii="Arial" w:hAnsi="Arial" w:cs="Arial"/>
          <w:sz w:val="24"/>
          <w:szCs w:val="24"/>
        </w:rPr>
        <w:t>claim</w:t>
      </w:r>
      <w:r w:rsidR="005518FD" w:rsidRPr="00DC3A14">
        <w:rPr>
          <w:rFonts w:ascii="Arial" w:hAnsi="Arial" w:cs="Arial"/>
          <w:sz w:val="24"/>
          <w:szCs w:val="24"/>
        </w:rPr>
        <w:t xml:space="preserve"> for damages</w:t>
      </w:r>
      <w:r w:rsidR="00306543" w:rsidRPr="00DC3A14">
        <w:rPr>
          <w:rFonts w:ascii="Arial" w:hAnsi="Arial" w:cs="Arial"/>
          <w:sz w:val="24"/>
          <w:szCs w:val="24"/>
        </w:rPr>
        <w:t xml:space="preserve">, arguing that Dr Thomas was precluded from claiming against him in terms of section 35(1) of COIDA which </w:t>
      </w:r>
      <w:r w:rsidR="00DC680A" w:rsidRPr="00DC3A14">
        <w:rPr>
          <w:rFonts w:ascii="Arial" w:hAnsi="Arial" w:cs="Arial"/>
          <w:sz w:val="24"/>
          <w:szCs w:val="24"/>
        </w:rPr>
        <w:t xml:space="preserve">provided that </w:t>
      </w:r>
      <w:r w:rsidR="00DC680A" w:rsidRPr="00DC3A14">
        <w:rPr>
          <w:rFonts w:ascii="Arial" w:hAnsi="Arial" w:cs="Arial"/>
          <w:i/>
          <w:iCs/>
          <w:sz w:val="24"/>
          <w:szCs w:val="24"/>
        </w:rPr>
        <w:t xml:space="preserve">“…no action shall lie by an employee….. for the recovery of damages in respect of any occupational injury……. </w:t>
      </w:r>
      <w:r w:rsidR="00B30216" w:rsidRPr="00DC3A14">
        <w:rPr>
          <w:rFonts w:ascii="Arial" w:hAnsi="Arial" w:cs="Arial"/>
          <w:i/>
          <w:iCs/>
          <w:sz w:val="24"/>
          <w:szCs w:val="24"/>
        </w:rPr>
        <w:t>a</w:t>
      </w:r>
      <w:r w:rsidR="00DC680A" w:rsidRPr="00DC3A14">
        <w:rPr>
          <w:rFonts w:ascii="Arial" w:hAnsi="Arial" w:cs="Arial"/>
          <w:i/>
          <w:iCs/>
          <w:sz w:val="24"/>
          <w:szCs w:val="24"/>
        </w:rPr>
        <w:t>gainst such employee’s employer.”</w:t>
      </w:r>
      <w:r w:rsidR="00DC680A" w:rsidRPr="00DC3A14">
        <w:rPr>
          <w:rFonts w:ascii="Arial" w:hAnsi="Arial" w:cs="Arial"/>
          <w:sz w:val="24"/>
          <w:szCs w:val="24"/>
        </w:rPr>
        <w:t xml:space="preserve"> The Minister contended that for the purposes of determining who Dr Thomas’s employer was under COIDA, it did not matter whether it was the provincial or national government. Both were arms government, albeit different spheres and hence Dr Thomas’s employer was the overall entity representing all spheres of government, namely the State. </w:t>
      </w:r>
      <w:r w:rsidR="005518FD" w:rsidRPr="00DC3A14">
        <w:rPr>
          <w:rFonts w:ascii="Arial" w:hAnsi="Arial" w:cs="Arial"/>
          <w:sz w:val="24"/>
          <w:szCs w:val="24"/>
        </w:rPr>
        <w:t>According to Minister</w:t>
      </w:r>
      <w:r w:rsidR="00056DEE" w:rsidRPr="00DC3A14">
        <w:rPr>
          <w:rFonts w:ascii="Arial" w:hAnsi="Arial" w:cs="Arial"/>
          <w:sz w:val="24"/>
          <w:szCs w:val="24"/>
        </w:rPr>
        <w:t>,</w:t>
      </w:r>
      <w:r w:rsidR="005518FD" w:rsidRPr="00DC3A14">
        <w:rPr>
          <w:rFonts w:ascii="Arial" w:hAnsi="Arial" w:cs="Arial"/>
          <w:sz w:val="24"/>
          <w:szCs w:val="24"/>
        </w:rPr>
        <w:t xml:space="preserve"> </w:t>
      </w:r>
      <w:r w:rsidR="009C746D" w:rsidRPr="00DC3A14">
        <w:rPr>
          <w:rFonts w:ascii="Arial" w:hAnsi="Arial" w:cs="Arial"/>
          <w:sz w:val="24"/>
          <w:szCs w:val="24"/>
        </w:rPr>
        <w:t>the “</w:t>
      </w:r>
      <w:r w:rsidR="009C746D" w:rsidRPr="00DC3A14">
        <w:rPr>
          <w:rFonts w:ascii="Arial" w:hAnsi="Arial" w:cs="Arial"/>
          <w:i/>
          <w:iCs/>
          <w:sz w:val="24"/>
          <w:szCs w:val="24"/>
        </w:rPr>
        <w:t>State</w:t>
      </w:r>
      <w:r w:rsidR="009C746D" w:rsidRPr="00DC3A14">
        <w:rPr>
          <w:rFonts w:ascii="Arial" w:hAnsi="Arial" w:cs="Arial"/>
          <w:sz w:val="24"/>
          <w:szCs w:val="24"/>
        </w:rPr>
        <w:t xml:space="preserve">” </w:t>
      </w:r>
      <w:r w:rsidR="00056DEE" w:rsidRPr="00DC3A14">
        <w:rPr>
          <w:rFonts w:ascii="Arial" w:hAnsi="Arial" w:cs="Arial"/>
          <w:sz w:val="24"/>
          <w:szCs w:val="24"/>
        </w:rPr>
        <w:t>qualified</w:t>
      </w:r>
      <w:r w:rsidR="009C746D" w:rsidRPr="00DC3A14">
        <w:rPr>
          <w:rFonts w:ascii="Arial" w:hAnsi="Arial" w:cs="Arial"/>
          <w:sz w:val="24"/>
          <w:szCs w:val="24"/>
        </w:rPr>
        <w:t xml:space="preserve"> a single entity</w:t>
      </w:r>
      <w:r w:rsidR="00052FC4" w:rsidRPr="00DC3A14">
        <w:rPr>
          <w:rFonts w:ascii="Arial" w:hAnsi="Arial" w:cs="Arial"/>
          <w:sz w:val="24"/>
          <w:szCs w:val="24"/>
        </w:rPr>
        <w:t>,</w:t>
      </w:r>
      <w:r w:rsidR="009C746D" w:rsidRPr="00DC3A14">
        <w:rPr>
          <w:rFonts w:ascii="Arial" w:hAnsi="Arial" w:cs="Arial"/>
          <w:sz w:val="24"/>
          <w:szCs w:val="24"/>
        </w:rPr>
        <w:t xml:space="preserve"> operating at three different levels: national, provincial and local (single entity). The</w:t>
      </w:r>
      <w:r w:rsidR="00A80E2C" w:rsidRPr="00DC3A14">
        <w:rPr>
          <w:rFonts w:ascii="Arial" w:hAnsi="Arial" w:cs="Arial"/>
          <w:sz w:val="24"/>
          <w:szCs w:val="24"/>
        </w:rPr>
        <w:t xml:space="preserve"> Minister</w:t>
      </w:r>
      <w:r w:rsidR="009C746D" w:rsidRPr="00DC3A14">
        <w:rPr>
          <w:rFonts w:ascii="Arial" w:hAnsi="Arial" w:cs="Arial"/>
          <w:sz w:val="24"/>
          <w:szCs w:val="24"/>
        </w:rPr>
        <w:t xml:space="preserve"> contended </w:t>
      </w:r>
      <w:r w:rsidR="00052FC4" w:rsidRPr="00DC3A14">
        <w:rPr>
          <w:rFonts w:ascii="Arial" w:hAnsi="Arial" w:cs="Arial"/>
          <w:sz w:val="24"/>
          <w:szCs w:val="24"/>
        </w:rPr>
        <w:t xml:space="preserve">further </w:t>
      </w:r>
      <w:r w:rsidR="009C746D" w:rsidRPr="00DC3A14">
        <w:rPr>
          <w:rFonts w:ascii="Arial" w:hAnsi="Arial" w:cs="Arial"/>
          <w:sz w:val="24"/>
          <w:szCs w:val="24"/>
        </w:rPr>
        <w:t>that insofar as reference is made in the Compensation Act to the “</w:t>
      </w:r>
      <w:r w:rsidR="009C746D" w:rsidRPr="00DC3A14">
        <w:rPr>
          <w:rFonts w:ascii="Arial" w:hAnsi="Arial" w:cs="Arial"/>
          <w:i/>
          <w:iCs/>
          <w:sz w:val="24"/>
          <w:szCs w:val="24"/>
        </w:rPr>
        <w:t>State</w:t>
      </w:r>
      <w:r w:rsidR="009C746D" w:rsidRPr="00DC3A14">
        <w:rPr>
          <w:rFonts w:ascii="Arial" w:hAnsi="Arial" w:cs="Arial"/>
          <w:sz w:val="24"/>
          <w:szCs w:val="24"/>
        </w:rPr>
        <w:t xml:space="preserve">”, such must be understood to mean a </w:t>
      </w:r>
      <w:r w:rsidR="00052FC4" w:rsidRPr="00DC3A14">
        <w:rPr>
          <w:rFonts w:ascii="Arial" w:hAnsi="Arial" w:cs="Arial"/>
          <w:sz w:val="24"/>
          <w:szCs w:val="24"/>
        </w:rPr>
        <w:t>“</w:t>
      </w:r>
      <w:r w:rsidR="009C746D" w:rsidRPr="00DC3A14">
        <w:rPr>
          <w:rFonts w:ascii="Arial" w:hAnsi="Arial" w:cs="Arial"/>
          <w:sz w:val="24"/>
          <w:szCs w:val="24"/>
        </w:rPr>
        <w:t>single entity</w:t>
      </w:r>
      <w:r w:rsidR="00052FC4" w:rsidRPr="00DC3A14">
        <w:rPr>
          <w:rFonts w:ascii="Arial" w:hAnsi="Arial" w:cs="Arial"/>
          <w:sz w:val="24"/>
          <w:szCs w:val="24"/>
        </w:rPr>
        <w:t>” (single employer)</w:t>
      </w:r>
      <w:r w:rsidR="009C746D" w:rsidRPr="00DC3A14">
        <w:rPr>
          <w:rFonts w:ascii="Arial" w:hAnsi="Arial" w:cs="Arial"/>
          <w:sz w:val="24"/>
          <w:szCs w:val="24"/>
        </w:rPr>
        <w:t>.</w:t>
      </w:r>
      <w:r w:rsidR="002C17FD" w:rsidRPr="00DC3A14">
        <w:rPr>
          <w:rFonts w:ascii="Arial" w:hAnsi="Arial" w:cs="Arial"/>
          <w:sz w:val="24"/>
          <w:szCs w:val="24"/>
        </w:rPr>
        <w:t xml:space="preserve"> As a consequence, the claim lodged against the Minister was under the circumstances precluded under section 35(1) of the </w:t>
      </w:r>
      <w:r w:rsidR="002C17FD" w:rsidRPr="00DC3A14">
        <w:rPr>
          <w:rFonts w:ascii="Arial" w:hAnsi="Arial" w:cs="Arial"/>
          <w:sz w:val="24"/>
          <w:szCs w:val="24"/>
        </w:rPr>
        <w:lastRenderedPageBreak/>
        <w:t>Act having regard to the claim against the provincial government under the Act for occupational injury benefits.</w:t>
      </w:r>
    </w:p>
    <w:p w14:paraId="19C6EB8D" w14:textId="2EB26A93" w:rsidR="009C746D" w:rsidRPr="00DC3A14" w:rsidRDefault="00DC3A14" w:rsidP="00DC3A14">
      <w:pPr>
        <w:spacing w:before="80" w:after="320" w:line="360" w:lineRule="auto"/>
        <w:ind w:left="851" w:hanging="851"/>
        <w:jc w:val="both"/>
        <w:rPr>
          <w:rFonts w:ascii="Arial" w:hAnsi="Arial" w:cs="Arial"/>
          <w:sz w:val="24"/>
          <w:szCs w:val="24"/>
        </w:rPr>
      </w:pPr>
      <w:r w:rsidRPr="005518FD">
        <w:rPr>
          <w:rFonts w:ascii="Arial" w:eastAsia="Calibri" w:hAnsi="Arial" w:cs="Arial"/>
          <w:sz w:val="24"/>
          <w:szCs w:val="24"/>
        </w:rPr>
        <w:t>[10]</w:t>
      </w:r>
      <w:r w:rsidRPr="005518FD">
        <w:rPr>
          <w:rFonts w:ascii="Arial" w:eastAsia="Calibri" w:hAnsi="Arial" w:cs="Arial"/>
          <w:sz w:val="24"/>
          <w:szCs w:val="24"/>
        </w:rPr>
        <w:tab/>
      </w:r>
      <w:r w:rsidR="009C746D" w:rsidRPr="00DC3A14">
        <w:rPr>
          <w:rFonts w:ascii="Arial" w:hAnsi="Arial" w:cs="Arial"/>
          <w:sz w:val="24"/>
          <w:szCs w:val="24"/>
        </w:rPr>
        <w:t xml:space="preserve">The Constitutional Court in the </w:t>
      </w:r>
      <w:r w:rsidR="009C746D" w:rsidRPr="00DC3A14">
        <w:rPr>
          <w:rFonts w:ascii="Arial" w:hAnsi="Arial" w:cs="Arial"/>
          <w:b/>
          <w:bCs/>
          <w:sz w:val="24"/>
          <w:szCs w:val="24"/>
        </w:rPr>
        <w:t xml:space="preserve">Minister of Defence and Military Veterans v Thomas </w:t>
      </w:r>
      <w:r w:rsidR="005518FD" w:rsidRPr="00DC3A14">
        <w:rPr>
          <w:rFonts w:ascii="Arial" w:hAnsi="Arial" w:cs="Arial"/>
          <w:sz w:val="24"/>
          <w:szCs w:val="24"/>
        </w:rPr>
        <w:t xml:space="preserve">held that </w:t>
      </w:r>
      <w:r w:rsidR="009C746D" w:rsidRPr="00DC3A14">
        <w:rPr>
          <w:rFonts w:ascii="Arial" w:hAnsi="Arial" w:cs="Arial"/>
          <w:i/>
          <w:iCs/>
          <w:sz w:val="24"/>
          <w:szCs w:val="24"/>
        </w:rPr>
        <w:t xml:space="preserve">“….. section 35 provides that no action shall lie by an employee for the recovery of damages in respect of any occupational injury against such employee’s employer and no liability for compensation on the part of such employer shall arise save under the provisions of this Act in respect of such disablement or death. The critical question then, was the identity of the respondent’s employer i.e. the state as a single employer or its individual components, in this case the provincial government. </w:t>
      </w:r>
    </w:p>
    <w:p w14:paraId="7F472D8D" w14:textId="25259054" w:rsidR="009C746D" w:rsidRPr="009C746D" w:rsidRDefault="009C746D" w:rsidP="000019FB">
      <w:pPr>
        <w:pStyle w:val="ListParagraph"/>
        <w:spacing w:before="80" w:after="320" w:line="360" w:lineRule="auto"/>
        <w:ind w:left="851"/>
        <w:contextualSpacing w:val="0"/>
        <w:jc w:val="both"/>
        <w:rPr>
          <w:rFonts w:ascii="Arial" w:hAnsi="Arial" w:cs="Arial"/>
          <w:i/>
          <w:iCs/>
          <w:sz w:val="24"/>
          <w:szCs w:val="24"/>
          <w:lang w:val="en-ZA"/>
        </w:rPr>
      </w:pPr>
      <w:r w:rsidRPr="009C746D">
        <w:rPr>
          <w:rFonts w:ascii="Arial" w:hAnsi="Arial" w:cs="Arial"/>
          <w:i/>
          <w:iCs/>
          <w:sz w:val="24"/>
          <w:szCs w:val="24"/>
          <w:lang w:val="en-ZA"/>
        </w:rPr>
        <w:t xml:space="preserve">The Court held that there is nothing in the Constitution or other legislation that supports a general constitutional principle that the state is a single employer for all employees working in the three different spheres of government. The Court found that the definition of “employer” in the Act is wider than its ordinary meaning. Accordingly, where the employer seconds an employee to a third party, the entity that originally employed her </w:t>
      </w:r>
      <w:r w:rsidRPr="009C746D">
        <w:rPr>
          <w:rFonts w:ascii="Arial" w:hAnsi="Arial" w:cs="Arial"/>
          <w:sz w:val="24"/>
          <w:szCs w:val="24"/>
          <w:lang w:val="en-ZA"/>
        </w:rPr>
        <w:t xml:space="preserve">[Thomas] </w:t>
      </w:r>
      <w:r w:rsidRPr="009C746D">
        <w:rPr>
          <w:rFonts w:ascii="Arial" w:hAnsi="Arial" w:cs="Arial"/>
          <w:i/>
          <w:iCs/>
          <w:sz w:val="24"/>
          <w:szCs w:val="24"/>
          <w:lang w:val="en-ZA"/>
        </w:rPr>
        <w:t>continues to be her employer</w:t>
      </w:r>
      <w:r w:rsidR="005518FD">
        <w:rPr>
          <w:rFonts w:ascii="Arial" w:hAnsi="Arial" w:cs="Arial"/>
          <w:i/>
          <w:iCs/>
          <w:sz w:val="24"/>
          <w:szCs w:val="24"/>
          <w:lang w:val="en-ZA"/>
        </w:rPr>
        <w:t>……”</w:t>
      </w:r>
    </w:p>
    <w:p w14:paraId="68AB764D" w14:textId="4CA11F61" w:rsidR="009C746D" w:rsidRPr="00DC3A14" w:rsidRDefault="00DC3A14" w:rsidP="00DC3A14">
      <w:pPr>
        <w:spacing w:before="80" w:after="320" w:line="360" w:lineRule="auto"/>
        <w:ind w:left="851" w:hanging="851"/>
        <w:jc w:val="both"/>
        <w:rPr>
          <w:rFonts w:ascii="Arial" w:hAnsi="Arial" w:cs="Arial"/>
          <w:sz w:val="24"/>
          <w:szCs w:val="24"/>
        </w:rPr>
      </w:pPr>
      <w:r w:rsidRPr="009C746D">
        <w:rPr>
          <w:rFonts w:ascii="Arial" w:eastAsia="Calibri" w:hAnsi="Arial" w:cs="Arial"/>
          <w:sz w:val="24"/>
          <w:szCs w:val="24"/>
        </w:rPr>
        <w:t>[11]</w:t>
      </w:r>
      <w:r w:rsidRPr="009C746D">
        <w:rPr>
          <w:rFonts w:ascii="Arial" w:eastAsia="Calibri" w:hAnsi="Arial" w:cs="Arial"/>
          <w:sz w:val="24"/>
          <w:szCs w:val="24"/>
        </w:rPr>
        <w:tab/>
      </w:r>
      <w:r w:rsidR="00602971" w:rsidRPr="00DC3A14">
        <w:rPr>
          <w:rFonts w:ascii="Arial" w:hAnsi="Arial" w:cs="Arial"/>
          <w:sz w:val="24"/>
          <w:szCs w:val="24"/>
        </w:rPr>
        <w:t>In the judgement of</w:t>
      </w:r>
      <w:r w:rsidR="00602971" w:rsidRPr="00DC3A14">
        <w:rPr>
          <w:rFonts w:ascii="Arial" w:hAnsi="Arial" w:cs="Arial"/>
          <w:b/>
          <w:bCs/>
          <w:sz w:val="24"/>
          <w:szCs w:val="24"/>
        </w:rPr>
        <w:t xml:space="preserve"> Minister of Defence and Military Veterans v Thomas</w:t>
      </w:r>
      <w:r w:rsidR="00602971" w:rsidRPr="00DC3A14">
        <w:rPr>
          <w:rFonts w:ascii="Arial" w:hAnsi="Arial" w:cs="Arial"/>
          <w:sz w:val="24"/>
          <w:szCs w:val="24"/>
        </w:rPr>
        <w:t xml:space="preserve">,  </w:t>
      </w:r>
      <w:r w:rsidR="009C746D" w:rsidRPr="00DC3A14">
        <w:rPr>
          <w:rFonts w:ascii="Arial" w:hAnsi="Arial" w:cs="Arial"/>
          <w:sz w:val="24"/>
          <w:szCs w:val="24"/>
        </w:rPr>
        <w:t>Froneman J state</w:t>
      </w:r>
      <w:r w:rsidR="00052FC4" w:rsidRPr="00DC3A14">
        <w:rPr>
          <w:rFonts w:ascii="Arial" w:hAnsi="Arial" w:cs="Arial"/>
          <w:sz w:val="24"/>
          <w:szCs w:val="24"/>
        </w:rPr>
        <w:t>d</w:t>
      </w:r>
      <w:r w:rsidR="009C746D" w:rsidRPr="00DC3A14">
        <w:rPr>
          <w:rFonts w:ascii="Arial" w:hAnsi="Arial" w:cs="Arial"/>
          <w:sz w:val="24"/>
          <w:szCs w:val="24"/>
        </w:rPr>
        <w:t xml:space="preserve"> the following:</w:t>
      </w:r>
    </w:p>
    <w:p w14:paraId="14E66063" w14:textId="77777777" w:rsidR="009C746D" w:rsidRPr="009C746D" w:rsidRDefault="009C746D" w:rsidP="000019FB">
      <w:pPr>
        <w:pStyle w:val="ListParagraph"/>
        <w:spacing w:before="80" w:after="320" w:line="360" w:lineRule="auto"/>
        <w:ind w:left="1439" w:hanging="588"/>
        <w:contextualSpacing w:val="0"/>
        <w:jc w:val="both"/>
        <w:rPr>
          <w:rFonts w:ascii="Arial" w:hAnsi="Arial" w:cs="Arial"/>
          <w:i/>
          <w:iCs/>
          <w:sz w:val="24"/>
          <w:szCs w:val="24"/>
          <w:lang w:val="en-ZA"/>
        </w:rPr>
      </w:pPr>
      <w:r w:rsidRPr="009C746D">
        <w:rPr>
          <w:rFonts w:ascii="Arial" w:hAnsi="Arial" w:cs="Arial"/>
          <w:i/>
          <w:iCs/>
          <w:sz w:val="24"/>
          <w:szCs w:val="24"/>
          <w:lang w:val="en-ZA"/>
        </w:rPr>
        <w:t>“[1]</w:t>
      </w:r>
      <w:r w:rsidRPr="009C746D">
        <w:rPr>
          <w:rFonts w:ascii="Arial" w:hAnsi="Arial" w:cs="Arial"/>
          <w:i/>
          <w:iCs/>
          <w:sz w:val="24"/>
          <w:szCs w:val="24"/>
          <w:lang w:val="en-ZA"/>
        </w:rPr>
        <w:tab/>
        <w:t>The respondent (Dr Thomas) is a medical doctor employed by the Western Cape Provincial Government (provincial government) in its health department. She was injured in an accident while on secondment to a military hospital under the control of the applicant, the Minister of Defence and Military Veterans (“minister”). Legislation in the form of the Compensation for Occupational Injuries and Disease Act (“Compensation Act or Act”) governs the compensation she may claim arising from injuries suffered while at work.</w:t>
      </w:r>
    </w:p>
    <w:p w14:paraId="650C6578" w14:textId="67D1E9A8" w:rsidR="009C746D" w:rsidRDefault="009C746D" w:rsidP="000019FB">
      <w:pPr>
        <w:pStyle w:val="ListParagraph"/>
        <w:spacing w:before="80" w:after="320" w:line="360" w:lineRule="auto"/>
        <w:ind w:left="1439" w:hanging="588"/>
        <w:contextualSpacing w:val="0"/>
        <w:jc w:val="both"/>
        <w:rPr>
          <w:rFonts w:ascii="Arial" w:hAnsi="Arial" w:cs="Arial"/>
          <w:i/>
          <w:iCs/>
          <w:sz w:val="24"/>
          <w:szCs w:val="24"/>
          <w:lang w:val="en-ZA"/>
        </w:rPr>
      </w:pPr>
      <w:r w:rsidRPr="009C746D">
        <w:rPr>
          <w:rFonts w:ascii="Arial" w:hAnsi="Arial" w:cs="Arial"/>
          <w:i/>
          <w:iCs/>
          <w:sz w:val="24"/>
          <w:szCs w:val="24"/>
          <w:lang w:val="en-ZA"/>
        </w:rPr>
        <w:t>[2]</w:t>
      </w:r>
      <w:r w:rsidRPr="009C746D">
        <w:rPr>
          <w:rFonts w:ascii="Arial" w:hAnsi="Arial" w:cs="Arial"/>
          <w:i/>
          <w:iCs/>
          <w:sz w:val="24"/>
          <w:szCs w:val="24"/>
          <w:lang w:val="en-ZA"/>
        </w:rPr>
        <w:tab/>
        <w:t>Compensation under the Act may come in two guises. The first is for prescribed benefits payable under the Act for occupational</w:t>
      </w:r>
      <w:r w:rsidR="00E506B4">
        <w:rPr>
          <w:rFonts w:ascii="Arial" w:hAnsi="Arial" w:cs="Arial"/>
          <w:i/>
          <w:iCs/>
          <w:sz w:val="24"/>
          <w:szCs w:val="24"/>
          <w:lang w:val="en-ZA"/>
        </w:rPr>
        <w:t xml:space="preserve"> </w:t>
      </w:r>
      <w:r w:rsidRPr="009C746D">
        <w:rPr>
          <w:rFonts w:ascii="Arial" w:hAnsi="Arial" w:cs="Arial"/>
          <w:i/>
          <w:iCs/>
          <w:sz w:val="24"/>
          <w:szCs w:val="24"/>
          <w:lang w:val="en-ZA"/>
        </w:rPr>
        <w:t>injuries sustained as a result of a work accident (occupational injury benefits)</w:t>
      </w:r>
      <w:r w:rsidR="00052FC4">
        <w:rPr>
          <w:rFonts w:ascii="Arial" w:hAnsi="Arial" w:cs="Arial"/>
          <w:i/>
          <w:iCs/>
          <w:sz w:val="24"/>
          <w:szCs w:val="24"/>
          <w:lang w:val="en-ZA"/>
        </w:rPr>
        <w:t>.</w:t>
      </w:r>
      <w:r w:rsidRPr="009C746D">
        <w:rPr>
          <w:rFonts w:ascii="Arial" w:hAnsi="Arial" w:cs="Arial"/>
          <w:i/>
          <w:iCs/>
          <w:sz w:val="24"/>
          <w:szCs w:val="24"/>
          <w:lang w:val="en-ZA"/>
        </w:rPr>
        <w:t xml:space="preserve"> It </w:t>
      </w:r>
      <w:r w:rsidRPr="009C746D">
        <w:rPr>
          <w:rFonts w:ascii="Arial" w:hAnsi="Arial" w:cs="Arial"/>
          <w:i/>
          <w:iCs/>
          <w:sz w:val="24"/>
          <w:szCs w:val="24"/>
          <w:lang w:val="en-ZA"/>
        </w:rPr>
        <w:lastRenderedPageBreak/>
        <w:t>is payable irrespective of any negligence on the part of the employer. The second is for damages, beyond those benefits that were caused by a third party at the workplace (workplace damages). This is an ordinary delictual claim, dependent on proof of wrongful and negligent conduct by the third party. In contrast, the common law delictual claim against an employer for work place damages is preclude</w:t>
      </w:r>
      <w:r w:rsidR="00777039">
        <w:rPr>
          <w:rFonts w:ascii="Arial" w:hAnsi="Arial" w:cs="Arial"/>
          <w:i/>
          <w:iCs/>
          <w:sz w:val="24"/>
          <w:szCs w:val="24"/>
          <w:lang w:val="en-ZA"/>
        </w:rPr>
        <w:t>d</w:t>
      </w:r>
      <w:r w:rsidR="00052FC4">
        <w:rPr>
          <w:rFonts w:ascii="Arial" w:hAnsi="Arial" w:cs="Arial"/>
          <w:i/>
          <w:iCs/>
          <w:sz w:val="24"/>
          <w:szCs w:val="24"/>
          <w:lang w:val="en-ZA"/>
        </w:rPr>
        <w:t>.</w:t>
      </w:r>
    </w:p>
    <w:p w14:paraId="54CA0F69" w14:textId="13020830" w:rsidR="00777039" w:rsidRPr="009C746D" w:rsidRDefault="00777039" w:rsidP="000019FB">
      <w:pPr>
        <w:pStyle w:val="ListParagraph"/>
        <w:spacing w:before="80" w:after="320" w:line="360" w:lineRule="auto"/>
        <w:ind w:left="1439" w:hanging="588"/>
        <w:contextualSpacing w:val="0"/>
        <w:jc w:val="both"/>
        <w:rPr>
          <w:rFonts w:ascii="Arial" w:hAnsi="Arial" w:cs="Arial"/>
          <w:i/>
          <w:iCs/>
          <w:sz w:val="24"/>
          <w:szCs w:val="24"/>
          <w:lang w:val="en-ZA"/>
        </w:rPr>
      </w:pPr>
      <w:r>
        <w:rPr>
          <w:rFonts w:ascii="Arial" w:hAnsi="Arial" w:cs="Arial"/>
          <w:i/>
          <w:iCs/>
          <w:sz w:val="24"/>
          <w:szCs w:val="24"/>
          <w:lang w:val="en-ZA"/>
        </w:rPr>
        <w:t>…</w:t>
      </w:r>
    </w:p>
    <w:p w14:paraId="279D8C94" w14:textId="18229B10" w:rsidR="009C746D" w:rsidRDefault="009C746D" w:rsidP="00777039">
      <w:pPr>
        <w:pStyle w:val="ListParagraph"/>
        <w:spacing w:before="80" w:after="320" w:line="360" w:lineRule="auto"/>
        <w:ind w:left="1439" w:hanging="588"/>
        <w:contextualSpacing w:val="0"/>
        <w:jc w:val="both"/>
        <w:rPr>
          <w:rFonts w:ascii="Arial" w:hAnsi="Arial" w:cs="Arial"/>
          <w:i/>
          <w:iCs/>
          <w:sz w:val="24"/>
          <w:szCs w:val="24"/>
          <w:lang w:val="en-ZA"/>
        </w:rPr>
      </w:pPr>
      <w:r w:rsidRPr="009C746D">
        <w:rPr>
          <w:rFonts w:ascii="Arial" w:hAnsi="Arial" w:cs="Arial"/>
          <w:i/>
          <w:iCs/>
          <w:sz w:val="24"/>
          <w:szCs w:val="24"/>
          <w:lang w:val="en-ZA"/>
        </w:rPr>
        <w:t>[24]</w:t>
      </w:r>
      <w:r w:rsidRPr="009C746D">
        <w:rPr>
          <w:rFonts w:ascii="Arial" w:hAnsi="Arial" w:cs="Arial"/>
          <w:i/>
          <w:iCs/>
          <w:sz w:val="24"/>
          <w:szCs w:val="24"/>
          <w:lang w:val="en-ZA"/>
        </w:rPr>
        <w:tab/>
      </w:r>
      <w:r w:rsidR="00E506B4">
        <w:rPr>
          <w:rFonts w:ascii="Arial" w:hAnsi="Arial" w:cs="Arial"/>
          <w:i/>
          <w:iCs/>
          <w:sz w:val="24"/>
          <w:szCs w:val="24"/>
          <w:lang w:val="en-ZA"/>
        </w:rPr>
        <w:t xml:space="preserve">…… </w:t>
      </w:r>
      <w:r w:rsidRPr="009C746D">
        <w:rPr>
          <w:rFonts w:ascii="Arial" w:hAnsi="Arial" w:cs="Arial"/>
          <w:i/>
          <w:iCs/>
          <w:sz w:val="24"/>
          <w:szCs w:val="24"/>
          <w:lang w:val="en-ZA"/>
        </w:rPr>
        <w:t>where the employer seconds an employee to a third party or allows the employee to work for another person for a limited period, the person to whom an employee is seconded does not become an employer in the eyes of the Act. The definition specifically states that throughout the secondment, the person who originally employed the worker continues to be her employer. When applying this part of the definition to the present matter, it means the Western Cape Provincial Government, which employed Dr Thomas within the State, remained her employer during the secondment to the Department of Defence and Military Veterans.</w:t>
      </w:r>
    </w:p>
    <w:p w14:paraId="4C7F5F20" w14:textId="5FBE50C8" w:rsidR="00777039" w:rsidRPr="009C746D" w:rsidRDefault="00777039" w:rsidP="00777039">
      <w:pPr>
        <w:pStyle w:val="ListParagraph"/>
        <w:spacing w:before="80" w:after="320" w:line="360" w:lineRule="auto"/>
        <w:ind w:left="1439" w:hanging="588"/>
        <w:contextualSpacing w:val="0"/>
        <w:jc w:val="both"/>
        <w:rPr>
          <w:rFonts w:ascii="Arial" w:hAnsi="Arial" w:cs="Arial"/>
          <w:i/>
          <w:iCs/>
          <w:sz w:val="24"/>
          <w:szCs w:val="24"/>
          <w:lang w:val="en-ZA"/>
        </w:rPr>
      </w:pPr>
      <w:r>
        <w:rPr>
          <w:rFonts w:ascii="Arial" w:hAnsi="Arial" w:cs="Arial"/>
          <w:i/>
          <w:iCs/>
          <w:sz w:val="24"/>
          <w:szCs w:val="24"/>
          <w:lang w:val="en-ZA"/>
        </w:rPr>
        <w:t>…</w:t>
      </w:r>
    </w:p>
    <w:p w14:paraId="6226D764" w14:textId="24F5052F" w:rsidR="009C746D" w:rsidRDefault="00777039" w:rsidP="00777039">
      <w:pPr>
        <w:pStyle w:val="ListParagraph"/>
        <w:spacing w:before="80" w:after="320" w:line="360" w:lineRule="auto"/>
        <w:ind w:left="1439" w:hanging="588"/>
        <w:contextualSpacing w:val="0"/>
        <w:jc w:val="both"/>
        <w:rPr>
          <w:rFonts w:ascii="Arial" w:hAnsi="Arial" w:cs="Arial"/>
          <w:i/>
          <w:iCs/>
          <w:sz w:val="24"/>
          <w:szCs w:val="24"/>
          <w:lang w:val="en-ZA"/>
        </w:rPr>
      </w:pPr>
      <w:r>
        <w:rPr>
          <w:rFonts w:ascii="Arial" w:hAnsi="Arial" w:cs="Arial"/>
          <w:i/>
          <w:iCs/>
          <w:sz w:val="24"/>
          <w:szCs w:val="24"/>
          <w:lang w:val="en-ZA"/>
        </w:rPr>
        <w:t>[</w:t>
      </w:r>
      <w:r w:rsidR="009C746D" w:rsidRPr="009C746D">
        <w:rPr>
          <w:rFonts w:ascii="Arial" w:hAnsi="Arial" w:cs="Arial"/>
          <w:i/>
          <w:iCs/>
          <w:sz w:val="24"/>
          <w:szCs w:val="24"/>
          <w:lang w:val="en-ZA"/>
        </w:rPr>
        <w:t>29</w:t>
      </w:r>
      <w:r>
        <w:rPr>
          <w:rFonts w:ascii="Arial" w:hAnsi="Arial" w:cs="Arial"/>
          <w:i/>
          <w:iCs/>
          <w:sz w:val="24"/>
          <w:szCs w:val="24"/>
          <w:lang w:val="en-ZA"/>
        </w:rPr>
        <w:t>]</w:t>
      </w:r>
      <w:r w:rsidR="009C746D" w:rsidRPr="009C746D">
        <w:rPr>
          <w:rFonts w:ascii="Arial" w:hAnsi="Arial" w:cs="Arial"/>
          <w:i/>
          <w:iCs/>
          <w:sz w:val="24"/>
          <w:szCs w:val="24"/>
          <w:lang w:val="en-ZA"/>
        </w:rPr>
        <w:tab/>
        <w:t>An employee is entitled to claim occupational injury benefits under the Compensation Act for occupational injuries sustained in an accident arising from her employment. This is not a claim for damages under the common law, but for specified benefits under the Act. This is not dependent on proof of any negligence on the part of the employer. An employee may have a workplace damages claim against a third party, not the employer, if the occupational injury was caused in circumstances where the third party is liable for damages.</w:t>
      </w:r>
    </w:p>
    <w:p w14:paraId="37561A42" w14:textId="24A8C546" w:rsidR="00777039" w:rsidRPr="009C746D" w:rsidRDefault="00777039" w:rsidP="00777039">
      <w:pPr>
        <w:pStyle w:val="ListParagraph"/>
        <w:spacing w:before="80" w:after="320" w:line="360" w:lineRule="auto"/>
        <w:ind w:left="1439" w:hanging="588"/>
        <w:contextualSpacing w:val="0"/>
        <w:jc w:val="both"/>
        <w:rPr>
          <w:rFonts w:ascii="Arial" w:hAnsi="Arial" w:cs="Arial"/>
          <w:i/>
          <w:iCs/>
          <w:sz w:val="24"/>
          <w:szCs w:val="24"/>
          <w:lang w:val="en-ZA"/>
        </w:rPr>
      </w:pPr>
      <w:r>
        <w:rPr>
          <w:rFonts w:ascii="Arial" w:hAnsi="Arial" w:cs="Arial"/>
          <w:i/>
          <w:iCs/>
          <w:sz w:val="24"/>
          <w:szCs w:val="24"/>
          <w:lang w:val="en-ZA"/>
        </w:rPr>
        <w:t>…</w:t>
      </w:r>
    </w:p>
    <w:p w14:paraId="0721F810" w14:textId="1E3CBAC5" w:rsidR="009C746D" w:rsidRPr="009C746D" w:rsidRDefault="009C746D" w:rsidP="00777039">
      <w:pPr>
        <w:pStyle w:val="ListParagraph"/>
        <w:spacing w:before="80" w:after="320" w:line="360" w:lineRule="auto"/>
        <w:ind w:left="1439" w:hanging="588"/>
        <w:contextualSpacing w:val="0"/>
        <w:jc w:val="both"/>
        <w:rPr>
          <w:rFonts w:ascii="Arial" w:hAnsi="Arial" w:cs="Arial"/>
          <w:i/>
          <w:iCs/>
          <w:sz w:val="24"/>
          <w:szCs w:val="24"/>
          <w:lang w:val="en-ZA"/>
        </w:rPr>
      </w:pPr>
      <w:r w:rsidRPr="009C746D">
        <w:rPr>
          <w:rFonts w:ascii="Arial" w:hAnsi="Arial" w:cs="Arial"/>
          <w:i/>
          <w:iCs/>
          <w:sz w:val="24"/>
          <w:szCs w:val="24"/>
          <w:lang w:val="en-ZA"/>
        </w:rPr>
        <w:t>[39]</w:t>
      </w:r>
      <w:r w:rsidRPr="009C746D">
        <w:rPr>
          <w:rFonts w:ascii="Arial" w:hAnsi="Arial" w:cs="Arial"/>
          <w:i/>
          <w:iCs/>
          <w:sz w:val="24"/>
          <w:szCs w:val="24"/>
          <w:lang w:val="en-ZA"/>
        </w:rPr>
        <w:tab/>
        <w:t xml:space="preserve">At stake is Dr Thomas’s fundamental right to bodily integrity of her person, a right that underlies her common law right for workplace </w:t>
      </w:r>
      <w:r w:rsidRPr="009C746D">
        <w:rPr>
          <w:rFonts w:ascii="Arial" w:hAnsi="Arial" w:cs="Arial"/>
          <w:i/>
          <w:iCs/>
          <w:sz w:val="24"/>
          <w:szCs w:val="24"/>
          <w:lang w:val="en-ZA"/>
        </w:rPr>
        <w:lastRenderedPageBreak/>
        <w:t xml:space="preserve">damages. The interpretation advocated for by the minister precludes a further delictual claim and this </w:t>
      </w:r>
      <w:r w:rsidR="00052FC4">
        <w:rPr>
          <w:rFonts w:ascii="Arial" w:hAnsi="Arial" w:cs="Arial"/>
          <w:i/>
          <w:iCs/>
          <w:sz w:val="24"/>
          <w:szCs w:val="24"/>
          <w:lang w:val="en-ZA"/>
        </w:rPr>
        <w:t xml:space="preserve">is </w:t>
      </w:r>
      <w:r w:rsidRPr="009C746D">
        <w:rPr>
          <w:rFonts w:ascii="Arial" w:hAnsi="Arial" w:cs="Arial"/>
          <w:i/>
          <w:iCs/>
          <w:sz w:val="24"/>
          <w:szCs w:val="24"/>
          <w:lang w:val="en-ZA"/>
        </w:rPr>
        <w:t xml:space="preserve">more restrictive of Dr Thomas’s rights. On that score the Supreme Court of Appeal’s interpretation must be favoured and therefore, upheld. To deprive her of her full common law entitlement would, in these circumstances, not be justified. ” </w:t>
      </w:r>
    </w:p>
    <w:p w14:paraId="266FA411" w14:textId="0EA3EC72" w:rsidR="00F63501" w:rsidRPr="00DC3A14" w:rsidRDefault="00DC3A14" w:rsidP="00DC3A14">
      <w:pPr>
        <w:spacing w:before="80" w:after="320" w:line="360" w:lineRule="auto"/>
        <w:ind w:left="851" w:hanging="851"/>
        <w:jc w:val="both"/>
        <w:rPr>
          <w:rFonts w:ascii="Arial" w:hAnsi="Arial" w:cs="Arial"/>
          <w:sz w:val="24"/>
          <w:szCs w:val="24"/>
        </w:rPr>
      </w:pPr>
      <w:r w:rsidRPr="00F63501">
        <w:rPr>
          <w:rFonts w:ascii="Arial" w:eastAsia="Calibri" w:hAnsi="Arial" w:cs="Arial"/>
          <w:sz w:val="24"/>
          <w:szCs w:val="24"/>
        </w:rPr>
        <w:t>[12]</w:t>
      </w:r>
      <w:r w:rsidRPr="00F63501">
        <w:rPr>
          <w:rFonts w:ascii="Arial" w:eastAsia="Calibri" w:hAnsi="Arial" w:cs="Arial"/>
          <w:sz w:val="24"/>
          <w:szCs w:val="24"/>
        </w:rPr>
        <w:tab/>
      </w:r>
      <w:r w:rsidR="00F63501" w:rsidRPr="00DC3A14">
        <w:rPr>
          <w:rFonts w:ascii="Arial" w:hAnsi="Arial" w:cs="Arial"/>
          <w:sz w:val="24"/>
          <w:szCs w:val="24"/>
        </w:rPr>
        <w:t xml:space="preserve">Simply put, the Constitutional Court found that the Western Cape Provincial Government, which employed Dr Thomas within the State, remained her employer during the secondment to the Department of Defence and Military Veterans and as </w:t>
      </w:r>
      <w:r w:rsidR="00A97742" w:rsidRPr="00DC3A14">
        <w:rPr>
          <w:rFonts w:ascii="Arial" w:hAnsi="Arial" w:cs="Arial"/>
          <w:sz w:val="24"/>
          <w:szCs w:val="24"/>
        </w:rPr>
        <w:t xml:space="preserve">an employee </w:t>
      </w:r>
      <w:r w:rsidR="00875D65" w:rsidRPr="00DC3A14">
        <w:rPr>
          <w:rFonts w:ascii="Arial" w:hAnsi="Arial" w:cs="Arial"/>
          <w:sz w:val="24"/>
          <w:szCs w:val="24"/>
        </w:rPr>
        <w:t>of the provincial government</w:t>
      </w:r>
      <w:r w:rsidR="002C17FD" w:rsidRPr="00DC3A14">
        <w:rPr>
          <w:rFonts w:ascii="Arial" w:hAnsi="Arial" w:cs="Arial"/>
          <w:sz w:val="24"/>
          <w:szCs w:val="24"/>
        </w:rPr>
        <w:t>,</w:t>
      </w:r>
      <w:r w:rsidR="00875D65" w:rsidRPr="00DC3A14">
        <w:rPr>
          <w:rFonts w:ascii="Arial" w:hAnsi="Arial" w:cs="Arial"/>
          <w:sz w:val="24"/>
          <w:szCs w:val="24"/>
        </w:rPr>
        <w:t xml:space="preserve"> Dr Thomas was</w:t>
      </w:r>
      <w:r w:rsidR="00A97742" w:rsidRPr="00DC3A14">
        <w:rPr>
          <w:rFonts w:ascii="Arial" w:hAnsi="Arial" w:cs="Arial"/>
          <w:sz w:val="24"/>
          <w:szCs w:val="24"/>
        </w:rPr>
        <w:t xml:space="preserve"> entitled to claim occupational injury benefits under the Compensation Act for occupational injuries sustained in an accident arising from her employment.</w:t>
      </w:r>
      <w:r w:rsidR="00F63501" w:rsidRPr="00DC3A14">
        <w:rPr>
          <w:rFonts w:ascii="Arial" w:hAnsi="Arial" w:cs="Arial"/>
          <w:sz w:val="24"/>
          <w:szCs w:val="24"/>
        </w:rPr>
        <w:t xml:space="preserve"> </w:t>
      </w:r>
      <w:r w:rsidR="00A97742" w:rsidRPr="00DC3A14">
        <w:rPr>
          <w:rFonts w:ascii="Arial" w:hAnsi="Arial" w:cs="Arial"/>
          <w:sz w:val="24"/>
          <w:szCs w:val="24"/>
        </w:rPr>
        <w:t xml:space="preserve">The aforesaid claim was not for damages under the common law but for specified damages </w:t>
      </w:r>
      <w:r w:rsidR="002C17FD" w:rsidRPr="00DC3A14">
        <w:rPr>
          <w:rFonts w:ascii="Arial" w:hAnsi="Arial" w:cs="Arial"/>
          <w:sz w:val="24"/>
          <w:szCs w:val="24"/>
        </w:rPr>
        <w:t xml:space="preserve">envisaged </w:t>
      </w:r>
      <w:r w:rsidR="00A97742" w:rsidRPr="00DC3A14">
        <w:rPr>
          <w:rFonts w:ascii="Arial" w:hAnsi="Arial" w:cs="Arial"/>
          <w:sz w:val="24"/>
          <w:szCs w:val="24"/>
        </w:rPr>
        <w:t xml:space="preserve">under the Act. </w:t>
      </w:r>
      <w:r w:rsidR="000021CB" w:rsidRPr="00DC3A14">
        <w:rPr>
          <w:rFonts w:ascii="Arial" w:hAnsi="Arial" w:cs="Arial"/>
          <w:sz w:val="24"/>
          <w:szCs w:val="24"/>
        </w:rPr>
        <w:t xml:space="preserve">The Constitutional Court </w:t>
      </w:r>
      <w:r w:rsidR="00DC2043" w:rsidRPr="00DC3A14">
        <w:rPr>
          <w:rFonts w:ascii="Arial" w:hAnsi="Arial" w:cs="Arial"/>
          <w:sz w:val="24"/>
          <w:szCs w:val="24"/>
        </w:rPr>
        <w:t>g</w:t>
      </w:r>
      <w:r w:rsidR="002C17FD" w:rsidRPr="00DC3A14">
        <w:rPr>
          <w:rFonts w:ascii="Arial" w:hAnsi="Arial" w:cs="Arial"/>
          <w:sz w:val="24"/>
          <w:szCs w:val="24"/>
        </w:rPr>
        <w:t>ave</w:t>
      </w:r>
      <w:r w:rsidR="00DC2043" w:rsidRPr="00DC3A14">
        <w:rPr>
          <w:rFonts w:ascii="Arial" w:hAnsi="Arial" w:cs="Arial"/>
          <w:sz w:val="24"/>
          <w:szCs w:val="24"/>
        </w:rPr>
        <w:t xml:space="preserve"> clarity to the definition of </w:t>
      </w:r>
      <w:r w:rsidR="00DC2043" w:rsidRPr="00DC3A14">
        <w:rPr>
          <w:rFonts w:ascii="Arial" w:hAnsi="Arial" w:cs="Arial"/>
          <w:i/>
          <w:iCs/>
          <w:sz w:val="24"/>
          <w:szCs w:val="24"/>
        </w:rPr>
        <w:t>“employer”</w:t>
      </w:r>
      <w:r w:rsidR="00DC2043" w:rsidRPr="00DC3A14">
        <w:rPr>
          <w:rFonts w:ascii="Arial" w:hAnsi="Arial" w:cs="Arial"/>
          <w:sz w:val="24"/>
          <w:szCs w:val="24"/>
        </w:rPr>
        <w:t xml:space="preserve"> under the Act, more particularly insofar as the </w:t>
      </w:r>
      <w:r w:rsidR="000021CB" w:rsidRPr="00DC3A14">
        <w:rPr>
          <w:rFonts w:ascii="Arial" w:hAnsi="Arial" w:cs="Arial"/>
          <w:sz w:val="24"/>
          <w:szCs w:val="24"/>
        </w:rPr>
        <w:t xml:space="preserve">“State” </w:t>
      </w:r>
      <w:r w:rsidR="002C17FD" w:rsidRPr="00DC3A14">
        <w:rPr>
          <w:rFonts w:ascii="Arial" w:hAnsi="Arial" w:cs="Arial"/>
          <w:sz w:val="24"/>
          <w:szCs w:val="24"/>
        </w:rPr>
        <w:t xml:space="preserve">was identified as an employer having regard to </w:t>
      </w:r>
      <w:r w:rsidR="009354AD" w:rsidRPr="00DC3A14">
        <w:rPr>
          <w:rFonts w:ascii="Arial" w:hAnsi="Arial" w:cs="Arial"/>
          <w:sz w:val="24"/>
          <w:szCs w:val="24"/>
        </w:rPr>
        <w:t>the three (3) different levels of government, namely national, provincial and local</w:t>
      </w:r>
      <w:r w:rsidR="00DC2043" w:rsidRPr="00DC3A14">
        <w:rPr>
          <w:rFonts w:ascii="Arial" w:hAnsi="Arial" w:cs="Arial"/>
          <w:sz w:val="24"/>
          <w:szCs w:val="24"/>
        </w:rPr>
        <w:t>.</w:t>
      </w:r>
      <w:r w:rsidR="00D17988" w:rsidRPr="00DC3A14">
        <w:rPr>
          <w:rFonts w:ascii="Arial" w:hAnsi="Arial" w:cs="Arial"/>
          <w:sz w:val="24"/>
          <w:szCs w:val="24"/>
        </w:rPr>
        <w:t xml:space="preserve"> The Court found that</w:t>
      </w:r>
      <w:r w:rsidR="00DC2043" w:rsidRPr="00DC3A14">
        <w:rPr>
          <w:rFonts w:ascii="Arial" w:hAnsi="Arial" w:cs="Arial"/>
          <w:sz w:val="24"/>
          <w:szCs w:val="24"/>
        </w:rPr>
        <w:t xml:space="preserve"> </w:t>
      </w:r>
      <w:r w:rsidR="00D17988" w:rsidRPr="00DC3A14">
        <w:rPr>
          <w:rFonts w:ascii="Arial" w:hAnsi="Arial" w:cs="Arial"/>
          <w:sz w:val="24"/>
          <w:szCs w:val="24"/>
        </w:rPr>
        <w:t>t</w:t>
      </w:r>
      <w:r w:rsidR="00011034" w:rsidRPr="00DC3A14">
        <w:rPr>
          <w:rFonts w:ascii="Arial" w:hAnsi="Arial" w:cs="Arial"/>
          <w:sz w:val="24"/>
          <w:szCs w:val="24"/>
        </w:rPr>
        <w:t xml:space="preserve">he interpretation of the Minister </w:t>
      </w:r>
      <w:r w:rsidR="009354AD" w:rsidRPr="00DC3A14">
        <w:rPr>
          <w:rFonts w:ascii="Arial" w:hAnsi="Arial" w:cs="Arial"/>
          <w:sz w:val="24"/>
          <w:szCs w:val="24"/>
        </w:rPr>
        <w:t xml:space="preserve">that the </w:t>
      </w:r>
      <w:r w:rsidR="00011034" w:rsidRPr="00DC3A14">
        <w:rPr>
          <w:rFonts w:ascii="Arial" w:hAnsi="Arial" w:cs="Arial"/>
          <w:sz w:val="24"/>
          <w:szCs w:val="24"/>
        </w:rPr>
        <w:t>State</w:t>
      </w:r>
      <w:r w:rsidR="00153B98" w:rsidRPr="00DC3A14">
        <w:rPr>
          <w:rFonts w:ascii="Arial" w:hAnsi="Arial" w:cs="Arial"/>
          <w:sz w:val="24"/>
          <w:szCs w:val="24"/>
        </w:rPr>
        <w:t xml:space="preserve"> was </w:t>
      </w:r>
      <w:r w:rsidR="00011034" w:rsidRPr="00DC3A14">
        <w:rPr>
          <w:rFonts w:ascii="Arial" w:hAnsi="Arial" w:cs="Arial"/>
          <w:sz w:val="24"/>
          <w:szCs w:val="24"/>
        </w:rPr>
        <w:t>a single entity</w:t>
      </w:r>
      <w:r w:rsidR="00D17988" w:rsidRPr="00DC3A14">
        <w:rPr>
          <w:rFonts w:ascii="Arial" w:hAnsi="Arial" w:cs="Arial"/>
          <w:sz w:val="24"/>
          <w:szCs w:val="24"/>
        </w:rPr>
        <w:t xml:space="preserve"> to </w:t>
      </w:r>
      <w:r w:rsidR="00153B98" w:rsidRPr="00DC3A14">
        <w:rPr>
          <w:rFonts w:ascii="Arial" w:hAnsi="Arial" w:cs="Arial"/>
          <w:sz w:val="24"/>
          <w:szCs w:val="24"/>
        </w:rPr>
        <w:t xml:space="preserve">be </w:t>
      </w:r>
      <w:r w:rsidR="00470061" w:rsidRPr="00DC3A14">
        <w:rPr>
          <w:rFonts w:ascii="Arial" w:hAnsi="Arial" w:cs="Arial"/>
          <w:sz w:val="24"/>
          <w:szCs w:val="24"/>
        </w:rPr>
        <w:t>too</w:t>
      </w:r>
      <w:r w:rsidR="00153B98" w:rsidRPr="00DC3A14">
        <w:rPr>
          <w:rFonts w:ascii="Arial" w:hAnsi="Arial" w:cs="Arial"/>
          <w:sz w:val="24"/>
          <w:szCs w:val="24"/>
        </w:rPr>
        <w:t xml:space="preserve"> </w:t>
      </w:r>
      <w:r w:rsidR="00D17988" w:rsidRPr="00DC3A14">
        <w:rPr>
          <w:rFonts w:ascii="Arial" w:hAnsi="Arial" w:cs="Arial"/>
          <w:sz w:val="24"/>
          <w:szCs w:val="24"/>
        </w:rPr>
        <w:t>restrictive</w:t>
      </w:r>
      <w:r w:rsidR="00153B98" w:rsidRPr="00DC3A14">
        <w:rPr>
          <w:rFonts w:ascii="Arial" w:hAnsi="Arial" w:cs="Arial"/>
          <w:sz w:val="24"/>
          <w:szCs w:val="24"/>
        </w:rPr>
        <w:t xml:space="preserve"> having the effect of</w:t>
      </w:r>
      <w:r w:rsidR="00011034" w:rsidRPr="00DC3A14">
        <w:rPr>
          <w:rFonts w:ascii="Arial" w:hAnsi="Arial" w:cs="Arial"/>
          <w:sz w:val="24"/>
          <w:szCs w:val="24"/>
        </w:rPr>
        <w:t xml:space="preserve"> preclud</w:t>
      </w:r>
      <w:r w:rsidR="009354AD" w:rsidRPr="00DC3A14">
        <w:rPr>
          <w:rFonts w:ascii="Arial" w:hAnsi="Arial" w:cs="Arial"/>
          <w:sz w:val="24"/>
          <w:szCs w:val="24"/>
        </w:rPr>
        <w:t>ing</w:t>
      </w:r>
      <w:r w:rsidR="00011034" w:rsidRPr="00DC3A14">
        <w:rPr>
          <w:rFonts w:ascii="Arial" w:hAnsi="Arial" w:cs="Arial"/>
          <w:sz w:val="24"/>
          <w:szCs w:val="24"/>
        </w:rPr>
        <w:t xml:space="preserve"> a </w:t>
      </w:r>
      <w:r w:rsidR="00D17988" w:rsidRPr="00DC3A14">
        <w:rPr>
          <w:rFonts w:ascii="Arial" w:hAnsi="Arial" w:cs="Arial"/>
          <w:sz w:val="24"/>
          <w:szCs w:val="24"/>
        </w:rPr>
        <w:t xml:space="preserve">workplace damages claim against </w:t>
      </w:r>
      <w:r w:rsidR="007025B3" w:rsidRPr="00DC3A14">
        <w:rPr>
          <w:rFonts w:ascii="Arial" w:hAnsi="Arial" w:cs="Arial"/>
          <w:sz w:val="24"/>
          <w:szCs w:val="24"/>
        </w:rPr>
        <w:t>a third party.</w:t>
      </w:r>
      <w:r w:rsidR="00153B98" w:rsidRPr="00DC3A14">
        <w:rPr>
          <w:rFonts w:ascii="Arial" w:hAnsi="Arial" w:cs="Arial"/>
          <w:sz w:val="24"/>
          <w:szCs w:val="24"/>
        </w:rPr>
        <w:t xml:space="preserve"> This would in turn have the effect of depriving Dr Thomas of her full common law entitlement which under the circumstances would not be justified.</w:t>
      </w:r>
    </w:p>
    <w:p w14:paraId="670D30F3" w14:textId="2D4A115D" w:rsidR="00DC2043" w:rsidRPr="00DC3A14" w:rsidRDefault="00DC3A14" w:rsidP="00DC3A14">
      <w:pPr>
        <w:spacing w:before="80" w:after="320" w:line="360" w:lineRule="auto"/>
        <w:ind w:left="851" w:hanging="851"/>
        <w:jc w:val="both"/>
        <w:rPr>
          <w:rFonts w:ascii="Arial" w:hAnsi="Arial" w:cs="Arial"/>
          <w:sz w:val="24"/>
          <w:szCs w:val="24"/>
        </w:rPr>
      </w:pPr>
      <w:r>
        <w:rPr>
          <w:rFonts w:ascii="Arial" w:eastAsia="Calibri" w:hAnsi="Arial" w:cs="Arial"/>
          <w:sz w:val="24"/>
          <w:szCs w:val="24"/>
        </w:rPr>
        <w:t>[13]</w:t>
      </w:r>
      <w:r>
        <w:rPr>
          <w:rFonts w:ascii="Arial" w:eastAsia="Calibri" w:hAnsi="Arial" w:cs="Arial"/>
          <w:sz w:val="24"/>
          <w:szCs w:val="24"/>
        </w:rPr>
        <w:tab/>
      </w:r>
      <w:r w:rsidR="009C746D" w:rsidRPr="00DC3A14">
        <w:rPr>
          <w:rFonts w:ascii="Arial" w:hAnsi="Arial" w:cs="Arial"/>
          <w:sz w:val="24"/>
          <w:szCs w:val="24"/>
        </w:rPr>
        <w:t xml:space="preserve">It is apparent from the aforementioned discussion when reconciled with the </w:t>
      </w:r>
      <w:r w:rsidR="00DC2043" w:rsidRPr="00DC3A14">
        <w:rPr>
          <w:rFonts w:ascii="Arial" w:hAnsi="Arial" w:cs="Arial"/>
          <w:sz w:val="24"/>
          <w:szCs w:val="24"/>
        </w:rPr>
        <w:t xml:space="preserve">merits </w:t>
      </w:r>
      <w:r w:rsidR="009C746D" w:rsidRPr="00DC3A14">
        <w:rPr>
          <w:rFonts w:ascii="Arial" w:hAnsi="Arial" w:cs="Arial"/>
          <w:sz w:val="24"/>
          <w:szCs w:val="24"/>
        </w:rPr>
        <w:t xml:space="preserve">in these proceedings that the </w:t>
      </w:r>
      <w:r w:rsidR="00DC2043" w:rsidRPr="00DC3A14">
        <w:rPr>
          <w:rFonts w:ascii="Arial" w:hAnsi="Arial" w:cs="Arial"/>
          <w:sz w:val="24"/>
          <w:szCs w:val="24"/>
        </w:rPr>
        <w:t>authority relied upon</w:t>
      </w:r>
      <w:r w:rsidR="007025B3" w:rsidRPr="00DC3A14">
        <w:rPr>
          <w:rFonts w:ascii="Arial" w:hAnsi="Arial" w:cs="Arial"/>
          <w:sz w:val="24"/>
          <w:szCs w:val="24"/>
        </w:rPr>
        <w:t xml:space="preserve"> by the plaintiff</w:t>
      </w:r>
      <w:r w:rsidR="00DC2043" w:rsidRPr="00DC3A14">
        <w:rPr>
          <w:rFonts w:ascii="Arial" w:hAnsi="Arial" w:cs="Arial"/>
          <w:sz w:val="24"/>
          <w:szCs w:val="24"/>
        </w:rPr>
        <w:t xml:space="preserve">, namely </w:t>
      </w:r>
      <w:r w:rsidR="009C746D" w:rsidRPr="00DC3A14">
        <w:rPr>
          <w:rFonts w:ascii="Arial" w:hAnsi="Arial" w:cs="Arial"/>
          <w:sz w:val="24"/>
          <w:szCs w:val="24"/>
        </w:rPr>
        <w:t xml:space="preserve">the </w:t>
      </w:r>
      <w:r w:rsidR="009C746D" w:rsidRPr="00DC3A14">
        <w:rPr>
          <w:rFonts w:ascii="Arial" w:hAnsi="Arial" w:cs="Arial"/>
          <w:b/>
          <w:bCs/>
          <w:sz w:val="24"/>
          <w:szCs w:val="24"/>
        </w:rPr>
        <w:t xml:space="preserve">Minister of Defence and Military Veterans v Thomas </w:t>
      </w:r>
      <w:r w:rsidR="00687ECC" w:rsidRPr="00DC3A14">
        <w:rPr>
          <w:rFonts w:ascii="Arial" w:hAnsi="Arial" w:cs="Arial"/>
          <w:sz w:val="24"/>
          <w:szCs w:val="24"/>
        </w:rPr>
        <w:t>i</w:t>
      </w:r>
      <w:r w:rsidR="009C746D" w:rsidRPr="00DC3A14">
        <w:rPr>
          <w:rFonts w:ascii="Arial" w:hAnsi="Arial" w:cs="Arial"/>
          <w:sz w:val="24"/>
          <w:szCs w:val="24"/>
        </w:rPr>
        <w:t>s clearly distinguishable</w:t>
      </w:r>
      <w:r w:rsidR="00DC2043" w:rsidRPr="00DC3A14">
        <w:rPr>
          <w:rFonts w:ascii="Arial" w:hAnsi="Arial" w:cs="Arial"/>
          <w:sz w:val="24"/>
          <w:szCs w:val="24"/>
        </w:rPr>
        <w:t xml:space="preserve"> in that:</w:t>
      </w:r>
    </w:p>
    <w:p w14:paraId="43552380" w14:textId="1FE9F7F4" w:rsidR="00DC2043" w:rsidRDefault="00DC2043" w:rsidP="00DC2043">
      <w:pPr>
        <w:pStyle w:val="ListParagraph"/>
        <w:spacing w:before="80" w:after="320" w:line="360" w:lineRule="auto"/>
        <w:ind w:left="1701" w:hanging="850"/>
        <w:contextualSpacing w:val="0"/>
        <w:jc w:val="both"/>
        <w:rPr>
          <w:rFonts w:ascii="Arial" w:hAnsi="Arial" w:cs="Arial"/>
          <w:sz w:val="24"/>
          <w:szCs w:val="24"/>
          <w:lang w:val="en-ZA"/>
        </w:rPr>
      </w:pPr>
      <w:r>
        <w:rPr>
          <w:rFonts w:ascii="Arial" w:hAnsi="Arial" w:cs="Arial"/>
          <w:sz w:val="24"/>
          <w:szCs w:val="24"/>
          <w:lang w:val="en-ZA"/>
        </w:rPr>
        <w:t>13.1</w:t>
      </w:r>
      <w:r>
        <w:rPr>
          <w:rFonts w:ascii="Arial" w:hAnsi="Arial" w:cs="Arial"/>
          <w:sz w:val="24"/>
          <w:szCs w:val="24"/>
          <w:lang w:val="en-ZA"/>
        </w:rPr>
        <w:tab/>
        <w:t xml:space="preserve">No dispute exists </w:t>
      </w:r>
      <w:r w:rsidR="00FD7B70">
        <w:rPr>
          <w:rFonts w:ascii="Arial" w:hAnsi="Arial" w:cs="Arial"/>
          <w:sz w:val="24"/>
          <w:szCs w:val="24"/>
          <w:lang w:val="en-ZA"/>
        </w:rPr>
        <w:t xml:space="preserve">between the parties </w:t>
      </w:r>
      <w:r>
        <w:rPr>
          <w:rFonts w:ascii="Arial" w:hAnsi="Arial" w:cs="Arial"/>
          <w:sz w:val="24"/>
          <w:szCs w:val="24"/>
          <w:lang w:val="en-ZA"/>
        </w:rPr>
        <w:t>in re</w:t>
      </w:r>
      <w:r w:rsidR="00FD7B70">
        <w:rPr>
          <w:rFonts w:ascii="Arial" w:hAnsi="Arial" w:cs="Arial"/>
          <w:sz w:val="24"/>
          <w:szCs w:val="24"/>
          <w:lang w:val="en-ZA"/>
        </w:rPr>
        <w:t>gard</w:t>
      </w:r>
      <w:r>
        <w:rPr>
          <w:rFonts w:ascii="Arial" w:hAnsi="Arial" w:cs="Arial"/>
          <w:sz w:val="24"/>
          <w:szCs w:val="24"/>
          <w:lang w:val="en-ZA"/>
        </w:rPr>
        <w:t xml:space="preserve"> to the </w:t>
      </w:r>
      <w:r w:rsidR="00FD7B70">
        <w:rPr>
          <w:rFonts w:ascii="Arial" w:hAnsi="Arial" w:cs="Arial"/>
          <w:sz w:val="24"/>
          <w:szCs w:val="24"/>
          <w:lang w:val="en-ZA"/>
        </w:rPr>
        <w:t xml:space="preserve">nature, </w:t>
      </w:r>
      <w:r>
        <w:rPr>
          <w:rFonts w:ascii="Arial" w:hAnsi="Arial" w:cs="Arial"/>
          <w:sz w:val="24"/>
          <w:szCs w:val="24"/>
          <w:lang w:val="en-ZA"/>
        </w:rPr>
        <w:t xml:space="preserve">scope and extent of the definition of </w:t>
      </w:r>
      <w:r w:rsidRPr="00DC2043">
        <w:rPr>
          <w:rFonts w:ascii="Arial" w:hAnsi="Arial" w:cs="Arial"/>
          <w:i/>
          <w:iCs/>
          <w:sz w:val="24"/>
          <w:szCs w:val="24"/>
          <w:lang w:val="en-ZA"/>
        </w:rPr>
        <w:t>“employer”</w:t>
      </w:r>
      <w:r>
        <w:rPr>
          <w:rFonts w:ascii="Arial" w:hAnsi="Arial" w:cs="Arial"/>
          <w:sz w:val="24"/>
          <w:szCs w:val="24"/>
          <w:lang w:val="en-ZA"/>
        </w:rPr>
        <w:t xml:space="preserve"> as defined under the Act insofar as </w:t>
      </w:r>
      <w:r w:rsidR="007025B3">
        <w:rPr>
          <w:rFonts w:ascii="Arial" w:hAnsi="Arial" w:cs="Arial"/>
          <w:sz w:val="24"/>
          <w:szCs w:val="24"/>
          <w:lang w:val="en-ZA"/>
        </w:rPr>
        <w:t>the definition</w:t>
      </w:r>
      <w:r w:rsidR="00153B98">
        <w:rPr>
          <w:rFonts w:ascii="Arial" w:hAnsi="Arial" w:cs="Arial"/>
          <w:sz w:val="24"/>
          <w:szCs w:val="24"/>
          <w:lang w:val="en-ZA"/>
        </w:rPr>
        <w:t xml:space="preserve"> of an </w:t>
      </w:r>
      <w:r w:rsidR="00153B98" w:rsidRPr="00153B98">
        <w:rPr>
          <w:rFonts w:ascii="Arial" w:hAnsi="Arial" w:cs="Arial"/>
          <w:i/>
          <w:iCs/>
          <w:sz w:val="24"/>
          <w:szCs w:val="24"/>
          <w:lang w:val="en-ZA"/>
        </w:rPr>
        <w:t>“employer”</w:t>
      </w:r>
      <w:r>
        <w:rPr>
          <w:rFonts w:ascii="Arial" w:hAnsi="Arial" w:cs="Arial"/>
          <w:sz w:val="24"/>
          <w:szCs w:val="24"/>
          <w:lang w:val="en-ZA"/>
        </w:rPr>
        <w:t xml:space="preserve"> relates to the defendant; and</w:t>
      </w:r>
    </w:p>
    <w:p w14:paraId="4396FC17" w14:textId="4D84CA1E" w:rsidR="00DC2043" w:rsidRDefault="00DC2043" w:rsidP="00DC2043">
      <w:pPr>
        <w:pStyle w:val="ListParagraph"/>
        <w:spacing w:before="80" w:after="320" w:line="360" w:lineRule="auto"/>
        <w:ind w:left="1701" w:hanging="850"/>
        <w:contextualSpacing w:val="0"/>
        <w:jc w:val="both"/>
        <w:rPr>
          <w:rFonts w:ascii="Arial" w:hAnsi="Arial" w:cs="Arial"/>
          <w:sz w:val="24"/>
          <w:szCs w:val="24"/>
          <w:lang w:val="en-ZA"/>
        </w:rPr>
      </w:pPr>
      <w:r>
        <w:rPr>
          <w:rFonts w:ascii="Arial" w:hAnsi="Arial" w:cs="Arial"/>
          <w:sz w:val="24"/>
          <w:szCs w:val="24"/>
          <w:lang w:val="en-ZA"/>
        </w:rPr>
        <w:t>13.2</w:t>
      </w:r>
      <w:r>
        <w:rPr>
          <w:rFonts w:ascii="Arial" w:hAnsi="Arial" w:cs="Arial"/>
          <w:sz w:val="24"/>
          <w:szCs w:val="24"/>
          <w:lang w:val="en-ZA"/>
        </w:rPr>
        <w:tab/>
      </w:r>
      <w:r w:rsidR="00FD7B70">
        <w:rPr>
          <w:rFonts w:ascii="Arial" w:hAnsi="Arial" w:cs="Arial"/>
          <w:sz w:val="24"/>
          <w:szCs w:val="24"/>
          <w:lang w:val="en-ZA"/>
        </w:rPr>
        <w:t>The plaintiff’s claim for occupational injuries</w:t>
      </w:r>
      <w:r w:rsidR="00011034">
        <w:rPr>
          <w:rFonts w:ascii="Arial" w:hAnsi="Arial" w:cs="Arial"/>
          <w:sz w:val="24"/>
          <w:szCs w:val="24"/>
          <w:lang w:val="en-ZA"/>
        </w:rPr>
        <w:t xml:space="preserve"> does not envisage a claim for the recovery of damages from a third party for workplace damages</w:t>
      </w:r>
      <w:r w:rsidR="007F2DCF">
        <w:rPr>
          <w:rFonts w:ascii="Arial" w:hAnsi="Arial" w:cs="Arial"/>
          <w:sz w:val="24"/>
          <w:szCs w:val="24"/>
          <w:lang w:val="en-ZA"/>
        </w:rPr>
        <w:t>,</w:t>
      </w:r>
      <w:r w:rsidR="004B38E4">
        <w:rPr>
          <w:rFonts w:ascii="Arial" w:hAnsi="Arial" w:cs="Arial"/>
          <w:sz w:val="24"/>
          <w:szCs w:val="24"/>
          <w:lang w:val="en-ZA"/>
        </w:rPr>
        <w:t xml:space="preserve"> </w:t>
      </w:r>
      <w:r w:rsidR="004B38E4">
        <w:rPr>
          <w:rFonts w:ascii="Arial" w:hAnsi="Arial" w:cs="Arial"/>
          <w:sz w:val="24"/>
          <w:szCs w:val="24"/>
          <w:lang w:val="en-ZA"/>
        </w:rPr>
        <w:lastRenderedPageBreak/>
        <w:t xml:space="preserve">the limitation of which would </w:t>
      </w:r>
      <w:r w:rsidR="007F2DCF">
        <w:rPr>
          <w:rFonts w:ascii="Arial" w:hAnsi="Arial" w:cs="Arial"/>
          <w:sz w:val="24"/>
          <w:szCs w:val="24"/>
          <w:lang w:val="en-ZA"/>
        </w:rPr>
        <w:t>deprive an employee of their full common entitlement which circumstances could not be justified</w:t>
      </w:r>
      <w:r w:rsidR="00011034">
        <w:rPr>
          <w:rFonts w:ascii="Arial" w:hAnsi="Arial" w:cs="Arial"/>
          <w:sz w:val="24"/>
          <w:szCs w:val="24"/>
          <w:lang w:val="en-ZA"/>
        </w:rPr>
        <w:t xml:space="preserve">. </w:t>
      </w:r>
      <w:r w:rsidR="00FD7B70">
        <w:rPr>
          <w:rFonts w:ascii="Arial" w:hAnsi="Arial" w:cs="Arial"/>
          <w:sz w:val="24"/>
          <w:szCs w:val="24"/>
          <w:lang w:val="en-ZA"/>
        </w:rPr>
        <w:t xml:space="preserve"> </w:t>
      </w:r>
    </w:p>
    <w:p w14:paraId="65EAB493" w14:textId="10A703C1" w:rsidR="009C746D" w:rsidRPr="00DC3A14" w:rsidRDefault="00DC3A14" w:rsidP="00DC3A14">
      <w:pPr>
        <w:spacing w:before="80" w:after="320" w:line="360" w:lineRule="auto"/>
        <w:ind w:left="851" w:hanging="851"/>
        <w:jc w:val="both"/>
        <w:rPr>
          <w:rFonts w:ascii="Arial" w:hAnsi="Arial" w:cs="Arial"/>
          <w:sz w:val="24"/>
          <w:szCs w:val="24"/>
        </w:rPr>
      </w:pPr>
      <w:r w:rsidRPr="009C746D">
        <w:rPr>
          <w:rFonts w:ascii="Arial" w:eastAsia="Calibri" w:hAnsi="Arial" w:cs="Arial"/>
          <w:sz w:val="24"/>
          <w:szCs w:val="24"/>
        </w:rPr>
        <w:t>[14]</w:t>
      </w:r>
      <w:r w:rsidRPr="009C746D">
        <w:rPr>
          <w:rFonts w:ascii="Arial" w:eastAsia="Calibri" w:hAnsi="Arial" w:cs="Arial"/>
          <w:sz w:val="24"/>
          <w:szCs w:val="24"/>
        </w:rPr>
        <w:tab/>
      </w:r>
      <w:r w:rsidR="009C746D" w:rsidRPr="00DC3A14">
        <w:rPr>
          <w:rFonts w:ascii="Arial" w:hAnsi="Arial" w:cs="Arial"/>
          <w:sz w:val="24"/>
          <w:szCs w:val="24"/>
        </w:rPr>
        <w:t>In the result, the authority relied upon by the plaintiff provides no assistance</w:t>
      </w:r>
      <w:r w:rsidR="00F94BB0" w:rsidRPr="00DC3A14">
        <w:rPr>
          <w:rFonts w:ascii="Arial" w:hAnsi="Arial" w:cs="Arial"/>
          <w:sz w:val="24"/>
          <w:szCs w:val="24"/>
        </w:rPr>
        <w:t xml:space="preserve"> to the plaintiff</w:t>
      </w:r>
      <w:r w:rsidR="009C746D" w:rsidRPr="00DC3A14">
        <w:rPr>
          <w:rFonts w:ascii="Arial" w:hAnsi="Arial" w:cs="Arial"/>
          <w:sz w:val="24"/>
          <w:szCs w:val="24"/>
        </w:rPr>
        <w:t xml:space="preserve"> and has no merit in refuting the grounds of exception </w:t>
      </w:r>
      <w:r w:rsidR="007025B3" w:rsidRPr="00DC3A14">
        <w:rPr>
          <w:rFonts w:ascii="Arial" w:hAnsi="Arial" w:cs="Arial"/>
          <w:sz w:val="24"/>
          <w:szCs w:val="24"/>
        </w:rPr>
        <w:t xml:space="preserve">raised and </w:t>
      </w:r>
      <w:r w:rsidR="009C746D" w:rsidRPr="00DC3A14">
        <w:rPr>
          <w:rFonts w:ascii="Arial" w:hAnsi="Arial" w:cs="Arial"/>
          <w:sz w:val="24"/>
          <w:szCs w:val="24"/>
        </w:rPr>
        <w:t>relied upon by the defendant.</w:t>
      </w:r>
    </w:p>
    <w:p w14:paraId="781E5C17" w14:textId="179A1C7C" w:rsidR="009C746D" w:rsidRPr="00DC3A14" w:rsidRDefault="00DC3A14" w:rsidP="00DC3A14">
      <w:pPr>
        <w:spacing w:before="80" w:after="320" w:line="360" w:lineRule="auto"/>
        <w:ind w:left="851" w:hanging="851"/>
        <w:jc w:val="both"/>
        <w:rPr>
          <w:rFonts w:ascii="Arial" w:hAnsi="Arial" w:cs="Arial"/>
          <w:sz w:val="24"/>
          <w:szCs w:val="24"/>
        </w:rPr>
      </w:pPr>
      <w:r w:rsidRPr="009C746D">
        <w:rPr>
          <w:rFonts w:ascii="Arial" w:eastAsia="Calibri" w:hAnsi="Arial" w:cs="Arial"/>
          <w:sz w:val="24"/>
          <w:szCs w:val="24"/>
        </w:rPr>
        <w:t>[15]</w:t>
      </w:r>
      <w:r w:rsidRPr="009C746D">
        <w:rPr>
          <w:rFonts w:ascii="Arial" w:eastAsia="Calibri" w:hAnsi="Arial" w:cs="Arial"/>
          <w:sz w:val="24"/>
          <w:szCs w:val="24"/>
        </w:rPr>
        <w:tab/>
      </w:r>
      <w:r w:rsidR="009C746D" w:rsidRPr="00DC3A14">
        <w:rPr>
          <w:rFonts w:ascii="Arial" w:hAnsi="Arial" w:cs="Arial"/>
          <w:sz w:val="24"/>
          <w:szCs w:val="24"/>
        </w:rPr>
        <w:t xml:space="preserve">Insofar as the contention advanced on behalf of the plaintiff that the </w:t>
      </w:r>
      <w:r w:rsidR="009C746D" w:rsidRPr="00DC3A14">
        <w:rPr>
          <w:rFonts w:ascii="Arial" w:hAnsi="Arial" w:cs="Arial"/>
          <w:i/>
          <w:iCs/>
          <w:sz w:val="24"/>
          <w:szCs w:val="24"/>
        </w:rPr>
        <w:t>“…. defendant failed to report the accident to the Compensation Commissioner within (7) seven days”</w:t>
      </w:r>
      <w:r w:rsidR="009C746D" w:rsidRPr="007025B3">
        <w:rPr>
          <w:rStyle w:val="FootnoteReference"/>
          <w:rFonts w:ascii="Arial" w:hAnsi="Arial" w:cs="Arial"/>
          <w:sz w:val="24"/>
          <w:szCs w:val="24"/>
        </w:rPr>
        <w:footnoteReference w:id="7"/>
      </w:r>
      <w:r w:rsidR="009C746D" w:rsidRPr="00DC3A14">
        <w:rPr>
          <w:rFonts w:ascii="Arial" w:hAnsi="Arial" w:cs="Arial"/>
          <w:sz w:val="24"/>
          <w:szCs w:val="24"/>
        </w:rPr>
        <w:t xml:space="preserve"> and that the </w:t>
      </w:r>
      <w:r w:rsidR="009C746D" w:rsidRPr="00DC3A14">
        <w:rPr>
          <w:rFonts w:ascii="Arial" w:hAnsi="Arial" w:cs="Arial"/>
          <w:i/>
          <w:iCs/>
          <w:sz w:val="24"/>
          <w:szCs w:val="24"/>
        </w:rPr>
        <w:t>“defendant failed to assist plaintiff to make a claim to the Commission within 12 months of the accident”</w:t>
      </w:r>
      <w:r w:rsidR="009C746D" w:rsidRPr="007025B3">
        <w:rPr>
          <w:rStyle w:val="FootnoteReference"/>
          <w:rFonts w:ascii="Arial" w:hAnsi="Arial" w:cs="Arial"/>
          <w:sz w:val="24"/>
          <w:szCs w:val="24"/>
        </w:rPr>
        <w:footnoteReference w:id="8"/>
      </w:r>
      <w:r w:rsidR="009C746D" w:rsidRPr="00DC3A14">
        <w:rPr>
          <w:rFonts w:ascii="Arial" w:hAnsi="Arial" w:cs="Arial"/>
          <w:i/>
          <w:iCs/>
          <w:sz w:val="24"/>
          <w:szCs w:val="24"/>
        </w:rPr>
        <w:t xml:space="preserve"> </w:t>
      </w:r>
      <w:r w:rsidR="009C746D" w:rsidRPr="00DC3A14">
        <w:rPr>
          <w:rFonts w:ascii="Arial" w:hAnsi="Arial" w:cs="Arial"/>
          <w:sz w:val="24"/>
          <w:szCs w:val="24"/>
        </w:rPr>
        <w:t>culminated in the plaintiff’s claim with the Commission becoming prescribed under section 44 of the Act</w:t>
      </w:r>
      <w:r w:rsidR="009C746D" w:rsidRPr="009C746D">
        <w:rPr>
          <w:rStyle w:val="FootnoteReference"/>
          <w:rFonts w:ascii="Arial" w:hAnsi="Arial" w:cs="Arial"/>
          <w:sz w:val="24"/>
          <w:szCs w:val="24"/>
        </w:rPr>
        <w:footnoteReference w:id="9"/>
      </w:r>
      <w:r w:rsidR="007025B3" w:rsidRPr="00DC3A14">
        <w:rPr>
          <w:rFonts w:ascii="Arial" w:hAnsi="Arial" w:cs="Arial"/>
          <w:sz w:val="24"/>
          <w:szCs w:val="24"/>
        </w:rPr>
        <w:t xml:space="preserve"> similarly</w:t>
      </w:r>
      <w:r w:rsidR="009C746D" w:rsidRPr="00DC3A14">
        <w:rPr>
          <w:rFonts w:ascii="Arial" w:hAnsi="Arial" w:cs="Arial"/>
          <w:sz w:val="24"/>
          <w:szCs w:val="24"/>
        </w:rPr>
        <w:t xml:space="preserve"> does not assist the plaintiff.</w:t>
      </w:r>
    </w:p>
    <w:p w14:paraId="3FBFE5C0" w14:textId="5DDCC519" w:rsidR="009C746D" w:rsidRPr="00DC3A14" w:rsidRDefault="00DC3A14" w:rsidP="00DC3A14">
      <w:pPr>
        <w:spacing w:before="80" w:after="320" w:line="360" w:lineRule="auto"/>
        <w:ind w:left="851" w:hanging="851"/>
        <w:jc w:val="both"/>
        <w:rPr>
          <w:rFonts w:ascii="Arial" w:hAnsi="Arial" w:cs="Arial"/>
          <w:sz w:val="24"/>
          <w:szCs w:val="24"/>
        </w:rPr>
      </w:pPr>
      <w:r w:rsidRPr="009C746D">
        <w:rPr>
          <w:rFonts w:ascii="Arial" w:eastAsia="Calibri" w:hAnsi="Arial" w:cs="Arial"/>
          <w:sz w:val="24"/>
          <w:szCs w:val="24"/>
        </w:rPr>
        <w:t>[16]</w:t>
      </w:r>
      <w:r w:rsidRPr="009C746D">
        <w:rPr>
          <w:rFonts w:ascii="Arial" w:eastAsia="Calibri" w:hAnsi="Arial" w:cs="Arial"/>
          <w:sz w:val="24"/>
          <w:szCs w:val="24"/>
        </w:rPr>
        <w:tab/>
      </w:r>
      <w:r w:rsidR="009C746D" w:rsidRPr="00DC3A14">
        <w:rPr>
          <w:rFonts w:ascii="Arial" w:hAnsi="Arial" w:cs="Arial"/>
          <w:sz w:val="24"/>
          <w:szCs w:val="24"/>
        </w:rPr>
        <w:t xml:space="preserve">The mere fact that the defendant was less than dilatory in expeditiously reporting the accident to the Commissioner under the Act does not assist the plaintiff in any way. The plaintiff was entitled in terms of the provisions of section 38(1) of the Act to give notice of the accident to the Commissioner in the event of the employer failing to comply with the statutory obligation imposed </w:t>
      </w:r>
      <w:r w:rsidR="007025B3" w:rsidRPr="00DC3A14">
        <w:rPr>
          <w:rFonts w:ascii="Arial" w:hAnsi="Arial" w:cs="Arial"/>
          <w:sz w:val="24"/>
          <w:szCs w:val="24"/>
        </w:rPr>
        <w:t xml:space="preserve">upon the defendant </w:t>
      </w:r>
      <w:r w:rsidR="009C746D" w:rsidRPr="00DC3A14">
        <w:rPr>
          <w:rFonts w:ascii="Arial" w:hAnsi="Arial" w:cs="Arial"/>
          <w:sz w:val="24"/>
          <w:szCs w:val="24"/>
        </w:rPr>
        <w:t>under the Act. Moreover, whatever delay there may have been does not transform the plaintiff’s claim into a delictual one</w:t>
      </w:r>
      <w:r w:rsidR="007025B3" w:rsidRPr="00DC3A14">
        <w:rPr>
          <w:rFonts w:ascii="Arial" w:hAnsi="Arial" w:cs="Arial"/>
          <w:sz w:val="24"/>
          <w:szCs w:val="24"/>
        </w:rPr>
        <w:t xml:space="preserve"> which would</w:t>
      </w:r>
      <w:r w:rsidR="009C746D" w:rsidRPr="00DC3A14">
        <w:rPr>
          <w:rFonts w:ascii="Arial" w:hAnsi="Arial" w:cs="Arial"/>
          <w:sz w:val="24"/>
          <w:szCs w:val="24"/>
        </w:rPr>
        <w:t xml:space="preserve"> entitl</w:t>
      </w:r>
      <w:r w:rsidR="007025B3" w:rsidRPr="00DC3A14">
        <w:rPr>
          <w:rFonts w:ascii="Arial" w:hAnsi="Arial" w:cs="Arial"/>
          <w:sz w:val="24"/>
          <w:szCs w:val="24"/>
        </w:rPr>
        <w:t>e</w:t>
      </w:r>
      <w:r w:rsidR="009C746D" w:rsidRPr="00DC3A14">
        <w:rPr>
          <w:rFonts w:ascii="Arial" w:hAnsi="Arial" w:cs="Arial"/>
          <w:sz w:val="24"/>
          <w:szCs w:val="24"/>
        </w:rPr>
        <w:t xml:space="preserve"> the plaintiff to institute an action for damages under the common law</w:t>
      </w:r>
      <w:r w:rsidR="009C746D" w:rsidRPr="009C746D">
        <w:rPr>
          <w:rStyle w:val="FootnoteReference"/>
          <w:rFonts w:ascii="Arial" w:hAnsi="Arial" w:cs="Arial"/>
          <w:sz w:val="24"/>
          <w:szCs w:val="24"/>
        </w:rPr>
        <w:footnoteReference w:id="10"/>
      </w:r>
      <w:r w:rsidR="009C746D" w:rsidRPr="00DC3A14">
        <w:rPr>
          <w:rFonts w:ascii="Arial" w:hAnsi="Arial" w:cs="Arial"/>
          <w:sz w:val="24"/>
          <w:szCs w:val="24"/>
        </w:rPr>
        <w:t xml:space="preserve">. </w:t>
      </w:r>
      <w:r w:rsidR="00D20B45" w:rsidRPr="00DC3A14">
        <w:rPr>
          <w:rFonts w:ascii="Arial" w:hAnsi="Arial" w:cs="Arial"/>
          <w:sz w:val="24"/>
          <w:szCs w:val="24"/>
        </w:rPr>
        <w:t>Further to the above, section 43 of the Act allows the plaintiff to submit his own claim for compensation. The issues surrounding the provisions of section 38(1) and 43 alluded to above where not traversed by the plaintiff in his pleading and/or argument advanced</w:t>
      </w:r>
      <w:r w:rsidR="007F2DCF" w:rsidRPr="00DC3A14">
        <w:rPr>
          <w:rFonts w:ascii="Arial" w:hAnsi="Arial" w:cs="Arial"/>
          <w:sz w:val="24"/>
          <w:szCs w:val="24"/>
        </w:rPr>
        <w:t xml:space="preserve"> to the court</w:t>
      </w:r>
      <w:r w:rsidR="00D20B45" w:rsidRPr="00DC3A14">
        <w:rPr>
          <w:rFonts w:ascii="Arial" w:hAnsi="Arial" w:cs="Arial"/>
          <w:sz w:val="24"/>
          <w:szCs w:val="24"/>
        </w:rPr>
        <w:t xml:space="preserve">.  </w:t>
      </w:r>
    </w:p>
    <w:p w14:paraId="3FDDD948" w14:textId="5BF4B2F7" w:rsidR="009C746D" w:rsidRPr="00DC3A14" w:rsidRDefault="00DC3A14" w:rsidP="00DC3A14">
      <w:pPr>
        <w:spacing w:before="80" w:after="320" w:line="360" w:lineRule="auto"/>
        <w:ind w:left="851" w:hanging="851"/>
        <w:jc w:val="both"/>
        <w:rPr>
          <w:rFonts w:ascii="Arial" w:hAnsi="Arial" w:cs="Arial"/>
          <w:sz w:val="24"/>
          <w:szCs w:val="24"/>
        </w:rPr>
      </w:pPr>
      <w:r w:rsidRPr="009C746D">
        <w:rPr>
          <w:rFonts w:ascii="Arial" w:eastAsia="Calibri" w:hAnsi="Arial" w:cs="Arial"/>
          <w:sz w:val="24"/>
          <w:szCs w:val="24"/>
        </w:rPr>
        <w:t>[17]</w:t>
      </w:r>
      <w:r w:rsidRPr="009C746D">
        <w:rPr>
          <w:rFonts w:ascii="Arial" w:eastAsia="Calibri" w:hAnsi="Arial" w:cs="Arial"/>
          <w:sz w:val="24"/>
          <w:szCs w:val="24"/>
        </w:rPr>
        <w:tab/>
      </w:r>
      <w:r w:rsidR="009C746D" w:rsidRPr="00DC3A14">
        <w:rPr>
          <w:rFonts w:ascii="Arial" w:hAnsi="Arial" w:cs="Arial"/>
          <w:sz w:val="24"/>
          <w:szCs w:val="24"/>
        </w:rPr>
        <w:t xml:space="preserve">The plaintiff’s remedy was to seek compensation </w:t>
      </w:r>
      <w:r w:rsidR="007025B3" w:rsidRPr="00DC3A14">
        <w:rPr>
          <w:rFonts w:ascii="Arial" w:hAnsi="Arial" w:cs="Arial"/>
          <w:sz w:val="24"/>
          <w:szCs w:val="24"/>
        </w:rPr>
        <w:t>in accordance with</w:t>
      </w:r>
      <w:r w:rsidR="009C746D" w:rsidRPr="00DC3A14">
        <w:rPr>
          <w:rFonts w:ascii="Arial" w:hAnsi="Arial" w:cs="Arial"/>
          <w:sz w:val="24"/>
          <w:szCs w:val="24"/>
        </w:rPr>
        <w:t xml:space="preserve"> the machinery created by the Act.</w:t>
      </w:r>
    </w:p>
    <w:p w14:paraId="3CE57387" w14:textId="4BD41952" w:rsidR="009C746D" w:rsidRPr="00DC3A14" w:rsidRDefault="00DC3A14" w:rsidP="00DC3A14">
      <w:pPr>
        <w:spacing w:before="80" w:after="320" w:line="360" w:lineRule="auto"/>
        <w:ind w:left="851" w:hanging="851"/>
        <w:jc w:val="both"/>
        <w:rPr>
          <w:rFonts w:ascii="Arial" w:hAnsi="Arial" w:cs="Arial"/>
          <w:sz w:val="24"/>
          <w:szCs w:val="24"/>
        </w:rPr>
      </w:pPr>
      <w:r w:rsidRPr="009C746D">
        <w:rPr>
          <w:rFonts w:ascii="Arial" w:eastAsia="Calibri" w:hAnsi="Arial" w:cs="Arial"/>
          <w:sz w:val="24"/>
          <w:szCs w:val="24"/>
        </w:rPr>
        <w:lastRenderedPageBreak/>
        <w:t>[18]</w:t>
      </w:r>
      <w:r w:rsidRPr="009C746D">
        <w:rPr>
          <w:rFonts w:ascii="Arial" w:eastAsia="Calibri" w:hAnsi="Arial" w:cs="Arial"/>
          <w:sz w:val="24"/>
          <w:szCs w:val="24"/>
        </w:rPr>
        <w:tab/>
      </w:r>
      <w:r w:rsidR="009C746D" w:rsidRPr="00DC3A14">
        <w:rPr>
          <w:rFonts w:ascii="Arial" w:hAnsi="Arial" w:cs="Arial"/>
          <w:sz w:val="24"/>
          <w:szCs w:val="24"/>
        </w:rPr>
        <w:t>The injury was and remains an occupational injury as envisaged under the Act and as a consequence section 35(1) of the Act precludes an employee from claiming damages from his employer in respect of such an injury.</w:t>
      </w:r>
    </w:p>
    <w:p w14:paraId="498DC9C0" w14:textId="5353E4D7" w:rsidR="009C746D" w:rsidRPr="00DC3A14" w:rsidRDefault="00DC3A14" w:rsidP="00DC3A14">
      <w:pPr>
        <w:spacing w:before="80" w:after="320" w:line="360" w:lineRule="auto"/>
        <w:ind w:left="851" w:hanging="851"/>
        <w:jc w:val="both"/>
        <w:rPr>
          <w:rFonts w:ascii="Arial" w:hAnsi="Arial" w:cs="Arial"/>
          <w:sz w:val="24"/>
          <w:szCs w:val="24"/>
        </w:rPr>
      </w:pPr>
      <w:r w:rsidRPr="009C746D">
        <w:rPr>
          <w:rFonts w:ascii="Arial" w:eastAsia="Calibri" w:hAnsi="Arial" w:cs="Arial"/>
          <w:sz w:val="24"/>
          <w:szCs w:val="24"/>
        </w:rPr>
        <w:t>[19]</w:t>
      </w:r>
      <w:r w:rsidRPr="009C746D">
        <w:rPr>
          <w:rFonts w:ascii="Arial" w:eastAsia="Calibri" w:hAnsi="Arial" w:cs="Arial"/>
          <w:sz w:val="24"/>
          <w:szCs w:val="24"/>
        </w:rPr>
        <w:tab/>
      </w:r>
      <w:r w:rsidR="009C746D" w:rsidRPr="00DC3A14">
        <w:rPr>
          <w:rFonts w:ascii="Arial" w:hAnsi="Arial" w:cs="Arial"/>
          <w:sz w:val="24"/>
          <w:szCs w:val="24"/>
        </w:rPr>
        <w:t>In my view, the exception raised by the defendant must be upheld</w:t>
      </w:r>
      <w:r w:rsidR="009178B8" w:rsidRPr="00DC3A14">
        <w:rPr>
          <w:rFonts w:ascii="Arial" w:hAnsi="Arial" w:cs="Arial"/>
          <w:sz w:val="24"/>
          <w:szCs w:val="24"/>
        </w:rPr>
        <w:t>,</w:t>
      </w:r>
      <w:r w:rsidR="00872020" w:rsidRPr="00DC3A14">
        <w:rPr>
          <w:rFonts w:ascii="Arial" w:hAnsi="Arial" w:cs="Arial"/>
          <w:sz w:val="24"/>
          <w:szCs w:val="24"/>
        </w:rPr>
        <w:t xml:space="preserve"> </w:t>
      </w:r>
      <w:r w:rsidR="009178B8" w:rsidRPr="00DC3A14">
        <w:rPr>
          <w:rFonts w:ascii="Arial" w:hAnsi="Arial" w:cs="Arial"/>
          <w:sz w:val="24"/>
          <w:szCs w:val="24"/>
        </w:rPr>
        <w:t>in the result,</w:t>
      </w:r>
      <w:r w:rsidR="009C746D" w:rsidRPr="00DC3A14">
        <w:rPr>
          <w:rFonts w:ascii="Arial" w:hAnsi="Arial" w:cs="Arial"/>
          <w:sz w:val="24"/>
          <w:szCs w:val="24"/>
        </w:rPr>
        <w:t xml:space="preserve"> the following order is granted:</w:t>
      </w:r>
    </w:p>
    <w:p w14:paraId="5F819E12" w14:textId="1DE2489B" w:rsidR="009C746D" w:rsidRPr="009C746D" w:rsidRDefault="009C746D" w:rsidP="009178B8">
      <w:pPr>
        <w:pStyle w:val="ListParagraph"/>
        <w:spacing w:before="80" w:after="320" w:line="360" w:lineRule="auto"/>
        <w:ind w:left="851"/>
        <w:contextualSpacing w:val="0"/>
        <w:jc w:val="both"/>
        <w:rPr>
          <w:rFonts w:ascii="Arial" w:hAnsi="Arial" w:cs="Arial"/>
          <w:sz w:val="24"/>
          <w:szCs w:val="24"/>
          <w:lang w:val="en-ZA"/>
        </w:rPr>
      </w:pPr>
      <w:r w:rsidRPr="009C746D">
        <w:rPr>
          <w:rFonts w:ascii="Arial" w:hAnsi="Arial" w:cs="Arial"/>
          <w:sz w:val="24"/>
          <w:szCs w:val="24"/>
          <w:lang w:val="en-ZA"/>
        </w:rPr>
        <w:t>1</w:t>
      </w:r>
      <w:r w:rsidR="0028768C">
        <w:rPr>
          <w:rFonts w:ascii="Arial" w:hAnsi="Arial" w:cs="Arial"/>
          <w:sz w:val="24"/>
          <w:szCs w:val="24"/>
          <w:lang w:val="en-ZA"/>
        </w:rPr>
        <w:t>.</w:t>
      </w:r>
      <w:r w:rsidRPr="009C746D">
        <w:rPr>
          <w:rFonts w:ascii="Arial" w:hAnsi="Arial" w:cs="Arial"/>
          <w:sz w:val="24"/>
          <w:szCs w:val="24"/>
          <w:lang w:val="en-ZA"/>
        </w:rPr>
        <w:tab/>
        <w:t>The exception is upheld with costs.</w:t>
      </w:r>
    </w:p>
    <w:p w14:paraId="6FB995BC" w14:textId="77777777" w:rsidR="001B485F" w:rsidRDefault="009C746D" w:rsidP="001B485F">
      <w:pPr>
        <w:pStyle w:val="ListParagraph"/>
        <w:spacing w:before="80" w:after="320" w:line="360" w:lineRule="auto"/>
        <w:ind w:left="1439" w:hanging="588"/>
        <w:contextualSpacing w:val="0"/>
        <w:jc w:val="both"/>
        <w:rPr>
          <w:rFonts w:ascii="Arial" w:hAnsi="Arial" w:cs="Arial"/>
          <w:sz w:val="24"/>
          <w:szCs w:val="24"/>
          <w:lang w:val="en-ZA"/>
        </w:rPr>
      </w:pPr>
      <w:r w:rsidRPr="009C746D">
        <w:rPr>
          <w:rFonts w:ascii="Arial" w:hAnsi="Arial" w:cs="Arial"/>
          <w:sz w:val="24"/>
          <w:szCs w:val="24"/>
          <w:lang w:val="en-ZA"/>
        </w:rPr>
        <w:t>2</w:t>
      </w:r>
      <w:r w:rsidR="0028768C">
        <w:rPr>
          <w:rFonts w:ascii="Arial" w:hAnsi="Arial" w:cs="Arial"/>
          <w:sz w:val="24"/>
          <w:szCs w:val="24"/>
          <w:lang w:val="en-ZA"/>
        </w:rPr>
        <w:t>.</w:t>
      </w:r>
      <w:r w:rsidRPr="009C746D">
        <w:rPr>
          <w:rFonts w:ascii="Arial" w:hAnsi="Arial" w:cs="Arial"/>
          <w:sz w:val="24"/>
          <w:szCs w:val="24"/>
          <w:lang w:val="en-ZA"/>
        </w:rPr>
        <w:tab/>
        <w:t>The plaintiff is given leave to amend his particulars of claim should he so elect within fifteen (15) court days of the granting of this order.</w:t>
      </w:r>
    </w:p>
    <w:p w14:paraId="4EDD45F2" w14:textId="5FA145F6" w:rsidR="009C746D" w:rsidRPr="001B485F" w:rsidRDefault="001B485F" w:rsidP="001B485F">
      <w:pPr>
        <w:pStyle w:val="ListParagraph"/>
        <w:spacing w:before="80" w:after="320" w:line="360" w:lineRule="auto"/>
        <w:ind w:left="1439" w:hanging="588"/>
        <w:contextualSpacing w:val="0"/>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sidR="009C746D" w:rsidRPr="001B485F">
        <w:rPr>
          <w:rFonts w:ascii="Arial" w:hAnsi="Arial" w:cs="Arial"/>
          <w:sz w:val="24"/>
          <w:szCs w:val="24"/>
          <w:lang w:val="en-ZA"/>
        </w:rPr>
        <w:t>In the event that the plaintiff fail</w:t>
      </w:r>
      <w:r>
        <w:rPr>
          <w:rFonts w:ascii="Arial" w:hAnsi="Arial" w:cs="Arial"/>
          <w:sz w:val="24"/>
          <w:szCs w:val="24"/>
          <w:lang w:val="en-ZA"/>
        </w:rPr>
        <w:t>s,</w:t>
      </w:r>
      <w:r w:rsidR="009C746D" w:rsidRPr="001B485F">
        <w:rPr>
          <w:rFonts w:ascii="Arial" w:hAnsi="Arial" w:cs="Arial"/>
          <w:sz w:val="24"/>
          <w:szCs w:val="24"/>
          <w:lang w:val="en-ZA"/>
        </w:rPr>
        <w:t xml:space="preserve"> alternatively neglect</w:t>
      </w:r>
      <w:r>
        <w:rPr>
          <w:rFonts w:ascii="Arial" w:hAnsi="Arial" w:cs="Arial"/>
          <w:sz w:val="24"/>
          <w:szCs w:val="24"/>
          <w:lang w:val="en-ZA"/>
        </w:rPr>
        <w:t>s</w:t>
      </w:r>
      <w:r w:rsidR="009C746D" w:rsidRPr="001B485F">
        <w:rPr>
          <w:rFonts w:ascii="Arial" w:hAnsi="Arial" w:cs="Arial"/>
          <w:sz w:val="24"/>
          <w:szCs w:val="24"/>
          <w:lang w:val="en-ZA"/>
        </w:rPr>
        <w:t xml:space="preserve"> to file an amended particulars of claim as envisaged in paragraph 2 above, the defendant may approach the Court for an order dismissing the plaintiff’s claim.</w:t>
      </w:r>
    </w:p>
    <w:p w14:paraId="54191E8A" w14:textId="25FC34A9" w:rsidR="00404A3F" w:rsidRDefault="00404A3F" w:rsidP="00A84617">
      <w:pPr>
        <w:pStyle w:val="1"/>
        <w:numPr>
          <w:ilvl w:val="0"/>
          <w:numId w:val="0"/>
        </w:numPr>
        <w:ind w:left="720" w:hanging="720"/>
        <w:rPr>
          <w:lang w:val="en-ZA"/>
        </w:rPr>
      </w:pPr>
    </w:p>
    <w:p w14:paraId="577D0791" w14:textId="77777777" w:rsidR="007F2DCF" w:rsidRPr="009C746D" w:rsidRDefault="007F2DCF" w:rsidP="00A84617">
      <w:pPr>
        <w:pStyle w:val="1"/>
        <w:numPr>
          <w:ilvl w:val="0"/>
          <w:numId w:val="0"/>
        </w:numPr>
        <w:ind w:left="720" w:hanging="720"/>
        <w:rPr>
          <w:lang w:val="en-ZA"/>
        </w:rPr>
      </w:pPr>
    </w:p>
    <w:p w14:paraId="60DD95FF" w14:textId="638FD921" w:rsidR="00AA115C" w:rsidRPr="009C746D" w:rsidRDefault="007F2DCF" w:rsidP="006A39D7">
      <w:pPr>
        <w:spacing w:after="0" w:line="360" w:lineRule="auto"/>
        <w:ind w:left="1080"/>
        <w:contextualSpacing/>
        <w:jc w:val="right"/>
        <w:rPr>
          <w:rFonts w:ascii="Arial" w:eastAsia="Calibri" w:hAnsi="Arial" w:cs="Arial"/>
          <w:sz w:val="24"/>
          <w:szCs w:val="24"/>
        </w:rPr>
      </w:pPr>
      <w:r>
        <w:rPr>
          <w:rFonts w:ascii="Arial" w:eastAsia="Calibri" w:hAnsi="Arial" w:cs="Arial"/>
          <w:sz w:val="24"/>
          <w:szCs w:val="24"/>
        </w:rPr>
        <w:t>________</w:t>
      </w:r>
      <w:r w:rsidR="00F94BB0">
        <w:rPr>
          <w:rFonts w:ascii="Arial" w:eastAsia="Calibri" w:hAnsi="Arial" w:cs="Arial"/>
          <w:sz w:val="24"/>
          <w:szCs w:val="24"/>
        </w:rPr>
        <w:t>_______</w:t>
      </w:r>
      <w:r w:rsidR="00AA115C" w:rsidRPr="009C746D">
        <w:rPr>
          <w:rFonts w:ascii="Arial" w:eastAsia="Calibri" w:hAnsi="Arial" w:cs="Arial"/>
          <w:sz w:val="24"/>
          <w:szCs w:val="24"/>
        </w:rPr>
        <w:t>__________________</w:t>
      </w:r>
    </w:p>
    <w:p w14:paraId="2FD041A9" w14:textId="259A25DA" w:rsidR="00AA115C" w:rsidRPr="009C746D" w:rsidRDefault="008B1FF7" w:rsidP="006A39D7">
      <w:pPr>
        <w:spacing w:after="0" w:line="360" w:lineRule="auto"/>
        <w:ind w:left="1080"/>
        <w:contextualSpacing/>
        <w:jc w:val="right"/>
        <w:rPr>
          <w:rFonts w:ascii="Arial" w:eastAsia="Calibri" w:hAnsi="Arial" w:cs="Arial"/>
          <w:b/>
          <w:iCs/>
          <w:sz w:val="24"/>
          <w:szCs w:val="24"/>
        </w:rPr>
      </w:pPr>
      <w:r w:rsidRPr="009C746D">
        <w:rPr>
          <w:rFonts w:ascii="Arial" w:eastAsia="Calibri" w:hAnsi="Arial" w:cs="Arial"/>
          <w:b/>
          <w:iCs/>
          <w:sz w:val="24"/>
          <w:szCs w:val="24"/>
        </w:rPr>
        <w:t>M MEYER</w:t>
      </w:r>
    </w:p>
    <w:p w14:paraId="6373CB0E" w14:textId="659C84DB" w:rsidR="00AA115C" w:rsidRPr="009C746D" w:rsidRDefault="00585E2A" w:rsidP="006A39D7">
      <w:pPr>
        <w:tabs>
          <w:tab w:val="center" w:pos="4490"/>
          <w:tab w:val="right" w:pos="8970"/>
        </w:tabs>
        <w:spacing w:after="0" w:line="360" w:lineRule="auto"/>
        <w:ind w:left="10" w:right="56"/>
        <w:rPr>
          <w:rFonts w:ascii="Arial" w:eastAsia="Calibri" w:hAnsi="Arial" w:cs="Arial"/>
          <w:sz w:val="24"/>
          <w:szCs w:val="24"/>
        </w:rPr>
      </w:pPr>
      <w:r w:rsidRPr="009C746D">
        <w:rPr>
          <w:rFonts w:ascii="Arial" w:eastAsia="Calibri" w:hAnsi="Arial" w:cs="Arial"/>
          <w:color w:val="000000"/>
          <w:sz w:val="24"/>
          <w:szCs w:val="24"/>
        </w:rPr>
        <w:tab/>
      </w:r>
      <w:r w:rsidRPr="009C746D">
        <w:rPr>
          <w:rFonts w:ascii="Arial" w:eastAsia="Calibri" w:hAnsi="Arial" w:cs="Arial"/>
          <w:color w:val="000000"/>
          <w:sz w:val="24"/>
          <w:szCs w:val="24"/>
        </w:rPr>
        <w:tab/>
        <w:t xml:space="preserve">ACTING </w:t>
      </w:r>
      <w:r w:rsidR="00AA115C" w:rsidRPr="009C746D">
        <w:rPr>
          <w:rFonts w:ascii="Arial" w:eastAsia="Calibri" w:hAnsi="Arial" w:cs="Arial"/>
          <w:color w:val="000000"/>
          <w:sz w:val="24"/>
          <w:szCs w:val="24"/>
        </w:rPr>
        <w:t xml:space="preserve">JUDGE OF THE HIGH COURT  </w:t>
      </w:r>
    </w:p>
    <w:p w14:paraId="6C41D00B" w14:textId="77777777" w:rsidR="00AA115C" w:rsidRPr="009C746D" w:rsidRDefault="00AA115C" w:rsidP="006A39D7">
      <w:pPr>
        <w:keepNext/>
        <w:keepLines/>
        <w:spacing w:after="0" w:line="360" w:lineRule="auto"/>
        <w:ind w:left="10" w:right="56" w:hanging="10"/>
        <w:jc w:val="right"/>
        <w:outlineLvl w:val="1"/>
        <w:rPr>
          <w:rFonts w:ascii="Arial" w:eastAsia="Arial" w:hAnsi="Arial" w:cs="Arial"/>
          <w:color w:val="000000"/>
          <w:sz w:val="24"/>
          <w:szCs w:val="24"/>
        </w:rPr>
      </w:pPr>
      <w:r w:rsidRPr="009C746D">
        <w:rPr>
          <w:rFonts w:ascii="Arial" w:eastAsia="Arial" w:hAnsi="Arial" w:cs="Arial"/>
          <w:color w:val="000000"/>
          <w:sz w:val="24"/>
          <w:szCs w:val="24"/>
        </w:rPr>
        <w:t xml:space="preserve">GAUTENG DIVISION, PRETORIA </w:t>
      </w:r>
    </w:p>
    <w:p w14:paraId="33D72EC8" w14:textId="77777777" w:rsidR="0054260C" w:rsidRPr="009C746D" w:rsidRDefault="0054260C" w:rsidP="00A84617">
      <w:pPr>
        <w:spacing w:after="0" w:line="256" w:lineRule="auto"/>
        <w:jc w:val="both"/>
        <w:rPr>
          <w:rFonts w:ascii="Arial" w:eastAsia="Calibri" w:hAnsi="Arial" w:cs="Arial"/>
          <w:sz w:val="24"/>
          <w:szCs w:val="24"/>
        </w:rPr>
      </w:pPr>
    </w:p>
    <w:p w14:paraId="0DD5FD32" w14:textId="77777777" w:rsidR="00955941" w:rsidRDefault="00955941" w:rsidP="00A84617">
      <w:pPr>
        <w:spacing w:line="360" w:lineRule="auto"/>
        <w:jc w:val="both"/>
        <w:rPr>
          <w:rFonts w:ascii="Arial" w:eastAsia="Calibri" w:hAnsi="Arial" w:cs="Arial"/>
          <w:iCs/>
          <w:sz w:val="24"/>
          <w:szCs w:val="24"/>
        </w:rPr>
      </w:pPr>
    </w:p>
    <w:p w14:paraId="612A8100" w14:textId="34146791" w:rsidR="00AA115C" w:rsidRPr="009C746D" w:rsidRDefault="0054260C" w:rsidP="00955941">
      <w:pPr>
        <w:spacing w:line="360" w:lineRule="auto"/>
        <w:contextualSpacing/>
        <w:jc w:val="both"/>
        <w:rPr>
          <w:rFonts w:ascii="Arial" w:eastAsia="Calibri" w:hAnsi="Arial" w:cs="Arial"/>
          <w:iCs/>
          <w:sz w:val="24"/>
          <w:szCs w:val="24"/>
        </w:rPr>
      </w:pPr>
      <w:r w:rsidRPr="009C746D">
        <w:rPr>
          <w:rFonts w:ascii="Arial" w:eastAsia="Calibri" w:hAnsi="Arial" w:cs="Arial"/>
          <w:iCs/>
          <w:sz w:val="24"/>
          <w:szCs w:val="24"/>
        </w:rPr>
        <w:t xml:space="preserve">Date of hearing:  </w:t>
      </w:r>
      <w:r w:rsidR="001D618D">
        <w:rPr>
          <w:rFonts w:ascii="Arial" w:eastAsia="Calibri" w:hAnsi="Arial" w:cs="Arial"/>
          <w:iCs/>
          <w:sz w:val="24"/>
          <w:szCs w:val="24"/>
        </w:rPr>
        <w:tab/>
        <w:t>3 May 202</w:t>
      </w:r>
      <w:r w:rsidR="006A39D7">
        <w:rPr>
          <w:rFonts w:ascii="Arial" w:eastAsia="Calibri" w:hAnsi="Arial" w:cs="Arial"/>
          <w:iCs/>
          <w:sz w:val="24"/>
          <w:szCs w:val="24"/>
        </w:rPr>
        <w:t>3</w:t>
      </w:r>
    </w:p>
    <w:p w14:paraId="36A3CEBE" w14:textId="5DFAAE32" w:rsidR="00AA115C" w:rsidRPr="009C746D" w:rsidRDefault="0054260C" w:rsidP="00955941">
      <w:pPr>
        <w:spacing w:line="360" w:lineRule="auto"/>
        <w:contextualSpacing/>
        <w:jc w:val="both"/>
        <w:rPr>
          <w:rFonts w:ascii="Arial" w:eastAsia="Calibri" w:hAnsi="Arial" w:cs="Arial"/>
          <w:iCs/>
          <w:sz w:val="24"/>
          <w:szCs w:val="24"/>
        </w:rPr>
      </w:pPr>
      <w:r w:rsidRPr="009C746D">
        <w:rPr>
          <w:rFonts w:ascii="Arial" w:eastAsia="Calibri" w:hAnsi="Arial" w:cs="Arial"/>
          <w:iCs/>
          <w:sz w:val="24"/>
          <w:szCs w:val="24"/>
        </w:rPr>
        <w:t xml:space="preserve">Date of judgment:  </w:t>
      </w:r>
      <w:r w:rsidR="006A39D7">
        <w:rPr>
          <w:rFonts w:ascii="Arial" w:eastAsia="Calibri" w:hAnsi="Arial" w:cs="Arial"/>
          <w:iCs/>
          <w:sz w:val="24"/>
          <w:szCs w:val="24"/>
        </w:rPr>
        <w:tab/>
      </w:r>
      <w:r w:rsidR="007F2DCF">
        <w:rPr>
          <w:rFonts w:ascii="Arial" w:eastAsia="Calibri" w:hAnsi="Arial" w:cs="Arial"/>
          <w:iCs/>
          <w:sz w:val="24"/>
          <w:szCs w:val="24"/>
        </w:rPr>
        <w:t>2</w:t>
      </w:r>
      <w:r w:rsidR="001C6073">
        <w:rPr>
          <w:rFonts w:ascii="Arial" w:eastAsia="Calibri" w:hAnsi="Arial" w:cs="Arial"/>
          <w:iCs/>
          <w:sz w:val="24"/>
          <w:szCs w:val="24"/>
        </w:rPr>
        <w:t>1</w:t>
      </w:r>
      <w:r w:rsidR="006A39D7">
        <w:rPr>
          <w:rFonts w:ascii="Arial" w:eastAsia="Calibri" w:hAnsi="Arial" w:cs="Arial"/>
          <w:iCs/>
          <w:sz w:val="24"/>
          <w:szCs w:val="24"/>
        </w:rPr>
        <w:t xml:space="preserve"> May 2024</w:t>
      </w:r>
    </w:p>
    <w:p w14:paraId="6B1D04E9" w14:textId="77777777" w:rsidR="006A39D7" w:rsidRDefault="006A39D7" w:rsidP="00A84617">
      <w:pPr>
        <w:spacing w:line="360" w:lineRule="auto"/>
        <w:jc w:val="both"/>
        <w:rPr>
          <w:rFonts w:ascii="Arial" w:eastAsia="Calibri" w:hAnsi="Arial" w:cs="Arial"/>
          <w:b/>
          <w:iCs/>
          <w:sz w:val="24"/>
          <w:szCs w:val="24"/>
          <w:u w:val="single"/>
        </w:rPr>
      </w:pPr>
    </w:p>
    <w:p w14:paraId="453F1E86" w14:textId="24D71A69" w:rsidR="00AA115C" w:rsidRPr="009C746D" w:rsidRDefault="00AA115C" w:rsidP="00955941">
      <w:pPr>
        <w:spacing w:line="360" w:lineRule="auto"/>
        <w:contextualSpacing/>
        <w:jc w:val="both"/>
        <w:rPr>
          <w:rFonts w:ascii="Arial" w:eastAsia="Calibri" w:hAnsi="Arial" w:cs="Arial"/>
          <w:iCs/>
          <w:sz w:val="24"/>
          <w:szCs w:val="24"/>
        </w:rPr>
      </w:pPr>
      <w:r w:rsidRPr="009C746D">
        <w:rPr>
          <w:rFonts w:ascii="Arial" w:eastAsia="Calibri" w:hAnsi="Arial" w:cs="Arial"/>
          <w:b/>
          <w:iCs/>
          <w:sz w:val="24"/>
          <w:szCs w:val="24"/>
          <w:u w:val="single"/>
        </w:rPr>
        <w:t xml:space="preserve">Appearance </w:t>
      </w:r>
    </w:p>
    <w:p w14:paraId="2182C9CE" w14:textId="0ECB607B" w:rsidR="00D9531B" w:rsidRPr="009C746D" w:rsidRDefault="00AA115C" w:rsidP="00955941">
      <w:pPr>
        <w:spacing w:line="360" w:lineRule="auto"/>
        <w:contextualSpacing/>
        <w:jc w:val="both"/>
        <w:rPr>
          <w:rFonts w:ascii="Arial" w:eastAsia="Calibri" w:hAnsi="Arial" w:cs="Arial"/>
          <w:iCs/>
          <w:sz w:val="24"/>
          <w:szCs w:val="24"/>
        </w:rPr>
      </w:pPr>
      <w:r w:rsidRPr="009C746D">
        <w:rPr>
          <w:rFonts w:ascii="Arial" w:eastAsia="Calibri" w:hAnsi="Arial" w:cs="Arial"/>
          <w:iCs/>
          <w:sz w:val="24"/>
          <w:szCs w:val="24"/>
        </w:rPr>
        <w:t xml:space="preserve">On behalf of the </w:t>
      </w:r>
      <w:r w:rsidR="008E4B16">
        <w:rPr>
          <w:rFonts w:ascii="Arial" w:eastAsia="Calibri" w:hAnsi="Arial" w:cs="Arial"/>
          <w:iCs/>
          <w:sz w:val="24"/>
          <w:szCs w:val="24"/>
        </w:rPr>
        <w:t xml:space="preserve">Plaintiff </w:t>
      </w:r>
      <w:r w:rsidRPr="009C746D">
        <w:rPr>
          <w:rFonts w:ascii="Arial" w:eastAsia="Calibri" w:hAnsi="Arial" w:cs="Arial"/>
          <w:iCs/>
          <w:sz w:val="24"/>
          <w:szCs w:val="24"/>
        </w:rPr>
        <w:t xml:space="preserve">                          </w:t>
      </w:r>
      <w:r w:rsidR="003172F4" w:rsidRPr="007F2DCF">
        <w:rPr>
          <w:rFonts w:ascii="Arial" w:eastAsia="Calibri" w:hAnsi="Arial" w:cs="Arial"/>
          <w:b/>
          <w:bCs/>
          <w:iCs/>
          <w:sz w:val="24"/>
          <w:szCs w:val="24"/>
        </w:rPr>
        <w:t>ADVOCATE A GOVENDER</w:t>
      </w:r>
      <w:r w:rsidRPr="009C746D">
        <w:rPr>
          <w:rFonts w:ascii="Arial" w:eastAsia="Calibri" w:hAnsi="Arial" w:cs="Arial"/>
          <w:iCs/>
          <w:sz w:val="24"/>
          <w:szCs w:val="24"/>
        </w:rPr>
        <w:t xml:space="preserve">    </w:t>
      </w:r>
    </w:p>
    <w:p w14:paraId="1068D792" w14:textId="77777777" w:rsidR="008E4B16" w:rsidRDefault="00AA115C" w:rsidP="00955941">
      <w:pPr>
        <w:spacing w:line="360" w:lineRule="auto"/>
        <w:contextualSpacing/>
        <w:jc w:val="both"/>
        <w:rPr>
          <w:rFonts w:ascii="Arial" w:eastAsia="Calibri" w:hAnsi="Arial" w:cs="Arial"/>
          <w:iCs/>
          <w:sz w:val="24"/>
          <w:szCs w:val="24"/>
        </w:rPr>
      </w:pPr>
      <w:r w:rsidRPr="009C746D">
        <w:rPr>
          <w:rFonts w:ascii="Arial" w:eastAsia="Calibri" w:hAnsi="Arial" w:cs="Arial"/>
          <w:iCs/>
          <w:sz w:val="24"/>
          <w:szCs w:val="24"/>
        </w:rPr>
        <w:t xml:space="preserve">Instructed by                                             </w:t>
      </w:r>
      <w:r w:rsidR="008E4B16">
        <w:rPr>
          <w:rFonts w:ascii="Arial" w:eastAsia="Calibri" w:hAnsi="Arial" w:cs="Arial"/>
          <w:iCs/>
          <w:sz w:val="24"/>
          <w:szCs w:val="24"/>
        </w:rPr>
        <w:t>RUSSIA LANGA ATTORNEYS</w:t>
      </w:r>
    </w:p>
    <w:p w14:paraId="41C17D34" w14:textId="17A78367" w:rsidR="00AA115C" w:rsidRPr="009C746D" w:rsidRDefault="00AA115C" w:rsidP="000B7102">
      <w:pPr>
        <w:spacing w:line="360" w:lineRule="auto"/>
        <w:jc w:val="both"/>
        <w:rPr>
          <w:rFonts w:ascii="Arial" w:eastAsia="Calibri" w:hAnsi="Arial" w:cs="Arial"/>
          <w:iCs/>
          <w:sz w:val="24"/>
          <w:szCs w:val="24"/>
        </w:rPr>
      </w:pPr>
      <w:r w:rsidRPr="009C746D">
        <w:rPr>
          <w:rFonts w:ascii="Arial" w:eastAsia="Calibri" w:hAnsi="Arial" w:cs="Arial"/>
          <w:iCs/>
          <w:sz w:val="24"/>
          <w:szCs w:val="24"/>
        </w:rPr>
        <w:t xml:space="preserve">   </w:t>
      </w:r>
    </w:p>
    <w:p w14:paraId="5BAC4E05" w14:textId="77777777" w:rsidR="007F2DCF" w:rsidRDefault="007F2DCF" w:rsidP="00955941">
      <w:pPr>
        <w:spacing w:line="360" w:lineRule="auto"/>
        <w:contextualSpacing/>
        <w:jc w:val="both"/>
        <w:rPr>
          <w:rFonts w:ascii="Arial" w:eastAsia="Calibri" w:hAnsi="Arial" w:cs="Arial"/>
          <w:iCs/>
          <w:sz w:val="24"/>
          <w:szCs w:val="24"/>
        </w:rPr>
      </w:pPr>
    </w:p>
    <w:p w14:paraId="36ED0484" w14:textId="2089A5DA" w:rsidR="00AA115C" w:rsidRPr="009C746D" w:rsidRDefault="00AA115C" w:rsidP="00955941">
      <w:pPr>
        <w:spacing w:line="360" w:lineRule="auto"/>
        <w:contextualSpacing/>
        <w:jc w:val="both"/>
        <w:rPr>
          <w:rFonts w:ascii="Arial" w:eastAsia="Calibri" w:hAnsi="Arial" w:cs="Arial"/>
          <w:iCs/>
          <w:sz w:val="24"/>
          <w:szCs w:val="24"/>
        </w:rPr>
      </w:pPr>
      <w:r w:rsidRPr="009C746D">
        <w:rPr>
          <w:rFonts w:ascii="Arial" w:eastAsia="Calibri" w:hAnsi="Arial" w:cs="Arial"/>
          <w:iCs/>
          <w:sz w:val="24"/>
          <w:szCs w:val="24"/>
        </w:rPr>
        <w:t xml:space="preserve">On behalf of the </w:t>
      </w:r>
      <w:r w:rsidR="0070235E">
        <w:rPr>
          <w:rFonts w:ascii="Arial" w:eastAsia="Calibri" w:hAnsi="Arial" w:cs="Arial"/>
          <w:iCs/>
          <w:sz w:val="24"/>
          <w:szCs w:val="24"/>
        </w:rPr>
        <w:t>Defendant/Excipient</w:t>
      </w:r>
      <w:r w:rsidR="0070235E">
        <w:rPr>
          <w:rFonts w:ascii="Arial" w:eastAsia="Calibri" w:hAnsi="Arial" w:cs="Arial"/>
          <w:iCs/>
          <w:sz w:val="24"/>
          <w:szCs w:val="24"/>
        </w:rPr>
        <w:tab/>
      </w:r>
      <w:r w:rsidRPr="009C746D">
        <w:rPr>
          <w:rFonts w:ascii="Arial" w:eastAsia="Calibri" w:hAnsi="Arial" w:cs="Arial"/>
          <w:iCs/>
          <w:sz w:val="24"/>
          <w:szCs w:val="24"/>
        </w:rPr>
        <w:t xml:space="preserve"> </w:t>
      </w:r>
      <w:r w:rsidR="0070235E" w:rsidRPr="007F2DCF">
        <w:rPr>
          <w:rFonts w:ascii="Arial" w:eastAsia="Calibri" w:hAnsi="Arial" w:cs="Arial"/>
          <w:b/>
          <w:bCs/>
          <w:iCs/>
          <w:sz w:val="24"/>
          <w:szCs w:val="24"/>
        </w:rPr>
        <w:t>ADVOCATE I HUSSAIN SC</w:t>
      </w:r>
      <w:r w:rsidRPr="009C746D">
        <w:rPr>
          <w:rFonts w:ascii="Arial" w:eastAsia="Calibri" w:hAnsi="Arial" w:cs="Arial"/>
          <w:iCs/>
          <w:sz w:val="24"/>
          <w:szCs w:val="24"/>
        </w:rPr>
        <w:t xml:space="preserve">                  </w:t>
      </w:r>
    </w:p>
    <w:p w14:paraId="6BCE2102" w14:textId="2A9259EC" w:rsidR="00E30ABC" w:rsidRDefault="00AA115C" w:rsidP="00955941">
      <w:pPr>
        <w:spacing w:line="360" w:lineRule="auto"/>
        <w:contextualSpacing/>
        <w:jc w:val="both"/>
        <w:rPr>
          <w:rFonts w:ascii="Arial" w:eastAsia="Calibri" w:hAnsi="Arial" w:cs="Arial"/>
          <w:iCs/>
          <w:sz w:val="24"/>
          <w:szCs w:val="24"/>
        </w:rPr>
      </w:pPr>
      <w:r w:rsidRPr="009C746D">
        <w:rPr>
          <w:rFonts w:ascii="Arial" w:eastAsia="Calibri" w:hAnsi="Arial" w:cs="Arial"/>
          <w:iCs/>
          <w:sz w:val="24"/>
          <w:szCs w:val="24"/>
        </w:rPr>
        <w:t xml:space="preserve">Instructed by                     </w:t>
      </w:r>
      <w:r w:rsidR="00FE3662" w:rsidRPr="009C746D">
        <w:rPr>
          <w:rFonts w:ascii="Arial" w:eastAsia="Calibri" w:hAnsi="Arial" w:cs="Arial"/>
          <w:iCs/>
          <w:sz w:val="24"/>
          <w:szCs w:val="24"/>
        </w:rPr>
        <w:t xml:space="preserve">                        </w:t>
      </w:r>
      <w:r w:rsidR="00E30ABC">
        <w:rPr>
          <w:rFonts w:ascii="Arial" w:eastAsia="Calibri" w:hAnsi="Arial" w:cs="Arial"/>
          <w:iCs/>
          <w:sz w:val="24"/>
          <w:szCs w:val="24"/>
        </w:rPr>
        <w:t>EDWARD NATHAN SONNENBERGS INC</w:t>
      </w:r>
    </w:p>
    <w:p w14:paraId="3DD30083" w14:textId="0ED59DD3" w:rsidR="00FE3662" w:rsidRPr="009C746D" w:rsidRDefault="00E30ABC" w:rsidP="00955941">
      <w:pPr>
        <w:spacing w:line="360" w:lineRule="auto"/>
        <w:contextualSpacing/>
        <w:jc w:val="both"/>
        <w:rPr>
          <w:rFonts w:ascii="Arial" w:eastAsia="Calibri" w:hAnsi="Arial" w:cs="Arial"/>
          <w:iCs/>
          <w:sz w:val="24"/>
          <w:szCs w:val="24"/>
        </w:rPr>
      </w:pPr>
      <w:r>
        <w:rPr>
          <w:rFonts w:ascii="Arial" w:eastAsia="Calibri" w:hAnsi="Arial" w:cs="Arial"/>
          <w:iCs/>
          <w:sz w:val="24"/>
          <w:szCs w:val="24"/>
        </w:rPr>
        <w:tab/>
      </w:r>
      <w:r>
        <w:rPr>
          <w:rFonts w:ascii="Arial" w:eastAsia="Calibri" w:hAnsi="Arial" w:cs="Arial"/>
          <w:iCs/>
          <w:sz w:val="24"/>
          <w:szCs w:val="24"/>
        </w:rPr>
        <w:tab/>
      </w:r>
      <w:r>
        <w:rPr>
          <w:rFonts w:ascii="Arial" w:eastAsia="Calibri" w:hAnsi="Arial" w:cs="Arial"/>
          <w:iCs/>
          <w:sz w:val="24"/>
          <w:szCs w:val="24"/>
        </w:rPr>
        <w:tab/>
      </w:r>
      <w:r>
        <w:rPr>
          <w:rFonts w:ascii="Arial" w:eastAsia="Calibri" w:hAnsi="Arial" w:cs="Arial"/>
          <w:iCs/>
          <w:sz w:val="24"/>
          <w:szCs w:val="24"/>
        </w:rPr>
        <w:tab/>
      </w:r>
      <w:r>
        <w:rPr>
          <w:rFonts w:ascii="Arial" w:eastAsia="Calibri" w:hAnsi="Arial" w:cs="Arial"/>
          <w:iCs/>
          <w:sz w:val="24"/>
          <w:szCs w:val="24"/>
        </w:rPr>
        <w:tab/>
      </w:r>
      <w:r>
        <w:rPr>
          <w:rFonts w:ascii="Arial" w:eastAsia="Calibri" w:hAnsi="Arial" w:cs="Arial"/>
          <w:iCs/>
          <w:sz w:val="24"/>
          <w:szCs w:val="24"/>
        </w:rPr>
        <w:tab/>
        <w:t xml:space="preserve"> c/o </w:t>
      </w:r>
      <w:r w:rsidR="00955941">
        <w:rPr>
          <w:rFonts w:ascii="Arial" w:eastAsia="Calibri" w:hAnsi="Arial" w:cs="Arial"/>
          <w:iCs/>
          <w:sz w:val="24"/>
          <w:szCs w:val="24"/>
        </w:rPr>
        <w:t>GERHARD BOTHA &amp; PARTNERS INC</w:t>
      </w:r>
      <w:r>
        <w:rPr>
          <w:rFonts w:ascii="Arial" w:eastAsia="Calibri" w:hAnsi="Arial" w:cs="Arial"/>
          <w:iCs/>
          <w:sz w:val="24"/>
          <w:szCs w:val="24"/>
        </w:rPr>
        <w:tab/>
      </w:r>
      <w:r w:rsidR="00FE3662" w:rsidRPr="009C746D">
        <w:rPr>
          <w:rFonts w:ascii="Arial" w:eastAsia="Calibri" w:hAnsi="Arial" w:cs="Arial"/>
          <w:iCs/>
          <w:sz w:val="24"/>
          <w:szCs w:val="24"/>
        </w:rPr>
        <w:t xml:space="preserve">   </w:t>
      </w:r>
    </w:p>
    <w:p w14:paraId="62C78325" w14:textId="77777777" w:rsidR="00D9531B" w:rsidRPr="009C746D" w:rsidRDefault="00D9531B" w:rsidP="00A84617">
      <w:pPr>
        <w:spacing w:line="360" w:lineRule="auto"/>
        <w:jc w:val="both"/>
        <w:rPr>
          <w:rFonts w:ascii="Arial" w:eastAsia="Calibri" w:hAnsi="Arial" w:cs="Arial"/>
          <w:iCs/>
          <w:sz w:val="24"/>
          <w:szCs w:val="24"/>
        </w:rPr>
      </w:pPr>
    </w:p>
    <w:p w14:paraId="1AFF0F51" w14:textId="77777777" w:rsidR="00D9531B" w:rsidRPr="009C746D" w:rsidRDefault="00D9531B" w:rsidP="00A84617">
      <w:pPr>
        <w:spacing w:line="360" w:lineRule="auto"/>
        <w:jc w:val="both"/>
        <w:rPr>
          <w:rFonts w:ascii="Arial" w:eastAsia="Calibri" w:hAnsi="Arial" w:cs="Arial"/>
          <w:iCs/>
          <w:sz w:val="24"/>
          <w:szCs w:val="24"/>
        </w:rPr>
      </w:pPr>
    </w:p>
    <w:p w14:paraId="45FB46FB" w14:textId="77777777" w:rsidR="00AA115C" w:rsidRPr="009C746D" w:rsidRDefault="00AA115C" w:rsidP="00A84617">
      <w:pPr>
        <w:spacing w:line="360" w:lineRule="auto"/>
        <w:jc w:val="both"/>
        <w:rPr>
          <w:rFonts w:ascii="Arial" w:eastAsia="Calibri" w:hAnsi="Arial" w:cs="Arial"/>
          <w:iCs/>
          <w:sz w:val="24"/>
          <w:szCs w:val="24"/>
        </w:rPr>
      </w:pPr>
    </w:p>
    <w:p w14:paraId="53DED9A2" w14:textId="77777777" w:rsidR="00AA115C" w:rsidRPr="009C746D" w:rsidRDefault="00AA115C" w:rsidP="00A84617">
      <w:pPr>
        <w:jc w:val="both"/>
      </w:pPr>
    </w:p>
    <w:p w14:paraId="274FFC83" w14:textId="77777777" w:rsidR="00AA115C" w:rsidRPr="009C746D" w:rsidRDefault="00AA115C" w:rsidP="00A84617">
      <w:pPr>
        <w:spacing w:after="0" w:line="240" w:lineRule="auto"/>
        <w:jc w:val="both"/>
        <w:rPr>
          <w:rFonts w:ascii="Times New Roman" w:hAnsi="Times New Roman" w:cs="Times New Roman"/>
          <w:sz w:val="28"/>
          <w:szCs w:val="28"/>
        </w:rPr>
      </w:pPr>
    </w:p>
    <w:sectPr w:rsidR="00AA115C" w:rsidRPr="009C746D" w:rsidSect="003B26FC">
      <w:headerReference w:type="defaul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F1EF82" w14:textId="77777777" w:rsidR="00126560" w:rsidRDefault="00126560" w:rsidP="001F6D57">
      <w:pPr>
        <w:spacing w:after="0" w:line="240" w:lineRule="auto"/>
      </w:pPr>
      <w:r>
        <w:separator/>
      </w:r>
    </w:p>
  </w:endnote>
  <w:endnote w:type="continuationSeparator" w:id="0">
    <w:p w14:paraId="2CF918A8" w14:textId="77777777" w:rsidR="00126560" w:rsidRDefault="00126560" w:rsidP="001F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28152B" w14:textId="77777777" w:rsidR="00126560" w:rsidRDefault="00126560" w:rsidP="001F6D57">
      <w:pPr>
        <w:spacing w:after="0" w:line="240" w:lineRule="auto"/>
      </w:pPr>
      <w:r>
        <w:separator/>
      </w:r>
    </w:p>
  </w:footnote>
  <w:footnote w:type="continuationSeparator" w:id="0">
    <w:p w14:paraId="1335FA45" w14:textId="77777777" w:rsidR="00126560" w:rsidRDefault="00126560" w:rsidP="001F6D57">
      <w:pPr>
        <w:spacing w:after="0" w:line="240" w:lineRule="auto"/>
      </w:pPr>
      <w:r>
        <w:continuationSeparator/>
      </w:r>
    </w:p>
  </w:footnote>
  <w:footnote w:id="1">
    <w:p w14:paraId="19D128E9" w14:textId="15D94EDD" w:rsidR="009C746D" w:rsidRPr="00586694" w:rsidRDefault="009C746D" w:rsidP="008A6957">
      <w:pPr>
        <w:pStyle w:val="FootnoteText"/>
        <w:ind w:left="567" w:hanging="567"/>
        <w:rPr>
          <w:rFonts w:cstheme="minorHAnsi"/>
          <w:lang w:val="en-US"/>
        </w:rPr>
      </w:pPr>
      <w:r w:rsidRPr="00586694">
        <w:rPr>
          <w:rStyle w:val="FootnoteReference"/>
          <w:rFonts w:cstheme="minorHAnsi"/>
        </w:rPr>
        <w:footnoteRef/>
      </w:r>
      <w:r w:rsidRPr="00586694">
        <w:rPr>
          <w:rFonts w:cstheme="minorHAnsi"/>
        </w:rPr>
        <w:t xml:space="preserve"> </w:t>
      </w:r>
      <w:r w:rsidR="008A6957" w:rsidRPr="00586694">
        <w:rPr>
          <w:rFonts w:cstheme="minorHAnsi"/>
          <w:sz w:val="18"/>
          <w:szCs w:val="18"/>
        </w:rPr>
        <w:tab/>
      </w:r>
      <w:r w:rsidRPr="00586694">
        <w:rPr>
          <w:rFonts w:cstheme="minorHAnsi"/>
          <w:lang w:val="en-US"/>
        </w:rPr>
        <w:t>[1998] JOL 4158 (CC) at paragragh12.</w:t>
      </w:r>
    </w:p>
  </w:footnote>
  <w:footnote w:id="2">
    <w:p w14:paraId="081B3DE0" w14:textId="4CB32271" w:rsidR="009C746D" w:rsidRPr="00586694" w:rsidRDefault="009C746D" w:rsidP="008A6957">
      <w:pPr>
        <w:pStyle w:val="FootnoteText"/>
        <w:ind w:left="567" w:hanging="567"/>
        <w:rPr>
          <w:rFonts w:cstheme="minorHAnsi"/>
          <w:lang w:val="en-US"/>
        </w:rPr>
      </w:pPr>
      <w:r w:rsidRPr="00586694">
        <w:rPr>
          <w:rStyle w:val="FootnoteReference"/>
          <w:rFonts w:cstheme="minorHAnsi"/>
        </w:rPr>
        <w:footnoteRef/>
      </w:r>
      <w:r w:rsidRPr="00586694">
        <w:rPr>
          <w:rFonts w:cstheme="minorHAnsi"/>
        </w:rPr>
        <w:t xml:space="preserve"> </w:t>
      </w:r>
      <w:r w:rsidR="008A6957" w:rsidRPr="00586694">
        <w:rPr>
          <w:rFonts w:cstheme="minorHAnsi"/>
        </w:rPr>
        <w:tab/>
      </w:r>
      <w:r w:rsidRPr="00586694">
        <w:rPr>
          <w:rFonts w:cstheme="minorHAnsi"/>
          <w:lang w:val="en-US"/>
        </w:rPr>
        <w:t>Paragraphs 14 and 15.</w:t>
      </w:r>
    </w:p>
  </w:footnote>
  <w:footnote w:id="3">
    <w:p w14:paraId="18217BF1" w14:textId="0F3D1EB2" w:rsidR="009C746D" w:rsidRPr="00586694" w:rsidRDefault="009C746D" w:rsidP="008A6957">
      <w:pPr>
        <w:pStyle w:val="FootnoteText"/>
        <w:ind w:left="567" w:hanging="567"/>
        <w:rPr>
          <w:rFonts w:cstheme="minorHAnsi"/>
          <w:lang w:val="en-US"/>
        </w:rPr>
      </w:pPr>
      <w:r w:rsidRPr="00586694">
        <w:rPr>
          <w:rStyle w:val="FootnoteReference"/>
          <w:rFonts w:cstheme="minorHAnsi"/>
        </w:rPr>
        <w:footnoteRef/>
      </w:r>
      <w:r w:rsidRPr="00586694">
        <w:rPr>
          <w:rFonts w:cstheme="minorHAnsi"/>
        </w:rPr>
        <w:t xml:space="preserve"> </w:t>
      </w:r>
      <w:r w:rsidR="008A6957" w:rsidRPr="00586694">
        <w:rPr>
          <w:rFonts w:cstheme="minorHAnsi"/>
        </w:rPr>
        <w:tab/>
      </w:r>
      <w:r w:rsidRPr="00586694">
        <w:rPr>
          <w:rFonts w:cstheme="minorHAnsi"/>
          <w:lang w:val="en-US"/>
        </w:rPr>
        <w:t>Paragraph 30.</w:t>
      </w:r>
    </w:p>
  </w:footnote>
  <w:footnote w:id="4">
    <w:p w14:paraId="579C7D8E" w14:textId="36CF5DBE" w:rsidR="009C746D" w:rsidRPr="00586694" w:rsidRDefault="009C746D" w:rsidP="008A6957">
      <w:pPr>
        <w:pStyle w:val="FootnoteText"/>
        <w:ind w:left="567" w:hanging="567"/>
        <w:rPr>
          <w:rFonts w:cstheme="minorHAnsi"/>
          <w:lang w:val="en-US"/>
        </w:rPr>
      </w:pPr>
      <w:r w:rsidRPr="00586694">
        <w:rPr>
          <w:rStyle w:val="FootnoteReference"/>
          <w:rFonts w:cstheme="minorHAnsi"/>
        </w:rPr>
        <w:footnoteRef/>
      </w:r>
      <w:r w:rsidRPr="00586694">
        <w:rPr>
          <w:rFonts w:cstheme="minorHAnsi"/>
        </w:rPr>
        <w:t xml:space="preserve"> </w:t>
      </w:r>
      <w:r w:rsidR="008A6957" w:rsidRPr="00586694">
        <w:rPr>
          <w:rFonts w:cstheme="minorHAnsi"/>
        </w:rPr>
        <w:tab/>
      </w:r>
      <w:r w:rsidRPr="00586694">
        <w:rPr>
          <w:rFonts w:cstheme="minorHAnsi"/>
          <w:lang w:val="en-US"/>
        </w:rPr>
        <w:t>2011 (3) SA 237 (CC).</w:t>
      </w:r>
    </w:p>
  </w:footnote>
  <w:footnote w:id="5">
    <w:p w14:paraId="2989827C" w14:textId="4E0B8E83" w:rsidR="009C746D" w:rsidRPr="00FE27D1" w:rsidRDefault="009C746D" w:rsidP="00586694">
      <w:pPr>
        <w:pStyle w:val="FootnoteText"/>
        <w:ind w:left="567" w:hanging="567"/>
        <w:rPr>
          <w:lang w:val="en-US"/>
        </w:rPr>
      </w:pPr>
      <w:r>
        <w:rPr>
          <w:rStyle w:val="FootnoteReference"/>
        </w:rPr>
        <w:footnoteRef/>
      </w:r>
      <w:r>
        <w:t xml:space="preserve"> </w:t>
      </w:r>
      <w:r w:rsidR="00586694">
        <w:tab/>
      </w:r>
      <w:r>
        <w:rPr>
          <w:lang w:val="en-US"/>
        </w:rPr>
        <w:t>Paragraph 14.</w:t>
      </w:r>
    </w:p>
  </w:footnote>
  <w:footnote w:id="6">
    <w:p w14:paraId="1B5F96FB" w14:textId="2C671540" w:rsidR="009C746D" w:rsidRPr="00BF24F7" w:rsidRDefault="009C746D" w:rsidP="00586694">
      <w:pPr>
        <w:pStyle w:val="FootnoteText"/>
        <w:ind w:left="567" w:hanging="567"/>
        <w:rPr>
          <w:lang w:val="en-US"/>
        </w:rPr>
      </w:pPr>
      <w:r>
        <w:rPr>
          <w:rStyle w:val="FootnoteReference"/>
        </w:rPr>
        <w:footnoteRef/>
      </w:r>
      <w:r>
        <w:t xml:space="preserve"> </w:t>
      </w:r>
      <w:r w:rsidR="00586694">
        <w:tab/>
      </w:r>
      <w:r>
        <w:rPr>
          <w:lang w:val="en-US"/>
        </w:rPr>
        <w:t>2016 (1) SA 103 (CC), see also Plaintiff’s heads of argument, paragraph 17.</w:t>
      </w:r>
    </w:p>
  </w:footnote>
  <w:footnote w:id="7">
    <w:p w14:paraId="3D2FDD0C" w14:textId="626B7FEC" w:rsidR="009C746D" w:rsidRPr="006F0F02" w:rsidRDefault="009C746D" w:rsidP="009178B8">
      <w:pPr>
        <w:pStyle w:val="FootnoteText"/>
        <w:ind w:left="567" w:hanging="567"/>
        <w:rPr>
          <w:lang w:val="en-US"/>
        </w:rPr>
      </w:pPr>
      <w:r>
        <w:rPr>
          <w:rStyle w:val="FootnoteReference"/>
        </w:rPr>
        <w:footnoteRef/>
      </w:r>
      <w:r>
        <w:t xml:space="preserve"> </w:t>
      </w:r>
      <w:r w:rsidR="009178B8">
        <w:tab/>
      </w:r>
      <w:r>
        <w:rPr>
          <w:lang w:val="en-US"/>
        </w:rPr>
        <w:t>Plaintiff’s particulars of claim, paragraph 13(b).</w:t>
      </w:r>
    </w:p>
  </w:footnote>
  <w:footnote w:id="8">
    <w:p w14:paraId="703FE23C" w14:textId="51176E0E" w:rsidR="009C746D" w:rsidRPr="006F0F02" w:rsidRDefault="009C746D" w:rsidP="009178B8">
      <w:pPr>
        <w:pStyle w:val="FootnoteText"/>
        <w:ind w:left="567" w:hanging="567"/>
        <w:rPr>
          <w:lang w:val="en-US"/>
        </w:rPr>
      </w:pPr>
      <w:r>
        <w:rPr>
          <w:rStyle w:val="FootnoteReference"/>
        </w:rPr>
        <w:footnoteRef/>
      </w:r>
      <w:r>
        <w:t xml:space="preserve"> </w:t>
      </w:r>
      <w:r w:rsidR="009178B8">
        <w:tab/>
      </w:r>
      <w:r>
        <w:rPr>
          <w:lang w:val="en-US"/>
        </w:rPr>
        <w:t>Plaintiff’s particulars of claim, paragraph 13(c).</w:t>
      </w:r>
    </w:p>
  </w:footnote>
  <w:footnote w:id="9">
    <w:p w14:paraId="5DD6FF92" w14:textId="0AE5E974" w:rsidR="009C746D" w:rsidRPr="006F0F02" w:rsidRDefault="009C746D" w:rsidP="009178B8">
      <w:pPr>
        <w:pStyle w:val="FootnoteText"/>
        <w:ind w:left="567" w:hanging="567"/>
        <w:rPr>
          <w:lang w:val="en-US"/>
        </w:rPr>
      </w:pPr>
      <w:r>
        <w:rPr>
          <w:rStyle w:val="FootnoteReference"/>
        </w:rPr>
        <w:footnoteRef/>
      </w:r>
      <w:r>
        <w:t xml:space="preserve"> </w:t>
      </w:r>
      <w:r w:rsidR="009178B8">
        <w:tab/>
      </w:r>
      <w:r>
        <w:rPr>
          <w:lang w:val="en-US"/>
        </w:rPr>
        <w:t>Plaintiff’s particulars of claim, paragraph 13(d).</w:t>
      </w:r>
    </w:p>
  </w:footnote>
  <w:footnote w:id="10">
    <w:p w14:paraId="1C1773E9" w14:textId="3139BCDE" w:rsidR="009C746D" w:rsidRPr="00C23D9A" w:rsidRDefault="009C746D" w:rsidP="009178B8">
      <w:pPr>
        <w:pStyle w:val="FootnoteText"/>
        <w:ind w:left="567" w:hanging="567"/>
        <w:rPr>
          <w:lang w:val="en-US"/>
        </w:rPr>
      </w:pPr>
      <w:r>
        <w:rPr>
          <w:rStyle w:val="FootnoteReference"/>
        </w:rPr>
        <w:footnoteRef/>
      </w:r>
      <w:r>
        <w:t xml:space="preserve"> </w:t>
      </w:r>
      <w:r w:rsidR="009178B8">
        <w:tab/>
      </w:r>
      <w:r w:rsidRPr="00ED064F">
        <w:rPr>
          <w:lang w:val="en-US"/>
        </w:rPr>
        <w:t>Skorbinski v Deon Beyers Bezuidenhout t/a DB Transport</w:t>
      </w:r>
      <w:r>
        <w:rPr>
          <w:lang w:val="en-US"/>
        </w:rPr>
        <w:t xml:space="preserve"> [2010] JOL 25099 (ECP).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0822081"/>
      <w:docPartObj>
        <w:docPartGallery w:val="Page Numbers (Top of Page)"/>
        <w:docPartUnique/>
      </w:docPartObj>
    </w:sdtPr>
    <w:sdtContent>
      <w:p w14:paraId="07E826DE" w14:textId="77777777" w:rsidR="00D44DAD" w:rsidRDefault="00D44DAD">
        <w:pPr>
          <w:pStyle w:val="Header"/>
          <w:jc w:val="right"/>
        </w:pPr>
        <w:r>
          <w:fldChar w:fldCharType="begin"/>
        </w:r>
        <w:r>
          <w:instrText xml:space="preserve"> PAGE   \* MERGEFORMAT </w:instrText>
        </w:r>
        <w:r>
          <w:fldChar w:fldCharType="separate"/>
        </w:r>
        <w:r w:rsidR="000B7102">
          <w:rPr>
            <w:noProof/>
          </w:rPr>
          <w:t>5</w:t>
        </w:r>
        <w:r>
          <w:rPr>
            <w:noProof/>
          </w:rPr>
          <w:fldChar w:fldCharType="end"/>
        </w:r>
      </w:p>
    </w:sdtContent>
  </w:sdt>
  <w:p w14:paraId="7027B4E3" w14:textId="77777777" w:rsidR="00D44DAD" w:rsidRDefault="00D44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76C2A9E"/>
    <w:lvl w:ilvl="0">
      <w:start w:val="1"/>
      <w:numFmt w:val="bullet"/>
      <w:pStyle w:val="ListBullet5"/>
      <w:lvlText w:val=""/>
      <w:lvlJc w:val="left"/>
      <w:pPr>
        <w:ind w:left="1800" w:hanging="360"/>
      </w:pPr>
      <w:rPr>
        <w:rFonts w:ascii="Wingdings" w:hAnsi="Wingdings" w:hint="default"/>
      </w:rPr>
    </w:lvl>
  </w:abstractNum>
  <w:abstractNum w:abstractNumId="1" w15:restartNumberingAfterBreak="0">
    <w:nsid w:val="FFFFFF83"/>
    <w:multiLevelType w:val="singleLevel"/>
    <w:tmpl w:val="E2847074"/>
    <w:lvl w:ilvl="0">
      <w:start w:val="1"/>
      <w:numFmt w:val="bullet"/>
      <w:pStyle w:val="ListBullet2"/>
      <w:lvlText w:val=""/>
      <w:lvlJc w:val="left"/>
      <w:pPr>
        <w:ind w:left="720" w:hanging="360"/>
      </w:pPr>
      <w:rPr>
        <w:rFonts w:ascii="Wingdings" w:hAnsi="Wingdings" w:hint="default"/>
      </w:rPr>
    </w:lvl>
  </w:abstractNum>
  <w:abstractNum w:abstractNumId="2" w15:restartNumberingAfterBreak="0">
    <w:nsid w:val="FFFFFF88"/>
    <w:multiLevelType w:val="singleLevel"/>
    <w:tmpl w:val="B882C3C2"/>
    <w:lvl w:ilvl="0">
      <w:start w:val="1"/>
      <w:numFmt w:val="decimal"/>
      <w:pStyle w:val="ListNumber"/>
      <w:lvlText w:val="%1."/>
      <w:lvlJc w:val="left"/>
      <w:pPr>
        <w:tabs>
          <w:tab w:val="num" w:pos="360"/>
        </w:tabs>
        <w:ind w:left="360" w:hanging="36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4" w15:restartNumberingAfterBreak="0">
    <w:nsid w:val="1C5F31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4348E3"/>
    <w:multiLevelType w:val="multilevel"/>
    <w:tmpl w:val="E1BA3CAA"/>
    <w:lvl w:ilvl="0">
      <w:start w:val="1"/>
      <w:numFmt w:val="decimal"/>
      <w:lvlText w:val="[%1]"/>
      <w:lvlJc w:val="left"/>
      <w:pPr>
        <w:ind w:left="851" w:hanging="851"/>
      </w:pPr>
      <w:rPr>
        <w:rFonts w:hint="default"/>
        <w:b w:val="0"/>
        <w:bCs/>
      </w:rPr>
    </w:lvl>
    <w:lvl w:ilvl="1">
      <w:start w:val="1"/>
      <w:numFmt w:val="decimal"/>
      <w:lvlText w:val="[%1.%2]"/>
      <w:lvlJc w:val="left"/>
      <w:pPr>
        <w:ind w:left="1701" w:hanging="850"/>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305038"/>
    <w:multiLevelType w:val="hybridMultilevel"/>
    <w:tmpl w:val="C35E78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EC32EAB"/>
    <w:multiLevelType w:val="multilevel"/>
    <w:tmpl w:val="1B3084C0"/>
    <w:lvl w:ilvl="0">
      <w:start w:val="1"/>
      <w:numFmt w:val="decimal"/>
      <w:pStyle w:val="1"/>
      <w:lvlText w:val="[%1]"/>
      <w:lvlJc w:val="left"/>
      <w:pPr>
        <w:tabs>
          <w:tab w:val="num" w:pos="567"/>
        </w:tabs>
        <w:ind w:left="567" w:hanging="567"/>
      </w:pPr>
      <w:rPr>
        <w:rFonts w:hint="default"/>
        <w:b w:val="0"/>
        <w:i w:val="0"/>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1702"/>
        </w:tabs>
        <w:ind w:left="170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B42E09"/>
    <w:multiLevelType w:val="hybridMultilevel"/>
    <w:tmpl w:val="15305320"/>
    <w:lvl w:ilvl="0" w:tplc="038C85E0">
      <w:start w:val="1"/>
      <w:numFmt w:val="decimal"/>
      <w:pStyle w:val="Heading2"/>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5BF2AED"/>
    <w:multiLevelType w:val="hybridMultilevel"/>
    <w:tmpl w:val="E01408EC"/>
    <w:lvl w:ilvl="0" w:tplc="94726AAC">
      <w:start w:val="1"/>
      <w:numFmt w:val="decimal"/>
      <w:lvlText w:val="%1."/>
      <w:lvlJc w:val="left"/>
      <w:pPr>
        <w:ind w:left="720" w:hanging="360"/>
      </w:pPr>
      <w:rPr>
        <w:rFonts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8464F9"/>
    <w:multiLevelType w:val="multilevel"/>
    <w:tmpl w:val="42482160"/>
    <w:lvl w:ilvl="0">
      <w:start w:val="1"/>
      <w:numFmt w:val="decimal"/>
      <w:lvlText w:val="[%1]"/>
      <w:lvlJc w:val="left"/>
      <w:pPr>
        <w:ind w:left="851" w:hanging="851"/>
      </w:pPr>
      <w:rPr>
        <w:rFonts w:hint="default"/>
      </w:rPr>
    </w:lvl>
    <w:lvl w:ilvl="1">
      <w:start w:val="1"/>
      <w:numFmt w:val="decimal"/>
      <w:lvlText w:val="[%1.%2]"/>
      <w:lvlJc w:val="left"/>
      <w:pPr>
        <w:tabs>
          <w:tab w:val="num" w:pos="851"/>
        </w:tabs>
        <w:ind w:left="1701" w:hanging="850"/>
      </w:pPr>
      <w:rPr>
        <w:rFonts w:hint="default"/>
      </w:rPr>
    </w:lvl>
    <w:lvl w:ilvl="2">
      <w:start w:val="1"/>
      <w:numFmt w:val="decimal"/>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0320A3"/>
    <w:multiLevelType w:val="hybridMultilevel"/>
    <w:tmpl w:val="78780732"/>
    <w:lvl w:ilvl="0" w:tplc="448AD1EA">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4EA30024"/>
    <w:multiLevelType w:val="hybridMultilevel"/>
    <w:tmpl w:val="D7A0CE3C"/>
    <w:lvl w:ilvl="0" w:tplc="03E6EAEA">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587E15EA"/>
    <w:multiLevelType w:val="hybridMultilevel"/>
    <w:tmpl w:val="AE744AD4"/>
    <w:lvl w:ilvl="0" w:tplc="04360001">
      <w:start w:val="1"/>
      <w:numFmt w:val="bullet"/>
      <w:lvlText w:val=""/>
      <w:lvlJc w:val="left"/>
      <w:pPr>
        <w:ind w:left="2988" w:hanging="360"/>
      </w:pPr>
      <w:rPr>
        <w:rFonts w:ascii="Symbol" w:hAnsi="Symbol" w:hint="default"/>
      </w:rPr>
    </w:lvl>
    <w:lvl w:ilvl="1" w:tplc="04360003" w:tentative="1">
      <w:start w:val="1"/>
      <w:numFmt w:val="bullet"/>
      <w:lvlText w:val="o"/>
      <w:lvlJc w:val="left"/>
      <w:pPr>
        <w:ind w:left="3708" w:hanging="360"/>
      </w:pPr>
      <w:rPr>
        <w:rFonts w:ascii="Courier New" w:hAnsi="Courier New" w:cs="Courier New" w:hint="default"/>
      </w:rPr>
    </w:lvl>
    <w:lvl w:ilvl="2" w:tplc="04360005" w:tentative="1">
      <w:start w:val="1"/>
      <w:numFmt w:val="bullet"/>
      <w:lvlText w:val=""/>
      <w:lvlJc w:val="left"/>
      <w:pPr>
        <w:ind w:left="4428" w:hanging="360"/>
      </w:pPr>
      <w:rPr>
        <w:rFonts w:ascii="Wingdings" w:hAnsi="Wingdings" w:hint="default"/>
      </w:rPr>
    </w:lvl>
    <w:lvl w:ilvl="3" w:tplc="04360001" w:tentative="1">
      <w:start w:val="1"/>
      <w:numFmt w:val="bullet"/>
      <w:lvlText w:val=""/>
      <w:lvlJc w:val="left"/>
      <w:pPr>
        <w:ind w:left="5148" w:hanging="360"/>
      </w:pPr>
      <w:rPr>
        <w:rFonts w:ascii="Symbol" w:hAnsi="Symbol" w:hint="default"/>
      </w:rPr>
    </w:lvl>
    <w:lvl w:ilvl="4" w:tplc="04360003" w:tentative="1">
      <w:start w:val="1"/>
      <w:numFmt w:val="bullet"/>
      <w:lvlText w:val="o"/>
      <w:lvlJc w:val="left"/>
      <w:pPr>
        <w:ind w:left="5868" w:hanging="360"/>
      </w:pPr>
      <w:rPr>
        <w:rFonts w:ascii="Courier New" w:hAnsi="Courier New" w:cs="Courier New" w:hint="default"/>
      </w:rPr>
    </w:lvl>
    <w:lvl w:ilvl="5" w:tplc="04360005" w:tentative="1">
      <w:start w:val="1"/>
      <w:numFmt w:val="bullet"/>
      <w:lvlText w:val=""/>
      <w:lvlJc w:val="left"/>
      <w:pPr>
        <w:ind w:left="6588" w:hanging="360"/>
      </w:pPr>
      <w:rPr>
        <w:rFonts w:ascii="Wingdings" w:hAnsi="Wingdings" w:hint="default"/>
      </w:rPr>
    </w:lvl>
    <w:lvl w:ilvl="6" w:tplc="04360001" w:tentative="1">
      <w:start w:val="1"/>
      <w:numFmt w:val="bullet"/>
      <w:lvlText w:val=""/>
      <w:lvlJc w:val="left"/>
      <w:pPr>
        <w:ind w:left="7308" w:hanging="360"/>
      </w:pPr>
      <w:rPr>
        <w:rFonts w:ascii="Symbol" w:hAnsi="Symbol" w:hint="default"/>
      </w:rPr>
    </w:lvl>
    <w:lvl w:ilvl="7" w:tplc="04360003" w:tentative="1">
      <w:start w:val="1"/>
      <w:numFmt w:val="bullet"/>
      <w:lvlText w:val="o"/>
      <w:lvlJc w:val="left"/>
      <w:pPr>
        <w:ind w:left="8028" w:hanging="360"/>
      </w:pPr>
      <w:rPr>
        <w:rFonts w:ascii="Courier New" w:hAnsi="Courier New" w:cs="Courier New" w:hint="default"/>
      </w:rPr>
    </w:lvl>
    <w:lvl w:ilvl="8" w:tplc="04360005" w:tentative="1">
      <w:start w:val="1"/>
      <w:numFmt w:val="bullet"/>
      <w:lvlText w:val=""/>
      <w:lvlJc w:val="left"/>
      <w:pPr>
        <w:ind w:left="8748" w:hanging="360"/>
      </w:pPr>
      <w:rPr>
        <w:rFonts w:ascii="Wingdings" w:hAnsi="Wingdings" w:hint="default"/>
      </w:rPr>
    </w:lvl>
  </w:abstractNum>
  <w:abstractNum w:abstractNumId="15" w15:restartNumberingAfterBreak="0">
    <w:nsid w:val="676D0AE5"/>
    <w:multiLevelType w:val="hybridMultilevel"/>
    <w:tmpl w:val="4460941E"/>
    <w:lvl w:ilvl="0" w:tplc="CF50EF2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6" w15:restartNumberingAfterBreak="0">
    <w:nsid w:val="72656A02"/>
    <w:multiLevelType w:val="hybridMultilevel"/>
    <w:tmpl w:val="4514771A"/>
    <w:lvl w:ilvl="0" w:tplc="F82079C0">
      <w:start w:val="1"/>
      <w:numFmt w:val="lowerLetter"/>
      <w:lvlText w:val="(%1)"/>
      <w:lvlJc w:val="left"/>
      <w:pPr>
        <w:ind w:left="3567" w:hanging="360"/>
      </w:pPr>
      <w:rPr>
        <w:rFonts w:hint="default"/>
      </w:r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17" w15:restartNumberingAfterBreak="0">
    <w:nsid w:val="73E733F4"/>
    <w:multiLevelType w:val="hybridMultilevel"/>
    <w:tmpl w:val="C4940FA2"/>
    <w:lvl w:ilvl="0" w:tplc="3F807556">
      <w:start w:val="1"/>
      <w:numFmt w:val="decimal"/>
      <w:lvlText w:val="%1."/>
      <w:lvlJc w:val="left"/>
      <w:pPr>
        <w:ind w:left="720" w:hanging="360"/>
      </w:pPr>
      <w:rPr>
        <w:rFonts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9267496"/>
    <w:multiLevelType w:val="multilevel"/>
    <w:tmpl w:val="709CA59E"/>
    <w:lvl w:ilvl="0">
      <w:start w:val="1"/>
      <w:numFmt w:val="decimal"/>
      <w:lvlText w:val="[%1]"/>
      <w:lvlJc w:val="left"/>
      <w:pPr>
        <w:ind w:left="360" w:hanging="360"/>
      </w:pPr>
      <w:rPr>
        <w:rFonts w:hint="default"/>
        <w:b w:val="0"/>
      </w:rPr>
    </w:lvl>
    <w:lvl w:ilvl="1">
      <w:start w:val="1"/>
      <w:numFmt w:val="none"/>
      <w:lvlText w:val="1.1"/>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DAA42FE"/>
    <w:multiLevelType w:val="hybridMultilevel"/>
    <w:tmpl w:val="A59611EE"/>
    <w:lvl w:ilvl="0" w:tplc="A9F4A1A6">
      <w:start w:val="1"/>
      <w:numFmt w:val="decimal"/>
      <w:pStyle w:val="StyleHeading2Left063cmFirstline0cm"/>
      <w:lvlText w:val="%1.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356123372">
    <w:abstractNumId w:val="9"/>
  </w:num>
  <w:num w:numId="2" w16cid:durableId="1514345959">
    <w:abstractNumId w:val="9"/>
  </w:num>
  <w:num w:numId="3" w16cid:durableId="720981986">
    <w:abstractNumId w:val="9"/>
  </w:num>
  <w:num w:numId="4" w16cid:durableId="1738937316">
    <w:abstractNumId w:val="19"/>
  </w:num>
  <w:num w:numId="5" w16cid:durableId="587615496">
    <w:abstractNumId w:val="1"/>
  </w:num>
  <w:num w:numId="6" w16cid:durableId="1599945063">
    <w:abstractNumId w:val="1"/>
  </w:num>
  <w:num w:numId="7" w16cid:durableId="1712723615">
    <w:abstractNumId w:val="0"/>
  </w:num>
  <w:num w:numId="8" w16cid:durableId="564493666">
    <w:abstractNumId w:val="0"/>
  </w:num>
  <w:num w:numId="9" w16cid:durableId="1384518299">
    <w:abstractNumId w:val="2"/>
  </w:num>
  <w:num w:numId="10" w16cid:durableId="1275599350">
    <w:abstractNumId w:val="2"/>
  </w:num>
  <w:num w:numId="11" w16cid:durableId="837378915">
    <w:abstractNumId w:val="7"/>
  </w:num>
  <w:num w:numId="12" w16cid:durableId="18250466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3315344">
    <w:abstractNumId w:val="6"/>
  </w:num>
  <w:num w:numId="14" w16cid:durableId="600141094">
    <w:abstractNumId w:val="10"/>
  </w:num>
  <w:num w:numId="15" w16cid:durableId="1879967595">
    <w:abstractNumId w:val="17"/>
  </w:num>
  <w:num w:numId="16" w16cid:durableId="627786277">
    <w:abstractNumId w:val="8"/>
  </w:num>
  <w:num w:numId="17" w16cid:durableId="2052417577">
    <w:abstractNumId w:val="4"/>
  </w:num>
  <w:num w:numId="18" w16cid:durableId="1852648657">
    <w:abstractNumId w:val="18"/>
  </w:num>
  <w:num w:numId="19" w16cid:durableId="148524059">
    <w:abstractNumId w:val="5"/>
  </w:num>
  <w:num w:numId="20" w16cid:durableId="1687710881">
    <w:abstractNumId w:val="15"/>
  </w:num>
  <w:num w:numId="21" w16cid:durableId="2027099141">
    <w:abstractNumId w:val="12"/>
  </w:num>
  <w:num w:numId="22" w16cid:durableId="606817414">
    <w:abstractNumId w:val="16"/>
  </w:num>
  <w:num w:numId="23" w16cid:durableId="1621762177">
    <w:abstractNumId w:val="13"/>
  </w:num>
  <w:num w:numId="24" w16cid:durableId="1021056576">
    <w:abstractNumId w:val="14"/>
  </w:num>
  <w:num w:numId="25" w16cid:durableId="1938128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731"/>
    <w:rsid w:val="0000104B"/>
    <w:rsid w:val="000019FB"/>
    <w:rsid w:val="000021CB"/>
    <w:rsid w:val="00002863"/>
    <w:rsid w:val="00003065"/>
    <w:rsid w:val="000032DD"/>
    <w:rsid w:val="00005BFB"/>
    <w:rsid w:val="00006106"/>
    <w:rsid w:val="000067A8"/>
    <w:rsid w:val="00011034"/>
    <w:rsid w:val="00012804"/>
    <w:rsid w:val="00015037"/>
    <w:rsid w:val="00015891"/>
    <w:rsid w:val="000161C7"/>
    <w:rsid w:val="00017D53"/>
    <w:rsid w:val="000218DF"/>
    <w:rsid w:val="00021B8A"/>
    <w:rsid w:val="00023AEC"/>
    <w:rsid w:val="0002496C"/>
    <w:rsid w:val="00025B94"/>
    <w:rsid w:val="0002687E"/>
    <w:rsid w:val="000350FC"/>
    <w:rsid w:val="000371DD"/>
    <w:rsid w:val="00040D92"/>
    <w:rsid w:val="00043C42"/>
    <w:rsid w:val="0004440F"/>
    <w:rsid w:val="00044B60"/>
    <w:rsid w:val="00045816"/>
    <w:rsid w:val="00046955"/>
    <w:rsid w:val="00047F17"/>
    <w:rsid w:val="00051E03"/>
    <w:rsid w:val="00052FC4"/>
    <w:rsid w:val="000549F8"/>
    <w:rsid w:val="00056DEE"/>
    <w:rsid w:val="000577C3"/>
    <w:rsid w:val="000619AF"/>
    <w:rsid w:val="00062E90"/>
    <w:rsid w:val="000635D4"/>
    <w:rsid w:val="000644DF"/>
    <w:rsid w:val="000743C3"/>
    <w:rsid w:val="0007451A"/>
    <w:rsid w:val="0007638A"/>
    <w:rsid w:val="00077AF1"/>
    <w:rsid w:val="00077F3F"/>
    <w:rsid w:val="00082768"/>
    <w:rsid w:val="0008382E"/>
    <w:rsid w:val="000841DB"/>
    <w:rsid w:val="00085F81"/>
    <w:rsid w:val="000902DC"/>
    <w:rsid w:val="000936A0"/>
    <w:rsid w:val="000952A1"/>
    <w:rsid w:val="000A0B84"/>
    <w:rsid w:val="000A2878"/>
    <w:rsid w:val="000A429D"/>
    <w:rsid w:val="000A7BD6"/>
    <w:rsid w:val="000A7E09"/>
    <w:rsid w:val="000B045F"/>
    <w:rsid w:val="000B0D35"/>
    <w:rsid w:val="000B2790"/>
    <w:rsid w:val="000B3D5E"/>
    <w:rsid w:val="000B45AF"/>
    <w:rsid w:val="000B6338"/>
    <w:rsid w:val="000B6E82"/>
    <w:rsid w:val="000B7046"/>
    <w:rsid w:val="000B7102"/>
    <w:rsid w:val="000B77B3"/>
    <w:rsid w:val="000B79A4"/>
    <w:rsid w:val="000C229E"/>
    <w:rsid w:val="000C273B"/>
    <w:rsid w:val="000C5345"/>
    <w:rsid w:val="000C780B"/>
    <w:rsid w:val="000C7C01"/>
    <w:rsid w:val="000D7B46"/>
    <w:rsid w:val="000D7C86"/>
    <w:rsid w:val="000E00AA"/>
    <w:rsid w:val="000E0B58"/>
    <w:rsid w:val="000E273D"/>
    <w:rsid w:val="000E5428"/>
    <w:rsid w:val="000E54B1"/>
    <w:rsid w:val="000F0E34"/>
    <w:rsid w:val="000F1090"/>
    <w:rsid w:val="000F491D"/>
    <w:rsid w:val="000F4EC6"/>
    <w:rsid w:val="00104C43"/>
    <w:rsid w:val="001064F9"/>
    <w:rsid w:val="00107C89"/>
    <w:rsid w:val="00111074"/>
    <w:rsid w:val="0011389A"/>
    <w:rsid w:val="00113C8C"/>
    <w:rsid w:val="00115586"/>
    <w:rsid w:val="001158EF"/>
    <w:rsid w:val="00115CFC"/>
    <w:rsid w:val="001164EF"/>
    <w:rsid w:val="00117FEE"/>
    <w:rsid w:val="0012634F"/>
    <w:rsid w:val="00126560"/>
    <w:rsid w:val="00130493"/>
    <w:rsid w:val="001308B2"/>
    <w:rsid w:val="00130DA1"/>
    <w:rsid w:val="00133AC5"/>
    <w:rsid w:val="0013598D"/>
    <w:rsid w:val="00135B0A"/>
    <w:rsid w:val="001375A9"/>
    <w:rsid w:val="001376E8"/>
    <w:rsid w:val="00141F12"/>
    <w:rsid w:val="00143689"/>
    <w:rsid w:val="001444DD"/>
    <w:rsid w:val="001445E9"/>
    <w:rsid w:val="00145EEB"/>
    <w:rsid w:val="001463B6"/>
    <w:rsid w:val="00150017"/>
    <w:rsid w:val="00153B98"/>
    <w:rsid w:val="0015722A"/>
    <w:rsid w:val="001622E4"/>
    <w:rsid w:val="00162305"/>
    <w:rsid w:val="0016275D"/>
    <w:rsid w:val="00163F17"/>
    <w:rsid w:val="00170F87"/>
    <w:rsid w:val="001739DE"/>
    <w:rsid w:val="0017679B"/>
    <w:rsid w:val="0017788D"/>
    <w:rsid w:val="001824ED"/>
    <w:rsid w:val="00182E9E"/>
    <w:rsid w:val="001835EE"/>
    <w:rsid w:val="001912D4"/>
    <w:rsid w:val="00192F32"/>
    <w:rsid w:val="001969C2"/>
    <w:rsid w:val="00196C45"/>
    <w:rsid w:val="001A0A2B"/>
    <w:rsid w:val="001A1D9B"/>
    <w:rsid w:val="001A6678"/>
    <w:rsid w:val="001A7FD6"/>
    <w:rsid w:val="001B0206"/>
    <w:rsid w:val="001B0C50"/>
    <w:rsid w:val="001B0E21"/>
    <w:rsid w:val="001B20C9"/>
    <w:rsid w:val="001B30E6"/>
    <w:rsid w:val="001B329C"/>
    <w:rsid w:val="001B3580"/>
    <w:rsid w:val="001B3C5B"/>
    <w:rsid w:val="001B485F"/>
    <w:rsid w:val="001C0FFD"/>
    <w:rsid w:val="001C17F8"/>
    <w:rsid w:val="001C1CA2"/>
    <w:rsid w:val="001C21D4"/>
    <w:rsid w:val="001C321B"/>
    <w:rsid w:val="001C6073"/>
    <w:rsid w:val="001C7AE9"/>
    <w:rsid w:val="001C7C4D"/>
    <w:rsid w:val="001D2321"/>
    <w:rsid w:val="001D618D"/>
    <w:rsid w:val="001D6399"/>
    <w:rsid w:val="001E0735"/>
    <w:rsid w:val="001E30EB"/>
    <w:rsid w:val="001E49DF"/>
    <w:rsid w:val="001E5F6C"/>
    <w:rsid w:val="001F115F"/>
    <w:rsid w:val="001F1776"/>
    <w:rsid w:val="001F5A6C"/>
    <w:rsid w:val="001F6A5D"/>
    <w:rsid w:val="001F6D57"/>
    <w:rsid w:val="001F7322"/>
    <w:rsid w:val="002008C5"/>
    <w:rsid w:val="00202BE1"/>
    <w:rsid w:val="0020311F"/>
    <w:rsid w:val="002044A8"/>
    <w:rsid w:val="0020745A"/>
    <w:rsid w:val="00207529"/>
    <w:rsid w:val="00207F75"/>
    <w:rsid w:val="002106A0"/>
    <w:rsid w:val="00212918"/>
    <w:rsid w:val="00214757"/>
    <w:rsid w:val="002206C6"/>
    <w:rsid w:val="0022312C"/>
    <w:rsid w:val="002239F4"/>
    <w:rsid w:val="0022570B"/>
    <w:rsid w:val="0022709A"/>
    <w:rsid w:val="0023251B"/>
    <w:rsid w:val="002329CE"/>
    <w:rsid w:val="00233523"/>
    <w:rsid w:val="00237469"/>
    <w:rsid w:val="00242E6E"/>
    <w:rsid w:val="0024470C"/>
    <w:rsid w:val="00244A91"/>
    <w:rsid w:val="0024516E"/>
    <w:rsid w:val="002456F7"/>
    <w:rsid w:val="00247286"/>
    <w:rsid w:val="00251DC9"/>
    <w:rsid w:val="00252115"/>
    <w:rsid w:val="002521B5"/>
    <w:rsid w:val="00255666"/>
    <w:rsid w:val="00255BC3"/>
    <w:rsid w:val="002621FE"/>
    <w:rsid w:val="00262719"/>
    <w:rsid w:val="00263F56"/>
    <w:rsid w:val="00266E79"/>
    <w:rsid w:val="00267821"/>
    <w:rsid w:val="0027264D"/>
    <w:rsid w:val="002727E7"/>
    <w:rsid w:val="00274056"/>
    <w:rsid w:val="00274B9F"/>
    <w:rsid w:val="00275823"/>
    <w:rsid w:val="00282EA0"/>
    <w:rsid w:val="00284B05"/>
    <w:rsid w:val="0028768C"/>
    <w:rsid w:val="00291221"/>
    <w:rsid w:val="00291C0C"/>
    <w:rsid w:val="00293F71"/>
    <w:rsid w:val="00294384"/>
    <w:rsid w:val="00294CBB"/>
    <w:rsid w:val="002A2DDA"/>
    <w:rsid w:val="002A385A"/>
    <w:rsid w:val="002A4BE9"/>
    <w:rsid w:val="002A6287"/>
    <w:rsid w:val="002B1A5C"/>
    <w:rsid w:val="002B3CB8"/>
    <w:rsid w:val="002B4315"/>
    <w:rsid w:val="002B5A46"/>
    <w:rsid w:val="002B7873"/>
    <w:rsid w:val="002C1181"/>
    <w:rsid w:val="002C17FD"/>
    <w:rsid w:val="002C2A99"/>
    <w:rsid w:val="002C3381"/>
    <w:rsid w:val="002C38C7"/>
    <w:rsid w:val="002C3C14"/>
    <w:rsid w:val="002C4656"/>
    <w:rsid w:val="002C6DC3"/>
    <w:rsid w:val="002D492F"/>
    <w:rsid w:val="002D52A7"/>
    <w:rsid w:val="002D6603"/>
    <w:rsid w:val="002D67DB"/>
    <w:rsid w:val="002E0581"/>
    <w:rsid w:val="002E287D"/>
    <w:rsid w:val="002E50E1"/>
    <w:rsid w:val="002F0C78"/>
    <w:rsid w:val="002F2FDB"/>
    <w:rsid w:val="002F6832"/>
    <w:rsid w:val="00302C13"/>
    <w:rsid w:val="003035B5"/>
    <w:rsid w:val="003036EA"/>
    <w:rsid w:val="00306543"/>
    <w:rsid w:val="00310575"/>
    <w:rsid w:val="003117C9"/>
    <w:rsid w:val="00312725"/>
    <w:rsid w:val="00312EE5"/>
    <w:rsid w:val="003141E3"/>
    <w:rsid w:val="00314581"/>
    <w:rsid w:val="003149E2"/>
    <w:rsid w:val="0031542F"/>
    <w:rsid w:val="00316D13"/>
    <w:rsid w:val="00316D34"/>
    <w:rsid w:val="003172F4"/>
    <w:rsid w:val="003177F7"/>
    <w:rsid w:val="00320BCD"/>
    <w:rsid w:val="0032698A"/>
    <w:rsid w:val="003273E6"/>
    <w:rsid w:val="00327A32"/>
    <w:rsid w:val="00330707"/>
    <w:rsid w:val="003322D6"/>
    <w:rsid w:val="00341873"/>
    <w:rsid w:val="00342574"/>
    <w:rsid w:val="0034654F"/>
    <w:rsid w:val="00353539"/>
    <w:rsid w:val="00355D8D"/>
    <w:rsid w:val="00361127"/>
    <w:rsid w:val="00365310"/>
    <w:rsid w:val="0037108E"/>
    <w:rsid w:val="00371539"/>
    <w:rsid w:val="00376E8B"/>
    <w:rsid w:val="00381967"/>
    <w:rsid w:val="0038272A"/>
    <w:rsid w:val="00382D1B"/>
    <w:rsid w:val="00386574"/>
    <w:rsid w:val="00386CF8"/>
    <w:rsid w:val="00387342"/>
    <w:rsid w:val="00387477"/>
    <w:rsid w:val="003875C4"/>
    <w:rsid w:val="00387CB1"/>
    <w:rsid w:val="00391882"/>
    <w:rsid w:val="00395E63"/>
    <w:rsid w:val="00397705"/>
    <w:rsid w:val="003A3FFD"/>
    <w:rsid w:val="003A4A9F"/>
    <w:rsid w:val="003A783A"/>
    <w:rsid w:val="003A7C7C"/>
    <w:rsid w:val="003A7E85"/>
    <w:rsid w:val="003B07A1"/>
    <w:rsid w:val="003B26FC"/>
    <w:rsid w:val="003B2AE2"/>
    <w:rsid w:val="003B2B3C"/>
    <w:rsid w:val="003B32AD"/>
    <w:rsid w:val="003B3C3B"/>
    <w:rsid w:val="003B5280"/>
    <w:rsid w:val="003B6A58"/>
    <w:rsid w:val="003C0A35"/>
    <w:rsid w:val="003C4F2A"/>
    <w:rsid w:val="003C77A3"/>
    <w:rsid w:val="003D2A10"/>
    <w:rsid w:val="003D7F10"/>
    <w:rsid w:val="003E3239"/>
    <w:rsid w:val="003E369E"/>
    <w:rsid w:val="003E39E2"/>
    <w:rsid w:val="003E68E8"/>
    <w:rsid w:val="003E69A5"/>
    <w:rsid w:val="003E6A4C"/>
    <w:rsid w:val="003E7C59"/>
    <w:rsid w:val="003F0539"/>
    <w:rsid w:val="003F28E8"/>
    <w:rsid w:val="003F441E"/>
    <w:rsid w:val="00402350"/>
    <w:rsid w:val="00402AF4"/>
    <w:rsid w:val="00404312"/>
    <w:rsid w:val="00404949"/>
    <w:rsid w:val="004049A7"/>
    <w:rsid w:val="00404A3F"/>
    <w:rsid w:val="00405414"/>
    <w:rsid w:val="0040669A"/>
    <w:rsid w:val="00413D18"/>
    <w:rsid w:val="004177C7"/>
    <w:rsid w:val="00420C83"/>
    <w:rsid w:val="00421036"/>
    <w:rsid w:val="0042325B"/>
    <w:rsid w:val="004262E0"/>
    <w:rsid w:val="004266D3"/>
    <w:rsid w:val="0043258A"/>
    <w:rsid w:val="00433303"/>
    <w:rsid w:val="004334E7"/>
    <w:rsid w:val="00434C40"/>
    <w:rsid w:val="004373A0"/>
    <w:rsid w:val="0043793B"/>
    <w:rsid w:val="004430F3"/>
    <w:rsid w:val="00443E79"/>
    <w:rsid w:val="00447BF0"/>
    <w:rsid w:val="0045202B"/>
    <w:rsid w:val="004525EC"/>
    <w:rsid w:val="004539E2"/>
    <w:rsid w:val="004557B7"/>
    <w:rsid w:val="0046081E"/>
    <w:rsid w:val="00462C19"/>
    <w:rsid w:val="00463CD4"/>
    <w:rsid w:val="004641C0"/>
    <w:rsid w:val="00464224"/>
    <w:rsid w:val="00464D93"/>
    <w:rsid w:val="00465523"/>
    <w:rsid w:val="00470061"/>
    <w:rsid w:val="00470B0E"/>
    <w:rsid w:val="00470D39"/>
    <w:rsid w:val="00472426"/>
    <w:rsid w:val="00473432"/>
    <w:rsid w:val="00474B17"/>
    <w:rsid w:val="00476486"/>
    <w:rsid w:val="004765B5"/>
    <w:rsid w:val="00482F03"/>
    <w:rsid w:val="0048669B"/>
    <w:rsid w:val="00490265"/>
    <w:rsid w:val="00497961"/>
    <w:rsid w:val="004A33C6"/>
    <w:rsid w:val="004A3B34"/>
    <w:rsid w:val="004A474B"/>
    <w:rsid w:val="004A4DC9"/>
    <w:rsid w:val="004A524E"/>
    <w:rsid w:val="004A539A"/>
    <w:rsid w:val="004A5BF8"/>
    <w:rsid w:val="004A6503"/>
    <w:rsid w:val="004A6D07"/>
    <w:rsid w:val="004A6D6D"/>
    <w:rsid w:val="004B0461"/>
    <w:rsid w:val="004B07D4"/>
    <w:rsid w:val="004B0BE6"/>
    <w:rsid w:val="004B2C48"/>
    <w:rsid w:val="004B2D4D"/>
    <w:rsid w:val="004B2D5F"/>
    <w:rsid w:val="004B2D8D"/>
    <w:rsid w:val="004B38E4"/>
    <w:rsid w:val="004B5DFF"/>
    <w:rsid w:val="004B6136"/>
    <w:rsid w:val="004C01FE"/>
    <w:rsid w:val="004C03B0"/>
    <w:rsid w:val="004C2A68"/>
    <w:rsid w:val="004C33A4"/>
    <w:rsid w:val="004C44AD"/>
    <w:rsid w:val="004C4A14"/>
    <w:rsid w:val="004C4BD4"/>
    <w:rsid w:val="004C4D6F"/>
    <w:rsid w:val="004C5D18"/>
    <w:rsid w:val="004C6BCA"/>
    <w:rsid w:val="004D0C0A"/>
    <w:rsid w:val="004D0C55"/>
    <w:rsid w:val="004D1CFC"/>
    <w:rsid w:val="004D220B"/>
    <w:rsid w:val="004D271D"/>
    <w:rsid w:val="004D2834"/>
    <w:rsid w:val="004D3314"/>
    <w:rsid w:val="004D5A26"/>
    <w:rsid w:val="004D60D0"/>
    <w:rsid w:val="004E181F"/>
    <w:rsid w:val="004E2B9B"/>
    <w:rsid w:val="004F0B53"/>
    <w:rsid w:val="004F2BB4"/>
    <w:rsid w:val="004F443F"/>
    <w:rsid w:val="004F449B"/>
    <w:rsid w:val="004F5B42"/>
    <w:rsid w:val="004F6740"/>
    <w:rsid w:val="004F7CD3"/>
    <w:rsid w:val="00500563"/>
    <w:rsid w:val="00500718"/>
    <w:rsid w:val="00500D18"/>
    <w:rsid w:val="00501C22"/>
    <w:rsid w:val="0051095D"/>
    <w:rsid w:val="005119EF"/>
    <w:rsid w:val="00511D19"/>
    <w:rsid w:val="00511E3C"/>
    <w:rsid w:val="00517E72"/>
    <w:rsid w:val="005209A2"/>
    <w:rsid w:val="00521058"/>
    <w:rsid w:val="0052178D"/>
    <w:rsid w:val="00522385"/>
    <w:rsid w:val="0052309A"/>
    <w:rsid w:val="00523D67"/>
    <w:rsid w:val="0052713C"/>
    <w:rsid w:val="00532255"/>
    <w:rsid w:val="0053262F"/>
    <w:rsid w:val="00532889"/>
    <w:rsid w:val="00534578"/>
    <w:rsid w:val="005348C8"/>
    <w:rsid w:val="00540433"/>
    <w:rsid w:val="00540E98"/>
    <w:rsid w:val="005414F4"/>
    <w:rsid w:val="0054207D"/>
    <w:rsid w:val="0054260C"/>
    <w:rsid w:val="0054566D"/>
    <w:rsid w:val="005463F5"/>
    <w:rsid w:val="005518FD"/>
    <w:rsid w:val="00555B99"/>
    <w:rsid w:val="00555F8A"/>
    <w:rsid w:val="00555FEF"/>
    <w:rsid w:val="005560DB"/>
    <w:rsid w:val="005569F5"/>
    <w:rsid w:val="00560B6B"/>
    <w:rsid w:val="0056192B"/>
    <w:rsid w:val="00561E6E"/>
    <w:rsid w:val="00562601"/>
    <w:rsid w:val="0056304A"/>
    <w:rsid w:val="005648D2"/>
    <w:rsid w:val="0056518F"/>
    <w:rsid w:val="0056568C"/>
    <w:rsid w:val="005657EF"/>
    <w:rsid w:val="005666DB"/>
    <w:rsid w:val="00566E22"/>
    <w:rsid w:val="00571355"/>
    <w:rsid w:val="0057254C"/>
    <w:rsid w:val="00574EB1"/>
    <w:rsid w:val="0057559A"/>
    <w:rsid w:val="00576C35"/>
    <w:rsid w:val="005802F0"/>
    <w:rsid w:val="00581A0C"/>
    <w:rsid w:val="00583F95"/>
    <w:rsid w:val="00585E2A"/>
    <w:rsid w:val="00586694"/>
    <w:rsid w:val="005877A4"/>
    <w:rsid w:val="00591C15"/>
    <w:rsid w:val="00593550"/>
    <w:rsid w:val="005964E5"/>
    <w:rsid w:val="00597225"/>
    <w:rsid w:val="00597842"/>
    <w:rsid w:val="00597C1F"/>
    <w:rsid w:val="005A3257"/>
    <w:rsid w:val="005A3950"/>
    <w:rsid w:val="005A6001"/>
    <w:rsid w:val="005B23AE"/>
    <w:rsid w:val="005B3B19"/>
    <w:rsid w:val="005B51AB"/>
    <w:rsid w:val="005B5A26"/>
    <w:rsid w:val="005B636C"/>
    <w:rsid w:val="005B7C84"/>
    <w:rsid w:val="005C1453"/>
    <w:rsid w:val="005C1D77"/>
    <w:rsid w:val="005C66D3"/>
    <w:rsid w:val="005C7A1A"/>
    <w:rsid w:val="005D21F4"/>
    <w:rsid w:val="005D3A15"/>
    <w:rsid w:val="005D751D"/>
    <w:rsid w:val="005E0665"/>
    <w:rsid w:val="005E2A79"/>
    <w:rsid w:val="005E3592"/>
    <w:rsid w:val="005E70C8"/>
    <w:rsid w:val="005E77E7"/>
    <w:rsid w:val="005E7944"/>
    <w:rsid w:val="005F1404"/>
    <w:rsid w:val="005F3350"/>
    <w:rsid w:val="005F5927"/>
    <w:rsid w:val="005F605E"/>
    <w:rsid w:val="005F78D9"/>
    <w:rsid w:val="00602971"/>
    <w:rsid w:val="00602CF8"/>
    <w:rsid w:val="006041CF"/>
    <w:rsid w:val="006054F8"/>
    <w:rsid w:val="00605753"/>
    <w:rsid w:val="00611BB5"/>
    <w:rsid w:val="00612668"/>
    <w:rsid w:val="00613004"/>
    <w:rsid w:val="006174D8"/>
    <w:rsid w:val="00620B47"/>
    <w:rsid w:val="006336C5"/>
    <w:rsid w:val="00633DA0"/>
    <w:rsid w:val="00633DA7"/>
    <w:rsid w:val="006353E6"/>
    <w:rsid w:val="00635731"/>
    <w:rsid w:val="006371AC"/>
    <w:rsid w:val="006401F1"/>
    <w:rsid w:val="0064133A"/>
    <w:rsid w:val="006419E5"/>
    <w:rsid w:val="0064252A"/>
    <w:rsid w:val="00645ED5"/>
    <w:rsid w:val="00646C3F"/>
    <w:rsid w:val="006533D3"/>
    <w:rsid w:val="00654BF9"/>
    <w:rsid w:val="00656DFD"/>
    <w:rsid w:val="006606D9"/>
    <w:rsid w:val="00661276"/>
    <w:rsid w:val="00662D7F"/>
    <w:rsid w:val="00667C07"/>
    <w:rsid w:val="00670044"/>
    <w:rsid w:val="00670556"/>
    <w:rsid w:val="00671C27"/>
    <w:rsid w:val="006819F4"/>
    <w:rsid w:val="00685F29"/>
    <w:rsid w:val="00687ECC"/>
    <w:rsid w:val="006905FC"/>
    <w:rsid w:val="00691BB0"/>
    <w:rsid w:val="00692215"/>
    <w:rsid w:val="006A191A"/>
    <w:rsid w:val="006A26E5"/>
    <w:rsid w:val="006A295D"/>
    <w:rsid w:val="006A39D7"/>
    <w:rsid w:val="006A500A"/>
    <w:rsid w:val="006B26CA"/>
    <w:rsid w:val="006B365B"/>
    <w:rsid w:val="006B5AE0"/>
    <w:rsid w:val="006B6767"/>
    <w:rsid w:val="006B76D4"/>
    <w:rsid w:val="006D11D5"/>
    <w:rsid w:val="006D7C79"/>
    <w:rsid w:val="006E1436"/>
    <w:rsid w:val="006E1987"/>
    <w:rsid w:val="006E3382"/>
    <w:rsid w:val="006E73C9"/>
    <w:rsid w:val="006E761E"/>
    <w:rsid w:val="006F022B"/>
    <w:rsid w:val="006F7525"/>
    <w:rsid w:val="00700215"/>
    <w:rsid w:val="0070024A"/>
    <w:rsid w:val="007004C5"/>
    <w:rsid w:val="00701318"/>
    <w:rsid w:val="00701AF8"/>
    <w:rsid w:val="007021A9"/>
    <w:rsid w:val="0070235E"/>
    <w:rsid w:val="007025B3"/>
    <w:rsid w:val="00703BFB"/>
    <w:rsid w:val="007062E8"/>
    <w:rsid w:val="0070672F"/>
    <w:rsid w:val="00706C06"/>
    <w:rsid w:val="00706F95"/>
    <w:rsid w:val="007072F2"/>
    <w:rsid w:val="00710A38"/>
    <w:rsid w:val="00711BEA"/>
    <w:rsid w:val="00713EB7"/>
    <w:rsid w:val="00720116"/>
    <w:rsid w:val="00720909"/>
    <w:rsid w:val="00723559"/>
    <w:rsid w:val="00724276"/>
    <w:rsid w:val="00726877"/>
    <w:rsid w:val="007324AC"/>
    <w:rsid w:val="00733594"/>
    <w:rsid w:val="007340EE"/>
    <w:rsid w:val="007409AA"/>
    <w:rsid w:val="00741CDE"/>
    <w:rsid w:val="007433FA"/>
    <w:rsid w:val="00743B42"/>
    <w:rsid w:val="00744E53"/>
    <w:rsid w:val="00745A95"/>
    <w:rsid w:val="0074697F"/>
    <w:rsid w:val="00751A19"/>
    <w:rsid w:val="00752702"/>
    <w:rsid w:val="00752C01"/>
    <w:rsid w:val="0075369C"/>
    <w:rsid w:val="00754039"/>
    <w:rsid w:val="007545E2"/>
    <w:rsid w:val="00760939"/>
    <w:rsid w:val="0076272A"/>
    <w:rsid w:val="00766471"/>
    <w:rsid w:val="00770092"/>
    <w:rsid w:val="0077281B"/>
    <w:rsid w:val="00773DD0"/>
    <w:rsid w:val="007757B9"/>
    <w:rsid w:val="00775BB8"/>
    <w:rsid w:val="007766D5"/>
    <w:rsid w:val="0077676A"/>
    <w:rsid w:val="00777039"/>
    <w:rsid w:val="00780340"/>
    <w:rsid w:val="00782CCB"/>
    <w:rsid w:val="0078302C"/>
    <w:rsid w:val="00787A75"/>
    <w:rsid w:val="00790209"/>
    <w:rsid w:val="00791A91"/>
    <w:rsid w:val="0079275D"/>
    <w:rsid w:val="007A0AAC"/>
    <w:rsid w:val="007A5308"/>
    <w:rsid w:val="007B1DC6"/>
    <w:rsid w:val="007B5145"/>
    <w:rsid w:val="007B55C9"/>
    <w:rsid w:val="007B7866"/>
    <w:rsid w:val="007C002A"/>
    <w:rsid w:val="007C010E"/>
    <w:rsid w:val="007C20E9"/>
    <w:rsid w:val="007C231C"/>
    <w:rsid w:val="007C3A16"/>
    <w:rsid w:val="007C6A79"/>
    <w:rsid w:val="007C7DEE"/>
    <w:rsid w:val="007D1473"/>
    <w:rsid w:val="007D1782"/>
    <w:rsid w:val="007D3992"/>
    <w:rsid w:val="007D3BDE"/>
    <w:rsid w:val="007D3DBC"/>
    <w:rsid w:val="007D4788"/>
    <w:rsid w:val="007D4F8F"/>
    <w:rsid w:val="007D79EF"/>
    <w:rsid w:val="007D7BC3"/>
    <w:rsid w:val="007D7D8D"/>
    <w:rsid w:val="007E3289"/>
    <w:rsid w:val="007E47BF"/>
    <w:rsid w:val="007F036B"/>
    <w:rsid w:val="007F1AE3"/>
    <w:rsid w:val="007F2151"/>
    <w:rsid w:val="007F2DCF"/>
    <w:rsid w:val="007F59F1"/>
    <w:rsid w:val="007F78C5"/>
    <w:rsid w:val="007F7DE8"/>
    <w:rsid w:val="00800B33"/>
    <w:rsid w:val="0080246E"/>
    <w:rsid w:val="00807933"/>
    <w:rsid w:val="00812633"/>
    <w:rsid w:val="00814743"/>
    <w:rsid w:val="008168CF"/>
    <w:rsid w:val="00816FE4"/>
    <w:rsid w:val="00820ACE"/>
    <w:rsid w:val="00821CE1"/>
    <w:rsid w:val="008235FB"/>
    <w:rsid w:val="00823D9F"/>
    <w:rsid w:val="00824CD4"/>
    <w:rsid w:val="00827E25"/>
    <w:rsid w:val="00832F82"/>
    <w:rsid w:val="00833834"/>
    <w:rsid w:val="00834CB6"/>
    <w:rsid w:val="00834F62"/>
    <w:rsid w:val="0083516C"/>
    <w:rsid w:val="008367D1"/>
    <w:rsid w:val="00842C77"/>
    <w:rsid w:val="008433C2"/>
    <w:rsid w:val="008440A4"/>
    <w:rsid w:val="0084624D"/>
    <w:rsid w:val="00846D31"/>
    <w:rsid w:val="00847A4A"/>
    <w:rsid w:val="00847BEC"/>
    <w:rsid w:val="00847C04"/>
    <w:rsid w:val="00850E13"/>
    <w:rsid w:val="00853456"/>
    <w:rsid w:val="0085476E"/>
    <w:rsid w:val="008617FE"/>
    <w:rsid w:val="008644A3"/>
    <w:rsid w:val="00867801"/>
    <w:rsid w:val="008705C7"/>
    <w:rsid w:val="00872020"/>
    <w:rsid w:val="00875870"/>
    <w:rsid w:val="00875D65"/>
    <w:rsid w:val="0088362E"/>
    <w:rsid w:val="0088588D"/>
    <w:rsid w:val="00886237"/>
    <w:rsid w:val="00890863"/>
    <w:rsid w:val="00890E05"/>
    <w:rsid w:val="008924E8"/>
    <w:rsid w:val="0089316A"/>
    <w:rsid w:val="00893666"/>
    <w:rsid w:val="00896D5B"/>
    <w:rsid w:val="008975AC"/>
    <w:rsid w:val="008A1552"/>
    <w:rsid w:val="008A19B9"/>
    <w:rsid w:val="008A2011"/>
    <w:rsid w:val="008A6957"/>
    <w:rsid w:val="008B1B9E"/>
    <w:rsid w:val="008B1FF7"/>
    <w:rsid w:val="008B4BF3"/>
    <w:rsid w:val="008B59A2"/>
    <w:rsid w:val="008B776C"/>
    <w:rsid w:val="008C0468"/>
    <w:rsid w:val="008C13A5"/>
    <w:rsid w:val="008C4B29"/>
    <w:rsid w:val="008C68B9"/>
    <w:rsid w:val="008C75E9"/>
    <w:rsid w:val="008D0BD6"/>
    <w:rsid w:val="008D2EB5"/>
    <w:rsid w:val="008D4B7C"/>
    <w:rsid w:val="008D4C4E"/>
    <w:rsid w:val="008D60CF"/>
    <w:rsid w:val="008D6FBF"/>
    <w:rsid w:val="008D7336"/>
    <w:rsid w:val="008E0F63"/>
    <w:rsid w:val="008E4B16"/>
    <w:rsid w:val="008E5B58"/>
    <w:rsid w:val="008E691A"/>
    <w:rsid w:val="008F3280"/>
    <w:rsid w:val="008F33A6"/>
    <w:rsid w:val="008F37F4"/>
    <w:rsid w:val="008F4AE6"/>
    <w:rsid w:val="008F6069"/>
    <w:rsid w:val="008F7DB4"/>
    <w:rsid w:val="008F7F4B"/>
    <w:rsid w:val="00901752"/>
    <w:rsid w:val="009038CA"/>
    <w:rsid w:val="00907F63"/>
    <w:rsid w:val="00910476"/>
    <w:rsid w:val="009105B7"/>
    <w:rsid w:val="00910D7A"/>
    <w:rsid w:val="00912123"/>
    <w:rsid w:val="00913B1F"/>
    <w:rsid w:val="00915976"/>
    <w:rsid w:val="009178B8"/>
    <w:rsid w:val="0092002A"/>
    <w:rsid w:val="0092099C"/>
    <w:rsid w:val="00922DE7"/>
    <w:rsid w:val="00923628"/>
    <w:rsid w:val="00931029"/>
    <w:rsid w:val="00931476"/>
    <w:rsid w:val="00931B9A"/>
    <w:rsid w:val="009322B3"/>
    <w:rsid w:val="00933C89"/>
    <w:rsid w:val="00935134"/>
    <w:rsid w:val="009354AD"/>
    <w:rsid w:val="0093597A"/>
    <w:rsid w:val="00935DFC"/>
    <w:rsid w:val="0093739B"/>
    <w:rsid w:val="009440AF"/>
    <w:rsid w:val="00945081"/>
    <w:rsid w:val="0094547F"/>
    <w:rsid w:val="00945F87"/>
    <w:rsid w:val="00947E9D"/>
    <w:rsid w:val="00951A25"/>
    <w:rsid w:val="00954D94"/>
    <w:rsid w:val="00955941"/>
    <w:rsid w:val="0095659B"/>
    <w:rsid w:val="00957B4A"/>
    <w:rsid w:val="00957E96"/>
    <w:rsid w:val="00960246"/>
    <w:rsid w:val="00962914"/>
    <w:rsid w:val="00967960"/>
    <w:rsid w:val="00967FAD"/>
    <w:rsid w:val="0097085E"/>
    <w:rsid w:val="00971680"/>
    <w:rsid w:val="00972B1E"/>
    <w:rsid w:val="00972E49"/>
    <w:rsid w:val="009758EA"/>
    <w:rsid w:val="009764D9"/>
    <w:rsid w:val="00977DE6"/>
    <w:rsid w:val="00980050"/>
    <w:rsid w:val="009829D4"/>
    <w:rsid w:val="00986A50"/>
    <w:rsid w:val="0099075B"/>
    <w:rsid w:val="009914E3"/>
    <w:rsid w:val="00994163"/>
    <w:rsid w:val="00997517"/>
    <w:rsid w:val="009A1B4E"/>
    <w:rsid w:val="009A27D3"/>
    <w:rsid w:val="009A2E8F"/>
    <w:rsid w:val="009A5437"/>
    <w:rsid w:val="009A78A9"/>
    <w:rsid w:val="009B39AF"/>
    <w:rsid w:val="009B5A08"/>
    <w:rsid w:val="009B5E0A"/>
    <w:rsid w:val="009C1F4E"/>
    <w:rsid w:val="009C2926"/>
    <w:rsid w:val="009C642E"/>
    <w:rsid w:val="009C746D"/>
    <w:rsid w:val="009D1217"/>
    <w:rsid w:val="009D20CD"/>
    <w:rsid w:val="009D3CD0"/>
    <w:rsid w:val="009D4277"/>
    <w:rsid w:val="009D5C16"/>
    <w:rsid w:val="009E09F6"/>
    <w:rsid w:val="009E0D01"/>
    <w:rsid w:val="009E37C1"/>
    <w:rsid w:val="009E4A0C"/>
    <w:rsid w:val="009E59FD"/>
    <w:rsid w:val="009E5F68"/>
    <w:rsid w:val="009E7819"/>
    <w:rsid w:val="009E7B5A"/>
    <w:rsid w:val="009F0E11"/>
    <w:rsid w:val="009F16DC"/>
    <w:rsid w:val="009F2C59"/>
    <w:rsid w:val="009F322D"/>
    <w:rsid w:val="009F36A6"/>
    <w:rsid w:val="009F3950"/>
    <w:rsid w:val="009F3D03"/>
    <w:rsid w:val="009F4071"/>
    <w:rsid w:val="009F47F7"/>
    <w:rsid w:val="009F60D8"/>
    <w:rsid w:val="009F6954"/>
    <w:rsid w:val="009F6CDF"/>
    <w:rsid w:val="009F6E45"/>
    <w:rsid w:val="009F7B39"/>
    <w:rsid w:val="009F7D25"/>
    <w:rsid w:val="00A0250F"/>
    <w:rsid w:val="00A03BFE"/>
    <w:rsid w:val="00A07761"/>
    <w:rsid w:val="00A07B6F"/>
    <w:rsid w:val="00A12142"/>
    <w:rsid w:val="00A13279"/>
    <w:rsid w:val="00A138FE"/>
    <w:rsid w:val="00A13B4B"/>
    <w:rsid w:val="00A16813"/>
    <w:rsid w:val="00A16B21"/>
    <w:rsid w:val="00A16BA0"/>
    <w:rsid w:val="00A24454"/>
    <w:rsid w:val="00A24E21"/>
    <w:rsid w:val="00A27774"/>
    <w:rsid w:val="00A313AF"/>
    <w:rsid w:val="00A319D0"/>
    <w:rsid w:val="00A339B1"/>
    <w:rsid w:val="00A33B4A"/>
    <w:rsid w:val="00A368D8"/>
    <w:rsid w:val="00A4084C"/>
    <w:rsid w:val="00A423BD"/>
    <w:rsid w:val="00A44B49"/>
    <w:rsid w:val="00A47134"/>
    <w:rsid w:val="00A47859"/>
    <w:rsid w:val="00A51DBC"/>
    <w:rsid w:val="00A53E95"/>
    <w:rsid w:val="00A53EAA"/>
    <w:rsid w:val="00A54E59"/>
    <w:rsid w:val="00A55458"/>
    <w:rsid w:val="00A56651"/>
    <w:rsid w:val="00A56ABF"/>
    <w:rsid w:val="00A60AAD"/>
    <w:rsid w:val="00A64D62"/>
    <w:rsid w:val="00A77305"/>
    <w:rsid w:val="00A80E2C"/>
    <w:rsid w:val="00A82B42"/>
    <w:rsid w:val="00A83885"/>
    <w:rsid w:val="00A8433B"/>
    <w:rsid w:val="00A84617"/>
    <w:rsid w:val="00A8517D"/>
    <w:rsid w:val="00A86088"/>
    <w:rsid w:val="00A9104F"/>
    <w:rsid w:val="00A9282A"/>
    <w:rsid w:val="00A92D3D"/>
    <w:rsid w:val="00A92FC5"/>
    <w:rsid w:val="00A939A1"/>
    <w:rsid w:val="00A95A58"/>
    <w:rsid w:val="00A95D62"/>
    <w:rsid w:val="00A9694C"/>
    <w:rsid w:val="00A97742"/>
    <w:rsid w:val="00AA0D0E"/>
    <w:rsid w:val="00AA115C"/>
    <w:rsid w:val="00AA1FA9"/>
    <w:rsid w:val="00AA2F26"/>
    <w:rsid w:val="00AA3DF6"/>
    <w:rsid w:val="00AA49B0"/>
    <w:rsid w:val="00AA6AF3"/>
    <w:rsid w:val="00AA716C"/>
    <w:rsid w:val="00AB1FB6"/>
    <w:rsid w:val="00AB28C0"/>
    <w:rsid w:val="00AB2DDC"/>
    <w:rsid w:val="00AB3466"/>
    <w:rsid w:val="00AB642D"/>
    <w:rsid w:val="00AB65A9"/>
    <w:rsid w:val="00AB772F"/>
    <w:rsid w:val="00AC1C7B"/>
    <w:rsid w:val="00AC2C6E"/>
    <w:rsid w:val="00AC2ED3"/>
    <w:rsid w:val="00AC6126"/>
    <w:rsid w:val="00AD1239"/>
    <w:rsid w:val="00AD2BE3"/>
    <w:rsid w:val="00AD4C1E"/>
    <w:rsid w:val="00AD6D18"/>
    <w:rsid w:val="00AE0851"/>
    <w:rsid w:val="00AE19F7"/>
    <w:rsid w:val="00AE256B"/>
    <w:rsid w:val="00AE325F"/>
    <w:rsid w:val="00AE33CE"/>
    <w:rsid w:val="00AE442A"/>
    <w:rsid w:val="00AE6E95"/>
    <w:rsid w:val="00AF03F7"/>
    <w:rsid w:val="00AF0E2F"/>
    <w:rsid w:val="00AF371B"/>
    <w:rsid w:val="00AF481F"/>
    <w:rsid w:val="00AF4B27"/>
    <w:rsid w:val="00AF651D"/>
    <w:rsid w:val="00AF7E0B"/>
    <w:rsid w:val="00B04B2F"/>
    <w:rsid w:val="00B07079"/>
    <w:rsid w:val="00B07157"/>
    <w:rsid w:val="00B0745F"/>
    <w:rsid w:val="00B07E1A"/>
    <w:rsid w:val="00B1149B"/>
    <w:rsid w:val="00B13EFB"/>
    <w:rsid w:val="00B21B30"/>
    <w:rsid w:val="00B267B3"/>
    <w:rsid w:val="00B27197"/>
    <w:rsid w:val="00B30216"/>
    <w:rsid w:val="00B31570"/>
    <w:rsid w:val="00B3399A"/>
    <w:rsid w:val="00B33C62"/>
    <w:rsid w:val="00B34EEF"/>
    <w:rsid w:val="00B36199"/>
    <w:rsid w:val="00B37F22"/>
    <w:rsid w:val="00B42693"/>
    <w:rsid w:val="00B4410C"/>
    <w:rsid w:val="00B45A25"/>
    <w:rsid w:val="00B51EED"/>
    <w:rsid w:val="00B541BB"/>
    <w:rsid w:val="00B54313"/>
    <w:rsid w:val="00B553FB"/>
    <w:rsid w:val="00B55B28"/>
    <w:rsid w:val="00B566DB"/>
    <w:rsid w:val="00B56714"/>
    <w:rsid w:val="00B61CB4"/>
    <w:rsid w:val="00B6391F"/>
    <w:rsid w:val="00B642C4"/>
    <w:rsid w:val="00B645B0"/>
    <w:rsid w:val="00B6483A"/>
    <w:rsid w:val="00B64DAC"/>
    <w:rsid w:val="00B67121"/>
    <w:rsid w:val="00B71EDC"/>
    <w:rsid w:val="00B72AC5"/>
    <w:rsid w:val="00B72BB2"/>
    <w:rsid w:val="00B72DD3"/>
    <w:rsid w:val="00B7337B"/>
    <w:rsid w:val="00B778C4"/>
    <w:rsid w:val="00B814DA"/>
    <w:rsid w:val="00B82754"/>
    <w:rsid w:val="00B831EC"/>
    <w:rsid w:val="00B83D4E"/>
    <w:rsid w:val="00B85883"/>
    <w:rsid w:val="00B9183C"/>
    <w:rsid w:val="00B918F6"/>
    <w:rsid w:val="00B92C42"/>
    <w:rsid w:val="00B932E7"/>
    <w:rsid w:val="00B96348"/>
    <w:rsid w:val="00B9763B"/>
    <w:rsid w:val="00BA321B"/>
    <w:rsid w:val="00BA34F8"/>
    <w:rsid w:val="00BA37E4"/>
    <w:rsid w:val="00BA39EB"/>
    <w:rsid w:val="00BA3BC9"/>
    <w:rsid w:val="00BA4B96"/>
    <w:rsid w:val="00BB0E95"/>
    <w:rsid w:val="00BB132B"/>
    <w:rsid w:val="00BB1947"/>
    <w:rsid w:val="00BB2CCE"/>
    <w:rsid w:val="00BB4349"/>
    <w:rsid w:val="00BB4AB4"/>
    <w:rsid w:val="00BB5491"/>
    <w:rsid w:val="00BB6ED0"/>
    <w:rsid w:val="00BC6A18"/>
    <w:rsid w:val="00BD2578"/>
    <w:rsid w:val="00BD5E40"/>
    <w:rsid w:val="00BD5FC2"/>
    <w:rsid w:val="00BD71B6"/>
    <w:rsid w:val="00BD723D"/>
    <w:rsid w:val="00BD745D"/>
    <w:rsid w:val="00BE0AA8"/>
    <w:rsid w:val="00BE2B11"/>
    <w:rsid w:val="00BE2CB2"/>
    <w:rsid w:val="00BE3326"/>
    <w:rsid w:val="00BE59CD"/>
    <w:rsid w:val="00BE6E05"/>
    <w:rsid w:val="00BF0624"/>
    <w:rsid w:val="00BF2359"/>
    <w:rsid w:val="00BF3711"/>
    <w:rsid w:val="00BF3C5C"/>
    <w:rsid w:val="00BF644D"/>
    <w:rsid w:val="00C001A9"/>
    <w:rsid w:val="00C007A6"/>
    <w:rsid w:val="00C01889"/>
    <w:rsid w:val="00C02E02"/>
    <w:rsid w:val="00C03BE0"/>
    <w:rsid w:val="00C06908"/>
    <w:rsid w:val="00C07045"/>
    <w:rsid w:val="00C075DF"/>
    <w:rsid w:val="00C11605"/>
    <w:rsid w:val="00C11E2D"/>
    <w:rsid w:val="00C1292B"/>
    <w:rsid w:val="00C12BDE"/>
    <w:rsid w:val="00C1336B"/>
    <w:rsid w:val="00C1703E"/>
    <w:rsid w:val="00C209E3"/>
    <w:rsid w:val="00C23202"/>
    <w:rsid w:val="00C23B69"/>
    <w:rsid w:val="00C25911"/>
    <w:rsid w:val="00C3112C"/>
    <w:rsid w:val="00C32A65"/>
    <w:rsid w:val="00C355E9"/>
    <w:rsid w:val="00C36174"/>
    <w:rsid w:val="00C37893"/>
    <w:rsid w:val="00C41473"/>
    <w:rsid w:val="00C42303"/>
    <w:rsid w:val="00C42D46"/>
    <w:rsid w:val="00C44906"/>
    <w:rsid w:val="00C45E09"/>
    <w:rsid w:val="00C51355"/>
    <w:rsid w:val="00C51545"/>
    <w:rsid w:val="00C51E09"/>
    <w:rsid w:val="00C521F1"/>
    <w:rsid w:val="00C53ACB"/>
    <w:rsid w:val="00C540EE"/>
    <w:rsid w:val="00C55561"/>
    <w:rsid w:val="00C56AC3"/>
    <w:rsid w:val="00C57B5D"/>
    <w:rsid w:val="00C6193F"/>
    <w:rsid w:val="00C62B7E"/>
    <w:rsid w:val="00C64627"/>
    <w:rsid w:val="00C660CD"/>
    <w:rsid w:val="00C660DD"/>
    <w:rsid w:val="00C703C7"/>
    <w:rsid w:val="00C72E59"/>
    <w:rsid w:val="00C747BC"/>
    <w:rsid w:val="00C81435"/>
    <w:rsid w:val="00C81509"/>
    <w:rsid w:val="00C81826"/>
    <w:rsid w:val="00C85591"/>
    <w:rsid w:val="00C85E96"/>
    <w:rsid w:val="00C87DFC"/>
    <w:rsid w:val="00C90CE1"/>
    <w:rsid w:val="00C926D0"/>
    <w:rsid w:val="00C93804"/>
    <w:rsid w:val="00C96932"/>
    <w:rsid w:val="00C97DA0"/>
    <w:rsid w:val="00CA2702"/>
    <w:rsid w:val="00CA429A"/>
    <w:rsid w:val="00CA59F5"/>
    <w:rsid w:val="00CA6618"/>
    <w:rsid w:val="00CA7724"/>
    <w:rsid w:val="00CA7797"/>
    <w:rsid w:val="00CB2BF3"/>
    <w:rsid w:val="00CB4774"/>
    <w:rsid w:val="00CC19A3"/>
    <w:rsid w:val="00CC1AF6"/>
    <w:rsid w:val="00CC291D"/>
    <w:rsid w:val="00CC2D66"/>
    <w:rsid w:val="00CC33F6"/>
    <w:rsid w:val="00CC6A31"/>
    <w:rsid w:val="00CC72B0"/>
    <w:rsid w:val="00CC74A6"/>
    <w:rsid w:val="00CC7C9D"/>
    <w:rsid w:val="00CD0917"/>
    <w:rsid w:val="00CD451D"/>
    <w:rsid w:val="00CE1DF9"/>
    <w:rsid w:val="00CE26C1"/>
    <w:rsid w:val="00CE4153"/>
    <w:rsid w:val="00CE44D5"/>
    <w:rsid w:val="00CE5E64"/>
    <w:rsid w:val="00CE6221"/>
    <w:rsid w:val="00CE6C5F"/>
    <w:rsid w:val="00CE70EB"/>
    <w:rsid w:val="00CF1ACA"/>
    <w:rsid w:val="00CF27AD"/>
    <w:rsid w:val="00CF39AB"/>
    <w:rsid w:val="00CF52F9"/>
    <w:rsid w:val="00CF5D5F"/>
    <w:rsid w:val="00CF676B"/>
    <w:rsid w:val="00CF74DF"/>
    <w:rsid w:val="00D0151F"/>
    <w:rsid w:val="00D01FE8"/>
    <w:rsid w:val="00D02B54"/>
    <w:rsid w:val="00D05B48"/>
    <w:rsid w:val="00D1219E"/>
    <w:rsid w:val="00D14EB8"/>
    <w:rsid w:val="00D15294"/>
    <w:rsid w:val="00D153DE"/>
    <w:rsid w:val="00D15B42"/>
    <w:rsid w:val="00D173F7"/>
    <w:rsid w:val="00D17988"/>
    <w:rsid w:val="00D20B45"/>
    <w:rsid w:val="00D2138F"/>
    <w:rsid w:val="00D233EA"/>
    <w:rsid w:val="00D24C93"/>
    <w:rsid w:val="00D260E4"/>
    <w:rsid w:val="00D27A43"/>
    <w:rsid w:val="00D31B2B"/>
    <w:rsid w:val="00D338AF"/>
    <w:rsid w:val="00D339BA"/>
    <w:rsid w:val="00D4032C"/>
    <w:rsid w:val="00D41BB5"/>
    <w:rsid w:val="00D44DAD"/>
    <w:rsid w:val="00D53279"/>
    <w:rsid w:val="00D53DBE"/>
    <w:rsid w:val="00D551B9"/>
    <w:rsid w:val="00D5736C"/>
    <w:rsid w:val="00D613AA"/>
    <w:rsid w:val="00D627A5"/>
    <w:rsid w:val="00D63C7B"/>
    <w:rsid w:val="00D65E5A"/>
    <w:rsid w:val="00D67635"/>
    <w:rsid w:val="00D70086"/>
    <w:rsid w:val="00D71732"/>
    <w:rsid w:val="00D7581E"/>
    <w:rsid w:val="00D77E5C"/>
    <w:rsid w:val="00D80AF0"/>
    <w:rsid w:val="00D81B74"/>
    <w:rsid w:val="00D8326A"/>
    <w:rsid w:val="00D83F69"/>
    <w:rsid w:val="00D84436"/>
    <w:rsid w:val="00D8472D"/>
    <w:rsid w:val="00D8515E"/>
    <w:rsid w:val="00D869CB"/>
    <w:rsid w:val="00D90D50"/>
    <w:rsid w:val="00D92194"/>
    <w:rsid w:val="00D9531B"/>
    <w:rsid w:val="00D9595C"/>
    <w:rsid w:val="00D96666"/>
    <w:rsid w:val="00D96A0C"/>
    <w:rsid w:val="00DA1025"/>
    <w:rsid w:val="00DA1EB1"/>
    <w:rsid w:val="00DA2F3A"/>
    <w:rsid w:val="00DA37A0"/>
    <w:rsid w:val="00DB07F0"/>
    <w:rsid w:val="00DB5FB0"/>
    <w:rsid w:val="00DC0AE3"/>
    <w:rsid w:val="00DC2043"/>
    <w:rsid w:val="00DC2950"/>
    <w:rsid w:val="00DC3A14"/>
    <w:rsid w:val="00DC3DDB"/>
    <w:rsid w:val="00DC680A"/>
    <w:rsid w:val="00DC7D9A"/>
    <w:rsid w:val="00DD2901"/>
    <w:rsid w:val="00DD3A30"/>
    <w:rsid w:val="00DD417D"/>
    <w:rsid w:val="00DD4EED"/>
    <w:rsid w:val="00DD5489"/>
    <w:rsid w:val="00DD6062"/>
    <w:rsid w:val="00DD6DAC"/>
    <w:rsid w:val="00DD78B6"/>
    <w:rsid w:val="00DE070F"/>
    <w:rsid w:val="00DE17C0"/>
    <w:rsid w:val="00DE1C86"/>
    <w:rsid w:val="00DE43A8"/>
    <w:rsid w:val="00DE4E2D"/>
    <w:rsid w:val="00DE5A20"/>
    <w:rsid w:val="00DE5D64"/>
    <w:rsid w:val="00DF1284"/>
    <w:rsid w:val="00DF35AB"/>
    <w:rsid w:val="00E053B6"/>
    <w:rsid w:val="00E058D4"/>
    <w:rsid w:val="00E05FD0"/>
    <w:rsid w:val="00E06549"/>
    <w:rsid w:val="00E070AA"/>
    <w:rsid w:val="00E13697"/>
    <w:rsid w:val="00E13FF1"/>
    <w:rsid w:val="00E15DFF"/>
    <w:rsid w:val="00E22D13"/>
    <w:rsid w:val="00E22D52"/>
    <w:rsid w:val="00E30ABC"/>
    <w:rsid w:val="00E313F9"/>
    <w:rsid w:val="00E31B50"/>
    <w:rsid w:val="00E31E33"/>
    <w:rsid w:val="00E35696"/>
    <w:rsid w:val="00E36BFA"/>
    <w:rsid w:val="00E4486B"/>
    <w:rsid w:val="00E44ECF"/>
    <w:rsid w:val="00E451C1"/>
    <w:rsid w:val="00E47C5D"/>
    <w:rsid w:val="00E506B4"/>
    <w:rsid w:val="00E5077A"/>
    <w:rsid w:val="00E50DB0"/>
    <w:rsid w:val="00E56982"/>
    <w:rsid w:val="00E61063"/>
    <w:rsid w:val="00E6182C"/>
    <w:rsid w:val="00E6383E"/>
    <w:rsid w:val="00E65005"/>
    <w:rsid w:val="00E6642E"/>
    <w:rsid w:val="00E66A8F"/>
    <w:rsid w:val="00E67A85"/>
    <w:rsid w:val="00E7072F"/>
    <w:rsid w:val="00E718A3"/>
    <w:rsid w:val="00E72017"/>
    <w:rsid w:val="00E73C5D"/>
    <w:rsid w:val="00E74C0F"/>
    <w:rsid w:val="00E7526C"/>
    <w:rsid w:val="00E76D48"/>
    <w:rsid w:val="00E8019B"/>
    <w:rsid w:val="00E83287"/>
    <w:rsid w:val="00E8610D"/>
    <w:rsid w:val="00E9037F"/>
    <w:rsid w:val="00E907D9"/>
    <w:rsid w:val="00E90B50"/>
    <w:rsid w:val="00E940F5"/>
    <w:rsid w:val="00E96F5B"/>
    <w:rsid w:val="00EA0D69"/>
    <w:rsid w:val="00EA10EA"/>
    <w:rsid w:val="00EA1BA0"/>
    <w:rsid w:val="00EA2B48"/>
    <w:rsid w:val="00EA44AE"/>
    <w:rsid w:val="00EA56BE"/>
    <w:rsid w:val="00EA6312"/>
    <w:rsid w:val="00EA6D51"/>
    <w:rsid w:val="00EA76C6"/>
    <w:rsid w:val="00EA7A3D"/>
    <w:rsid w:val="00EB0C94"/>
    <w:rsid w:val="00EB0D2F"/>
    <w:rsid w:val="00EB1838"/>
    <w:rsid w:val="00EB382C"/>
    <w:rsid w:val="00EB3D53"/>
    <w:rsid w:val="00EB664C"/>
    <w:rsid w:val="00EB6FE1"/>
    <w:rsid w:val="00EB70ED"/>
    <w:rsid w:val="00EC0775"/>
    <w:rsid w:val="00EC1B19"/>
    <w:rsid w:val="00EC1F51"/>
    <w:rsid w:val="00EC2073"/>
    <w:rsid w:val="00EC3E8F"/>
    <w:rsid w:val="00EC6628"/>
    <w:rsid w:val="00EC69DC"/>
    <w:rsid w:val="00ED064F"/>
    <w:rsid w:val="00ED370C"/>
    <w:rsid w:val="00ED7599"/>
    <w:rsid w:val="00EE002F"/>
    <w:rsid w:val="00EE04CE"/>
    <w:rsid w:val="00EE606D"/>
    <w:rsid w:val="00EE74E9"/>
    <w:rsid w:val="00EF0120"/>
    <w:rsid w:val="00EF0D05"/>
    <w:rsid w:val="00EF15C4"/>
    <w:rsid w:val="00EF1A29"/>
    <w:rsid w:val="00EF1DA3"/>
    <w:rsid w:val="00EF243C"/>
    <w:rsid w:val="00EF39CB"/>
    <w:rsid w:val="00EF7342"/>
    <w:rsid w:val="00EF7EC5"/>
    <w:rsid w:val="00F01F5D"/>
    <w:rsid w:val="00F040F7"/>
    <w:rsid w:val="00F0439E"/>
    <w:rsid w:val="00F04FE9"/>
    <w:rsid w:val="00F10660"/>
    <w:rsid w:val="00F10ADC"/>
    <w:rsid w:val="00F10EC6"/>
    <w:rsid w:val="00F13707"/>
    <w:rsid w:val="00F1571F"/>
    <w:rsid w:val="00F159A7"/>
    <w:rsid w:val="00F16538"/>
    <w:rsid w:val="00F16F27"/>
    <w:rsid w:val="00F209BA"/>
    <w:rsid w:val="00F20CE0"/>
    <w:rsid w:val="00F21179"/>
    <w:rsid w:val="00F214EB"/>
    <w:rsid w:val="00F23F93"/>
    <w:rsid w:val="00F24047"/>
    <w:rsid w:val="00F24828"/>
    <w:rsid w:val="00F27482"/>
    <w:rsid w:val="00F302FB"/>
    <w:rsid w:val="00F3075B"/>
    <w:rsid w:val="00F3254F"/>
    <w:rsid w:val="00F33DB8"/>
    <w:rsid w:val="00F3478F"/>
    <w:rsid w:val="00F37B25"/>
    <w:rsid w:val="00F41AE4"/>
    <w:rsid w:val="00F45913"/>
    <w:rsid w:val="00F51705"/>
    <w:rsid w:val="00F51D3D"/>
    <w:rsid w:val="00F53098"/>
    <w:rsid w:val="00F62813"/>
    <w:rsid w:val="00F63501"/>
    <w:rsid w:val="00F643A2"/>
    <w:rsid w:val="00F66D24"/>
    <w:rsid w:val="00F70F2C"/>
    <w:rsid w:val="00F718BF"/>
    <w:rsid w:val="00F7273F"/>
    <w:rsid w:val="00F735A8"/>
    <w:rsid w:val="00F738E2"/>
    <w:rsid w:val="00F76663"/>
    <w:rsid w:val="00F806D3"/>
    <w:rsid w:val="00F82F66"/>
    <w:rsid w:val="00F8546A"/>
    <w:rsid w:val="00F85C43"/>
    <w:rsid w:val="00F8708B"/>
    <w:rsid w:val="00F87819"/>
    <w:rsid w:val="00F87883"/>
    <w:rsid w:val="00F93860"/>
    <w:rsid w:val="00F94BB0"/>
    <w:rsid w:val="00F964B6"/>
    <w:rsid w:val="00FA3124"/>
    <w:rsid w:val="00FA3DC0"/>
    <w:rsid w:val="00FA46C0"/>
    <w:rsid w:val="00FA6440"/>
    <w:rsid w:val="00FA6F57"/>
    <w:rsid w:val="00FB06AF"/>
    <w:rsid w:val="00FB6DAF"/>
    <w:rsid w:val="00FC0399"/>
    <w:rsid w:val="00FC056A"/>
    <w:rsid w:val="00FC23FC"/>
    <w:rsid w:val="00FC3E3F"/>
    <w:rsid w:val="00FC6223"/>
    <w:rsid w:val="00FC7606"/>
    <w:rsid w:val="00FD3810"/>
    <w:rsid w:val="00FD3C76"/>
    <w:rsid w:val="00FD3D36"/>
    <w:rsid w:val="00FD4338"/>
    <w:rsid w:val="00FD5354"/>
    <w:rsid w:val="00FD7162"/>
    <w:rsid w:val="00FD7B70"/>
    <w:rsid w:val="00FE1871"/>
    <w:rsid w:val="00FE1968"/>
    <w:rsid w:val="00FE1F7D"/>
    <w:rsid w:val="00FE3662"/>
    <w:rsid w:val="00FE40D0"/>
    <w:rsid w:val="00FE7015"/>
    <w:rsid w:val="00FF3234"/>
    <w:rsid w:val="00FF428F"/>
    <w:rsid w:val="00FF6CCF"/>
    <w:rsid w:val="00FF72AD"/>
    <w:rsid w:val="00FF73C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FF81"/>
  <w15:docId w15:val="{D212E9D2-0037-41FA-AE22-20462B4A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706F95"/>
    <w:pPr>
      <w:keepNext/>
      <w:keepLines/>
      <w:numPr>
        <w:numId w:val="3"/>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F95"/>
    <w:rPr>
      <w:rFonts w:asciiTheme="majorHAnsi" w:eastAsiaTheme="majorEastAsia" w:hAnsiTheme="majorHAnsi" w:cstheme="majorBidi"/>
      <w:b/>
      <w:bCs/>
      <w:color w:val="4F81BD" w:themeColor="accent1"/>
      <w:sz w:val="26"/>
      <w:szCs w:val="26"/>
    </w:rPr>
  </w:style>
  <w:style w:type="paragraph" w:customStyle="1" w:styleId="StyleHeading2Left063cmFirstline0cm">
    <w:name w:val="Style Heading 2 + Left:  0.63 cm First line:  0 cm"/>
    <w:basedOn w:val="Heading2"/>
    <w:autoRedefine/>
    <w:qFormat/>
    <w:rsid w:val="00706F95"/>
    <w:pPr>
      <w:numPr>
        <w:numId w:val="4"/>
      </w:numPr>
      <w:spacing w:before="80"/>
    </w:pPr>
    <w:rPr>
      <w:rFonts w:eastAsia="Times New Roman" w:cs="Times New Roman"/>
      <w:szCs w:val="20"/>
    </w:rPr>
  </w:style>
  <w:style w:type="paragraph" w:styleId="ListBullet2">
    <w:name w:val="List Bullet 2"/>
    <w:basedOn w:val="Normal"/>
    <w:uiPriority w:val="99"/>
    <w:unhideWhenUsed/>
    <w:rsid w:val="009B5E0A"/>
    <w:pPr>
      <w:numPr>
        <w:numId w:val="6"/>
      </w:numPr>
      <w:contextualSpacing/>
    </w:pPr>
    <w:rPr>
      <w:rFonts w:ascii="Baskerville Old Face" w:hAnsi="Baskerville Old Face"/>
      <w:sz w:val="24"/>
    </w:rPr>
  </w:style>
  <w:style w:type="paragraph" w:styleId="ListBullet5">
    <w:name w:val="List Bullet 5"/>
    <w:basedOn w:val="Normal"/>
    <w:uiPriority w:val="99"/>
    <w:unhideWhenUsed/>
    <w:rsid w:val="009B5E0A"/>
    <w:pPr>
      <w:numPr>
        <w:numId w:val="8"/>
      </w:numPr>
      <w:contextualSpacing/>
    </w:pPr>
    <w:rPr>
      <w:rFonts w:ascii="Baskerville Old Face" w:hAnsi="Baskerville Old Face"/>
    </w:rPr>
  </w:style>
  <w:style w:type="paragraph" w:styleId="ListNumber">
    <w:name w:val="List Number"/>
    <w:basedOn w:val="Normal"/>
    <w:autoRedefine/>
    <w:uiPriority w:val="99"/>
    <w:unhideWhenUsed/>
    <w:qFormat/>
    <w:rsid w:val="009B5E0A"/>
    <w:pPr>
      <w:numPr>
        <w:numId w:val="10"/>
      </w:numPr>
      <w:contextualSpacing/>
    </w:pPr>
    <w:rPr>
      <w:rFonts w:ascii="Baskerville Old Face" w:hAnsi="Baskerville Old Face"/>
      <w:sz w:val="24"/>
    </w:rPr>
  </w:style>
  <w:style w:type="paragraph" w:styleId="ListParagraph">
    <w:name w:val="List Paragraph"/>
    <w:basedOn w:val="Normal"/>
    <w:uiPriority w:val="34"/>
    <w:qFormat/>
    <w:rsid w:val="002621FE"/>
    <w:pPr>
      <w:ind w:left="720"/>
      <w:contextualSpacing/>
    </w:pPr>
    <w:rPr>
      <w:rFonts w:ascii="Calibri" w:eastAsia="Calibri" w:hAnsi="Calibri" w:cs="Times New Roman"/>
      <w:lang w:val="af-ZA"/>
    </w:rPr>
  </w:style>
  <w:style w:type="paragraph" w:styleId="Header">
    <w:name w:val="header"/>
    <w:basedOn w:val="Normal"/>
    <w:link w:val="HeaderChar"/>
    <w:uiPriority w:val="99"/>
    <w:unhideWhenUsed/>
    <w:rsid w:val="001F6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D57"/>
  </w:style>
  <w:style w:type="paragraph" w:styleId="Footer">
    <w:name w:val="footer"/>
    <w:basedOn w:val="Normal"/>
    <w:link w:val="FooterChar"/>
    <w:uiPriority w:val="99"/>
    <w:unhideWhenUsed/>
    <w:rsid w:val="001F6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D57"/>
  </w:style>
  <w:style w:type="paragraph" w:styleId="BalloonText">
    <w:name w:val="Balloon Text"/>
    <w:basedOn w:val="Normal"/>
    <w:link w:val="BalloonTextChar"/>
    <w:uiPriority w:val="99"/>
    <w:semiHidden/>
    <w:unhideWhenUsed/>
    <w:rsid w:val="001D2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21"/>
    <w:rPr>
      <w:rFonts w:ascii="Tahoma" w:hAnsi="Tahoma" w:cs="Tahoma"/>
      <w:sz w:val="16"/>
      <w:szCs w:val="16"/>
    </w:rPr>
  </w:style>
  <w:style w:type="paragraph" w:styleId="FootnoteText">
    <w:name w:val="footnote text"/>
    <w:basedOn w:val="Normal"/>
    <w:link w:val="FootnoteTextChar"/>
    <w:uiPriority w:val="99"/>
    <w:unhideWhenUsed/>
    <w:rsid w:val="003E7C59"/>
    <w:pPr>
      <w:spacing w:after="0" w:line="240" w:lineRule="auto"/>
    </w:pPr>
    <w:rPr>
      <w:sz w:val="20"/>
      <w:szCs w:val="20"/>
    </w:rPr>
  </w:style>
  <w:style w:type="character" w:customStyle="1" w:styleId="FootnoteTextChar">
    <w:name w:val="Footnote Text Char"/>
    <w:basedOn w:val="DefaultParagraphFont"/>
    <w:link w:val="FootnoteText"/>
    <w:uiPriority w:val="99"/>
    <w:rsid w:val="003E7C59"/>
    <w:rPr>
      <w:sz w:val="20"/>
      <w:szCs w:val="20"/>
    </w:rPr>
  </w:style>
  <w:style w:type="character" w:styleId="FootnoteReference">
    <w:name w:val="footnote reference"/>
    <w:basedOn w:val="DefaultParagraphFont"/>
    <w:uiPriority w:val="99"/>
    <w:unhideWhenUsed/>
    <w:rsid w:val="003E7C59"/>
    <w:rPr>
      <w:vertAlign w:val="superscript"/>
    </w:rPr>
  </w:style>
  <w:style w:type="paragraph" w:customStyle="1" w:styleId="ORDER">
    <w:name w:val="ORDER"/>
    <w:basedOn w:val="Normal"/>
    <w:link w:val="ORDERChar"/>
    <w:qFormat/>
    <w:rsid w:val="004F5B42"/>
    <w:pPr>
      <w:spacing w:after="0" w:line="360" w:lineRule="auto"/>
      <w:ind w:left="1440" w:hanging="720"/>
      <w:jc w:val="both"/>
    </w:pPr>
    <w:rPr>
      <w:rFonts w:ascii="Times New Roman" w:eastAsia="Times New Roman" w:hAnsi="Times New Roman" w:cs="Times New Roman"/>
      <w:sz w:val="26"/>
      <w:lang w:eastAsia="en-US"/>
    </w:rPr>
  </w:style>
  <w:style w:type="character" w:customStyle="1" w:styleId="ORDERChar">
    <w:name w:val="ORDER Char"/>
    <w:basedOn w:val="DefaultParagraphFont"/>
    <w:link w:val="ORDER"/>
    <w:locked/>
    <w:rsid w:val="004F5B42"/>
    <w:rPr>
      <w:rFonts w:ascii="Times New Roman" w:eastAsia="Times New Roman" w:hAnsi="Times New Roman" w:cs="Times New Roman"/>
      <w:sz w:val="26"/>
      <w:lang w:eastAsia="en-US"/>
    </w:rPr>
  </w:style>
  <w:style w:type="paragraph" w:customStyle="1" w:styleId="1">
    <w:name w:val="1"/>
    <w:basedOn w:val="Normal"/>
    <w:qFormat/>
    <w:rsid w:val="00AA115C"/>
    <w:pPr>
      <w:widowControl w:val="0"/>
      <w:numPr>
        <w:numId w:val="16"/>
      </w:numPr>
      <w:suppressAutoHyphens/>
      <w:autoSpaceDN w:val="0"/>
      <w:spacing w:before="360" w:after="0" w:line="480" w:lineRule="auto"/>
      <w:jc w:val="both"/>
      <w:textAlignment w:val="baseline"/>
    </w:pPr>
    <w:rPr>
      <w:rFonts w:ascii="Arial" w:eastAsia="WenQuanYi Micro Hei" w:hAnsi="Arial" w:cs="Lohit Hindi"/>
      <w:iCs/>
      <w:sz w:val="24"/>
      <w:lang w:val="en-GB" w:eastAsia="zh-CN" w:bidi="hi-IN"/>
    </w:rPr>
  </w:style>
  <w:style w:type="character" w:styleId="Hyperlink">
    <w:name w:val="Hyperlink"/>
    <w:basedOn w:val="DefaultParagraphFont"/>
    <w:uiPriority w:val="99"/>
    <w:unhideWhenUsed/>
    <w:rsid w:val="00AA115C"/>
    <w:rPr>
      <w:color w:val="0000FF" w:themeColor="hyperlink"/>
      <w:u w:val="single"/>
    </w:rPr>
  </w:style>
  <w:style w:type="table" w:styleId="TableGrid">
    <w:name w:val="Table Grid"/>
    <w:basedOn w:val="TableNormal"/>
    <w:uiPriority w:val="59"/>
    <w:rsid w:val="0011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1571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27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330BA-C911-4160-89D6-2AED5D39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Geldenhuys Simone</dc:creator>
  <cp:lastModifiedBy>sathish sarshan  mohan</cp:lastModifiedBy>
  <cp:revision>7</cp:revision>
  <cp:lastPrinted>2022-07-21T09:20:00Z</cp:lastPrinted>
  <dcterms:created xsi:type="dcterms:W3CDTF">2024-05-21T11:08:00Z</dcterms:created>
  <dcterms:modified xsi:type="dcterms:W3CDTF">2024-05-24T12:17:00Z</dcterms:modified>
</cp:coreProperties>
</file>