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9BDDB" w14:textId="2DB2EFB0" w:rsidR="009810C8" w:rsidRDefault="009810C8" w:rsidP="009810C8">
      <w:pPr>
        <w:spacing w:before="240" w:after="120" w:line="360" w:lineRule="auto"/>
        <w:rPr>
          <w:rFonts w:ascii="Arial" w:hAnsi="Arial" w:cs="Arial"/>
        </w:rPr>
      </w:pPr>
      <w:r>
        <w:rPr>
          <w:noProof/>
        </w:rPr>
        <w:drawing>
          <wp:inline distT="0" distB="0" distL="0" distR="0" wp14:anchorId="14440B60" wp14:editId="55AA24E3">
            <wp:extent cx="4286250" cy="466725"/>
            <wp:effectExtent l="0" t="0" r="0" b="9525"/>
            <wp:docPr id="1867041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5E67ACD" w14:textId="0BEDD7BA" w:rsidR="00DD7687" w:rsidRDefault="00942E3A" w:rsidP="00DD7687">
      <w:pPr>
        <w:spacing w:before="240" w:after="120" w:line="360" w:lineRule="auto"/>
        <w:jc w:val="center"/>
        <w:rPr>
          <w:rFonts w:ascii="Arial" w:hAnsi="Arial" w:cs="Arial"/>
        </w:rPr>
      </w:pPr>
      <w:r w:rsidRPr="000C7880">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6D3FD349" wp14:editId="44999BC5">
            <wp:simplePos x="0" y="0"/>
            <wp:positionH relativeFrom="column">
              <wp:posOffset>2066925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47775" cy="1247775"/>
                    </a:xfrm>
                    <a:prstGeom prst="rect">
                      <a:avLst/>
                    </a:prstGeom>
                    <a:noFill/>
                    <a:ln>
                      <a:noFill/>
                    </a:ln>
                  </pic:spPr>
                </pic:pic>
              </a:graphicData>
            </a:graphic>
          </wp:anchor>
        </w:drawing>
      </w:r>
    </w:p>
    <w:p w14:paraId="56020A4D" w14:textId="77777777" w:rsidR="00DD7687" w:rsidRDefault="00DD7687" w:rsidP="00DD7687">
      <w:pPr>
        <w:spacing w:before="240" w:after="120" w:line="360" w:lineRule="auto"/>
        <w:jc w:val="center"/>
        <w:rPr>
          <w:rFonts w:ascii="Arial" w:hAnsi="Arial" w:cs="Arial"/>
        </w:rPr>
      </w:pPr>
    </w:p>
    <w:p w14:paraId="2752012B" w14:textId="77777777" w:rsidR="00DD7687" w:rsidRDefault="00DD7687" w:rsidP="00DD7687">
      <w:pPr>
        <w:spacing w:before="240" w:after="120" w:line="360" w:lineRule="auto"/>
        <w:jc w:val="center"/>
        <w:rPr>
          <w:rFonts w:ascii="Arial" w:hAnsi="Arial" w:cs="Arial"/>
        </w:rPr>
      </w:pPr>
    </w:p>
    <w:p w14:paraId="10039641" w14:textId="77777777" w:rsidR="00DD7687" w:rsidRDefault="00DD7687" w:rsidP="00DD7687">
      <w:pPr>
        <w:pStyle w:val="Frontpagecaps"/>
        <w:spacing w:before="0" w:after="0"/>
        <w:jc w:val="center"/>
        <w:rPr>
          <w:rFonts w:cs="Arial"/>
          <w:sz w:val="24"/>
          <w:szCs w:val="24"/>
        </w:rPr>
      </w:pPr>
    </w:p>
    <w:p w14:paraId="74A807F6" w14:textId="77777777" w:rsidR="00DD7687" w:rsidRDefault="00942E3A" w:rsidP="00DD7687">
      <w:pPr>
        <w:pStyle w:val="Frontpagecaps"/>
        <w:spacing w:before="0" w:after="0"/>
        <w:jc w:val="center"/>
        <w:rPr>
          <w:rFonts w:cs="Arial"/>
          <w:sz w:val="24"/>
          <w:szCs w:val="24"/>
        </w:rPr>
      </w:pPr>
      <w:r>
        <w:rPr>
          <w:rFonts w:cs="Arial"/>
          <w:sz w:val="24"/>
          <w:szCs w:val="24"/>
        </w:rPr>
        <w:t xml:space="preserve">in </w:t>
      </w:r>
      <w:r w:rsidRPr="00404D2A">
        <w:rPr>
          <w:rFonts w:cs="Arial"/>
          <w:sz w:val="24"/>
          <w:szCs w:val="24"/>
        </w:rPr>
        <w:t xml:space="preserve">the </w:t>
      </w:r>
      <w:r>
        <w:rPr>
          <w:rFonts w:cs="Arial"/>
          <w:sz w:val="24"/>
          <w:szCs w:val="24"/>
        </w:rPr>
        <w:t>HIGH court of South Africa</w:t>
      </w:r>
      <w:r w:rsidRPr="00404D2A">
        <w:rPr>
          <w:rFonts w:cs="Arial"/>
          <w:sz w:val="24"/>
          <w:szCs w:val="24"/>
        </w:rPr>
        <w:t xml:space="preserve"> </w:t>
      </w:r>
    </w:p>
    <w:p w14:paraId="6D466C17" w14:textId="77777777" w:rsidR="00DD7687" w:rsidRPr="00491516" w:rsidRDefault="00942E3A" w:rsidP="00DD7687">
      <w:pPr>
        <w:pStyle w:val="Frontpagecaps"/>
        <w:spacing w:before="0" w:after="0"/>
        <w:jc w:val="center"/>
        <w:rPr>
          <w:rFonts w:cs="Arial"/>
          <w:sz w:val="24"/>
          <w:szCs w:val="24"/>
        </w:rPr>
      </w:pPr>
      <w:r>
        <w:rPr>
          <w:rFonts w:cs="Arial"/>
          <w:sz w:val="24"/>
          <w:szCs w:val="24"/>
        </w:rPr>
        <w:t>GAUTENG DIVISION, PRETORIA</w:t>
      </w:r>
    </w:p>
    <w:p w14:paraId="41AD94C8" w14:textId="77777777" w:rsidR="00DD7687" w:rsidRPr="00587522" w:rsidRDefault="00942E3A" w:rsidP="00DD7687">
      <w:pPr>
        <w:spacing w:before="240" w:after="120" w:line="360" w:lineRule="auto"/>
        <w:jc w:val="right"/>
        <w:rPr>
          <w:rFonts w:ascii="Arial" w:hAnsi="Arial" w:cs="Arial"/>
        </w:rPr>
      </w:pPr>
      <w:r>
        <w:rPr>
          <w:rFonts w:ascii="Arial" w:hAnsi="Arial" w:cs="Arial"/>
        </w:rPr>
        <w:t>Case Number: A255/2022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F378BD" w14:paraId="5D20EE32" w14:textId="77777777" w:rsidTr="008214E4">
        <w:tc>
          <w:tcPr>
            <w:tcW w:w="4428" w:type="dxa"/>
          </w:tcPr>
          <w:p w14:paraId="3B31A22F" w14:textId="77777777" w:rsidR="00DD7687" w:rsidRPr="00D72A63" w:rsidRDefault="00DD7687" w:rsidP="008214E4">
            <w:pPr>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7A27C3A1" w14:textId="77777777" w:rsidR="00DD7687" w:rsidRPr="00D72A63" w:rsidRDefault="00942E3A" w:rsidP="008214E4">
            <w:pPr>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Pr="00D72A63">
              <w:rPr>
                <w:rFonts w:ascii="Times New Roman" w:eastAsia="Calibri" w:hAnsi="Times New Roman" w:cs="Arial"/>
                <w:b/>
                <w:spacing w:val="3"/>
                <w:w w:val="104"/>
                <w:kern w:val="24"/>
                <w:sz w:val="18"/>
                <w:szCs w:val="18"/>
                <w:lang w:val="en-GB"/>
              </w:rPr>
              <w:t xml:space="preserve"> NO.</w:t>
            </w:r>
          </w:p>
          <w:p w14:paraId="62890088" w14:textId="77777777" w:rsidR="00DD7687" w:rsidRPr="00D72A63" w:rsidRDefault="00942E3A" w:rsidP="008214E4">
            <w:pPr>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Pr>
                <w:rFonts w:ascii="Times New Roman" w:eastAsia="Calibri" w:hAnsi="Times New Roman" w:cs="Arial"/>
                <w:b/>
                <w:spacing w:val="3"/>
                <w:w w:val="104"/>
                <w:kern w:val="24"/>
                <w:sz w:val="18"/>
                <w:szCs w:val="18"/>
                <w:lang w:val="en-GB"/>
              </w:rPr>
              <w:t xml:space="preserve">REST TO OTHER JUDGES:  NO </w:t>
            </w:r>
          </w:p>
          <w:p w14:paraId="3CE643CA" w14:textId="77777777" w:rsidR="00DD7687" w:rsidRPr="00D72A63" w:rsidRDefault="00942E3A" w:rsidP="008214E4">
            <w:pPr>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68C362D0" w14:textId="77777777" w:rsidR="00DD7687" w:rsidRDefault="00942E3A" w:rsidP="008214E4">
            <w:pPr>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Pr="002B0B14">
              <w:rPr>
                <w:rFonts w:ascii="Times New Roman" w:eastAsia="Calibri" w:hAnsi="Times New Roman" w:cs="Arial"/>
                <w:b/>
                <w:spacing w:val="3"/>
                <w:w w:val="104"/>
                <w:kern w:val="24"/>
                <w:sz w:val="18"/>
                <w:szCs w:val="18"/>
                <w:lang w:val="en-GB"/>
              </w:rPr>
              <w:t>:</w:t>
            </w:r>
            <w:r>
              <w:rPr>
                <w:rFonts w:ascii="Times New Roman" w:eastAsia="Calibri" w:hAnsi="Times New Roman" w:cs="Arial"/>
                <w:b/>
                <w:spacing w:val="3"/>
                <w:w w:val="104"/>
                <w:kern w:val="24"/>
                <w:sz w:val="18"/>
                <w:szCs w:val="18"/>
                <w:lang w:val="en-GB"/>
              </w:rPr>
              <w:t xml:space="preserve"> </w:t>
            </w:r>
            <w:proofErr w:type="gramStart"/>
            <w:r>
              <w:rPr>
                <w:rFonts w:ascii="Times New Roman" w:eastAsia="Calibri" w:hAnsi="Times New Roman" w:cs="Arial"/>
                <w:b/>
                <w:spacing w:val="3"/>
                <w:w w:val="104"/>
                <w:kern w:val="24"/>
                <w:sz w:val="18"/>
                <w:szCs w:val="18"/>
                <w:lang w:val="en-GB"/>
              </w:rPr>
              <w:t>…..</w:t>
            </w:r>
            <w:proofErr w:type="gramEnd"/>
            <w:r>
              <w:rPr>
                <w:rFonts w:ascii="Times New Roman" w:eastAsia="Calibri" w:hAnsi="Times New Roman" w:cs="Arial"/>
                <w:b/>
                <w:spacing w:val="3"/>
                <w:w w:val="104"/>
                <w:kern w:val="24"/>
                <w:sz w:val="18"/>
                <w:szCs w:val="18"/>
                <w:lang w:val="en-GB"/>
              </w:rPr>
              <w:t xml:space="preserve"> MAY 2024</w:t>
            </w:r>
          </w:p>
          <w:p w14:paraId="2AB2BBE0" w14:textId="77777777" w:rsidR="00DD7687" w:rsidRPr="00D72A63" w:rsidRDefault="00942E3A" w:rsidP="008214E4">
            <w:pPr>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25DE52F3" w14:textId="77777777" w:rsidR="00DD7687" w:rsidRPr="00D72A63" w:rsidRDefault="00942E3A" w:rsidP="008214E4">
            <w:pPr>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535EDDAA" w14:textId="77777777" w:rsidR="00DD7687" w:rsidRDefault="00DD7687" w:rsidP="00DD7687">
      <w:pPr>
        <w:spacing w:before="240" w:after="120" w:line="360" w:lineRule="auto"/>
        <w:jc w:val="both"/>
        <w:rPr>
          <w:rFonts w:ascii="Arial" w:hAnsi="Arial" w:cs="Arial"/>
        </w:rPr>
      </w:pPr>
    </w:p>
    <w:p w14:paraId="796A9301" w14:textId="77777777" w:rsidR="00DD7687" w:rsidRDefault="00DD7687" w:rsidP="00DD7687">
      <w:pPr>
        <w:spacing w:before="240" w:after="120" w:line="360" w:lineRule="auto"/>
        <w:jc w:val="both"/>
        <w:rPr>
          <w:rFonts w:ascii="Arial" w:hAnsi="Arial" w:cs="Arial"/>
        </w:rPr>
      </w:pPr>
    </w:p>
    <w:p w14:paraId="08967BD0" w14:textId="77777777" w:rsidR="00DD7687" w:rsidRDefault="00DD7687" w:rsidP="00DD7687">
      <w:pPr>
        <w:spacing w:before="240" w:after="120" w:line="360" w:lineRule="auto"/>
        <w:jc w:val="both"/>
        <w:rPr>
          <w:rFonts w:ascii="Arial" w:hAnsi="Arial" w:cs="Arial"/>
        </w:rPr>
      </w:pPr>
    </w:p>
    <w:p w14:paraId="10188427" w14:textId="77777777" w:rsidR="00DD7687" w:rsidRPr="00220B04" w:rsidRDefault="00942E3A" w:rsidP="00DD7687">
      <w:pPr>
        <w:spacing w:before="240" w:after="120" w:line="360" w:lineRule="auto"/>
        <w:jc w:val="both"/>
        <w:rPr>
          <w:rFonts w:ascii="Arial" w:hAnsi="Arial" w:cs="Arial"/>
        </w:rPr>
      </w:pPr>
      <w:r w:rsidRPr="00220B04">
        <w:rPr>
          <w:rFonts w:ascii="Arial" w:hAnsi="Arial" w:cs="Arial"/>
        </w:rPr>
        <w:t xml:space="preserve">In the matter between </w:t>
      </w:r>
    </w:p>
    <w:p w14:paraId="17927861" w14:textId="77777777" w:rsidR="00DD7687" w:rsidRDefault="00942E3A" w:rsidP="00DD7687">
      <w:pPr>
        <w:spacing w:before="240" w:after="120" w:line="360" w:lineRule="auto"/>
        <w:jc w:val="both"/>
        <w:rPr>
          <w:rFonts w:ascii="Arial" w:hAnsi="Arial" w:cs="Arial"/>
          <w:b/>
        </w:rPr>
      </w:pPr>
      <w:r>
        <w:rPr>
          <w:rFonts w:ascii="Arial" w:hAnsi="Arial" w:cs="Arial"/>
          <w:b/>
        </w:rPr>
        <w:t>BAKGATLA BA MOCHA BA PHOPOLO TRADITIONAL</w:t>
      </w:r>
    </w:p>
    <w:p w14:paraId="6920DB28" w14:textId="77777777" w:rsidR="00DD7687" w:rsidRPr="00817CF8" w:rsidRDefault="00942E3A" w:rsidP="00DD7687">
      <w:pPr>
        <w:spacing w:before="240" w:after="120" w:line="360" w:lineRule="auto"/>
        <w:jc w:val="both"/>
        <w:rPr>
          <w:rFonts w:ascii="Arial" w:hAnsi="Arial" w:cs="Arial"/>
        </w:rPr>
      </w:pPr>
      <w:r>
        <w:rPr>
          <w:rFonts w:ascii="Arial" w:hAnsi="Arial" w:cs="Arial"/>
          <w:b/>
        </w:rPr>
        <w:t>COMMUNITY (OF MMAMETL</w:t>
      </w:r>
      <w:r w:rsidR="001E0769">
        <w:rPr>
          <w:rFonts w:ascii="Arial" w:hAnsi="Arial" w:cs="Arial"/>
          <w:b/>
        </w:rPr>
        <w:t>H</w:t>
      </w:r>
      <w:r>
        <w:rPr>
          <w:rFonts w:ascii="Arial" w:hAnsi="Arial" w:cs="Arial"/>
          <w:b/>
        </w:rPr>
        <w:t>AKE)</w:t>
      </w:r>
      <w:r>
        <w:rPr>
          <w:rFonts w:ascii="Arial" w:hAnsi="Arial" w:cs="Arial"/>
          <w:b/>
        </w:rPr>
        <w:tab/>
      </w:r>
      <w:r>
        <w:rPr>
          <w:rFonts w:ascii="Arial" w:hAnsi="Arial" w:cs="Arial"/>
          <w:b/>
        </w:rPr>
        <w:tab/>
      </w:r>
      <w:r>
        <w:rPr>
          <w:rFonts w:ascii="Arial" w:hAnsi="Arial" w:cs="Arial"/>
          <w:b/>
        </w:rPr>
        <w:tab/>
      </w:r>
      <w:r>
        <w:rPr>
          <w:rFonts w:ascii="Arial" w:hAnsi="Arial" w:cs="Arial"/>
          <w:b/>
        </w:rPr>
        <w:tab/>
        <w:t>First Appellant</w:t>
      </w:r>
    </w:p>
    <w:p w14:paraId="2C847708" w14:textId="77777777" w:rsidR="00DD7687" w:rsidRPr="00491516" w:rsidRDefault="00942E3A" w:rsidP="00DD7687">
      <w:pPr>
        <w:spacing w:before="240" w:after="120" w:line="360" w:lineRule="auto"/>
        <w:jc w:val="both"/>
        <w:rPr>
          <w:rFonts w:ascii="Arial" w:hAnsi="Arial" w:cs="Arial"/>
          <w:b/>
        </w:rPr>
      </w:pPr>
      <w:r>
        <w:rPr>
          <w:rFonts w:ascii="Arial" w:hAnsi="Arial" w:cs="Arial"/>
          <w:b/>
        </w:rPr>
        <w:t>AMOS PHOPOLO MALOKA III</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Second Appellant</w:t>
      </w:r>
    </w:p>
    <w:p w14:paraId="70D73E27" w14:textId="77777777" w:rsidR="00DD7687" w:rsidRPr="00220B04" w:rsidRDefault="00942E3A" w:rsidP="00DD7687">
      <w:pPr>
        <w:spacing w:before="240" w:after="120" w:line="360" w:lineRule="auto"/>
        <w:jc w:val="both"/>
        <w:rPr>
          <w:rFonts w:ascii="Arial" w:hAnsi="Arial" w:cs="Arial"/>
        </w:rPr>
      </w:pPr>
      <w:r w:rsidRPr="00220B04">
        <w:rPr>
          <w:rFonts w:ascii="Arial" w:hAnsi="Arial" w:cs="Arial"/>
        </w:rPr>
        <w:t>And</w:t>
      </w:r>
    </w:p>
    <w:p w14:paraId="0C784C9E" w14:textId="77777777" w:rsidR="00DD7687" w:rsidRDefault="00942E3A" w:rsidP="00DD7687">
      <w:pPr>
        <w:spacing w:before="240" w:after="120" w:line="360" w:lineRule="auto"/>
        <w:jc w:val="both"/>
        <w:rPr>
          <w:rFonts w:ascii="Arial" w:hAnsi="Arial" w:cs="Arial"/>
          <w:b/>
        </w:rPr>
      </w:pPr>
      <w:r>
        <w:rPr>
          <w:rFonts w:ascii="Arial" w:hAnsi="Arial" w:cs="Arial"/>
          <w:b/>
        </w:rPr>
        <w:t>THE PREMIER: MPUMALANGA PROVINCE</w:t>
      </w:r>
      <w:r>
        <w:rPr>
          <w:rFonts w:ascii="Arial" w:hAnsi="Arial" w:cs="Arial"/>
          <w:b/>
        </w:rPr>
        <w:tab/>
      </w:r>
      <w:r>
        <w:rPr>
          <w:rFonts w:ascii="Arial" w:hAnsi="Arial" w:cs="Arial"/>
          <w:b/>
        </w:rPr>
        <w:tab/>
        <w:t xml:space="preserve">        First Respondent</w:t>
      </w:r>
    </w:p>
    <w:p w14:paraId="7E1FF2FB" w14:textId="77777777" w:rsidR="00DD7687" w:rsidRDefault="00942E3A" w:rsidP="00DD7687">
      <w:pPr>
        <w:spacing w:before="240" w:after="120" w:line="360" w:lineRule="auto"/>
        <w:jc w:val="both"/>
        <w:rPr>
          <w:rFonts w:ascii="Arial" w:hAnsi="Arial" w:cs="Arial"/>
          <w:b/>
        </w:rPr>
      </w:pPr>
      <w:r>
        <w:rPr>
          <w:rFonts w:ascii="Arial" w:hAnsi="Arial" w:cs="Arial"/>
          <w:b/>
        </w:rPr>
        <w:t xml:space="preserve">THE CHAIRPERSON OF THE PROVINCIAL </w:t>
      </w:r>
    </w:p>
    <w:p w14:paraId="2AB9801F" w14:textId="77777777" w:rsidR="00DD7687" w:rsidRDefault="00942E3A" w:rsidP="00DD7687">
      <w:pPr>
        <w:spacing w:before="240" w:after="120" w:line="360" w:lineRule="auto"/>
        <w:jc w:val="both"/>
        <w:rPr>
          <w:rFonts w:ascii="Arial" w:hAnsi="Arial" w:cs="Arial"/>
          <w:b/>
        </w:rPr>
      </w:pPr>
      <w:r>
        <w:rPr>
          <w:rFonts w:ascii="Arial" w:hAnsi="Arial" w:cs="Arial"/>
          <w:b/>
        </w:rPr>
        <w:t>COMMITTEE ON TRADITIONAL LEADERSHIP</w:t>
      </w:r>
    </w:p>
    <w:p w14:paraId="2974DF55" w14:textId="77777777" w:rsidR="00DD7687" w:rsidRDefault="00942E3A" w:rsidP="00DD7687">
      <w:pPr>
        <w:spacing w:before="240" w:after="120" w:line="360" w:lineRule="auto"/>
        <w:jc w:val="both"/>
        <w:rPr>
          <w:rFonts w:ascii="Arial" w:hAnsi="Arial" w:cs="Arial"/>
          <w:b/>
        </w:rPr>
      </w:pPr>
      <w:r>
        <w:rPr>
          <w:rFonts w:ascii="Arial" w:hAnsi="Arial" w:cs="Arial"/>
          <w:b/>
        </w:rPr>
        <w:t>DISPUTES AND CLAIMS (MPUMALANGA) [</w:t>
      </w:r>
      <w:proofErr w:type="gramStart"/>
      <w:r w:rsidR="00956006">
        <w:rPr>
          <w:rFonts w:ascii="Arial" w:hAnsi="Arial" w:cs="Arial"/>
          <w:b/>
        </w:rPr>
        <w:t>CTLD</w:t>
      </w:r>
      <w:r w:rsidR="001E0769" w:rsidRPr="008209EF">
        <w:rPr>
          <w:rFonts w:ascii="Arial" w:hAnsi="Arial" w:cs="Arial"/>
          <w:b/>
        </w:rPr>
        <w:t>C</w:t>
      </w:r>
      <w:r w:rsidRPr="008209EF">
        <w:rPr>
          <w:rFonts w:ascii="Arial" w:hAnsi="Arial" w:cs="Arial"/>
          <w:b/>
        </w:rPr>
        <w:t>]</w:t>
      </w:r>
      <w:r w:rsidR="00714461">
        <w:rPr>
          <w:rFonts w:ascii="Arial" w:hAnsi="Arial" w:cs="Arial"/>
          <w:b/>
        </w:rPr>
        <w:t xml:space="preserve">  </w:t>
      </w:r>
      <w:r>
        <w:rPr>
          <w:rFonts w:ascii="Arial" w:hAnsi="Arial" w:cs="Arial"/>
          <w:b/>
        </w:rPr>
        <w:t>Second</w:t>
      </w:r>
      <w:proofErr w:type="gramEnd"/>
      <w:r>
        <w:rPr>
          <w:rFonts w:ascii="Arial" w:hAnsi="Arial" w:cs="Arial"/>
          <w:b/>
        </w:rPr>
        <w:t xml:space="preserve"> Respondent</w:t>
      </w:r>
    </w:p>
    <w:p w14:paraId="03A890F5" w14:textId="77777777" w:rsidR="00DD7687" w:rsidRDefault="00942E3A" w:rsidP="00DD7687">
      <w:pPr>
        <w:spacing w:before="240" w:after="120" w:line="360" w:lineRule="auto"/>
        <w:jc w:val="both"/>
        <w:rPr>
          <w:rFonts w:ascii="Arial" w:hAnsi="Arial" w:cs="Arial"/>
          <w:b/>
        </w:rPr>
      </w:pPr>
      <w:r>
        <w:rPr>
          <w:rFonts w:ascii="Arial" w:hAnsi="Arial" w:cs="Arial"/>
          <w:b/>
        </w:rPr>
        <w:t>THE COMMISSION ON RESTITUTION AND</w:t>
      </w:r>
    </w:p>
    <w:p w14:paraId="74CDA8A5" w14:textId="77777777" w:rsidR="00DD7687" w:rsidRDefault="00942E3A" w:rsidP="00DD7687">
      <w:pPr>
        <w:spacing w:before="240" w:after="120" w:line="360" w:lineRule="auto"/>
        <w:jc w:val="both"/>
        <w:rPr>
          <w:rFonts w:ascii="Arial" w:hAnsi="Arial" w:cs="Arial"/>
          <w:b/>
        </w:rPr>
      </w:pPr>
      <w:r>
        <w:rPr>
          <w:rFonts w:ascii="Arial" w:hAnsi="Arial" w:cs="Arial"/>
          <w:b/>
        </w:rPr>
        <w:lastRenderedPageBreak/>
        <w:t>LAND RIGHTS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Third Respondent</w:t>
      </w:r>
    </w:p>
    <w:p w14:paraId="10CBB123" w14:textId="77777777" w:rsidR="00DD7687" w:rsidRDefault="00942E3A" w:rsidP="00DD7687">
      <w:pPr>
        <w:spacing w:before="240" w:after="120" w:line="360" w:lineRule="auto"/>
        <w:jc w:val="both"/>
        <w:rPr>
          <w:rFonts w:ascii="Arial" w:hAnsi="Arial" w:cs="Arial"/>
          <w:b/>
        </w:rPr>
      </w:pPr>
      <w:r>
        <w:rPr>
          <w:rFonts w:ascii="Arial" w:hAnsi="Arial" w:cs="Arial"/>
          <w:b/>
        </w:rPr>
        <w:t>THE REGIONAL LAND CLAIMS COMMISSIONER</w:t>
      </w:r>
    </w:p>
    <w:p w14:paraId="71575478" w14:textId="77777777" w:rsidR="00DD7687" w:rsidRDefault="00942E3A" w:rsidP="00DD7687">
      <w:pPr>
        <w:spacing w:before="240" w:after="120" w:line="360" w:lineRule="auto"/>
        <w:jc w:val="both"/>
        <w:rPr>
          <w:rFonts w:ascii="Arial" w:hAnsi="Arial" w:cs="Arial"/>
          <w:b/>
        </w:rPr>
      </w:pPr>
      <w:r>
        <w:rPr>
          <w:rFonts w:ascii="Arial" w:hAnsi="Arial" w:cs="Arial"/>
          <w:b/>
        </w:rPr>
        <w:t>(MPUMALANGA PROVINCE)</w:t>
      </w:r>
      <w:r>
        <w:rPr>
          <w:rFonts w:ascii="Arial" w:hAnsi="Arial" w:cs="Arial"/>
          <w:b/>
        </w:rPr>
        <w:tab/>
      </w:r>
      <w:r>
        <w:rPr>
          <w:rFonts w:ascii="Arial" w:hAnsi="Arial" w:cs="Arial"/>
          <w:b/>
        </w:rPr>
        <w:tab/>
      </w:r>
      <w:r>
        <w:rPr>
          <w:rFonts w:ascii="Arial" w:hAnsi="Arial" w:cs="Arial"/>
          <w:b/>
        </w:rPr>
        <w:tab/>
      </w:r>
      <w:r>
        <w:rPr>
          <w:rFonts w:ascii="Arial" w:hAnsi="Arial" w:cs="Arial"/>
          <w:b/>
        </w:rPr>
        <w:tab/>
        <w:t>Fourth Respondent</w:t>
      </w:r>
    </w:p>
    <w:p w14:paraId="3E5067BF" w14:textId="77777777" w:rsidR="00DD7687" w:rsidRDefault="00942E3A" w:rsidP="00DD7687">
      <w:pPr>
        <w:spacing w:before="240" w:after="120" w:line="360" w:lineRule="auto"/>
        <w:jc w:val="both"/>
        <w:rPr>
          <w:rFonts w:ascii="Arial" w:hAnsi="Arial" w:cs="Arial"/>
          <w:b/>
        </w:rPr>
      </w:pPr>
      <w:r>
        <w:rPr>
          <w:rFonts w:ascii="Arial" w:hAnsi="Arial" w:cs="Arial"/>
          <w:b/>
        </w:rPr>
        <w:t>THE REGIONAL LAND CLAIMS COMMISSIONER</w:t>
      </w:r>
    </w:p>
    <w:p w14:paraId="2DA8D072" w14:textId="77777777" w:rsidR="00DD7687" w:rsidRDefault="00942E3A" w:rsidP="00DD7687">
      <w:pPr>
        <w:spacing w:before="240" w:after="120" w:line="360" w:lineRule="auto"/>
        <w:jc w:val="both"/>
        <w:rPr>
          <w:rFonts w:ascii="Arial" w:hAnsi="Arial" w:cs="Arial"/>
          <w:b/>
        </w:rPr>
      </w:pPr>
      <w:r>
        <w:rPr>
          <w:rFonts w:ascii="Arial" w:hAnsi="Arial" w:cs="Arial"/>
          <w:b/>
        </w:rPr>
        <w:t>(LIMPOPO PROVINCE)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Fifth Respondent</w:t>
      </w:r>
    </w:p>
    <w:p w14:paraId="405178E2" w14:textId="77777777" w:rsidR="00DD7687" w:rsidRDefault="00942E3A" w:rsidP="00DD7687">
      <w:pPr>
        <w:spacing w:before="240" w:after="120" w:line="360" w:lineRule="auto"/>
        <w:jc w:val="both"/>
        <w:rPr>
          <w:rFonts w:ascii="Arial" w:hAnsi="Arial" w:cs="Arial"/>
          <w:b/>
        </w:rPr>
      </w:pPr>
      <w:r>
        <w:rPr>
          <w:rFonts w:ascii="Arial" w:hAnsi="Arial" w:cs="Arial"/>
          <w:b/>
        </w:rPr>
        <w:t>THE MINISTER OF CORPORATIVE GOVERNANCE</w:t>
      </w:r>
    </w:p>
    <w:p w14:paraId="10975D48" w14:textId="77777777" w:rsidR="00DD7687" w:rsidRPr="00491516" w:rsidRDefault="00942E3A" w:rsidP="00DD7687">
      <w:pPr>
        <w:spacing w:before="240" w:after="120" w:line="360" w:lineRule="auto"/>
        <w:jc w:val="both"/>
        <w:rPr>
          <w:rFonts w:ascii="Arial" w:hAnsi="Arial" w:cs="Arial"/>
          <w:b/>
        </w:rPr>
      </w:pPr>
      <w:r>
        <w:rPr>
          <w:rFonts w:ascii="Arial" w:hAnsi="Arial" w:cs="Arial"/>
          <w:b/>
        </w:rPr>
        <w:t>AND TRADITIONAL AFFAIRS</w:t>
      </w:r>
      <w:r>
        <w:rPr>
          <w:rFonts w:ascii="Arial" w:hAnsi="Arial" w:cs="Arial"/>
          <w:b/>
        </w:rPr>
        <w:tab/>
      </w:r>
      <w:r>
        <w:rPr>
          <w:rFonts w:ascii="Arial" w:hAnsi="Arial" w:cs="Arial"/>
          <w:b/>
        </w:rPr>
        <w:tab/>
      </w:r>
      <w:r>
        <w:rPr>
          <w:rFonts w:ascii="Arial" w:hAnsi="Arial" w:cs="Arial"/>
          <w:b/>
        </w:rPr>
        <w:tab/>
      </w:r>
      <w:r>
        <w:rPr>
          <w:rFonts w:ascii="Arial" w:hAnsi="Arial" w:cs="Arial"/>
          <w:b/>
        </w:rPr>
        <w:tab/>
        <w:t>Sixth Respondent</w:t>
      </w:r>
    </w:p>
    <w:p w14:paraId="19E24B35" w14:textId="77777777" w:rsidR="00DD7687" w:rsidRDefault="00DD7687" w:rsidP="00DD7687">
      <w:pPr>
        <w:pBdr>
          <w:top w:val="single" w:sz="12" w:space="1" w:color="auto"/>
          <w:bottom w:val="single" w:sz="12" w:space="1" w:color="auto"/>
        </w:pBdr>
        <w:spacing w:before="240" w:after="120" w:line="360" w:lineRule="auto"/>
        <w:jc w:val="center"/>
        <w:rPr>
          <w:rFonts w:ascii="Arial" w:hAnsi="Arial" w:cs="Arial"/>
        </w:rPr>
      </w:pPr>
    </w:p>
    <w:p w14:paraId="196BDEA3" w14:textId="77777777" w:rsidR="00DD7687" w:rsidRPr="000C6990" w:rsidRDefault="00942E3A" w:rsidP="00DD7687">
      <w:pPr>
        <w:pBdr>
          <w:top w:val="single" w:sz="12" w:space="1" w:color="auto"/>
          <w:bottom w:val="single" w:sz="12" w:space="1" w:color="auto"/>
        </w:pBdr>
        <w:spacing w:before="240" w:after="120" w:line="360" w:lineRule="auto"/>
        <w:jc w:val="center"/>
        <w:rPr>
          <w:rFonts w:ascii="Arial" w:hAnsi="Arial" w:cs="Arial"/>
          <w:b/>
        </w:rPr>
      </w:pPr>
      <w:r w:rsidRPr="000C6990">
        <w:rPr>
          <w:rFonts w:ascii="Arial" w:hAnsi="Arial" w:cs="Arial"/>
          <w:b/>
        </w:rPr>
        <w:t>JUDGMENT</w:t>
      </w:r>
    </w:p>
    <w:p w14:paraId="5A48D766" w14:textId="77777777" w:rsidR="00DD7687" w:rsidRPr="00B26021" w:rsidRDefault="00942E3A" w:rsidP="0094689E">
      <w:pPr>
        <w:spacing w:before="240" w:after="120" w:line="360" w:lineRule="auto"/>
        <w:rPr>
          <w:rFonts w:ascii="Arial" w:hAnsi="Arial" w:cs="Arial"/>
          <w:b/>
        </w:rPr>
      </w:pPr>
      <w:r w:rsidRPr="00B26021">
        <w:rPr>
          <w:rFonts w:ascii="Arial" w:hAnsi="Arial" w:cs="Arial"/>
          <w:b/>
        </w:rPr>
        <w:t>MAHOSI J</w:t>
      </w:r>
      <w:r w:rsidRPr="00B26021">
        <w:rPr>
          <w:rFonts w:ascii="Arial" w:hAnsi="Arial" w:cs="Arial"/>
          <w:b/>
        </w:rPr>
        <w:tab/>
      </w:r>
    </w:p>
    <w:p w14:paraId="377C4922" w14:textId="77777777" w:rsidR="00DD7687" w:rsidRPr="00A130E5" w:rsidRDefault="00942E3A" w:rsidP="0094689E">
      <w:pPr>
        <w:spacing w:before="240" w:after="120" w:line="360" w:lineRule="auto"/>
        <w:jc w:val="both"/>
        <w:rPr>
          <w:rFonts w:ascii="Arial" w:hAnsi="Arial" w:cs="Arial"/>
          <w:u w:val="single"/>
        </w:rPr>
      </w:pPr>
      <w:r w:rsidRPr="00A130E5">
        <w:rPr>
          <w:rFonts w:ascii="Arial" w:hAnsi="Arial" w:cs="Arial"/>
          <w:u w:val="single"/>
        </w:rPr>
        <w:t>Introduction</w:t>
      </w:r>
    </w:p>
    <w:p w14:paraId="360E7877" w14:textId="77777777" w:rsidR="00DD7687" w:rsidRDefault="00942E3A" w:rsidP="0094689E">
      <w:pPr>
        <w:spacing w:before="240" w:after="120" w:line="360" w:lineRule="auto"/>
        <w:jc w:val="both"/>
        <w:rPr>
          <w:rFonts w:ascii="Arial" w:hAnsi="Arial" w:cs="Arial"/>
        </w:rPr>
      </w:pPr>
      <w:r w:rsidRPr="00A130E5">
        <w:rPr>
          <w:rFonts w:ascii="Arial" w:hAnsi="Arial" w:cs="Arial"/>
        </w:rPr>
        <w:t>[1]</w:t>
      </w:r>
      <w:r w:rsidRPr="00A130E5">
        <w:rPr>
          <w:rFonts w:ascii="Arial" w:hAnsi="Arial" w:cs="Arial"/>
        </w:rPr>
        <w:tab/>
        <w:t xml:space="preserve">This is an appeal against the judgment of Mahlangu AJ sitting as a Court </w:t>
      </w:r>
      <w:r w:rsidRPr="00A130E5">
        <w:rPr>
          <w:rFonts w:ascii="Arial" w:hAnsi="Arial" w:cs="Arial"/>
          <w:i/>
        </w:rPr>
        <w:t>a</w:t>
      </w:r>
      <w:r>
        <w:rPr>
          <w:rFonts w:ascii="Arial" w:hAnsi="Arial" w:cs="Arial"/>
          <w:i/>
        </w:rPr>
        <w:t xml:space="preserve"> </w:t>
      </w:r>
      <w:r w:rsidRPr="00A130E5">
        <w:rPr>
          <w:rFonts w:ascii="Arial" w:hAnsi="Arial" w:cs="Arial"/>
          <w:i/>
        </w:rPr>
        <w:t>quo</w:t>
      </w:r>
      <w:r>
        <w:rPr>
          <w:rFonts w:ascii="Arial" w:hAnsi="Arial" w:cs="Arial"/>
        </w:rPr>
        <w:t xml:space="preserve"> dismissing</w:t>
      </w:r>
      <w:r w:rsidRPr="00A130E5">
        <w:rPr>
          <w:rFonts w:ascii="Arial" w:hAnsi="Arial" w:cs="Arial"/>
        </w:rPr>
        <w:t xml:space="preserve"> the application to review and set aside </w:t>
      </w:r>
      <w:r>
        <w:rPr>
          <w:rFonts w:ascii="Arial" w:hAnsi="Arial" w:cs="Arial"/>
        </w:rPr>
        <w:t>the first respondent’</w:t>
      </w:r>
      <w:r w:rsidRPr="00A130E5">
        <w:rPr>
          <w:rFonts w:ascii="Arial" w:hAnsi="Arial" w:cs="Arial"/>
        </w:rPr>
        <w:t>s</w:t>
      </w:r>
      <w:r>
        <w:rPr>
          <w:rFonts w:ascii="Arial" w:hAnsi="Arial" w:cs="Arial"/>
        </w:rPr>
        <w:t xml:space="preserve"> decision not to grant the recognition of the first and second appellants and ancillary orders </w:t>
      </w:r>
      <w:r w:rsidRPr="00A130E5">
        <w:rPr>
          <w:rFonts w:ascii="Arial" w:hAnsi="Arial" w:cs="Arial"/>
        </w:rPr>
        <w:t xml:space="preserve">with costs. </w:t>
      </w:r>
      <w:r>
        <w:rPr>
          <w:rFonts w:ascii="Arial" w:hAnsi="Arial" w:cs="Arial"/>
        </w:rPr>
        <w:t xml:space="preserve">The appeal </w:t>
      </w:r>
      <w:r w:rsidRPr="008F594B">
        <w:rPr>
          <w:rFonts w:ascii="Arial" w:hAnsi="Arial" w:cs="Arial"/>
        </w:rPr>
        <w:t>is with the leave of the</w:t>
      </w:r>
      <w:r>
        <w:rPr>
          <w:rFonts w:ascii="Arial" w:hAnsi="Arial" w:cs="Arial"/>
        </w:rPr>
        <w:t xml:space="preserve"> Court </w:t>
      </w:r>
      <w:r w:rsidRPr="00EB2C32">
        <w:rPr>
          <w:rFonts w:ascii="Arial" w:hAnsi="Arial" w:cs="Arial"/>
          <w:i/>
        </w:rPr>
        <w:t>a quo.</w:t>
      </w:r>
      <w:r>
        <w:rPr>
          <w:rFonts w:ascii="Arial" w:hAnsi="Arial" w:cs="Arial"/>
        </w:rPr>
        <w:t xml:space="preserve"> Only the first, </w:t>
      </w:r>
      <w:r w:rsidRPr="00A130E5">
        <w:rPr>
          <w:rFonts w:ascii="Arial" w:hAnsi="Arial" w:cs="Arial"/>
        </w:rPr>
        <w:t xml:space="preserve">second, </w:t>
      </w:r>
      <w:r>
        <w:rPr>
          <w:rFonts w:ascii="Arial" w:hAnsi="Arial" w:cs="Arial"/>
        </w:rPr>
        <w:t xml:space="preserve">and fourth </w:t>
      </w:r>
      <w:r w:rsidRPr="00A130E5">
        <w:rPr>
          <w:rFonts w:ascii="Arial" w:hAnsi="Arial" w:cs="Arial"/>
        </w:rPr>
        <w:t>respondents</w:t>
      </w:r>
      <w:r>
        <w:rPr>
          <w:rFonts w:ascii="Arial" w:hAnsi="Arial" w:cs="Arial"/>
        </w:rPr>
        <w:t xml:space="preserve"> (“the respondents”)</w:t>
      </w:r>
      <w:r w:rsidRPr="00A130E5">
        <w:rPr>
          <w:rFonts w:ascii="Arial" w:hAnsi="Arial" w:cs="Arial"/>
        </w:rPr>
        <w:t xml:space="preserve"> </w:t>
      </w:r>
      <w:r>
        <w:rPr>
          <w:rFonts w:ascii="Arial" w:hAnsi="Arial" w:cs="Arial"/>
        </w:rPr>
        <w:t>opposed</w:t>
      </w:r>
      <w:r w:rsidRPr="00A130E5">
        <w:rPr>
          <w:rFonts w:ascii="Arial" w:hAnsi="Arial" w:cs="Arial"/>
        </w:rPr>
        <w:t xml:space="preserve"> </w:t>
      </w:r>
      <w:r>
        <w:rPr>
          <w:rFonts w:ascii="Arial" w:hAnsi="Arial" w:cs="Arial"/>
        </w:rPr>
        <w:t xml:space="preserve">the application. </w:t>
      </w:r>
    </w:p>
    <w:p w14:paraId="0C381FC8" w14:textId="6027E756" w:rsidR="00A70AFA" w:rsidRPr="00A70AFA" w:rsidRDefault="00A70AFA" w:rsidP="0094689E">
      <w:pPr>
        <w:spacing w:before="240" w:after="120" w:line="360" w:lineRule="auto"/>
        <w:jc w:val="both"/>
        <w:rPr>
          <w:rFonts w:ascii="Arial" w:hAnsi="Arial" w:cs="Arial"/>
          <w:u w:val="single"/>
        </w:rPr>
      </w:pPr>
      <w:r w:rsidRPr="00A70AFA">
        <w:rPr>
          <w:rFonts w:ascii="Arial" w:hAnsi="Arial" w:cs="Arial"/>
          <w:u w:val="single"/>
        </w:rPr>
        <w:t>The parties</w:t>
      </w:r>
    </w:p>
    <w:p w14:paraId="13DB224D" w14:textId="2B4D5F34" w:rsidR="00FD3D2C" w:rsidRDefault="00942E3A" w:rsidP="0094689E">
      <w:pPr>
        <w:spacing w:before="240" w:after="120" w:line="360" w:lineRule="auto"/>
        <w:jc w:val="both"/>
        <w:rPr>
          <w:rFonts w:ascii="Arial" w:hAnsi="Arial" w:cs="Arial"/>
        </w:rPr>
      </w:pPr>
      <w:r w:rsidRPr="00872358">
        <w:rPr>
          <w:rFonts w:ascii="Arial" w:hAnsi="Arial" w:cs="Arial"/>
        </w:rPr>
        <w:t>[2]</w:t>
      </w:r>
      <w:r w:rsidRPr="00872358">
        <w:rPr>
          <w:rFonts w:ascii="Arial" w:hAnsi="Arial" w:cs="Arial"/>
        </w:rPr>
        <w:tab/>
      </w:r>
      <w:r>
        <w:rPr>
          <w:rFonts w:ascii="Arial" w:hAnsi="Arial" w:cs="Arial"/>
        </w:rPr>
        <w:t xml:space="preserve">The first appellant is </w:t>
      </w:r>
      <w:proofErr w:type="spellStart"/>
      <w:r w:rsidR="00CC2A30">
        <w:rPr>
          <w:rFonts w:ascii="Arial" w:hAnsi="Arial" w:cs="Arial"/>
        </w:rPr>
        <w:t>Bakgatla</w:t>
      </w:r>
      <w:proofErr w:type="spellEnd"/>
      <w:r w:rsidR="00CC2A30">
        <w:rPr>
          <w:rFonts w:ascii="Arial" w:hAnsi="Arial" w:cs="Arial"/>
        </w:rPr>
        <w:t xml:space="preserve"> Ba Mocha </w:t>
      </w:r>
      <w:proofErr w:type="spellStart"/>
      <w:r w:rsidR="00CC2A30">
        <w:rPr>
          <w:rFonts w:ascii="Arial" w:hAnsi="Arial" w:cs="Arial"/>
        </w:rPr>
        <w:t>Phopolo</w:t>
      </w:r>
      <w:proofErr w:type="spellEnd"/>
      <w:r w:rsidR="00A70AFA">
        <w:rPr>
          <w:rFonts w:ascii="Arial" w:hAnsi="Arial" w:cs="Arial"/>
        </w:rPr>
        <w:t xml:space="preserve"> Traditional Community </w:t>
      </w:r>
      <w:r>
        <w:rPr>
          <w:rFonts w:ascii="Arial" w:hAnsi="Arial" w:cs="Arial"/>
        </w:rPr>
        <w:t>that has struggled to obtain official recognition since the dawn of South Africa's new constitutional democracy. The second appellant</w:t>
      </w:r>
      <w:r w:rsidR="009F4A7E">
        <w:rPr>
          <w:rFonts w:ascii="Arial" w:hAnsi="Arial" w:cs="Arial"/>
        </w:rPr>
        <w:t xml:space="preserve">, Amos </w:t>
      </w:r>
      <w:proofErr w:type="spellStart"/>
      <w:r w:rsidR="009F4A7E">
        <w:rPr>
          <w:rFonts w:ascii="Arial" w:hAnsi="Arial" w:cs="Arial"/>
        </w:rPr>
        <w:t>Phopolo</w:t>
      </w:r>
      <w:proofErr w:type="spellEnd"/>
      <w:r w:rsidR="009F4A7E">
        <w:rPr>
          <w:rFonts w:ascii="Arial" w:hAnsi="Arial" w:cs="Arial"/>
        </w:rPr>
        <w:t xml:space="preserve"> Maloka III</w:t>
      </w:r>
      <w:r w:rsidR="008E0646">
        <w:rPr>
          <w:rFonts w:ascii="Arial" w:hAnsi="Arial" w:cs="Arial"/>
        </w:rPr>
        <w:t>,</w:t>
      </w:r>
      <w:r>
        <w:rPr>
          <w:rFonts w:ascii="Arial" w:hAnsi="Arial" w:cs="Arial"/>
        </w:rPr>
        <w:t xml:space="preserve"> i</w:t>
      </w:r>
      <w:r w:rsidR="00714461">
        <w:rPr>
          <w:rFonts w:ascii="Arial" w:hAnsi="Arial" w:cs="Arial"/>
        </w:rPr>
        <w:t>s senior traditional l</w:t>
      </w:r>
      <w:r>
        <w:rPr>
          <w:rFonts w:ascii="Arial" w:hAnsi="Arial" w:cs="Arial"/>
        </w:rPr>
        <w:t>eader</w:t>
      </w:r>
      <w:r w:rsidR="00CC2A30">
        <w:rPr>
          <w:rFonts w:ascii="Arial" w:hAnsi="Arial" w:cs="Arial"/>
        </w:rPr>
        <w:t xml:space="preserve"> of </w:t>
      </w:r>
      <w:proofErr w:type="spellStart"/>
      <w:r w:rsidR="00CC2A30">
        <w:rPr>
          <w:rFonts w:ascii="Arial" w:hAnsi="Arial" w:cs="Arial"/>
        </w:rPr>
        <w:t>Bakgatla</w:t>
      </w:r>
      <w:proofErr w:type="spellEnd"/>
      <w:r w:rsidR="00CC2A30">
        <w:rPr>
          <w:rFonts w:ascii="Arial" w:hAnsi="Arial" w:cs="Arial"/>
        </w:rPr>
        <w:t xml:space="preserve"> Ba Mocha </w:t>
      </w:r>
      <w:proofErr w:type="spellStart"/>
      <w:r w:rsidR="00CC2A30">
        <w:rPr>
          <w:rFonts w:ascii="Arial" w:hAnsi="Arial" w:cs="Arial"/>
        </w:rPr>
        <w:t>Phopolo</w:t>
      </w:r>
      <w:proofErr w:type="spellEnd"/>
      <w:r>
        <w:rPr>
          <w:rFonts w:ascii="Arial" w:hAnsi="Arial" w:cs="Arial"/>
        </w:rPr>
        <w:t>.</w:t>
      </w:r>
    </w:p>
    <w:p w14:paraId="2A6B577D" w14:textId="6E8687AE" w:rsidR="00DD7687" w:rsidRDefault="00FD3D2C" w:rsidP="0094689E">
      <w:pPr>
        <w:spacing w:before="240" w:after="120" w:line="360" w:lineRule="auto"/>
        <w:jc w:val="both"/>
        <w:rPr>
          <w:rFonts w:ascii="Arial" w:hAnsi="Arial" w:cs="Arial"/>
        </w:rPr>
      </w:pPr>
      <w:r>
        <w:rPr>
          <w:rFonts w:ascii="Arial" w:hAnsi="Arial" w:cs="Arial"/>
        </w:rPr>
        <w:t>[3]</w:t>
      </w:r>
      <w:r>
        <w:rPr>
          <w:rFonts w:ascii="Arial" w:hAnsi="Arial" w:cs="Arial"/>
        </w:rPr>
        <w:tab/>
        <w:t>The first respondent is the Premier of Mpumalanga Province. The second respondent is the</w:t>
      </w:r>
      <w:r w:rsidR="00942E3A">
        <w:rPr>
          <w:rFonts w:ascii="Arial" w:hAnsi="Arial" w:cs="Arial"/>
        </w:rPr>
        <w:t xml:space="preserve"> </w:t>
      </w:r>
      <w:r w:rsidR="00FA2A30">
        <w:rPr>
          <w:rFonts w:ascii="Arial" w:hAnsi="Arial" w:cs="Arial"/>
        </w:rPr>
        <w:t>Chairperson of</w:t>
      </w:r>
      <w:r>
        <w:rPr>
          <w:rFonts w:ascii="Arial" w:hAnsi="Arial" w:cs="Arial"/>
        </w:rPr>
        <w:t xml:space="preserve"> the Committee on Traditional </w:t>
      </w:r>
      <w:r>
        <w:rPr>
          <w:rFonts w:ascii="Arial" w:hAnsi="Arial" w:cs="Arial"/>
        </w:rPr>
        <w:lastRenderedPageBreak/>
        <w:t>Leadership Disputes and Claims (“</w:t>
      </w:r>
      <w:r w:rsidRPr="00714461">
        <w:rPr>
          <w:rFonts w:ascii="Arial" w:hAnsi="Arial" w:cs="Arial"/>
        </w:rPr>
        <w:t>the CTLDC</w:t>
      </w:r>
      <w:r>
        <w:rPr>
          <w:rFonts w:ascii="Arial" w:hAnsi="Arial" w:cs="Arial"/>
        </w:rPr>
        <w:t xml:space="preserve">”). The fourth respondent is the Regional Land Claims </w:t>
      </w:r>
      <w:r w:rsidR="00FA2A30">
        <w:rPr>
          <w:rFonts w:ascii="Arial" w:hAnsi="Arial" w:cs="Arial"/>
        </w:rPr>
        <w:t>Commissioner</w:t>
      </w:r>
      <w:r>
        <w:rPr>
          <w:rFonts w:ascii="Arial" w:hAnsi="Arial" w:cs="Arial"/>
        </w:rPr>
        <w:t xml:space="preserve"> (Mpumalanga Province)</w:t>
      </w:r>
      <w:r w:rsidR="00FA2A30">
        <w:rPr>
          <w:rFonts w:ascii="Arial" w:hAnsi="Arial" w:cs="Arial"/>
        </w:rPr>
        <w:t>.</w:t>
      </w:r>
    </w:p>
    <w:p w14:paraId="73082B00" w14:textId="75B77A7B" w:rsidR="00DD7687" w:rsidRDefault="00FD3D2C" w:rsidP="0094689E">
      <w:pPr>
        <w:spacing w:before="240" w:after="120" w:line="360" w:lineRule="auto"/>
        <w:jc w:val="both"/>
        <w:rPr>
          <w:rFonts w:ascii="Arial" w:hAnsi="Arial" w:cs="Arial"/>
        </w:rPr>
      </w:pPr>
      <w:r>
        <w:rPr>
          <w:rFonts w:ascii="Arial" w:hAnsi="Arial" w:cs="Arial"/>
        </w:rPr>
        <w:t>[4</w:t>
      </w:r>
      <w:r w:rsidR="00942E3A">
        <w:rPr>
          <w:rFonts w:ascii="Arial" w:hAnsi="Arial" w:cs="Arial"/>
        </w:rPr>
        <w:t>]</w:t>
      </w:r>
      <w:r w:rsidR="00942E3A">
        <w:rPr>
          <w:rFonts w:ascii="Arial" w:hAnsi="Arial" w:cs="Arial"/>
        </w:rPr>
        <w:tab/>
      </w:r>
      <w:r w:rsidR="00797296">
        <w:rPr>
          <w:rFonts w:ascii="Arial" w:hAnsi="Arial" w:cs="Arial"/>
        </w:rPr>
        <w:t>During 2009 and 2011,</w:t>
      </w:r>
      <w:r w:rsidR="00CC2A30">
        <w:rPr>
          <w:rFonts w:ascii="Arial" w:hAnsi="Arial" w:cs="Arial"/>
        </w:rPr>
        <w:t xml:space="preserve"> </w:t>
      </w:r>
      <w:r w:rsidR="00797296">
        <w:rPr>
          <w:rFonts w:ascii="Arial" w:hAnsi="Arial" w:cs="Arial"/>
        </w:rPr>
        <w:t>t</w:t>
      </w:r>
      <w:r w:rsidR="00CC2A30">
        <w:rPr>
          <w:rFonts w:ascii="Arial" w:hAnsi="Arial" w:cs="Arial"/>
        </w:rPr>
        <w:t>he appell</w:t>
      </w:r>
      <w:r w:rsidR="00A70AFA">
        <w:rPr>
          <w:rFonts w:ascii="Arial" w:hAnsi="Arial" w:cs="Arial"/>
        </w:rPr>
        <w:t>ants applied for recognition to</w:t>
      </w:r>
      <w:r w:rsidR="00942E3A">
        <w:rPr>
          <w:rFonts w:ascii="Arial" w:hAnsi="Arial" w:cs="Arial"/>
        </w:rPr>
        <w:t xml:space="preserve"> the first respondent (“the Premier") </w:t>
      </w:r>
      <w:r w:rsidR="00A70AFA">
        <w:rPr>
          <w:rFonts w:ascii="Arial" w:hAnsi="Arial" w:cs="Arial"/>
        </w:rPr>
        <w:t>on the basis that</w:t>
      </w:r>
      <w:r w:rsidR="009F4A7E">
        <w:rPr>
          <w:rFonts w:ascii="Arial" w:hAnsi="Arial" w:cs="Arial"/>
        </w:rPr>
        <w:t xml:space="preserve"> they are an existing separate traditional community with its jurisdictional area under</w:t>
      </w:r>
      <w:r w:rsidR="008E0646">
        <w:rPr>
          <w:rFonts w:ascii="Arial" w:hAnsi="Arial" w:cs="Arial"/>
        </w:rPr>
        <w:t xml:space="preserve"> Amos </w:t>
      </w:r>
      <w:proofErr w:type="spellStart"/>
      <w:r w:rsidR="008E0646">
        <w:rPr>
          <w:rFonts w:ascii="Arial" w:hAnsi="Arial" w:cs="Arial"/>
        </w:rPr>
        <w:t>Phopolo</w:t>
      </w:r>
      <w:proofErr w:type="spellEnd"/>
      <w:r w:rsidR="008E0646">
        <w:rPr>
          <w:rFonts w:ascii="Arial" w:hAnsi="Arial" w:cs="Arial"/>
        </w:rPr>
        <w:t xml:space="preserve"> Maloka III</w:t>
      </w:r>
      <w:r w:rsidR="009F4A7E">
        <w:rPr>
          <w:rFonts w:ascii="Arial" w:hAnsi="Arial" w:cs="Arial"/>
        </w:rPr>
        <w:t>.</w:t>
      </w:r>
      <w:r w:rsidR="00A70AFA">
        <w:rPr>
          <w:rFonts w:ascii="Arial" w:hAnsi="Arial" w:cs="Arial"/>
        </w:rPr>
        <w:t xml:space="preserve"> The Premier </w:t>
      </w:r>
      <w:r w:rsidR="00942E3A">
        <w:rPr>
          <w:rFonts w:ascii="Arial" w:hAnsi="Arial" w:cs="Arial"/>
        </w:rPr>
        <w:t xml:space="preserve">appointed the </w:t>
      </w:r>
      <w:r w:rsidR="00942E3A" w:rsidRPr="00714461">
        <w:rPr>
          <w:rFonts w:ascii="Arial" w:hAnsi="Arial" w:cs="Arial"/>
        </w:rPr>
        <w:t>CTLDC</w:t>
      </w:r>
      <w:r w:rsidR="00942E3A">
        <w:rPr>
          <w:rFonts w:ascii="Arial" w:hAnsi="Arial" w:cs="Arial"/>
        </w:rPr>
        <w:t xml:space="preserve">, which </w:t>
      </w:r>
      <w:r w:rsidR="00942E3A" w:rsidRPr="008F183D">
        <w:rPr>
          <w:rFonts w:ascii="Arial" w:hAnsi="Arial" w:cs="Arial"/>
        </w:rPr>
        <w:t xml:space="preserve">was established in terms of the </w:t>
      </w:r>
      <w:r w:rsidR="00FA2A30">
        <w:rPr>
          <w:rFonts w:ascii="Arial" w:hAnsi="Arial" w:cs="Arial"/>
        </w:rPr>
        <w:t>Traditional Leadership and Governance Framework</w:t>
      </w:r>
      <w:r w:rsidR="00FA2A30" w:rsidRPr="008F183D">
        <w:rPr>
          <w:rFonts w:ascii="Arial" w:hAnsi="Arial" w:cs="Arial"/>
        </w:rPr>
        <w:t xml:space="preserve"> </w:t>
      </w:r>
      <w:r w:rsidR="00942E3A" w:rsidRPr="008F183D">
        <w:rPr>
          <w:rFonts w:ascii="Arial" w:hAnsi="Arial" w:cs="Arial"/>
        </w:rPr>
        <w:t>Act</w:t>
      </w:r>
      <w:r w:rsidR="00840F89">
        <w:rPr>
          <w:rStyle w:val="FootnoteReference"/>
          <w:rFonts w:ascii="Arial" w:hAnsi="Arial" w:cs="Arial"/>
        </w:rPr>
        <w:footnoteReference w:id="1"/>
      </w:r>
      <w:r w:rsidR="00840F89">
        <w:rPr>
          <w:rFonts w:ascii="Arial" w:hAnsi="Arial" w:cs="Arial"/>
        </w:rPr>
        <w:t xml:space="preserve"> (“Framework Act”)</w:t>
      </w:r>
      <w:r w:rsidR="00942E3A" w:rsidRPr="008F183D">
        <w:rPr>
          <w:rFonts w:ascii="Arial" w:hAnsi="Arial" w:cs="Arial"/>
        </w:rPr>
        <w:t xml:space="preserve"> to investigate the </w:t>
      </w:r>
      <w:r w:rsidR="009F4A7E">
        <w:rPr>
          <w:rFonts w:ascii="Arial" w:hAnsi="Arial" w:cs="Arial"/>
        </w:rPr>
        <w:t xml:space="preserve">legitimacy </w:t>
      </w:r>
      <w:r w:rsidR="00840F89">
        <w:rPr>
          <w:rFonts w:ascii="Arial" w:hAnsi="Arial" w:cs="Arial"/>
        </w:rPr>
        <w:t>their claim and whether</w:t>
      </w:r>
      <w:r w:rsidR="00695808">
        <w:rPr>
          <w:rFonts w:ascii="Arial" w:hAnsi="Arial" w:cs="Arial"/>
        </w:rPr>
        <w:t xml:space="preserve"> the </w:t>
      </w:r>
      <w:r w:rsidR="00840F89">
        <w:rPr>
          <w:rFonts w:ascii="Arial" w:hAnsi="Arial" w:cs="Arial"/>
        </w:rPr>
        <w:t xml:space="preserve">traditional leadership under </w:t>
      </w:r>
      <w:r w:rsidR="00695808">
        <w:rPr>
          <w:rFonts w:ascii="Arial" w:hAnsi="Arial" w:cs="Arial"/>
        </w:rPr>
        <w:t xml:space="preserve">Amos </w:t>
      </w:r>
      <w:proofErr w:type="spellStart"/>
      <w:r w:rsidR="00695808">
        <w:rPr>
          <w:rFonts w:ascii="Arial" w:hAnsi="Arial" w:cs="Arial"/>
        </w:rPr>
        <w:t>Phopolo</w:t>
      </w:r>
      <w:proofErr w:type="spellEnd"/>
      <w:r w:rsidR="00695808">
        <w:rPr>
          <w:rFonts w:ascii="Arial" w:hAnsi="Arial" w:cs="Arial"/>
        </w:rPr>
        <w:t xml:space="preserve"> Maloka III </w:t>
      </w:r>
      <w:r w:rsidR="008F183D">
        <w:rPr>
          <w:rFonts w:ascii="Arial" w:hAnsi="Arial" w:cs="Arial"/>
        </w:rPr>
        <w:t xml:space="preserve">was established in accordance with </w:t>
      </w:r>
      <w:r w:rsidR="00572E6F">
        <w:rPr>
          <w:rFonts w:ascii="Arial" w:hAnsi="Arial" w:cs="Arial"/>
        </w:rPr>
        <w:t xml:space="preserve">customary law and customs. </w:t>
      </w:r>
    </w:p>
    <w:p w14:paraId="6DAB2AF3" w14:textId="5A9BACEE" w:rsidR="00A70AFA" w:rsidRPr="00A70AFA" w:rsidRDefault="00A70AFA" w:rsidP="0094689E">
      <w:pPr>
        <w:spacing w:before="240" w:after="120" w:line="360" w:lineRule="auto"/>
        <w:jc w:val="both"/>
        <w:rPr>
          <w:rFonts w:ascii="Arial" w:hAnsi="Arial" w:cs="Arial"/>
          <w:u w:val="single"/>
        </w:rPr>
      </w:pPr>
      <w:r w:rsidRPr="00A70AFA">
        <w:rPr>
          <w:rFonts w:ascii="Arial" w:hAnsi="Arial" w:cs="Arial"/>
          <w:u w:val="single"/>
        </w:rPr>
        <w:t>Background facts</w:t>
      </w:r>
    </w:p>
    <w:p w14:paraId="1B66A1FA" w14:textId="2A03346D" w:rsidR="00DD7687" w:rsidRDefault="00FD3D2C" w:rsidP="0094689E">
      <w:pPr>
        <w:spacing w:before="240" w:after="120" w:line="360" w:lineRule="auto"/>
        <w:jc w:val="both"/>
        <w:rPr>
          <w:rFonts w:ascii="Arial" w:hAnsi="Arial" w:cs="Arial"/>
        </w:rPr>
      </w:pPr>
      <w:r>
        <w:rPr>
          <w:rFonts w:ascii="Arial" w:hAnsi="Arial" w:cs="Arial"/>
        </w:rPr>
        <w:t>[5</w:t>
      </w:r>
      <w:r w:rsidR="00942E3A">
        <w:rPr>
          <w:rFonts w:ascii="Arial" w:hAnsi="Arial" w:cs="Arial"/>
        </w:rPr>
        <w:t>]</w:t>
      </w:r>
      <w:r w:rsidR="00942E3A">
        <w:rPr>
          <w:rFonts w:ascii="Arial" w:hAnsi="Arial" w:cs="Arial"/>
        </w:rPr>
        <w:tab/>
        <w:t xml:space="preserve">The </w:t>
      </w:r>
      <w:proofErr w:type="spellStart"/>
      <w:r w:rsidR="00942E3A">
        <w:rPr>
          <w:rFonts w:ascii="Arial" w:hAnsi="Arial" w:cs="Arial"/>
        </w:rPr>
        <w:t>Bakgatla</w:t>
      </w:r>
      <w:proofErr w:type="spellEnd"/>
      <w:r w:rsidR="00942E3A">
        <w:rPr>
          <w:rFonts w:ascii="Arial" w:hAnsi="Arial" w:cs="Arial"/>
        </w:rPr>
        <w:t xml:space="preserve"> Ba</w:t>
      </w:r>
      <w:r w:rsidR="00714461">
        <w:rPr>
          <w:rFonts w:ascii="Arial" w:hAnsi="Arial" w:cs="Arial"/>
        </w:rPr>
        <w:t xml:space="preserve"> </w:t>
      </w:r>
      <w:r w:rsidR="00942E3A">
        <w:rPr>
          <w:rFonts w:ascii="Arial" w:hAnsi="Arial" w:cs="Arial"/>
        </w:rPr>
        <w:t xml:space="preserve">Mocha Ba </w:t>
      </w:r>
      <w:proofErr w:type="spellStart"/>
      <w:r w:rsidR="00942E3A">
        <w:rPr>
          <w:rFonts w:ascii="Arial" w:hAnsi="Arial" w:cs="Arial"/>
        </w:rPr>
        <w:t>Phopolo</w:t>
      </w:r>
      <w:proofErr w:type="spellEnd"/>
      <w:r w:rsidR="00942E3A">
        <w:rPr>
          <w:rFonts w:ascii="Arial" w:hAnsi="Arial" w:cs="Arial"/>
        </w:rPr>
        <w:t xml:space="preserve"> Maloka originates from the regency. </w:t>
      </w:r>
      <w:proofErr w:type="spellStart"/>
      <w:r w:rsidR="00942E3A">
        <w:rPr>
          <w:rFonts w:ascii="Arial" w:hAnsi="Arial" w:cs="Arial"/>
        </w:rPr>
        <w:t>Nkotoloane</w:t>
      </w:r>
      <w:proofErr w:type="spellEnd"/>
      <w:r w:rsidR="00942E3A">
        <w:rPr>
          <w:rFonts w:ascii="Arial" w:hAnsi="Arial" w:cs="Arial"/>
        </w:rPr>
        <w:t xml:space="preserve"> </w:t>
      </w:r>
      <w:proofErr w:type="spellStart"/>
      <w:r w:rsidR="00942E3A">
        <w:rPr>
          <w:rFonts w:ascii="Arial" w:hAnsi="Arial" w:cs="Arial"/>
        </w:rPr>
        <w:t>Phopolo</w:t>
      </w:r>
      <w:proofErr w:type="spellEnd"/>
      <w:r w:rsidR="00942E3A">
        <w:rPr>
          <w:rFonts w:ascii="Arial" w:hAnsi="Arial" w:cs="Arial"/>
        </w:rPr>
        <w:t xml:space="preserve"> I was a regent for Chief </w:t>
      </w:r>
      <w:proofErr w:type="gramStart"/>
      <w:r w:rsidR="00942E3A">
        <w:rPr>
          <w:rFonts w:ascii="Arial" w:hAnsi="Arial" w:cs="Arial"/>
        </w:rPr>
        <w:t>M</w:t>
      </w:r>
      <w:r w:rsidR="00382B20">
        <w:rPr>
          <w:rFonts w:ascii="Arial" w:hAnsi="Arial" w:cs="Arial"/>
        </w:rPr>
        <w:t>[</w:t>
      </w:r>
      <w:proofErr w:type="gramEnd"/>
      <w:r w:rsidR="00382B20">
        <w:rPr>
          <w:rFonts w:ascii="Arial" w:hAnsi="Arial" w:cs="Arial"/>
        </w:rPr>
        <w:t>…]</w:t>
      </w:r>
      <w:r w:rsidR="00942E3A">
        <w:rPr>
          <w:rFonts w:ascii="Arial" w:hAnsi="Arial" w:cs="Arial"/>
        </w:rPr>
        <w:t xml:space="preserve">’s son, who was a minor when his father died. </w:t>
      </w:r>
      <w:proofErr w:type="spellStart"/>
      <w:r w:rsidR="00942E3A">
        <w:rPr>
          <w:rFonts w:ascii="Arial" w:hAnsi="Arial" w:cs="Arial"/>
        </w:rPr>
        <w:t>Nkotoloane</w:t>
      </w:r>
      <w:proofErr w:type="spellEnd"/>
      <w:r w:rsidR="00942E3A">
        <w:rPr>
          <w:rFonts w:ascii="Arial" w:hAnsi="Arial" w:cs="Arial"/>
        </w:rPr>
        <w:t xml:space="preserve"> </w:t>
      </w:r>
      <w:proofErr w:type="spellStart"/>
      <w:r w:rsidR="00942E3A">
        <w:rPr>
          <w:rFonts w:ascii="Arial" w:hAnsi="Arial" w:cs="Arial"/>
        </w:rPr>
        <w:t>Phopolo</w:t>
      </w:r>
      <w:proofErr w:type="spellEnd"/>
      <w:r w:rsidR="00942E3A">
        <w:rPr>
          <w:rFonts w:ascii="Arial" w:hAnsi="Arial" w:cs="Arial"/>
        </w:rPr>
        <w:t xml:space="preserve"> I ultimately relinquished the regency, and </w:t>
      </w:r>
      <w:proofErr w:type="spellStart"/>
      <w:r w:rsidR="00942E3A">
        <w:rPr>
          <w:rFonts w:ascii="Arial" w:hAnsi="Arial" w:cs="Arial"/>
        </w:rPr>
        <w:t>Moepi</w:t>
      </w:r>
      <w:proofErr w:type="spellEnd"/>
      <w:r w:rsidR="00942E3A">
        <w:rPr>
          <w:rFonts w:ascii="Arial" w:hAnsi="Arial" w:cs="Arial"/>
        </w:rPr>
        <w:t xml:space="preserve">, a rightful heir to the chieftaincy of </w:t>
      </w:r>
      <w:proofErr w:type="spellStart"/>
      <w:r w:rsidR="00942E3A">
        <w:rPr>
          <w:rFonts w:ascii="Arial" w:hAnsi="Arial" w:cs="Arial"/>
        </w:rPr>
        <w:t>Bakgatla</w:t>
      </w:r>
      <w:proofErr w:type="spellEnd"/>
      <w:r w:rsidR="00942E3A">
        <w:rPr>
          <w:rFonts w:ascii="Arial" w:hAnsi="Arial" w:cs="Arial"/>
        </w:rPr>
        <w:t xml:space="preserve"> </w:t>
      </w:r>
      <w:proofErr w:type="spellStart"/>
      <w:r w:rsidR="00942E3A">
        <w:rPr>
          <w:rFonts w:ascii="Arial" w:hAnsi="Arial" w:cs="Arial"/>
        </w:rPr>
        <w:t>ba</w:t>
      </w:r>
      <w:proofErr w:type="spellEnd"/>
      <w:r w:rsidR="00942E3A">
        <w:rPr>
          <w:rFonts w:ascii="Arial" w:hAnsi="Arial" w:cs="Arial"/>
        </w:rPr>
        <w:t xml:space="preserve"> Mocha, succeeded his father, and his chieftaincy is still in existence. </w:t>
      </w:r>
    </w:p>
    <w:p w14:paraId="4B60BAC7" w14:textId="5ABF4432" w:rsidR="00DD7687" w:rsidRDefault="00FD3D2C" w:rsidP="0094689E">
      <w:pPr>
        <w:spacing w:before="240" w:after="120" w:line="360" w:lineRule="auto"/>
        <w:jc w:val="both"/>
        <w:rPr>
          <w:rFonts w:ascii="Arial" w:hAnsi="Arial" w:cs="Arial"/>
        </w:rPr>
      </w:pPr>
      <w:r>
        <w:rPr>
          <w:rFonts w:ascii="Arial" w:hAnsi="Arial" w:cs="Arial"/>
        </w:rPr>
        <w:t>[6</w:t>
      </w:r>
      <w:r w:rsidR="00942E3A">
        <w:rPr>
          <w:rFonts w:ascii="Arial" w:hAnsi="Arial" w:cs="Arial"/>
        </w:rPr>
        <w:t>]</w:t>
      </w:r>
      <w:r w:rsidR="00942E3A">
        <w:rPr>
          <w:rFonts w:ascii="Arial" w:hAnsi="Arial" w:cs="Arial"/>
        </w:rPr>
        <w:tab/>
      </w:r>
      <w:proofErr w:type="spellStart"/>
      <w:r w:rsidR="00942E3A">
        <w:rPr>
          <w:rFonts w:ascii="Arial" w:hAnsi="Arial" w:cs="Arial"/>
        </w:rPr>
        <w:t>Nkotoloane</w:t>
      </w:r>
      <w:proofErr w:type="spellEnd"/>
      <w:r w:rsidR="00942E3A">
        <w:rPr>
          <w:rFonts w:ascii="Arial" w:hAnsi="Arial" w:cs="Arial"/>
        </w:rPr>
        <w:t xml:space="preserve"> </w:t>
      </w:r>
      <w:proofErr w:type="spellStart"/>
      <w:r w:rsidR="00942E3A">
        <w:rPr>
          <w:rFonts w:ascii="Arial" w:hAnsi="Arial" w:cs="Arial"/>
        </w:rPr>
        <w:t>Phopolo</w:t>
      </w:r>
      <w:proofErr w:type="spellEnd"/>
      <w:r w:rsidR="00942E3A">
        <w:rPr>
          <w:rFonts w:ascii="Arial" w:hAnsi="Arial" w:cs="Arial"/>
        </w:rPr>
        <w:t xml:space="preserve"> I established his chieftaincy at </w:t>
      </w:r>
      <w:proofErr w:type="spellStart"/>
      <w:r w:rsidR="00942E3A">
        <w:rPr>
          <w:rFonts w:ascii="Arial" w:hAnsi="Arial" w:cs="Arial"/>
        </w:rPr>
        <w:t>Mmamethlake</w:t>
      </w:r>
      <w:proofErr w:type="spellEnd"/>
      <w:r w:rsidR="00942E3A">
        <w:rPr>
          <w:rFonts w:ascii="Arial" w:hAnsi="Arial" w:cs="Arial"/>
        </w:rPr>
        <w:t xml:space="preserve"> and named it </w:t>
      </w:r>
      <w:proofErr w:type="spellStart"/>
      <w:r w:rsidR="00942E3A">
        <w:rPr>
          <w:rFonts w:ascii="Arial" w:hAnsi="Arial" w:cs="Arial"/>
        </w:rPr>
        <w:t>Bakgatla</w:t>
      </w:r>
      <w:proofErr w:type="spellEnd"/>
      <w:r w:rsidR="00942E3A">
        <w:rPr>
          <w:rFonts w:ascii="Arial" w:hAnsi="Arial" w:cs="Arial"/>
        </w:rPr>
        <w:t xml:space="preserve"> </w:t>
      </w:r>
      <w:proofErr w:type="spellStart"/>
      <w:r w:rsidR="00942E3A">
        <w:rPr>
          <w:rFonts w:ascii="Arial" w:hAnsi="Arial" w:cs="Arial"/>
        </w:rPr>
        <w:t>BaMo</w:t>
      </w:r>
      <w:r w:rsidR="00714461">
        <w:rPr>
          <w:rFonts w:ascii="Arial" w:hAnsi="Arial" w:cs="Arial"/>
        </w:rPr>
        <w:t>cha</w:t>
      </w:r>
      <w:proofErr w:type="spellEnd"/>
      <w:r w:rsidR="00714461">
        <w:rPr>
          <w:rFonts w:ascii="Arial" w:hAnsi="Arial" w:cs="Arial"/>
        </w:rPr>
        <w:t xml:space="preserve"> Ba </w:t>
      </w:r>
      <w:proofErr w:type="spellStart"/>
      <w:r w:rsidR="00714461">
        <w:rPr>
          <w:rFonts w:ascii="Arial" w:hAnsi="Arial" w:cs="Arial"/>
        </w:rPr>
        <w:t>Phopolo</w:t>
      </w:r>
      <w:proofErr w:type="spellEnd"/>
      <w:r w:rsidR="00714461">
        <w:rPr>
          <w:rFonts w:ascii="Arial" w:hAnsi="Arial" w:cs="Arial"/>
        </w:rPr>
        <w:t xml:space="preserve"> Maloka</w:t>
      </w:r>
      <w:r w:rsidR="00942E3A">
        <w:rPr>
          <w:rFonts w:ascii="Arial" w:hAnsi="Arial" w:cs="Arial"/>
        </w:rPr>
        <w:t>. Because of faction</w:t>
      </w:r>
      <w:r w:rsidR="00000815">
        <w:rPr>
          <w:rFonts w:ascii="Arial" w:hAnsi="Arial" w:cs="Arial"/>
        </w:rPr>
        <w:t>al</w:t>
      </w:r>
      <w:r w:rsidR="00942E3A">
        <w:rPr>
          <w:rFonts w:ascii="Arial" w:hAnsi="Arial" w:cs="Arial"/>
        </w:rPr>
        <w:t xml:space="preserve"> fights, the chieftaincy later split into two</w:t>
      </w:r>
      <w:r w:rsidR="00000815">
        <w:rPr>
          <w:rFonts w:ascii="Arial" w:hAnsi="Arial" w:cs="Arial"/>
        </w:rPr>
        <w:t xml:space="preserve">: one </w:t>
      </w:r>
      <w:r w:rsidR="00942E3A">
        <w:rPr>
          <w:rFonts w:ascii="Arial" w:hAnsi="Arial" w:cs="Arial"/>
        </w:rPr>
        <w:t xml:space="preserve">under </w:t>
      </w:r>
      <w:proofErr w:type="spellStart"/>
      <w:r w:rsidR="00942E3A">
        <w:rPr>
          <w:rFonts w:ascii="Arial" w:hAnsi="Arial" w:cs="Arial"/>
        </w:rPr>
        <w:t>Tlhame</w:t>
      </w:r>
      <w:proofErr w:type="spellEnd"/>
      <w:r w:rsidR="00942E3A">
        <w:rPr>
          <w:rFonts w:ascii="Arial" w:hAnsi="Arial" w:cs="Arial"/>
        </w:rPr>
        <w:t xml:space="preserve"> Skep Maloka</w:t>
      </w:r>
      <w:r w:rsidR="00714461">
        <w:rPr>
          <w:rFonts w:ascii="Arial" w:hAnsi="Arial" w:cs="Arial"/>
        </w:rPr>
        <w:t xml:space="preserve"> (Skep Maloka)</w:t>
      </w:r>
      <w:r w:rsidR="00942E3A">
        <w:rPr>
          <w:rFonts w:ascii="Arial" w:hAnsi="Arial" w:cs="Arial"/>
        </w:rPr>
        <w:t>, his eldest son from the first house, and the other</w:t>
      </w:r>
      <w:r w:rsidR="00000815">
        <w:rPr>
          <w:rFonts w:ascii="Arial" w:hAnsi="Arial" w:cs="Arial"/>
        </w:rPr>
        <w:t xml:space="preserve"> </w:t>
      </w:r>
      <w:r w:rsidR="00942E3A">
        <w:rPr>
          <w:rFonts w:ascii="Arial" w:hAnsi="Arial" w:cs="Arial"/>
        </w:rPr>
        <w:t xml:space="preserve">under </w:t>
      </w:r>
      <w:proofErr w:type="spellStart"/>
      <w:r w:rsidR="00942E3A">
        <w:rPr>
          <w:rFonts w:ascii="Arial" w:hAnsi="Arial" w:cs="Arial"/>
        </w:rPr>
        <w:t>Mpoko</w:t>
      </w:r>
      <w:proofErr w:type="spellEnd"/>
      <w:r w:rsidR="00942E3A">
        <w:rPr>
          <w:rFonts w:ascii="Arial" w:hAnsi="Arial" w:cs="Arial"/>
        </w:rPr>
        <w:t xml:space="preserve"> Maloka, his second wife. The chieftaincy under </w:t>
      </w:r>
      <w:proofErr w:type="spellStart"/>
      <w:r w:rsidR="00942E3A">
        <w:rPr>
          <w:rFonts w:ascii="Arial" w:hAnsi="Arial" w:cs="Arial"/>
        </w:rPr>
        <w:t>Mpoko</w:t>
      </w:r>
      <w:proofErr w:type="spellEnd"/>
      <w:r w:rsidR="00942E3A">
        <w:rPr>
          <w:rFonts w:ascii="Arial" w:hAnsi="Arial" w:cs="Arial"/>
        </w:rPr>
        <w:t xml:space="preserve"> and later under his wife </w:t>
      </w:r>
      <w:proofErr w:type="spellStart"/>
      <w:r w:rsidR="00942E3A">
        <w:rPr>
          <w:rFonts w:ascii="Arial" w:hAnsi="Arial" w:cs="Arial"/>
        </w:rPr>
        <w:t>Lehau</w:t>
      </w:r>
      <w:proofErr w:type="spellEnd"/>
      <w:r w:rsidR="00942E3A">
        <w:rPr>
          <w:rFonts w:ascii="Arial" w:hAnsi="Arial" w:cs="Arial"/>
        </w:rPr>
        <w:t xml:space="preserve"> is still in existence and is based in </w:t>
      </w:r>
      <w:proofErr w:type="spellStart"/>
      <w:r w:rsidR="00942E3A">
        <w:rPr>
          <w:rFonts w:ascii="Arial" w:hAnsi="Arial" w:cs="Arial"/>
        </w:rPr>
        <w:t>Pankop</w:t>
      </w:r>
      <w:proofErr w:type="spellEnd"/>
      <w:r w:rsidR="00942E3A">
        <w:rPr>
          <w:rFonts w:ascii="Arial" w:hAnsi="Arial" w:cs="Arial"/>
        </w:rPr>
        <w:t xml:space="preserve">. </w:t>
      </w:r>
    </w:p>
    <w:p w14:paraId="58EA3EA8" w14:textId="39BD86B9" w:rsidR="00DD7687" w:rsidRDefault="00FD3D2C" w:rsidP="0094689E">
      <w:pPr>
        <w:spacing w:before="240" w:after="120" w:line="360" w:lineRule="auto"/>
        <w:jc w:val="both"/>
        <w:rPr>
          <w:rFonts w:ascii="Arial" w:hAnsi="Arial" w:cs="Arial"/>
        </w:rPr>
      </w:pPr>
      <w:r>
        <w:rPr>
          <w:rFonts w:ascii="Arial" w:hAnsi="Arial" w:cs="Arial"/>
        </w:rPr>
        <w:t>[7</w:t>
      </w:r>
      <w:r w:rsidR="00942E3A">
        <w:rPr>
          <w:rFonts w:ascii="Arial" w:hAnsi="Arial" w:cs="Arial"/>
        </w:rPr>
        <w:t>]</w:t>
      </w:r>
      <w:r w:rsidR="00942E3A">
        <w:rPr>
          <w:rFonts w:ascii="Arial" w:hAnsi="Arial" w:cs="Arial"/>
        </w:rPr>
        <w:tab/>
      </w:r>
      <w:r w:rsidR="00714461">
        <w:rPr>
          <w:rFonts w:ascii="Arial" w:hAnsi="Arial" w:cs="Arial"/>
        </w:rPr>
        <w:t xml:space="preserve">Skep Maloka </w:t>
      </w:r>
      <w:r w:rsidR="00942E3A">
        <w:rPr>
          <w:rFonts w:ascii="Arial" w:hAnsi="Arial" w:cs="Arial"/>
        </w:rPr>
        <w:t xml:space="preserve">was deposed in 1904 </w:t>
      </w:r>
      <w:proofErr w:type="gramStart"/>
      <w:r w:rsidR="00942E3A">
        <w:rPr>
          <w:rFonts w:ascii="Arial" w:hAnsi="Arial" w:cs="Arial"/>
        </w:rPr>
        <w:t>as a result of</w:t>
      </w:r>
      <w:proofErr w:type="gramEnd"/>
      <w:r w:rsidR="00942E3A">
        <w:rPr>
          <w:rFonts w:ascii="Arial" w:hAnsi="Arial" w:cs="Arial"/>
        </w:rPr>
        <w:t xml:space="preserve"> a criminal conviction. </w:t>
      </w:r>
      <w:r w:rsidR="007C2D37">
        <w:rPr>
          <w:rFonts w:ascii="Arial" w:hAnsi="Arial" w:cs="Arial"/>
        </w:rPr>
        <w:t xml:space="preserve">There is a dispute over whether he was reinstated or not. </w:t>
      </w:r>
      <w:r w:rsidR="00942E3A">
        <w:rPr>
          <w:rFonts w:ascii="Arial" w:hAnsi="Arial" w:cs="Arial"/>
        </w:rPr>
        <w:t xml:space="preserve">Although the first respondent was not formally </w:t>
      </w:r>
      <w:proofErr w:type="spellStart"/>
      <w:r w:rsidR="00942E3A">
        <w:rPr>
          <w:rFonts w:ascii="Arial" w:hAnsi="Arial" w:cs="Arial"/>
        </w:rPr>
        <w:t>recognised</w:t>
      </w:r>
      <w:proofErr w:type="spellEnd"/>
      <w:r w:rsidR="00942E3A">
        <w:rPr>
          <w:rFonts w:ascii="Arial" w:hAnsi="Arial" w:cs="Arial"/>
        </w:rPr>
        <w:t>, Skep</w:t>
      </w:r>
      <w:r w:rsidR="00000815">
        <w:rPr>
          <w:rFonts w:ascii="Arial" w:hAnsi="Arial" w:cs="Arial"/>
        </w:rPr>
        <w:t xml:space="preserve"> Maloka</w:t>
      </w:r>
      <w:r w:rsidR="00942E3A">
        <w:rPr>
          <w:rFonts w:ascii="Arial" w:hAnsi="Arial" w:cs="Arial"/>
        </w:rPr>
        <w:t xml:space="preserve"> was succeeded by his eldest son, </w:t>
      </w:r>
      <w:proofErr w:type="spellStart"/>
      <w:r w:rsidR="00942E3A">
        <w:rPr>
          <w:rFonts w:ascii="Arial" w:hAnsi="Arial" w:cs="Arial"/>
        </w:rPr>
        <w:t>Phopolo</w:t>
      </w:r>
      <w:proofErr w:type="spellEnd"/>
      <w:r w:rsidR="00942E3A">
        <w:rPr>
          <w:rFonts w:ascii="Arial" w:hAnsi="Arial" w:cs="Arial"/>
        </w:rPr>
        <w:t xml:space="preserve"> Maloka II</w:t>
      </w:r>
      <w:r w:rsidR="00000815">
        <w:rPr>
          <w:rFonts w:ascii="Arial" w:hAnsi="Arial" w:cs="Arial"/>
        </w:rPr>
        <w:t>.</w:t>
      </w:r>
      <w:r w:rsidR="00942E3A">
        <w:rPr>
          <w:rFonts w:ascii="Arial" w:hAnsi="Arial" w:cs="Arial"/>
        </w:rPr>
        <w:t xml:space="preserve"> </w:t>
      </w:r>
      <w:proofErr w:type="spellStart"/>
      <w:r w:rsidR="00000815">
        <w:rPr>
          <w:rFonts w:ascii="Arial" w:hAnsi="Arial" w:cs="Arial"/>
        </w:rPr>
        <w:t>Phopolo</w:t>
      </w:r>
      <w:proofErr w:type="spellEnd"/>
      <w:r w:rsidR="00000815">
        <w:rPr>
          <w:rFonts w:ascii="Arial" w:hAnsi="Arial" w:cs="Arial"/>
        </w:rPr>
        <w:t xml:space="preserve"> Maloka</w:t>
      </w:r>
      <w:r w:rsidR="00942E3A">
        <w:rPr>
          <w:rFonts w:ascii="Arial" w:hAnsi="Arial" w:cs="Arial"/>
        </w:rPr>
        <w:t xml:space="preserve"> bore four sons,</w:t>
      </w:r>
      <w:r w:rsidR="00000815">
        <w:rPr>
          <w:rFonts w:ascii="Arial" w:hAnsi="Arial" w:cs="Arial"/>
        </w:rPr>
        <w:t xml:space="preserve"> </w:t>
      </w:r>
      <w:proofErr w:type="spellStart"/>
      <w:r w:rsidR="00942E3A">
        <w:rPr>
          <w:rFonts w:ascii="Arial" w:hAnsi="Arial" w:cs="Arial"/>
        </w:rPr>
        <w:t>Ramabele</w:t>
      </w:r>
      <w:proofErr w:type="spellEnd"/>
      <w:r w:rsidR="00942E3A">
        <w:rPr>
          <w:rFonts w:ascii="Arial" w:hAnsi="Arial" w:cs="Arial"/>
        </w:rPr>
        <w:t xml:space="preserve"> Hermas, Kau, </w:t>
      </w:r>
      <w:proofErr w:type="spellStart"/>
      <w:r w:rsidR="00942E3A">
        <w:rPr>
          <w:rFonts w:ascii="Arial" w:hAnsi="Arial" w:cs="Arial"/>
        </w:rPr>
        <w:t>Tlhame</w:t>
      </w:r>
      <w:proofErr w:type="spellEnd"/>
      <w:r w:rsidR="00942E3A">
        <w:rPr>
          <w:rFonts w:ascii="Arial" w:hAnsi="Arial" w:cs="Arial"/>
        </w:rPr>
        <w:t xml:space="preserve"> and </w:t>
      </w:r>
      <w:proofErr w:type="spellStart"/>
      <w:r w:rsidR="00942E3A">
        <w:rPr>
          <w:rFonts w:ascii="Arial" w:hAnsi="Arial" w:cs="Arial"/>
        </w:rPr>
        <w:t>Shubutlhe</w:t>
      </w:r>
      <w:proofErr w:type="spellEnd"/>
      <w:r w:rsidR="00942E3A">
        <w:rPr>
          <w:rFonts w:ascii="Arial" w:hAnsi="Arial" w:cs="Arial"/>
        </w:rPr>
        <w:t xml:space="preserve">. In 1951, his eldest son </w:t>
      </w:r>
      <w:proofErr w:type="spellStart"/>
      <w:r w:rsidR="00942E3A">
        <w:rPr>
          <w:rFonts w:ascii="Arial" w:hAnsi="Arial" w:cs="Arial"/>
        </w:rPr>
        <w:t>Ramabele</w:t>
      </w:r>
      <w:proofErr w:type="spellEnd"/>
      <w:r w:rsidR="00942E3A">
        <w:rPr>
          <w:rFonts w:ascii="Arial" w:hAnsi="Arial" w:cs="Arial"/>
        </w:rPr>
        <w:t xml:space="preserve"> Hermas took over until 1976, </w:t>
      </w:r>
      <w:r w:rsidR="00000815">
        <w:rPr>
          <w:rFonts w:ascii="Arial" w:hAnsi="Arial" w:cs="Arial"/>
        </w:rPr>
        <w:t xml:space="preserve">when he </w:t>
      </w:r>
      <w:r w:rsidR="00942E3A">
        <w:rPr>
          <w:rFonts w:ascii="Arial" w:hAnsi="Arial" w:cs="Arial"/>
        </w:rPr>
        <w:t xml:space="preserve">was succeeded by his son </w:t>
      </w:r>
      <w:proofErr w:type="spellStart"/>
      <w:r w:rsidR="00942E3A">
        <w:rPr>
          <w:rFonts w:ascii="Arial" w:hAnsi="Arial" w:cs="Arial"/>
        </w:rPr>
        <w:t>Malothle</w:t>
      </w:r>
      <w:proofErr w:type="spellEnd"/>
      <w:r w:rsidR="00942E3A">
        <w:rPr>
          <w:rFonts w:ascii="Arial" w:hAnsi="Arial" w:cs="Arial"/>
        </w:rPr>
        <w:t>-</w:t>
      </w:r>
      <w:r w:rsidR="00942E3A">
        <w:rPr>
          <w:rFonts w:ascii="Arial" w:hAnsi="Arial" w:cs="Arial"/>
        </w:rPr>
        <w:lastRenderedPageBreak/>
        <w:t xml:space="preserve">Steven Maloka. The latter reigned until 1986 when he passed away and was succeeded by the second respondent, Amos </w:t>
      </w:r>
      <w:proofErr w:type="spellStart"/>
      <w:r w:rsidR="00942E3A">
        <w:rPr>
          <w:rFonts w:ascii="Arial" w:hAnsi="Arial" w:cs="Arial"/>
        </w:rPr>
        <w:t>Phopolo</w:t>
      </w:r>
      <w:proofErr w:type="spellEnd"/>
      <w:r w:rsidR="00942E3A">
        <w:rPr>
          <w:rFonts w:ascii="Arial" w:hAnsi="Arial" w:cs="Arial"/>
        </w:rPr>
        <w:t xml:space="preserve"> III. </w:t>
      </w:r>
    </w:p>
    <w:p w14:paraId="2D728F1F" w14:textId="66651118" w:rsidR="00DD7687" w:rsidRDefault="00FD3D2C" w:rsidP="0094689E">
      <w:pPr>
        <w:spacing w:before="240" w:after="120" w:line="360" w:lineRule="auto"/>
        <w:jc w:val="both"/>
        <w:rPr>
          <w:rFonts w:ascii="Arial" w:hAnsi="Arial" w:cs="Arial"/>
        </w:rPr>
      </w:pPr>
      <w:r>
        <w:rPr>
          <w:rFonts w:ascii="Arial" w:hAnsi="Arial" w:cs="Arial"/>
        </w:rPr>
        <w:t>[8</w:t>
      </w:r>
      <w:r w:rsidR="00942E3A">
        <w:rPr>
          <w:rFonts w:ascii="Arial" w:hAnsi="Arial" w:cs="Arial"/>
        </w:rPr>
        <w:t>]</w:t>
      </w:r>
      <w:r w:rsidR="00942E3A">
        <w:rPr>
          <w:rFonts w:ascii="Arial" w:hAnsi="Arial" w:cs="Arial"/>
        </w:rPr>
        <w:tab/>
        <w:t xml:space="preserve">The appellants bought their piece of land in 1922. In 1923, the </w:t>
      </w:r>
      <w:proofErr w:type="spellStart"/>
      <w:r w:rsidR="00942E3A">
        <w:rPr>
          <w:rFonts w:ascii="Arial" w:hAnsi="Arial" w:cs="Arial"/>
        </w:rPr>
        <w:t>Bakgatla</w:t>
      </w:r>
      <w:proofErr w:type="spellEnd"/>
      <w:r w:rsidR="00942E3A">
        <w:rPr>
          <w:rFonts w:ascii="Arial" w:hAnsi="Arial" w:cs="Arial"/>
        </w:rPr>
        <w:t xml:space="preserve"> </w:t>
      </w:r>
      <w:proofErr w:type="spellStart"/>
      <w:r w:rsidR="00942E3A">
        <w:rPr>
          <w:rFonts w:ascii="Arial" w:hAnsi="Arial" w:cs="Arial"/>
        </w:rPr>
        <w:t>ba</w:t>
      </w:r>
      <w:proofErr w:type="spellEnd"/>
      <w:r w:rsidR="00942E3A">
        <w:rPr>
          <w:rFonts w:ascii="Arial" w:hAnsi="Arial" w:cs="Arial"/>
        </w:rPr>
        <w:t xml:space="preserve"> </w:t>
      </w:r>
      <w:proofErr w:type="spellStart"/>
      <w:r w:rsidR="00942E3A">
        <w:rPr>
          <w:rFonts w:ascii="Arial" w:hAnsi="Arial" w:cs="Arial"/>
        </w:rPr>
        <w:t>Mmakau</w:t>
      </w:r>
      <w:proofErr w:type="spellEnd"/>
      <w:r w:rsidR="00942E3A">
        <w:rPr>
          <w:rFonts w:ascii="Arial" w:hAnsi="Arial" w:cs="Arial"/>
        </w:rPr>
        <w:t xml:space="preserve"> bought land near the appellant’s land. The </w:t>
      </w:r>
      <w:proofErr w:type="spellStart"/>
      <w:r w:rsidR="00942E3A">
        <w:rPr>
          <w:rFonts w:ascii="Arial" w:hAnsi="Arial" w:cs="Arial"/>
        </w:rPr>
        <w:t>Bakgatla</w:t>
      </w:r>
      <w:proofErr w:type="spellEnd"/>
      <w:r w:rsidR="00942E3A">
        <w:rPr>
          <w:rFonts w:ascii="Arial" w:hAnsi="Arial" w:cs="Arial"/>
        </w:rPr>
        <w:t xml:space="preserve"> </w:t>
      </w:r>
      <w:proofErr w:type="spellStart"/>
      <w:r w:rsidR="00942E3A">
        <w:rPr>
          <w:rFonts w:ascii="Arial" w:hAnsi="Arial" w:cs="Arial"/>
        </w:rPr>
        <w:t>ba</w:t>
      </w:r>
      <w:proofErr w:type="spellEnd"/>
      <w:r w:rsidR="00942E3A">
        <w:rPr>
          <w:rFonts w:ascii="Arial" w:hAnsi="Arial" w:cs="Arial"/>
        </w:rPr>
        <w:t xml:space="preserve"> </w:t>
      </w:r>
      <w:proofErr w:type="spellStart"/>
      <w:r w:rsidR="00942E3A">
        <w:rPr>
          <w:rFonts w:ascii="Arial" w:hAnsi="Arial" w:cs="Arial"/>
        </w:rPr>
        <w:t>Mmakau</w:t>
      </w:r>
      <w:proofErr w:type="spellEnd"/>
      <w:r w:rsidR="00942E3A">
        <w:rPr>
          <w:rFonts w:ascii="Arial" w:hAnsi="Arial" w:cs="Arial"/>
        </w:rPr>
        <w:t xml:space="preserve"> were later </w:t>
      </w:r>
      <w:proofErr w:type="spellStart"/>
      <w:r w:rsidR="00942E3A">
        <w:rPr>
          <w:rFonts w:ascii="Arial" w:hAnsi="Arial" w:cs="Arial"/>
        </w:rPr>
        <w:t>recognised</w:t>
      </w:r>
      <w:proofErr w:type="spellEnd"/>
      <w:r w:rsidR="00942E3A">
        <w:rPr>
          <w:rFonts w:ascii="Arial" w:hAnsi="Arial" w:cs="Arial"/>
        </w:rPr>
        <w:t xml:space="preserve"> as a traditional community, and their Chief was given jurisdiction</w:t>
      </w:r>
      <w:r w:rsidR="001C4F25">
        <w:rPr>
          <w:rFonts w:ascii="Arial" w:hAnsi="Arial" w:cs="Arial"/>
        </w:rPr>
        <w:t xml:space="preserve"> over the area of</w:t>
      </w:r>
      <w:r w:rsidR="00942E3A">
        <w:rPr>
          <w:rFonts w:ascii="Arial" w:hAnsi="Arial" w:cs="Arial"/>
        </w:rPr>
        <w:t xml:space="preserve">. The appellants were forced to </w:t>
      </w:r>
      <w:proofErr w:type="spellStart"/>
      <w:r w:rsidR="00942E3A">
        <w:rPr>
          <w:rFonts w:ascii="Arial" w:hAnsi="Arial" w:cs="Arial"/>
        </w:rPr>
        <w:t>recognise</w:t>
      </w:r>
      <w:proofErr w:type="spellEnd"/>
      <w:r w:rsidR="00942E3A">
        <w:rPr>
          <w:rFonts w:ascii="Arial" w:hAnsi="Arial" w:cs="Arial"/>
        </w:rPr>
        <w:t xml:space="preserve"> Chief </w:t>
      </w:r>
      <w:proofErr w:type="spellStart"/>
      <w:r w:rsidR="00942E3A">
        <w:rPr>
          <w:rFonts w:ascii="Arial" w:hAnsi="Arial" w:cs="Arial"/>
        </w:rPr>
        <w:t>Makgoko</w:t>
      </w:r>
      <w:proofErr w:type="spellEnd"/>
      <w:r w:rsidR="00942E3A">
        <w:rPr>
          <w:rFonts w:ascii="Arial" w:hAnsi="Arial" w:cs="Arial"/>
        </w:rPr>
        <w:t xml:space="preserve"> of </w:t>
      </w:r>
      <w:proofErr w:type="spellStart"/>
      <w:r w:rsidR="00942E3A">
        <w:rPr>
          <w:rFonts w:ascii="Arial" w:hAnsi="Arial" w:cs="Arial"/>
        </w:rPr>
        <w:t>Bakgatla</w:t>
      </w:r>
      <w:proofErr w:type="spellEnd"/>
      <w:r w:rsidR="00942E3A">
        <w:rPr>
          <w:rFonts w:ascii="Arial" w:hAnsi="Arial" w:cs="Arial"/>
        </w:rPr>
        <w:t xml:space="preserve"> Ba </w:t>
      </w:r>
      <w:proofErr w:type="spellStart"/>
      <w:r w:rsidR="00942E3A">
        <w:rPr>
          <w:rFonts w:ascii="Arial" w:hAnsi="Arial" w:cs="Arial"/>
        </w:rPr>
        <w:t>Mmakau</w:t>
      </w:r>
      <w:proofErr w:type="spellEnd"/>
      <w:r w:rsidR="00942E3A">
        <w:rPr>
          <w:rFonts w:ascii="Arial" w:hAnsi="Arial" w:cs="Arial"/>
        </w:rPr>
        <w:t xml:space="preserve"> as their Chief until the present era. </w:t>
      </w:r>
    </w:p>
    <w:p w14:paraId="1EE954CE" w14:textId="1727D1FF" w:rsidR="005D18B2" w:rsidRDefault="00FD3D2C" w:rsidP="0094689E">
      <w:pPr>
        <w:spacing w:before="240" w:after="120" w:line="360" w:lineRule="auto"/>
        <w:jc w:val="both"/>
        <w:rPr>
          <w:rFonts w:ascii="Arial" w:hAnsi="Arial" w:cs="Arial"/>
        </w:rPr>
      </w:pPr>
      <w:r>
        <w:rPr>
          <w:rFonts w:ascii="Arial" w:hAnsi="Arial" w:cs="Arial"/>
        </w:rPr>
        <w:t>[9</w:t>
      </w:r>
      <w:r w:rsidR="00942E3A">
        <w:rPr>
          <w:rFonts w:ascii="Arial" w:hAnsi="Arial" w:cs="Arial"/>
        </w:rPr>
        <w:t>]</w:t>
      </w:r>
      <w:r w:rsidR="00942E3A">
        <w:rPr>
          <w:rFonts w:ascii="Arial" w:hAnsi="Arial" w:cs="Arial"/>
        </w:rPr>
        <w:tab/>
        <w:t>In the early 1930s, the appellants were forcibly dispossessed of their land. In 1997, they lodged a restitution of land claim with the office of the Regional Land Claim Commission</w:t>
      </w:r>
      <w:r w:rsidR="000D6DAA">
        <w:rPr>
          <w:rFonts w:ascii="Arial" w:hAnsi="Arial" w:cs="Arial"/>
        </w:rPr>
        <w:t>: Limpopo</w:t>
      </w:r>
      <w:r w:rsidR="005E3012">
        <w:rPr>
          <w:rFonts w:ascii="Arial" w:hAnsi="Arial" w:cs="Arial"/>
        </w:rPr>
        <w:t xml:space="preserve"> (“the Commission”)</w:t>
      </w:r>
      <w:r w:rsidR="00942E3A">
        <w:rPr>
          <w:rFonts w:ascii="Arial" w:hAnsi="Arial" w:cs="Arial"/>
        </w:rPr>
        <w:t xml:space="preserve">. After investigating the claim, </w:t>
      </w:r>
      <w:r w:rsidR="005E3012">
        <w:rPr>
          <w:rFonts w:ascii="Arial" w:hAnsi="Arial" w:cs="Arial"/>
        </w:rPr>
        <w:t>the Commission</w:t>
      </w:r>
      <w:r w:rsidR="000D6DAA">
        <w:rPr>
          <w:rFonts w:ascii="Arial" w:hAnsi="Arial" w:cs="Arial"/>
        </w:rPr>
        <w:t xml:space="preserve"> recommended that the appellants’ claim be accepted</w:t>
      </w:r>
      <w:r w:rsidR="00997FAF">
        <w:rPr>
          <w:rFonts w:ascii="Arial" w:hAnsi="Arial" w:cs="Arial"/>
        </w:rPr>
        <w:t xml:space="preserve"> and compens</w:t>
      </w:r>
      <w:r w:rsidR="0089000D">
        <w:rPr>
          <w:rFonts w:ascii="Arial" w:hAnsi="Arial" w:cs="Arial"/>
        </w:rPr>
        <w:t>ated for the properties that were</w:t>
      </w:r>
      <w:r w:rsidR="00997FAF">
        <w:rPr>
          <w:rFonts w:ascii="Arial" w:hAnsi="Arial" w:cs="Arial"/>
        </w:rPr>
        <w:t xml:space="preserve"> no longer feasible for restoration. The Regional Land Claim</w:t>
      </w:r>
      <w:r w:rsidR="001C4F25">
        <w:rPr>
          <w:rFonts w:ascii="Arial" w:hAnsi="Arial" w:cs="Arial"/>
        </w:rPr>
        <w:t>s</w:t>
      </w:r>
      <w:r w:rsidR="00997FAF">
        <w:rPr>
          <w:rFonts w:ascii="Arial" w:hAnsi="Arial" w:cs="Arial"/>
        </w:rPr>
        <w:t xml:space="preserve"> Commissioner approved the </w:t>
      </w:r>
      <w:r w:rsidR="005E3012">
        <w:rPr>
          <w:rFonts w:ascii="Arial" w:hAnsi="Arial" w:cs="Arial"/>
        </w:rPr>
        <w:t>recommendations</w:t>
      </w:r>
      <w:r w:rsidR="00997FAF">
        <w:rPr>
          <w:rFonts w:ascii="Arial" w:hAnsi="Arial" w:cs="Arial"/>
        </w:rPr>
        <w:t>.</w:t>
      </w:r>
    </w:p>
    <w:p w14:paraId="786733AE" w14:textId="04C73BFB" w:rsidR="00DD7687" w:rsidRDefault="00FD3D2C" w:rsidP="0094689E">
      <w:pPr>
        <w:spacing w:before="240" w:after="120" w:line="360" w:lineRule="auto"/>
        <w:jc w:val="both"/>
        <w:rPr>
          <w:rFonts w:ascii="Arial" w:hAnsi="Arial" w:cs="Arial"/>
        </w:rPr>
      </w:pPr>
      <w:r>
        <w:rPr>
          <w:rFonts w:ascii="Arial" w:hAnsi="Arial" w:cs="Arial"/>
        </w:rPr>
        <w:t>[10</w:t>
      </w:r>
      <w:r w:rsidR="00942E3A" w:rsidRPr="0094313E">
        <w:rPr>
          <w:rFonts w:ascii="Arial" w:hAnsi="Arial" w:cs="Arial"/>
        </w:rPr>
        <w:t>]</w:t>
      </w:r>
      <w:r w:rsidR="00942E3A" w:rsidRPr="0094313E">
        <w:rPr>
          <w:rFonts w:ascii="Arial" w:hAnsi="Arial" w:cs="Arial"/>
        </w:rPr>
        <w:tab/>
        <w:t xml:space="preserve">Against the above backdrop, the </w:t>
      </w:r>
      <w:r w:rsidR="00997FAF" w:rsidRPr="00714461">
        <w:rPr>
          <w:rFonts w:ascii="Arial" w:hAnsi="Arial" w:cs="Arial"/>
        </w:rPr>
        <w:t>CTLDC</w:t>
      </w:r>
      <w:r w:rsidR="00942E3A" w:rsidRPr="0094313E">
        <w:rPr>
          <w:rFonts w:ascii="Arial" w:hAnsi="Arial" w:cs="Arial"/>
        </w:rPr>
        <w:t xml:space="preserve"> </w:t>
      </w:r>
      <w:r w:rsidR="00942E3A">
        <w:rPr>
          <w:rFonts w:ascii="Arial" w:hAnsi="Arial" w:cs="Arial"/>
        </w:rPr>
        <w:t xml:space="preserve">recommended that the </w:t>
      </w:r>
      <w:r w:rsidR="00942E3A" w:rsidRPr="0094313E">
        <w:rPr>
          <w:rFonts w:ascii="Arial" w:hAnsi="Arial" w:cs="Arial"/>
        </w:rPr>
        <w:t>appellant</w:t>
      </w:r>
      <w:r w:rsidR="00942E3A">
        <w:rPr>
          <w:rFonts w:ascii="Arial" w:hAnsi="Arial" w:cs="Arial"/>
        </w:rPr>
        <w:t>s</w:t>
      </w:r>
      <w:r w:rsidR="00997FAF">
        <w:rPr>
          <w:rFonts w:ascii="Arial" w:hAnsi="Arial" w:cs="Arial"/>
        </w:rPr>
        <w:t>’</w:t>
      </w:r>
      <w:r w:rsidR="00942E3A">
        <w:rPr>
          <w:rFonts w:ascii="Arial" w:hAnsi="Arial" w:cs="Arial"/>
        </w:rPr>
        <w:t xml:space="preserve"> claim</w:t>
      </w:r>
      <w:r w:rsidR="00942E3A" w:rsidRPr="0094313E">
        <w:rPr>
          <w:rFonts w:ascii="Arial" w:hAnsi="Arial" w:cs="Arial"/>
        </w:rPr>
        <w:t xml:space="preserve"> lacked substance and merit. It</w:t>
      </w:r>
      <w:r w:rsidR="00942E3A">
        <w:rPr>
          <w:rFonts w:ascii="Arial" w:hAnsi="Arial" w:cs="Arial"/>
        </w:rPr>
        <w:t>s</w:t>
      </w:r>
      <w:r w:rsidR="00942E3A" w:rsidRPr="0094313E">
        <w:rPr>
          <w:rFonts w:ascii="Arial" w:hAnsi="Arial" w:cs="Arial"/>
        </w:rPr>
        <w:t xml:space="preserve"> recommendations were based on the findings that the </w:t>
      </w:r>
      <w:proofErr w:type="spellStart"/>
      <w:r w:rsidR="00942E3A" w:rsidRPr="0094313E">
        <w:rPr>
          <w:rFonts w:ascii="Arial" w:hAnsi="Arial" w:cs="Arial"/>
        </w:rPr>
        <w:t>Bakgatla</w:t>
      </w:r>
      <w:proofErr w:type="spellEnd"/>
      <w:r w:rsidR="00942E3A" w:rsidRPr="0094313E">
        <w:rPr>
          <w:rFonts w:ascii="Arial" w:hAnsi="Arial" w:cs="Arial"/>
        </w:rPr>
        <w:t xml:space="preserve"> </w:t>
      </w:r>
      <w:r w:rsidR="00997FAF">
        <w:rPr>
          <w:rFonts w:ascii="Arial" w:hAnsi="Arial" w:cs="Arial"/>
        </w:rPr>
        <w:t>Ba Mocha</w:t>
      </w:r>
      <w:r w:rsidR="00942E3A" w:rsidRPr="0094313E">
        <w:rPr>
          <w:rFonts w:ascii="Arial" w:hAnsi="Arial" w:cs="Arial"/>
        </w:rPr>
        <w:t xml:space="preserve"> Ba</w:t>
      </w:r>
      <w:r w:rsidR="00997FAF">
        <w:rPr>
          <w:rFonts w:ascii="Arial" w:hAnsi="Arial" w:cs="Arial"/>
        </w:rPr>
        <w:t xml:space="preserve"> </w:t>
      </w:r>
      <w:proofErr w:type="spellStart"/>
      <w:r w:rsidR="00942E3A" w:rsidRPr="0094313E">
        <w:rPr>
          <w:rFonts w:ascii="Arial" w:hAnsi="Arial" w:cs="Arial"/>
        </w:rPr>
        <w:t>Phopolo</w:t>
      </w:r>
      <w:proofErr w:type="spellEnd"/>
      <w:r w:rsidR="00942E3A" w:rsidRPr="0094313E">
        <w:rPr>
          <w:rFonts w:ascii="Arial" w:hAnsi="Arial" w:cs="Arial"/>
        </w:rPr>
        <w:t xml:space="preserve"> Maloka’s chieftaincy</w:t>
      </w:r>
      <w:r w:rsidR="00942E3A">
        <w:rPr>
          <w:rFonts w:ascii="Arial" w:hAnsi="Arial" w:cs="Arial"/>
        </w:rPr>
        <w:t xml:space="preserve"> under Skep </w:t>
      </w:r>
      <w:proofErr w:type="spellStart"/>
      <w:r w:rsidR="00942E3A">
        <w:rPr>
          <w:rFonts w:ascii="Arial" w:hAnsi="Arial" w:cs="Arial"/>
        </w:rPr>
        <w:t>Tlhame</w:t>
      </w:r>
      <w:proofErr w:type="spellEnd"/>
      <w:r w:rsidR="00942E3A">
        <w:rPr>
          <w:rFonts w:ascii="Arial" w:hAnsi="Arial" w:cs="Arial"/>
        </w:rPr>
        <w:t xml:space="preserve"> was deposed in 1904 and was never </w:t>
      </w:r>
      <w:proofErr w:type="spellStart"/>
      <w:r w:rsidR="00942E3A">
        <w:rPr>
          <w:rFonts w:ascii="Arial" w:hAnsi="Arial" w:cs="Arial"/>
        </w:rPr>
        <w:t>recognised</w:t>
      </w:r>
      <w:proofErr w:type="spellEnd"/>
      <w:r w:rsidR="00942E3A">
        <w:rPr>
          <w:rFonts w:ascii="Arial" w:hAnsi="Arial" w:cs="Arial"/>
        </w:rPr>
        <w:t xml:space="preserve"> again. As the appellants are under Chief </w:t>
      </w:r>
      <w:proofErr w:type="spellStart"/>
      <w:r w:rsidR="00942E3A">
        <w:rPr>
          <w:rFonts w:ascii="Arial" w:hAnsi="Arial" w:cs="Arial"/>
        </w:rPr>
        <w:t>Mokgoko</w:t>
      </w:r>
      <w:proofErr w:type="spellEnd"/>
      <w:r w:rsidR="00942E3A">
        <w:rPr>
          <w:rFonts w:ascii="Arial" w:hAnsi="Arial" w:cs="Arial"/>
        </w:rPr>
        <w:t xml:space="preserve"> of the </w:t>
      </w:r>
      <w:proofErr w:type="spellStart"/>
      <w:r w:rsidR="00942E3A">
        <w:rPr>
          <w:rFonts w:ascii="Arial" w:hAnsi="Arial" w:cs="Arial"/>
        </w:rPr>
        <w:t>Bakgatla</w:t>
      </w:r>
      <w:proofErr w:type="spellEnd"/>
      <w:r w:rsidR="00942E3A">
        <w:rPr>
          <w:rFonts w:ascii="Arial" w:hAnsi="Arial" w:cs="Arial"/>
        </w:rPr>
        <w:t xml:space="preserve"> </w:t>
      </w:r>
      <w:proofErr w:type="spellStart"/>
      <w:r w:rsidR="00942E3A">
        <w:rPr>
          <w:rFonts w:ascii="Arial" w:hAnsi="Arial" w:cs="Arial"/>
        </w:rPr>
        <w:t>BaMmakau</w:t>
      </w:r>
      <w:proofErr w:type="spellEnd"/>
      <w:r w:rsidR="00942E3A">
        <w:rPr>
          <w:rFonts w:ascii="Arial" w:hAnsi="Arial" w:cs="Arial"/>
        </w:rPr>
        <w:t xml:space="preserve">, the </w:t>
      </w:r>
      <w:r w:rsidR="00997FAF" w:rsidRPr="00714461">
        <w:rPr>
          <w:rFonts w:ascii="Arial" w:hAnsi="Arial" w:cs="Arial"/>
        </w:rPr>
        <w:t>CTLDC</w:t>
      </w:r>
      <w:r w:rsidR="00942E3A">
        <w:rPr>
          <w:rFonts w:ascii="Arial" w:hAnsi="Arial" w:cs="Arial"/>
        </w:rPr>
        <w:t xml:space="preserve"> found that they do not have their area of jurisdiction. In addition, the </w:t>
      </w:r>
      <w:r w:rsidR="00997FAF" w:rsidRPr="00714461">
        <w:rPr>
          <w:rFonts w:ascii="Arial" w:hAnsi="Arial" w:cs="Arial"/>
        </w:rPr>
        <w:t>CTLDC</w:t>
      </w:r>
      <w:r w:rsidR="00942E3A">
        <w:rPr>
          <w:rFonts w:ascii="Arial" w:hAnsi="Arial" w:cs="Arial"/>
        </w:rPr>
        <w:t xml:space="preserve"> relied on section 25(2)(viii) of the </w:t>
      </w:r>
      <w:r w:rsidR="00EF5853">
        <w:rPr>
          <w:rFonts w:ascii="Arial" w:hAnsi="Arial" w:cs="Arial"/>
        </w:rPr>
        <w:t>Traditional Leadership and Governance Framework Amendment Act</w:t>
      </w:r>
      <w:r w:rsidR="00EF5853">
        <w:rPr>
          <w:rStyle w:val="FootnoteReference"/>
          <w:rFonts w:ascii="Arial" w:hAnsi="Arial" w:cs="Arial"/>
        </w:rPr>
        <w:footnoteReference w:id="2"/>
      </w:r>
      <w:r w:rsidR="00EF5853">
        <w:rPr>
          <w:rFonts w:ascii="Arial" w:hAnsi="Arial" w:cs="Arial"/>
        </w:rPr>
        <w:t xml:space="preserve"> </w:t>
      </w:r>
      <w:r w:rsidR="00006230">
        <w:rPr>
          <w:rFonts w:ascii="Arial" w:hAnsi="Arial" w:cs="Arial"/>
        </w:rPr>
        <w:t>to conclude</w:t>
      </w:r>
      <w:r w:rsidR="00942E3A">
        <w:rPr>
          <w:rFonts w:ascii="Arial" w:hAnsi="Arial" w:cs="Arial"/>
        </w:rPr>
        <w:t xml:space="preserve"> that the claim falls outside its mandate</w:t>
      </w:r>
      <w:r w:rsidR="00840F89">
        <w:rPr>
          <w:rFonts w:ascii="Arial" w:hAnsi="Arial" w:cs="Arial"/>
        </w:rPr>
        <w:t xml:space="preserve">, which </w:t>
      </w:r>
      <w:proofErr w:type="spellStart"/>
      <w:r w:rsidR="00840F89">
        <w:rPr>
          <w:rFonts w:ascii="Arial" w:hAnsi="Arial" w:cs="Arial"/>
        </w:rPr>
        <w:t>authoris</w:t>
      </w:r>
      <w:r w:rsidR="00EF5853">
        <w:rPr>
          <w:rFonts w:ascii="Arial" w:hAnsi="Arial" w:cs="Arial"/>
        </w:rPr>
        <w:t>es</w:t>
      </w:r>
      <w:proofErr w:type="spellEnd"/>
      <w:r w:rsidR="00EF5853">
        <w:rPr>
          <w:rFonts w:ascii="Arial" w:hAnsi="Arial" w:cs="Arial"/>
        </w:rPr>
        <w:t xml:space="preserve"> the Commission to investigate all leadership claims and disputes dating from 1 September 1927 to the coming into operations of provincial legislation dealing with traditional and governance matters.</w:t>
      </w:r>
    </w:p>
    <w:p w14:paraId="726A85E1" w14:textId="68987141" w:rsidR="00A55E8E" w:rsidRDefault="00FD3D2C" w:rsidP="0094689E">
      <w:pPr>
        <w:spacing w:before="240" w:after="120" w:line="360" w:lineRule="auto"/>
        <w:jc w:val="both"/>
        <w:rPr>
          <w:rFonts w:ascii="Arial" w:hAnsi="Arial" w:cs="Arial"/>
        </w:rPr>
      </w:pPr>
      <w:r>
        <w:rPr>
          <w:rFonts w:ascii="Arial" w:hAnsi="Arial" w:cs="Arial"/>
        </w:rPr>
        <w:t>[11</w:t>
      </w:r>
      <w:r w:rsidR="00942E3A">
        <w:rPr>
          <w:rFonts w:ascii="Arial" w:hAnsi="Arial" w:cs="Arial"/>
        </w:rPr>
        <w:t>]</w:t>
      </w:r>
      <w:r w:rsidR="00942E3A">
        <w:rPr>
          <w:rFonts w:ascii="Arial" w:hAnsi="Arial" w:cs="Arial"/>
        </w:rPr>
        <w:tab/>
        <w:t xml:space="preserve">After considering the recommendations, the </w:t>
      </w:r>
      <w:r w:rsidR="00997FAF">
        <w:rPr>
          <w:rFonts w:ascii="Arial" w:hAnsi="Arial" w:cs="Arial"/>
        </w:rPr>
        <w:t>Premier dismissed the appellant</w:t>
      </w:r>
      <w:r w:rsidR="00942E3A">
        <w:rPr>
          <w:rFonts w:ascii="Arial" w:hAnsi="Arial" w:cs="Arial"/>
        </w:rPr>
        <w:t>s</w:t>
      </w:r>
      <w:r w:rsidR="00997FAF">
        <w:rPr>
          <w:rFonts w:ascii="Arial" w:hAnsi="Arial" w:cs="Arial"/>
        </w:rPr>
        <w:t>’</w:t>
      </w:r>
      <w:r w:rsidR="00942E3A">
        <w:rPr>
          <w:rFonts w:ascii="Arial" w:hAnsi="Arial" w:cs="Arial"/>
        </w:rPr>
        <w:t xml:space="preserve"> claim for lack of substance and merit. Dissatisfied with the Premier’s decision, the appellants launched the review application. </w:t>
      </w:r>
    </w:p>
    <w:p w14:paraId="0BC046FB" w14:textId="368C81FC" w:rsidR="00DD7687" w:rsidRPr="00EF57CA" w:rsidRDefault="00FD3D2C" w:rsidP="0094689E">
      <w:pPr>
        <w:spacing w:before="240" w:after="120" w:line="360" w:lineRule="auto"/>
        <w:jc w:val="both"/>
        <w:rPr>
          <w:rFonts w:ascii="Arial" w:hAnsi="Arial" w:cs="Arial"/>
          <w:u w:val="single"/>
        </w:rPr>
      </w:pPr>
      <w:r>
        <w:rPr>
          <w:rFonts w:ascii="Arial" w:hAnsi="Arial" w:cs="Arial"/>
          <w:u w:val="single"/>
        </w:rPr>
        <w:lastRenderedPageBreak/>
        <w:t>In the Court</w:t>
      </w:r>
      <w:r w:rsidR="00942E3A" w:rsidRPr="00EF57CA">
        <w:rPr>
          <w:rFonts w:ascii="Arial" w:hAnsi="Arial" w:cs="Arial"/>
          <w:u w:val="single"/>
        </w:rPr>
        <w:t xml:space="preserve"> </w:t>
      </w:r>
      <w:r w:rsidR="00942E3A" w:rsidRPr="009A40A1">
        <w:rPr>
          <w:rFonts w:ascii="Arial" w:hAnsi="Arial" w:cs="Arial"/>
          <w:i/>
          <w:u w:val="single"/>
        </w:rPr>
        <w:t>a quo</w:t>
      </w:r>
    </w:p>
    <w:p w14:paraId="6A6FBA63" w14:textId="0589C614" w:rsidR="00DD7687" w:rsidRDefault="00A55E8E" w:rsidP="0094689E">
      <w:pPr>
        <w:spacing w:before="240" w:after="120" w:line="360" w:lineRule="auto"/>
        <w:jc w:val="both"/>
        <w:rPr>
          <w:rFonts w:ascii="Arial" w:hAnsi="Arial" w:cs="Arial"/>
        </w:rPr>
      </w:pPr>
      <w:r>
        <w:rPr>
          <w:rFonts w:ascii="Arial" w:hAnsi="Arial" w:cs="Arial"/>
        </w:rPr>
        <w:t>[12</w:t>
      </w:r>
      <w:r w:rsidR="00942E3A">
        <w:rPr>
          <w:rFonts w:ascii="Arial" w:hAnsi="Arial" w:cs="Arial"/>
        </w:rPr>
        <w:t>]</w:t>
      </w:r>
      <w:r w:rsidR="00942E3A">
        <w:rPr>
          <w:rFonts w:ascii="Arial" w:hAnsi="Arial" w:cs="Arial"/>
        </w:rPr>
        <w:tab/>
        <w:t xml:space="preserve">The application was mainly based on the grounds that the </w:t>
      </w:r>
      <w:r w:rsidR="00997FAF" w:rsidRPr="00714461">
        <w:rPr>
          <w:rFonts w:ascii="Arial" w:hAnsi="Arial" w:cs="Arial"/>
        </w:rPr>
        <w:t>CTLDC</w:t>
      </w:r>
      <w:r w:rsidR="00997FAF">
        <w:rPr>
          <w:rFonts w:ascii="Arial" w:hAnsi="Arial" w:cs="Arial"/>
        </w:rPr>
        <w:t xml:space="preserve"> </w:t>
      </w:r>
      <w:r w:rsidR="00942E3A">
        <w:rPr>
          <w:rFonts w:ascii="Arial" w:hAnsi="Arial" w:cs="Arial"/>
        </w:rPr>
        <w:t xml:space="preserve">failed to consider the application for the first appellant to be </w:t>
      </w:r>
      <w:proofErr w:type="spellStart"/>
      <w:r w:rsidR="00942E3A">
        <w:rPr>
          <w:rFonts w:ascii="Arial" w:hAnsi="Arial" w:cs="Arial"/>
        </w:rPr>
        <w:t>recognised</w:t>
      </w:r>
      <w:proofErr w:type="spellEnd"/>
      <w:r w:rsidR="00942E3A">
        <w:rPr>
          <w:rFonts w:ascii="Arial" w:hAnsi="Arial" w:cs="Arial"/>
        </w:rPr>
        <w:t xml:space="preserve"> as a separate traditional community and </w:t>
      </w:r>
      <w:r w:rsidR="00006230">
        <w:rPr>
          <w:rFonts w:ascii="Arial" w:hAnsi="Arial" w:cs="Arial"/>
        </w:rPr>
        <w:t xml:space="preserve">that </w:t>
      </w:r>
      <w:r w:rsidR="00942E3A">
        <w:rPr>
          <w:rFonts w:ascii="Arial" w:hAnsi="Arial" w:cs="Arial"/>
        </w:rPr>
        <w:t xml:space="preserve">its land was successfully restored to it by the Land Claims Commission. </w:t>
      </w:r>
      <w:proofErr w:type="gramStart"/>
      <w:r w:rsidR="00942E3A">
        <w:rPr>
          <w:rFonts w:ascii="Arial" w:hAnsi="Arial" w:cs="Arial"/>
        </w:rPr>
        <w:t>The further</w:t>
      </w:r>
      <w:proofErr w:type="gramEnd"/>
      <w:r w:rsidR="00942E3A">
        <w:rPr>
          <w:rFonts w:ascii="Arial" w:hAnsi="Arial" w:cs="Arial"/>
        </w:rPr>
        <w:t xml:space="preserve"> grounds were, </w:t>
      </w:r>
      <w:r w:rsidR="00942E3A" w:rsidRPr="00B2295F">
        <w:rPr>
          <w:rFonts w:ascii="Arial" w:hAnsi="Arial" w:cs="Arial"/>
          <w:i/>
        </w:rPr>
        <w:t>inter alia</w:t>
      </w:r>
      <w:r w:rsidR="00942E3A">
        <w:rPr>
          <w:rFonts w:ascii="Arial" w:hAnsi="Arial" w:cs="Arial"/>
        </w:rPr>
        <w:t xml:space="preserve">, that the Premier’s acceptance of the recommendations without additional consultation and the </w:t>
      </w:r>
      <w:r w:rsidR="00942E3A" w:rsidRPr="00714461">
        <w:rPr>
          <w:rFonts w:ascii="Arial" w:hAnsi="Arial" w:cs="Arial"/>
        </w:rPr>
        <w:t>CTLDC</w:t>
      </w:r>
      <w:r w:rsidR="00942E3A">
        <w:rPr>
          <w:rFonts w:ascii="Arial" w:hAnsi="Arial" w:cs="Arial"/>
        </w:rPr>
        <w:t xml:space="preserve">’s finding that the claim falls outside its mandate rendered the Premier’s decision reviewable. </w:t>
      </w:r>
    </w:p>
    <w:p w14:paraId="5B4E5270" w14:textId="110D6EE5" w:rsidR="00DD7687" w:rsidRDefault="00A55E8E" w:rsidP="0094689E">
      <w:pPr>
        <w:spacing w:before="240" w:after="120" w:line="360" w:lineRule="auto"/>
        <w:jc w:val="both"/>
        <w:rPr>
          <w:rFonts w:ascii="Arial" w:hAnsi="Arial" w:cs="Arial"/>
        </w:rPr>
      </w:pPr>
      <w:r>
        <w:rPr>
          <w:rFonts w:ascii="Arial" w:hAnsi="Arial" w:cs="Arial"/>
        </w:rPr>
        <w:t>[13</w:t>
      </w:r>
      <w:r w:rsidR="00942E3A">
        <w:rPr>
          <w:rFonts w:ascii="Arial" w:hAnsi="Arial" w:cs="Arial"/>
        </w:rPr>
        <w:t>]</w:t>
      </w:r>
      <w:r w:rsidR="00942E3A">
        <w:rPr>
          <w:rFonts w:ascii="Arial" w:hAnsi="Arial" w:cs="Arial"/>
        </w:rPr>
        <w:tab/>
        <w:t xml:space="preserve">The respondent opposed the application on </w:t>
      </w:r>
      <w:r w:rsidR="001C4F25">
        <w:rPr>
          <w:rFonts w:ascii="Arial" w:hAnsi="Arial" w:cs="Arial"/>
        </w:rPr>
        <w:t xml:space="preserve">the </w:t>
      </w:r>
      <w:r w:rsidR="00942E3A">
        <w:rPr>
          <w:rFonts w:ascii="Arial" w:hAnsi="Arial" w:cs="Arial"/>
        </w:rPr>
        <w:t xml:space="preserve">merits and raised a point </w:t>
      </w:r>
      <w:r w:rsidR="00942E3A" w:rsidRPr="00E75231">
        <w:rPr>
          <w:rFonts w:ascii="Arial" w:hAnsi="Arial" w:cs="Arial"/>
          <w:i/>
        </w:rPr>
        <w:t xml:space="preserve">in </w:t>
      </w:r>
      <w:proofErr w:type="spellStart"/>
      <w:r w:rsidR="00942E3A" w:rsidRPr="00E75231">
        <w:rPr>
          <w:rFonts w:ascii="Arial" w:hAnsi="Arial" w:cs="Arial"/>
          <w:i/>
        </w:rPr>
        <w:t>limine</w:t>
      </w:r>
      <w:proofErr w:type="spellEnd"/>
      <w:r w:rsidR="00942E3A">
        <w:rPr>
          <w:rFonts w:ascii="Arial" w:hAnsi="Arial" w:cs="Arial"/>
        </w:rPr>
        <w:t xml:space="preserve"> regarding the non-joinder of </w:t>
      </w:r>
      <w:proofErr w:type="spellStart"/>
      <w:r w:rsidR="00942E3A">
        <w:rPr>
          <w:rFonts w:ascii="Arial" w:hAnsi="Arial" w:cs="Arial"/>
        </w:rPr>
        <w:t>Bakgatla</w:t>
      </w:r>
      <w:proofErr w:type="spellEnd"/>
      <w:r w:rsidR="00942E3A">
        <w:rPr>
          <w:rFonts w:ascii="Arial" w:hAnsi="Arial" w:cs="Arial"/>
        </w:rPr>
        <w:t xml:space="preserve"> Ba </w:t>
      </w:r>
      <w:proofErr w:type="spellStart"/>
      <w:r w:rsidR="00942E3A">
        <w:rPr>
          <w:rFonts w:ascii="Arial" w:hAnsi="Arial" w:cs="Arial"/>
        </w:rPr>
        <w:t>Mmakau</w:t>
      </w:r>
      <w:proofErr w:type="spellEnd"/>
      <w:r w:rsidR="00942E3A">
        <w:rPr>
          <w:rFonts w:ascii="Arial" w:hAnsi="Arial" w:cs="Arial"/>
        </w:rPr>
        <w:t xml:space="preserve"> Community under Chief </w:t>
      </w:r>
      <w:proofErr w:type="spellStart"/>
      <w:r w:rsidR="00942E3A">
        <w:rPr>
          <w:rFonts w:ascii="Arial" w:hAnsi="Arial" w:cs="Arial"/>
        </w:rPr>
        <w:t>Makgoko</w:t>
      </w:r>
      <w:proofErr w:type="spellEnd"/>
      <w:r w:rsidR="00942E3A">
        <w:rPr>
          <w:rFonts w:ascii="Arial" w:hAnsi="Arial" w:cs="Arial"/>
        </w:rPr>
        <w:t xml:space="preserve"> and the Royal family. The Court </w:t>
      </w:r>
      <w:r w:rsidR="001C4F25">
        <w:rPr>
          <w:rFonts w:ascii="Arial" w:hAnsi="Arial" w:cs="Arial"/>
        </w:rPr>
        <w:t xml:space="preserve">agreed with the respondents on the non-joinder. However, it dealt with the merits and </w:t>
      </w:r>
      <w:r w:rsidR="00942E3A">
        <w:rPr>
          <w:rFonts w:ascii="Arial" w:hAnsi="Arial" w:cs="Arial"/>
        </w:rPr>
        <w:t>concluded that the Commission’s recommendations and the Premier’s decision were unimpeachable and dismissed the application.</w:t>
      </w:r>
      <w:r w:rsidR="001C4F25">
        <w:rPr>
          <w:rFonts w:ascii="Arial" w:hAnsi="Arial" w:cs="Arial"/>
        </w:rPr>
        <w:t xml:space="preserve"> Aggrieved by this decision, the filed the</w:t>
      </w:r>
      <w:r w:rsidR="006E71D4">
        <w:rPr>
          <w:rFonts w:ascii="Arial" w:hAnsi="Arial" w:cs="Arial"/>
        </w:rPr>
        <w:t xml:space="preserve"> leave to</w:t>
      </w:r>
      <w:r w:rsidR="001C4F25">
        <w:rPr>
          <w:rFonts w:ascii="Arial" w:hAnsi="Arial" w:cs="Arial"/>
        </w:rPr>
        <w:t xml:space="preserve"> appeal</w:t>
      </w:r>
      <w:r w:rsidR="006E71D4">
        <w:rPr>
          <w:rFonts w:ascii="Arial" w:hAnsi="Arial" w:cs="Arial"/>
        </w:rPr>
        <w:t>, which was granted</w:t>
      </w:r>
      <w:r w:rsidR="001C4F25">
        <w:rPr>
          <w:rFonts w:ascii="Arial" w:hAnsi="Arial" w:cs="Arial"/>
        </w:rPr>
        <w:t>.</w:t>
      </w:r>
    </w:p>
    <w:p w14:paraId="66BD70CC" w14:textId="77777777" w:rsidR="00DD7687" w:rsidRPr="00EF57CA" w:rsidRDefault="00942E3A" w:rsidP="0094689E">
      <w:pPr>
        <w:pStyle w:val="Default"/>
        <w:spacing w:before="240" w:after="120" w:line="360" w:lineRule="auto"/>
        <w:jc w:val="both"/>
        <w:rPr>
          <w:u w:val="single"/>
        </w:rPr>
      </w:pPr>
      <w:r w:rsidRPr="00EF57CA">
        <w:rPr>
          <w:u w:val="single"/>
        </w:rPr>
        <w:t>In this Court</w:t>
      </w:r>
    </w:p>
    <w:p w14:paraId="0C9D2159" w14:textId="54F62AE8" w:rsidR="00DD7687" w:rsidRDefault="00A55E8E" w:rsidP="0094689E">
      <w:pPr>
        <w:pStyle w:val="Default"/>
        <w:spacing w:before="240" w:after="120" w:line="360" w:lineRule="auto"/>
        <w:jc w:val="both"/>
      </w:pPr>
      <w:r>
        <w:t>[14</w:t>
      </w:r>
      <w:r w:rsidR="00942E3A">
        <w:t>]</w:t>
      </w:r>
      <w:r w:rsidR="00942E3A">
        <w:tab/>
        <w:t xml:space="preserve">On appeal, the appellants contended that the Court </w:t>
      </w:r>
      <w:r w:rsidR="00942E3A" w:rsidRPr="0031343C">
        <w:rPr>
          <w:i/>
        </w:rPr>
        <w:t>a quo</w:t>
      </w:r>
      <w:r w:rsidR="00942E3A">
        <w:t xml:space="preserve"> misdirected it</w:t>
      </w:r>
      <w:r w:rsidR="00942E3A" w:rsidRPr="00084387">
        <w:t>self by concluding that the</w:t>
      </w:r>
      <w:r w:rsidR="00942E3A">
        <w:t>y had</w:t>
      </w:r>
      <w:r w:rsidR="00942E3A" w:rsidRPr="00084387">
        <w:t xml:space="preserve"> not been able to show any indication or </w:t>
      </w:r>
      <w:r w:rsidR="00942E3A">
        <w:t>evidence that they are</w:t>
      </w:r>
      <w:r w:rsidR="00942E3A" w:rsidRPr="00084387">
        <w:t xml:space="preserve"> subject to a system of traditional leaders in terms of any custom that observes a system of customary law.</w:t>
      </w:r>
      <w:r w:rsidR="00942E3A">
        <w:t xml:space="preserve"> They further contended that the Court </w:t>
      </w:r>
      <w:r w:rsidR="00942E3A" w:rsidRPr="0031343C">
        <w:rPr>
          <w:i/>
        </w:rPr>
        <w:t>a quo</w:t>
      </w:r>
      <w:r w:rsidR="00942E3A">
        <w:t xml:space="preserve"> failed to consider that</w:t>
      </w:r>
      <w:r w:rsidR="00942E3A" w:rsidRPr="00A130E5">
        <w:t xml:space="preserve"> </w:t>
      </w:r>
      <w:r w:rsidR="00942E3A">
        <w:t xml:space="preserve">their application was to </w:t>
      </w:r>
      <w:r w:rsidR="00942E3A" w:rsidRPr="00A130E5">
        <w:t xml:space="preserve">obtain </w:t>
      </w:r>
      <w:r w:rsidR="00942E3A" w:rsidRPr="00A130E5">
        <w:rPr>
          <w:bCs/>
        </w:rPr>
        <w:t xml:space="preserve">official recognition </w:t>
      </w:r>
      <w:r w:rsidR="00942E3A">
        <w:rPr>
          <w:bCs/>
        </w:rPr>
        <w:t xml:space="preserve">of the first appellant </w:t>
      </w:r>
      <w:r w:rsidR="00942E3A">
        <w:t>as an</w:t>
      </w:r>
      <w:r w:rsidR="00942E3A" w:rsidRPr="00A130E5">
        <w:t xml:space="preserve"> existing </w:t>
      </w:r>
      <w:r w:rsidR="00942E3A" w:rsidRPr="00A130E5">
        <w:rPr>
          <w:bCs/>
        </w:rPr>
        <w:t>traditional community</w:t>
      </w:r>
      <w:r w:rsidR="00942E3A" w:rsidRPr="00A130E5">
        <w:t xml:space="preserve"> and </w:t>
      </w:r>
      <w:r w:rsidR="00942E3A">
        <w:t>the s</w:t>
      </w:r>
      <w:r w:rsidR="00942E3A" w:rsidRPr="00A130E5">
        <w:t xml:space="preserve">econd </w:t>
      </w:r>
      <w:r w:rsidR="00942E3A">
        <w:t xml:space="preserve">appellant </w:t>
      </w:r>
      <w:r w:rsidR="00942E3A" w:rsidRPr="00A130E5">
        <w:t xml:space="preserve">as their </w:t>
      </w:r>
      <w:r w:rsidR="00942E3A" w:rsidRPr="0069789A">
        <w:rPr>
          <w:bCs/>
        </w:rPr>
        <w:t>Senior Traditional Leader</w:t>
      </w:r>
      <w:r w:rsidR="00942E3A" w:rsidRPr="0069789A">
        <w:t xml:space="preserve">. </w:t>
      </w:r>
    </w:p>
    <w:p w14:paraId="031501A4" w14:textId="54827DC9" w:rsidR="00DD7687" w:rsidRDefault="00A55E8E" w:rsidP="0094689E">
      <w:pPr>
        <w:pStyle w:val="Default"/>
        <w:spacing w:before="240" w:after="120" w:line="360" w:lineRule="auto"/>
        <w:jc w:val="both"/>
      </w:pPr>
      <w:r>
        <w:t>[15</w:t>
      </w:r>
      <w:r w:rsidR="00942E3A">
        <w:t>]</w:t>
      </w:r>
      <w:r w:rsidR="00942E3A">
        <w:tab/>
        <w:t xml:space="preserve">The appellants contended that the Premier referred to the Commissioner's recommendations instead of applying </w:t>
      </w:r>
      <w:r w:rsidR="00942E3A" w:rsidRPr="008F594B">
        <w:t>himself</w:t>
      </w:r>
      <w:r w:rsidR="00942E3A">
        <w:t xml:space="preserve"> to the evidence presented at the hearings. </w:t>
      </w:r>
      <w:r w:rsidR="00942E3A">
        <w:rPr>
          <w:bCs/>
        </w:rPr>
        <w:t xml:space="preserve">Lastly, the appellants challenged the </w:t>
      </w:r>
      <w:r w:rsidR="00942E3A" w:rsidRPr="0069789A">
        <w:rPr>
          <w:bCs/>
        </w:rPr>
        <w:t xml:space="preserve">finding </w:t>
      </w:r>
      <w:r w:rsidR="00942E3A">
        <w:t xml:space="preserve">that </w:t>
      </w:r>
      <w:r w:rsidR="00942E3A">
        <w:rPr>
          <w:bCs/>
        </w:rPr>
        <w:t>they</w:t>
      </w:r>
      <w:r w:rsidR="00942E3A" w:rsidRPr="0069789A">
        <w:rPr>
          <w:bCs/>
        </w:rPr>
        <w:t xml:space="preserve"> </w:t>
      </w:r>
      <w:r w:rsidR="00942E3A">
        <w:rPr>
          <w:bCs/>
        </w:rPr>
        <w:t xml:space="preserve">failed </w:t>
      </w:r>
      <w:r w:rsidR="008354EC">
        <w:rPr>
          <w:bCs/>
        </w:rPr>
        <w:t xml:space="preserve">to </w:t>
      </w:r>
      <w:r w:rsidR="00942E3A" w:rsidRPr="0069789A">
        <w:rPr>
          <w:bCs/>
        </w:rPr>
        <w:t xml:space="preserve">follow “the correct legal procedure </w:t>
      </w:r>
      <w:r w:rsidR="00942E3A" w:rsidRPr="0069789A">
        <w:t xml:space="preserve">enshrined in the Constitution and </w:t>
      </w:r>
      <w:r w:rsidR="00942E3A" w:rsidRPr="0069789A">
        <w:rPr>
          <w:bCs/>
        </w:rPr>
        <w:t xml:space="preserve">relevant </w:t>
      </w:r>
      <w:r w:rsidR="00DC79F1">
        <w:rPr>
          <w:bCs/>
        </w:rPr>
        <w:t>legislation</w:t>
      </w:r>
      <w:r w:rsidR="00942E3A" w:rsidRPr="0069789A">
        <w:rPr>
          <w:bCs/>
        </w:rPr>
        <w:t xml:space="preserve"> </w:t>
      </w:r>
      <w:r w:rsidR="00942E3A" w:rsidRPr="0069789A">
        <w:t xml:space="preserve">in dealing with the recognition of the </w:t>
      </w:r>
      <w:r w:rsidR="00006230">
        <w:t>t</w:t>
      </w:r>
      <w:r w:rsidR="00942E3A" w:rsidRPr="0069789A">
        <w:t>raditional communi</w:t>
      </w:r>
      <w:r w:rsidR="00942E3A">
        <w:t>ty and its traditional leaders.”</w:t>
      </w:r>
    </w:p>
    <w:p w14:paraId="57ECADCB" w14:textId="52425076" w:rsidR="00DD7687" w:rsidRDefault="00A55E8E" w:rsidP="0094689E">
      <w:pPr>
        <w:pStyle w:val="Default"/>
        <w:spacing w:before="240" w:after="120" w:line="360" w:lineRule="auto"/>
        <w:jc w:val="both"/>
      </w:pPr>
      <w:r>
        <w:t>[16</w:t>
      </w:r>
      <w:r w:rsidR="00942E3A">
        <w:t>]</w:t>
      </w:r>
      <w:r w:rsidR="00942E3A">
        <w:tab/>
      </w:r>
      <w:r w:rsidR="008214E4">
        <w:t>T</w:t>
      </w:r>
      <w:r w:rsidR="00942E3A" w:rsidRPr="00F31F7D">
        <w:t xml:space="preserve">he </w:t>
      </w:r>
      <w:r w:rsidR="00942E3A">
        <w:t xml:space="preserve">respondents contend that </w:t>
      </w:r>
      <w:r w:rsidR="00942E3A" w:rsidRPr="00F31F7D">
        <w:t xml:space="preserve">non-joinder is fatal to </w:t>
      </w:r>
      <w:r w:rsidR="0089000D">
        <w:t>the appellant</w:t>
      </w:r>
      <w:r w:rsidR="00942E3A">
        <w:t>s</w:t>
      </w:r>
      <w:r w:rsidR="0089000D">
        <w:t>’</w:t>
      </w:r>
      <w:r w:rsidR="00942E3A">
        <w:t xml:space="preserve"> case. </w:t>
      </w:r>
      <w:r w:rsidR="00942E3A">
        <w:lastRenderedPageBreak/>
        <w:t xml:space="preserve">They also claim that the appellants failed to follow the procedure for </w:t>
      </w:r>
      <w:proofErr w:type="spellStart"/>
      <w:r w:rsidR="00942E3A">
        <w:t>recognising</w:t>
      </w:r>
      <w:proofErr w:type="spellEnd"/>
      <w:r w:rsidR="00942E3A">
        <w:t xml:space="preserve"> the traditional community and traditional leader as outlined in section 2 of the </w:t>
      </w:r>
      <w:r>
        <w:t xml:space="preserve">Framework Act </w:t>
      </w:r>
      <w:r w:rsidR="00942E3A">
        <w:t xml:space="preserve">and section 3 of the Mpumalanga Traditional Leadership and Governance Act ("Mpumalanga Act"). </w:t>
      </w:r>
      <w:r w:rsidR="008214E4">
        <w:t>In addition, they opposed the numerous grounds raised by the app</w:t>
      </w:r>
      <w:r w:rsidR="00B060EF">
        <w:t>ellants.</w:t>
      </w:r>
    </w:p>
    <w:p w14:paraId="3B3DB4DD" w14:textId="77777777" w:rsidR="00A55E8E" w:rsidRPr="00A70AFA" w:rsidRDefault="00A55E8E" w:rsidP="00A55E8E">
      <w:pPr>
        <w:pStyle w:val="Default"/>
        <w:spacing w:before="240" w:after="120" w:line="360" w:lineRule="auto"/>
        <w:jc w:val="both"/>
        <w:rPr>
          <w:u w:val="single"/>
        </w:rPr>
      </w:pPr>
      <w:r>
        <w:rPr>
          <w:u w:val="single"/>
        </w:rPr>
        <w:t>Statutory f</w:t>
      </w:r>
      <w:r w:rsidRPr="00A70AFA">
        <w:rPr>
          <w:u w:val="single"/>
        </w:rPr>
        <w:t>ramework</w:t>
      </w:r>
    </w:p>
    <w:p w14:paraId="49504B7D" w14:textId="3A115819" w:rsidR="00A55E8E" w:rsidRDefault="00A55E8E" w:rsidP="00A55E8E">
      <w:pPr>
        <w:pStyle w:val="Default"/>
        <w:spacing w:before="240" w:after="120" w:line="360" w:lineRule="auto"/>
        <w:jc w:val="both"/>
      </w:pPr>
      <w:r>
        <w:t>[17]</w:t>
      </w:r>
      <w:r>
        <w:tab/>
        <w:t>It is apposite to commence by setting out the statutory framework within which the issues will be determined. The institution of traditional leadership is established in terms of customary law subject to the Constitution. Section 211 of the Constitution provides for the recognition of the traditional leaders as follows:</w:t>
      </w:r>
    </w:p>
    <w:p w14:paraId="286CE602" w14:textId="77777777" w:rsidR="00A55E8E" w:rsidRPr="002515C5" w:rsidRDefault="00A55E8E" w:rsidP="00A55E8E">
      <w:pPr>
        <w:widowControl w:val="0"/>
        <w:autoSpaceDE w:val="0"/>
        <w:autoSpaceDN w:val="0"/>
        <w:adjustRightInd w:val="0"/>
        <w:spacing w:before="240" w:after="120" w:line="360" w:lineRule="auto"/>
        <w:ind w:left="1418" w:hanging="660"/>
        <w:jc w:val="both"/>
        <w:rPr>
          <w:rFonts w:ascii="Arial" w:hAnsi="Arial" w:cs="Arial"/>
          <w:color w:val="000000"/>
          <w:sz w:val="22"/>
          <w:szCs w:val="22"/>
        </w:rPr>
      </w:pPr>
      <w:r>
        <w:t>‘</w:t>
      </w:r>
      <w:r>
        <w:rPr>
          <w:rFonts w:ascii="Arial" w:hAnsi="Arial" w:cs="Arial"/>
          <w:color w:val="000000"/>
          <w:sz w:val="22"/>
          <w:szCs w:val="22"/>
        </w:rPr>
        <w:t>(1)</w:t>
      </w:r>
      <w:r>
        <w:rPr>
          <w:rFonts w:ascii="Arial" w:hAnsi="Arial" w:cs="Arial"/>
          <w:color w:val="000000"/>
          <w:sz w:val="22"/>
          <w:szCs w:val="22"/>
        </w:rPr>
        <w:tab/>
      </w:r>
      <w:r w:rsidRPr="002515C5">
        <w:rPr>
          <w:rFonts w:ascii="Arial" w:hAnsi="Arial" w:cs="Arial"/>
          <w:color w:val="000000"/>
          <w:sz w:val="22"/>
          <w:szCs w:val="22"/>
        </w:rPr>
        <w:t xml:space="preserve">The institution, </w:t>
      </w:r>
      <w:proofErr w:type="gramStart"/>
      <w:r w:rsidRPr="002515C5">
        <w:rPr>
          <w:rFonts w:ascii="Arial" w:hAnsi="Arial" w:cs="Arial"/>
          <w:color w:val="000000"/>
          <w:sz w:val="22"/>
          <w:szCs w:val="22"/>
        </w:rPr>
        <w:t>status</w:t>
      </w:r>
      <w:proofErr w:type="gramEnd"/>
      <w:r w:rsidRPr="002515C5">
        <w:rPr>
          <w:rFonts w:ascii="Arial" w:hAnsi="Arial" w:cs="Arial"/>
          <w:color w:val="000000"/>
          <w:sz w:val="22"/>
          <w:szCs w:val="22"/>
        </w:rPr>
        <w:t xml:space="preserve"> and role of traditional leadership, according to customary law, are </w:t>
      </w:r>
      <w:proofErr w:type="spellStart"/>
      <w:r w:rsidRPr="002515C5">
        <w:rPr>
          <w:rFonts w:ascii="Arial" w:hAnsi="Arial" w:cs="Arial"/>
          <w:color w:val="000000"/>
          <w:sz w:val="22"/>
          <w:szCs w:val="22"/>
        </w:rPr>
        <w:t>recognised</w:t>
      </w:r>
      <w:proofErr w:type="spellEnd"/>
      <w:r w:rsidRPr="002515C5">
        <w:rPr>
          <w:rFonts w:ascii="Arial" w:hAnsi="Arial" w:cs="Arial"/>
          <w:color w:val="000000"/>
          <w:sz w:val="22"/>
          <w:szCs w:val="22"/>
        </w:rPr>
        <w:t xml:space="preserve">, subject to the Constitution. </w:t>
      </w:r>
    </w:p>
    <w:p w14:paraId="74C0AE45" w14:textId="77777777" w:rsidR="00A55E8E" w:rsidRPr="002515C5" w:rsidRDefault="00A55E8E" w:rsidP="00A55E8E">
      <w:pPr>
        <w:widowControl w:val="0"/>
        <w:autoSpaceDE w:val="0"/>
        <w:autoSpaceDN w:val="0"/>
        <w:adjustRightInd w:val="0"/>
        <w:spacing w:before="240" w:after="120" w:line="360" w:lineRule="auto"/>
        <w:ind w:left="1418" w:hanging="709"/>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2515C5">
        <w:rPr>
          <w:rFonts w:ascii="Arial" w:hAnsi="Arial" w:cs="Arial"/>
          <w:color w:val="000000"/>
          <w:sz w:val="22"/>
          <w:szCs w:val="22"/>
        </w:rPr>
        <w:t xml:space="preserve">A traditional authority that observes a system of customary law may function subject to any applicable legislation and customs, which includes amendments to, or repeal of, that legislation or those customs. </w:t>
      </w:r>
    </w:p>
    <w:p w14:paraId="1EEA7B37" w14:textId="77777777" w:rsidR="00A55E8E" w:rsidRPr="00C55A85" w:rsidRDefault="00A55E8E" w:rsidP="00A55E8E">
      <w:pPr>
        <w:widowControl w:val="0"/>
        <w:autoSpaceDE w:val="0"/>
        <w:autoSpaceDN w:val="0"/>
        <w:adjustRightInd w:val="0"/>
        <w:spacing w:before="240" w:after="120" w:line="360" w:lineRule="auto"/>
        <w:ind w:left="1418" w:hanging="709"/>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2515C5">
        <w:rPr>
          <w:rFonts w:ascii="Arial" w:hAnsi="Arial" w:cs="Arial"/>
          <w:color w:val="000000"/>
          <w:sz w:val="22"/>
          <w:szCs w:val="22"/>
        </w:rPr>
        <w:t xml:space="preserve">The courts must apply customary law when that law is applicable, subject to the Constitution and any legislation that specifically deals with customary law. </w:t>
      </w:r>
    </w:p>
    <w:p w14:paraId="2485A10F" w14:textId="72079A4E" w:rsidR="00A55E8E" w:rsidRPr="00C55A85" w:rsidRDefault="00A55E8E" w:rsidP="00A55E8E">
      <w:pPr>
        <w:widowControl w:val="0"/>
        <w:autoSpaceDE w:val="0"/>
        <w:autoSpaceDN w:val="0"/>
        <w:adjustRightInd w:val="0"/>
        <w:spacing w:before="240" w:after="120" w:line="360" w:lineRule="auto"/>
        <w:ind w:left="660" w:hanging="660"/>
        <w:jc w:val="both"/>
        <w:rPr>
          <w:rFonts w:ascii="Arial" w:hAnsi="Arial" w:cs="Arial"/>
          <w:color w:val="000000"/>
          <w:sz w:val="22"/>
          <w:szCs w:val="22"/>
        </w:rPr>
      </w:pPr>
      <w:r>
        <w:rPr>
          <w:rFonts w:ascii="Arial" w:hAnsi="Arial" w:cs="Arial"/>
        </w:rPr>
        <w:t>[18</w:t>
      </w:r>
      <w:r w:rsidRPr="00C55A85">
        <w:rPr>
          <w:rFonts w:ascii="Arial" w:hAnsi="Arial" w:cs="Arial"/>
        </w:rPr>
        <w:t>]</w:t>
      </w:r>
      <w:r w:rsidRPr="00C55A85">
        <w:rPr>
          <w:rFonts w:ascii="Arial" w:hAnsi="Arial" w:cs="Arial"/>
        </w:rPr>
        <w:tab/>
        <w:t xml:space="preserve">Section 212 of the Constitution provides for the </w:t>
      </w:r>
      <w:r w:rsidRPr="00C55A85">
        <w:rPr>
          <w:rFonts w:ascii="Arial" w:hAnsi="Arial" w:cs="Arial"/>
          <w:bCs/>
          <w:color w:val="000000"/>
        </w:rPr>
        <w:t>role of traditional leaders. It provides that:</w:t>
      </w:r>
      <w:r w:rsidRPr="00C55A85">
        <w:rPr>
          <w:rFonts w:ascii="Arial" w:hAnsi="Arial" w:cs="Arial"/>
          <w:color w:val="000000"/>
          <w:sz w:val="22"/>
          <w:szCs w:val="22"/>
        </w:rPr>
        <w:t xml:space="preserve"> </w:t>
      </w:r>
    </w:p>
    <w:p w14:paraId="35807924" w14:textId="77777777" w:rsidR="00A55E8E" w:rsidRPr="002515C5" w:rsidRDefault="00A55E8E" w:rsidP="00A55E8E">
      <w:pPr>
        <w:widowControl w:val="0"/>
        <w:autoSpaceDE w:val="0"/>
        <w:autoSpaceDN w:val="0"/>
        <w:adjustRightInd w:val="0"/>
        <w:spacing w:before="240" w:after="120" w:line="360" w:lineRule="auto"/>
        <w:ind w:left="1418" w:hanging="6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Pr="002515C5">
        <w:rPr>
          <w:rFonts w:ascii="Arial" w:hAnsi="Arial" w:cs="Arial"/>
          <w:color w:val="000000"/>
          <w:sz w:val="22"/>
          <w:szCs w:val="22"/>
        </w:rPr>
        <w:t xml:space="preserve">National legislation may provide for a role for traditional leadership as an institution at local level on matters affecting local communities. </w:t>
      </w:r>
    </w:p>
    <w:p w14:paraId="1CB438DD" w14:textId="77777777" w:rsidR="00A55E8E" w:rsidRPr="002515C5" w:rsidRDefault="00A55E8E" w:rsidP="00A55E8E">
      <w:pPr>
        <w:widowControl w:val="0"/>
        <w:autoSpaceDE w:val="0"/>
        <w:autoSpaceDN w:val="0"/>
        <w:adjustRightInd w:val="0"/>
        <w:spacing w:before="240" w:after="120" w:line="360" w:lineRule="auto"/>
        <w:ind w:left="1418" w:hanging="6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2515C5">
        <w:rPr>
          <w:rFonts w:ascii="Arial" w:hAnsi="Arial" w:cs="Arial"/>
          <w:color w:val="000000"/>
          <w:sz w:val="22"/>
          <w:szCs w:val="22"/>
        </w:rPr>
        <w:t>To deal with matters relating to traditional leadership, the role of traditional leaders, customary law and the customs of communities observing a system of customary law</w:t>
      </w:r>
      <w:r>
        <w:rPr>
          <w:rFonts w:ascii="Arial" w:hAnsi="Arial" w:cs="Arial"/>
          <w:color w:val="000000"/>
          <w:sz w:val="22"/>
          <w:szCs w:val="22"/>
        </w:rPr>
        <w:t xml:space="preserve"> </w:t>
      </w:r>
      <w:r w:rsidRPr="002515C5">
        <w:rPr>
          <w:rFonts w:ascii="Arial" w:hAnsi="Arial" w:cs="Arial"/>
          <w:color w:val="000000"/>
          <w:sz w:val="22"/>
          <w:szCs w:val="22"/>
        </w:rPr>
        <w:t xml:space="preserve">— </w:t>
      </w:r>
    </w:p>
    <w:p w14:paraId="48F64782" w14:textId="77777777" w:rsidR="00A55E8E" w:rsidRDefault="00A55E8E" w:rsidP="00A55E8E">
      <w:pPr>
        <w:widowControl w:val="0"/>
        <w:autoSpaceDE w:val="0"/>
        <w:autoSpaceDN w:val="0"/>
        <w:adjustRightInd w:val="0"/>
        <w:spacing w:before="240" w:after="120" w:line="360" w:lineRule="auto"/>
        <w:ind w:left="2127"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2515C5">
        <w:rPr>
          <w:rFonts w:ascii="Arial" w:hAnsi="Arial" w:cs="Arial"/>
          <w:color w:val="000000"/>
          <w:sz w:val="22"/>
          <w:szCs w:val="22"/>
        </w:rPr>
        <w:t xml:space="preserve">national or provincial legislation may provide for the establishment of houses of traditional leaders; and </w:t>
      </w:r>
    </w:p>
    <w:p w14:paraId="2B221C2C" w14:textId="77777777" w:rsidR="00A55E8E" w:rsidRPr="00C55A85" w:rsidRDefault="00A55E8E" w:rsidP="00A55E8E">
      <w:pPr>
        <w:widowControl w:val="0"/>
        <w:autoSpaceDE w:val="0"/>
        <w:autoSpaceDN w:val="0"/>
        <w:adjustRightInd w:val="0"/>
        <w:spacing w:before="240" w:after="120" w:line="360" w:lineRule="auto"/>
        <w:ind w:left="2127" w:hanging="709"/>
        <w:jc w:val="both"/>
        <w:rPr>
          <w:rFonts w:ascii="Arial" w:hAnsi="Arial" w:cs="Arial"/>
          <w:color w:val="000000"/>
          <w:sz w:val="22"/>
          <w:szCs w:val="22"/>
        </w:rPr>
      </w:pPr>
      <w:r w:rsidRPr="002515C5">
        <w:rPr>
          <w:rFonts w:ascii="Arial" w:hAnsi="Arial" w:cs="Arial"/>
          <w:color w:val="000000"/>
          <w:sz w:val="22"/>
          <w:szCs w:val="22"/>
        </w:rPr>
        <w:t>(</w:t>
      </w:r>
      <w:r>
        <w:rPr>
          <w:rFonts w:ascii="Arial" w:hAnsi="Arial" w:cs="Arial"/>
          <w:color w:val="000000"/>
          <w:sz w:val="22"/>
          <w:szCs w:val="22"/>
        </w:rPr>
        <w:t>b)</w:t>
      </w:r>
      <w:r>
        <w:rPr>
          <w:rFonts w:ascii="Arial" w:hAnsi="Arial" w:cs="Arial"/>
          <w:color w:val="000000"/>
          <w:sz w:val="22"/>
          <w:szCs w:val="22"/>
        </w:rPr>
        <w:tab/>
      </w:r>
      <w:r w:rsidRPr="002515C5">
        <w:rPr>
          <w:rFonts w:ascii="Arial" w:hAnsi="Arial" w:cs="Arial"/>
          <w:color w:val="000000"/>
          <w:sz w:val="22"/>
          <w:szCs w:val="22"/>
        </w:rPr>
        <w:t xml:space="preserve">national legislation may establish a council of traditional </w:t>
      </w:r>
      <w:r w:rsidRPr="002515C5">
        <w:rPr>
          <w:rFonts w:ascii="Arial" w:hAnsi="Arial" w:cs="Arial"/>
          <w:color w:val="000000"/>
          <w:sz w:val="22"/>
          <w:szCs w:val="22"/>
        </w:rPr>
        <w:lastRenderedPageBreak/>
        <w:t>leaders.</w:t>
      </w:r>
      <w:r>
        <w:rPr>
          <w:rFonts w:ascii="Arial" w:hAnsi="Arial" w:cs="Arial"/>
          <w:color w:val="000000"/>
          <w:sz w:val="22"/>
          <w:szCs w:val="22"/>
        </w:rPr>
        <w:t>’</w:t>
      </w:r>
      <w:r w:rsidRPr="002515C5">
        <w:rPr>
          <w:rFonts w:ascii="Arial" w:hAnsi="Arial" w:cs="Arial"/>
          <w:color w:val="000000"/>
          <w:sz w:val="22"/>
          <w:szCs w:val="22"/>
        </w:rPr>
        <w:t xml:space="preserve"> </w:t>
      </w:r>
    </w:p>
    <w:p w14:paraId="569F8492" w14:textId="240C461C" w:rsidR="00A55E8E" w:rsidRPr="00A43E61" w:rsidRDefault="00A55E8E" w:rsidP="00A55E8E">
      <w:pPr>
        <w:pStyle w:val="Default"/>
        <w:spacing w:before="240" w:after="120" w:line="360" w:lineRule="auto"/>
        <w:jc w:val="both"/>
      </w:pPr>
      <w:r>
        <w:t>[19]</w:t>
      </w:r>
      <w:r>
        <w:tab/>
        <w:t xml:space="preserve">The national legislation envisioned by section 211 of the Constitution is the Framework Act, and the </w:t>
      </w:r>
      <w:r w:rsidRPr="008F594B">
        <w:t>Mpumalanga Act</w:t>
      </w:r>
      <w:r>
        <w:t xml:space="preserve"> is the provincial legislation. Both legislations are aimed at </w:t>
      </w:r>
      <w:proofErr w:type="spellStart"/>
      <w:r>
        <w:t>legalising</w:t>
      </w:r>
      <w:proofErr w:type="spellEnd"/>
      <w:r>
        <w:t xml:space="preserve">, </w:t>
      </w:r>
      <w:r w:rsidRPr="00E9638F">
        <w:t>regulating,</w:t>
      </w:r>
      <w:r>
        <w:t xml:space="preserve"> and</w:t>
      </w:r>
      <w:r w:rsidRPr="00E9638F">
        <w:t xml:space="preserve"> giving recognition to the institution of Traditional Leadership in areas where </w:t>
      </w:r>
      <w:r w:rsidRPr="00A43E61">
        <w:t xml:space="preserve">Traditional Leadership applies. </w:t>
      </w:r>
    </w:p>
    <w:p w14:paraId="40ADC4E8" w14:textId="0ED07CD8" w:rsidR="00A55E8E" w:rsidRDefault="00A55E8E" w:rsidP="00A55E8E">
      <w:pPr>
        <w:spacing w:before="240" w:after="120" w:line="360" w:lineRule="auto"/>
        <w:jc w:val="both"/>
        <w:rPr>
          <w:rFonts w:ascii="Arial" w:hAnsi="Arial" w:cs="Arial"/>
        </w:rPr>
      </w:pPr>
      <w:r>
        <w:rPr>
          <w:rFonts w:ascii="Arial" w:hAnsi="Arial" w:cs="Arial"/>
        </w:rPr>
        <w:t>[20</w:t>
      </w:r>
      <w:r w:rsidRPr="003347B7">
        <w:rPr>
          <w:rFonts w:ascii="Arial" w:hAnsi="Arial" w:cs="Arial"/>
        </w:rPr>
        <w:t>]</w:t>
      </w:r>
      <w:r w:rsidRPr="003347B7">
        <w:rPr>
          <w:rFonts w:ascii="Arial" w:hAnsi="Arial" w:cs="Arial"/>
        </w:rPr>
        <w:tab/>
        <w:t>Section 11 of the Framework Act</w:t>
      </w:r>
      <w:r>
        <w:rPr>
          <w:rStyle w:val="FootnoteReference"/>
          <w:rFonts w:ascii="Arial" w:hAnsi="Arial" w:cs="Arial"/>
        </w:rPr>
        <w:footnoteReference w:id="3"/>
      </w:r>
      <w:r w:rsidRPr="003347B7">
        <w:rPr>
          <w:rFonts w:ascii="Arial" w:hAnsi="Arial" w:cs="Arial"/>
        </w:rPr>
        <w:t xml:space="preserve"> provides for the recognition of senior traditional leaders, </w:t>
      </w:r>
      <w:proofErr w:type="gramStart"/>
      <w:r w:rsidRPr="003347B7">
        <w:rPr>
          <w:rFonts w:ascii="Arial" w:hAnsi="Arial" w:cs="Arial"/>
        </w:rPr>
        <w:t>headmen</w:t>
      </w:r>
      <w:proofErr w:type="gramEnd"/>
      <w:r w:rsidRPr="003347B7">
        <w:rPr>
          <w:rFonts w:ascii="Arial" w:hAnsi="Arial" w:cs="Arial"/>
        </w:rPr>
        <w:t xml:space="preserve"> and headwomen. Subsection 1 require</w:t>
      </w:r>
      <w:r>
        <w:rPr>
          <w:rFonts w:ascii="Arial" w:hAnsi="Arial" w:cs="Arial"/>
        </w:rPr>
        <w:t>s</w:t>
      </w:r>
      <w:r w:rsidRPr="003347B7">
        <w:rPr>
          <w:rFonts w:ascii="Arial" w:hAnsi="Arial" w:cs="Arial"/>
        </w:rPr>
        <w:t xml:space="preserve"> the royal family to identify a person who qualifies in terms of customary law to assume the position in question and to inform the Premier of the Province concerned of the particulars of the person so identified to fill the position and of the reasons for identifying that person. The Premier </w:t>
      </w:r>
      <w:r w:rsidRPr="0089000D">
        <w:rPr>
          <w:rFonts w:ascii="Arial" w:hAnsi="Arial" w:cs="Arial"/>
          <w:iCs/>
        </w:rPr>
        <w:t>must</w:t>
      </w:r>
      <w:r w:rsidRPr="003347B7">
        <w:rPr>
          <w:rFonts w:ascii="Arial" w:hAnsi="Arial" w:cs="Arial"/>
          <w:i/>
          <w:iCs/>
        </w:rPr>
        <w:t xml:space="preserve"> </w:t>
      </w:r>
      <w:proofErr w:type="spellStart"/>
      <w:r w:rsidRPr="003347B7">
        <w:rPr>
          <w:rFonts w:ascii="Arial" w:hAnsi="Arial" w:cs="Arial"/>
        </w:rPr>
        <w:t>recognise</w:t>
      </w:r>
      <w:proofErr w:type="spellEnd"/>
      <w:r w:rsidRPr="003347B7">
        <w:rPr>
          <w:rFonts w:ascii="Arial" w:hAnsi="Arial" w:cs="Arial"/>
        </w:rPr>
        <w:t xml:space="preserve"> the person identified by the royal family in accordance with provincial legislation as </w:t>
      </w:r>
      <w:r>
        <w:rPr>
          <w:rFonts w:ascii="Arial" w:hAnsi="Arial" w:cs="Arial"/>
        </w:rPr>
        <w:t xml:space="preserve">a </w:t>
      </w:r>
      <w:r w:rsidRPr="003347B7">
        <w:rPr>
          <w:rFonts w:ascii="Arial" w:hAnsi="Arial" w:cs="Arial"/>
        </w:rPr>
        <w:t xml:space="preserve">senior traditional leader, </w:t>
      </w:r>
      <w:proofErr w:type="gramStart"/>
      <w:r w:rsidRPr="003347B7">
        <w:rPr>
          <w:rFonts w:ascii="Arial" w:hAnsi="Arial" w:cs="Arial"/>
        </w:rPr>
        <w:t>headman</w:t>
      </w:r>
      <w:proofErr w:type="gramEnd"/>
      <w:r w:rsidRPr="003347B7">
        <w:rPr>
          <w:rFonts w:ascii="Arial" w:hAnsi="Arial" w:cs="Arial"/>
        </w:rPr>
        <w:t xml:space="preserve"> or headwoman, as </w:t>
      </w:r>
      <w:r w:rsidRPr="00E500E7">
        <w:rPr>
          <w:rFonts w:ascii="Arial" w:hAnsi="Arial" w:cs="Arial"/>
        </w:rPr>
        <w:t>the case may be.</w:t>
      </w:r>
    </w:p>
    <w:p w14:paraId="6567D963" w14:textId="3C8A3C21" w:rsidR="00A55E8E" w:rsidRDefault="00A55E8E" w:rsidP="00A55E8E">
      <w:pPr>
        <w:spacing w:before="240" w:after="120" w:line="360" w:lineRule="auto"/>
        <w:jc w:val="both"/>
        <w:rPr>
          <w:rFonts w:ascii="Arial" w:hAnsi="Arial" w:cs="Arial"/>
          <w:lang w:val="en-ZA"/>
        </w:rPr>
      </w:pPr>
      <w:r>
        <w:rPr>
          <w:rFonts w:ascii="Arial" w:hAnsi="Arial" w:cs="Arial"/>
        </w:rPr>
        <w:t>[21]</w:t>
      </w:r>
      <w:r>
        <w:rPr>
          <w:rFonts w:ascii="Arial" w:hAnsi="Arial" w:cs="Arial"/>
        </w:rPr>
        <w:tab/>
        <w:t>S</w:t>
      </w:r>
      <w:r w:rsidRPr="009E708F">
        <w:rPr>
          <w:rFonts w:ascii="Arial" w:hAnsi="Arial" w:cs="Arial"/>
        </w:rPr>
        <w:t>ection 3</w:t>
      </w:r>
      <w:r>
        <w:rPr>
          <w:rFonts w:ascii="Arial" w:hAnsi="Arial" w:cs="Arial"/>
        </w:rPr>
        <w:t>(1)</w:t>
      </w:r>
      <w:r w:rsidRPr="009E708F">
        <w:rPr>
          <w:rFonts w:ascii="Arial" w:hAnsi="Arial" w:cs="Arial"/>
        </w:rPr>
        <w:t xml:space="preserve"> of the Mpumalanga Act </w:t>
      </w:r>
      <w:r w:rsidRPr="009E708F">
        <w:rPr>
          <w:rFonts w:ascii="Arial" w:hAnsi="Arial" w:cs="Arial"/>
          <w:lang w:val="en-ZA"/>
        </w:rPr>
        <w:t>provides that a community envisaged by section 2(1) of the Framework Act may apply to the Premier to be recognised as a tradi</w:t>
      </w:r>
      <w:r>
        <w:rPr>
          <w:rFonts w:ascii="Arial" w:hAnsi="Arial" w:cs="Arial"/>
          <w:lang w:val="en-ZA"/>
        </w:rPr>
        <w:t>t</w:t>
      </w:r>
      <w:r w:rsidRPr="009E708F">
        <w:rPr>
          <w:rFonts w:ascii="Arial" w:hAnsi="Arial" w:cs="Arial"/>
          <w:lang w:val="en-ZA"/>
        </w:rPr>
        <w:t>i</w:t>
      </w:r>
      <w:r>
        <w:rPr>
          <w:rFonts w:ascii="Arial" w:hAnsi="Arial" w:cs="Arial"/>
          <w:lang w:val="en-ZA"/>
        </w:rPr>
        <w:t>o</w:t>
      </w:r>
      <w:r w:rsidRPr="009E708F">
        <w:rPr>
          <w:rFonts w:ascii="Arial" w:hAnsi="Arial" w:cs="Arial"/>
          <w:lang w:val="en-ZA"/>
        </w:rPr>
        <w:t xml:space="preserve">nal community. </w:t>
      </w:r>
      <w:r>
        <w:rPr>
          <w:rFonts w:ascii="Arial" w:hAnsi="Arial" w:cs="Arial"/>
          <w:lang w:val="en-ZA"/>
        </w:rPr>
        <w:t>On receipt of the</w:t>
      </w:r>
      <w:r w:rsidRPr="009E708F">
        <w:rPr>
          <w:rFonts w:ascii="Arial" w:hAnsi="Arial" w:cs="Arial"/>
          <w:lang w:val="en-ZA"/>
        </w:rPr>
        <w:t xml:space="preserve"> application</w:t>
      </w:r>
      <w:r>
        <w:rPr>
          <w:rFonts w:ascii="Arial" w:hAnsi="Arial" w:cs="Arial"/>
          <w:lang w:val="en-ZA"/>
        </w:rPr>
        <w:t>, the Premier:</w:t>
      </w:r>
    </w:p>
    <w:p w14:paraId="5C0B9463" w14:textId="77777777" w:rsidR="00A55E8E" w:rsidRDefault="00A55E8E" w:rsidP="00A55E8E">
      <w:pPr>
        <w:pStyle w:val="Default"/>
        <w:spacing w:before="240" w:after="120" w:line="360" w:lineRule="auto"/>
        <w:jc w:val="both"/>
        <w:rPr>
          <w:sz w:val="22"/>
          <w:szCs w:val="22"/>
          <w:lang w:val="en-ZA"/>
        </w:rPr>
      </w:pPr>
      <w:r>
        <w:rPr>
          <w:lang w:val="en-ZA"/>
        </w:rPr>
        <w:lastRenderedPageBreak/>
        <w:tab/>
        <w:t>‘</w:t>
      </w:r>
      <w:r>
        <w:rPr>
          <w:sz w:val="22"/>
          <w:szCs w:val="22"/>
          <w:lang w:val="en-ZA"/>
        </w:rPr>
        <w:t xml:space="preserve">(a) </w:t>
      </w:r>
      <w:r>
        <w:rPr>
          <w:sz w:val="22"/>
          <w:szCs w:val="22"/>
          <w:lang w:val="en-ZA"/>
        </w:rPr>
        <w:tab/>
      </w:r>
      <w:r w:rsidRPr="00155645">
        <w:rPr>
          <w:sz w:val="22"/>
          <w:szCs w:val="22"/>
          <w:lang w:val="en-ZA"/>
        </w:rPr>
        <w:t xml:space="preserve">may consult relevant stakeholders on the </w:t>
      </w:r>
      <w:proofErr w:type="gramStart"/>
      <w:r w:rsidRPr="00155645">
        <w:rPr>
          <w:sz w:val="22"/>
          <w:szCs w:val="22"/>
          <w:lang w:val="en-ZA"/>
        </w:rPr>
        <w:t>application;</w:t>
      </w:r>
      <w:proofErr w:type="gramEnd"/>
      <w:r w:rsidRPr="00155645">
        <w:rPr>
          <w:sz w:val="22"/>
          <w:szCs w:val="22"/>
          <w:lang w:val="en-ZA"/>
        </w:rPr>
        <w:t xml:space="preserve"> </w:t>
      </w:r>
    </w:p>
    <w:p w14:paraId="4348899C" w14:textId="77777777" w:rsidR="00A55E8E" w:rsidRDefault="00A55E8E" w:rsidP="00A55E8E">
      <w:pPr>
        <w:pStyle w:val="Default"/>
        <w:spacing w:before="240" w:after="120" w:line="360" w:lineRule="auto"/>
        <w:ind w:left="1418" w:hanging="709"/>
        <w:jc w:val="both"/>
        <w:rPr>
          <w:sz w:val="22"/>
          <w:szCs w:val="22"/>
          <w:lang w:val="en-ZA"/>
        </w:rPr>
      </w:pPr>
      <w:r>
        <w:rPr>
          <w:sz w:val="22"/>
          <w:szCs w:val="22"/>
          <w:lang w:val="en-ZA"/>
        </w:rPr>
        <w:t xml:space="preserve">(b) </w:t>
      </w:r>
      <w:r>
        <w:rPr>
          <w:sz w:val="22"/>
          <w:szCs w:val="22"/>
          <w:lang w:val="en-ZA"/>
        </w:rPr>
        <w:tab/>
      </w:r>
      <w:r w:rsidRPr="00155645">
        <w:rPr>
          <w:sz w:val="22"/>
          <w:szCs w:val="22"/>
          <w:lang w:val="en-ZA"/>
        </w:rPr>
        <w:t xml:space="preserve">must forward such an application to the Provincial House of Traditional </w:t>
      </w:r>
      <w:proofErr w:type="gramStart"/>
      <w:r w:rsidRPr="00155645">
        <w:rPr>
          <w:sz w:val="22"/>
          <w:szCs w:val="22"/>
          <w:lang w:val="en-ZA"/>
        </w:rPr>
        <w:t>Leaders;</w:t>
      </w:r>
      <w:proofErr w:type="gramEnd"/>
      <w:r w:rsidRPr="00155645">
        <w:rPr>
          <w:sz w:val="22"/>
          <w:szCs w:val="22"/>
          <w:lang w:val="en-ZA"/>
        </w:rPr>
        <w:t xml:space="preserve"> </w:t>
      </w:r>
    </w:p>
    <w:p w14:paraId="50D3F1E0" w14:textId="77777777" w:rsidR="00A55E8E" w:rsidRPr="00155645" w:rsidRDefault="00A55E8E" w:rsidP="00A55E8E">
      <w:pPr>
        <w:pStyle w:val="Default"/>
        <w:spacing w:before="240" w:after="120" w:line="360" w:lineRule="auto"/>
        <w:ind w:left="1418" w:hanging="709"/>
        <w:jc w:val="both"/>
        <w:rPr>
          <w:sz w:val="22"/>
          <w:szCs w:val="22"/>
          <w:lang w:val="en-ZA"/>
        </w:rPr>
      </w:pPr>
      <w:r>
        <w:rPr>
          <w:sz w:val="22"/>
          <w:szCs w:val="22"/>
          <w:lang w:val="en-ZA"/>
        </w:rPr>
        <w:t xml:space="preserve">(c) </w:t>
      </w:r>
      <w:r>
        <w:rPr>
          <w:sz w:val="22"/>
          <w:szCs w:val="22"/>
          <w:lang w:val="en-ZA"/>
        </w:rPr>
        <w:tab/>
      </w:r>
      <w:r w:rsidRPr="00155645">
        <w:rPr>
          <w:sz w:val="22"/>
          <w:szCs w:val="22"/>
          <w:lang w:val="en-ZA"/>
        </w:rPr>
        <w:t xml:space="preserve">may </w:t>
      </w:r>
      <w:proofErr w:type="gramStart"/>
      <w:r w:rsidRPr="00155645">
        <w:rPr>
          <w:sz w:val="22"/>
          <w:szCs w:val="22"/>
          <w:lang w:val="en-ZA"/>
        </w:rPr>
        <w:t xml:space="preserve">conduct </w:t>
      </w:r>
      <w:r>
        <w:rPr>
          <w:sz w:val="22"/>
          <w:szCs w:val="22"/>
          <w:lang w:val="en-ZA"/>
        </w:rPr>
        <w:t>an i</w:t>
      </w:r>
      <w:r w:rsidRPr="00155645">
        <w:rPr>
          <w:sz w:val="22"/>
          <w:szCs w:val="22"/>
          <w:lang w:val="en-ZA"/>
        </w:rPr>
        <w:t>nvestigation</w:t>
      </w:r>
      <w:proofErr w:type="gramEnd"/>
      <w:r w:rsidRPr="00155645">
        <w:rPr>
          <w:sz w:val="22"/>
          <w:szCs w:val="22"/>
          <w:lang w:val="en-ZA"/>
        </w:rPr>
        <w:t xml:space="preserve"> </w:t>
      </w:r>
      <w:r>
        <w:rPr>
          <w:sz w:val="22"/>
          <w:szCs w:val="22"/>
          <w:lang w:val="en-ZA"/>
        </w:rPr>
        <w:t>i</w:t>
      </w:r>
      <w:r w:rsidRPr="00155645">
        <w:rPr>
          <w:sz w:val="22"/>
          <w:szCs w:val="22"/>
          <w:lang w:val="en-ZA"/>
        </w:rPr>
        <w:t xml:space="preserve">n respect of the application to ascertain whether the community </w:t>
      </w:r>
      <w:r>
        <w:rPr>
          <w:sz w:val="22"/>
          <w:szCs w:val="22"/>
          <w:lang w:val="en-ZA"/>
        </w:rPr>
        <w:t>concern</w:t>
      </w:r>
      <w:r w:rsidRPr="00155645">
        <w:rPr>
          <w:sz w:val="22"/>
          <w:szCs w:val="22"/>
          <w:lang w:val="en-ZA"/>
        </w:rPr>
        <w:t xml:space="preserve">ed qualifies to be recognised as a traditional community; or </w:t>
      </w:r>
    </w:p>
    <w:p w14:paraId="7B9EEDBD" w14:textId="517381FE" w:rsidR="00A55E8E" w:rsidRPr="00A55E8E" w:rsidRDefault="00A55E8E" w:rsidP="00A55E8E">
      <w:pPr>
        <w:spacing w:before="240" w:after="120" w:line="360" w:lineRule="auto"/>
        <w:jc w:val="both"/>
        <w:rPr>
          <w:rFonts w:ascii="Arial" w:hAnsi="Arial" w:cs="Arial"/>
          <w:sz w:val="22"/>
          <w:szCs w:val="22"/>
          <w:lang w:val="en-ZA"/>
        </w:rPr>
      </w:pPr>
      <w:r>
        <w:rPr>
          <w:rFonts w:ascii="Arial" w:hAnsi="Arial" w:cs="Arial"/>
          <w:sz w:val="22"/>
          <w:szCs w:val="22"/>
          <w:lang w:val="en-ZA"/>
        </w:rPr>
        <w:tab/>
        <w:t>(d)</w:t>
      </w:r>
      <w:r>
        <w:rPr>
          <w:rFonts w:ascii="Arial" w:hAnsi="Arial" w:cs="Arial"/>
          <w:sz w:val="22"/>
          <w:szCs w:val="22"/>
          <w:lang w:val="en-ZA"/>
        </w:rPr>
        <w:tab/>
      </w:r>
      <w:r w:rsidRPr="00155645">
        <w:rPr>
          <w:rFonts w:ascii="Arial" w:hAnsi="Arial" w:cs="Arial"/>
          <w:sz w:val="22"/>
          <w:szCs w:val="22"/>
          <w:lang w:val="en-ZA"/>
        </w:rPr>
        <w:t>may convene a referendum.</w:t>
      </w:r>
      <w:r>
        <w:rPr>
          <w:rFonts w:ascii="Arial" w:hAnsi="Arial" w:cs="Arial"/>
          <w:sz w:val="22"/>
          <w:szCs w:val="22"/>
          <w:lang w:val="en-ZA"/>
        </w:rPr>
        <w:t>’</w:t>
      </w:r>
      <w:r w:rsidRPr="00155645">
        <w:rPr>
          <w:rFonts w:ascii="Arial" w:hAnsi="Arial" w:cs="Arial"/>
          <w:sz w:val="22"/>
          <w:szCs w:val="22"/>
          <w:lang w:val="en-ZA"/>
        </w:rPr>
        <w:t xml:space="preserve"> </w:t>
      </w:r>
    </w:p>
    <w:p w14:paraId="43B83986" w14:textId="0D839702" w:rsidR="001C4F25" w:rsidRPr="00A82137" w:rsidRDefault="001C4F25" w:rsidP="001C4F25">
      <w:pPr>
        <w:spacing w:before="240" w:after="120" w:line="360" w:lineRule="auto"/>
        <w:jc w:val="both"/>
        <w:rPr>
          <w:rFonts w:ascii="Arial" w:hAnsi="Arial" w:cs="Arial"/>
          <w:u w:val="single"/>
          <w:lang w:val="en-ZA"/>
        </w:rPr>
      </w:pPr>
      <w:r w:rsidRPr="00A82137">
        <w:rPr>
          <w:rFonts w:ascii="Arial" w:hAnsi="Arial" w:cs="Arial"/>
          <w:u w:val="single"/>
          <w:lang w:val="en-ZA"/>
        </w:rPr>
        <w:t>Analysis</w:t>
      </w:r>
    </w:p>
    <w:p w14:paraId="5E5B95F4" w14:textId="3E5BE823" w:rsidR="00531984" w:rsidRPr="00171222" w:rsidRDefault="00FD3D2C" w:rsidP="0094689E">
      <w:pPr>
        <w:pStyle w:val="Default"/>
        <w:spacing w:before="240" w:after="120" w:line="360" w:lineRule="auto"/>
        <w:jc w:val="both"/>
      </w:pPr>
      <w:r>
        <w:t>[22</w:t>
      </w:r>
      <w:r w:rsidR="00942E3A">
        <w:t>]</w:t>
      </w:r>
      <w:r w:rsidR="00942E3A">
        <w:tab/>
      </w:r>
      <w:r w:rsidR="001C4F25">
        <w:t>I</w:t>
      </w:r>
      <w:r w:rsidR="00847CDA">
        <w:t>t is undispute</w:t>
      </w:r>
      <w:r w:rsidR="008B4429">
        <w:t>d</w:t>
      </w:r>
      <w:r w:rsidR="00847CDA">
        <w:t xml:space="preserve"> that the </w:t>
      </w:r>
      <w:proofErr w:type="spellStart"/>
      <w:r w:rsidR="00847CDA">
        <w:t>recognised</w:t>
      </w:r>
      <w:proofErr w:type="spellEnd"/>
      <w:r w:rsidR="00847CDA">
        <w:t xml:space="preserve"> community </w:t>
      </w:r>
      <w:proofErr w:type="gramStart"/>
      <w:r w:rsidR="00847CDA">
        <w:t>in the area of</w:t>
      </w:r>
      <w:proofErr w:type="gramEnd"/>
      <w:r w:rsidR="00847CDA">
        <w:t xml:space="preserve"> jurisdiction concerned is </w:t>
      </w:r>
      <w:proofErr w:type="spellStart"/>
      <w:r w:rsidR="00847CDA">
        <w:t>Bakgatla</w:t>
      </w:r>
      <w:proofErr w:type="spellEnd"/>
      <w:r w:rsidR="00847CDA">
        <w:t xml:space="preserve"> Ba </w:t>
      </w:r>
      <w:proofErr w:type="spellStart"/>
      <w:r w:rsidR="00847CDA">
        <w:t>M</w:t>
      </w:r>
      <w:r w:rsidR="008B4429">
        <w:t>m</w:t>
      </w:r>
      <w:r w:rsidR="00847CDA">
        <w:t>akau</w:t>
      </w:r>
      <w:proofErr w:type="spellEnd"/>
      <w:r w:rsidR="00847CDA">
        <w:t xml:space="preserve"> under Chief </w:t>
      </w:r>
      <w:proofErr w:type="spellStart"/>
      <w:r w:rsidR="00847CDA">
        <w:t>M</w:t>
      </w:r>
      <w:r w:rsidR="008B4429">
        <w:t>m</w:t>
      </w:r>
      <w:r w:rsidR="00847CDA">
        <w:t>akau</w:t>
      </w:r>
      <w:proofErr w:type="spellEnd"/>
      <w:r w:rsidR="00847CDA">
        <w:t xml:space="preserve">. It is further undisputed that </w:t>
      </w:r>
      <w:r w:rsidR="00DD7687">
        <w:t xml:space="preserve">the </w:t>
      </w:r>
      <w:proofErr w:type="spellStart"/>
      <w:r w:rsidR="00DD7687">
        <w:t>Bakgatla</w:t>
      </w:r>
      <w:proofErr w:type="spellEnd"/>
      <w:r w:rsidR="00DD7687">
        <w:t xml:space="preserve"> Ba </w:t>
      </w:r>
      <w:proofErr w:type="spellStart"/>
      <w:r w:rsidR="00DD7687">
        <w:t>Mmakau</w:t>
      </w:r>
      <w:proofErr w:type="spellEnd"/>
      <w:r w:rsidR="00DD7687">
        <w:t xml:space="preserve"> Community and the Royal family were not joined. </w:t>
      </w:r>
      <w:r w:rsidR="00942E3A" w:rsidRPr="00437FFD">
        <w:t xml:space="preserve">In addressing the issue of non-joinder, the Court </w:t>
      </w:r>
      <w:r w:rsidR="00942E3A" w:rsidRPr="00437FFD">
        <w:rPr>
          <w:i/>
          <w:iCs/>
        </w:rPr>
        <w:t>a qu</w:t>
      </w:r>
      <w:r w:rsidR="00A55E8E">
        <w:rPr>
          <w:i/>
          <w:iCs/>
        </w:rPr>
        <w:t>o</w:t>
      </w:r>
      <w:r w:rsidR="00942E3A" w:rsidRPr="00437FFD">
        <w:rPr>
          <w:i/>
          <w:iCs/>
        </w:rPr>
        <w:t xml:space="preserve"> </w:t>
      </w:r>
      <w:r w:rsidR="001C4F25">
        <w:t>held</w:t>
      </w:r>
      <w:r w:rsidR="00BD5313">
        <w:t xml:space="preserve"> that</w:t>
      </w:r>
      <w:r w:rsidR="00942E3A" w:rsidRPr="00437FFD">
        <w:t xml:space="preserve">: </w:t>
      </w:r>
    </w:p>
    <w:p w14:paraId="7A949631" w14:textId="77777777" w:rsidR="00531984" w:rsidRPr="00EB3AC9" w:rsidRDefault="00942E3A" w:rsidP="0094689E">
      <w:pPr>
        <w:pStyle w:val="Default"/>
        <w:spacing w:before="240" w:after="120" w:line="360" w:lineRule="auto"/>
        <w:ind w:left="709" w:hanging="709"/>
        <w:jc w:val="both"/>
        <w:rPr>
          <w:sz w:val="22"/>
          <w:szCs w:val="22"/>
        </w:rPr>
      </w:pPr>
      <w:r>
        <w:rPr>
          <w:iCs/>
          <w:sz w:val="22"/>
          <w:szCs w:val="22"/>
        </w:rPr>
        <w:tab/>
        <w:t>‘</w:t>
      </w:r>
      <w:r w:rsidR="00171222">
        <w:rPr>
          <w:iCs/>
          <w:sz w:val="22"/>
          <w:szCs w:val="22"/>
        </w:rPr>
        <w:t>[40]</w:t>
      </w:r>
      <w:r w:rsidR="00171222">
        <w:rPr>
          <w:iCs/>
          <w:sz w:val="22"/>
          <w:szCs w:val="22"/>
        </w:rPr>
        <w:tab/>
      </w:r>
      <w:r w:rsidRPr="00437FFD">
        <w:rPr>
          <w:iCs/>
          <w:sz w:val="22"/>
          <w:szCs w:val="22"/>
        </w:rPr>
        <w:t xml:space="preserve">It is my view that this separation will </w:t>
      </w:r>
      <w:proofErr w:type="gramStart"/>
      <w:r w:rsidRPr="00437FFD">
        <w:rPr>
          <w:iCs/>
          <w:sz w:val="22"/>
          <w:szCs w:val="22"/>
        </w:rPr>
        <w:t>definitely have</w:t>
      </w:r>
      <w:proofErr w:type="gramEnd"/>
      <w:r w:rsidRPr="00437FFD">
        <w:rPr>
          <w:iCs/>
          <w:sz w:val="22"/>
          <w:szCs w:val="22"/>
        </w:rPr>
        <w:t xml:space="preserve"> an impact either negative or positive on Chief </w:t>
      </w:r>
      <w:proofErr w:type="spellStart"/>
      <w:r w:rsidRPr="00437FFD">
        <w:rPr>
          <w:iCs/>
          <w:sz w:val="22"/>
          <w:szCs w:val="22"/>
        </w:rPr>
        <w:t>Mokgoko</w:t>
      </w:r>
      <w:proofErr w:type="spellEnd"/>
      <w:r w:rsidRPr="00437FFD">
        <w:rPr>
          <w:iCs/>
          <w:sz w:val="22"/>
          <w:szCs w:val="22"/>
        </w:rPr>
        <w:t xml:space="preserve">. On that basis he will certainly have a legal and substantive interest in the matter as the stand-alone arrangement which Applicants wish to have, will affect him as the Chief. It will be critical for him to be part of those discussions/proceedings of traditional leadership. Therefore, merely serving the papers on the Acting Chief of </w:t>
      </w:r>
      <w:proofErr w:type="spellStart"/>
      <w:r w:rsidRPr="00437FFD">
        <w:rPr>
          <w:iCs/>
          <w:sz w:val="22"/>
          <w:szCs w:val="22"/>
        </w:rPr>
        <w:t>Bakgatla</w:t>
      </w:r>
      <w:proofErr w:type="spellEnd"/>
      <w:r w:rsidRPr="00437FFD">
        <w:rPr>
          <w:iCs/>
          <w:sz w:val="22"/>
          <w:szCs w:val="22"/>
        </w:rPr>
        <w:t xml:space="preserve"> Ba </w:t>
      </w:r>
      <w:proofErr w:type="spellStart"/>
      <w:r w:rsidRPr="00437FFD">
        <w:rPr>
          <w:iCs/>
          <w:sz w:val="22"/>
          <w:szCs w:val="22"/>
        </w:rPr>
        <w:t>Mmakau</w:t>
      </w:r>
      <w:proofErr w:type="spellEnd"/>
      <w:r w:rsidRPr="00437FFD">
        <w:rPr>
          <w:iCs/>
          <w:sz w:val="22"/>
          <w:szCs w:val="22"/>
        </w:rPr>
        <w:t xml:space="preserve"> would not satisfy the legal requirement of joining a party to the proceedings. It is my view that where traditional leaders are appointed, all the traditional structures need to be informed as provided by the two Acts mentioned above, namely “the Framework Act” and “the Mpumalanga Act”. I am entirely in agreement with the contention made by the Respondents that failure to join the traditional leadership from whom the Applicants want to be a stand-alone entity would be disastrous and not be in the best interest of </w:t>
      </w:r>
      <w:r w:rsidRPr="00EB3AC9">
        <w:rPr>
          <w:iCs/>
          <w:sz w:val="22"/>
          <w:szCs w:val="22"/>
        </w:rPr>
        <w:t xml:space="preserve">the Applicants, more so that this matter is regulated by the Acts of Parliament.’ </w:t>
      </w:r>
    </w:p>
    <w:p w14:paraId="3152CCDD" w14:textId="3B005DC2" w:rsidR="00531984" w:rsidRPr="00171222" w:rsidRDefault="00FD3D2C" w:rsidP="0094689E">
      <w:pPr>
        <w:pStyle w:val="Default"/>
        <w:spacing w:before="240" w:after="120" w:line="360" w:lineRule="auto"/>
        <w:jc w:val="both"/>
      </w:pPr>
      <w:r>
        <w:t>[23</w:t>
      </w:r>
      <w:r w:rsidR="001C4F25">
        <w:t>]</w:t>
      </w:r>
      <w:r w:rsidR="001C4F25">
        <w:tab/>
        <w:t>It concluded that</w:t>
      </w:r>
      <w:r w:rsidR="00942E3A" w:rsidRPr="00171222">
        <w:t xml:space="preserve">: </w:t>
      </w:r>
    </w:p>
    <w:p w14:paraId="508A05E3" w14:textId="77777777" w:rsidR="00EB3AC9" w:rsidRPr="00EB3AC9" w:rsidRDefault="00942E3A" w:rsidP="0094689E">
      <w:pPr>
        <w:widowControl w:val="0"/>
        <w:autoSpaceDE w:val="0"/>
        <w:autoSpaceDN w:val="0"/>
        <w:adjustRightInd w:val="0"/>
        <w:spacing w:before="240" w:after="120" w:line="360" w:lineRule="auto"/>
        <w:ind w:left="709" w:hanging="709"/>
        <w:jc w:val="both"/>
        <w:rPr>
          <w:rFonts w:ascii="Arial" w:hAnsi="Arial" w:cs="Arial"/>
          <w:color w:val="000000"/>
          <w:sz w:val="22"/>
          <w:szCs w:val="22"/>
        </w:rPr>
      </w:pPr>
      <w:r w:rsidRPr="00EB3AC9">
        <w:rPr>
          <w:rFonts w:ascii="Arial" w:hAnsi="Arial" w:cs="Arial"/>
          <w:iCs/>
          <w:sz w:val="22"/>
          <w:szCs w:val="22"/>
        </w:rPr>
        <w:tab/>
        <w:t>‘[45]</w:t>
      </w:r>
      <w:r w:rsidRPr="00EB3AC9">
        <w:rPr>
          <w:rFonts w:ascii="Arial" w:hAnsi="Arial" w:cs="Arial"/>
          <w:iCs/>
          <w:sz w:val="22"/>
          <w:szCs w:val="22"/>
        </w:rPr>
        <w:tab/>
      </w:r>
      <w:r w:rsidRPr="00E57641">
        <w:rPr>
          <w:rFonts w:ascii="Arial" w:hAnsi="Arial" w:cs="Arial"/>
          <w:color w:val="000000"/>
          <w:sz w:val="22"/>
          <w:szCs w:val="22"/>
        </w:rPr>
        <w:t>It is clear and evident from both the two Acts</w:t>
      </w:r>
      <w:r w:rsidR="008B4429">
        <w:rPr>
          <w:rFonts w:ascii="Arial" w:hAnsi="Arial" w:cs="Arial"/>
          <w:color w:val="000000"/>
          <w:sz w:val="22"/>
          <w:szCs w:val="22"/>
        </w:rPr>
        <w:t>,</w:t>
      </w:r>
      <w:r w:rsidRPr="00E57641">
        <w:rPr>
          <w:rFonts w:ascii="Arial" w:hAnsi="Arial" w:cs="Arial"/>
          <w:color w:val="000000"/>
          <w:sz w:val="22"/>
          <w:szCs w:val="22"/>
        </w:rPr>
        <w:t xml:space="preserve"> i.e. Framework and Mpumalanga</w:t>
      </w:r>
      <w:r w:rsidR="008B4429">
        <w:rPr>
          <w:rFonts w:ascii="Arial" w:hAnsi="Arial" w:cs="Arial"/>
          <w:color w:val="000000"/>
          <w:sz w:val="22"/>
          <w:szCs w:val="22"/>
        </w:rPr>
        <w:t xml:space="preserve"> Act</w:t>
      </w:r>
      <w:r w:rsidRPr="00E57641">
        <w:rPr>
          <w:rFonts w:ascii="Arial" w:hAnsi="Arial" w:cs="Arial"/>
          <w:color w:val="000000"/>
          <w:sz w:val="22"/>
          <w:szCs w:val="22"/>
        </w:rPr>
        <w:t xml:space="preserve"> that the Royal Family and Inner Royal Family plays a very pivotal and critical role in </w:t>
      </w:r>
      <w:proofErr w:type="spellStart"/>
      <w:r w:rsidRPr="00E57641">
        <w:rPr>
          <w:rFonts w:ascii="Arial" w:hAnsi="Arial" w:cs="Arial"/>
          <w:color w:val="000000"/>
          <w:sz w:val="22"/>
          <w:szCs w:val="22"/>
        </w:rPr>
        <w:t>recognising</w:t>
      </w:r>
      <w:proofErr w:type="spellEnd"/>
      <w:r w:rsidRPr="00E57641">
        <w:rPr>
          <w:rFonts w:ascii="Arial" w:hAnsi="Arial" w:cs="Arial"/>
          <w:color w:val="000000"/>
          <w:sz w:val="22"/>
          <w:szCs w:val="22"/>
        </w:rPr>
        <w:t xml:space="preserve"> a traditional leader within a traditional </w:t>
      </w:r>
      <w:r w:rsidRPr="00E57641">
        <w:rPr>
          <w:rFonts w:ascii="Arial" w:hAnsi="Arial" w:cs="Arial"/>
          <w:color w:val="000000"/>
          <w:sz w:val="22"/>
          <w:szCs w:val="22"/>
        </w:rPr>
        <w:lastRenderedPageBreak/>
        <w:t xml:space="preserve">community. It is therefore, indeed on </w:t>
      </w:r>
      <w:proofErr w:type="gramStart"/>
      <w:r w:rsidRPr="00E57641">
        <w:rPr>
          <w:rFonts w:ascii="Arial" w:hAnsi="Arial" w:cs="Arial"/>
          <w:color w:val="000000"/>
          <w:sz w:val="22"/>
          <w:szCs w:val="22"/>
        </w:rPr>
        <w:t>these basis</w:t>
      </w:r>
      <w:proofErr w:type="gramEnd"/>
      <w:r w:rsidRPr="00E57641">
        <w:rPr>
          <w:rFonts w:ascii="Arial" w:hAnsi="Arial" w:cs="Arial"/>
          <w:color w:val="000000"/>
          <w:sz w:val="22"/>
          <w:szCs w:val="22"/>
        </w:rPr>
        <w:t xml:space="preserve"> that the Respondents have raised a concern as well a </w:t>
      </w:r>
      <w:r w:rsidRPr="00E57641">
        <w:rPr>
          <w:rFonts w:ascii="Arial" w:hAnsi="Arial" w:cs="Arial"/>
          <w:i/>
          <w:iCs/>
          <w:color w:val="000000"/>
          <w:sz w:val="22"/>
          <w:szCs w:val="22"/>
        </w:rPr>
        <w:t xml:space="preserve">point in </w:t>
      </w:r>
      <w:proofErr w:type="spellStart"/>
      <w:r w:rsidRPr="00E57641">
        <w:rPr>
          <w:rFonts w:ascii="Arial" w:hAnsi="Arial" w:cs="Arial"/>
          <w:i/>
          <w:iCs/>
          <w:color w:val="000000"/>
          <w:sz w:val="22"/>
          <w:szCs w:val="22"/>
        </w:rPr>
        <w:t>limine</w:t>
      </w:r>
      <w:proofErr w:type="spellEnd"/>
      <w:r w:rsidRPr="00E57641">
        <w:rPr>
          <w:rFonts w:ascii="Arial" w:hAnsi="Arial" w:cs="Arial"/>
          <w:i/>
          <w:iCs/>
          <w:color w:val="000000"/>
          <w:sz w:val="22"/>
          <w:szCs w:val="22"/>
        </w:rPr>
        <w:t xml:space="preserve"> </w:t>
      </w:r>
      <w:r w:rsidRPr="00E57641">
        <w:rPr>
          <w:rFonts w:ascii="Arial" w:hAnsi="Arial" w:cs="Arial"/>
          <w:color w:val="000000"/>
          <w:sz w:val="22"/>
          <w:szCs w:val="22"/>
        </w:rPr>
        <w:t xml:space="preserve">that the Applicants have failed and ignored a crucial aspect of including a very important role player, namely, the Royal Family in the recognition of the traditional leader of a particular traditional community. </w:t>
      </w:r>
    </w:p>
    <w:p w14:paraId="5A10B9DE" w14:textId="77777777" w:rsidR="00EB3AC9" w:rsidRPr="00E57641" w:rsidRDefault="00942E3A" w:rsidP="0094689E">
      <w:pPr>
        <w:widowControl w:val="0"/>
        <w:autoSpaceDE w:val="0"/>
        <w:autoSpaceDN w:val="0"/>
        <w:adjustRightInd w:val="0"/>
        <w:spacing w:before="240" w:after="120" w:line="360" w:lineRule="auto"/>
        <w:ind w:left="709" w:hanging="709"/>
        <w:jc w:val="both"/>
        <w:rPr>
          <w:rFonts w:ascii="Arial" w:hAnsi="Arial" w:cs="Arial"/>
          <w:color w:val="000000"/>
          <w:sz w:val="22"/>
          <w:szCs w:val="22"/>
        </w:rPr>
      </w:pPr>
      <w:r>
        <w:rPr>
          <w:rFonts w:ascii="Arial" w:hAnsi="Arial" w:cs="Arial"/>
          <w:iCs/>
          <w:sz w:val="22"/>
          <w:szCs w:val="22"/>
        </w:rPr>
        <w:tab/>
      </w:r>
      <w:r w:rsidR="00847CDA" w:rsidRPr="00EB3AC9">
        <w:rPr>
          <w:rFonts w:ascii="Arial" w:hAnsi="Arial" w:cs="Arial"/>
          <w:iCs/>
          <w:sz w:val="22"/>
          <w:szCs w:val="22"/>
        </w:rPr>
        <w:t>[46]</w:t>
      </w:r>
      <w:r w:rsidR="00847CDA" w:rsidRPr="00EB3AC9">
        <w:rPr>
          <w:rFonts w:ascii="Arial" w:hAnsi="Arial" w:cs="Arial"/>
          <w:iCs/>
          <w:sz w:val="22"/>
          <w:szCs w:val="22"/>
        </w:rPr>
        <w:tab/>
      </w:r>
      <w:r w:rsidRPr="00E57641">
        <w:rPr>
          <w:rFonts w:ascii="Arial" w:hAnsi="Arial" w:cs="Arial"/>
          <w:color w:val="000000"/>
          <w:sz w:val="22"/>
          <w:szCs w:val="22"/>
        </w:rPr>
        <w:t xml:space="preserve">Therefore, failure to include or join the Royal Family or the inner Royal Family as a core and key player, would not have been good for the Applicants` case. </w:t>
      </w:r>
      <w:r w:rsidRPr="008F594B">
        <w:rPr>
          <w:rFonts w:ascii="Arial" w:hAnsi="Arial" w:cs="Arial"/>
          <w:color w:val="000000"/>
          <w:sz w:val="22"/>
          <w:szCs w:val="22"/>
        </w:rPr>
        <w:t>It is evident that the Applicant that there is</w:t>
      </w:r>
      <w:r w:rsidRPr="00E57641">
        <w:rPr>
          <w:rFonts w:ascii="Arial" w:hAnsi="Arial" w:cs="Arial"/>
          <w:color w:val="000000"/>
          <w:sz w:val="22"/>
          <w:szCs w:val="22"/>
        </w:rPr>
        <w:t xml:space="preserve"> a serious non-compliance with these important and relevant pieces of legislation which have been pointed out </w:t>
      </w:r>
      <w:r w:rsidRPr="00E57641">
        <w:rPr>
          <w:rFonts w:ascii="Arial" w:hAnsi="Arial" w:cs="Arial"/>
          <w:i/>
          <w:iCs/>
          <w:color w:val="000000"/>
          <w:sz w:val="22"/>
          <w:szCs w:val="22"/>
        </w:rPr>
        <w:t>supra.</w:t>
      </w:r>
      <w:r>
        <w:rPr>
          <w:rFonts w:ascii="Arial" w:hAnsi="Arial" w:cs="Arial"/>
          <w:iCs/>
          <w:color w:val="000000"/>
          <w:sz w:val="22"/>
          <w:szCs w:val="22"/>
        </w:rPr>
        <w:t>’</w:t>
      </w:r>
      <w:r w:rsidRPr="00E57641">
        <w:rPr>
          <w:rFonts w:ascii="Arial" w:hAnsi="Arial" w:cs="Arial"/>
          <w:i/>
          <w:iCs/>
          <w:color w:val="000000"/>
          <w:sz w:val="22"/>
          <w:szCs w:val="22"/>
        </w:rPr>
        <w:t xml:space="preserve"> </w:t>
      </w:r>
    </w:p>
    <w:p w14:paraId="6C5519B2" w14:textId="2C799E21" w:rsidR="00800069" w:rsidRDefault="00FD3D2C" w:rsidP="00C479E1">
      <w:pPr>
        <w:spacing w:before="240" w:after="120" w:line="360" w:lineRule="auto"/>
        <w:jc w:val="both"/>
        <w:rPr>
          <w:rFonts w:ascii="Arial" w:hAnsi="Arial" w:cs="Arial"/>
        </w:rPr>
      </w:pPr>
      <w:r>
        <w:rPr>
          <w:rFonts w:ascii="Arial" w:hAnsi="Arial" w:cs="Arial"/>
        </w:rPr>
        <w:t>[24</w:t>
      </w:r>
      <w:r w:rsidR="000A409F" w:rsidRPr="00C74AE2">
        <w:rPr>
          <w:rFonts w:ascii="Arial" w:hAnsi="Arial" w:cs="Arial"/>
        </w:rPr>
        <w:t>]</w:t>
      </w:r>
      <w:r w:rsidR="000A409F" w:rsidRPr="00C74AE2">
        <w:rPr>
          <w:rFonts w:ascii="Arial" w:hAnsi="Arial" w:cs="Arial"/>
        </w:rPr>
        <w:tab/>
      </w:r>
      <w:r w:rsidR="00A90F3A" w:rsidRPr="00C74AE2">
        <w:rPr>
          <w:rFonts w:ascii="Arial" w:hAnsi="Arial" w:cs="Arial"/>
        </w:rPr>
        <w:t xml:space="preserve">It is </w:t>
      </w:r>
      <w:r w:rsidR="0079238A">
        <w:rPr>
          <w:rFonts w:ascii="Arial" w:hAnsi="Arial" w:cs="Arial"/>
        </w:rPr>
        <w:t xml:space="preserve">trite that </w:t>
      </w:r>
      <w:r w:rsidR="00840F89">
        <w:rPr>
          <w:rFonts w:ascii="Arial" w:hAnsi="Arial" w:cs="Arial"/>
        </w:rPr>
        <w:t>if</w:t>
      </w:r>
      <w:r w:rsidR="00BD5313">
        <w:rPr>
          <w:rFonts w:ascii="Arial" w:hAnsi="Arial" w:cs="Arial"/>
        </w:rPr>
        <w:t xml:space="preserve"> parties</w:t>
      </w:r>
      <w:r w:rsidR="0048462A" w:rsidRPr="00C74AE2">
        <w:rPr>
          <w:rFonts w:ascii="Arial" w:hAnsi="Arial" w:cs="Arial"/>
        </w:rPr>
        <w:t xml:space="preserve"> </w:t>
      </w:r>
      <w:r w:rsidR="00BD5313">
        <w:rPr>
          <w:rFonts w:ascii="Arial" w:hAnsi="Arial" w:cs="Arial"/>
        </w:rPr>
        <w:t>have</w:t>
      </w:r>
      <w:r w:rsidR="00317546">
        <w:rPr>
          <w:rFonts w:ascii="Arial" w:hAnsi="Arial" w:cs="Arial"/>
        </w:rPr>
        <w:t xml:space="preserve"> </w:t>
      </w:r>
      <w:r w:rsidR="0048462A" w:rsidRPr="00C74AE2">
        <w:rPr>
          <w:rFonts w:ascii="Arial" w:hAnsi="Arial" w:cs="Arial"/>
        </w:rPr>
        <w:t xml:space="preserve">a direct and substantial interest in </w:t>
      </w:r>
      <w:r w:rsidR="001C4F25">
        <w:rPr>
          <w:rFonts w:ascii="Arial" w:hAnsi="Arial" w:cs="Arial"/>
        </w:rPr>
        <w:t xml:space="preserve">the </w:t>
      </w:r>
      <w:r w:rsidR="000A409F" w:rsidRPr="00C74AE2">
        <w:rPr>
          <w:rFonts w:ascii="Arial" w:hAnsi="Arial" w:cs="Arial"/>
        </w:rPr>
        <w:t>proceedings</w:t>
      </w:r>
      <w:r w:rsidR="00317546">
        <w:rPr>
          <w:rFonts w:ascii="Arial" w:hAnsi="Arial" w:cs="Arial"/>
        </w:rPr>
        <w:t xml:space="preserve"> </w:t>
      </w:r>
      <w:r w:rsidR="00BD5313">
        <w:rPr>
          <w:rFonts w:ascii="Arial" w:hAnsi="Arial" w:cs="Arial"/>
        </w:rPr>
        <w:t>they</w:t>
      </w:r>
      <w:r w:rsidR="00DC79F1">
        <w:rPr>
          <w:rFonts w:ascii="Arial" w:hAnsi="Arial" w:cs="Arial"/>
        </w:rPr>
        <w:t xml:space="preserve"> should be joined</w:t>
      </w:r>
      <w:r w:rsidR="00A82137">
        <w:rPr>
          <w:rFonts w:ascii="Arial" w:hAnsi="Arial" w:cs="Arial"/>
        </w:rPr>
        <w:t xml:space="preserve"> unles</w:t>
      </w:r>
      <w:r w:rsidR="00BD5313">
        <w:rPr>
          <w:rFonts w:ascii="Arial" w:hAnsi="Arial" w:cs="Arial"/>
        </w:rPr>
        <w:t xml:space="preserve">s the </w:t>
      </w:r>
      <w:r w:rsidR="00840F89">
        <w:rPr>
          <w:rFonts w:ascii="Arial" w:hAnsi="Arial" w:cs="Arial"/>
        </w:rPr>
        <w:t>Court is satisfied that they have</w:t>
      </w:r>
      <w:r w:rsidR="00A82137">
        <w:rPr>
          <w:rFonts w:ascii="Arial" w:hAnsi="Arial" w:cs="Arial"/>
        </w:rPr>
        <w:t xml:space="preserve"> wa</w:t>
      </w:r>
      <w:r w:rsidR="00BD5313">
        <w:rPr>
          <w:rFonts w:ascii="Arial" w:hAnsi="Arial" w:cs="Arial"/>
        </w:rPr>
        <w:t>ived their</w:t>
      </w:r>
      <w:r w:rsidR="00A82137">
        <w:rPr>
          <w:rFonts w:ascii="Arial" w:hAnsi="Arial" w:cs="Arial"/>
        </w:rPr>
        <w:t xml:space="preserve"> right to be joined</w:t>
      </w:r>
      <w:r w:rsidR="00A82137" w:rsidRPr="00C74AE2">
        <w:rPr>
          <w:rFonts w:ascii="Arial" w:hAnsi="Arial" w:cs="Arial"/>
        </w:rPr>
        <w:t>.</w:t>
      </w:r>
      <w:r w:rsidR="00A82137">
        <w:rPr>
          <w:rStyle w:val="FootnoteReference"/>
          <w:rFonts w:ascii="Arial" w:hAnsi="Arial" w:cs="Arial"/>
        </w:rPr>
        <w:footnoteReference w:id="4"/>
      </w:r>
      <w:r w:rsidR="00BD7AF5">
        <w:rPr>
          <w:rFonts w:ascii="Arial" w:hAnsi="Arial" w:cs="Arial"/>
        </w:rPr>
        <w:t xml:space="preserve"> This principle was reinforced by this Court in </w:t>
      </w:r>
      <w:r w:rsidR="00BD7AF5" w:rsidRPr="00BD7AF5">
        <w:rPr>
          <w:rFonts w:ascii="Arial" w:eastAsia="Times New Roman" w:hAnsi="Arial" w:cs="Arial"/>
          <w:bCs/>
          <w:i/>
        </w:rPr>
        <w:t xml:space="preserve">Wessels N.O and Others v Estate Late </w:t>
      </w:r>
      <w:proofErr w:type="spellStart"/>
      <w:r w:rsidR="00BD7AF5" w:rsidRPr="00BD7AF5">
        <w:rPr>
          <w:rFonts w:ascii="Arial" w:eastAsia="Times New Roman" w:hAnsi="Arial" w:cs="Arial"/>
          <w:bCs/>
          <w:i/>
        </w:rPr>
        <w:t>Esias</w:t>
      </w:r>
      <w:proofErr w:type="spellEnd"/>
      <w:r w:rsidR="00BD7AF5" w:rsidRPr="00BD7AF5">
        <w:rPr>
          <w:rFonts w:ascii="Arial" w:eastAsia="Times New Roman" w:hAnsi="Arial" w:cs="Arial"/>
          <w:bCs/>
          <w:i/>
        </w:rPr>
        <w:t xml:space="preserve"> Johannes Janse Van Rensburg N.O and Others</w:t>
      </w:r>
      <w:r w:rsidR="00BD7AF5">
        <w:rPr>
          <w:rFonts w:ascii="Arial" w:eastAsia="Times New Roman" w:hAnsi="Arial" w:cs="Arial"/>
          <w:bCs/>
          <w:i/>
        </w:rPr>
        <w:t>.</w:t>
      </w:r>
      <w:r w:rsidR="00BD7AF5">
        <w:rPr>
          <w:rStyle w:val="FootnoteReference"/>
          <w:rFonts w:ascii="Arial" w:eastAsia="Times New Roman" w:hAnsi="Arial" w:cs="Arial"/>
          <w:bCs/>
          <w:i/>
        </w:rPr>
        <w:footnoteReference w:id="5"/>
      </w:r>
      <w:r w:rsidR="00DC79F1">
        <w:rPr>
          <w:rFonts w:ascii="Arial" w:hAnsi="Arial" w:cs="Arial"/>
        </w:rPr>
        <w:t xml:space="preserve"> It is </w:t>
      </w:r>
      <w:r w:rsidR="00A82137">
        <w:rPr>
          <w:rFonts w:ascii="Arial" w:hAnsi="Arial" w:cs="Arial"/>
        </w:rPr>
        <w:t xml:space="preserve">apparent </w:t>
      </w:r>
      <w:r w:rsidR="00DC79F1">
        <w:rPr>
          <w:rFonts w:ascii="Arial" w:hAnsi="Arial" w:cs="Arial"/>
        </w:rPr>
        <w:t xml:space="preserve">that the </w:t>
      </w:r>
      <w:proofErr w:type="spellStart"/>
      <w:r w:rsidR="00A82137" w:rsidRPr="0079238A">
        <w:rPr>
          <w:rFonts w:ascii="Arial" w:hAnsi="Arial" w:cs="Arial"/>
        </w:rPr>
        <w:t>Bakgatla</w:t>
      </w:r>
      <w:proofErr w:type="spellEnd"/>
      <w:r w:rsidR="00A82137" w:rsidRPr="0079238A">
        <w:rPr>
          <w:rFonts w:ascii="Arial" w:hAnsi="Arial" w:cs="Arial"/>
        </w:rPr>
        <w:t xml:space="preserve"> Ba </w:t>
      </w:r>
      <w:proofErr w:type="spellStart"/>
      <w:r w:rsidR="00A82137" w:rsidRPr="0079238A">
        <w:rPr>
          <w:rFonts w:ascii="Arial" w:hAnsi="Arial" w:cs="Arial"/>
        </w:rPr>
        <w:t>Mmakau</w:t>
      </w:r>
      <w:proofErr w:type="spellEnd"/>
      <w:r w:rsidR="00A82137" w:rsidRPr="0079238A">
        <w:rPr>
          <w:rFonts w:ascii="Arial" w:hAnsi="Arial" w:cs="Arial"/>
        </w:rPr>
        <w:t xml:space="preserve"> Community and </w:t>
      </w:r>
      <w:r w:rsidR="00A82137">
        <w:rPr>
          <w:rFonts w:ascii="Arial" w:hAnsi="Arial" w:cs="Arial"/>
        </w:rPr>
        <w:t>the Royal family</w:t>
      </w:r>
      <w:r w:rsidR="00DC79F1">
        <w:rPr>
          <w:rFonts w:ascii="Arial" w:hAnsi="Arial" w:cs="Arial"/>
        </w:rPr>
        <w:t xml:space="preserve"> have a direct and sub</w:t>
      </w:r>
      <w:r w:rsidR="00BD7AF5">
        <w:rPr>
          <w:rFonts w:ascii="Arial" w:hAnsi="Arial" w:cs="Arial"/>
        </w:rPr>
        <w:t>stantial interest in the matter and</w:t>
      </w:r>
      <w:r w:rsidR="00A82137">
        <w:rPr>
          <w:rFonts w:ascii="Arial" w:hAnsi="Arial" w:cs="Arial"/>
        </w:rPr>
        <w:t xml:space="preserve"> there is no evidence that </w:t>
      </w:r>
      <w:r w:rsidR="00DC79F1">
        <w:rPr>
          <w:rFonts w:ascii="Arial" w:hAnsi="Arial" w:cs="Arial"/>
        </w:rPr>
        <w:t>the</w:t>
      </w:r>
      <w:r w:rsidR="00BD7AF5">
        <w:rPr>
          <w:rFonts w:ascii="Arial" w:hAnsi="Arial" w:cs="Arial"/>
        </w:rPr>
        <w:t>y</w:t>
      </w:r>
      <w:r w:rsidR="00DC79F1">
        <w:rPr>
          <w:rFonts w:ascii="Arial" w:hAnsi="Arial" w:cs="Arial"/>
        </w:rPr>
        <w:t xml:space="preserve"> waived their rights to be joined. The</w:t>
      </w:r>
      <w:r w:rsidR="0079238A">
        <w:rPr>
          <w:rFonts w:ascii="Arial" w:hAnsi="Arial" w:cs="Arial"/>
        </w:rPr>
        <w:t xml:space="preserve"> submission</w:t>
      </w:r>
      <w:r w:rsidR="00317546">
        <w:rPr>
          <w:rFonts w:ascii="Arial" w:hAnsi="Arial" w:cs="Arial"/>
        </w:rPr>
        <w:t xml:space="preserve"> that the</w:t>
      </w:r>
      <w:r w:rsidR="00BD7AF5">
        <w:rPr>
          <w:rFonts w:ascii="Arial" w:hAnsi="Arial" w:cs="Arial"/>
        </w:rPr>
        <w:t>y</w:t>
      </w:r>
      <w:r w:rsidR="00317546">
        <w:rPr>
          <w:rFonts w:ascii="Arial" w:hAnsi="Arial" w:cs="Arial"/>
        </w:rPr>
        <w:t xml:space="preserve"> </w:t>
      </w:r>
      <w:r w:rsidR="00935A34">
        <w:rPr>
          <w:rFonts w:ascii="Arial" w:hAnsi="Arial" w:cs="Arial"/>
        </w:rPr>
        <w:t>were</w:t>
      </w:r>
      <w:r w:rsidR="00317546">
        <w:rPr>
          <w:rFonts w:ascii="Arial" w:hAnsi="Arial" w:cs="Arial"/>
        </w:rPr>
        <w:t xml:space="preserve"> </w:t>
      </w:r>
      <w:r w:rsidR="00317546" w:rsidRPr="0079238A">
        <w:rPr>
          <w:rFonts w:ascii="Arial" w:hAnsi="Arial" w:cs="Arial"/>
        </w:rPr>
        <w:t>served with the Court papers a</w:t>
      </w:r>
      <w:r w:rsidR="00935A34">
        <w:rPr>
          <w:rFonts w:ascii="Arial" w:hAnsi="Arial" w:cs="Arial"/>
        </w:rPr>
        <w:t>nd, therefore,</w:t>
      </w:r>
      <w:r w:rsidR="0079238A" w:rsidRPr="0079238A">
        <w:rPr>
          <w:rFonts w:ascii="Arial" w:hAnsi="Arial" w:cs="Arial"/>
        </w:rPr>
        <w:t xml:space="preserve"> aware of the proceeding</w:t>
      </w:r>
      <w:r w:rsidR="00EB7526">
        <w:rPr>
          <w:rFonts w:ascii="Arial" w:hAnsi="Arial" w:cs="Arial"/>
        </w:rPr>
        <w:t>,</w:t>
      </w:r>
      <w:r w:rsidR="0079238A" w:rsidRPr="0079238A">
        <w:rPr>
          <w:rFonts w:ascii="Arial" w:hAnsi="Arial" w:cs="Arial"/>
        </w:rPr>
        <w:t xml:space="preserve"> is without merit. </w:t>
      </w:r>
      <w:r w:rsidR="00935A34">
        <w:rPr>
          <w:rFonts w:ascii="Arial" w:hAnsi="Arial" w:cs="Arial"/>
        </w:rPr>
        <w:t>The</w:t>
      </w:r>
      <w:r w:rsidR="00DC79F1">
        <w:rPr>
          <w:rFonts w:ascii="Arial" w:hAnsi="Arial" w:cs="Arial"/>
        </w:rPr>
        <w:t>y were</w:t>
      </w:r>
      <w:r w:rsidR="0079238A">
        <w:rPr>
          <w:rFonts w:ascii="Arial" w:hAnsi="Arial" w:cs="Arial"/>
        </w:rPr>
        <w:t xml:space="preserve"> not</w:t>
      </w:r>
      <w:r w:rsidR="00935A34">
        <w:rPr>
          <w:rFonts w:ascii="Arial" w:hAnsi="Arial" w:cs="Arial"/>
        </w:rPr>
        <w:t xml:space="preserve"> cite</w:t>
      </w:r>
      <w:r w:rsidR="00BD7AF5">
        <w:rPr>
          <w:rFonts w:ascii="Arial" w:hAnsi="Arial" w:cs="Arial"/>
        </w:rPr>
        <w:t>d</w:t>
      </w:r>
      <w:r w:rsidR="00DC79F1">
        <w:rPr>
          <w:rFonts w:ascii="Arial" w:hAnsi="Arial" w:cs="Arial"/>
        </w:rPr>
        <w:t xml:space="preserve"> and thus not afforded an opportunity to be heard</w:t>
      </w:r>
      <w:r w:rsidR="0079238A">
        <w:rPr>
          <w:rFonts w:ascii="Arial" w:hAnsi="Arial" w:cs="Arial"/>
        </w:rPr>
        <w:t>.</w:t>
      </w:r>
      <w:r w:rsidR="00DC79F1">
        <w:rPr>
          <w:rFonts w:ascii="Arial" w:hAnsi="Arial" w:cs="Arial"/>
        </w:rPr>
        <w:t xml:space="preserve"> This is contrary </w:t>
      </w:r>
      <w:r w:rsidR="00935A34">
        <w:rPr>
          <w:rFonts w:ascii="Arial" w:hAnsi="Arial" w:cs="Arial"/>
        </w:rPr>
        <w:t xml:space="preserve">to </w:t>
      </w:r>
      <w:r w:rsidR="00DC79F1">
        <w:rPr>
          <w:rFonts w:ascii="Arial" w:hAnsi="Arial" w:cs="Arial"/>
        </w:rPr>
        <w:t>the principles o</w:t>
      </w:r>
      <w:r w:rsidR="00EB7526">
        <w:rPr>
          <w:rFonts w:ascii="Arial" w:hAnsi="Arial" w:cs="Arial"/>
        </w:rPr>
        <w:t>f</w:t>
      </w:r>
      <w:r w:rsidR="00DC79F1">
        <w:rPr>
          <w:rFonts w:ascii="Arial" w:hAnsi="Arial" w:cs="Arial"/>
        </w:rPr>
        <w:t xml:space="preserve"> </w:t>
      </w:r>
      <w:r w:rsidR="00935A34">
        <w:rPr>
          <w:rFonts w:ascii="Arial" w:hAnsi="Arial" w:cs="Arial"/>
        </w:rPr>
        <w:t>natural justice.</w:t>
      </w:r>
    </w:p>
    <w:p w14:paraId="0E65CB00" w14:textId="32757008" w:rsidR="00BD7AF5" w:rsidRDefault="00BD7AF5" w:rsidP="00800069">
      <w:pPr>
        <w:spacing w:before="240" w:after="120" w:line="360" w:lineRule="auto"/>
        <w:jc w:val="both"/>
        <w:rPr>
          <w:rFonts w:ascii="Arial" w:hAnsi="Arial" w:cs="Arial"/>
        </w:rPr>
      </w:pPr>
      <w:r>
        <w:rPr>
          <w:rFonts w:ascii="Arial" w:hAnsi="Arial" w:cs="Arial"/>
        </w:rPr>
        <w:t>[25</w:t>
      </w:r>
      <w:r w:rsidR="00942E3A">
        <w:rPr>
          <w:rFonts w:ascii="Arial" w:hAnsi="Arial" w:cs="Arial"/>
        </w:rPr>
        <w:t>]</w:t>
      </w:r>
      <w:r w:rsidR="00942E3A">
        <w:rPr>
          <w:rFonts w:ascii="Arial" w:hAnsi="Arial" w:cs="Arial"/>
        </w:rPr>
        <w:tab/>
      </w:r>
      <w:r w:rsidRPr="00800069">
        <w:rPr>
          <w:rFonts w:ascii="Arial" w:hAnsi="Arial" w:cs="Arial"/>
        </w:rPr>
        <w:t xml:space="preserve">Having found that the joinder was fatal to the appellants’ case, the Court </w:t>
      </w:r>
      <w:r w:rsidRPr="00800069">
        <w:rPr>
          <w:rFonts w:ascii="Arial" w:hAnsi="Arial" w:cs="Arial"/>
          <w:i/>
        </w:rPr>
        <w:t>a quo</w:t>
      </w:r>
      <w:r w:rsidRPr="00800069">
        <w:rPr>
          <w:rFonts w:ascii="Arial" w:hAnsi="Arial" w:cs="Arial"/>
        </w:rPr>
        <w:t xml:space="preserve"> should not </w:t>
      </w:r>
      <w:r w:rsidR="00BD5313">
        <w:rPr>
          <w:rFonts w:ascii="Arial" w:hAnsi="Arial" w:cs="Arial"/>
        </w:rPr>
        <w:t>have proceeded to determine the</w:t>
      </w:r>
      <w:r w:rsidRPr="00800069">
        <w:rPr>
          <w:rFonts w:ascii="Arial" w:hAnsi="Arial" w:cs="Arial"/>
        </w:rPr>
        <w:t xml:space="preserve"> merits without </w:t>
      </w:r>
      <w:proofErr w:type="spellStart"/>
      <w:r w:rsidRPr="00800069">
        <w:rPr>
          <w:rFonts w:ascii="Arial" w:hAnsi="Arial" w:cs="Arial"/>
        </w:rPr>
        <w:t>Bakgatla</w:t>
      </w:r>
      <w:proofErr w:type="spellEnd"/>
      <w:r w:rsidRPr="00800069">
        <w:rPr>
          <w:rFonts w:ascii="Arial" w:hAnsi="Arial" w:cs="Arial"/>
        </w:rPr>
        <w:t xml:space="preserve"> Ba </w:t>
      </w:r>
      <w:proofErr w:type="spellStart"/>
      <w:r w:rsidRPr="00800069">
        <w:rPr>
          <w:rFonts w:ascii="Arial" w:hAnsi="Arial" w:cs="Arial"/>
        </w:rPr>
        <w:t>Mmakau</w:t>
      </w:r>
      <w:proofErr w:type="spellEnd"/>
      <w:r>
        <w:rPr>
          <w:rFonts w:ascii="Arial" w:hAnsi="Arial" w:cs="Arial"/>
        </w:rPr>
        <w:t xml:space="preserve"> Community and the Royal F</w:t>
      </w:r>
      <w:r w:rsidRPr="00800069">
        <w:rPr>
          <w:rFonts w:ascii="Arial" w:hAnsi="Arial" w:cs="Arial"/>
        </w:rPr>
        <w:t xml:space="preserve">amily. It follows that the Court </w:t>
      </w:r>
      <w:r w:rsidRPr="005E3012">
        <w:rPr>
          <w:rFonts w:ascii="Arial" w:hAnsi="Arial" w:cs="Arial"/>
          <w:i/>
        </w:rPr>
        <w:t>a quo</w:t>
      </w:r>
      <w:r>
        <w:rPr>
          <w:rFonts w:ascii="Arial" w:hAnsi="Arial" w:cs="Arial"/>
        </w:rPr>
        <w:t xml:space="preserve"> </w:t>
      </w:r>
      <w:r w:rsidRPr="00800069">
        <w:rPr>
          <w:rFonts w:ascii="Arial" w:hAnsi="Arial" w:cs="Arial"/>
        </w:rPr>
        <w:t>erred in grant</w:t>
      </w:r>
      <w:r w:rsidR="005A5CD2">
        <w:rPr>
          <w:rFonts w:ascii="Arial" w:hAnsi="Arial" w:cs="Arial"/>
        </w:rPr>
        <w:t>ing an order</w:t>
      </w:r>
      <w:r w:rsidRPr="00800069">
        <w:rPr>
          <w:rFonts w:ascii="Arial" w:hAnsi="Arial" w:cs="Arial"/>
        </w:rPr>
        <w:t xml:space="preserve"> in their absence. </w:t>
      </w:r>
      <w:r w:rsidR="005A5CD2">
        <w:rPr>
          <w:rFonts w:ascii="Arial" w:hAnsi="Arial" w:cs="Arial"/>
        </w:rPr>
        <w:t>To this extent,</w:t>
      </w:r>
      <w:r>
        <w:rPr>
          <w:rFonts w:ascii="Arial" w:hAnsi="Arial" w:cs="Arial"/>
        </w:rPr>
        <w:t xml:space="preserve"> t</w:t>
      </w:r>
      <w:r w:rsidRPr="00800069">
        <w:rPr>
          <w:rFonts w:ascii="Arial" w:hAnsi="Arial" w:cs="Arial"/>
        </w:rPr>
        <w:t>he appeal should succeed.</w:t>
      </w:r>
    </w:p>
    <w:p w14:paraId="17D9E658" w14:textId="648C20BE" w:rsidR="005A5CD2" w:rsidRDefault="005A5CD2" w:rsidP="00800069">
      <w:pPr>
        <w:spacing w:before="240" w:after="120" w:line="360" w:lineRule="auto"/>
        <w:jc w:val="both"/>
        <w:rPr>
          <w:rFonts w:ascii="Arial" w:hAnsi="Arial" w:cs="Arial"/>
        </w:rPr>
      </w:pPr>
      <w:r>
        <w:rPr>
          <w:rFonts w:ascii="Arial" w:hAnsi="Arial" w:cs="Arial"/>
        </w:rPr>
        <w:t>[26]</w:t>
      </w:r>
      <w:r>
        <w:rPr>
          <w:rFonts w:ascii="Arial" w:hAnsi="Arial" w:cs="Arial"/>
        </w:rPr>
        <w:tab/>
        <w:t>However,</w:t>
      </w:r>
      <w:r w:rsidR="00EB7526">
        <w:rPr>
          <w:rFonts w:ascii="Arial" w:hAnsi="Arial" w:cs="Arial"/>
        </w:rPr>
        <w:t xml:space="preserve"> the issue of the non-joinder still needed to be addressed and to simply have dismissed the appellants’ application on this ground, would not have solved the ongoing dispute and would have spawned further litigation, </w:t>
      </w:r>
      <w:proofErr w:type="gramStart"/>
      <w:r w:rsidR="00EB7526">
        <w:rPr>
          <w:rFonts w:ascii="Arial" w:hAnsi="Arial" w:cs="Arial"/>
        </w:rPr>
        <w:t>costs</w:t>
      </w:r>
      <w:proofErr w:type="gramEnd"/>
      <w:r w:rsidR="00EB7526">
        <w:rPr>
          <w:rFonts w:ascii="Arial" w:hAnsi="Arial" w:cs="Arial"/>
        </w:rPr>
        <w:t xml:space="preserve"> and delays. The proper course of action, having regard to the facts of this matter, would have been to treat the point</w:t>
      </w:r>
      <w:r w:rsidR="00EB7526">
        <w:rPr>
          <w:rFonts w:ascii="Arial" w:hAnsi="Arial" w:cs="Arial"/>
          <w:i/>
          <w:iCs/>
        </w:rPr>
        <w:t xml:space="preserve"> in </w:t>
      </w:r>
      <w:proofErr w:type="spellStart"/>
      <w:r w:rsidR="00EB7526">
        <w:rPr>
          <w:rFonts w:ascii="Arial" w:hAnsi="Arial" w:cs="Arial"/>
          <w:i/>
          <w:iCs/>
        </w:rPr>
        <w:t>limine</w:t>
      </w:r>
      <w:proofErr w:type="spellEnd"/>
      <w:r w:rsidR="00EB7526">
        <w:rPr>
          <w:rFonts w:ascii="Arial" w:hAnsi="Arial" w:cs="Arial"/>
        </w:rPr>
        <w:t xml:space="preserve"> on the same basis as an </w:t>
      </w:r>
      <w:r w:rsidR="00EB7526">
        <w:rPr>
          <w:rFonts w:ascii="Arial" w:hAnsi="Arial" w:cs="Arial"/>
        </w:rPr>
        <w:lastRenderedPageBreak/>
        <w:t>exception and to have afforded the appellants the opportunity to remedy the situation. This shall be reflected in the order granted by this court below.</w:t>
      </w:r>
    </w:p>
    <w:p w14:paraId="50916043" w14:textId="4DAC42D1" w:rsidR="00EB7526" w:rsidRPr="001115DF" w:rsidRDefault="00EB7526" w:rsidP="00800069">
      <w:pPr>
        <w:spacing w:before="240" w:after="120" w:line="360" w:lineRule="auto"/>
        <w:jc w:val="both"/>
        <w:rPr>
          <w:rFonts w:ascii="Arial" w:hAnsi="Arial" w:cs="Arial"/>
        </w:rPr>
      </w:pPr>
      <w:r>
        <w:rPr>
          <w:rFonts w:ascii="Arial" w:hAnsi="Arial" w:cs="Arial"/>
        </w:rPr>
        <w:t>[27]</w:t>
      </w:r>
      <w:r>
        <w:rPr>
          <w:rFonts w:ascii="Arial" w:hAnsi="Arial" w:cs="Arial"/>
        </w:rPr>
        <w:tab/>
        <w:t xml:space="preserve">To the extent that the order of the court </w:t>
      </w:r>
      <w:r>
        <w:rPr>
          <w:rFonts w:ascii="Arial" w:hAnsi="Arial" w:cs="Arial"/>
          <w:i/>
          <w:iCs/>
        </w:rPr>
        <w:t>a quo</w:t>
      </w:r>
      <w:r>
        <w:rPr>
          <w:rFonts w:ascii="Arial" w:hAnsi="Arial" w:cs="Arial"/>
        </w:rPr>
        <w:t xml:space="preserve"> whereby the appellants’</w:t>
      </w:r>
      <w:r w:rsidR="001115DF">
        <w:rPr>
          <w:rFonts w:ascii="Arial" w:hAnsi="Arial" w:cs="Arial"/>
        </w:rPr>
        <w:t xml:space="preserve"> </w:t>
      </w:r>
      <w:r>
        <w:rPr>
          <w:rFonts w:ascii="Arial" w:hAnsi="Arial" w:cs="Arial"/>
        </w:rPr>
        <w:t>review application had been dismissed is to be overturned, the appellants shall</w:t>
      </w:r>
      <w:r w:rsidR="001115DF">
        <w:rPr>
          <w:rFonts w:ascii="Arial" w:hAnsi="Arial" w:cs="Arial"/>
        </w:rPr>
        <w:t xml:space="preserve"> be substantially successful and there is no cogent reason why costs should not follow that event. By the same token, the respondents were substantially s</w:t>
      </w:r>
      <w:r w:rsidR="00A512F5">
        <w:rPr>
          <w:rFonts w:ascii="Arial" w:hAnsi="Arial" w:cs="Arial"/>
        </w:rPr>
        <w:t>uccessful in respect of the non-</w:t>
      </w:r>
      <w:r w:rsidR="001115DF">
        <w:rPr>
          <w:rFonts w:ascii="Arial" w:hAnsi="Arial" w:cs="Arial"/>
        </w:rPr>
        <w:t xml:space="preserve">joinder point in the court </w:t>
      </w:r>
      <w:r w:rsidR="001115DF">
        <w:rPr>
          <w:rFonts w:ascii="Arial" w:hAnsi="Arial" w:cs="Arial"/>
          <w:i/>
          <w:iCs/>
        </w:rPr>
        <w:t>a quo</w:t>
      </w:r>
      <w:r w:rsidR="001115DF">
        <w:rPr>
          <w:rFonts w:ascii="Arial" w:hAnsi="Arial" w:cs="Arial"/>
        </w:rPr>
        <w:t xml:space="preserve"> and costs should follow that event.</w:t>
      </w:r>
    </w:p>
    <w:p w14:paraId="65D26E7B" w14:textId="648E3117" w:rsidR="00BA3809" w:rsidRDefault="00A512F5" w:rsidP="0094689E">
      <w:pPr>
        <w:pStyle w:val="Default"/>
        <w:spacing w:before="240" w:after="120" w:line="360" w:lineRule="auto"/>
        <w:jc w:val="both"/>
      </w:pPr>
      <w:r>
        <w:t>[28</w:t>
      </w:r>
      <w:r w:rsidR="00942E3A">
        <w:t>]</w:t>
      </w:r>
      <w:r w:rsidR="00942E3A">
        <w:tab/>
        <w:t>Accordingly, the following order is made:</w:t>
      </w:r>
    </w:p>
    <w:p w14:paraId="54E541E5" w14:textId="77777777" w:rsidR="00DD7687" w:rsidRDefault="00942E3A" w:rsidP="0094689E">
      <w:pPr>
        <w:pStyle w:val="Default"/>
        <w:spacing w:before="240" w:after="120" w:line="360" w:lineRule="auto"/>
        <w:jc w:val="both"/>
      </w:pPr>
      <w:r>
        <w:tab/>
        <w:t>1.</w:t>
      </w:r>
      <w:r>
        <w:tab/>
        <w:t xml:space="preserve">The appeal is </w:t>
      </w:r>
      <w:r w:rsidR="00755CCE">
        <w:t>upheld.</w:t>
      </w:r>
    </w:p>
    <w:p w14:paraId="7A1DC687" w14:textId="37CCE0E3" w:rsidR="00755CCE" w:rsidRDefault="00942E3A" w:rsidP="002636AC">
      <w:pPr>
        <w:pStyle w:val="Default"/>
        <w:spacing w:before="240" w:after="120" w:line="360" w:lineRule="auto"/>
        <w:ind w:left="1418" w:hanging="709"/>
        <w:jc w:val="both"/>
      </w:pPr>
      <w:r>
        <w:t>2.</w:t>
      </w:r>
      <w:r>
        <w:tab/>
        <w:t xml:space="preserve">The order of the Court </w:t>
      </w:r>
      <w:r w:rsidR="00C75CD2">
        <w:rPr>
          <w:i/>
        </w:rPr>
        <w:t>a q</w:t>
      </w:r>
      <w:r w:rsidRPr="00755CCE">
        <w:rPr>
          <w:i/>
        </w:rPr>
        <w:t>u</w:t>
      </w:r>
      <w:r w:rsidR="00C75CD2">
        <w:rPr>
          <w:i/>
        </w:rPr>
        <w:t>o</w:t>
      </w:r>
      <w:r>
        <w:t xml:space="preserve"> is set aside and replaced with the following order</w:t>
      </w:r>
      <w:r w:rsidR="002636AC">
        <w:t>:</w:t>
      </w:r>
    </w:p>
    <w:p w14:paraId="63562F2A" w14:textId="4E3E5910" w:rsidR="002636AC" w:rsidRDefault="00942E3A" w:rsidP="007C2D37">
      <w:pPr>
        <w:pStyle w:val="Default"/>
        <w:spacing w:before="240" w:after="120" w:line="360" w:lineRule="auto"/>
        <w:ind w:left="2127" w:hanging="709"/>
        <w:jc w:val="both"/>
      </w:pPr>
      <w:r>
        <w:t>(a)</w:t>
      </w:r>
      <w:r>
        <w:tab/>
        <w:t xml:space="preserve">The </w:t>
      </w:r>
      <w:r w:rsidR="001115DF">
        <w:t xml:space="preserve">point </w:t>
      </w:r>
      <w:r w:rsidR="001115DF">
        <w:rPr>
          <w:i/>
          <w:iCs/>
        </w:rPr>
        <w:t xml:space="preserve">in </w:t>
      </w:r>
      <w:proofErr w:type="spellStart"/>
      <w:r w:rsidR="001115DF">
        <w:rPr>
          <w:i/>
          <w:iCs/>
        </w:rPr>
        <w:t>limine</w:t>
      </w:r>
      <w:proofErr w:type="spellEnd"/>
      <w:r w:rsidR="001115DF">
        <w:t xml:space="preserve"> regarding non joinder is upheld</w:t>
      </w:r>
      <w:r>
        <w:t>.</w:t>
      </w:r>
    </w:p>
    <w:p w14:paraId="7C5C3D7D" w14:textId="70017EBA" w:rsidR="002636AC" w:rsidRDefault="00942E3A" w:rsidP="002636AC">
      <w:pPr>
        <w:pStyle w:val="Default"/>
        <w:spacing w:before="240" w:after="120" w:line="360" w:lineRule="auto"/>
        <w:ind w:left="2127" w:hanging="709"/>
        <w:jc w:val="both"/>
      </w:pPr>
      <w:r>
        <w:t>(b)</w:t>
      </w:r>
      <w:r>
        <w:tab/>
        <w:t>The appellants</w:t>
      </w:r>
      <w:r w:rsidR="001115DF">
        <w:t xml:space="preserve"> are granted leave to join the </w:t>
      </w:r>
      <w:proofErr w:type="spellStart"/>
      <w:r w:rsidR="001115DF">
        <w:t>Bakgatla</w:t>
      </w:r>
      <w:proofErr w:type="spellEnd"/>
      <w:r w:rsidR="001115DF">
        <w:t xml:space="preserve"> Ba </w:t>
      </w:r>
      <w:proofErr w:type="spellStart"/>
      <w:r w:rsidR="001115DF">
        <w:t>Mmakau</w:t>
      </w:r>
      <w:proofErr w:type="spellEnd"/>
      <w:r w:rsidR="001115DF">
        <w:t xml:space="preserve"> community and the </w:t>
      </w:r>
      <w:proofErr w:type="spellStart"/>
      <w:r w:rsidR="001115DF">
        <w:t>Bakgatla</w:t>
      </w:r>
      <w:proofErr w:type="spellEnd"/>
      <w:r w:rsidR="001115DF">
        <w:t xml:space="preserve"> Ba </w:t>
      </w:r>
      <w:proofErr w:type="spellStart"/>
      <w:r w:rsidR="001115DF">
        <w:t>Mmakau</w:t>
      </w:r>
      <w:proofErr w:type="spellEnd"/>
      <w:r w:rsidR="001115DF">
        <w:t xml:space="preserve"> Royal Family within 20 days from date of this order or within such longer time as this court may grant on good cause shown.</w:t>
      </w:r>
    </w:p>
    <w:p w14:paraId="15164849" w14:textId="3461CB8E" w:rsidR="001115DF" w:rsidRDefault="001115DF" w:rsidP="002636AC">
      <w:pPr>
        <w:pStyle w:val="Default"/>
        <w:spacing w:before="240" w:after="120" w:line="360" w:lineRule="auto"/>
        <w:ind w:left="2127" w:hanging="709"/>
        <w:jc w:val="both"/>
      </w:pPr>
      <w:r>
        <w:t>(c)</w:t>
      </w:r>
      <w:r>
        <w:tab/>
        <w:t>The applicants are ordered to pay the respondents</w:t>
      </w:r>
      <w:r w:rsidR="00A512F5">
        <w:t>’ costs in respect of the point</w:t>
      </w:r>
      <w:r>
        <w:rPr>
          <w:i/>
          <w:iCs/>
        </w:rPr>
        <w:t xml:space="preserve"> in </w:t>
      </w:r>
      <w:proofErr w:type="spellStart"/>
      <w:r>
        <w:rPr>
          <w:i/>
          <w:iCs/>
        </w:rPr>
        <w:t>limine</w:t>
      </w:r>
      <w:proofErr w:type="spellEnd"/>
      <w:r>
        <w:t>.</w:t>
      </w:r>
    </w:p>
    <w:p w14:paraId="55DC63D2" w14:textId="32001F2E" w:rsidR="001115DF" w:rsidRPr="001115DF" w:rsidRDefault="001115DF" w:rsidP="002636AC">
      <w:pPr>
        <w:pStyle w:val="Default"/>
        <w:spacing w:before="240" w:after="120" w:line="360" w:lineRule="auto"/>
        <w:ind w:left="2127" w:hanging="709"/>
        <w:jc w:val="both"/>
      </w:pPr>
      <w:r>
        <w:t>(d)</w:t>
      </w:r>
      <w:r>
        <w:tab/>
        <w:t xml:space="preserve">The review application is postponed </w:t>
      </w:r>
      <w:r>
        <w:rPr>
          <w:i/>
          <w:iCs/>
        </w:rPr>
        <w:t>sine die.</w:t>
      </w:r>
    </w:p>
    <w:p w14:paraId="79AFDF70" w14:textId="693680D2" w:rsidR="00755CCE" w:rsidRPr="00E500E7" w:rsidRDefault="007C2D37" w:rsidP="00C75CD2">
      <w:pPr>
        <w:pStyle w:val="Default"/>
        <w:spacing w:before="240" w:after="120" w:line="360" w:lineRule="auto"/>
        <w:ind w:left="1418" w:hanging="567"/>
        <w:jc w:val="both"/>
      </w:pPr>
      <w:r>
        <w:t>3.</w:t>
      </w:r>
      <w:r>
        <w:tab/>
        <w:t xml:space="preserve">The </w:t>
      </w:r>
      <w:r w:rsidR="00C75CD2">
        <w:t xml:space="preserve">first, </w:t>
      </w:r>
      <w:r w:rsidR="00C75CD2" w:rsidRPr="00A130E5">
        <w:t xml:space="preserve">second, </w:t>
      </w:r>
      <w:r w:rsidR="00C75CD2">
        <w:t xml:space="preserve">and fourth </w:t>
      </w:r>
      <w:r w:rsidR="00C75CD2" w:rsidRPr="00A130E5">
        <w:t>respondents</w:t>
      </w:r>
      <w:r>
        <w:t xml:space="preserve"> are order</w:t>
      </w:r>
      <w:r w:rsidR="005E3012">
        <w:t>ed</w:t>
      </w:r>
      <w:r>
        <w:t xml:space="preserve"> to pay the appellants’ cost</w:t>
      </w:r>
      <w:r w:rsidR="005E3012">
        <w:t>s</w:t>
      </w:r>
      <w:r w:rsidR="001115DF">
        <w:t xml:space="preserve"> of the appeal,</w:t>
      </w:r>
      <w:r w:rsidR="00C75CD2">
        <w:t xml:space="preserve"> jointly and severally, the one paying the </w:t>
      </w:r>
      <w:proofErr w:type="gramStart"/>
      <w:r w:rsidR="00C75CD2">
        <w:t>other  to</w:t>
      </w:r>
      <w:proofErr w:type="gramEnd"/>
      <w:r w:rsidR="00C75CD2">
        <w:t xml:space="preserve"> be absolved</w:t>
      </w:r>
      <w:r>
        <w:t>.</w:t>
      </w:r>
      <w:r w:rsidR="00C75CD2">
        <w:t xml:space="preserve"> </w:t>
      </w:r>
    </w:p>
    <w:p w14:paraId="2CB5D4F3" w14:textId="77777777" w:rsidR="00FD3D2C" w:rsidRPr="00E500E7" w:rsidRDefault="00FD3D2C" w:rsidP="0094689E">
      <w:pPr>
        <w:widowControl w:val="0"/>
        <w:autoSpaceDE w:val="0"/>
        <w:autoSpaceDN w:val="0"/>
        <w:adjustRightInd w:val="0"/>
        <w:spacing w:before="240" w:after="120" w:line="360" w:lineRule="auto"/>
        <w:jc w:val="both"/>
        <w:rPr>
          <w:rFonts w:ascii="Arial" w:hAnsi="Arial" w:cs="Arial"/>
        </w:rPr>
      </w:pPr>
    </w:p>
    <w:p w14:paraId="25E52A81" w14:textId="77777777" w:rsidR="00DD7687" w:rsidRDefault="00942E3A" w:rsidP="0094689E">
      <w:pPr>
        <w:pStyle w:val="XClause2Sub"/>
        <w:numPr>
          <w:ilvl w:val="0"/>
          <w:numId w:val="0"/>
        </w:numPr>
        <w:tabs>
          <w:tab w:val="left" w:pos="0"/>
          <w:tab w:val="left" w:pos="1134"/>
          <w:tab w:val="left" w:pos="2268"/>
          <w:tab w:val="left" w:pos="3402"/>
          <w:tab w:val="left" w:pos="4535"/>
        </w:tabs>
        <w:spacing w:before="240" w:after="120" w:line="360" w:lineRule="auto"/>
        <w:jc w:val="right"/>
        <w:rPr>
          <w:rFonts w:cs="Arial"/>
          <w:sz w:val="24"/>
          <w:szCs w:val="24"/>
        </w:rPr>
      </w:pPr>
      <w:r>
        <w:rPr>
          <w:rFonts w:cs="Arial"/>
          <w:sz w:val="24"/>
          <w:szCs w:val="24"/>
        </w:rPr>
        <w:t>__________________</w:t>
      </w:r>
    </w:p>
    <w:p w14:paraId="639C7067" w14:textId="77777777" w:rsidR="00DD7687" w:rsidRDefault="00942E3A" w:rsidP="0094689E">
      <w:pPr>
        <w:pStyle w:val="XClause2Sub"/>
        <w:numPr>
          <w:ilvl w:val="0"/>
          <w:numId w:val="0"/>
        </w:numPr>
        <w:tabs>
          <w:tab w:val="left" w:pos="0"/>
          <w:tab w:val="left" w:pos="1134"/>
          <w:tab w:val="left" w:pos="2268"/>
          <w:tab w:val="left" w:pos="3402"/>
          <w:tab w:val="left" w:pos="4535"/>
        </w:tabs>
        <w:spacing w:before="240" w:after="120" w:line="360" w:lineRule="auto"/>
        <w:contextualSpacing/>
        <w:jc w:val="right"/>
        <w:rPr>
          <w:rFonts w:cs="Arial"/>
          <w:sz w:val="24"/>
          <w:szCs w:val="24"/>
        </w:rPr>
      </w:pPr>
      <w:r>
        <w:rPr>
          <w:rFonts w:cs="Arial"/>
          <w:sz w:val="24"/>
          <w:szCs w:val="24"/>
        </w:rPr>
        <w:t xml:space="preserve">D </w:t>
      </w:r>
      <w:proofErr w:type="spellStart"/>
      <w:r>
        <w:rPr>
          <w:rFonts w:cs="Arial"/>
          <w:sz w:val="24"/>
          <w:szCs w:val="24"/>
        </w:rPr>
        <w:t>Mahosi</w:t>
      </w:r>
      <w:proofErr w:type="spellEnd"/>
    </w:p>
    <w:p w14:paraId="0390FB95" w14:textId="77777777" w:rsidR="00DD7687" w:rsidRDefault="00942E3A" w:rsidP="0094689E">
      <w:pPr>
        <w:pStyle w:val="Default"/>
        <w:spacing w:before="240" w:after="120" w:line="360" w:lineRule="auto"/>
        <w:contextualSpacing/>
        <w:jc w:val="right"/>
      </w:pPr>
      <w:r>
        <w:lastRenderedPageBreak/>
        <w:t>Acting Judge of the High Court</w:t>
      </w:r>
    </w:p>
    <w:p w14:paraId="6C1046A3" w14:textId="77777777" w:rsidR="00DD7687" w:rsidRDefault="00DD7687" w:rsidP="0094689E">
      <w:pPr>
        <w:pStyle w:val="Default"/>
        <w:spacing w:before="240" w:after="120" w:line="360" w:lineRule="auto"/>
        <w:jc w:val="right"/>
      </w:pPr>
    </w:p>
    <w:p w14:paraId="4772CE4E" w14:textId="77777777" w:rsidR="00DD7687" w:rsidRDefault="00942E3A" w:rsidP="0094689E">
      <w:pPr>
        <w:pStyle w:val="Default"/>
        <w:spacing w:before="240" w:after="120" w:line="360" w:lineRule="auto"/>
        <w:jc w:val="right"/>
      </w:pPr>
      <w:r>
        <w:t xml:space="preserve">I </w:t>
      </w:r>
      <w:proofErr w:type="gramStart"/>
      <w:r>
        <w:t>agree</w:t>
      </w:r>
      <w:proofErr w:type="gramEnd"/>
    </w:p>
    <w:p w14:paraId="43B75C53" w14:textId="77777777" w:rsidR="00B64E39" w:rsidRPr="006E2D43" w:rsidRDefault="00B64E39" w:rsidP="0094689E">
      <w:pPr>
        <w:pStyle w:val="Default"/>
        <w:spacing w:before="240" w:after="120" w:line="360" w:lineRule="auto"/>
        <w:jc w:val="right"/>
      </w:pPr>
    </w:p>
    <w:p w14:paraId="1A61602D" w14:textId="77777777" w:rsidR="00DD7687" w:rsidRDefault="00942E3A" w:rsidP="0094689E">
      <w:pPr>
        <w:pStyle w:val="XClause2Sub"/>
        <w:numPr>
          <w:ilvl w:val="0"/>
          <w:numId w:val="0"/>
        </w:numPr>
        <w:tabs>
          <w:tab w:val="left" w:pos="0"/>
          <w:tab w:val="left" w:pos="1134"/>
          <w:tab w:val="left" w:pos="2268"/>
          <w:tab w:val="left" w:pos="3402"/>
          <w:tab w:val="left" w:pos="4535"/>
        </w:tabs>
        <w:spacing w:before="240" w:after="120" w:line="360" w:lineRule="auto"/>
        <w:jc w:val="right"/>
        <w:rPr>
          <w:rFonts w:cs="Arial"/>
          <w:sz w:val="24"/>
          <w:szCs w:val="24"/>
        </w:rPr>
      </w:pPr>
      <w:r>
        <w:rPr>
          <w:rFonts w:cs="Arial"/>
          <w:sz w:val="24"/>
          <w:szCs w:val="24"/>
        </w:rPr>
        <w:t>__________________</w:t>
      </w:r>
    </w:p>
    <w:p w14:paraId="24B37006" w14:textId="77777777" w:rsidR="00DD7687" w:rsidRDefault="00942E3A" w:rsidP="0094689E">
      <w:pPr>
        <w:pStyle w:val="XClause2Sub"/>
        <w:numPr>
          <w:ilvl w:val="0"/>
          <w:numId w:val="0"/>
        </w:numPr>
        <w:tabs>
          <w:tab w:val="left" w:pos="0"/>
          <w:tab w:val="left" w:pos="1134"/>
          <w:tab w:val="left" w:pos="2268"/>
          <w:tab w:val="left" w:pos="3402"/>
          <w:tab w:val="left" w:pos="4535"/>
        </w:tabs>
        <w:spacing w:before="240" w:after="120" w:line="360" w:lineRule="auto"/>
        <w:contextualSpacing/>
        <w:jc w:val="right"/>
        <w:rPr>
          <w:rFonts w:cs="Arial"/>
          <w:sz w:val="24"/>
          <w:szCs w:val="24"/>
        </w:rPr>
      </w:pPr>
      <w:r>
        <w:rPr>
          <w:rFonts w:cs="Arial"/>
          <w:sz w:val="24"/>
          <w:szCs w:val="24"/>
        </w:rPr>
        <w:t>N. Davis</w:t>
      </w:r>
    </w:p>
    <w:p w14:paraId="12DD4935" w14:textId="77777777" w:rsidR="00DD7687" w:rsidRDefault="00942E3A" w:rsidP="0094689E">
      <w:pPr>
        <w:pStyle w:val="Default"/>
        <w:spacing w:before="240" w:after="120" w:line="360" w:lineRule="auto"/>
        <w:jc w:val="right"/>
      </w:pPr>
      <w:r>
        <w:t>Judge of the High Court</w:t>
      </w:r>
    </w:p>
    <w:p w14:paraId="4E4E447A" w14:textId="77777777" w:rsidR="00DD7687" w:rsidRDefault="00DD7687" w:rsidP="0094689E">
      <w:pPr>
        <w:pStyle w:val="Default"/>
        <w:spacing w:before="240" w:after="120" w:line="360" w:lineRule="auto"/>
        <w:jc w:val="right"/>
      </w:pPr>
    </w:p>
    <w:p w14:paraId="2BA5EE70" w14:textId="77777777" w:rsidR="00DD7687" w:rsidRDefault="00942E3A" w:rsidP="0094689E">
      <w:pPr>
        <w:pStyle w:val="Default"/>
        <w:spacing w:before="240" w:after="120" w:line="360" w:lineRule="auto"/>
        <w:jc w:val="right"/>
      </w:pPr>
      <w:r>
        <w:t xml:space="preserve">I </w:t>
      </w:r>
      <w:proofErr w:type="gramStart"/>
      <w:r>
        <w:t>agree</w:t>
      </w:r>
      <w:proofErr w:type="gramEnd"/>
    </w:p>
    <w:p w14:paraId="6C5DAD4C" w14:textId="77777777" w:rsidR="00B64E39" w:rsidRDefault="00B64E39" w:rsidP="0094689E">
      <w:pPr>
        <w:pStyle w:val="Default"/>
        <w:spacing w:before="240" w:after="120" w:line="360" w:lineRule="auto"/>
        <w:jc w:val="right"/>
      </w:pPr>
    </w:p>
    <w:p w14:paraId="17B90AAB" w14:textId="77777777" w:rsidR="00DD7687" w:rsidRDefault="00942E3A" w:rsidP="0094689E">
      <w:pPr>
        <w:pStyle w:val="XClause2Sub"/>
        <w:numPr>
          <w:ilvl w:val="0"/>
          <w:numId w:val="0"/>
        </w:numPr>
        <w:tabs>
          <w:tab w:val="left" w:pos="0"/>
          <w:tab w:val="left" w:pos="1134"/>
          <w:tab w:val="left" w:pos="2268"/>
          <w:tab w:val="left" w:pos="3402"/>
          <w:tab w:val="left" w:pos="4535"/>
        </w:tabs>
        <w:spacing w:before="240" w:after="120" w:line="360" w:lineRule="auto"/>
        <w:jc w:val="right"/>
        <w:rPr>
          <w:rFonts w:cs="Arial"/>
          <w:sz w:val="24"/>
          <w:szCs w:val="24"/>
        </w:rPr>
      </w:pPr>
      <w:r>
        <w:rPr>
          <w:rFonts w:cs="Arial"/>
          <w:sz w:val="24"/>
          <w:szCs w:val="24"/>
        </w:rPr>
        <w:t>__________________</w:t>
      </w:r>
    </w:p>
    <w:p w14:paraId="30DAFCA4" w14:textId="77777777" w:rsidR="00DD7687" w:rsidRDefault="00942E3A" w:rsidP="0094689E">
      <w:pPr>
        <w:pStyle w:val="Default"/>
        <w:spacing w:before="240" w:after="120" w:line="360" w:lineRule="auto"/>
        <w:jc w:val="right"/>
      </w:pPr>
      <w:r>
        <w:t xml:space="preserve"> E van Der </w:t>
      </w:r>
      <w:proofErr w:type="spellStart"/>
      <w:r>
        <w:t>Schyff</w:t>
      </w:r>
      <w:proofErr w:type="spellEnd"/>
    </w:p>
    <w:p w14:paraId="5C1AF419" w14:textId="77777777" w:rsidR="00DD7687" w:rsidRPr="0094313E" w:rsidRDefault="00942E3A" w:rsidP="0094689E">
      <w:pPr>
        <w:pStyle w:val="Default"/>
        <w:spacing w:before="240" w:after="120" w:line="360" w:lineRule="auto"/>
        <w:jc w:val="right"/>
      </w:pPr>
      <w:r>
        <w:t>Judge of the High Court</w:t>
      </w:r>
    </w:p>
    <w:p w14:paraId="111338BA" w14:textId="77777777" w:rsidR="00DD7687" w:rsidRDefault="00DD7687" w:rsidP="0094689E">
      <w:pPr>
        <w:pStyle w:val="Default"/>
        <w:spacing w:before="240" w:after="120" w:line="360" w:lineRule="auto"/>
        <w:jc w:val="both"/>
      </w:pPr>
    </w:p>
    <w:p w14:paraId="297402A6" w14:textId="77777777" w:rsidR="00DD7687" w:rsidRDefault="00942E3A" w:rsidP="0094689E">
      <w:pPr>
        <w:spacing w:before="240" w:after="120" w:line="360" w:lineRule="auto"/>
        <w:jc w:val="both"/>
        <w:rPr>
          <w:rFonts w:ascii="Arial" w:hAnsi="Arial" w:cs="Arial"/>
        </w:rPr>
      </w:pPr>
      <w:r w:rsidRPr="006A4EA2">
        <w:rPr>
          <w:rFonts w:ascii="Arial" w:hAnsi="Arial" w:cs="Arial"/>
        </w:rPr>
        <w:t>Delivered:</w:t>
      </w:r>
      <w:r w:rsidRPr="006A4EA2">
        <w:rPr>
          <w:rFonts w:ascii="Arial" w:hAnsi="Arial" w:cs="Arial"/>
        </w:rPr>
        <w:tab/>
        <w:t xml:space="preserve">This judgment was handed down electronically by circulation to the parties' representatives through email. The date </w:t>
      </w:r>
      <w:r>
        <w:rPr>
          <w:rFonts w:ascii="Arial" w:hAnsi="Arial" w:cs="Arial"/>
        </w:rPr>
        <w:t>for hand-down is deemed to be __</w:t>
      </w:r>
      <w:r w:rsidRPr="006A4EA2">
        <w:rPr>
          <w:rFonts w:ascii="Arial" w:hAnsi="Arial" w:cs="Arial"/>
        </w:rPr>
        <w:t xml:space="preserve"> </w:t>
      </w:r>
      <w:r>
        <w:rPr>
          <w:rFonts w:ascii="Arial" w:hAnsi="Arial" w:cs="Arial"/>
        </w:rPr>
        <w:t>May</w:t>
      </w:r>
      <w:r w:rsidRPr="006A4EA2">
        <w:rPr>
          <w:rFonts w:ascii="Arial" w:hAnsi="Arial" w:cs="Arial"/>
        </w:rPr>
        <w:t xml:space="preserve"> 2024.</w:t>
      </w:r>
    </w:p>
    <w:p w14:paraId="6296744B" w14:textId="77777777" w:rsidR="006E2D43" w:rsidRPr="00257CC4" w:rsidRDefault="006E2D43" w:rsidP="0094689E">
      <w:pPr>
        <w:spacing w:before="240" w:after="120" w:line="360" w:lineRule="auto"/>
        <w:jc w:val="both"/>
        <w:rPr>
          <w:rFonts w:ascii="Arial" w:hAnsi="Arial" w:cs="Arial"/>
        </w:rPr>
      </w:pPr>
    </w:p>
    <w:p w14:paraId="40F840DB" w14:textId="77777777" w:rsidR="00DD7687" w:rsidRPr="006A4EA2" w:rsidRDefault="00942E3A" w:rsidP="0094689E">
      <w:pPr>
        <w:pStyle w:val="Default"/>
        <w:spacing w:before="240" w:after="120" w:line="360" w:lineRule="auto"/>
        <w:jc w:val="both"/>
        <w:rPr>
          <w:u w:val="single"/>
        </w:rPr>
      </w:pPr>
      <w:r w:rsidRPr="006A4EA2">
        <w:rPr>
          <w:u w:val="single"/>
        </w:rPr>
        <w:t>Appearances</w:t>
      </w:r>
    </w:p>
    <w:p w14:paraId="43C1BCB4" w14:textId="77777777" w:rsidR="00C75CD2" w:rsidRDefault="00942E3A" w:rsidP="00C75CD2">
      <w:pPr>
        <w:pStyle w:val="Default"/>
        <w:spacing w:before="240" w:after="120" w:line="360" w:lineRule="auto"/>
        <w:contextualSpacing/>
        <w:jc w:val="both"/>
      </w:pPr>
      <w:r>
        <w:t>For the Appellant:</w:t>
      </w:r>
      <w:r>
        <w:tab/>
      </w:r>
      <w:r>
        <w:tab/>
      </w:r>
      <w:r w:rsidR="00C75CD2">
        <w:t>Advocate L. Kok</w:t>
      </w:r>
    </w:p>
    <w:p w14:paraId="4AF208BA" w14:textId="5B722642" w:rsidR="00DD7687" w:rsidRDefault="00942E3A" w:rsidP="0094689E">
      <w:pPr>
        <w:pStyle w:val="Default"/>
        <w:spacing w:before="240" w:after="120" w:line="360" w:lineRule="auto"/>
        <w:contextualSpacing/>
        <w:jc w:val="both"/>
      </w:pPr>
      <w:r>
        <w:t>Instructed by:</w:t>
      </w:r>
      <w:r>
        <w:tab/>
      </w:r>
      <w:r>
        <w:tab/>
      </w:r>
      <w:proofErr w:type="spellStart"/>
      <w:r w:rsidR="00EF5853">
        <w:t>Maphalla</w:t>
      </w:r>
      <w:proofErr w:type="spellEnd"/>
      <w:r w:rsidR="00EF5853">
        <w:t xml:space="preserve"> Mokate Conradie Incorpo</w:t>
      </w:r>
      <w:r w:rsidR="00807DF4">
        <w:t>rated Attorneys</w:t>
      </w:r>
    </w:p>
    <w:p w14:paraId="4245B2A5" w14:textId="77777777" w:rsidR="00DD7687" w:rsidRDefault="00DD7687" w:rsidP="0094689E">
      <w:pPr>
        <w:pStyle w:val="Default"/>
        <w:spacing w:before="240" w:after="120" w:line="360" w:lineRule="auto"/>
        <w:contextualSpacing/>
        <w:jc w:val="both"/>
      </w:pPr>
    </w:p>
    <w:p w14:paraId="06E32D13" w14:textId="5190B189" w:rsidR="00DD7687" w:rsidRDefault="00942E3A" w:rsidP="0094689E">
      <w:pPr>
        <w:pStyle w:val="Default"/>
        <w:spacing w:before="240" w:after="120" w:line="360" w:lineRule="auto"/>
        <w:contextualSpacing/>
        <w:jc w:val="both"/>
      </w:pPr>
      <w:r>
        <w:t>For the Respondent:</w:t>
      </w:r>
      <w:r>
        <w:tab/>
      </w:r>
      <w:r w:rsidR="00C75CD2">
        <w:t>Advocate E.M. Baloyi-Mere SC</w:t>
      </w:r>
    </w:p>
    <w:p w14:paraId="5444F02B" w14:textId="77777777" w:rsidR="00DD7687" w:rsidRPr="0069789A" w:rsidRDefault="00942E3A" w:rsidP="0094689E">
      <w:pPr>
        <w:pStyle w:val="Default"/>
        <w:spacing w:before="240" w:after="120" w:line="360" w:lineRule="auto"/>
        <w:contextualSpacing/>
        <w:jc w:val="both"/>
      </w:pPr>
      <w:r>
        <w:t>Instructed by:</w:t>
      </w:r>
      <w:r>
        <w:tab/>
      </w:r>
      <w:r>
        <w:tab/>
        <w:t>State Attorney</w:t>
      </w:r>
    </w:p>
    <w:p w14:paraId="73BE7949" w14:textId="77777777" w:rsidR="00312AA4" w:rsidRDefault="00312AA4"/>
    <w:sectPr w:rsidR="00312AA4" w:rsidSect="003C0B99">
      <w:headerReference w:type="even" r:id="rId10"/>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341F6" w14:textId="77777777" w:rsidR="003568E4" w:rsidRDefault="003568E4">
      <w:r>
        <w:separator/>
      </w:r>
    </w:p>
  </w:endnote>
  <w:endnote w:type="continuationSeparator" w:id="0">
    <w:p w14:paraId="18F99DF3" w14:textId="77777777" w:rsidR="003568E4" w:rsidRDefault="003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DC0F9" w14:textId="77777777" w:rsidR="003568E4" w:rsidRDefault="003568E4" w:rsidP="00DD7687">
      <w:r>
        <w:separator/>
      </w:r>
    </w:p>
  </w:footnote>
  <w:footnote w:type="continuationSeparator" w:id="0">
    <w:p w14:paraId="376E29C7" w14:textId="77777777" w:rsidR="003568E4" w:rsidRDefault="003568E4" w:rsidP="00DD7687">
      <w:r>
        <w:continuationSeparator/>
      </w:r>
    </w:p>
  </w:footnote>
  <w:footnote w:id="1">
    <w:p w14:paraId="7041DE5B" w14:textId="0370DB71" w:rsidR="00840F89" w:rsidRPr="00840F89" w:rsidRDefault="00840F89">
      <w:pPr>
        <w:pStyle w:val="FootnoteText"/>
        <w:rPr>
          <w:rFonts w:ascii="Arial" w:hAnsi="Arial" w:cs="Arial"/>
          <w:sz w:val="20"/>
          <w:szCs w:val="20"/>
        </w:rPr>
      </w:pPr>
      <w:r w:rsidRPr="00840F89">
        <w:rPr>
          <w:rStyle w:val="FootnoteReference"/>
          <w:rFonts w:ascii="Arial" w:hAnsi="Arial" w:cs="Arial"/>
          <w:sz w:val="20"/>
          <w:szCs w:val="20"/>
        </w:rPr>
        <w:footnoteRef/>
      </w:r>
      <w:r w:rsidRPr="00840F89">
        <w:rPr>
          <w:rFonts w:ascii="Arial" w:hAnsi="Arial" w:cs="Arial"/>
          <w:sz w:val="20"/>
          <w:szCs w:val="20"/>
        </w:rPr>
        <w:t xml:space="preserve"> Act 41 of 2003, as amended.</w:t>
      </w:r>
    </w:p>
  </w:footnote>
  <w:footnote w:id="2">
    <w:p w14:paraId="20484496" w14:textId="3A0FFEF2" w:rsidR="00840F89" w:rsidRPr="00EF5853" w:rsidRDefault="00840F89">
      <w:pPr>
        <w:pStyle w:val="FootnoteText"/>
        <w:rPr>
          <w:rFonts w:ascii="Arial" w:hAnsi="Arial"/>
          <w:sz w:val="20"/>
          <w:szCs w:val="20"/>
        </w:rPr>
      </w:pPr>
      <w:r w:rsidRPr="00EF5853">
        <w:rPr>
          <w:rStyle w:val="FootnoteReference"/>
          <w:rFonts w:ascii="Arial" w:hAnsi="Arial"/>
          <w:sz w:val="20"/>
          <w:szCs w:val="20"/>
        </w:rPr>
        <w:footnoteRef/>
      </w:r>
      <w:r w:rsidRPr="00EF5853">
        <w:rPr>
          <w:rFonts w:ascii="Arial" w:hAnsi="Arial"/>
          <w:sz w:val="20"/>
          <w:szCs w:val="20"/>
        </w:rPr>
        <w:t xml:space="preserve"> Act 23 of 2009</w:t>
      </w:r>
      <w:r>
        <w:rPr>
          <w:rFonts w:ascii="Arial" w:hAnsi="Arial"/>
          <w:sz w:val="20"/>
          <w:szCs w:val="20"/>
        </w:rPr>
        <w:t>.</w:t>
      </w:r>
    </w:p>
  </w:footnote>
  <w:footnote w:id="3">
    <w:p w14:paraId="1B9999A2" w14:textId="77777777" w:rsidR="00840F89" w:rsidRPr="003347B7" w:rsidRDefault="00840F89" w:rsidP="00A55E8E">
      <w:pPr>
        <w:pStyle w:val="NormalWeb"/>
        <w:spacing w:line="360" w:lineRule="auto"/>
        <w:contextualSpacing/>
        <w:jc w:val="both"/>
        <w:rPr>
          <w:rFonts w:ascii="Arial" w:hAnsi="Arial" w:cs="Arial"/>
        </w:rPr>
      </w:pPr>
      <w:r w:rsidRPr="003347B7">
        <w:rPr>
          <w:rStyle w:val="FootnoteReference"/>
          <w:rFonts w:ascii="Arial" w:hAnsi="Arial" w:cs="Arial"/>
        </w:rPr>
        <w:footnoteRef/>
      </w:r>
      <w:r w:rsidRPr="003347B7">
        <w:rPr>
          <w:rFonts w:ascii="Arial" w:hAnsi="Arial" w:cs="Arial"/>
        </w:rPr>
        <w:t xml:space="preserve"> </w:t>
      </w:r>
      <w:r w:rsidRPr="003347B7">
        <w:rPr>
          <w:rFonts w:ascii="Arial" w:hAnsi="Arial" w:cs="Arial"/>
          <w:bCs/>
        </w:rPr>
        <w:t xml:space="preserve">11. </w:t>
      </w:r>
      <w:r w:rsidRPr="003347B7">
        <w:rPr>
          <w:rFonts w:ascii="Arial" w:hAnsi="Arial" w:cs="Arial"/>
        </w:rPr>
        <w:t xml:space="preserve">(1) Whenever the position of senior traditional leader, headman or headwoman is to be filled- </w:t>
      </w:r>
    </w:p>
    <w:p w14:paraId="6EA78C54" w14:textId="77777777" w:rsidR="00840F89" w:rsidRPr="003347B7" w:rsidRDefault="00840F89" w:rsidP="00A55E8E">
      <w:pPr>
        <w:pStyle w:val="NormalWeb"/>
        <w:spacing w:line="360" w:lineRule="auto"/>
        <w:contextualSpacing/>
        <w:jc w:val="both"/>
        <w:rPr>
          <w:rFonts w:ascii="Arial" w:hAnsi="Arial" w:cs="Arial"/>
        </w:rPr>
      </w:pPr>
      <w:r w:rsidRPr="003347B7">
        <w:rPr>
          <w:rFonts w:ascii="Arial" w:hAnsi="Arial" w:cs="Arial"/>
          <w:i/>
          <w:iCs/>
        </w:rPr>
        <w:t xml:space="preserve">(a) </w:t>
      </w:r>
      <w:r w:rsidRPr="003347B7">
        <w:rPr>
          <w:rFonts w:ascii="Arial" w:hAnsi="Arial" w:cs="Arial"/>
        </w:rPr>
        <w:t xml:space="preserve">the royal family concerned must, within a reasonable time after the need arises for any of those positions to be filled, and with due regard to applicable customary law- </w:t>
      </w:r>
    </w:p>
    <w:p w14:paraId="2CBF605D" w14:textId="77777777" w:rsidR="00840F89" w:rsidRPr="003347B7" w:rsidRDefault="00840F89" w:rsidP="00A55E8E">
      <w:pPr>
        <w:pStyle w:val="NormalWeb"/>
        <w:spacing w:line="360" w:lineRule="auto"/>
        <w:contextualSpacing/>
        <w:jc w:val="both"/>
        <w:rPr>
          <w:rFonts w:ascii="Arial" w:hAnsi="Arial" w:cs="Arial"/>
        </w:rPr>
      </w:pPr>
      <w:r w:rsidRPr="003347B7">
        <w:rPr>
          <w:rFonts w:ascii="Arial" w:hAnsi="Arial" w:cs="Arial"/>
        </w:rPr>
        <w:t>(</w:t>
      </w:r>
      <w:proofErr w:type="spellStart"/>
      <w:r w:rsidRPr="003347B7">
        <w:rPr>
          <w:rFonts w:ascii="Arial" w:hAnsi="Arial" w:cs="Arial"/>
        </w:rPr>
        <w:t>i</w:t>
      </w:r>
      <w:proofErr w:type="spellEnd"/>
      <w:r w:rsidRPr="003347B7">
        <w:rPr>
          <w:rFonts w:ascii="Arial" w:hAnsi="Arial" w:cs="Arial"/>
        </w:rPr>
        <w:t>) identify a person who qualifies in terms of customary law to assume the position in question, after taking into account whether any of the grounds referred to in section 12(l)(a</w:t>
      </w:r>
      <w:proofErr w:type="gramStart"/>
      <w:r w:rsidRPr="003347B7">
        <w:rPr>
          <w:rFonts w:ascii="Arial" w:hAnsi="Arial" w:cs="Arial"/>
        </w:rPr>
        <w:t>),</w:t>
      </w:r>
      <w:r w:rsidRPr="003347B7">
        <w:rPr>
          <w:rFonts w:ascii="Arial" w:hAnsi="Arial" w:cs="Arial"/>
          <w:i/>
          <w:iCs/>
        </w:rPr>
        <w:t>(</w:t>
      </w:r>
      <w:proofErr w:type="gramEnd"/>
      <w:r w:rsidRPr="003347B7">
        <w:rPr>
          <w:rFonts w:ascii="Arial" w:hAnsi="Arial" w:cs="Arial"/>
          <w:i/>
          <w:iCs/>
        </w:rPr>
        <w:t xml:space="preserve">b) </w:t>
      </w:r>
      <w:r w:rsidRPr="003347B7">
        <w:rPr>
          <w:rFonts w:ascii="Arial" w:hAnsi="Arial" w:cs="Arial"/>
        </w:rPr>
        <w:t xml:space="preserve">and </w:t>
      </w:r>
      <w:r w:rsidRPr="003347B7">
        <w:rPr>
          <w:rFonts w:ascii="Arial" w:hAnsi="Arial" w:cs="Arial"/>
          <w:i/>
          <w:iCs/>
        </w:rPr>
        <w:t>(d )</w:t>
      </w:r>
      <w:r w:rsidRPr="003347B7">
        <w:rPr>
          <w:rFonts w:ascii="Arial" w:hAnsi="Arial" w:cs="Arial"/>
        </w:rPr>
        <w:t xml:space="preserve">apply to that person; and </w:t>
      </w:r>
    </w:p>
    <w:p w14:paraId="44E08E5A" w14:textId="77777777" w:rsidR="00840F89" w:rsidRPr="003347B7" w:rsidRDefault="00840F89" w:rsidP="00A55E8E">
      <w:pPr>
        <w:pStyle w:val="NormalWeb"/>
        <w:spacing w:line="360" w:lineRule="auto"/>
        <w:contextualSpacing/>
        <w:jc w:val="both"/>
        <w:rPr>
          <w:rFonts w:ascii="Arial" w:hAnsi="Arial" w:cs="Arial"/>
        </w:rPr>
      </w:pPr>
      <w:r w:rsidRPr="003347B7">
        <w:rPr>
          <w:rFonts w:ascii="Arial" w:hAnsi="Arial" w:cs="Arial"/>
        </w:rPr>
        <w:t xml:space="preserve">(ii) through the relevant customary structure, inform the Premier of the province concerned of the particulars of the person so identified to fill the position and of the reasons for the identification of that person; and </w:t>
      </w:r>
    </w:p>
    <w:p w14:paraId="75C1DFDE" w14:textId="77777777" w:rsidR="00840F89" w:rsidRPr="003347B7" w:rsidRDefault="00840F89" w:rsidP="00A55E8E">
      <w:pPr>
        <w:pStyle w:val="NormalWeb"/>
        <w:spacing w:line="360" w:lineRule="auto"/>
        <w:contextualSpacing/>
        <w:jc w:val="both"/>
        <w:rPr>
          <w:rFonts w:ascii="Arial" w:hAnsi="Arial" w:cs="Arial"/>
        </w:rPr>
      </w:pPr>
      <w:r w:rsidRPr="003347B7">
        <w:rPr>
          <w:rFonts w:ascii="Arial" w:hAnsi="Arial" w:cs="Arial"/>
          <w:i/>
          <w:iCs/>
        </w:rPr>
        <w:t xml:space="preserve">(b) </w:t>
      </w:r>
      <w:r w:rsidRPr="003347B7">
        <w:rPr>
          <w:rFonts w:ascii="Arial" w:hAnsi="Arial" w:cs="Arial"/>
        </w:rPr>
        <w:t xml:space="preserve">the Premier concerned must, subject to subsection </w:t>
      </w:r>
      <w:r w:rsidRPr="003347B7">
        <w:rPr>
          <w:rFonts w:ascii="Arial" w:hAnsi="Arial" w:cs="Arial"/>
          <w:i/>
          <w:iCs/>
        </w:rPr>
        <w:t xml:space="preserve">(3), </w:t>
      </w:r>
      <w:r w:rsidRPr="003347B7">
        <w:rPr>
          <w:rFonts w:ascii="Arial" w:hAnsi="Arial" w:cs="Arial"/>
        </w:rPr>
        <w:t xml:space="preserve">recognise the person so identified by the royal family in accordance with provincial legislation as senior traditional leader, </w:t>
      </w:r>
      <w:proofErr w:type="gramStart"/>
      <w:r w:rsidRPr="003347B7">
        <w:rPr>
          <w:rFonts w:ascii="Arial" w:hAnsi="Arial" w:cs="Arial"/>
        </w:rPr>
        <w:t>headman</w:t>
      </w:r>
      <w:proofErr w:type="gramEnd"/>
      <w:r w:rsidRPr="003347B7">
        <w:rPr>
          <w:rFonts w:ascii="Arial" w:hAnsi="Arial" w:cs="Arial"/>
        </w:rPr>
        <w:t xml:space="preserve"> or headwoman, as the case may be. </w:t>
      </w:r>
    </w:p>
    <w:p w14:paraId="29B64B4D" w14:textId="77777777" w:rsidR="00840F89" w:rsidRPr="003347B7" w:rsidRDefault="00840F89" w:rsidP="00A55E8E">
      <w:pPr>
        <w:pStyle w:val="FootnoteText"/>
        <w:contextualSpacing/>
        <w:rPr>
          <w:rFonts w:ascii="Arial" w:hAnsi="Arial" w:cs="Arial"/>
          <w:sz w:val="20"/>
          <w:szCs w:val="20"/>
        </w:rPr>
      </w:pPr>
    </w:p>
  </w:footnote>
  <w:footnote w:id="4">
    <w:p w14:paraId="54B8B490" w14:textId="77777777" w:rsidR="00840F89" w:rsidRPr="00BD7AF5" w:rsidRDefault="00840F89" w:rsidP="00BD7AF5">
      <w:pPr>
        <w:spacing w:line="360" w:lineRule="auto"/>
        <w:rPr>
          <w:rFonts w:ascii="Arial" w:hAnsi="Arial" w:cs="Arial"/>
          <w:sz w:val="20"/>
          <w:szCs w:val="20"/>
        </w:rPr>
      </w:pPr>
      <w:r w:rsidRPr="00BD7AF5">
        <w:rPr>
          <w:rStyle w:val="FootnoteReference"/>
          <w:rFonts w:ascii="Arial" w:hAnsi="Arial" w:cs="Arial"/>
          <w:sz w:val="20"/>
          <w:szCs w:val="20"/>
        </w:rPr>
        <w:footnoteRef/>
      </w:r>
      <w:r w:rsidRPr="00BD7AF5">
        <w:rPr>
          <w:rFonts w:ascii="Arial" w:hAnsi="Arial" w:cs="Arial"/>
          <w:sz w:val="20"/>
          <w:szCs w:val="20"/>
        </w:rPr>
        <w:t xml:space="preserve"> See </w:t>
      </w:r>
      <w:r w:rsidRPr="00BD7AF5">
        <w:rPr>
          <w:rFonts w:ascii="Arial" w:hAnsi="Arial" w:cs="Arial"/>
          <w:i/>
          <w:sz w:val="20"/>
          <w:szCs w:val="20"/>
        </w:rPr>
        <w:t xml:space="preserve">Amalgamated Engineering Union v Minister of </w:t>
      </w:r>
      <w:proofErr w:type="spellStart"/>
      <w:r w:rsidRPr="00BD7AF5">
        <w:rPr>
          <w:rFonts w:ascii="Arial" w:hAnsi="Arial" w:cs="Arial"/>
          <w:i/>
          <w:sz w:val="20"/>
          <w:szCs w:val="20"/>
        </w:rPr>
        <w:t>Labour</w:t>
      </w:r>
      <w:proofErr w:type="spellEnd"/>
      <w:r w:rsidRPr="00BD7AF5">
        <w:rPr>
          <w:rFonts w:ascii="Arial" w:hAnsi="Arial" w:cs="Arial"/>
          <w:sz w:val="20"/>
          <w:szCs w:val="20"/>
        </w:rPr>
        <w:t xml:space="preserve"> 1949 (3) SA 637 (A)</w:t>
      </w:r>
    </w:p>
  </w:footnote>
  <w:footnote w:id="5">
    <w:p w14:paraId="4C1D96F1" w14:textId="08AD5D52" w:rsidR="00840F89" w:rsidRPr="00BD7AF5" w:rsidRDefault="00840F89" w:rsidP="00BD7AF5">
      <w:pPr>
        <w:spacing w:line="360" w:lineRule="auto"/>
        <w:rPr>
          <w:rFonts w:ascii="Arial" w:eastAsia="Times New Roman" w:hAnsi="Arial" w:cs="Arial"/>
          <w:sz w:val="20"/>
          <w:szCs w:val="20"/>
        </w:rPr>
      </w:pPr>
      <w:r w:rsidRPr="00BD7AF5">
        <w:rPr>
          <w:rStyle w:val="FootnoteReference"/>
          <w:rFonts w:ascii="Arial" w:hAnsi="Arial" w:cs="Arial"/>
          <w:sz w:val="20"/>
          <w:szCs w:val="20"/>
        </w:rPr>
        <w:footnoteRef/>
      </w:r>
      <w:r w:rsidRPr="00BD7AF5">
        <w:rPr>
          <w:rFonts w:ascii="Arial" w:hAnsi="Arial" w:cs="Arial"/>
          <w:sz w:val="20"/>
          <w:szCs w:val="20"/>
        </w:rPr>
        <w:t xml:space="preserve"> </w:t>
      </w:r>
      <w:r w:rsidRPr="00BD7AF5">
        <w:rPr>
          <w:rFonts w:ascii="Arial" w:eastAsia="Times New Roman" w:hAnsi="Arial" w:cs="Arial"/>
          <w:bCs/>
          <w:sz w:val="20"/>
          <w:szCs w:val="20"/>
        </w:rPr>
        <w:t>(48555/2011) [2023] ZAGPPHC 2040 (29 December 2023)</w:t>
      </w:r>
      <w:r>
        <w:rPr>
          <w:rFonts w:ascii="Arial" w:eastAsia="Times New Roman" w:hAnsi="Arial" w:cs="Arial"/>
          <w:bCs/>
          <w:sz w:val="20"/>
          <w:szCs w:val="20"/>
        </w:rPr>
        <w:t>.</w:t>
      </w:r>
    </w:p>
    <w:p w14:paraId="177CC2F2" w14:textId="0F1928D3" w:rsidR="00840F89" w:rsidRPr="00BD7AF5" w:rsidRDefault="00840F89" w:rsidP="00BD7AF5">
      <w:pPr>
        <w:spacing w:line="360" w:lineRule="auto"/>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145E9" w14:textId="77777777" w:rsidR="00840F89" w:rsidRDefault="00840F89" w:rsidP="006E2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3E1C5" w14:textId="77777777" w:rsidR="00840F89" w:rsidRDefault="00840F89" w:rsidP="006E2B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38D73" w14:textId="7A254B01" w:rsidR="00840F89" w:rsidRDefault="00840F89" w:rsidP="006E2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489">
      <w:rPr>
        <w:rStyle w:val="PageNumber"/>
        <w:noProof/>
      </w:rPr>
      <w:t>2</w:t>
    </w:r>
    <w:r>
      <w:rPr>
        <w:rStyle w:val="PageNumber"/>
      </w:rPr>
      <w:fldChar w:fldCharType="end"/>
    </w:r>
  </w:p>
  <w:p w14:paraId="26966805" w14:textId="77777777" w:rsidR="00840F89" w:rsidRDefault="00840F89" w:rsidP="006E2B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E45FF1"/>
    <w:multiLevelType w:val="multilevel"/>
    <w:tmpl w:val="E60AB820"/>
    <w:lvl w:ilvl="0">
      <w:start w:val="1"/>
      <w:numFmt w:val="decimal"/>
      <w:pStyle w:val="XClause1Head"/>
      <w:isLgl/>
      <w:lvlText w:val="%1."/>
      <w:lvlJc w:val="left"/>
      <w:pPr>
        <w:tabs>
          <w:tab w:val="num" w:pos="720"/>
        </w:tabs>
        <w:ind w:left="720" w:hanging="720"/>
      </w:pPr>
      <w:rPr>
        <w:rFonts w:hint="default"/>
        <w:b w:val="0"/>
      </w:rPr>
    </w:lvl>
    <w:lvl w:ilvl="1">
      <w:start w:val="1"/>
      <w:numFmt w:val="decimal"/>
      <w:pStyle w:val="XClause2Sub"/>
      <w:lvlText w:val="%1.%2."/>
      <w:lvlJc w:val="left"/>
      <w:pPr>
        <w:tabs>
          <w:tab w:val="num" w:pos="1855"/>
        </w:tabs>
        <w:ind w:left="1855" w:hanging="720"/>
      </w:pPr>
      <w:rPr>
        <w:rFonts w:hint="default"/>
        <w:b w:val="0"/>
        <w:i w:val="0"/>
        <w:sz w:val="24"/>
        <w:szCs w:val="24"/>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num w:numId="1" w16cid:durableId="178816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87"/>
    <w:rsid w:val="00000815"/>
    <w:rsid w:val="00006230"/>
    <w:rsid w:val="000223B9"/>
    <w:rsid w:val="00057289"/>
    <w:rsid w:val="00084387"/>
    <w:rsid w:val="0009474D"/>
    <w:rsid w:val="000A409F"/>
    <w:rsid w:val="000C6990"/>
    <w:rsid w:val="000C7969"/>
    <w:rsid w:val="000D6DAA"/>
    <w:rsid w:val="001115DF"/>
    <w:rsid w:val="0011732C"/>
    <w:rsid w:val="00155645"/>
    <w:rsid w:val="00171222"/>
    <w:rsid w:val="001C1A3C"/>
    <w:rsid w:val="001C4F25"/>
    <w:rsid w:val="001E0769"/>
    <w:rsid w:val="001F39F5"/>
    <w:rsid w:val="0020324B"/>
    <w:rsid w:val="00220B04"/>
    <w:rsid w:val="002515C5"/>
    <w:rsid w:val="00257CC4"/>
    <w:rsid w:val="002636AC"/>
    <w:rsid w:val="002B0B14"/>
    <w:rsid w:val="00300489"/>
    <w:rsid w:val="00312AA4"/>
    <w:rsid w:val="0031343C"/>
    <w:rsid w:val="00317546"/>
    <w:rsid w:val="003347B7"/>
    <w:rsid w:val="003568E4"/>
    <w:rsid w:val="00382B20"/>
    <w:rsid w:val="003C0B99"/>
    <w:rsid w:val="00404D2A"/>
    <w:rsid w:val="00437FFD"/>
    <w:rsid w:val="0048462A"/>
    <w:rsid w:val="00491516"/>
    <w:rsid w:val="004E656A"/>
    <w:rsid w:val="004F2663"/>
    <w:rsid w:val="00531984"/>
    <w:rsid w:val="00572E6F"/>
    <w:rsid w:val="005869B8"/>
    <w:rsid w:val="00587522"/>
    <w:rsid w:val="005A5CD2"/>
    <w:rsid w:val="005D18B2"/>
    <w:rsid w:val="005E3012"/>
    <w:rsid w:val="006417BB"/>
    <w:rsid w:val="00695808"/>
    <w:rsid w:val="0069789A"/>
    <w:rsid w:val="006A43F2"/>
    <w:rsid w:val="006A4EA2"/>
    <w:rsid w:val="006B2090"/>
    <w:rsid w:val="006E2B1F"/>
    <w:rsid w:val="006E2D43"/>
    <w:rsid w:val="006E71D4"/>
    <w:rsid w:val="006F7E91"/>
    <w:rsid w:val="00714461"/>
    <w:rsid w:val="00755CCE"/>
    <w:rsid w:val="0079238A"/>
    <w:rsid w:val="00797296"/>
    <w:rsid w:val="007C2D37"/>
    <w:rsid w:val="007F63A8"/>
    <w:rsid w:val="00800069"/>
    <w:rsid w:val="00807DF4"/>
    <w:rsid w:val="00817CF8"/>
    <w:rsid w:val="008209EF"/>
    <w:rsid w:val="008214E4"/>
    <w:rsid w:val="008354EC"/>
    <w:rsid w:val="00840F89"/>
    <w:rsid w:val="00847CDA"/>
    <w:rsid w:val="00872358"/>
    <w:rsid w:val="0089000D"/>
    <w:rsid w:val="008B4429"/>
    <w:rsid w:val="008D20A3"/>
    <w:rsid w:val="008D50BE"/>
    <w:rsid w:val="008E0646"/>
    <w:rsid w:val="008F183D"/>
    <w:rsid w:val="008F594B"/>
    <w:rsid w:val="009140C6"/>
    <w:rsid w:val="00935A34"/>
    <w:rsid w:val="00942E3A"/>
    <w:rsid w:val="0094313E"/>
    <w:rsid w:val="0094689E"/>
    <w:rsid w:val="00956006"/>
    <w:rsid w:val="009810C8"/>
    <w:rsid w:val="00992598"/>
    <w:rsid w:val="00997FAF"/>
    <w:rsid w:val="009A40A1"/>
    <w:rsid w:val="009E708F"/>
    <w:rsid w:val="009F4A7E"/>
    <w:rsid w:val="00A0258C"/>
    <w:rsid w:val="00A130E5"/>
    <w:rsid w:val="00A43E61"/>
    <w:rsid w:val="00A512F5"/>
    <w:rsid w:val="00A55E8E"/>
    <w:rsid w:val="00A56117"/>
    <w:rsid w:val="00A70AFA"/>
    <w:rsid w:val="00A82137"/>
    <w:rsid w:val="00A90F3A"/>
    <w:rsid w:val="00AB29A4"/>
    <w:rsid w:val="00B060EF"/>
    <w:rsid w:val="00B2295F"/>
    <w:rsid w:val="00B26021"/>
    <w:rsid w:val="00B64E39"/>
    <w:rsid w:val="00BA3809"/>
    <w:rsid w:val="00BC6813"/>
    <w:rsid w:val="00BD5313"/>
    <w:rsid w:val="00BD7AF5"/>
    <w:rsid w:val="00C479E1"/>
    <w:rsid w:val="00C55A85"/>
    <w:rsid w:val="00C74AE2"/>
    <w:rsid w:val="00C75CD2"/>
    <w:rsid w:val="00CC2A30"/>
    <w:rsid w:val="00D15AD1"/>
    <w:rsid w:val="00D72A63"/>
    <w:rsid w:val="00DC79F1"/>
    <w:rsid w:val="00DD7687"/>
    <w:rsid w:val="00E500E7"/>
    <w:rsid w:val="00E57641"/>
    <w:rsid w:val="00E75231"/>
    <w:rsid w:val="00E9638F"/>
    <w:rsid w:val="00EB2C32"/>
    <w:rsid w:val="00EB3AC9"/>
    <w:rsid w:val="00EB7526"/>
    <w:rsid w:val="00EF57CA"/>
    <w:rsid w:val="00EF5853"/>
    <w:rsid w:val="00F022E0"/>
    <w:rsid w:val="00F23D71"/>
    <w:rsid w:val="00F31F7D"/>
    <w:rsid w:val="00F378BD"/>
    <w:rsid w:val="00F52159"/>
    <w:rsid w:val="00FA2A30"/>
    <w:rsid w:val="00FD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2D22"/>
  <w14:defaultImageDpi w14:val="300"/>
  <w15:docId w15:val="{299FC119-44EA-4A03-AD5D-665F8E8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87"/>
  </w:style>
  <w:style w:type="paragraph" w:styleId="Heading2">
    <w:name w:val="heading 2"/>
    <w:basedOn w:val="Normal"/>
    <w:link w:val="Heading2Char"/>
    <w:uiPriority w:val="9"/>
    <w:qFormat/>
    <w:rsid w:val="00BD7AF5"/>
    <w:pPr>
      <w:spacing w:before="100" w:beforeAutospacing="1" w:after="100" w:afterAutospacing="1"/>
      <w:outlineLvl w:val="1"/>
    </w:pPr>
    <w:rPr>
      <w:rFonts w:ascii="Times New Roman" w:hAnsi="Times New Roman"/>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687"/>
    <w:pPr>
      <w:widowControl w:val="0"/>
      <w:autoSpaceDE w:val="0"/>
      <w:autoSpaceDN w:val="0"/>
      <w:adjustRightInd w:val="0"/>
    </w:pPr>
    <w:rPr>
      <w:rFonts w:ascii="Arial" w:hAnsi="Arial" w:cs="Arial"/>
      <w:color w:val="000000"/>
    </w:rPr>
  </w:style>
  <w:style w:type="paragraph" w:customStyle="1" w:styleId="Frontpagecaps">
    <w:name w:val="Front page caps"/>
    <w:basedOn w:val="Normal"/>
    <w:uiPriority w:val="2"/>
    <w:semiHidden/>
    <w:qFormat/>
    <w:rsid w:val="00DD7687"/>
    <w:pPr>
      <w:spacing w:before="120" w:after="120" w:line="360" w:lineRule="auto"/>
    </w:pPr>
    <w:rPr>
      <w:rFonts w:ascii="Arial" w:eastAsia="Calibri" w:hAnsi="Arial" w:cs="Times New Roman"/>
      <w:b/>
      <w:caps/>
      <w:sz w:val="26"/>
      <w:szCs w:val="20"/>
      <w:lang w:val="en-ZA"/>
    </w:rPr>
  </w:style>
  <w:style w:type="paragraph" w:customStyle="1" w:styleId="XClause1Head">
    <w:name w:val="XClause1Head"/>
    <w:basedOn w:val="Normal"/>
    <w:rsid w:val="00DD7687"/>
    <w:pPr>
      <w:numPr>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2Sub">
    <w:name w:val="XClause2Sub"/>
    <w:basedOn w:val="Normal"/>
    <w:rsid w:val="00DD7687"/>
    <w:pPr>
      <w:numPr>
        <w:ilvl w:val="1"/>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3Sub">
    <w:name w:val="XClause3Sub"/>
    <w:basedOn w:val="Normal"/>
    <w:rsid w:val="00DD7687"/>
    <w:pPr>
      <w:numPr>
        <w:ilvl w:val="2"/>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4Sub">
    <w:name w:val="XClause4Sub"/>
    <w:basedOn w:val="Normal"/>
    <w:rsid w:val="00DD7687"/>
    <w:pPr>
      <w:numPr>
        <w:ilvl w:val="3"/>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5Sub">
    <w:name w:val="XClause5Sub"/>
    <w:basedOn w:val="Normal"/>
    <w:rsid w:val="00DD7687"/>
    <w:pPr>
      <w:numPr>
        <w:ilvl w:val="4"/>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6Sub">
    <w:name w:val="XClause6Sub"/>
    <w:basedOn w:val="Normal"/>
    <w:rsid w:val="00DD7687"/>
    <w:pPr>
      <w:numPr>
        <w:ilvl w:val="5"/>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7Sub">
    <w:name w:val="XClause7Sub"/>
    <w:basedOn w:val="Normal"/>
    <w:rsid w:val="00DD7687"/>
    <w:pPr>
      <w:numPr>
        <w:ilvl w:val="6"/>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8Sub">
    <w:name w:val="XClause8Sub"/>
    <w:basedOn w:val="Normal"/>
    <w:rsid w:val="00DD7687"/>
    <w:pPr>
      <w:numPr>
        <w:ilvl w:val="7"/>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9Sub">
    <w:name w:val="XClause9Sub"/>
    <w:basedOn w:val="Normal"/>
    <w:rsid w:val="00DD7687"/>
    <w:pPr>
      <w:numPr>
        <w:ilvl w:val="8"/>
        <w:numId w:val="1"/>
      </w:numPr>
      <w:spacing w:after="240" w:line="360" w:lineRule="atLeast"/>
      <w:jc w:val="both"/>
    </w:pPr>
    <w:rPr>
      <w:rFonts w:ascii="Arial" w:eastAsia="Times New Roman" w:hAnsi="Arial" w:cs="Times New Roman"/>
      <w:sz w:val="20"/>
      <w:szCs w:val="20"/>
      <w:lang w:val="en-GB" w:eastAsia="en-GB"/>
    </w:rPr>
  </w:style>
  <w:style w:type="paragraph" w:styleId="NormalWeb">
    <w:name w:val="Normal (Web)"/>
    <w:basedOn w:val="Normal"/>
    <w:uiPriority w:val="99"/>
    <w:unhideWhenUsed/>
    <w:rsid w:val="00DD7687"/>
    <w:pPr>
      <w:spacing w:before="100" w:beforeAutospacing="1" w:after="100" w:afterAutospacing="1"/>
    </w:pPr>
    <w:rPr>
      <w:rFonts w:ascii="Times New Roman" w:hAnsi="Times New Roman" w:cs="Times New Roman"/>
      <w:sz w:val="20"/>
      <w:szCs w:val="20"/>
      <w:lang w:val="en-ZA"/>
    </w:rPr>
  </w:style>
  <w:style w:type="paragraph" w:styleId="FootnoteText">
    <w:name w:val="footnote text"/>
    <w:basedOn w:val="Normal"/>
    <w:link w:val="FootnoteTextChar"/>
    <w:uiPriority w:val="99"/>
    <w:unhideWhenUsed/>
    <w:rsid w:val="00DD7687"/>
  </w:style>
  <w:style w:type="character" w:customStyle="1" w:styleId="FootnoteTextChar">
    <w:name w:val="Footnote Text Char"/>
    <w:basedOn w:val="DefaultParagraphFont"/>
    <w:link w:val="FootnoteText"/>
    <w:uiPriority w:val="99"/>
    <w:rsid w:val="00DD7687"/>
  </w:style>
  <w:style w:type="character" w:styleId="FootnoteReference">
    <w:name w:val="footnote reference"/>
    <w:basedOn w:val="DefaultParagraphFont"/>
    <w:uiPriority w:val="99"/>
    <w:unhideWhenUsed/>
    <w:rsid w:val="00DD7687"/>
    <w:rPr>
      <w:vertAlign w:val="superscript"/>
    </w:rPr>
  </w:style>
  <w:style w:type="paragraph" w:styleId="Header">
    <w:name w:val="header"/>
    <w:basedOn w:val="Normal"/>
    <w:link w:val="HeaderChar"/>
    <w:uiPriority w:val="99"/>
    <w:unhideWhenUsed/>
    <w:rsid w:val="006E2B1F"/>
    <w:pPr>
      <w:tabs>
        <w:tab w:val="center" w:pos="4320"/>
        <w:tab w:val="right" w:pos="8640"/>
      </w:tabs>
    </w:pPr>
  </w:style>
  <w:style w:type="character" w:customStyle="1" w:styleId="HeaderChar">
    <w:name w:val="Header Char"/>
    <w:basedOn w:val="DefaultParagraphFont"/>
    <w:link w:val="Header"/>
    <w:uiPriority w:val="99"/>
    <w:rsid w:val="006E2B1F"/>
  </w:style>
  <w:style w:type="character" w:styleId="PageNumber">
    <w:name w:val="page number"/>
    <w:basedOn w:val="DefaultParagraphFont"/>
    <w:uiPriority w:val="99"/>
    <w:semiHidden/>
    <w:unhideWhenUsed/>
    <w:rsid w:val="006E2B1F"/>
  </w:style>
  <w:style w:type="paragraph" w:styleId="Revision">
    <w:name w:val="Revision"/>
    <w:hidden/>
    <w:uiPriority w:val="99"/>
    <w:semiHidden/>
    <w:rsid w:val="001E0769"/>
  </w:style>
  <w:style w:type="paragraph" w:styleId="BalloonText">
    <w:name w:val="Balloon Text"/>
    <w:basedOn w:val="Normal"/>
    <w:link w:val="BalloonTextChar"/>
    <w:uiPriority w:val="99"/>
    <w:semiHidden/>
    <w:unhideWhenUsed/>
    <w:rsid w:val="008F5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94B"/>
    <w:rPr>
      <w:rFonts w:ascii="Lucida Grande" w:hAnsi="Lucida Grande" w:cs="Lucida Grande"/>
      <w:sz w:val="18"/>
      <w:szCs w:val="18"/>
    </w:rPr>
  </w:style>
  <w:style w:type="character" w:customStyle="1" w:styleId="Heading2Char">
    <w:name w:val="Heading 2 Char"/>
    <w:basedOn w:val="DefaultParagraphFont"/>
    <w:link w:val="Heading2"/>
    <w:uiPriority w:val="9"/>
    <w:rsid w:val="00BD7AF5"/>
    <w:rPr>
      <w:rFonts w:ascii="Times New Roman" w:hAnsi="Times New Roman"/>
      <w:b/>
      <w:bCs/>
      <w:sz w:val="36"/>
      <w:szCs w:val="3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4DD5-93C5-4D50-A364-9F8AD71B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Mahosi</dc:creator>
  <cp:lastModifiedBy>sathish sarshan  mohan</cp:lastModifiedBy>
  <cp:revision>8</cp:revision>
  <cp:lastPrinted>2024-05-21T12:50:00Z</cp:lastPrinted>
  <dcterms:created xsi:type="dcterms:W3CDTF">2024-05-24T09:56:00Z</dcterms:created>
  <dcterms:modified xsi:type="dcterms:W3CDTF">2024-05-31T15:10:00Z</dcterms:modified>
</cp:coreProperties>
</file>