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927C" w14:textId="416A953F" w:rsidR="0060557D" w:rsidRDefault="0060557D" w:rsidP="00B50E11">
      <w:pPr>
        <w:pStyle w:val="Body"/>
        <w:jc w:val="center"/>
      </w:pPr>
      <w:r>
        <w:rPr>
          <w:noProof/>
          <w:lang w:val="en-ZA" w:eastAsia="en-ZA"/>
        </w:rPr>
        <w:drawing>
          <wp:anchor distT="0" distB="0" distL="114300" distR="114300" simplePos="0" relativeHeight="251658240" behindDoc="0" locked="0" layoutInCell="1" allowOverlap="1" wp14:anchorId="6B5B6C71" wp14:editId="2807EC6A">
            <wp:simplePos x="0" y="0"/>
            <wp:positionH relativeFrom="column">
              <wp:posOffset>2195195</wp:posOffset>
            </wp:positionH>
            <wp:positionV relativeFrom="paragraph">
              <wp:posOffset>-462589</wp:posOffset>
            </wp:positionV>
            <wp:extent cx="1549920" cy="1339712"/>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49920" cy="1339712"/>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43FED8F" w14:textId="6A09418B" w:rsidR="0060557D" w:rsidRDefault="0060557D" w:rsidP="00B50E11">
      <w:pPr>
        <w:pStyle w:val="Body"/>
        <w:jc w:val="center"/>
      </w:pPr>
    </w:p>
    <w:p w14:paraId="6BDD1F2D" w14:textId="5310AA85" w:rsidR="00B50E11" w:rsidRDefault="00B50E11" w:rsidP="00B50E11">
      <w:pPr>
        <w:pStyle w:val="Body"/>
        <w:jc w:val="center"/>
      </w:pP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2A681B">
        <w:trPr>
          <w:trHeight w:val="1997"/>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0C3AFA">
              <w:rPr>
                <w:rFonts w:ascii="Arial Unicode MS" w:eastAsia="Arial Unicode MS" w:hAnsi="Arial Unicode MS" w:cs="Arial Unicode MS"/>
                <w:strike/>
                <w:sz w:val="16"/>
                <w:szCs w:val="16"/>
              </w:rPr>
              <w:t>YES/</w:t>
            </w:r>
            <w:r w:rsidRPr="000C3AFA">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0C3AFA">
              <w:rPr>
                <w:rFonts w:ascii="Arial Unicode MS" w:eastAsia="Arial Unicode MS" w:hAnsi="Arial Unicode MS" w:cs="Arial Unicode MS"/>
                <w:strike/>
                <w:sz w:val="16"/>
                <w:szCs w:val="16"/>
              </w:rPr>
              <w:t>YES/</w:t>
            </w:r>
            <w:r w:rsidRPr="000C3AFA">
              <w:rPr>
                <w:rFonts w:ascii="Arial Unicode MS" w:eastAsia="Arial Unicode MS" w:hAnsi="Arial Unicode MS" w:cs="Arial Unicode MS"/>
                <w:b/>
                <w:bCs/>
                <w:sz w:val="16"/>
                <w:szCs w:val="16"/>
              </w:rPr>
              <w:t>NO</w:t>
            </w:r>
          </w:p>
          <w:p w14:paraId="15F66332" w14:textId="7128058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C3AFA">
              <w:rPr>
                <w:rFonts w:ascii="Arial Unicode MS" w:eastAsia="Arial Unicode MS" w:hAnsi="Arial Unicode MS" w:cs="Arial Unicode MS"/>
                <w:sz w:val="16"/>
                <w:szCs w:val="16"/>
              </w:rPr>
              <w:t xml:space="preserve">: </w:t>
            </w:r>
            <w:r w:rsidR="000C3AFA" w:rsidRPr="000C3AFA">
              <w:rPr>
                <w:rFonts w:ascii="Arial Unicode MS" w:eastAsia="Arial Unicode MS" w:hAnsi="Arial Unicode MS" w:cs="Arial Unicode MS"/>
                <w:b/>
                <w:bCs/>
                <w:sz w:val="16"/>
                <w:szCs w:val="16"/>
              </w:rPr>
              <w:t>NO</w:t>
            </w:r>
          </w:p>
          <w:p w14:paraId="284842F1" w14:textId="74A54A74"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0C3AFA">
              <w:rPr>
                <w:rFonts w:ascii="Arial Unicode MS" w:eastAsia="Arial Unicode MS" w:hAnsi="Arial Unicode MS" w:cs="Arial Unicode MS"/>
                <w:sz w:val="16"/>
                <w:szCs w:val="16"/>
              </w:rPr>
              <w:t xml:space="preserve">  </w:t>
            </w:r>
            <w:r w:rsidR="00AB0925" w:rsidRPr="00AB0925">
              <w:rPr>
                <w:rFonts w:ascii="Arial Unicode MS" w:eastAsia="Arial Unicode MS" w:hAnsi="Arial Unicode MS" w:cs="Arial Unicode MS"/>
                <w:b/>
                <w:bCs/>
                <w:sz w:val="16"/>
                <w:szCs w:val="16"/>
              </w:rPr>
              <w:t>25</w:t>
            </w:r>
            <w:r w:rsidR="006C2322" w:rsidRPr="00AB0925">
              <w:rPr>
                <w:rFonts w:ascii="Arial Unicode MS" w:eastAsia="Arial Unicode MS" w:hAnsi="Arial Unicode MS" w:cs="Arial Unicode MS"/>
                <w:b/>
                <w:bCs/>
                <w:sz w:val="16"/>
                <w:szCs w:val="16"/>
              </w:rPr>
              <w:t xml:space="preserve"> </w:t>
            </w:r>
            <w:r w:rsidR="006C2322">
              <w:rPr>
                <w:rFonts w:ascii="Arial Unicode MS" w:eastAsia="Arial Unicode MS" w:hAnsi="Arial Unicode MS" w:cs="Arial Unicode MS"/>
                <w:b/>
                <w:bCs/>
                <w:sz w:val="16"/>
                <w:szCs w:val="16"/>
              </w:rPr>
              <w:t>JANUARY 2024</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0198529"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32633A">
        <w:rPr>
          <w:rFonts w:cs="Arial"/>
          <w:b/>
          <w:bCs/>
          <w:sz w:val="24"/>
          <w:szCs w:val="24"/>
        </w:rPr>
        <w:t>32095/2020</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22"/>
        <w:gridCol w:w="51"/>
      </w:tblGrid>
      <w:tr w:rsidR="00B50E11" w:rsidRPr="0031449E" w14:paraId="22698168" w14:textId="77777777" w:rsidTr="0032633A">
        <w:trPr>
          <w:gridAfter w:val="1"/>
          <w:wAfter w:w="51" w:type="dxa"/>
        </w:trPr>
        <w:tc>
          <w:tcPr>
            <w:tcW w:w="6521"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122"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2633A">
        <w:trPr>
          <w:gridAfter w:val="1"/>
          <w:wAfter w:w="51" w:type="dxa"/>
          <w:trHeight w:val="1045"/>
        </w:trPr>
        <w:tc>
          <w:tcPr>
            <w:tcW w:w="6521"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35A418B0" w:rsidR="007F7FED" w:rsidRP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2633A">
              <w:rPr>
                <w:rFonts w:cs="Arial"/>
                <w:b/>
                <w:bCs/>
                <w:sz w:val="24"/>
                <w:szCs w:val="24"/>
              </w:rPr>
              <w:t>ORGANISATION UNDOING TAX ABUSE NPC</w:t>
            </w:r>
          </w:p>
        </w:tc>
        <w:tc>
          <w:tcPr>
            <w:tcW w:w="3122"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529B75C9"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B50E11" w:rsidRPr="0031449E" w14:paraId="2DE3831D" w14:textId="77777777" w:rsidTr="0032633A">
        <w:trPr>
          <w:gridAfter w:val="1"/>
          <w:wAfter w:w="51" w:type="dxa"/>
        </w:trPr>
        <w:tc>
          <w:tcPr>
            <w:tcW w:w="6521" w:type="dxa"/>
          </w:tcPr>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122"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32633A">
        <w:trPr>
          <w:gridAfter w:val="1"/>
          <w:wAfter w:w="51" w:type="dxa"/>
        </w:trPr>
        <w:tc>
          <w:tcPr>
            <w:tcW w:w="6521"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53055A99" w:rsidR="00B50E11" w:rsidRPr="00DA7A8D"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SOUTH AFRICAN NATIONAL ROADS AGENCY LTD</w:t>
            </w:r>
          </w:p>
        </w:tc>
        <w:tc>
          <w:tcPr>
            <w:tcW w:w="3122"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32633A">
        <w:trPr>
          <w:gridAfter w:val="1"/>
          <w:wAfter w:w="51" w:type="dxa"/>
        </w:trPr>
        <w:tc>
          <w:tcPr>
            <w:tcW w:w="6521"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0BB7D1EB" w:rsidR="0027008F"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MINISTER OF TRANSPORT</w:t>
            </w:r>
          </w:p>
        </w:tc>
        <w:tc>
          <w:tcPr>
            <w:tcW w:w="3122"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32633A" w:rsidRPr="0031449E" w14:paraId="3E6F2A28" w14:textId="77777777" w:rsidTr="0032633A">
        <w:trPr>
          <w:gridAfter w:val="1"/>
          <w:wAfter w:w="51" w:type="dxa"/>
        </w:trPr>
        <w:tc>
          <w:tcPr>
            <w:tcW w:w="6521" w:type="dxa"/>
          </w:tcPr>
          <w:p w14:paraId="28F48FB4"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0FF0E32" w14:textId="64D355CB"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ALLI, NAZIR</w:t>
            </w:r>
          </w:p>
        </w:tc>
        <w:tc>
          <w:tcPr>
            <w:tcW w:w="3122" w:type="dxa"/>
          </w:tcPr>
          <w:p w14:paraId="041AF3E3"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3D07041" w14:textId="5EC45916"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THIRD RESPONDENT</w:t>
            </w:r>
          </w:p>
        </w:tc>
      </w:tr>
      <w:tr w:rsidR="0032633A" w:rsidRPr="0031449E" w14:paraId="2EEA5CA8" w14:textId="77777777" w:rsidTr="0032633A">
        <w:trPr>
          <w:gridAfter w:val="1"/>
          <w:wAfter w:w="51" w:type="dxa"/>
        </w:trPr>
        <w:tc>
          <w:tcPr>
            <w:tcW w:w="6521" w:type="dxa"/>
          </w:tcPr>
          <w:p w14:paraId="180AFDA6"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D0271E4" w14:textId="13DFA25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MOTAUNG, DANIEL</w:t>
            </w:r>
          </w:p>
        </w:tc>
        <w:tc>
          <w:tcPr>
            <w:tcW w:w="3122" w:type="dxa"/>
          </w:tcPr>
          <w:p w14:paraId="5732231D"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1D83809" w14:textId="458504AF"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FOURTH RESPONDENT</w:t>
            </w:r>
          </w:p>
        </w:tc>
      </w:tr>
      <w:tr w:rsidR="0032633A" w:rsidRPr="0031449E" w14:paraId="558C50A4" w14:textId="77777777" w:rsidTr="0032633A">
        <w:trPr>
          <w:gridAfter w:val="1"/>
          <w:wAfter w:w="51" w:type="dxa"/>
        </w:trPr>
        <w:tc>
          <w:tcPr>
            <w:tcW w:w="6521" w:type="dxa"/>
          </w:tcPr>
          <w:p w14:paraId="785D80B2"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1110663" w14:textId="2CDEE8E4"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MACOZOMA, SKHUMBUZO N.O</w:t>
            </w:r>
          </w:p>
        </w:tc>
        <w:tc>
          <w:tcPr>
            <w:tcW w:w="3122" w:type="dxa"/>
          </w:tcPr>
          <w:p w14:paraId="57CEE86F"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652EF57B" w14:textId="01EA42F2"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FIFTH RESPONDENT</w:t>
            </w:r>
          </w:p>
        </w:tc>
      </w:tr>
      <w:tr w:rsidR="0032633A" w:rsidRPr="0031449E" w14:paraId="1573DA96" w14:textId="77777777" w:rsidTr="0032633A">
        <w:trPr>
          <w:gridAfter w:val="1"/>
          <w:wAfter w:w="51" w:type="dxa"/>
        </w:trPr>
        <w:tc>
          <w:tcPr>
            <w:tcW w:w="6521" w:type="dxa"/>
          </w:tcPr>
          <w:p w14:paraId="38D11943"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A5D7D13" w14:textId="37F9F33D"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N3 TOLL CONCESSION (RF) (PTY) LTD</w:t>
            </w:r>
          </w:p>
        </w:tc>
        <w:tc>
          <w:tcPr>
            <w:tcW w:w="3122" w:type="dxa"/>
          </w:tcPr>
          <w:p w14:paraId="7F36B93A"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F94404F" w14:textId="56A858EC"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SIXTH RESPONDENT</w:t>
            </w:r>
          </w:p>
        </w:tc>
      </w:tr>
      <w:tr w:rsidR="001D7244" w:rsidRPr="00217B1F" w14:paraId="0BE69F19" w14:textId="77777777" w:rsidTr="0032633A">
        <w:trPr>
          <w:trHeight w:val="1045"/>
        </w:trPr>
        <w:tc>
          <w:tcPr>
            <w:tcW w:w="9694"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774AB9">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774AB9">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lastRenderedPageBreak/>
                    <w:t>Heard on</w:t>
                  </w:r>
                  <w:r w:rsidRPr="00364832">
                    <w:rPr>
                      <w:rFonts w:ascii="Times" w:eastAsia="Times New Roman" w:hAnsi="Times" w:cs="Arial"/>
                      <w:i/>
                      <w:iCs/>
                      <w:sz w:val="24"/>
                      <w:szCs w:val="24"/>
                      <w:lang w:val="en-ZA"/>
                    </w:rPr>
                    <w:t>:      </w:t>
                  </w:r>
                </w:p>
              </w:tc>
              <w:tc>
                <w:tcPr>
                  <w:tcW w:w="7513" w:type="dxa"/>
                </w:tcPr>
                <w:p w14:paraId="41C8B4DD" w14:textId="47F4E84E" w:rsidR="001D7244" w:rsidRPr="00217B1F" w:rsidRDefault="0032633A"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w:t>
                  </w:r>
                  <w:r w:rsidR="006C2322">
                    <w:rPr>
                      <w:rFonts w:ascii="Arial" w:eastAsia="Times New Roman" w:hAnsi="Arial" w:cs="Arial"/>
                      <w:color w:val="000000"/>
                      <w:sz w:val="24"/>
                      <w:szCs w:val="24"/>
                      <w:lang w:val="en-ZA"/>
                    </w:rPr>
                    <w:t>9 January 2024</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774AB9">
              <w:tc>
                <w:tcPr>
                  <w:tcW w:w="1734" w:type="dxa"/>
                </w:tcPr>
                <w:p w14:paraId="34D50450"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5F5E03E1" w14:textId="69A65D9A" w:rsidR="001D7244" w:rsidRPr="002A681B" w:rsidRDefault="00AB0925" w:rsidP="002A681B">
                  <w:pPr>
                    <w:tabs>
                      <w:tab w:val="left" w:pos="0"/>
                    </w:tabs>
                    <w:spacing w:after="120" w:line="360" w:lineRule="auto"/>
                    <w:ind w:right="-113"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25</w:t>
                  </w:r>
                  <w:r w:rsidR="006C2322">
                    <w:rPr>
                      <w:rFonts w:ascii="Arial" w:eastAsia="Times New Roman" w:hAnsi="Arial" w:cs="Arial"/>
                      <w:color w:val="000000"/>
                      <w:sz w:val="24"/>
                      <w:szCs w:val="24"/>
                      <w:lang w:val="en-ZA"/>
                    </w:rPr>
                    <w:t xml:space="preserve"> January 2024</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sidR="006C2322">
                    <w:rPr>
                      <w:rFonts w:ascii="Arial" w:eastAsia="Times New Roman" w:hAnsi="Arial" w:cs="Arial"/>
                      <w:color w:val="000000"/>
                      <w:sz w:val="24"/>
                      <w:szCs w:val="24"/>
                      <w:lang w:val="en-ZA"/>
                    </w:rPr>
                    <w:t>1</w:t>
                  </w:r>
                  <w:r w:rsidR="00D90052">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sidR="00D90052">
                    <w:rPr>
                      <w:rFonts w:ascii="Arial" w:eastAsia="Times New Roman" w:hAnsi="Arial" w:cs="Arial"/>
                      <w:color w:val="000000"/>
                      <w:sz w:val="24"/>
                      <w:szCs w:val="24"/>
                      <w:lang w:val="en-ZA"/>
                    </w:rPr>
                    <w:t>25</w:t>
                  </w:r>
                  <w:r w:rsidR="006C2322">
                    <w:rPr>
                      <w:rFonts w:ascii="Arial" w:eastAsia="Times New Roman" w:hAnsi="Arial" w:cs="Arial"/>
                      <w:color w:val="000000"/>
                      <w:sz w:val="24"/>
                      <w:szCs w:val="24"/>
                      <w:lang w:val="en-ZA"/>
                    </w:rPr>
                    <w:t xml:space="preserve"> January 2024</w:t>
                  </w:r>
                  <w:r w:rsidR="001D7244" w:rsidRPr="00217B1F">
                    <w:rPr>
                      <w:rFonts w:ascii="Arial" w:eastAsia="Times New Roman" w:hAnsi="Arial" w:cs="Arial"/>
                      <w:color w:val="000000"/>
                      <w:sz w:val="24"/>
                      <w:szCs w:val="24"/>
                      <w:lang w:val="en-ZA"/>
                    </w:rPr>
                    <w:t>.</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774AB9">
        <w:tc>
          <w:tcPr>
            <w:tcW w:w="9350" w:type="dxa"/>
          </w:tcPr>
          <w:p w14:paraId="3A5115EF" w14:textId="77777777" w:rsidR="00650745" w:rsidRDefault="00650745" w:rsidP="00774A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B42F35" w:rsidRDefault="00B50E11" w:rsidP="00774A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B42F35">
              <w:rPr>
                <w:rFonts w:eastAsia="Tahoma" w:cs="Arial"/>
                <w:b/>
                <w:bCs/>
                <w:sz w:val="24"/>
                <w:szCs w:val="24"/>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7003FEE6" w14:textId="77777777" w:rsidR="00947FBD" w:rsidRPr="00F46C68" w:rsidRDefault="00947FBD" w:rsidP="00B42F35">
      <w:pPr>
        <w:pStyle w:val="Body"/>
        <w:spacing w:line="360" w:lineRule="auto"/>
        <w:jc w:val="both"/>
        <w:rPr>
          <w:b/>
          <w:sz w:val="22"/>
          <w:szCs w:val="22"/>
          <w:u w:val="single"/>
        </w:rPr>
      </w:pPr>
    </w:p>
    <w:p w14:paraId="487FBB77" w14:textId="08C7823B" w:rsidR="00947FBD" w:rsidRPr="002F3516" w:rsidRDefault="002F3516" w:rsidP="002F3516">
      <w:pPr>
        <w:spacing w:line="360" w:lineRule="auto"/>
        <w:ind w:left="851" w:hanging="851"/>
        <w:jc w:val="both"/>
        <w:rPr>
          <w:rFonts w:ascii="Arial" w:hAnsi="Arial" w:cs="Arial"/>
          <w:color w:val="000000" w:themeColor="text1"/>
        </w:rPr>
      </w:pPr>
      <w:r w:rsidRPr="00947FBD">
        <w:rPr>
          <w:rFonts w:ascii="Arial" w:hAnsi="Arial" w:cs="Arial"/>
          <w:color w:val="000000" w:themeColor="text1"/>
        </w:rPr>
        <w:t>[1]</w:t>
      </w:r>
      <w:r w:rsidRPr="00947FBD">
        <w:rPr>
          <w:rFonts w:ascii="Arial" w:hAnsi="Arial" w:cs="Arial"/>
          <w:color w:val="000000" w:themeColor="text1"/>
        </w:rPr>
        <w:tab/>
      </w:r>
      <w:r w:rsidR="00947FBD" w:rsidRPr="002F3516">
        <w:rPr>
          <w:rFonts w:ascii="Arial" w:hAnsi="Arial" w:cs="Arial"/>
        </w:rPr>
        <w:t>This is an application for leave to appeal against a judgment and order handed down on 14 November 2023</w:t>
      </w:r>
      <w:r w:rsidR="00D90052">
        <w:rPr>
          <w:rStyle w:val="FootnoteReference"/>
          <w:rFonts w:ascii="Arial" w:hAnsi="Arial" w:cs="Arial"/>
        </w:rPr>
        <w:footnoteReference w:id="1"/>
      </w:r>
      <w:r w:rsidR="00947FBD" w:rsidRPr="002F3516">
        <w:rPr>
          <w:rFonts w:ascii="Arial" w:hAnsi="Arial" w:cs="Arial"/>
        </w:rPr>
        <w:t xml:space="preserve"> in which the applicant’s application was dismissed with costs.</w:t>
      </w:r>
      <w:r w:rsidR="00F428B4" w:rsidRPr="002F3516">
        <w:rPr>
          <w:rFonts w:ascii="Arial" w:hAnsi="Arial" w:cs="Arial"/>
        </w:rPr>
        <w:t xml:space="preserve"> Th</w:t>
      </w:r>
      <w:r w:rsidR="00076CD2" w:rsidRPr="002F3516">
        <w:rPr>
          <w:rFonts w:ascii="Arial" w:hAnsi="Arial" w:cs="Arial"/>
        </w:rPr>
        <w:t>e present</w:t>
      </w:r>
      <w:r w:rsidR="00F428B4" w:rsidRPr="002F3516">
        <w:rPr>
          <w:rFonts w:ascii="Arial" w:hAnsi="Arial" w:cs="Arial"/>
        </w:rPr>
        <w:t xml:space="preserve"> application is brought in terms of s 17(1)(a)(i) and (ii) of The Superior Courts Act</w:t>
      </w:r>
      <w:r w:rsidR="00F428B4">
        <w:rPr>
          <w:rStyle w:val="FootnoteReference"/>
          <w:rFonts w:ascii="Arial" w:hAnsi="Arial" w:cs="Arial"/>
        </w:rPr>
        <w:footnoteReference w:id="2"/>
      </w:r>
      <w:r w:rsidR="00F428B4" w:rsidRPr="002F3516">
        <w:rPr>
          <w:rFonts w:ascii="Arial" w:hAnsi="Arial" w:cs="Arial"/>
        </w:rPr>
        <w:t xml:space="preserve"> (The Act).</w:t>
      </w:r>
    </w:p>
    <w:p w14:paraId="73A5B998" w14:textId="77777777" w:rsidR="00947FBD" w:rsidRPr="00947FBD" w:rsidRDefault="00947FBD" w:rsidP="00947FBD">
      <w:pPr>
        <w:pStyle w:val="ListParagraph"/>
        <w:spacing w:line="360" w:lineRule="auto"/>
        <w:ind w:left="851"/>
        <w:jc w:val="both"/>
        <w:rPr>
          <w:rFonts w:ascii="Arial" w:hAnsi="Arial" w:cs="Arial"/>
          <w:color w:val="000000" w:themeColor="text1"/>
        </w:rPr>
      </w:pPr>
    </w:p>
    <w:p w14:paraId="7A6A2E68" w14:textId="5CF35BBE" w:rsidR="00076CD2"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AB0925" w:rsidRPr="002F3516">
        <w:rPr>
          <w:rFonts w:ascii="Arial" w:hAnsi="Arial" w:cs="Arial"/>
          <w:color w:val="000000" w:themeColor="text1"/>
        </w:rPr>
        <w:t>The application sets out a number of grounds upon which it was said the court erred and in consequence of which the test</w:t>
      </w:r>
      <w:r w:rsidR="00F428B4" w:rsidRPr="002F3516">
        <w:rPr>
          <w:rFonts w:ascii="Arial" w:hAnsi="Arial" w:cs="Arial"/>
          <w:color w:val="000000" w:themeColor="text1"/>
        </w:rPr>
        <w:t xml:space="preserve"> set out in s 17(1)(a)(i)</w:t>
      </w:r>
      <w:r w:rsidR="00822E29">
        <w:rPr>
          <w:rStyle w:val="FootnoteReference"/>
          <w:rFonts w:ascii="Arial" w:hAnsi="Arial" w:cs="Arial"/>
          <w:color w:val="000000" w:themeColor="text1"/>
        </w:rPr>
        <w:footnoteReference w:id="3"/>
      </w:r>
      <w:r w:rsidR="00F428B4" w:rsidRPr="002F3516">
        <w:rPr>
          <w:rFonts w:ascii="Arial" w:hAnsi="Arial" w:cs="Arial"/>
          <w:color w:val="000000" w:themeColor="text1"/>
        </w:rPr>
        <w:t xml:space="preserve"> of the Act</w:t>
      </w:r>
      <w:r w:rsidR="00AB0925" w:rsidRPr="002F3516">
        <w:rPr>
          <w:rFonts w:ascii="Arial" w:hAnsi="Arial" w:cs="Arial"/>
          <w:color w:val="000000" w:themeColor="text1"/>
        </w:rPr>
        <w:t xml:space="preserve"> for the granting of leave to appeal would be met. Most of these </w:t>
      </w:r>
      <w:r w:rsidR="00076CD2" w:rsidRPr="002F3516">
        <w:rPr>
          <w:rFonts w:ascii="Arial" w:hAnsi="Arial" w:cs="Arial"/>
          <w:color w:val="000000" w:themeColor="text1"/>
        </w:rPr>
        <w:t xml:space="preserve">were a re-traversal of what was argued in the main case and </w:t>
      </w:r>
      <w:r w:rsidR="00AB0925" w:rsidRPr="002F3516">
        <w:rPr>
          <w:rFonts w:ascii="Arial" w:hAnsi="Arial" w:cs="Arial"/>
          <w:color w:val="000000" w:themeColor="text1"/>
        </w:rPr>
        <w:t>have already been dealt with in the judgment</w:t>
      </w:r>
      <w:r w:rsidR="00076CD2" w:rsidRPr="002F3516">
        <w:rPr>
          <w:rFonts w:ascii="Arial" w:hAnsi="Arial" w:cs="Arial"/>
          <w:color w:val="000000" w:themeColor="text1"/>
        </w:rPr>
        <w:t xml:space="preserve"> and I do not intend to revisit them specifically.</w:t>
      </w:r>
    </w:p>
    <w:p w14:paraId="56833CEC" w14:textId="77777777" w:rsidR="00076CD2" w:rsidRPr="00076CD2" w:rsidRDefault="00076CD2" w:rsidP="00076CD2">
      <w:pPr>
        <w:pStyle w:val="ListParagraph"/>
        <w:rPr>
          <w:rFonts w:ascii="Arial" w:hAnsi="Arial" w:cs="Arial"/>
          <w:color w:val="000000" w:themeColor="text1"/>
        </w:rPr>
      </w:pPr>
    </w:p>
    <w:p w14:paraId="766C119A" w14:textId="12EB53E2" w:rsidR="00AB0925"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13056A" w:rsidRPr="002F3516">
        <w:rPr>
          <w:rFonts w:ascii="Arial" w:hAnsi="Arial" w:cs="Arial"/>
          <w:color w:val="000000" w:themeColor="text1"/>
        </w:rPr>
        <w:t xml:space="preserve"> I refer to the parties in this judgment as in the main judgment – the applicant as “OUTA”, the first respondent as “SANRAL” and the sixth respondent as “N3TC”.</w:t>
      </w:r>
    </w:p>
    <w:p w14:paraId="2AEC2D25" w14:textId="77777777" w:rsidR="00AB0925" w:rsidRPr="00AB0925" w:rsidRDefault="00AB0925" w:rsidP="00AB0925">
      <w:pPr>
        <w:pStyle w:val="ListParagraph"/>
        <w:rPr>
          <w:rFonts w:ascii="Arial" w:hAnsi="Arial" w:cs="Arial"/>
          <w:color w:val="000000" w:themeColor="text1"/>
        </w:rPr>
      </w:pPr>
    </w:p>
    <w:p w14:paraId="2F6340C9" w14:textId="122995D9" w:rsidR="00AB0925"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AB0925" w:rsidRPr="002F3516">
        <w:rPr>
          <w:rFonts w:ascii="Arial" w:hAnsi="Arial" w:cs="Arial"/>
          <w:color w:val="000000" w:themeColor="text1"/>
        </w:rPr>
        <w:t>When the application was called</w:t>
      </w:r>
      <w:r w:rsidR="001D17BE" w:rsidRPr="002F3516">
        <w:rPr>
          <w:rFonts w:ascii="Arial" w:hAnsi="Arial" w:cs="Arial"/>
          <w:color w:val="000000" w:themeColor="text1"/>
        </w:rPr>
        <w:t>,</w:t>
      </w:r>
      <w:r w:rsidR="00AB0925" w:rsidRPr="002F3516">
        <w:rPr>
          <w:rFonts w:ascii="Arial" w:hAnsi="Arial" w:cs="Arial"/>
          <w:color w:val="000000" w:themeColor="text1"/>
        </w:rPr>
        <w:t xml:space="preserve"> counsel for the applicant confined his argument to two of the grounds – firstly that the test set out in </w:t>
      </w:r>
      <w:r w:rsidR="00AB0925" w:rsidRPr="002F3516">
        <w:rPr>
          <w:rFonts w:ascii="Arial" w:hAnsi="Arial" w:cs="Arial"/>
          <w:i/>
          <w:iCs/>
          <w:color w:val="000000" w:themeColor="text1"/>
        </w:rPr>
        <w:t xml:space="preserve">Ericsson South Africa (Pty) </w:t>
      </w:r>
      <w:r w:rsidR="00AB0925" w:rsidRPr="002F3516">
        <w:rPr>
          <w:rFonts w:ascii="Arial" w:hAnsi="Arial" w:cs="Arial"/>
          <w:i/>
          <w:iCs/>
          <w:color w:val="000000" w:themeColor="text1"/>
        </w:rPr>
        <w:lastRenderedPageBreak/>
        <w:t>Ltd v Johannesburg Metro and Others</w:t>
      </w:r>
      <w:r w:rsidR="00AB0925">
        <w:rPr>
          <w:rStyle w:val="FootnoteReference"/>
          <w:rFonts w:ascii="Arial" w:hAnsi="Arial" w:cs="Arial"/>
          <w:color w:val="000000" w:themeColor="text1"/>
        </w:rPr>
        <w:footnoteReference w:id="4"/>
      </w:r>
      <w:r w:rsidR="00AB0925" w:rsidRPr="002F3516">
        <w:rPr>
          <w:rFonts w:ascii="Arial" w:hAnsi="Arial" w:cs="Arial"/>
          <w:color w:val="000000" w:themeColor="text1"/>
        </w:rPr>
        <w:t xml:space="preserve"> had not been correctly applied and following from this that the court had not “</w:t>
      </w:r>
      <w:r w:rsidR="00AB0925" w:rsidRPr="002F3516">
        <w:rPr>
          <w:rFonts w:ascii="Arial" w:hAnsi="Arial" w:cs="Arial"/>
          <w:i/>
          <w:iCs/>
          <w:color w:val="000000" w:themeColor="text1"/>
          <w:sz w:val="22"/>
          <w:szCs w:val="22"/>
        </w:rPr>
        <w:t>attach[ed] sufficient weight to SANRAL’s statutory duties</w:t>
      </w:r>
      <w:r w:rsidR="007F2E8F" w:rsidRPr="002F3516">
        <w:rPr>
          <w:rFonts w:ascii="Arial" w:hAnsi="Arial" w:cs="Arial"/>
          <w:i/>
          <w:iCs/>
          <w:color w:val="000000" w:themeColor="text1"/>
          <w:sz w:val="22"/>
          <w:szCs w:val="22"/>
        </w:rPr>
        <w:t xml:space="preserve"> and the public interest therein and in finding that the public interest override finds no application in respect of the disputed documents.”</w:t>
      </w:r>
      <w:r w:rsidR="007F2E8F">
        <w:rPr>
          <w:rStyle w:val="FootnoteReference"/>
          <w:rFonts w:ascii="Arial" w:hAnsi="Arial" w:cs="Arial"/>
          <w:i/>
          <w:iCs/>
          <w:color w:val="000000" w:themeColor="text1"/>
          <w:sz w:val="22"/>
          <w:szCs w:val="22"/>
        </w:rPr>
        <w:footnoteReference w:id="5"/>
      </w:r>
      <w:r w:rsidR="00822E29" w:rsidRPr="002F3516">
        <w:rPr>
          <w:rFonts w:ascii="Arial" w:hAnsi="Arial" w:cs="Arial"/>
          <w:color w:val="000000" w:themeColor="text1"/>
        </w:rPr>
        <w:t xml:space="preserve"> This argument was addressed </w:t>
      </w:r>
      <w:r w:rsidR="00076CD2" w:rsidRPr="002F3516">
        <w:rPr>
          <w:rFonts w:ascii="Arial" w:hAnsi="Arial" w:cs="Arial"/>
          <w:color w:val="000000" w:themeColor="text1"/>
        </w:rPr>
        <w:t>in respect of</w:t>
      </w:r>
      <w:r w:rsidR="00822E29" w:rsidRPr="002F3516">
        <w:rPr>
          <w:rFonts w:ascii="Arial" w:hAnsi="Arial" w:cs="Arial"/>
          <w:color w:val="000000" w:themeColor="text1"/>
        </w:rPr>
        <w:t xml:space="preserve"> s 17(1)(a)(ii)</w:t>
      </w:r>
      <w:r w:rsidR="00822E29">
        <w:rPr>
          <w:rStyle w:val="FootnoteReference"/>
          <w:rFonts w:ascii="Arial" w:hAnsi="Arial" w:cs="Arial"/>
          <w:color w:val="000000" w:themeColor="text1"/>
        </w:rPr>
        <w:footnoteReference w:id="6"/>
      </w:r>
      <w:r w:rsidR="00822E29" w:rsidRPr="002F3516">
        <w:rPr>
          <w:rFonts w:ascii="Arial" w:hAnsi="Arial" w:cs="Arial"/>
          <w:color w:val="000000" w:themeColor="text1"/>
        </w:rPr>
        <w:t xml:space="preserve"> of the Act.</w:t>
      </w:r>
    </w:p>
    <w:p w14:paraId="0DB92023" w14:textId="77777777" w:rsidR="00AB0925" w:rsidRPr="00AB0925" w:rsidRDefault="00AB0925" w:rsidP="00AB0925">
      <w:pPr>
        <w:pStyle w:val="ListParagraph"/>
        <w:rPr>
          <w:rFonts w:ascii="Arial" w:hAnsi="Arial" w:cs="Arial"/>
          <w:color w:val="000000" w:themeColor="text1"/>
        </w:rPr>
      </w:pPr>
    </w:p>
    <w:p w14:paraId="6BA8A7AA" w14:textId="3874D4C6" w:rsidR="00F428B4"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7F2E8F" w:rsidRPr="002F3516">
        <w:rPr>
          <w:rFonts w:ascii="Arial" w:hAnsi="Arial" w:cs="Arial"/>
          <w:color w:val="000000" w:themeColor="text1"/>
        </w:rPr>
        <w:t>It was argued that the test for the application of s</w:t>
      </w:r>
      <w:r w:rsidR="00F57113" w:rsidRPr="002F3516">
        <w:rPr>
          <w:rFonts w:ascii="Arial" w:hAnsi="Arial" w:cs="Arial"/>
          <w:color w:val="000000" w:themeColor="text1"/>
        </w:rPr>
        <w:t xml:space="preserve"> </w:t>
      </w:r>
      <w:r w:rsidR="007F2E8F" w:rsidRPr="002F3516">
        <w:rPr>
          <w:rFonts w:ascii="Arial" w:hAnsi="Arial" w:cs="Arial"/>
          <w:color w:val="000000" w:themeColor="text1"/>
        </w:rPr>
        <w:t>46</w:t>
      </w:r>
      <w:r w:rsidR="00076CD2">
        <w:rPr>
          <w:rStyle w:val="FootnoteReference"/>
          <w:rFonts w:ascii="Arial" w:hAnsi="Arial" w:cs="Arial"/>
          <w:color w:val="000000" w:themeColor="text1"/>
        </w:rPr>
        <w:footnoteReference w:id="7"/>
      </w:r>
      <w:r w:rsidR="007F2E8F" w:rsidRPr="002F3516">
        <w:rPr>
          <w:rFonts w:ascii="Arial" w:hAnsi="Arial" w:cs="Arial"/>
          <w:color w:val="000000" w:themeColor="text1"/>
        </w:rPr>
        <w:t xml:space="preserve"> of </w:t>
      </w:r>
      <w:r w:rsidR="00F57113" w:rsidRPr="002F3516">
        <w:rPr>
          <w:rFonts w:ascii="Arial" w:hAnsi="Arial" w:cs="Arial"/>
          <w:color w:val="000000" w:themeColor="text1"/>
        </w:rPr>
        <w:t>The Promotion of Access to Information Act</w:t>
      </w:r>
      <w:r w:rsidR="0013056A">
        <w:rPr>
          <w:rStyle w:val="FootnoteReference"/>
          <w:rFonts w:ascii="Arial" w:hAnsi="Arial" w:cs="Arial"/>
          <w:color w:val="000000" w:themeColor="text1"/>
        </w:rPr>
        <w:footnoteReference w:id="8"/>
      </w:r>
      <w:r w:rsidR="0013056A" w:rsidRPr="002F3516">
        <w:rPr>
          <w:rFonts w:ascii="Arial" w:hAnsi="Arial" w:cs="Arial"/>
          <w:color w:val="000000" w:themeColor="text1"/>
        </w:rPr>
        <w:t xml:space="preserve"> (</w:t>
      </w:r>
      <w:r w:rsidR="007F2E8F" w:rsidRPr="002F3516">
        <w:rPr>
          <w:rFonts w:ascii="Arial" w:hAnsi="Arial" w:cs="Arial"/>
          <w:color w:val="000000" w:themeColor="text1"/>
        </w:rPr>
        <w:t>PAIA</w:t>
      </w:r>
      <w:r w:rsidR="0013056A" w:rsidRPr="002F3516">
        <w:rPr>
          <w:rFonts w:ascii="Arial" w:hAnsi="Arial" w:cs="Arial"/>
          <w:color w:val="000000" w:themeColor="text1"/>
        </w:rPr>
        <w:t>)</w:t>
      </w:r>
      <w:r w:rsidR="007F2E8F" w:rsidRPr="002F3516">
        <w:rPr>
          <w:rFonts w:ascii="Arial" w:hAnsi="Arial" w:cs="Arial"/>
          <w:color w:val="000000" w:themeColor="text1"/>
        </w:rPr>
        <w:t xml:space="preserve"> set out in </w:t>
      </w:r>
      <w:r w:rsidR="007F2E8F" w:rsidRPr="002F3516">
        <w:rPr>
          <w:rFonts w:ascii="Arial" w:hAnsi="Arial" w:cs="Arial"/>
          <w:i/>
          <w:iCs/>
          <w:color w:val="000000" w:themeColor="text1"/>
        </w:rPr>
        <w:t xml:space="preserve">Ericsson </w:t>
      </w:r>
      <w:r w:rsidR="007F2E8F" w:rsidRPr="002F3516">
        <w:rPr>
          <w:rFonts w:ascii="Arial" w:hAnsi="Arial" w:cs="Arial"/>
          <w:color w:val="000000" w:themeColor="text1"/>
        </w:rPr>
        <w:t>was that there was an onus upon</w:t>
      </w:r>
      <w:r w:rsidR="007F2E8F" w:rsidRPr="002F3516">
        <w:rPr>
          <w:rFonts w:ascii="Arial" w:hAnsi="Arial" w:cs="Arial"/>
          <w:i/>
          <w:iCs/>
          <w:color w:val="000000" w:themeColor="text1"/>
        </w:rPr>
        <w:t xml:space="preserve"> </w:t>
      </w:r>
      <w:r w:rsidR="007F2E8F" w:rsidRPr="002F3516">
        <w:rPr>
          <w:rFonts w:ascii="Arial" w:hAnsi="Arial" w:cs="Arial"/>
          <w:color w:val="000000" w:themeColor="text1"/>
        </w:rPr>
        <w:t xml:space="preserve">SANRAL to </w:t>
      </w:r>
      <w:r w:rsidR="006041FA" w:rsidRPr="002F3516">
        <w:rPr>
          <w:rFonts w:ascii="Arial" w:hAnsi="Arial" w:cs="Arial"/>
          <w:color w:val="000000" w:themeColor="text1"/>
        </w:rPr>
        <w:t>demonstrate that, notwithstanding N</w:t>
      </w:r>
      <w:r w:rsidR="00076CD2" w:rsidRPr="002F3516">
        <w:rPr>
          <w:rFonts w:ascii="Arial" w:hAnsi="Arial" w:cs="Arial"/>
          <w:color w:val="000000" w:themeColor="text1"/>
        </w:rPr>
        <w:t>3</w:t>
      </w:r>
      <w:r w:rsidR="006041FA" w:rsidRPr="002F3516">
        <w:rPr>
          <w:rFonts w:ascii="Arial" w:hAnsi="Arial" w:cs="Arial"/>
          <w:color w:val="000000" w:themeColor="text1"/>
        </w:rPr>
        <w:t xml:space="preserve">TC’s objection to the production of the requested documents, the documents nevertheless did meet the requirements for the application of the public interest override. </w:t>
      </w:r>
    </w:p>
    <w:p w14:paraId="403509C3" w14:textId="77777777" w:rsidR="00F428B4" w:rsidRPr="00F428B4" w:rsidRDefault="00F428B4" w:rsidP="00F428B4">
      <w:pPr>
        <w:pStyle w:val="ListParagraph"/>
        <w:rPr>
          <w:rFonts w:ascii="Arial" w:hAnsi="Arial" w:cs="Arial"/>
          <w:color w:val="000000" w:themeColor="text1"/>
        </w:rPr>
      </w:pPr>
    </w:p>
    <w:p w14:paraId="13BD181C" w14:textId="4D0B245E" w:rsidR="007F2E8F"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6041FA" w:rsidRPr="002F3516">
        <w:rPr>
          <w:rFonts w:ascii="Arial" w:hAnsi="Arial" w:cs="Arial"/>
          <w:color w:val="000000" w:themeColor="text1"/>
        </w:rPr>
        <w:t>Put differently, SANRAL was required</w:t>
      </w:r>
      <w:r w:rsidR="00076CD2" w:rsidRPr="002F3516">
        <w:rPr>
          <w:rFonts w:ascii="Arial" w:hAnsi="Arial" w:cs="Arial"/>
          <w:color w:val="000000" w:themeColor="text1"/>
        </w:rPr>
        <w:t xml:space="preserve"> </w:t>
      </w:r>
      <w:r w:rsidR="006041FA" w:rsidRPr="002F3516">
        <w:rPr>
          <w:rFonts w:ascii="Arial" w:hAnsi="Arial" w:cs="Arial"/>
          <w:color w:val="000000" w:themeColor="text1"/>
        </w:rPr>
        <w:t>to objectively consider th</w:t>
      </w:r>
      <w:r w:rsidR="00076CD2" w:rsidRPr="002F3516">
        <w:rPr>
          <w:rFonts w:ascii="Arial" w:hAnsi="Arial" w:cs="Arial"/>
          <w:color w:val="000000" w:themeColor="text1"/>
        </w:rPr>
        <w:t>e requested documents themselves</w:t>
      </w:r>
      <w:r w:rsidR="006041FA" w:rsidRPr="002F3516">
        <w:rPr>
          <w:rFonts w:ascii="Arial" w:hAnsi="Arial" w:cs="Arial"/>
          <w:color w:val="000000" w:themeColor="text1"/>
        </w:rPr>
        <w:t xml:space="preserve"> and to then, either say on oath that </w:t>
      </w:r>
      <w:r w:rsidR="00076CD2" w:rsidRPr="002F3516">
        <w:rPr>
          <w:rFonts w:ascii="Arial" w:hAnsi="Arial" w:cs="Arial"/>
          <w:color w:val="000000" w:themeColor="text1"/>
        </w:rPr>
        <w:t>the documents did not meet the requirements for disclosure set out in s 46(a)(i) of PAIA or, if they did, in the opinion of SANRAL, to</w:t>
      </w:r>
      <w:r w:rsidR="006041FA" w:rsidRPr="002F3516">
        <w:rPr>
          <w:rFonts w:ascii="Arial" w:hAnsi="Arial" w:cs="Arial"/>
          <w:color w:val="000000" w:themeColor="text1"/>
        </w:rPr>
        <w:t xml:space="preserve"> make those documents available.</w:t>
      </w:r>
    </w:p>
    <w:p w14:paraId="15F4877E" w14:textId="77777777" w:rsidR="00570B73" w:rsidRPr="00570B73" w:rsidRDefault="00570B73" w:rsidP="00570B73">
      <w:pPr>
        <w:pStyle w:val="ListParagraph"/>
        <w:rPr>
          <w:rFonts w:ascii="Arial" w:hAnsi="Arial" w:cs="Arial"/>
          <w:color w:val="000000" w:themeColor="text1"/>
        </w:rPr>
      </w:pPr>
    </w:p>
    <w:p w14:paraId="3AC90981" w14:textId="77777777" w:rsidR="006041FA" w:rsidRPr="006041FA" w:rsidRDefault="006041FA" w:rsidP="006041FA">
      <w:pPr>
        <w:pStyle w:val="ListParagraph"/>
        <w:rPr>
          <w:rFonts w:ascii="Arial" w:hAnsi="Arial" w:cs="Arial"/>
          <w:color w:val="000000" w:themeColor="text1"/>
        </w:rPr>
      </w:pPr>
    </w:p>
    <w:p w14:paraId="35092479" w14:textId="7204E2F3" w:rsidR="006041FA"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1E0B8C" w:rsidRPr="002F3516">
        <w:rPr>
          <w:rFonts w:ascii="Arial" w:hAnsi="Arial" w:cs="Arial"/>
          <w:color w:val="000000" w:themeColor="text1"/>
        </w:rPr>
        <w:t xml:space="preserve">This argument was supported by </w:t>
      </w:r>
      <w:r w:rsidR="00475FA5" w:rsidRPr="002F3516">
        <w:rPr>
          <w:rFonts w:ascii="Arial" w:hAnsi="Arial" w:cs="Arial"/>
          <w:color w:val="000000" w:themeColor="text1"/>
        </w:rPr>
        <w:t xml:space="preserve">reference to </w:t>
      </w:r>
      <w:r w:rsidR="001E0B8C" w:rsidRPr="002F3516">
        <w:rPr>
          <w:rFonts w:ascii="Arial" w:hAnsi="Arial" w:cs="Arial"/>
          <w:color w:val="000000" w:themeColor="text1"/>
        </w:rPr>
        <w:t>the following pa</w:t>
      </w:r>
      <w:r w:rsidR="00475FA5" w:rsidRPr="002F3516">
        <w:rPr>
          <w:rFonts w:ascii="Arial" w:hAnsi="Arial" w:cs="Arial"/>
          <w:color w:val="000000" w:themeColor="text1"/>
        </w:rPr>
        <w:t>ragraphs</w:t>
      </w:r>
      <w:r w:rsidR="001E0B8C" w:rsidRPr="002F3516">
        <w:rPr>
          <w:rFonts w:ascii="Arial" w:hAnsi="Arial" w:cs="Arial"/>
          <w:color w:val="000000" w:themeColor="text1"/>
        </w:rPr>
        <w:t xml:space="preserve"> from </w:t>
      </w:r>
      <w:r w:rsidR="001E0B8C" w:rsidRPr="002F3516">
        <w:rPr>
          <w:rFonts w:ascii="Arial" w:hAnsi="Arial" w:cs="Arial"/>
          <w:i/>
          <w:iCs/>
          <w:color w:val="000000" w:themeColor="text1"/>
        </w:rPr>
        <w:t>Ericsson</w:t>
      </w:r>
      <w:r w:rsidR="001E0B8C" w:rsidRPr="002F3516">
        <w:rPr>
          <w:rFonts w:ascii="Arial" w:hAnsi="Arial" w:cs="Arial"/>
          <w:color w:val="000000" w:themeColor="text1"/>
        </w:rPr>
        <w:t>-</w:t>
      </w:r>
    </w:p>
    <w:p w14:paraId="7B312F4D" w14:textId="77777777" w:rsidR="001E0B8C" w:rsidRPr="001E0B8C" w:rsidRDefault="001E0B8C" w:rsidP="001E0B8C">
      <w:pPr>
        <w:pStyle w:val="ListParagraph"/>
        <w:rPr>
          <w:rFonts w:ascii="Arial" w:hAnsi="Arial" w:cs="Arial"/>
          <w:color w:val="000000" w:themeColor="text1"/>
        </w:rPr>
      </w:pPr>
    </w:p>
    <w:p w14:paraId="77AB6A06" w14:textId="53C2BCB8" w:rsidR="00F57113" w:rsidRPr="00BF6D81" w:rsidRDefault="00F57113" w:rsidP="00F57113">
      <w:pPr>
        <w:spacing w:line="360" w:lineRule="auto"/>
        <w:ind w:left="1701" w:hanging="850"/>
        <w:jc w:val="both"/>
        <w:rPr>
          <w:rFonts w:ascii="Arial" w:eastAsia="Times New Roman" w:hAnsi="Arial" w:cs="Arial"/>
          <w:i/>
          <w:color w:val="000000"/>
          <w:sz w:val="22"/>
          <w:szCs w:val="22"/>
          <w:lang w:eastAsia="en-ZA"/>
        </w:rPr>
      </w:pPr>
      <w:r w:rsidRPr="00BF6D81">
        <w:rPr>
          <w:rFonts w:ascii="Arial" w:eastAsia="Times New Roman" w:hAnsi="Arial" w:cs="Arial"/>
          <w:i/>
          <w:color w:val="000000"/>
          <w:sz w:val="22"/>
          <w:szCs w:val="22"/>
          <w:lang w:eastAsia="en-ZA"/>
        </w:rPr>
        <w:t xml:space="preserve">“[79] </w:t>
      </w:r>
      <w:r w:rsidRPr="00BF6D81">
        <w:rPr>
          <w:rFonts w:ascii="Arial" w:eastAsia="Times New Roman" w:hAnsi="Arial" w:cs="Arial"/>
          <w:i/>
          <w:color w:val="000000"/>
          <w:sz w:val="22"/>
          <w:szCs w:val="22"/>
          <w:lang w:eastAsia="en-ZA"/>
        </w:rPr>
        <w:tab/>
        <w:t>Finally, I consider the reliance on s 46, which permits an exemption from disclosure in the public interest. The respondents must show that granting access of the record to Ericsson would reveal evidence of a substantial contravention or non-compliance with the law or an imminent and serious public-safety risk. I refer to this as the 'harm' requirement. It is found in s 46</w:t>
      </w:r>
      <w:r w:rsidRPr="00BF6D81">
        <w:rPr>
          <w:rFonts w:ascii="Arial" w:eastAsia="Times New Roman" w:hAnsi="Arial" w:cs="Arial"/>
          <w:i/>
          <w:iCs/>
          <w:color w:val="000000"/>
          <w:sz w:val="22"/>
          <w:szCs w:val="22"/>
          <w:lang w:eastAsia="en-ZA"/>
        </w:rPr>
        <w:t>(a)</w:t>
      </w:r>
      <w:r w:rsidRPr="00BF6D81">
        <w:rPr>
          <w:rFonts w:ascii="Arial" w:eastAsia="Times New Roman" w:hAnsi="Arial" w:cs="Arial"/>
          <w:i/>
          <w:color w:val="000000"/>
          <w:sz w:val="22"/>
          <w:szCs w:val="22"/>
          <w:lang w:eastAsia="en-ZA"/>
        </w:rPr>
        <w:t xml:space="preserve">. In </w:t>
      </w:r>
      <w:r w:rsidRPr="00BF6D81">
        <w:rPr>
          <w:rFonts w:ascii="Arial" w:eastAsia="Times New Roman" w:hAnsi="Arial" w:cs="Arial"/>
          <w:i/>
          <w:color w:val="000000"/>
          <w:sz w:val="22"/>
          <w:szCs w:val="22"/>
          <w:lang w:eastAsia="en-ZA"/>
        </w:rPr>
        <w:lastRenderedPageBreak/>
        <w:t>addition, they must show that the public interest in disclosing the record 'clearly outweighs the harm contemplated'. I refer to this as the 'balance' requirement. It is found in s 46</w:t>
      </w:r>
      <w:r w:rsidRPr="00BF6D81">
        <w:rPr>
          <w:rFonts w:ascii="Arial" w:eastAsia="Times New Roman" w:hAnsi="Arial" w:cs="Arial"/>
          <w:i/>
          <w:iCs/>
          <w:color w:val="000000"/>
          <w:sz w:val="22"/>
          <w:szCs w:val="22"/>
          <w:lang w:eastAsia="en-ZA"/>
        </w:rPr>
        <w:t>(b)</w:t>
      </w:r>
      <w:r w:rsidRPr="00BF6D81">
        <w:rPr>
          <w:rFonts w:ascii="Arial" w:eastAsia="Times New Roman" w:hAnsi="Arial" w:cs="Arial"/>
          <w:i/>
          <w:color w:val="000000"/>
          <w:sz w:val="22"/>
          <w:szCs w:val="22"/>
          <w:lang w:eastAsia="en-ZA"/>
        </w:rPr>
        <w:t>.</w:t>
      </w:r>
    </w:p>
    <w:p w14:paraId="060F7007" w14:textId="77777777" w:rsidR="00F57113" w:rsidRPr="00BF6D81" w:rsidRDefault="00F57113" w:rsidP="00F57113">
      <w:pPr>
        <w:spacing w:line="360" w:lineRule="auto"/>
        <w:ind w:left="1418" w:hanging="567"/>
        <w:jc w:val="both"/>
        <w:rPr>
          <w:rFonts w:ascii="Arial" w:eastAsia="Times New Roman" w:hAnsi="Arial" w:cs="Arial"/>
          <w:i/>
          <w:color w:val="000000"/>
          <w:sz w:val="22"/>
          <w:szCs w:val="22"/>
          <w:lang w:eastAsia="en-ZA"/>
        </w:rPr>
      </w:pPr>
    </w:p>
    <w:p w14:paraId="19497C29" w14:textId="70CEBBAD" w:rsidR="00F57113" w:rsidRPr="00BF6D81" w:rsidRDefault="00F57113" w:rsidP="00F57113">
      <w:pPr>
        <w:spacing w:line="360" w:lineRule="auto"/>
        <w:ind w:left="1701" w:hanging="850"/>
        <w:jc w:val="both"/>
        <w:rPr>
          <w:rFonts w:ascii="Arial" w:eastAsia="Times New Roman" w:hAnsi="Arial" w:cs="Arial"/>
          <w:i/>
          <w:color w:val="000000"/>
          <w:sz w:val="22"/>
          <w:szCs w:val="22"/>
          <w:lang w:eastAsia="en-ZA"/>
        </w:rPr>
      </w:pPr>
      <w:r w:rsidRPr="00BF6D81">
        <w:rPr>
          <w:rFonts w:ascii="Arial" w:eastAsia="Times New Roman" w:hAnsi="Arial" w:cs="Arial"/>
          <w:i/>
          <w:color w:val="000000"/>
          <w:sz w:val="22"/>
          <w:szCs w:val="22"/>
          <w:lang w:eastAsia="en-ZA"/>
        </w:rPr>
        <w:t xml:space="preserve">[80] </w:t>
      </w:r>
      <w:r w:rsidRPr="00BF6D81">
        <w:rPr>
          <w:rFonts w:ascii="Arial" w:eastAsia="Times New Roman" w:hAnsi="Arial" w:cs="Arial"/>
          <w:i/>
          <w:color w:val="000000"/>
          <w:sz w:val="22"/>
          <w:szCs w:val="22"/>
          <w:lang w:eastAsia="en-ZA"/>
        </w:rPr>
        <w:tab/>
        <w:t>These two requirements are linked. A public body relying on s 46 must not only show that there is a public-interest element in refusing disclosure. It must show also that the harm contemplated from disclosure outweighs the public interest in disclosure. This means that unless the harm requirement is satisfied, no assessment can be made under the balance requirement.</w:t>
      </w:r>
    </w:p>
    <w:p w14:paraId="332CEC8A" w14:textId="77777777" w:rsidR="00F57113" w:rsidRPr="00BF6D81" w:rsidRDefault="00F57113" w:rsidP="00F57113">
      <w:pPr>
        <w:spacing w:line="360" w:lineRule="auto"/>
        <w:ind w:left="1418" w:hanging="567"/>
        <w:jc w:val="both"/>
        <w:rPr>
          <w:rFonts w:ascii="Arial" w:eastAsia="Times New Roman" w:hAnsi="Arial" w:cs="Arial"/>
          <w:i/>
          <w:color w:val="000000"/>
          <w:sz w:val="22"/>
          <w:szCs w:val="22"/>
          <w:lang w:eastAsia="en-ZA"/>
        </w:rPr>
      </w:pPr>
    </w:p>
    <w:p w14:paraId="5D7B3416" w14:textId="4602DE13" w:rsidR="00F57113" w:rsidRPr="00BF6D81" w:rsidRDefault="00F57113" w:rsidP="00F57113">
      <w:pPr>
        <w:spacing w:line="360" w:lineRule="auto"/>
        <w:ind w:left="1701" w:hanging="850"/>
        <w:jc w:val="both"/>
        <w:rPr>
          <w:rFonts w:ascii="Arial" w:eastAsia="Times New Roman" w:hAnsi="Arial" w:cs="Arial"/>
          <w:i/>
          <w:color w:val="000000"/>
          <w:sz w:val="22"/>
          <w:szCs w:val="22"/>
          <w:lang w:eastAsia="en-ZA"/>
        </w:rPr>
      </w:pPr>
      <w:r w:rsidRPr="00BF6D81">
        <w:rPr>
          <w:rFonts w:ascii="Arial" w:eastAsia="Times New Roman" w:hAnsi="Arial" w:cs="Arial"/>
          <w:i/>
          <w:color w:val="000000"/>
          <w:sz w:val="22"/>
          <w:szCs w:val="22"/>
          <w:lang w:eastAsia="en-ZA"/>
        </w:rPr>
        <w:t xml:space="preserve">[81] </w:t>
      </w:r>
      <w:r w:rsidRPr="00BF6D81">
        <w:rPr>
          <w:rFonts w:ascii="Arial" w:eastAsia="Times New Roman" w:hAnsi="Arial" w:cs="Arial"/>
          <w:i/>
          <w:color w:val="000000"/>
          <w:sz w:val="22"/>
          <w:szCs w:val="22"/>
          <w:lang w:eastAsia="en-ZA"/>
        </w:rPr>
        <w:tab/>
        <w:t>The respondents' case is that 'the public interest is better served by not disclosing forensic reports which contain confidential information related to sensitive proceedings'. It is noteworthy that this statement is not even directed at the Nexus report per se, but at all forensic reports of a similar nature. Once again, the statement is so generalised as to be of no assistance to the court.</w:t>
      </w:r>
    </w:p>
    <w:p w14:paraId="5A8A148B" w14:textId="77777777" w:rsidR="00F57113" w:rsidRPr="00BF6D81" w:rsidRDefault="00F57113" w:rsidP="00F57113">
      <w:pPr>
        <w:spacing w:line="360" w:lineRule="auto"/>
        <w:ind w:left="1418" w:hanging="567"/>
        <w:jc w:val="both"/>
        <w:rPr>
          <w:rFonts w:ascii="Arial" w:eastAsia="Times New Roman" w:hAnsi="Arial" w:cs="Arial"/>
          <w:i/>
          <w:color w:val="000000"/>
          <w:sz w:val="22"/>
          <w:szCs w:val="22"/>
          <w:lang w:eastAsia="en-ZA"/>
        </w:rPr>
      </w:pPr>
    </w:p>
    <w:p w14:paraId="7E430F8E" w14:textId="770E4D0D" w:rsidR="00F57113" w:rsidRPr="00BF6D81" w:rsidRDefault="00F57113" w:rsidP="00F57113">
      <w:pPr>
        <w:spacing w:line="360" w:lineRule="auto"/>
        <w:ind w:left="1701" w:hanging="850"/>
        <w:jc w:val="both"/>
        <w:rPr>
          <w:rFonts w:ascii="Arial" w:eastAsia="Times New Roman" w:hAnsi="Arial" w:cs="Arial"/>
          <w:i/>
          <w:color w:val="000000"/>
          <w:sz w:val="22"/>
          <w:szCs w:val="22"/>
          <w:lang w:eastAsia="en-ZA"/>
        </w:rPr>
      </w:pPr>
      <w:r w:rsidRPr="00BF6D81">
        <w:rPr>
          <w:rFonts w:ascii="Arial" w:eastAsia="Times New Roman" w:hAnsi="Arial" w:cs="Arial"/>
          <w:i/>
          <w:color w:val="000000"/>
          <w:sz w:val="22"/>
          <w:szCs w:val="22"/>
          <w:lang w:eastAsia="en-ZA"/>
        </w:rPr>
        <w:t xml:space="preserve">[82] </w:t>
      </w:r>
      <w:r w:rsidRPr="00BF6D81">
        <w:rPr>
          <w:rFonts w:ascii="Arial" w:eastAsia="Times New Roman" w:hAnsi="Arial" w:cs="Arial"/>
          <w:i/>
          <w:color w:val="000000"/>
          <w:sz w:val="22"/>
          <w:szCs w:val="22"/>
          <w:lang w:eastAsia="en-ZA"/>
        </w:rPr>
        <w:tab/>
        <w:t>More critically, however, the respondents' defence is ill-founded for the simple reason that they fail to address the harm requirement. They do not indicate what substantial contravention of the law would be revealed by providing access to the report, or what serious and imminent risk to public safety would arise as a result of disclosure. Their failure to do so precludes them from being permitted to rely on this ground of exemption.”</w:t>
      </w:r>
    </w:p>
    <w:p w14:paraId="4E71B4C8" w14:textId="4BFB02E8" w:rsidR="001E0B8C" w:rsidRDefault="001E0B8C" w:rsidP="001E0B8C">
      <w:pPr>
        <w:pStyle w:val="ListParagraph"/>
        <w:spacing w:line="360" w:lineRule="auto"/>
        <w:ind w:left="851"/>
        <w:jc w:val="both"/>
        <w:rPr>
          <w:rFonts w:ascii="Arial" w:hAnsi="Arial" w:cs="Arial"/>
          <w:color w:val="000000" w:themeColor="text1"/>
        </w:rPr>
      </w:pPr>
    </w:p>
    <w:p w14:paraId="5852A823" w14:textId="77777777" w:rsidR="007F2E8F" w:rsidRPr="007F2E8F" w:rsidRDefault="007F2E8F" w:rsidP="007F2E8F">
      <w:pPr>
        <w:pStyle w:val="ListParagraph"/>
        <w:rPr>
          <w:rFonts w:ascii="Arial" w:hAnsi="Arial" w:cs="Arial"/>
          <w:color w:val="000000" w:themeColor="text1"/>
        </w:rPr>
      </w:pPr>
    </w:p>
    <w:p w14:paraId="59494DFD" w14:textId="6BBD0DEA" w:rsidR="00943963"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862FF6" w:rsidRPr="002F3516">
        <w:rPr>
          <w:rFonts w:ascii="Arial" w:hAnsi="Arial" w:cs="Arial"/>
          <w:color w:val="000000" w:themeColor="text1"/>
        </w:rPr>
        <w:t xml:space="preserve">Notwithstanding the objection of N3TC to the furnishing of its information to OUTA and the mandatory refusal to furnish the documents that s 36 enjoins in those circumstances, it was argued that s 46 expressly </w:t>
      </w:r>
      <w:r w:rsidR="00943963" w:rsidRPr="002F3516">
        <w:rPr>
          <w:rFonts w:ascii="Arial" w:hAnsi="Arial" w:cs="Arial"/>
          <w:color w:val="000000" w:themeColor="text1"/>
        </w:rPr>
        <w:t>provides that this may nevertheless be overridden</w:t>
      </w:r>
      <w:r w:rsidR="00862FF6" w:rsidRPr="002F3516">
        <w:rPr>
          <w:rFonts w:ascii="Arial" w:hAnsi="Arial" w:cs="Arial"/>
          <w:color w:val="000000" w:themeColor="text1"/>
        </w:rPr>
        <w:t xml:space="preserve">. </w:t>
      </w:r>
      <w:r w:rsidR="00943963" w:rsidRPr="002F3516">
        <w:rPr>
          <w:rFonts w:ascii="Arial" w:hAnsi="Arial" w:cs="Arial"/>
          <w:color w:val="000000" w:themeColor="text1"/>
        </w:rPr>
        <w:t>From a</w:t>
      </w:r>
      <w:r w:rsidR="00862FF6" w:rsidRPr="002F3516">
        <w:rPr>
          <w:rFonts w:ascii="Arial" w:hAnsi="Arial" w:cs="Arial"/>
          <w:color w:val="000000" w:themeColor="text1"/>
        </w:rPr>
        <w:t xml:space="preserve"> plain reading of the two sections this is </w:t>
      </w:r>
      <w:r w:rsidR="00943963" w:rsidRPr="002F3516">
        <w:rPr>
          <w:rFonts w:ascii="Arial" w:hAnsi="Arial" w:cs="Arial"/>
          <w:color w:val="000000" w:themeColor="text1"/>
        </w:rPr>
        <w:t>apparent</w:t>
      </w:r>
      <w:r w:rsidR="00862FF6" w:rsidRPr="002F3516">
        <w:rPr>
          <w:rFonts w:ascii="Arial" w:hAnsi="Arial" w:cs="Arial"/>
          <w:color w:val="000000" w:themeColor="text1"/>
        </w:rPr>
        <w:t xml:space="preserve">. </w:t>
      </w:r>
    </w:p>
    <w:p w14:paraId="346DFB55" w14:textId="77777777" w:rsidR="00943963" w:rsidRDefault="00943963" w:rsidP="00943963">
      <w:pPr>
        <w:pStyle w:val="ListParagraph"/>
        <w:spacing w:line="360" w:lineRule="auto"/>
        <w:ind w:left="851"/>
        <w:jc w:val="both"/>
        <w:rPr>
          <w:rFonts w:ascii="Arial" w:hAnsi="Arial" w:cs="Arial"/>
          <w:color w:val="000000" w:themeColor="text1"/>
        </w:rPr>
      </w:pPr>
    </w:p>
    <w:p w14:paraId="63277183" w14:textId="470CDF68" w:rsidR="00F57113"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862FF6" w:rsidRPr="002F3516">
        <w:rPr>
          <w:rFonts w:ascii="Arial" w:hAnsi="Arial" w:cs="Arial"/>
          <w:color w:val="000000" w:themeColor="text1"/>
        </w:rPr>
        <w:t>However, the argument of OUTA went further and was that the onus was on SANRAL to scrutinize the documents and to nonetheless consider whether or not the provisions of s 46 would compel disclosure.</w:t>
      </w:r>
      <w:r w:rsidR="00943963" w:rsidRPr="002F3516">
        <w:rPr>
          <w:rFonts w:ascii="Arial" w:hAnsi="Arial" w:cs="Arial"/>
          <w:color w:val="000000" w:themeColor="text1"/>
        </w:rPr>
        <w:t xml:space="preserve"> Having regard to the provisions of s 46, an evaluation is required as to whether the record </w:t>
      </w:r>
      <w:r w:rsidR="000C3FDC" w:rsidRPr="002F3516">
        <w:rPr>
          <w:rFonts w:ascii="Arial" w:hAnsi="Arial" w:cs="Arial"/>
          <w:color w:val="000000" w:themeColor="text1"/>
        </w:rPr>
        <w:t>“</w:t>
      </w:r>
      <w:r w:rsidR="000C3FDC" w:rsidRPr="002F3516">
        <w:rPr>
          <w:rFonts w:ascii="Arial" w:hAnsi="Arial" w:cs="Arial"/>
          <w:i/>
          <w:iCs/>
          <w:color w:val="000000" w:themeColor="text1"/>
          <w:sz w:val="22"/>
          <w:szCs w:val="22"/>
        </w:rPr>
        <w:t>would reveal</w:t>
      </w:r>
      <w:r w:rsidR="000C3FDC" w:rsidRPr="002F3516">
        <w:rPr>
          <w:rFonts w:ascii="Arial" w:hAnsi="Arial" w:cs="Arial"/>
          <w:color w:val="000000" w:themeColor="text1"/>
        </w:rPr>
        <w:t xml:space="preserve">”, in terms </w:t>
      </w:r>
      <w:r w:rsidR="000C3FDC" w:rsidRPr="002F3516">
        <w:rPr>
          <w:rFonts w:ascii="Arial" w:hAnsi="Arial" w:cs="Arial"/>
          <w:color w:val="000000" w:themeColor="text1"/>
        </w:rPr>
        <w:lastRenderedPageBreak/>
        <w:t>of s</w:t>
      </w:r>
      <w:r w:rsidR="001D17BE" w:rsidRPr="002F3516">
        <w:rPr>
          <w:rFonts w:ascii="Arial" w:hAnsi="Arial" w:cs="Arial"/>
          <w:color w:val="000000" w:themeColor="text1"/>
        </w:rPr>
        <w:t xml:space="preserve"> </w:t>
      </w:r>
      <w:r w:rsidR="000C3FDC" w:rsidRPr="002F3516">
        <w:rPr>
          <w:rFonts w:ascii="Arial" w:hAnsi="Arial" w:cs="Arial"/>
          <w:color w:val="000000" w:themeColor="text1"/>
        </w:rPr>
        <w:t xml:space="preserve">46(a)(i) </w:t>
      </w:r>
      <w:r w:rsidR="000C3FDC" w:rsidRPr="002F3516">
        <w:rPr>
          <w:rFonts w:ascii="Arial" w:hAnsi="Arial" w:cs="Arial"/>
          <w:i/>
          <w:iCs/>
          <w:color w:val="000000" w:themeColor="text1"/>
          <w:sz w:val="22"/>
          <w:szCs w:val="22"/>
        </w:rPr>
        <w:t>“a substantial contravention of, or failure to comply with, the law”</w:t>
      </w:r>
      <w:r w:rsidR="000C3FDC" w:rsidRPr="002F3516">
        <w:rPr>
          <w:rFonts w:ascii="Arial" w:hAnsi="Arial" w:cs="Arial"/>
          <w:color w:val="000000" w:themeColor="text1"/>
        </w:rPr>
        <w:t xml:space="preserve"> and if it was found to be so, that in terms of s</w:t>
      </w:r>
      <w:r w:rsidR="00560362" w:rsidRPr="002F3516">
        <w:rPr>
          <w:rFonts w:ascii="Arial" w:hAnsi="Arial" w:cs="Arial"/>
          <w:color w:val="000000" w:themeColor="text1"/>
        </w:rPr>
        <w:t xml:space="preserve"> </w:t>
      </w:r>
      <w:r w:rsidR="000C3FDC" w:rsidRPr="002F3516">
        <w:rPr>
          <w:rFonts w:ascii="Arial" w:hAnsi="Arial" w:cs="Arial"/>
          <w:color w:val="000000" w:themeColor="text1"/>
        </w:rPr>
        <w:t>46(b)</w:t>
      </w:r>
      <w:r w:rsidR="00475FA5" w:rsidRPr="002F3516">
        <w:rPr>
          <w:rFonts w:ascii="Arial" w:hAnsi="Arial" w:cs="Arial"/>
          <w:color w:val="000000" w:themeColor="text1"/>
        </w:rPr>
        <w:t xml:space="preserve"> if</w:t>
      </w:r>
      <w:r w:rsidR="000C3FDC" w:rsidRPr="002F3516">
        <w:rPr>
          <w:rFonts w:ascii="Arial" w:hAnsi="Arial" w:cs="Arial"/>
          <w:color w:val="000000" w:themeColor="text1"/>
        </w:rPr>
        <w:t xml:space="preserve"> </w:t>
      </w:r>
      <w:r w:rsidR="000C3FDC" w:rsidRPr="002F3516">
        <w:rPr>
          <w:rFonts w:ascii="Arial" w:hAnsi="Arial" w:cs="Arial"/>
          <w:i/>
          <w:iCs/>
          <w:color w:val="000000" w:themeColor="text1"/>
          <w:sz w:val="22"/>
          <w:szCs w:val="22"/>
        </w:rPr>
        <w:t>“the public interest in the disclosure of the record clearly outweighs the harm contemplated in the provision in question.”</w:t>
      </w:r>
      <w:r w:rsidR="000C3FDC" w:rsidRPr="002F3516">
        <w:rPr>
          <w:rFonts w:ascii="Arial" w:hAnsi="Arial" w:cs="Arial"/>
          <w:color w:val="000000" w:themeColor="text1"/>
        </w:rPr>
        <w:t xml:space="preserve"> </w:t>
      </w:r>
      <w:r w:rsidR="00475FA5" w:rsidRPr="002F3516">
        <w:rPr>
          <w:rFonts w:ascii="Arial" w:hAnsi="Arial" w:cs="Arial"/>
          <w:color w:val="000000" w:themeColor="text1"/>
        </w:rPr>
        <w:t xml:space="preserve"> Then SANRAL was obligated to make the documents available. </w:t>
      </w:r>
      <w:r w:rsidR="000C3FDC" w:rsidRPr="002F3516">
        <w:rPr>
          <w:rFonts w:ascii="Arial" w:hAnsi="Arial" w:cs="Arial"/>
          <w:color w:val="000000" w:themeColor="text1"/>
        </w:rPr>
        <w:t>Th</w:t>
      </w:r>
      <w:r w:rsidR="00475FA5" w:rsidRPr="002F3516">
        <w:rPr>
          <w:rFonts w:ascii="Arial" w:hAnsi="Arial" w:cs="Arial"/>
          <w:color w:val="000000" w:themeColor="text1"/>
        </w:rPr>
        <w:t>is</w:t>
      </w:r>
      <w:r w:rsidR="000C3FDC" w:rsidRPr="002F3516">
        <w:rPr>
          <w:rFonts w:ascii="Arial" w:hAnsi="Arial" w:cs="Arial"/>
          <w:color w:val="000000" w:themeColor="text1"/>
        </w:rPr>
        <w:t xml:space="preserve"> evaluation is something which was to be undertaken once the objection of N3TC to the furnishing of the records was received.</w:t>
      </w:r>
    </w:p>
    <w:p w14:paraId="4511EA57" w14:textId="77777777" w:rsidR="000C3FDC" w:rsidRPr="000C3FDC" w:rsidRDefault="000C3FDC" w:rsidP="000C3FDC">
      <w:pPr>
        <w:pStyle w:val="ListParagraph"/>
        <w:rPr>
          <w:rFonts w:ascii="Arial" w:hAnsi="Arial" w:cs="Arial"/>
          <w:color w:val="000000" w:themeColor="text1"/>
        </w:rPr>
      </w:pPr>
    </w:p>
    <w:p w14:paraId="51CD1E58" w14:textId="6BFB374C" w:rsidR="000C3FDC"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0C3FDC" w:rsidRPr="002F3516">
        <w:rPr>
          <w:rFonts w:ascii="Arial" w:hAnsi="Arial" w:cs="Arial"/>
          <w:color w:val="000000" w:themeColor="text1"/>
        </w:rPr>
        <w:t>In the present matter, no reasons for the refusal were communicated to OUTA prior to the institution of the proceedings. The</w:t>
      </w:r>
      <w:r w:rsidR="00475FA5" w:rsidRPr="002F3516">
        <w:rPr>
          <w:rFonts w:ascii="Arial" w:hAnsi="Arial" w:cs="Arial"/>
          <w:color w:val="000000" w:themeColor="text1"/>
        </w:rPr>
        <w:t xml:space="preserve"> present proceedings </w:t>
      </w:r>
      <w:r w:rsidR="000C3FDC" w:rsidRPr="002F3516">
        <w:rPr>
          <w:rFonts w:ascii="Arial" w:hAnsi="Arial" w:cs="Arial"/>
          <w:color w:val="000000" w:themeColor="text1"/>
        </w:rPr>
        <w:t xml:space="preserve"> were brought on the basis of a deemed refusal in terms of s 27 of PAIA.</w:t>
      </w:r>
      <w:r w:rsidR="00560362" w:rsidRPr="002F3516">
        <w:rPr>
          <w:rFonts w:ascii="Arial" w:hAnsi="Arial" w:cs="Arial"/>
          <w:color w:val="000000" w:themeColor="text1"/>
        </w:rPr>
        <w:t xml:space="preserve"> It was only thereafter that  reasons were furnished.</w:t>
      </w:r>
    </w:p>
    <w:p w14:paraId="51D6D1B0" w14:textId="77777777" w:rsidR="00560362" w:rsidRPr="00560362" w:rsidRDefault="00560362" w:rsidP="00560362">
      <w:pPr>
        <w:pStyle w:val="ListParagraph"/>
        <w:rPr>
          <w:rFonts w:ascii="Arial" w:hAnsi="Arial" w:cs="Arial"/>
          <w:color w:val="000000" w:themeColor="text1"/>
        </w:rPr>
      </w:pPr>
    </w:p>
    <w:p w14:paraId="27E68707" w14:textId="03BC3493" w:rsidR="00560362" w:rsidRPr="002F3516" w:rsidRDefault="002F3516" w:rsidP="002F3516">
      <w:pPr>
        <w:spacing w:line="360" w:lineRule="auto"/>
        <w:ind w:left="851" w:hanging="851"/>
        <w:jc w:val="both"/>
        <w:rPr>
          <w:rFonts w:ascii="Arial" w:hAnsi="Arial" w:cs="Arial"/>
          <w:color w:val="000000" w:themeColor="text1"/>
        </w:rPr>
      </w:pPr>
      <w:r w:rsidRPr="00475FA5">
        <w:rPr>
          <w:rFonts w:ascii="Arial" w:hAnsi="Arial" w:cs="Arial"/>
          <w:color w:val="000000" w:themeColor="text1"/>
        </w:rPr>
        <w:t>[11]</w:t>
      </w:r>
      <w:r w:rsidRPr="00475FA5">
        <w:rPr>
          <w:rFonts w:ascii="Arial" w:hAnsi="Arial" w:cs="Arial"/>
          <w:color w:val="000000" w:themeColor="text1"/>
        </w:rPr>
        <w:tab/>
      </w:r>
      <w:r w:rsidR="00560362" w:rsidRPr="002F3516">
        <w:rPr>
          <w:rFonts w:ascii="Arial" w:hAnsi="Arial" w:cs="Arial"/>
          <w:color w:val="000000" w:themeColor="text1"/>
        </w:rPr>
        <w:t>The case for OUTA, both initially and even after SANRAL furnished its reasons, was never that SANRAL ought notwithstanding the objection of N3TC, to have considered separately the information sought through the lens of s 46 and to have then furnished its reasons</w:t>
      </w:r>
      <w:r w:rsidR="00475FA5" w:rsidRPr="002F3516">
        <w:rPr>
          <w:rFonts w:ascii="Arial" w:hAnsi="Arial" w:cs="Arial"/>
          <w:color w:val="000000" w:themeColor="text1"/>
        </w:rPr>
        <w:t xml:space="preserve"> </w:t>
      </w:r>
      <w:r w:rsidR="00560362" w:rsidRPr="002F3516">
        <w:rPr>
          <w:rFonts w:ascii="Arial" w:hAnsi="Arial" w:cs="Arial"/>
          <w:color w:val="000000" w:themeColor="text1"/>
        </w:rPr>
        <w:t xml:space="preserve"> specifically in this regard. It was argued in effect that SANRAL should have committed itself on oath that it had considered the information on this basis and found that s 46 did not apply. This argument was raised for the first time in this application and is consonant with what occurred in </w:t>
      </w:r>
      <w:r w:rsidR="00560362" w:rsidRPr="002F3516">
        <w:rPr>
          <w:rFonts w:ascii="Arial" w:hAnsi="Arial" w:cs="Arial"/>
          <w:i/>
          <w:iCs/>
          <w:color w:val="000000" w:themeColor="text1"/>
        </w:rPr>
        <w:t>Ericsson</w:t>
      </w:r>
      <w:r w:rsidR="00560362" w:rsidRPr="002F3516">
        <w:rPr>
          <w:rFonts w:ascii="Arial" w:hAnsi="Arial" w:cs="Arial"/>
          <w:color w:val="000000" w:themeColor="text1"/>
        </w:rPr>
        <w:t>.</w:t>
      </w:r>
    </w:p>
    <w:p w14:paraId="5F950A35" w14:textId="77777777" w:rsidR="00943963" w:rsidRPr="00BF6D81" w:rsidRDefault="00943963" w:rsidP="00BF6D81">
      <w:pPr>
        <w:spacing w:line="360" w:lineRule="auto"/>
        <w:jc w:val="both"/>
        <w:rPr>
          <w:rFonts w:ascii="Arial" w:hAnsi="Arial" w:cs="Arial"/>
          <w:color w:val="000000" w:themeColor="text1"/>
        </w:rPr>
      </w:pPr>
    </w:p>
    <w:p w14:paraId="602AC40E" w14:textId="4177DA47" w:rsidR="00862FF6"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862FF6" w:rsidRPr="002F3516">
        <w:rPr>
          <w:rFonts w:ascii="Arial" w:hAnsi="Arial" w:cs="Arial"/>
          <w:color w:val="000000" w:themeColor="text1"/>
        </w:rPr>
        <w:t xml:space="preserve">In </w:t>
      </w:r>
      <w:r w:rsidR="00862FF6" w:rsidRPr="002F3516">
        <w:rPr>
          <w:rFonts w:ascii="Arial" w:hAnsi="Arial" w:cs="Arial"/>
          <w:i/>
          <w:iCs/>
          <w:color w:val="000000" w:themeColor="text1"/>
        </w:rPr>
        <w:t>Eric</w:t>
      </w:r>
      <w:r w:rsidR="00560362" w:rsidRPr="002F3516">
        <w:rPr>
          <w:rFonts w:ascii="Arial" w:hAnsi="Arial" w:cs="Arial"/>
          <w:i/>
          <w:iCs/>
          <w:color w:val="000000" w:themeColor="text1"/>
        </w:rPr>
        <w:t>s</w:t>
      </w:r>
      <w:r w:rsidR="00862FF6" w:rsidRPr="002F3516">
        <w:rPr>
          <w:rFonts w:ascii="Arial" w:hAnsi="Arial" w:cs="Arial"/>
          <w:i/>
          <w:iCs/>
          <w:color w:val="000000" w:themeColor="text1"/>
        </w:rPr>
        <w:t>son</w:t>
      </w:r>
      <w:r w:rsidR="00862FF6" w:rsidRPr="002F3516">
        <w:rPr>
          <w:rFonts w:ascii="Arial" w:hAnsi="Arial" w:cs="Arial"/>
          <w:color w:val="000000" w:themeColor="text1"/>
        </w:rPr>
        <w:t xml:space="preserve">, the respondents raised the </w:t>
      </w:r>
      <w:r w:rsidR="00560362" w:rsidRPr="002F3516">
        <w:rPr>
          <w:rFonts w:ascii="Arial" w:hAnsi="Arial" w:cs="Arial"/>
          <w:color w:val="000000" w:themeColor="text1"/>
        </w:rPr>
        <w:t xml:space="preserve">s 46 </w:t>
      </w:r>
      <w:r w:rsidR="00862FF6" w:rsidRPr="002F3516">
        <w:rPr>
          <w:rFonts w:ascii="Arial" w:hAnsi="Arial" w:cs="Arial"/>
          <w:color w:val="000000" w:themeColor="text1"/>
        </w:rPr>
        <w:t xml:space="preserve">public interest override as a defence against the disclosure of the requested documents. In the present matter the case before me was somewhat different. The public interest override was asserted not </w:t>
      </w:r>
      <w:r w:rsidR="00560362" w:rsidRPr="002F3516">
        <w:rPr>
          <w:rFonts w:ascii="Arial" w:hAnsi="Arial" w:cs="Arial"/>
          <w:color w:val="000000" w:themeColor="text1"/>
        </w:rPr>
        <w:t>as the proverbial shield by SA</w:t>
      </w:r>
      <w:r w:rsidR="00DD05F4" w:rsidRPr="002F3516">
        <w:rPr>
          <w:rFonts w:ascii="Arial" w:hAnsi="Arial" w:cs="Arial"/>
          <w:color w:val="000000" w:themeColor="text1"/>
        </w:rPr>
        <w:t>N</w:t>
      </w:r>
      <w:r w:rsidR="00560362" w:rsidRPr="002F3516">
        <w:rPr>
          <w:rFonts w:ascii="Arial" w:hAnsi="Arial" w:cs="Arial"/>
          <w:color w:val="000000" w:themeColor="text1"/>
        </w:rPr>
        <w:t>RAL</w:t>
      </w:r>
      <w:r w:rsidR="000967F0" w:rsidRPr="002F3516">
        <w:rPr>
          <w:rFonts w:ascii="Arial" w:hAnsi="Arial" w:cs="Arial"/>
          <w:color w:val="000000" w:themeColor="text1"/>
        </w:rPr>
        <w:t xml:space="preserve"> as was done by the respondent in </w:t>
      </w:r>
      <w:r w:rsidR="000967F0" w:rsidRPr="002F3516">
        <w:rPr>
          <w:rFonts w:ascii="Arial" w:hAnsi="Arial" w:cs="Arial"/>
          <w:i/>
          <w:iCs/>
          <w:color w:val="000000" w:themeColor="text1"/>
        </w:rPr>
        <w:t>Ericsson</w:t>
      </w:r>
      <w:r w:rsidR="000967F0" w:rsidRPr="002F3516">
        <w:rPr>
          <w:rFonts w:ascii="Arial" w:hAnsi="Arial" w:cs="Arial"/>
          <w:color w:val="000000" w:themeColor="text1"/>
        </w:rPr>
        <w:t>,</w:t>
      </w:r>
      <w:r w:rsidR="00560362" w:rsidRPr="002F3516">
        <w:rPr>
          <w:rFonts w:ascii="Arial" w:hAnsi="Arial" w:cs="Arial"/>
          <w:color w:val="000000" w:themeColor="text1"/>
        </w:rPr>
        <w:t xml:space="preserve"> but rather as</w:t>
      </w:r>
      <w:r w:rsidR="00DD05F4" w:rsidRPr="002F3516">
        <w:rPr>
          <w:rFonts w:ascii="Arial" w:hAnsi="Arial" w:cs="Arial"/>
          <w:color w:val="000000" w:themeColor="text1"/>
        </w:rPr>
        <w:t xml:space="preserve"> a sword by OUTA.</w:t>
      </w:r>
    </w:p>
    <w:p w14:paraId="0D3FD694" w14:textId="77777777" w:rsidR="0045579C" w:rsidRDefault="0045579C" w:rsidP="0045579C">
      <w:pPr>
        <w:pStyle w:val="ListParagraph"/>
        <w:spacing w:line="360" w:lineRule="auto"/>
        <w:ind w:left="851"/>
        <w:jc w:val="both"/>
        <w:rPr>
          <w:rFonts w:ascii="Arial" w:hAnsi="Arial" w:cs="Arial"/>
          <w:color w:val="000000" w:themeColor="text1"/>
        </w:rPr>
      </w:pPr>
    </w:p>
    <w:p w14:paraId="6D62DA96" w14:textId="44755521" w:rsidR="000967F0"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0967F0" w:rsidRPr="002F3516">
        <w:rPr>
          <w:rFonts w:ascii="Arial" w:hAnsi="Arial" w:cs="Arial"/>
          <w:color w:val="000000" w:themeColor="text1"/>
        </w:rPr>
        <w:t xml:space="preserve">Inasmuch as the respondent in </w:t>
      </w:r>
      <w:r w:rsidR="000967F0" w:rsidRPr="002F3516">
        <w:rPr>
          <w:rFonts w:ascii="Arial" w:hAnsi="Arial" w:cs="Arial"/>
          <w:i/>
          <w:iCs/>
          <w:color w:val="000000" w:themeColor="text1"/>
        </w:rPr>
        <w:t>Ericsson</w:t>
      </w:r>
      <w:r w:rsidR="000967F0" w:rsidRPr="002F3516">
        <w:rPr>
          <w:rFonts w:ascii="Arial" w:hAnsi="Arial" w:cs="Arial"/>
          <w:color w:val="000000" w:themeColor="text1"/>
        </w:rPr>
        <w:t xml:space="preserve"> was unable to show that the disclosure of the information would </w:t>
      </w:r>
      <w:r w:rsidR="0045579C" w:rsidRPr="002F3516">
        <w:rPr>
          <w:rFonts w:ascii="Arial" w:hAnsi="Arial" w:cs="Arial"/>
          <w:color w:val="000000" w:themeColor="text1"/>
        </w:rPr>
        <w:t xml:space="preserve">not </w:t>
      </w:r>
      <w:r w:rsidR="000967F0" w:rsidRPr="002F3516">
        <w:rPr>
          <w:rFonts w:ascii="Arial" w:hAnsi="Arial" w:cs="Arial"/>
          <w:color w:val="000000" w:themeColor="text1"/>
        </w:rPr>
        <w:t>have revealed a substantial contravention of the law or that the public interest in the disclosure outweighed any harm, in the present matter, OUTA has failed to establish any contravention or failure to comply with the law on the part of either SANRAL or N3TC for that matter.</w:t>
      </w:r>
      <w:r w:rsidR="00F76C47" w:rsidRPr="002F3516">
        <w:rPr>
          <w:rFonts w:ascii="Arial" w:hAnsi="Arial" w:cs="Arial"/>
          <w:color w:val="000000" w:themeColor="text1"/>
        </w:rPr>
        <w:t xml:space="preserve"> This was dealt with in paragraphs [49] to [60] in the main judgment.</w:t>
      </w:r>
      <w:r w:rsidR="0045579C" w:rsidRPr="002F3516">
        <w:rPr>
          <w:rFonts w:ascii="Arial" w:hAnsi="Arial" w:cs="Arial"/>
          <w:color w:val="000000" w:themeColor="text1"/>
        </w:rPr>
        <w:t xml:space="preserve"> </w:t>
      </w:r>
    </w:p>
    <w:p w14:paraId="129BDDD2" w14:textId="6E813502" w:rsidR="000967F0" w:rsidRDefault="000967F0" w:rsidP="000967F0">
      <w:pPr>
        <w:pStyle w:val="ListParagraph"/>
        <w:spacing w:line="360" w:lineRule="auto"/>
        <w:ind w:left="851"/>
        <w:jc w:val="both"/>
        <w:rPr>
          <w:rFonts w:ascii="Arial" w:hAnsi="Arial" w:cs="Arial"/>
          <w:color w:val="000000" w:themeColor="text1"/>
        </w:rPr>
      </w:pPr>
    </w:p>
    <w:p w14:paraId="6DDB7367" w14:textId="77777777" w:rsidR="00636C6D" w:rsidRDefault="00636C6D" w:rsidP="000967F0">
      <w:pPr>
        <w:pStyle w:val="ListParagraph"/>
        <w:spacing w:line="360" w:lineRule="auto"/>
        <w:ind w:left="851"/>
        <w:jc w:val="both"/>
        <w:rPr>
          <w:rFonts w:ascii="Arial" w:hAnsi="Arial" w:cs="Arial"/>
          <w:color w:val="000000" w:themeColor="text1"/>
        </w:rPr>
      </w:pPr>
    </w:p>
    <w:p w14:paraId="6DCB486F" w14:textId="4BEA3F9F" w:rsidR="0045579C"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0967F0" w:rsidRPr="002F3516">
        <w:rPr>
          <w:rFonts w:ascii="Arial" w:hAnsi="Arial" w:cs="Arial"/>
          <w:color w:val="000000" w:themeColor="text1"/>
        </w:rPr>
        <w:t>It was argued for OUTA that in consequence of the fact that OUTA need not have furnished any reasons for why it requested the documents that it did</w:t>
      </w:r>
      <w:r w:rsidR="00F76C47" w:rsidRPr="002F3516">
        <w:rPr>
          <w:rFonts w:ascii="Arial" w:hAnsi="Arial" w:cs="Arial"/>
          <w:color w:val="000000" w:themeColor="text1"/>
        </w:rPr>
        <w:t>, that there was no onus upon it to lay any basis for its</w:t>
      </w:r>
      <w:r w:rsidR="0045579C" w:rsidRPr="002F3516">
        <w:rPr>
          <w:rFonts w:ascii="Arial" w:hAnsi="Arial" w:cs="Arial"/>
          <w:color w:val="000000" w:themeColor="text1"/>
        </w:rPr>
        <w:t xml:space="preserve"> claim for the application of s 46</w:t>
      </w:r>
      <w:r w:rsidR="00F76C47" w:rsidRPr="002F3516">
        <w:rPr>
          <w:rFonts w:ascii="Arial" w:hAnsi="Arial" w:cs="Arial"/>
          <w:color w:val="000000" w:themeColor="text1"/>
        </w:rPr>
        <w:t>.</w:t>
      </w:r>
      <w:r w:rsidR="0045579C" w:rsidRPr="002F3516">
        <w:rPr>
          <w:rFonts w:ascii="Arial" w:hAnsi="Arial" w:cs="Arial"/>
          <w:color w:val="000000" w:themeColor="text1"/>
        </w:rPr>
        <w:t xml:space="preserve"> Again, this approach is consonant with the findings in</w:t>
      </w:r>
      <w:r w:rsidR="0045579C" w:rsidRPr="002F3516">
        <w:rPr>
          <w:rFonts w:ascii="Arial" w:hAnsi="Arial" w:cs="Arial"/>
          <w:i/>
          <w:iCs/>
          <w:color w:val="000000" w:themeColor="text1"/>
        </w:rPr>
        <w:t xml:space="preserve"> Ericsson</w:t>
      </w:r>
      <w:r w:rsidR="0045579C" w:rsidRPr="002F3516">
        <w:rPr>
          <w:rFonts w:ascii="Arial" w:hAnsi="Arial" w:cs="Arial"/>
          <w:color w:val="000000" w:themeColor="text1"/>
        </w:rPr>
        <w:t>, but</w:t>
      </w:r>
      <w:r w:rsidR="00F428B4" w:rsidRPr="002F3516">
        <w:rPr>
          <w:rFonts w:ascii="Arial" w:hAnsi="Arial" w:cs="Arial"/>
          <w:color w:val="000000" w:themeColor="text1"/>
        </w:rPr>
        <w:t xml:space="preserve"> </w:t>
      </w:r>
      <w:r w:rsidR="0045579C" w:rsidRPr="002F3516">
        <w:rPr>
          <w:rFonts w:ascii="Arial" w:hAnsi="Arial" w:cs="Arial"/>
          <w:color w:val="000000" w:themeColor="text1"/>
        </w:rPr>
        <w:t>t</w:t>
      </w:r>
      <w:r w:rsidR="00F428B4" w:rsidRPr="002F3516">
        <w:rPr>
          <w:rFonts w:ascii="Arial" w:hAnsi="Arial" w:cs="Arial"/>
          <w:color w:val="000000" w:themeColor="text1"/>
        </w:rPr>
        <w:t xml:space="preserve">his was not the case that was before me. </w:t>
      </w:r>
    </w:p>
    <w:p w14:paraId="2AA6B21A" w14:textId="77777777" w:rsidR="0045579C" w:rsidRPr="0045579C" w:rsidRDefault="0045579C" w:rsidP="0045579C">
      <w:pPr>
        <w:pStyle w:val="ListParagraph"/>
        <w:rPr>
          <w:rFonts w:ascii="Arial" w:hAnsi="Arial" w:cs="Arial"/>
          <w:color w:val="000000" w:themeColor="text1"/>
        </w:rPr>
      </w:pPr>
    </w:p>
    <w:p w14:paraId="6D12EDC2" w14:textId="1890A5C1" w:rsidR="0045579C"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45579C" w:rsidRPr="002F3516">
        <w:rPr>
          <w:rFonts w:ascii="Arial" w:hAnsi="Arial" w:cs="Arial"/>
          <w:color w:val="000000" w:themeColor="text1"/>
        </w:rPr>
        <w:t xml:space="preserve">The consequence of the deemed refusal was that it also encompassed any consideration on the part of SANRAL </w:t>
      </w:r>
      <w:r w:rsidR="00475FA5" w:rsidRPr="002F3516">
        <w:rPr>
          <w:rFonts w:ascii="Arial" w:hAnsi="Arial" w:cs="Arial"/>
          <w:color w:val="000000" w:themeColor="text1"/>
        </w:rPr>
        <w:t xml:space="preserve">of the documents (if they had them, something which was in dispute in respect of certain documents) </w:t>
      </w:r>
      <w:r w:rsidR="0045579C" w:rsidRPr="002F3516">
        <w:rPr>
          <w:rFonts w:ascii="Arial" w:hAnsi="Arial" w:cs="Arial"/>
          <w:color w:val="000000" w:themeColor="text1"/>
        </w:rPr>
        <w:t>in terms of s 46 and on that basis, it must be deemed that SANRAL’s consideration of the information did not trigger either s 46(a)(i) of s 46(b).</w:t>
      </w:r>
      <w:r w:rsidR="00950942" w:rsidRPr="002F3516">
        <w:rPr>
          <w:rFonts w:ascii="Arial" w:hAnsi="Arial" w:cs="Arial"/>
          <w:color w:val="000000" w:themeColor="text1"/>
        </w:rPr>
        <w:t xml:space="preserve"> Once that had occurred it was incumbent on OUTA to make out </w:t>
      </w:r>
      <w:r w:rsidR="00475FA5" w:rsidRPr="002F3516">
        <w:rPr>
          <w:rFonts w:ascii="Arial" w:hAnsi="Arial" w:cs="Arial"/>
          <w:color w:val="000000" w:themeColor="text1"/>
        </w:rPr>
        <w:t>its</w:t>
      </w:r>
      <w:r w:rsidR="00950942" w:rsidRPr="002F3516">
        <w:rPr>
          <w:rFonts w:ascii="Arial" w:hAnsi="Arial" w:cs="Arial"/>
          <w:color w:val="000000" w:themeColor="text1"/>
        </w:rPr>
        <w:t xml:space="preserve"> case.</w:t>
      </w:r>
      <w:r w:rsidR="00950942">
        <w:rPr>
          <w:rStyle w:val="FootnoteReference"/>
          <w:rFonts w:ascii="Arial" w:hAnsi="Arial" w:cs="Arial"/>
          <w:color w:val="000000" w:themeColor="text1"/>
        </w:rPr>
        <w:footnoteReference w:id="9"/>
      </w:r>
      <w:r w:rsidR="00475FA5" w:rsidRPr="002F3516">
        <w:rPr>
          <w:rFonts w:ascii="Arial" w:hAnsi="Arial" w:cs="Arial"/>
          <w:color w:val="000000" w:themeColor="text1"/>
        </w:rPr>
        <w:t xml:space="preserve"> In the present instance the case which was to be made out was what the right was that OUTA sought to protect.</w:t>
      </w:r>
    </w:p>
    <w:p w14:paraId="0A382DA1" w14:textId="77777777" w:rsidR="0045579C" w:rsidRPr="0045579C" w:rsidRDefault="0045579C" w:rsidP="0045579C">
      <w:pPr>
        <w:pStyle w:val="ListParagraph"/>
        <w:rPr>
          <w:rFonts w:ascii="Arial" w:hAnsi="Arial" w:cs="Arial"/>
          <w:color w:val="000000" w:themeColor="text1"/>
        </w:rPr>
      </w:pPr>
    </w:p>
    <w:p w14:paraId="047450E6" w14:textId="49C490EF" w:rsidR="00F76C47" w:rsidRPr="002F3516" w:rsidRDefault="002F3516" w:rsidP="002F3516">
      <w:pPr>
        <w:spacing w:line="360" w:lineRule="auto"/>
        <w:ind w:left="851" w:hanging="851"/>
        <w:jc w:val="both"/>
        <w:rPr>
          <w:rFonts w:ascii="Arial" w:hAnsi="Arial" w:cs="Arial"/>
          <w:color w:val="000000" w:themeColor="text1"/>
        </w:rPr>
      </w:pPr>
      <w:r>
        <w:rPr>
          <w:rFonts w:ascii="Arial" w:hAnsi="Arial" w:cs="Arial"/>
          <w:color w:val="000000" w:themeColor="text1"/>
        </w:rPr>
        <w:t>[16]</w:t>
      </w:r>
      <w:r>
        <w:rPr>
          <w:rFonts w:ascii="Arial" w:hAnsi="Arial" w:cs="Arial"/>
          <w:color w:val="000000" w:themeColor="text1"/>
        </w:rPr>
        <w:tab/>
      </w:r>
      <w:r w:rsidR="00F76C47" w:rsidRPr="002F3516">
        <w:rPr>
          <w:rFonts w:ascii="Arial" w:hAnsi="Arial" w:cs="Arial"/>
          <w:color w:val="000000" w:themeColor="text1"/>
        </w:rPr>
        <w:t xml:space="preserve">OUTA did </w:t>
      </w:r>
      <w:r w:rsidR="00475FA5" w:rsidRPr="002F3516">
        <w:rPr>
          <w:rFonts w:ascii="Arial" w:hAnsi="Arial" w:cs="Arial"/>
          <w:color w:val="000000" w:themeColor="text1"/>
        </w:rPr>
        <w:t>set this out</w:t>
      </w:r>
      <w:r w:rsidR="00F76C47" w:rsidRPr="002F3516">
        <w:rPr>
          <w:rFonts w:ascii="Arial" w:hAnsi="Arial" w:cs="Arial"/>
          <w:color w:val="000000" w:themeColor="text1"/>
        </w:rPr>
        <w:t xml:space="preserve"> and </w:t>
      </w:r>
      <w:r w:rsidR="003414BB" w:rsidRPr="002F3516">
        <w:rPr>
          <w:rFonts w:ascii="Arial" w:hAnsi="Arial" w:cs="Arial"/>
          <w:color w:val="000000" w:themeColor="text1"/>
        </w:rPr>
        <w:t xml:space="preserve">it </w:t>
      </w:r>
      <w:r w:rsidR="00475FA5" w:rsidRPr="002F3516">
        <w:rPr>
          <w:rFonts w:ascii="Arial" w:hAnsi="Arial" w:cs="Arial"/>
          <w:color w:val="000000" w:themeColor="text1"/>
        </w:rPr>
        <w:t>was</w:t>
      </w:r>
      <w:r w:rsidR="00F76C47" w:rsidRPr="002F3516">
        <w:rPr>
          <w:rFonts w:ascii="Arial" w:hAnsi="Arial" w:cs="Arial"/>
          <w:color w:val="000000" w:themeColor="text1"/>
        </w:rPr>
        <w:t xml:space="preserve"> dealt with by me</w:t>
      </w:r>
      <w:r w:rsidR="0025556C" w:rsidRPr="002F3516">
        <w:rPr>
          <w:rFonts w:ascii="Arial" w:hAnsi="Arial" w:cs="Arial"/>
          <w:color w:val="000000" w:themeColor="text1"/>
        </w:rPr>
        <w:t xml:space="preserve"> in paragraph [60]</w:t>
      </w:r>
      <w:r w:rsidR="0025556C">
        <w:rPr>
          <w:rStyle w:val="FootnoteReference"/>
          <w:rFonts w:ascii="Arial" w:hAnsi="Arial" w:cs="Arial"/>
          <w:color w:val="000000" w:themeColor="text1"/>
        </w:rPr>
        <w:footnoteReference w:id="10"/>
      </w:r>
      <w:r w:rsidR="0025556C" w:rsidRPr="002F3516">
        <w:rPr>
          <w:rFonts w:ascii="Arial" w:hAnsi="Arial" w:cs="Arial"/>
          <w:color w:val="000000" w:themeColor="text1"/>
        </w:rPr>
        <w:t xml:space="preserve"> of the main judgment</w:t>
      </w:r>
      <w:r w:rsidR="00F76C47" w:rsidRPr="002F3516">
        <w:rPr>
          <w:rFonts w:ascii="Arial" w:hAnsi="Arial" w:cs="Arial"/>
          <w:color w:val="000000" w:themeColor="text1"/>
        </w:rPr>
        <w:t xml:space="preserve"> and found to be meritless.</w:t>
      </w:r>
    </w:p>
    <w:p w14:paraId="06681063" w14:textId="77777777" w:rsidR="0025556C" w:rsidRPr="0025556C" w:rsidRDefault="0025556C" w:rsidP="0025556C">
      <w:pPr>
        <w:spacing w:line="360" w:lineRule="auto"/>
        <w:jc w:val="both"/>
        <w:rPr>
          <w:rFonts w:ascii="Arial" w:hAnsi="Arial" w:cs="Arial"/>
          <w:color w:val="000000" w:themeColor="text1"/>
        </w:rPr>
      </w:pPr>
    </w:p>
    <w:p w14:paraId="67479BE5" w14:textId="179E8874" w:rsidR="00947FBD" w:rsidRPr="002F3516" w:rsidRDefault="002F3516" w:rsidP="002F3516">
      <w:pPr>
        <w:spacing w:line="360" w:lineRule="auto"/>
        <w:ind w:left="851" w:hanging="851"/>
        <w:jc w:val="both"/>
        <w:rPr>
          <w:rFonts w:ascii="Arial" w:hAnsi="Arial" w:cs="Arial"/>
          <w:color w:val="000000" w:themeColor="text1"/>
        </w:rPr>
      </w:pPr>
      <w:r w:rsidRPr="00057EF9">
        <w:rPr>
          <w:rFonts w:ascii="Arial" w:hAnsi="Arial" w:cs="Arial"/>
          <w:color w:val="000000" w:themeColor="text1"/>
        </w:rPr>
        <w:t>[17]</w:t>
      </w:r>
      <w:r w:rsidRPr="00057EF9">
        <w:rPr>
          <w:rFonts w:ascii="Arial" w:hAnsi="Arial" w:cs="Arial"/>
          <w:color w:val="000000" w:themeColor="text1"/>
        </w:rPr>
        <w:tab/>
      </w:r>
      <w:r w:rsidR="00F57113" w:rsidRPr="002F3516">
        <w:rPr>
          <w:rFonts w:ascii="Arial" w:hAnsi="Arial" w:cs="Arial"/>
          <w:color w:val="000000" w:themeColor="text1"/>
        </w:rPr>
        <w:t xml:space="preserve">I </w:t>
      </w:r>
      <w:r w:rsidR="00947FBD" w:rsidRPr="002F3516">
        <w:rPr>
          <w:rFonts w:ascii="Arial" w:hAnsi="Arial" w:cs="Arial"/>
          <w:color w:val="000000" w:themeColor="text1"/>
        </w:rPr>
        <w:t xml:space="preserve">have carefully considered the order granted and the reasons set out in the </w:t>
      </w:r>
      <w:r w:rsidR="0025556C" w:rsidRPr="002F3516">
        <w:rPr>
          <w:rFonts w:ascii="Arial" w:hAnsi="Arial" w:cs="Arial"/>
          <w:color w:val="000000" w:themeColor="text1"/>
        </w:rPr>
        <w:t xml:space="preserve">main </w:t>
      </w:r>
      <w:r w:rsidR="00947FBD" w:rsidRPr="002F3516">
        <w:rPr>
          <w:rFonts w:ascii="Arial" w:hAnsi="Arial" w:cs="Arial"/>
          <w:color w:val="000000" w:themeColor="text1"/>
        </w:rPr>
        <w:t>judgment together with the arguments presented at the hearing of th</w:t>
      </w:r>
      <w:r w:rsidR="0025556C" w:rsidRPr="002F3516">
        <w:rPr>
          <w:rFonts w:ascii="Arial" w:hAnsi="Arial" w:cs="Arial"/>
          <w:color w:val="000000" w:themeColor="text1"/>
        </w:rPr>
        <w:t>is</w:t>
      </w:r>
      <w:r w:rsidR="00947FBD" w:rsidRPr="002F3516">
        <w:rPr>
          <w:rFonts w:ascii="Arial" w:hAnsi="Arial" w:cs="Arial"/>
          <w:color w:val="000000" w:themeColor="text1"/>
        </w:rPr>
        <w:t xml:space="preserve"> application for leave to appeal. </w:t>
      </w:r>
    </w:p>
    <w:p w14:paraId="1836F42E" w14:textId="15471886" w:rsidR="00947FBD" w:rsidRDefault="00947FBD" w:rsidP="001D17BE">
      <w:pPr>
        <w:rPr>
          <w:rFonts w:ascii="Arial" w:hAnsi="Arial" w:cs="Arial"/>
          <w:color w:val="000000" w:themeColor="text1"/>
        </w:rPr>
      </w:pPr>
    </w:p>
    <w:p w14:paraId="63849BE1" w14:textId="77777777" w:rsidR="001D17BE" w:rsidRPr="001D17BE" w:rsidRDefault="001D17BE" w:rsidP="001D17BE">
      <w:pPr>
        <w:rPr>
          <w:rFonts w:ascii="Arial" w:hAnsi="Arial" w:cs="Arial"/>
          <w:color w:val="000000" w:themeColor="text1"/>
        </w:rPr>
      </w:pPr>
    </w:p>
    <w:p w14:paraId="0F424C13" w14:textId="3C0B262E" w:rsidR="00947FBD" w:rsidRPr="002F3516" w:rsidRDefault="002F3516" w:rsidP="002F3516">
      <w:pPr>
        <w:spacing w:line="360" w:lineRule="auto"/>
        <w:ind w:left="851" w:hanging="851"/>
        <w:jc w:val="both"/>
        <w:rPr>
          <w:rFonts w:ascii="Arial" w:hAnsi="Arial" w:cs="Arial"/>
          <w:color w:val="000000" w:themeColor="text1"/>
        </w:rPr>
      </w:pPr>
      <w:r w:rsidRPr="00775077">
        <w:rPr>
          <w:rFonts w:ascii="Arial" w:hAnsi="Arial" w:cs="Arial"/>
          <w:color w:val="000000" w:themeColor="text1"/>
        </w:rPr>
        <w:t>[18]</w:t>
      </w:r>
      <w:r w:rsidRPr="00775077">
        <w:rPr>
          <w:rFonts w:ascii="Arial" w:hAnsi="Arial" w:cs="Arial"/>
          <w:color w:val="000000" w:themeColor="text1"/>
        </w:rPr>
        <w:tab/>
      </w:r>
      <w:r w:rsidR="0025556C" w:rsidRPr="002F3516">
        <w:rPr>
          <w:rFonts w:ascii="Arial" w:hAnsi="Arial" w:cs="Arial"/>
          <w:color w:val="000000" w:themeColor="text1"/>
        </w:rPr>
        <w:t xml:space="preserve">For the reasons above, </w:t>
      </w:r>
      <w:r w:rsidR="00947FBD" w:rsidRPr="002F3516">
        <w:rPr>
          <w:rFonts w:ascii="Arial" w:hAnsi="Arial" w:cs="Arial"/>
          <w:color w:val="000000" w:themeColor="text1"/>
        </w:rPr>
        <w:t>I am not persuaded that another court would come to a different conclusion or that there are any other compelling reasons why leave to appeal ought to be granted.</w:t>
      </w:r>
    </w:p>
    <w:p w14:paraId="6164EF61" w14:textId="67F61580" w:rsidR="00947FBD" w:rsidRDefault="00947FBD" w:rsidP="00947FBD">
      <w:pPr>
        <w:rPr>
          <w:rFonts w:ascii="Arial" w:hAnsi="Arial" w:cs="Arial"/>
          <w:color w:val="000000" w:themeColor="text1"/>
        </w:rPr>
      </w:pPr>
    </w:p>
    <w:p w14:paraId="66A3CD9A" w14:textId="351381AF" w:rsidR="001D17BE" w:rsidRDefault="001D17BE" w:rsidP="00947FBD">
      <w:pPr>
        <w:rPr>
          <w:rFonts w:ascii="Arial" w:hAnsi="Arial" w:cs="Arial"/>
          <w:color w:val="000000" w:themeColor="text1"/>
        </w:rPr>
      </w:pPr>
    </w:p>
    <w:p w14:paraId="4862F043" w14:textId="77777777" w:rsidR="001D17BE" w:rsidRDefault="001D17BE" w:rsidP="00947FBD">
      <w:pPr>
        <w:rPr>
          <w:rFonts w:ascii="Arial" w:hAnsi="Arial" w:cs="Arial"/>
          <w:color w:val="000000" w:themeColor="text1"/>
        </w:rPr>
      </w:pPr>
    </w:p>
    <w:p w14:paraId="1317BFD4" w14:textId="77777777" w:rsidR="001D17BE" w:rsidRPr="002133E4" w:rsidRDefault="001D17BE" w:rsidP="00947FBD">
      <w:pPr>
        <w:rPr>
          <w:rFonts w:ascii="Arial" w:hAnsi="Arial" w:cs="Arial"/>
          <w:color w:val="000000" w:themeColor="text1"/>
        </w:rPr>
      </w:pPr>
    </w:p>
    <w:p w14:paraId="56D3FBFB" w14:textId="25980D86" w:rsidR="00947FBD" w:rsidRPr="002F3516" w:rsidRDefault="002F3516" w:rsidP="002F3516">
      <w:pPr>
        <w:spacing w:line="360" w:lineRule="auto"/>
        <w:ind w:left="851" w:hanging="851"/>
        <w:jc w:val="both"/>
        <w:rPr>
          <w:rFonts w:ascii="Arial" w:hAnsi="Arial" w:cs="Arial"/>
          <w:color w:val="000000" w:themeColor="text1"/>
        </w:rPr>
      </w:pPr>
      <w:r w:rsidRPr="001D17BE">
        <w:rPr>
          <w:rFonts w:ascii="Arial" w:hAnsi="Arial" w:cs="Arial"/>
          <w:color w:val="000000" w:themeColor="text1"/>
        </w:rPr>
        <w:t>[19]</w:t>
      </w:r>
      <w:r w:rsidRPr="001D17BE">
        <w:rPr>
          <w:rFonts w:ascii="Arial" w:hAnsi="Arial" w:cs="Arial"/>
          <w:color w:val="000000" w:themeColor="text1"/>
        </w:rPr>
        <w:tab/>
      </w:r>
      <w:r w:rsidR="00947FBD" w:rsidRPr="002F3516">
        <w:rPr>
          <w:rFonts w:ascii="Arial" w:hAnsi="Arial" w:cs="Arial"/>
          <w:color w:val="000000" w:themeColor="text1"/>
        </w:rPr>
        <w:t>In the circumstances it is ordered:</w:t>
      </w:r>
    </w:p>
    <w:p w14:paraId="1D76BF80" w14:textId="77777777" w:rsidR="00947FBD" w:rsidRDefault="00947FBD" w:rsidP="00947FBD">
      <w:pPr>
        <w:pStyle w:val="ListParagraph"/>
        <w:spacing w:line="360" w:lineRule="auto"/>
        <w:ind w:left="1701" w:hanging="850"/>
        <w:jc w:val="both"/>
        <w:rPr>
          <w:rFonts w:ascii="Arial" w:hAnsi="Arial" w:cs="Arial"/>
          <w:iCs/>
          <w:color w:val="000000" w:themeColor="text1"/>
        </w:rPr>
      </w:pPr>
    </w:p>
    <w:p w14:paraId="4BE2FC40" w14:textId="3C362564" w:rsidR="006E25F1" w:rsidRPr="00636C6D" w:rsidRDefault="00947FBD" w:rsidP="00636C6D">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t>[</w:t>
      </w:r>
      <w:r w:rsidR="00BF6D81">
        <w:rPr>
          <w:rFonts w:ascii="Arial" w:hAnsi="Arial" w:cs="Arial"/>
          <w:iCs/>
          <w:color w:val="000000" w:themeColor="text1"/>
        </w:rPr>
        <w:t>19</w:t>
      </w:r>
      <w:r>
        <w:rPr>
          <w:rFonts w:ascii="Arial" w:hAnsi="Arial" w:cs="Arial"/>
          <w:iCs/>
          <w:color w:val="000000" w:themeColor="text1"/>
        </w:rPr>
        <w:t>.1]</w:t>
      </w:r>
      <w:r w:rsidRPr="001E082A">
        <w:rPr>
          <w:rFonts w:ascii="Arial" w:hAnsi="Arial" w:cs="Arial"/>
          <w:iCs/>
          <w:color w:val="000000" w:themeColor="text1"/>
        </w:rPr>
        <w:t xml:space="preserve"> </w:t>
      </w:r>
      <w:r>
        <w:rPr>
          <w:rFonts w:ascii="Arial" w:hAnsi="Arial" w:cs="Arial"/>
          <w:iCs/>
          <w:color w:val="000000" w:themeColor="text1"/>
        </w:rPr>
        <w:tab/>
        <w:t>The application for leave to appeal is refused with costs which costs are to include the costs consequent upon the employment of 2 counsel, where so employed.</w:t>
      </w:r>
    </w:p>
    <w:p w14:paraId="24E22621" w14:textId="77777777" w:rsidR="008E6813" w:rsidRDefault="008E6813" w:rsidP="00413603">
      <w:pPr>
        <w:pStyle w:val="Body"/>
        <w:ind w:left="720"/>
        <w:jc w:val="right"/>
        <w:rPr>
          <w:rFonts w:cs="Arial"/>
          <w:b/>
          <w:bCs/>
          <w:sz w:val="24"/>
          <w:szCs w:val="24"/>
        </w:rPr>
      </w:pPr>
    </w:p>
    <w:p w14:paraId="67B4416D" w14:textId="16E722FE" w:rsidR="001D6C62" w:rsidRPr="00636C6D" w:rsidRDefault="00101D88" w:rsidP="00636C6D">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CF796A">
      <w:pPr>
        <w:pStyle w:val="BodyA"/>
        <w:spacing w:before="120"/>
        <w:ind w:left="720"/>
        <w:jc w:val="right"/>
        <w:rPr>
          <w:rFonts w:ascii="Arial" w:hAnsi="Arial" w:cs="Arial"/>
          <w:b/>
          <w:bCs/>
        </w:rPr>
      </w:pPr>
      <w:r w:rsidRPr="00242E76">
        <w:rPr>
          <w:rFonts w:ascii="Arial" w:hAnsi="Arial" w:cs="Arial"/>
          <w:b/>
          <w:bCs/>
        </w:rPr>
        <w:t xml:space="preserve"> JUDGE OF THE HIGH COURT</w:t>
      </w:r>
    </w:p>
    <w:p w14:paraId="6370866B" w14:textId="7003873F" w:rsidR="00416EA1" w:rsidRPr="00950942" w:rsidRDefault="00416EA1" w:rsidP="00950942">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6B7491D6" w14:textId="77777777" w:rsidR="00F74042" w:rsidRDefault="00F74042" w:rsidP="008E6813">
      <w:pPr>
        <w:spacing w:line="360" w:lineRule="auto"/>
        <w:ind w:left="567" w:hanging="567"/>
        <w:jc w:val="both"/>
        <w:rPr>
          <w:rFonts w:ascii="Arial" w:hAnsi="Arial" w:cs="Arial"/>
          <w:sz w:val="22"/>
          <w:szCs w:val="22"/>
        </w:rPr>
      </w:pPr>
    </w:p>
    <w:p w14:paraId="56C2E606" w14:textId="77777777" w:rsidR="00F74042" w:rsidRDefault="00F74042" w:rsidP="00BF6D81">
      <w:pPr>
        <w:spacing w:line="360" w:lineRule="auto"/>
        <w:jc w:val="both"/>
        <w:rPr>
          <w:rFonts w:ascii="Arial" w:hAnsi="Arial" w:cs="Arial"/>
          <w:sz w:val="22"/>
          <w:szCs w:val="22"/>
        </w:rPr>
      </w:pPr>
    </w:p>
    <w:p w14:paraId="5ACDA854" w14:textId="5E3689A7"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1</w:t>
      </w:r>
      <w:r w:rsidR="006C2322">
        <w:rPr>
          <w:rFonts w:ascii="Arial" w:hAnsi="Arial" w:cs="Arial"/>
          <w:sz w:val="22"/>
          <w:szCs w:val="22"/>
        </w:rPr>
        <w:t>9 JANUARY 2024</w:t>
      </w:r>
    </w:p>
    <w:p w14:paraId="7E6457D4" w14:textId="292056EF"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r>
      <w:r w:rsidR="00AB0925">
        <w:rPr>
          <w:rFonts w:ascii="Arial" w:hAnsi="Arial" w:cs="Arial"/>
          <w:sz w:val="22"/>
          <w:szCs w:val="22"/>
        </w:rPr>
        <w:t>25</w:t>
      </w:r>
      <w:r w:rsidR="006C2322">
        <w:rPr>
          <w:rFonts w:ascii="Arial" w:hAnsi="Arial" w:cs="Arial"/>
          <w:sz w:val="22"/>
          <w:szCs w:val="22"/>
        </w:rPr>
        <w:t xml:space="preserve"> JANUARY 2024</w:t>
      </w:r>
    </w:p>
    <w:p w14:paraId="70B75637" w14:textId="77777777" w:rsidR="006710DC" w:rsidRDefault="006710DC" w:rsidP="008E6813">
      <w:pPr>
        <w:spacing w:line="360" w:lineRule="auto"/>
        <w:ind w:left="567" w:hanging="567"/>
        <w:jc w:val="both"/>
        <w:rPr>
          <w:rFonts w:ascii="Arial" w:hAnsi="Arial" w:cs="Arial"/>
          <w:sz w:val="22"/>
          <w:szCs w:val="22"/>
        </w:rPr>
      </w:pPr>
    </w:p>
    <w:p w14:paraId="0951C552" w14:textId="77777777" w:rsidR="00AB0925"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AB0925">
        <w:rPr>
          <w:rFonts w:ascii="Arial" w:hAnsi="Arial" w:cs="Arial"/>
          <w:sz w:val="22"/>
          <w:szCs w:val="22"/>
        </w:rPr>
        <w:t>A SUBEL SC</w:t>
      </w:r>
    </w:p>
    <w:p w14:paraId="02474508" w14:textId="26B5D0FB" w:rsidR="006630FB" w:rsidRPr="00242E76" w:rsidRDefault="00AB0925" w:rsidP="00AB0925">
      <w:pPr>
        <w:spacing w:line="360" w:lineRule="auto"/>
        <w:ind w:left="5607" w:firstLine="153"/>
        <w:jc w:val="both"/>
        <w:rPr>
          <w:rFonts w:ascii="Arial" w:hAnsi="Arial" w:cs="Arial"/>
          <w:sz w:val="22"/>
          <w:szCs w:val="22"/>
        </w:rPr>
      </w:pPr>
      <w:r>
        <w:rPr>
          <w:rFonts w:ascii="Arial" w:hAnsi="Arial" w:cs="Arial"/>
          <w:sz w:val="22"/>
          <w:szCs w:val="22"/>
        </w:rPr>
        <w:t xml:space="preserve">ADV. </w:t>
      </w:r>
      <w:r w:rsidR="0032633A">
        <w:rPr>
          <w:rFonts w:ascii="Arial" w:hAnsi="Arial" w:cs="Arial"/>
          <w:sz w:val="22"/>
          <w:szCs w:val="22"/>
        </w:rPr>
        <w:t>E PROPHY</w:t>
      </w:r>
    </w:p>
    <w:p w14:paraId="686F9A6A" w14:textId="77777777" w:rsidR="00950942" w:rsidRDefault="00950942" w:rsidP="008E6813">
      <w:pPr>
        <w:spacing w:line="360" w:lineRule="auto"/>
        <w:ind w:left="567" w:hanging="567"/>
        <w:jc w:val="both"/>
        <w:rPr>
          <w:rFonts w:ascii="Arial" w:hAnsi="Arial" w:cs="Arial"/>
          <w:sz w:val="22"/>
          <w:szCs w:val="22"/>
        </w:rPr>
      </w:pPr>
    </w:p>
    <w:p w14:paraId="6434C520" w14:textId="7EA704C9"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JENNINGS INCORPORATED</w:t>
      </w:r>
    </w:p>
    <w:p w14:paraId="7383FC0C" w14:textId="1C4401ED"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MR. A JENNINGS</w:t>
      </w:r>
    </w:p>
    <w:p w14:paraId="0411CF02" w14:textId="77777777" w:rsidR="00950942" w:rsidRDefault="00950942" w:rsidP="00BF6D81">
      <w:pPr>
        <w:spacing w:line="360" w:lineRule="auto"/>
        <w:jc w:val="both"/>
        <w:rPr>
          <w:rFonts w:ascii="Arial" w:hAnsi="Arial" w:cs="Arial"/>
          <w:sz w:val="22"/>
          <w:szCs w:val="22"/>
        </w:rPr>
      </w:pPr>
    </w:p>
    <w:p w14:paraId="577B443F" w14:textId="1C83B70A"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32633A">
        <w:rPr>
          <w:rFonts w:ascii="Arial" w:hAnsi="Arial" w:cs="Arial"/>
          <w:sz w:val="22"/>
          <w:szCs w:val="22"/>
        </w:rPr>
        <w:t>1</w:t>
      </w:r>
      <w:r w:rsidR="0032633A" w:rsidRPr="0032633A">
        <w:rPr>
          <w:rFonts w:ascii="Arial" w:hAnsi="Arial" w:cs="Arial"/>
          <w:sz w:val="22"/>
          <w:szCs w:val="22"/>
          <w:vertAlign w:val="superscript"/>
        </w:rPr>
        <w:t>ST</w:t>
      </w:r>
      <w:r w:rsidR="0032633A">
        <w:rPr>
          <w:rFonts w:ascii="Arial" w:hAnsi="Arial" w:cs="Arial"/>
          <w:sz w:val="22"/>
          <w:szCs w:val="22"/>
        </w:rPr>
        <w:t>,4</w:t>
      </w:r>
      <w:r w:rsidR="0032633A" w:rsidRPr="0032633A">
        <w:rPr>
          <w:rFonts w:ascii="Arial" w:hAnsi="Arial" w:cs="Arial"/>
          <w:sz w:val="22"/>
          <w:szCs w:val="22"/>
          <w:vertAlign w:val="superscript"/>
        </w:rPr>
        <w:t>TH</w:t>
      </w:r>
      <w:r w:rsidR="0032633A">
        <w:rPr>
          <w:rFonts w:ascii="Arial" w:hAnsi="Arial" w:cs="Arial"/>
          <w:sz w:val="22"/>
          <w:szCs w:val="22"/>
        </w:rPr>
        <w:t xml:space="preserve"> &amp; 5</w:t>
      </w:r>
      <w:r w:rsidR="0032633A" w:rsidRPr="0032633A">
        <w:rPr>
          <w:rFonts w:ascii="Arial" w:hAnsi="Arial" w:cs="Arial"/>
          <w:sz w:val="22"/>
          <w:szCs w:val="22"/>
          <w:vertAlign w:val="superscript"/>
        </w:rPr>
        <w:t>TH</w:t>
      </w:r>
      <w:r w:rsidR="0032633A">
        <w:rPr>
          <w:rFonts w:ascii="Arial" w:hAnsi="Arial" w:cs="Arial"/>
          <w:sz w:val="22"/>
          <w:szCs w:val="22"/>
        </w:rPr>
        <w:t xml:space="preserve"> </w:t>
      </w:r>
      <w:r w:rsidR="000218AC">
        <w:rPr>
          <w:rFonts w:ascii="Arial" w:hAnsi="Arial" w:cs="Arial"/>
          <w:sz w:val="22"/>
          <w:szCs w:val="22"/>
        </w:rPr>
        <w:t>RESPONDENT</w:t>
      </w:r>
      <w:r w:rsidR="0032633A">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32633A">
        <w:rPr>
          <w:rFonts w:ascii="Arial" w:hAnsi="Arial" w:cs="Arial"/>
          <w:sz w:val="22"/>
          <w:szCs w:val="22"/>
        </w:rPr>
        <w:t>A MILOVANOVIC-BITTER</w:t>
      </w:r>
    </w:p>
    <w:p w14:paraId="595C3D15" w14:textId="77777777" w:rsidR="00950942" w:rsidRDefault="00950942" w:rsidP="008E6813">
      <w:pPr>
        <w:spacing w:line="360" w:lineRule="auto"/>
        <w:ind w:left="567" w:hanging="567"/>
        <w:jc w:val="both"/>
        <w:rPr>
          <w:rFonts w:ascii="Arial" w:hAnsi="Arial" w:cs="Arial"/>
          <w:sz w:val="22"/>
          <w:szCs w:val="22"/>
        </w:rPr>
      </w:pPr>
    </w:p>
    <w:p w14:paraId="6EEF6A02" w14:textId="321E8EE2"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32633A">
        <w:rPr>
          <w:rFonts w:ascii="Arial" w:hAnsi="Arial" w:cs="Arial"/>
          <w:sz w:val="22"/>
          <w:szCs w:val="22"/>
        </w:rPr>
        <w:t xml:space="preserve">     </w:t>
      </w:r>
      <w:r w:rsidR="0032633A">
        <w:rPr>
          <w:rFonts w:ascii="Arial" w:hAnsi="Arial" w:cs="Arial"/>
          <w:sz w:val="22"/>
          <w:szCs w:val="22"/>
        </w:rPr>
        <w:tab/>
        <w:t>ENS AFRICA</w:t>
      </w:r>
      <w:r w:rsidR="007F7556">
        <w:rPr>
          <w:rFonts w:ascii="Arial" w:hAnsi="Arial" w:cs="Arial"/>
          <w:sz w:val="22"/>
          <w:szCs w:val="22"/>
        </w:rPr>
        <w:t xml:space="preserve"> ATTORNEYS</w:t>
      </w:r>
      <w:r w:rsidR="0032633A">
        <w:rPr>
          <w:rFonts w:ascii="Arial" w:hAnsi="Arial" w:cs="Arial"/>
          <w:sz w:val="22"/>
          <w:szCs w:val="22"/>
        </w:rPr>
        <w:tab/>
      </w:r>
    </w:p>
    <w:p w14:paraId="0030EF17" w14:textId="62FC846E"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32633A">
        <w:rPr>
          <w:rFonts w:ascii="Arial" w:hAnsi="Arial" w:cs="Arial"/>
          <w:sz w:val="22"/>
          <w:szCs w:val="22"/>
        </w:rPr>
        <w:tab/>
        <w:t>MR. T MODUBU</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78D193DD" w14:textId="16051CFC" w:rsidR="0032633A" w:rsidRDefault="0032633A" w:rsidP="0032633A">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THE </w:t>
      </w:r>
      <w:r>
        <w:rPr>
          <w:rFonts w:ascii="Arial" w:hAnsi="Arial" w:cs="Arial"/>
          <w:sz w:val="22"/>
          <w:szCs w:val="22"/>
        </w:rPr>
        <w:t>6</w:t>
      </w:r>
      <w:r w:rsidRPr="0032633A">
        <w:rPr>
          <w:rFonts w:ascii="Arial" w:hAnsi="Arial" w:cs="Arial"/>
          <w:sz w:val="22"/>
          <w:szCs w:val="22"/>
          <w:vertAlign w:val="superscript"/>
        </w:rPr>
        <w:t>TH</w:t>
      </w:r>
      <w:r>
        <w:rPr>
          <w:rFonts w:ascii="Arial" w:hAnsi="Arial" w:cs="Arial"/>
          <w:sz w:val="22"/>
          <w:szCs w:val="22"/>
        </w:rPr>
        <w:t xml:space="preserve"> RESPONDENT</w:t>
      </w:r>
      <w:r w:rsidRPr="00242E7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ADV. B LEECH SC</w:t>
      </w:r>
    </w:p>
    <w:p w14:paraId="6E3A6929" w14:textId="01B9EFF7" w:rsidR="0032633A" w:rsidRPr="00242E76" w:rsidRDefault="0032633A" w:rsidP="0032633A">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T MPHALWA</w:t>
      </w:r>
    </w:p>
    <w:p w14:paraId="1DE6963E" w14:textId="77777777" w:rsidR="00950942" w:rsidRDefault="00950942" w:rsidP="0032633A">
      <w:pPr>
        <w:spacing w:line="360" w:lineRule="auto"/>
        <w:ind w:left="567" w:hanging="567"/>
        <w:jc w:val="both"/>
        <w:rPr>
          <w:rFonts w:ascii="Arial" w:hAnsi="Arial" w:cs="Arial"/>
          <w:sz w:val="22"/>
          <w:szCs w:val="22"/>
        </w:rPr>
      </w:pPr>
    </w:p>
    <w:p w14:paraId="1B228C75" w14:textId="6FD01C9D" w:rsidR="0032633A" w:rsidRPr="00242E76" w:rsidRDefault="0032633A" w:rsidP="0032633A">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t>WERKSMANS ATTORNEYS</w:t>
      </w:r>
    </w:p>
    <w:p w14:paraId="56023C2B" w14:textId="551AC60C" w:rsidR="0027008F" w:rsidRPr="001D17BE" w:rsidRDefault="0032633A" w:rsidP="001D17BE">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MR. </w:t>
      </w:r>
      <w:r w:rsidR="007F7556">
        <w:rPr>
          <w:rFonts w:ascii="Arial" w:hAnsi="Arial" w:cs="Arial"/>
          <w:sz w:val="22"/>
          <w:szCs w:val="22"/>
        </w:rPr>
        <w:t>B MOTI</w:t>
      </w:r>
    </w:p>
    <w:sectPr w:rsidR="0027008F" w:rsidRPr="001D17BE" w:rsidSect="005A74A4">
      <w:headerReference w:type="even" r:id="rId9"/>
      <w:headerReference w:type="default" r:id="rId10"/>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C5E0" w14:textId="77777777" w:rsidR="005A74A4" w:rsidRDefault="005A74A4" w:rsidP="008C18AE">
      <w:r>
        <w:separator/>
      </w:r>
    </w:p>
  </w:endnote>
  <w:endnote w:type="continuationSeparator" w:id="0">
    <w:p w14:paraId="778215D9" w14:textId="77777777" w:rsidR="005A74A4" w:rsidRDefault="005A74A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D518" w14:textId="77777777" w:rsidR="005A74A4" w:rsidRDefault="005A74A4" w:rsidP="008C18AE">
      <w:r>
        <w:separator/>
      </w:r>
    </w:p>
  </w:footnote>
  <w:footnote w:type="continuationSeparator" w:id="0">
    <w:p w14:paraId="446AEDC0" w14:textId="77777777" w:rsidR="005A74A4" w:rsidRDefault="005A74A4" w:rsidP="008C18AE">
      <w:r>
        <w:continuationSeparator/>
      </w:r>
    </w:p>
  </w:footnote>
  <w:footnote w:id="1">
    <w:p w14:paraId="751A393E" w14:textId="0F132961" w:rsidR="00D90052" w:rsidRPr="00D90052" w:rsidRDefault="00D90052" w:rsidP="00BF6D81">
      <w:pPr>
        <w:pStyle w:val="FootnoteText"/>
        <w:ind w:left="284" w:hanging="284"/>
        <w:rPr>
          <w:rFonts w:ascii="Arial" w:hAnsi="Arial" w:cs="Arial"/>
          <w:sz w:val="20"/>
          <w:szCs w:val="20"/>
        </w:rPr>
      </w:pPr>
      <w:r w:rsidRPr="00D90052">
        <w:rPr>
          <w:rStyle w:val="FootnoteReference"/>
          <w:rFonts w:ascii="Arial" w:hAnsi="Arial" w:cs="Arial"/>
          <w:sz w:val="20"/>
          <w:szCs w:val="20"/>
        </w:rPr>
        <w:footnoteRef/>
      </w:r>
      <w:r w:rsidRPr="00D90052">
        <w:rPr>
          <w:rFonts w:ascii="Arial" w:hAnsi="Arial" w:cs="Arial"/>
          <w:sz w:val="20"/>
          <w:szCs w:val="20"/>
        </w:rPr>
        <w:t xml:space="preserve"> </w:t>
      </w:r>
      <w:r w:rsidR="00BF6D81">
        <w:rPr>
          <w:rFonts w:ascii="Arial" w:hAnsi="Arial" w:cs="Arial"/>
          <w:sz w:val="20"/>
          <w:szCs w:val="20"/>
        </w:rPr>
        <w:tab/>
      </w:r>
      <w:r w:rsidRPr="00D90052">
        <w:rPr>
          <w:rFonts w:ascii="Arial" w:hAnsi="Arial" w:cs="Arial"/>
          <w:sz w:val="20"/>
          <w:szCs w:val="20"/>
        </w:rPr>
        <w:t>(32095/2020) [2023] ZAGPPHC 1903 (14 November 2023).</w:t>
      </w:r>
    </w:p>
  </w:footnote>
  <w:footnote w:id="2">
    <w:p w14:paraId="7F04AD37" w14:textId="6D273977" w:rsidR="00F428B4" w:rsidRPr="00D90052" w:rsidRDefault="00F428B4" w:rsidP="00BF6D81">
      <w:pPr>
        <w:pStyle w:val="FootnoteText"/>
        <w:ind w:left="284" w:hanging="284"/>
        <w:rPr>
          <w:rFonts w:ascii="Arial" w:hAnsi="Arial" w:cs="Arial"/>
          <w:sz w:val="20"/>
          <w:szCs w:val="20"/>
        </w:rPr>
      </w:pPr>
      <w:r w:rsidRPr="00D90052">
        <w:rPr>
          <w:rStyle w:val="FootnoteReference"/>
          <w:rFonts w:ascii="Arial" w:hAnsi="Arial" w:cs="Arial"/>
          <w:sz w:val="20"/>
          <w:szCs w:val="20"/>
        </w:rPr>
        <w:footnoteRef/>
      </w:r>
      <w:r w:rsidRPr="00D90052">
        <w:rPr>
          <w:rFonts w:ascii="Arial" w:hAnsi="Arial" w:cs="Arial"/>
          <w:sz w:val="20"/>
          <w:szCs w:val="20"/>
        </w:rPr>
        <w:t xml:space="preserve"> </w:t>
      </w:r>
      <w:r w:rsidR="00BF6D81">
        <w:rPr>
          <w:rFonts w:ascii="Arial" w:hAnsi="Arial" w:cs="Arial"/>
          <w:sz w:val="20"/>
          <w:szCs w:val="20"/>
        </w:rPr>
        <w:tab/>
      </w:r>
      <w:r w:rsidRPr="00D90052">
        <w:rPr>
          <w:rFonts w:ascii="Arial" w:hAnsi="Arial" w:cs="Arial"/>
          <w:sz w:val="20"/>
          <w:szCs w:val="20"/>
        </w:rPr>
        <w:t>10 of 2013.</w:t>
      </w:r>
    </w:p>
  </w:footnote>
  <w:footnote w:id="3">
    <w:p w14:paraId="4EF09944" w14:textId="14D47229" w:rsidR="00822E29" w:rsidRPr="00822E29" w:rsidRDefault="00822E29" w:rsidP="00BF6D81">
      <w:pPr>
        <w:pStyle w:val="FootnoteText"/>
        <w:ind w:left="284" w:hanging="284"/>
        <w:rPr>
          <w:rFonts w:ascii="Arial" w:hAnsi="Arial" w:cs="Arial"/>
          <w:sz w:val="20"/>
          <w:szCs w:val="20"/>
        </w:rPr>
      </w:pPr>
      <w:r w:rsidRPr="00D90052">
        <w:rPr>
          <w:rStyle w:val="FootnoteReference"/>
          <w:rFonts w:ascii="Arial" w:hAnsi="Arial" w:cs="Arial"/>
          <w:sz w:val="20"/>
          <w:szCs w:val="20"/>
        </w:rPr>
        <w:footnoteRef/>
      </w:r>
      <w:r w:rsidRPr="00D90052">
        <w:rPr>
          <w:rFonts w:ascii="Arial" w:hAnsi="Arial" w:cs="Arial"/>
          <w:sz w:val="20"/>
          <w:szCs w:val="20"/>
        </w:rPr>
        <w:t xml:space="preserve"> </w:t>
      </w:r>
      <w:r w:rsidR="00BF6D81">
        <w:rPr>
          <w:rFonts w:ascii="Arial" w:hAnsi="Arial" w:cs="Arial"/>
          <w:sz w:val="20"/>
          <w:szCs w:val="20"/>
        </w:rPr>
        <w:tab/>
      </w:r>
      <w:r w:rsidRPr="00D90052">
        <w:rPr>
          <w:rFonts w:ascii="Arial" w:hAnsi="Arial" w:cs="Arial"/>
          <w:sz w:val="20"/>
          <w:szCs w:val="20"/>
        </w:rPr>
        <w:t xml:space="preserve">That the appeal </w:t>
      </w:r>
      <w:r w:rsidRPr="00D90052">
        <w:rPr>
          <w:rFonts w:ascii="Arial" w:hAnsi="Arial" w:cs="Arial"/>
          <w:i/>
          <w:iCs/>
          <w:sz w:val="20"/>
          <w:szCs w:val="20"/>
        </w:rPr>
        <w:t>“would have a reasonable prospect of success.”</w:t>
      </w:r>
    </w:p>
  </w:footnote>
  <w:footnote w:id="4">
    <w:p w14:paraId="5114C5E4" w14:textId="352C3FF9" w:rsidR="00AB0925" w:rsidRPr="00076CD2" w:rsidRDefault="00AB0925" w:rsidP="00BF6D81">
      <w:pPr>
        <w:pStyle w:val="FootnoteText"/>
        <w:ind w:left="284" w:hanging="284"/>
        <w:jc w:val="both"/>
        <w:rPr>
          <w:rFonts w:ascii="Arial" w:hAnsi="Arial" w:cs="Arial"/>
          <w:sz w:val="20"/>
          <w:szCs w:val="20"/>
        </w:rPr>
      </w:pPr>
      <w:r w:rsidRPr="00076CD2">
        <w:rPr>
          <w:rStyle w:val="FootnoteReference"/>
          <w:rFonts w:ascii="Arial" w:hAnsi="Arial" w:cs="Arial"/>
          <w:sz w:val="20"/>
          <w:szCs w:val="20"/>
        </w:rPr>
        <w:footnoteRef/>
      </w:r>
      <w:r w:rsidRPr="00076CD2">
        <w:rPr>
          <w:rFonts w:ascii="Arial" w:hAnsi="Arial" w:cs="Arial"/>
          <w:sz w:val="20"/>
          <w:szCs w:val="20"/>
        </w:rPr>
        <w:t xml:space="preserve"> </w:t>
      </w:r>
      <w:r w:rsidR="00BF6D81">
        <w:rPr>
          <w:rFonts w:ascii="Arial" w:hAnsi="Arial" w:cs="Arial"/>
          <w:sz w:val="20"/>
          <w:szCs w:val="20"/>
        </w:rPr>
        <w:tab/>
      </w:r>
      <w:r w:rsidRPr="00076CD2">
        <w:rPr>
          <w:rFonts w:ascii="Arial" w:hAnsi="Arial" w:cs="Arial"/>
          <w:sz w:val="20"/>
          <w:szCs w:val="20"/>
        </w:rPr>
        <w:t>2023 (5) SA 219 (GJ).</w:t>
      </w:r>
    </w:p>
  </w:footnote>
  <w:footnote w:id="5">
    <w:p w14:paraId="2DF1C946" w14:textId="7D9F0C52" w:rsidR="007F2E8F" w:rsidRPr="00076CD2" w:rsidRDefault="007F2E8F" w:rsidP="00BF6D81">
      <w:pPr>
        <w:pStyle w:val="FootnoteText"/>
        <w:ind w:left="284" w:hanging="284"/>
        <w:jc w:val="both"/>
        <w:rPr>
          <w:rFonts w:ascii="Arial" w:hAnsi="Arial" w:cs="Arial"/>
          <w:sz w:val="20"/>
          <w:szCs w:val="20"/>
        </w:rPr>
      </w:pPr>
      <w:r w:rsidRPr="00076CD2">
        <w:rPr>
          <w:rStyle w:val="FootnoteReference"/>
          <w:rFonts w:ascii="Arial" w:hAnsi="Arial" w:cs="Arial"/>
          <w:sz w:val="20"/>
          <w:szCs w:val="20"/>
        </w:rPr>
        <w:footnoteRef/>
      </w:r>
      <w:r w:rsidRPr="00076CD2">
        <w:rPr>
          <w:rFonts w:ascii="Arial" w:hAnsi="Arial" w:cs="Arial"/>
          <w:sz w:val="20"/>
          <w:szCs w:val="20"/>
        </w:rPr>
        <w:t xml:space="preserve"> </w:t>
      </w:r>
      <w:r w:rsidR="00BF6D81">
        <w:rPr>
          <w:rFonts w:ascii="Arial" w:hAnsi="Arial" w:cs="Arial"/>
          <w:sz w:val="20"/>
          <w:szCs w:val="20"/>
        </w:rPr>
        <w:tab/>
      </w:r>
      <w:r w:rsidRPr="00076CD2">
        <w:rPr>
          <w:rFonts w:ascii="Arial" w:hAnsi="Arial" w:cs="Arial"/>
          <w:sz w:val="20"/>
          <w:szCs w:val="20"/>
        </w:rPr>
        <w:t>The 14</w:t>
      </w:r>
      <w:r w:rsidRPr="00076CD2">
        <w:rPr>
          <w:rFonts w:ascii="Arial" w:hAnsi="Arial" w:cs="Arial"/>
          <w:sz w:val="20"/>
          <w:szCs w:val="20"/>
          <w:vertAlign w:val="superscript"/>
        </w:rPr>
        <w:t>th</w:t>
      </w:r>
      <w:r w:rsidRPr="00076CD2">
        <w:rPr>
          <w:rFonts w:ascii="Arial" w:hAnsi="Arial" w:cs="Arial"/>
          <w:sz w:val="20"/>
          <w:szCs w:val="20"/>
        </w:rPr>
        <w:t xml:space="preserve"> ground in the application for leave to appeal.</w:t>
      </w:r>
    </w:p>
  </w:footnote>
  <w:footnote w:id="6">
    <w:p w14:paraId="62866935" w14:textId="59A88FF6" w:rsidR="00822E29" w:rsidRPr="00076CD2" w:rsidRDefault="00822E29" w:rsidP="00BF6D81">
      <w:pPr>
        <w:pStyle w:val="FootnoteText"/>
        <w:ind w:left="284" w:hanging="284"/>
        <w:jc w:val="both"/>
        <w:rPr>
          <w:rFonts w:ascii="Arial" w:hAnsi="Arial" w:cs="Arial"/>
          <w:sz w:val="20"/>
          <w:szCs w:val="20"/>
        </w:rPr>
      </w:pPr>
      <w:r w:rsidRPr="00076CD2">
        <w:rPr>
          <w:rStyle w:val="FootnoteReference"/>
          <w:rFonts w:ascii="Arial" w:hAnsi="Arial" w:cs="Arial"/>
          <w:sz w:val="20"/>
          <w:szCs w:val="20"/>
        </w:rPr>
        <w:footnoteRef/>
      </w:r>
      <w:r w:rsidRPr="00076CD2">
        <w:rPr>
          <w:rFonts w:ascii="Arial" w:hAnsi="Arial" w:cs="Arial"/>
          <w:sz w:val="20"/>
          <w:szCs w:val="20"/>
        </w:rPr>
        <w:t xml:space="preserve"> </w:t>
      </w:r>
      <w:r w:rsidR="00BF6D81">
        <w:rPr>
          <w:rFonts w:ascii="Arial" w:hAnsi="Arial" w:cs="Arial"/>
          <w:sz w:val="20"/>
          <w:szCs w:val="20"/>
        </w:rPr>
        <w:tab/>
      </w:r>
      <w:r w:rsidRPr="00076CD2">
        <w:rPr>
          <w:rFonts w:ascii="Arial" w:hAnsi="Arial" w:cs="Arial"/>
          <w:sz w:val="20"/>
          <w:szCs w:val="20"/>
        </w:rPr>
        <w:t>That “</w:t>
      </w:r>
      <w:r w:rsidRPr="00076CD2">
        <w:rPr>
          <w:rFonts w:ascii="Arial" w:hAnsi="Arial" w:cs="Arial"/>
          <w:i/>
          <w:iCs/>
          <w:sz w:val="20"/>
          <w:szCs w:val="20"/>
        </w:rPr>
        <w:t>there is some other compelling reason why the appeal should be heard.”</w:t>
      </w:r>
    </w:p>
  </w:footnote>
  <w:footnote w:id="7">
    <w:p w14:paraId="4BA53F3D" w14:textId="6772AB51" w:rsidR="00076CD2" w:rsidRPr="00BF6D81" w:rsidRDefault="00076CD2" w:rsidP="00BF6D81">
      <w:pPr>
        <w:ind w:left="284" w:right="50" w:hanging="284"/>
        <w:jc w:val="both"/>
        <w:rPr>
          <w:rFonts w:ascii="Arial" w:hAnsi="Arial" w:cs="Arial"/>
          <w:sz w:val="20"/>
          <w:szCs w:val="20"/>
        </w:rPr>
      </w:pPr>
      <w:r w:rsidRPr="00076CD2">
        <w:rPr>
          <w:rStyle w:val="FootnoteReference"/>
          <w:rFonts w:ascii="Arial" w:hAnsi="Arial" w:cs="Arial"/>
          <w:sz w:val="20"/>
          <w:szCs w:val="20"/>
        </w:rPr>
        <w:footnoteRef/>
      </w:r>
      <w:r w:rsidRPr="00076CD2">
        <w:rPr>
          <w:rFonts w:ascii="Arial" w:hAnsi="Arial" w:cs="Arial"/>
          <w:sz w:val="20"/>
          <w:szCs w:val="20"/>
        </w:rPr>
        <w:t xml:space="preserve"> </w:t>
      </w:r>
      <w:r w:rsidR="00BF6D81">
        <w:rPr>
          <w:rFonts w:ascii="Arial" w:hAnsi="Arial" w:cs="Arial"/>
          <w:color w:val="000000" w:themeColor="text1"/>
          <w:sz w:val="20"/>
          <w:szCs w:val="20"/>
        </w:rPr>
        <w:tab/>
      </w:r>
      <w:r w:rsidRPr="00076CD2">
        <w:rPr>
          <w:rFonts w:ascii="Arial" w:hAnsi="Arial" w:cs="Arial"/>
          <w:i/>
          <w:iCs/>
          <w:sz w:val="20"/>
          <w:szCs w:val="20"/>
        </w:rPr>
        <w:t>“Mandatory disclosure in the public interest – Despite any other provision of this Chapter, the information officer of a public body must grant a request for access to a record of the body contemplated in section 34(1), 36(1), 37(1)(a) or (b), 38(a) or (b), 39(1)(a) or (b), 40, 41(1)(a) or (b), 42(1) or (3), 43(1) or (2), 44(1) or (2) or 45, if –</w:t>
      </w:r>
    </w:p>
    <w:p w14:paraId="15DE59F9" w14:textId="6FA9F5A4" w:rsidR="00BF6D81" w:rsidRDefault="002F3516" w:rsidP="002F3516">
      <w:pPr>
        <w:pStyle w:val="FootnoteText"/>
        <w:tabs>
          <w:tab w:val="center" w:pos="567"/>
          <w:tab w:val="center" w:pos="1985"/>
        </w:tabs>
        <w:ind w:left="426" w:hanging="142"/>
        <w:jc w:val="both"/>
        <w:rPr>
          <w:rFonts w:ascii="Arial" w:hAnsi="Arial" w:cs="Arial"/>
          <w:i/>
          <w:iCs/>
          <w:sz w:val="20"/>
          <w:szCs w:val="20"/>
        </w:rPr>
      </w:pPr>
      <w:r>
        <w:rPr>
          <w:rFonts w:ascii="Arial" w:hAnsi="Arial" w:cs="Arial"/>
          <w:bCs/>
          <w:i/>
          <w:iCs/>
          <w:sz w:val="20"/>
          <w:szCs w:val="20"/>
        </w:rPr>
        <w:t>(a)</w:t>
      </w:r>
      <w:r>
        <w:rPr>
          <w:rFonts w:ascii="Arial" w:hAnsi="Arial" w:cs="Arial"/>
          <w:bCs/>
          <w:i/>
          <w:iCs/>
          <w:sz w:val="20"/>
          <w:szCs w:val="20"/>
        </w:rPr>
        <w:tab/>
      </w:r>
      <w:r w:rsidR="00076CD2" w:rsidRPr="00076CD2">
        <w:rPr>
          <w:rFonts w:ascii="Arial" w:hAnsi="Arial" w:cs="Arial"/>
          <w:i/>
          <w:iCs/>
          <w:sz w:val="20"/>
          <w:szCs w:val="20"/>
        </w:rPr>
        <w:t>The disclosure of the record would reveal evidence of –</w:t>
      </w:r>
    </w:p>
    <w:p w14:paraId="58A11D64" w14:textId="270B1824" w:rsidR="00076CD2" w:rsidRPr="00BF6D81" w:rsidRDefault="002F3516" w:rsidP="002F3516">
      <w:pPr>
        <w:pStyle w:val="FootnoteText"/>
        <w:tabs>
          <w:tab w:val="center" w:pos="567"/>
          <w:tab w:val="center" w:pos="851"/>
          <w:tab w:val="center" w:pos="1134"/>
        </w:tabs>
        <w:ind w:left="851" w:hanging="284"/>
        <w:jc w:val="both"/>
        <w:rPr>
          <w:rFonts w:ascii="Arial" w:hAnsi="Arial" w:cs="Arial"/>
          <w:i/>
          <w:iCs/>
          <w:sz w:val="20"/>
          <w:szCs w:val="20"/>
        </w:rPr>
      </w:pPr>
      <w:r w:rsidRPr="00BF6D81">
        <w:rPr>
          <w:rFonts w:ascii="Arial" w:hAnsi="Arial" w:cs="Arial"/>
          <w:bCs/>
          <w:i/>
          <w:iCs/>
          <w:sz w:val="20"/>
          <w:szCs w:val="20"/>
        </w:rPr>
        <w:t>(i)</w:t>
      </w:r>
      <w:r w:rsidRPr="00BF6D81">
        <w:rPr>
          <w:rFonts w:ascii="Arial" w:hAnsi="Arial" w:cs="Arial"/>
          <w:bCs/>
          <w:i/>
          <w:iCs/>
          <w:sz w:val="20"/>
          <w:szCs w:val="20"/>
        </w:rPr>
        <w:tab/>
      </w:r>
      <w:r w:rsidR="00076CD2" w:rsidRPr="00BF6D81">
        <w:rPr>
          <w:rFonts w:ascii="Arial" w:hAnsi="Arial" w:cs="Arial"/>
          <w:i/>
          <w:iCs/>
          <w:sz w:val="20"/>
          <w:szCs w:val="20"/>
        </w:rPr>
        <w:t xml:space="preserve">a substantial contravention of, or failure to comply with, the law; or </w:t>
      </w:r>
    </w:p>
    <w:p w14:paraId="37F17619" w14:textId="51D9AE93" w:rsidR="00076CD2" w:rsidRPr="00076CD2" w:rsidRDefault="002F3516" w:rsidP="002F3516">
      <w:pPr>
        <w:pStyle w:val="FootnoteText"/>
        <w:tabs>
          <w:tab w:val="center" w:pos="567"/>
          <w:tab w:val="center" w:pos="851"/>
          <w:tab w:val="center" w:pos="1134"/>
        </w:tabs>
        <w:ind w:left="851" w:hanging="284"/>
        <w:jc w:val="both"/>
        <w:rPr>
          <w:rFonts w:ascii="Arial" w:hAnsi="Arial" w:cs="Arial"/>
          <w:i/>
          <w:iCs/>
          <w:sz w:val="20"/>
          <w:szCs w:val="20"/>
        </w:rPr>
      </w:pPr>
      <w:r w:rsidRPr="00076CD2">
        <w:rPr>
          <w:rFonts w:ascii="Arial" w:hAnsi="Arial" w:cs="Arial"/>
          <w:bCs/>
          <w:i/>
          <w:iCs/>
          <w:sz w:val="20"/>
          <w:szCs w:val="20"/>
        </w:rPr>
        <w:t>(ii)</w:t>
      </w:r>
      <w:r w:rsidRPr="00076CD2">
        <w:rPr>
          <w:rFonts w:ascii="Arial" w:hAnsi="Arial" w:cs="Arial"/>
          <w:bCs/>
          <w:i/>
          <w:iCs/>
          <w:sz w:val="20"/>
          <w:szCs w:val="20"/>
        </w:rPr>
        <w:tab/>
      </w:r>
      <w:r w:rsidR="00076CD2" w:rsidRPr="00076CD2">
        <w:rPr>
          <w:rFonts w:ascii="Arial" w:hAnsi="Arial" w:cs="Arial"/>
          <w:i/>
          <w:iCs/>
          <w:sz w:val="20"/>
          <w:szCs w:val="20"/>
        </w:rPr>
        <w:t>an imminent and serious public safety or environmental risk; and the public interest in the disclosure of the record clearly outweighs the harm in the provision in question.</w:t>
      </w:r>
    </w:p>
    <w:p w14:paraId="21536890" w14:textId="51BCC4E0" w:rsidR="00076CD2" w:rsidRPr="002F3516" w:rsidRDefault="002F3516" w:rsidP="002F3516">
      <w:pPr>
        <w:tabs>
          <w:tab w:val="center" w:pos="284"/>
        </w:tabs>
        <w:ind w:left="567" w:hanging="283"/>
        <w:jc w:val="both"/>
        <w:rPr>
          <w:rFonts w:ascii="Arial" w:hAnsi="Arial" w:cs="Arial"/>
          <w:i/>
          <w:iCs/>
          <w:color w:val="000000" w:themeColor="text1"/>
          <w:sz w:val="20"/>
          <w:szCs w:val="20"/>
        </w:rPr>
      </w:pPr>
      <w:r w:rsidRPr="00BF6D81">
        <w:rPr>
          <w:rFonts w:ascii="Arial" w:hAnsi="Arial" w:cs="Arial"/>
          <w:bCs/>
          <w:i/>
          <w:iCs/>
          <w:color w:val="000000" w:themeColor="text1"/>
          <w:sz w:val="20"/>
          <w:szCs w:val="20"/>
        </w:rPr>
        <w:t>(b)</w:t>
      </w:r>
      <w:r w:rsidRPr="00BF6D81">
        <w:rPr>
          <w:rFonts w:ascii="Arial" w:hAnsi="Arial" w:cs="Arial"/>
          <w:bCs/>
          <w:i/>
          <w:iCs/>
          <w:color w:val="000000" w:themeColor="text1"/>
          <w:sz w:val="20"/>
          <w:szCs w:val="20"/>
        </w:rPr>
        <w:tab/>
      </w:r>
      <w:r w:rsidR="00076CD2" w:rsidRPr="002F3516">
        <w:rPr>
          <w:rFonts w:ascii="Arial" w:hAnsi="Arial" w:cs="Arial"/>
          <w:i/>
          <w:iCs/>
          <w:color w:val="000000" w:themeColor="text1"/>
          <w:sz w:val="20"/>
          <w:szCs w:val="20"/>
        </w:rPr>
        <w:t>The public interest in the disclosure of the record clearly outweighs the harm contemplated in the provision in question.”</w:t>
      </w:r>
    </w:p>
  </w:footnote>
  <w:footnote w:id="8">
    <w:p w14:paraId="1C51F5C1" w14:textId="352337D7" w:rsidR="0013056A" w:rsidRDefault="0013056A" w:rsidP="00BF6D81">
      <w:pPr>
        <w:pStyle w:val="FootnoteText"/>
        <w:ind w:left="284" w:hanging="284"/>
        <w:jc w:val="both"/>
      </w:pPr>
      <w:r w:rsidRPr="00076CD2">
        <w:rPr>
          <w:rStyle w:val="FootnoteReference"/>
          <w:rFonts w:ascii="Arial" w:hAnsi="Arial" w:cs="Arial"/>
          <w:sz w:val="20"/>
          <w:szCs w:val="20"/>
        </w:rPr>
        <w:footnoteRef/>
      </w:r>
      <w:r w:rsidRPr="00076CD2">
        <w:rPr>
          <w:rFonts w:ascii="Arial" w:hAnsi="Arial" w:cs="Arial"/>
          <w:sz w:val="20"/>
          <w:szCs w:val="20"/>
        </w:rPr>
        <w:t xml:space="preserve"> </w:t>
      </w:r>
      <w:r w:rsidR="00BF6D81">
        <w:rPr>
          <w:rFonts w:ascii="Arial" w:hAnsi="Arial" w:cs="Arial"/>
          <w:sz w:val="20"/>
          <w:szCs w:val="20"/>
        </w:rPr>
        <w:tab/>
      </w:r>
      <w:r w:rsidRPr="00076CD2">
        <w:rPr>
          <w:rFonts w:ascii="Arial" w:hAnsi="Arial" w:cs="Arial"/>
          <w:sz w:val="20"/>
          <w:szCs w:val="20"/>
        </w:rPr>
        <w:t>20 of 2000.</w:t>
      </w:r>
    </w:p>
  </w:footnote>
  <w:footnote w:id="9">
    <w:p w14:paraId="41BECB64" w14:textId="403FDE27" w:rsidR="00950942" w:rsidRPr="0025556C" w:rsidRDefault="00950942" w:rsidP="00636C6D">
      <w:pPr>
        <w:pStyle w:val="FootnoteText"/>
        <w:ind w:left="284" w:hanging="284"/>
        <w:jc w:val="both"/>
        <w:rPr>
          <w:rFonts w:ascii="Arial" w:hAnsi="Arial" w:cs="Arial"/>
          <w:sz w:val="20"/>
          <w:szCs w:val="20"/>
        </w:rPr>
      </w:pPr>
      <w:r w:rsidRPr="0025556C">
        <w:rPr>
          <w:rStyle w:val="FootnoteReference"/>
          <w:rFonts w:ascii="Arial" w:hAnsi="Arial" w:cs="Arial"/>
          <w:sz w:val="20"/>
          <w:szCs w:val="20"/>
        </w:rPr>
        <w:footnoteRef/>
      </w:r>
      <w:r w:rsidRPr="0025556C">
        <w:rPr>
          <w:rFonts w:ascii="Arial" w:hAnsi="Arial" w:cs="Arial"/>
          <w:sz w:val="20"/>
          <w:szCs w:val="20"/>
        </w:rPr>
        <w:t xml:space="preserve"> </w:t>
      </w:r>
      <w:r w:rsidR="00BF6D81">
        <w:rPr>
          <w:rFonts w:ascii="Arial" w:hAnsi="Arial" w:cs="Arial"/>
          <w:sz w:val="20"/>
          <w:szCs w:val="20"/>
        </w:rPr>
        <w:tab/>
      </w:r>
      <w:r w:rsidRPr="0025556C">
        <w:rPr>
          <w:rFonts w:ascii="Arial" w:hAnsi="Arial" w:cs="Arial"/>
          <w:i/>
          <w:iCs/>
          <w:sz w:val="20"/>
          <w:szCs w:val="20"/>
        </w:rPr>
        <w:t>C</w:t>
      </w:r>
      <w:r w:rsidRPr="0025556C">
        <w:rPr>
          <w:rFonts w:ascii="Arial" w:hAnsi="Arial" w:cs="Arial"/>
          <w:sz w:val="20"/>
          <w:szCs w:val="20"/>
        </w:rPr>
        <w:t>e</w:t>
      </w:r>
      <w:r w:rsidRPr="0025556C">
        <w:rPr>
          <w:rFonts w:ascii="Arial" w:hAnsi="Arial" w:cs="Arial"/>
          <w:i/>
          <w:iCs/>
          <w:sz w:val="20"/>
          <w:szCs w:val="20"/>
        </w:rPr>
        <w:t xml:space="preserve">ntre for Social Accountability v Secretary for Parliament </w:t>
      </w:r>
      <w:r w:rsidRPr="0025556C">
        <w:rPr>
          <w:rFonts w:ascii="Arial" w:hAnsi="Arial" w:cs="Arial"/>
          <w:sz w:val="20"/>
          <w:szCs w:val="20"/>
        </w:rPr>
        <w:t>2011 (5) SA 279 (ECG) at paras [92] and</w:t>
      </w:r>
      <w:r w:rsidR="00BF6D81">
        <w:rPr>
          <w:rFonts w:ascii="Arial" w:hAnsi="Arial" w:cs="Arial"/>
          <w:sz w:val="20"/>
          <w:szCs w:val="20"/>
        </w:rPr>
        <w:t xml:space="preserve"> </w:t>
      </w:r>
      <w:r w:rsidRPr="0025556C">
        <w:rPr>
          <w:rFonts w:ascii="Arial" w:hAnsi="Arial" w:cs="Arial"/>
          <w:sz w:val="20"/>
          <w:szCs w:val="20"/>
        </w:rPr>
        <w:t>[94]. I referred to this in the main judgment.</w:t>
      </w:r>
    </w:p>
  </w:footnote>
  <w:footnote w:id="10">
    <w:p w14:paraId="19B80DF1" w14:textId="6D3A6079" w:rsidR="0025556C" w:rsidRPr="0025556C" w:rsidRDefault="0025556C" w:rsidP="00BF6D81">
      <w:pPr>
        <w:ind w:left="284" w:right="50" w:hanging="284"/>
        <w:jc w:val="both"/>
        <w:rPr>
          <w:rFonts w:ascii="Arial" w:hAnsi="Arial" w:cs="Arial"/>
          <w:b/>
          <w:bCs/>
          <w:sz w:val="20"/>
          <w:szCs w:val="20"/>
        </w:rPr>
      </w:pPr>
      <w:r w:rsidRPr="0025556C">
        <w:rPr>
          <w:rStyle w:val="FootnoteReference"/>
          <w:rFonts w:ascii="Arial" w:hAnsi="Arial" w:cs="Arial"/>
          <w:sz w:val="20"/>
          <w:szCs w:val="20"/>
        </w:rPr>
        <w:footnoteRef/>
      </w:r>
      <w:r w:rsidRPr="0025556C">
        <w:rPr>
          <w:rFonts w:ascii="Arial" w:hAnsi="Arial" w:cs="Arial"/>
          <w:sz w:val="20"/>
          <w:szCs w:val="20"/>
        </w:rPr>
        <w:t xml:space="preserve"> </w:t>
      </w:r>
      <w:r w:rsidR="00BF6D81">
        <w:rPr>
          <w:rFonts w:ascii="Arial" w:hAnsi="Arial" w:cs="Arial"/>
          <w:sz w:val="20"/>
          <w:szCs w:val="20"/>
        </w:rPr>
        <w:tab/>
      </w:r>
      <w:r w:rsidRPr="0025556C">
        <w:rPr>
          <w:rFonts w:ascii="Arial" w:hAnsi="Arial" w:cs="Arial"/>
          <w:i/>
          <w:iCs/>
          <w:sz w:val="20"/>
          <w:szCs w:val="20"/>
        </w:rPr>
        <w:t>“The present case concerns the implementation of the contract. It was neither argued nor was any case made out that N3TC had failed to comply with its obligations in terms of the main agreement and to deliver that for which it had been contracted. The making of profit, in a private company, is an everyday commercial consequence and is not in and of itself a matter which requires disclosure in the public interest.”</w:t>
      </w:r>
    </w:p>
    <w:p w14:paraId="0DCDEBB8" w14:textId="44FB9FC1" w:rsidR="0025556C" w:rsidRDefault="002555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7F672C" w:rsidRDefault="007F672C" w:rsidP="00774A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7F672C" w:rsidRDefault="007F672C"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53DE5A17" w:rsidR="007F672C" w:rsidRDefault="007F672C" w:rsidP="00774A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350">
      <w:rPr>
        <w:rStyle w:val="PageNumber"/>
        <w:noProof/>
      </w:rPr>
      <w:t>21</w:t>
    </w:r>
    <w:r>
      <w:rPr>
        <w:rStyle w:val="PageNumber"/>
      </w:rPr>
      <w:fldChar w:fldCharType="end"/>
    </w:r>
  </w:p>
  <w:p w14:paraId="7E704A95" w14:textId="77777777" w:rsidR="007F672C" w:rsidRDefault="007F672C"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3D9B"/>
    <w:multiLevelType w:val="hybridMultilevel"/>
    <w:tmpl w:val="71E2788E"/>
    <w:lvl w:ilvl="0" w:tplc="40205FF8">
      <w:start w:val="1"/>
      <w:numFmt w:val="lowerRoman"/>
      <w:lvlText w:val="(%1)"/>
      <w:lvlJc w:val="left"/>
      <w:pPr>
        <w:ind w:left="2151" w:hanging="72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 w15:restartNumberingAfterBreak="0">
    <w:nsid w:val="13722814"/>
    <w:multiLevelType w:val="hybridMultilevel"/>
    <w:tmpl w:val="DC228172"/>
    <w:lvl w:ilvl="0" w:tplc="AA4C91E6">
      <w:start w:val="1"/>
      <w:numFmt w:val="decimal"/>
      <w:lvlText w:val="[%1]"/>
      <w:lvlJc w:val="left"/>
      <w:pPr>
        <w:ind w:left="720" w:hanging="360"/>
      </w:pPr>
      <w:rPr>
        <w:rFonts w:hint="default"/>
        <w:b w:val="0"/>
        <w:bCs w:val="0"/>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D7ACC"/>
    <w:multiLevelType w:val="hybridMultilevel"/>
    <w:tmpl w:val="E402D206"/>
    <w:lvl w:ilvl="0" w:tplc="F112F3E0">
      <w:start w:val="1"/>
      <w:numFmt w:val="lowerRoman"/>
      <w:lvlText w:val="(%1)"/>
      <w:lvlJc w:val="left"/>
      <w:pPr>
        <w:ind w:left="2008" w:hanging="720"/>
      </w:pPr>
      <w:rPr>
        <w:rFonts w:ascii="Arial" w:eastAsiaTheme="minorHAnsi" w:hAnsi="Arial" w:cs="Arial"/>
        <w:b w:val="0"/>
        <w:bCs/>
        <w:sz w:val="2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 w15:restartNumberingAfterBreak="0">
    <w:nsid w:val="255D2C42"/>
    <w:multiLevelType w:val="hybridMultilevel"/>
    <w:tmpl w:val="ABCC6564"/>
    <w:lvl w:ilvl="0" w:tplc="1EC859AA">
      <w:start w:val="35"/>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E33BE"/>
    <w:multiLevelType w:val="hybridMultilevel"/>
    <w:tmpl w:val="F30841E6"/>
    <w:lvl w:ilvl="0" w:tplc="B6789EAE">
      <w:start w:val="62"/>
      <w:numFmt w:val="decimal"/>
      <w:lvlText w:val="[%1]"/>
      <w:lvlJc w:val="left"/>
      <w:pPr>
        <w:ind w:left="1648"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F27F3"/>
    <w:multiLevelType w:val="hybridMultilevel"/>
    <w:tmpl w:val="F9946BEA"/>
    <w:lvl w:ilvl="0" w:tplc="9912F42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E3777"/>
    <w:multiLevelType w:val="hybridMultilevel"/>
    <w:tmpl w:val="176E3312"/>
    <w:lvl w:ilvl="0" w:tplc="B448C258">
      <w:start w:val="1"/>
      <w:numFmt w:val="lowerLetter"/>
      <w:lvlText w:val="(%1)"/>
      <w:lvlJc w:val="left"/>
      <w:pPr>
        <w:ind w:left="896" w:hanging="360"/>
      </w:pPr>
      <w:rPr>
        <w:rFonts w:ascii="Arial" w:hAnsi="Arial" w:cs="Arial" w:hint="default"/>
        <w:b w:val="0"/>
        <w:bCs/>
        <w:i/>
        <w:iCs/>
        <w:sz w:val="2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3C6F3063"/>
    <w:multiLevelType w:val="hybridMultilevel"/>
    <w:tmpl w:val="C4C0A36C"/>
    <w:lvl w:ilvl="0" w:tplc="5ACC9C9E">
      <w:start w:val="46"/>
      <w:numFmt w:val="decimal"/>
      <w:lvlText w:val="[%1]"/>
      <w:lvlJc w:val="left"/>
      <w:pPr>
        <w:ind w:left="1648"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50658"/>
    <w:multiLevelType w:val="hybridMultilevel"/>
    <w:tmpl w:val="1C984746"/>
    <w:lvl w:ilvl="0" w:tplc="5708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D0C54"/>
    <w:multiLevelType w:val="hybridMultilevel"/>
    <w:tmpl w:val="458C672A"/>
    <w:lvl w:ilvl="0" w:tplc="83141B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527328676">
    <w:abstractNumId w:val="5"/>
  </w:num>
  <w:num w:numId="2" w16cid:durableId="252982815">
    <w:abstractNumId w:val="9"/>
  </w:num>
  <w:num w:numId="3" w16cid:durableId="1859348018">
    <w:abstractNumId w:val="8"/>
  </w:num>
  <w:num w:numId="4" w16cid:durableId="85809784">
    <w:abstractNumId w:val="0"/>
  </w:num>
  <w:num w:numId="5" w16cid:durableId="2057392631">
    <w:abstractNumId w:val="6"/>
  </w:num>
  <w:num w:numId="6" w16cid:durableId="11691482">
    <w:abstractNumId w:val="2"/>
  </w:num>
  <w:num w:numId="7" w16cid:durableId="1780250609">
    <w:abstractNumId w:val="7"/>
  </w:num>
  <w:num w:numId="8" w16cid:durableId="524053882">
    <w:abstractNumId w:val="4"/>
  </w:num>
  <w:num w:numId="9" w16cid:durableId="881138811">
    <w:abstractNumId w:val="3"/>
  </w:num>
  <w:num w:numId="10" w16cid:durableId="19090010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0883"/>
    <w:rsid w:val="00004A9C"/>
    <w:rsid w:val="000060CB"/>
    <w:rsid w:val="00006288"/>
    <w:rsid w:val="000104B4"/>
    <w:rsid w:val="000176E1"/>
    <w:rsid w:val="000218AC"/>
    <w:rsid w:val="0002295E"/>
    <w:rsid w:val="00022E29"/>
    <w:rsid w:val="00025D2E"/>
    <w:rsid w:val="00030EDB"/>
    <w:rsid w:val="00036175"/>
    <w:rsid w:val="00041A1F"/>
    <w:rsid w:val="00044121"/>
    <w:rsid w:val="00046FAD"/>
    <w:rsid w:val="00050078"/>
    <w:rsid w:val="00052547"/>
    <w:rsid w:val="000578D1"/>
    <w:rsid w:val="00062CEF"/>
    <w:rsid w:val="0006302B"/>
    <w:rsid w:val="0006551C"/>
    <w:rsid w:val="00066505"/>
    <w:rsid w:val="00070EA4"/>
    <w:rsid w:val="000730BB"/>
    <w:rsid w:val="00076CD2"/>
    <w:rsid w:val="0008376B"/>
    <w:rsid w:val="0008544C"/>
    <w:rsid w:val="00085E25"/>
    <w:rsid w:val="0008693D"/>
    <w:rsid w:val="0009477A"/>
    <w:rsid w:val="0009635D"/>
    <w:rsid w:val="000964D1"/>
    <w:rsid w:val="000967F0"/>
    <w:rsid w:val="000971DB"/>
    <w:rsid w:val="000A132E"/>
    <w:rsid w:val="000A26D7"/>
    <w:rsid w:val="000A5272"/>
    <w:rsid w:val="000C091F"/>
    <w:rsid w:val="000C1577"/>
    <w:rsid w:val="000C1D16"/>
    <w:rsid w:val="000C3AFA"/>
    <w:rsid w:val="000C3FDC"/>
    <w:rsid w:val="000C4554"/>
    <w:rsid w:val="000C6322"/>
    <w:rsid w:val="000D0136"/>
    <w:rsid w:val="000D0442"/>
    <w:rsid w:val="000E07B1"/>
    <w:rsid w:val="000E1AC8"/>
    <w:rsid w:val="000E5109"/>
    <w:rsid w:val="000E5543"/>
    <w:rsid w:val="000E5E25"/>
    <w:rsid w:val="000E5FB9"/>
    <w:rsid w:val="000E6633"/>
    <w:rsid w:val="000E7A86"/>
    <w:rsid w:val="00101D88"/>
    <w:rsid w:val="001021EE"/>
    <w:rsid w:val="00103EC1"/>
    <w:rsid w:val="00106DE2"/>
    <w:rsid w:val="00114724"/>
    <w:rsid w:val="00114EA4"/>
    <w:rsid w:val="00121456"/>
    <w:rsid w:val="001223D2"/>
    <w:rsid w:val="00130075"/>
    <w:rsid w:val="0013056A"/>
    <w:rsid w:val="001339EB"/>
    <w:rsid w:val="0013467B"/>
    <w:rsid w:val="0013492F"/>
    <w:rsid w:val="00136033"/>
    <w:rsid w:val="001360A5"/>
    <w:rsid w:val="00144EA8"/>
    <w:rsid w:val="00151F35"/>
    <w:rsid w:val="00153B46"/>
    <w:rsid w:val="00155668"/>
    <w:rsid w:val="0016046F"/>
    <w:rsid w:val="00161F55"/>
    <w:rsid w:val="00163683"/>
    <w:rsid w:val="001721F5"/>
    <w:rsid w:val="00172E7E"/>
    <w:rsid w:val="0017465D"/>
    <w:rsid w:val="0017503D"/>
    <w:rsid w:val="001867CE"/>
    <w:rsid w:val="0019345E"/>
    <w:rsid w:val="00194AFD"/>
    <w:rsid w:val="00194BAE"/>
    <w:rsid w:val="001A003E"/>
    <w:rsid w:val="001A21CD"/>
    <w:rsid w:val="001A44B8"/>
    <w:rsid w:val="001A626F"/>
    <w:rsid w:val="001A7F86"/>
    <w:rsid w:val="001B288A"/>
    <w:rsid w:val="001B487B"/>
    <w:rsid w:val="001C5140"/>
    <w:rsid w:val="001D17BE"/>
    <w:rsid w:val="001D6C62"/>
    <w:rsid w:val="001D6F4F"/>
    <w:rsid w:val="001D7244"/>
    <w:rsid w:val="001E0B8C"/>
    <w:rsid w:val="001E32FC"/>
    <w:rsid w:val="001E4AC5"/>
    <w:rsid w:val="001E5FEA"/>
    <w:rsid w:val="001E6710"/>
    <w:rsid w:val="001F07DD"/>
    <w:rsid w:val="001F450A"/>
    <w:rsid w:val="001F4AE5"/>
    <w:rsid w:val="001F60F2"/>
    <w:rsid w:val="002003EF"/>
    <w:rsid w:val="00201A93"/>
    <w:rsid w:val="00201CB3"/>
    <w:rsid w:val="002040D5"/>
    <w:rsid w:val="00205098"/>
    <w:rsid w:val="0020751F"/>
    <w:rsid w:val="0021216F"/>
    <w:rsid w:val="002129F5"/>
    <w:rsid w:val="00232BFD"/>
    <w:rsid w:val="00232EA0"/>
    <w:rsid w:val="002332DE"/>
    <w:rsid w:val="00235638"/>
    <w:rsid w:val="00242E76"/>
    <w:rsid w:val="00244901"/>
    <w:rsid w:val="00245687"/>
    <w:rsid w:val="002458A4"/>
    <w:rsid w:val="00254146"/>
    <w:rsid w:val="00255485"/>
    <w:rsid w:val="0025556C"/>
    <w:rsid w:val="00262A5B"/>
    <w:rsid w:val="00264079"/>
    <w:rsid w:val="00265336"/>
    <w:rsid w:val="00267036"/>
    <w:rsid w:val="0027008F"/>
    <w:rsid w:val="00280528"/>
    <w:rsid w:val="00281CA0"/>
    <w:rsid w:val="00283B34"/>
    <w:rsid w:val="00286748"/>
    <w:rsid w:val="00287E6E"/>
    <w:rsid w:val="002914E5"/>
    <w:rsid w:val="002933AB"/>
    <w:rsid w:val="00297350"/>
    <w:rsid w:val="0029767F"/>
    <w:rsid w:val="002A150C"/>
    <w:rsid w:val="002A1684"/>
    <w:rsid w:val="002A4135"/>
    <w:rsid w:val="002A4BB0"/>
    <w:rsid w:val="002A4E4F"/>
    <w:rsid w:val="002A51AF"/>
    <w:rsid w:val="002A53F8"/>
    <w:rsid w:val="002A681B"/>
    <w:rsid w:val="002A6A3F"/>
    <w:rsid w:val="002B0901"/>
    <w:rsid w:val="002B0A35"/>
    <w:rsid w:val="002B4437"/>
    <w:rsid w:val="002B69B1"/>
    <w:rsid w:val="002C413A"/>
    <w:rsid w:val="002C4D4E"/>
    <w:rsid w:val="002C7527"/>
    <w:rsid w:val="002D6A2A"/>
    <w:rsid w:val="002D6BF0"/>
    <w:rsid w:val="002E1F21"/>
    <w:rsid w:val="002E2986"/>
    <w:rsid w:val="002E5B2F"/>
    <w:rsid w:val="002E7EEE"/>
    <w:rsid w:val="002F3516"/>
    <w:rsid w:val="00301195"/>
    <w:rsid w:val="003050C8"/>
    <w:rsid w:val="00307191"/>
    <w:rsid w:val="00313396"/>
    <w:rsid w:val="003155D7"/>
    <w:rsid w:val="00316515"/>
    <w:rsid w:val="00322298"/>
    <w:rsid w:val="00323F5E"/>
    <w:rsid w:val="0032633A"/>
    <w:rsid w:val="00331DC2"/>
    <w:rsid w:val="00333325"/>
    <w:rsid w:val="003348C6"/>
    <w:rsid w:val="00334F20"/>
    <w:rsid w:val="00335D42"/>
    <w:rsid w:val="00336667"/>
    <w:rsid w:val="00337009"/>
    <w:rsid w:val="003414BB"/>
    <w:rsid w:val="00342015"/>
    <w:rsid w:val="00360697"/>
    <w:rsid w:val="00363165"/>
    <w:rsid w:val="00364832"/>
    <w:rsid w:val="00371BE5"/>
    <w:rsid w:val="00375DC6"/>
    <w:rsid w:val="00385391"/>
    <w:rsid w:val="00385FBC"/>
    <w:rsid w:val="003A14B0"/>
    <w:rsid w:val="003A20FB"/>
    <w:rsid w:val="003A3574"/>
    <w:rsid w:val="003A4F7A"/>
    <w:rsid w:val="003A5BC8"/>
    <w:rsid w:val="003B577B"/>
    <w:rsid w:val="003B6C23"/>
    <w:rsid w:val="003C415E"/>
    <w:rsid w:val="003C432D"/>
    <w:rsid w:val="003E6BDA"/>
    <w:rsid w:val="003F2048"/>
    <w:rsid w:val="003F37AE"/>
    <w:rsid w:val="003F4462"/>
    <w:rsid w:val="003F46D7"/>
    <w:rsid w:val="00405AEE"/>
    <w:rsid w:val="00406F88"/>
    <w:rsid w:val="004075F2"/>
    <w:rsid w:val="00412577"/>
    <w:rsid w:val="00412E0C"/>
    <w:rsid w:val="00413603"/>
    <w:rsid w:val="00413E2B"/>
    <w:rsid w:val="00416EA1"/>
    <w:rsid w:val="00417BE7"/>
    <w:rsid w:val="0042184A"/>
    <w:rsid w:val="004247F2"/>
    <w:rsid w:val="00425F53"/>
    <w:rsid w:val="00430AE1"/>
    <w:rsid w:val="00432B66"/>
    <w:rsid w:val="00440D4B"/>
    <w:rsid w:val="0044117D"/>
    <w:rsid w:val="0044361B"/>
    <w:rsid w:val="00443ADE"/>
    <w:rsid w:val="00444C8B"/>
    <w:rsid w:val="0045149D"/>
    <w:rsid w:val="00452A4C"/>
    <w:rsid w:val="00454072"/>
    <w:rsid w:val="0045579C"/>
    <w:rsid w:val="00460F1A"/>
    <w:rsid w:val="00461E12"/>
    <w:rsid w:val="00475569"/>
    <w:rsid w:val="00475A8E"/>
    <w:rsid w:val="00475FA5"/>
    <w:rsid w:val="0048191C"/>
    <w:rsid w:val="004822F1"/>
    <w:rsid w:val="00482966"/>
    <w:rsid w:val="00483489"/>
    <w:rsid w:val="004854D5"/>
    <w:rsid w:val="0049074E"/>
    <w:rsid w:val="0049313B"/>
    <w:rsid w:val="0049365A"/>
    <w:rsid w:val="00496985"/>
    <w:rsid w:val="004A7A56"/>
    <w:rsid w:val="004B0696"/>
    <w:rsid w:val="004C2031"/>
    <w:rsid w:val="004C6A1E"/>
    <w:rsid w:val="004D12FE"/>
    <w:rsid w:val="004D3845"/>
    <w:rsid w:val="004D5403"/>
    <w:rsid w:val="004E581A"/>
    <w:rsid w:val="004F0167"/>
    <w:rsid w:val="004F66D5"/>
    <w:rsid w:val="00500DA0"/>
    <w:rsid w:val="005069D9"/>
    <w:rsid w:val="00514611"/>
    <w:rsid w:val="0051651C"/>
    <w:rsid w:val="005171E9"/>
    <w:rsid w:val="00534F0B"/>
    <w:rsid w:val="00540198"/>
    <w:rsid w:val="00547AC7"/>
    <w:rsid w:val="00551B4C"/>
    <w:rsid w:val="0055431B"/>
    <w:rsid w:val="005560EF"/>
    <w:rsid w:val="00560362"/>
    <w:rsid w:val="0057074A"/>
    <w:rsid w:val="00570B73"/>
    <w:rsid w:val="005720E9"/>
    <w:rsid w:val="00574C09"/>
    <w:rsid w:val="005759EF"/>
    <w:rsid w:val="00581180"/>
    <w:rsid w:val="00587548"/>
    <w:rsid w:val="00587BF3"/>
    <w:rsid w:val="00595099"/>
    <w:rsid w:val="00596AD7"/>
    <w:rsid w:val="00597CDE"/>
    <w:rsid w:val="005A2F73"/>
    <w:rsid w:val="005A74A4"/>
    <w:rsid w:val="005B0DB3"/>
    <w:rsid w:val="005B118D"/>
    <w:rsid w:val="005B15C3"/>
    <w:rsid w:val="005B2DFF"/>
    <w:rsid w:val="005B6266"/>
    <w:rsid w:val="005B75C1"/>
    <w:rsid w:val="005C56A4"/>
    <w:rsid w:val="005C6C96"/>
    <w:rsid w:val="005D3007"/>
    <w:rsid w:val="005D4790"/>
    <w:rsid w:val="005E2259"/>
    <w:rsid w:val="005E230C"/>
    <w:rsid w:val="005E39CF"/>
    <w:rsid w:val="005E3D20"/>
    <w:rsid w:val="005E448E"/>
    <w:rsid w:val="005F49B3"/>
    <w:rsid w:val="005F653D"/>
    <w:rsid w:val="005F6B33"/>
    <w:rsid w:val="006036F8"/>
    <w:rsid w:val="006041FA"/>
    <w:rsid w:val="00605316"/>
    <w:rsid w:val="0060557D"/>
    <w:rsid w:val="006077A9"/>
    <w:rsid w:val="00613E4D"/>
    <w:rsid w:val="00615A0C"/>
    <w:rsid w:val="006216B4"/>
    <w:rsid w:val="006350CE"/>
    <w:rsid w:val="00636C6D"/>
    <w:rsid w:val="006430C0"/>
    <w:rsid w:val="00644BB3"/>
    <w:rsid w:val="00646138"/>
    <w:rsid w:val="00650745"/>
    <w:rsid w:val="00651B9B"/>
    <w:rsid w:val="006531F2"/>
    <w:rsid w:val="00653433"/>
    <w:rsid w:val="00655236"/>
    <w:rsid w:val="00661BD9"/>
    <w:rsid w:val="006630FB"/>
    <w:rsid w:val="006710DC"/>
    <w:rsid w:val="00675035"/>
    <w:rsid w:val="00676987"/>
    <w:rsid w:val="00676C37"/>
    <w:rsid w:val="00677BC9"/>
    <w:rsid w:val="00683071"/>
    <w:rsid w:val="00686AFF"/>
    <w:rsid w:val="006876B6"/>
    <w:rsid w:val="00690FEC"/>
    <w:rsid w:val="00695299"/>
    <w:rsid w:val="00695533"/>
    <w:rsid w:val="006A1AA8"/>
    <w:rsid w:val="006A37E3"/>
    <w:rsid w:val="006A6DDB"/>
    <w:rsid w:val="006A770C"/>
    <w:rsid w:val="006B0014"/>
    <w:rsid w:val="006B3D1D"/>
    <w:rsid w:val="006B67ED"/>
    <w:rsid w:val="006C196B"/>
    <w:rsid w:val="006C2322"/>
    <w:rsid w:val="006C34F6"/>
    <w:rsid w:val="006C705A"/>
    <w:rsid w:val="006E0D13"/>
    <w:rsid w:val="006E25F1"/>
    <w:rsid w:val="006E4415"/>
    <w:rsid w:val="006E462C"/>
    <w:rsid w:val="006E4E6A"/>
    <w:rsid w:val="006F2787"/>
    <w:rsid w:val="006F40B5"/>
    <w:rsid w:val="00707C51"/>
    <w:rsid w:val="00713A5D"/>
    <w:rsid w:val="007173F3"/>
    <w:rsid w:val="00720FEF"/>
    <w:rsid w:val="0072221F"/>
    <w:rsid w:val="007240E6"/>
    <w:rsid w:val="007300BB"/>
    <w:rsid w:val="0073212D"/>
    <w:rsid w:val="00733746"/>
    <w:rsid w:val="00735EB8"/>
    <w:rsid w:val="00736CDA"/>
    <w:rsid w:val="00737291"/>
    <w:rsid w:val="00742BAE"/>
    <w:rsid w:val="00750CC1"/>
    <w:rsid w:val="00753AD4"/>
    <w:rsid w:val="00755484"/>
    <w:rsid w:val="00761713"/>
    <w:rsid w:val="00763002"/>
    <w:rsid w:val="007675A3"/>
    <w:rsid w:val="007679D5"/>
    <w:rsid w:val="00771E0F"/>
    <w:rsid w:val="007728D2"/>
    <w:rsid w:val="00773D8D"/>
    <w:rsid w:val="00774AB9"/>
    <w:rsid w:val="00775501"/>
    <w:rsid w:val="0078101C"/>
    <w:rsid w:val="00785866"/>
    <w:rsid w:val="007875AE"/>
    <w:rsid w:val="0078777C"/>
    <w:rsid w:val="00790BAD"/>
    <w:rsid w:val="007970E1"/>
    <w:rsid w:val="007A288E"/>
    <w:rsid w:val="007A53BB"/>
    <w:rsid w:val="007B2C1E"/>
    <w:rsid w:val="007B46F6"/>
    <w:rsid w:val="007B56E1"/>
    <w:rsid w:val="007B63CD"/>
    <w:rsid w:val="007B7FBF"/>
    <w:rsid w:val="007C373C"/>
    <w:rsid w:val="007C7D36"/>
    <w:rsid w:val="007D17B5"/>
    <w:rsid w:val="007D24A3"/>
    <w:rsid w:val="007E14BF"/>
    <w:rsid w:val="007E7B98"/>
    <w:rsid w:val="007F0BBF"/>
    <w:rsid w:val="007F2E8F"/>
    <w:rsid w:val="007F672C"/>
    <w:rsid w:val="007F7556"/>
    <w:rsid w:val="007F7FED"/>
    <w:rsid w:val="0080634A"/>
    <w:rsid w:val="00806DFA"/>
    <w:rsid w:val="00821962"/>
    <w:rsid w:val="00822511"/>
    <w:rsid w:val="00822E29"/>
    <w:rsid w:val="00827402"/>
    <w:rsid w:val="0083215B"/>
    <w:rsid w:val="008321DE"/>
    <w:rsid w:val="0083710F"/>
    <w:rsid w:val="00837200"/>
    <w:rsid w:val="00840547"/>
    <w:rsid w:val="0084332A"/>
    <w:rsid w:val="008465D6"/>
    <w:rsid w:val="00857559"/>
    <w:rsid w:val="00860899"/>
    <w:rsid w:val="00862FF6"/>
    <w:rsid w:val="00863BF8"/>
    <w:rsid w:val="00866025"/>
    <w:rsid w:val="00876636"/>
    <w:rsid w:val="0088233C"/>
    <w:rsid w:val="00894128"/>
    <w:rsid w:val="008A3877"/>
    <w:rsid w:val="008B1A58"/>
    <w:rsid w:val="008B1B71"/>
    <w:rsid w:val="008B2182"/>
    <w:rsid w:val="008C18AE"/>
    <w:rsid w:val="008C3603"/>
    <w:rsid w:val="008C45A5"/>
    <w:rsid w:val="008D34A8"/>
    <w:rsid w:val="008D4FD5"/>
    <w:rsid w:val="008E4705"/>
    <w:rsid w:val="008E5BBF"/>
    <w:rsid w:val="008E6813"/>
    <w:rsid w:val="008E7AC8"/>
    <w:rsid w:val="008F2EA2"/>
    <w:rsid w:val="009007B6"/>
    <w:rsid w:val="00901159"/>
    <w:rsid w:val="009026AA"/>
    <w:rsid w:val="00904AFB"/>
    <w:rsid w:val="00906597"/>
    <w:rsid w:val="00911000"/>
    <w:rsid w:val="00911F9D"/>
    <w:rsid w:val="00914972"/>
    <w:rsid w:val="009155B3"/>
    <w:rsid w:val="00916812"/>
    <w:rsid w:val="00916FDE"/>
    <w:rsid w:val="009202FE"/>
    <w:rsid w:val="009227A6"/>
    <w:rsid w:val="00923678"/>
    <w:rsid w:val="009263C3"/>
    <w:rsid w:val="00926EAA"/>
    <w:rsid w:val="0093492C"/>
    <w:rsid w:val="0093762E"/>
    <w:rsid w:val="00940B57"/>
    <w:rsid w:val="00941562"/>
    <w:rsid w:val="00943963"/>
    <w:rsid w:val="0094414A"/>
    <w:rsid w:val="00944BDE"/>
    <w:rsid w:val="0094618C"/>
    <w:rsid w:val="00947466"/>
    <w:rsid w:val="00947FBD"/>
    <w:rsid w:val="00950942"/>
    <w:rsid w:val="0095576C"/>
    <w:rsid w:val="00961E27"/>
    <w:rsid w:val="00971C33"/>
    <w:rsid w:val="009727CD"/>
    <w:rsid w:val="009732B6"/>
    <w:rsid w:val="00974554"/>
    <w:rsid w:val="00976D15"/>
    <w:rsid w:val="00977E1A"/>
    <w:rsid w:val="009838D5"/>
    <w:rsid w:val="009858F3"/>
    <w:rsid w:val="00986DBF"/>
    <w:rsid w:val="00987290"/>
    <w:rsid w:val="00993535"/>
    <w:rsid w:val="009950C9"/>
    <w:rsid w:val="009A269B"/>
    <w:rsid w:val="009A33C1"/>
    <w:rsid w:val="009A79F1"/>
    <w:rsid w:val="009B099B"/>
    <w:rsid w:val="009B2BC9"/>
    <w:rsid w:val="009B36AA"/>
    <w:rsid w:val="009B4C31"/>
    <w:rsid w:val="009C133F"/>
    <w:rsid w:val="009D57DB"/>
    <w:rsid w:val="009E1EF1"/>
    <w:rsid w:val="009F13C6"/>
    <w:rsid w:val="009F22F0"/>
    <w:rsid w:val="009F43A4"/>
    <w:rsid w:val="009F5E83"/>
    <w:rsid w:val="009F6A13"/>
    <w:rsid w:val="00A01777"/>
    <w:rsid w:val="00A06E43"/>
    <w:rsid w:val="00A07432"/>
    <w:rsid w:val="00A12932"/>
    <w:rsid w:val="00A13793"/>
    <w:rsid w:val="00A156AE"/>
    <w:rsid w:val="00A15E04"/>
    <w:rsid w:val="00A165EA"/>
    <w:rsid w:val="00A16888"/>
    <w:rsid w:val="00A22388"/>
    <w:rsid w:val="00A24B93"/>
    <w:rsid w:val="00A337E6"/>
    <w:rsid w:val="00A34F55"/>
    <w:rsid w:val="00A3600A"/>
    <w:rsid w:val="00A43F9C"/>
    <w:rsid w:val="00A4634B"/>
    <w:rsid w:val="00A52FDF"/>
    <w:rsid w:val="00A54C36"/>
    <w:rsid w:val="00A56BC1"/>
    <w:rsid w:val="00A600CF"/>
    <w:rsid w:val="00A6155A"/>
    <w:rsid w:val="00A62353"/>
    <w:rsid w:val="00A62975"/>
    <w:rsid w:val="00A63F51"/>
    <w:rsid w:val="00A75EF4"/>
    <w:rsid w:val="00A77551"/>
    <w:rsid w:val="00A9010C"/>
    <w:rsid w:val="00A901C5"/>
    <w:rsid w:val="00AA175A"/>
    <w:rsid w:val="00AA663B"/>
    <w:rsid w:val="00AB0925"/>
    <w:rsid w:val="00AB0FC0"/>
    <w:rsid w:val="00AB1510"/>
    <w:rsid w:val="00AB2A0E"/>
    <w:rsid w:val="00AB2DE7"/>
    <w:rsid w:val="00AB4CA7"/>
    <w:rsid w:val="00AB636E"/>
    <w:rsid w:val="00AB6798"/>
    <w:rsid w:val="00AC1C80"/>
    <w:rsid w:val="00AC6FC7"/>
    <w:rsid w:val="00AD49F8"/>
    <w:rsid w:val="00AE1E5D"/>
    <w:rsid w:val="00AE2CBF"/>
    <w:rsid w:val="00AE4E9C"/>
    <w:rsid w:val="00AF1688"/>
    <w:rsid w:val="00AF3194"/>
    <w:rsid w:val="00B10A75"/>
    <w:rsid w:val="00B11DEB"/>
    <w:rsid w:val="00B120C9"/>
    <w:rsid w:val="00B20170"/>
    <w:rsid w:val="00B21489"/>
    <w:rsid w:val="00B22495"/>
    <w:rsid w:val="00B244B7"/>
    <w:rsid w:val="00B256A7"/>
    <w:rsid w:val="00B3097A"/>
    <w:rsid w:val="00B309C9"/>
    <w:rsid w:val="00B3106B"/>
    <w:rsid w:val="00B404D0"/>
    <w:rsid w:val="00B42F35"/>
    <w:rsid w:val="00B44F10"/>
    <w:rsid w:val="00B50E11"/>
    <w:rsid w:val="00B51CEC"/>
    <w:rsid w:val="00B64D36"/>
    <w:rsid w:val="00B70181"/>
    <w:rsid w:val="00B73443"/>
    <w:rsid w:val="00B8347D"/>
    <w:rsid w:val="00B84C51"/>
    <w:rsid w:val="00B862D2"/>
    <w:rsid w:val="00B908DF"/>
    <w:rsid w:val="00B92A41"/>
    <w:rsid w:val="00B9551D"/>
    <w:rsid w:val="00B95693"/>
    <w:rsid w:val="00B95E84"/>
    <w:rsid w:val="00B97924"/>
    <w:rsid w:val="00B97AFD"/>
    <w:rsid w:val="00BA1F62"/>
    <w:rsid w:val="00BA5320"/>
    <w:rsid w:val="00BB0BE0"/>
    <w:rsid w:val="00BB3F9A"/>
    <w:rsid w:val="00BC6449"/>
    <w:rsid w:val="00BD2454"/>
    <w:rsid w:val="00BE6555"/>
    <w:rsid w:val="00BF09B4"/>
    <w:rsid w:val="00BF35B1"/>
    <w:rsid w:val="00BF6D81"/>
    <w:rsid w:val="00C04C43"/>
    <w:rsid w:val="00C05949"/>
    <w:rsid w:val="00C11D38"/>
    <w:rsid w:val="00C21CBB"/>
    <w:rsid w:val="00C24CCA"/>
    <w:rsid w:val="00C31981"/>
    <w:rsid w:val="00C33AAD"/>
    <w:rsid w:val="00C4185B"/>
    <w:rsid w:val="00C45291"/>
    <w:rsid w:val="00C519B2"/>
    <w:rsid w:val="00C52737"/>
    <w:rsid w:val="00C53B19"/>
    <w:rsid w:val="00C5727B"/>
    <w:rsid w:val="00C63FFA"/>
    <w:rsid w:val="00C64B6A"/>
    <w:rsid w:val="00C72A6C"/>
    <w:rsid w:val="00C7361A"/>
    <w:rsid w:val="00C7460D"/>
    <w:rsid w:val="00C82CFB"/>
    <w:rsid w:val="00C841A1"/>
    <w:rsid w:val="00C8430A"/>
    <w:rsid w:val="00C9262D"/>
    <w:rsid w:val="00CA2847"/>
    <w:rsid w:val="00CA6C2A"/>
    <w:rsid w:val="00CA6F4A"/>
    <w:rsid w:val="00CB0076"/>
    <w:rsid w:val="00CB2381"/>
    <w:rsid w:val="00CB2439"/>
    <w:rsid w:val="00CB6F8A"/>
    <w:rsid w:val="00CB79DD"/>
    <w:rsid w:val="00CC3AB3"/>
    <w:rsid w:val="00CD1BDD"/>
    <w:rsid w:val="00CD292A"/>
    <w:rsid w:val="00CD7E1C"/>
    <w:rsid w:val="00CE09E5"/>
    <w:rsid w:val="00CE0CC7"/>
    <w:rsid w:val="00CE30E0"/>
    <w:rsid w:val="00CE3BED"/>
    <w:rsid w:val="00CE6E59"/>
    <w:rsid w:val="00CF05BE"/>
    <w:rsid w:val="00CF2821"/>
    <w:rsid w:val="00CF796A"/>
    <w:rsid w:val="00CF7D86"/>
    <w:rsid w:val="00CF7D99"/>
    <w:rsid w:val="00D00B2E"/>
    <w:rsid w:val="00D026E5"/>
    <w:rsid w:val="00D0642F"/>
    <w:rsid w:val="00D1542D"/>
    <w:rsid w:val="00D16120"/>
    <w:rsid w:val="00D16320"/>
    <w:rsid w:val="00D2145B"/>
    <w:rsid w:val="00D23AB6"/>
    <w:rsid w:val="00D2698D"/>
    <w:rsid w:val="00D31613"/>
    <w:rsid w:val="00D31928"/>
    <w:rsid w:val="00D344C1"/>
    <w:rsid w:val="00D42295"/>
    <w:rsid w:val="00D42B06"/>
    <w:rsid w:val="00D523A1"/>
    <w:rsid w:val="00D526DF"/>
    <w:rsid w:val="00D5446D"/>
    <w:rsid w:val="00D61362"/>
    <w:rsid w:val="00D77C76"/>
    <w:rsid w:val="00D80C00"/>
    <w:rsid w:val="00D90052"/>
    <w:rsid w:val="00D91BA3"/>
    <w:rsid w:val="00D9200F"/>
    <w:rsid w:val="00DA44A9"/>
    <w:rsid w:val="00DA7A8D"/>
    <w:rsid w:val="00DB19FF"/>
    <w:rsid w:val="00DB4529"/>
    <w:rsid w:val="00DB4A9F"/>
    <w:rsid w:val="00DC0738"/>
    <w:rsid w:val="00DC0C06"/>
    <w:rsid w:val="00DC73E8"/>
    <w:rsid w:val="00DC7BB6"/>
    <w:rsid w:val="00DD05F4"/>
    <w:rsid w:val="00DD0D2F"/>
    <w:rsid w:val="00DD35F7"/>
    <w:rsid w:val="00DD4D3D"/>
    <w:rsid w:val="00DD4D6C"/>
    <w:rsid w:val="00DE0282"/>
    <w:rsid w:val="00DE1587"/>
    <w:rsid w:val="00DE39D7"/>
    <w:rsid w:val="00DF0D64"/>
    <w:rsid w:val="00DF1032"/>
    <w:rsid w:val="00DF4D83"/>
    <w:rsid w:val="00DF604F"/>
    <w:rsid w:val="00DF76AF"/>
    <w:rsid w:val="00E01835"/>
    <w:rsid w:val="00E02EAF"/>
    <w:rsid w:val="00E03204"/>
    <w:rsid w:val="00E03B46"/>
    <w:rsid w:val="00E067A2"/>
    <w:rsid w:val="00E077DF"/>
    <w:rsid w:val="00E07A72"/>
    <w:rsid w:val="00E15BCC"/>
    <w:rsid w:val="00E3052B"/>
    <w:rsid w:val="00E31629"/>
    <w:rsid w:val="00E31A36"/>
    <w:rsid w:val="00E43F8E"/>
    <w:rsid w:val="00E45186"/>
    <w:rsid w:val="00E50554"/>
    <w:rsid w:val="00E507F0"/>
    <w:rsid w:val="00E51144"/>
    <w:rsid w:val="00E513AE"/>
    <w:rsid w:val="00E55848"/>
    <w:rsid w:val="00E63F2E"/>
    <w:rsid w:val="00E65FD4"/>
    <w:rsid w:val="00E7210A"/>
    <w:rsid w:val="00E72A79"/>
    <w:rsid w:val="00E74C41"/>
    <w:rsid w:val="00E802B6"/>
    <w:rsid w:val="00E82E00"/>
    <w:rsid w:val="00E8500B"/>
    <w:rsid w:val="00E8695C"/>
    <w:rsid w:val="00E86AD4"/>
    <w:rsid w:val="00E904E4"/>
    <w:rsid w:val="00E932B5"/>
    <w:rsid w:val="00E94C86"/>
    <w:rsid w:val="00E95904"/>
    <w:rsid w:val="00E972D3"/>
    <w:rsid w:val="00EA1D75"/>
    <w:rsid w:val="00EB239A"/>
    <w:rsid w:val="00EB6D92"/>
    <w:rsid w:val="00EC6120"/>
    <w:rsid w:val="00EC7937"/>
    <w:rsid w:val="00EC7C52"/>
    <w:rsid w:val="00ED011F"/>
    <w:rsid w:val="00ED23AA"/>
    <w:rsid w:val="00ED58E4"/>
    <w:rsid w:val="00ED68B8"/>
    <w:rsid w:val="00EE0738"/>
    <w:rsid w:val="00EE0DBB"/>
    <w:rsid w:val="00EE45BF"/>
    <w:rsid w:val="00EE7699"/>
    <w:rsid w:val="00EE7C9E"/>
    <w:rsid w:val="00EF0C48"/>
    <w:rsid w:val="00EF46E6"/>
    <w:rsid w:val="00EF5F44"/>
    <w:rsid w:val="00EF626F"/>
    <w:rsid w:val="00F00B18"/>
    <w:rsid w:val="00F00D28"/>
    <w:rsid w:val="00F07943"/>
    <w:rsid w:val="00F12440"/>
    <w:rsid w:val="00F142DB"/>
    <w:rsid w:val="00F16056"/>
    <w:rsid w:val="00F21520"/>
    <w:rsid w:val="00F25D67"/>
    <w:rsid w:val="00F26354"/>
    <w:rsid w:val="00F31571"/>
    <w:rsid w:val="00F3578B"/>
    <w:rsid w:val="00F428B4"/>
    <w:rsid w:val="00F43A15"/>
    <w:rsid w:val="00F43C52"/>
    <w:rsid w:val="00F44185"/>
    <w:rsid w:val="00F46C68"/>
    <w:rsid w:val="00F471C4"/>
    <w:rsid w:val="00F53553"/>
    <w:rsid w:val="00F5420B"/>
    <w:rsid w:val="00F55C9B"/>
    <w:rsid w:val="00F56324"/>
    <w:rsid w:val="00F57032"/>
    <w:rsid w:val="00F57113"/>
    <w:rsid w:val="00F63187"/>
    <w:rsid w:val="00F655FD"/>
    <w:rsid w:val="00F71C68"/>
    <w:rsid w:val="00F71DD4"/>
    <w:rsid w:val="00F74042"/>
    <w:rsid w:val="00F76C47"/>
    <w:rsid w:val="00F85632"/>
    <w:rsid w:val="00F87163"/>
    <w:rsid w:val="00F90936"/>
    <w:rsid w:val="00F93BA4"/>
    <w:rsid w:val="00F95B0D"/>
    <w:rsid w:val="00F96145"/>
    <w:rsid w:val="00F97E13"/>
    <w:rsid w:val="00FC01F2"/>
    <w:rsid w:val="00FC0385"/>
    <w:rsid w:val="00FC5ACE"/>
    <w:rsid w:val="00FC76E7"/>
    <w:rsid w:val="00FD07EE"/>
    <w:rsid w:val="00FD36CE"/>
    <w:rsid w:val="00FD48A0"/>
    <w:rsid w:val="00FD653B"/>
    <w:rsid w:val="00FE07D3"/>
    <w:rsid w:val="00FE53D2"/>
    <w:rsid w:val="00FF07BC"/>
    <w:rsid w:val="00FF1218"/>
    <w:rsid w:val="00FF6376"/>
    <w:rsid w:val="00FF68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Revision">
    <w:name w:val="Revision"/>
    <w:hidden/>
    <w:uiPriority w:val="99"/>
    <w:semiHidden/>
    <w:rsid w:val="00F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4FDFBB-EEC0-AA44-A660-DF1A84CE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Lilitha Mdleleni</cp:lastModifiedBy>
  <cp:revision>3</cp:revision>
  <cp:lastPrinted>2023-11-14T07:38:00Z</cp:lastPrinted>
  <dcterms:created xsi:type="dcterms:W3CDTF">2024-01-25T09:18:00Z</dcterms:created>
  <dcterms:modified xsi:type="dcterms:W3CDTF">2024-01-28T20:09:00Z</dcterms:modified>
</cp:coreProperties>
</file>