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30DA1" w14:textId="4E556236" w:rsidR="008B5DF4" w:rsidRDefault="008B5DF4" w:rsidP="008B5DF4">
      <w:pPr>
        <w:spacing w:after="0" w:line="240" w:lineRule="auto"/>
        <w:rPr>
          <w:rFonts w:ascii="Arial" w:eastAsia="Times New Roman" w:hAnsi="Arial" w:cs="Arial"/>
          <w:sz w:val="24"/>
          <w:szCs w:val="24"/>
          <w:lang w:eastAsia="en-GB"/>
        </w:rPr>
      </w:pPr>
      <w:r>
        <w:rPr>
          <w:noProof/>
        </w:rPr>
        <w:drawing>
          <wp:inline distT="0" distB="0" distL="0" distR="0" wp14:anchorId="18802C93" wp14:editId="32AF745D">
            <wp:extent cx="4286885" cy="462915"/>
            <wp:effectExtent l="0" t="0" r="0" b="0"/>
            <wp:docPr id="355545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462915"/>
                    </a:xfrm>
                    <a:prstGeom prst="rect">
                      <a:avLst/>
                    </a:prstGeom>
                    <a:noFill/>
                    <a:ln>
                      <a:noFill/>
                    </a:ln>
                  </pic:spPr>
                </pic:pic>
              </a:graphicData>
            </a:graphic>
          </wp:inline>
        </w:drawing>
      </w:r>
    </w:p>
    <w:p w14:paraId="68A20EE6" w14:textId="5CA04EB5" w:rsidR="00951A7D" w:rsidRPr="00A062BD" w:rsidRDefault="00951A7D" w:rsidP="00951A7D">
      <w:pPr>
        <w:spacing w:after="0" w:line="240" w:lineRule="auto"/>
        <w:jc w:val="center"/>
        <w:rPr>
          <w:rFonts w:ascii="Arial" w:eastAsia="Times New Roman" w:hAnsi="Arial" w:cs="Arial"/>
          <w:sz w:val="24"/>
          <w:szCs w:val="24"/>
          <w:lang w:eastAsia="en-GB"/>
        </w:rPr>
      </w:pPr>
      <w:r w:rsidRPr="00A062BD">
        <w:rPr>
          <w:rFonts w:ascii="Arial" w:eastAsia="Times New Roman" w:hAnsi="Arial" w:cs="Arial"/>
          <w:sz w:val="24"/>
          <w:szCs w:val="24"/>
          <w:lang w:eastAsia="en-GB"/>
        </w:rPr>
        <w:t>REPUBLIC OF SOUTH AFRICA</w:t>
      </w:r>
    </w:p>
    <w:p w14:paraId="2C2283DE" w14:textId="77777777" w:rsidR="00951A7D" w:rsidRPr="00A062BD" w:rsidRDefault="00951A7D" w:rsidP="00951A7D">
      <w:pPr>
        <w:spacing w:after="0" w:line="240" w:lineRule="auto"/>
        <w:jc w:val="center"/>
        <w:rPr>
          <w:rFonts w:ascii="Arial" w:eastAsia="Times New Roman" w:hAnsi="Arial" w:cs="Arial"/>
          <w:sz w:val="24"/>
          <w:szCs w:val="24"/>
          <w:lang w:eastAsia="en-GB"/>
        </w:rPr>
      </w:pPr>
      <w:r w:rsidRPr="00A062BD">
        <w:rPr>
          <w:rFonts w:ascii="Arial" w:hAnsi="Arial" w:cs="Arial"/>
          <w:b/>
          <w:noProof/>
          <w:sz w:val="24"/>
          <w:szCs w:val="24"/>
        </w:rPr>
        <w:drawing>
          <wp:inline distT="0" distB="0" distL="0" distR="0" wp14:anchorId="5A7D8270" wp14:editId="1C01E53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4329AE38" w14:textId="77777777" w:rsidR="00951A7D" w:rsidRPr="00A062BD" w:rsidRDefault="00951A7D" w:rsidP="00951A7D">
      <w:pPr>
        <w:spacing w:after="0" w:line="240" w:lineRule="auto"/>
        <w:jc w:val="center"/>
        <w:rPr>
          <w:rFonts w:ascii="Arial" w:eastAsia="Times New Roman" w:hAnsi="Arial" w:cs="Arial"/>
          <w:sz w:val="24"/>
          <w:szCs w:val="24"/>
          <w:lang w:eastAsia="en-GB"/>
        </w:rPr>
      </w:pPr>
      <w:r w:rsidRPr="00A062BD">
        <w:rPr>
          <w:rFonts w:ascii="Arial" w:eastAsia="Times New Roman" w:hAnsi="Arial" w:cs="Arial"/>
          <w:sz w:val="24"/>
          <w:szCs w:val="24"/>
          <w:lang w:eastAsia="en-GB"/>
        </w:rPr>
        <w:t>IN THE HIGH COURT OF SOUTH AFRICA</w:t>
      </w:r>
    </w:p>
    <w:p w14:paraId="310D7AA1" w14:textId="77777777" w:rsidR="00951A7D" w:rsidRPr="00A062BD" w:rsidRDefault="00951A7D" w:rsidP="00951A7D">
      <w:pPr>
        <w:spacing w:after="0" w:line="240" w:lineRule="auto"/>
        <w:jc w:val="center"/>
        <w:rPr>
          <w:rFonts w:ascii="Arial" w:eastAsia="Times New Roman" w:hAnsi="Arial" w:cs="Arial"/>
          <w:sz w:val="24"/>
          <w:szCs w:val="24"/>
          <w:lang w:eastAsia="en-GB"/>
        </w:rPr>
      </w:pPr>
      <w:r w:rsidRPr="00A062BD">
        <w:rPr>
          <w:rFonts w:ascii="Arial" w:eastAsia="Times New Roman" w:hAnsi="Arial" w:cs="Arial"/>
          <w:sz w:val="24"/>
          <w:szCs w:val="24"/>
          <w:lang w:eastAsia="en-GB"/>
        </w:rPr>
        <w:t>GAUTENG DIVISION, PRETORIA</w:t>
      </w:r>
    </w:p>
    <w:p w14:paraId="6D26359F" w14:textId="77777777" w:rsidR="00951A7D" w:rsidRPr="00A062BD" w:rsidRDefault="00951A7D" w:rsidP="00951A7D">
      <w:pPr>
        <w:spacing w:after="0" w:line="240" w:lineRule="auto"/>
        <w:jc w:val="center"/>
        <w:rPr>
          <w:rFonts w:ascii="Arial" w:eastAsia="Times New Roman" w:hAnsi="Arial" w:cs="Arial"/>
          <w:sz w:val="24"/>
          <w:szCs w:val="24"/>
          <w:lang w:eastAsia="en-GB"/>
        </w:rPr>
      </w:pPr>
    </w:p>
    <w:p w14:paraId="6DE40B5F" w14:textId="77777777" w:rsidR="00951A7D" w:rsidRPr="00A062BD" w:rsidRDefault="00951A7D" w:rsidP="00951A7D">
      <w:pPr>
        <w:spacing w:before="240" w:after="240" w:line="240" w:lineRule="auto"/>
        <w:jc w:val="right"/>
        <w:rPr>
          <w:rFonts w:ascii="Arial" w:hAnsi="Arial" w:cs="Arial"/>
          <w:sz w:val="24"/>
          <w:szCs w:val="24"/>
        </w:rPr>
      </w:pPr>
      <w:r w:rsidRPr="00A062BD">
        <w:rPr>
          <w:rFonts w:ascii="Arial" w:hAnsi="Arial" w:cs="Arial"/>
          <w:sz w:val="24"/>
          <w:szCs w:val="24"/>
        </w:rPr>
        <w:t xml:space="preserve">CASE Number: </w:t>
      </w:r>
      <w:r w:rsidR="00673DE7" w:rsidRPr="00A062BD">
        <w:rPr>
          <w:rFonts w:ascii="Arial" w:hAnsi="Arial" w:cs="Arial"/>
          <w:sz w:val="24"/>
          <w:szCs w:val="24"/>
        </w:rPr>
        <w:t>38707/2020</w:t>
      </w:r>
    </w:p>
    <w:p w14:paraId="60952A07" w14:textId="77777777" w:rsidR="00951A7D" w:rsidRPr="00A062BD" w:rsidRDefault="00951A7D" w:rsidP="00951A7D">
      <w:pPr>
        <w:tabs>
          <w:tab w:val="left" w:pos="4917"/>
        </w:tabs>
        <w:spacing w:after="0" w:line="240" w:lineRule="auto"/>
        <w:jc w:val="center"/>
        <w:rPr>
          <w:rFonts w:ascii="Arial" w:hAnsi="Arial" w:cs="Arial"/>
          <w:sz w:val="24"/>
          <w:szCs w:val="24"/>
        </w:rPr>
      </w:pPr>
      <w:r w:rsidRPr="00A062BD">
        <w:rPr>
          <w:rFonts w:ascii="Arial" w:hAnsi="Arial" w:cs="Arial"/>
          <w:noProof/>
          <w:sz w:val="24"/>
          <w:szCs w:val="24"/>
        </w:rPr>
        <mc:AlternateContent>
          <mc:Choice Requires="wps">
            <w:drawing>
              <wp:anchor distT="0" distB="0" distL="114300" distR="114300" simplePos="0" relativeHeight="251659264" behindDoc="0" locked="0" layoutInCell="1" allowOverlap="1" wp14:anchorId="0FC369B7" wp14:editId="56BB5930">
                <wp:simplePos x="0" y="0"/>
                <wp:positionH relativeFrom="column">
                  <wp:posOffset>6350</wp:posOffset>
                </wp:positionH>
                <wp:positionV relativeFrom="paragraph">
                  <wp:posOffset>8255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2C9B7D97" w14:textId="77777777" w:rsidR="00951A7D" w:rsidRDefault="00951A7D" w:rsidP="00951A7D">
                            <w:pPr>
                              <w:jc w:val="center"/>
                              <w:rPr>
                                <w:rFonts w:ascii="Century Gothic" w:hAnsi="Century Gothic"/>
                                <w:b/>
                                <w:sz w:val="20"/>
                                <w:szCs w:val="20"/>
                              </w:rPr>
                            </w:pPr>
                          </w:p>
                          <w:p w14:paraId="642DE258" w14:textId="77777777" w:rsidR="00951A7D" w:rsidRDefault="00951A7D" w:rsidP="00951A7D">
                            <w:pPr>
                              <w:numPr>
                                <w:ilvl w:val="0"/>
                                <w:numId w:val="2"/>
                              </w:numPr>
                              <w:spacing w:after="0" w:line="240" w:lineRule="auto"/>
                              <w:rPr>
                                <w:rFonts w:ascii="Century Gothic" w:hAnsi="Century Gothic"/>
                                <w:sz w:val="20"/>
                                <w:szCs w:val="20"/>
                              </w:rPr>
                            </w:pPr>
                            <w:r>
                              <w:rPr>
                                <w:rFonts w:ascii="Century Gothic" w:hAnsi="Century Gothic"/>
                                <w:sz w:val="20"/>
                                <w:szCs w:val="20"/>
                              </w:rPr>
                              <w:t>REPORTABLE: YES/NO</w:t>
                            </w:r>
                          </w:p>
                          <w:p w14:paraId="4F5137AA" w14:textId="77777777" w:rsidR="00951A7D" w:rsidRDefault="00951A7D" w:rsidP="00951A7D">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79D14B99" w14:textId="77777777" w:rsidR="00951A7D" w:rsidRDefault="00951A7D" w:rsidP="00951A7D">
                            <w:pPr>
                              <w:numPr>
                                <w:ilvl w:val="0"/>
                                <w:numId w:val="2"/>
                              </w:numPr>
                              <w:spacing w:after="0" w:line="240" w:lineRule="auto"/>
                              <w:rPr>
                                <w:rFonts w:ascii="Century Gothic" w:hAnsi="Century Gothic"/>
                                <w:sz w:val="20"/>
                                <w:szCs w:val="20"/>
                              </w:rPr>
                            </w:pPr>
                            <w:r>
                              <w:rPr>
                                <w:rFonts w:ascii="Century Gothic" w:hAnsi="Century Gothic"/>
                                <w:sz w:val="20"/>
                                <w:szCs w:val="20"/>
                              </w:rPr>
                              <w:t>REVISED: YES/NO</w:t>
                            </w:r>
                          </w:p>
                          <w:p w14:paraId="6D4E1A6D" w14:textId="77777777" w:rsidR="00951A7D" w:rsidRDefault="00951A7D" w:rsidP="00951A7D">
                            <w:pPr>
                              <w:spacing w:after="0" w:line="240" w:lineRule="auto"/>
                              <w:rPr>
                                <w:rFonts w:ascii="Century Gothic" w:hAnsi="Century Gothic"/>
                                <w:sz w:val="20"/>
                                <w:szCs w:val="20"/>
                              </w:rPr>
                            </w:pPr>
                          </w:p>
                          <w:p w14:paraId="6858AC86" w14:textId="77777777" w:rsidR="00951A7D" w:rsidRDefault="00951A7D" w:rsidP="00951A7D">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CDF844C" w14:textId="77777777" w:rsidR="00951A7D" w:rsidRDefault="00951A7D" w:rsidP="00951A7D">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14:paraId="15E31581" w14:textId="77777777" w:rsidR="00951A7D" w:rsidRDefault="00951A7D" w:rsidP="00951A7D">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369B7" id="_x0000_t202" coordsize="21600,21600" o:spt="202" path="m,l,21600r21600,l21600,xe">
                <v:stroke joinstyle="miter"/>
                <v:path gradientshapeok="t" o:connecttype="rect"/>
              </v:shapetype>
              <v:shape id="Text Box 2" o:spid="_x0000_s1026" type="#_x0000_t202" style="position:absolute;left:0;text-align:left;margin-left:.5pt;margin-top:.6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MfrlBfdAAAABwEAAA8AAABkcnMvZG93bnJldi54bWxMj81OwzAQhO9IvIO1&#10;SFwQdX6glBCnQkgguEFBcHXjbRJhr4PtpuHtWU5wGo1mNfNtvZ6dFROGOHhSkC8yEEitNwN1Ct5e&#10;789XIGLSZLT1hAq+McK6OT6qdWX8gV5w2qROcAnFSivoUxorKWPbo9Nx4UckznY+OJ3Yhk6aoA9c&#10;7qwssmwpnR6IF3o94l2P7edm7xSsLh6nj/hUPr+3y529TmdX08NXUOr0ZL69AZFwTn/H8IvP6NAw&#10;09bvyURh2fMniaUEwellnuUgtgqKsihBNrX8z9/8AAAA//8DAFBLAQItABQABgAIAAAAIQC2gziS&#10;/gAAAOEBAAATAAAAAAAAAAAAAAAAAAAAAABbQ29udGVudF9UeXBlc10ueG1sUEsBAi0AFAAGAAgA&#10;AAAhADj9If/WAAAAlAEAAAsAAAAAAAAAAAAAAAAALwEAAF9yZWxzLy5yZWxzUEsBAi0AFAAGAAgA&#10;AAAhALh5vYoZAgAALAQAAA4AAAAAAAAAAAAAAAAALgIAAGRycy9lMm9Eb2MueG1sUEsBAi0AFAAG&#10;AAgAAAAhAMfrlBfdAAAABwEAAA8AAAAAAAAAAAAAAAAAcwQAAGRycy9kb3ducmV2LnhtbFBLBQYA&#10;AAAABAAEAPMAAAB9BQAAAAA=&#10;">
                <v:textbox>
                  <w:txbxContent>
                    <w:p w14:paraId="2C9B7D97" w14:textId="77777777" w:rsidR="00951A7D" w:rsidRDefault="00951A7D" w:rsidP="00951A7D">
                      <w:pPr>
                        <w:jc w:val="center"/>
                        <w:rPr>
                          <w:rFonts w:ascii="Century Gothic" w:hAnsi="Century Gothic"/>
                          <w:b/>
                          <w:sz w:val="20"/>
                          <w:szCs w:val="20"/>
                        </w:rPr>
                      </w:pPr>
                    </w:p>
                    <w:p w14:paraId="642DE258" w14:textId="77777777" w:rsidR="00951A7D" w:rsidRDefault="00951A7D" w:rsidP="00951A7D">
                      <w:pPr>
                        <w:numPr>
                          <w:ilvl w:val="0"/>
                          <w:numId w:val="2"/>
                        </w:numPr>
                        <w:spacing w:after="0" w:line="240" w:lineRule="auto"/>
                        <w:rPr>
                          <w:rFonts w:ascii="Century Gothic" w:hAnsi="Century Gothic"/>
                          <w:sz w:val="20"/>
                          <w:szCs w:val="20"/>
                        </w:rPr>
                      </w:pPr>
                      <w:r>
                        <w:rPr>
                          <w:rFonts w:ascii="Century Gothic" w:hAnsi="Century Gothic"/>
                          <w:sz w:val="20"/>
                          <w:szCs w:val="20"/>
                        </w:rPr>
                        <w:t>REPORTABLE: YES/NO</w:t>
                      </w:r>
                    </w:p>
                    <w:p w14:paraId="4F5137AA" w14:textId="77777777" w:rsidR="00951A7D" w:rsidRDefault="00951A7D" w:rsidP="00951A7D">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79D14B99" w14:textId="77777777" w:rsidR="00951A7D" w:rsidRDefault="00951A7D" w:rsidP="00951A7D">
                      <w:pPr>
                        <w:numPr>
                          <w:ilvl w:val="0"/>
                          <w:numId w:val="2"/>
                        </w:numPr>
                        <w:spacing w:after="0" w:line="240" w:lineRule="auto"/>
                        <w:rPr>
                          <w:rFonts w:ascii="Century Gothic" w:hAnsi="Century Gothic"/>
                          <w:sz w:val="20"/>
                          <w:szCs w:val="20"/>
                        </w:rPr>
                      </w:pPr>
                      <w:r>
                        <w:rPr>
                          <w:rFonts w:ascii="Century Gothic" w:hAnsi="Century Gothic"/>
                          <w:sz w:val="20"/>
                          <w:szCs w:val="20"/>
                        </w:rPr>
                        <w:t>REVISED: YES/NO</w:t>
                      </w:r>
                    </w:p>
                    <w:p w14:paraId="6D4E1A6D" w14:textId="77777777" w:rsidR="00951A7D" w:rsidRDefault="00951A7D" w:rsidP="00951A7D">
                      <w:pPr>
                        <w:spacing w:after="0" w:line="240" w:lineRule="auto"/>
                        <w:rPr>
                          <w:rFonts w:ascii="Century Gothic" w:hAnsi="Century Gothic"/>
                          <w:sz w:val="20"/>
                          <w:szCs w:val="20"/>
                        </w:rPr>
                      </w:pPr>
                    </w:p>
                    <w:p w14:paraId="6858AC86" w14:textId="77777777" w:rsidR="00951A7D" w:rsidRDefault="00951A7D" w:rsidP="00951A7D">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CDF844C" w14:textId="77777777" w:rsidR="00951A7D" w:rsidRDefault="00951A7D" w:rsidP="00951A7D">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14:paraId="15E31581" w14:textId="77777777" w:rsidR="00951A7D" w:rsidRDefault="00951A7D" w:rsidP="00951A7D">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57A4BBF" w14:textId="77777777" w:rsidR="00951A7D" w:rsidRPr="00A062BD" w:rsidRDefault="00951A7D" w:rsidP="00951A7D">
      <w:pPr>
        <w:tabs>
          <w:tab w:val="left" w:pos="4917"/>
        </w:tabs>
        <w:spacing w:after="0" w:line="240" w:lineRule="auto"/>
        <w:jc w:val="center"/>
        <w:rPr>
          <w:rFonts w:ascii="Arial" w:hAnsi="Arial" w:cs="Arial"/>
          <w:sz w:val="24"/>
          <w:szCs w:val="24"/>
        </w:rPr>
      </w:pPr>
    </w:p>
    <w:p w14:paraId="4FB8CC3B" w14:textId="77777777" w:rsidR="00951A7D" w:rsidRPr="00A062BD" w:rsidRDefault="00951A7D" w:rsidP="00951A7D">
      <w:pPr>
        <w:tabs>
          <w:tab w:val="left" w:pos="4917"/>
        </w:tabs>
        <w:spacing w:after="0" w:line="240" w:lineRule="auto"/>
        <w:jc w:val="right"/>
        <w:rPr>
          <w:rFonts w:ascii="Arial" w:hAnsi="Arial" w:cs="Arial"/>
          <w:b/>
          <w:sz w:val="24"/>
          <w:szCs w:val="24"/>
          <w:u w:val="single"/>
        </w:rPr>
      </w:pPr>
    </w:p>
    <w:p w14:paraId="7F7FD835" w14:textId="77777777" w:rsidR="00951A7D" w:rsidRPr="00A062BD" w:rsidRDefault="00951A7D" w:rsidP="00951A7D">
      <w:pPr>
        <w:tabs>
          <w:tab w:val="left" w:pos="4917"/>
        </w:tabs>
        <w:spacing w:after="0" w:line="240" w:lineRule="auto"/>
        <w:jc w:val="right"/>
        <w:rPr>
          <w:rFonts w:ascii="Arial" w:hAnsi="Arial" w:cs="Arial"/>
          <w:b/>
          <w:sz w:val="24"/>
          <w:szCs w:val="24"/>
          <w:u w:val="single"/>
        </w:rPr>
      </w:pPr>
    </w:p>
    <w:p w14:paraId="66967538" w14:textId="77777777" w:rsidR="00951A7D" w:rsidRPr="00A062BD" w:rsidRDefault="00951A7D" w:rsidP="00951A7D">
      <w:pPr>
        <w:tabs>
          <w:tab w:val="left" w:pos="4917"/>
        </w:tabs>
        <w:spacing w:after="0" w:line="240" w:lineRule="auto"/>
        <w:jc w:val="right"/>
        <w:rPr>
          <w:rFonts w:ascii="Arial" w:hAnsi="Arial" w:cs="Arial"/>
          <w:b/>
          <w:sz w:val="24"/>
          <w:szCs w:val="24"/>
          <w:u w:val="single"/>
        </w:rPr>
      </w:pPr>
    </w:p>
    <w:p w14:paraId="351BCADF" w14:textId="77777777" w:rsidR="00951A7D" w:rsidRPr="00A062BD" w:rsidRDefault="00951A7D" w:rsidP="00951A7D">
      <w:pPr>
        <w:tabs>
          <w:tab w:val="left" w:pos="4917"/>
        </w:tabs>
        <w:spacing w:after="0" w:line="240" w:lineRule="auto"/>
        <w:jc w:val="right"/>
        <w:rPr>
          <w:rFonts w:ascii="Arial" w:hAnsi="Arial" w:cs="Arial"/>
          <w:b/>
          <w:sz w:val="24"/>
          <w:szCs w:val="24"/>
          <w:u w:val="single"/>
        </w:rPr>
      </w:pPr>
    </w:p>
    <w:p w14:paraId="0642AB93" w14:textId="77777777" w:rsidR="00951A7D" w:rsidRPr="00A062BD" w:rsidRDefault="00951A7D" w:rsidP="00951A7D">
      <w:pPr>
        <w:tabs>
          <w:tab w:val="left" w:pos="4917"/>
        </w:tabs>
        <w:spacing w:after="0" w:line="240" w:lineRule="auto"/>
        <w:jc w:val="right"/>
        <w:rPr>
          <w:rFonts w:ascii="Arial" w:hAnsi="Arial" w:cs="Arial"/>
          <w:b/>
          <w:sz w:val="24"/>
          <w:szCs w:val="24"/>
          <w:u w:val="single"/>
        </w:rPr>
      </w:pPr>
    </w:p>
    <w:p w14:paraId="46BCE2B8" w14:textId="77777777" w:rsidR="00951A7D" w:rsidRPr="00A062BD" w:rsidRDefault="00951A7D" w:rsidP="00951A7D">
      <w:pPr>
        <w:tabs>
          <w:tab w:val="left" w:pos="4917"/>
        </w:tabs>
        <w:spacing w:after="0" w:line="240" w:lineRule="auto"/>
        <w:jc w:val="right"/>
        <w:rPr>
          <w:rFonts w:ascii="Arial" w:hAnsi="Arial" w:cs="Arial"/>
          <w:b/>
          <w:sz w:val="24"/>
          <w:szCs w:val="24"/>
          <w:u w:val="single"/>
        </w:rPr>
      </w:pPr>
    </w:p>
    <w:p w14:paraId="57528F26" w14:textId="77777777" w:rsidR="00951A7D" w:rsidRPr="00A062BD" w:rsidRDefault="00951A7D" w:rsidP="00951A7D">
      <w:pPr>
        <w:tabs>
          <w:tab w:val="left" w:pos="4917"/>
        </w:tabs>
        <w:spacing w:after="0" w:line="240" w:lineRule="auto"/>
        <w:jc w:val="right"/>
        <w:rPr>
          <w:rFonts w:ascii="Arial" w:hAnsi="Arial" w:cs="Arial"/>
          <w:b/>
          <w:sz w:val="24"/>
          <w:szCs w:val="24"/>
          <w:u w:val="single"/>
        </w:rPr>
      </w:pPr>
    </w:p>
    <w:p w14:paraId="154A8AA3" w14:textId="77777777" w:rsidR="00951A7D" w:rsidRPr="00A062BD" w:rsidRDefault="00951A7D" w:rsidP="00951A7D">
      <w:pPr>
        <w:tabs>
          <w:tab w:val="left" w:pos="4917"/>
        </w:tabs>
        <w:spacing w:after="0" w:line="240" w:lineRule="auto"/>
        <w:jc w:val="both"/>
        <w:rPr>
          <w:rFonts w:ascii="Arial" w:hAnsi="Arial" w:cs="Arial"/>
          <w:b/>
          <w:sz w:val="24"/>
          <w:szCs w:val="24"/>
        </w:rPr>
      </w:pPr>
      <w:r w:rsidRPr="00A062BD">
        <w:rPr>
          <w:rFonts w:ascii="Arial" w:hAnsi="Arial" w:cs="Arial"/>
          <w:b/>
          <w:sz w:val="24"/>
          <w:szCs w:val="24"/>
        </w:rPr>
        <w:t>In the matters between: -</w:t>
      </w:r>
    </w:p>
    <w:p w14:paraId="67B53CEB" w14:textId="77777777" w:rsidR="00951A7D" w:rsidRPr="00A062BD" w:rsidRDefault="00951A7D" w:rsidP="00951A7D">
      <w:pPr>
        <w:tabs>
          <w:tab w:val="left" w:pos="4917"/>
        </w:tabs>
        <w:spacing w:after="0" w:line="240" w:lineRule="auto"/>
        <w:jc w:val="both"/>
        <w:rPr>
          <w:rFonts w:ascii="Arial" w:hAnsi="Arial" w:cs="Arial"/>
          <w:b/>
          <w:sz w:val="24"/>
          <w:szCs w:val="24"/>
        </w:rPr>
      </w:pPr>
    </w:p>
    <w:p w14:paraId="2EEEFBEF" w14:textId="77777777" w:rsidR="00951A7D" w:rsidRPr="00A062BD" w:rsidRDefault="00951A7D" w:rsidP="00951A7D">
      <w:pPr>
        <w:tabs>
          <w:tab w:val="right" w:pos="9639"/>
        </w:tabs>
        <w:spacing w:after="0" w:line="480" w:lineRule="auto"/>
        <w:rPr>
          <w:rFonts w:ascii="Arial" w:hAnsi="Arial" w:cs="Arial"/>
          <w:b/>
          <w:sz w:val="24"/>
          <w:szCs w:val="24"/>
        </w:rPr>
      </w:pPr>
      <w:r w:rsidRPr="00A062BD">
        <w:rPr>
          <w:rFonts w:ascii="Arial" w:hAnsi="Arial" w:cs="Arial"/>
          <w:b/>
          <w:sz w:val="24"/>
          <w:szCs w:val="24"/>
        </w:rPr>
        <w:t>AB</w:t>
      </w:r>
      <w:r w:rsidRPr="00A062BD">
        <w:rPr>
          <w:rFonts w:ascii="Arial" w:hAnsi="Arial" w:cs="Arial"/>
          <w:b/>
          <w:bCs/>
          <w:sz w:val="24"/>
          <w:szCs w:val="24"/>
        </w:rPr>
        <w:t xml:space="preserve"> STEPHEN PHETEDI MOTSEO</w:t>
      </w:r>
      <w:r w:rsidR="00A062BD">
        <w:rPr>
          <w:rFonts w:ascii="Arial" w:hAnsi="Arial" w:cs="Arial"/>
          <w:b/>
          <w:sz w:val="24"/>
          <w:szCs w:val="24"/>
        </w:rPr>
        <w:t xml:space="preserve">                                          </w:t>
      </w:r>
      <w:r w:rsidRPr="00A062BD">
        <w:rPr>
          <w:rFonts w:ascii="Arial" w:hAnsi="Arial" w:cs="Arial"/>
          <w:b/>
          <w:sz w:val="24"/>
          <w:szCs w:val="24"/>
        </w:rPr>
        <w:t>FIRST APPLICANT</w:t>
      </w:r>
    </w:p>
    <w:p w14:paraId="2143BD45" w14:textId="77777777" w:rsidR="00951A7D" w:rsidRPr="00A062BD" w:rsidRDefault="00951A7D" w:rsidP="00951A7D">
      <w:pPr>
        <w:tabs>
          <w:tab w:val="right" w:pos="9639"/>
        </w:tabs>
        <w:spacing w:after="0" w:line="480" w:lineRule="auto"/>
        <w:rPr>
          <w:rFonts w:ascii="Arial" w:hAnsi="Arial" w:cs="Arial"/>
          <w:b/>
          <w:sz w:val="24"/>
          <w:szCs w:val="24"/>
        </w:rPr>
      </w:pPr>
      <w:r w:rsidRPr="00A062BD">
        <w:rPr>
          <w:rFonts w:ascii="Arial" w:hAnsi="Arial" w:cs="Arial"/>
          <w:b/>
          <w:bCs/>
          <w:sz w:val="24"/>
          <w:szCs w:val="24"/>
        </w:rPr>
        <w:t>ROSSIE THLAISHEGO MOTSEO</w:t>
      </w:r>
      <w:r w:rsidR="00A062BD">
        <w:rPr>
          <w:rFonts w:ascii="Arial" w:hAnsi="Arial" w:cs="Arial"/>
          <w:b/>
          <w:bCs/>
          <w:sz w:val="24"/>
          <w:szCs w:val="24"/>
        </w:rPr>
        <w:t xml:space="preserve">                                          </w:t>
      </w:r>
      <w:r w:rsidR="00A062BD" w:rsidRPr="00A062BD">
        <w:rPr>
          <w:rFonts w:ascii="Arial" w:hAnsi="Arial" w:cs="Arial"/>
          <w:b/>
          <w:bCs/>
          <w:sz w:val="24"/>
          <w:szCs w:val="24"/>
        </w:rPr>
        <w:t xml:space="preserve"> SECOND</w:t>
      </w:r>
      <w:r w:rsidRPr="00A062BD">
        <w:rPr>
          <w:rFonts w:ascii="Arial" w:hAnsi="Arial" w:cs="Arial"/>
          <w:b/>
          <w:sz w:val="24"/>
          <w:szCs w:val="24"/>
        </w:rPr>
        <w:t xml:space="preserve"> APPLICANT</w:t>
      </w:r>
    </w:p>
    <w:p w14:paraId="3EC0B172" w14:textId="77777777" w:rsidR="00951A7D" w:rsidRPr="00A062BD" w:rsidRDefault="00951A7D" w:rsidP="00951A7D">
      <w:pPr>
        <w:tabs>
          <w:tab w:val="right" w:pos="9639"/>
        </w:tabs>
        <w:spacing w:after="0" w:line="480" w:lineRule="auto"/>
        <w:rPr>
          <w:rFonts w:ascii="Arial" w:hAnsi="Arial" w:cs="Arial"/>
          <w:b/>
          <w:sz w:val="24"/>
          <w:szCs w:val="24"/>
        </w:rPr>
      </w:pPr>
      <w:r w:rsidRPr="00A062BD">
        <w:rPr>
          <w:rFonts w:ascii="Arial" w:hAnsi="Arial" w:cs="Arial"/>
          <w:b/>
          <w:sz w:val="24"/>
          <w:szCs w:val="24"/>
        </w:rPr>
        <w:t>and</w:t>
      </w:r>
    </w:p>
    <w:p w14:paraId="016430CB" w14:textId="77777777" w:rsidR="00951A7D" w:rsidRPr="00A062BD" w:rsidRDefault="00951A7D" w:rsidP="00951A7D">
      <w:pPr>
        <w:tabs>
          <w:tab w:val="right" w:pos="9639"/>
        </w:tabs>
        <w:spacing w:after="0" w:line="480" w:lineRule="auto"/>
        <w:rPr>
          <w:rFonts w:ascii="Arial" w:hAnsi="Arial" w:cs="Arial"/>
          <w:b/>
          <w:sz w:val="24"/>
          <w:szCs w:val="24"/>
        </w:rPr>
      </w:pPr>
      <w:r w:rsidRPr="00A062BD">
        <w:rPr>
          <w:rFonts w:ascii="Arial" w:hAnsi="Arial" w:cs="Arial"/>
          <w:b/>
          <w:bCs/>
          <w:sz w:val="24"/>
          <w:szCs w:val="24"/>
        </w:rPr>
        <w:t>LUCY MAKHADA MONAMA N.O.</w:t>
      </w:r>
      <w:r w:rsidR="00F07183" w:rsidRPr="00A062BD">
        <w:rPr>
          <w:rFonts w:ascii="Arial" w:hAnsi="Arial" w:cs="Arial"/>
          <w:b/>
          <w:sz w:val="24"/>
          <w:szCs w:val="24"/>
        </w:rPr>
        <w:t xml:space="preserve">                          </w:t>
      </w:r>
      <w:r w:rsidR="00A062BD">
        <w:rPr>
          <w:rFonts w:ascii="Arial" w:hAnsi="Arial" w:cs="Arial"/>
          <w:b/>
          <w:sz w:val="24"/>
          <w:szCs w:val="24"/>
        </w:rPr>
        <w:t xml:space="preserve">             </w:t>
      </w:r>
      <w:r w:rsidRPr="00A062BD">
        <w:rPr>
          <w:rFonts w:ascii="Arial" w:hAnsi="Arial" w:cs="Arial"/>
          <w:b/>
          <w:bCs/>
          <w:sz w:val="24"/>
          <w:szCs w:val="24"/>
        </w:rPr>
        <w:t>FIRST</w:t>
      </w:r>
      <w:r w:rsidRPr="00A062BD">
        <w:rPr>
          <w:rFonts w:ascii="Arial" w:hAnsi="Arial" w:cs="Arial"/>
          <w:b/>
          <w:sz w:val="24"/>
          <w:szCs w:val="24"/>
        </w:rPr>
        <w:t xml:space="preserve"> RESPONDENT</w:t>
      </w:r>
    </w:p>
    <w:p w14:paraId="7BB08F12" w14:textId="77777777" w:rsidR="00951A7D" w:rsidRPr="00A062BD" w:rsidRDefault="00951A7D" w:rsidP="00951A7D">
      <w:pPr>
        <w:tabs>
          <w:tab w:val="right" w:pos="9639"/>
        </w:tabs>
        <w:spacing w:after="0" w:line="480" w:lineRule="auto"/>
        <w:rPr>
          <w:rFonts w:ascii="Arial" w:hAnsi="Arial" w:cs="Arial"/>
          <w:b/>
          <w:sz w:val="24"/>
          <w:szCs w:val="24"/>
        </w:rPr>
      </w:pPr>
      <w:r w:rsidRPr="00A062BD">
        <w:rPr>
          <w:rFonts w:ascii="Arial" w:hAnsi="Arial" w:cs="Arial"/>
          <w:b/>
          <w:bCs/>
          <w:sz w:val="24"/>
          <w:szCs w:val="24"/>
        </w:rPr>
        <w:t>LUCY MAKHADA MONAMA</w:t>
      </w:r>
      <w:r w:rsidRPr="00A062BD">
        <w:rPr>
          <w:rFonts w:ascii="Arial" w:hAnsi="Arial" w:cs="Arial"/>
          <w:b/>
          <w:sz w:val="24"/>
          <w:szCs w:val="24"/>
        </w:rPr>
        <w:tab/>
      </w:r>
      <w:r w:rsidR="00A062BD">
        <w:rPr>
          <w:rFonts w:ascii="Arial" w:hAnsi="Arial" w:cs="Arial"/>
          <w:b/>
          <w:sz w:val="24"/>
          <w:szCs w:val="24"/>
        </w:rPr>
        <w:t xml:space="preserve"> </w:t>
      </w:r>
      <w:r w:rsidRPr="00A062BD">
        <w:rPr>
          <w:rFonts w:ascii="Arial" w:hAnsi="Arial" w:cs="Arial"/>
          <w:b/>
          <w:sz w:val="24"/>
          <w:szCs w:val="24"/>
        </w:rPr>
        <w:t>SECOND RESPONDENT</w:t>
      </w:r>
    </w:p>
    <w:p w14:paraId="3F6D8FA4" w14:textId="77777777" w:rsidR="00951A7D" w:rsidRPr="00A062BD" w:rsidRDefault="00951A7D" w:rsidP="00951A7D">
      <w:pPr>
        <w:spacing w:after="0" w:line="480" w:lineRule="auto"/>
        <w:rPr>
          <w:rFonts w:ascii="Arial" w:hAnsi="Arial" w:cs="Arial"/>
          <w:b/>
          <w:sz w:val="24"/>
          <w:szCs w:val="24"/>
        </w:rPr>
      </w:pPr>
      <w:r w:rsidRPr="00A062BD">
        <w:rPr>
          <w:rFonts w:ascii="Arial" w:hAnsi="Arial" w:cs="Arial"/>
          <w:b/>
          <w:bCs/>
          <w:sz w:val="24"/>
          <w:szCs w:val="24"/>
        </w:rPr>
        <w:t>NEDBANK LTD</w:t>
      </w:r>
      <w:r w:rsidRPr="00A062BD">
        <w:rPr>
          <w:rFonts w:ascii="Arial" w:hAnsi="Arial" w:cs="Arial"/>
          <w:b/>
          <w:bCs/>
          <w:sz w:val="24"/>
          <w:szCs w:val="24"/>
        </w:rPr>
        <w:tab/>
      </w:r>
      <w:r w:rsidRPr="00A062BD">
        <w:rPr>
          <w:rFonts w:ascii="Arial" w:hAnsi="Arial" w:cs="Arial"/>
          <w:b/>
          <w:bCs/>
          <w:sz w:val="24"/>
          <w:szCs w:val="24"/>
        </w:rPr>
        <w:tab/>
      </w:r>
      <w:r w:rsidRPr="00A062BD">
        <w:rPr>
          <w:rFonts w:ascii="Arial" w:hAnsi="Arial" w:cs="Arial"/>
          <w:b/>
          <w:bCs/>
          <w:sz w:val="24"/>
          <w:szCs w:val="24"/>
        </w:rPr>
        <w:tab/>
      </w:r>
      <w:r w:rsidRPr="00A062BD">
        <w:rPr>
          <w:rFonts w:ascii="Arial" w:hAnsi="Arial" w:cs="Arial"/>
          <w:b/>
          <w:bCs/>
          <w:sz w:val="24"/>
          <w:szCs w:val="24"/>
        </w:rPr>
        <w:tab/>
      </w:r>
      <w:r w:rsidRPr="00A062BD">
        <w:rPr>
          <w:rFonts w:ascii="Arial" w:hAnsi="Arial" w:cs="Arial"/>
          <w:b/>
          <w:bCs/>
          <w:sz w:val="24"/>
          <w:szCs w:val="24"/>
        </w:rPr>
        <w:tab/>
      </w:r>
      <w:r w:rsidRPr="00A062BD">
        <w:rPr>
          <w:rFonts w:ascii="Arial" w:hAnsi="Arial" w:cs="Arial"/>
          <w:b/>
          <w:bCs/>
          <w:sz w:val="24"/>
          <w:szCs w:val="24"/>
        </w:rPr>
        <w:tab/>
        <w:t xml:space="preserve">   </w:t>
      </w:r>
      <w:r w:rsidR="00A062BD" w:rsidRPr="00A062BD">
        <w:rPr>
          <w:rFonts w:ascii="Arial" w:hAnsi="Arial" w:cs="Arial"/>
          <w:b/>
          <w:bCs/>
          <w:sz w:val="24"/>
          <w:szCs w:val="24"/>
        </w:rPr>
        <w:t xml:space="preserve">    </w:t>
      </w:r>
      <w:r w:rsidRPr="00A062BD">
        <w:rPr>
          <w:rFonts w:ascii="Arial" w:hAnsi="Arial" w:cs="Arial"/>
          <w:b/>
          <w:sz w:val="24"/>
          <w:szCs w:val="24"/>
        </w:rPr>
        <w:t>THIRD RESPONDENT</w:t>
      </w:r>
    </w:p>
    <w:p w14:paraId="692C4D62" w14:textId="77777777" w:rsidR="00951A7D" w:rsidRPr="00A062BD" w:rsidRDefault="00951A7D" w:rsidP="00951A7D">
      <w:pPr>
        <w:spacing w:after="0" w:line="480" w:lineRule="auto"/>
        <w:rPr>
          <w:rFonts w:ascii="Arial" w:hAnsi="Arial" w:cs="Arial"/>
          <w:b/>
          <w:sz w:val="24"/>
          <w:szCs w:val="24"/>
        </w:rPr>
      </w:pPr>
      <w:r w:rsidRPr="00A062BD">
        <w:rPr>
          <w:rFonts w:ascii="Arial" w:hAnsi="Arial" w:cs="Arial"/>
          <w:b/>
          <w:bCs/>
          <w:sz w:val="24"/>
          <w:szCs w:val="24"/>
        </w:rPr>
        <w:t>REGISTRAR OF DEEDS</w:t>
      </w:r>
      <w:r w:rsidRPr="00A062BD">
        <w:rPr>
          <w:rFonts w:ascii="Arial" w:hAnsi="Arial" w:cs="Arial"/>
          <w:b/>
          <w:bCs/>
          <w:sz w:val="24"/>
          <w:szCs w:val="24"/>
        </w:rPr>
        <w:tab/>
      </w:r>
      <w:r w:rsidRPr="00A062BD">
        <w:rPr>
          <w:rFonts w:ascii="Arial" w:hAnsi="Arial" w:cs="Arial"/>
          <w:b/>
          <w:bCs/>
          <w:sz w:val="24"/>
          <w:szCs w:val="24"/>
        </w:rPr>
        <w:tab/>
      </w:r>
      <w:r w:rsidRPr="00A062BD">
        <w:rPr>
          <w:rFonts w:ascii="Arial" w:hAnsi="Arial" w:cs="Arial"/>
          <w:b/>
          <w:bCs/>
          <w:sz w:val="24"/>
          <w:szCs w:val="24"/>
        </w:rPr>
        <w:tab/>
      </w:r>
      <w:r w:rsidR="00F07183" w:rsidRPr="00A062BD">
        <w:rPr>
          <w:rFonts w:ascii="Arial" w:hAnsi="Arial" w:cs="Arial"/>
          <w:b/>
          <w:bCs/>
          <w:sz w:val="24"/>
          <w:szCs w:val="24"/>
        </w:rPr>
        <w:tab/>
        <w:t xml:space="preserve"> </w:t>
      </w:r>
      <w:r w:rsidR="00A062BD" w:rsidRPr="00A062BD">
        <w:rPr>
          <w:rFonts w:ascii="Arial" w:hAnsi="Arial" w:cs="Arial"/>
          <w:b/>
          <w:bCs/>
          <w:sz w:val="24"/>
          <w:szCs w:val="24"/>
        </w:rPr>
        <w:t xml:space="preserve">                 </w:t>
      </w:r>
      <w:r w:rsidR="00F07183" w:rsidRPr="00A062BD">
        <w:rPr>
          <w:rFonts w:ascii="Arial" w:hAnsi="Arial" w:cs="Arial"/>
          <w:b/>
          <w:bCs/>
          <w:sz w:val="24"/>
          <w:szCs w:val="24"/>
        </w:rPr>
        <w:t>FOURTH</w:t>
      </w:r>
      <w:r w:rsidR="00A062BD" w:rsidRPr="00A062BD">
        <w:rPr>
          <w:rFonts w:ascii="Arial" w:hAnsi="Arial" w:cs="Arial"/>
          <w:b/>
          <w:sz w:val="24"/>
          <w:szCs w:val="24"/>
        </w:rPr>
        <w:t xml:space="preserve"> </w:t>
      </w:r>
      <w:r w:rsidRPr="00A062BD">
        <w:rPr>
          <w:rFonts w:ascii="Arial" w:hAnsi="Arial" w:cs="Arial"/>
          <w:b/>
          <w:sz w:val="24"/>
          <w:szCs w:val="24"/>
        </w:rPr>
        <w:t>RESPONDENT</w:t>
      </w:r>
    </w:p>
    <w:p w14:paraId="63A19B64" w14:textId="77777777" w:rsidR="00F07183" w:rsidRPr="00A062BD" w:rsidRDefault="00951A7D" w:rsidP="00951A7D">
      <w:pPr>
        <w:spacing w:after="0" w:line="480" w:lineRule="auto"/>
        <w:rPr>
          <w:rFonts w:ascii="Arial" w:hAnsi="Arial" w:cs="Arial"/>
          <w:b/>
          <w:bCs/>
          <w:sz w:val="24"/>
          <w:szCs w:val="24"/>
        </w:rPr>
      </w:pPr>
      <w:r w:rsidRPr="00A062BD">
        <w:rPr>
          <w:rFonts w:ascii="Arial" w:hAnsi="Arial" w:cs="Arial"/>
          <w:b/>
          <w:bCs/>
          <w:sz w:val="24"/>
          <w:szCs w:val="24"/>
        </w:rPr>
        <w:t xml:space="preserve">CITY OF TSHWANE METROPOLITAN </w:t>
      </w:r>
    </w:p>
    <w:p w14:paraId="49D32FA8" w14:textId="77777777" w:rsidR="00951A7D" w:rsidRPr="00A062BD" w:rsidRDefault="00951A7D" w:rsidP="00951A7D">
      <w:pPr>
        <w:spacing w:after="0" w:line="480" w:lineRule="auto"/>
        <w:rPr>
          <w:rFonts w:ascii="Arial" w:hAnsi="Arial" w:cs="Arial"/>
          <w:b/>
          <w:sz w:val="24"/>
          <w:szCs w:val="24"/>
        </w:rPr>
      </w:pPr>
      <w:r w:rsidRPr="00A062BD">
        <w:rPr>
          <w:rFonts w:ascii="Arial" w:hAnsi="Arial" w:cs="Arial"/>
          <w:b/>
          <w:bCs/>
          <w:sz w:val="24"/>
          <w:szCs w:val="24"/>
        </w:rPr>
        <w:t xml:space="preserve">MUNICIPALITY       </w:t>
      </w:r>
      <w:r w:rsidR="00F07183" w:rsidRPr="00A062BD">
        <w:rPr>
          <w:rFonts w:ascii="Arial" w:hAnsi="Arial" w:cs="Arial"/>
          <w:b/>
          <w:bCs/>
          <w:sz w:val="24"/>
          <w:szCs w:val="24"/>
        </w:rPr>
        <w:t xml:space="preserve">                                                     </w:t>
      </w:r>
      <w:r w:rsidR="00A062BD" w:rsidRPr="00A062BD">
        <w:rPr>
          <w:rFonts w:ascii="Arial" w:hAnsi="Arial" w:cs="Arial"/>
          <w:b/>
          <w:bCs/>
          <w:sz w:val="24"/>
          <w:szCs w:val="24"/>
        </w:rPr>
        <w:t xml:space="preserve">       </w:t>
      </w:r>
      <w:r w:rsidRPr="00A062BD">
        <w:rPr>
          <w:rFonts w:ascii="Arial" w:hAnsi="Arial" w:cs="Arial"/>
          <w:b/>
          <w:bCs/>
          <w:sz w:val="24"/>
          <w:szCs w:val="24"/>
        </w:rPr>
        <w:t xml:space="preserve"> </w:t>
      </w:r>
      <w:r w:rsidRPr="00A062BD">
        <w:rPr>
          <w:rFonts w:ascii="Arial" w:hAnsi="Arial" w:cs="Arial"/>
          <w:b/>
          <w:sz w:val="24"/>
          <w:szCs w:val="24"/>
        </w:rPr>
        <w:t>FIFTH RESPONDENT</w:t>
      </w:r>
    </w:p>
    <w:p w14:paraId="45D82230" w14:textId="77777777" w:rsidR="00951A7D" w:rsidRPr="00A062BD" w:rsidRDefault="00000000" w:rsidP="00951A7D">
      <w:pPr>
        <w:tabs>
          <w:tab w:val="left" w:pos="4917"/>
        </w:tabs>
        <w:spacing w:before="360" w:after="0" w:line="240" w:lineRule="auto"/>
        <w:jc w:val="both"/>
        <w:rPr>
          <w:rFonts w:ascii="Arial" w:hAnsi="Arial" w:cs="Arial"/>
          <w:sz w:val="24"/>
          <w:szCs w:val="24"/>
        </w:rPr>
      </w:pPr>
      <w:r>
        <w:rPr>
          <w:rFonts w:ascii="Arial" w:hAnsi="Arial" w:cs="Arial"/>
          <w:b/>
          <w:sz w:val="24"/>
          <w:szCs w:val="24"/>
        </w:rPr>
        <w:pict w14:anchorId="6C5959C1">
          <v:rect id="_x0000_i1025" style="width:0;height:1.5pt" o:hralign="center" o:hrstd="t" o:hr="t" fillcolor="#a0a0a0" stroked="f"/>
        </w:pict>
      </w:r>
    </w:p>
    <w:p w14:paraId="0FA46355" w14:textId="77777777" w:rsidR="00951A7D" w:rsidRPr="00A062BD" w:rsidRDefault="00951A7D" w:rsidP="00951A7D">
      <w:pPr>
        <w:spacing w:before="240" w:after="0" w:line="240" w:lineRule="auto"/>
        <w:jc w:val="center"/>
        <w:rPr>
          <w:rFonts w:ascii="Arial" w:hAnsi="Arial" w:cs="Arial"/>
          <w:b/>
          <w:sz w:val="24"/>
          <w:szCs w:val="24"/>
        </w:rPr>
      </w:pPr>
      <w:r w:rsidRPr="00A062BD">
        <w:rPr>
          <w:rFonts w:ascii="Arial" w:hAnsi="Arial" w:cs="Arial"/>
          <w:b/>
          <w:sz w:val="24"/>
          <w:szCs w:val="24"/>
        </w:rPr>
        <w:t>JUDGMENT</w:t>
      </w:r>
    </w:p>
    <w:p w14:paraId="308369D4" w14:textId="77777777" w:rsidR="00951A7D" w:rsidRPr="00A062BD" w:rsidRDefault="00000000" w:rsidP="00951A7D">
      <w:pPr>
        <w:spacing w:after="0" w:line="240" w:lineRule="auto"/>
        <w:jc w:val="both"/>
        <w:rPr>
          <w:rFonts w:ascii="Arial" w:hAnsi="Arial" w:cs="Arial"/>
          <w:sz w:val="24"/>
          <w:szCs w:val="24"/>
        </w:rPr>
      </w:pPr>
      <w:r>
        <w:rPr>
          <w:rFonts w:ascii="Arial" w:hAnsi="Arial" w:cs="Arial"/>
          <w:b/>
          <w:sz w:val="24"/>
          <w:szCs w:val="24"/>
        </w:rPr>
        <w:lastRenderedPageBreak/>
        <w:pict w14:anchorId="3AD540B8">
          <v:rect id="_x0000_i1026" style="width:0;height:1.5pt" o:hralign="center" o:hrstd="t" o:hr="t" fillcolor="#a0a0a0" stroked="f"/>
        </w:pict>
      </w:r>
    </w:p>
    <w:p w14:paraId="3C7FBB77" w14:textId="77777777" w:rsidR="00951A7D" w:rsidRPr="00A062BD" w:rsidRDefault="00951A7D" w:rsidP="00951A7D">
      <w:pPr>
        <w:spacing w:before="240" w:line="480" w:lineRule="auto"/>
        <w:jc w:val="both"/>
        <w:rPr>
          <w:rFonts w:ascii="Arial" w:hAnsi="Arial" w:cs="Arial"/>
          <w:b/>
          <w:sz w:val="24"/>
          <w:szCs w:val="24"/>
          <w:u w:val="single"/>
        </w:rPr>
      </w:pPr>
      <w:r w:rsidRPr="00A062BD">
        <w:rPr>
          <w:rFonts w:ascii="Arial" w:hAnsi="Arial" w:cs="Arial"/>
          <w:b/>
          <w:sz w:val="24"/>
          <w:szCs w:val="24"/>
          <w:u w:val="single"/>
        </w:rPr>
        <w:t>BAQWA, J</w:t>
      </w:r>
    </w:p>
    <w:p w14:paraId="0B4788B8" w14:textId="77777777" w:rsidR="00951A7D" w:rsidRPr="00A062BD" w:rsidRDefault="00951A7D" w:rsidP="00951A7D">
      <w:pPr>
        <w:spacing w:before="240" w:line="480" w:lineRule="auto"/>
        <w:jc w:val="both"/>
        <w:rPr>
          <w:rFonts w:ascii="Arial" w:hAnsi="Arial" w:cs="Arial"/>
          <w:sz w:val="24"/>
          <w:szCs w:val="24"/>
          <w:u w:val="single"/>
        </w:rPr>
      </w:pPr>
      <w:r w:rsidRPr="00A062BD">
        <w:rPr>
          <w:rFonts w:ascii="Arial" w:hAnsi="Arial" w:cs="Arial"/>
          <w:sz w:val="24"/>
          <w:szCs w:val="24"/>
          <w:u w:val="single"/>
        </w:rPr>
        <w:t>Introduction</w:t>
      </w:r>
    </w:p>
    <w:p w14:paraId="5254AF11" w14:textId="77777777" w:rsidR="00951A7D" w:rsidRPr="00A062BD" w:rsidRDefault="00F07183" w:rsidP="00951A7D">
      <w:pPr>
        <w:spacing w:before="360" w:after="0" w:line="480" w:lineRule="auto"/>
        <w:ind w:left="720" w:hanging="720"/>
        <w:jc w:val="both"/>
        <w:rPr>
          <w:rFonts w:ascii="Arial" w:hAnsi="Arial" w:cs="Arial"/>
          <w:sz w:val="24"/>
          <w:szCs w:val="24"/>
        </w:rPr>
      </w:pPr>
      <w:r w:rsidRPr="00A062BD">
        <w:rPr>
          <w:rFonts w:ascii="Arial" w:hAnsi="Arial" w:cs="Arial"/>
          <w:sz w:val="24"/>
          <w:szCs w:val="24"/>
        </w:rPr>
        <w:t xml:space="preserve"> [1]</w:t>
      </w:r>
      <w:r w:rsidRPr="00A062BD">
        <w:rPr>
          <w:rFonts w:ascii="Arial" w:hAnsi="Arial" w:cs="Arial"/>
          <w:sz w:val="24"/>
          <w:szCs w:val="24"/>
        </w:rPr>
        <w:tab/>
        <w:t>The application seeks an order:</w:t>
      </w:r>
    </w:p>
    <w:p w14:paraId="15CD102C" w14:textId="7CE5B566" w:rsidR="002C383D" w:rsidRPr="00A062BD" w:rsidRDefault="00F07183" w:rsidP="002C383D">
      <w:pPr>
        <w:spacing w:before="360" w:after="0" w:line="480" w:lineRule="auto"/>
        <w:ind w:left="1440" w:hanging="720"/>
        <w:jc w:val="both"/>
        <w:rPr>
          <w:rFonts w:ascii="Arial" w:hAnsi="Arial" w:cs="Arial"/>
          <w:sz w:val="24"/>
          <w:szCs w:val="24"/>
        </w:rPr>
      </w:pPr>
      <w:r w:rsidRPr="00A062BD">
        <w:rPr>
          <w:rFonts w:ascii="Arial" w:hAnsi="Arial" w:cs="Arial"/>
          <w:sz w:val="24"/>
          <w:szCs w:val="24"/>
        </w:rPr>
        <w:t xml:space="preserve">1.1 Barring the first and second respondents from demanding or threatening the applicants to vacate Erf </w:t>
      </w:r>
      <w:r w:rsidR="007955AB">
        <w:rPr>
          <w:rFonts w:ascii="Arial" w:hAnsi="Arial" w:cs="Arial"/>
          <w:sz w:val="24"/>
          <w:szCs w:val="24"/>
        </w:rPr>
        <w:t>[…]</w:t>
      </w:r>
      <w:r w:rsidRPr="00A062BD">
        <w:rPr>
          <w:rFonts w:ascii="Arial" w:hAnsi="Arial" w:cs="Arial"/>
          <w:sz w:val="24"/>
          <w:szCs w:val="24"/>
        </w:rPr>
        <w:t xml:space="preserve"> </w:t>
      </w:r>
      <w:proofErr w:type="spellStart"/>
      <w:r w:rsidR="00F94F1A" w:rsidRPr="00A062BD">
        <w:rPr>
          <w:rFonts w:ascii="Arial" w:hAnsi="Arial" w:cs="Arial"/>
          <w:sz w:val="24"/>
          <w:szCs w:val="24"/>
        </w:rPr>
        <w:t>Doornpoort</w:t>
      </w:r>
      <w:proofErr w:type="spellEnd"/>
      <w:r w:rsidR="00F94F1A" w:rsidRPr="00A062BD">
        <w:rPr>
          <w:rFonts w:ascii="Arial" w:hAnsi="Arial" w:cs="Arial"/>
          <w:sz w:val="24"/>
          <w:szCs w:val="24"/>
        </w:rPr>
        <w:t xml:space="preserve"> Extension</w:t>
      </w:r>
      <w:r w:rsidRPr="00A062BD">
        <w:rPr>
          <w:rFonts w:ascii="Arial" w:hAnsi="Arial" w:cs="Arial"/>
          <w:sz w:val="24"/>
          <w:szCs w:val="24"/>
        </w:rPr>
        <w:t xml:space="preserve"> 34 </w:t>
      </w:r>
      <w:r w:rsidR="009D1387" w:rsidRPr="00A062BD">
        <w:rPr>
          <w:rFonts w:ascii="Arial" w:hAnsi="Arial" w:cs="Arial"/>
          <w:sz w:val="24"/>
          <w:szCs w:val="24"/>
        </w:rPr>
        <w:t xml:space="preserve">Township Registration Division JR </w:t>
      </w:r>
      <w:proofErr w:type="gramStart"/>
      <w:r w:rsidR="009D1387" w:rsidRPr="00A062BD">
        <w:rPr>
          <w:rFonts w:ascii="Arial" w:hAnsi="Arial" w:cs="Arial"/>
          <w:sz w:val="24"/>
          <w:szCs w:val="24"/>
        </w:rPr>
        <w:t>and also</w:t>
      </w:r>
      <w:proofErr w:type="gramEnd"/>
      <w:r w:rsidR="009D1387" w:rsidRPr="00A062BD">
        <w:rPr>
          <w:rFonts w:ascii="Arial" w:hAnsi="Arial" w:cs="Arial"/>
          <w:sz w:val="24"/>
          <w:szCs w:val="24"/>
        </w:rPr>
        <w:t xml:space="preserve"> known as </w:t>
      </w:r>
      <w:r w:rsidR="007955AB">
        <w:rPr>
          <w:rFonts w:ascii="Arial" w:hAnsi="Arial" w:cs="Arial"/>
          <w:sz w:val="24"/>
          <w:szCs w:val="24"/>
        </w:rPr>
        <w:t>[...]</w:t>
      </w:r>
      <w:r w:rsidR="009D1387" w:rsidRPr="00A062BD">
        <w:rPr>
          <w:rFonts w:ascii="Arial" w:hAnsi="Arial" w:cs="Arial"/>
          <w:sz w:val="24"/>
          <w:szCs w:val="24"/>
        </w:rPr>
        <w:t xml:space="preserve"> Opium Street, </w:t>
      </w:r>
      <w:proofErr w:type="spellStart"/>
      <w:r w:rsidR="009D1387" w:rsidRPr="00A062BD">
        <w:rPr>
          <w:rFonts w:ascii="Arial" w:hAnsi="Arial" w:cs="Arial"/>
          <w:sz w:val="24"/>
          <w:szCs w:val="24"/>
        </w:rPr>
        <w:t>Doornpoort</w:t>
      </w:r>
      <w:proofErr w:type="spellEnd"/>
      <w:r w:rsidR="009D1387" w:rsidRPr="00A062BD">
        <w:rPr>
          <w:rFonts w:ascii="Arial" w:hAnsi="Arial" w:cs="Arial"/>
          <w:sz w:val="24"/>
          <w:szCs w:val="24"/>
        </w:rPr>
        <w:t>.</w:t>
      </w:r>
    </w:p>
    <w:p w14:paraId="76F21829" w14:textId="0FF551AC" w:rsidR="009D1387" w:rsidRPr="00A062BD" w:rsidRDefault="009D1387" w:rsidP="002C383D">
      <w:pPr>
        <w:spacing w:before="360" w:after="0" w:line="480" w:lineRule="auto"/>
        <w:ind w:left="1440" w:hanging="720"/>
        <w:jc w:val="both"/>
        <w:rPr>
          <w:rFonts w:ascii="Arial" w:hAnsi="Arial" w:cs="Arial"/>
          <w:sz w:val="24"/>
          <w:szCs w:val="24"/>
        </w:rPr>
      </w:pPr>
      <w:r w:rsidRPr="00A062BD">
        <w:rPr>
          <w:rFonts w:ascii="Arial" w:hAnsi="Arial" w:cs="Arial"/>
          <w:sz w:val="24"/>
          <w:szCs w:val="24"/>
        </w:rPr>
        <w:t xml:space="preserve">1.2 That third respondent be ordered not to approve any further loan application by first and second respondent </w:t>
      </w:r>
      <w:r w:rsidR="0034318D" w:rsidRPr="00A062BD">
        <w:rPr>
          <w:rFonts w:ascii="Arial" w:hAnsi="Arial" w:cs="Arial"/>
          <w:sz w:val="24"/>
          <w:szCs w:val="24"/>
        </w:rPr>
        <w:t xml:space="preserve">in </w:t>
      </w:r>
      <w:r w:rsidRPr="00A062BD">
        <w:rPr>
          <w:rFonts w:ascii="Arial" w:hAnsi="Arial" w:cs="Arial"/>
          <w:sz w:val="24"/>
          <w:szCs w:val="24"/>
        </w:rPr>
        <w:t xml:space="preserve">relation to bond account number </w:t>
      </w:r>
      <w:r w:rsidR="007955AB">
        <w:rPr>
          <w:rFonts w:ascii="Arial" w:hAnsi="Arial" w:cs="Arial"/>
          <w:sz w:val="24"/>
          <w:szCs w:val="24"/>
        </w:rPr>
        <w:t>[...]</w:t>
      </w:r>
      <w:r w:rsidRPr="00A062BD">
        <w:rPr>
          <w:rFonts w:ascii="Arial" w:hAnsi="Arial" w:cs="Arial"/>
          <w:sz w:val="24"/>
          <w:szCs w:val="24"/>
        </w:rPr>
        <w:t xml:space="preserve"> which is </w:t>
      </w:r>
      <w:r w:rsidR="0034318D" w:rsidRPr="00A062BD">
        <w:rPr>
          <w:rFonts w:ascii="Arial" w:hAnsi="Arial" w:cs="Arial"/>
          <w:sz w:val="24"/>
          <w:szCs w:val="24"/>
        </w:rPr>
        <w:t>registered</w:t>
      </w:r>
      <w:r w:rsidRPr="00A062BD">
        <w:rPr>
          <w:rFonts w:ascii="Arial" w:hAnsi="Arial" w:cs="Arial"/>
          <w:sz w:val="24"/>
          <w:szCs w:val="24"/>
        </w:rPr>
        <w:t xml:space="preserve"> under their names.</w:t>
      </w:r>
    </w:p>
    <w:p w14:paraId="4095D53B" w14:textId="568EB5FC" w:rsidR="001A1375" w:rsidRPr="00A062BD" w:rsidRDefault="009D1387" w:rsidP="002C383D">
      <w:pPr>
        <w:spacing w:before="360" w:after="0" w:line="480" w:lineRule="auto"/>
        <w:ind w:left="1440" w:hanging="720"/>
        <w:jc w:val="both"/>
        <w:rPr>
          <w:rFonts w:ascii="Arial" w:hAnsi="Arial" w:cs="Arial"/>
          <w:sz w:val="24"/>
          <w:szCs w:val="24"/>
        </w:rPr>
      </w:pPr>
      <w:r w:rsidRPr="00A062BD">
        <w:rPr>
          <w:rFonts w:ascii="Arial" w:hAnsi="Arial" w:cs="Arial"/>
          <w:sz w:val="24"/>
          <w:szCs w:val="24"/>
        </w:rPr>
        <w:t>1.3 That fourth respondent be ordered to</w:t>
      </w:r>
      <w:r w:rsidR="001A1375" w:rsidRPr="00A062BD">
        <w:rPr>
          <w:rFonts w:ascii="Arial" w:hAnsi="Arial" w:cs="Arial"/>
          <w:sz w:val="24"/>
          <w:szCs w:val="24"/>
        </w:rPr>
        <w:t xml:space="preserve"> endorse the Title Deed and/or his records for the property Erf </w:t>
      </w:r>
      <w:r w:rsidR="007955AB">
        <w:rPr>
          <w:rFonts w:ascii="Arial" w:hAnsi="Arial" w:cs="Arial"/>
          <w:sz w:val="24"/>
          <w:szCs w:val="24"/>
        </w:rPr>
        <w:t>[...]</w:t>
      </w:r>
      <w:r w:rsidR="001A1375" w:rsidRPr="00A062BD">
        <w:rPr>
          <w:rFonts w:ascii="Arial" w:hAnsi="Arial" w:cs="Arial"/>
          <w:sz w:val="24"/>
          <w:szCs w:val="24"/>
        </w:rPr>
        <w:t xml:space="preserve"> </w:t>
      </w:r>
      <w:proofErr w:type="spellStart"/>
      <w:r w:rsidR="001A1375" w:rsidRPr="00A062BD">
        <w:rPr>
          <w:rFonts w:ascii="Arial" w:hAnsi="Arial" w:cs="Arial"/>
          <w:sz w:val="24"/>
          <w:szCs w:val="24"/>
        </w:rPr>
        <w:t>Doornpoort</w:t>
      </w:r>
      <w:proofErr w:type="spellEnd"/>
      <w:r w:rsidR="001A1375" w:rsidRPr="00A062BD">
        <w:rPr>
          <w:rFonts w:ascii="Arial" w:hAnsi="Arial" w:cs="Arial"/>
          <w:sz w:val="24"/>
          <w:szCs w:val="24"/>
        </w:rPr>
        <w:t xml:space="preserve"> Extension 34 Township R</w:t>
      </w:r>
      <w:r w:rsidR="0034318D" w:rsidRPr="00A062BD">
        <w:rPr>
          <w:rFonts w:ascii="Arial" w:hAnsi="Arial" w:cs="Arial"/>
          <w:sz w:val="24"/>
          <w:szCs w:val="24"/>
        </w:rPr>
        <w:t xml:space="preserve">egistration Division J.R </w:t>
      </w:r>
      <w:proofErr w:type="gramStart"/>
      <w:r w:rsidR="0034318D" w:rsidRPr="00A062BD">
        <w:rPr>
          <w:rFonts w:ascii="Arial" w:hAnsi="Arial" w:cs="Arial"/>
          <w:sz w:val="24"/>
          <w:szCs w:val="24"/>
        </w:rPr>
        <w:t>and also</w:t>
      </w:r>
      <w:proofErr w:type="gramEnd"/>
      <w:r w:rsidR="001A1375" w:rsidRPr="00A062BD">
        <w:rPr>
          <w:rFonts w:ascii="Arial" w:hAnsi="Arial" w:cs="Arial"/>
          <w:sz w:val="24"/>
          <w:szCs w:val="24"/>
        </w:rPr>
        <w:t xml:space="preserve"> known as </w:t>
      </w:r>
      <w:r w:rsidR="007955AB">
        <w:rPr>
          <w:rFonts w:ascii="Arial" w:hAnsi="Arial" w:cs="Arial"/>
          <w:sz w:val="24"/>
          <w:szCs w:val="24"/>
        </w:rPr>
        <w:t>[...]</w:t>
      </w:r>
      <w:r w:rsidR="001A1375" w:rsidRPr="00A062BD">
        <w:rPr>
          <w:rFonts w:ascii="Arial" w:hAnsi="Arial" w:cs="Arial"/>
          <w:sz w:val="24"/>
          <w:szCs w:val="24"/>
        </w:rPr>
        <w:t xml:space="preserve"> Opium Street, </w:t>
      </w:r>
      <w:proofErr w:type="spellStart"/>
      <w:r w:rsidR="001A1375" w:rsidRPr="00A062BD">
        <w:rPr>
          <w:rFonts w:ascii="Arial" w:hAnsi="Arial" w:cs="Arial"/>
          <w:sz w:val="24"/>
          <w:szCs w:val="24"/>
        </w:rPr>
        <w:t>Doornpoort</w:t>
      </w:r>
      <w:proofErr w:type="spellEnd"/>
      <w:r w:rsidR="001A1375" w:rsidRPr="00A062BD">
        <w:rPr>
          <w:rFonts w:ascii="Arial" w:hAnsi="Arial" w:cs="Arial"/>
          <w:sz w:val="24"/>
          <w:szCs w:val="24"/>
        </w:rPr>
        <w:t xml:space="preserve"> in favour of applicants to bar first and second respondent from selling the s</w:t>
      </w:r>
      <w:r w:rsidR="0034318D" w:rsidRPr="00A062BD">
        <w:rPr>
          <w:rFonts w:ascii="Arial" w:hAnsi="Arial" w:cs="Arial"/>
          <w:sz w:val="24"/>
          <w:szCs w:val="24"/>
        </w:rPr>
        <w:t>aid property to third parties</w:t>
      </w:r>
      <w:r w:rsidR="001A1375" w:rsidRPr="00A062BD">
        <w:rPr>
          <w:rFonts w:ascii="Arial" w:hAnsi="Arial" w:cs="Arial"/>
          <w:sz w:val="24"/>
          <w:szCs w:val="24"/>
        </w:rPr>
        <w:t>.</w:t>
      </w:r>
    </w:p>
    <w:p w14:paraId="4F22077B" w14:textId="5E3D1955" w:rsidR="001A1375" w:rsidRPr="00A062BD" w:rsidRDefault="001A1375" w:rsidP="002C383D">
      <w:pPr>
        <w:spacing w:before="360" w:after="0" w:line="480" w:lineRule="auto"/>
        <w:ind w:left="1440" w:hanging="720"/>
        <w:jc w:val="both"/>
        <w:rPr>
          <w:rFonts w:ascii="Arial" w:hAnsi="Arial" w:cs="Arial"/>
          <w:sz w:val="24"/>
          <w:szCs w:val="24"/>
        </w:rPr>
      </w:pPr>
      <w:r w:rsidRPr="00A062BD">
        <w:rPr>
          <w:rFonts w:ascii="Arial" w:hAnsi="Arial" w:cs="Arial"/>
          <w:sz w:val="24"/>
          <w:szCs w:val="24"/>
        </w:rPr>
        <w:t>1.4 That first and second respondent</w:t>
      </w:r>
      <w:r w:rsidR="0034318D" w:rsidRPr="00A062BD">
        <w:rPr>
          <w:rFonts w:ascii="Arial" w:hAnsi="Arial" w:cs="Arial"/>
          <w:sz w:val="24"/>
          <w:szCs w:val="24"/>
        </w:rPr>
        <w:t>s</w:t>
      </w:r>
      <w:r w:rsidRPr="00A062BD">
        <w:rPr>
          <w:rFonts w:ascii="Arial" w:hAnsi="Arial" w:cs="Arial"/>
          <w:sz w:val="24"/>
          <w:szCs w:val="24"/>
        </w:rPr>
        <w:t xml:space="preserve"> be ordered to sign al</w:t>
      </w:r>
      <w:r w:rsidR="0034318D" w:rsidRPr="00A062BD">
        <w:rPr>
          <w:rFonts w:ascii="Arial" w:hAnsi="Arial" w:cs="Arial"/>
          <w:sz w:val="24"/>
          <w:szCs w:val="24"/>
        </w:rPr>
        <w:t>l the documents necessary to</w:t>
      </w:r>
      <w:r w:rsidRPr="00A062BD">
        <w:rPr>
          <w:rFonts w:ascii="Arial" w:hAnsi="Arial" w:cs="Arial"/>
          <w:sz w:val="24"/>
          <w:szCs w:val="24"/>
        </w:rPr>
        <w:t xml:space="preserve"> effect transfer of the </w:t>
      </w:r>
      <w:r w:rsidR="006E78E7" w:rsidRPr="00A062BD">
        <w:rPr>
          <w:rFonts w:ascii="Arial" w:hAnsi="Arial" w:cs="Arial"/>
          <w:sz w:val="24"/>
          <w:szCs w:val="24"/>
        </w:rPr>
        <w:t>property known</w:t>
      </w:r>
      <w:r w:rsidRPr="00A062BD">
        <w:rPr>
          <w:rFonts w:ascii="Arial" w:hAnsi="Arial" w:cs="Arial"/>
          <w:sz w:val="24"/>
          <w:szCs w:val="24"/>
        </w:rPr>
        <w:t xml:space="preserve"> as Erf </w:t>
      </w:r>
      <w:r w:rsidR="007955AB">
        <w:rPr>
          <w:rFonts w:ascii="Arial" w:hAnsi="Arial" w:cs="Arial"/>
          <w:sz w:val="24"/>
          <w:szCs w:val="24"/>
        </w:rPr>
        <w:t>[...]</w:t>
      </w:r>
      <w:r w:rsidRPr="00A062BD">
        <w:rPr>
          <w:rFonts w:ascii="Arial" w:hAnsi="Arial" w:cs="Arial"/>
          <w:sz w:val="24"/>
          <w:szCs w:val="24"/>
        </w:rPr>
        <w:t xml:space="preserve"> </w:t>
      </w:r>
      <w:proofErr w:type="spellStart"/>
      <w:r w:rsidRPr="00A062BD">
        <w:rPr>
          <w:rFonts w:ascii="Arial" w:hAnsi="Arial" w:cs="Arial"/>
          <w:sz w:val="24"/>
          <w:szCs w:val="24"/>
        </w:rPr>
        <w:t>Doornpoort</w:t>
      </w:r>
      <w:proofErr w:type="spellEnd"/>
      <w:r w:rsidRPr="00A062BD">
        <w:rPr>
          <w:rFonts w:ascii="Arial" w:hAnsi="Arial" w:cs="Arial"/>
          <w:sz w:val="24"/>
          <w:szCs w:val="24"/>
        </w:rPr>
        <w:t xml:space="preserve"> Extension 34 Township Registration Division J.R </w:t>
      </w:r>
      <w:proofErr w:type="gramStart"/>
      <w:r w:rsidRPr="00A062BD">
        <w:rPr>
          <w:rFonts w:ascii="Arial" w:hAnsi="Arial" w:cs="Arial"/>
          <w:sz w:val="24"/>
          <w:szCs w:val="24"/>
        </w:rPr>
        <w:t>and also</w:t>
      </w:r>
      <w:proofErr w:type="gramEnd"/>
      <w:r w:rsidRPr="00A062BD">
        <w:rPr>
          <w:rFonts w:ascii="Arial" w:hAnsi="Arial" w:cs="Arial"/>
          <w:sz w:val="24"/>
          <w:szCs w:val="24"/>
        </w:rPr>
        <w:t xml:space="preserve"> known as </w:t>
      </w:r>
      <w:r w:rsidR="007955AB">
        <w:rPr>
          <w:rFonts w:ascii="Arial" w:hAnsi="Arial" w:cs="Arial"/>
          <w:sz w:val="24"/>
          <w:szCs w:val="24"/>
        </w:rPr>
        <w:t>[...]</w:t>
      </w:r>
      <w:r w:rsidRPr="00A062BD">
        <w:rPr>
          <w:rFonts w:ascii="Arial" w:hAnsi="Arial" w:cs="Arial"/>
          <w:sz w:val="24"/>
          <w:szCs w:val="24"/>
        </w:rPr>
        <w:t xml:space="preserve"> Opium Street, </w:t>
      </w:r>
      <w:proofErr w:type="spellStart"/>
      <w:r w:rsidRPr="00A062BD">
        <w:rPr>
          <w:rFonts w:ascii="Arial" w:hAnsi="Arial" w:cs="Arial"/>
          <w:sz w:val="24"/>
          <w:szCs w:val="24"/>
        </w:rPr>
        <w:t>Doornpoort</w:t>
      </w:r>
      <w:proofErr w:type="spellEnd"/>
      <w:r w:rsidRPr="00A062BD">
        <w:rPr>
          <w:rFonts w:ascii="Arial" w:hAnsi="Arial" w:cs="Arial"/>
          <w:sz w:val="24"/>
          <w:szCs w:val="24"/>
        </w:rPr>
        <w:t xml:space="preserve"> in terms of</w:t>
      </w:r>
      <w:r w:rsidR="0034318D" w:rsidRPr="00A062BD">
        <w:rPr>
          <w:rFonts w:ascii="Arial" w:hAnsi="Arial" w:cs="Arial"/>
          <w:sz w:val="24"/>
          <w:szCs w:val="24"/>
        </w:rPr>
        <w:t xml:space="preserve"> the</w:t>
      </w:r>
      <w:r w:rsidRPr="00A062BD">
        <w:rPr>
          <w:rFonts w:ascii="Arial" w:hAnsi="Arial" w:cs="Arial"/>
          <w:sz w:val="24"/>
          <w:szCs w:val="24"/>
        </w:rPr>
        <w:t xml:space="preserve"> Home </w:t>
      </w:r>
      <w:r w:rsidR="006E78E7" w:rsidRPr="00A062BD">
        <w:rPr>
          <w:rFonts w:ascii="Arial" w:hAnsi="Arial" w:cs="Arial"/>
          <w:sz w:val="24"/>
          <w:szCs w:val="24"/>
        </w:rPr>
        <w:t>Exchange Agreement</w:t>
      </w:r>
      <w:r w:rsidRPr="00A062BD">
        <w:rPr>
          <w:rFonts w:ascii="Arial" w:hAnsi="Arial" w:cs="Arial"/>
          <w:sz w:val="24"/>
          <w:szCs w:val="24"/>
        </w:rPr>
        <w:t xml:space="preserve"> concluded with applicants.</w:t>
      </w:r>
    </w:p>
    <w:p w14:paraId="6785EBB9" w14:textId="00DA9B5F" w:rsidR="00A0430D" w:rsidRPr="00A062BD" w:rsidRDefault="001A1375" w:rsidP="002C383D">
      <w:pPr>
        <w:spacing w:before="360" w:after="0" w:line="480" w:lineRule="auto"/>
        <w:ind w:left="1440" w:hanging="720"/>
        <w:jc w:val="both"/>
        <w:rPr>
          <w:rFonts w:ascii="Arial" w:hAnsi="Arial" w:cs="Arial"/>
          <w:sz w:val="24"/>
          <w:szCs w:val="24"/>
        </w:rPr>
      </w:pPr>
      <w:r w:rsidRPr="00A062BD">
        <w:rPr>
          <w:rFonts w:ascii="Arial" w:hAnsi="Arial" w:cs="Arial"/>
          <w:sz w:val="24"/>
          <w:szCs w:val="24"/>
        </w:rPr>
        <w:lastRenderedPageBreak/>
        <w:t xml:space="preserve">1.5 That the immovable Erf </w:t>
      </w:r>
      <w:r w:rsidR="007955AB">
        <w:rPr>
          <w:rFonts w:ascii="Arial" w:hAnsi="Arial" w:cs="Arial"/>
          <w:sz w:val="24"/>
          <w:szCs w:val="24"/>
        </w:rPr>
        <w:t>[...]</w:t>
      </w:r>
      <w:r w:rsidRPr="00A062BD">
        <w:rPr>
          <w:rFonts w:ascii="Arial" w:hAnsi="Arial" w:cs="Arial"/>
          <w:sz w:val="24"/>
          <w:szCs w:val="24"/>
        </w:rPr>
        <w:t xml:space="preserve"> </w:t>
      </w:r>
      <w:proofErr w:type="spellStart"/>
      <w:r w:rsidRPr="00A062BD">
        <w:rPr>
          <w:rFonts w:ascii="Arial" w:hAnsi="Arial" w:cs="Arial"/>
          <w:sz w:val="24"/>
          <w:szCs w:val="24"/>
        </w:rPr>
        <w:t>Doornpoort</w:t>
      </w:r>
      <w:proofErr w:type="spellEnd"/>
      <w:r w:rsidRPr="00A062BD">
        <w:rPr>
          <w:rFonts w:ascii="Arial" w:hAnsi="Arial" w:cs="Arial"/>
          <w:sz w:val="24"/>
          <w:szCs w:val="24"/>
        </w:rPr>
        <w:t xml:space="preserve"> Extension 34</w:t>
      </w:r>
      <w:r w:rsidR="00CD054A" w:rsidRPr="00A062BD">
        <w:rPr>
          <w:rFonts w:ascii="Arial" w:hAnsi="Arial" w:cs="Arial"/>
          <w:sz w:val="24"/>
          <w:szCs w:val="24"/>
        </w:rPr>
        <w:t xml:space="preserve"> Township Registration Division J.R also known as </w:t>
      </w:r>
      <w:r w:rsidR="007955AB">
        <w:rPr>
          <w:rFonts w:ascii="Arial" w:hAnsi="Arial" w:cs="Arial"/>
          <w:sz w:val="24"/>
          <w:szCs w:val="24"/>
        </w:rPr>
        <w:t>[...]</w:t>
      </w:r>
      <w:r w:rsidR="00CD054A" w:rsidRPr="00A062BD">
        <w:rPr>
          <w:rFonts w:ascii="Arial" w:hAnsi="Arial" w:cs="Arial"/>
          <w:sz w:val="24"/>
          <w:szCs w:val="24"/>
        </w:rPr>
        <w:t xml:space="preserve"> Opium Street, </w:t>
      </w:r>
      <w:proofErr w:type="spellStart"/>
      <w:r w:rsidR="00CD054A" w:rsidRPr="00A062BD">
        <w:rPr>
          <w:rFonts w:ascii="Arial" w:hAnsi="Arial" w:cs="Arial"/>
          <w:sz w:val="24"/>
          <w:szCs w:val="24"/>
        </w:rPr>
        <w:t>Doornpoort</w:t>
      </w:r>
      <w:proofErr w:type="spellEnd"/>
      <w:r w:rsidR="00CD054A" w:rsidRPr="00A062BD">
        <w:rPr>
          <w:rFonts w:ascii="Arial" w:hAnsi="Arial" w:cs="Arial"/>
          <w:sz w:val="24"/>
          <w:szCs w:val="24"/>
        </w:rPr>
        <w:t xml:space="preserve"> be transferred into the names of</w:t>
      </w:r>
      <w:r w:rsidR="0034318D" w:rsidRPr="00A062BD">
        <w:rPr>
          <w:rFonts w:ascii="Arial" w:hAnsi="Arial" w:cs="Arial"/>
          <w:sz w:val="24"/>
          <w:szCs w:val="24"/>
        </w:rPr>
        <w:t xml:space="preserve"> the</w:t>
      </w:r>
      <w:r w:rsidR="00CD054A" w:rsidRPr="00A062BD">
        <w:rPr>
          <w:rFonts w:ascii="Arial" w:hAnsi="Arial" w:cs="Arial"/>
          <w:sz w:val="24"/>
          <w:szCs w:val="24"/>
        </w:rPr>
        <w:t xml:space="preserve"> applicant</w:t>
      </w:r>
      <w:r w:rsidR="0034318D" w:rsidRPr="00A062BD">
        <w:rPr>
          <w:rFonts w:ascii="Arial" w:hAnsi="Arial" w:cs="Arial"/>
          <w:sz w:val="24"/>
          <w:szCs w:val="24"/>
        </w:rPr>
        <w:t>s</w:t>
      </w:r>
      <w:r w:rsidR="00CD054A" w:rsidRPr="00A062BD">
        <w:rPr>
          <w:rFonts w:ascii="Arial" w:hAnsi="Arial" w:cs="Arial"/>
          <w:sz w:val="24"/>
          <w:szCs w:val="24"/>
        </w:rPr>
        <w:t xml:space="preserve"> once the bond with </w:t>
      </w:r>
      <w:r w:rsidR="00A0430D" w:rsidRPr="00A062BD">
        <w:rPr>
          <w:rFonts w:ascii="Arial" w:hAnsi="Arial" w:cs="Arial"/>
          <w:sz w:val="24"/>
          <w:szCs w:val="24"/>
        </w:rPr>
        <w:t>the respondent is fully settled.</w:t>
      </w:r>
    </w:p>
    <w:p w14:paraId="17B10395" w14:textId="77777777" w:rsidR="00975244" w:rsidRPr="00A062BD" w:rsidRDefault="00A0430D" w:rsidP="002C383D">
      <w:pPr>
        <w:spacing w:before="360" w:after="0" w:line="480" w:lineRule="auto"/>
        <w:ind w:left="1440" w:hanging="720"/>
        <w:jc w:val="both"/>
        <w:rPr>
          <w:rFonts w:ascii="Arial" w:hAnsi="Arial" w:cs="Arial"/>
          <w:sz w:val="24"/>
          <w:szCs w:val="24"/>
        </w:rPr>
      </w:pPr>
      <w:r w:rsidRPr="00A062BD">
        <w:rPr>
          <w:rFonts w:ascii="Arial" w:hAnsi="Arial" w:cs="Arial"/>
          <w:sz w:val="24"/>
          <w:szCs w:val="24"/>
        </w:rPr>
        <w:t xml:space="preserve">2. That in the event first and second respondents failed or refused to </w:t>
      </w:r>
      <w:r w:rsidR="00975244" w:rsidRPr="00A062BD">
        <w:rPr>
          <w:rFonts w:ascii="Arial" w:hAnsi="Arial" w:cs="Arial"/>
          <w:sz w:val="24"/>
          <w:szCs w:val="24"/>
        </w:rPr>
        <w:t>comply with</w:t>
      </w:r>
      <w:r w:rsidRPr="00A062BD">
        <w:rPr>
          <w:rFonts w:ascii="Arial" w:hAnsi="Arial" w:cs="Arial"/>
          <w:sz w:val="24"/>
          <w:szCs w:val="24"/>
        </w:rPr>
        <w:t xml:space="preserve"> the order in paragraph 1 above, the sheriff be </w:t>
      </w:r>
      <w:r w:rsidR="00975244" w:rsidRPr="00A062BD">
        <w:rPr>
          <w:rFonts w:ascii="Arial" w:hAnsi="Arial" w:cs="Arial"/>
          <w:sz w:val="24"/>
          <w:szCs w:val="24"/>
        </w:rPr>
        <w:t>and hereby authorised to sign the transfer documents.</w:t>
      </w:r>
    </w:p>
    <w:p w14:paraId="7CE329C4" w14:textId="77777777" w:rsidR="00F07183" w:rsidRPr="00A062BD" w:rsidRDefault="00975244" w:rsidP="00975244">
      <w:pPr>
        <w:spacing w:before="360" w:after="0" w:line="480" w:lineRule="auto"/>
        <w:ind w:left="1440" w:hanging="720"/>
        <w:jc w:val="both"/>
        <w:rPr>
          <w:rFonts w:ascii="Arial" w:hAnsi="Arial" w:cs="Arial"/>
          <w:sz w:val="24"/>
          <w:szCs w:val="24"/>
        </w:rPr>
      </w:pPr>
      <w:r w:rsidRPr="00A062BD">
        <w:rPr>
          <w:rFonts w:ascii="Arial" w:hAnsi="Arial" w:cs="Arial"/>
          <w:sz w:val="24"/>
          <w:szCs w:val="24"/>
        </w:rPr>
        <w:t>3. Ordering first and second respondent to pay costs of this application on attorney and client scale and any other party who oppose</w:t>
      </w:r>
      <w:r w:rsidR="0034318D" w:rsidRPr="00A062BD">
        <w:rPr>
          <w:rFonts w:ascii="Arial" w:hAnsi="Arial" w:cs="Arial"/>
          <w:sz w:val="24"/>
          <w:szCs w:val="24"/>
        </w:rPr>
        <w:t>s</w:t>
      </w:r>
      <w:r w:rsidRPr="00A062BD">
        <w:rPr>
          <w:rFonts w:ascii="Arial" w:hAnsi="Arial" w:cs="Arial"/>
          <w:sz w:val="24"/>
          <w:szCs w:val="24"/>
        </w:rPr>
        <w:t xml:space="preserve"> this ap</w:t>
      </w:r>
      <w:r w:rsidR="0034318D" w:rsidRPr="00A062BD">
        <w:rPr>
          <w:rFonts w:ascii="Arial" w:hAnsi="Arial" w:cs="Arial"/>
          <w:sz w:val="24"/>
          <w:szCs w:val="24"/>
        </w:rPr>
        <w:t>plication to pay the applicants’</w:t>
      </w:r>
      <w:r w:rsidRPr="00A062BD">
        <w:rPr>
          <w:rFonts w:ascii="Arial" w:hAnsi="Arial" w:cs="Arial"/>
          <w:sz w:val="24"/>
          <w:szCs w:val="24"/>
        </w:rPr>
        <w:t xml:space="preserve"> costs</w:t>
      </w:r>
      <w:r w:rsidR="0034318D" w:rsidRPr="00A062BD">
        <w:rPr>
          <w:rFonts w:ascii="Arial" w:hAnsi="Arial" w:cs="Arial"/>
          <w:sz w:val="24"/>
          <w:szCs w:val="24"/>
        </w:rPr>
        <w:t xml:space="preserve"> on the same scale</w:t>
      </w:r>
      <w:r w:rsidRPr="00A062BD">
        <w:rPr>
          <w:rFonts w:ascii="Arial" w:hAnsi="Arial" w:cs="Arial"/>
          <w:sz w:val="24"/>
          <w:szCs w:val="24"/>
        </w:rPr>
        <w:t xml:space="preserve">. </w:t>
      </w:r>
      <w:r w:rsidR="00A0430D" w:rsidRPr="00A062BD">
        <w:rPr>
          <w:rFonts w:ascii="Arial" w:hAnsi="Arial" w:cs="Arial"/>
          <w:sz w:val="24"/>
          <w:szCs w:val="24"/>
        </w:rPr>
        <w:t xml:space="preserve"> </w:t>
      </w:r>
      <w:r w:rsidR="001A1375" w:rsidRPr="00A062BD">
        <w:rPr>
          <w:rFonts w:ascii="Arial" w:hAnsi="Arial" w:cs="Arial"/>
          <w:sz w:val="24"/>
          <w:szCs w:val="24"/>
        </w:rPr>
        <w:t xml:space="preserve">   </w:t>
      </w:r>
    </w:p>
    <w:p w14:paraId="31C63EB6" w14:textId="77777777" w:rsidR="00951A7D" w:rsidRPr="00A062BD" w:rsidRDefault="00975244" w:rsidP="00975244">
      <w:pPr>
        <w:spacing w:before="360" w:after="0" w:line="480" w:lineRule="auto"/>
        <w:jc w:val="both"/>
        <w:rPr>
          <w:rFonts w:ascii="Arial" w:hAnsi="Arial" w:cs="Arial"/>
          <w:sz w:val="24"/>
          <w:szCs w:val="24"/>
        </w:rPr>
      </w:pPr>
      <w:r w:rsidRPr="00A062BD">
        <w:rPr>
          <w:rFonts w:ascii="Arial" w:hAnsi="Arial" w:cs="Arial"/>
          <w:sz w:val="24"/>
          <w:szCs w:val="24"/>
        </w:rPr>
        <w:t>[2]</w:t>
      </w:r>
      <w:r w:rsidRPr="00A062BD">
        <w:rPr>
          <w:rFonts w:ascii="Arial" w:hAnsi="Arial" w:cs="Arial"/>
          <w:sz w:val="24"/>
          <w:szCs w:val="24"/>
        </w:rPr>
        <w:tab/>
        <w:t>The application is opposed by the first and second respondents who have also filed a counterclaim.</w:t>
      </w:r>
      <w:r w:rsidR="00951A7D" w:rsidRPr="00A062BD">
        <w:rPr>
          <w:rFonts w:ascii="Arial" w:hAnsi="Arial" w:cs="Arial"/>
          <w:sz w:val="24"/>
          <w:szCs w:val="24"/>
        </w:rPr>
        <w:t xml:space="preserve"> </w:t>
      </w:r>
    </w:p>
    <w:p w14:paraId="1D60A55C" w14:textId="77777777" w:rsidR="00951A7D" w:rsidRPr="00A062BD" w:rsidRDefault="00975244" w:rsidP="00951A7D">
      <w:pPr>
        <w:spacing w:before="360" w:after="0" w:line="480" w:lineRule="auto"/>
        <w:ind w:left="720" w:hanging="720"/>
        <w:jc w:val="both"/>
        <w:rPr>
          <w:rFonts w:ascii="Arial" w:hAnsi="Arial" w:cs="Arial"/>
          <w:sz w:val="24"/>
          <w:szCs w:val="24"/>
        </w:rPr>
      </w:pPr>
      <w:r w:rsidRPr="00A062BD">
        <w:rPr>
          <w:rFonts w:ascii="Arial" w:hAnsi="Arial" w:cs="Arial"/>
          <w:sz w:val="24"/>
          <w:szCs w:val="24"/>
        </w:rPr>
        <w:t xml:space="preserve"> [3]    It has also transpired that the first respondent has since the institution of this application passed away. Any reference to the first respondent in this judgment must be understood to refer to his deceased estate. </w:t>
      </w:r>
    </w:p>
    <w:p w14:paraId="1FB47AB6" w14:textId="77777777" w:rsidR="0034318D" w:rsidRPr="00A062BD" w:rsidRDefault="0034318D" w:rsidP="00951A7D">
      <w:pPr>
        <w:spacing w:before="360" w:after="0" w:line="480" w:lineRule="auto"/>
        <w:ind w:left="720" w:hanging="720"/>
        <w:jc w:val="both"/>
        <w:rPr>
          <w:rFonts w:ascii="Arial" w:hAnsi="Arial" w:cs="Arial"/>
          <w:sz w:val="24"/>
          <w:szCs w:val="24"/>
          <w:u w:val="single"/>
        </w:rPr>
      </w:pPr>
      <w:r w:rsidRPr="00A062BD">
        <w:rPr>
          <w:rFonts w:ascii="Arial" w:hAnsi="Arial" w:cs="Arial"/>
          <w:sz w:val="24"/>
          <w:szCs w:val="24"/>
          <w:u w:val="single"/>
        </w:rPr>
        <w:t>The Facts</w:t>
      </w:r>
    </w:p>
    <w:p w14:paraId="69D46C1C" w14:textId="7BEC68E3" w:rsidR="00951A7D" w:rsidRPr="00A062BD" w:rsidRDefault="00975244" w:rsidP="00951A7D">
      <w:pPr>
        <w:spacing w:before="360" w:after="0" w:line="480" w:lineRule="auto"/>
        <w:ind w:left="720" w:hanging="720"/>
        <w:jc w:val="both"/>
        <w:rPr>
          <w:rFonts w:ascii="Arial" w:hAnsi="Arial" w:cs="Arial"/>
          <w:sz w:val="24"/>
          <w:szCs w:val="24"/>
        </w:rPr>
      </w:pPr>
      <w:r w:rsidRPr="00A062BD">
        <w:rPr>
          <w:rFonts w:ascii="Arial" w:hAnsi="Arial" w:cs="Arial"/>
          <w:sz w:val="24"/>
          <w:szCs w:val="24"/>
        </w:rPr>
        <w:t>[4]</w:t>
      </w:r>
      <w:r w:rsidRPr="00A062BD">
        <w:rPr>
          <w:rFonts w:ascii="Arial" w:hAnsi="Arial" w:cs="Arial"/>
          <w:sz w:val="24"/>
          <w:szCs w:val="24"/>
        </w:rPr>
        <w:tab/>
        <w:t xml:space="preserve">The applicants resided at </w:t>
      </w:r>
      <w:r w:rsidR="007955AB">
        <w:rPr>
          <w:rFonts w:ascii="Arial" w:hAnsi="Arial" w:cs="Arial"/>
          <w:sz w:val="24"/>
          <w:szCs w:val="24"/>
        </w:rPr>
        <w:t>[…]</w:t>
      </w:r>
      <w:r w:rsidRPr="00A062BD">
        <w:rPr>
          <w:rFonts w:ascii="Arial" w:hAnsi="Arial" w:cs="Arial"/>
          <w:sz w:val="24"/>
          <w:szCs w:val="24"/>
        </w:rPr>
        <w:t xml:space="preserve"> Kapa and </w:t>
      </w:r>
      <w:proofErr w:type="spellStart"/>
      <w:r w:rsidRPr="00A062BD">
        <w:rPr>
          <w:rFonts w:ascii="Arial" w:hAnsi="Arial" w:cs="Arial"/>
          <w:sz w:val="24"/>
          <w:szCs w:val="24"/>
        </w:rPr>
        <w:t>Mogwane</w:t>
      </w:r>
      <w:proofErr w:type="spellEnd"/>
      <w:r w:rsidRPr="00A062BD">
        <w:rPr>
          <w:rFonts w:ascii="Arial" w:hAnsi="Arial" w:cs="Arial"/>
          <w:sz w:val="24"/>
          <w:szCs w:val="24"/>
        </w:rPr>
        <w:t xml:space="preserve"> Street Ext </w:t>
      </w:r>
      <w:r w:rsidR="007955AB">
        <w:rPr>
          <w:rFonts w:ascii="Arial" w:hAnsi="Arial" w:cs="Arial"/>
          <w:sz w:val="24"/>
          <w:szCs w:val="24"/>
        </w:rPr>
        <w:t>[...]</w:t>
      </w:r>
      <w:r w:rsidRPr="00A062BD">
        <w:rPr>
          <w:rFonts w:ascii="Arial" w:hAnsi="Arial" w:cs="Arial"/>
          <w:sz w:val="24"/>
          <w:szCs w:val="24"/>
        </w:rPr>
        <w:t>, Mamelodi</w:t>
      </w:r>
      <w:r w:rsidR="00C4572A" w:rsidRPr="00A062BD">
        <w:rPr>
          <w:rFonts w:ascii="Arial" w:hAnsi="Arial" w:cs="Arial"/>
          <w:sz w:val="24"/>
          <w:szCs w:val="24"/>
        </w:rPr>
        <w:t xml:space="preserve"> East when the first applicant was introduced by his wife, the second applicant to the first and second respondents. They became family friends through the church which they attended together.</w:t>
      </w:r>
    </w:p>
    <w:p w14:paraId="15445FC4" w14:textId="77777777" w:rsidR="00951A7D" w:rsidRPr="00A062BD" w:rsidRDefault="00C4572A" w:rsidP="00951A7D">
      <w:pPr>
        <w:spacing w:before="360" w:after="0" w:line="480" w:lineRule="auto"/>
        <w:ind w:left="720" w:hanging="720"/>
        <w:jc w:val="both"/>
        <w:rPr>
          <w:rFonts w:ascii="Arial" w:hAnsi="Arial" w:cs="Arial"/>
          <w:sz w:val="24"/>
          <w:szCs w:val="24"/>
        </w:rPr>
      </w:pPr>
      <w:r w:rsidRPr="00A062BD">
        <w:rPr>
          <w:rFonts w:ascii="Arial" w:hAnsi="Arial" w:cs="Arial"/>
          <w:sz w:val="24"/>
          <w:szCs w:val="24"/>
        </w:rPr>
        <w:lastRenderedPageBreak/>
        <w:t>[5]</w:t>
      </w:r>
      <w:r w:rsidRPr="00A062BD">
        <w:rPr>
          <w:rFonts w:ascii="Arial" w:hAnsi="Arial" w:cs="Arial"/>
          <w:sz w:val="24"/>
          <w:szCs w:val="24"/>
        </w:rPr>
        <w:tab/>
        <w:t>The</w:t>
      </w:r>
      <w:r w:rsidR="0034318D" w:rsidRPr="00A062BD">
        <w:rPr>
          <w:rFonts w:ascii="Arial" w:hAnsi="Arial" w:cs="Arial"/>
          <w:sz w:val="24"/>
          <w:szCs w:val="24"/>
        </w:rPr>
        <w:t xml:space="preserve">ir relationship </w:t>
      </w:r>
      <w:proofErr w:type="gramStart"/>
      <w:r w:rsidR="0034318D" w:rsidRPr="00A062BD">
        <w:rPr>
          <w:rFonts w:ascii="Arial" w:hAnsi="Arial" w:cs="Arial"/>
          <w:sz w:val="24"/>
          <w:szCs w:val="24"/>
        </w:rPr>
        <w:t>grew</w:t>
      </w:r>
      <w:proofErr w:type="gramEnd"/>
      <w:r w:rsidR="0034318D" w:rsidRPr="00A062BD">
        <w:rPr>
          <w:rFonts w:ascii="Arial" w:hAnsi="Arial" w:cs="Arial"/>
          <w:sz w:val="24"/>
          <w:szCs w:val="24"/>
        </w:rPr>
        <w:t xml:space="preserve"> and they go</w:t>
      </w:r>
      <w:r w:rsidRPr="00A062BD">
        <w:rPr>
          <w:rFonts w:ascii="Arial" w:hAnsi="Arial" w:cs="Arial"/>
          <w:sz w:val="24"/>
          <w:szCs w:val="24"/>
        </w:rPr>
        <w:t>t to share lives as Christians who would help each other and pray together. It was during this period that the applicants found out that the first and second respondent</w:t>
      </w:r>
      <w:r w:rsidR="0034318D" w:rsidRPr="00A062BD">
        <w:rPr>
          <w:rFonts w:ascii="Arial" w:hAnsi="Arial" w:cs="Arial"/>
          <w:sz w:val="24"/>
          <w:szCs w:val="24"/>
        </w:rPr>
        <w:t>s</w:t>
      </w:r>
      <w:r w:rsidRPr="00A062BD">
        <w:rPr>
          <w:rFonts w:ascii="Arial" w:hAnsi="Arial" w:cs="Arial"/>
          <w:sz w:val="24"/>
          <w:szCs w:val="24"/>
        </w:rPr>
        <w:t xml:space="preserve"> purchased a</w:t>
      </w:r>
      <w:r w:rsidR="0034318D" w:rsidRPr="00A062BD">
        <w:rPr>
          <w:rFonts w:ascii="Arial" w:hAnsi="Arial" w:cs="Arial"/>
          <w:sz w:val="24"/>
          <w:szCs w:val="24"/>
        </w:rPr>
        <w:t xml:space="preserve"> property through a mortgage</w:t>
      </w:r>
      <w:r w:rsidRPr="00A062BD">
        <w:rPr>
          <w:rFonts w:ascii="Arial" w:hAnsi="Arial" w:cs="Arial"/>
          <w:sz w:val="24"/>
          <w:szCs w:val="24"/>
        </w:rPr>
        <w:t xml:space="preserve"> bond with the third respondent. </w:t>
      </w:r>
    </w:p>
    <w:p w14:paraId="7B1AA3C3" w14:textId="77777777" w:rsidR="00951A7D" w:rsidRPr="00A062BD" w:rsidRDefault="00C4572A" w:rsidP="00951A7D">
      <w:pPr>
        <w:spacing w:before="360" w:after="0" w:line="480" w:lineRule="auto"/>
        <w:ind w:left="720" w:hanging="720"/>
        <w:jc w:val="both"/>
        <w:rPr>
          <w:rFonts w:ascii="Arial" w:hAnsi="Arial" w:cs="Arial"/>
          <w:sz w:val="24"/>
          <w:szCs w:val="24"/>
        </w:rPr>
      </w:pPr>
      <w:r w:rsidRPr="00A062BD">
        <w:rPr>
          <w:rFonts w:ascii="Arial" w:hAnsi="Arial" w:cs="Arial"/>
          <w:sz w:val="24"/>
          <w:szCs w:val="24"/>
        </w:rPr>
        <w:t>[6]</w:t>
      </w:r>
      <w:r w:rsidRPr="00A062BD">
        <w:rPr>
          <w:rFonts w:ascii="Arial" w:hAnsi="Arial" w:cs="Arial"/>
          <w:sz w:val="24"/>
          <w:szCs w:val="24"/>
        </w:rPr>
        <w:tab/>
        <w:t>The property which is the subject of this litigation wa</w:t>
      </w:r>
      <w:r w:rsidR="0034318D" w:rsidRPr="00A062BD">
        <w:rPr>
          <w:rFonts w:ascii="Arial" w:hAnsi="Arial" w:cs="Arial"/>
          <w:sz w:val="24"/>
          <w:szCs w:val="24"/>
        </w:rPr>
        <w:t>s</w:t>
      </w:r>
      <w:r w:rsidRPr="00A062BD">
        <w:rPr>
          <w:rFonts w:ascii="Arial" w:hAnsi="Arial" w:cs="Arial"/>
          <w:sz w:val="24"/>
          <w:szCs w:val="24"/>
        </w:rPr>
        <w:t xml:space="preserve"> registered into their names on 7 May 1998 at the Deed</w:t>
      </w:r>
      <w:r w:rsidR="00B26B8D">
        <w:rPr>
          <w:rFonts w:ascii="Arial" w:hAnsi="Arial" w:cs="Arial"/>
          <w:sz w:val="24"/>
          <w:szCs w:val="24"/>
        </w:rPr>
        <w:t>s office Pretoria. The mortgage</w:t>
      </w:r>
      <w:r w:rsidRPr="00A062BD">
        <w:rPr>
          <w:rFonts w:ascii="Arial" w:hAnsi="Arial" w:cs="Arial"/>
          <w:sz w:val="24"/>
          <w:szCs w:val="24"/>
        </w:rPr>
        <w:t xml:space="preserve"> bond was registered in favour of the third respondent with</w:t>
      </w:r>
      <w:r w:rsidR="0034318D" w:rsidRPr="00A062BD">
        <w:rPr>
          <w:rFonts w:ascii="Arial" w:hAnsi="Arial" w:cs="Arial"/>
          <w:sz w:val="24"/>
          <w:szCs w:val="24"/>
        </w:rPr>
        <w:t xml:space="preserve"> a</w:t>
      </w:r>
      <w:r w:rsidRPr="00A062BD">
        <w:rPr>
          <w:rFonts w:ascii="Arial" w:hAnsi="Arial" w:cs="Arial"/>
          <w:sz w:val="24"/>
          <w:szCs w:val="24"/>
        </w:rPr>
        <w:t xml:space="preserve"> subsequent loan agreement wh</w:t>
      </w:r>
      <w:r w:rsidR="00B26B8D">
        <w:rPr>
          <w:rFonts w:ascii="Arial" w:hAnsi="Arial" w:cs="Arial"/>
          <w:sz w:val="24"/>
          <w:szCs w:val="24"/>
        </w:rPr>
        <w:t>ich increased the mortgage</w:t>
      </w:r>
      <w:r w:rsidRPr="00A062BD">
        <w:rPr>
          <w:rFonts w:ascii="Arial" w:hAnsi="Arial" w:cs="Arial"/>
          <w:sz w:val="24"/>
          <w:szCs w:val="24"/>
        </w:rPr>
        <w:t xml:space="preserve"> bond amount to over R323 000. </w:t>
      </w:r>
      <w:r w:rsidR="0034318D" w:rsidRPr="00A062BD">
        <w:rPr>
          <w:rFonts w:ascii="Arial" w:hAnsi="Arial" w:cs="Arial"/>
          <w:sz w:val="24"/>
          <w:szCs w:val="24"/>
        </w:rPr>
        <w:t>00.</w:t>
      </w:r>
    </w:p>
    <w:p w14:paraId="48096D92" w14:textId="77777777" w:rsidR="00225090" w:rsidRPr="00A062BD" w:rsidRDefault="00951A7D" w:rsidP="005D4799">
      <w:pPr>
        <w:spacing w:before="360" w:after="0" w:line="480" w:lineRule="auto"/>
        <w:ind w:left="720" w:hanging="720"/>
        <w:jc w:val="both"/>
        <w:rPr>
          <w:rFonts w:ascii="Arial" w:hAnsi="Arial" w:cs="Arial"/>
          <w:sz w:val="24"/>
          <w:szCs w:val="24"/>
        </w:rPr>
      </w:pPr>
      <w:r w:rsidRPr="00A062BD">
        <w:rPr>
          <w:rFonts w:ascii="Arial" w:hAnsi="Arial" w:cs="Arial"/>
          <w:sz w:val="24"/>
          <w:szCs w:val="24"/>
        </w:rPr>
        <w:t>[7]</w:t>
      </w:r>
      <w:r w:rsidRPr="00A062BD">
        <w:rPr>
          <w:rFonts w:ascii="Arial" w:hAnsi="Arial" w:cs="Arial"/>
          <w:sz w:val="24"/>
          <w:szCs w:val="24"/>
        </w:rPr>
        <w:tab/>
      </w:r>
      <w:r w:rsidR="00C4572A" w:rsidRPr="00A062BD">
        <w:rPr>
          <w:rFonts w:ascii="Arial" w:hAnsi="Arial" w:cs="Arial"/>
          <w:sz w:val="24"/>
          <w:szCs w:val="24"/>
        </w:rPr>
        <w:t>First and second respondent could not keep up with the payment of monthly instalment</w:t>
      </w:r>
      <w:r w:rsidR="0034318D" w:rsidRPr="00A062BD">
        <w:rPr>
          <w:rFonts w:ascii="Arial" w:hAnsi="Arial" w:cs="Arial"/>
          <w:sz w:val="24"/>
          <w:szCs w:val="24"/>
        </w:rPr>
        <w:t>s</w:t>
      </w:r>
      <w:r w:rsidR="00C4572A" w:rsidRPr="00A062BD">
        <w:rPr>
          <w:rFonts w:ascii="Arial" w:hAnsi="Arial" w:cs="Arial"/>
          <w:sz w:val="24"/>
          <w:szCs w:val="24"/>
        </w:rPr>
        <w:t xml:space="preserve"> resulting in them being in arrears and they made the applicant</w:t>
      </w:r>
      <w:r w:rsidR="0034318D" w:rsidRPr="00A062BD">
        <w:rPr>
          <w:rFonts w:ascii="Arial" w:hAnsi="Arial" w:cs="Arial"/>
          <w:sz w:val="24"/>
          <w:szCs w:val="24"/>
        </w:rPr>
        <w:t>s</w:t>
      </w:r>
      <w:r w:rsidR="00C4572A" w:rsidRPr="00A062BD">
        <w:rPr>
          <w:rFonts w:ascii="Arial" w:hAnsi="Arial" w:cs="Arial"/>
          <w:sz w:val="24"/>
          <w:szCs w:val="24"/>
        </w:rPr>
        <w:t xml:space="preserve"> </w:t>
      </w:r>
      <w:r w:rsidR="00225090" w:rsidRPr="00A062BD">
        <w:rPr>
          <w:rFonts w:ascii="Arial" w:hAnsi="Arial" w:cs="Arial"/>
          <w:sz w:val="24"/>
          <w:szCs w:val="24"/>
        </w:rPr>
        <w:t>aware of th</w:t>
      </w:r>
      <w:r w:rsidR="0034318D" w:rsidRPr="00A062BD">
        <w:rPr>
          <w:rFonts w:ascii="Arial" w:hAnsi="Arial" w:cs="Arial"/>
          <w:sz w:val="24"/>
          <w:szCs w:val="24"/>
        </w:rPr>
        <w:t>eir difficulty. They showed them</w:t>
      </w:r>
      <w:r w:rsidR="00225090" w:rsidRPr="00A062BD">
        <w:rPr>
          <w:rFonts w:ascii="Arial" w:hAnsi="Arial" w:cs="Arial"/>
          <w:sz w:val="24"/>
          <w:szCs w:val="24"/>
        </w:rPr>
        <w:t xml:space="preserve"> a copy of the letter of demand from attorney Hack </w:t>
      </w:r>
      <w:proofErr w:type="spellStart"/>
      <w:r w:rsidR="00225090" w:rsidRPr="00A062BD">
        <w:rPr>
          <w:rFonts w:ascii="Arial" w:hAnsi="Arial" w:cs="Arial"/>
          <w:sz w:val="24"/>
          <w:szCs w:val="24"/>
        </w:rPr>
        <w:t>Stupel</w:t>
      </w:r>
      <w:proofErr w:type="spellEnd"/>
      <w:r w:rsidR="00225090" w:rsidRPr="00A062BD">
        <w:rPr>
          <w:rFonts w:ascii="Arial" w:hAnsi="Arial" w:cs="Arial"/>
          <w:sz w:val="24"/>
          <w:szCs w:val="24"/>
        </w:rPr>
        <w:t xml:space="preserve"> and Ross which showed an outstanding balance in the amount R 37</w:t>
      </w:r>
      <w:r w:rsidR="0034318D" w:rsidRPr="00A062BD">
        <w:rPr>
          <w:rFonts w:ascii="Arial" w:hAnsi="Arial" w:cs="Arial"/>
          <w:sz w:val="24"/>
          <w:szCs w:val="24"/>
        </w:rPr>
        <w:t> </w:t>
      </w:r>
      <w:proofErr w:type="gramStart"/>
      <w:r w:rsidR="00225090" w:rsidRPr="00A062BD">
        <w:rPr>
          <w:rFonts w:ascii="Arial" w:hAnsi="Arial" w:cs="Arial"/>
          <w:sz w:val="24"/>
          <w:szCs w:val="24"/>
        </w:rPr>
        <w:t>755</w:t>
      </w:r>
      <w:r w:rsidR="0034318D" w:rsidRPr="00A062BD">
        <w:rPr>
          <w:rFonts w:ascii="Arial" w:hAnsi="Arial" w:cs="Arial"/>
          <w:sz w:val="24"/>
          <w:szCs w:val="24"/>
        </w:rPr>
        <w:t>.60</w:t>
      </w:r>
      <w:r w:rsidR="00B26B8D">
        <w:rPr>
          <w:rFonts w:ascii="Arial" w:hAnsi="Arial" w:cs="Arial"/>
          <w:sz w:val="24"/>
          <w:szCs w:val="24"/>
        </w:rPr>
        <w:t xml:space="preserve"> </w:t>
      </w:r>
      <w:r w:rsidR="00225090" w:rsidRPr="00A062BD">
        <w:rPr>
          <w:rFonts w:ascii="Arial" w:hAnsi="Arial" w:cs="Arial"/>
          <w:sz w:val="24"/>
          <w:szCs w:val="24"/>
        </w:rPr>
        <w:t xml:space="preserve"> with</w:t>
      </w:r>
      <w:proofErr w:type="gramEnd"/>
      <w:r w:rsidR="00225090" w:rsidRPr="00A062BD">
        <w:rPr>
          <w:rFonts w:ascii="Arial" w:hAnsi="Arial" w:cs="Arial"/>
          <w:sz w:val="24"/>
          <w:szCs w:val="24"/>
        </w:rPr>
        <w:t xml:space="preserve"> a monthly instalment of R3639.14.</w:t>
      </w:r>
    </w:p>
    <w:p w14:paraId="2CBD4C16" w14:textId="77777777" w:rsidR="00225090" w:rsidRPr="00A062BD" w:rsidRDefault="00225090" w:rsidP="00225090">
      <w:pPr>
        <w:pStyle w:val="1"/>
        <w:rPr>
          <w:rFonts w:cs="Arial"/>
          <w:szCs w:val="24"/>
        </w:rPr>
      </w:pPr>
      <w:r w:rsidRPr="00A062BD">
        <w:rPr>
          <w:rFonts w:cs="Arial"/>
          <w:szCs w:val="24"/>
        </w:rPr>
        <w:t>[8] Summons were subsequently issued against them requiring them to settle the balance outstanding not later than 31 August 2013.</w:t>
      </w:r>
    </w:p>
    <w:p w14:paraId="751CBDDB" w14:textId="77777777" w:rsidR="00225090" w:rsidRPr="00A062BD" w:rsidRDefault="00225090" w:rsidP="00225090">
      <w:pPr>
        <w:pStyle w:val="1"/>
        <w:rPr>
          <w:rFonts w:cs="Arial"/>
          <w:szCs w:val="24"/>
        </w:rPr>
      </w:pPr>
      <w:r w:rsidRPr="00A062BD">
        <w:rPr>
          <w:rFonts w:cs="Arial"/>
          <w:szCs w:val="24"/>
        </w:rPr>
        <w:t xml:space="preserve">[9] First and second respondents proposed to the applicants that it would be better if they exchange houses with each other seeing that the applicants were both employed and could afford to service the bond. This proposal followed </w:t>
      </w:r>
      <w:r w:rsidR="0003793B" w:rsidRPr="00A062BD">
        <w:rPr>
          <w:rFonts w:cs="Arial"/>
          <w:szCs w:val="24"/>
        </w:rPr>
        <w:t>lengthy</w:t>
      </w:r>
      <w:r w:rsidRPr="00A062BD">
        <w:rPr>
          <w:rFonts w:cs="Arial"/>
          <w:szCs w:val="24"/>
        </w:rPr>
        <w:t xml:space="preserve"> </w:t>
      </w:r>
      <w:r w:rsidR="0003793B" w:rsidRPr="00A062BD">
        <w:rPr>
          <w:rFonts w:cs="Arial"/>
          <w:szCs w:val="24"/>
        </w:rPr>
        <w:t>discussions and liberations.</w:t>
      </w:r>
      <w:r w:rsidRPr="00A062BD">
        <w:rPr>
          <w:rFonts w:cs="Arial"/>
          <w:szCs w:val="24"/>
        </w:rPr>
        <w:t xml:space="preserve"> </w:t>
      </w:r>
    </w:p>
    <w:p w14:paraId="6AAC80E7" w14:textId="77777777" w:rsidR="000135D4" w:rsidRPr="00A062BD" w:rsidRDefault="0003793B" w:rsidP="00225090">
      <w:pPr>
        <w:pStyle w:val="1"/>
        <w:rPr>
          <w:rFonts w:cs="Arial"/>
          <w:szCs w:val="24"/>
        </w:rPr>
      </w:pPr>
      <w:r w:rsidRPr="00A062BD">
        <w:rPr>
          <w:rFonts w:cs="Arial"/>
          <w:szCs w:val="24"/>
        </w:rPr>
        <w:t xml:space="preserve">[10] After careful consideration </w:t>
      </w:r>
      <w:proofErr w:type="gramStart"/>
      <w:r w:rsidRPr="00A062BD">
        <w:rPr>
          <w:rFonts w:cs="Arial"/>
          <w:szCs w:val="24"/>
        </w:rPr>
        <w:t>with regard to</w:t>
      </w:r>
      <w:proofErr w:type="gramEnd"/>
      <w:r w:rsidRPr="00A062BD">
        <w:rPr>
          <w:rFonts w:cs="Arial"/>
          <w:szCs w:val="24"/>
        </w:rPr>
        <w:t xml:space="preserve"> financial affordability the applicants agreed to take over the bond and to exchange their houses on condition that the applicants </w:t>
      </w:r>
      <w:r w:rsidR="00DD22E1" w:rsidRPr="00A062BD">
        <w:rPr>
          <w:rFonts w:cs="Arial"/>
          <w:szCs w:val="24"/>
        </w:rPr>
        <w:t xml:space="preserve">would settle the arrears with the attorneys. The first and second </w:t>
      </w:r>
      <w:r w:rsidR="00DD22E1" w:rsidRPr="00A062BD">
        <w:rPr>
          <w:rFonts w:cs="Arial"/>
          <w:szCs w:val="24"/>
        </w:rPr>
        <w:lastRenderedPageBreak/>
        <w:t xml:space="preserve">respondent would get someone with a legal background to draft a home exchange agreement </w:t>
      </w:r>
      <w:r w:rsidR="000135D4" w:rsidRPr="00A062BD">
        <w:rPr>
          <w:rFonts w:cs="Arial"/>
          <w:szCs w:val="24"/>
        </w:rPr>
        <w:t xml:space="preserve">to be signed by both parties </w:t>
      </w:r>
      <w:proofErr w:type="gramStart"/>
      <w:r w:rsidR="000135D4" w:rsidRPr="00A062BD">
        <w:rPr>
          <w:rFonts w:cs="Arial"/>
          <w:szCs w:val="24"/>
        </w:rPr>
        <w:t>in order to</w:t>
      </w:r>
      <w:proofErr w:type="gramEnd"/>
      <w:r w:rsidR="000135D4" w:rsidRPr="00A062BD">
        <w:rPr>
          <w:rFonts w:cs="Arial"/>
          <w:szCs w:val="24"/>
        </w:rPr>
        <w:t xml:space="preserve"> formalize the agreement. </w:t>
      </w:r>
    </w:p>
    <w:p w14:paraId="76DA11FB" w14:textId="77777777" w:rsidR="000135D4" w:rsidRPr="00A062BD" w:rsidRDefault="0034318D" w:rsidP="00225090">
      <w:pPr>
        <w:pStyle w:val="1"/>
        <w:rPr>
          <w:rFonts w:cs="Arial"/>
          <w:szCs w:val="24"/>
        </w:rPr>
      </w:pPr>
      <w:r w:rsidRPr="00A062BD">
        <w:rPr>
          <w:rFonts w:cs="Arial"/>
          <w:szCs w:val="24"/>
        </w:rPr>
        <w:t>[11] On 12 November 2013 th</w:t>
      </w:r>
      <w:r w:rsidR="000135D4" w:rsidRPr="00A062BD">
        <w:rPr>
          <w:rFonts w:cs="Arial"/>
          <w:szCs w:val="24"/>
        </w:rPr>
        <w:t>e applicants paid the amount of R37 755.60 before the exchange agreement was signed to avoid the property being repossessed by the third respondent.</w:t>
      </w:r>
    </w:p>
    <w:p w14:paraId="26F0B1E3" w14:textId="77777777" w:rsidR="000135D4" w:rsidRPr="00A062BD" w:rsidRDefault="000135D4" w:rsidP="00225090">
      <w:pPr>
        <w:pStyle w:val="1"/>
        <w:rPr>
          <w:rFonts w:cs="Arial"/>
          <w:szCs w:val="24"/>
        </w:rPr>
      </w:pPr>
      <w:r w:rsidRPr="00A062BD">
        <w:rPr>
          <w:rFonts w:cs="Arial"/>
          <w:szCs w:val="24"/>
        </w:rPr>
        <w:t>[12</w:t>
      </w:r>
      <w:r w:rsidR="0034318D" w:rsidRPr="00A062BD">
        <w:rPr>
          <w:rFonts w:cs="Arial"/>
          <w:szCs w:val="24"/>
        </w:rPr>
        <w:t>] On</w:t>
      </w:r>
      <w:r w:rsidRPr="00A062BD">
        <w:rPr>
          <w:rFonts w:cs="Arial"/>
          <w:szCs w:val="24"/>
        </w:rPr>
        <w:t xml:space="preserve"> 16 November 2013 and at Mamelodi the first and second respondent co-signed the Home Exchange Agreement and on 21 November 20213 and at </w:t>
      </w:r>
      <w:proofErr w:type="spellStart"/>
      <w:r w:rsidRPr="00A062BD">
        <w:rPr>
          <w:rFonts w:cs="Arial"/>
          <w:szCs w:val="24"/>
        </w:rPr>
        <w:t>Doornpoort</w:t>
      </w:r>
      <w:proofErr w:type="spellEnd"/>
      <w:r w:rsidRPr="00A062BD">
        <w:rPr>
          <w:rFonts w:cs="Arial"/>
          <w:szCs w:val="24"/>
        </w:rPr>
        <w:t xml:space="preserve"> the applicants co-signed the Home Exchange Agreement.</w:t>
      </w:r>
    </w:p>
    <w:p w14:paraId="7AE513EC" w14:textId="77777777" w:rsidR="00670706" w:rsidRPr="00A062BD" w:rsidRDefault="000135D4" w:rsidP="00225090">
      <w:pPr>
        <w:pStyle w:val="1"/>
        <w:rPr>
          <w:rFonts w:cs="Arial"/>
          <w:szCs w:val="24"/>
        </w:rPr>
      </w:pPr>
      <w:r w:rsidRPr="00A062BD">
        <w:rPr>
          <w:rFonts w:cs="Arial"/>
          <w:szCs w:val="24"/>
        </w:rPr>
        <w:t>[13] A principle of co-operation included in the agreement was that the parties would respect the democratic and co-operative principles, good governance and the observation of government</w:t>
      </w:r>
      <w:r w:rsidR="0034318D" w:rsidRPr="00A062BD">
        <w:rPr>
          <w:rFonts w:cs="Arial"/>
          <w:szCs w:val="24"/>
        </w:rPr>
        <w:t>’s</w:t>
      </w:r>
      <w:r w:rsidRPr="00A062BD">
        <w:rPr>
          <w:rFonts w:cs="Arial"/>
          <w:szCs w:val="24"/>
        </w:rPr>
        <w:t xml:space="preserve"> overriding authority and that the rule of law would form the basis for cooperation between the parties and constitute an essential element of the agreement.</w:t>
      </w:r>
    </w:p>
    <w:p w14:paraId="413A495C" w14:textId="77777777" w:rsidR="00670706" w:rsidRPr="00A062BD" w:rsidRDefault="00670706" w:rsidP="00225090">
      <w:pPr>
        <w:pStyle w:val="1"/>
        <w:rPr>
          <w:rFonts w:cs="Arial"/>
          <w:szCs w:val="24"/>
        </w:rPr>
      </w:pPr>
      <w:r w:rsidRPr="00A062BD">
        <w:rPr>
          <w:rFonts w:cs="Arial"/>
          <w:szCs w:val="24"/>
        </w:rPr>
        <w:t>[14] The agreement provided for the transfer of ownership as follows:</w:t>
      </w:r>
    </w:p>
    <w:p w14:paraId="741D1560" w14:textId="77777777" w:rsidR="000135D4" w:rsidRPr="00A062BD" w:rsidRDefault="00822647" w:rsidP="00670706">
      <w:pPr>
        <w:pStyle w:val="1"/>
        <w:ind w:left="1134"/>
        <w:rPr>
          <w:rFonts w:cs="Arial"/>
          <w:i/>
          <w:szCs w:val="24"/>
        </w:rPr>
      </w:pPr>
      <w:r w:rsidRPr="00A062BD">
        <w:rPr>
          <w:rFonts w:cs="Arial"/>
          <w:i/>
          <w:szCs w:val="24"/>
        </w:rPr>
        <w:t xml:space="preserve">“7. Transfer of </w:t>
      </w:r>
      <w:proofErr w:type="spellStart"/>
      <w:r w:rsidRPr="00A062BD">
        <w:rPr>
          <w:rFonts w:cs="Arial"/>
          <w:i/>
          <w:szCs w:val="24"/>
        </w:rPr>
        <w:t>Owership</w:t>
      </w:r>
      <w:proofErr w:type="spellEnd"/>
    </w:p>
    <w:p w14:paraId="1ACA049B" w14:textId="77777777" w:rsidR="00670706" w:rsidRPr="00A062BD" w:rsidRDefault="00670706" w:rsidP="00670706">
      <w:pPr>
        <w:pStyle w:val="1"/>
        <w:ind w:left="1701"/>
        <w:rPr>
          <w:rFonts w:cs="Arial"/>
          <w:i/>
          <w:szCs w:val="24"/>
        </w:rPr>
      </w:pPr>
      <w:r w:rsidRPr="00A062BD">
        <w:rPr>
          <w:rFonts w:cs="Arial"/>
          <w:i/>
          <w:szCs w:val="24"/>
        </w:rPr>
        <w:t xml:space="preserve">7.1 On a before the exchange periods in December </w:t>
      </w:r>
      <w:r w:rsidR="00822647" w:rsidRPr="00A062BD">
        <w:rPr>
          <w:rFonts w:cs="Arial"/>
          <w:i/>
          <w:szCs w:val="24"/>
        </w:rPr>
        <w:t>2018, the Monama f</w:t>
      </w:r>
      <w:r w:rsidRPr="00A062BD">
        <w:rPr>
          <w:rFonts w:cs="Arial"/>
          <w:i/>
          <w:szCs w:val="24"/>
        </w:rPr>
        <w:t xml:space="preserve">amily shall take ownership of the second property and the </w:t>
      </w:r>
      <w:proofErr w:type="spellStart"/>
      <w:r w:rsidRPr="00A062BD">
        <w:rPr>
          <w:rFonts w:cs="Arial"/>
          <w:i/>
          <w:szCs w:val="24"/>
        </w:rPr>
        <w:t>Motseo</w:t>
      </w:r>
      <w:proofErr w:type="spellEnd"/>
      <w:r w:rsidR="00822647" w:rsidRPr="00A062BD">
        <w:rPr>
          <w:rFonts w:cs="Arial"/>
          <w:i/>
          <w:szCs w:val="24"/>
        </w:rPr>
        <w:t xml:space="preserve"> family </w:t>
      </w:r>
      <w:r w:rsidRPr="00A062BD">
        <w:rPr>
          <w:rFonts w:cs="Arial"/>
          <w:i/>
          <w:szCs w:val="24"/>
        </w:rPr>
        <w:t>shall take ownership of the first property, provided the outstanding bond amount on the first property had been paid in full as stipulated in clause 6.3.2 supra.</w:t>
      </w:r>
    </w:p>
    <w:p w14:paraId="531F642E" w14:textId="77777777" w:rsidR="00670706" w:rsidRPr="00A062BD" w:rsidRDefault="00670706" w:rsidP="00670706">
      <w:pPr>
        <w:pStyle w:val="1"/>
        <w:ind w:left="1701"/>
        <w:rPr>
          <w:rFonts w:cs="Arial"/>
          <w:i/>
          <w:szCs w:val="24"/>
        </w:rPr>
      </w:pPr>
      <w:r w:rsidRPr="00A062BD">
        <w:rPr>
          <w:rFonts w:cs="Arial"/>
          <w:i/>
          <w:szCs w:val="24"/>
        </w:rPr>
        <w:lastRenderedPageBreak/>
        <w:t xml:space="preserve">7.2 The parties shall be responsible for the costs associated with the transfer of ownership for each property. </w:t>
      </w:r>
    </w:p>
    <w:p w14:paraId="7653298D" w14:textId="77777777" w:rsidR="00670706" w:rsidRPr="00A062BD" w:rsidRDefault="00670706" w:rsidP="00670706">
      <w:pPr>
        <w:pStyle w:val="1"/>
        <w:ind w:left="1701"/>
        <w:rPr>
          <w:rFonts w:cs="Arial"/>
          <w:szCs w:val="24"/>
        </w:rPr>
      </w:pPr>
      <w:r w:rsidRPr="00A062BD">
        <w:rPr>
          <w:rFonts w:cs="Arial"/>
          <w:i/>
          <w:szCs w:val="24"/>
        </w:rPr>
        <w:t>7.3 Ownership of the second property will automatically transfer to the Monama family without the formal process of registering the new owner and name change on the title deed with the Deeds Office</w:t>
      </w:r>
      <w:r w:rsidR="00E15FA3" w:rsidRPr="00A062BD">
        <w:rPr>
          <w:rFonts w:cs="Arial"/>
          <w:i/>
          <w:szCs w:val="24"/>
        </w:rPr>
        <w:t>”</w:t>
      </w:r>
    </w:p>
    <w:p w14:paraId="6F6DF530" w14:textId="77777777" w:rsidR="00E15FA3" w:rsidRPr="00A062BD" w:rsidRDefault="00E15FA3" w:rsidP="00E15FA3">
      <w:pPr>
        <w:pStyle w:val="1"/>
        <w:ind w:left="0" w:firstLine="0"/>
        <w:rPr>
          <w:rFonts w:cs="Arial"/>
          <w:szCs w:val="24"/>
        </w:rPr>
      </w:pPr>
      <w:r w:rsidRPr="00A062BD">
        <w:rPr>
          <w:rFonts w:cs="Arial"/>
          <w:szCs w:val="24"/>
        </w:rPr>
        <w:t>[15] Termination of the agreement was provided for in clause 8 as follows:</w:t>
      </w:r>
    </w:p>
    <w:p w14:paraId="68643316" w14:textId="77777777" w:rsidR="00E15FA3" w:rsidRPr="00A062BD" w:rsidRDefault="00E15FA3" w:rsidP="00E15FA3">
      <w:pPr>
        <w:pStyle w:val="1"/>
        <w:ind w:left="720" w:firstLine="0"/>
        <w:rPr>
          <w:rFonts w:cs="Arial"/>
          <w:i/>
          <w:szCs w:val="24"/>
        </w:rPr>
      </w:pPr>
      <w:r w:rsidRPr="00A062BD">
        <w:rPr>
          <w:rFonts w:cs="Arial"/>
          <w:i/>
          <w:szCs w:val="24"/>
        </w:rPr>
        <w:t xml:space="preserve">“8. Termination of agreement </w:t>
      </w:r>
    </w:p>
    <w:p w14:paraId="6708CE8C" w14:textId="77777777" w:rsidR="00694075" w:rsidRPr="00A062BD" w:rsidRDefault="00E15FA3" w:rsidP="00E15FA3">
      <w:pPr>
        <w:pStyle w:val="1"/>
        <w:ind w:left="1440" w:firstLine="0"/>
        <w:rPr>
          <w:rFonts w:cs="Arial"/>
          <w:i/>
          <w:szCs w:val="24"/>
        </w:rPr>
      </w:pPr>
      <w:r w:rsidRPr="00A062BD">
        <w:rPr>
          <w:rFonts w:cs="Arial"/>
          <w:i/>
          <w:szCs w:val="24"/>
        </w:rPr>
        <w:t>8.1 Either party may terminate this agreement by giving to the other no less than two calendar months’ written [notice] of termination</w:t>
      </w:r>
      <w:r w:rsidR="00694075" w:rsidRPr="00A062BD">
        <w:rPr>
          <w:rFonts w:cs="Arial"/>
          <w:i/>
          <w:szCs w:val="24"/>
        </w:rPr>
        <w:t>.</w:t>
      </w:r>
    </w:p>
    <w:p w14:paraId="57E8BEDA" w14:textId="77777777" w:rsidR="00E15FA3" w:rsidRPr="00A062BD" w:rsidRDefault="00694075" w:rsidP="00E15FA3">
      <w:pPr>
        <w:pStyle w:val="1"/>
        <w:ind w:left="1440" w:firstLine="0"/>
        <w:rPr>
          <w:rFonts w:cs="Arial"/>
          <w:i/>
          <w:szCs w:val="24"/>
        </w:rPr>
      </w:pPr>
      <w:r w:rsidRPr="00A062BD">
        <w:rPr>
          <w:rFonts w:cs="Arial"/>
          <w:i/>
          <w:szCs w:val="24"/>
        </w:rPr>
        <w:t>8.2 Notwithstanding any term of agreement, should the parties decide to return to their legally owned properties any amount paid in relation to the settlement of the bond amount, maintenance of the used properties shall be reimbursed by the user to the home of the affected property.”</w:t>
      </w:r>
    </w:p>
    <w:p w14:paraId="16EEA3EA" w14:textId="77777777" w:rsidR="00694075" w:rsidRPr="00A062BD" w:rsidRDefault="00694075" w:rsidP="00694075">
      <w:pPr>
        <w:pStyle w:val="1"/>
        <w:ind w:left="0" w:firstLine="0"/>
        <w:rPr>
          <w:rFonts w:cs="Arial"/>
          <w:szCs w:val="24"/>
        </w:rPr>
      </w:pPr>
      <w:r w:rsidRPr="00A062BD">
        <w:rPr>
          <w:rFonts w:cs="Arial"/>
          <w:szCs w:val="24"/>
        </w:rPr>
        <w:t>[16] More specifically clause 9.5 of the agreement provides that should:</w:t>
      </w:r>
    </w:p>
    <w:p w14:paraId="5C12FF01" w14:textId="77777777" w:rsidR="00694075" w:rsidRPr="00A062BD" w:rsidRDefault="00694075" w:rsidP="00694075">
      <w:pPr>
        <w:pStyle w:val="1"/>
        <w:ind w:left="720" w:firstLine="0"/>
        <w:rPr>
          <w:rFonts w:cs="Arial"/>
          <w:i/>
          <w:szCs w:val="24"/>
        </w:rPr>
      </w:pPr>
      <w:r w:rsidRPr="00A062BD">
        <w:rPr>
          <w:rFonts w:cs="Arial"/>
          <w:i/>
          <w:szCs w:val="24"/>
        </w:rPr>
        <w:t xml:space="preserve">“9.5 The Monama family breach the agreement, they will have to reimburse the </w:t>
      </w:r>
      <w:proofErr w:type="spellStart"/>
      <w:r w:rsidRPr="00A062BD">
        <w:rPr>
          <w:rFonts w:cs="Arial"/>
          <w:i/>
          <w:szCs w:val="24"/>
        </w:rPr>
        <w:t>Motseo</w:t>
      </w:r>
      <w:proofErr w:type="spellEnd"/>
      <w:r w:rsidRPr="00A062BD">
        <w:rPr>
          <w:rFonts w:cs="Arial"/>
          <w:i/>
          <w:szCs w:val="24"/>
        </w:rPr>
        <w:t xml:space="preserve"> family for bond amount paid over the property.”</w:t>
      </w:r>
    </w:p>
    <w:p w14:paraId="5FCDAFA4" w14:textId="77777777" w:rsidR="00694075" w:rsidRPr="00A062BD" w:rsidRDefault="00694075" w:rsidP="00694075">
      <w:pPr>
        <w:pStyle w:val="1"/>
        <w:rPr>
          <w:rFonts w:cs="Arial"/>
          <w:szCs w:val="24"/>
        </w:rPr>
      </w:pPr>
      <w:r w:rsidRPr="00A062BD">
        <w:rPr>
          <w:rFonts w:cs="Arial"/>
          <w:szCs w:val="24"/>
        </w:rPr>
        <w:t>[17] The applicants continued to pay the instalments after signing of the agreement and on 19 August 2014 they signed a stop order to pay R5000.00 per month which was meant to accelerate the reduction of the remaining bond amount.</w:t>
      </w:r>
    </w:p>
    <w:p w14:paraId="70D7FE17" w14:textId="77777777" w:rsidR="00694075" w:rsidRPr="00A062BD" w:rsidRDefault="00694075" w:rsidP="00694075">
      <w:pPr>
        <w:pStyle w:val="1"/>
        <w:rPr>
          <w:rFonts w:cs="Arial"/>
          <w:szCs w:val="24"/>
        </w:rPr>
      </w:pPr>
      <w:r w:rsidRPr="00A062BD">
        <w:rPr>
          <w:rFonts w:cs="Arial"/>
          <w:szCs w:val="24"/>
        </w:rPr>
        <w:lastRenderedPageBreak/>
        <w:t xml:space="preserve">[18] During </w:t>
      </w:r>
      <w:r w:rsidR="00C52DB4" w:rsidRPr="00A062BD">
        <w:rPr>
          <w:rFonts w:cs="Arial"/>
          <w:szCs w:val="24"/>
        </w:rPr>
        <w:t>August 2015 first and second respondent decided to vacate the second property and wanted to move into the first property. They abandoned the second property which resulted in it being vandalized.</w:t>
      </w:r>
    </w:p>
    <w:p w14:paraId="293BBE8E" w14:textId="77777777" w:rsidR="006E78E7" w:rsidRPr="00A062BD" w:rsidRDefault="00C52DB4" w:rsidP="006E78E7">
      <w:pPr>
        <w:pStyle w:val="1"/>
        <w:rPr>
          <w:rFonts w:cs="Arial"/>
          <w:szCs w:val="24"/>
        </w:rPr>
      </w:pPr>
      <w:r w:rsidRPr="00A062BD">
        <w:rPr>
          <w:rFonts w:cs="Arial"/>
          <w:szCs w:val="24"/>
        </w:rPr>
        <w:t xml:space="preserve">[19] On 31 August the applicants received an undated letter from the first and second respondent alleging breach by the applicants in that they </w:t>
      </w:r>
      <w:r w:rsidR="002E6435" w:rsidRPr="00A062BD">
        <w:rPr>
          <w:rFonts w:cs="Arial"/>
          <w:szCs w:val="24"/>
        </w:rPr>
        <w:t>failed to disclose continued electricity inter</w:t>
      </w:r>
      <w:r w:rsidR="006E78E7" w:rsidRPr="00A062BD">
        <w:rPr>
          <w:rFonts w:cs="Arial"/>
          <w:szCs w:val="24"/>
        </w:rPr>
        <w:t>ruptions/power failures and service delivery protects in the Mamelodi area. They demanded that applicants return to the second property and that they return to the first property as per paragraph 8.2 of the agreement giving them seven (7) days to respond.</w:t>
      </w:r>
    </w:p>
    <w:p w14:paraId="740A0D59" w14:textId="77777777" w:rsidR="006E78E7" w:rsidRPr="00A062BD" w:rsidRDefault="006E78E7" w:rsidP="006E78E7">
      <w:pPr>
        <w:pStyle w:val="1"/>
        <w:rPr>
          <w:rFonts w:cs="Arial"/>
          <w:szCs w:val="24"/>
        </w:rPr>
      </w:pPr>
      <w:r w:rsidRPr="00A062BD">
        <w:rPr>
          <w:rFonts w:cs="Arial"/>
          <w:szCs w:val="24"/>
        </w:rPr>
        <w:t>[20] Following the receipt of the letter attempts were made to address the disputes through mediation, negotiations and consultations. These were all in vain partly due to the first and second respondents wanting to terminate the agreement without complying with the provision</w:t>
      </w:r>
      <w:r w:rsidR="00822647" w:rsidRPr="00A062BD">
        <w:rPr>
          <w:rFonts w:cs="Arial"/>
          <w:szCs w:val="24"/>
        </w:rPr>
        <w:t>s</w:t>
      </w:r>
      <w:r w:rsidRPr="00A062BD">
        <w:rPr>
          <w:rFonts w:cs="Arial"/>
          <w:szCs w:val="24"/>
        </w:rPr>
        <w:t xml:space="preserve"> of the agreement as they refused any suggestions to reimburse the applicants for monies expended to save the property from being repossessed by the third respondent.</w:t>
      </w:r>
    </w:p>
    <w:p w14:paraId="40AEFF46" w14:textId="77777777" w:rsidR="006E78E7" w:rsidRPr="00A062BD" w:rsidRDefault="006E78E7" w:rsidP="006E78E7">
      <w:pPr>
        <w:pStyle w:val="1"/>
        <w:rPr>
          <w:rFonts w:cs="Arial"/>
          <w:szCs w:val="24"/>
        </w:rPr>
      </w:pPr>
      <w:r w:rsidRPr="00A062BD">
        <w:rPr>
          <w:rFonts w:cs="Arial"/>
          <w:szCs w:val="24"/>
        </w:rPr>
        <w:t>[21] During 2014 applicants did home renovations and improvements to the first property by installation of</w:t>
      </w:r>
      <w:r w:rsidR="00822647" w:rsidRPr="00A062BD">
        <w:rPr>
          <w:rFonts w:cs="Arial"/>
          <w:szCs w:val="24"/>
        </w:rPr>
        <w:t xml:space="preserve"> a</w:t>
      </w:r>
      <w:r w:rsidRPr="00A062BD">
        <w:rPr>
          <w:rFonts w:cs="Arial"/>
          <w:szCs w:val="24"/>
        </w:rPr>
        <w:t xml:space="preserve"> kitchen, construction of</w:t>
      </w:r>
      <w:r w:rsidR="00822647" w:rsidRPr="00A062BD">
        <w:rPr>
          <w:rFonts w:cs="Arial"/>
          <w:szCs w:val="24"/>
        </w:rPr>
        <w:t xml:space="preserve"> a</w:t>
      </w:r>
      <w:r w:rsidRPr="00A062BD">
        <w:rPr>
          <w:rFonts w:cs="Arial"/>
          <w:szCs w:val="24"/>
        </w:rPr>
        <w:t xml:space="preserve"> fence and paving the yard as well as</w:t>
      </w:r>
      <w:r w:rsidR="00822647" w:rsidRPr="00A062BD">
        <w:rPr>
          <w:rFonts w:cs="Arial"/>
          <w:szCs w:val="24"/>
        </w:rPr>
        <w:t xml:space="preserve"> the general upkeep</w:t>
      </w:r>
      <w:r w:rsidRPr="00A062BD">
        <w:rPr>
          <w:rFonts w:cs="Arial"/>
          <w:szCs w:val="24"/>
        </w:rPr>
        <w:t xml:space="preserve"> to the tune of over R100 000.00.</w:t>
      </w:r>
    </w:p>
    <w:p w14:paraId="148408A8" w14:textId="77777777" w:rsidR="009D0D0A" w:rsidRPr="00A062BD" w:rsidRDefault="009D0D0A" w:rsidP="006E78E7">
      <w:pPr>
        <w:pStyle w:val="1"/>
        <w:rPr>
          <w:rFonts w:cs="Arial"/>
          <w:szCs w:val="24"/>
        </w:rPr>
      </w:pPr>
      <w:r w:rsidRPr="00A062BD">
        <w:rPr>
          <w:rFonts w:cs="Arial"/>
          <w:szCs w:val="24"/>
        </w:rPr>
        <w:t>[22] In terms of the agreement the applicants submit that they are entitled to have ownership of the first property transferred to them and that first and second respondents are obliged to sign transfer of ownership documents as they have settled the outstanding bond amount of the first property.</w:t>
      </w:r>
    </w:p>
    <w:p w14:paraId="284CE1E9" w14:textId="77777777" w:rsidR="009D0D0A" w:rsidRPr="00A062BD" w:rsidRDefault="009D0D0A" w:rsidP="006E78E7">
      <w:pPr>
        <w:pStyle w:val="1"/>
        <w:rPr>
          <w:rFonts w:cs="Arial"/>
          <w:szCs w:val="24"/>
          <w:u w:val="single"/>
        </w:rPr>
      </w:pPr>
      <w:r w:rsidRPr="00A062BD">
        <w:rPr>
          <w:rFonts w:cs="Arial"/>
          <w:szCs w:val="24"/>
          <w:u w:val="single"/>
        </w:rPr>
        <w:lastRenderedPageBreak/>
        <w:t>Law</w:t>
      </w:r>
    </w:p>
    <w:p w14:paraId="2883690F" w14:textId="77777777" w:rsidR="009D0D0A" w:rsidRPr="00A062BD" w:rsidRDefault="009D0D0A" w:rsidP="006E78E7">
      <w:pPr>
        <w:pStyle w:val="1"/>
        <w:rPr>
          <w:rFonts w:cs="Arial"/>
          <w:szCs w:val="24"/>
        </w:rPr>
      </w:pPr>
      <w:r w:rsidRPr="00A062BD">
        <w:rPr>
          <w:rFonts w:cs="Arial"/>
          <w:szCs w:val="24"/>
        </w:rPr>
        <w:t xml:space="preserve">[23] The basis of the application </w:t>
      </w:r>
      <w:r w:rsidR="00B26B8D" w:rsidRPr="00A062BD">
        <w:rPr>
          <w:rFonts w:cs="Arial"/>
          <w:szCs w:val="24"/>
        </w:rPr>
        <w:t>is</w:t>
      </w:r>
      <w:r w:rsidRPr="00A062BD">
        <w:rPr>
          <w:rFonts w:cs="Arial"/>
          <w:szCs w:val="24"/>
        </w:rPr>
        <w:t xml:space="preserve"> that the first and second respondents are the parties in breach of the agreement. They are the ones terminating the agreement based on their own breach.</w:t>
      </w:r>
    </w:p>
    <w:p w14:paraId="54622DE1" w14:textId="77777777" w:rsidR="009D0D0A" w:rsidRPr="00A062BD" w:rsidRDefault="00822647" w:rsidP="006E78E7">
      <w:pPr>
        <w:pStyle w:val="1"/>
        <w:rPr>
          <w:rFonts w:cs="Arial"/>
          <w:i/>
          <w:szCs w:val="24"/>
        </w:rPr>
      </w:pPr>
      <w:r w:rsidRPr="00A062BD">
        <w:rPr>
          <w:rFonts w:cs="Arial"/>
          <w:szCs w:val="24"/>
        </w:rPr>
        <w:t>[24] A</w:t>
      </w:r>
      <w:r w:rsidR="009D0D0A" w:rsidRPr="00A062BD">
        <w:rPr>
          <w:rFonts w:cs="Arial"/>
          <w:szCs w:val="24"/>
        </w:rPr>
        <w:t xml:space="preserve"> sale agreement relating to immovable property is not an ordinary contract in which parties can freely regulate the terms of their agreement as they wish. It is a contract regulated by statute, more specifically the Alienation of Land Act (the Act). See</w:t>
      </w:r>
      <w:r w:rsidR="009D0D0A" w:rsidRPr="00A062BD">
        <w:rPr>
          <w:rFonts w:cs="Arial"/>
          <w:i/>
          <w:szCs w:val="24"/>
        </w:rPr>
        <w:t xml:space="preserve"> Geyer and Another v McGregor</w:t>
      </w:r>
      <w:r w:rsidR="00965456" w:rsidRPr="00A062BD">
        <w:rPr>
          <w:rFonts w:cs="Arial"/>
          <w:i/>
          <w:szCs w:val="24"/>
        </w:rPr>
        <w:t xml:space="preserve">. </w:t>
      </w:r>
      <w:r w:rsidR="00965456" w:rsidRPr="00A062BD">
        <w:rPr>
          <w:rStyle w:val="FootnoteReference"/>
          <w:rFonts w:cs="Arial"/>
          <w:szCs w:val="24"/>
        </w:rPr>
        <w:footnoteReference w:id="1"/>
      </w:r>
      <w:r w:rsidR="00965456" w:rsidRPr="00A062BD">
        <w:rPr>
          <w:rFonts w:cs="Arial"/>
          <w:i/>
          <w:szCs w:val="24"/>
        </w:rPr>
        <w:t xml:space="preserve"> </w:t>
      </w:r>
    </w:p>
    <w:p w14:paraId="5586EAE0" w14:textId="77777777" w:rsidR="00965456" w:rsidRPr="00A062BD" w:rsidRDefault="00965456" w:rsidP="006E78E7">
      <w:pPr>
        <w:pStyle w:val="1"/>
        <w:rPr>
          <w:rFonts w:cs="Arial"/>
          <w:szCs w:val="24"/>
        </w:rPr>
      </w:pPr>
      <w:r w:rsidRPr="00A062BD">
        <w:rPr>
          <w:rFonts w:cs="Arial"/>
          <w:szCs w:val="24"/>
        </w:rPr>
        <w:t>[25] The above case reference further deals with a point raised by the first and second respondent that the signed agreement violates the Alienation of Land Act. Even though the agreement is not a sales contract in the sense where there is a clearly stated price and object of sale (the land) it complies with the requirements of the Act in that it is a written contract which regulates and limits the rights of parties to act against each other as it is a reciprocal agreement which creates rights and obligations for all the parties.</w:t>
      </w:r>
    </w:p>
    <w:p w14:paraId="33ED80EC" w14:textId="77777777" w:rsidR="00B15C1A" w:rsidRPr="00A062BD" w:rsidRDefault="00965456" w:rsidP="006E78E7">
      <w:pPr>
        <w:pStyle w:val="1"/>
        <w:rPr>
          <w:rFonts w:cs="Arial"/>
          <w:szCs w:val="24"/>
        </w:rPr>
      </w:pPr>
      <w:r w:rsidRPr="00A062BD">
        <w:rPr>
          <w:rFonts w:cs="Arial"/>
          <w:szCs w:val="24"/>
        </w:rPr>
        <w:t xml:space="preserve">[26] In the matter of </w:t>
      </w:r>
      <w:r w:rsidRPr="00A062BD">
        <w:rPr>
          <w:rFonts w:cs="Arial"/>
          <w:i/>
          <w:szCs w:val="24"/>
        </w:rPr>
        <w:t xml:space="preserve">Mia v </w:t>
      </w:r>
      <w:proofErr w:type="spellStart"/>
      <w:r w:rsidRPr="00A062BD">
        <w:rPr>
          <w:rFonts w:cs="Arial"/>
          <w:i/>
          <w:szCs w:val="24"/>
        </w:rPr>
        <w:t>Ve</w:t>
      </w:r>
      <w:r w:rsidR="00B15C1A" w:rsidRPr="00A062BD">
        <w:rPr>
          <w:rFonts w:cs="Arial"/>
          <w:i/>
          <w:szCs w:val="24"/>
        </w:rPr>
        <w:t>rimark</w:t>
      </w:r>
      <w:proofErr w:type="spellEnd"/>
      <w:r w:rsidR="00B15C1A" w:rsidRPr="00A062BD">
        <w:rPr>
          <w:rFonts w:cs="Arial"/>
          <w:i/>
          <w:szCs w:val="24"/>
        </w:rPr>
        <w:t xml:space="preserve"> Holdings (Pty) Ltd</w:t>
      </w:r>
      <w:r w:rsidR="00B15C1A" w:rsidRPr="00A062BD">
        <w:rPr>
          <w:rStyle w:val="FootnoteReference"/>
          <w:rFonts w:cs="Arial"/>
          <w:szCs w:val="24"/>
        </w:rPr>
        <w:footnoteReference w:id="2"/>
      </w:r>
      <w:r w:rsidR="00B15C1A" w:rsidRPr="00A062BD">
        <w:rPr>
          <w:rFonts w:cs="Arial"/>
          <w:szCs w:val="24"/>
        </w:rPr>
        <w:t xml:space="preserve"> it was held </w:t>
      </w:r>
    </w:p>
    <w:p w14:paraId="3977A6A4" w14:textId="77777777" w:rsidR="008D4EF3" w:rsidRPr="00A062BD" w:rsidRDefault="00B15C1A" w:rsidP="00B15C1A">
      <w:pPr>
        <w:pStyle w:val="1"/>
        <w:ind w:left="1287"/>
        <w:rPr>
          <w:rFonts w:cs="Arial"/>
          <w:i/>
          <w:szCs w:val="24"/>
        </w:rPr>
      </w:pPr>
      <w:r w:rsidRPr="00A062BD">
        <w:rPr>
          <w:rFonts w:cs="Arial"/>
          <w:i/>
          <w:szCs w:val="24"/>
        </w:rPr>
        <w:t>“The conclusion of a contract subject to a suspensive condition cre</w:t>
      </w:r>
      <w:r w:rsidR="00822647" w:rsidRPr="00A062BD">
        <w:rPr>
          <w:rFonts w:cs="Arial"/>
          <w:i/>
          <w:szCs w:val="24"/>
        </w:rPr>
        <w:t>ates a ‘very real and definitive</w:t>
      </w:r>
      <w:r w:rsidRPr="00A062BD">
        <w:rPr>
          <w:rFonts w:cs="Arial"/>
          <w:i/>
          <w:szCs w:val="24"/>
        </w:rPr>
        <w:t xml:space="preserve"> contractual relationship ‘between the parties. Pending fulfilment of the suspensive condition the </w:t>
      </w:r>
      <w:proofErr w:type="spellStart"/>
      <w:r w:rsidR="00822647" w:rsidRPr="00A062BD">
        <w:rPr>
          <w:rFonts w:cs="Arial"/>
          <w:i/>
          <w:szCs w:val="24"/>
        </w:rPr>
        <w:t>eigible</w:t>
      </w:r>
      <w:proofErr w:type="spellEnd"/>
      <w:r w:rsidR="008D4EF3" w:rsidRPr="00A062BD">
        <w:rPr>
          <w:rFonts w:cs="Arial"/>
          <w:i/>
          <w:szCs w:val="24"/>
        </w:rPr>
        <w:t xml:space="preserve"> content of the contract is suspended. On fulfilment of the condition the contract becomes of full </w:t>
      </w:r>
      <w:r w:rsidR="008D4EF3" w:rsidRPr="00A062BD">
        <w:rPr>
          <w:rFonts w:cs="Arial"/>
          <w:i/>
          <w:szCs w:val="24"/>
        </w:rPr>
        <w:lastRenderedPageBreak/>
        <w:t>force and effect and enforceable by the parties in accordance with its terms.”</w:t>
      </w:r>
    </w:p>
    <w:p w14:paraId="3E40B14D" w14:textId="77777777" w:rsidR="008D4EF3" w:rsidRPr="00A062BD" w:rsidRDefault="008D4EF3" w:rsidP="00B15C1A">
      <w:pPr>
        <w:pStyle w:val="1"/>
        <w:ind w:left="1287"/>
        <w:rPr>
          <w:rFonts w:cs="Arial"/>
          <w:szCs w:val="24"/>
        </w:rPr>
      </w:pPr>
      <w:r w:rsidRPr="00A062BD">
        <w:rPr>
          <w:rFonts w:cs="Arial"/>
          <w:szCs w:val="24"/>
        </w:rPr>
        <w:t>[27] In the home exchange agreement the amount payable by the applicants was specified</w:t>
      </w:r>
      <w:r w:rsidR="00822647" w:rsidRPr="00A062BD">
        <w:rPr>
          <w:rFonts w:cs="Arial"/>
          <w:szCs w:val="24"/>
        </w:rPr>
        <w:t xml:space="preserve"> together with the expected time</w:t>
      </w:r>
      <w:r w:rsidRPr="00A062BD">
        <w:rPr>
          <w:rFonts w:cs="Arial"/>
          <w:szCs w:val="24"/>
        </w:rPr>
        <w:t xml:space="preserve"> of settlemen</w:t>
      </w:r>
      <w:r w:rsidR="00822647" w:rsidRPr="00A062BD">
        <w:rPr>
          <w:rFonts w:cs="Arial"/>
          <w:szCs w:val="24"/>
        </w:rPr>
        <w:t>t of the bond. The agreement</w:t>
      </w:r>
      <w:r w:rsidRPr="00A062BD">
        <w:rPr>
          <w:rFonts w:cs="Arial"/>
          <w:szCs w:val="24"/>
        </w:rPr>
        <w:t xml:space="preserve"> between the parties was based on the common understanding between the parties that the bond over the property was for 20 years from 1998. They approximated the end date as December 2018.</w:t>
      </w:r>
    </w:p>
    <w:p w14:paraId="52DEBB00" w14:textId="77777777" w:rsidR="00C121BE" w:rsidRPr="00A062BD" w:rsidRDefault="008D4EF3" w:rsidP="00B15C1A">
      <w:pPr>
        <w:pStyle w:val="1"/>
        <w:ind w:left="1287"/>
        <w:rPr>
          <w:rFonts w:cs="Arial"/>
          <w:szCs w:val="24"/>
        </w:rPr>
      </w:pPr>
      <w:r w:rsidRPr="00A062BD">
        <w:rPr>
          <w:rFonts w:cs="Arial"/>
          <w:szCs w:val="24"/>
        </w:rPr>
        <w:t xml:space="preserve">[28]  </w:t>
      </w:r>
      <w:r w:rsidR="00B15C1A" w:rsidRPr="00A062BD">
        <w:rPr>
          <w:rFonts w:cs="Arial"/>
          <w:szCs w:val="24"/>
        </w:rPr>
        <w:t xml:space="preserve"> </w:t>
      </w:r>
      <w:r w:rsidR="00C72E5F" w:rsidRPr="00A062BD">
        <w:rPr>
          <w:rFonts w:cs="Arial"/>
          <w:szCs w:val="24"/>
        </w:rPr>
        <w:t xml:space="preserve">In the unreported matter of </w:t>
      </w:r>
      <w:proofErr w:type="spellStart"/>
      <w:r w:rsidR="00822647" w:rsidRPr="00A062BD">
        <w:rPr>
          <w:rFonts w:cs="Arial"/>
          <w:i/>
          <w:szCs w:val="24"/>
        </w:rPr>
        <w:t>Nkengana</w:t>
      </w:r>
      <w:proofErr w:type="spellEnd"/>
      <w:r w:rsidR="00822647" w:rsidRPr="00A062BD">
        <w:rPr>
          <w:rFonts w:cs="Arial"/>
          <w:i/>
          <w:szCs w:val="24"/>
        </w:rPr>
        <w:t xml:space="preserve"> and Another v Sch</w:t>
      </w:r>
      <w:r w:rsidR="00B26B8D">
        <w:rPr>
          <w:rFonts w:cs="Arial"/>
          <w:i/>
          <w:szCs w:val="24"/>
        </w:rPr>
        <w:t>ne</w:t>
      </w:r>
      <w:r w:rsidR="00C72E5F" w:rsidRPr="00A062BD">
        <w:rPr>
          <w:rFonts w:cs="Arial"/>
          <w:i/>
          <w:szCs w:val="24"/>
        </w:rPr>
        <w:t>tt</w:t>
      </w:r>
      <w:r w:rsidR="00822647" w:rsidRPr="00A062BD">
        <w:rPr>
          <w:rFonts w:cs="Arial"/>
          <w:i/>
          <w:szCs w:val="24"/>
        </w:rPr>
        <w:t>l</w:t>
      </w:r>
      <w:r w:rsidR="00C72E5F" w:rsidRPr="00A062BD">
        <w:rPr>
          <w:rFonts w:cs="Arial"/>
          <w:i/>
          <w:szCs w:val="24"/>
        </w:rPr>
        <w:t xml:space="preserve">er and </w:t>
      </w:r>
      <w:r w:rsidR="00B26B8D">
        <w:rPr>
          <w:rFonts w:cs="Arial"/>
          <w:i/>
          <w:szCs w:val="24"/>
        </w:rPr>
        <w:t>Another</w:t>
      </w:r>
      <w:r w:rsidR="00C72E5F" w:rsidRPr="00A062BD">
        <w:rPr>
          <w:rStyle w:val="FootnoteReference"/>
          <w:rFonts w:cs="Arial"/>
          <w:i/>
          <w:szCs w:val="24"/>
        </w:rPr>
        <w:footnoteReference w:id="3"/>
      </w:r>
      <w:r w:rsidR="00B15C1A" w:rsidRPr="00A062BD">
        <w:rPr>
          <w:rFonts w:cs="Arial"/>
          <w:i/>
          <w:szCs w:val="24"/>
        </w:rPr>
        <w:t xml:space="preserve"> </w:t>
      </w:r>
      <w:r w:rsidR="004711D0" w:rsidRPr="00A062BD">
        <w:rPr>
          <w:rFonts w:cs="Arial"/>
          <w:szCs w:val="24"/>
        </w:rPr>
        <w:t xml:space="preserve">the court held that it is settled law that every party to a binding contract who is ready to carry out its own </w:t>
      </w:r>
      <w:proofErr w:type="gramStart"/>
      <w:r w:rsidR="004711D0" w:rsidRPr="00A062BD">
        <w:rPr>
          <w:rFonts w:cs="Arial"/>
          <w:szCs w:val="24"/>
        </w:rPr>
        <w:t>obligations  under</w:t>
      </w:r>
      <w:proofErr w:type="gramEnd"/>
      <w:r w:rsidR="004711D0" w:rsidRPr="00A062BD">
        <w:rPr>
          <w:rFonts w:cs="Arial"/>
          <w:szCs w:val="24"/>
        </w:rPr>
        <w:t xml:space="preserve"> it has a right to demand  from the other party, performance of that other party’</w:t>
      </w:r>
      <w:r w:rsidR="00C121BE" w:rsidRPr="00A062BD">
        <w:rPr>
          <w:rFonts w:cs="Arial"/>
          <w:szCs w:val="24"/>
        </w:rPr>
        <w:t>s obligations in terms of the contract.</w:t>
      </w:r>
    </w:p>
    <w:p w14:paraId="45B8DBA5" w14:textId="77777777" w:rsidR="00965456" w:rsidRPr="00A062BD" w:rsidRDefault="00C121BE" w:rsidP="00636605">
      <w:pPr>
        <w:pStyle w:val="1"/>
        <w:rPr>
          <w:rFonts w:cs="Arial"/>
          <w:szCs w:val="24"/>
          <w:u w:val="single"/>
        </w:rPr>
      </w:pPr>
      <w:r w:rsidRPr="00A062BD">
        <w:rPr>
          <w:rFonts w:cs="Arial"/>
          <w:szCs w:val="24"/>
          <w:u w:val="single"/>
        </w:rPr>
        <w:t>Analysis</w:t>
      </w:r>
      <w:r w:rsidR="004711D0" w:rsidRPr="00A062BD">
        <w:rPr>
          <w:rFonts w:cs="Arial"/>
          <w:szCs w:val="24"/>
          <w:u w:val="single"/>
        </w:rPr>
        <w:t xml:space="preserve">  </w:t>
      </w:r>
    </w:p>
    <w:p w14:paraId="5FCF3151" w14:textId="77777777" w:rsidR="00636605" w:rsidRPr="00A062BD" w:rsidRDefault="00C121BE" w:rsidP="00C121BE">
      <w:pPr>
        <w:pStyle w:val="1"/>
        <w:rPr>
          <w:rFonts w:cs="Arial"/>
          <w:szCs w:val="24"/>
        </w:rPr>
      </w:pPr>
      <w:r w:rsidRPr="00A062BD">
        <w:rPr>
          <w:rFonts w:cs="Arial"/>
          <w:szCs w:val="24"/>
        </w:rPr>
        <w:t>[29] It has</w:t>
      </w:r>
      <w:r w:rsidR="007463A2" w:rsidRPr="00A062BD">
        <w:rPr>
          <w:rFonts w:cs="Arial"/>
          <w:szCs w:val="24"/>
        </w:rPr>
        <w:t xml:space="preserve"> not been disputed that the applicant</w:t>
      </w:r>
      <w:r w:rsidR="00172843" w:rsidRPr="00A062BD">
        <w:rPr>
          <w:rFonts w:cs="Arial"/>
          <w:szCs w:val="24"/>
        </w:rPr>
        <w:t xml:space="preserve"> paid off the bond on 22 April 2021, which is the fulfilmen</w:t>
      </w:r>
      <w:r w:rsidR="00636605" w:rsidRPr="00A062BD">
        <w:rPr>
          <w:rFonts w:cs="Arial"/>
          <w:szCs w:val="24"/>
        </w:rPr>
        <w:t xml:space="preserve">t of the suspensive condition </w:t>
      </w:r>
      <w:r w:rsidR="00822647" w:rsidRPr="00A062BD">
        <w:rPr>
          <w:rFonts w:cs="Arial"/>
          <w:szCs w:val="24"/>
        </w:rPr>
        <w:t>for the transfer of ownership. F</w:t>
      </w:r>
      <w:r w:rsidR="00636605" w:rsidRPr="00A062BD">
        <w:rPr>
          <w:rFonts w:cs="Arial"/>
          <w:szCs w:val="24"/>
        </w:rPr>
        <w:t>irst and second respondents have failed to make any offer in compliance with clause 8.2 of the agreement.</w:t>
      </w:r>
    </w:p>
    <w:p w14:paraId="2AA3CB3E" w14:textId="77777777" w:rsidR="00C121BE" w:rsidRPr="00A062BD" w:rsidRDefault="00636605" w:rsidP="00C121BE">
      <w:pPr>
        <w:pStyle w:val="1"/>
        <w:rPr>
          <w:rFonts w:cs="Arial"/>
          <w:szCs w:val="24"/>
        </w:rPr>
      </w:pPr>
      <w:r w:rsidRPr="00A062BD">
        <w:rPr>
          <w:rFonts w:cs="Arial"/>
          <w:szCs w:val="24"/>
        </w:rPr>
        <w:t>[30</w:t>
      </w:r>
      <w:proofErr w:type="gramStart"/>
      <w:r w:rsidRPr="00A062BD">
        <w:rPr>
          <w:rFonts w:cs="Arial"/>
          <w:szCs w:val="24"/>
        </w:rPr>
        <w:t>]  In</w:t>
      </w:r>
      <w:proofErr w:type="gramEnd"/>
      <w:r w:rsidRPr="00A062BD">
        <w:rPr>
          <w:rFonts w:cs="Arial"/>
          <w:szCs w:val="24"/>
        </w:rPr>
        <w:t xml:space="preserve"> </w:t>
      </w:r>
      <w:r w:rsidRPr="00A062BD">
        <w:rPr>
          <w:rFonts w:cs="Arial"/>
          <w:i/>
          <w:szCs w:val="24"/>
        </w:rPr>
        <w:t xml:space="preserve">Jooma and Another v </w:t>
      </w:r>
      <w:proofErr w:type="spellStart"/>
      <w:r w:rsidRPr="00A062BD">
        <w:rPr>
          <w:rFonts w:cs="Arial"/>
          <w:i/>
          <w:szCs w:val="24"/>
        </w:rPr>
        <w:t>Sekgetho</w:t>
      </w:r>
      <w:proofErr w:type="spellEnd"/>
      <w:r w:rsidRPr="00A062BD">
        <w:rPr>
          <w:rFonts w:cs="Arial"/>
          <w:i/>
          <w:szCs w:val="24"/>
        </w:rPr>
        <w:t xml:space="preserve"> and Another</w:t>
      </w:r>
      <w:r w:rsidRPr="00A062BD">
        <w:rPr>
          <w:rStyle w:val="FootnoteReference"/>
          <w:rFonts w:cs="Arial"/>
          <w:i/>
          <w:szCs w:val="24"/>
        </w:rPr>
        <w:footnoteReference w:id="4"/>
      </w:r>
      <w:r w:rsidRPr="00A062BD">
        <w:rPr>
          <w:rFonts w:cs="Arial"/>
          <w:szCs w:val="24"/>
        </w:rPr>
        <w:t xml:space="preserve">  the</w:t>
      </w:r>
      <w:r w:rsidR="00BB00D6" w:rsidRPr="00A062BD">
        <w:rPr>
          <w:rFonts w:cs="Arial"/>
          <w:szCs w:val="24"/>
        </w:rPr>
        <w:t xml:space="preserve"> court summarised the issue of sale of land as follows: no sale of land will be of any force and effect unless it </w:t>
      </w:r>
      <w:r w:rsidR="00BB00D6" w:rsidRPr="00A062BD">
        <w:rPr>
          <w:rFonts w:cs="Arial"/>
          <w:szCs w:val="24"/>
        </w:rPr>
        <w:lastRenderedPageBreak/>
        <w:t>is contained in a written deed of alienation signed by the parties or by their agents acting under their written authority.</w:t>
      </w:r>
    </w:p>
    <w:p w14:paraId="68B8C2B1" w14:textId="77777777" w:rsidR="00BB00D6" w:rsidRPr="00A062BD" w:rsidRDefault="00BB00D6" w:rsidP="00C121BE">
      <w:pPr>
        <w:pStyle w:val="1"/>
        <w:rPr>
          <w:rFonts w:cs="Arial"/>
          <w:szCs w:val="24"/>
        </w:rPr>
      </w:pPr>
      <w:r w:rsidRPr="00A062BD">
        <w:rPr>
          <w:rFonts w:cs="Arial"/>
          <w:szCs w:val="24"/>
        </w:rPr>
        <w:t>[31] In paragraph 15 the court stated that the agreement between the parties had been in writing and signed by the parties and accordingly complied with the Act. The parties to the sale were identified as well as the immovable property subject to the sale and the purchase price. The sale agreement had similarly been validly concluded in the present case and the first and second respondents had not put up any facts that would lead to a different conclusion.</w:t>
      </w:r>
    </w:p>
    <w:p w14:paraId="1311F0D9" w14:textId="77777777" w:rsidR="00BB00D6" w:rsidRPr="00A062BD" w:rsidRDefault="00BB00D6" w:rsidP="00C121BE">
      <w:pPr>
        <w:pStyle w:val="1"/>
        <w:rPr>
          <w:rFonts w:cs="Arial"/>
          <w:szCs w:val="24"/>
        </w:rPr>
      </w:pPr>
      <w:r w:rsidRPr="00A062BD">
        <w:rPr>
          <w:rFonts w:cs="Arial"/>
          <w:szCs w:val="24"/>
        </w:rPr>
        <w:t xml:space="preserve">[32] In </w:t>
      </w:r>
      <w:r w:rsidRPr="00A062BD">
        <w:rPr>
          <w:rFonts w:cs="Arial"/>
          <w:i/>
          <w:szCs w:val="24"/>
        </w:rPr>
        <w:t>Jooma</w:t>
      </w:r>
      <w:r w:rsidR="00822647" w:rsidRPr="00A062BD">
        <w:rPr>
          <w:rFonts w:cs="Arial"/>
          <w:i/>
          <w:szCs w:val="24"/>
        </w:rPr>
        <w:t xml:space="preserve"> (sup</w:t>
      </w:r>
      <w:r w:rsidR="00406535" w:rsidRPr="00A062BD">
        <w:rPr>
          <w:rFonts w:cs="Arial"/>
          <w:i/>
          <w:szCs w:val="24"/>
        </w:rPr>
        <w:t>r</w:t>
      </w:r>
      <w:r w:rsidR="00822647" w:rsidRPr="00A062BD">
        <w:rPr>
          <w:rFonts w:cs="Arial"/>
          <w:i/>
          <w:szCs w:val="24"/>
        </w:rPr>
        <w:t>a)</w:t>
      </w:r>
      <w:r w:rsidR="00FE2778" w:rsidRPr="00A062BD">
        <w:rPr>
          <w:rFonts w:cs="Arial"/>
          <w:szCs w:val="24"/>
        </w:rPr>
        <w:t xml:space="preserve"> the court </w:t>
      </w:r>
      <w:r w:rsidR="00B26B8D" w:rsidRPr="00A062BD">
        <w:rPr>
          <w:rFonts w:cs="Arial"/>
          <w:szCs w:val="24"/>
        </w:rPr>
        <w:t>stated that</w:t>
      </w:r>
      <w:r w:rsidR="00FE2778" w:rsidRPr="00A062BD">
        <w:rPr>
          <w:rFonts w:cs="Arial"/>
          <w:szCs w:val="24"/>
        </w:rPr>
        <w:t xml:space="preserve"> the applicants had alleged and proved the terms of the </w:t>
      </w:r>
      <w:r w:rsidR="00B26B8D" w:rsidRPr="00A062BD">
        <w:rPr>
          <w:rFonts w:cs="Arial"/>
          <w:szCs w:val="24"/>
        </w:rPr>
        <w:t>contract.</w:t>
      </w:r>
      <w:r w:rsidR="00FE2778" w:rsidRPr="00A062BD">
        <w:rPr>
          <w:rFonts w:cs="Arial"/>
          <w:szCs w:val="24"/>
        </w:rPr>
        <w:t xml:space="preserve"> They had complied with their reciprocal obligation and the respondent had refused to perform in terms of the contract. Similarly, the applicants had requested the first and second respondent to repay them the monies they had expended to save the property from being sold in execution.</w:t>
      </w:r>
      <w:r w:rsidR="00391344" w:rsidRPr="00A062BD">
        <w:rPr>
          <w:rFonts w:cs="Arial"/>
          <w:szCs w:val="24"/>
        </w:rPr>
        <w:t xml:space="preserve"> The respondents had refused to recompense the </w:t>
      </w:r>
      <w:proofErr w:type="gramStart"/>
      <w:r w:rsidR="00391344" w:rsidRPr="00A062BD">
        <w:rPr>
          <w:rFonts w:cs="Arial"/>
          <w:szCs w:val="24"/>
        </w:rPr>
        <w:t>applicants</w:t>
      </w:r>
      <w:proofErr w:type="gramEnd"/>
      <w:r w:rsidR="00391344" w:rsidRPr="00A062BD">
        <w:rPr>
          <w:rFonts w:cs="Arial"/>
          <w:szCs w:val="24"/>
        </w:rPr>
        <w:t xml:space="preserve"> and this was in breach of the agreement.</w:t>
      </w:r>
    </w:p>
    <w:p w14:paraId="32516191" w14:textId="77777777" w:rsidR="009757F3" w:rsidRPr="00A062BD" w:rsidRDefault="00391344" w:rsidP="00C121BE">
      <w:pPr>
        <w:pStyle w:val="1"/>
        <w:rPr>
          <w:rFonts w:cs="Arial"/>
          <w:szCs w:val="24"/>
        </w:rPr>
      </w:pPr>
      <w:r w:rsidRPr="00A062BD">
        <w:rPr>
          <w:rFonts w:cs="Arial"/>
          <w:szCs w:val="24"/>
        </w:rPr>
        <w:t xml:space="preserve">[33] In paragraph 17 of </w:t>
      </w:r>
      <w:r w:rsidRPr="00A062BD">
        <w:rPr>
          <w:rFonts w:cs="Arial"/>
          <w:i/>
          <w:szCs w:val="24"/>
        </w:rPr>
        <w:t>Jooma</w:t>
      </w:r>
      <w:r w:rsidRPr="00A062BD">
        <w:rPr>
          <w:rFonts w:cs="Arial"/>
          <w:szCs w:val="24"/>
        </w:rPr>
        <w:t xml:space="preserve"> the court stated that the first respondent was clearly in breach of the contract and that an injured party to a contract who has </w:t>
      </w:r>
      <w:r w:rsidR="009757F3" w:rsidRPr="00A062BD">
        <w:rPr>
          <w:rFonts w:cs="Arial"/>
          <w:szCs w:val="24"/>
        </w:rPr>
        <w:t>performed his</w:t>
      </w:r>
      <w:r w:rsidRPr="00A062BD">
        <w:rPr>
          <w:rFonts w:cs="Arial"/>
          <w:szCs w:val="24"/>
        </w:rPr>
        <w:t xml:space="preserve"> obligation has a right to demand performance of the other contracting party’s obligations</w:t>
      </w:r>
      <w:r w:rsidR="009757F3" w:rsidRPr="00A062BD">
        <w:rPr>
          <w:rFonts w:cs="Arial"/>
          <w:szCs w:val="24"/>
        </w:rPr>
        <w:t xml:space="preserve"> and that a court will, as far as possible, give effect to the applicant’s choice to claim specific performance.</w:t>
      </w:r>
    </w:p>
    <w:p w14:paraId="7718BC02" w14:textId="77777777" w:rsidR="009757F3" w:rsidRPr="00A062BD" w:rsidRDefault="009757F3" w:rsidP="00C121BE">
      <w:pPr>
        <w:pStyle w:val="1"/>
        <w:rPr>
          <w:rFonts w:cs="Arial"/>
          <w:szCs w:val="24"/>
        </w:rPr>
      </w:pPr>
      <w:r w:rsidRPr="00A062BD">
        <w:rPr>
          <w:rFonts w:cs="Arial"/>
          <w:szCs w:val="24"/>
        </w:rPr>
        <w:t>[34] The facts in</w:t>
      </w:r>
      <w:r w:rsidR="00B26B8D">
        <w:rPr>
          <w:rFonts w:cs="Arial"/>
          <w:i/>
          <w:szCs w:val="24"/>
        </w:rPr>
        <w:t xml:space="preserve"> Joo</w:t>
      </w:r>
      <w:r w:rsidRPr="00A062BD">
        <w:rPr>
          <w:rFonts w:cs="Arial"/>
          <w:i/>
          <w:szCs w:val="24"/>
        </w:rPr>
        <w:t>ma’s</w:t>
      </w:r>
      <w:r w:rsidR="006F5932" w:rsidRPr="00A062BD">
        <w:rPr>
          <w:rFonts w:cs="Arial"/>
          <w:szCs w:val="24"/>
        </w:rPr>
        <w:t xml:space="preserve"> case mirror</w:t>
      </w:r>
      <w:r w:rsidRPr="00A062BD">
        <w:rPr>
          <w:rFonts w:cs="Arial"/>
          <w:szCs w:val="24"/>
        </w:rPr>
        <w:t xml:space="preserve"> the facts in the present application and </w:t>
      </w:r>
      <w:r w:rsidR="006F5932" w:rsidRPr="00A062BD">
        <w:rPr>
          <w:rFonts w:cs="Arial"/>
          <w:szCs w:val="24"/>
        </w:rPr>
        <w:t>it ought</w:t>
      </w:r>
      <w:r w:rsidRPr="00A062BD">
        <w:rPr>
          <w:rFonts w:cs="Arial"/>
          <w:szCs w:val="24"/>
        </w:rPr>
        <w:t xml:space="preserve"> not to be treated differently. </w:t>
      </w:r>
    </w:p>
    <w:p w14:paraId="0AF18BBF" w14:textId="77777777" w:rsidR="009757F3" w:rsidRPr="00A062BD" w:rsidRDefault="009757F3" w:rsidP="00C121BE">
      <w:pPr>
        <w:pStyle w:val="1"/>
        <w:rPr>
          <w:rFonts w:cs="Arial"/>
          <w:szCs w:val="24"/>
        </w:rPr>
      </w:pPr>
      <w:r w:rsidRPr="00A062BD">
        <w:rPr>
          <w:rFonts w:cs="Arial"/>
          <w:szCs w:val="24"/>
        </w:rPr>
        <w:lastRenderedPageBreak/>
        <w:t>[35] The court in</w:t>
      </w:r>
      <w:r w:rsidRPr="00A062BD">
        <w:rPr>
          <w:rFonts w:cs="Arial"/>
          <w:i/>
          <w:szCs w:val="24"/>
        </w:rPr>
        <w:t xml:space="preserve"> Jooma</w:t>
      </w:r>
      <w:r w:rsidRPr="00A062BD">
        <w:rPr>
          <w:rFonts w:cs="Arial"/>
          <w:szCs w:val="24"/>
        </w:rPr>
        <w:t xml:space="preserve"> went on to quote </w:t>
      </w:r>
      <w:r w:rsidRPr="00A062BD">
        <w:rPr>
          <w:rFonts w:cs="Arial"/>
          <w:i/>
          <w:szCs w:val="24"/>
        </w:rPr>
        <w:t>Farmer’s Society (Reg) V Berry</w:t>
      </w:r>
      <w:r w:rsidR="006F5932" w:rsidRPr="00A062BD">
        <w:rPr>
          <w:rFonts w:cs="Arial"/>
          <w:szCs w:val="24"/>
        </w:rPr>
        <w:t xml:space="preserve"> w</w:t>
      </w:r>
      <w:r w:rsidRPr="00A062BD">
        <w:rPr>
          <w:rFonts w:cs="Arial"/>
          <w:szCs w:val="24"/>
        </w:rPr>
        <w:t xml:space="preserve">here Innes JA stated thus </w:t>
      </w:r>
      <w:r w:rsidR="00F97D62" w:rsidRPr="00A062BD">
        <w:rPr>
          <w:rFonts w:cs="Arial"/>
          <w:szCs w:val="24"/>
        </w:rPr>
        <w:t>“prima f</w:t>
      </w:r>
      <w:r w:rsidRPr="00A062BD">
        <w:rPr>
          <w:rFonts w:cs="Arial"/>
          <w:szCs w:val="24"/>
        </w:rPr>
        <w:t>acie every party to a binding agreement who is ready to carry out his obligation</w:t>
      </w:r>
      <w:r w:rsidR="001541DA" w:rsidRPr="00A062BD">
        <w:rPr>
          <w:rFonts w:cs="Arial"/>
          <w:szCs w:val="24"/>
        </w:rPr>
        <w:t xml:space="preserve"> under it has a right to demand from the other party, so far as it is possible, a performance of his undertaking in terms of the contract. As remarked by Kotze C.J, in Thomason vs Pullinger (1 O.R, at p301) </w:t>
      </w:r>
      <w:r w:rsidR="00C20ED8" w:rsidRPr="00A062BD">
        <w:rPr>
          <w:rFonts w:cs="Arial"/>
          <w:szCs w:val="24"/>
        </w:rPr>
        <w:t>“the</w:t>
      </w:r>
      <w:r w:rsidR="001541DA" w:rsidRPr="00A062BD">
        <w:rPr>
          <w:rFonts w:cs="Arial"/>
          <w:szCs w:val="24"/>
        </w:rPr>
        <w:t xml:space="preserve"> right of a plaintiff to the specific performance of a contract where the defendant is in a position to do so is </w:t>
      </w:r>
      <w:r w:rsidR="00EB6432" w:rsidRPr="00A062BD">
        <w:rPr>
          <w:rFonts w:cs="Arial"/>
          <w:szCs w:val="24"/>
        </w:rPr>
        <w:t>beyond all</w:t>
      </w:r>
      <w:r w:rsidRPr="00A062BD">
        <w:rPr>
          <w:rFonts w:cs="Arial"/>
          <w:szCs w:val="24"/>
        </w:rPr>
        <w:t xml:space="preserve"> </w:t>
      </w:r>
      <w:r w:rsidR="00E0266A" w:rsidRPr="00A062BD">
        <w:rPr>
          <w:rFonts w:cs="Arial"/>
          <w:szCs w:val="24"/>
        </w:rPr>
        <w:t xml:space="preserve">doubt.” It is true that courts will exercise discretion in determining </w:t>
      </w:r>
      <w:proofErr w:type="gramStart"/>
      <w:r w:rsidR="00E0266A" w:rsidRPr="00A062BD">
        <w:rPr>
          <w:rFonts w:cs="Arial"/>
          <w:szCs w:val="24"/>
        </w:rPr>
        <w:t>whether or not</w:t>
      </w:r>
      <w:proofErr w:type="gramEnd"/>
      <w:r w:rsidR="00E0266A" w:rsidRPr="00A062BD">
        <w:rPr>
          <w:rFonts w:cs="Arial"/>
          <w:szCs w:val="24"/>
        </w:rPr>
        <w:t xml:space="preserve"> decree of specific performance should be made……</w:t>
      </w:r>
      <w:r w:rsidR="006F5932" w:rsidRPr="00A062BD">
        <w:rPr>
          <w:rFonts w:cs="Arial"/>
          <w:szCs w:val="24"/>
        </w:rPr>
        <w:t>”</w:t>
      </w:r>
    </w:p>
    <w:p w14:paraId="6F8ACAF7" w14:textId="77777777" w:rsidR="00E0266A" w:rsidRPr="00A062BD" w:rsidRDefault="00E0266A" w:rsidP="00C121BE">
      <w:pPr>
        <w:pStyle w:val="1"/>
        <w:rPr>
          <w:rFonts w:cs="Arial"/>
          <w:szCs w:val="24"/>
        </w:rPr>
      </w:pPr>
      <w:r w:rsidRPr="00A062BD">
        <w:rPr>
          <w:rFonts w:cs="Arial"/>
          <w:szCs w:val="24"/>
        </w:rPr>
        <w:t xml:space="preserve">[36] </w:t>
      </w:r>
      <w:r w:rsidR="000F432D" w:rsidRPr="00A062BD">
        <w:rPr>
          <w:rFonts w:cs="Arial"/>
          <w:szCs w:val="24"/>
        </w:rPr>
        <w:t xml:space="preserve">The applicants are the aggrieved parties. In </w:t>
      </w:r>
      <w:r w:rsidR="000F432D" w:rsidRPr="00A062BD">
        <w:rPr>
          <w:rFonts w:cs="Arial"/>
          <w:i/>
          <w:szCs w:val="24"/>
        </w:rPr>
        <w:t>Tamryn Manor v Stand 1192 Johannesburg</w:t>
      </w:r>
      <w:r w:rsidR="000F432D" w:rsidRPr="00A062BD">
        <w:rPr>
          <w:rStyle w:val="FootnoteReference"/>
          <w:rFonts w:cs="Arial"/>
          <w:szCs w:val="24"/>
        </w:rPr>
        <w:footnoteReference w:id="5"/>
      </w:r>
      <w:r w:rsidR="000F432D" w:rsidRPr="00A062BD">
        <w:rPr>
          <w:rFonts w:cs="Arial"/>
          <w:szCs w:val="24"/>
        </w:rPr>
        <w:t xml:space="preserve"> the court ruled that </w:t>
      </w:r>
      <w:r w:rsidR="000F432D" w:rsidRPr="00A062BD">
        <w:rPr>
          <w:rFonts w:cs="Arial"/>
          <w:i/>
          <w:szCs w:val="24"/>
        </w:rPr>
        <w:t>ex facie</w:t>
      </w:r>
      <w:r w:rsidR="000F432D" w:rsidRPr="00A062BD">
        <w:rPr>
          <w:rFonts w:cs="Arial"/>
          <w:szCs w:val="24"/>
        </w:rPr>
        <w:t xml:space="preserve"> the written agreement, all the statutory requirements set out in section 2(1) of the Alienation of Land Act had been</w:t>
      </w:r>
      <w:r w:rsidR="000E11B7" w:rsidRPr="00A062BD">
        <w:rPr>
          <w:rFonts w:cs="Arial"/>
          <w:szCs w:val="24"/>
        </w:rPr>
        <w:t xml:space="preserve"> met and </w:t>
      </w:r>
      <w:r w:rsidR="006F5932" w:rsidRPr="00A062BD">
        <w:rPr>
          <w:rFonts w:cs="Arial"/>
          <w:szCs w:val="24"/>
        </w:rPr>
        <w:t xml:space="preserve">that </w:t>
      </w:r>
      <w:r w:rsidR="000E11B7" w:rsidRPr="00A062BD">
        <w:rPr>
          <w:rFonts w:cs="Arial"/>
          <w:szCs w:val="24"/>
        </w:rPr>
        <w:t xml:space="preserve">the agreement was formally </w:t>
      </w:r>
      <w:r w:rsidR="003515BC" w:rsidRPr="00A062BD">
        <w:rPr>
          <w:rFonts w:cs="Arial"/>
          <w:szCs w:val="24"/>
        </w:rPr>
        <w:t>valid.</w:t>
      </w:r>
    </w:p>
    <w:p w14:paraId="3A9968DB" w14:textId="77777777" w:rsidR="00062EE1" w:rsidRPr="00A062BD" w:rsidRDefault="003515BC" w:rsidP="00C121BE">
      <w:pPr>
        <w:pStyle w:val="1"/>
        <w:rPr>
          <w:rFonts w:cs="Arial"/>
          <w:szCs w:val="24"/>
        </w:rPr>
      </w:pPr>
      <w:r w:rsidRPr="00A062BD">
        <w:rPr>
          <w:rFonts w:cs="Arial"/>
          <w:szCs w:val="24"/>
        </w:rPr>
        <w:t xml:space="preserve">[37] In </w:t>
      </w:r>
      <w:r w:rsidRPr="00A062BD">
        <w:rPr>
          <w:rFonts w:cs="Arial"/>
          <w:i/>
          <w:szCs w:val="24"/>
        </w:rPr>
        <w:t>Legator Mckenna Inc &amp; Another v Shea &amp; Others</w:t>
      </w:r>
      <w:r w:rsidRPr="00A062BD">
        <w:rPr>
          <w:rStyle w:val="FootnoteReference"/>
          <w:rFonts w:cs="Arial"/>
          <w:szCs w:val="24"/>
        </w:rPr>
        <w:footnoteReference w:id="6"/>
      </w:r>
      <w:r w:rsidRPr="00A062BD">
        <w:rPr>
          <w:rFonts w:cs="Arial"/>
          <w:i/>
          <w:szCs w:val="24"/>
        </w:rPr>
        <w:t xml:space="preserve"> </w:t>
      </w:r>
      <w:r w:rsidRPr="00A062BD">
        <w:rPr>
          <w:rFonts w:cs="Arial"/>
          <w:szCs w:val="24"/>
        </w:rPr>
        <w:t>Brand JA wri</w:t>
      </w:r>
      <w:r w:rsidR="00062EE1" w:rsidRPr="00A062BD">
        <w:rPr>
          <w:rFonts w:cs="Arial"/>
          <w:szCs w:val="24"/>
        </w:rPr>
        <w:t xml:space="preserve">ting for the court referred to what he termed as a ‘real agreement’ which he explained as follows ‘the essential elements of the real agreement are an </w:t>
      </w:r>
      <w:r w:rsidR="006F5932" w:rsidRPr="00A062BD">
        <w:rPr>
          <w:rFonts w:cs="Arial"/>
          <w:szCs w:val="24"/>
        </w:rPr>
        <w:t>intention on the part of the transferor’ to transfer</w:t>
      </w:r>
      <w:r w:rsidR="00062EE1" w:rsidRPr="00A062BD">
        <w:rPr>
          <w:rFonts w:cs="Arial"/>
          <w:szCs w:val="24"/>
        </w:rPr>
        <w:t xml:space="preserve"> ownership and intention on the part of </w:t>
      </w:r>
      <w:r w:rsidR="006F5932" w:rsidRPr="00A062BD">
        <w:rPr>
          <w:rFonts w:cs="Arial"/>
          <w:szCs w:val="24"/>
        </w:rPr>
        <w:t xml:space="preserve">the </w:t>
      </w:r>
      <w:r w:rsidR="00062EE1" w:rsidRPr="00A062BD">
        <w:rPr>
          <w:rFonts w:cs="Arial"/>
          <w:szCs w:val="24"/>
        </w:rPr>
        <w:t>transferee to become the owner of the property.</w:t>
      </w:r>
    </w:p>
    <w:p w14:paraId="2A586E9B" w14:textId="77777777" w:rsidR="00062EE1" w:rsidRPr="00A062BD" w:rsidRDefault="00062EE1" w:rsidP="00C121BE">
      <w:pPr>
        <w:pStyle w:val="1"/>
        <w:rPr>
          <w:rFonts w:cs="Arial"/>
          <w:szCs w:val="24"/>
        </w:rPr>
      </w:pPr>
      <w:r w:rsidRPr="00A062BD">
        <w:rPr>
          <w:rFonts w:cs="Arial"/>
          <w:szCs w:val="24"/>
        </w:rPr>
        <w:t>[38] Essentially the home-exchange was two agreements between the same parties involving the first property which is the subject of this application and the second property which was due for transfer to the respondents.</w:t>
      </w:r>
    </w:p>
    <w:p w14:paraId="1D97EA01" w14:textId="77777777" w:rsidR="006E37C3" w:rsidRPr="00A062BD" w:rsidRDefault="00062EE1" w:rsidP="00C121BE">
      <w:pPr>
        <w:pStyle w:val="1"/>
        <w:rPr>
          <w:rFonts w:cs="Arial"/>
          <w:szCs w:val="24"/>
        </w:rPr>
      </w:pPr>
      <w:r w:rsidRPr="00A062BD">
        <w:rPr>
          <w:rFonts w:cs="Arial"/>
          <w:szCs w:val="24"/>
        </w:rPr>
        <w:lastRenderedPageBreak/>
        <w:t>[39] The agr</w:t>
      </w:r>
      <w:r w:rsidR="006F5932" w:rsidRPr="00A062BD">
        <w:rPr>
          <w:rFonts w:cs="Arial"/>
          <w:szCs w:val="24"/>
        </w:rPr>
        <w:t>eement</w:t>
      </w:r>
      <w:r w:rsidRPr="00A062BD">
        <w:rPr>
          <w:rFonts w:cs="Arial"/>
          <w:szCs w:val="24"/>
        </w:rPr>
        <w:t xml:space="preserve"> was a contract of sale as defined in the Alienation of Land Act. It was a consensual agreement through which one of the contracting parties (the </w:t>
      </w:r>
      <w:r w:rsidR="006E37C3" w:rsidRPr="00A062BD">
        <w:rPr>
          <w:rFonts w:cs="Arial"/>
          <w:szCs w:val="24"/>
        </w:rPr>
        <w:t xml:space="preserve">seller) bound itself to the other (the buyer) to exchange a thing for a definite some of money (the price) which the buyer promised to pay to the seller. </w:t>
      </w:r>
    </w:p>
    <w:p w14:paraId="67F8FCF5" w14:textId="77777777" w:rsidR="003515BC" w:rsidRPr="00A062BD" w:rsidRDefault="006E37C3" w:rsidP="00C121BE">
      <w:pPr>
        <w:pStyle w:val="1"/>
        <w:rPr>
          <w:rFonts w:cs="Arial"/>
          <w:szCs w:val="24"/>
        </w:rPr>
      </w:pPr>
      <w:r w:rsidRPr="00A062BD">
        <w:rPr>
          <w:rFonts w:cs="Arial"/>
          <w:szCs w:val="24"/>
        </w:rPr>
        <w:t xml:space="preserve">[40] It is trite that the essentials of a contract are the </w:t>
      </w:r>
      <w:proofErr w:type="spellStart"/>
      <w:r w:rsidRPr="00A062BD">
        <w:rPr>
          <w:rFonts w:cs="Arial"/>
          <w:szCs w:val="24"/>
        </w:rPr>
        <w:t>merx</w:t>
      </w:r>
      <w:proofErr w:type="spellEnd"/>
      <w:r w:rsidRPr="00A062BD">
        <w:rPr>
          <w:rFonts w:cs="Arial"/>
          <w:szCs w:val="24"/>
        </w:rPr>
        <w:t xml:space="preserve">, the price and the obligation of the seller to deliver the </w:t>
      </w:r>
      <w:proofErr w:type="spellStart"/>
      <w:r w:rsidRPr="00A062BD">
        <w:rPr>
          <w:rFonts w:cs="Arial"/>
          <w:szCs w:val="24"/>
        </w:rPr>
        <w:t>merx</w:t>
      </w:r>
      <w:proofErr w:type="spellEnd"/>
      <w:r w:rsidRPr="00A062BD">
        <w:rPr>
          <w:rFonts w:cs="Arial"/>
          <w:szCs w:val="24"/>
        </w:rPr>
        <w:t xml:space="preserve"> to the buyer.</w:t>
      </w:r>
    </w:p>
    <w:p w14:paraId="560D1F9D" w14:textId="77777777" w:rsidR="006E37C3" w:rsidRPr="00A062BD" w:rsidRDefault="006E37C3" w:rsidP="00C121BE">
      <w:pPr>
        <w:pStyle w:val="1"/>
        <w:rPr>
          <w:rFonts w:cs="Arial"/>
          <w:szCs w:val="24"/>
        </w:rPr>
      </w:pPr>
      <w:r w:rsidRPr="00A062BD">
        <w:rPr>
          <w:rFonts w:cs="Arial"/>
          <w:szCs w:val="24"/>
        </w:rPr>
        <w:t>[41</w:t>
      </w:r>
      <w:r w:rsidR="002B4865" w:rsidRPr="00A062BD">
        <w:rPr>
          <w:rFonts w:cs="Arial"/>
          <w:szCs w:val="24"/>
        </w:rPr>
        <w:t>] It</w:t>
      </w:r>
      <w:r w:rsidRPr="00A062BD">
        <w:rPr>
          <w:rFonts w:cs="Arial"/>
          <w:szCs w:val="24"/>
        </w:rPr>
        <w:t xml:space="preserve"> is true that in the present case parties entered into a home exchange agreement with the intention of transferring ownership to each other of their respective properties. The contract was written and complies with the Act.</w:t>
      </w:r>
      <w:r w:rsidR="002B4865" w:rsidRPr="00A062BD">
        <w:rPr>
          <w:rFonts w:cs="Arial"/>
          <w:szCs w:val="24"/>
        </w:rPr>
        <w:t xml:space="preserve"> What also needs to be noted was that the</w:t>
      </w:r>
      <w:r w:rsidR="00901B7D" w:rsidRPr="00A062BD">
        <w:rPr>
          <w:rFonts w:cs="Arial"/>
          <w:szCs w:val="24"/>
        </w:rPr>
        <w:t xml:space="preserve"> two properties were subjected to two different suspensive conditions. Those conditions we fulfilled </w:t>
      </w:r>
      <w:proofErr w:type="gramStart"/>
      <w:r w:rsidR="00901B7D" w:rsidRPr="00A062BD">
        <w:rPr>
          <w:rFonts w:cs="Arial"/>
          <w:szCs w:val="24"/>
        </w:rPr>
        <w:t>with regard to</w:t>
      </w:r>
      <w:proofErr w:type="gramEnd"/>
      <w:r w:rsidR="00901B7D" w:rsidRPr="00A062BD">
        <w:rPr>
          <w:rFonts w:cs="Arial"/>
          <w:szCs w:val="24"/>
        </w:rPr>
        <w:t xml:space="preserve"> the first property and the applicants could not be deprived of what they were legally entitled to.</w:t>
      </w:r>
    </w:p>
    <w:p w14:paraId="5082B75B" w14:textId="77777777" w:rsidR="00901B7D" w:rsidRPr="00A062BD" w:rsidRDefault="00901B7D" w:rsidP="00C121BE">
      <w:pPr>
        <w:pStyle w:val="1"/>
        <w:rPr>
          <w:rFonts w:cs="Arial"/>
          <w:szCs w:val="24"/>
        </w:rPr>
      </w:pPr>
      <w:r w:rsidRPr="00A062BD">
        <w:rPr>
          <w:rFonts w:cs="Arial"/>
          <w:szCs w:val="24"/>
        </w:rPr>
        <w:t>[42] The submission that the agreement is either voidable or rescindable in terms of the Ali</w:t>
      </w:r>
      <w:r w:rsidR="006F5932" w:rsidRPr="00A062BD">
        <w:rPr>
          <w:rFonts w:cs="Arial"/>
          <w:szCs w:val="24"/>
        </w:rPr>
        <w:t>enation of Land Act or the Housing</w:t>
      </w:r>
      <w:r w:rsidRPr="00A062BD">
        <w:rPr>
          <w:rFonts w:cs="Arial"/>
          <w:szCs w:val="24"/>
        </w:rPr>
        <w:t xml:space="preserve"> Act is legally not </w:t>
      </w:r>
      <w:r w:rsidR="003B6C3A" w:rsidRPr="00A062BD">
        <w:rPr>
          <w:rFonts w:cs="Arial"/>
          <w:szCs w:val="24"/>
        </w:rPr>
        <w:t xml:space="preserve">sustainable.  </w:t>
      </w:r>
    </w:p>
    <w:p w14:paraId="41C0F86C" w14:textId="77777777" w:rsidR="003B6C3A" w:rsidRPr="00A062BD" w:rsidRDefault="003B6C3A" w:rsidP="00C121BE">
      <w:pPr>
        <w:pStyle w:val="1"/>
        <w:rPr>
          <w:rFonts w:cs="Arial"/>
          <w:szCs w:val="24"/>
          <w:u w:val="single"/>
        </w:rPr>
      </w:pPr>
      <w:r w:rsidRPr="00A062BD">
        <w:rPr>
          <w:rFonts w:cs="Arial"/>
          <w:szCs w:val="24"/>
          <w:u w:val="single"/>
        </w:rPr>
        <w:t>The Counterclaim</w:t>
      </w:r>
    </w:p>
    <w:p w14:paraId="23072353" w14:textId="77777777" w:rsidR="003B6C3A" w:rsidRPr="00A062BD" w:rsidRDefault="003B6C3A" w:rsidP="00C121BE">
      <w:pPr>
        <w:pStyle w:val="1"/>
        <w:rPr>
          <w:rFonts w:cs="Arial"/>
          <w:szCs w:val="24"/>
        </w:rPr>
      </w:pPr>
      <w:r w:rsidRPr="00A062BD">
        <w:rPr>
          <w:rFonts w:cs="Arial"/>
          <w:szCs w:val="24"/>
        </w:rPr>
        <w:t>[43]</w:t>
      </w:r>
      <w:r w:rsidR="006F5932" w:rsidRPr="00A062BD">
        <w:rPr>
          <w:rFonts w:cs="Arial"/>
          <w:szCs w:val="24"/>
        </w:rPr>
        <w:t xml:space="preserve"> The fact</w:t>
      </w:r>
      <w:r w:rsidRPr="00A062BD">
        <w:rPr>
          <w:rFonts w:cs="Arial"/>
          <w:szCs w:val="24"/>
        </w:rPr>
        <w:t xml:space="preserve"> of the matter is that in these proceedings there is no material dispute of fact between the parties other than excuses which the respondents put forth to try and avoid their obligations arising out of the Home Exchange Agreement. It is mainly legal consideration</w:t>
      </w:r>
      <w:r w:rsidR="006F5932" w:rsidRPr="00A062BD">
        <w:rPr>
          <w:rFonts w:cs="Arial"/>
          <w:szCs w:val="24"/>
        </w:rPr>
        <w:t>s</w:t>
      </w:r>
      <w:r w:rsidRPr="00A062BD">
        <w:rPr>
          <w:rFonts w:cs="Arial"/>
          <w:szCs w:val="24"/>
        </w:rPr>
        <w:t xml:space="preserve"> that are at issue.</w:t>
      </w:r>
    </w:p>
    <w:p w14:paraId="63E2E3B1" w14:textId="77777777" w:rsidR="003B6C3A" w:rsidRPr="00A062BD" w:rsidRDefault="003B6C3A" w:rsidP="00C121BE">
      <w:pPr>
        <w:pStyle w:val="1"/>
        <w:rPr>
          <w:rFonts w:cs="Arial"/>
          <w:szCs w:val="24"/>
        </w:rPr>
      </w:pPr>
      <w:r w:rsidRPr="00A062BD">
        <w:rPr>
          <w:rFonts w:cs="Arial"/>
          <w:szCs w:val="24"/>
        </w:rPr>
        <w:t>[44] The following facts are common cause between parties:</w:t>
      </w:r>
    </w:p>
    <w:p w14:paraId="1245F484" w14:textId="77777777" w:rsidR="003B6C3A" w:rsidRPr="00A062BD" w:rsidRDefault="003B6C3A" w:rsidP="003B6C3A">
      <w:pPr>
        <w:pStyle w:val="1"/>
        <w:ind w:left="1287"/>
        <w:rPr>
          <w:rFonts w:cs="Arial"/>
          <w:szCs w:val="24"/>
        </w:rPr>
      </w:pPr>
      <w:r w:rsidRPr="00A062BD">
        <w:rPr>
          <w:rFonts w:cs="Arial"/>
          <w:szCs w:val="24"/>
        </w:rPr>
        <w:lastRenderedPageBreak/>
        <w:t xml:space="preserve">44.1 A home Exchange Agreement was concluded between the </w:t>
      </w:r>
      <w:proofErr w:type="gramStart"/>
      <w:r w:rsidRPr="00A062BD">
        <w:rPr>
          <w:rFonts w:cs="Arial"/>
          <w:szCs w:val="24"/>
        </w:rPr>
        <w:t>parties</w:t>
      </w:r>
      <w:proofErr w:type="gramEnd"/>
      <w:r w:rsidRPr="00A062BD">
        <w:rPr>
          <w:rFonts w:cs="Arial"/>
          <w:szCs w:val="24"/>
        </w:rPr>
        <w:t xml:space="preserve"> and this created reciprocal rights and duties between the parties.</w:t>
      </w:r>
    </w:p>
    <w:p w14:paraId="20C21F0E" w14:textId="77777777" w:rsidR="003B6C3A" w:rsidRPr="00A062BD" w:rsidRDefault="003B6C3A" w:rsidP="003B6C3A">
      <w:pPr>
        <w:pStyle w:val="1"/>
        <w:ind w:left="1287"/>
        <w:rPr>
          <w:rFonts w:cs="Arial"/>
          <w:szCs w:val="24"/>
        </w:rPr>
      </w:pPr>
      <w:r w:rsidRPr="00A062BD">
        <w:rPr>
          <w:rFonts w:cs="Arial"/>
          <w:szCs w:val="24"/>
        </w:rPr>
        <w:t>44.2 The applicants paid the arrears owing in</w:t>
      </w:r>
      <w:r w:rsidR="006F5932" w:rsidRPr="00A062BD">
        <w:rPr>
          <w:rFonts w:cs="Arial"/>
          <w:szCs w:val="24"/>
        </w:rPr>
        <w:t xml:space="preserve"> respect of</w:t>
      </w:r>
      <w:r w:rsidRPr="00A062BD">
        <w:rPr>
          <w:rFonts w:cs="Arial"/>
          <w:szCs w:val="24"/>
        </w:rPr>
        <w:t xml:space="preserve"> the bond registered in the names of the first and second respondents and continued to pay the bond until its settlement.</w:t>
      </w:r>
    </w:p>
    <w:p w14:paraId="522E3147" w14:textId="77777777" w:rsidR="003B6C3A" w:rsidRPr="00A062BD" w:rsidRDefault="003B6C3A" w:rsidP="003B6C3A">
      <w:pPr>
        <w:pStyle w:val="1"/>
        <w:ind w:left="1287"/>
        <w:rPr>
          <w:rFonts w:cs="Arial"/>
          <w:szCs w:val="24"/>
        </w:rPr>
      </w:pPr>
      <w:r w:rsidRPr="00A062BD">
        <w:rPr>
          <w:rFonts w:cs="Arial"/>
          <w:szCs w:val="24"/>
        </w:rPr>
        <w:t>44.3 The bond was first registered on 7 May 1998 for a 20 years’ period.</w:t>
      </w:r>
    </w:p>
    <w:p w14:paraId="51255EC9" w14:textId="77777777" w:rsidR="003B6C3A" w:rsidRPr="00A062BD" w:rsidRDefault="003B6C3A" w:rsidP="003B6C3A">
      <w:pPr>
        <w:pStyle w:val="1"/>
        <w:ind w:left="1287"/>
        <w:rPr>
          <w:rFonts w:cs="Arial"/>
          <w:szCs w:val="24"/>
        </w:rPr>
      </w:pPr>
      <w:r w:rsidRPr="00A062BD">
        <w:rPr>
          <w:rFonts w:cs="Arial"/>
          <w:szCs w:val="24"/>
        </w:rPr>
        <w:t>44.4 The first and second respondents vacate</w:t>
      </w:r>
      <w:r w:rsidR="006F5932" w:rsidRPr="00A062BD">
        <w:rPr>
          <w:rFonts w:cs="Arial"/>
          <w:szCs w:val="24"/>
        </w:rPr>
        <w:t>d</w:t>
      </w:r>
      <w:r w:rsidRPr="00A062BD">
        <w:rPr>
          <w:rFonts w:cs="Arial"/>
          <w:szCs w:val="24"/>
        </w:rPr>
        <w:t xml:space="preserve"> the second property before </w:t>
      </w:r>
      <w:r w:rsidR="00E54BDE" w:rsidRPr="00A062BD">
        <w:rPr>
          <w:rFonts w:cs="Arial"/>
          <w:szCs w:val="24"/>
        </w:rPr>
        <w:t>a termination notice was sent to the applicants in terms of the agreement.</w:t>
      </w:r>
    </w:p>
    <w:p w14:paraId="21B237BD" w14:textId="77777777" w:rsidR="00E54BDE" w:rsidRPr="00A062BD" w:rsidRDefault="00E54BDE" w:rsidP="003B6C3A">
      <w:pPr>
        <w:pStyle w:val="1"/>
        <w:ind w:left="1287"/>
        <w:rPr>
          <w:rFonts w:cs="Arial"/>
          <w:szCs w:val="24"/>
        </w:rPr>
      </w:pPr>
      <w:r w:rsidRPr="00A062BD">
        <w:rPr>
          <w:rFonts w:cs="Arial"/>
          <w:szCs w:val="24"/>
        </w:rPr>
        <w:t xml:space="preserve">44.5The parties attempted to resolve the issues arising out of the vacation of the second property through mediation which was not successful. </w:t>
      </w:r>
    </w:p>
    <w:p w14:paraId="4D1104A8" w14:textId="77777777" w:rsidR="00E54BDE" w:rsidRPr="00A062BD" w:rsidRDefault="00E54BDE" w:rsidP="003B6C3A">
      <w:pPr>
        <w:pStyle w:val="1"/>
        <w:ind w:left="1287"/>
        <w:rPr>
          <w:rFonts w:cs="Arial"/>
          <w:szCs w:val="24"/>
        </w:rPr>
      </w:pPr>
      <w:r w:rsidRPr="00A062BD">
        <w:rPr>
          <w:rFonts w:cs="Arial"/>
          <w:szCs w:val="24"/>
        </w:rPr>
        <w:t xml:space="preserve">44.6 The first and second respondents refused or failed to offer any reimbursements of the money paid by the applicants towards the bond and improvements </w:t>
      </w:r>
      <w:r w:rsidR="00842124" w:rsidRPr="00A062BD">
        <w:rPr>
          <w:rFonts w:cs="Arial"/>
          <w:szCs w:val="24"/>
        </w:rPr>
        <w:t>on the first property.</w:t>
      </w:r>
    </w:p>
    <w:p w14:paraId="20EC8750" w14:textId="77777777" w:rsidR="00842124" w:rsidRPr="00A062BD" w:rsidRDefault="00842124" w:rsidP="003B6C3A">
      <w:pPr>
        <w:pStyle w:val="1"/>
        <w:ind w:left="1287"/>
        <w:rPr>
          <w:rFonts w:cs="Arial"/>
          <w:szCs w:val="24"/>
        </w:rPr>
      </w:pPr>
      <w:r w:rsidRPr="00A062BD">
        <w:rPr>
          <w:rFonts w:cs="Arial"/>
          <w:szCs w:val="24"/>
        </w:rPr>
        <w:t>44.7 The first and second respondents informed the applicants that they are selling the fir</w:t>
      </w:r>
      <w:r w:rsidR="006F5932" w:rsidRPr="00A062BD">
        <w:rPr>
          <w:rFonts w:cs="Arial"/>
          <w:szCs w:val="24"/>
        </w:rPr>
        <w:t>st property despite the disputed</w:t>
      </w:r>
      <w:r w:rsidRPr="00A062BD">
        <w:rPr>
          <w:rFonts w:cs="Arial"/>
          <w:szCs w:val="24"/>
        </w:rPr>
        <w:t xml:space="preserve"> termination of the agreement. </w:t>
      </w:r>
    </w:p>
    <w:p w14:paraId="2D0FB938" w14:textId="77777777" w:rsidR="00842124" w:rsidRPr="00A062BD" w:rsidRDefault="00842124" w:rsidP="003B6C3A">
      <w:pPr>
        <w:pStyle w:val="1"/>
        <w:ind w:left="1287"/>
        <w:rPr>
          <w:rFonts w:cs="Arial"/>
          <w:szCs w:val="24"/>
        </w:rPr>
      </w:pPr>
      <w:r w:rsidRPr="00A062BD">
        <w:rPr>
          <w:rFonts w:cs="Arial"/>
          <w:szCs w:val="24"/>
        </w:rPr>
        <w:t>44.8 The dispute regarding the termination of the agreement remains unresolved.</w:t>
      </w:r>
    </w:p>
    <w:p w14:paraId="4F4152D0" w14:textId="77777777" w:rsidR="00842124" w:rsidRPr="00A062BD" w:rsidRDefault="00842124" w:rsidP="00842124">
      <w:pPr>
        <w:pStyle w:val="1"/>
        <w:rPr>
          <w:rFonts w:cs="Arial"/>
          <w:szCs w:val="24"/>
        </w:rPr>
      </w:pPr>
      <w:r w:rsidRPr="00A062BD">
        <w:rPr>
          <w:rFonts w:cs="Arial"/>
          <w:szCs w:val="24"/>
        </w:rPr>
        <w:t xml:space="preserve">[45] Instead of opposing the main application with a clear and </w:t>
      </w:r>
      <w:r w:rsidR="00A10764" w:rsidRPr="00A062BD">
        <w:rPr>
          <w:rFonts w:cs="Arial"/>
          <w:szCs w:val="24"/>
        </w:rPr>
        <w:t>concise</w:t>
      </w:r>
      <w:r w:rsidRPr="00A062BD">
        <w:rPr>
          <w:rFonts w:cs="Arial"/>
          <w:szCs w:val="24"/>
        </w:rPr>
        <w:t xml:space="preserve"> answering affidavit which contradicts </w:t>
      </w:r>
      <w:r w:rsidR="0023054E" w:rsidRPr="00A062BD">
        <w:rPr>
          <w:rFonts w:cs="Arial"/>
          <w:szCs w:val="24"/>
        </w:rPr>
        <w:t>the averment</w:t>
      </w:r>
      <w:r w:rsidRPr="00A062BD">
        <w:rPr>
          <w:rFonts w:cs="Arial"/>
          <w:szCs w:val="24"/>
        </w:rPr>
        <w:t xml:space="preserve"> in the founding affidavit, they chose to file a counter application alleging a dispute of fact without any basis.</w:t>
      </w:r>
    </w:p>
    <w:p w14:paraId="1812DB9E" w14:textId="77777777" w:rsidR="00A10764" w:rsidRPr="00A062BD" w:rsidRDefault="00296C62" w:rsidP="00842124">
      <w:pPr>
        <w:pStyle w:val="1"/>
        <w:rPr>
          <w:rFonts w:cs="Arial"/>
          <w:szCs w:val="24"/>
        </w:rPr>
      </w:pPr>
      <w:r w:rsidRPr="00A062BD">
        <w:rPr>
          <w:rFonts w:cs="Arial"/>
          <w:szCs w:val="24"/>
        </w:rPr>
        <w:lastRenderedPageBreak/>
        <w:t>[46</w:t>
      </w:r>
      <w:r w:rsidR="00842124" w:rsidRPr="00A062BD">
        <w:rPr>
          <w:rFonts w:cs="Arial"/>
          <w:szCs w:val="24"/>
        </w:rPr>
        <w:t xml:space="preserve">] </w:t>
      </w:r>
      <w:r w:rsidR="00842124" w:rsidRPr="00A062BD">
        <w:rPr>
          <w:rFonts w:cs="Arial"/>
          <w:i/>
          <w:szCs w:val="24"/>
        </w:rPr>
        <w:t xml:space="preserve">The </w:t>
      </w:r>
      <w:proofErr w:type="spellStart"/>
      <w:r w:rsidR="00842124" w:rsidRPr="00A062BD">
        <w:rPr>
          <w:rFonts w:cs="Arial"/>
          <w:i/>
          <w:szCs w:val="24"/>
        </w:rPr>
        <w:t>Plascon</w:t>
      </w:r>
      <w:proofErr w:type="spellEnd"/>
      <w:r w:rsidR="00842124" w:rsidRPr="00A062BD">
        <w:rPr>
          <w:rFonts w:cs="Arial"/>
          <w:i/>
          <w:szCs w:val="24"/>
        </w:rPr>
        <w:t xml:space="preserve">- </w:t>
      </w:r>
      <w:proofErr w:type="spellStart"/>
      <w:r w:rsidR="00842124" w:rsidRPr="00A062BD">
        <w:rPr>
          <w:rFonts w:cs="Arial"/>
          <w:i/>
          <w:szCs w:val="24"/>
        </w:rPr>
        <w:t>evans</w:t>
      </w:r>
      <w:proofErr w:type="spellEnd"/>
      <w:r w:rsidR="00842124" w:rsidRPr="00A062BD">
        <w:rPr>
          <w:rFonts w:cs="Arial"/>
          <w:i/>
          <w:szCs w:val="24"/>
        </w:rPr>
        <w:t xml:space="preserve"> Rule</w:t>
      </w:r>
      <w:r w:rsidR="00842124" w:rsidRPr="00A062BD">
        <w:rPr>
          <w:rStyle w:val="FootnoteReference"/>
          <w:rFonts w:cs="Arial"/>
          <w:szCs w:val="24"/>
        </w:rPr>
        <w:footnoteReference w:id="7"/>
      </w:r>
      <w:r w:rsidR="00842124" w:rsidRPr="00A062BD">
        <w:rPr>
          <w:rFonts w:cs="Arial"/>
          <w:szCs w:val="24"/>
        </w:rPr>
        <w:t xml:space="preserve"> holds that when factual disputes arise in circumstances where the applicant seeks final relief, the relief ought to be granted in favour of the applicant if the facts alleged by the respondent</w:t>
      </w:r>
      <w:r w:rsidRPr="00A062BD">
        <w:rPr>
          <w:rFonts w:cs="Arial"/>
          <w:szCs w:val="24"/>
        </w:rPr>
        <w:t xml:space="preserve"> in </w:t>
      </w:r>
      <w:r w:rsidR="00842124" w:rsidRPr="00A062BD">
        <w:rPr>
          <w:rFonts w:cs="Arial"/>
          <w:szCs w:val="24"/>
        </w:rPr>
        <w:t>its</w:t>
      </w:r>
      <w:r w:rsidRPr="00A062BD">
        <w:rPr>
          <w:rFonts w:cs="Arial"/>
          <w:szCs w:val="24"/>
        </w:rPr>
        <w:t xml:space="preserve"> answering affidavit, with the facts it has admitted to, justify the order prayed </w:t>
      </w:r>
      <w:proofErr w:type="gramStart"/>
      <w:r w:rsidRPr="00A062BD">
        <w:rPr>
          <w:rFonts w:cs="Arial"/>
          <w:szCs w:val="24"/>
        </w:rPr>
        <w:t>for .</w:t>
      </w:r>
      <w:proofErr w:type="gramEnd"/>
      <w:r w:rsidRPr="00A062BD">
        <w:rPr>
          <w:rFonts w:cs="Arial"/>
          <w:szCs w:val="24"/>
        </w:rPr>
        <w:t xml:space="preserve"> Conversely the court can </w:t>
      </w:r>
      <w:proofErr w:type="gramStart"/>
      <w:r w:rsidRPr="00A062BD">
        <w:rPr>
          <w:rFonts w:cs="Arial"/>
          <w:szCs w:val="24"/>
        </w:rPr>
        <w:t>make a determination</w:t>
      </w:r>
      <w:proofErr w:type="gramEnd"/>
      <w:r w:rsidRPr="00A062BD">
        <w:rPr>
          <w:rFonts w:cs="Arial"/>
          <w:szCs w:val="24"/>
        </w:rPr>
        <w:t xml:space="preserve"> on disputed facts in application proceedings without having to hear oral evidence and on</w:t>
      </w:r>
      <w:r w:rsidR="00A10764" w:rsidRPr="00A062BD">
        <w:rPr>
          <w:rFonts w:cs="Arial"/>
          <w:szCs w:val="24"/>
        </w:rPr>
        <w:t xml:space="preserve"> the respondent’s written version of events.</w:t>
      </w:r>
    </w:p>
    <w:p w14:paraId="267FFF03" w14:textId="77777777" w:rsidR="00A10764" w:rsidRPr="00A062BD" w:rsidRDefault="00A10764" w:rsidP="00842124">
      <w:pPr>
        <w:pStyle w:val="1"/>
        <w:rPr>
          <w:rFonts w:cs="Arial"/>
          <w:szCs w:val="24"/>
        </w:rPr>
      </w:pPr>
      <w:r w:rsidRPr="00A062BD">
        <w:rPr>
          <w:rFonts w:cs="Arial"/>
          <w:szCs w:val="24"/>
        </w:rPr>
        <w:t>[47] In this context any denial</w:t>
      </w:r>
      <w:r w:rsidR="0023054E" w:rsidRPr="00A062BD">
        <w:rPr>
          <w:rFonts w:cs="Arial"/>
          <w:szCs w:val="24"/>
        </w:rPr>
        <w:t xml:space="preserve"> by</w:t>
      </w:r>
      <w:r w:rsidRPr="00A062BD">
        <w:rPr>
          <w:rFonts w:cs="Arial"/>
          <w:szCs w:val="24"/>
        </w:rPr>
        <w:t xml:space="preserve"> the first and second respondent of factual allegation</w:t>
      </w:r>
      <w:r w:rsidR="0023054E" w:rsidRPr="00A062BD">
        <w:rPr>
          <w:rFonts w:cs="Arial"/>
          <w:szCs w:val="24"/>
        </w:rPr>
        <w:t>s</w:t>
      </w:r>
      <w:r w:rsidRPr="00A062BD">
        <w:rPr>
          <w:rFonts w:cs="Arial"/>
          <w:szCs w:val="24"/>
        </w:rPr>
        <w:t xml:space="preserve"> by the applicants in their founding and </w:t>
      </w:r>
      <w:proofErr w:type="gramStart"/>
      <w:r w:rsidRPr="00A062BD">
        <w:rPr>
          <w:rFonts w:cs="Arial"/>
          <w:szCs w:val="24"/>
        </w:rPr>
        <w:t>replying</w:t>
      </w:r>
      <w:proofErr w:type="gramEnd"/>
      <w:r w:rsidRPr="00A062BD">
        <w:rPr>
          <w:rFonts w:cs="Arial"/>
          <w:szCs w:val="24"/>
        </w:rPr>
        <w:t xml:space="preserve"> affidavit must be real, genuine and bona fide before it can be considered prohibitive to the applicants being accorded final relief in the main application.</w:t>
      </w:r>
    </w:p>
    <w:p w14:paraId="1766DBED" w14:textId="77777777" w:rsidR="00A10764" w:rsidRPr="00A062BD" w:rsidRDefault="00A10764" w:rsidP="00842124">
      <w:pPr>
        <w:pStyle w:val="1"/>
        <w:rPr>
          <w:rFonts w:cs="Arial"/>
          <w:szCs w:val="24"/>
        </w:rPr>
      </w:pPr>
      <w:r w:rsidRPr="00A062BD">
        <w:rPr>
          <w:rFonts w:cs="Arial"/>
          <w:szCs w:val="24"/>
        </w:rPr>
        <w:t xml:space="preserve">[48] In </w:t>
      </w:r>
      <w:proofErr w:type="spellStart"/>
      <w:r w:rsidRPr="00A062BD">
        <w:rPr>
          <w:rFonts w:cs="Arial"/>
          <w:i/>
          <w:szCs w:val="24"/>
        </w:rPr>
        <w:t>Islamn</w:t>
      </w:r>
      <w:proofErr w:type="spellEnd"/>
      <w:r w:rsidRPr="00A062BD">
        <w:rPr>
          <w:rFonts w:cs="Arial"/>
          <w:i/>
          <w:szCs w:val="24"/>
        </w:rPr>
        <w:t xml:space="preserve"> v Kabir</w:t>
      </w:r>
      <w:r w:rsidRPr="00A062BD">
        <w:rPr>
          <w:rStyle w:val="FootnoteReference"/>
          <w:rFonts w:cs="Arial"/>
          <w:szCs w:val="24"/>
        </w:rPr>
        <w:footnoteReference w:id="8"/>
      </w:r>
      <w:r w:rsidRPr="00A062BD">
        <w:rPr>
          <w:rFonts w:cs="Arial"/>
          <w:szCs w:val="24"/>
        </w:rPr>
        <w:t xml:space="preserve"> the court held that </w:t>
      </w:r>
    </w:p>
    <w:p w14:paraId="600FD1A9" w14:textId="77777777" w:rsidR="00F56B29" w:rsidRDefault="000D6583" w:rsidP="00F56B29">
      <w:pPr>
        <w:pStyle w:val="1"/>
        <w:ind w:left="1287"/>
        <w:rPr>
          <w:rFonts w:cs="Arial"/>
          <w:i/>
          <w:szCs w:val="24"/>
        </w:rPr>
      </w:pPr>
      <w:r w:rsidRPr="00A062BD">
        <w:rPr>
          <w:rFonts w:cs="Arial"/>
          <w:i/>
          <w:szCs w:val="24"/>
        </w:rPr>
        <w:t>“</w:t>
      </w:r>
      <w:proofErr w:type="gramStart"/>
      <w:r w:rsidRPr="00A062BD">
        <w:rPr>
          <w:rFonts w:cs="Arial"/>
          <w:i/>
          <w:szCs w:val="24"/>
        </w:rPr>
        <w:t>when</w:t>
      </w:r>
      <w:proofErr w:type="gramEnd"/>
      <w:r w:rsidRPr="00A062BD">
        <w:rPr>
          <w:rFonts w:cs="Arial"/>
          <w:i/>
          <w:szCs w:val="24"/>
        </w:rPr>
        <w:t xml:space="preserve"> in application proceedings there is a dispute of fact which has to be resolved on the papers and on the basis of the principle enunciated in the </w:t>
      </w:r>
      <w:proofErr w:type="spellStart"/>
      <w:r w:rsidRPr="00A062BD">
        <w:rPr>
          <w:rFonts w:cs="Arial"/>
          <w:i/>
          <w:szCs w:val="24"/>
        </w:rPr>
        <w:t>Plascon</w:t>
      </w:r>
      <w:proofErr w:type="spellEnd"/>
      <w:r w:rsidRPr="00A062BD">
        <w:rPr>
          <w:rFonts w:cs="Arial"/>
          <w:i/>
          <w:szCs w:val="24"/>
        </w:rPr>
        <w:t>- Evans points matter, the court can only reject the version of the respondent if the absence of bona fides is abundantly beyond question”.</w:t>
      </w:r>
    </w:p>
    <w:p w14:paraId="59EB33EF" w14:textId="77777777" w:rsidR="000D6583" w:rsidRPr="00F56B29" w:rsidRDefault="00AC623C" w:rsidP="00F56B29">
      <w:pPr>
        <w:pStyle w:val="1"/>
        <w:ind w:left="1287"/>
        <w:rPr>
          <w:rFonts w:cs="Arial"/>
          <w:i/>
          <w:szCs w:val="24"/>
        </w:rPr>
      </w:pPr>
      <w:r w:rsidRPr="00A062BD">
        <w:rPr>
          <w:rFonts w:cs="Arial"/>
          <w:szCs w:val="24"/>
        </w:rPr>
        <w:t>Counsel for the applicants submits, and I accept that the denials of the first and second respondents in opposing the main application by counter application are so far-fetched and so clearly untenable that</w:t>
      </w:r>
      <w:r w:rsidR="0023054E" w:rsidRPr="00A062BD">
        <w:rPr>
          <w:rFonts w:cs="Arial"/>
          <w:szCs w:val="24"/>
        </w:rPr>
        <w:t xml:space="preserve"> this court would</w:t>
      </w:r>
      <w:r w:rsidR="00B26B8D">
        <w:rPr>
          <w:rFonts w:cs="Arial"/>
          <w:szCs w:val="24"/>
        </w:rPr>
        <w:t xml:space="preserve"> be</w:t>
      </w:r>
      <w:r w:rsidRPr="00A062BD">
        <w:rPr>
          <w:rFonts w:cs="Arial"/>
          <w:szCs w:val="24"/>
        </w:rPr>
        <w:t xml:space="preserve"> justified in rejecting them merely on the </w:t>
      </w:r>
      <w:r w:rsidR="00F37A87" w:rsidRPr="00A062BD">
        <w:rPr>
          <w:rFonts w:cs="Arial"/>
          <w:szCs w:val="24"/>
        </w:rPr>
        <w:t>papers and without the hearing of oral evidence.</w:t>
      </w:r>
    </w:p>
    <w:p w14:paraId="2F34351C" w14:textId="77777777" w:rsidR="00F37A87" w:rsidRPr="00A062BD" w:rsidRDefault="00F37A87" w:rsidP="000D6583">
      <w:pPr>
        <w:pStyle w:val="1"/>
        <w:rPr>
          <w:rFonts w:cs="Arial"/>
          <w:szCs w:val="24"/>
        </w:rPr>
      </w:pPr>
      <w:r w:rsidRPr="00A062BD">
        <w:rPr>
          <w:rFonts w:cs="Arial"/>
          <w:szCs w:val="24"/>
        </w:rPr>
        <w:lastRenderedPageBreak/>
        <w:t xml:space="preserve">[49] I find that there are sufficient and satisfactory averments </w:t>
      </w:r>
      <w:r w:rsidR="0023054E" w:rsidRPr="00A062BD">
        <w:rPr>
          <w:rFonts w:cs="Arial"/>
          <w:szCs w:val="24"/>
        </w:rPr>
        <w:t>made by the applicants and there is</w:t>
      </w:r>
      <w:r w:rsidRPr="00A062BD">
        <w:rPr>
          <w:rFonts w:cs="Arial"/>
          <w:szCs w:val="24"/>
        </w:rPr>
        <w:t xml:space="preserve"> sufficient clarity regarding the issues to be resolved for the court to make the order prayed for in the notice of motion.</w:t>
      </w:r>
    </w:p>
    <w:p w14:paraId="00E6527C" w14:textId="77777777" w:rsidR="002773B4" w:rsidRPr="00A062BD" w:rsidRDefault="002773B4" w:rsidP="002773B4">
      <w:pPr>
        <w:pStyle w:val="1"/>
        <w:ind w:left="0" w:firstLine="0"/>
        <w:rPr>
          <w:rFonts w:cs="Arial"/>
          <w:szCs w:val="24"/>
          <w:u w:val="single"/>
        </w:rPr>
      </w:pPr>
      <w:r w:rsidRPr="00A062BD">
        <w:rPr>
          <w:rFonts w:cs="Arial"/>
          <w:szCs w:val="24"/>
          <w:u w:val="single"/>
        </w:rPr>
        <w:t>Declaratory Order</w:t>
      </w:r>
    </w:p>
    <w:p w14:paraId="1EF71453" w14:textId="77777777" w:rsidR="002773B4" w:rsidRPr="00A062BD" w:rsidRDefault="002773B4" w:rsidP="002773B4">
      <w:pPr>
        <w:pStyle w:val="1"/>
        <w:ind w:left="0" w:firstLine="0"/>
        <w:rPr>
          <w:rFonts w:cs="Arial"/>
          <w:szCs w:val="24"/>
        </w:rPr>
      </w:pPr>
      <w:r w:rsidRPr="00A062BD">
        <w:rPr>
          <w:rFonts w:cs="Arial"/>
          <w:szCs w:val="24"/>
        </w:rPr>
        <w:t xml:space="preserve">[50] </w:t>
      </w:r>
      <w:r w:rsidR="0023054E" w:rsidRPr="00A062BD">
        <w:rPr>
          <w:rFonts w:cs="Arial"/>
          <w:szCs w:val="24"/>
        </w:rPr>
        <w:t>In their counterclaim</w:t>
      </w:r>
      <w:r w:rsidRPr="00A062BD">
        <w:rPr>
          <w:rFonts w:cs="Arial"/>
          <w:szCs w:val="24"/>
        </w:rPr>
        <w:t xml:space="preserve"> the first and second respondent are seeking a declaratory order. In </w:t>
      </w:r>
      <w:r w:rsidRPr="00A062BD">
        <w:rPr>
          <w:rFonts w:cs="Arial"/>
          <w:i/>
          <w:szCs w:val="24"/>
        </w:rPr>
        <w:t>Rank Commute</w:t>
      </w:r>
      <w:r w:rsidR="0023054E" w:rsidRPr="00A062BD">
        <w:rPr>
          <w:rFonts w:cs="Arial"/>
          <w:i/>
          <w:szCs w:val="24"/>
        </w:rPr>
        <w:t>r</w:t>
      </w:r>
      <w:r w:rsidRPr="00A062BD">
        <w:rPr>
          <w:rFonts w:cs="Arial"/>
          <w:i/>
          <w:szCs w:val="24"/>
        </w:rPr>
        <w:t>s Action Group v Transnet Ltd t/a</w:t>
      </w:r>
      <w:r w:rsidR="00A76B80" w:rsidRPr="00A062BD">
        <w:rPr>
          <w:rFonts w:cs="Arial"/>
          <w:i/>
          <w:szCs w:val="24"/>
        </w:rPr>
        <w:t xml:space="preserve"> Metrorail</w:t>
      </w:r>
      <w:r w:rsidR="00A76B80" w:rsidRPr="00A062BD">
        <w:rPr>
          <w:rStyle w:val="FootnoteReference"/>
          <w:rFonts w:cs="Arial"/>
          <w:i/>
          <w:szCs w:val="24"/>
        </w:rPr>
        <w:footnoteReference w:id="9"/>
      </w:r>
      <w:r w:rsidRPr="00A062BD">
        <w:rPr>
          <w:rFonts w:cs="Arial"/>
          <w:i/>
          <w:szCs w:val="24"/>
        </w:rPr>
        <w:t xml:space="preserve"> </w:t>
      </w:r>
      <w:r w:rsidR="0023054E" w:rsidRPr="00A062BD">
        <w:rPr>
          <w:rFonts w:cs="Arial"/>
          <w:szCs w:val="24"/>
        </w:rPr>
        <w:t>the Constitutional C</w:t>
      </w:r>
      <w:r w:rsidR="00A76B80" w:rsidRPr="00A062BD">
        <w:rPr>
          <w:rFonts w:cs="Arial"/>
          <w:szCs w:val="24"/>
        </w:rPr>
        <w:t xml:space="preserve">ourt </w:t>
      </w:r>
      <w:proofErr w:type="gramStart"/>
      <w:r w:rsidR="00A76B80" w:rsidRPr="00A062BD">
        <w:rPr>
          <w:rFonts w:cs="Arial"/>
          <w:szCs w:val="24"/>
        </w:rPr>
        <w:t>stated  that</w:t>
      </w:r>
      <w:proofErr w:type="gramEnd"/>
      <w:r w:rsidR="00A76B80" w:rsidRPr="00A062BD">
        <w:rPr>
          <w:rFonts w:cs="Arial"/>
          <w:szCs w:val="24"/>
        </w:rPr>
        <w:t xml:space="preserve"> </w:t>
      </w:r>
    </w:p>
    <w:p w14:paraId="07D36D41" w14:textId="77777777" w:rsidR="00A76B80" w:rsidRPr="00A062BD" w:rsidRDefault="00A76B80" w:rsidP="00A76B80">
      <w:pPr>
        <w:pStyle w:val="1"/>
        <w:ind w:left="1440" w:firstLine="0"/>
        <w:rPr>
          <w:rFonts w:cs="Arial"/>
          <w:i/>
          <w:szCs w:val="24"/>
        </w:rPr>
      </w:pPr>
      <w:r w:rsidRPr="00A062BD">
        <w:rPr>
          <w:rFonts w:cs="Arial"/>
          <w:i/>
          <w:szCs w:val="24"/>
        </w:rPr>
        <w:t>“It is quite clear that before it makes a declaratory order a court must consider all the relevant circumsta</w:t>
      </w:r>
      <w:r w:rsidR="0023054E" w:rsidRPr="00A062BD">
        <w:rPr>
          <w:rFonts w:cs="Arial"/>
          <w:i/>
          <w:szCs w:val="24"/>
        </w:rPr>
        <w:t>nces. A declaratory order is a f</w:t>
      </w:r>
      <w:r w:rsidRPr="00A062BD">
        <w:rPr>
          <w:rFonts w:cs="Arial"/>
          <w:i/>
          <w:szCs w:val="24"/>
        </w:rPr>
        <w:t>lexible remedy which can assist in clarifying legal and constitutional obligation</w:t>
      </w:r>
      <w:r w:rsidR="0023054E" w:rsidRPr="00A062BD">
        <w:rPr>
          <w:rFonts w:cs="Arial"/>
          <w:i/>
          <w:szCs w:val="24"/>
        </w:rPr>
        <w:t>s</w:t>
      </w:r>
      <w:r w:rsidRPr="00A062BD">
        <w:rPr>
          <w:rFonts w:cs="Arial"/>
          <w:i/>
          <w:szCs w:val="24"/>
        </w:rPr>
        <w:t xml:space="preserve"> in a manner which promotes the protection and enforcement of our constitution and its values. Declaratory orders of course, may be accompanied by other forms of relief, such as mandatory orders or </w:t>
      </w:r>
      <w:proofErr w:type="spellStart"/>
      <w:r w:rsidRPr="00A062BD">
        <w:rPr>
          <w:rFonts w:cs="Arial"/>
          <w:i/>
          <w:szCs w:val="24"/>
        </w:rPr>
        <w:t>prohibitory</w:t>
      </w:r>
      <w:proofErr w:type="spellEnd"/>
      <w:r w:rsidRPr="00A062BD">
        <w:rPr>
          <w:rFonts w:cs="Arial"/>
          <w:i/>
          <w:szCs w:val="24"/>
        </w:rPr>
        <w:t xml:space="preserve"> order</w:t>
      </w:r>
      <w:r w:rsidR="0023054E" w:rsidRPr="00A062BD">
        <w:rPr>
          <w:rFonts w:cs="Arial"/>
          <w:i/>
          <w:szCs w:val="24"/>
        </w:rPr>
        <w:t>s</w:t>
      </w:r>
      <w:r w:rsidRPr="00A062BD">
        <w:rPr>
          <w:rFonts w:cs="Arial"/>
          <w:i/>
          <w:szCs w:val="24"/>
        </w:rPr>
        <w:t>, but they</w:t>
      </w:r>
      <w:r w:rsidR="00475759" w:rsidRPr="00A062BD">
        <w:rPr>
          <w:rFonts w:cs="Arial"/>
          <w:i/>
          <w:szCs w:val="24"/>
        </w:rPr>
        <w:t xml:space="preserve"> may also stand on their own. In considering whether it is desirable to order mandatory or </w:t>
      </w:r>
      <w:proofErr w:type="spellStart"/>
      <w:r w:rsidR="00475759" w:rsidRPr="00A062BD">
        <w:rPr>
          <w:rFonts w:cs="Arial"/>
          <w:i/>
          <w:szCs w:val="24"/>
        </w:rPr>
        <w:t>prohibitory</w:t>
      </w:r>
      <w:proofErr w:type="spellEnd"/>
      <w:r w:rsidR="00475759" w:rsidRPr="00A062BD">
        <w:rPr>
          <w:rFonts w:cs="Arial"/>
          <w:i/>
          <w:szCs w:val="24"/>
        </w:rPr>
        <w:t xml:space="preserve"> rel</w:t>
      </w:r>
      <w:r w:rsidR="0023054E" w:rsidRPr="00A062BD">
        <w:rPr>
          <w:rFonts w:cs="Arial"/>
          <w:i/>
          <w:szCs w:val="24"/>
        </w:rPr>
        <w:t>ief in addition to a declarator</w:t>
      </w:r>
      <w:r w:rsidR="00475759" w:rsidRPr="00A062BD">
        <w:rPr>
          <w:rFonts w:cs="Arial"/>
          <w:i/>
          <w:szCs w:val="24"/>
        </w:rPr>
        <w:t>, a court will consider all relevant circumstances.”</w:t>
      </w:r>
    </w:p>
    <w:p w14:paraId="5512FEF6" w14:textId="77777777" w:rsidR="00475759" w:rsidRPr="00A062BD" w:rsidRDefault="00475759" w:rsidP="00475759">
      <w:pPr>
        <w:pStyle w:val="1"/>
        <w:rPr>
          <w:rFonts w:cs="Arial"/>
          <w:szCs w:val="24"/>
        </w:rPr>
      </w:pPr>
      <w:r w:rsidRPr="00A062BD">
        <w:rPr>
          <w:rFonts w:cs="Arial"/>
          <w:szCs w:val="24"/>
        </w:rPr>
        <w:t>[51</w:t>
      </w:r>
      <w:r w:rsidR="00A3074E" w:rsidRPr="00A062BD">
        <w:rPr>
          <w:rFonts w:cs="Arial"/>
          <w:szCs w:val="24"/>
        </w:rPr>
        <w:t>] In this application the first and second respondents have singularly failed to set out</w:t>
      </w:r>
      <w:r w:rsidR="00B26B8D">
        <w:rPr>
          <w:rFonts w:cs="Arial"/>
          <w:szCs w:val="24"/>
        </w:rPr>
        <w:t xml:space="preserve"> any</w:t>
      </w:r>
      <w:r w:rsidR="00A3074E" w:rsidRPr="00A062BD">
        <w:rPr>
          <w:rFonts w:cs="Arial"/>
          <w:szCs w:val="24"/>
        </w:rPr>
        <w:t xml:space="preserve"> </w:t>
      </w:r>
      <w:r w:rsidR="0023054E" w:rsidRPr="00A062BD">
        <w:rPr>
          <w:rFonts w:cs="Arial"/>
          <w:szCs w:val="24"/>
        </w:rPr>
        <w:t>factual or legal</w:t>
      </w:r>
      <w:r w:rsidR="00A3074E" w:rsidRPr="00A062BD">
        <w:rPr>
          <w:rFonts w:cs="Arial"/>
          <w:szCs w:val="24"/>
        </w:rPr>
        <w:t xml:space="preserve"> any basis for the court to grant relief in the form of a declaratory order.</w:t>
      </w:r>
    </w:p>
    <w:p w14:paraId="54CC093B" w14:textId="77777777" w:rsidR="00A3074E" w:rsidRPr="00A062BD" w:rsidRDefault="00A3074E" w:rsidP="00475759">
      <w:pPr>
        <w:pStyle w:val="1"/>
        <w:rPr>
          <w:rFonts w:cs="Arial"/>
          <w:szCs w:val="24"/>
          <w:u w:val="single"/>
        </w:rPr>
      </w:pPr>
      <w:r w:rsidRPr="00A062BD">
        <w:rPr>
          <w:rFonts w:cs="Arial"/>
          <w:szCs w:val="24"/>
          <w:u w:val="single"/>
        </w:rPr>
        <w:t xml:space="preserve">Eviction </w:t>
      </w:r>
    </w:p>
    <w:p w14:paraId="328B0722" w14:textId="77777777" w:rsidR="00A3074E" w:rsidRPr="00A062BD" w:rsidRDefault="00A3074E" w:rsidP="00475759">
      <w:pPr>
        <w:pStyle w:val="1"/>
        <w:rPr>
          <w:rFonts w:cs="Arial"/>
          <w:szCs w:val="24"/>
        </w:rPr>
      </w:pPr>
      <w:r w:rsidRPr="00A062BD">
        <w:rPr>
          <w:rFonts w:cs="Arial"/>
          <w:szCs w:val="24"/>
        </w:rPr>
        <w:lastRenderedPageBreak/>
        <w:t xml:space="preserve">[52] The first and second respondents also seek to evict the applicants from the first property. They base their cause of action on being the “lawful owners” of the property and in </w:t>
      </w:r>
      <w:r w:rsidR="00B447DD" w:rsidRPr="00A062BD">
        <w:rPr>
          <w:rFonts w:cs="Arial"/>
          <w:szCs w:val="24"/>
        </w:rPr>
        <w:t>total disregard of the Hom</w:t>
      </w:r>
      <w:r w:rsidR="00196A7C" w:rsidRPr="00A062BD">
        <w:rPr>
          <w:rFonts w:cs="Arial"/>
          <w:szCs w:val="24"/>
        </w:rPr>
        <w:t>e Exchange Agreement and the duties and legal obligation arising therefrom</w:t>
      </w:r>
      <w:r w:rsidR="00B447DD" w:rsidRPr="00A062BD">
        <w:rPr>
          <w:rFonts w:cs="Arial"/>
          <w:szCs w:val="24"/>
        </w:rPr>
        <w:t>.</w:t>
      </w:r>
    </w:p>
    <w:p w14:paraId="1A9D7001" w14:textId="77777777" w:rsidR="00826416" w:rsidRPr="00A062BD" w:rsidRDefault="00196A7C" w:rsidP="00475759">
      <w:pPr>
        <w:pStyle w:val="1"/>
        <w:rPr>
          <w:rFonts w:cs="Arial"/>
          <w:szCs w:val="24"/>
        </w:rPr>
      </w:pPr>
      <w:r w:rsidRPr="00A062BD">
        <w:rPr>
          <w:rFonts w:cs="Arial"/>
          <w:szCs w:val="24"/>
        </w:rPr>
        <w:t>[53] Under oath, they totally misrepr</w:t>
      </w:r>
      <w:r w:rsidR="00DB7F52" w:rsidRPr="00A062BD">
        <w:rPr>
          <w:rFonts w:cs="Arial"/>
          <w:szCs w:val="24"/>
        </w:rPr>
        <w:t>esent the true facts contained in the Home Exchange Agreement in a manner that can only</w:t>
      </w:r>
      <w:r w:rsidR="00826416" w:rsidRPr="00A062BD">
        <w:rPr>
          <w:rFonts w:cs="Arial"/>
          <w:szCs w:val="24"/>
        </w:rPr>
        <w:t xml:space="preserve"> be described as an attempt to mislead the court. They failed to honour the provisions of the Home Exchange Agreement thereby taking away their rights to claim eviction.</w:t>
      </w:r>
    </w:p>
    <w:p w14:paraId="24DEA93C" w14:textId="77777777" w:rsidR="00826416" w:rsidRPr="00A062BD" w:rsidRDefault="00826416" w:rsidP="00475759">
      <w:pPr>
        <w:pStyle w:val="1"/>
        <w:rPr>
          <w:rFonts w:cs="Arial"/>
          <w:szCs w:val="24"/>
        </w:rPr>
      </w:pPr>
      <w:r w:rsidRPr="00A062BD">
        <w:rPr>
          <w:rFonts w:cs="Arial"/>
          <w:szCs w:val="24"/>
        </w:rPr>
        <w:t xml:space="preserve">[54] A person may be evicted from a property if he/she </w:t>
      </w:r>
      <w:proofErr w:type="gramStart"/>
      <w:r w:rsidRPr="00A062BD">
        <w:rPr>
          <w:rFonts w:cs="Arial"/>
          <w:szCs w:val="24"/>
        </w:rPr>
        <w:t>is considered to be</w:t>
      </w:r>
      <w:proofErr w:type="gramEnd"/>
      <w:r w:rsidRPr="00A062BD">
        <w:rPr>
          <w:rFonts w:cs="Arial"/>
          <w:szCs w:val="24"/>
        </w:rPr>
        <w:t xml:space="preserve"> </w:t>
      </w:r>
      <w:r w:rsidR="0023054E" w:rsidRPr="00A062BD">
        <w:rPr>
          <w:rFonts w:cs="Arial"/>
          <w:szCs w:val="24"/>
        </w:rPr>
        <w:t xml:space="preserve">an </w:t>
      </w:r>
      <w:r w:rsidRPr="00A062BD">
        <w:rPr>
          <w:rFonts w:cs="Arial"/>
          <w:szCs w:val="24"/>
        </w:rPr>
        <w:t>unlawful occupier. An unlawful occupier is a person who stays on a property without the consent of the landlord or owner; or stays on a property without having any right in law to do so; or is not considered to be an occupier in terms of any law.</w:t>
      </w:r>
    </w:p>
    <w:p w14:paraId="0D0F3898" w14:textId="77777777" w:rsidR="00F01BC5" w:rsidRPr="00A062BD" w:rsidRDefault="00826416" w:rsidP="00475759">
      <w:pPr>
        <w:pStyle w:val="1"/>
        <w:rPr>
          <w:rFonts w:cs="Arial"/>
          <w:szCs w:val="24"/>
        </w:rPr>
      </w:pPr>
      <w:r w:rsidRPr="00A062BD">
        <w:rPr>
          <w:rFonts w:cs="Arial"/>
          <w:szCs w:val="24"/>
        </w:rPr>
        <w:t xml:space="preserve">[55] In light of the above the applicants cannot </w:t>
      </w:r>
      <w:r w:rsidR="00F01BC5" w:rsidRPr="00A062BD">
        <w:rPr>
          <w:rFonts w:cs="Arial"/>
          <w:szCs w:val="24"/>
        </w:rPr>
        <w:t xml:space="preserve">be said to be unlawful occupiers. They occupy the first property in terms of the Home Exchange </w:t>
      </w:r>
      <w:proofErr w:type="gramStart"/>
      <w:r w:rsidR="00F01BC5" w:rsidRPr="00A062BD">
        <w:rPr>
          <w:rFonts w:cs="Arial"/>
          <w:szCs w:val="24"/>
        </w:rPr>
        <w:t>Agreement</w:t>
      </w:r>
      <w:proofErr w:type="gramEnd"/>
      <w:r w:rsidR="00F01BC5" w:rsidRPr="00A062BD">
        <w:rPr>
          <w:rFonts w:cs="Arial"/>
          <w:szCs w:val="24"/>
        </w:rPr>
        <w:t xml:space="preserve"> and they have paid and settled the bond of the property for them to occupy same.</w:t>
      </w:r>
    </w:p>
    <w:p w14:paraId="1BFAD1DF" w14:textId="77777777" w:rsidR="002F53D8" w:rsidRPr="00A062BD" w:rsidRDefault="00F01BC5" w:rsidP="00475759">
      <w:pPr>
        <w:pStyle w:val="1"/>
        <w:rPr>
          <w:rFonts w:cs="Arial"/>
          <w:i/>
          <w:szCs w:val="24"/>
        </w:rPr>
      </w:pPr>
      <w:r w:rsidRPr="00A062BD">
        <w:rPr>
          <w:rFonts w:cs="Arial"/>
          <w:szCs w:val="24"/>
        </w:rPr>
        <w:t xml:space="preserve">[56] In determining </w:t>
      </w:r>
      <w:proofErr w:type="gramStart"/>
      <w:r w:rsidRPr="00A062BD">
        <w:rPr>
          <w:rFonts w:cs="Arial"/>
          <w:szCs w:val="24"/>
        </w:rPr>
        <w:t>whether or not</w:t>
      </w:r>
      <w:proofErr w:type="gramEnd"/>
      <w:r w:rsidRPr="00A062BD">
        <w:rPr>
          <w:rFonts w:cs="Arial"/>
          <w:szCs w:val="24"/>
        </w:rPr>
        <w:t xml:space="preserve"> to grant an eviction order, the court must exercise a discretion based on what is just and </w:t>
      </w:r>
      <w:r w:rsidR="002F53D8" w:rsidRPr="00A062BD">
        <w:rPr>
          <w:rFonts w:cs="Arial"/>
          <w:szCs w:val="24"/>
        </w:rPr>
        <w:t>equitable</w:t>
      </w:r>
      <w:r w:rsidR="00B26B8D">
        <w:rPr>
          <w:rFonts w:cs="Arial"/>
          <w:szCs w:val="24"/>
        </w:rPr>
        <w:t>.</w:t>
      </w:r>
      <w:r w:rsidR="002F53D8" w:rsidRPr="00A062BD">
        <w:rPr>
          <w:rFonts w:cs="Arial"/>
          <w:szCs w:val="24"/>
        </w:rPr>
        <w:t xml:space="preserve"> </w:t>
      </w:r>
      <w:r w:rsidR="002F53D8" w:rsidRPr="00A062BD">
        <w:rPr>
          <w:rFonts w:cs="Arial"/>
          <w:i/>
          <w:szCs w:val="24"/>
        </w:rPr>
        <w:t>Bekker and Another v Jika.</w:t>
      </w:r>
      <w:r w:rsidR="002F53D8" w:rsidRPr="00A062BD">
        <w:rPr>
          <w:rStyle w:val="FootnoteReference"/>
          <w:rFonts w:cs="Arial"/>
          <w:szCs w:val="24"/>
        </w:rPr>
        <w:footnoteReference w:id="10"/>
      </w:r>
    </w:p>
    <w:p w14:paraId="005229C3" w14:textId="77777777" w:rsidR="00D87624" w:rsidRPr="00A062BD" w:rsidRDefault="002F53D8" w:rsidP="00475759">
      <w:pPr>
        <w:pStyle w:val="1"/>
        <w:rPr>
          <w:rFonts w:cs="Arial"/>
          <w:szCs w:val="24"/>
        </w:rPr>
      </w:pPr>
      <w:r w:rsidRPr="00A062BD">
        <w:rPr>
          <w:rFonts w:cs="Arial"/>
          <w:szCs w:val="24"/>
        </w:rPr>
        <w:t>[57]</w:t>
      </w:r>
      <w:r w:rsidR="00DB7F52" w:rsidRPr="00A062BD">
        <w:rPr>
          <w:rFonts w:cs="Arial"/>
          <w:szCs w:val="24"/>
        </w:rPr>
        <w:t xml:space="preserve"> </w:t>
      </w:r>
      <w:r w:rsidRPr="00A062BD">
        <w:rPr>
          <w:rFonts w:cs="Arial"/>
          <w:szCs w:val="24"/>
        </w:rPr>
        <w:t xml:space="preserve">The first and second respondent seek to evict the applicants and benefit from property they never paid for. The applicants on the other hand, if evicted would suffer irreparable harm </w:t>
      </w:r>
      <w:r w:rsidR="0023054E" w:rsidRPr="00A062BD">
        <w:rPr>
          <w:rFonts w:cs="Arial"/>
          <w:szCs w:val="24"/>
        </w:rPr>
        <w:t>in that they are unlikely to recover the money expended</w:t>
      </w:r>
      <w:r w:rsidRPr="00A062BD">
        <w:rPr>
          <w:rFonts w:cs="Arial"/>
          <w:szCs w:val="24"/>
        </w:rPr>
        <w:t xml:space="preserve"> in settling the bond for the first property. It is argued and I accept that it would </w:t>
      </w:r>
      <w:r w:rsidRPr="00A062BD">
        <w:rPr>
          <w:rFonts w:cs="Arial"/>
          <w:szCs w:val="24"/>
        </w:rPr>
        <w:lastRenderedPageBreak/>
        <w:t>not be just and equitable to evict them in those circumstances.</w:t>
      </w:r>
      <w:r w:rsidR="00D87624" w:rsidRPr="00A062BD">
        <w:rPr>
          <w:rFonts w:cs="Arial"/>
          <w:szCs w:val="24"/>
        </w:rPr>
        <w:t xml:space="preserve"> Moreover,</w:t>
      </w:r>
      <w:r w:rsidRPr="00A062BD">
        <w:rPr>
          <w:rFonts w:cs="Arial"/>
          <w:szCs w:val="24"/>
        </w:rPr>
        <w:t xml:space="preserve"> the first and second respondents have not complied with the requirements of section 4 of The Preve</w:t>
      </w:r>
      <w:r w:rsidR="00D87624" w:rsidRPr="00A062BD">
        <w:rPr>
          <w:rFonts w:cs="Arial"/>
          <w:szCs w:val="24"/>
        </w:rPr>
        <w:t>ntion of Illegal Eviction from U</w:t>
      </w:r>
      <w:r w:rsidRPr="00A062BD">
        <w:rPr>
          <w:rFonts w:cs="Arial"/>
          <w:szCs w:val="24"/>
        </w:rPr>
        <w:t xml:space="preserve">nlawful </w:t>
      </w:r>
      <w:r w:rsidR="00D87624" w:rsidRPr="00A062BD">
        <w:rPr>
          <w:rFonts w:cs="Arial"/>
          <w:szCs w:val="24"/>
        </w:rPr>
        <w:t>O</w:t>
      </w:r>
      <w:r w:rsidRPr="00A062BD">
        <w:rPr>
          <w:rFonts w:cs="Arial"/>
          <w:szCs w:val="24"/>
        </w:rPr>
        <w:t>ccupation</w:t>
      </w:r>
      <w:r w:rsidR="00D87624" w:rsidRPr="00A062BD">
        <w:rPr>
          <w:rFonts w:cs="Arial"/>
          <w:szCs w:val="24"/>
        </w:rPr>
        <w:t xml:space="preserve"> of Land Act 19 of 1998 (the PIE Act).</w:t>
      </w:r>
    </w:p>
    <w:p w14:paraId="6B18D7D5" w14:textId="77777777" w:rsidR="00196A7C" w:rsidRPr="00A062BD" w:rsidRDefault="00D87624" w:rsidP="00475759">
      <w:pPr>
        <w:pStyle w:val="1"/>
        <w:rPr>
          <w:rFonts w:cs="Arial"/>
          <w:szCs w:val="24"/>
        </w:rPr>
      </w:pPr>
      <w:r w:rsidRPr="00A062BD">
        <w:rPr>
          <w:rFonts w:cs="Arial"/>
          <w:szCs w:val="24"/>
        </w:rPr>
        <w:t>[58] Both parties filed papers out of time even though</w:t>
      </w:r>
      <w:r w:rsidR="00673DE7" w:rsidRPr="00A062BD">
        <w:rPr>
          <w:rFonts w:cs="Arial"/>
          <w:szCs w:val="24"/>
        </w:rPr>
        <w:t xml:space="preserve"> the applicants had asked for the indulgence before time. In the circumstances condonation ought to be granted with no order as to costs in respect of both applicants and respondents.</w:t>
      </w:r>
    </w:p>
    <w:p w14:paraId="331CF6D9" w14:textId="77777777" w:rsidR="00673DE7" w:rsidRPr="00A062BD" w:rsidRDefault="00673DE7" w:rsidP="00475759">
      <w:pPr>
        <w:pStyle w:val="1"/>
        <w:rPr>
          <w:rFonts w:cs="Arial"/>
          <w:szCs w:val="24"/>
        </w:rPr>
      </w:pPr>
      <w:r w:rsidRPr="00A062BD">
        <w:rPr>
          <w:rFonts w:cs="Arial"/>
          <w:szCs w:val="24"/>
        </w:rPr>
        <w:t xml:space="preserve">[59] In light of the above, I make the following </w:t>
      </w:r>
      <w:proofErr w:type="gramStart"/>
      <w:r w:rsidRPr="00A062BD">
        <w:rPr>
          <w:rFonts w:cs="Arial"/>
          <w:szCs w:val="24"/>
        </w:rPr>
        <w:t>order;</w:t>
      </w:r>
      <w:proofErr w:type="gramEnd"/>
    </w:p>
    <w:p w14:paraId="7936BD6B" w14:textId="4567085B" w:rsidR="008A0A43" w:rsidRPr="00A062BD" w:rsidRDefault="008A0A43" w:rsidP="008A0A43">
      <w:pPr>
        <w:pStyle w:val="1"/>
        <w:ind w:left="1134"/>
        <w:rPr>
          <w:rFonts w:cs="Arial"/>
          <w:szCs w:val="24"/>
        </w:rPr>
      </w:pPr>
      <w:r w:rsidRPr="00A062BD">
        <w:rPr>
          <w:rFonts w:cs="Arial"/>
          <w:szCs w:val="24"/>
        </w:rPr>
        <w:t xml:space="preserve">1. The first and second respondents are barred from demanding or threatening or harassing the applicant to vacate the property ERF </w:t>
      </w:r>
      <w:r w:rsidR="007955AB">
        <w:rPr>
          <w:rFonts w:cs="Arial"/>
          <w:szCs w:val="24"/>
        </w:rPr>
        <w:t>[...]</w:t>
      </w:r>
      <w:r w:rsidRPr="00A062BD">
        <w:rPr>
          <w:rFonts w:cs="Arial"/>
          <w:szCs w:val="24"/>
        </w:rPr>
        <w:t xml:space="preserve"> </w:t>
      </w:r>
      <w:proofErr w:type="spellStart"/>
      <w:r w:rsidRPr="00A062BD">
        <w:rPr>
          <w:rFonts w:cs="Arial"/>
          <w:szCs w:val="24"/>
        </w:rPr>
        <w:t>Doornpoort</w:t>
      </w:r>
      <w:proofErr w:type="spellEnd"/>
      <w:r w:rsidRPr="00A062BD">
        <w:rPr>
          <w:rFonts w:cs="Arial"/>
          <w:szCs w:val="24"/>
        </w:rPr>
        <w:t xml:space="preserve"> Extension 34Township Registration Division J.R </w:t>
      </w:r>
      <w:proofErr w:type="gramStart"/>
      <w:r w:rsidRPr="00A062BD">
        <w:rPr>
          <w:rFonts w:cs="Arial"/>
          <w:szCs w:val="24"/>
        </w:rPr>
        <w:t>and also</w:t>
      </w:r>
      <w:proofErr w:type="gramEnd"/>
      <w:r w:rsidRPr="00A062BD">
        <w:rPr>
          <w:rFonts w:cs="Arial"/>
          <w:szCs w:val="24"/>
        </w:rPr>
        <w:t xml:space="preserve"> known as </w:t>
      </w:r>
      <w:r w:rsidR="007955AB">
        <w:rPr>
          <w:rFonts w:cs="Arial"/>
          <w:szCs w:val="24"/>
        </w:rPr>
        <w:t>[...]</w:t>
      </w:r>
      <w:r w:rsidRPr="00A062BD">
        <w:rPr>
          <w:rFonts w:cs="Arial"/>
          <w:szCs w:val="24"/>
        </w:rPr>
        <w:t xml:space="preserve"> Opium Street, </w:t>
      </w:r>
      <w:proofErr w:type="spellStart"/>
      <w:r w:rsidRPr="00A062BD">
        <w:rPr>
          <w:rFonts w:cs="Arial"/>
          <w:szCs w:val="24"/>
        </w:rPr>
        <w:t>Doornport</w:t>
      </w:r>
      <w:proofErr w:type="spellEnd"/>
      <w:r w:rsidRPr="00A062BD">
        <w:rPr>
          <w:rFonts w:cs="Arial"/>
          <w:szCs w:val="24"/>
        </w:rPr>
        <w:t xml:space="preserve"> with immediate effect upon receipt of this order.</w:t>
      </w:r>
    </w:p>
    <w:p w14:paraId="440DA2DD" w14:textId="29CD12F9" w:rsidR="008A0A43" w:rsidRPr="00A062BD" w:rsidRDefault="0023054E" w:rsidP="008A0A43">
      <w:pPr>
        <w:pStyle w:val="1"/>
        <w:ind w:left="1134"/>
        <w:rPr>
          <w:rFonts w:cs="Arial"/>
          <w:szCs w:val="24"/>
        </w:rPr>
      </w:pPr>
      <w:r w:rsidRPr="00A062BD">
        <w:rPr>
          <w:rFonts w:cs="Arial"/>
          <w:szCs w:val="24"/>
        </w:rPr>
        <w:t>2. The third respondent is</w:t>
      </w:r>
      <w:r w:rsidR="008A0A43" w:rsidRPr="00A062BD">
        <w:rPr>
          <w:rFonts w:cs="Arial"/>
          <w:szCs w:val="24"/>
        </w:rPr>
        <w:t xml:space="preserve"> ordered not to approve any further loan applications by first and second respondents in relation to bond account number </w:t>
      </w:r>
      <w:r w:rsidR="007955AB">
        <w:rPr>
          <w:rFonts w:cs="Arial"/>
          <w:szCs w:val="24"/>
        </w:rPr>
        <w:t>[...]</w:t>
      </w:r>
      <w:r w:rsidR="008A0A43" w:rsidRPr="00A062BD">
        <w:rPr>
          <w:rFonts w:cs="Arial"/>
          <w:szCs w:val="24"/>
        </w:rPr>
        <w:t xml:space="preserve"> which</w:t>
      </w:r>
      <w:r w:rsidRPr="00A062BD">
        <w:rPr>
          <w:rFonts w:cs="Arial"/>
          <w:szCs w:val="24"/>
        </w:rPr>
        <w:t xml:space="preserve"> is</w:t>
      </w:r>
      <w:r w:rsidR="008A0A43" w:rsidRPr="00A062BD">
        <w:rPr>
          <w:rFonts w:cs="Arial"/>
          <w:szCs w:val="24"/>
        </w:rPr>
        <w:t xml:space="preserve"> registered under their names.</w:t>
      </w:r>
    </w:p>
    <w:p w14:paraId="5A2DCED3" w14:textId="69B01577" w:rsidR="0046451D" w:rsidRPr="00A062BD" w:rsidRDefault="0023054E" w:rsidP="008A0A43">
      <w:pPr>
        <w:pStyle w:val="1"/>
        <w:ind w:left="1134"/>
        <w:rPr>
          <w:rFonts w:cs="Arial"/>
          <w:szCs w:val="24"/>
        </w:rPr>
      </w:pPr>
      <w:r w:rsidRPr="00A062BD">
        <w:rPr>
          <w:rFonts w:cs="Arial"/>
          <w:szCs w:val="24"/>
        </w:rPr>
        <w:t>3. The fourth respondent is</w:t>
      </w:r>
      <w:r w:rsidR="008A0A43" w:rsidRPr="00A062BD">
        <w:rPr>
          <w:rFonts w:cs="Arial"/>
          <w:szCs w:val="24"/>
        </w:rPr>
        <w:t xml:space="preserve"> ordered to endorse the Title Deed and/ </w:t>
      </w:r>
      <w:r w:rsidR="005408E3" w:rsidRPr="00A062BD">
        <w:rPr>
          <w:rFonts w:cs="Arial"/>
          <w:szCs w:val="24"/>
        </w:rPr>
        <w:t>or its</w:t>
      </w:r>
      <w:r w:rsidR="008A0A43" w:rsidRPr="00A062BD">
        <w:rPr>
          <w:rFonts w:cs="Arial"/>
          <w:szCs w:val="24"/>
        </w:rPr>
        <w:t xml:space="preserve"> records for the property</w:t>
      </w:r>
      <w:r w:rsidR="0046451D" w:rsidRPr="00A062BD">
        <w:rPr>
          <w:rFonts w:cs="Arial"/>
          <w:szCs w:val="24"/>
        </w:rPr>
        <w:t xml:space="preserve"> Erf </w:t>
      </w:r>
      <w:r w:rsidR="007955AB">
        <w:rPr>
          <w:rFonts w:cs="Arial"/>
          <w:szCs w:val="24"/>
        </w:rPr>
        <w:t>[...]</w:t>
      </w:r>
      <w:r w:rsidR="0046451D" w:rsidRPr="00A062BD">
        <w:rPr>
          <w:rFonts w:cs="Arial"/>
          <w:szCs w:val="24"/>
        </w:rPr>
        <w:t xml:space="preserve"> </w:t>
      </w:r>
      <w:proofErr w:type="spellStart"/>
      <w:r w:rsidR="0046451D" w:rsidRPr="00A062BD">
        <w:rPr>
          <w:rFonts w:cs="Arial"/>
          <w:szCs w:val="24"/>
        </w:rPr>
        <w:t>Doornpoort</w:t>
      </w:r>
      <w:proofErr w:type="spellEnd"/>
      <w:r w:rsidR="0046451D" w:rsidRPr="00A062BD">
        <w:rPr>
          <w:rFonts w:cs="Arial"/>
          <w:szCs w:val="24"/>
        </w:rPr>
        <w:t xml:space="preserve"> Extension 34 Township Registration Division J.R </w:t>
      </w:r>
      <w:proofErr w:type="gramStart"/>
      <w:r w:rsidR="0046451D" w:rsidRPr="00A062BD">
        <w:rPr>
          <w:rFonts w:cs="Arial"/>
          <w:szCs w:val="24"/>
        </w:rPr>
        <w:t>and also</w:t>
      </w:r>
      <w:proofErr w:type="gramEnd"/>
      <w:r w:rsidR="0046451D" w:rsidRPr="00A062BD">
        <w:rPr>
          <w:rFonts w:cs="Arial"/>
          <w:szCs w:val="24"/>
        </w:rPr>
        <w:t xml:space="preserve"> known as </w:t>
      </w:r>
      <w:r w:rsidR="007955AB">
        <w:rPr>
          <w:rFonts w:cs="Arial"/>
          <w:szCs w:val="24"/>
        </w:rPr>
        <w:t>[...]</w:t>
      </w:r>
      <w:r w:rsidR="0046451D" w:rsidRPr="00A062BD">
        <w:rPr>
          <w:rFonts w:cs="Arial"/>
          <w:szCs w:val="24"/>
        </w:rPr>
        <w:t xml:space="preserve"> Opium Street, </w:t>
      </w:r>
      <w:proofErr w:type="spellStart"/>
      <w:r w:rsidR="0046451D" w:rsidRPr="00A062BD">
        <w:rPr>
          <w:rFonts w:cs="Arial"/>
          <w:szCs w:val="24"/>
        </w:rPr>
        <w:t>Doornport</w:t>
      </w:r>
      <w:proofErr w:type="spellEnd"/>
      <w:r w:rsidR="0046451D" w:rsidRPr="00A062BD">
        <w:rPr>
          <w:rFonts w:cs="Arial"/>
          <w:szCs w:val="24"/>
        </w:rPr>
        <w:t xml:space="preserve"> in favour of the applicants</w:t>
      </w:r>
      <w:r w:rsidR="00B26B8D">
        <w:rPr>
          <w:rFonts w:cs="Arial"/>
          <w:szCs w:val="24"/>
        </w:rPr>
        <w:t xml:space="preserve"> and</w:t>
      </w:r>
      <w:r w:rsidR="0046451D" w:rsidRPr="00A062BD">
        <w:rPr>
          <w:rFonts w:cs="Arial"/>
          <w:szCs w:val="24"/>
        </w:rPr>
        <w:t xml:space="preserve"> to bar first and second respondent from selling the said property to the third parties.</w:t>
      </w:r>
    </w:p>
    <w:p w14:paraId="2A646CFD" w14:textId="2C0FB043" w:rsidR="008A0A43" w:rsidRPr="00A062BD" w:rsidRDefault="0046451D" w:rsidP="008A0A43">
      <w:pPr>
        <w:pStyle w:val="1"/>
        <w:ind w:left="1134"/>
        <w:rPr>
          <w:rFonts w:cs="Arial"/>
          <w:szCs w:val="24"/>
        </w:rPr>
      </w:pPr>
      <w:r w:rsidRPr="00A062BD">
        <w:rPr>
          <w:rFonts w:cs="Arial"/>
          <w:szCs w:val="24"/>
        </w:rPr>
        <w:t>4. The first and second respondent</w:t>
      </w:r>
      <w:r w:rsidR="005408E3" w:rsidRPr="00A062BD">
        <w:rPr>
          <w:rFonts w:cs="Arial"/>
          <w:szCs w:val="24"/>
        </w:rPr>
        <w:t>s</w:t>
      </w:r>
      <w:r w:rsidRPr="00A062BD">
        <w:rPr>
          <w:rFonts w:cs="Arial"/>
          <w:szCs w:val="24"/>
        </w:rPr>
        <w:t xml:space="preserve"> are ordered to sign all the documents </w:t>
      </w:r>
      <w:r w:rsidRPr="00A062BD">
        <w:rPr>
          <w:rFonts w:cs="Arial"/>
          <w:szCs w:val="24"/>
        </w:rPr>
        <w:lastRenderedPageBreak/>
        <w:t xml:space="preserve">necessary to effect transfer of the property known as </w:t>
      </w:r>
      <w:proofErr w:type="spellStart"/>
      <w:r w:rsidRPr="00A062BD">
        <w:rPr>
          <w:rFonts w:cs="Arial"/>
          <w:szCs w:val="24"/>
        </w:rPr>
        <w:t>Doornpoort</w:t>
      </w:r>
      <w:proofErr w:type="spellEnd"/>
      <w:r w:rsidRPr="00A062BD">
        <w:rPr>
          <w:rFonts w:cs="Arial"/>
          <w:szCs w:val="24"/>
        </w:rPr>
        <w:t xml:space="preserve"> Extension 34</w:t>
      </w:r>
      <w:r w:rsidR="005408E3" w:rsidRPr="00A062BD">
        <w:rPr>
          <w:rFonts w:cs="Arial"/>
          <w:szCs w:val="24"/>
        </w:rPr>
        <w:t xml:space="preserve"> </w:t>
      </w:r>
      <w:r w:rsidRPr="00A062BD">
        <w:rPr>
          <w:rFonts w:cs="Arial"/>
          <w:szCs w:val="24"/>
        </w:rPr>
        <w:t xml:space="preserve">Township Registration Division J.R </w:t>
      </w:r>
      <w:proofErr w:type="gramStart"/>
      <w:r w:rsidRPr="00A062BD">
        <w:rPr>
          <w:rFonts w:cs="Arial"/>
          <w:szCs w:val="24"/>
        </w:rPr>
        <w:t>and also</w:t>
      </w:r>
      <w:proofErr w:type="gramEnd"/>
      <w:r w:rsidRPr="00A062BD">
        <w:rPr>
          <w:rFonts w:cs="Arial"/>
          <w:szCs w:val="24"/>
        </w:rPr>
        <w:t xml:space="preserve"> known as </w:t>
      </w:r>
      <w:r w:rsidR="007955AB">
        <w:rPr>
          <w:rFonts w:cs="Arial"/>
          <w:szCs w:val="24"/>
        </w:rPr>
        <w:t>[...]</w:t>
      </w:r>
      <w:r w:rsidRPr="00A062BD">
        <w:rPr>
          <w:rFonts w:cs="Arial"/>
          <w:szCs w:val="24"/>
        </w:rPr>
        <w:t xml:space="preserve"> Opium Street, </w:t>
      </w:r>
      <w:proofErr w:type="spellStart"/>
      <w:r w:rsidRPr="00A062BD">
        <w:rPr>
          <w:rFonts w:cs="Arial"/>
          <w:szCs w:val="24"/>
        </w:rPr>
        <w:t>Doornport</w:t>
      </w:r>
      <w:proofErr w:type="spellEnd"/>
      <w:r w:rsidRPr="00A062BD">
        <w:rPr>
          <w:rFonts w:cs="Arial"/>
          <w:szCs w:val="24"/>
        </w:rPr>
        <w:t xml:space="preserve"> in term of Home Exchange Agreement concluded with applicants.</w:t>
      </w:r>
    </w:p>
    <w:p w14:paraId="69B5F4CF" w14:textId="5075F452" w:rsidR="0046451D" w:rsidRPr="00A062BD" w:rsidRDefault="0046451D" w:rsidP="008A0A43">
      <w:pPr>
        <w:pStyle w:val="1"/>
        <w:ind w:left="1134"/>
        <w:rPr>
          <w:rFonts w:cs="Arial"/>
          <w:szCs w:val="24"/>
        </w:rPr>
      </w:pPr>
      <w:r w:rsidRPr="00A062BD">
        <w:rPr>
          <w:rFonts w:cs="Arial"/>
          <w:szCs w:val="24"/>
        </w:rPr>
        <w:t>5. The immovable</w:t>
      </w:r>
      <w:r w:rsidR="005408E3" w:rsidRPr="00A062BD">
        <w:rPr>
          <w:rFonts w:cs="Arial"/>
          <w:szCs w:val="24"/>
        </w:rPr>
        <w:t xml:space="preserve"> property, </w:t>
      </w:r>
      <w:proofErr w:type="spellStart"/>
      <w:r w:rsidRPr="00A062BD">
        <w:rPr>
          <w:rFonts w:cs="Arial"/>
          <w:szCs w:val="24"/>
        </w:rPr>
        <w:t>Doornpoort</w:t>
      </w:r>
      <w:proofErr w:type="spellEnd"/>
      <w:r w:rsidRPr="00A062BD">
        <w:rPr>
          <w:rFonts w:cs="Arial"/>
          <w:szCs w:val="24"/>
        </w:rPr>
        <w:t xml:space="preserve"> Extension 34 Township Registration Division J.R </w:t>
      </w:r>
      <w:proofErr w:type="gramStart"/>
      <w:r w:rsidRPr="00A062BD">
        <w:rPr>
          <w:rFonts w:cs="Arial"/>
          <w:szCs w:val="24"/>
        </w:rPr>
        <w:t>and also</w:t>
      </w:r>
      <w:proofErr w:type="gramEnd"/>
      <w:r w:rsidRPr="00A062BD">
        <w:rPr>
          <w:rFonts w:cs="Arial"/>
          <w:szCs w:val="24"/>
        </w:rPr>
        <w:t xml:space="preserve"> known as </w:t>
      </w:r>
      <w:r w:rsidR="007955AB">
        <w:rPr>
          <w:rFonts w:cs="Arial"/>
          <w:szCs w:val="24"/>
        </w:rPr>
        <w:t>[...]</w:t>
      </w:r>
      <w:r w:rsidRPr="00A062BD">
        <w:rPr>
          <w:rFonts w:cs="Arial"/>
          <w:szCs w:val="24"/>
        </w:rPr>
        <w:t xml:space="preserve"> Opium Street, </w:t>
      </w:r>
      <w:proofErr w:type="spellStart"/>
      <w:r w:rsidRPr="00A062BD">
        <w:rPr>
          <w:rFonts w:cs="Arial"/>
          <w:szCs w:val="24"/>
        </w:rPr>
        <w:t>Doornport</w:t>
      </w:r>
      <w:proofErr w:type="spellEnd"/>
      <w:r w:rsidRPr="00A062BD">
        <w:rPr>
          <w:rFonts w:cs="Arial"/>
          <w:szCs w:val="24"/>
        </w:rPr>
        <w:t xml:space="preserve"> be transferred into the names of applicants once the bond with third respondent is fully settled.</w:t>
      </w:r>
    </w:p>
    <w:p w14:paraId="047D8D4F" w14:textId="77777777" w:rsidR="005D7609" w:rsidRPr="00A062BD" w:rsidRDefault="0046451D" w:rsidP="008A0A43">
      <w:pPr>
        <w:pStyle w:val="1"/>
        <w:ind w:left="1134"/>
        <w:rPr>
          <w:rFonts w:cs="Arial"/>
          <w:szCs w:val="24"/>
        </w:rPr>
      </w:pPr>
      <w:r w:rsidRPr="00A062BD">
        <w:rPr>
          <w:rFonts w:cs="Arial"/>
          <w:szCs w:val="24"/>
        </w:rPr>
        <w:t xml:space="preserve">6. In the event first and second respondents </w:t>
      </w:r>
      <w:r w:rsidR="005D7609" w:rsidRPr="00A062BD">
        <w:rPr>
          <w:rFonts w:cs="Arial"/>
          <w:szCs w:val="24"/>
        </w:rPr>
        <w:t>fail or</w:t>
      </w:r>
      <w:r w:rsidRPr="00A062BD">
        <w:rPr>
          <w:rFonts w:cs="Arial"/>
          <w:szCs w:val="24"/>
        </w:rPr>
        <w:t xml:space="preserve"> refuse to comp</w:t>
      </w:r>
      <w:r w:rsidR="005408E3" w:rsidRPr="00A062BD">
        <w:rPr>
          <w:rFonts w:cs="Arial"/>
          <w:szCs w:val="24"/>
        </w:rPr>
        <w:t>ly with the order in paragraph 4 above, the S</w:t>
      </w:r>
      <w:r w:rsidRPr="00A062BD">
        <w:rPr>
          <w:rFonts w:cs="Arial"/>
          <w:szCs w:val="24"/>
        </w:rPr>
        <w:t xml:space="preserve">heriff Pretoria </w:t>
      </w:r>
      <w:r w:rsidR="005D7609" w:rsidRPr="00A062BD">
        <w:rPr>
          <w:rFonts w:cs="Arial"/>
          <w:szCs w:val="24"/>
        </w:rPr>
        <w:t>central is</w:t>
      </w:r>
      <w:r w:rsidRPr="00A062BD">
        <w:rPr>
          <w:rFonts w:cs="Arial"/>
          <w:szCs w:val="24"/>
        </w:rPr>
        <w:t xml:space="preserve"> hereby authorised to sign</w:t>
      </w:r>
      <w:r w:rsidR="005D7609" w:rsidRPr="00A062BD">
        <w:rPr>
          <w:rFonts w:cs="Arial"/>
          <w:szCs w:val="24"/>
        </w:rPr>
        <w:t xml:space="preserve"> the transfer documents.</w:t>
      </w:r>
    </w:p>
    <w:p w14:paraId="5FA2B696" w14:textId="77777777" w:rsidR="005D7609" w:rsidRPr="00A062BD" w:rsidRDefault="005408E3" w:rsidP="008A0A43">
      <w:pPr>
        <w:pStyle w:val="1"/>
        <w:ind w:left="1134"/>
        <w:rPr>
          <w:rFonts w:cs="Arial"/>
          <w:szCs w:val="24"/>
        </w:rPr>
      </w:pPr>
      <w:r w:rsidRPr="00A062BD">
        <w:rPr>
          <w:rFonts w:cs="Arial"/>
          <w:szCs w:val="24"/>
        </w:rPr>
        <w:t>7. T</w:t>
      </w:r>
      <w:r w:rsidR="005D7609" w:rsidRPr="00A062BD">
        <w:rPr>
          <w:rFonts w:cs="Arial"/>
          <w:szCs w:val="24"/>
        </w:rPr>
        <w:t>he first and second respondents are ordered to pay costs on attorney and client scale</w:t>
      </w:r>
      <w:r w:rsidRPr="00A062BD">
        <w:rPr>
          <w:rFonts w:cs="Arial"/>
          <w:szCs w:val="24"/>
        </w:rPr>
        <w:t>. A</w:t>
      </w:r>
      <w:r w:rsidR="005D7609" w:rsidRPr="00A062BD">
        <w:rPr>
          <w:rFonts w:cs="Arial"/>
          <w:szCs w:val="24"/>
        </w:rPr>
        <w:t>ny other party who opposes this application to pay the applicants costs</w:t>
      </w:r>
      <w:r w:rsidRPr="00A062BD">
        <w:rPr>
          <w:rFonts w:cs="Arial"/>
          <w:szCs w:val="24"/>
        </w:rPr>
        <w:t xml:space="preserve"> on the same scale</w:t>
      </w:r>
      <w:r w:rsidR="005D7609" w:rsidRPr="00A062BD">
        <w:rPr>
          <w:rFonts w:cs="Arial"/>
          <w:szCs w:val="24"/>
        </w:rPr>
        <w:t>.</w:t>
      </w:r>
    </w:p>
    <w:p w14:paraId="00437CC0" w14:textId="77777777" w:rsidR="0046451D" w:rsidRDefault="005D7609" w:rsidP="008A0A43">
      <w:pPr>
        <w:pStyle w:val="1"/>
        <w:ind w:left="1134"/>
        <w:rPr>
          <w:rFonts w:cs="Arial"/>
          <w:szCs w:val="24"/>
        </w:rPr>
      </w:pPr>
      <w:r w:rsidRPr="00A062BD">
        <w:rPr>
          <w:rFonts w:cs="Arial"/>
          <w:szCs w:val="24"/>
        </w:rPr>
        <w:t xml:space="preserve">8. The Counter application is dismissed with costs. </w:t>
      </w:r>
      <w:r w:rsidR="0046451D" w:rsidRPr="00A062BD">
        <w:rPr>
          <w:rFonts w:cs="Arial"/>
          <w:szCs w:val="24"/>
        </w:rPr>
        <w:t xml:space="preserve"> </w:t>
      </w:r>
    </w:p>
    <w:p w14:paraId="38158693" w14:textId="77777777" w:rsidR="00B26B8D" w:rsidRPr="00A062BD" w:rsidRDefault="00B26B8D" w:rsidP="008A0A43">
      <w:pPr>
        <w:pStyle w:val="1"/>
        <w:ind w:left="1134"/>
        <w:rPr>
          <w:rFonts w:cs="Arial"/>
          <w:szCs w:val="24"/>
        </w:rPr>
      </w:pPr>
    </w:p>
    <w:p w14:paraId="2CD8916B" w14:textId="77777777" w:rsidR="005D7609" w:rsidRPr="00A062BD" w:rsidRDefault="005D7609" w:rsidP="005D7609">
      <w:pPr>
        <w:ind w:left="1080"/>
        <w:contextualSpacing/>
        <w:jc w:val="right"/>
        <w:rPr>
          <w:rFonts w:ascii="Arial" w:eastAsia="Calibri" w:hAnsi="Arial" w:cs="Arial"/>
          <w:b/>
          <w:iCs/>
          <w:sz w:val="24"/>
          <w:szCs w:val="24"/>
        </w:rPr>
      </w:pPr>
    </w:p>
    <w:p w14:paraId="0B4F79D6" w14:textId="77777777" w:rsidR="005D7609" w:rsidRPr="00A062BD" w:rsidRDefault="005D7609" w:rsidP="005D7609">
      <w:pPr>
        <w:contextualSpacing/>
        <w:jc w:val="right"/>
        <w:rPr>
          <w:rFonts w:ascii="Arial" w:eastAsia="Calibri" w:hAnsi="Arial" w:cs="Arial"/>
          <w:b/>
          <w:iCs/>
          <w:sz w:val="24"/>
          <w:szCs w:val="24"/>
        </w:rPr>
      </w:pPr>
      <w:r w:rsidRPr="00A062BD">
        <w:rPr>
          <w:rFonts w:ascii="Arial" w:eastAsia="Calibri" w:hAnsi="Arial" w:cs="Arial"/>
          <w:b/>
          <w:iCs/>
          <w:sz w:val="24"/>
          <w:szCs w:val="24"/>
        </w:rPr>
        <w:t>__________________________</w:t>
      </w:r>
    </w:p>
    <w:p w14:paraId="0301B08E" w14:textId="77777777" w:rsidR="005D7609" w:rsidRPr="00A062BD" w:rsidRDefault="005D7609" w:rsidP="005D7609">
      <w:pPr>
        <w:ind w:left="1080"/>
        <w:contextualSpacing/>
        <w:jc w:val="right"/>
        <w:rPr>
          <w:rFonts w:ascii="Arial" w:eastAsia="Calibri" w:hAnsi="Arial" w:cs="Arial"/>
          <w:b/>
          <w:iCs/>
          <w:sz w:val="24"/>
          <w:szCs w:val="24"/>
        </w:rPr>
      </w:pPr>
      <w:r w:rsidRPr="00A062BD">
        <w:rPr>
          <w:rFonts w:ascii="Arial" w:eastAsia="Calibri" w:hAnsi="Arial" w:cs="Arial"/>
          <w:b/>
          <w:iCs/>
          <w:sz w:val="24"/>
          <w:szCs w:val="24"/>
        </w:rPr>
        <w:t xml:space="preserve">SELBY BAQWA </w:t>
      </w:r>
    </w:p>
    <w:p w14:paraId="72DEF8B2" w14:textId="77777777" w:rsidR="005D7609" w:rsidRPr="00A062BD" w:rsidRDefault="005D7609" w:rsidP="005D7609">
      <w:pPr>
        <w:spacing w:after="236"/>
        <w:ind w:left="10" w:right="56"/>
        <w:jc w:val="right"/>
        <w:rPr>
          <w:rFonts w:ascii="Arial" w:eastAsia="Calibri" w:hAnsi="Arial" w:cs="Arial"/>
          <w:sz w:val="24"/>
          <w:szCs w:val="24"/>
        </w:rPr>
      </w:pPr>
      <w:r w:rsidRPr="00A062BD">
        <w:rPr>
          <w:rFonts w:ascii="Arial" w:eastAsia="Calibri" w:hAnsi="Arial" w:cs="Arial"/>
          <w:color w:val="000000"/>
          <w:sz w:val="24"/>
          <w:szCs w:val="24"/>
        </w:rPr>
        <w:t xml:space="preserve">JUDGE OF THE HIGH COURT  </w:t>
      </w:r>
    </w:p>
    <w:p w14:paraId="6EF7BEF2" w14:textId="77777777" w:rsidR="005D7609" w:rsidRPr="00A062BD" w:rsidRDefault="005D7609" w:rsidP="005D7609">
      <w:pPr>
        <w:keepNext/>
        <w:keepLines/>
        <w:spacing w:after="236"/>
        <w:ind w:left="10" w:right="56" w:hanging="10"/>
        <w:jc w:val="right"/>
        <w:outlineLvl w:val="1"/>
        <w:rPr>
          <w:rFonts w:ascii="Arial" w:eastAsia="Arial" w:hAnsi="Arial" w:cs="Arial"/>
          <w:color w:val="000000"/>
          <w:sz w:val="24"/>
          <w:szCs w:val="24"/>
        </w:rPr>
      </w:pPr>
      <w:r w:rsidRPr="00A062BD">
        <w:rPr>
          <w:rFonts w:ascii="Arial" w:eastAsia="Arial" w:hAnsi="Arial" w:cs="Arial"/>
          <w:color w:val="000000"/>
          <w:sz w:val="24"/>
          <w:szCs w:val="24"/>
        </w:rPr>
        <w:t xml:space="preserve">GAUTENG DIVISION, PRETORIA </w:t>
      </w:r>
    </w:p>
    <w:p w14:paraId="31654B9E" w14:textId="77777777" w:rsidR="005D7609" w:rsidRPr="00A062BD" w:rsidRDefault="005D7609" w:rsidP="005D7609">
      <w:pPr>
        <w:spacing w:after="0" w:line="256" w:lineRule="auto"/>
        <w:rPr>
          <w:rFonts w:ascii="Arial" w:eastAsia="Calibri" w:hAnsi="Arial" w:cs="Arial"/>
          <w:sz w:val="24"/>
          <w:szCs w:val="24"/>
        </w:rPr>
      </w:pPr>
    </w:p>
    <w:p w14:paraId="1612B010" w14:textId="77777777" w:rsidR="005D7609" w:rsidRPr="00A062BD" w:rsidRDefault="005D7609" w:rsidP="005D7609">
      <w:pPr>
        <w:rPr>
          <w:rFonts w:ascii="Arial" w:eastAsia="Calibri" w:hAnsi="Arial" w:cs="Arial"/>
          <w:iCs/>
          <w:sz w:val="24"/>
          <w:szCs w:val="24"/>
        </w:rPr>
      </w:pPr>
      <w:r w:rsidRPr="00A062BD">
        <w:rPr>
          <w:rFonts w:ascii="Arial" w:eastAsia="Calibri" w:hAnsi="Arial" w:cs="Arial"/>
          <w:iCs/>
          <w:sz w:val="24"/>
          <w:szCs w:val="24"/>
        </w:rPr>
        <w:t>Da</w:t>
      </w:r>
      <w:r w:rsidR="0096684B" w:rsidRPr="00A062BD">
        <w:rPr>
          <w:rFonts w:ascii="Arial" w:eastAsia="Calibri" w:hAnsi="Arial" w:cs="Arial"/>
          <w:iCs/>
          <w:sz w:val="24"/>
          <w:szCs w:val="24"/>
        </w:rPr>
        <w:t>te of hearing:  5 February 2024</w:t>
      </w:r>
    </w:p>
    <w:p w14:paraId="65F90A1C" w14:textId="77777777" w:rsidR="005D7609" w:rsidRPr="00A062BD" w:rsidRDefault="0096684B" w:rsidP="005D7609">
      <w:pPr>
        <w:rPr>
          <w:rFonts w:ascii="Arial" w:eastAsia="Calibri" w:hAnsi="Arial" w:cs="Arial"/>
          <w:iCs/>
          <w:sz w:val="24"/>
          <w:szCs w:val="24"/>
        </w:rPr>
      </w:pPr>
      <w:r w:rsidRPr="00A062BD">
        <w:rPr>
          <w:rFonts w:ascii="Arial" w:eastAsia="Calibri" w:hAnsi="Arial" w:cs="Arial"/>
          <w:iCs/>
          <w:sz w:val="24"/>
          <w:szCs w:val="24"/>
        </w:rPr>
        <w:t>Date of judgment:  May</w:t>
      </w:r>
      <w:r w:rsidR="005D7609" w:rsidRPr="00A062BD">
        <w:rPr>
          <w:rFonts w:ascii="Arial" w:eastAsia="Calibri" w:hAnsi="Arial" w:cs="Arial"/>
          <w:iCs/>
          <w:sz w:val="24"/>
          <w:szCs w:val="24"/>
        </w:rPr>
        <w:t xml:space="preserve"> 2024</w:t>
      </w:r>
    </w:p>
    <w:p w14:paraId="1E05CC22" w14:textId="77777777" w:rsidR="005D7609" w:rsidRPr="00A062BD" w:rsidRDefault="005D7609" w:rsidP="005D7609">
      <w:pPr>
        <w:rPr>
          <w:rFonts w:ascii="Arial" w:eastAsia="Calibri" w:hAnsi="Arial" w:cs="Arial"/>
          <w:iCs/>
          <w:sz w:val="24"/>
          <w:szCs w:val="24"/>
        </w:rPr>
      </w:pPr>
      <w:r w:rsidRPr="00A062BD">
        <w:rPr>
          <w:rFonts w:ascii="Arial" w:eastAsia="Calibri" w:hAnsi="Arial" w:cs="Arial"/>
          <w:b/>
          <w:iCs/>
          <w:sz w:val="24"/>
          <w:szCs w:val="24"/>
          <w:u w:val="single"/>
        </w:rPr>
        <w:lastRenderedPageBreak/>
        <w:t xml:space="preserve">Appearance </w:t>
      </w:r>
    </w:p>
    <w:p w14:paraId="5F7506C5" w14:textId="77777777" w:rsidR="005D7609" w:rsidRPr="00A062BD" w:rsidRDefault="005D7609" w:rsidP="005D7609">
      <w:pPr>
        <w:rPr>
          <w:rFonts w:ascii="Arial" w:eastAsia="Calibri" w:hAnsi="Arial" w:cs="Arial"/>
          <w:iCs/>
          <w:sz w:val="24"/>
          <w:szCs w:val="24"/>
        </w:rPr>
      </w:pPr>
      <w:r w:rsidRPr="00A062BD">
        <w:rPr>
          <w:rFonts w:ascii="Arial" w:eastAsia="Calibri" w:hAnsi="Arial" w:cs="Arial"/>
          <w:iCs/>
          <w:sz w:val="24"/>
          <w:szCs w:val="24"/>
        </w:rPr>
        <w:t xml:space="preserve"> On behalf of the Applicants                               Adv J Delport                                                                                                   </w:t>
      </w:r>
    </w:p>
    <w:p w14:paraId="2791AC47" w14:textId="77777777" w:rsidR="00B26B8D" w:rsidRDefault="005D7609" w:rsidP="005D7609">
      <w:pPr>
        <w:rPr>
          <w:rFonts w:ascii="Arial" w:eastAsia="Calibri" w:hAnsi="Arial" w:cs="Arial"/>
          <w:iCs/>
          <w:sz w:val="24"/>
          <w:szCs w:val="24"/>
        </w:rPr>
      </w:pPr>
      <w:r w:rsidRPr="00A062BD">
        <w:rPr>
          <w:rFonts w:ascii="Arial" w:eastAsia="Calibri" w:hAnsi="Arial" w:cs="Arial"/>
          <w:iCs/>
          <w:sz w:val="24"/>
          <w:szCs w:val="24"/>
        </w:rPr>
        <w:t xml:space="preserve">                                                                            </w:t>
      </w:r>
      <w:hyperlink r:id="rId11" w:history="1">
        <w:r w:rsidRPr="00A062BD">
          <w:rPr>
            <w:rStyle w:val="Hyperlink"/>
            <w:rFonts w:ascii="Arial" w:eastAsia="Calibri" w:hAnsi="Arial" w:cs="Arial"/>
            <w:iCs/>
            <w:sz w:val="24"/>
            <w:szCs w:val="24"/>
          </w:rPr>
          <w:t>delport@clubadvocates.co.za</w:t>
        </w:r>
      </w:hyperlink>
      <w:r w:rsidRPr="00A062BD">
        <w:rPr>
          <w:rFonts w:ascii="Arial" w:eastAsia="Calibri" w:hAnsi="Arial" w:cs="Arial"/>
          <w:iCs/>
          <w:sz w:val="24"/>
          <w:szCs w:val="24"/>
        </w:rPr>
        <w:t xml:space="preserve"> </w:t>
      </w:r>
    </w:p>
    <w:p w14:paraId="1A8AEB2C" w14:textId="77777777" w:rsidR="005D7609" w:rsidRPr="00A062BD" w:rsidRDefault="005D7609" w:rsidP="005D7609">
      <w:pPr>
        <w:rPr>
          <w:rFonts w:ascii="Arial" w:eastAsia="Calibri" w:hAnsi="Arial" w:cs="Arial"/>
          <w:iCs/>
          <w:sz w:val="24"/>
          <w:szCs w:val="24"/>
        </w:rPr>
      </w:pPr>
      <w:r w:rsidRPr="00A062BD">
        <w:rPr>
          <w:rFonts w:ascii="Arial" w:eastAsia="Calibri" w:hAnsi="Arial" w:cs="Arial"/>
          <w:iCs/>
          <w:sz w:val="24"/>
          <w:szCs w:val="24"/>
        </w:rPr>
        <w:t xml:space="preserve">                                                                                                                                                On behalf of the Respondents                             Adv RS </w:t>
      </w:r>
      <w:proofErr w:type="spellStart"/>
      <w:r w:rsidRPr="00A062BD">
        <w:rPr>
          <w:rFonts w:ascii="Arial" w:eastAsia="Calibri" w:hAnsi="Arial" w:cs="Arial"/>
          <w:iCs/>
          <w:sz w:val="24"/>
          <w:szCs w:val="24"/>
        </w:rPr>
        <w:t>Mafuyeka</w:t>
      </w:r>
      <w:proofErr w:type="spellEnd"/>
    </w:p>
    <w:p w14:paraId="5E6CC67B" w14:textId="77777777" w:rsidR="00B26B8D" w:rsidRDefault="005D7609" w:rsidP="00B26B8D">
      <w:pPr>
        <w:jc w:val="right"/>
        <w:rPr>
          <w:rFonts w:ascii="Arial" w:hAnsi="Arial" w:cs="Arial"/>
          <w:sz w:val="24"/>
          <w:szCs w:val="24"/>
        </w:rPr>
      </w:pPr>
      <w:r w:rsidRPr="00A062BD">
        <w:rPr>
          <w:rFonts w:ascii="Arial" w:hAnsi="Arial" w:cs="Arial"/>
          <w:sz w:val="24"/>
          <w:szCs w:val="24"/>
        </w:rPr>
        <w:t xml:space="preserve">                                                                                                         </w:t>
      </w:r>
      <w:r w:rsidR="00B26B8D">
        <w:rPr>
          <w:rFonts w:ascii="Arial" w:hAnsi="Arial" w:cs="Arial"/>
          <w:sz w:val="24"/>
          <w:szCs w:val="24"/>
        </w:rPr>
        <w:t xml:space="preserve">           </w:t>
      </w:r>
    </w:p>
    <w:p w14:paraId="0E07522D" w14:textId="77777777" w:rsidR="005D7609" w:rsidRPr="00A062BD" w:rsidRDefault="00B26B8D" w:rsidP="00B26B8D">
      <w:pPr>
        <w:jc w:val="center"/>
        <w:rPr>
          <w:rFonts w:ascii="Arial" w:eastAsia="Calibri" w:hAnsi="Arial" w:cs="Arial"/>
          <w:iCs/>
          <w:sz w:val="24"/>
          <w:szCs w:val="24"/>
        </w:rPr>
      </w:pPr>
      <w:r>
        <w:rPr>
          <w:rFonts w:ascii="Arial" w:hAnsi="Arial" w:cs="Arial"/>
          <w:sz w:val="24"/>
          <w:szCs w:val="24"/>
        </w:rPr>
        <w:t xml:space="preserve">                                                    </w:t>
      </w:r>
      <w:hyperlink r:id="rId12" w:history="1">
        <w:r w:rsidR="005D7609" w:rsidRPr="00A062BD">
          <w:rPr>
            <w:rStyle w:val="Hyperlink"/>
            <w:rFonts w:ascii="Arial" w:hAnsi="Arial" w:cs="Arial"/>
            <w:sz w:val="24"/>
            <w:szCs w:val="24"/>
          </w:rPr>
          <w:t>sipho@mafuyeka.co.za</w:t>
        </w:r>
      </w:hyperlink>
    </w:p>
    <w:p w14:paraId="49E834A1" w14:textId="77777777" w:rsidR="005D7609" w:rsidRPr="00A062BD" w:rsidRDefault="005D7609" w:rsidP="005D7609">
      <w:pPr>
        <w:rPr>
          <w:rFonts w:ascii="Arial" w:eastAsia="Calibri" w:hAnsi="Arial" w:cs="Arial"/>
          <w:iCs/>
          <w:sz w:val="24"/>
          <w:szCs w:val="24"/>
        </w:rPr>
      </w:pPr>
      <w:r w:rsidRPr="00A062BD">
        <w:rPr>
          <w:rFonts w:ascii="Arial" w:eastAsia="Calibri" w:hAnsi="Arial" w:cs="Arial"/>
          <w:iCs/>
          <w:sz w:val="24"/>
          <w:szCs w:val="24"/>
        </w:rPr>
        <w:t xml:space="preserve">                </w:t>
      </w:r>
      <w:r w:rsidR="00B26B8D">
        <w:rPr>
          <w:rFonts w:ascii="Arial" w:eastAsia="Calibri" w:hAnsi="Arial" w:cs="Arial"/>
          <w:iCs/>
          <w:sz w:val="24"/>
          <w:szCs w:val="24"/>
        </w:rPr>
        <w:t xml:space="preserve">                          </w:t>
      </w:r>
      <w:r w:rsidRPr="00A062BD">
        <w:rPr>
          <w:rFonts w:ascii="Arial" w:eastAsia="Calibri" w:hAnsi="Arial" w:cs="Arial"/>
          <w:iCs/>
          <w:sz w:val="24"/>
          <w:szCs w:val="24"/>
        </w:rPr>
        <w:t xml:space="preserve"> </w:t>
      </w:r>
    </w:p>
    <w:p w14:paraId="6C37EBBD" w14:textId="77777777" w:rsidR="005D7609" w:rsidRPr="00A062BD" w:rsidRDefault="005D7609" w:rsidP="005D7609">
      <w:pPr>
        <w:rPr>
          <w:rFonts w:ascii="Arial" w:eastAsia="Calibri" w:hAnsi="Arial" w:cs="Arial"/>
          <w:iCs/>
          <w:sz w:val="24"/>
          <w:szCs w:val="24"/>
        </w:rPr>
      </w:pPr>
      <w:r w:rsidRPr="00A062BD">
        <w:rPr>
          <w:rFonts w:ascii="Arial" w:eastAsia="Calibri" w:hAnsi="Arial" w:cs="Arial"/>
          <w:iCs/>
          <w:sz w:val="24"/>
          <w:szCs w:val="24"/>
        </w:rPr>
        <w:t xml:space="preserve">                          </w:t>
      </w:r>
    </w:p>
    <w:p w14:paraId="385B970A" w14:textId="77777777" w:rsidR="005D7609" w:rsidRPr="00A062BD" w:rsidRDefault="005D7609" w:rsidP="005D7609">
      <w:pPr>
        <w:pStyle w:val="MEMONUMBERED"/>
        <w:numPr>
          <w:ilvl w:val="0"/>
          <w:numId w:val="0"/>
        </w:numPr>
        <w:ind w:left="360"/>
        <w:rPr>
          <w:rFonts w:ascii="Arial" w:hAnsi="Arial" w:cs="Arial"/>
          <w:highlight w:val="yellow"/>
        </w:rPr>
      </w:pPr>
    </w:p>
    <w:p w14:paraId="2CBE2B55" w14:textId="77777777" w:rsidR="005D7609" w:rsidRPr="00A062BD" w:rsidRDefault="005D7609" w:rsidP="005D7609">
      <w:pPr>
        <w:spacing w:after="0" w:line="240" w:lineRule="auto"/>
        <w:jc w:val="both"/>
        <w:rPr>
          <w:rFonts w:ascii="Arial" w:hAnsi="Arial" w:cs="Arial"/>
          <w:sz w:val="24"/>
          <w:szCs w:val="24"/>
        </w:rPr>
      </w:pPr>
    </w:p>
    <w:p w14:paraId="16912769" w14:textId="77777777" w:rsidR="00F37A87" w:rsidRPr="00A062BD" w:rsidRDefault="00F37A87" w:rsidP="000D6583">
      <w:pPr>
        <w:pStyle w:val="1"/>
        <w:rPr>
          <w:rFonts w:cs="Arial"/>
          <w:szCs w:val="24"/>
        </w:rPr>
      </w:pPr>
      <w:r w:rsidRPr="00A062BD">
        <w:rPr>
          <w:rFonts w:cs="Arial"/>
          <w:szCs w:val="24"/>
        </w:rPr>
        <w:t xml:space="preserve"> </w:t>
      </w:r>
    </w:p>
    <w:p w14:paraId="59A19E37" w14:textId="77777777" w:rsidR="003B6C3A" w:rsidRPr="00A062BD" w:rsidRDefault="003B6C3A" w:rsidP="003B6C3A">
      <w:pPr>
        <w:pStyle w:val="1"/>
        <w:ind w:left="1287"/>
        <w:rPr>
          <w:rFonts w:cs="Arial"/>
          <w:szCs w:val="24"/>
        </w:rPr>
      </w:pPr>
    </w:p>
    <w:p w14:paraId="283F913A" w14:textId="77777777" w:rsidR="00391344" w:rsidRPr="00A062BD" w:rsidRDefault="00391344" w:rsidP="00C121BE">
      <w:pPr>
        <w:pStyle w:val="1"/>
        <w:rPr>
          <w:rFonts w:cs="Arial"/>
          <w:szCs w:val="24"/>
        </w:rPr>
      </w:pPr>
      <w:r w:rsidRPr="00A062BD">
        <w:rPr>
          <w:rFonts w:cs="Arial"/>
          <w:szCs w:val="24"/>
        </w:rPr>
        <w:t xml:space="preserve"> </w:t>
      </w:r>
    </w:p>
    <w:p w14:paraId="29B33178" w14:textId="77777777" w:rsidR="00E66E33" w:rsidRPr="00A062BD" w:rsidRDefault="00E66E33" w:rsidP="0096684B">
      <w:pPr>
        <w:pStyle w:val="1"/>
        <w:ind w:left="0" w:firstLine="0"/>
        <w:rPr>
          <w:rFonts w:cs="Arial"/>
          <w:szCs w:val="24"/>
        </w:rPr>
      </w:pPr>
    </w:p>
    <w:sectPr w:rsidR="00E66E33" w:rsidRPr="00A062B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A2354B" w14:textId="77777777" w:rsidR="00EE0A6B" w:rsidRDefault="00EE0A6B" w:rsidP="0003793B">
      <w:pPr>
        <w:spacing w:after="0" w:line="240" w:lineRule="auto"/>
      </w:pPr>
      <w:r>
        <w:separator/>
      </w:r>
    </w:p>
  </w:endnote>
  <w:endnote w:type="continuationSeparator" w:id="0">
    <w:p w14:paraId="484EC0C5" w14:textId="77777777" w:rsidR="00EE0A6B" w:rsidRDefault="00EE0A6B" w:rsidP="0003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DF6D4" w14:textId="77777777" w:rsidR="0003793B" w:rsidRDefault="00037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0091360"/>
      <w:docPartObj>
        <w:docPartGallery w:val="Page Numbers (Bottom of Page)"/>
        <w:docPartUnique/>
      </w:docPartObj>
    </w:sdtPr>
    <w:sdtEndPr>
      <w:rPr>
        <w:color w:val="7F7F7F" w:themeColor="background1" w:themeShade="7F"/>
        <w:spacing w:val="60"/>
      </w:rPr>
    </w:sdtEndPr>
    <w:sdtContent>
      <w:p w14:paraId="50FB09DF" w14:textId="77777777" w:rsidR="0003793B" w:rsidRDefault="0003793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7E07" w:rsidRPr="00BF7E07">
          <w:rPr>
            <w:b/>
            <w:bCs/>
            <w:noProof/>
          </w:rPr>
          <w:t>1</w:t>
        </w:r>
        <w:r>
          <w:rPr>
            <w:b/>
            <w:bCs/>
            <w:noProof/>
          </w:rPr>
          <w:fldChar w:fldCharType="end"/>
        </w:r>
        <w:r>
          <w:rPr>
            <w:b/>
            <w:bCs/>
          </w:rPr>
          <w:t xml:space="preserve"> | </w:t>
        </w:r>
        <w:r>
          <w:rPr>
            <w:color w:val="7F7F7F" w:themeColor="background1" w:themeShade="7F"/>
            <w:spacing w:val="60"/>
          </w:rPr>
          <w:t>Page</w:t>
        </w:r>
      </w:p>
    </w:sdtContent>
  </w:sdt>
  <w:p w14:paraId="49B68E59" w14:textId="77777777" w:rsidR="0003793B" w:rsidRDefault="00037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6E9C2" w14:textId="77777777" w:rsidR="0003793B" w:rsidRDefault="00037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41449" w14:textId="77777777" w:rsidR="00EE0A6B" w:rsidRDefault="00EE0A6B" w:rsidP="0003793B">
      <w:pPr>
        <w:spacing w:after="0" w:line="240" w:lineRule="auto"/>
      </w:pPr>
      <w:r>
        <w:separator/>
      </w:r>
    </w:p>
  </w:footnote>
  <w:footnote w:type="continuationSeparator" w:id="0">
    <w:p w14:paraId="27A8E711" w14:textId="77777777" w:rsidR="00EE0A6B" w:rsidRDefault="00EE0A6B" w:rsidP="0003793B">
      <w:pPr>
        <w:spacing w:after="0" w:line="240" w:lineRule="auto"/>
      </w:pPr>
      <w:r>
        <w:continuationSeparator/>
      </w:r>
    </w:p>
  </w:footnote>
  <w:footnote w:id="1">
    <w:p w14:paraId="2153DB24" w14:textId="77777777" w:rsidR="00965456" w:rsidRPr="00965456" w:rsidRDefault="00965456">
      <w:pPr>
        <w:pStyle w:val="FootnoteText"/>
        <w:rPr>
          <w:lang w:val="en-GB"/>
        </w:rPr>
      </w:pPr>
      <w:r>
        <w:rPr>
          <w:rStyle w:val="FootnoteReference"/>
        </w:rPr>
        <w:footnoteRef/>
      </w:r>
      <w:r>
        <w:t xml:space="preserve"> </w:t>
      </w:r>
      <w:r w:rsidRPr="00965456">
        <w:t>(</w:t>
      </w:r>
      <w:proofErr w:type="gramStart"/>
      <w:r w:rsidRPr="00965456">
        <w:t>unreported</w:t>
      </w:r>
      <w:proofErr w:type="gramEnd"/>
      <w:r w:rsidRPr="00965456">
        <w:t xml:space="preserve"> decision no:2708/2014[2014] ZAECPEHC 78 heard on 10 October 2014 para 24.)</w:t>
      </w:r>
    </w:p>
  </w:footnote>
  <w:footnote w:id="2">
    <w:p w14:paraId="290AACE0" w14:textId="77777777" w:rsidR="00B15C1A" w:rsidRPr="00B15C1A" w:rsidRDefault="00B15C1A">
      <w:pPr>
        <w:pStyle w:val="FootnoteText"/>
        <w:rPr>
          <w:lang w:val="en-GB"/>
        </w:rPr>
      </w:pPr>
      <w:r>
        <w:rPr>
          <w:rStyle w:val="FootnoteReference"/>
        </w:rPr>
        <w:footnoteRef/>
      </w:r>
      <w:r>
        <w:t xml:space="preserve"> </w:t>
      </w:r>
      <w:r w:rsidRPr="00B15C1A">
        <w:t>(unreported under case number 522/08[2009] ZASCA 99 heard on 18 September 2009)</w:t>
      </w:r>
      <w:r w:rsidR="004711D0">
        <w:t>.</w:t>
      </w:r>
    </w:p>
  </w:footnote>
  <w:footnote w:id="3">
    <w:p w14:paraId="1996DB14" w14:textId="77777777" w:rsidR="00C72E5F" w:rsidRPr="00C72E5F" w:rsidRDefault="00C72E5F">
      <w:pPr>
        <w:pStyle w:val="FootnoteText"/>
        <w:rPr>
          <w:lang w:val="en-GB"/>
        </w:rPr>
      </w:pPr>
      <w:r>
        <w:rPr>
          <w:rStyle w:val="FootnoteReference"/>
        </w:rPr>
        <w:footnoteRef/>
      </w:r>
      <w:r>
        <w:t xml:space="preserve"> </w:t>
      </w:r>
      <w:r w:rsidRPr="00C72E5F">
        <w:t xml:space="preserve">(65/07) [2010] ZASCA </w:t>
      </w:r>
      <w:r w:rsidR="004711D0" w:rsidRPr="00C72E5F">
        <w:t>64; [</w:t>
      </w:r>
      <w:r w:rsidRPr="00C72E5F">
        <w:t>2011] 1 ALL SA 272 (SCA) (7 May 2010)</w:t>
      </w:r>
      <w:r w:rsidR="004711D0">
        <w:t>.</w:t>
      </w:r>
    </w:p>
  </w:footnote>
  <w:footnote w:id="4">
    <w:p w14:paraId="4B5F4F9A" w14:textId="77777777" w:rsidR="00636605" w:rsidRPr="00636605" w:rsidRDefault="00636605">
      <w:pPr>
        <w:pStyle w:val="FootnoteText"/>
        <w:rPr>
          <w:lang w:val="en-GB"/>
        </w:rPr>
      </w:pPr>
      <w:r>
        <w:rPr>
          <w:rStyle w:val="FootnoteReference"/>
        </w:rPr>
        <w:footnoteRef/>
      </w:r>
      <w:r>
        <w:t xml:space="preserve"> </w:t>
      </w:r>
      <w:r w:rsidRPr="00636605">
        <w:t>[2019] ZAGPJHC 184 unreported case heard on 28 June 2019, see para 14 to 17 of judgment</w:t>
      </w:r>
      <w:r>
        <w:t>.</w:t>
      </w:r>
    </w:p>
  </w:footnote>
  <w:footnote w:id="5">
    <w:p w14:paraId="227DAFC6" w14:textId="77777777" w:rsidR="000F432D" w:rsidRPr="000F432D" w:rsidRDefault="000F432D">
      <w:pPr>
        <w:pStyle w:val="FootnoteText"/>
        <w:rPr>
          <w:lang w:val="en-GB"/>
        </w:rPr>
      </w:pPr>
      <w:r>
        <w:rPr>
          <w:rStyle w:val="FootnoteReference"/>
        </w:rPr>
        <w:footnoteRef/>
      </w:r>
      <w:r>
        <w:t xml:space="preserve"> </w:t>
      </w:r>
      <w:r w:rsidRPr="000F432D">
        <w:t>[2016] ZASCA 147 unreported case heard on 30 September 2016</w:t>
      </w:r>
      <w:r>
        <w:t>.</w:t>
      </w:r>
    </w:p>
  </w:footnote>
  <w:footnote w:id="6">
    <w:p w14:paraId="4ACCF6D3" w14:textId="77777777" w:rsidR="003515BC" w:rsidRPr="003515BC" w:rsidRDefault="003515BC">
      <w:pPr>
        <w:pStyle w:val="FootnoteText"/>
        <w:rPr>
          <w:lang w:val="en-GB"/>
        </w:rPr>
      </w:pPr>
      <w:r>
        <w:rPr>
          <w:rStyle w:val="FootnoteReference"/>
        </w:rPr>
        <w:footnoteRef/>
      </w:r>
      <w:r>
        <w:t xml:space="preserve"> </w:t>
      </w:r>
      <w:r w:rsidRPr="003515BC">
        <w:t>2014 SA 96 (SCA)</w:t>
      </w:r>
      <w:r>
        <w:t>.</w:t>
      </w:r>
    </w:p>
  </w:footnote>
  <w:footnote w:id="7">
    <w:p w14:paraId="3425E9D3" w14:textId="77777777" w:rsidR="00842124" w:rsidRPr="00842124" w:rsidRDefault="00842124">
      <w:pPr>
        <w:pStyle w:val="FootnoteText"/>
        <w:rPr>
          <w:lang w:val="en-GB"/>
        </w:rPr>
      </w:pPr>
      <w:r>
        <w:rPr>
          <w:rStyle w:val="FootnoteReference"/>
        </w:rPr>
        <w:footnoteRef/>
      </w:r>
      <w:r>
        <w:t xml:space="preserve"> </w:t>
      </w:r>
      <w:r w:rsidRPr="00842124">
        <w:t>[1984] (3) SA 623 A</w:t>
      </w:r>
      <w:r>
        <w:t>.</w:t>
      </w:r>
    </w:p>
  </w:footnote>
  <w:footnote w:id="8">
    <w:p w14:paraId="2D881015" w14:textId="77777777" w:rsidR="00A10764" w:rsidRPr="00A10764" w:rsidRDefault="00A10764">
      <w:pPr>
        <w:pStyle w:val="FootnoteText"/>
        <w:rPr>
          <w:lang w:val="en-GB"/>
        </w:rPr>
      </w:pPr>
      <w:r>
        <w:rPr>
          <w:rStyle w:val="FootnoteReference"/>
        </w:rPr>
        <w:footnoteRef/>
      </w:r>
      <w:r>
        <w:t xml:space="preserve"> </w:t>
      </w:r>
      <w:r w:rsidRPr="00A10764">
        <w:t xml:space="preserve">CA: 280/2010 </w:t>
      </w:r>
      <w:r>
        <w:t>[2011] ZAECG 9 (11 April 2011</w:t>
      </w:r>
      <w:proofErr w:type="gramStart"/>
      <w:r>
        <w:t>) .</w:t>
      </w:r>
      <w:proofErr w:type="gramEnd"/>
    </w:p>
  </w:footnote>
  <w:footnote w:id="9">
    <w:p w14:paraId="57DDB398" w14:textId="77777777" w:rsidR="00A76B80" w:rsidRPr="00A76B80" w:rsidRDefault="00A76B80">
      <w:pPr>
        <w:pStyle w:val="FootnoteText"/>
        <w:rPr>
          <w:lang w:val="en-GB"/>
        </w:rPr>
      </w:pPr>
      <w:r>
        <w:rPr>
          <w:rStyle w:val="FootnoteReference"/>
        </w:rPr>
        <w:footnoteRef/>
      </w:r>
      <w:r>
        <w:t xml:space="preserve"> </w:t>
      </w:r>
      <w:r w:rsidRPr="00A76B80">
        <w:t>2005 (2) SA 359 (CC)</w:t>
      </w:r>
      <w:r>
        <w:t>.</w:t>
      </w:r>
    </w:p>
  </w:footnote>
  <w:footnote w:id="10">
    <w:p w14:paraId="6F3FB05F" w14:textId="77777777" w:rsidR="002F53D8" w:rsidRPr="002F53D8" w:rsidRDefault="002F53D8">
      <w:pPr>
        <w:pStyle w:val="FootnoteText"/>
        <w:rPr>
          <w:lang w:val="en-GB"/>
        </w:rPr>
      </w:pPr>
      <w:r>
        <w:rPr>
          <w:rStyle w:val="FootnoteReference"/>
        </w:rPr>
        <w:footnoteRef/>
      </w:r>
      <w:r>
        <w:t xml:space="preserve">  2004 (1) SA 348 (A) para 18.</w:t>
      </w:r>
      <w:r w:rsidRPr="002F53D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3FC7D" w14:textId="77777777" w:rsidR="0003793B" w:rsidRDefault="00037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2D5C6" w14:textId="77777777" w:rsidR="0003793B" w:rsidRDefault="00037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38C7A" w14:textId="77777777" w:rsidR="0003793B" w:rsidRDefault="00037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2EC32EAB"/>
    <w:multiLevelType w:val="multilevel"/>
    <w:tmpl w:val="9A900D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676542942">
    <w:abstractNumId w:val="2"/>
  </w:num>
  <w:num w:numId="2" w16cid:durableId="500002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45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7D"/>
    <w:rsid w:val="000135D4"/>
    <w:rsid w:val="0003793B"/>
    <w:rsid w:val="00062EE1"/>
    <w:rsid w:val="000D6583"/>
    <w:rsid w:val="000E11B7"/>
    <w:rsid w:val="000F432D"/>
    <w:rsid w:val="00150C9E"/>
    <w:rsid w:val="001541DA"/>
    <w:rsid w:val="00172843"/>
    <w:rsid w:val="00196A7C"/>
    <w:rsid w:val="001A1375"/>
    <w:rsid w:val="00225090"/>
    <w:rsid w:val="0023054E"/>
    <w:rsid w:val="002773B4"/>
    <w:rsid w:val="00296C62"/>
    <w:rsid w:val="002B4865"/>
    <w:rsid w:val="002C383D"/>
    <w:rsid w:val="002E6435"/>
    <w:rsid w:val="002F53D8"/>
    <w:rsid w:val="0034318D"/>
    <w:rsid w:val="003515BC"/>
    <w:rsid w:val="00391344"/>
    <w:rsid w:val="003B6C3A"/>
    <w:rsid w:val="00406535"/>
    <w:rsid w:val="0046451D"/>
    <w:rsid w:val="004711D0"/>
    <w:rsid w:val="00475759"/>
    <w:rsid w:val="004C63FE"/>
    <w:rsid w:val="00511A7F"/>
    <w:rsid w:val="00512109"/>
    <w:rsid w:val="00527B81"/>
    <w:rsid w:val="005408E3"/>
    <w:rsid w:val="005C3495"/>
    <w:rsid w:val="005D4799"/>
    <w:rsid w:val="005D7609"/>
    <w:rsid w:val="00636605"/>
    <w:rsid w:val="00670706"/>
    <w:rsid w:val="00673DE7"/>
    <w:rsid w:val="00694075"/>
    <w:rsid w:val="006E37C3"/>
    <w:rsid w:val="006E78E7"/>
    <w:rsid w:val="006F5932"/>
    <w:rsid w:val="007463A2"/>
    <w:rsid w:val="0078296C"/>
    <w:rsid w:val="00787531"/>
    <w:rsid w:val="007955AB"/>
    <w:rsid w:val="007C42AA"/>
    <w:rsid w:val="007E42D3"/>
    <w:rsid w:val="008123B7"/>
    <w:rsid w:val="00822647"/>
    <w:rsid w:val="00826416"/>
    <w:rsid w:val="00842124"/>
    <w:rsid w:val="008A0A43"/>
    <w:rsid w:val="008A2765"/>
    <w:rsid w:val="008B5DF4"/>
    <w:rsid w:val="008D4EF3"/>
    <w:rsid w:val="00901B7D"/>
    <w:rsid w:val="00906AAF"/>
    <w:rsid w:val="0094589C"/>
    <w:rsid w:val="00951A7D"/>
    <w:rsid w:val="00965456"/>
    <w:rsid w:val="0096684B"/>
    <w:rsid w:val="00975244"/>
    <w:rsid w:val="009757F3"/>
    <w:rsid w:val="009D0D0A"/>
    <w:rsid w:val="009D1387"/>
    <w:rsid w:val="00A0430D"/>
    <w:rsid w:val="00A062BD"/>
    <w:rsid w:val="00A10764"/>
    <w:rsid w:val="00A26A9A"/>
    <w:rsid w:val="00A3074E"/>
    <w:rsid w:val="00A76B80"/>
    <w:rsid w:val="00AA17B9"/>
    <w:rsid w:val="00AC623C"/>
    <w:rsid w:val="00AE5647"/>
    <w:rsid w:val="00B150DA"/>
    <w:rsid w:val="00B15C1A"/>
    <w:rsid w:val="00B26B8D"/>
    <w:rsid w:val="00B320AC"/>
    <w:rsid w:val="00B447DD"/>
    <w:rsid w:val="00BB00D6"/>
    <w:rsid w:val="00BB1F6A"/>
    <w:rsid w:val="00BF7E07"/>
    <w:rsid w:val="00C121BE"/>
    <w:rsid w:val="00C20ED8"/>
    <w:rsid w:val="00C4572A"/>
    <w:rsid w:val="00C52DB4"/>
    <w:rsid w:val="00C72E5F"/>
    <w:rsid w:val="00C96D62"/>
    <w:rsid w:val="00CD054A"/>
    <w:rsid w:val="00D23263"/>
    <w:rsid w:val="00D655B2"/>
    <w:rsid w:val="00D87624"/>
    <w:rsid w:val="00DB7F52"/>
    <w:rsid w:val="00DD03F0"/>
    <w:rsid w:val="00DD22E1"/>
    <w:rsid w:val="00E0266A"/>
    <w:rsid w:val="00E15FA3"/>
    <w:rsid w:val="00E54BDE"/>
    <w:rsid w:val="00E66E33"/>
    <w:rsid w:val="00EA09AD"/>
    <w:rsid w:val="00EB6432"/>
    <w:rsid w:val="00EE0A6B"/>
    <w:rsid w:val="00F01BC5"/>
    <w:rsid w:val="00F04521"/>
    <w:rsid w:val="00F07183"/>
    <w:rsid w:val="00F37A87"/>
    <w:rsid w:val="00F56B29"/>
    <w:rsid w:val="00F56DE4"/>
    <w:rsid w:val="00F94F1A"/>
    <w:rsid w:val="00F97D62"/>
    <w:rsid w:val="00FB57F5"/>
    <w:rsid w:val="00FE27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25F2"/>
  <w15:chartTrackingRefBased/>
  <w15:docId w15:val="{6907028A-3887-4B95-987A-0C4E6B59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7D"/>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8123B7"/>
    <w:pPr>
      <w:widowControl w:val="0"/>
      <w:tabs>
        <w:tab w:val="num" w:pos="567"/>
      </w:tabs>
      <w:suppressAutoHyphens/>
      <w:autoSpaceDN w:val="0"/>
      <w:spacing w:before="360" w:after="0" w:line="480" w:lineRule="auto"/>
      <w:ind w:left="567" w:hanging="567"/>
      <w:jc w:val="both"/>
      <w:textAlignment w:val="baseline"/>
    </w:pPr>
    <w:rPr>
      <w:rFonts w:ascii="Arial" w:eastAsia="WenQuanYi Micro Hei" w:hAnsi="Arial" w:cs="Lohit Hindi"/>
      <w:iCs/>
      <w:sz w:val="24"/>
      <w:lang w:val="en-GB" w:eastAsia="zh-CN" w:bidi="hi-IN"/>
    </w:rPr>
  </w:style>
  <w:style w:type="paragraph" w:styleId="Header">
    <w:name w:val="header"/>
    <w:basedOn w:val="Normal"/>
    <w:link w:val="HeaderChar"/>
    <w:uiPriority w:val="99"/>
    <w:unhideWhenUsed/>
    <w:rsid w:val="0003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93B"/>
    <w:rPr>
      <w:rFonts w:eastAsiaTheme="minorEastAsia"/>
      <w:lang w:eastAsia="en-ZA"/>
    </w:rPr>
  </w:style>
  <w:style w:type="paragraph" w:styleId="Footer">
    <w:name w:val="footer"/>
    <w:basedOn w:val="Normal"/>
    <w:link w:val="FooterChar"/>
    <w:uiPriority w:val="99"/>
    <w:unhideWhenUsed/>
    <w:rsid w:val="0003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93B"/>
    <w:rPr>
      <w:rFonts w:eastAsiaTheme="minorEastAsia"/>
      <w:lang w:eastAsia="en-ZA"/>
    </w:rPr>
  </w:style>
  <w:style w:type="paragraph" w:styleId="FootnoteText">
    <w:name w:val="footnote text"/>
    <w:basedOn w:val="Normal"/>
    <w:link w:val="FootnoteTextChar"/>
    <w:uiPriority w:val="99"/>
    <w:semiHidden/>
    <w:unhideWhenUsed/>
    <w:rsid w:val="00965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456"/>
    <w:rPr>
      <w:rFonts w:eastAsiaTheme="minorEastAsia"/>
      <w:sz w:val="20"/>
      <w:szCs w:val="20"/>
      <w:lang w:eastAsia="en-ZA"/>
    </w:rPr>
  </w:style>
  <w:style w:type="character" w:styleId="FootnoteReference">
    <w:name w:val="footnote reference"/>
    <w:basedOn w:val="DefaultParagraphFont"/>
    <w:uiPriority w:val="99"/>
    <w:semiHidden/>
    <w:unhideWhenUsed/>
    <w:rsid w:val="00965456"/>
    <w:rPr>
      <w:vertAlign w:val="superscript"/>
    </w:rPr>
  </w:style>
  <w:style w:type="paragraph" w:customStyle="1" w:styleId="MEMONUMBERED">
    <w:name w:val="MEMO NUMBERED"/>
    <w:basedOn w:val="Normal"/>
    <w:link w:val="MEMONUMBEREDChar"/>
    <w:qFormat/>
    <w:rsid w:val="005D7609"/>
    <w:pPr>
      <w:numPr>
        <w:numId w:val="3"/>
      </w:numPr>
      <w:spacing w:after="0" w:line="480" w:lineRule="auto"/>
      <w:jc w:val="both"/>
    </w:pPr>
    <w:rPr>
      <w:rFonts w:ascii="Times New Roman" w:eastAsia="Times New Roman" w:hAnsi="Times New Roman" w:cs="Times New Roman"/>
      <w:sz w:val="24"/>
      <w:szCs w:val="24"/>
      <w:lang w:val="en-US"/>
    </w:rPr>
  </w:style>
  <w:style w:type="character" w:customStyle="1" w:styleId="MEMONUMBEREDChar">
    <w:name w:val="MEMO NUMBERED Char"/>
    <w:basedOn w:val="DefaultParagraphFont"/>
    <w:link w:val="MEMONUMBERED"/>
    <w:locked/>
    <w:rsid w:val="005D7609"/>
    <w:rPr>
      <w:rFonts w:ascii="Times New Roman" w:eastAsia="Times New Roman" w:hAnsi="Times New Roman" w:cs="Times New Roman"/>
      <w:sz w:val="24"/>
      <w:szCs w:val="24"/>
      <w:lang w:val="en-US" w:eastAsia="en-ZA"/>
    </w:rPr>
  </w:style>
  <w:style w:type="character" w:styleId="Hyperlink">
    <w:name w:val="Hyperlink"/>
    <w:basedOn w:val="DefaultParagraphFont"/>
    <w:uiPriority w:val="99"/>
    <w:unhideWhenUsed/>
    <w:rsid w:val="005D7609"/>
    <w:rPr>
      <w:color w:val="0563C1" w:themeColor="hyperlink"/>
      <w:u w:val="single"/>
    </w:rPr>
  </w:style>
  <w:style w:type="paragraph" w:styleId="BalloonText">
    <w:name w:val="Balloon Text"/>
    <w:basedOn w:val="Normal"/>
    <w:link w:val="BalloonTextChar"/>
    <w:uiPriority w:val="99"/>
    <w:semiHidden/>
    <w:unhideWhenUsed/>
    <w:rsid w:val="00540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E3"/>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pho@mafuyeka.co.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port@clubadvocates.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4E49-CBDC-4E7D-9BE2-88A10F6E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19</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Molebogeng Raseroka</dc:creator>
  <cp:keywords/>
  <dc:description/>
  <cp:lastModifiedBy>sathish sarshan  mohan</cp:lastModifiedBy>
  <cp:revision>3</cp:revision>
  <cp:lastPrinted>2024-05-28T12:33:00Z</cp:lastPrinted>
  <dcterms:created xsi:type="dcterms:W3CDTF">2024-05-28T12:42:00Z</dcterms:created>
  <dcterms:modified xsi:type="dcterms:W3CDTF">2024-06-04T18:54:00Z</dcterms:modified>
</cp:coreProperties>
</file>