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611BF" w14:textId="3F69B645" w:rsidR="00E74600" w:rsidRDefault="00E74600" w:rsidP="00E74600">
      <w:pPr>
        <w:pStyle w:val="BodyA"/>
        <w:suppressAutoHyphens/>
        <w:spacing w:line="360" w:lineRule="auto"/>
        <w:rPr>
          <w:rFonts w:ascii="Arial" w:hAnsi="Arial"/>
          <w:b/>
          <w:bCs/>
          <w:kern w:val="28"/>
          <w:sz w:val="24"/>
          <w:szCs w:val="24"/>
        </w:rPr>
      </w:pPr>
      <w:r>
        <w:rPr>
          <w:noProof/>
        </w:rPr>
        <w:drawing>
          <wp:inline distT="0" distB="0" distL="0" distR="0" wp14:anchorId="6C86AFFE" wp14:editId="13A4F877">
            <wp:extent cx="4286885" cy="462915"/>
            <wp:effectExtent l="0" t="0" r="0" b="0"/>
            <wp:docPr id="1337247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885" cy="462915"/>
                    </a:xfrm>
                    <a:prstGeom prst="rect">
                      <a:avLst/>
                    </a:prstGeom>
                    <a:noFill/>
                    <a:ln>
                      <a:noFill/>
                    </a:ln>
                  </pic:spPr>
                </pic:pic>
              </a:graphicData>
            </a:graphic>
          </wp:inline>
        </w:drawing>
      </w:r>
    </w:p>
    <w:p w14:paraId="367FB92A" w14:textId="5959C777" w:rsidR="006B1CEF" w:rsidRDefault="008203F5">
      <w:pPr>
        <w:pStyle w:val="BodyA"/>
        <w:suppressAutoHyphens/>
        <w:spacing w:line="360" w:lineRule="auto"/>
        <w:jc w:val="center"/>
        <w:rPr>
          <w:rFonts w:ascii="Arial" w:eastAsia="Arial" w:hAnsi="Arial" w:cs="Arial"/>
          <w:b/>
          <w:bCs/>
          <w:kern w:val="28"/>
          <w:sz w:val="24"/>
          <w:szCs w:val="24"/>
        </w:rPr>
      </w:pPr>
      <w:r>
        <w:rPr>
          <w:rFonts w:ascii="Arial" w:hAnsi="Arial"/>
          <w:b/>
          <w:bCs/>
          <w:kern w:val="28"/>
          <w:sz w:val="24"/>
          <w:szCs w:val="24"/>
        </w:rPr>
        <w:t>REPUBLIC OF SOUTH AFRICA</w:t>
      </w:r>
    </w:p>
    <w:p w14:paraId="5CEF572C" w14:textId="77777777" w:rsidR="006B1CEF" w:rsidRDefault="008203F5">
      <w:pPr>
        <w:pStyle w:val="BodyA"/>
        <w:suppressAutoHyphens/>
        <w:spacing w:line="360" w:lineRule="auto"/>
        <w:jc w:val="center"/>
        <w:rPr>
          <w:rFonts w:ascii="Arial" w:eastAsia="Arial" w:hAnsi="Arial" w:cs="Arial"/>
          <w:b/>
          <w:bCs/>
          <w:kern w:val="28"/>
          <w:sz w:val="24"/>
          <w:szCs w:val="24"/>
        </w:rPr>
      </w:pPr>
      <w:r>
        <w:rPr>
          <w:rFonts w:ascii="Times New Roman" w:eastAsia="Times New Roman" w:hAnsi="Times New Roman" w:cs="Times New Roman"/>
          <w:b/>
          <w:bCs/>
          <w:noProof/>
          <w:kern w:val="28"/>
          <w:sz w:val="24"/>
          <w:szCs w:val="24"/>
        </w:rPr>
        <w:drawing>
          <wp:inline distT="0" distB="0" distL="0" distR="0" wp14:anchorId="4CDDBB1A" wp14:editId="715FBE51">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1400175" cy="1400175"/>
                    </a:xfrm>
                    <a:prstGeom prst="rect">
                      <a:avLst/>
                    </a:prstGeom>
                    <a:ln w="12700" cap="flat">
                      <a:noFill/>
                      <a:miter lim="400000"/>
                    </a:ln>
                    <a:effectLst/>
                  </pic:spPr>
                </pic:pic>
              </a:graphicData>
            </a:graphic>
          </wp:inline>
        </w:drawing>
      </w:r>
    </w:p>
    <w:p w14:paraId="64F027CC" w14:textId="77777777" w:rsidR="006B1CEF" w:rsidRDefault="008203F5">
      <w:pPr>
        <w:pStyle w:val="BodyA"/>
        <w:suppressAutoHyphens/>
        <w:spacing w:line="360" w:lineRule="auto"/>
        <w:jc w:val="center"/>
        <w:rPr>
          <w:rFonts w:ascii="Arial" w:eastAsia="Arial" w:hAnsi="Arial" w:cs="Arial"/>
          <w:b/>
          <w:bCs/>
          <w:kern w:val="28"/>
          <w:sz w:val="24"/>
          <w:szCs w:val="24"/>
        </w:rPr>
      </w:pPr>
      <w:r>
        <w:rPr>
          <w:rFonts w:ascii="Arial" w:hAnsi="Arial"/>
          <w:b/>
          <w:bCs/>
          <w:kern w:val="28"/>
          <w:sz w:val="24"/>
          <w:szCs w:val="24"/>
        </w:rPr>
        <w:t>IN THE HIGH COURT OF SOUTH AFRICA</w:t>
      </w:r>
    </w:p>
    <w:p w14:paraId="6C339DC4" w14:textId="77777777" w:rsidR="006B1CEF" w:rsidRDefault="008203F5">
      <w:pPr>
        <w:pStyle w:val="BodyA"/>
        <w:suppressAutoHyphens/>
        <w:spacing w:line="360" w:lineRule="auto"/>
        <w:jc w:val="center"/>
        <w:rPr>
          <w:rFonts w:ascii="Arial" w:eastAsia="Arial" w:hAnsi="Arial" w:cs="Arial"/>
          <w:b/>
          <w:bCs/>
          <w:kern w:val="28"/>
          <w:sz w:val="24"/>
          <w:szCs w:val="24"/>
          <w:lang w:val="de-DE"/>
        </w:rPr>
      </w:pPr>
      <w:r>
        <w:rPr>
          <w:rFonts w:ascii="Arial" w:hAnsi="Arial"/>
          <w:b/>
          <w:bCs/>
          <w:kern w:val="28"/>
          <w:sz w:val="24"/>
          <w:szCs w:val="24"/>
          <w:lang w:val="de-DE"/>
        </w:rPr>
        <w:t>GAUTENG DIVISION PRETORIA</w:t>
      </w:r>
    </w:p>
    <w:p w14:paraId="13384E2F" w14:textId="77777777" w:rsidR="006B1CEF" w:rsidRDefault="008203F5">
      <w:pPr>
        <w:pStyle w:val="BodyA"/>
        <w:tabs>
          <w:tab w:val="left" w:pos="780"/>
        </w:tabs>
        <w:suppressAutoHyphens/>
        <w:spacing w:line="360" w:lineRule="auto"/>
        <w:jc w:val="both"/>
        <w:rPr>
          <w:rFonts w:ascii="Arial" w:eastAsia="Arial" w:hAnsi="Arial" w:cs="Arial"/>
          <w:kern w:val="28"/>
          <w:sz w:val="24"/>
          <w:szCs w:val="24"/>
        </w:rPr>
      </w:pPr>
      <w:r>
        <w:rPr>
          <w:rFonts w:ascii="Arial" w:eastAsia="Arial" w:hAnsi="Arial" w:cs="Arial"/>
          <w:kern w:val="28"/>
          <w:sz w:val="24"/>
          <w:szCs w:val="24"/>
        </w:rPr>
        <w:tab/>
      </w:r>
    </w:p>
    <w:p w14:paraId="721C1CCA" w14:textId="77777777" w:rsidR="006B1CEF" w:rsidRDefault="008203F5">
      <w:pPr>
        <w:pStyle w:val="BodyA"/>
        <w:tabs>
          <w:tab w:val="left" w:pos="780"/>
        </w:tabs>
        <w:suppressAutoHyphens/>
        <w:spacing w:line="360" w:lineRule="auto"/>
        <w:jc w:val="both"/>
        <w:rPr>
          <w:rFonts w:ascii="Arial" w:eastAsia="Arial" w:hAnsi="Arial" w:cs="Arial"/>
          <w:b/>
          <w:bCs/>
          <w:kern w:val="28"/>
          <w:sz w:val="28"/>
          <w:szCs w:val="28"/>
        </w:rPr>
      </w:pPr>
      <w:r>
        <w:rPr>
          <w:rFonts w:ascii="Arial" w:eastAsia="Arial" w:hAnsi="Arial" w:cs="Arial"/>
          <w:kern w:val="28"/>
          <w:sz w:val="24"/>
          <w:szCs w:val="24"/>
        </w:rPr>
        <w:tab/>
      </w:r>
      <w:r>
        <w:rPr>
          <w:rFonts w:ascii="Arial" w:eastAsia="Arial" w:hAnsi="Arial" w:cs="Arial"/>
          <w:kern w:val="28"/>
          <w:sz w:val="24"/>
          <w:szCs w:val="24"/>
        </w:rPr>
        <w:tab/>
      </w:r>
      <w:r>
        <w:rPr>
          <w:rFonts w:ascii="Arial" w:eastAsia="Arial" w:hAnsi="Arial" w:cs="Arial"/>
          <w:kern w:val="28"/>
          <w:sz w:val="24"/>
          <w:szCs w:val="24"/>
        </w:rPr>
        <w:tab/>
      </w:r>
      <w:r>
        <w:rPr>
          <w:rFonts w:ascii="Arial" w:eastAsia="Arial" w:hAnsi="Arial" w:cs="Arial"/>
          <w:kern w:val="28"/>
          <w:sz w:val="24"/>
          <w:szCs w:val="24"/>
        </w:rPr>
        <w:tab/>
      </w:r>
      <w:r>
        <w:rPr>
          <w:rFonts w:ascii="Arial" w:eastAsia="Arial" w:hAnsi="Arial" w:cs="Arial"/>
          <w:kern w:val="28"/>
          <w:sz w:val="24"/>
          <w:szCs w:val="24"/>
        </w:rPr>
        <w:tab/>
      </w:r>
      <w:r>
        <w:rPr>
          <w:rFonts w:ascii="Arial" w:eastAsia="Arial" w:hAnsi="Arial" w:cs="Arial"/>
          <w:kern w:val="28"/>
          <w:sz w:val="24"/>
          <w:szCs w:val="24"/>
        </w:rPr>
        <w:tab/>
      </w:r>
      <w:r>
        <w:rPr>
          <w:rFonts w:ascii="Arial" w:eastAsia="Arial" w:hAnsi="Arial" w:cs="Arial"/>
          <w:kern w:val="28"/>
          <w:sz w:val="24"/>
          <w:szCs w:val="24"/>
        </w:rPr>
        <w:tab/>
      </w:r>
      <w:r>
        <w:rPr>
          <w:rFonts w:ascii="Arial" w:eastAsia="Arial" w:hAnsi="Arial" w:cs="Arial"/>
          <w:kern w:val="28"/>
          <w:sz w:val="24"/>
          <w:szCs w:val="24"/>
        </w:rPr>
        <w:tab/>
      </w:r>
      <w:r>
        <w:rPr>
          <w:rFonts w:ascii="Arial" w:eastAsia="Arial" w:hAnsi="Arial" w:cs="Arial"/>
          <w:kern w:val="28"/>
          <w:sz w:val="24"/>
          <w:szCs w:val="24"/>
        </w:rPr>
        <w:tab/>
      </w:r>
      <w:r>
        <w:rPr>
          <w:rFonts w:ascii="Arial" w:hAnsi="Arial"/>
          <w:b/>
          <w:bCs/>
          <w:kern w:val="28"/>
          <w:sz w:val="24"/>
          <w:szCs w:val="24"/>
        </w:rPr>
        <w:t>CASE NO: 2022-018387</w:t>
      </w:r>
    </w:p>
    <w:p w14:paraId="3B8968AB" w14:textId="63D73F9C" w:rsidR="006B1CEF" w:rsidRDefault="008203F5">
      <w:pPr>
        <w:pStyle w:val="BodyA"/>
        <w:tabs>
          <w:tab w:val="left" w:pos="780"/>
        </w:tabs>
        <w:suppressAutoHyphens/>
        <w:spacing w:line="360" w:lineRule="auto"/>
        <w:jc w:val="both"/>
        <w:rPr>
          <w:rFonts w:ascii="Arial" w:eastAsia="Arial" w:hAnsi="Arial" w:cs="Arial"/>
          <w:b/>
          <w:bCs/>
          <w:kern w:val="25"/>
          <w:sz w:val="24"/>
          <w:szCs w:val="24"/>
        </w:rPr>
      </w:pPr>
      <w:r>
        <w:rPr>
          <w:rFonts w:ascii="Arial" w:eastAsia="Arial" w:hAnsi="Arial" w:cs="Arial"/>
          <w:b/>
          <w:bCs/>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r>
      <w:r>
        <w:rPr>
          <w:rFonts w:ascii="Arial" w:hAnsi="Arial"/>
          <w:b/>
          <w:bCs/>
          <w:kern w:val="28"/>
          <w:sz w:val="24"/>
          <w:szCs w:val="24"/>
          <w:lang w:val="de-DE"/>
        </w:rPr>
        <w:t>DOH:</w:t>
      </w:r>
      <w:r>
        <w:rPr>
          <w:rFonts w:ascii="Arial" w:hAnsi="Arial"/>
          <w:b/>
          <w:bCs/>
          <w:kern w:val="28"/>
          <w:sz w:val="24"/>
          <w:szCs w:val="24"/>
        </w:rPr>
        <w:t xml:space="preserve"> 20 September 2023</w:t>
      </w:r>
    </w:p>
    <w:p w14:paraId="2181488E" w14:textId="77777777" w:rsidR="006B1CEF" w:rsidRDefault="008203F5">
      <w:pPr>
        <w:pStyle w:val="BodyA"/>
        <w:suppressAutoHyphens/>
        <w:spacing w:line="360" w:lineRule="auto"/>
        <w:ind w:left="785"/>
        <w:jc w:val="both"/>
        <w:rPr>
          <w:rFonts w:ascii="Arial" w:eastAsia="Arial" w:hAnsi="Arial" w:cs="Arial"/>
          <w:b/>
          <w:bCs/>
          <w:kern w:val="25"/>
          <w:sz w:val="24"/>
          <w:szCs w:val="24"/>
        </w:rPr>
      </w:pPr>
      <w:r>
        <w:rPr>
          <w:rFonts w:ascii="Times New Roman" w:eastAsia="Times New Roman" w:hAnsi="Times New Roman" w:cs="Times New Roman"/>
          <w:b/>
          <w:bCs/>
          <w:noProof/>
          <w:kern w:val="25"/>
          <w:sz w:val="24"/>
          <w:szCs w:val="24"/>
        </w:rPr>
        <mc:AlternateContent>
          <mc:Choice Requires="wpg">
            <w:drawing>
              <wp:anchor distT="0" distB="0" distL="0" distR="0" simplePos="0" relativeHeight="251659264" behindDoc="0" locked="0" layoutInCell="1" allowOverlap="1" wp14:anchorId="01151C85" wp14:editId="35ECCC2B">
                <wp:simplePos x="0" y="0"/>
                <wp:positionH relativeFrom="margin">
                  <wp:align>left</wp:align>
                </wp:positionH>
                <wp:positionV relativeFrom="line">
                  <wp:posOffset>254028</wp:posOffset>
                </wp:positionV>
                <wp:extent cx="3752159" cy="1467186"/>
                <wp:effectExtent l="0" t="0" r="20320" b="19050"/>
                <wp:wrapNone/>
                <wp:docPr id="1073741828" name="officeArt object" descr="Group"/>
                <wp:cNvGraphicFramePr/>
                <a:graphic xmlns:a="http://schemas.openxmlformats.org/drawingml/2006/main">
                  <a:graphicData uri="http://schemas.microsoft.com/office/word/2010/wordprocessingGroup">
                    <wpg:wgp>
                      <wpg:cNvGrpSpPr/>
                      <wpg:grpSpPr>
                        <a:xfrm>
                          <a:off x="0" y="0"/>
                          <a:ext cx="3752159" cy="1467186"/>
                          <a:chOff x="0" y="-7952"/>
                          <a:chExt cx="3816350" cy="1467185"/>
                        </a:xfrm>
                      </wpg:grpSpPr>
                      <wps:wsp>
                        <wps:cNvPr id="1073741826" name="Rectangle"/>
                        <wps:cNvSpPr/>
                        <wps:spPr>
                          <a:xfrm>
                            <a:off x="0" y="-1"/>
                            <a:ext cx="3816350" cy="1459234"/>
                          </a:xfrm>
                          <a:prstGeom prst="rect">
                            <a:avLst/>
                          </a:prstGeom>
                          <a:solidFill>
                            <a:srgbClr val="FFFFFF"/>
                          </a:solidFill>
                          <a:ln w="10160" cap="flat">
                            <a:solidFill>
                              <a:srgbClr val="000000"/>
                            </a:solidFill>
                            <a:prstDash val="solid"/>
                            <a:round/>
                          </a:ln>
                          <a:effectLst/>
                        </wps:spPr>
                        <wps:bodyPr/>
                      </wps:wsp>
                      <wps:wsp>
                        <wps:cNvPr id="1073741827" name="REPORTABLE: NO…"/>
                        <wps:cNvSpPr txBox="1"/>
                        <wps:spPr>
                          <a:xfrm>
                            <a:off x="77747" y="-7952"/>
                            <a:ext cx="3669030" cy="1459234"/>
                          </a:xfrm>
                          <a:prstGeom prst="rect">
                            <a:avLst/>
                          </a:prstGeom>
                          <a:noFill/>
                          <a:ln w="12700" cap="flat">
                            <a:noFill/>
                            <a:miter lim="400000"/>
                          </a:ln>
                          <a:effectLst/>
                        </wps:spPr>
                        <wps:txbx>
                          <w:txbxContent>
                            <w:p w14:paraId="42B46EEA" w14:textId="77777777" w:rsidR="006B1CEF" w:rsidRDefault="006B1CEF">
                              <w:pPr>
                                <w:pStyle w:val="BodyA"/>
                                <w:jc w:val="center"/>
                                <w:rPr>
                                  <w:rFonts w:ascii="Century Gothic" w:eastAsia="Century Gothic" w:hAnsi="Century Gothic" w:cs="Century Gothic"/>
                                  <w:b/>
                                  <w:bCs/>
                                  <w:kern w:val="28"/>
                                  <w:sz w:val="2"/>
                                  <w:szCs w:val="2"/>
                                </w:rPr>
                              </w:pPr>
                            </w:p>
                            <w:p w14:paraId="1F0FF00F" w14:textId="77777777" w:rsidR="006B1CEF" w:rsidRDefault="006B1CEF">
                              <w:pPr>
                                <w:pStyle w:val="BodyA"/>
                                <w:rPr>
                                  <w:rFonts w:ascii="Century Gothic" w:eastAsia="Century Gothic" w:hAnsi="Century Gothic" w:cs="Century Gothic"/>
                                  <w:kern w:val="28"/>
                                  <w:sz w:val="20"/>
                                  <w:szCs w:val="20"/>
                                </w:rPr>
                              </w:pPr>
                            </w:p>
                            <w:p w14:paraId="41793C40" w14:textId="61FDF07F" w:rsidR="006B1CEF" w:rsidRDefault="00804BD2" w:rsidP="00804BD2">
                              <w:pPr>
                                <w:pStyle w:val="BodyA"/>
                                <w:ind w:left="878" w:hanging="518"/>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8203F5">
                                <w:rPr>
                                  <w:rFonts w:ascii="Century Gothic" w:hAnsi="Century Gothic"/>
                                  <w:kern w:val="28"/>
                                  <w:sz w:val="20"/>
                                  <w:szCs w:val="20"/>
                                </w:rPr>
                                <w:t>REPORTABLE: NO</w:t>
                              </w:r>
                            </w:p>
                            <w:p w14:paraId="6309440E" w14:textId="7FCC76FE" w:rsidR="006B1CEF" w:rsidRDefault="00804BD2" w:rsidP="00804BD2">
                              <w:pPr>
                                <w:pStyle w:val="BodyA"/>
                                <w:ind w:left="878" w:hanging="518"/>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8203F5">
                                <w:rPr>
                                  <w:rFonts w:ascii="Century Gothic" w:hAnsi="Century Gothic"/>
                                  <w:kern w:val="28"/>
                                  <w:sz w:val="20"/>
                                  <w:szCs w:val="20"/>
                                  <w:lang w:val="de-DE"/>
                                </w:rPr>
                                <w:t>OF INTEREST TO OTHER JUDGES: NO</w:t>
                              </w:r>
                            </w:p>
                            <w:p w14:paraId="7584C0FF" w14:textId="1C7CEE3E" w:rsidR="006B1CEF" w:rsidRDefault="00804BD2" w:rsidP="00804BD2">
                              <w:pPr>
                                <w:pStyle w:val="BodyA"/>
                                <w:ind w:left="878" w:hanging="518"/>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8203F5">
                                <w:rPr>
                                  <w:rFonts w:ascii="Century Gothic" w:hAnsi="Century Gothic"/>
                                  <w:kern w:val="28"/>
                                  <w:sz w:val="20"/>
                                  <w:szCs w:val="20"/>
                                </w:rPr>
                                <w:t xml:space="preserve">REVISED. </w:t>
                              </w:r>
                            </w:p>
                            <w:p w14:paraId="00ECF6C5" w14:textId="77777777" w:rsidR="006B1CEF" w:rsidRDefault="006B1CEF">
                              <w:pPr>
                                <w:pStyle w:val="BodyA"/>
                                <w:rPr>
                                  <w:rFonts w:ascii="Century Gothic" w:eastAsia="Century Gothic" w:hAnsi="Century Gothic" w:cs="Century Gothic"/>
                                  <w:b/>
                                  <w:bCs/>
                                  <w:kern w:val="28"/>
                                  <w:sz w:val="18"/>
                                  <w:szCs w:val="18"/>
                                </w:rPr>
                              </w:pPr>
                            </w:p>
                            <w:p w14:paraId="1DC3880F" w14:textId="77777777" w:rsidR="006B1CEF" w:rsidRDefault="006B1CEF">
                              <w:pPr>
                                <w:pStyle w:val="BodyA"/>
                                <w:rPr>
                                  <w:rFonts w:ascii="Century Gothic" w:eastAsia="Century Gothic" w:hAnsi="Century Gothic" w:cs="Century Gothic"/>
                                  <w:b/>
                                  <w:bCs/>
                                  <w:kern w:val="28"/>
                                  <w:sz w:val="18"/>
                                  <w:szCs w:val="18"/>
                                </w:rPr>
                              </w:pPr>
                            </w:p>
                            <w:p w14:paraId="71476C88" w14:textId="58D01587" w:rsidR="006B1CEF" w:rsidRPr="008203F5" w:rsidRDefault="008203F5">
                              <w:pPr>
                                <w:pStyle w:val="BodyA"/>
                                <w:rPr>
                                  <w:rFonts w:ascii="Century Gothic" w:eastAsia="Century Gothic" w:hAnsi="Century Gothic" w:cs="Century Gothic"/>
                                  <w:b/>
                                  <w:bCs/>
                                  <w:kern w:val="28"/>
                                  <w:sz w:val="18"/>
                                  <w:szCs w:val="18"/>
                                  <w:u w:val="dotted"/>
                                </w:rPr>
                              </w:pPr>
                              <w:r>
                                <w:rPr>
                                  <w:rFonts w:ascii="Arial" w:hAnsi="Arial"/>
                                  <w:b/>
                                  <w:bCs/>
                                  <w:kern w:val="28"/>
                                  <w:sz w:val="18"/>
                                  <w:szCs w:val="18"/>
                                </w:rPr>
                                <w:t xml:space="preserve"> </w:t>
                              </w:r>
                              <w:r>
                                <w:rPr>
                                  <w:rFonts w:ascii="Century Gothic" w:hAnsi="Century Gothic"/>
                                  <w:b/>
                                  <w:bCs/>
                                  <w:kern w:val="28"/>
                                  <w:sz w:val="18"/>
                                  <w:szCs w:val="18"/>
                                </w:rPr>
                                <w:t>…………..………….............</w:t>
                              </w:r>
                              <w:r>
                                <w:rPr>
                                  <w:rFonts w:ascii="Century Gothic" w:hAnsi="Century Gothic"/>
                                  <w:b/>
                                  <w:bCs/>
                                  <w:kern w:val="28"/>
                                  <w:sz w:val="18"/>
                                  <w:szCs w:val="18"/>
                                </w:rPr>
                                <w:tab/>
                              </w:r>
                              <w:r>
                                <w:rPr>
                                  <w:rFonts w:ascii="Century Gothic" w:hAnsi="Century Gothic"/>
                                  <w:b/>
                                  <w:bCs/>
                                  <w:kern w:val="28"/>
                                  <w:sz w:val="18"/>
                                  <w:szCs w:val="18"/>
                                  <w:u w:val="dotted"/>
                                </w:rPr>
                                <w:t>28 May 2024</w:t>
                              </w:r>
                            </w:p>
                            <w:p w14:paraId="5C1B94E1" w14:textId="77777777" w:rsidR="006B1CEF" w:rsidRDefault="008203F5">
                              <w:pPr>
                                <w:pStyle w:val="BodyA"/>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1151C85" id="officeArt object" o:spid="_x0000_s1026" alt="Group" style="position:absolute;left:0;text-align:left;margin-left:0;margin-top:20pt;width:295.45pt;height:115.55pt;z-index:251659264;mso-wrap-distance-left:0;mso-wrap-distance-right:0;mso-position-horizontal:left;mso-position-horizontal-relative:margin;mso-position-vertical-relative:line;mso-width-relative:margin;mso-height-relative:margin" coordorigin=",-79" coordsize="38163,1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">
                <v:rect id="Rectangle" o:spid="_x0000_s1027" style="position:absolute;width:38163;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" strokeweight=".8pt">
                  <v:stroke joinstyle="round"/>
                </v:rect>
                <v:shapetype id="_x0000_t202" coordsize="21600,21600" o:spt="202" path="m,l,21600r21600,l21600,xe">
                  <v:stroke joinstyle="miter"/>
                  <v:path gradientshapeok="t" o:connecttype="rect"/>
                </v:shapetype>
                <v:shape id="REPORTABLE: NO…" o:spid="_x0000_s1028" type="#_x0000_t202" style="position:absolute;left:777;top:-79;width:36690;height:1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" filled="f" stroked="f" strokeweight="1pt">
                  <v:stroke miterlimit="4"/>
                  <v:textbox inset="1.2699mm,1.2699mm,1.2699mm,1.2699mm">
                    <w:txbxContent>
                      <w:p w14:paraId="42B46EEA" w14:textId="77777777" w:rsidR="006B1CEF" w:rsidRDefault="006B1CEF">
                        <w:pPr>
                          <w:pStyle w:val="BodyA"/>
                          <w:jc w:val="center"/>
                          <w:rPr>
                            <w:rFonts w:ascii="Century Gothic" w:eastAsia="Century Gothic" w:hAnsi="Century Gothic" w:cs="Century Gothic"/>
                            <w:b/>
                            <w:bCs/>
                            <w:kern w:val="28"/>
                            <w:sz w:val="2"/>
                            <w:szCs w:val="2"/>
                          </w:rPr>
                        </w:pPr>
                      </w:p>
                      <w:p w14:paraId="1F0FF00F" w14:textId="77777777" w:rsidR="006B1CEF" w:rsidRDefault="006B1CEF">
                        <w:pPr>
                          <w:pStyle w:val="BodyA"/>
                          <w:rPr>
                            <w:rFonts w:ascii="Century Gothic" w:eastAsia="Century Gothic" w:hAnsi="Century Gothic" w:cs="Century Gothic"/>
                            <w:kern w:val="28"/>
                            <w:sz w:val="20"/>
                            <w:szCs w:val="20"/>
                          </w:rPr>
                        </w:pPr>
                      </w:p>
                      <w:p w14:paraId="41793C40" w14:textId="61FDF07F" w:rsidR="006B1CEF" w:rsidRDefault="00804BD2" w:rsidP="00804BD2">
                        <w:pPr>
                          <w:pStyle w:val="BodyA"/>
                          <w:ind w:left="878" w:hanging="518"/>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8203F5">
                          <w:rPr>
                            <w:rFonts w:ascii="Century Gothic" w:hAnsi="Century Gothic"/>
                            <w:kern w:val="28"/>
                            <w:sz w:val="20"/>
                            <w:szCs w:val="20"/>
                          </w:rPr>
                          <w:t>REPORTABLE: NO</w:t>
                        </w:r>
                      </w:p>
                      <w:p w14:paraId="6309440E" w14:textId="7FCC76FE" w:rsidR="006B1CEF" w:rsidRDefault="00804BD2" w:rsidP="00804BD2">
                        <w:pPr>
                          <w:pStyle w:val="BodyA"/>
                          <w:ind w:left="878" w:hanging="518"/>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8203F5">
                          <w:rPr>
                            <w:rFonts w:ascii="Century Gothic" w:hAnsi="Century Gothic"/>
                            <w:kern w:val="28"/>
                            <w:sz w:val="20"/>
                            <w:szCs w:val="20"/>
                            <w:lang w:val="de-DE"/>
                          </w:rPr>
                          <w:t>OF INTEREST TO OTHER JUDGES: NO</w:t>
                        </w:r>
                      </w:p>
                      <w:p w14:paraId="7584C0FF" w14:textId="1C7CEE3E" w:rsidR="006B1CEF" w:rsidRDefault="00804BD2" w:rsidP="00804BD2">
                        <w:pPr>
                          <w:pStyle w:val="BodyA"/>
                          <w:ind w:left="878" w:hanging="518"/>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8203F5">
                          <w:rPr>
                            <w:rFonts w:ascii="Century Gothic" w:hAnsi="Century Gothic"/>
                            <w:kern w:val="28"/>
                            <w:sz w:val="20"/>
                            <w:szCs w:val="20"/>
                          </w:rPr>
                          <w:t xml:space="preserve">REVISED. </w:t>
                        </w:r>
                      </w:p>
                      <w:p w14:paraId="00ECF6C5" w14:textId="77777777" w:rsidR="006B1CEF" w:rsidRDefault="006B1CEF">
                        <w:pPr>
                          <w:pStyle w:val="BodyA"/>
                          <w:rPr>
                            <w:rFonts w:ascii="Century Gothic" w:eastAsia="Century Gothic" w:hAnsi="Century Gothic" w:cs="Century Gothic"/>
                            <w:b/>
                            <w:bCs/>
                            <w:kern w:val="28"/>
                            <w:sz w:val="18"/>
                            <w:szCs w:val="18"/>
                          </w:rPr>
                        </w:pPr>
                      </w:p>
                      <w:p w14:paraId="1DC3880F" w14:textId="77777777" w:rsidR="006B1CEF" w:rsidRDefault="006B1CEF">
                        <w:pPr>
                          <w:pStyle w:val="BodyA"/>
                          <w:rPr>
                            <w:rFonts w:ascii="Century Gothic" w:eastAsia="Century Gothic" w:hAnsi="Century Gothic" w:cs="Century Gothic"/>
                            <w:b/>
                            <w:bCs/>
                            <w:kern w:val="28"/>
                            <w:sz w:val="18"/>
                            <w:szCs w:val="18"/>
                          </w:rPr>
                        </w:pPr>
                      </w:p>
                      <w:p w14:paraId="71476C88" w14:textId="58D01587" w:rsidR="006B1CEF" w:rsidRPr="008203F5" w:rsidRDefault="008203F5">
                        <w:pPr>
                          <w:pStyle w:val="BodyA"/>
                          <w:rPr>
                            <w:rFonts w:ascii="Century Gothic" w:eastAsia="Century Gothic" w:hAnsi="Century Gothic" w:cs="Century Gothic"/>
                            <w:b/>
                            <w:bCs/>
                            <w:kern w:val="28"/>
                            <w:sz w:val="18"/>
                            <w:szCs w:val="18"/>
                            <w:u w:val="dotted"/>
                          </w:rPr>
                        </w:pPr>
                        <w:r>
                          <w:rPr>
                            <w:rFonts w:ascii="Arial" w:hAnsi="Arial"/>
                            <w:b/>
                            <w:bCs/>
                            <w:kern w:val="28"/>
                            <w:sz w:val="18"/>
                            <w:szCs w:val="18"/>
                          </w:rPr>
                          <w:t xml:space="preserve"> </w:t>
                        </w:r>
                        <w:r>
                          <w:rPr>
                            <w:rFonts w:ascii="Century Gothic" w:hAnsi="Century Gothic"/>
                            <w:b/>
                            <w:bCs/>
                            <w:kern w:val="28"/>
                            <w:sz w:val="18"/>
                            <w:szCs w:val="18"/>
                          </w:rPr>
                          <w:t>…………..………….............</w:t>
                        </w:r>
                        <w:r>
                          <w:rPr>
                            <w:rFonts w:ascii="Century Gothic" w:hAnsi="Century Gothic"/>
                            <w:b/>
                            <w:bCs/>
                            <w:kern w:val="28"/>
                            <w:sz w:val="18"/>
                            <w:szCs w:val="18"/>
                          </w:rPr>
                          <w:tab/>
                        </w:r>
                        <w:r>
                          <w:rPr>
                            <w:rFonts w:ascii="Century Gothic" w:hAnsi="Century Gothic"/>
                            <w:b/>
                            <w:bCs/>
                            <w:kern w:val="28"/>
                            <w:sz w:val="18"/>
                            <w:szCs w:val="18"/>
                            <w:u w:val="dotted"/>
                          </w:rPr>
                          <w:t>28 May 2024</w:t>
                        </w:r>
                      </w:p>
                      <w:p w14:paraId="5C1B94E1" w14:textId="77777777" w:rsidR="006B1CEF" w:rsidRDefault="008203F5">
                        <w:pPr>
                          <w:pStyle w:val="BodyA"/>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v:textbox>
                </v:shape>
                <w10:wrap anchorx="margin" anchory="line"/>
              </v:group>
            </w:pict>
          </mc:Fallback>
        </mc:AlternateContent>
      </w:r>
      <w:r>
        <w:rPr>
          <w:rFonts w:ascii="Arial" w:eastAsia="Arial" w:hAnsi="Arial" w:cs="Arial"/>
          <w:b/>
          <w:bCs/>
          <w:kern w:val="25"/>
          <w:sz w:val="24"/>
          <w:szCs w:val="24"/>
        </w:rPr>
        <w:tab/>
      </w:r>
      <w:r>
        <w:rPr>
          <w:rFonts w:ascii="Arial" w:eastAsia="Arial" w:hAnsi="Arial" w:cs="Arial"/>
          <w:b/>
          <w:bCs/>
          <w:kern w:val="25"/>
          <w:sz w:val="24"/>
          <w:szCs w:val="24"/>
        </w:rPr>
        <w:tab/>
      </w:r>
      <w:r>
        <w:rPr>
          <w:rFonts w:ascii="Arial" w:eastAsia="Arial" w:hAnsi="Arial" w:cs="Arial"/>
          <w:b/>
          <w:bCs/>
          <w:kern w:val="25"/>
          <w:sz w:val="24"/>
          <w:szCs w:val="24"/>
        </w:rPr>
        <w:tab/>
      </w:r>
      <w:r>
        <w:rPr>
          <w:rFonts w:ascii="Arial" w:eastAsia="Arial" w:hAnsi="Arial" w:cs="Arial"/>
          <w:b/>
          <w:bCs/>
          <w:kern w:val="25"/>
          <w:sz w:val="24"/>
          <w:szCs w:val="24"/>
        </w:rPr>
        <w:tab/>
      </w:r>
    </w:p>
    <w:p w14:paraId="77C940A8" w14:textId="77777777" w:rsidR="006B1CEF" w:rsidRDefault="006B1CEF">
      <w:pPr>
        <w:pStyle w:val="BodyA"/>
        <w:suppressAutoHyphens/>
        <w:spacing w:line="360" w:lineRule="auto"/>
        <w:ind w:left="785"/>
        <w:jc w:val="both"/>
        <w:rPr>
          <w:rFonts w:ascii="Arial" w:eastAsia="Arial" w:hAnsi="Arial" w:cs="Arial"/>
          <w:kern w:val="25"/>
          <w:sz w:val="24"/>
          <w:szCs w:val="24"/>
        </w:rPr>
      </w:pPr>
    </w:p>
    <w:p w14:paraId="7EC25B66" w14:textId="77777777" w:rsidR="006B1CEF" w:rsidRDefault="006B1CEF">
      <w:pPr>
        <w:pStyle w:val="BodyA"/>
        <w:suppressAutoHyphens/>
        <w:spacing w:line="360" w:lineRule="auto"/>
        <w:jc w:val="both"/>
        <w:rPr>
          <w:rFonts w:ascii="Arial" w:eastAsia="Arial" w:hAnsi="Arial" w:cs="Arial"/>
          <w:kern w:val="28"/>
          <w:sz w:val="24"/>
          <w:szCs w:val="24"/>
          <w:u w:val="single"/>
        </w:rPr>
      </w:pPr>
    </w:p>
    <w:p w14:paraId="01394754" w14:textId="77777777" w:rsidR="006B1CEF" w:rsidRDefault="006B1CEF">
      <w:pPr>
        <w:pStyle w:val="BodyA"/>
        <w:suppressAutoHyphens/>
        <w:spacing w:line="360" w:lineRule="auto"/>
        <w:jc w:val="both"/>
        <w:rPr>
          <w:rFonts w:ascii="Arial" w:eastAsia="Arial" w:hAnsi="Arial" w:cs="Arial"/>
          <w:kern w:val="28"/>
          <w:sz w:val="24"/>
          <w:szCs w:val="24"/>
          <w:u w:val="single"/>
        </w:rPr>
      </w:pPr>
    </w:p>
    <w:p w14:paraId="0D720AF4" w14:textId="77777777" w:rsidR="006B1CEF" w:rsidRDefault="006B1CEF">
      <w:pPr>
        <w:pStyle w:val="BodyA"/>
        <w:suppressAutoHyphens/>
        <w:spacing w:line="360" w:lineRule="auto"/>
        <w:jc w:val="both"/>
        <w:rPr>
          <w:rFonts w:ascii="Arial" w:eastAsia="Arial" w:hAnsi="Arial" w:cs="Arial"/>
          <w:kern w:val="28"/>
          <w:sz w:val="24"/>
          <w:szCs w:val="24"/>
          <w:u w:val="single"/>
        </w:rPr>
      </w:pPr>
    </w:p>
    <w:p w14:paraId="6B1AF746" w14:textId="77777777" w:rsidR="006B1CEF" w:rsidRDefault="008203F5">
      <w:pPr>
        <w:pStyle w:val="BodyA"/>
        <w:tabs>
          <w:tab w:val="left" w:pos="6253"/>
        </w:tabs>
        <w:suppressAutoHyphens/>
        <w:spacing w:line="360" w:lineRule="auto"/>
        <w:jc w:val="both"/>
        <w:rPr>
          <w:rFonts w:ascii="Arial" w:eastAsia="Arial" w:hAnsi="Arial" w:cs="Arial"/>
          <w:kern w:val="28"/>
          <w:sz w:val="24"/>
          <w:szCs w:val="24"/>
        </w:rPr>
      </w:pPr>
      <w:r>
        <w:rPr>
          <w:rFonts w:ascii="Arial" w:eastAsia="Arial" w:hAnsi="Arial" w:cs="Arial"/>
          <w:kern w:val="28"/>
          <w:sz w:val="24"/>
          <w:szCs w:val="24"/>
        </w:rPr>
        <w:tab/>
      </w:r>
    </w:p>
    <w:p w14:paraId="048D2C76" w14:textId="77777777" w:rsidR="006B1CEF" w:rsidRDefault="006B1CEF">
      <w:pPr>
        <w:pStyle w:val="BodyA"/>
        <w:tabs>
          <w:tab w:val="left" w:pos="6253"/>
        </w:tabs>
        <w:suppressAutoHyphens/>
        <w:spacing w:line="360" w:lineRule="auto"/>
        <w:jc w:val="both"/>
        <w:rPr>
          <w:rFonts w:ascii="Arial" w:eastAsia="Arial" w:hAnsi="Arial" w:cs="Arial"/>
          <w:kern w:val="28"/>
          <w:sz w:val="24"/>
          <w:szCs w:val="24"/>
        </w:rPr>
      </w:pPr>
    </w:p>
    <w:p w14:paraId="36EF55A7" w14:textId="77777777" w:rsidR="006B1CEF" w:rsidRDefault="006B1CEF">
      <w:pPr>
        <w:pStyle w:val="Body"/>
        <w:rPr>
          <w:rFonts w:ascii="Arial" w:eastAsia="Arial" w:hAnsi="Arial" w:cs="Arial"/>
          <w:b/>
          <w:bCs/>
          <w14:textOutline w14:w="12700" w14:cap="flat" w14:cmpd="sng" w14:algn="ctr">
            <w14:noFill/>
            <w14:prstDash w14:val="solid"/>
            <w14:miter w14:lim="400000"/>
          </w14:textOutline>
        </w:rPr>
      </w:pPr>
    </w:p>
    <w:p w14:paraId="16B5B6A5" w14:textId="77777777" w:rsidR="006B1CEF" w:rsidRDefault="008203F5">
      <w:pPr>
        <w:pStyle w:val="Body"/>
        <w:rPr>
          <w:rFonts w:ascii="Arial" w:eastAsia="Arial" w:hAnsi="Arial" w:cs="Arial"/>
          <w14:textOutline w14:w="12700" w14:cap="flat" w14:cmpd="sng" w14:algn="ctr">
            <w14:noFill/>
            <w14:prstDash w14:val="solid"/>
            <w14:miter w14:lim="400000"/>
          </w14:textOutline>
        </w:rPr>
      </w:pPr>
      <w:r>
        <w:rPr>
          <w:rFonts w:ascii="Arial" w:hAnsi="Arial"/>
          <w:lang w:val="en-US"/>
          <w14:textOutline w14:w="12700" w14:cap="flat" w14:cmpd="sng" w14:algn="ctr">
            <w14:noFill/>
            <w14:prstDash w14:val="solid"/>
            <w14:miter w14:lim="400000"/>
          </w14:textOutline>
        </w:rPr>
        <w:t>In the matter between:</w:t>
      </w:r>
    </w:p>
    <w:p w14:paraId="542C9CA6" w14:textId="77777777" w:rsidR="006B1CEF" w:rsidRDefault="006B1CEF">
      <w:pPr>
        <w:pStyle w:val="Body"/>
        <w:rPr>
          <w:rFonts w:ascii="Arial" w:eastAsia="Arial" w:hAnsi="Arial" w:cs="Arial"/>
          <w14:textOutline w14:w="12700" w14:cap="flat" w14:cmpd="sng" w14:algn="ctr">
            <w14:noFill/>
            <w14:prstDash w14:val="solid"/>
            <w14:miter w14:lim="400000"/>
          </w14:textOutline>
        </w:rPr>
      </w:pPr>
    </w:p>
    <w:tbl>
      <w:tblPr>
        <w:tblW w:w="84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31"/>
        <w:gridCol w:w="3585"/>
      </w:tblGrid>
      <w:tr w:rsidR="006B1CEF" w14:paraId="642BAD12" w14:textId="77777777">
        <w:trPr>
          <w:trHeight w:val="552"/>
        </w:trPr>
        <w:tc>
          <w:tcPr>
            <w:tcW w:w="4831" w:type="dxa"/>
            <w:tcBorders>
              <w:top w:val="nil"/>
              <w:left w:val="nil"/>
              <w:bottom w:val="nil"/>
              <w:right w:val="nil"/>
            </w:tcBorders>
            <w:shd w:val="clear" w:color="auto" w:fill="auto"/>
            <w:tcMar>
              <w:top w:w="80" w:type="dxa"/>
              <w:left w:w="80" w:type="dxa"/>
              <w:bottom w:w="80" w:type="dxa"/>
              <w:right w:w="80" w:type="dxa"/>
            </w:tcMar>
          </w:tcPr>
          <w:p w14:paraId="4E827BCC" w14:textId="77777777" w:rsidR="006B1CEF" w:rsidRDefault="008203F5">
            <w:pPr>
              <w:pStyle w:val="Body"/>
              <w:rPr>
                <w:rFonts w:ascii="Arial" w:eastAsia="Arial" w:hAnsi="Arial" w:cs="Arial"/>
                <w:b/>
                <w:bCs/>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NEW SALT ROCK CITY (PTY) LTD</w:t>
            </w:r>
          </w:p>
          <w:p w14:paraId="7ED425BC" w14:textId="77777777" w:rsidR="006B1CEF" w:rsidRDefault="008203F5">
            <w:pPr>
              <w:pStyle w:val="Body"/>
            </w:pPr>
            <w:r>
              <w:rPr>
                <w:rFonts w:ascii="Arial" w:hAnsi="Arial"/>
                <w:b/>
                <w:bCs/>
                <w:lang w:val="en-US"/>
                <w14:textOutline w14:w="12700" w14:cap="flat" w14:cmpd="sng" w14:algn="ctr">
                  <w14:noFill/>
                  <w14:prstDash w14:val="solid"/>
                  <w14:miter w14:lim="400000"/>
                </w14:textOutline>
              </w:rPr>
              <w:t>Registration No. 2007/005000/07</w:t>
            </w:r>
          </w:p>
        </w:tc>
        <w:tc>
          <w:tcPr>
            <w:tcW w:w="3585" w:type="dxa"/>
            <w:tcBorders>
              <w:top w:val="nil"/>
              <w:left w:val="nil"/>
              <w:bottom w:val="nil"/>
              <w:right w:val="nil"/>
            </w:tcBorders>
            <w:shd w:val="clear" w:color="auto" w:fill="auto"/>
            <w:tcMar>
              <w:top w:w="80" w:type="dxa"/>
              <w:left w:w="80" w:type="dxa"/>
              <w:bottom w:w="80" w:type="dxa"/>
              <w:right w:w="80" w:type="dxa"/>
            </w:tcMar>
          </w:tcPr>
          <w:p w14:paraId="2BB89B54" w14:textId="77777777" w:rsidR="006B1CEF" w:rsidRDefault="008203F5">
            <w:pPr>
              <w:pStyle w:val="Body"/>
              <w:jc w:val="right"/>
            </w:pPr>
            <w:proofErr w:type="gramStart"/>
            <w:r>
              <w:rPr>
                <w:rFonts w:ascii="Arial" w:hAnsi="Arial"/>
                <w:lang w:val="en-US"/>
                <w14:textOutline w14:w="12700" w14:cap="flat" w14:cmpd="sng" w14:algn="ctr">
                  <w14:noFill/>
                  <w14:prstDash w14:val="solid"/>
                  <w14:miter w14:lim="400000"/>
                </w14:textOutline>
              </w:rPr>
              <w:t>First  Applicant</w:t>
            </w:r>
            <w:proofErr w:type="gramEnd"/>
            <w:r>
              <w:rPr>
                <w:rFonts w:ascii="Arial" w:hAnsi="Arial"/>
                <w:lang w:val="en-US"/>
                <w14:textOutline w14:w="12700" w14:cap="flat" w14:cmpd="sng" w14:algn="ctr">
                  <w14:noFill/>
                  <w14:prstDash w14:val="solid"/>
                  <w14:miter w14:lim="400000"/>
                </w14:textOutline>
              </w:rPr>
              <w:t xml:space="preserve"> </w:t>
            </w:r>
          </w:p>
        </w:tc>
      </w:tr>
      <w:tr w:rsidR="006B1CEF" w14:paraId="4FCB9EFA"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7A9B7748" w14:textId="77777777" w:rsidR="006B1CEF" w:rsidRDefault="006B1CEF"/>
        </w:tc>
        <w:tc>
          <w:tcPr>
            <w:tcW w:w="3585" w:type="dxa"/>
            <w:tcBorders>
              <w:top w:val="nil"/>
              <w:left w:val="nil"/>
              <w:bottom w:val="nil"/>
              <w:right w:val="nil"/>
            </w:tcBorders>
            <w:shd w:val="clear" w:color="auto" w:fill="auto"/>
            <w:tcMar>
              <w:top w:w="80" w:type="dxa"/>
              <w:left w:w="80" w:type="dxa"/>
              <w:bottom w:w="80" w:type="dxa"/>
              <w:right w:w="80" w:type="dxa"/>
            </w:tcMar>
          </w:tcPr>
          <w:p w14:paraId="393C0D01" w14:textId="77777777" w:rsidR="006B1CEF" w:rsidRDefault="006B1CEF"/>
        </w:tc>
      </w:tr>
      <w:tr w:rsidR="006B1CEF" w14:paraId="4DC3FB00" w14:textId="77777777">
        <w:trPr>
          <w:trHeight w:val="552"/>
        </w:trPr>
        <w:tc>
          <w:tcPr>
            <w:tcW w:w="4831" w:type="dxa"/>
            <w:tcBorders>
              <w:top w:val="nil"/>
              <w:left w:val="nil"/>
              <w:bottom w:val="nil"/>
              <w:right w:val="nil"/>
            </w:tcBorders>
            <w:shd w:val="clear" w:color="auto" w:fill="auto"/>
            <w:tcMar>
              <w:top w:w="80" w:type="dxa"/>
              <w:left w:w="80" w:type="dxa"/>
              <w:bottom w:w="80" w:type="dxa"/>
              <w:right w:w="80" w:type="dxa"/>
            </w:tcMar>
          </w:tcPr>
          <w:p w14:paraId="519EBED3" w14:textId="77777777" w:rsidR="006B1CEF" w:rsidRDefault="008203F5">
            <w:pPr>
              <w:pStyle w:val="Body"/>
              <w:rPr>
                <w:rFonts w:ascii="Arial" w:eastAsia="Arial" w:hAnsi="Arial" w:cs="Arial"/>
                <w:b/>
                <w:bCs/>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 xml:space="preserve">ZAMIEN INVESTMENTS 102 (PTY) LTD </w:t>
            </w:r>
          </w:p>
          <w:p w14:paraId="520B94F8" w14:textId="77777777" w:rsidR="006B1CEF" w:rsidRDefault="008203F5">
            <w:pPr>
              <w:pStyle w:val="Body"/>
            </w:pPr>
            <w:r>
              <w:rPr>
                <w:rFonts w:ascii="Arial" w:hAnsi="Arial"/>
                <w:b/>
                <w:bCs/>
                <w:lang w:val="en-US"/>
                <w14:textOutline w14:w="12700" w14:cap="flat" w14:cmpd="sng" w14:algn="ctr">
                  <w14:noFill/>
                  <w14:prstDash w14:val="solid"/>
                  <w14:miter w14:lim="400000"/>
                </w14:textOutline>
              </w:rPr>
              <w:t>Registration No. 2003/006135/07</w:t>
            </w:r>
          </w:p>
        </w:tc>
        <w:tc>
          <w:tcPr>
            <w:tcW w:w="3585" w:type="dxa"/>
            <w:tcBorders>
              <w:top w:val="nil"/>
              <w:left w:val="nil"/>
              <w:bottom w:val="nil"/>
              <w:right w:val="nil"/>
            </w:tcBorders>
            <w:shd w:val="clear" w:color="auto" w:fill="auto"/>
            <w:tcMar>
              <w:top w:w="80" w:type="dxa"/>
              <w:left w:w="80" w:type="dxa"/>
              <w:bottom w:w="80" w:type="dxa"/>
              <w:right w:w="80" w:type="dxa"/>
            </w:tcMar>
          </w:tcPr>
          <w:p w14:paraId="215ED2A6" w14:textId="77777777" w:rsidR="006B1CEF" w:rsidRDefault="008203F5">
            <w:pPr>
              <w:pStyle w:val="Body"/>
              <w:jc w:val="right"/>
            </w:pPr>
            <w:r>
              <w:rPr>
                <w:rFonts w:ascii="Arial" w:hAnsi="Arial"/>
                <w:lang w:val="en-US"/>
                <w14:textOutline w14:w="12700" w14:cap="flat" w14:cmpd="sng" w14:algn="ctr">
                  <w14:noFill/>
                  <w14:prstDash w14:val="solid"/>
                  <w14:miter w14:lim="400000"/>
                </w14:textOutline>
              </w:rPr>
              <w:t xml:space="preserve">Second Applicant </w:t>
            </w:r>
          </w:p>
        </w:tc>
      </w:tr>
      <w:tr w:rsidR="006B1CEF" w14:paraId="125EFFAA"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728120E3" w14:textId="77777777" w:rsidR="006B1CEF" w:rsidRDefault="006B1CEF"/>
        </w:tc>
        <w:tc>
          <w:tcPr>
            <w:tcW w:w="3585" w:type="dxa"/>
            <w:tcBorders>
              <w:top w:val="nil"/>
              <w:left w:val="nil"/>
              <w:bottom w:val="nil"/>
              <w:right w:val="nil"/>
            </w:tcBorders>
            <w:shd w:val="clear" w:color="auto" w:fill="auto"/>
            <w:tcMar>
              <w:top w:w="80" w:type="dxa"/>
              <w:left w:w="80" w:type="dxa"/>
              <w:bottom w:w="80" w:type="dxa"/>
              <w:right w:w="80" w:type="dxa"/>
            </w:tcMar>
          </w:tcPr>
          <w:p w14:paraId="5ED7A843" w14:textId="77777777" w:rsidR="006B1CEF" w:rsidRDefault="006B1CEF"/>
        </w:tc>
      </w:tr>
      <w:tr w:rsidR="006B1CEF" w14:paraId="78F45E30" w14:textId="77777777">
        <w:trPr>
          <w:trHeight w:val="552"/>
        </w:trPr>
        <w:tc>
          <w:tcPr>
            <w:tcW w:w="4831" w:type="dxa"/>
            <w:tcBorders>
              <w:top w:val="nil"/>
              <w:left w:val="nil"/>
              <w:bottom w:val="nil"/>
              <w:right w:val="nil"/>
            </w:tcBorders>
            <w:shd w:val="clear" w:color="auto" w:fill="auto"/>
            <w:tcMar>
              <w:top w:w="80" w:type="dxa"/>
              <w:left w:w="80" w:type="dxa"/>
              <w:bottom w:w="80" w:type="dxa"/>
              <w:right w:w="80" w:type="dxa"/>
            </w:tcMar>
          </w:tcPr>
          <w:p w14:paraId="6182D0C2" w14:textId="77777777" w:rsidR="006B1CEF" w:rsidRDefault="008203F5">
            <w:pPr>
              <w:pStyle w:val="Default"/>
              <w:spacing w:before="0" w:line="240" w:lineRule="auto"/>
            </w:pPr>
            <w:r>
              <w:rPr>
                <w:rFonts w:ascii="Arial" w:hAnsi="Arial"/>
                <w:b/>
                <w:bCs/>
              </w:rPr>
              <w:t xml:space="preserve">CSHELL 80 (PTY) LTD </w:t>
            </w:r>
          </w:p>
          <w:p w14:paraId="728F7E90" w14:textId="77777777" w:rsidR="006B1CEF" w:rsidRDefault="008203F5">
            <w:pPr>
              <w:pStyle w:val="Default"/>
              <w:spacing w:before="0" w:line="240" w:lineRule="auto"/>
            </w:pPr>
            <w:r>
              <w:rPr>
                <w:rFonts w:ascii="Arial" w:hAnsi="Arial"/>
                <w:b/>
                <w:bCs/>
              </w:rPr>
              <w:t>Registration No. 2005/029828/07</w:t>
            </w:r>
          </w:p>
        </w:tc>
        <w:tc>
          <w:tcPr>
            <w:tcW w:w="3585" w:type="dxa"/>
            <w:tcBorders>
              <w:top w:val="nil"/>
              <w:left w:val="nil"/>
              <w:bottom w:val="nil"/>
              <w:right w:val="nil"/>
            </w:tcBorders>
            <w:shd w:val="clear" w:color="auto" w:fill="auto"/>
            <w:tcMar>
              <w:top w:w="80" w:type="dxa"/>
              <w:left w:w="80" w:type="dxa"/>
              <w:bottom w:w="80" w:type="dxa"/>
              <w:right w:w="80" w:type="dxa"/>
            </w:tcMar>
          </w:tcPr>
          <w:p w14:paraId="05F73D39" w14:textId="77777777" w:rsidR="006B1CEF" w:rsidRDefault="008203F5">
            <w:pPr>
              <w:pStyle w:val="Default"/>
              <w:spacing w:before="0" w:line="240" w:lineRule="auto"/>
              <w:jc w:val="right"/>
            </w:pPr>
            <w:proofErr w:type="gramStart"/>
            <w:r>
              <w:rPr>
                <w:rFonts w:ascii="Arial" w:hAnsi="Arial"/>
              </w:rPr>
              <w:t>Third  Applicant</w:t>
            </w:r>
            <w:proofErr w:type="gramEnd"/>
            <w:r>
              <w:rPr>
                <w:rFonts w:ascii="Arial" w:hAnsi="Arial"/>
              </w:rPr>
              <w:t xml:space="preserve"> </w:t>
            </w:r>
          </w:p>
        </w:tc>
      </w:tr>
      <w:tr w:rsidR="006B1CEF" w14:paraId="578D1EED"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51CE5744" w14:textId="77777777" w:rsidR="006B1CEF" w:rsidRDefault="006B1CEF"/>
        </w:tc>
        <w:tc>
          <w:tcPr>
            <w:tcW w:w="3585" w:type="dxa"/>
            <w:tcBorders>
              <w:top w:val="nil"/>
              <w:left w:val="nil"/>
              <w:bottom w:val="nil"/>
              <w:right w:val="nil"/>
            </w:tcBorders>
            <w:shd w:val="clear" w:color="auto" w:fill="auto"/>
            <w:tcMar>
              <w:top w:w="80" w:type="dxa"/>
              <w:left w:w="80" w:type="dxa"/>
              <w:bottom w:w="80" w:type="dxa"/>
              <w:right w:w="80" w:type="dxa"/>
            </w:tcMar>
          </w:tcPr>
          <w:p w14:paraId="73F6A10B" w14:textId="77777777" w:rsidR="006B1CEF" w:rsidRDefault="006B1CEF"/>
        </w:tc>
      </w:tr>
      <w:tr w:rsidR="006B1CEF" w14:paraId="5706BBD2" w14:textId="77777777">
        <w:trPr>
          <w:trHeight w:val="552"/>
        </w:trPr>
        <w:tc>
          <w:tcPr>
            <w:tcW w:w="4831" w:type="dxa"/>
            <w:tcBorders>
              <w:top w:val="nil"/>
              <w:left w:val="nil"/>
              <w:bottom w:val="nil"/>
              <w:right w:val="nil"/>
            </w:tcBorders>
            <w:shd w:val="clear" w:color="auto" w:fill="auto"/>
            <w:tcMar>
              <w:top w:w="80" w:type="dxa"/>
              <w:left w:w="80" w:type="dxa"/>
              <w:bottom w:w="80" w:type="dxa"/>
              <w:right w:w="80" w:type="dxa"/>
            </w:tcMar>
          </w:tcPr>
          <w:p w14:paraId="5BE854B8" w14:textId="53D10FE4" w:rsidR="006B1CEF" w:rsidRDefault="008203F5">
            <w:pPr>
              <w:pStyle w:val="Body"/>
            </w:pPr>
            <w:r>
              <w:rPr>
                <w:rFonts w:ascii="Arial" w:hAnsi="Arial"/>
                <w:b/>
                <w:bCs/>
                <w:lang w:val="en-US"/>
                <w14:textOutline w14:w="12700" w14:cap="flat" w14:cmpd="sng" w14:algn="ctr">
                  <w14:noFill/>
                  <w14:prstDash w14:val="solid"/>
                  <w14:miter w14:lim="400000"/>
                </w14:textOutline>
              </w:rPr>
              <w:t>FREDERICK WILHELM AUGUST LUTZKIE</w:t>
            </w:r>
            <w:proofErr w:type="gramStart"/>
            <w:r>
              <w:rPr>
                <w:rFonts w:ascii="Arial" w:hAnsi="Arial"/>
                <w:b/>
                <w:bCs/>
                <w:lang w:val="en-US"/>
                <w14:textOutline w14:w="12700" w14:cap="flat" w14:cmpd="sng" w14:algn="ctr">
                  <w14:noFill/>
                  <w14:prstDash w14:val="solid"/>
                  <w14:miter w14:lim="400000"/>
                </w14:textOutline>
              </w:rPr>
              <w:t xml:space="preserve">   </w:t>
            </w:r>
            <w:r w:rsidR="00A27BC8">
              <w:rPr>
                <w:rFonts w:ascii="Arial" w:hAnsi="Arial"/>
                <w:b/>
                <w:bCs/>
                <w:lang w:val="en-US"/>
                <w14:textOutline w14:w="12700" w14:cap="flat" w14:cmpd="sng" w14:algn="ctr">
                  <w14:noFill/>
                  <w14:prstDash w14:val="solid"/>
                  <w14:miter w14:lim="400000"/>
                </w14:textOutline>
              </w:rPr>
              <w:t>[</w:t>
            </w:r>
            <w:proofErr w:type="gramEnd"/>
            <w:r w:rsidR="00A27BC8">
              <w:rPr>
                <w:rFonts w:ascii="Arial" w:hAnsi="Arial"/>
                <w:b/>
                <w:bCs/>
                <w:lang w:val="en-US"/>
                <w14:textOutline w14:w="12700" w14:cap="flat" w14:cmpd="sng" w14:algn="ctr">
                  <w14:noFill/>
                  <w14:prstDash w14:val="solid"/>
                  <w14:miter w14:lim="400000"/>
                </w14:textOutline>
              </w:rPr>
              <w:t>…]</w:t>
            </w:r>
          </w:p>
        </w:tc>
        <w:tc>
          <w:tcPr>
            <w:tcW w:w="3585" w:type="dxa"/>
            <w:tcBorders>
              <w:top w:val="nil"/>
              <w:left w:val="nil"/>
              <w:bottom w:val="nil"/>
              <w:right w:val="nil"/>
            </w:tcBorders>
            <w:shd w:val="clear" w:color="auto" w:fill="auto"/>
            <w:tcMar>
              <w:top w:w="80" w:type="dxa"/>
              <w:left w:w="80" w:type="dxa"/>
              <w:bottom w:w="80" w:type="dxa"/>
              <w:right w:w="80" w:type="dxa"/>
            </w:tcMar>
          </w:tcPr>
          <w:p w14:paraId="7B0702E3" w14:textId="77777777" w:rsidR="006B1CEF" w:rsidRDefault="008203F5">
            <w:pPr>
              <w:pStyle w:val="Default"/>
              <w:spacing w:before="0" w:line="240" w:lineRule="auto"/>
              <w:jc w:val="right"/>
            </w:pPr>
            <w:r>
              <w:rPr>
                <w:rFonts w:ascii="Arial" w:hAnsi="Arial"/>
              </w:rPr>
              <w:t xml:space="preserve">Fourth Applicant </w:t>
            </w:r>
          </w:p>
        </w:tc>
      </w:tr>
      <w:tr w:rsidR="006B1CEF" w14:paraId="6A280F20"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38603CC8" w14:textId="77777777" w:rsidR="006B1CEF" w:rsidRDefault="006B1CEF"/>
        </w:tc>
        <w:tc>
          <w:tcPr>
            <w:tcW w:w="3585" w:type="dxa"/>
            <w:tcBorders>
              <w:top w:val="nil"/>
              <w:left w:val="nil"/>
              <w:bottom w:val="nil"/>
              <w:right w:val="nil"/>
            </w:tcBorders>
            <w:shd w:val="clear" w:color="auto" w:fill="auto"/>
            <w:tcMar>
              <w:top w:w="80" w:type="dxa"/>
              <w:left w:w="80" w:type="dxa"/>
              <w:bottom w:w="80" w:type="dxa"/>
              <w:right w:w="80" w:type="dxa"/>
            </w:tcMar>
          </w:tcPr>
          <w:p w14:paraId="5F08A829" w14:textId="77777777" w:rsidR="006B1CEF" w:rsidRDefault="006B1CEF"/>
        </w:tc>
      </w:tr>
      <w:tr w:rsidR="006B1CEF" w14:paraId="7C8F53FA" w14:textId="77777777">
        <w:trPr>
          <w:trHeight w:val="290"/>
        </w:trPr>
        <w:tc>
          <w:tcPr>
            <w:tcW w:w="4831" w:type="dxa"/>
            <w:tcBorders>
              <w:top w:val="nil"/>
              <w:left w:val="nil"/>
              <w:bottom w:val="nil"/>
              <w:right w:val="nil"/>
            </w:tcBorders>
            <w:shd w:val="clear" w:color="auto" w:fill="auto"/>
            <w:tcMar>
              <w:top w:w="80" w:type="dxa"/>
              <w:left w:w="80" w:type="dxa"/>
              <w:bottom w:w="80" w:type="dxa"/>
              <w:right w:w="80" w:type="dxa"/>
            </w:tcMar>
          </w:tcPr>
          <w:p w14:paraId="1DD91D7D" w14:textId="77777777" w:rsidR="006B1CEF" w:rsidRDefault="008203F5">
            <w:pPr>
              <w:pStyle w:val="Body"/>
            </w:pPr>
            <w:r>
              <w:rPr>
                <w:rFonts w:ascii="Arial" w:hAnsi="Arial"/>
                <w:b/>
                <w:bCs/>
                <w:lang w:val="en-US"/>
                <w14:textOutline w14:w="12700" w14:cap="flat" w14:cmpd="sng" w14:algn="ctr">
                  <w14:noFill/>
                  <w14:prstDash w14:val="solid"/>
                  <w14:miter w14:lim="400000"/>
                </w14:textOutline>
              </w:rPr>
              <w:t>And</w:t>
            </w:r>
          </w:p>
        </w:tc>
        <w:tc>
          <w:tcPr>
            <w:tcW w:w="3585" w:type="dxa"/>
            <w:tcBorders>
              <w:top w:val="nil"/>
              <w:left w:val="nil"/>
              <w:bottom w:val="nil"/>
              <w:right w:val="nil"/>
            </w:tcBorders>
            <w:shd w:val="clear" w:color="auto" w:fill="auto"/>
            <w:tcMar>
              <w:top w:w="80" w:type="dxa"/>
              <w:left w:w="80" w:type="dxa"/>
              <w:bottom w:w="80" w:type="dxa"/>
              <w:right w:w="80" w:type="dxa"/>
            </w:tcMar>
          </w:tcPr>
          <w:p w14:paraId="2D4CF63D" w14:textId="77777777" w:rsidR="006B1CEF" w:rsidRDefault="006B1CEF"/>
        </w:tc>
      </w:tr>
      <w:tr w:rsidR="006B1CEF" w14:paraId="286ED01C" w14:textId="77777777">
        <w:trPr>
          <w:trHeight w:val="552"/>
        </w:trPr>
        <w:tc>
          <w:tcPr>
            <w:tcW w:w="4831" w:type="dxa"/>
            <w:tcBorders>
              <w:top w:val="nil"/>
              <w:left w:val="nil"/>
              <w:bottom w:val="nil"/>
              <w:right w:val="nil"/>
            </w:tcBorders>
            <w:shd w:val="clear" w:color="auto" w:fill="auto"/>
            <w:tcMar>
              <w:top w:w="80" w:type="dxa"/>
              <w:left w:w="80" w:type="dxa"/>
              <w:bottom w:w="80" w:type="dxa"/>
              <w:right w:w="80" w:type="dxa"/>
            </w:tcMar>
          </w:tcPr>
          <w:p w14:paraId="2195AB83" w14:textId="77777777" w:rsidR="006B1CEF" w:rsidRDefault="008203F5">
            <w:pPr>
              <w:pStyle w:val="Body"/>
              <w:rPr>
                <w:rFonts w:ascii="Arial" w:eastAsia="Arial" w:hAnsi="Arial" w:cs="Arial"/>
                <w:b/>
                <w:bCs/>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lastRenderedPageBreak/>
              <w:t xml:space="preserve">KILKEN PLATINUM (PTY) LTD </w:t>
            </w:r>
          </w:p>
          <w:p w14:paraId="05E186A7" w14:textId="77777777" w:rsidR="006B1CEF" w:rsidRDefault="008203F5">
            <w:pPr>
              <w:pStyle w:val="Body"/>
            </w:pPr>
            <w:r>
              <w:rPr>
                <w:rFonts w:ascii="Arial" w:hAnsi="Arial"/>
                <w:b/>
                <w:bCs/>
                <w:lang w:val="en-US"/>
                <w14:textOutline w14:w="12700" w14:cap="flat" w14:cmpd="sng" w14:algn="ctr">
                  <w14:noFill/>
                  <w14:prstDash w14:val="solid"/>
                  <w14:miter w14:lim="400000"/>
                </w14:textOutline>
              </w:rPr>
              <w:t>Registration No. 2003/001334/07</w:t>
            </w:r>
          </w:p>
        </w:tc>
        <w:tc>
          <w:tcPr>
            <w:tcW w:w="3585" w:type="dxa"/>
            <w:tcBorders>
              <w:top w:val="nil"/>
              <w:left w:val="nil"/>
              <w:bottom w:val="nil"/>
              <w:right w:val="nil"/>
            </w:tcBorders>
            <w:shd w:val="clear" w:color="auto" w:fill="auto"/>
            <w:tcMar>
              <w:top w:w="80" w:type="dxa"/>
              <w:left w:w="80" w:type="dxa"/>
              <w:bottom w:w="80" w:type="dxa"/>
              <w:right w:w="80" w:type="dxa"/>
            </w:tcMar>
          </w:tcPr>
          <w:p w14:paraId="37F761C7" w14:textId="77777777" w:rsidR="006B1CEF" w:rsidRDefault="008203F5">
            <w:pPr>
              <w:pStyle w:val="Body"/>
              <w:jc w:val="right"/>
            </w:pPr>
            <w:r>
              <w:rPr>
                <w:rFonts w:ascii="Arial" w:hAnsi="Arial"/>
                <w:lang w:val="en-US"/>
                <w14:textOutline w14:w="12700" w14:cap="flat" w14:cmpd="sng" w14:algn="ctr">
                  <w14:noFill/>
                  <w14:prstDash w14:val="solid"/>
                  <w14:miter w14:lim="400000"/>
                </w14:textOutline>
              </w:rPr>
              <w:t xml:space="preserve">First Respondent </w:t>
            </w:r>
          </w:p>
        </w:tc>
      </w:tr>
      <w:tr w:rsidR="006B1CEF" w14:paraId="37EFB58B"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3E327A38" w14:textId="77777777" w:rsidR="006B1CEF" w:rsidRDefault="008203F5">
            <w:pPr>
              <w:pStyle w:val="Body"/>
            </w:pPr>
            <w:r>
              <w:rPr>
                <w:sz w:val="16"/>
                <w:szCs w:val="16"/>
                <w:lang w:val="en-US"/>
              </w:rPr>
              <w:t xml:space="preserve"> </w:t>
            </w:r>
          </w:p>
        </w:tc>
        <w:tc>
          <w:tcPr>
            <w:tcW w:w="3585" w:type="dxa"/>
            <w:tcBorders>
              <w:top w:val="nil"/>
              <w:left w:val="nil"/>
              <w:bottom w:val="nil"/>
              <w:right w:val="nil"/>
            </w:tcBorders>
            <w:shd w:val="clear" w:color="auto" w:fill="auto"/>
            <w:tcMar>
              <w:top w:w="80" w:type="dxa"/>
              <w:left w:w="80" w:type="dxa"/>
              <w:bottom w:w="80" w:type="dxa"/>
              <w:right w:w="80" w:type="dxa"/>
            </w:tcMar>
          </w:tcPr>
          <w:p w14:paraId="31878B17" w14:textId="77777777" w:rsidR="006B1CEF" w:rsidRDefault="006B1CEF"/>
        </w:tc>
      </w:tr>
      <w:tr w:rsidR="006B1CEF" w14:paraId="798745E1" w14:textId="77777777">
        <w:trPr>
          <w:trHeight w:val="552"/>
        </w:trPr>
        <w:tc>
          <w:tcPr>
            <w:tcW w:w="4831" w:type="dxa"/>
            <w:tcBorders>
              <w:top w:val="nil"/>
              <w:left w:val="nil"/>
              <w:bottom w:val="nil"/>
              <w:right w:val="nil"/>
            </w:tcBorders>
            <w:shd w:val="clear" w:color="auto" w:fill="auto"/>
            <w:tcMar>
              <w:top w:w="80" w:type="dxa"/>
              <w:left w:w="80" w:type="dxa"/>
              <w:bottom w:w="80" w:type="dxa"/>
              <w:right w:w="80" w:type="dxa"/>
            </w:tcMar>
          </w:tcPr>
          <w:p w14:paraId="02145437" w14:textId="77777777" w:rsidR="006B1CEF" w:rsidRDefault="008203F5">
            <w:pPr>
              <w:pStyle w:val="Body"/>
              <w:rPr>
                <w:rFonts w:ascii="Arial" w:eastAsia="Arial" w:hAnsi="Arial" w:cs="Arial"/>
                <w:b/>
                <w:bCs/>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 xml:space="preserve">KILKEN INVESTMENTS (PTY) LTD </w:t>
            </w:r>
          </w:p>
          <w:p w14:paraId="60EF76BA" w14:textId="77777777" w:rsidR="006B1CEF" w:rsidRDefault="008203F5">
            <w:pPr>
              <w:pStyle w:val="Body"/>
            </w:pPr>
            <w:r>
              <w:rPr>
                <w:rFonts w:ascii="Arial" w:hAnsi="Arial"/>
                <w:b/>
                <w:bCs/>
                <w:lang w:val="en-US"/>
                <w14:textOutline w14:w="12700" w14:cap="flat" w14:cmpd="sng" w14:algn="ctr">
                  <w14:noFill/>
                  <w14:prstDash w14:val="solid"/>
                  <w14:miter w14:lim="400000"/>
                </w14:textOutline>
              </w:rPr>
              <w:t>Registration No. 2020/551840/07</w:t>
            </w:r>
          </w:p>
        </w:tc>
        <w:tc>
          <w:tcPr>
            <w:tcW w:w="3585" w:type="dxa"/>
            <w:tcBorders>
              <w:top w:val="nil"/>
              <w:left w:val="nil"/>
              <w:bottom w:val="nil"/>
              <w:right w:val="nil"/>
            </w:tcBorders>
            <w:shd w:val="clear" w:color="auto" w:fill="auto"/>
            <w:tcMar>
              <w:top w:w="80" w:type="dxa"/>
              <w:left w:w="80" w:type="dxa"/>
              <w:bottom w:w="80" w:type="dxa"/>
              <w:right w:w="80" w:type="dxa"/>
            </w:tcMar>
          </w:tcPr>
          <w:p w14:paraId="5DAAB8FA" w14:textId="77777777" w:rsidR="006B1CEF" w:rsidRDefault="008203F5">
            <w:pPr>
              <w:pStyle w:val="Body"/>
              <w:jc w:val="right"/>
            </w:pPr>
            <w:r>
              <w:rPr>
                <w:rFonts w:ascii="Arial" w:hAnsi="Arial"/>
                <w:lang w:val="en-US"/>
                <w14:textOutline w14:w="12700" w14:cap="flat" w14:cmpd="sng" w14:algn="ctr">
                  <w14:noFill/>
                  <w14:prstDash w14:val="solid"/>
                  <w14:miter w14:lim="400000"/>
                </w14:textOutline>
              </w:rPr>
              <w:t>Second Respondent</w:t>
            </w:r>
          </w:p>
        </w:tc>
      </w:tr>
      <w:tr w:rsidR="006B1CEF" w14:paraId="43223DFB"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5590BAA1" w14:textId="77777777" w:rsidR="006B1CEF" w:rsidRDefault="006B1CEF"/>
        </w:tc>
        <w:tc>
          <w:tcPr>
            <w:tcW w:w="3585" w:type="dxa"/>
            <w:tcBorders>
              <w:top w:val="nil"/>
              <w:left w:val="nil"/>
              <w:bottom w:val="nil"/>
              <w:right w:val="nil"/>
            </w:tcBorders>
            <w:shd w:val="clear" w:color="auto" w:fill="auto"/>
            <w:tcMar>
              <w:top w:w="80" w:type="dxa"/>
              <w:left w:w="80" w:type="dxa"/>
              <w:bottom w:w="80" w:type="dxa"/>
              <w:right w:w="80" w:type="dxa"/>
            </w:tcMar>
          </w:tcPr>
          <w:p w14:paraId="2C548FED" w14:textId="77777777" w:rsidR="006B1CEF" w:rsidRDefault="006B1CEF"/>
        </w:tc>
      </w:tr>
      <w:tr w:rsidR="006B1CEF" w14:paraId="46F41A5B" w14:textId="77777777">
        <w:trPr>
          <w:trHeight w:val="552"/>
        </w:trPr>
        <w:tc>
          <w:tcPr>
            <w:tcW w:w="4831" w:type="dxa"/>
            <w:tcBorders>
              <w:top w:val="nil"/>
              <w:left w:val="nil"/>
              <w:bottom w:val="nil"/>
              <w:right w:val="nil"/>
            </w:tcBorders>
            <w:shd w:val="clear" w:color="auto" w:fill="auto"/>
            <w:tcMar>
              <w:top w:w="80" w:type="dxa"/>
              <w:left w:w="80" w:type="dxa"/>
              <w:bottom w:w="80" w:type="dxa"/>
              <w:right w:w="80" w:type="dxa"/>
            </w:tcMar>
          </w:tcPr>
          <w:p w14:paraId="13B09995" w14:textId="77777777" w:rsidR="006B1CEF" w:rsidRDefault="008203F5">
            <w:pPr>
              <w:pStyle w:val="Body"/>
              <w:rPr>
                <w:rFonts w:ascii="Arial" w:eastAsia="Arial" w:hAnsi="Arial" w:cs="Arial"/>
                <w:b/>
                <w:bCs/>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 xml:space="preserve">KILKEN ENTERPRISES (PTY) LTD </w:t>
            </w:r>
          </w:p>
          <w:p w14:paraId="7900A2F8" w14:textId="77777777" w:rsidR="006B1CEF" w:rsidRDefault="008203F5">
            <w:pPr>
              <w:pStyle w:val="Body"/>
            </w:pPr>
            <w:r>
              <w:rPr>
                <w:rFonts w:ascii="Arial" w:hAnsi="Arial"/>
                <w:b/>
                <w:bCs/>
                <w:lang w:val="en-US"/>
                <w14:textOutline w14:w="12700" w14:cap="flat" w14:cmpd="sng" w14:algn="ctr">
                  <w14:noFill/>
                  <w14:prstDash w14:val="solid"/>
                  <w14:miter w14:lim="400000"/>
                </w14:textOutline>
              </w:rPr>
              <w:t>Registration No. 2020/551835/07</w:t>
            </w:r>
          </w:p>
        </w:tc>
        <w:tc>
          <w:tcPr>
            <w:tcW w:w="3585" w:type="dxa"/>
            <w:tcBorders>
              <w:top w:val="nil"/>
              <w:left w:val="nil"/>
              <w:bottom w:val="nil"/>
              <w:right w:val="nil"/>
            </w:tcBorders>
            <w:shd w:val="clear" w:color="auto" w:fill="auto"/>
            <w:tcMar>
              <w:top w:w="80" w:type="dxa"/>
              <w:left w:w="80" w:type="dxa"/>
              <w:bottom w:w="80" w:type="dxa"/>
              <w:right w:w="80" w:type="dxa"/>
            </w:tcMar>
          </w:tcPr>
          <w:p w14:paraId="28790CFD" w14:textId="77777777" w:rsidR="006B1CEF" w:rsidRDefault="008203F5">
            <w:pPr>
              <w:pStyle w:val="Body"/>
              <w:jc w:val="right"/>
            </w:pPr>
            <w:r>
              <w:rPr>
                <w:rFonts w:ascii="Arial" w:hAnsi="Arial"/>
                <w:lang w:val="en-US"/>
                <w14:textOutline w14:w="12700" w14:cap="flat" w14:cmpd="sng" w14:algn="ctr">
                  <w14:noFill/>
                  <w14:prstDash w14:val="solid"/>
                  <w14:miter w14:lim="400000"/>
                </w14:textOutline>
              </w:rPr>
              <w:t>Third Respondent</w:t>
            </w:r>
          </w:p>
        </w:tc>
      </w:tr>
      <w:tr w:rsidR="006B1CEF" w14:paraId="2F894BC1"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1DA3E3BC" w14:textId="77777777" w:rsidR="006B1CEF" w:rsidRDefault="006B1CEF"/>
        </w:tc>
        <w:tc>
          <w:tcPr>
            <w:tcW w:w="3585" w:type="dxa"/>
            <w:tcBorders>
              <w:top w:val="nil"/>
              <w:left w:val="nil"/>
              <w:bottom w:val="nil"/>
              <w:right w:val="nil"/>
            </w:tcBorders>
            <w:shd w:val="clear" w:color="auto" w:fill="auto"/>
            <w:tcMar>
              <w:top w:w="80" w:type="dxa"/>
              <w:left w:w="80" w:type="dxa"/>
              <w:bottom w:w="80" w:type="dxa"/>
              <w:right w:w="80" w:type="dxa"/>
            </w:tcMar>
          </w:tcPr>
          <w:p w14:paraId="3364727F" w14:textId="77777777" w:rsidR="006B1CEF" w:rsidRDefault="006B1CEF"/>
        </w:tc>
      </w:tr>
      <w:tr w:rsidR="006B1CEF" w14:paraId="055A65B2" w14:textId="77777777">
        <w:trPr>
          <w:trHeight w:val="552"/>
        </w:trPr>
        <w:tc>
          <w:tcPr>
            <w:tcW w:w="4831" w:type="dxa"/>
            <w:tcBorders>
              <w:top w:val="nil"/>
              <w:left w:val="nil"/>
              <w:bottom w:val="nil"/>
              <w:right w:val="nil"/>
            </w:tcBorders>
            <w:shd w:val="clear" w:color="auto" w:fill="auto"/>
            <w:tcMar>
              <w:top w:w="80" w:type="dxa"/>
              <w:left w:w="80" w:type="dxa"/>
              <w:bottom w:w="80" w:type="dxa"/>
              <w:right w:w="80" w:type="dxa"/>
            </w:tcMar>
          </w:tcPr>
          <w:p w14:paraId="412BE7E1" w14:textId="77777777" w:rsidR="006B1CEF" w:rsidRDefault="008203F5">
            <w:pPr>
              <w:pStyle w:val="Body"/>
              <w:rPr>
                <w:rFonts w:ascii="Arial" w:eastAsia="Arial" w:hAnsi="Arial" w:cs="Arial"/>
                <w:b/>
                <w:bCs/>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KILKEN HOLDINGS (PTY) LTD</w:t>
            </w:r>
          </w:p>
          <w:p w14:paraId="4C6B887E" w14:textId="77777777" w:rsidR="006B1CEF" w:rsidRDefault="008203F5">
            <w:pPr>
              <w:pStyle w:val="Body"/>
            </w:pPr>
            <w:r>
              <w:rPr>
                <w:rFonts w:ascii="Arial" w:hAnsi="Arial"/>
                <w:b/>
                <w:bCs/>
                <w:lang w:val="en-US"/>
                <w14:textOutline w14:w="12700" w14:cap="flat" w14:cmpd="sng" w14:algn="ctr">
                  <w14:noFill/>
                  <w14:prstDash w14:val="solid"/>
                  <w14:miter w14:lim="400000"/>
                </w14:textOutline>
              </w:rPr>
              <w:t>Registration No. 2020/551830/07</w:t>
            </w:r>
          </w:p>
        </w:tc>
        <w:tc>
          <w:tcPr>
            <w:tcW w:w="3585" w:type="dxa"/>
            <w:tcBorders>
              <w:top w:val="nil"/>
              <w:left w:val="nil"/>
              <w:bottom w:val="nil"/>
              <w:right w:val="nil"/>
            </w:tcBorders>
            <w:shd w:val="clear" w:color="auto" w:fill="auto"/>
            <w:tcMar>
              <w:top w:w="80" w:type="dxa"/>
              <w:left w:w="80" w:type="dxa"/>
              <w:bottom w:w="80" w:type="dxa"/>
              <w:right w:w="80" w:type="dxa"/>
            </w:tcMar>
          </w:tcPr>
          <w:p w14:paraId="546016E0" w14:textId="77777777" w:rsidR="006B1CEF" w:rsidRDefault="008203F5">
            <w:pPr>
              <w:pStyle w:val="Body"/>
              <w:jc w:val="right"/>
            </w:pPr>
            <w:r>
              <w:rPr>
                <w:rFonts w:ascii="Arial" w:hAnsi="Arial"/>
                <w:lang w:val="en-US"/>
                <w14:textOutline w14:w="12700" w14:cap="flat" w14:cmpd="sng" w14:algn="ctr">
                  <w14:noFill/>
                  <w14:prstDash w14:val="solid"/>
                  <w14:miter w14:lim="400000"/>
                </w14:textOutline>
              </w:rPr>
              <w:t>Fourth Respondent</w:t>
            </w:r>
          </w:p>
        </w:tc>
      </w:tr>
      <w:tr w:rsidR="006B1CEF" w14:paraId="4476884B"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77FC1ABA" w14:textId="77777777" w:rsidR="006B1CEF" w:rsidRDefault="006B1CEF"/>
        </w:tc>
        <w:tc>
          <w:tcPr>
            <w:tcW w:w="3585" w:type="dxa"/>
            <w:tcBorders>
              <w:top w:val="nil"/>
              <w:left w:val="nil"/>
              <w:bottom w:val="nil"/>
              <w:right w:val="nil"/>
            </w:tcBorders>
            <w:shd w:val="clear" w:color="auto" w:fill="auto"/>
            <w:tcMar>
              <w:top w:w="80" w:type="dxa"/>
              <w:left w:w="80" w:type="dxa"/>
              <w:bottom w:w="80" w:type="dxa"/>
              <w:right w:w="80" w:type="dxa"/>
            </w:tcMar>
          </w:tcPr>
          <w:p w14:paraId="1D9A5333" w14:textId="77777777" w:rsidR="006B1CEF" w:rsidRDefault="006B1CEF"/>
        </w:tc>
      </w:tr>
      <w:tr w:rsidR="006B1CEF" w14:paraId="60B3B745" w14:textId="77777777">
        <w:trPr>
          <w:trHeight w:val="552"/>
        </w:trPr>
        <w:tc>
          <w:tcPr>
            <w:tcW w:w="4831" w:type="dxa"/>
            <w:tcBorders>
              <w:top w:val="nil"/>
              <w:left w:val="nil"/>
              <w:bottom w:val="nil"/>
              <w:right w:val="nil"/>
            </w:tcBorders>
            <w:shd w:val="clear" w:color="auto" w:fill="auto"/>
            <w:tcMar>
              <w:top w:w="80" w:type="dxa"/>
              <w:left w:w="80" w:type="dxa"/>
              <w:bottom w:w="80" w:type="dxa"/>
              <w:right w:w="80" w:type="dxa"/>
            </w:tcMar>
          </w:tcPr>
          <w:p w14:paraId="12578B00" w14:textId="77777777" w:rsidR="006B1CEF" w:rsidRDefault="008203F5">
            <w:pPr>
              <w:pStyle w:val="Body"/>
              <w:rPr>
                <w:rFonts w:ascii="Arial" w:eastAsia="Arial" w:hAnsi="Arial" w:cs="Arial"/>
                <w:b/>
                <w:bCs/>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ZUNAID ABBAS MOTI</w:t>
            </w:r>
          </w:p>
          <w:p w14:paraId="437C4C1A" w14:textId="7247FD5C" w:rsidR="006B1CEF" w:rsidRDefault="008203F5">
            <w:pPr>
              <w:pStyle w:val="Body"/>
            </w:pPr>
            <w:r>
              <w:rPr>
                <w:rFonts w:ascii="Arial" w:hAnsi="Arial"/>
                <w:b/>
                <w:bCs/>
                <w:lang w:val="en-US"/>
                <w14:textOutline w14:w="12700" w14:cap="flat" w14:cmpd="sng" w14:algn="ctr">
                  <w14:noFill/>
                  <w14:prstDash w14:val="solid"/>
                  <w14:miter w14:lim="400000"/>
                </w14:textOutline>
              </w:rPr>
              <w:t xml:space="preserve">ID: </w:t>
            </w:r>
            <w:r w:rsidR="00A27BC8">
              <w:rPr>
                <w:rFonts w:ascii="Arial" w:hAnsi="Arial"/>
                <w:b/>
                <w:bCs/>
                <w:lang w:val="en-US"/>
                <w14:textOutline w14:w="12700" w14:cap="flat" w14:cmpd="sng" w14:algn="ctr">
                  <w14:noFill/>
                  <w14:prstDash w14:val="solid"/>
                  <w14:miter w14:lim="400000"/>
                </w14:textOutline>
              </w:rPr>
              <w:t>[…]</w:t>
            </w:r>
          </w:p>
        </w:tc>
        <w:tc>
          <w:tcPr>
            <w:tcW w:w="3585" w:type="dxa"/>
            <w:tcBorders>
              <w:top w:val="nil"/>
              <w:left w:val="nil"/>
              <w:bottom w:val="nil"/>
              <w:right w:val="nil"/>
            </w:tcBorders>
            <w:shd w:val="clear" w:color="auto" w:fill="auto"/>
            <w:tcMar>
              <w:top w:w="80" w:type="dxa"/>
              <w:left w:w="80" w:type="dxa"/>
              <w:bottom w:w="80" w:type="dxa"/>
              <w:right w:w="80" w:type="dxa"/>
            </w:tcMar>
          </w:tcPr>
          <w:p w14:paraId="128057C4" w14:textId="77777777" w:rsidR="006B1CEF" w:rsidRDefault="008203F5">
            <w:pPr>
              <w:pStyle w:val="Body"/>
              <w:jc w:val="right"/>
            </w:pPr>
            <w:r>
              <w:rPr>
                <w:rFonts w:ascii="Arial" w:hAnsi="Arial"/>
                <w:lang w:val="en-US"/>
                <w14:textOutline w14:w="12700" w14:cap="flat" w14:cmpd="sng" w14:algn="ctr">
                  <w14:noFill/>
                  <w14:prstDash w14:val="solid"/>
                  <w14:miter w14:lim="400000"/>
                </w14:textOutline>
              </w:rPr>
              <w:t xml:space="preserve">Fifth Respondent </w:t>
            </w:r>
          </w:p>
        </w:tc>
      </w:tr>
      <w:tr w:rsidR="006B1CEF" w14:paraId="0DF1A9F5"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698AAD54" w14:textId="77777777" w:rsidR="006B1CEF" w:rsidRDefault="006B1CEF"/>
        </w:tc>
        <w:tc>
          <w:tcPr>
            <w:tcW w:w="3585" w:type="dxa"/>
            <w:tcBorders>
              <w:top w:val="nil"/>
              <w:left w:val="nil"/>
              <w:bottom w:val="nil"/>
              <w:right w:val="nil"/>
            </w:tcBorders>
            <w:shd w:val="clear" w:color="auto" w:fill="auto"/>
            <w:tcMar>
              <w:top w:w="80" w:type="dxa"/>
              <w:left w:w="80" w:type="dxa"/>
              <w:bottom w:w="80" w:type="dxa"/>
              <w:right w:w="80" w:type="dxa"/>
            </w:tcMar>
          </w:tcPr>
          <w:p w14:paraId="08285280" w14:textId="77777777" w:rsidR="006B1CEF" w:rsidRDefault="006B1CEF"/>
        </w:tc>
      </w:tr>
      <w:tr w:rsidR="006B1CEF" w14:paraId="781C94D5" w14:textId="77777777">
        <w:trPr>
          <w:trHeight w:val="552"/>
        </w:trPr>
        <w:tc>
          <w:tcPr>
            <w:tcW w:w="4831" w:type="dxa"/>
            <w:tcBorders>
              <w:top w:val="nil"/>
              <w:left w:val="nil"/>
              <w:bottom w:val="nil"/>
              <w:right w:val="nil"/>
            </w:tcBorders>
            <w:shd w:val="clear" w:color="auto" w:fill="auto"/>
            <w:tcMar>
              <w:top w:w="80" w:type="dxa"/>
              <w:left w:w="80" w:type="dxa"/>
              <w:bottom w:w="80" w:type="dxa"/>
              <w:right w:w="80" w:type="dxa"/>
            </w:tcMar>
          </w:tcPr>
          <w:p w14:paraId="0B11CAFD" w14:textId="77777777" w:rsidR="006B1CEF" w:rsidRDefault="008203F5">
            <w:pPr>
              <w:pStyle w:val="Body"/>
              <w:rPr>
                <w:rFonts w:ascii="Arial" w:eastAsia="Arial" w:hAnsi="Arial" w:cs="Arial"/>
                <w:b/>
                <w:bCs/>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 xml:space="preserve">CITAX INVESTMENTS SA (PTY) LTD </w:t>
            </w:r>
          </w:p>
          <w:p w14:paraId="44A4FB1D" w14:textId="77777777" w:rsidR="006B1CEF" w:rsidRDefault="008203F5">
            <w:pPr>
              <w:pStyle w:val="Body"/>
            </w:pPr>
            <w:r>
              <w:rPr>
                <w:rFonts w:ascii="Arial" w:hAnsi="Arial"/>
                <w:b/>
                <w:bCs/>
                <w:lang w:val="en-US"/>
                <w14:textOutline w14:w="12700" w14:cap="flat" w14:cmpd="sng" w14:algn="ctr">
                  <w14:noFill/>
                  <w14:prstDash w14:val="solid"/>
                  <w14:miter w14:lim="400000"/>
                </w14:textOutline>
              </w:rPr>
              <w:t>Registration No. 2021/000194/07</w:t>
            </w:r>
          </w:p>
        </w:tc>
        <w:tc>
          <w:tcPr>
            <w:tcW w:w="3585" w:type="dxa"/>
            <w:tcBorders>
              <w:top w:val="nil"/>
              <w:left w:val="nil"/>
              <w:bottom w:val="nil"/>
              <w:right w:val="nil"/>
            </w:tcBorders>
            <w:shd w:val="clear" w:color="auto" w:fill="auto"/>
            <w:tcMar>
              <w:top w:w="80" w:type="dxa"/>
              <w:left w:w="80" w:type="dxa"/>
              <w:bottom w:w="80" w:type="dxa"/>
              <w:right w:w="80" w:type="dxa"/>
            </w:tcMar>
          </w:tcPr>
          <w:p w14:paraId="08427203" w14:textId="77777777" w:rsidR="006B1CEF" w:rsidRDefault="008203F5">
            <w:pPr>
              <w:pStyle w:val="Body"/>
              <w:jc w:val="right"/>
            </w:pPr>
            <w:r>
              <w:rPr>
                <w:rFonts w:ascii="Arial" w:hAnsi="Arial"/>
                <w:lang w:val="en-US"/>
                <w14:textOutline w14:w="12700" w14:cap="flat" w14:cmpd="sng" w14:algn="ctr">
                  <w14:noFill/>
                  <w14:prstDash w14:val="solid"/>
                  <w14:miter w14:lim="400000"/>
                </w14:textOutline>
              </w:rPr>
              <w:t xml:space="preserve">Sixth Respondent </w:t>
            </w:r>
          </w:p>
        </w:tc>
      </w:tr>
      <w:tr w:rsidR="006B1CEF" w14:paraId="2F3111F0" w14:textId="77777777">
        <w:trPr>
          <w:trHeight w:val="173"/>
        </w:trPr>
        <w:tc>
          <w:tcPr>
            <w:tcW w:w="4831" w:type="dxa"/>
            <w:tcBorders>
              <w:top w:val="nil"/>
              <w:left w:val="nil"/>
              <w:bottom w:val="nil"/>
              <w:right w:val="nil"/>
            </w:tcBorders>
            <w:shd w:val="clear" w:color="auto" w:fill="auto"/>
            <w:tcMar>
              <w:top w:w="80" w:type="dxa"/>
              <w:left w:w="80" w:type="dxa"/>
              <w:bottom w:w="80" w:type="dxa"/>
              <w:right w:w="80" w:type="dxa"/>
            </w:tcMar>
          </w:tcPr>
          <w:p w14:paraId="7B86B4F9" w14:textId="77777777" w:rsidR="006B1CEF" w:rsidRDefault="006B1CEF"/>
        </w:tc>
        <w:tc>
          <w:tcPr>
            <w:tcW w:w="3585" w:type="dxa"/>
            <w:tcBorders>
              <w:top w:val="nil"/>
              <w:left w:val="nil"/>
              <w:bottom w:val="nil"/>
              <w:right w:val="nil"/>
            </w:tcBorders>
            <w:shd w:val="clear" w:color="auto" w:fill="auto"/>
            <w:tcMar>
              <w:top w:w="80" w:type="dxa"/>
              <w:left w:w="80" w:type="dxa"/>
              <w:bottom w:w="80" w:type="dxa"/>
              <w:right w:w="80" w:type="dxa"/>
            </w:tcMar>
          </w:tcPr>
          <w:p w14:paraId="79D9AF90" w14:textId="77777777" w:rsidR="006B1CEF" w:rsidRDefault="006B1CEF"/>
        </w:tc>
      </w:tr>
      <w:tr w:rsidR="006B1CEF" w14:paraId="0F35B366" w14:textId="77777777">
        <w:trPr>
          <w:trHeight w:val="552"/>
        </w:trPr>
        <w:tc>
          <w:tcPr>
            <w:tcW w:w="4831" w:type="dxa"/>
            <w:tcBorders>
              <w:top w:val="nil"/>
              <w:left w:val="nil"/>
              <w:bottom w:val="nil"/>
              <w:right w:val="nil"/>
            </w:tcBorders>
            <w:shd w:val="clear" w:color="auto" w:fill="auto"/>
            <w:tcMar>
              <w:top w:w="80" w:type="dxa"/>
              <w:left w:w="80" w:type="dxa"/>
              <w:bottom w:w="80" w:type="dxa"/>
              <w:right w:w="80" w:type="dxa"/>
            </w:tcMar>
          </w:tcPr>
          <w:p w14:paraId="0889E9F3" w14:textId="77777777" w:rsidR="006B1CEF" w:rsidRDefault="008203F5">
            <w:pPr>
              <w:pStyle w:val="Body"/>
              <w:rPr>
                <w:rFonts w:ascii="Arial" w:eastAsia="Arial" w:hAnsi="Arial" w:cs="Arial"/>
                <w:b/>
                <w:bCs/>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ANY RENTAL (PTY) LTD</w:t>
            </w:r>
          </w:p>
          <w:p w14:paraId="2DE0C6E0" w14:textId="77777777" w:rsidR="006B1CEF" w:rsidRDefault="008203F5">
            <w:pPr>
              <w:pStyle w:val="Body"/>
            </w:pPr>
            <w:r>
              <w:rPr>
                <w:rFonts w:ascii="Arial" w:hAnsi="Arial"/>
                <w:b/>
                <w:bCs/>
                <w:lang w:val="en-US"/>
                <w14:textOutline w14:w="12700" w14:cap="flat" w14:cmpd="sng" w14:algn="ctr">
                  <w14:noFill/>
                  <w14:prstDash w14:val="solid"/>
                  <w14:miter w14:lim="400000"/>
                </w14:textOutline>
              </w:rPr>
              <w:t>Registration No. 2007/010332/07</w:t>
            </w:r>
          </w:p>
        </w:tc>
        <w:tc>
          <w:tcPr>
            <w:tcW w:w="3585" w:type="dxa"/>
            <w:tcBorders>
              <w:top w:val="nil"/>
              <w:left w:val="nil"/>
              <w:bottom w:val="nil"/>
              <w:right w:val="nil"/>
            </w:tcBorders>
            <w:shd w:val="clear" w:color="auto" w:fill="auto"/>
            <w:tcMar>
              <w:top w:w="80" w:type="dxa"/>
              <w:left w:w="80" w:type="dxa"/>
              <w:bottom w:w="80" w:type="dxa"/>
              <w:right w:w="80" w:type="dxa"/>
            </w:tcMar>
          </w:tcPr>
          <w:p w14:paraId="233A50AD" w14:textId="77777777" w:rsidR="006B1CEF" w:rsidRDefault="008203F5">
            <w:pPr>
              <w:pStyle w:val="Body"/>
              <w:jc w:val="right"/>
            </w:pPr>
            <w:r>
              <w:rPr>
                <w:rFonts w:ascii="Arial" w:hAnsi="Arial"/>
                <w:lang w:val="en-US"/>
                <w14:textOutline w14:w="12700" w14:cap="flat" w14:cmpd="sng" w14:algn="ctr">
                  <w14:noFill/>
                  <w14:prstDash w14:val="solid"/>
                  <w14:miter w14:lim="400000"/>
                </w14:textOutline>
              </w:rPr>
              <w:t>Seventh Respondent</w:t>
            </w:r>
          </w:p>
        </w:tc>
      </w:tr>
    </w:tbl>
    <w:p w14:paraId="405D3A8F" w14:textId="77777777" w:rsidR="006B1CEF" w:rsidRDefault="006B1CEF" w:rsidP="008203F5">
      <w:pPr>
        <w:pStyle w:val="Body"/>
        <w:widowControl w:val="0"/>
        <w:pBdr>
          <w:bottom w:val="none" w:sz="0" w:space="0" w:color="auto"/>
        </w:pBdr>
        <w:rPr>
          <w:rFonts w:ascii="Arial" w:eastAsia="Arial" w:hAnsi="Arial" w:cs="Arial"/>
          <w14:textOutline w14:w="12700" w14:cap="flat" w14:cmpd="sng" w14:algn="ctr">
            <w14:noFill/>
            <w14:prstDash w14:val="solid"/>
            <w14:miter w14:lim="400000"/>
          </w14:textOutline>
        </w:rPr>
      </w:pPr>
    </w:p>
    <w:p w14:paraId="539C5D89" w14:textId="3EC9CEC7" w:rsidR="006B1CEF" w:rsidRDefault="008203F5" w:rsidP="008203F5">
      <w:pPr>
        <w:pStyle w:val="Body"/>
        <w:widowControl w:val="0"/>
        <w:pBdr>
          <w:bottom w:val="none" w:sz="0" w:space="0" w:color="auto"/>
        </w:pBdr>
        <w:rPr>
          <w:rFonts w:ascii="Arial" w:eastAsia="Arial" w:hAnsi="Arial" w:cs="Arial"/>
          <w14:textOutline w14:w="12700" w14:cap="flat" w14:cmpd="sng" w14:algn="ctr">
            <w14:noFill/>
            <w14:prstDash w14:val="solid"/>
            <w14:miter w14:lim="400000"/>
          </w14:textOutline>
        </w:rPr>
      </w:pPr>
      <w:r>
        <w:rPr>
          <w:rFonts w:ascii="Arial" w:eastAsia="Arial" w:hAnsi="Arial" w:cs="Arial"/>
          <w14:textOutline w14:w="12700" w14:cap="flat" w14:cmpd="sng" w14:algn="ctr">
            <w14:noFill/>
            <w14:prstDash w14:val="solid"/>
            <w14:miter w14:lim="400000"/>
          </w14:textOutline>
        </w:rPr>
        <w:br/>
        <w:t>________________________________________________________________________</w:t>
      </w:r>
    </w:p>
    <w:p w14:paraId="47C34521" w14:textId="77777777" w:rsidR="008203F5" w:rsidRDefault="008203F5" w:rsidP="008203F5">
      <w:pPr>
        <w:pStyle w:val="Default"/>
        <w:pBdr>
          <w:bottom w:val="none" w:sz="0" w:space="0" w:color="auto"/>
        </w:pBdr>
        <w:spacing w:before="0" w:after="240" w:line="360" w:lineRule="auto"/>
        <w:jc w:val="center"/>
        <w:rPr>
          <w:rFonts w:ascii="Arial" w:hAnsi="Arial"/>
          <w:b/>
          <w:bCs/>
          <w:shd w:val="clear" w:color="auto" w:fill="FFFFFF"/>
          <w:lang w:val="de-DE"/>
        </w:rPr>
      </w:pPr>
    </w:p>
    <w:p w14:paraId="30BD2597" w14:textId="5F0E6EF3" w:rsidR="006B1CEF" w:rsidRDefault="008203F5" w:rsidP="008203F5">
      <w:pPr>
        <w:pStyle w:val="Default"/>
        <w:pBdr>
          <w:bottom w:val="none" w:sz="0" w:space="0" w:color="auto"/>
        </w:pBdr>
        <w:spacing w:before="0" w:after="240" w:line="360" w:lineRule="auto"/>
        <w:jc w:val="center"/>
        <w:rPr>
          <w:rFonts w:ascii="Arial" w:eastAsia="Arial" w:hAnsi="Arial" w:cs="Arial"/>
          <w:b/>
          <w:bCs/>
          <w:shd w:val="clear" w:color="auto" w:fill="FFFFFF"/>
        </w:rPr>
      </w:pPr>
      <w:r>
        <w:rPr>
          <w:rFonts w:ascii="Arial" w:hAnsi="Arial"/>
          <w:b/>
          <w:bCs/>
          <w:shd w:val="clear" w:color="auto" w:fill="FFFFFF"/>
          <w:lang w:val="de-DE"/>
        </w:rPr>
        <w:t>JUDGMENT</w:t>
      </w:r>
      <w:r>
        <w:rPr>
          <w:rFonts w:ascii="Arial" w:eastAsia="Arial" w:hAnsi="Arial" w:cs="Arial"/>
          <w:b/>
          <w:bCs/>
          <w:sz w:val="37"/>
          <w:szCs w:val="37"/>
          <w:shd w:val="clear" w:color="auto" w:fill="FFFFFF"/>
        </w:rPr>
        <w:br/>
      </w:r>
      <w:r>
        <w:rPr>
          <w:rFonts w:ascii="Arial" w:hAnsi="Arial"/>
          <w:b/>
          <w:bCs/>
          <w:shd w:val="clear" w:color="auto" w:fill="FFFFFF"/>
          <w:lang w:val="de-DE"/>
        </w:rPr>
        <w:t>THIS JUD</w:t>
      </w:r>
      <w:r>
        <w:rPr>
          <w:rFonts w:ascii="Arial" w:hAnsi="Arial"/>
          <w:b/>
          <w:bCs/>
          <w:shd w:val="clear" w:color="auto" w:fill="FFFFFF"/>
        </w:rPr>
        <w:t xml:space="preserve">GMENT HAS BEEN HANDED DOWN REMOTELY AND SHALL BE CIRCULATED TO THE PARTIES BY EMAIL. ITS DATE AND TIME OF HAND DOWN SHALL BE DEEMED TO BE 28 MAY 2024  </w:t>
      </w:r>
    </w:p>
    <w:p w14:paraId="6357DD02" w14:textId="77777777" w:rsidR="006B1CEF" w:rsidRDefault="008203F5" w:rsidP="008203F5">
      <w:pPr>
        <w:pStyle w:val="Body"/>
        <w:widowControl w:val="0"/>
        <w:pBdr>
          <w:bottom w:val="none" w:sz="0" w:space="0" w:color="auto"/>
        </w:pBdr>
        <w:rPr>
          <w:rFonts w:ascii="Arial" w:eastAsia="Arial" w:hAnsi="Arial" w:cs="Arial"/>
          <w14:textOutline w14:w="12700" w14:cap="flat" w14:cmpd="sng" w14:algn="ctr">
            <w14:noFill/>
            <w14:prstDash w14:val="solid"/>
            <w14:miter w14:lim="400000"/>
          </w14:textOutline>
        </w:rPr>
      </w:pPr>
      <w:r>
        <w:rPr>
          <w:rFonts w:ascii="Arial" w:hAnsi="Arial"/>
          <w:lang w:val="en-US"/>
          <w14:textOutline w14:w="12700" w14:cap="flat" w14:cmpd="sng" w14:algn="ctr">
            <w14:noFill/>
            <w14:prstDash w14:val="solid"/>
            <w14:miter w14:lim="400000"/>
          </w14:textOutline>
        </w:rPr>
        <w:t>————————————————————————————————————————</w:t>
      </w:r>
    </w:p>
    <w:p w14:paraId="3CC676AF" w14:textId="77777777" w:rsidR="006B1CEF" w:rsidRDefault="006B1CEF" w:rsidP="008203F5">
      <w:pPr>
        <w:pStyle w:val="Body"/>
        <w:widowControl w:val="0"/>
        <w:pBdr>
          <w:bottom w:val="none" w:sz="0" w:space="0" w:color="auto"/>
        </w:pBdr>
        <w:rPr>
          <w:rFonts w:ascii="Arial" w:eastAsia="Arial" w:hAnsi="Arial" w:cs="Arial"/>
          <w14:textOutline w14:w="12700" w14:cap="flat" w14:cmpd="sng" w14:algn="ctr">
            <w14:noFill/>
            <w14:prstDash w14:val="solid"/>
            <w14:miter w14:lim="400000"/>
          </w14:textOutline>
        </w:rPr>
      </w:pPr>
    </w:p>
    <w:p w14:paraId="24C3F310" w14:textId="77777777" w:rsidR="006B1CEF" w:rsidRDefault="006B1CEF" w:rsidP="008203F5">
      <w:pPr>
        <w:pStyle w:val="Body"/>
        <w:widowControl w:val="0"/>
        <w:pBdr>
          <w:bottom w:val="none" w:sz="0" w:space="0" w:color="auto"/>
        </w:pBdr>
        <w:rPr>
          <w:rFonts w:ascii="Arial" w:eastAsia="Arial" w:hAnsi="Arial" w:cs="Arial"/>
          <w14:textOutline w14:w="12700" w14:cap="flat" w14:cmpd="sng" w14:algn="ctr">
            <w14:noFill/>
            <w14:prstDash w14:val="solid"/>
            <w14:miter w14:lim="400000"/>
          </w14:textOutline>
        </w:rPr>
      </w:pPr>
    </w:p>
    <w:p w14:paraId="0C507E57" w14:textId="77777777" w:rsidR="006B1CEF" w:rsidRPr="008203F5" w:rsidRDefault="008203F5" w:rsidP="008203F5">
      <w:pPr>
        <w:pStyle w:val="Body"/>
        <w:widowControl w:val="0"/>
        <w:pBdr>
          <w:bottom w:val="none" w:sz="0" w:space="0" w:color="auto"/>
        </w:pBdr>
        <w:rPr>
          <w:rFonts w:ascii="Arial" w:eastAsia="Arial" w:hAnsi="Arial" w:cs="Arial"/>
          <w:b/>
          <w:bCs/>
          <w14:textOutline w14:w="12700" w14:cap="flat" w14:cmpd="sng" w14:algn="ctr">
            <w14:noFill/>
            <w14:prstDash w14:val="solid"/>
            <w14:miter w14:lim="400000"/>
          </w14:textOutline>
        </w:rPr>
      </w:pPr>
      <w:r w:rsidRPr="008203F5">
        <w:rPr>
          <w:rFonts w:ascii="Arial" w:hAnsi="Arial"/>
          <w:b/>
          <w:bCs/>
          <w:lang w:val="de-DE"/>
          <w14:textOutline w14:w="12700" w14:cap="flat" w14:cmpd="sng" w14:algn="ctr">
            <w14:noFill/>
            <w14:prstDash w14:val="solid"/>
            <w14:miter w14:lim="400000"/>
          </w14:textOutline>
        </w:rPr>
        <w:t>Bam J</w:t>
      </w:r>
    </w:p>
    <w:p w14:paraId="070B74B3" w14:textId="77777777" w:rsidR="006B1CEF" w:rsidRDefault="006B1CEF" w:rsidP="008203F5">
      <w:pPr>
        <w:pStyle w:val="Body"/>
        <w:widowControl w:val="0"/>
        <w:pBdr>
          <w:bottom w:val="none" w:sz="0" w:space="0" w:color="auto"/>
        </w:pBdr>
        <w:rPr>
          <w:rFonts w:ascii="Arial" w:eastAsia="Arial" w:hAnsi="Arial" w:cs="Arial"/>
          <w14:textOutline w14:w="12700" w14:cap="flat" w14:cmpd="sng" w14:algn="ctr">
            <w14:noFill/>
            <w14:prstDash w14:val="solid"/>
            <w14:miter w14:lim="400000"/>
          </w14:textOutline>
        </w:rPr>
      </w:pPr>
    </w:p>
    <w:p w14:paraId="5D88A721" w14:textId="77777777" w:rsidR="006B1CEF" w:rsidRDefault="008203F5" w:rsidP="008203F5">
      <w:pPr>
        <w:pStyle w:val="Body"/>
        <w:widowControl w:val="0"/>
        <w:pBdr>
          <w:bottom w:val="none" w:sz="0" w:space="0" w:color="auto"/>
        </w:pBdr>
        <w:rPr>
          <w:rFonts w:ascii="Arial" w:eastAsia="Arial" w:hAnsi="Arial" w:cs="Arial"/>
          <w:b/>
          <w:bCs/>
          <w14:textOutline w14:w="12700" w14:cap="flat" w14:cmpd="sng" w14:algn="ctr">
            <w14:noFill/>
            <w14:prstDash w14:val="solid"/>
            <w14:miter w14:lim="400000"/>
          </w14:textOutline>
        </w:rPr>
      </w:pPr>
      <w:r>
        <w:rPr>
          <w:rFonts w:ascii="Arial" w:hAnsi="Arial"/>
          <w:b/>
          <w:bCs/>
          <w:lang w:val="fr-FR"/>
          <w14:textOutline w14:w="12700" w14:cap="flat" w14:cmpd="sng" w14:algn="ctr">
            <w14:noFill/>
            <w14:prstDash w14:val="solid"/>
            <w14:miter w14:lim="400000"/>
          </w14:textOutline>
        </w:rPr>
        <w:t xml:space="preserve">Introduction </w:t>
      </w:r>
    </w:p>
    <w:p w14:paraId="5E808E5A" w14:textId="77777777" w:rsidR="006B1CEF" w:rsidRDefault="006B1CEF" w:rsidP="008203F5">
      <w:pPr>
        <w:pStyle w:val="Body"/>
        <w:widowControl w:val="0"/>
        <w:pBdr>
          <w:bottom w:val="none" w:sz="0" w:space="0" w:color="auto"/>
        </w:pBdr>
        <w:rPr>
          <w:rFonts w:ascii="Arial" w:eastAsia="Arial" w:hAnsi="Arial" w:cs="Arial"/>
          <w14:textOutline w14:w="12700" w14:cap="flat" w14:cmpd="sng" w14:algn="ctr">
            <w14:noFill/>
            <w14:prstDash w14:val="solid"/>
            <w14:miter w14:lim="400000"/>
          </w14:textOutline>
        </w:rPr>
      </w:pPr>
    </w:p>
    <w:p w14:paraId="04E20C15" w14:textId="18EECEB6" w:rsidR="006B1CEF" w:rsidRDefault="00804BD2" w:rsidP="00804BD2">
      <w:pPr>
        <w:pStyle w:val="Body"/>
        <w:widowControl w:val="0"/>
        <w:pBdr>
          <w:bottom w:val="none" w:sz="0" w:space="0" w:color="auto"/>
        </w:pBdr>
        <w:spacing w:line="480" w:lineRule="auto"/>
        <w:ind w:left="720" w:hanging="720"/>
        <w:jc w:val="both"/>
        <w:rPr>
          <w:rFonts w:ascii="Arial" w:hAnsi="Arial"/>
          <w:lang w:val="en-US"/>
        </w:rPr>
      </w:pPr>
      <w:r>
        <w:rPr>
          <w:rFonts w:ascii="Arial" w:hAnsi="Arial Unicode MS"/>
          <w:lang w:val="en-US"/>
        </w:rPr>
        <w:t>1.</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 xml:space="preserve">The applicants claim delivery and transfer of a helicopter together with publicly traded shares from the respondents. The claim arises from a settlement agreement they had cancelled in June 2022, following what they said was the respondents’ failure to </w:t>
      </w:r>
      <w:r w:rsidR="008203F5">
        <w:rPr>
          <w:rFonts w:ascii="Arial" w:hAnsi="Arial"/>
          <w:lang w:val="en-US"/>
          <w14:textOutline w14:w="12700" w14:cap="flat" w14:cmpd="sng" w14:algn="ctr">
            <w14:noFill/>
            <w14:prstDash w14:val="solid"/>
            <w14:miter w14:lim="400000"/>
          </w14:textOutline>
        </w:rPr>
        <w:lastRenderedPageBreak/>
        <w:t xml:space="preserve">perform. </w:t>
      </w:r>
    </w:p>
    <w:p w14:paraId="6EF63EFE" w14:textId="77777777" w:rsidR="006B1CEF" w:rsidRDefault="006B1CEF" w:rsidP="008203F5">
      <w:pPr>
        <w:pStyle w:val="Body"/>
        <w:widowControl w:val="0"/>
        <w:pBdr>
          <w:bottom w:val="none" w:sz="0" w:space="0" w:color="auto"/>
        </w:pBdr>
        <w:spacing w:line="480" w:lineRule="auto"/>
        <w:jc w:val="both"/>
        <w:rPr>
          <w:rFonts w:ascii="Arial" w:eastAsia="Arial" w:hAnsi="Arial" w:cs="Arial"/>
          <w14:textOutline w14:w="12700" w14:cap="flat" w14:cmpd="sng" w14:algn="ctr">
            <w14:noFill/>
            <w14:prstDash w14:val="solid"/>
            <w14:miter w14:lim="400000"/>
          </w14:textOutline>
        </w:rPr>
      </w:pPr>
    </w:p>
    <w:p w14:paraId="77DB8D68" w14:textId="619E8204" w:rsidR="006B1CEF" w:rsidRDefault="00804BD2" w:rsidP="00804BD2">
      <w:pPr>
        <w:pStyle w:val="Body"/>
        <w:widowControl w:val="0"/>
        <w:pBdr>
          <w:bottom w:val="none" w:sz="0" w:space="0" w:color="auto"/>
        </w:pBdr>
        <w:spacing w:line="480" w:lineRule="auto"/>
        <w:ind w:left="720" w:hanging="720"/>
        <w:jc w:val="both"/>
        <w:rPr>
          <w:rFonts w:ascii="Arial" w:hAnsi="Arial"/>
          <w:lang w:val="en-US"/>
        </w:rPr>
      </w:pPr>
      <w:r>
        <w:rPr>
          <w:rFonts w:ascii="Arial" w:hAnsi="Arial Unicode MS"/>
          <w:lang w:val="en-US"/>
        </w:rPr>
        <w:t>2.</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 xml:space="preserve">The respondents raise three </w:t>
      </w:r>
      <w:proofErr w:type="spellStart"/>
      <w:r w:rsidR="008203F5">
        <w:rPr>
          <w:rFonts w:ascii="Arial" w:hAnsi="Arial"/>
          <w:lang w:val="en-US"/>
          <w14:textOutline w14:w="12700" w14:cap="flat" w14:cmpd="sng" w14:algn="ctr">
            <w14:noFill/>
            <w14:prstDash w14:val="solid"/>
            <w14:miter w14:lim="400000"/>
          </w14:textOutline>
        </w:rPr>
        <w:t>defences</w:t>
      </w:r>
      <w:proofErr w:type="spellEnd"/>
      <w:r w:rsidR="008203F5">
        <w:rPr>
          <w:rFonts w:ascii="Arial" w:hAnsi="Arial"/>
          <w:lang w:val="en-US"/>
          <w14:textOutline w14:w="12700" w14:cap="flat" w14:cmpd="sng" w14:algn="ctr">
            <w14:noFill/>
            <w14:prstDash w14:val="solid"/>
            <w14:miter w14:lim="400000"/>
          </w14:textOutline>
        </w:rPr>
        <w:t xml:space="preserve">. Firstly, they say the time and conditions for them to perform their obligations never arose; in addition, given the reciprocal nature of their obligations, the respondents were under no obligation to perform until and unless the applicants had purged their own non-performance, which they never did. The result is that the applicants’ right to enforce the </w:t>
      </w:r>
      <w:proofErr w:type="spellStart"/>
      <w:r w:rsidR="008203F5">
        <w:rPr>
          <w:rFonts w:ascii="Arial" w:hAnsi="Arial"/>
          <w:lang w:val="en-US"/>
          <w14:textOutline w14:w="12700" w14:cap="flat" w14:cmpd="sng" w14:algn="ctr">
            <w14:noFill/>
            <w14:prstDash w14:val="solid"/>
            <w14:miter w14:lim="400000"/>
          </w14:textOutline>
        </w:rPr>
        <w:t>Rouwkoop</w:t>
      </w:r>
      <w:proofErr w:type="spellEnd"/>
      <w:r w:rsidR="008203F5">
        <w:rPr>
          <w:rFonts w:ascii="Arial" w:hAnsi="Arial"/>
          <w:lang w:val="en-US"/>
          <w14:textOutline w14:w="12700" w14:cap="flat" w14:cmpd="sng" w14:algn="ctr">
            <w14:noFill/>
            <w14:prstDash w14:val="solid"/>
            <w14:miter w14:lim="400000"/>
          </w14:textOutline>
        </w:rPr>
        <w:t xml:space="preserve"> provisions of the agreement simply never arose. Secondly, they say the applicants made an election to cancel the agreement. Cancellation precludes enforcement. The applicants are accordingly not allowed to simultaneously blow hot and cold. They are bound by their election. Thirdly, by all parties’ accounts, the Settlement Agreement was cancelled. Cancellation has the result that all the obligations under the Settlement Agreement are extinguished and can no longer be enforced. There is a further complaint about new matters in reply and in the Heads of Argument, which I address </w:t>
      </w:r>
      <w:proofErr w:type="gramStart"/>
      <w:r w:rsidR="008203F5">
        <w:rPr>
          <w:rFonts w:ascii="Arial" w:hAnsi="Arial"/>
          <w:lang w:val="en-US"/>
          <w14:textOutline w14:w="12700" w14:cap="flat" w14:cmpd="sng" w14:algn="ctr">
            <w14:noFill/>
            <w14:prstDash w14:val="solid"/>
            <w14:miter w14:lim="400000"/>
          </w14:textOutline>
        </w:rPr>
        <w:t>in the course of</w:t>
      </w:r>
      <w:proofErr w:type="gramEnd"/>
      <w:r w:rsidR="008203F5">
        <w:rPr>
          <w:rFonts w:ascii="Arial" w:hAnsi="Arial"/>
          <w:lang w:val="en-US"/>
          <w14:textOutline w14:w="12700" w14:cap="flat" w14:cmpd="sng" w14:algn="ctr">
            <w14:noFill/>
            <w14:prstDash w14:val="solid"/>
            <w14:miter w14:lim="400000"/>
          </w14:textOutline>
        </w:rPr>
        <w:t xml:space="preserve"> this judgment. The respondents further complain that the present application is an abuse of the court’</w:t>
      </w:r>
      <w:r w:rsidR="008203F5">
        <w:rPr>
          <w:rFonts w:ascii="Arial" w:hAnsi="Arial"/>
          <w:lang w:val="pt-PT"/>
          <w14:textOutline w14:w="12700" w14:cap="flat" w14:cmpd="sng" w14:algn="ctr">
            <w14:noFill/>
            <w14:prstDash w14:val="solid"/>
            <w14:miter w14:lim="400000"/>
          </w14:textOutline>
        </w:rPr>
        <w:t xml:space="preserve">s processes. </w:t>
      </w:r>
    </w:p>
    <w:p w14:paraId="3CCCC7CA" w14:textId="77777777" w:rsidR="006B1CEF" w:rsidRDefault="006B1CEF" w:rsidP="008203F5">
      <w:pPr>
        <w:pStyle w:val="Body"/>
        <w:widowControl w:val="0"/>
        <w:pBdr>
          <w:bottom w:val="none" w:sz="0" w:space="0" w:color="auto"/>
        </w:pBdr>
        <w:spacing w:line="480" w:lineRule="auto"/>
        <w:jc w:val="both"/>
        <w:rPr>
          <w:rFonts w:ascii="Arial" w:eastAsia="Arial" w:hAnsi="Arial" w:cs="Arial"/>
          <w14:textOutline w14:w="12700" w14:cap="flat" w14:cmpd="sng" w14:algn="ctr">
            <w14:noFill/>
            <w14:prstDash w14:val="solid"/>
            <w14:miter w14:lim="400000"/>
          </w14:textOutline>
        </w:rPr>
      </w:pPr>
    </w:p>
    <w:p w14:paraId="171977B6" w14:textId="77777777" w:rsidR="006B1CEF" w:rsidRDefault="008203F5" w:rsidP="008203F5">
      <w:pPr>
        <w:pStyle w:val="Body"/>
        <w:widowControl w:val="0"/>
        <w:pBdr>
          <w:bottom w:val="none" w:sz="0" w:space="0" w:color="auto"/>
        </w:pBdr>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A.  BACKGROUND</w:t>
      </w:r>
    </w:p>
    <w:p w14:paraId="4712471A" w14:textId="6A0F222A" w:rsidR="006B1CEF" w:rsidRDefault="00804BD2" w:rsidP="00804BD2">
      <w:pPr>
        <w:pStyle w:val="Body"/>
        <w:widowControl w:val="0"/>
        <w:pBdr>
          <w:bottom w:val="none" w:sz="0" w:space="0" w:color="auto"/>
        </w:pBdr>
        <w:spacing w:after="360" w:line="480" w:lineRule="auto"/>
        <w:ind w:left="391" w:hanging="391"/>
        <w:jc w:val="both"/>
        <w:rPr>
          <w:rFonts w:ascii="Arial" w:hAnsi="Arial"/>
          <w:lang w:val="en-US"/>
        </w:rPr>
      </w:pPr>
      <w:r>
        <w:rPr>
          <w:rFonts w:ascii="Arial" w:hAnsi="Arial Unicode MS"/>
          <w:lang w:val="en-US"/>
        </w:rPr>
        <w:t>3.</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 xml:space="preserve">The facts are uncomplicated and are common cause. They are: During 2020 and over </w:t>
      </w:r>
      <w:proofErr w:type="gramStart"/>
      <w:r w:rsidR="008203F5">
        <w:rPr>
          <w:rFonts w:ascii="Arial" w:hAnsi="Arial"/>
          <w:lang w:val="en-US"/>
          <w14:textOutline w14:w="12700" w14:cap="flat" w14:cmpd="sng" w14:algn="ctr">
            <w14:noFill/>
            <w14:prstDash w14:val="solid"/>
            <w14:miter w14:lim="400000"/>
          </w14:textOutline>
        </w:rPr>
        <w:t>a number of</w:t>
      </w:r>
      <w:proofErr w:type="gramEnd"/>
      <w:r w:rsidR="008203F5">
        <w:rPr>
          <w:rFonts w:ascii="Arial" w:hAnsi="Arial"/>
          <w:lang w:val="en-US"/>
          <w14:textOutline w14:w="12700" w14:cap="flat" w14:cmpd="sng" w14:algn="ctr">
            <w14:noFill/>
            <w14:prstDash w14:val="solid"/>
            <w14:miter w14:lim="400000"/>
          </w14:textOutline>
        </w:rPr>
        <w:t xml:space="preserve"> months, Salt Rock (the first to the third applicants) acquired 35.1% of shares in the first respondent, for which it paid a consideration of R242 million. The remainder of the shares of 64.9% are held by the second to the fourth respondents (</w:t>
      </w:r>
      <w:proofErr w:type="spellStart"/>
      <w:r w:rsidR="008203F5">
        <w:rPr>
          <w:rFonts w:ascii="Arial" w:hAnsi="Arial"/>
          <w:lang w:val="en-US"/>
          <w14:textOutline w14:w="12700" w14:cap="flat" w14:cmpd="sng" w14:algn="ctr">
            <w14:noFill/>
            <w14:prstDash w14:val="solid"/>
            <w14:miter w14:lim="400000"/>
          </w14:textOutline>
        </w:rPr>
        <w:t>Newshelf</w:t>
      </w:r>
      <w:proofErr w:type="spellEnd"/>
      <w:r w:rsidR="008203F5">
        <w:rPr>
          <w:rFonts w:ascii="Arial" w:hAnsi="Arial"/>
          <w:lang w:val="en-US"/>
          <w14:textOutline w14:w="12700" w14:cap="flat" w14:cmpd="sng" w14:algn="ctr">
            <w14:noFill/>
            <w14:prstDash w14:val="solid"/>
            <w14:miter w14:lim="400000"/>
          </w14:textOutline>
        </w:rPr>
        <w:t>).</w:t>
      </w:r>
    </w:p>
    <w:p w14:paraId="233E7CF3" w14:textId="63D12897" w:rsidR="006B1CEF" w:rsidRDefault="00804BD2" w:rsidP="00804BD2">
      <w:pPr>
        <w:pStyle w:val="Body"/>
        <w:widowControl w:val="0"/>
        <w:pBdr>
          <w:bottom w:val="none" w:sz="0" w:space="0" w:color="auto"/>
        </w:pBdr>
        <w:spacing w:after="360" w:line="480" w:lineRule="auto"/>
        <w:ind w:left="391" w:hanging="391"/>
        <w:jc w:val="both"/>
        <w:rPr>
          <w:rFonts w:ascii="Arial" w:hAnsi="Arial"/>
          <w:lang w:val="en-US"/>
        </w:rPr>
      </w:pPr>
      <w:r>
        <w:rPr>
          <w:rFonts w:ascii="Arial" w:hAnsi="Arial Unicode MS"/>
          <w:lang w:val="en-US"/>
        </w:rPr>
        <w:t>4.</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 xml:space="preserve">In early March 2021, a dispute arose between the applicants and the first respondent in relation to a </w:t>
      </w:r>
      <w:proofErr w:type="gramStart"/>
      <w:r w:rsidR="008203F5">
        <w:rPr>
          <w:rFonts w:ascii="Arial" w:hAnsi="Arial"/>
          <w:lang w:val="en-US"/>
          <w14:textOutline w14:w="12700" w14:cap="flat" w14:cmpd="sng" w14:algn="ctr">
            <w14:noFill/>
            <w14:prstDash w14:val="solid"/>
            <w14:miter w14:lim="400000"/>
          </w14:textOutline>
        </w:rPr>
        <w:t>short paid</w:t>
      </w:r>
      <w:proofErr w:type="gramEnd"/>
      <w:r w:rsidR="008203F5">
        <w:rPr>
          <w:rFonts w:ascii="Arial" w:hAnsi="Arial"/>
          <w:lang w:val="en-US"/>
          <w14:textOutline w14:w="12700" w14:cap="flat" w14:cmpd="sng" w14:algn="ctr">
            <w14:noFill/>
            <w14:prstDash w14:val="solid"/>
            <w14:miter w14:lim="400000"/>
          </w14:textOutline>
        </w:rPr>
        <w:t xml:space="preserve"> invoice for management fees claimed by the applicants. In April 2021, the applicants issued a demand in terms of Section 345 (1) of the Companies Act 61 of 1973. The first respondent reacted by launching urgent legal proceedings in the </w:t>
      </w:r>
      <w:r w:rsidR="008203F5">
        <w:rPr>
          <w:rFonts w:ascii="Arial" w:hAnsi="Arial"/>
          <w:lang w:val="en-US"/>
          <w14:textOutline w14:w="12700" w14:cap="flat" w14:cmpd="sng" w14:algn="ctr">
            <w14:noFill/>
            <w14:prstDash w14:val="solid"/>
            <w14:miter w14:lim="400000"/>
          </w14:textOutline>
        </w:rPr>
        <w:lastRenderedPageBreak/>
        <w:t>Durban High Court to interdict the applicants from winding it up (the Sec 345 interdict application).</w:t>
      </w:r>
    </w:p>
    <w:p w14:paraId="2F4C3B36" w14:textId="75F219B5" w:rsidR="006B1CEF" w:rsidRDefault="00804BD2" w:rsidP="00804BD2">
      <w:pPr>
        <w:pStyle w:val="Body"/>
        <w:widowControl w:val="0"/>
        <w:spacing w:line="480" w:lineRule="auto"/>
        <w:ind w:left="391" w:hanging="391"/>
        <w:jc w:val="both"/>
        <w:rPr>
          <w:rFonts w:ascii="Arial" w:hAnsi="Arial"/>
          <w:lang w:val="en-US"/>
        </w:rPr>
      </w:pPr>
      <w:r>
        <w:rPr>
          <w:rFonts w:ascii="Arial" w:hAnsi="Arial Unicode MS"/>
          <w:lang w:val="en-US"/>
        </w:rPr>
        <w:t>5.</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 xml:space="preserve">In July 2021, following a breakdown in discussions between the Fourth applicant, </w:t>
      </w:r>
      <w:proofErr w:type="spellStart"/>
      <w:r w:rsidR="008203F5">
        <w:rPr>
          <w:rFonts w:ascii="Arial" w:hAnsi="Arial"/>
          <w:lang w:val="en-US"/>
          <w14:textOutline w14:w="12700" w14:cap="flat" w14:cmpd="sng" w14:algn="ctr">
            <w14:noFill/>
            <w14:prstDash w14:val="solid"/>
            <w14:miter w14:lim="400000"/>
          </w14:textOutline>
        </w:rPr>
        <w:t>Lutzkie</w:t>
      </w:r>
      <w:proofErr w:type="spellEnd"/>
      <w:r w:rsidR="008203F5">
        <w:rPr>
          <w:rFonts w:ascii="Arial" w:hAnsi="Arial"/>
          <w:lang w:val="en-US"/>
          <w14:textOutline w14:w="12700" w14:cap="flat" w14:cmpd="sng" w14:algn="ctr">
            <w14:noFill/>
            <w14:prstDash w14:val="solid"/>
            <w14:miter w14:lim="400000"/>
          </w14:textOutline>
        </w:rPr>
        <w:t xml:space="preserve"> and the Fifth respondent, Moti, the applicants launched urgent proceedings in this court for relief in terms of Section 163 of the Companies Act 71 of 2008. The application was enrolled for 16 February 2022. In the lead up to the hearing in February, </w:t>
      </w:r>
      <w:proofErr w:type="spellStart"/>
      <w:r w:rsidR="008203F5">
        <w:rPr>
          <w:rFonts w:ascii="Arial" w:hAnsi="Arial"/>
          <w:lang w:val="en-US"/>
          <w14:textOutline w14:w="12700" w14:cap="flat" w14:cmpd="sng" w14:algn="ctr">
            <w14:noFill/>
            <w14:prstDash w14:val="solid"/>
            <w14:miter w14:lim="400000"/>
          </w14:textOutline>
        </w:rPr>
        <w:t>Lutzkie</w:t>
      </w:r>
      <w:proofErr w:type="spellEnd"/>
      <w:r w:rsidR="008203F5">
        <w:rPr>
          <w:rFonts w:ascii="Arial" w:hAnsi="Arial"/>
          <w:lang w:val="en-US"/>
          <w14:textOutline w14:w="12700" w14:cap="flat" w14:cmpd="sng" w14:algn="ctr">
            <w14:noFill/>
            <w14:prstDash w14:val="solid"/>
            <w14:miter w14:lim="400000"/>
          </w14:textOutline>
        </w:rPr>
        <w:t xml:space="preserve"> and Moti concluded a settlement agreement on 19 October, which was subsequently amended on 25 October 2021 (Settlement Agreement). The relevant material terms of the Settlement Agreement read</w:t>
      </w:r>
      <w:r w:rsidR="008203F5">
        <w:rPr>
          <w:rFonts w:ascii="Arial" w:hAnsi="Arial"/>
          <w14:textOutline w14:w="12700" w14:cap="flat" w14:cmpd="sng" w14:algn="ctr">
            <w14:noFill/>
            <w14:prstDash w14:val="solid"/>
            <w14:miter w14:lim="400000"/>
          </w14:textOutline>
        </w:rPr>
        <w:t xml:space="preserve">, </w:t>
      </w:r>
      <w:r w:rsidR="008203F5">
        <w:rPr>
          <w:rFonts w:ascii="Arial" w:hAnsi="Arial"/>
          <w:i/>
          <w:iCs/>
          <w:lang w:val="it-IT"/>
          <w14:textOutline w14:w="12700" w14:cap="flat" w14:cmpd="sng" w14:algn="ctr">
            <w14:noFill/>
            <w14:prstDash w14:val="solid"/>
            <w14:miter w14:lim="400000"/>
          </w14:textOutline>
        </w:rPr>
        <w:t>inter alia,</w:t>
      </w:r>
      <w:r w:rsidR="008203F5">
        <w:rPr>
          <w:rFonts w:ascii="Arial" w:hAnsi="Arial"/>
          <w:lang w:val="en-US"/>
          <w14:textOutline w14:w="12700" w14:cap="flat" w14:cmpd="sng" w14:algn="ctr">
            <w14:noFill/>
            <w14:prstDash w14:val="solid"/>
            <w14:miter w14:lim="400000"/>
          </w14:textOutline>
        </w:rPr>
        <w:t xml:space="preserve"> that:</w:t>
      </w:r>
    </w:p>
    <w:p w14:paraId="1A8864A8" w14:textId="245BEF25" w:rsidR="006B1CEF" w:rsidRDefault="00804BD2" w:rsidP="00804BD2">
      <w:pPr>
        <w:pStyle w:val="Body"/>
        <w:widowControl w:val="0"/>
        <w:spacing w:line="480" w:lineRule="auto"/>
        <w:ind w:left="960" w:hanging="393"/>
        <w:jc w:val="both"/>
        <w:rPr>
          <w:rFonts w:ascii="Arial" w:hAnsi="Arial"/>
          <w:lang w:val="en-US"/>
        </w:rPr>
      </w:pPr>
      <w:r>
        <w:rPr>
          <w:rFonts w:ascii="Arial" w:hAnsi="Arial Unicode MS"/>
          <w:lang w:val="en-US"/>
        </w:rPr>
        <w:t>(</w:t>
      </w:r>
      <w:proofErr w:type="spellStart"/>
      <w:r>
        <w:rPr>
          <w:rFonts w:ascii="Arial" w:hAnsi="Arial Unicode MS"/>
          <w:lang w:val="en-US"/>
        </w:rPr>
        <w:t>i</w:t>
      </w:r>
      <w:proofErr w:type="spellEnd"/>
      <w:r>
        <w:rPr>
          <w:rFonts w:ascii="Arial" w:hAnsi="Arial Unicode MS"/>
          <w:lang w:val="en-US"/>
        </w:rPr>
        <w:t>)</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The majority in the first respondent would acquire the minority shareholding.</w:t>
      </w:r>
    </w:p>
    <w:p w14:paraId="7D8A32EE" w14:textId="7C7B6198" w:rsidR="006B1CEF" w:rsidRDefault="00804BD2" w:rsidP="00804BD2">
      <w:pPr>
        <w:pStyle w:val="Body"/>
        <w:widowControl w:val="0"/>
        <w:spacing w:line="480" w:lineRule="auto"/>
        <w:ind w:left="960" w:hanging="393"/>
        <w:jc w:val="both"/>
        <w:rPr>
          <w:rFonts w:ascii="Arial" w:hAnsi="Arial"/>
          <w:lang w:val="en-US"/>
        </w:rPr>
      </w:pPr>
      <w:r>
        <w:rPr>
          <w:rFonts w:ascii="Arial" w:hAnsi="Arial Unicode MS"/>
          <w:lang w:val="en-US"/>
        </w:rPr>
        <w:t>(ii)</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The parties agreed to ‘</w:t>
      </w:r>
      <w:r w:rsidR="008203F5">
        <w:rPr>
          <w:rFonts w:ascii="Arial" w:hAnsi="Arial"/>
          <w:i/>
          <w:iCs/>
          <w:lang w:val="en-US"/>
          <w14:textOutline w14:w="12700" w14:cap="flat" w14:cmpd="sng" w14:algn="ctr">
            <w14:noFill/>
            <w14:prstDash w14:val="solid"/>
            <w14:miter w14:lim="400000"/>
          </w14:textOutline>
        </w:rPr>
        <w:t>stop litigation now</w:t>
      </w:r>
      <w:r w:rsidR="008203F5">
        <w:rPr>
          <w:rFonts w:ascii="Arial" w:hAnsi="Arial"/>
          <w:lang w:val="en-US"/>
          <w14:textOutline w14:w="12700" w14:cap="flat" w14:cmpd="sng" w14:algn="ctr">
            <w14:noFill/>
            <w14:prstDash w14:val="solid"/>
            <w14:miter w14:lim="400000"/>
          </w14:textOutline>
        </w:rPr>
        <w:t>’</w:t>
      </w:r>
      <w:r w:rsidR="008203F5">
        <w:rPr>
          <w:rFonts w:ascii="Arial" w:hAnsi="Arial"/>
          <w14:textOutline w14:w="12700" w14:cap="flat" w14:cmpd="sng" w14:algn="ctr">
            <w14:noFill/>
            <w14:prstDash w14:val="solid"/>
            <w14:miter w14:lim="400000"/>
          </w14:textOutline>
        </w:rPr>
        <w:t>.</w:t>
      </w:r>
    </w:p>
    <w:p w14:paraId="39D0D39D" w14:textId="57D0B34C" w:rsidR="006B1CEF" w:rsidRDefault="00804BD2" w:rsidP="00804BD2">
      <w:pPr>
        <w:pStyle w:val="Body"/>
        <w:widowControl w:val="0"/>
        <w:spacing w:line="480" w:lineRule="auto"/>
        <w:ind w:left="960" w:hanging="393"/>
        <w:jc w:val="both"/>
        <w:rPr>
          <w:rFonts w:ascii="Arial" w:hAnsi="Arial"/>
          <w:lang w:val="en-US"/>
        </w:rPr>
      </w:pPr>
      <w:r>
        <w:rPr>
          <w:rFonts w:ascii="Arial" w:hAnsi="Arial Unicode MS"/>
          <w:lang w:val="en-US"/>
        </w:rPr>
        <w:t>(iii)</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The applicants were to be paid an amount of R350 million on or before 31 January 2022, otherwise the ‘</w:t>
      </w:r>
      <w:r w:rsidR="008203F5">
        <w:rPr>
          <w:rFonts w:ascii="Arial" w:hAnsi="Arial"/>
          <w:i/>
          <w:iCs/>
          <w:lang w:val="en-US"/>
          <w14:textOutline w14:w="12700" w14:cap="flat" w14:cmpd="sng" w14:algn="ctr">
            <w14:noFill/>
            <w14:prstDash w14:val="solid"/>
            <w14:miter w14:lim="400000"/>
          </w14:textOutline>
        </w:rPr>
        <w:t xml:space="preserve">shares and helicopter [would be] </w:t>
      </w:r>
      <w:proofErr w:type="spellStart"/>
      <w:r w:rsidR="008203F5">
        <w:rPr>
          <w:rFonts w:ascii="Arial" w:hAnsi="Arial"/>
          <w:i/>
          <w:iCs/>
          <w:lang w:val="en-US"/>
          <w14:textOutline w14:w="12700" w14:cap="flat" w14:cmpd="sng" w14:algn="ctr">
            <w14:noFill/>
            <w14:prstDash w14:val="solid"/>
            <w14:miter w14:lim="400000"/>
          </w14:textOutline>
        </w:rPr>
        <w:t>Rouwkoop</w:t>
      </w:r>
      <w:proofErr w:type="spellEnd"/>
      <w:r w:rsidR="008203F5">
        <w:rPr>
          <w:rFonts w:ascii="Arial" w:hAnsi="Arial"/>
          <w:i/>
          <w:iCs/>
          <w:lang w:val="en-US"/>
          <w14:textOutline w14:w="12700" w14:cap="flat" w14:cmpd="sng" w14:algn="ctr">
            <w14:noFill/>
            <w14:prstDash w14:val="solid"/>
            <w14:miter w14:lim="400000"/>
          </w14:textOutline>
        </w:rPr>
        <w:t xml:space="preserve"> if not paid</w:t>
      </w:r>
      <w:r w:rsidR="008203F5">
        <w:rPr>
          <w:rFonts w:ascii="Arial" w:hAnsi="Arial"/>
          <w:lang w:val="en-US"/>
          <w14:textOutline w14:w="12700" w14:cap="flat" w14:cmpd="sng" w14:algn="ctr">
            <w14:noFill/>
            <w14:prstDash w14:val="solid"/>
            <w14:miter w14:lim="400000"/>
          </w14:textOutline>
        </w:rPr>
        <w:t>’</w:t>
      </w:r>
      <w:r w:rsidR="008203F5">
        <w:rPr>
          <w:rFonts w:ascii="Arial" w:hAnsi="Arial"/>
          <w14:textOutline w14:w="12700" w14:cap="flat" w14:cmpd="sng" w14:algn="ctr">
            <w14:noFill/>
            <w14:prstDash w14:val="solid"/>
            <w14:miter w14:lim="400000"/>
          </w14:textOutline>
        </w:rPr>
        <w:t>.</w:t>
      </w:r>
    </w:p>
    <w:p w14:paraId="1B531151" w14:textId="3094CEDD" w:rsidR="006B1CEF" w:rsidRDefault="00804BD2" w:rsidP="00804BD2">
      <w:pPr>
        <w:pStyle w:val="Body"/>
        <w:widowControl w:val="0"/>
        <w:spacing w:line="480" w:lineRule="auto"/>
        <w:ind w:left="960" w:hanging="393"/>
        <w:jc w:val="both"/>
        <w:rPr>
          <w:rFonts w:ascii="Arial" w:hAnsi="Arial"/>
          <w:lang w:val="en-US"/>
        </w:rPr>
      </w:pPr>
      <w:r>
        <w:rPr>
          <w:rFonts w:ascii="Arial" w:hAnsi="Arial Unicode MS"/>
          <w:lang w:val="en-US"/>
        </w:rPr>
        <w:t>(iv)</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 xml:space="preserve">Frikkie, the fourth applicant, was to ‘put [the minority’s] shares into [an] attorney’s trust account until the R350m [had been] paid and the shares transferred.’ The reference to Frikkie is a reference to </w:t>
      </w:r>
      <w:proofErr w:type="spellStart"/>
      <w:r w:rsidR="008203F5">
        <w:rPr>
          <w:rFonts w:ascii="Arial" w:hAnsi="Arial"/>
          <w:lang w:val="en-US"/>
          <w14:textOutline w14:w="12700" w14:cap="flat" w14:cmpd="sng" w14:algn="ctr">
            <w14:noFill/>
            <w14:prstDash w14:val="solid"/>
            <w14:miter w14:lim="400000"/>
          </w14:textOutline>
        </w:rPr>
        <w:t>Lutzkie</w:t>
      </w:r>
      <w:proofErr w:type="spellEnd"/>
      <w:r w:rsidR="008203F5">
        <w:rPr>
          <w:rFonts w:ascii="Arial" w:hAnsi="Arial"/>
          <w:lang w:val="en-US"/>
          <w14:textOutline w14:w="12700" w14:cap="flat" w14:cmpd="sng" w14:algn="ctr">
            <w14:noFill/>
            <w14:prstDash w14:val="solid"/>
            <w14:miter w14:lim="400000"/>
          </w14:textOutline>
        </w:rPr>
        <w:t xml:space="preserve">. </w:t>
      </w:r>
    </w:p>
    <w:p w14:paraId="5CCC1DC0" w14:textId="77777777" w:rsidR="006B1CEF" w:rsidRDefault="006B1CEF">
      <w:pPr>
        <w:pStyle w:val="Body"/>
        <w:widowControl w:val="0"/>
        <w:spacing w:line="480" w:lineRule="auto"/>
        <w:jc w:val="both"/>
        <w:rPr>
          <w:rFonts w:ascii="Arial" w:eastAsia="Arial" w:hAnsi="Arial" w:cs="Arial"/>
          <w:b/>
          <w:bCs/>
          <w14:textOutline w14:w="12700" w14:cap="flat" w14:cmpd="sng" w14:algn="ctr">
            <w14:noFill/>
            <w14:prstDash w14:val="solid"/>
            <w14:miter w14:lim="400000"/>
          </w14:textOutline>
        </w:rPr>
      </w:pPr>
    </w:p>
    <w:p w14:paraId="1D9E39FA" w14:textId="121E544D" w:rsidR="006B1CEF" w:rsidRDefault="00804BD2" w:rsidP="00804BD2">
      <w:pPr>
        <w:pStyle w:val="Body"/>
        <w:widowControl w:val="0"/>
        <w:spacing w:line="480" w:lineRule="auto"/>
        <w:ind w:left="393" w:hanging="393"/>
        <w:jc w:val="both"/>
        <w:rPr>
          <w:rFonts w:ascii="Arial" w:hAnsi="Arial"/>
          <w:lang w:val="en-US"/>
        </w:rPr>
      </w:pPr>
      <w:r>
        <w:rPr>
          <w:rFonts w:ascii="Arial" w:hAnsi="Arial Unicode MS"/>
          <w:lang w:val="en-US"/>
        </w:rPr>
        <w:t>6.</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The following events which</w:t>
      </w:r>
      <w:r w:rsidR="008203F5">
        <w:rPr>
          <w:rFonts w:ascii="Arial" w:hAnsi="Arial"/>
          <w14:textOutline w14:w="12700" w14:cap="flat" w14:cmpd="sng" w14:algn="ctr">
            <w14:noFill/>
            <w14:prstDash w14:val="solid"/>
            <w14:miter w14:lim="400000"/>
          </w14:textOutline>
        </w:rPr>
        <w:t xml:space="preserve"> </w:t>
      </w:r>
      <w:r w:rsidR="008203F5">
        <w:rPr>
          <w:rFonts w:ascii="Arial" w:hAnsi="Arial"/>
          <w:lang w:val="en-US"/>
          <w14:textOutline w14:w="12700" w14:cap="flat" w14:cmpd="sng" w14:algn="ctr">
            <w14:noFill/>
            <w14:prstDash w14:val="solid"/>
            <w14:miter w14:lim="400000"/>
          </w14:textOutline>
        </w:rPr>
        <w:t>have relevance in determining breach of the Settlement Agreement and are not in dispute</w:t>
      </w:r>
      <w:r w:rsidR="008203F5">
        <w:rPr>
          <w:rFonts w:ascii="Arial" w:hAnsi="Arial"/>
          <w14:textOutline w14:w="12700" w14:cap="flat" w14:cmpd="sng" w14:algn="ctr">
            <w14:noFill/>
            <w14:prstDash w14:val="solid"/>
            <w14:miter w14:lim="400000"/>
          </w14:textOutline>
        </w:rPr>
        <w:t>:</w:t>
      </w:r>
    </w:p>
    <w:p w14:paraId="5A22DC86" w14:textId="77777777" w:rsidR="006B1CEF" w:rsidRDefault="008203F5">
      <w:pPr>
        <w:pStyle w:val="Body"/>
        <w:widowControl w:val="0"/>
        <w:spacing w:line="480" w:lineRule="auto"/>
        <w:ind w:left="964" w:hanging="397"/>
        <w:jc w:val="both"/>
        <w:rPr>
          <w:rFonts w:ascii="Arial" w:eastAsia="Arial" w:hAnsi="Arial" w:cs="Arial"/>
          <w14:textOutline w14:w="12700" w14:cap="flat" w14:cmpd="sng" w14:algn="ctr">
            <w14:noFill/>
            <w14:prstDash w14:val="solid"/>
            <w14:miter w14:lim="400000"/>
          </w14:textOutline>
        </w:rPr>
      </w:pPr>
      <w:r>
        <w:rPr>
          <w:rFonts w:ascii="Arial" w:hAnsi="Arial"/>
          <w:lang w:val="en-US"/>
          <w14:textOutline w14:w="12700" w14:cap="flat" w14:cmpd="sng" w14:algn="ctr">
            <w14:noFill/>
            <w14:prstDash w14:val="solid"/>
            <w14:miter w14:lim="400000"/>
          </w14:textOutline>
        </w:rPr>
        <w:t xml:space="preserve">6.1 On 13 December 2021, the applicants gave notice of their intention to amend the relief sought in the Notice of Motion in the Sec 163 application. </w:t>
      </w:r>
    </w:p>
    <w:p w14:paraId="0672DD12" w14:textId="77777777" w:rsidR="006B1CEF" w:rsidRDefault="008203F5">
      <w:pPr>
        <w:pStyle w:val="Body"/>
        <w:widowControl w:val="0"/>
        <w:spacing w:line="480" w:lineRule="auto"/>
        <w:ind w:left="964" w:hanging="397"/>
        <w:jc w:val="both"/>
        <w:rPr>
          <w:rFonts w:ascii="Arial" w:eastAsia="Arial" w:hAnsi="Arial" w:cs="Arial"/>
          <w14:textOutline w14:w="12700" w14:cap="flat" w14:cmpd="sng" w14:algn="ctr">
            <w14:noFill/>
            <w14:prstDash w14:val="solid"/>
            <w14:miter w14:lim="400000"/>
          </w14:textOutline>
        </w:rPr>
      </w:pPr>
      <w:r>
        <w:rPr>
          <w:rFonts w:ascii="Arial" w:hAnsi="Arial"/>
          <w:lang w:val="en-US"/>
          <w14:textOutline w14:w="12700" w14:cap="flat" w14:cmpd="sng" w14:algn="ctr">
            <w14:noFill/>
            <w14:prstDash w14:val="solid"/>
            <w14:miter w14:lim="400000"/>
          </w14:textOutline>
        </w:rPr>
        <w:t xml:space="preserve">6.2 On 11 January 2022, following an objection by the respondents to the proposed amendment, the applicants launched an application to amend the relief sought in the Sec 163. </w:t>
      </w:r>
    </w:p>
    <w:p w14:paraId="7F97AD96" w14:textId="77777777" w:rsidR="006B1CEF" w:rsidRDefault="008203F5">
      <w:pPr>
        <w:pStyle w:val="Body"/>
        <w:widowControl w:val="0"/>
        <w:spacing w:line="480" w:lineRule="auto"/>
        <w:ind w:left="964" w:hanging="397"/>
        <w:jc w:val="both"/>
        <w:rPr>
          <w:rFonts w:ascii="Arial" w:eastAsia="Arial" w:hAnsi="Arial" w:cs="Arial"/>
          <w14:textOutline w14:w="12700" w14:cap="flat" w14:cmpd="sng" w14:algn="ctr">
            <w14:noFill/>
            <w14:prstDash w14:val="solid"/>
            <w14:miter w14:lim="400000"/>
          </w14:textOutline>
        </w:rPr>
      </w:pPr>
      <w:r>
        <w:rPr>
          <w:rFonts w:ascii="Arial" w:hAnsi="Arial"/>
          <w:lang w:val="en-US"/>
          <w14:textOutline w14:w="12700" w14:cap="flat" w14:cmpd="sng" w14:algn="ctr">
            <w14:noFill/>
            <w14:prstDash w14:val="solid"/>
            <w14:miter w14:lim="400000"/>
          </w14:textOutline>
        </w:rPr>
        <w:t xml:space="preserve">6.3 On the eve of the hearing of 15 February, the applicants filed further Heads of Argument in the Sec 163 application and further notified the respondents of a new </w:t>
      </w:r>
      <w:r>
        <w:rPr>
          <w:rFonts w:ascii="Arial" w:hAnsi="Arial"/>
          <w:lang w:val="en-US"/>
          <w14:textOutline w14:w="12700" w14:cap="flat" w14:cmpd="sng" w14:algn="ctr">
            <w14:noFill/>
            <w14:prstDash w14:val="solid"/>
            <w14:miter w14:lim="400000"/>
          </w14:textOutline>
        </w:rPr>
        <w:lastRenderedPageBreak/>
        <w:t xml:space="preserve">order they intended moving for during the hearing. The application in terms of Sec 163 and the application to amend were heard on 16 February. </w:t>
      </w:r>
    </w:p>
    <w:p w14:paraId="78EB6094" w14:textId="77777777" w:rsidR="006B1CEF" w:rsidRDefault="008203F5">
      <w:pPr>
        <w:pStyle w:val="Body"/>
        <w:widowControl w:val="0"/>
        <w:spacing w:after="360" w:line="480" w:lineRule="auto"/>
        <w:ind w:left="964" w:hanging="397"/>
        <w:jc w:val="both"/>
        <w:rPr>
          <w:rFonts w:ascii="Arial" w:eastAsia="Arial" w:hAnsi="Arial" w:cs="Arial"/>
          <w14:textOutline w14:w="12700" w14:cap="flat" w14:cmpd="sng" w14:algn="ctr">
            <w14:noFill/>
            <w14:prstDash w14:val="solid"/>
            <w14:miter w14:lim="400000"/>
          </w14:textOutline>
        </w:rPr>
      </w:pPr>
      <w:r>
        <w:rPr>
          <w:rFonts w:ascii="Arial" w:hAnsi="Arial"/>
          <w:lang w:val="en-US"/>
          <w14:textOutline w14:w="12700" w14:cap="flat" w14:cmpd="sng" w14:algn="ctr">
            <w14:noFill/>
            <w14:prstDash w14:val="solid"/>
            <w14:miter w14:lim="400000"/>
          </w14:textOutline>
        </w:rPr>
        <w:t>6.4 On 17 March, the applicants filed a supplementary affidavit in the Sec 345 Interdict Application in the Durban High Court.</w:t>
      </w:r>
    </w:p>
    <w:p w14:paraId="78E50F2A" w14:textId="29753FD3" w:rsidR="006B1CEF" w:rsidRDefault="00804BD2" w:rsidP="00804BD2">
      <w:pPr>
        <w:pStyle w:val="Body"/>
        <w:widowControl w:val="0"/>
        <w:spacing w:after="360" w:line="480" w:lineRule="auto"/>
        <w:ind w:left="391" w:hanging="391"/>
        <w:jc w:val="both"/>
        <w:rPr>
          <w:rFonts w:ascii="Arial" w:hAnsi="Arial"/>
          <w:lang w:val="en-US"/>
        </w:rPr>
      </w:pPr>
      <w:r>
        <w:rPr>
          <w:rFonts w:ascii="Arial" w:hAnsi="Arial Unicode MS"/>
          <w:lang w:val="en-US"/>
        </w:rPr>
        <w:t>7.</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 xml:space="preserve">The judgment in the Sec 163 application was handed down on 17 May 2022, where the court found that the application had been compromised/resolved by the October 2021 settlement. It ordered that the matter be removed from the roll and called upon the applicants to pay the respondents’ costs.  </w:t>
      </w:r>
    </w:p>
    <w:p w14:paraId="0683B2C6" w14:textId="09916250" w:rsidR="006B1CEF" w:rsidRDefault="00804BD2" w:rsidP="00804BD2">
      <w:pPr>
        <w:pStyle w:val="Body"/>
        <w:widowControl w:val="0"/>
        <w:spacing w:line="480" w:lineRule="auto"/>
        <w:ind w:left="393" w:hanging="393"/>
        <w:jc w:val="both"/>
        <w:rPr>
          <w:rFonts w:ascii="Arial" w:hAnsi="Arial"/>
          <w:lang w:val="en-US"/>
        </w:rPr>
      </w:pPr>
      <w:r>
        <w:rPr>
          <w:rFonts w:ascii="Arial" w:hAnsi="Arial Unicode MS"/>
          <w:lang w:val="en-US"/>
        </w:rPr>
        <w:t>8.</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On 16 June 2022, the applicants cancelled the Settlement Agreement, which the respondents accepted in September 2023.</w:t>
      </w:r>
    </w:p>
    <w:p w14:paraId="056E1ACB" w14:textId="77777777" w:rsidR="006B1CEF" w:rsidRDefault="006B1CEF">
      <w:pPr>
        <w:pStyle w:val="Body"/>
        <w:widowControl w:val="0"/>
        <w:spacing w:line="480" w:lineRule="auto"/>
        <w:jc w:val="both"/>
        <w:rPr>
          <w:rFonts w:ascii="Arial" w:eastAsia="Arial" w:hAnsi="Arial" w:cs="Arial"/>
          <w14:textOutline w14:w="12700" w14:cap="flat" w14:cmpd="sng" w14:algn="ctr">
            <w14:noFill/>
            <w14:prstDash w14:val="solid"/>
            <w14:miter w14:lim="400000"/>
          </w14:textOutline>
        </w:rPr>
      </w:pPr>
    </w:p>
    <w:p w14:paraId="5293AE2A" w14:textId="75F0DBFD" w:rsidR="006B1CEF" w:rsidRPr="008203F5" w:rsidRDefault="008203F5" w:rsidP="008203F5">
      <w:pPr>
        <w:pStyle w:val="Body"/>
        <w:widowControl w:val="0"/>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B. THE LAW</w:t>
      </w:r>
    </w:p>
    <w:p w14:paraId="068D59C1" w14:textId="77777777" w:rsidR="006B1CEF" w:rsidRDefault="008203F5">
      <w:pPr>
        <w:pStyle w:val="Body"/>
        <w:widowControl w:val="0"/>
        <w:spacing w:line="480" w:lineRule="auto"/>
        <w:jc w:val="both"/>
        <w:rPr>
          <w:rFonts w:ascii="Arial" w:eastAsia="Arial" w:hAnsi="Arial" w:cs="Arial"/>
          <w:b/>
          <w:bCs/>
          <w:i/>
          <w:iCs/>
          <w14:textOutline w14:w="12700" w14:cap="flat" w14:cmpd="sng" w14:algn="ctr">
            <w14:noFill/>
            <w14:prstDash w14:val="solid"/>
            <w14:miter w14:lim="400000"/>
          </w14:textOutline>
        </w:rPr>
      </w:pPr>
      <w:r>
        <w:rPr>
          <w:rFonts w:ascii="Arial" w:hAnsi="Arial"/>
          <w:b/>
          <w:bCs/>
          <w:i/>
          <w:iCs/>
          <w:lang w:val="it-IT"/>
          <w14:textOutline w14:w="12700" w14:cap="flat" w14:cmpd="sng" w14:algn="ctr">
            <w14:noFill/>
            <w14:prstDash w14:val="solid"/>
            <w14:miter w14:lim="400000"/>
          </w14:textOutline>
        </w:rPr>
        <w:t>Exceptio non adimpleti contractus</w:t>
      </w:r>
    </w:p>
    <w:p w14:paraId="77B8E214" w14:textId="5C8C331A" w:rsidR="006B1CEF" w:rsidRDefault="00804BD2" w:rsidP="00804BD2">
      <w:pPr>
        <w:pStyle w:val="Body"/>
        <w:widowControl w:val="0"/>
        <w:spacing w:line="480" w:lineRule="auto"/>
        <w:ind w:left="393" w:hanging="393"/>
        <w:jc w:val="both"/>
        <w:rPr>
          <w:rFonts w:ascii="Arial" w:hAnsi="Arial"/>
          <w:lang w:val="en-US"/>
        </w:rPr>
      </w:pPr>
      <w:r>
        <w:rPr>
          <w:rFonts w:ascii="Arial" w:hAnsi="Arial Unicode MS"/>
          <w:lang w:val="en-US"/>
        </w:rPr>
        <w:t>9.</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Very briefly, the principle of reciprocity (</w:t>
      </w:r>
      <w:r w:rsidR="008203F5">
        <w:rPr>
          <w:rFonts w:ascii="Arial" w:hAnsi="Arial"/>
          <w:i/>
          <w:iCs/>
          <w:lang w:val="it-IT"/>
          <w14:textOutline w14:w="12700" w14:cap="flat" w14:cmpd="sng" w14:algn="ctr">
            <w14:noFill/>
            <w14:prstDash w14:val="solid"/>
            <w14:miter w14:lim="400000"/>
          </w14:textOutline>
        </w:rPr>
        <w:t>exceptio non adimpleti contractus</w:t>
      </w:r>
      <w:r w:rsidR="008203F5">
        <w:rPr>
          <w:rFonts w:ascii="Arial" w:hAnsi="Arial"/>
          <w:lang w:val="en-US"/>
          <w14:textOutline w14:w="12700" w14:cap="flat" w14:cmpd="sng" w14:algn="ctr">
            <w14:noFill/>
            <w14:prstDash w14:val="solid"/>
            <w14:miter w14:lim="400000"/>
          </w14:textOutline>
        </w:rPr>
        <w:t xml:space="preserve">) </w:t>
      </w:r>
      <w:proofErr w:type="spellStart"/>
      <w:r w:rsidR="008203F5">
        <w:rPr>
          <w:rFonts w:ascii="Arial" w:hAnsi="Arial"/>
          <w:lang w:val="en-US"/>
          <w14:textOutline w14:w="12700" w14:cap="flat" w14:cmpd="sng" w14:algn="ctr">
            <w14:noFill/>
            <w14:prstDash w14:val="solid"/>
            <w14:miter w14:lim="400000"/>
          </w14:textOutline>
        </w:rPr>
        <w:t>recognises</w:t>
      </w:r>
      <w:proofErr w:type="spellEnd"/>
      <w:r w:rsidR="008203F5">
        <w:rPr>
          <w:rFonts w:ascii="Arial" w:hAnsi="Arial"/>
          <w:lang w:val="en-US"/>
          <w14:textOutline w14:w="12700" w14:cap="flat" w14:cmpd="sng" w14:algn="ctr">
            <w14:noFill/>
            <w14:prstDash w14:val="solid"/>
            <w14:miter w14:lim="400000"/>
          </w14:textOutline>
        </w:rPr>
        <w:t xml:space="preserve"> the fact that, in many contracts, the common intention of the parties, expressed or unexpressed, is that there should be an exchange of performances.</w:t>
      </w:r>
      <w:r w:rsidR="008203F5">
        <w:rPr>
          <w:rFonts w:ascii="Arial" w:eastAsia="Arial" w:hAnsi="Arial" w:cs="Arial"/>
          <w:vertAlign w:val="superscript"/>
          <w14:textOutline w14:w="12700" w14:cap="flat" w14:cmpd="sng" w14:algn="ctr">
            <w14:noFill/>
            <w14:prstDash w14:val="solid"/>
            <w14:miter w14:lim="400000"/>
          </w14:textOutline>
        </w:rPr>
        <w:footnoteReference w:id="2"/>
      </w:r>
      <w:r w:rsidR="008203F5">
        <w:rPr>
          <w:rFonts w:ascii="Arial" w:hAnsi="Arial"/>
          <w:lang w:val="en-US"/>
          <w14:textOutline w14:w="12700" w14:cap="flat" w14:cmpd="sng" w14:algn="ctr">
            <w14:noFill/>
            <w14:prstDash w14:val="solid"/>
            <w14:miter w14:lim="400000"/>
          </w14:textOutline>
        </w:rPr>
        <w:t xml:space="preserve"> The common intention is that neither should be entitled to enforce the contract unless he/she has performed or is ready to perform his/her own obligations.</w:t>
      </w:r>
      <w:r w:rsidR="008203F5">
        <w:rPr>
          <w:rFonts w:ascii="Arial" w:eastAsia="Arial" w:hAnsi="Arial" w:cs="Arial"/>
          <w:vertAlign w:val="superscript"/>
          <w14:textOutline w14:w="12700" w14:cap="flat" w14:cmpd="sng" w14:algn="ctr">
            <w14:noFill/>
            <w14:prstDash w14:val="solid"/>
            <w14:miter w14:lim="400000"/>
          </w14:textOutline>
        </w:rPr>
        <w:footnoteReference w:id="3"/>
      </w:r>
      <w:r w:rsidR="008203F5">
        <w:rPr>
          <w:rFonts w:ascii="Arial" w:hAnsi="Arial"/>
          <w:lang w:val="en-US"/>
          <w14:textOutline w14:w="12700" w14:cap="flat" w14:cmpd="sng" w14:algn="ctr">
            <w14:noFill/>
            <w14:prstDash w14:val="solid"/>
            <w14:miter w14:lim="400000"/>
          </w14:textOutline>
        </w:rPr>
        <w:t xml:space="preserve"> It is common cause in the present case that the parties obligations were reciprocal. A perusal of the terms of the Settlement Agreement reveals that the parties had agreed to stop litigating against one another. </w:t>
      </w:r>
    </w:p>
    <w:p w14:paraId="0AC61679" w14:textId="77777777" w:rsidR="006B1CEF" w:rsidRDefault="006B1CEF">
      <w:pPr>
        <w:pStyle w:val="Body"/>
        <w:widowControl w:val="0"/>
        <w:spacing w:line="480" w:lineRule="auto"/>
        <w:jc w:val="both"/>
        <w:rPr>
          <w:rFonts w:ascii="Arial" w:eastAsia="Arial" w:hAnsi="Arial" w:cs="Arial"/>
          <w14:textOutline w14:w="12700" w14:cap="flat" w14:cmpd="sng" w14:algn="ctr">
            <w14:noFill/>
            <w14:prstDash w14:val="solid"/>
            <w14:miter w14:lim="400000"/>
          </w14:textOutline>
        </w:rPr>
      </w:pPr>
    </w:p>
    <w:p w14:paraId="6C58E783" w14:textId="77777777" w:rsidR="006B1CEF" w:rsidRDefault="008203F5">
      <w:pPr>
        <w:pStyle w:val="Body"/>
        <w:widowControl w:val="0"/>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lang w:val="fr-FR"/>
          <w14:textOutline w14:w="12700" w14:cap="flat" w14:cmpd="sng" w14:algn="ctr">
            <w14:noFill/>
            <w14:prstDash w14:val="solid"/>
            <w14:miter w14:lim="400000"/>
          </w14:textOutline>
        </w:rPr>
        <w:t xml:space="preserve">Election </w:t>
      </w:r>
    </w:p>
    <w:p w14:paraId="29B67857" w14:textId="23F3D702" w:rsidR="006B1CEF" w:rsidRDefault="00804BD2" w:rsidP="00804BD2">
      <w:pPr>
        <w:pStyle w:val="Body"/>
        <w:widowControl w:val="0"/>
        <w:spacing w:line="480" w:lineRule="auto"/>
        <w:ind w:left="393" w:hanging="393"/>
        <w:jc w:val="both"/>
        <w:rPr>
          <w:rFonts w:ascii="Arial" w:hAnsi="Arial"/>
          <w:lang w:val="en-US"/>
        </w:rPr>
      </w:pPr>
      <w:r>
        <w:rPr>
          <w:rFonts w:ascii="Arial" w:hAnsi="Arial Unicode MS"/>
          <w:lang w:val="en-US"/>
        </w:rPr>
        <w:lastRenderedPageBreak/>
        <w:t>10.</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The doctrine of election proceeds from the point that an injured party in a contract, owing to his or her contracting party’s failure to perform, has options.</w:t>
      </w:r>
      <w:r w:rsidR="008203F5">
        <w:rPr>
          <w:rFonts w:ascii="Arial" w:eastAsia="Arial" w:hAnsi="Arial" w:cs="Arial"/>
          <w:vertAlign w:val="superscript"/>
          <w14:textOutline w14:w="12700" w14:cap="flat" w14:cmpd="sng" w14:algn="ctr">
            <w14:noFill/>
            <w14:prstDash w14:val="solid"/>
            <w14:miter w14:lim="400000"/>
          </w14:textOutline>
        </w:rPr>
        <w:footnoteReference w:id="4"/>
      </w:r>
      <w:r w:rsidR="008203F5">
        <w:rPr>
          <w:rFonts w:ascii="Arial" w:hAnsi="Arial"/>
          <w:lang w:val="en-US"/>
          <w14:textOutline w14:w="12700" w14:cap="flat" w14:cmpd="sng" w14:algn="ctr">
            <w14:noFill/>
            <w14:prstDash w14:val="solid"/>
            <w14:miter w14:lim="400000"/>
          </w14:textOutline>
        </w:rPr>
        <w:t xml:space="preserve"> They can elect to treat the contract as binding or cancel the contract. Once an election has been made, it is binding. The rationale for the binding nature of the election stems from the principle that no one can take up two positions</w:t>
      </w:r>
      <w:r w:rsidR="008203F5">
        <w:rPr>
          <w:rFonts w:ascii="Arial" w:eastAsia="Arial" w:hAnsi="Arial" w:cs="Arial"/>
          <w:vertAlign w:val="superscript"/>
          <w14:textOutline w14:w="12700" w14:cap="flat" w14:cmpd="sng" w14:algn="ctr">
            <w14:noFill/>
            <w14:prstDash w14:val="solid"/>
            <w14:miter w14:lim="400000"/>
          </w14:textOutline>
        </w:rPr>
        <w:footnoteReference w:id="5"/>
      </w:r>
      <w:r w:rsidR="008203F5">
        <w:rPr>
          <w:rFonts w:ascii="Arial" w:hAnsi="Arial"/>
          <w:lang w:val="en-US"/>
          <w14:textOutline w14:w="12700" w14:cap="flat" w14:cmpd="sng" w14:algn="ctr">
            <w14:noFill/>
            <w14:prstDash w14:val="solid"/>
            <w14:miter w14:lim="400000"/>
          </w14:textOutline>
        </w:rPr>
        <w:t xml:space="preserve"> which are inconsistent with each other.</w:t>
      </w:r>
    </w:p>
    <w:p w14:paraId="58335CDF" w14:textId="77777777" w:rsidR="006B1CEF" w:rsidRDefault="006B1CEF">
      <w:pPr>
        <w:pStyle w:val="Body"/>
        <w:widowControl w:val="0"/>
        <w:spacing w:line="480" w:lineRule="auto"/>
        <w:jc w:val="both"/>
        <w:rPr>
          <w:rFonts w:ascii="Arial" w:eastAsia="Arial" w:hAnsi="Arial" w:cs="Arial"/>
          <w14:textOutline w14:w="12700" w14:cap="flat" w14:cmpd="sng" w14:algn="ctr">
            <w14:noFill/>
            <w14:prstDash w14:val="solid"/>
            <w14:miter w14:lim="400000"/>
          </w14:textOutline>
        </w:rPr>
      </w:pPr>
    </w:p>
    <w:p w14:paraId="457ECADA" w14:textId="77777777" w:rsidR="006B1CEF" w:rsidRDefault="008203F5">
      <w:pPr>
        <w:pStyle w:val="Body"/>
        <w:widowControl w:val="0"/>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Consequences of cancellation of an agreement</w:t>
      </w:r>
    </w:p>
    <w:p w14:paraId="2C38DFFE" w14:textId="57A65ABD" w:rsidR="006B1CEF" w:rsidRDefault="00804BD2" w:rsidP="00804BD2">
      <w:pPr>
        <w:pStyle w:val="Body"/>
        <w:widowControl w:val="0"/>
        <w:spacing w:line="480" w:lineRule="auto"/>
        <w:ind w:left="393" w:hanging="393"/>
        <w:jc w:val="both"/>
        <w:rPr>
          <w:rFonts w:ascii="Arial" w:hAnsi="Arial"/>
          <w:lang w:val="en-US"/>
        </w:rPr>
      </w:pPr>
      <w:r>
        <w:rPr>
          <w:rFonts w:ascii="Arial" w:hAnsi="Arial Unicode MS"/>
          <w:lang w:val="en-US"/>
        </w:rPr>
        <w:t>11.</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 xml:space="preserve">In </w:t>
      </w:r>
      <w:r w:rsidR="008203F5">
        <w:rPr>
          <w:rFonts w:ascii="Arial" w:hAnsi="Arial"/>
          <w:i/>
          <w:iCs/>
          <w:lang w:val="en-US"/>
          <w14:textOutline w14:w="12700" w14:cap="flat" w14:cmpd="sng" w14:algn="ctr">
            <w14:noFill/>
            <w14:prstDash w14:val="solid"/>
            <w14:miter w14:lim="400000"/>
          </w14:textOutline>
        </w:rPr>
        <w:t>Naka Diamond Mining (Pty) Limited</w:t>
      </w:r>
      <w:r w:rsidR="008203F5">
        <w:rPr>
          <w:rFonts w:ascii="Arial" w:hAnsi="Arial"/>
          <w14:textOutline w14:w="12700" w14:cap="flat" w14:cmpd="sng" w14:algn="ctr">
            <w14:noFill/>
            <w14:prstDash w14:val="solid"/>
            <w14:miter w14:lim="400000"/>
          </w14:textOutline>
        </w:rPr>
        <w:t xml:space="preserve"> v </w:t>
      </w:r>
      <w:r w:rsidR="008203F5">
        <w:rPr>
          <w:rFonts w:ascii="Arial" w:hAnsi="Arial"/>
          <w:i/>
          <w:iCs/>
          <w:lang w:val="en-US"/>
          <w14:textOutline w14:w="12700" w14:cap="flat" w14:cmpd="sng" w14:algn="ctr">
            <w14:noFill/>
            <w14:prstDash w14:val="solid"/>
            <w14:miter w14:lim="400000"/>
          </w14:textOutline>
        </w:rPr>
        <w:t>Johannes Frederick Klopper NO &amp; Others</w:t>
      </w:r>
      <w:r w:rsidR="008203F5">
        <w:rPr>
          <w:rFonts w:ascii="Arial" w:hAnsi="Arial"/>
          <w:lang w:val="en-US"/>
          <w14:textOutline w14:w="12700" w14:cap="flat" w14:cmpd="sng" w14:algn="ctr">
            <w14:noFill/>
            <w14:prstDash w14:val="solid"/>
            <w14:miter w14:lim="400000"/>
          </w14:textOutline>
        </w:rPr>
        <w:t xml:space="preserve">, a party to a joint venture agreement, Naka, sought to enforce certain obligations that its partner, </w:t>
      </w:r>
      <w:proofErr w:type="spellStart"/>
      <w:r w:rsidR="008203F5">
        <w:rPr>
          <w:rFonts w:ascii="Arial" w:hAnsi="Arial"/>
          <w:lang w:val="en-US"/>
          <w14:textOutline w14:w="12700" w14:cap="flat" w14:cmpd="sng" w14:algn="ctr">
            <w14:noFill/>
            <w14:prstDash w14:val="solid"/>
            <w14:miter w14:lim="400000"/>
          </w14:textOutline>
        </w:rPr>
        <w:t>SouthernEra</w:t>
      </w:r>
      <w:proofErr w:type="spellEnd"/>
      <w:r w:rsidR="008203F5">
        <w:rPr>
          <w:rFonts w:ascii="Arial" w:hAnsi="Arial"/>
          <w:lang w:val="en-US"/>
          <w14:textOutline w14:w="12700" w14:cap="flat" w14:cmpd="sng" w14:algn="ctr">
            <w14:noFill/>
            <w14:prstDash w14:val="solid"/>
            <w14:miter w14:lim="400000"/>
          </w14:textOutline>
        </w:rPr>
        <w:t xml:space="preserve"> (Pty) Ltd, had incurred in terms of a joint venture agreement which had been cancelled. The court held:</w:t>
      </w:r>
    </w:p>
    <w:p w14:paraId="1CF5E21A" w14:textId="77777777" w:rsidR="006B1CEF" w:rsidRDefault="008203F5">
      <w:pPr>
        <w:pStyle w:val="Body"/>
        <w:widowControl w:val="0"/>
        <w:spacing w:line="360" w:lineRule="auto"/>
        <w:ind w:left="567"/>
        <w:jc w:val="both"/>
        <w:rPr>
          <w:rFonts w:ascii="Arial" w:eastAsia="Arial" w:hAnsi="Arial" w:cs="Arial"/>
          <w:sz w:val="22"/>
          <w:szCs w:val="22"/>
          <w14:textOutline w14:w="12700" w14:cap="flat" w14:cmpd="sng" w14:algn="ctr">
            <w14:noFill/>
            <w14:prstDash w14:val="solid"/>
            <w14:miter w14:lim="400000"/>
          </w14:textOutline>
        </w:rPr>
      </w:pPr>
      <w:r>
        <w:rPr>
          <w:rFonts w:ascii="Arial" w:hAnsi="Arial"/>
          <w:sz w:val="22"/>
          <w:szCs w:val="22"/>
          <w:lang w:val="en-US"/>
          <w14:textOutline w14:w="12700" w14:cap="flat" w14:cmpd="sng" w14:algn="ctr">
            <w14:noFill/>
            <w14:prstDash w14:val="solid"/>
            <w14:miter w14:lim="400000"/>
          </w14:textOutline>
        </w:rPr>
        <w:t>‘…cancellation of a contract results in termination of the obligations created thereby. ‘If a contractual obligation has not yet been fulfilled, cancellation has the result that obligations from the contract are extinguished and can therefore no longer be enforced.</w:t>
      </w:r>
      <w:r>
        <w:rPr>
          <w:rFonts w:ascii="Arial" w:eastAsia="Arial" w:hAnsi="Arial" w:cs="Arial"/>
          <w:sz w:val="22"/>
          <w:szCs w:val="22"/>
          <w:vertAlign w:val="superscript"/>
          <w14:textOutline w14:w="12700" w14:cap="flat" w14:cmpd="sng" w14:algn="ctr">
            <w14:noFill/>
            <w14:prstDash w14:val="solid"/>
            <w14:miter w14:lim="400000"/>
          </w14:textOutline>
        </w:rPr>
        <w:footnoteReference w:id="6"/>
      </w:r>
    </w:p>
    <w:p w14:paraId="1FEFB638" w14:textId="77777777" w:rsidR="006B1CEF" w:rsidRDefault="006B1CEF">
      <w:pPr>
        <w:pStyle w:val="Body"/>
        <w:widowControl w:val="0"/>
        <w:spacing w:line="480" w:lineRule="auto"/>
        <w:jc w:val="both"/>
        <w:rPr>
          <w:rFonts w:ascii="Arial" w:eastAsia="Arial" w:hAnsi="Arial" w:cs="Arial"/>
          <w:b/>
          <w:bCs/>
          <w14:textOutline w14:w="12700" w14:cap="flat" w14:cmpd="sng" w14:algn="ctr">
            <w14:noFill/>
            <w14:prstDash w14:val="solid"/>
            <w14:miter w14:lim="400000"/>
          </w14:textOutline>
        </w:rPr>
      </w:pPr>
    </w:p>
    <w:p w14:paraId="4A2E53B7" w14:textId="77777777" w:rsidR="006B1CEF" w:rsidRDefault="008203F5">
      <w:pPr>
        <w:pStyle w:val="Body"/>
        <w:widowControl w:val="0"/>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C. DISCUSSION</w:t>
      </w:r>
    </w:p>
    <w:p w14:paraId="6E4E775B" w14:textId="77777777" w:rsidR="006B1CEF" w:rsidRDefault="008203F5">
      <w:pPr>
        <w:pStyle w:val="Body"/>
        <w:widowControl w:val="0"/>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 xml:space="preserve">1st </w:t>
      </w:r>
      <w:proofErr w:type="spellStart"/>
      <w:r>
        <w:rPr>
          <w:rFonts w:ascii="Arial" w:hAnsi="Arial"/>
          <w:b/>
          <w:bCs/>
          <w:lang w:val="en-US"/>
          <w14:textOutline w14:w="12700" w14:cap="flat" w14:cmpd="sng" w14:algn="ctr">
            <w14:noFill/>
            <w14:prstDash w14:val="solid"/>
            <w14:miter w14:lim="400000"/>
          </w14:textOutline>
        </w:rPr>
        <w:t>Defence</w:t>
      </w:r>
      <w:proofErr w:type="spellEnd"/>
      <w:r>
        <w:rPr>
          <w:rFonts w:ascii="Arial" w:hAnsi="Arial"/>
          <w:b/>
          <w:bCs/>
          <w:lang w:val="en-US"/>
          <w14:textOutline w14:w="12700" w14:cap="flat" w14:cmpd="sng" w14:algn="ctr">
            <w14:noFill/>
            <w14:prstDash w14:val="solid"/>
            <w14:miter w14:lim="400000"/>
          </w14:textOutline>
        </w:rPr>
        <w:t xml:space="preserve">: </w:t>
      </w:r>
      <w:r>
        <w:rPr>
          <w:rFonts w:ascii="Arial" w:hAnsi="Arial"/>
          <w:b/>
          <w:bCs/>
          <w:i/>
          <w:iCs/>
          <w:lang w:val="it-IT"/>
          <w14:textOutline w14:w="12700" w14:cap="flat" w14:cmpd="sng" w14:algn="ctr">
            <w14:noFill/>
            <w14:prstDash w14:val="solid"/>
            <w14:miter w14:lim="400000"/>
          </w14:textOutline>
        </w:rPr>
        <w:t>Exceptio non adimpleti contractus</w:t>
      </w:r>
    </w:p>
    <w:p w14:paraId="5345E321" w14:textId="1BCE6285" w:rsidR="006B1CEF" w:rsidRDefault="00804BD2" w:rsidP="00804BD2">
      <w:pPr>
        <w:pStyle w:val="Body"/>
        <w:widowControl w:val="0"/>
        <w:spacing w:line="480" w:lineRule="auto"/>
        <w:ind w:left="393" w:hanging="393"/>
        <w:jc w:val="both"/>
        <w:rPr>
          <w:rFonts w:ascii="Arial" w:hAnsi="Arial"/>
          <w:lang w:val="en-US"/>
        </w:rPr>
      </w:pPr>
      <w:r>
        <w:rPr>
          <w:rFonts w:ascii="Arial" w:hAnsi="Arial Unicode MS"/>
          <w:lang w:val="en-US"/>
        </w:rPr>
        <w:t>12.</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The respondents submit that the applicants had failed to perform. The very first obligation owed by the parties towards each other was to cease litigation. In breach of the term of the settlement agreement which said, ‘</w:t>
      </w:r>
      <w:r w:rsidR="008203F5">
        <w:rPr>
          <w:rFonts w:ascii="Arial" w:hAnsi="Arial"/>
          <w:i/>
          <w:iCs/>
          <w:lang w:val="en-US"/>
          <w14:textOutline w14:w="12700" w14:cap="flat" w14:cmpd="sng" w14:algn="ctr">
            <w14:noFill/>
            <w14:prstDash w14:val="solid"/>
            <w14:miter w14:lim="400000"/>
          </w14:textOutline>
        </w:rPr>
        <w:t>Stop litigation now</w:t>
      </w:r>
      <w:r w:rsidR="008203F5">
        <w:rPr>
          <w:rFonts w:ascii="Arial" w:hAnsi="Arial"/>
          <w:lang w:val="en-US"/>
          <w14:textOutline w14:w="12700" w14:cap="flat" w14:cmpd="sng" w14:algn="ctr">
            <w14:noFill/>
            <w14:prstDash w14:val="solid"/>
            <w14:miter w14:lim="400000"/>
          </w14:textOutline>
        </w:rPr>
        <w:t>’, the applicants continued to litigate. I have isolated the steps taken by the applicants as of 11 December onwards.</w:t>
      </w:r>
      <w:r w:rsidR="008203F5">
        <w:rPr>
          <w:rFonts w:ascii="Arial" w:eastAsia="Arial" w:hAnsi="Arial" w:cs="Arial"/>
          <w:vertAlign w:val="superscript"/>
          <w14:textOutline w14:w="12700" w14:cap="flat" w14:cmpd="sng" w14:algn="ctr">
            <w14:noFill/>
            <w14:prstDash w14:val="solid"/>
            <w14:miter w14:lim="400000"/>
          </w14:textOutline>
        </w:rPr>
        <w:footnoteReference w:id="7"/>
      </w:r>
      <w:r w:rsidR="008203F5">
        <w:rPr>
          <w:rFonts w:ascii="Arial" w:hAnsi="Arial"/>
          <w:lang w:val="en-US"/>
          <w14:textOutline w14:w="12700" w14:cap="flat" w14:cmpd="sng" w14:algn="ctr">
            <w14:noFill/>
            <w14:prstDash w14:val="solid"/>
            <w14:miter w14:lim="400000"/>
          </w14:textOutline>
        </w:rPr>
        <w:t xml:space="preserve"> They are not in dispute. </w:t>
      </w:r>
      <w:proofErr w:type="gramStart"/>
      <w:r w:rsidR="008203F5">
        <w:rPr>
          <w:rFonts w:ascii="Arial" w:hAnsi="Arial"/>
          <w:lang w:val="en-US"/>
          <w14:textOutline w14:w="12700" w14:cap="flat" w14:cmpd="sng" w14:algn="ctr">
            <w14:noFill/>
            <w14:prstDash w14:val="solid"/>
            <w14:miter w14:lim="400000"/>
          </w14:textOutline>
        </w:rPr>
        <w:t>As a consequence</w:t>
      </w:r>
      <w:proofErr w:type="gramEnd"/>
      <w:r w:rsidR="008203F5">
        <w:rPr>
          <w:rFonts w:ascii="Arial" w:hAnsi="Arial"/>
          <w:lang w:val="en-US"/>
          <w14:textOutline w14:w="12700" w14:cap="flat" w14:cmpd="sng" w14:algn="ctr">
            <w14:noFill/>
            <w14:prstDash w14:val="solid"/>
            <w14:miter w14:lim="400000"/>
          </w14:textOutline>
        </w:rPr>
        <w:t xml:space="preserve">, submit the respondents, they were entitled to withhold their performance until such time that the applicants had purged their non-performance or, at the very least, tendered to perform, which the applicants </w:t>
      </w:r>
      <w:r w:rsidR="008203F5">
        <w:rPr>
          <w:rFonts w:ascii="Arial" w:hAnsi="Arial"/>
          <w:lang w:val="en-US"/>
          <w14:textOutline w14:w="12700" w14:cap="flat" w14:cmpd="sng" w14:algn="ctr">
            <w14:noFill/>
            <w14:prstDash w14:val="solid"/>
            <w14:miter w14:lim="400000"/>
          </w14:textOutline>
        </w:rPr>
        <w:lastRenderedPageBreak/>
        <w:t xml:space="preserve">failed to do. As I understand the applicants’ response, they do not deny that the parties’ obligations were reciprocal. They also do not deny that they continued to litigate. Nor do they engage directly with the </w:t>
      </w:r>
      <w:proofErr w:type="spellStart"/>
      <w:r w:rsidR="008203F5">
        <w:rPr>
          <w:rFonts w:ascii="Arial" w:hAnsi="Arial"/>
          <w:lang w:val="en-US"/>
          <w14:textOutline w14:w="12700" w14:cap="flat" w14:cmpd="sng" w14:algn="ctr">
            <w14:noFill/>
            <w14:prstDash w14:val="solid"/>
            <w14:miter w14:lim="400000"/>
          </w14:textOutline>
        </w:rPr>
        <w:t>defence</w:t>
      </w:r>
      <w:proofErr w:type="spellEnd"/>
      <w:r w:rsidR="008203F5">
        <w:rPr>
          <w:rFonts w:ascii="Arial" w:hAnsi="Arial"/>
          <w:lang w:val="en-US"/>
          <w14:textOutline w14:w="12700" w14:cap="flat" w14:cmpd="sng" w14:algn="ctr">
            <w14:noFill/>
            <w14:prstDash w14:val="solid"/>
            <w14:miter w14:lim="400000"/>
          </w14:textOutline>
        </w:rPr>
        <w:t xml:space="preserve">. Instead, they conflate the question of reciprocity with a conditional contract. They then set off, arguing that the stance raised by the respondents that the contract was conditional is a new one. The point in reciprocal contracts is that no party is entitled to enforce the contract until they have performed or have tendered their own performance. I conclude that the applicants have failed to overcome the </w:t>
      </w:r>
      <w:proofErr w:type="spellStart"/>
      <w:r w:rsidR="008203F5">
        <w:rPr>
          <w:rFonts w:ascii="Arial" w:hAnsi="Arial"/>
          <w:lang w:val="en-US"/>
          <w14:textOutline w14:w="12700" w14:cap="flat" w14:cmpd="sng" w14:algn="ctr">
            <w14:noFill/>
            <w14:prstDash w14:val="solid"/>
            <w14:miter w14:lim="400000"/>
          </w14:textOutline>
        </w:rPr>
        <w:t>defence</w:t>
      </w:r>
      <w:proofErr w:type="spellEnd"/>
      <w:r w:rsidR="008203F5">
        <w:rPr>
          <w:rFonts w:ascii="Arial" w:hAnsi="Arial"/>
          <w:lang w:val="en-US"/>
          <w14:textOutline w14:w="12700" w14:cap="flat" w14:cmpd="sng" w14:algn="ctr">
            <w14:noFill/>
            <w14:prstDash w14:val="solid"/>
            <w14:miter w14:lim="400000"/>
          </w14:textOutline>
        </w:rPr>
        <w:t xml:space="preserve"> raised by the respondents. </w:t>
      </w:r>
    </w:p>
    <w:p w14:paraId="3B27599B" w14:textId="77777777" w:rsidR="006B1CEF" w:rsidRDefault="006B1CEF">
      <w:pPr>
        <w:pStyle w:val="Body"/>
        <w:widowControl w:val="0"/>
        <w:spacing w:line="480" w:lineRule="auto"/>
        <w:jc w:val="both"/>
        <w:rPr>
          <w:rFonts w:ascii="Arial" w:eastAsia="Arial" w:hAnsi="Arial" w:cs="Arial"/>
          <w14:textOutline w14:w="12700" w14:cap="flat" w14:cmpd="sng" w14:algn="ctr">
            <w14:noFill/>
            <w14:prstDash w14:val="solid"/>
            <w14:miter w14:lim="400000"/>
          </w14:textOutline>
        </w:rPr>
      </w:pPr>
    </w:p>
    <w:p w14:paraId="37C84817" w14:textId="5126B1E0" w:rsidR="006B1CEF" w:rsidRPr="008203F5" w:rsidRDefault="008203F5" w:rsidP="008203F5">
      <w:pPr>
        <w:pStyle w:val="Body"/>
        <w:widowControl w:val="0"/>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 xml:space="preserve">2nd </w:t>
      </w:r>
      <w:proofErr w:type="spellStart"/>
      <w:r>
        <w:rPr>
          <w:rFonts w:ascii="Arial" w:hAnsi="Arial"/>
          <w:b/>
          <w:bCs/>
          <w:lang w:val="en-US"/>
          <w14:textOutline w14:w="12700" w14:cap="flat" w14:cmpd="sng" w14:algn="ctr">
            <w14:noFill/>
            <w14:prstDash w14:val="solid"/>
            <w14:miter w14:lim="400000"/>
          </w14:textOutline>
        </w:rPr>
        <w:t>Defence</w:t>
      </w:r>
      <w:proofErr w:type="spellEnd"/>
      <w:r>
        <w:rPr>
          <w:rFonts w:ascii="Arial" w:hAnsi="Arial"/>
          <w:b/>
          <w:bCs/>
          <w:lang w:val="en-US"/>
          <w14:textOutline w14:w="12700" w14:cap="flat" w14:cmpd="sng" w14:algn="ctr">
            <w14:noFill/>
            <w14:prstDash w14:val="solid"/>
            <w14:miter w14:lim="400000"/>
          </w14:textOutline>
        </w:rPr>
        <w:t xml:space="preserve">: The applicants made an election </w:t>
      </w:r>
    </w:p>
    <w:p w14:paraId="19826776" w14:textId="36C76DDC" w:rsidR="006B1CEF" w:rsidRDefault="00804BD2" w:rsidP="00804BD2">
      <w:pPr>
        <w:pStyle w:val="Body"/>
        <w:widowControl w:val="0"/>
        <w:spacing w:line="480" w:lineRule="auto"/>
        <w:ind w:left="393" w:hanging="393"/>
        <w:jc w:val="both"/>
        <w:rPr>
          <w:rFonts w:ascii="Arial" w:hAnsi="Arial"/>
          <w:lang w:val="en-US"/>
        </w:rPr>
      </w:pPr>
      <w:r>
        <w:rPr>
          <w:rFonts w:ascii="Arial" w:hAnsi="Arial Unicode MS"/>
          <w:lang w:val="en-US"/>
        </w:rPr>
        <w:t>13.</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 xml:space="preserve">It is common cause that the applicants wrote to the respondents on 16 June 2022 informing them of their cancellation of the settlement agreement. The respondents duly informed the applicants of their acceptance of the cancellation during September, terming </w:t>
      </w:r>
      <w:proofErr w:type="gramStart"/>
      <w:r w:rsidR="008203F5">
        <w:rPr>
          <w:rFonts w:ascii="Arial" w:hAnsi="Arial"/>
          <w:lang w:val="en-US"/>
          <w14:textOutline w14:w="12700" w14:cap="flat" w14:cmpd="sng" w14:algn="ctr">
            <w14:noFill/>
            <w14:prstDash w14:val="solid"/>
            <w14:miter w14:lim="400000"/>
          </w14:textOutline>
        </w:rPr>
        <w:t>it</w:t>
      </w:r>
      <w:proofErr w:type="gramEnd"/>
      <w:r w:rsidR="008203F5">
        <w:rPr>
          <w:rFonts w:ascii="Arial" w:hAnsi="Arial"/>
          <w:lang w:val="en-US"/>
          <w14:textOutline w14:w="12700" w14:cap="flat" w14:cmpd="sng" w14:algn="ctr">
            <w14:noFill/>
            <w14:prstDash w14:val="solid"/>
            <w14:miter w14:lim="400000"/>
          </w14:textOutline>
        </w:rPr>
        <w:t xml:space="preserve"> acceptance of the applicants’ repudiation. The law does not countenance that a person can hold two positions that are inconsistent with one another. An injured party in an agreement, </w:t>
      </w:r>
      <w:proofErr w:type="gramStart"/>
      <w:r w:rsidR="008203F5">
        <w:rPr>
          <w:rFonts w:ascii="Arial" w:hAnsi="Arial"/>
          <w:lang w:val="en-US"/>
          <w14:textOutline w14:w="12700" w14:cap="flat" w14:cmpd="sng" w14:algn="ctr">
            <w14:noFill/>
            <w14:prstDash w14:val="solid"/>
            <w14:miter w14:lim="400000"/>
          </w14:textOutline>
        </w:rPr>
        <w:t>as a result of</w:t>
      </w:r>
      <w:proofErr w:type="gramEnd"/>
      <w:r w:rsidR="008203F5">
        <w:rPr>
          <w:rFonts w:ascii="Arial" w:hAnsi="Arial"/>
          <w:lang w:val="en-US"/>
          <w14:textOutline w14:w="12700" w14:cap="flat" w14:cmpd="sng" w14:algn="ctr">
            <w14:noFill/>
            <w14:prstDash w14:val="solid"/>
            <w14:miter w14:lim="400000"/>
          </w14:textOutline>
        </w:rPr>
        <w:t xml:space="preserve"> the actions of the other contracting party, has options. They can either treat the contract as valid and enforce the obligations or cancel it and sue for damages. The applicants decided to cancel the agreement. Cancellation precludes enforcement. They cannot now seek to enforce the very same contract they cancelled. Again, the applicants fail to confront this </w:t>
      </w:r>
      <w:proofErr w:type="spellStart"/>
      <w:r w:rsidR="008203F5">
        <w:rPr>
          <w:rFonts w:ascii="Arial" w:hAnsi="Arial"/>
          <w:lang w:val="en-US"/>
          <w14:textOutline w14:w="12700" w14:cap="flat" w14:cmpd="sng" w14:algn="ctr">
            <w14:noFill/>
            <w14:prstDash w14:val="solid"/>
            <w14:miter w14:lim="400000"/>
          </w14:textOutline>
        </w:rPr>
        <w:t>defence</w:t>
      </w:r>
      <w:proofErr w:type="spellEnd"/>
      <w:r w:rsidR="008203F5">
        <w:rPr>
          <w:rFonts w:ascii="Arial" w:hAnsi="Arial"/>
          <w:lang w:val="en-US"/>
          <w14:textOutline w14:w="12700" w14:cap="flat" w14:cmpd="sng" w14:algn="ctr">
            <w14:noFill/>
            <w14:prstDash w14:val="solid"/>
            <w14:miter w14:lim="400000"/>
          </w14:textOutline>
        </w:rPr>
        <w:t xml:space="preserve"> or answer it cogently. I conclude that the applicants are bound by their election. On this basis, the claim cannot succeed.</w:t>
      </w:r>
    </w:p>
    <w:p w14:paraId="3AC7C9D2" w14:textId="77777777" w:rsidR="006B1CEF" w:rsidRDefault="006B1CEF">
      <w:pPr>
        <w:pStyle w:val="Body"/>
        <w:widowControl w:val="0"/>
        <w:spacing w:line="480" w:lineRule="auto"/>
        <w:jc w:val="both"/>
        <w:rPr>
          <w:rFonts w:ascii="Arial" w:eastAsia="Arial" w:hAnsi="Arial" w:cs="Arial"/>
          <w14:textOutline w14:w="12700" w14:cap="flat" w14:cmpd="sng" w14:algn="ctr">
            <w14:noFill/>
            <w14:prstDash w14:val="solid"/>
            <w14:miter w14:lim="400000"/>
          </w14:textOutline>
        </w:rPr>
      </w:pPr>
    </w:p>
    <w:p w14:paraId="1D9660B9" w14:textId="77777777" w:rsidR="006B1CEF" w:rsidRDefault="008203F5">
      <w:pPr>
        <w:pStyle w:val="Body"/>
        <w:widowControl w:val="0"/>
        <w:spacing w:line="480" w:lineRule="auto"/>
        <w:jc w:val="both"/>
        <w:rPr>
          <w:rFonts w:ascii="Arial" w:eastAsia="Arial" w:hAnsi="Arial" w:cs="Arial"/>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 xml:space="preserve">3rd </w:t>
      </w:r>
      <w:proofErr w:type="spellStart"/>
      <w:r>
        <w:rPr>
          <w:rFonts w:ascii="Arial" w:hAnsi="Arial"/>
          <w:b/>
          <w:bCs/>
          <w:lang w:val="en-US"/>
          <w14:textOutline w14:w="12700" w14:cap="flat" w14:cmpd="sng" w14:algn="ctr">
            <w14:noFill/>
            <w14:prstDash w14:val="solid"/>
            <w14:miter w14:lim="400000"/>
          </w14:textOutline>
        </w:rPr>
        <w:t>Defence</w:t>
      </w:r>
      <w:proofErr w:type="spellEnd"/>
      <w:r>
        <w:rPr>
          <w:rFonts w:ascii="Arial" w:hAnsi="Arial"/>
          <w:b/>
          <w:bCs/>
          <w:lang w:val="en-US"/>
          <w14:textOutline w14:w="12700" w14:cap="flat" w14:cmpd="sng" w14:algn="ctr">
            <w14:noFill/>
            <w14:prstDash w14:val="solid"/>
            <w14:miter w14:lim="400000"/>
          </w14:textOutline>
        </w:rPr>
        <w:t>: The consequence of cancelling an agreement is that the obligations arising therefrom are extinguished.</w:t>
      </w:r>
      <w:r>
        <w:rPr>
          <w:rFonts w:ascii="Arial" w:hAnsi="Arial"/>
          <w14:textOutline w14:w="12700" w14:cap="flat" w14:cmpd="sng" w14:algn="ctr">
            <w14:noFill/>
            <w14:prstDash w14:val="solid"/>
            <w14:miter w14:lim="400000"/>
          </w14:textOutline>
        </w:rPr>
        <w:t xml:space="preserve"> </w:t>
      </w:r>
    </w:p>
    <w:p w14:paraId="2D094E1C" w14:textId="2F9308DA" w:rsidR="006B1CEF" w:rsidRDefault="00804BD2" w:rsidP="00804BD2">
      <w:pPr>
        <w:pStyle w:val="Body"/>
        <w:widowControl w:val="0"/>
        <w:spacing w:line="480" w:lineRule="auto"/>
        <w:ind w:left="393" w:hanging="393"/>
        <w:jc w:val="both"/>
        <w:rPr>
          <w:rFonts w:ascii="Arial" w:hAnsi="Arial"/>
          <w:lang w:val="en-US"/>
        </w:rPr>
      </w:pPr>
      <w:r>
        <w:rPr>
          <w:rFonts w:ascii="Arial" w:hAnsi="Arial Unicode MS"/>
          <w:lang w:val="en-US"/>
        </w:rPr>
        <w:t>14.</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 xml:space="preserve">It is not in dispute that the settlement agreement was cancelled. It no longer exists. </w:t>
      </w:r>
      <w:r w:rsidR="008203F5">
        <w:rPr>
          <w:rFonts w:ascii="Arial" w:hAnsi="Arial"/>
          <w:lang w:val="en-US"/>
          <w14:textOutline w14:w="12700" w14:cap="flat" w14:cmpd="sng" w14:algn="ctr">
            <w14:noFill/>
            <w14:prstDash w14:val="solid"/>
            <w14:miter w14:lim="400000"/>
          </w14:textOutline>
        </w:rPr>
        <w:lastRenderedPageBreak/>
        <w:t xml:space="preserve">Whether it was cancelled on 22 June or in September, cancellation has the result that all the obligations under the Settlement Agreement are extinguished and can no longer be enforced. As the court said in </w:t>
      </w:r>
      <w:r w:rsidR="008203F5">
        <w:rPr>
          <w:rFonts w:ascii="Arial" w:hAnsi="Arial"/>
          <w:i/>
          <w:iCs/>
          <w14:textOutline w14:w="12700" w14:cap="flat" w14:cmpd="sng" w14:algn="ctr">
            <w14:noFill/>
            <w14:prstDash w14:val="solid"/>
            <w14:miter w14:lim="400000"/>
          </w14:textOutline>
        </w:rPr>
        <w:t>Naka Diamond</w:t>
      </w:r>
      <w:r w:rsidR="008203F5">
        <w:rPr>
          <w:rFonts w:ascii="Arial" w:hAnsi="Arial"/>
          <w:lang w:val="en-US"/>
          <w14:textOutline w14:w="12700" w14:cap="flat" w14:cmpd="sng" w14:algn="ctr">
            <w14:noFill/>
            <w14:prstDash w14:val="solid"/>
            <w14:miter w14:lim="400000"/>
          </w14:textOutline>
        </w:rPr>
        <w:t xml:space="preserve">, cancellation of a contract results in termination of the obligations created thereby. On this </w:t>
      </w:r>
      <w:proofErr w:type="spellStart"/>
      <w:r w:rsidR="008203F5">
        <w:rPr>
          <w:rFonts w:ascii="Arial" w:hAnsi="Arial"/>
          <w:lang w:val="en-US"/>
          <w14:textOutline w14:w="12700" w14:cap="flat" w14:cmpd="sng" w14:algn="ctr">
            <w14:noFill/>
            <w14:prstDash w14:val="solid"/>
            <w14:miter w14:lim="400000"/>
          </w14:textOutline>
        </w:rPr>
        <w:t>defence</w:t>
      </w:r>
      <w:proofErr w:type="spellEnd"/>
      <w:r w:rsidR="008203F5">
        <w:rPr>
          <w:rFonts w:ascii="Arial" w:hAnsi="Arial"/>
          <w:lang w:val="en-US"/>
          <w14:textOutline w14:w="12700" w14:cap="flat" w14:cmpd="sng" w14:algn="ctr">
            <w14:noFill/>
            <w14:prstDash w14:val="solid"/>
            <w14:miter w14:lim="400000"/>
          </w14:textOutline>
        </w:rPr>
        <w:t xml:space="preserve"> too, the applicants have no plausible response. </w:t>
      </w:r>
    </w:p>
    <w:p w14:paraId="590644CA" w14:textId="77777777" w:rsidR="006B1CEF" w:rsidRDefault="006B1CEF">
      <w:pPr>
        <w:pStyle w:val="Body"/>
        <w:widowControl w:val="0"/>
        <w:spacing w:line="480" w:lineRule="auto"/>
        <w:jc w:val="both"/>
        <w:rPr>
          <w:rFonts w:ascii="Arial" w:eastAsia="Arial" w:hAnsi="Arial" w:cs="Arial"/>
          <w14:textOutline w14:w="12700" w14:cap="flat" w14:cmpd="sng" w14:algn="ctr">
            <w14:noFill/>
            <w14:prstDash w14:val="solid"/>
            <w14:miter w14:lim="400000"/>
          </w14:textOutline>
        </w:rPr>
      </w:pPr>
    </w:p>
    <w:p w14:paraId="6089D132" w14:textId="77777777" w:rsidR="006B1CEF" w:rsidRDefault="008203F5">
      <w:pPr>
        <w:pStyle w:val="Body"/>
        <w:widowControl w:val="0"/>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Purpose of affidavits in motion proceedings</w:t>
      </w:r>
    </w:p>
    <w:p w14:paraId="222B66DF" w14:textId="414C84E4" w:rsidR="006B1CEF" w:rsidRDefault="00804BD2" w:rsidP="00804BD2">
      <w:pPr>
        <w:pStyle w:val="Body"/>
        <w:widowControl w:val="0"/>
        <w:spacing w:line="480" w:lineRule="auto"/>
        <w:ind w:left="393" w:hanging="393"/>
        <w:jc w:val="both"/>
        <w:rPr>
          <w:rFonts w:ascii="Arial" w:hAnsi="Arial"/>
          <w:lang w:val="en-US"/>
        </w:rPr>
      </w:pPr>
      <w:r>
        <w:rPr>
          <w:rFonts w:ascii="Arial" w:hAnsi="Arial Unicode MS"/>
          <w:lang w:val="en-US"/>
        </w:rPr>
        <w:t>15.</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The enduring purpose of affidavits in motion proceedings — that they serve as pleadings and evidence — is established law. The main foundations of the application are the allegations of fact stated in the founding affidavit because that is the case to which the respondent is invited to affirm or deny.</w:t>
      </w:r>
      <w:r w:rsidR="008203F5">
        <w:rPr>
          <w:rFonts w:ascii="Arial" w:eastAsia="Arial" w:hAnsi="Arial" w:cs="Arial"/>
          <w:vertAlign w:val="superscript"/>
          <w14:textOutline w14:w="12700" w14:cap="flat" w14:cmpd="sng" w14:algn="ctr">
            <w14:noFill/>
            <w14:prstDash w14:val="solid"/>
            <w14:miter w14:lim="400000"/>
          </w14:textOutline>
        </w:rPr>
        <w:footnoteReference w:id="8"/>
      </w:r>
      <w:r w:rsidR="008203F5">
        <w:rPr>
          <w:rFonts w:ascii="Arial" w:hAnsi="Arial"/>
          <w:lang w:val="en-US"/>
          <w14:textOutline w14:w="12700" w14:cap="flat" w14:cmpd="sng" w14:algn="ctr">
            <w14:noFill/>
            <w14:prstDash w14:val="solid"/>
            <w14:miter w14:lim="400000"/>
          </w14:textOutline>
        </w:rPr>
        <w:t xml:space="preserve"> It is thus impermissible for a party to make a new case in a replying affidavit, as the respondent is allowed only one opportunity to deal with the applicant’s cause of action and present evidence in opposition in the answering affidavit.</w:t>
      </w:r>
      <w:r w:rsidR="008203F5">
        <w:rPr>
          <w:rFonts w:ascii="Arial" w:eastAsia="Arial" w:hAnsi="Arial" w:cs="Arial"/>
          <w:vertAlign w:val="superscript"/>
          <w14:textOutline w14:w="12700" w14:cap="flat" w14:cmpd="sng" w14:algn="ctr">
            <w14:noFill/>
            <w14:prstDash w14:val="solid"/>
            <w14:miter w14:lim="400000"/>
          </w14:textOutline>
        </w:rPr>
        <w:footnoteReference w:id="9"/>
      </w:r>
      <w:r w:rsidR="008203F5">
        <w:rPr>
          <w:rFonts w:ascii="Arial" w:hAnsi="Arial"/>
          <w:lang w:val="en-US"/>
          <w14:textOutline w14:w="12700" w14:cap="flat" w14:cmpd="sng" w14:algn="ctr">
            <w14:noFill/>
            <w14:prstDash w14:val="solid"/>
            <w14:miter w14:lim="400000"/>
          </w14:textOutline>
        </w:rPr>
        <w:t xml:space="preserve"> It is not pedantry to hold parties to their pleadings; it is an integral part of the principle of legal certainty which is an element of the rule of law.</w:t>
      </w:r>
      <w:r w:rsidR="008203F5">
        <w:rPr>
          <w:rFonts w:ascii="Arial" w:eastAsia="Arial" w:hAnsi="Arial" w:cs="Arial"/>
          <w:vertAlign w:val="superscript"/>
          <w14:textOutline w14:w="12700" w14:cap="flat" w14:cmpd="sng" w14:algn="ctr">
            <w14:noFill/>
            <w14:prstDash w14:val="solid"/>
            <w14:miter w14:lim="400000"/>
          </w14:textOutline>
        </w:rPr>
        <w:footnoteReference w:id="10"/>
      </w:r>
      <w:r w:rsidR="008203F5">
        <w:rPr>
          <w:rFonts w:ascii="Arial" w:hAnsi="Arial"/>
          <w14:textOutline w14:w="12700" w14:cap="flat" w14:cmpd="sng" w14:algn="ctr">
            <w14:noFill/>
            <w14:prstDash w14:val="solid"/>
            <w14:miter w14:lim="400000"/>
          </w14:textOutline>
        </w:rPr>
        <w:t xml:space="preserve"> </w:t>
      </w:r>
    </w:p>
    <w:p w14:paraId="76164E94" w14:textId="77777777" w:rsidR="006B1CEF" w:rsidRDefault="006B1CEF">
      <w:pPr>
        <w:pStyle w:val="Body"/>
        <w:widowControl w:val="0"/>
        <w:spacing w:line="480" w:lineRule="auto"/>
        <w:jc w:val="both"/>
        <w:rPr>
          <w:rFonts w:ascii="Arial" w:eastAsia="Arial" w:hAnsi="Arial" w:cs="Arial"/>
          <w14:textOutline w14:w="12700" w14:cap="flat" w14:cmpd="sng" w14:algn="ctr">
            <w14:noFill/>
            <w14:prstDash w14:val="solid"/>
            <w14:miter w14:lim="400000"/>
          </w14:textOutline>
        </w:rPr>
      </w:pPr>
    </w:p>
    <w:p w14:paraId="50D16E3D" w14:textId="4344CBD5" w:rsidR="006B1CEF" w:rsidRDefault="00804BD2" w:rsidP="00804BD2">
      <w:pPr>
        <w:pStyle w:val="Body"/>
        <w:widowControl w:val="0"/>
        <w:spacing w:line="480" w:lineRule="auto"/>
        <w:ind w:left="393" w:hanging="393"/>
        <w:jc w:val="both"/>
        <w:rPr>
          <w:rFonts w:ascii="Arial" w:hAnsi="Arial"/>
          <w:lang w:val="en-US"/>
        </w:rPr>
      </w:pPr>
      <w:r>
        <w:rPr>
          <w:rFonts w:ascii="Arial" w:hAnsi="Arial Unicode MS"/>
          <w:lang w:val="en-US"/>
        </w:rPr>
        <w:t>16.</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I mention some of the new matters raised by the applicants for the first time in the replying affidavit and their Heads of Argument. For example, contrary to the applicants’ assertions in the founding affidavit that the parties concluded a valid, enforceable and unconditional settlement agreement, the applicants suggest in their replying affidavit that the obligation to stop litigation on their part was conditional upon the respondents delivering the helicopter and transferring the shares.</w:t>
      </w:r>
      <w:r w:rsidR="008203F5">
        <w:rPr>
          <w:rFonts w:ascii="Arial" w:eastAsia="Arial" w:hAnsi="Arial" w:cs="Arial"/>
          <w:vertAlign w:val="superscript"/>
          <w14:textOutline w14:w="12700" w14:cap="flat" w14:cmpd="sng" w14:algn="ctr">
            <w14:noFill/>
            <w14:prstDash w14:val="solid"/>
            <w14:miter w14:lim="400000"/>
          </w14:textOutline>
        </w:rPr>
        <w:footnoteReference w:id="11"/>
      </w:r>
      <w:r w:rsidR="008203F5">
        <w:rPr>
          <w:rFonts w:ascii="Arial" w:hAnsi="Arial"/>
          <w:lang w:val="en-US"/>
          <w14:textOutline w14:w="12700" w14:cap="flat" w14:cmpd="sng" w14:algn="ctr">
            <w14:noFill/>
            <w14:prstDash w14:val="solid"/>
            <w14:miter w14:lim="400000"/>
          </w14:textOutline>
        </w:rPr>
        <w:t xml:space="preserve"> The short answer is, this is not the applicants’ case. However, given that the respondents have had the opportunity to </w:t>
      </w:r>
      <w:r w:rsidR="008203F5">
        <w:rPr>
          <w:rFonts w:ascii="Arial" w:hAnsi="Arial"/>
          <w:lang w:val="en-US"/>
          <w14:textOutline w14:w="12700" w14:cap="flat" w14:cmpd="sng" w14:algn="ctr">
            <w14:noFill/>
            <w14:prstDash w14:val="solid"/>
            <w14:miter w14:lim="400000"/>
          </w14:textOutline>
        </w:rPr>
        <w:lastRenderedPageBreak/>
        <w:t>engage with the new matter, I address it. T</w:t>
      </w:r>
      <w:r w:rsidR="008203F5">
        <w:rPr>
          <w:rFonts w:ascii="Arial" w:hAnsi="Arial"/>
          <w:lang w:val="it-IT"/>
          <w14:textOutline w14:w="12700" w14:cap="flat" w14:cmpd="sng" w14:algn="ctr">
            <w14:noFill/>
            <w14:prstDash w14:val="solid"/>
            <w14:miter w14:lim="400000"/>
          </w14:textOutline>
        </w:rPr>
        <w:t>he applicant</w:t>
      </w:r>
      <w:r w:rsidR="008203F5">
        <w:rPr>
          <w:rFonts w:ascii="Arial" w:hAnsi="Arial"/>
          <w:lang w:val="en-US"/>
          <w14:textOutline w14:w="12700" w14:cap="flat" w14:cmpd="sng" w14:algn="ctr">
            <w14:noFill/>
            <w14:prstDash w14:val="solid"/>
            <w14:miter w14:lim="400000"/>
          </w14:textOutline>
        </w:rPr>
        <w:t>s are not entitled to blow hot and cold. At first, the agreement was unconditional. It cannot now be conditional for them to get around the fact that they did not stop litigating. In any event, purely from reading the language used in the agreement (‘stop litigation now’) and in the context of the entire document, it would be a stretch to arrive at the meaning now contended for by the applicants</w:t>
      </w:r>
      <w:r w:rsidR="008203F5">
        <w:rPr>
          <w:rFonts w:ascii="Arial" w:eastAsia="Arial" w:hAnsi="Arial" w:cs="Arial"/>
          <w:vertAlign w:val="superscript"/>
          <w14:textOutline w14:w="12700" w14:cap="flat" w14:cmpd="sng" w14:algn="ctr">
            <w14:noFill/>
            <w14:prstDash w14:val="solid"/>
            <w14:miter w14:lim="400000"/>
          </w14:textOutline>
        </w:rPr>
        <w:footnoteReference w:id="12"/>
      </w:r>
      <w:r w:rsidR="008203F5">
        <w:rPr>
          <w:rFonts w:ascii="Arial" w:hAnsi="Arial"/>
          <w:lang w:val="en-US"/>
          <w14:textOutline w14:w="12700" w14:cap="flat" w14:cmpd="sng" w14:algn="ctr">
            <w14:noFill/>
            <w14:prstDash w14:val="solid"/>
            <w14:miter w14:lim="400000"/>
          </w14:textOutline>
        </w:rPr>
        <w:t xml:space="preserve">. The point must fail. </w:t>
      </w:r>
    </w:p>
    <w:p w14:paraId="0D7EF859" w14:textId="77777777" w:rsidR="006B1CEF" w:rsidRDefault="006B1CEF">
      <w:pPr>
        <w:pStyle w:val="Body"/>
        <w:widowControl w:val="0"/>
        <w:spacing w:line="480" w:lineRule="auto"/>
        <w:jc w:val="both"/>
        <w:rPr>
          <w:rFonts w:ascii="Arial" w:eastAsia="Arial" w:hAnsi="Arial" w:cs="Arial"/>
          <w14:textOutline w14:w="12700" w14:cap="flat" w14:cmpd="sng" w14:algn="ctr">
            <w14:noFill/>
            <w14:prstDash w14:val="solid"/>
            <w14:miter w14:lim="400000"/>
          </w14:textOutline>
        </w:rPr>
      </w:pPr>
    </w:p>
    <w:p w14:paraId="5B0A2E2B" w14:textId="0905EC3E" w:rsidR="006B1CEF" w:rsidRDefault="00804BD2" w:rsidP="00804BD2">
      <w:pPr>
        <w:pStyle w:val="Body"/>
        <w:widowControl w:val="0"/>
        <w:spacing w:line="480" w:lineRule="auto"/>
        <w:ind w:left="393" w:hanging="393"/>
        <w:jc w:val="both"/>
        <w:rPr>
          <w:rFonts w:ascii="Arial" w:hAnsi="Arial"/>
          <w:lang w:val="en-US"/>
        </w:rPr>
      </w:pPr>
      <w:r>
        <w:rPr>
          <w:rFonts w:ascii="Arial" w:hAnsi="Arial Unicode MS"/>
          <w:lang w:val="en-US"/>
        </w:rPr>
        <w:t>17.</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 xml:space="preserve">In their Heads of Argument, the applicants raise the </w:t>
      </w:r>
      <w:proofErr w:type="spellStart"/>
      <w:r w:rsidR="008203F5">
        <w:rPr>
          <w:rFonts w:ascii="Arial" w:hAnsi="Arial"/>
          <w:lang w:val="en-US"/>
          <w14:textOutline w14:w="12700" w14:cap="flat" w14:cmpd="sng" w14:algn="ctr">
            <w14:noFill/>
            <w14:prstDash w14:val="solid"/>
            <w14:miter w14:lim="400000"/>
          </w14:textOutline>
        </w:rPr>
        <w:t>defence</w:t>
      </w:r>
      <w:proofErr w:type="spellEnd"/>
      <w:r w:rsidR="008203F5">
        <w:rPr>
          <w:rFonts w:ascii="Arial" w:hAnsi="Arial"/>
          <w:lang w:val="en-US"/>
          <w14:textOutline w14:w="12700" w14:cap="flat" w14:cmpd="sng" w14:algn="ctr">
            <w14:noFill/>
            <w14:prstDash w14:val="solid"/>
            <w14:miter w14:lim="400000"/>
          </w14:textOutline>
        </w:rPr>
        <w:t xml:space="preserve"> of waiver which was not pleaded. In this regard, the applicants query the respondents’ silence when the applicants committed the breaches of the settlement agreement only for their acceptance of the applicants’ repudiation to be conveyed by the deponent to the opposing affidavit in the liquidation proceedings. They query the deponent’s authority and point to the length of time it took the respondents to convey their acceptance of the repudiation. Ultimately, the applicants contend that the respondents have waived their right to cancel. This point cannot be traced to any of the applicants’ affidavits. It surfaces for the first time in the Heads of Argument. </w:t>
      </w:r>
      <w:r w:rsidR="008203F5">
        <w:rPr>
          <w:rFonts w:ascii="Arial" w:hAnsi="Arial"/>
          <w:i/>
          <w:iCs/>
          <w14:textOutline w14:w="12700" w14:cap="flat" w14:cmpd="sng" w14:algn="ctr">
            <w14:noFill/>
            <w14:prstDash w14:val="solid"/>
            <w14:miter w14:lim="400000"/>
          </w14:textOutline>
        </w:rPr>
        <w:t>Garvas</w:t>
      </w:r>
      <w:r w:rsidR="008203F5">
        <w:rPr>
          <w:rFonts w:ascii="Arial" w:hAnsi="Arial"/>
          <w:lang w:val="en-US"/>
          <w14:textOutline w14:w="12700" w14:cap="flat" w14:cmpd="sng" w14:algn="ctr">
            <w14:noFill/>
            <w14:prstDash w14:val="solid"/>
            <w14:miter w14:lim="400000"/>
          </w14:textOutline>
        </w:rPr>
        <w:t xml:space="preserve"> informs that parties must be held to their pleadings. On the basis that the respondents have dealt with the point in their Heads of Argument, I address it. For over half a century, our courts have laid down the law that no one is presumed to have waived their rights. In </w:t>
      </w:r>
      <w:r w:rsidR="008203F5">
        <w:rPr>
          <w:rFonts w:ascii="Arial" w:hAnsi="Arial"/>
          <w:i/>
          <w:iCs/>
          <w:lang w:val="en-US"/>
          <w14:textOutline w14:w="12700" w14:cap="flat" w14:cmpd="sng" w14:algn="ctr">
            <w14:noFill/>
            <w14:prstDash w14:val="solid"/>
            <w14:miter w14:lim="400000"/>
          </w14:textOutline>
        </w:rPr>
        <w:t xml:space="preserve">Road Accident Fund </w:t>
      </w:r>
      <w:r w:rsidR="008203F5">
        <w:rPr>
          <w:rFonts w:ascii="Arial" w:hAnsi="Arial"/>
          <w14:textOutline w14:w="12700" w14:cap="flat" w14:cmpd="sng" w14:algn="ctr">
            <w14:noFill/>
            <w14:prstDash w14:val="solid"/>
            <w14:miter w14:lim="400000"/>
          </w14:textOutline>
        </w:rPr>
        <w:t xml:space="preserve">v </w:t>
      </w:r>
      <w:r w:rsidR="008203F5">
        <w:rPr>
          <w:rFonts w:ascii="Arial" w:hAnsi="Arial"/>
          <w:i/>
          <w:iCs/>
          <w:lang w:val="en-US"/>
          <w14:textOutline w14:w="12700" w14:cap="flat" w14:cmpd="sng" w14:algn="ctr">
            <w14:noFill/>
            <w14:prstDash w14:val="solid"/>
            <w14:miter w14:lim="400000"/>
          </w14:textOutline>
        </w:rPr>
        <w:t>Mothupi</w:t>
      </w:r>
      <w:r w:rsidR="008203F5">
        <w:rPr>
          <w:rFonts w:ascii="Arial" w:hAnsi="Arial"/>
          <w:lang w:val="en-US"/>
          <w14:textOutline w14:w="12700" w14:cap="flat" w14:cmpd="sng" w14:algn="ctr">
            <w14:noFill/>
            <w14:prstDash w14:val="solid"/>
            <w14:miter w14:lim="400000"/>
          </w14:textOutline>
        </w:rPr>
        <w:t xml:space="preserve">, it was said that ‘the onus is on the party alleging it [waiver]. In this regard, clear proof is required of an intention to do so and that the conduct from which waiver is inferred must be unequivocal, that is to say, consistent with no other </w:t>
      </w:r>
      <w:proofErr w:type="gramStart"/>
      <w:r w:rsidR="008203F5">
        <w:rPr>
          <w:rFonts w:ascii="Arial" w:hAnsi="Arial"/>
          <w:lang w:val="en-US"/>
          <w14:textOutline w14:w="12700" w14:cap="flat" w14:cmpd="sng" w14:algn="ctr">
            <w14:noFill/>
            <w14:prstDash w14:val="solid"/>
            <w14:miter w14:lim="400000"/>
          </w14:textOutline>
        </w:rPr>
        <w:t>hypothesis’</w:t>
      </w:r>
      <w:proofErr w:type="gramEnd"/>
      <w:r w:rsidR="008203F5">
        <w:rPr>
          <w:rFonts w:ascii="Arial" w:hAnsi="Arial"/>
          <w14:textOutline w14:w="12700" w14:cap="flat" w14:cmpd="sng" w14:algn="ctr">
            <w14:noFill/>
            <w14:prstDash w14:val="solid"/>
            <w14:miter w14:lim="400000"/>
          </w14:textOutline>
        </w:rPr>
        <w:t>.</w:t>
      </w:r>
      <w:r w:rsidR="008203F5">
        <w:rPr>
          <w:rFonts w:ascii="Arial" w:eastAsia="Arial" w:hAnsi="Arial" w:cs="Arial"/>
          <w:vertAlign w:val="superscript"/>
          <w14:textOutline w14:w="12700" w14:cap="flat" w14:cmpd="sng" w14:algn="ctr">
            <w14:noFill/>
            <w14:prstDash w14:val="solid"/>
            <w14:miter w14:lim="400000"/>
          </w14:textOutline>
        </w:rPr>
        <w:footnoteReference w:id="13"/>
      </w:r>
    </w:p>
    <w:p w14:paraId="309A1E89" w14:textId="77777777" w:rsidR="006B1CEF" w:rsidRDefault="006B1CEF">
      <w:pPr>
        <w:pStyle w:val="Body"/>
        <w:widowControl w:val="0"/>
        <w:spacing w:line="480" w:lineRule="auto"/>
        <w:jc w:val="both"/>
        <w:rPr>
          <w:rFonts w:ascii="Arial" w:eastAsia="Arial" w:hAnsi="Arial" w:cs="Arial"/>
          <w14:textOutline w14:w="12700" w14:cap="flat" w14:cmpd="sng" w14:algn="ctr">
            <w14:noFill/>
            <w14:prstDash w14:val="solid"/>
            <w14:miter w14:lim="400000"/>
          </w14:textOutline>
        </w:rPr>
      </w:pPr>
    </w:p>
    <w:p w14:paraId="23922B5D" w14:textId="7C255663" w:rsidR="006B1CEF" w:rsidRDefault="00804BD2" w:rsidP="00804BD2">
      <w:pPr>
        <w:pStyle w:val="Body"/>
        <w:widowControl w:val="0"/>
        <w:spacing w:line="480" w:lineRule="auto"/>
        <w:ind w:left="393" w:hanging="393"/>
        <w:jc w:val="both"/>
        <w:rPr>
          <w:rFonts w:ascii="Arial" w:hAnsi="Arial"/>
          <w:lang w:val="en-US"/>
        </w:rPr>
      </w:pPr>
      <w:r>
        <w:rPr>
          <w:rFonts w:ascii="Arial" w:hAnsi="Arial Unicode MS"/>
          <w:lang w:val="en-US"/>
        </w:rPr>
        <w:t>18.</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 xml:space="preserve">The applicants have made no attempt to discharge the onus required to establish waiver. </w:t>
      </w:r>
      <w:r w:rsidR="008203F5">
        <w:rPr>
          <w:rFonts w:ascii="Arial" w:hAnsi="Arial"/>
          <w:lang w:val="en-US"/>
          <w14:textOutline w14:w="12700" w14:cap="flat" w14:cmpd="sng" w14:algn="ctr">
            <w14:noFill/>
            <w14:prstDash w14:val="solid"/>
            <w14:miter w14:lim="400000"/>
          </w14:textOutline>
        </w:rPr>
        <w:lastRenderedPageBreak/>
        <w:t xml:space="preserve">The conduct demonstrated by the respondent </w:t>
      </w:r>
      <w:proofErr w:type="gramStart"/>
      <w:r w:rsidR="008203F5">
        <w:rPr>
          <w:rFonts w:ascii="Arial" w:hAnsi="Arial"/>
          <w:lang w:val="en-US"/>
          <w14:textOutline w14:w="12700" w14:cap="flat" w14:cmpd="sng" w14:algn="ctr">
            <w14:noFill/>
            <w14:prstDash w14:val="solid"/>
            <w14:miter w14:lim="400000"/>
          </w14:textOutline>
        </w:rPr>
        <w:t>throughout,</w:t>
      </w:r>
      <w:proofErr w:type="gramEnd"/>
      <w:r w:rsidR="008203F5">
        <w:rPr>
          <w:rFonts w:ascii="Arial" w:hAnsi="Arial"/>
          <w:lang w:val="en-US"/>
          <w14:textOutline w14:w="12700" w14:cap="flat" w14:cmpd="sng" w14:algn="ctr">
            <w14:noFill/>
            <w14:prstDash w14:val="solid"/>
            <w14:miter w14:lim="400000"/>
          </w14:textOutline>
        </w:rPr>
        <w:t xml:space="preserve"> points to a party who had no intention to waive any of their rights. The applicants in their founding affidavit refer to a cryptic response received from the respondents after they had warned them of the looming date for performance, in January 2022. In this regard, the respondents wrote back advising that no purpose will be served by engaging with the contents of the applicants’ letter and on the 31 January 2022, they simply did not make the payment of R350 million. At a minimum, it can be said that </w:t>
      </w:r>
      <w:proofErr w:type="gramStart"/>
      <w:r w:rsidR="008203F5">
        <w:rPr>
          <w:rFonts w:ascii="Arial" w:hAnsi="Arial"/>
          <w:lang w:val="en-US"/>
          <w14:textOutline w14:w="12700" w14:cap="flat" w14:cmpd="sng" w14:algn="ctr">
            <w14:noFill/>
            <w14:prstDash w14:val="solid"/>
            <w14:miter w14:lim="400000"/>
          </w14:textOutline>
        </w:rPr>
        <w:t>on the basis of</w:t>
      </w:r>
      <w:proofErr w:type="gramEnd"/>
      <w:r w:rsidR="008203F5">
        <w:rPr>
          <w:rFonts w:ascii="Arial" w:hAnsi="Arial"/>
          <w:lang w:val="en-US"/>
          <w14:textOutline w14:w="12700" w14:cap="flat" w14:cmpd="sng" w14:algn="ctr">
            <w14:noFill/>
            <w14:prstDash w14:val="solid"/>
            <w14:miter w14:lim="400000"/>
          </w14:textOutline>
        </w:rPr>
        <w:t xml:space="preserve"> that letter, the respondents intended not to debate the contents of the letter but at the same time, they made it clear that they do not agree with the applicants. The respondents had taken steps opposing the applicants’ intended amendment prior to the hearing of the matter in February 2022. These are not steps consistent with a party intending to wave their rights. The applicants have failed to discharge the onus placed on them to establish waiver</w:t>
      </w:r>
      <w:r w:rsidR="008203F5">
        <w:rPr>
          <w:rFonts w:ascii="Arial" w:hAnsi="Arial"/>
          <w14:textOutline w14:w="12700" w14:cap="flat" w14:cmpd="sng" w14:algn="ctr">
            <w14:noFill/>
            <w14:prstDash w14:val="solid"/>
            <w14:miter w14:lim="400000"/>
          </w14:textOutline>
        </w:rPr>
        <w:t>.</w:t>
      </w:r>
    </w:p>
    <w:p w14:paraId="39964E1A" w14:textId="77777777" w:rsidR="006B1CEF" w:rsidRDefault="006B1CEF">
      <w:pPr>
        <w:pStyle w:val="Body"/>
        <w:widowControl w:val="0"/>
        <w:spacing w:line="480" w:lineRule="auto"/>
        <w:jc w:val="both"/>
        <w:rPr>
          <w:rFonts w:ascii="Arial" w:eastAsia="Arial" w:hAnsi="Arial" w:cs="Arial"/>
          <w:b/>
          <w:bCs/>
          <w14:textOutline w14:w="12700" w14:cap="flat" w14:cmpd="sng" w14:algn="ctr">
            <w14:noFill/>
            <w14:prstDash w14:val="solid"/>
            <w14:miter w14:lim="400000"/>
          </w14:textOutline>
        </w:rPr>
      </w:pPr>
    </w:p>
    <w:p w14:paraId="563F0194" w14:textId="77777777" w:rsidR="006B1CEF" w:rsidRDefault="008203F5">
      <w:pPr>
        <w:pStyle w:val="Body"/>
        <w:widowControl w:val="0"/>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D. CONCLUSION</w:t>
      </w:r>
    </w:p>
    <w:p w14:paraId="4A2C6534" w14:textId="351EDD87" w:rsidR="006B1CEF" w:rsidRDefault="00804BD2" w:rsidP="00804BD2">
      <w:pPr>
        <w:pStyle w:val="Body"/>
        <w:widowControl w:val="0"/>
        <w:spacing w:line="480" w:lineRule="auto"/>
        <w:ind w:left="393" w:hanging="393"/>
        <w:jc w:val="both"/>
        <w:rPr>
          <w:rFonts w:ascii="Arial" w:hAnsi="Arial"/>
          <w:lang w:val="en-US"/>
        </w:rPr>
      </w:pPr>
      <w:r>
        <w:rPr>
          <w:rFonts w:ascii="Arial" w:hAnsi="Arial Unicode MS"/>
          <w:lang w:val="en-US"/>
        </w:rPr>
        <w:t>19.</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 xml:space="preserve">For all the reasons set out in this judgment, the application must fail. The respondents seek costs, including the costs of two counsel. As the successful party, the respondents are entailed to costs but not costs of two </w:t>
      </w:r>
      <w:proofErr w:type="gramStart"/>
      <w:r w:rsidR="008203F5">
        <w:rPr>
          <w:rFonts w:ascii="Arial" w:hAnsi="Arial"/>
          <w:lang w:val="en-US"/>
          <w14:textOutline w14:w="12700" w14:cap="flat" w14:cmpd="sng" w14:algn="ctr">
            <w14:noFill/>
            <w14:prstDash w14:val="solid"/>
            <w14:miter w14:lim="400000"/>
          </w14:textOutline>
        </w:rPr>
        <w:t>counsel</w:t>
      </w:r>
      <w:proofErr w:type="gramEnd"/>
      <w:r w:rsidR="008203F5">
        <w:rPr>
          <w:rFonts w:ascii="Arial" w:hAnsi="Arial"/>
          <w:lang w:val="en-US"/>
          <w14:textOutline w14:w="12700" w14:cap="flat" w14:cmpd="sng" w14:algn="ctr">
            <w14:noFill/>
            <w14:prstDash w14:val="solid"/>
            <w14:miter w14:lim="400000"/>
          </w14:textOutline>
        </w:rPr>
        <w:t xml:space="preserve">. </w:t>
      </w:r>
    </w:p>
    <w:p w14:paraId="24335EF3" w14:textId="77777777" w:rsidR="006B1CEF" w:rsidRDefault="006B1CEF">
      <w:pPr>
        <w:pStyle w:val="Body"/>
        <w:widowControl w:val="0"/>
        <w:spacing w:line="480" w:lineRule="auto"/>
        <w:jc w:val="both"/>
        <w:rPr>
          <w:rFonts w:ascii="Arial" w:eastAsia="Arial" w:hAnsi="Arial" w:cs="Arial"/>
          <w14:textOutline w14:w="12700" w14:cap="flat" w14:cmpd="sng" w14:algn="ctr">
            <w14:noFill/>
            <w14:prstDash w14:val="solid"/>
            <w14:miter w14:lim="400000"/>
          </w14:textOutline>
        </w:rPr>
      </w:pPr>
    </w:p>
    <w:p w14:paraId="61CE48B2" w14:textId="77777777" w:rsidR="006B1CEF" w:rsidRDefault="008203F5">
      <w:pPr>
        <w:pStyle w:val="Body"/>
        <w:widowControl w:val="0"/>
        <w:spacing w:line="480"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lang w:val="de-DE"/>
          <w14:textOutline w14:w="12700" w14:cap="flat" w14:cmpd="sng" w14:algn="ctr">
            <w14:noFill/>
            <w14:prstDash w14:val="solid"/>
            <w14:miter w14:lim="400000"/>
          </w14:textOutline>
        </w:rPr>
        <w:t>E. ORDER</w:t>
      </w:r>
    </w:p>
    <w:p w14:paraId="41C7CC40" w14:textId="0A95EFD8" w:rsidR="006B1CEF" w:rsidRDefault="00804BD2" w:rsidP="00804BD2">
      <w:pPr>
        <w:pStyle w:val="Body"/>
        <w:widowControl w:val="0"/>
        <w:spacing w:line="480" w:lineRule="auto"/>
        <w:ind w:left="393" w:hanging="393"/>
        <w:jc w:val="both"/>
        <w:rPr>
          <w:rFonts w:ascii="Arial" w:hAnsi="Arial"/>
          <w:lang w:val="en-US"/>
        </w:rPr>
      </w:pPr>
      <w:r>
        <w:rPr>
          <w:rFonts w:ascii="Arial" w:hAnsi="Arial Unicode MS"/>
          <w:lang w:val="en-US"/>
        </w:rPr>
        <w:t>20.</w:t>
      </w:r>
      <w:r>
        <w:rPr>
          <w:rFonts w:ascii="Arial" w:hAnsi="Arial Unicode MS"/>
          <w:lang w:val="en-US"/>
        </w:rPr>
        <w:tab/>
      </w:r>
      <w:r w:rsidR="008203F5">
        <w:rPr>
          <w:rFonts w:ascii="Arial" w:hAnsi="Arial"/>
          <w:lang w:val="en-US"/>
          <w14:textOutline w14:w="12700" w14:cap="flat" w14:cmpd="sng" w14:algn="ctr">
            <w14:noFill/>
            <w14:prstDash w14:val="solid"/>
            <w14:miter w14:lim="400000"/>
          </w14:textOutline>
        </w:rPr>
        <w:t xml:space="preserve"> The application is dismissed. The applicants must pay the respondents’ costs. </w:t>
      </w:r>
    </w:p>
    <w:p w14:paraId="28F38932" w14:textId="77777777" w:rsidR="006B1CEF" w:rsidRDefault="006B1CEF">
      <w:pPr>
        <w:pStyle w:val="Body"/>
        <w:widowControl w:val="0"/>
        <w:spacing w:line="480" w:lineRule="auto"/>
        <w:jc w:val="both"/>
        <w:rPr>
          <w:rFonts w:ascii="Arial" w:eastAsia="Arial" w:hAnsi="Arial" w:cs="Arial"/>
          <w14:textOutline w14:w="12700" w14:cap="flat" w14:cmpd="sng" w14:algn="ctr">
            <w14:noFill/>
            <w14:prstDash w14:val="solid"/>
            <w14:miter w14:lim="400000"/>
          </w14:textOutline>
        </w:rPr>
      </w:pPr>
    </w:p>
    <w:p w14:paraId="21E303C1" w14:textId="77777777" w:rsidR="006B1CEF" w:rsidRDefault="008203F5">
      <w:pPr>
        <w:pStyle w:val="Body"/>
        <w:spacing w:line="480" w:lineRule="auto"/>
        <w:rPr>
          <w:rFonts w:ascii="Arial" w:eastAsia="Arial" w:hAnsi="Arial" w:cs="Arial"/>
          <w14:textOutline w14:w="12700" w14:cap="flat" w14:cmpd="sng" w14:algn="ctr">
            <w14:noFill/>
            <w14:prstDash w14:val="solid"/>
            <w14:miter w14:lim="400000"/>
          </w14:textOutline>
        </w:rPr>
      </w:pPr>
      <w:r>
        <w:rPr>
          <w:rFonts w:ascii="Arial" w:eastAsia="Arial" w:hAnsi="Arial" w:cs="Arial"/>
          <w14:textOutline w14:w="12700" w14:cap="flat" w14:cmpd="sng" w14:algn="ctr">
            <w14:noFill/>
            <w14:prstDash w14:val="solid"/>
            <w14:miter w14:lim="400000"/>
          </w14:textOutline>
        </w:rPr>
        <w:tab/>
      </w:r>
      <w:r>
        <w:rPr>
          <w:rFonts w:ascii="Arial" w:eastAsia="Arial" w:hAnsi="Arial" w:cs="Arial"/>
          <w14:textOutline w14:w="12700" w14:cap="flat" w14:cmpd="sng" w14:algn="ctr">
            <w14:noFill/>
            <w14:prstDash w14:val="solid"/>
            <w14:miter w14:lim="400000"/>
          </w14:textOutline>
        </w:rPr>
        <w:tab/>
      </w:r>
      <w:r>
        <w:rPr>
          <w:rFonts w:ascii="Arial" w:eastAsia="Arial" w:hAnsi="Arial" w:cs="Arial"/>
          <w14:textOutline w14:w="12700" w14:cap="flat" w14:cmpd="sng" w14:algn="ctr">
            <w14:noFill/>
            <w14:prstDash w14:val="solid"/>
            <w14:miter w14:lim="400000"/>
          </w14:textOutline>
        </w:rPr>
        <w:tab/>
      </w:r>
      <w:r>
        <w:rPr>
          <w:rFonts w:ascii="Arial" w:eastAsia="Arial" w:hAnsi="Arial" w:cs="Arial"/>
          <w14:textOutline w14:w="12700" w14:cap="flat" w14:cmpd="sng" w14:algn="ctr">
            <w14:noFill/>
            <w14:prstDash w14:val="solid"/>
            <w14:miter w14:lim="400000"/>
          </w14:textOutline>
        </w:rPr>
        <w:tab/>
      </w:r>
      <w:r>
        <w:rPr>
          <w:rFonts w:ascii="Arial" w:eastAsia="Arial" w:hAnsi="Arial" w:cs="Arial"/>
          <w14:textOutline w14:w="12700" w14:cap="flat" w14:cmpd="sng" w14:algn="ctr">
            <w14:noFill/>
            <w14:prstDash w14:val="solid"/>
            <w14:miter w14:lim="400000"/>
          </w14:textOutline>
        </w:rPr>
        <w:tab/>
      </w:r>
      <w:r>
        <w:rPr>
          <w:rFonts w:ascii="Arial" w:eastAsia="Arial" w:hAnsi="Arial" w:cs="Arial"/>
          <w14:textOutline w14:w="12700" w14:cap="flat" w14:cmpd="sng" w14:algn="ctr">
            <w14:noFill/>
            <w14:prstDash w14:val="solid"/>
            <w14:miter w14:lim="400000"/>
          </w14:textOutline>
        </w:rPr>
        <w:tab/>
      </w:r>
      <w:r>
        <w:rPr>
          <w:rFonts w:ascii="Arial" w:eastAsia="Arial" w:hAnsi="Arial" w:cs="Arial"/>
          <w14:textOutline w14:w="12700" w14:cap="flat" w14:cmpd="sng" w14:algn="ctr">
            <w14:noFill/>
            <w14:prstDash w14:val="solid"/>
            <w14:miter w14:lim="400000"/>
          </w14:textOutline>
        </w:rPr>
        <w:tab/>
      </w:r>
      <w:r>
        <w:rPr>
          <w:rFonts w:ascii="Arial" w:eastAsia="Arial" w:hAnsi="Arial" w:cs="Arial"/>
          <w:u w:val="single"/>
          <w14:textOutline w14:w="12700" w14:cap="flat" w14:cmpd="sng" w14:algn="ctr">
            <w14:noFill/>
            <w14:prstDash w14:val="solid"/>
            <w14:miter w14:lim="400000"/>
          </w14:textOutline>
        </w:rPr>
        <w:tab/>
      </w:r>
      <w:r>
        <w:rPr>
          <w:rFonts w:ascii="Arial" w:eastAsia="Arial" w:hAnsi="Arial" w:cs="Arial"/>
          <w:u w:val="single"/>
          <w14:textOutline w14:w="12700" w14:cap="flat" w14:cmpd="sng" w14:algn="ctr">
            <w14:noFill/>
            <w14:prstDash w14:val="solid"/>
            <w14:miter w14:lim="400000"/>
          </w14:textOutline>
        </w:rPr>
        <w:tab/>
      </w:r>
      <w:r>
        <w:rPr>
          <w:rFonts w:ascii="Arial" w:eastAsia="Arial" w:hAnsi="Arial" w:cs="Arial"/>
          <w:u w:val="single"/>
          <w14:textOutline w14:w="12700" w14:cap="flat" w14:cmpd="sng" w14:algn="ctr">
            <w14:noFill/>
            <w14:prstDash w14:val="solid"/>
            <w14:miter w14:lim="400000"/>
          </w14:textOutline>
        </w:rPr>
        <w:tab/>
      </w:r>
      <w:r>
        <w:rPr>
          <w:rFonts w:ascii="Arial" w:eastAsia="Arial" w:hAnsi="Arial" w:cs="Arial"/>
          <w:u w:val="single"/>
          <w14:textOutline w14:w="12700" w14:cap="flat" w14:cmpd="sng" w14:algn="ctr">
            <w14:noFill/>
            <w14:prstDash w14:val="solid"/>
            <w14:miter w14:lim="400000"/>
          </w14:textOutline>
        </w:rPr>
        <w:tab/>
      </w:r>
      <w:r>
        <w:rPr>
          <w:rFonts w:ascii="Arial" w:eastAsia="Arial" w:hAnsi="Arial" w:cs="Arial"/>
          <w:u w:val="single"/>
          <w14:textOutline w14:w="12700" w14:cap="flat" w14:cmpd="sng" w14:algn="ctr">
            <w14:noFill/>
            <w14:prstDash w14:val="solid"/>
            <w14:miter w14:lim="400000"/>
          </w14:textOutline>
        </w:rPr>
        <w:tab/>
      </w:r>
    </w:p>
    <w:p w14:paraId="1D13CC9F" w14:textId="132541E0" w:rsidR="006B1CEF" w:rsidRDefault="008203F5">
      <w:pPr>
        <w:pStyle w:val="BodyA"/>
        <w:spacing w:line="480" w:lineRule="auto"/>
        <w:jc w:val="both"/>
        <w:rPr>
          <w:rFonts w:ascii="Arial" w:eastAsia="Arial" w:hAnsi="Arial" w:cs="Arial"/>
          <w:b/>
          <w:bCs/>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b/>
          <w:bCs/>
          <w:sz w:val="24"/>
          <w:szCs w:val="24"/>
          <w:lang w:val="de-DE"/>
        </w:rPr>
        <w:t>N.N BAM</w:t>
      </w:r>
      <w:r>
        <w:rPr>
          <w:rFonts w:ascii="Times New Roman" w:hAnsi="Times New Roman"/>
          <w:sz w:val="24"/>
          <w:szCs w:val="24"/>
        </w:rPr>
        <w:t xml:space="preserve">                        </w:t>
      </w:r>
    </w:p>
    <w:p w14:paraId="1B9DAA82" w14:textId="5153B3CB" w:rsidR="006B1CEF" w:rsidRDefault="008203F5">
      <w:pPr>
        <w:pStyle w:val="BodyA"/>
        <w:suppressAutoHyphens/>
        <w:spacing w:line="480" w:lineRule="auto"/>
        <w:ind w:left="4395"/>
        <w:rPr>
          <w:rFonts w:ascii="Arial" w:hAnsi="Arial"/>
          <w:b/>
          <w:bCs/>
          <w:kern w:val="28"/>
          <w:sz w:val="24"/>
          <w:szCs w:val="24"/>
        </w:rPr>
      </w:pPr>
      <w:r>
        <w:rPr>
          <w:rFonts w:ascii="Arial" w:eastAsia="Arial" w:hAnsi="Arial" w:cs="Arial"/>
          <w:b/>
          <w:bCs/>
          <w:kern w:val="28"/>
          <w:sz w:val="24"/>
          <w:szCs w:val="24"/>
        </w:rPr>
        <w:tab/>
      </w:r>
      <w:bookmarkStart w:id="0" w:name="_Hlk267640"/>
      <w:r>
        <w:rPr>
          <w:rFonts w:ascii="Arial" w:hAnsi="Arial"/>
          <w:b/>
          <w:bCs/>
          <w:kern w:val="28"/>
          <w:sz w:val="24"/>
          <w:szCs w:val="24"/>
        </w:rPr>
        <w:t xml:space="preserve">JUDGE OF THE HIGH COURT, </w:t>
      </w:r>
      <w:r>
        <w:rPr>
          <w:rFonts w:ascii="Arial" w:hAnsi="Arial"/>
          <w:b/>
          <w:bCs/>
          <w:kern w:val="28"/>
          <w:sz w:val="24"/>
          <w:szCs w:val="24"/>
        </w:rPr>
        <w:tab/>
      </w:r>
      <w:r>
        <w:rPr>
          <w:rFonts w:ascii="Arial" w:hAnsi="Arial"/>
          <w:b/>
          <w:bCs/>
          <w:kern w:val="28"/>
          <w:sz w:val="24"/>
          <w:szCs w:val="24"/>
        </w:rPr>
        <w:tab/>
      </w:r>
      <w:r>
        <w:rPr>
          <w:rFonts w:ascii="Arial" w:hAnsi="Arial"/>
          <w:b/>
          <w:bCs/>
          <w:kern w:val="28"/>
          <w:sz w:val="24"/>
          <w:szCs w:val="24"/>
        </w:rPr>
        <w:tab/>
        <w:t>P</w:t>
      </w:r>
      <w:bookmarkEnd w:id="0"/>
      <w:r>
        <w:rPr>
          <w:rFonts w:ascii="Arial" w:hAnsi="Arial"/>
          <w:b/>
          <w:bCs/>
          <w:kern w:val="28"/>
          <w:sz w:val="24"/>
          <w:szCs w:val="24"/>
        </w:rPr>
        <w:t>RETORIA</w:t>
      </w:r>
    </w:p>
    <w:p w14:paraId="7390FE6D" w14:textId="77777777" w:rsidR="008203F5" w:rsidRDefault="008203F5">
      <w:pPr>
        <w:pStyle w:val="BodyA"/>
        <w:suppressAutoHyphens/>
        <w:spacing w:line="480" w:lineRule="auto"/>
        <w:ind w:left="4395"/>
        <w:rPr>
          <w:rFonts w:ascii="Arial" w:eastAsia="Arial" w:hAnsi="Arial" w:cs="Arial"/>
          <w:kern w:val="28"/>
          <w:sz w:val="24"/>
          <w:szCs w:val="24"/>
          <w:u w:val="single"/>
        </w:rPr>
      </w:pPr>
    </w:p>
    <w:p w14:paraId="0AA3004A" w14:textId="77777777" w:rsidR="006B1CEF" w:rsidRDefault="006B1CEF">
      <w:pPr>
        <w:pStyle w:val="Body"/>
        <w:suppressAutoHyphens/>
        <w:spacing w:line="480" w:lineRule="auto"/>
        <w:rPr>
          <w:rFonts w:ascii="Arial" w:eastAsia="Arial" w:hAnsi="Arial" w:cs="Arial"/>
          <w:b/>
          <w:bCs/>
          <w:u w:val="single"/>
          <w14:textOutline w14:w="12700" w14:cap="flat" w14:cmpd="sng" w14:algn="ctr">
            <w14:noFill/>
            <w14:prstDash w14:val="solid"/>
            <w14:miter w14:lim="400000"/>
          </w14:textOutline>
        </w:rPr>
      </w:pPr>
    </w:p>
    <w:p w14:paraId="2A4EE02A" w14:textId="04C9AAE6" w:rsidR="006B1CEF" w:rsidRDefault="008203F5">
      <w:pPr>
        <w:pStyle w:val="BodyA"/>
        <w:suppressAutoHyphens/>
        <w:spacing w:line="480" w:lineRule="auto"/>
        <w:rPr>
          <w:rFonts w:ascii="Arial" w:eastAsia="Arial" w:hAnsi="Arial" w:cs="Arial"/>
          <w:b/>
          <w:bCs/>
          <w:kern w:val="28"/>
          <w:sz w:val="24"/>
          <w:szCs w:val="24"/>
        </w:rPr>
      </w:pPr>
      <w:r>
        <w:rPr>
          <w:rFonts w:ascii="Arial" w:hAnsi="Arial"/>
          <w:b/>
          <w:bCs/>
          <w:kern w:val="28"/>
          <w:sz w:val="24"/>
          <w:szCs w:val="24"/>
        </w:rPr>
        <w:t>Date of Hearing</w:t>
      </w:r>
      <w:r>
        <w:rPr>
          <w:rFonts w:ascii="Arial" w:hAnsi="Arial"/>
          <w:kern w:val="28"/>
          <w:sz w:val="24"/>
          <w:szCs w:val="24"/>
        </w:rPr>
        <w:t>:</w:t>
      </w:r>
      <w:r>
        <w:rPr>
          <w:rFonts w:ascii="Arial" w:hAnsi="Arial"/>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t>20 September 2023</w:t>
      </w:r>
    </w:p>
    <w:p w14:paraId="15A18955" w14:textId="7CA6DD71" w:rsidR="008203F5" w:rsidRDefault="008203F5">
      <w:pPr>
        <w:pStyle w:val="BodyA"/>
        <w:suppressAutoHyphens/>
        <w:spacing w:line="480" w:lineRule="auto"/>
        <w:rPr>
          <w:rFonts w:ascii="Arial" w:eastAsia="Arial" w:hAnsi="Arial" w:cs="Arial"/>
          <w:b/>
          <w:bCs/>
          <w:kern w:val="28"/>
          <w:sz w:val="24"/>
          <w:szCs w:val="24"/>
        </w:rPr>
      </w:pPr>
      <w:r>
        <w:rPr>
          <w:rFonts w:ascii="Arial" w:eastAsia="Arial" w:hAnsi="Arial" w:cs="Arial"/>
          <w:b/>
          <w:bCs/>
          <w:kern w:val="28"/>
          <w:sz w:val="24"/>
          <w:szCs w:val="24"/>
        </w:rPr>
        <w:t>Date of Judgment:</w:t>
      </w:r>
      <w:r>
        <w:rPr>
          <w:rFonts w:ascii="Arial" w:eastAsia="Arial" w:hAnsi="Arial" w:cs="Arial"/>
          <w:b/>
          <w:bCs/>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t>28 May 2024</w:t>
      </w:r>
    </w:p>
    <w:p w14:paraId="2EFA7776" w14:textId="77777777" w:rsidR="006B1CEF" w:rsidRDefault="006B1CEF">
      <w:pPr>
        <w:pStyle w:val="BodyA"/>
        <w:suppressAutoHyphens/>
        <w:spacing w:line="480" w:lineRule="auto"/>
        <w:rPr>
          <w:rFonts w:ascii="Arial" w:eastAsia="Arial" w:hAnsi="Arial" w:cs="Arial"/>
          <w:kern w:val="28"/>
          <w:sz w:val="24"/>
          <w:szCs w:val="24"/>
        </w:rPr>
      </w:pPr>
    </w:p>
    <w:p w14:paraId="59C5B94A" w14:textId="0D30C0D6" w:rsidR="006B1CEF" w:rsidRPr="008203F5" w:rsidRDefault="008203F5">
      <w:pPr>
        <w:pStyle w:val="BodyA"/>
        <w:suppressAutoHyphens/>
        <w:spacing w:line="480" w:lineRule="auto"/>
        <w:rPr>
          <w:rFonts w:ascii="Arial" w:eastAsia="Arial" w:hAnsi="Arial" w:cs="Arial"/>
          <w:b/>
          <w:bCs/>
          <w:kern w:val="28"/>
          <w:sz w:val="24"/>
          <w:szCs w:val="24"/>
          <w:u w:val="single"/>
          <w:lang w:val="en-ZA"/>
        </w:rPr>
      </w:pPr>
      <w:r w:rsidRPr="008203F5">
        <w:rPr>
          <w:rFonts w:ascii="Arial" w:hAnsi="Arial"/>
          <w:b/>
          <w:bCs/>
          <w:kern w:val="28"/>
          <w:sz w:val="24"/>
          <w:szCs w:val="24"/>
          <w:u w:val="single"/>
          <w:lang w:val="en-ZA"/>
        </w:rPr>
        <w:t>A</w:t>
      </w:r>
      <w:r>
        <w:rPr>
          <w:rFonts w:ascii="Arial" w:hAnsi="Arial"/>
          <w:b/>
          <w:bCs/>
          <w:kern w:val="28"/>
          <w:sz w:val="24"/>
          <w:szCs w:val="24"/>
          <w:u w:val="single"/>
          <w:lang w:val="en-ZA"/>
        </w:rPr>
        <w:t>ppearances:</w:t>
      </w:r>
      <w:r w:rsidRPr="008203F5">
        <w:rPr>
          <w:rFonts w:ascii="Arial" w:hAnsi="Arial"/>
          <w:b/>
          <w:bCs/>
          <w:kern w:val="28"/>
          <w:sz w:val="24"/>
          <w:szCs w:val="24"/>
          <w:u w:val="single"/>
          <w:lang w:val="en-ZA"/>
        </w:rPr>
        <w:t xml:space="preserve"> </w:t>
      </w:r>
    </w:p>
    <w:p w14:paraId="00675830" w14:textId="1953EAAF" w:rsidR="006B1CEF" w:rsidRDefault="008203F5">
      <w:pPr>
        <w:pStyle w:val="BodyA"/>
        <w:suppressAutoHyphens/>
        <w:spacing w:line="480" w:lineRule="auto"/>
        <w:rPr>
          <w:rFonts w:ascii="Arial" w:eastAsia="Arial" w:hAnsi="Arial" w:cs="Arial"/>
          <w:kern w:val="28"/>
          <w:sz w:val="24"/>
          <w:szCs w:val="24"/>
        </w:rPr>
      </w:pPr>
      <w:r w:rsidRPr="008203F5">
        <w:rPr>
          <w:rFonts w:ascii="Arial" w:eastAsia="Arial" w:hAnsi="Arial" w:cs="Arial"/>
          <w:b/>
          <w:bCs/>
          <w:kern w:val="28"/>
          <w:sz w:val="24"/>
          <w:szCs w:val="24"/>
          <w:lang w:val="en-ZA"/>
        </w:rPr>
        <w:t>Applicants</w:t>
      </w:r>
      <w:r w:rsidRPr="008203F5">
        <w:rPr>
          <w:rFonts w:ascii="Arial" w:hAnsi="Arial"/>
          <w:b/>
          <w:bCs/>
          <w:kern w:val="28"/>
          <w:sz w:val="24"/>
          <w:szCs w:val="24"/>
        </w:rPr>
        <w:t>’</w:t>
      </w:r>
      <w:r>
        <w:rPr>
          <w:rFonts w:ascii="Arial" w:hAnsi="Arial"/>
          <w:b/>
          <w:bCs/>
          <w:kern w:val="28"/>
          <w:sz w:val="24"/>
          <w:szCs w:val="24"/>
        </w:rPr>
        <w:t xml:space="preserve"> </w:t>
      </w:r>
      <w:r>
        <w:rPr>
          <w:rFonts w:ascii="Arial" w:hAnsi="Arial"/>
          <w:b/>
          <w:bCs/>
          <w:kern w:val="28"/>
          <w:sz w:val="24"/>
          <w:szCs w:val="24"/>
          <w:lang w:val="de-DE"/>
        </w:rPr>
        <w:t xml:space="preserve">Counsel: </w:t>
      </w:r>
      <w:r>
        <w:rPr>
          <w:rFonts w:ascii="Arial" w:hAnsi="Arial"/>
          <w:b/>
          <w:bCs/>
          <w:kern w:val="28"/>
          <w:sz w:val="24"/>
          <w:szCs w:val="24"/>
          <w:lang w:val="de-DE"/>
        </w:rPr>
        <w:tab/>
      </w:r>
      <w:r>
        <w:rPr>
          <w:rFonts w:ascii="Arial" w:eastAsia="Arial" w:hAnsi="Arial" w:cs="Arial"/>
          <w:b/>
          <w:bCs/>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t xml:space="preserve">Adv J.J Brett SC </w:t>
      </w:r>
      <w:r w:rsidRPr="008203F5">
        <w:rPr>
          <w:rFonts w:ascii="Arial" w:eastAsia="Arial" w:hAnsi="Arial" w:cs="Arial"/>
          <w:kern w:val="28"/>
          <w:sz w:val="24"/>
          <w:szCs w:val="24"/>
        </w:rPr>
        <w:t xml:space="preserve">with </w:t>
      </w:r>
      <w:r>
        <w:rPr>
          <w:rFonts w:ascii="Arial" w:eastAsia="Arial" w:hAnsi="Arial" w:cs="Arial"/>
          <w:b/>
          <w:bCs/>
          <w:kern w:val="28"/>
          <w:sz w:val="24"/>
          <w:szCs w:val="24"/>
        </w:rPr>
        <w:t>Adv J.G Smit</w:t>
      </w:r>
    </w:p>
    <w:p w14:paraId="68C4CD49" w14:textId="77777777" w:rsidR="008203F5" w:rsidRDefault="008203F5">
      <w:pPr>
        <w:pStyle w:val="Body"/>
        <w:spacing w:line="360" w:lineRule="auto"/>
        <w:rPr>
          <w:rFonts w:ascii="Arial" w:hAnsi="Arial"/>
          <w:lang w:val="pt-PT"/>
          <w14:textOutline w14:w="12700" w14:cap="flat" w14:cmpd="sng" w14:algn="ctr">
            <w14:noFill/>
            <w14:prstDash w14:val="solid"/>
            <w14:miter w14:lim="400000"/>
          </w14:textOutline>
        </w:rPr>
      </w:pPr>
      <w:r>
        <w:rPr>
          <w:rFonts w:ascii="Arial" w:hAnsi="Arial"/>
          <w:lang w:val="pt-PT"/>
          <w14:textOutline w14:w="12700" w14:cap="flat" w14:cmpd="sng" w14:algn="ctr">
            <w14:noFill/>
            <w14:prstDash w14:val="solid"/>
            <w14:miter w14:lim="400000"/>
          </w14:textOutline>
        </w:rPr>
        <w:t xml:space="preserve">Instructed by: </w:t>
      </w:r>
      <w:r>
        <w:rPr>
          <w:rFonts w:ascii="Arial" w:hAnsi="Arial"/>
          <w:lang w:val="pt-PT"/>
          <w14:textOutline w14:w="12700" w14:cap="flat" w14:cmpd="sng" w14:algn="ctr">
            <w14:noFill/>
            <w14:prstDash w14:val="solid"/>
            <w14:miter w14:lim="400000"/>
          </w14:textOutline>
        </w:rPr>
        <w:tab/>
      </w:r>
      <w:r>
        <w:rPr>
          <w:rFonts w:ascii="Arial" w:hAnsi="Arial"/>
          <w:lang w:val="pt-PT"/>
          <w14:textOutline w14:w="12700" w14:cap="flat" w14:cmpd="sng" w14:algn="ctr">
            <w14:noFill/>
            <w14:prstDash w14:val="solid"/>
            <w14:miter w14:lim="400000"/>
          </w14:textOutline>
        </w:rPr>
        <w:tab/>
      </w:r>
      <w:r>
        <w:rPr>
          <w:rFonts w:ascii="Arial" w:hAnsi="Arial"/>
          <w:lang w:val="pt-PT"/>
          <w14:textOutline w14:w="12700" w14:cap="flat" w14:cmpd="sng" w14:algn="ctr">
            <w14:noFill/>
            <w14:prstDash w14:val="solid"/>
            <w14:miter w14:lim="400000"/>
          </w14:textOutline>
        </w:rPr>
        <w:tab/>
      </w:r>
      <w:r>
        <w:rPr>
          <w:rFonts w:ascii="Arial" w:hAnsi="Arial"/>
          <w:lang w:val="pt-PT"/>
          <w14:textOutline w14:w="12700" w14:cap="flat" w14:cmpd="sng" w14:algn="ctr">
            <w14:noFill/>
            <w14:prstDash w14:val="solid"/>
            <w14:miter w14:lim="400000"/>
          </w14:textOutline>
        </w:rPr>
        <w:tab/>
      </w:r>
      <w:r>
        <w:rPr>
          <w:rFonts w:ascii="Arial" w:hAnsi="Arial"/>
          <w:lang w:val="pt-PT"/>
          <w14:textOutline w14:w="12700" w14:cap="flat" w14:cmpd="sng" w14:algn="ctr">
            <w14:noFill/>
            <w14:prstDash w14:val="solid"/>
            <w14:miter w14:lim="400000"/>
          </w14:textOutline>
        </w:rPr>
        <w:tab/>
        <w:t xml:space="preserve">Gothe Attorneys </w:t>
      </w:r>
    </w:p>
    <w:p w14:paraId="17AEE9F4" w14:textId="7A84DE4B" w:rsidR="006B1CEF" w:rsidRDefault="008203F5" w:rsidP="008203F5">
      <w:pPr>
        <w:pStyle w:val="Body"/>
        <w:spacing w:line="360" w:lineRule="auto"/>
        <w:ind w:left="4320" w:firstLine="720"/>
        <w:rPr>
          <w:rFonts w:ascii="Arial" w:eastAsia="Arial" w:hAnsi="Arial" w:cs="Arial"/>
          <w:kern w:val="28"/>
          <w14:textOutline w14:w="12700" w14:cap="flat" w14:cmpd="sng" w14:algn="ctr">
            <w14:noFill/>
            <w14:prstDash w14:val="solid"/>
            <w14:miter w14:lim="400000"/>
          </w14:textOutline>
        </w:rPr>
      </w:pPr>
      <w:r>
        <w:rPr>
          <w:rFonts w:ascii="Arial" w:hAnsi="Arial"/>
          <w:lang w:val="pt-PT"/>
          <w14:textOutline w14:w="12700" w14:cap="flat" w14:cmpd="sng" w14:algn="ctr">
            <w14:noFill/>
            <w14:prstDash w14:val="solid"/>
            <w14:miter w14:lim="400000"/>
          </w14:textOutline>
        </w:rPr>
        <w:t>Queenswood, Pretoria</w:t>
      </w:r>
    </w:p>
    <w:p w14:paraId="2C51F82E" w14:textId="682318EB" w:rsidR="006B1CEF" w:rsidRDefault="008203F5">
      <w:pPr>
        <w:pStyle w:val="BodyA"/>
        <w:suppressAutoHyphens/>
        <w:spacing w:line="480" w:lineRule="auto"/>
        <w:rPr>
          <w:rFonts w:ascii="Arial" w:eastAsia="Arial" w:hAnsi="Arial" w:cs="Arial"/>
          <w:b/>
          <w:bCs/>
          <w:kern w:val="28"/>
          <w:sz w:val="24"/>
          <w:szCs w:val="24"/>
        </w:rPr>
      </w:pPr>
      <w:r>
        <w:rPr>
          <w:rFonts w:ascii="Arial" w:eastAsia="Arial" w:hAnsi="Arial" w:cs="Arial"/>
          <w:kern w:val="28"/>
          <w:sz w:val="24"/>
          <w:szCs w:val="24"/>
        </w:rPr>
        <w:tab/>
      </w:r>
      <w:r>
        <w:rPr>
          <w:rFonts w:ascii="Arial" w:eastAsia="Arial" w:hAnsi="Arial" w:cs="Arial"/>
          <w:kern w:val="28"/>
          <w:sz w:val="24"/>
          <w:szCs w:val="24"/>
        </w:rPr>
        <w:tab/>
      </w:r>
      <w:r>
        <w:rPr>
          <w:rFonts w:ascii="Arial" w:eastAsia="Arial" w:hAnsi="Arial" w:cs="Arial"/>
          <w:kern w:val="28"/>
          <w:sz w:val="24"/>
          <w:szCs w:val="24"/>
        </w:rPr>
        <w:tab/>
      </w:r>
      <w:r>
        <w:rPr>
          <w:rFonts w:ascii="Arial" w:eastAsia="Arial" w:hAnsi="Arial" w:cs="Arial"/>
          <w:kern w:val="28"/>
          <w:sz w:val="24"/>
          <w:szCs w:val="24"/>
        </w:rPr>
        <w:tab/>
      </w:r>
      <w:r>
        <w:rPr>
          <w:rFonts w:ascii="Arial" w:eastAsia="Arial" w:hAnsi="Arial" w:cs="Arial"/>
          <w:kern w:val="28"/>
          <w:sz w:val="24"/>
          <w:szCs w:val="24"/>
        </w:rPr>
        <w:tab/>
      </w:r>
      <w:r>
        <w:rPr>
          <w:rFonts w:ascii="Arial" w:eastAsia="Arial" w:hAnsi="Arial" w:cs="Arial"/>
          <w:kern w:val="28"/>
          <w:sz w:val="24"/>
          <w:szCs w:val="24"/>
        </w:rPr>
        <w:tab/>
      </w:r>
      <w:r>
        <w:rPr>
          <w:rFonts w:ascii="Arial" w:eastAsia="Arial" w:hAnsi="Arial" w:cs="Arial"/>
          <w:kern w:val="28"/>
          <w:sz w:val="24"/>
          <w:szCs w:val="24"/>
        </w:rPr>
        <w:tab/>
      </w:r>
      <w:r>
        <w:rPr>
          <w:rFonts w:ascii="Arial" w:eastAsia="Arial" w:hAnsi="Arial" w:cs="Arial"/>
          <w:kern w:val="28"/>
          <w:sz w:val="24"/>
          <w:szCs w:val="24"/>
        </w:rPr>
        <w:tab/>
      </w:r>
      <w:r>
        <w:rPr>
          <w:rFonts w:ascii="Arial" w:eastAsia="Arial" w:hAnsi="Arial" w:cs="Arial"/>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r>
      <w:r>
        <w:rPr>
          <w:rFonts w:ascii="Arial" w:eastAsia="Arial" w:hAnsi="Arial" w:cs="Arial"/>
          <w:b/>
          <w:bCs/>
          <w:kern w:val="28"/>
          <w:sz w:val="24"/>
          <w:szCs w:val="24"/>
        </w:rPr>
        <w:tab/>
      </w:r>
    </w:p>
    <w:p w14:paraId="5FAAC9F1" w14:textId="3730B66C" w:rsidR="006B1CEF" w:rsidRDefault="008203F5">
      <w:pPr>
        <w:pStyle w:val="Body"/>
        <w:suppressAutoHyphens/>
        <w:spacing w:line="480" w:lineRule="auto"/>
        <w:rPr>
          <w:rFonts w:ascii="Arial" w:eastAsia="Arial" w:hAnsi="Arial" w:cs="Arial"/>
          <w:b/>
          <w:bCs/>
          <w:kern w:val="28"/>
          <w14:textOutline w14:w="12700" w14:cap="flat" w14:cmpd="sng" w14:algn="ctr">
            <w14:noFill/>
            <w14:prstDash w14:val="solid"/>
            <w14:miter w14:lim="400000"/>
          </w14:textOutline>
        </w:rPr>
      </w:pPr>
      <w:r>
        <w:rPr>
          <w:rFonts w:ascii="Arial" w:hAnsi="Arial"/>
          <w:b/>
          <w:bCs/>
          <w:lang w:val="en-US"/>
          <w14:textOutline w14:w="12700" w14:cap="flat" w14:cmpd="sng" w14:algn="ctr">
            <w14:noFill/>
            <w14:prstDash w14:val="solid"/>
            <w14:miter w14:lim="400000"/>
          </w14:textOutline>
        </w:rPr>
        <w:t xml:space="preserve">Respondents’ Counsel: </w:t>
      </w:r>
      <w:r>
        <w:rPr>
          <w:rFonts w:ascii="Arial" w:hAnsi="Arial"/>
          <w:b/>
          <w:bCs/>
          <w:lang w:val="en-US"/>
          <w14:textOutline w14:w="12700" w14:cap="flat" w14:cmpd="sng" w14:algn="ctr">
            <w14:noFill/>
            <w14:prstDash w14:val="solid"/>
            <w14:miter w14:lim="400000"/>
          </w14:textOutline>
        </w:rPr>
        <w:tab/>
      </w:r>
      <w:r>
        <w:rPr>
          <w:rFonts w:ascii="Arial" w:hAnsi="Arial"/>
          <w:b/>
          <w:bCs/>
          <w:lang w:val="en-US"/>
          <w14:textOutline w14:w="12700" w14:cap="flat" w14:cmpd="sng" w14:algn="ctr">
            <w14:noFill/>
            <w14:prstDash w14:val="solid"/>
            <w14:miter w14:lim="400000"/>
          </w14:textOutline>
        </w:rPr>
        <w:tab/>
      </w:r>
      <w:r>
        <w:rPr>
          <w:rFonts w:ascii="Arial" w:hAnsi="Arial"/>
          <w:b/>
          <w:bCs/>
          <w:lang w:val="en-US"/>
          <w14:textOutline w14:w="12700" w14:cap="flat" w14:cmpd="sng" w14:algn="ctr">
            <w14:noFill/>
            <w14:prstDash w14:val="solid"/>
            <w14:miter w14:lim="400000"/>
          </w14:textOutline>
        </w:rPr>
        <w:tab/>
      </w:r>
      <w:r>
        <w:rPr>
          <w:rFonts w:ascii="Arial" w:hAnsi="Arial"/>
          <w:b/>
          <w:bCs/>
          <w:lang w:val="en-US"/>
          <w14:textOutline w14:w="12700" w14:cap="flat" w14:cmpd="sng" w14:algn="ctr">
            <w14:noFill/>
            <w14:prstDash w14:val="solid"/>
            <w14:miter w14:lim="400000"/>
          </w14:textOutline>
        </w:rPr>
        <w:tab/>
      </w:r>
      <w:r>
        <w:rPr>
          <w:rFonts w:ascii="Arial" w:hAnsi="Arial"/>
          <w:b/>
          <w:bCs/>
          <w:kern w:val="28"/>
          <w:lang w:val="de-DE"/>
          <w14:textOutline w14:w="12700" w14:cap="flat" w14:cmpd="sng" w14:algn="ctr">
            <w14:noFill/>
            <w14:prstDash w14:val="solid"/>
            <w14:miter w14:lim="400000"/>
          </w14:textOutline>
        </w:rPr>
        <w:t xml:space="preserve">Adv A.R Bhana SC </w:t>
      </w:r>
      <w:r>
        <w:rPr>
          <w:rFonts w:ascii="Arial" w:hAnsi="Arial"/>
          <w:kern w:val="28"/>
          <w:lang w:val="en-US"/>
          <w14:textOutline w14:w="12700" w14:cap="flat" w14:cmpd="sng" w14:algn="ctr">
            <w14:noFill/>
            <w14:prstDash w14:val="solid"/>
            <w14:miter w14:lim="400000"/>
          </w14:textOutline>
        </w:rPr>
        <w:t>with</w:t>
      </w:r>
      <w:r>
        <w:rPr>
          <w:rFonts w:ascii="Arial" w:hAnsi="Arial"/>
          <w:b/>
          <w:bCs/>
          <w:kern w:val="28"/>
          <w14:textOutline w14:w="12700" w14:cap="flat" w14:cmpd="sng" w14:algn="ctr">
            <w14:noFill/>
            <w14:prstDash w14:val="solid"/>
            <w14:miter w14:lim="400000"/>
          </w14:textOutline>
        </w:rPr>
        <w:t xml:space="preserve"> </w:t>
      </w:r>
    </w:p>
    <w:p w14:paraId="6DC9BA71" w14:textId="28C7BD31" w:rsidR="006B1CEF" w:rsidRDefault="008203F5">
      <w:pPr>
        <w:pStyle w:val="Body"/>
        <w:suppressAutoHyphens/>
        <w:spacing w:line="480" w:lineRule="auto"/>
        <w:rPr>
          <w:rFonts w:ascii="Arial" w:eastAsia="Arial" w:hAnsi="Arial" w:cs="Arial"/>
          <w14:textOutline w14:w="12700" w14:cap="flat" w14:cmpd="sng" w14:algn="ctr">
            <w14:noFill/>
            <w14:prstDash w14:val="solid"/>
            <w14:miter w14:lim="400000"/>
          </w14:textOutline>
        </w:rPr>
      </w:pPr>
      <w:r>
        <w:rPr>
          <w:rFonts w:ascii="Arial" w:eastAsia="Arial" w:hAnsi="Arial" w:cs="Arial"/>
          <w:b/>
          <w:bCs/>
          <w:kern w:val="28"/>
          <w14:textOutline w14:w="12700" w14:cap="flat" w14:cmpd="sng" w14:algn="ctr">
            <w14:noFill/>
            <w14:prstDash w14:val="solid"/>
            <w14:miter w14:lim="400000"/>
          </w14:textOutline>
        </w:rPr>
        <w:tab/>
      </w:r>
      <w:r>
        <w:rPr>
          <w:rFonts w:ascii="Arial" w:eastAsia="Arial" w:hAnsi="Arial" w:cs="Arial"/>
          <w:b/>
          <w:bCs/>
          <w:kern w:val="28"/>
          <w14:textOutline w14:w="12700" w14:cap="flat" w14:cmpd="sng" w14:algn="ctr">
            <w14:noFill/>
            <w14:prstDash w14:val="solid"/>
            <w14:miter w14:lim="400000"/>
          </w14:textOutline>
        </w:rPr>
        <w:tab/>
      </w:r>
      <w:r>
        <w:rPr>
          <w:rFonts w:ascii="Arial" w:eastAsia="Arial" w:hAnsi="Arial" w:cs="Arial"/>
          <w:b/>
          <w:bCs/>
          <w:kern w:val="28"/>
          <w14:textOutline w14:w="12700" w14:cap="flat" w14:cmpd="sng" w14:algn="ctr">
            <w14:noFill/>
            <w14:prstDash w14:val="solid"/>
            <w14:miter w14:lim="400000"/>
          </w14:textOutline>
        </w:rPr>
        <w:tab/>
      </w:r>
      <w:r>
        <w:rPr>
          <w:rFonts w:ascii="Arial" w:eastAsia="Arial" w:hAnsi="Arial" w:cs="Arial"/>
          <w:b/>
          <w:bCs/>
          <w:kern w:val="28"/>
          <w14:textOutline w14:w="12700" w14:cap="flat" w14:cmpd="sng" w14:algn="ctr">
            <w14:noFill/>
            <w14:prstDash w14:val="solid"/>
            <w14:miter w14:lim="400000"/>
          </w14:textOutline>
        </w:rPr>
        <w:tab/>
      </w:r>
      <w:r>
        <w:rPr>
          <w:rFonts w:ascii="Arial" w:eastAsia="Arial" w:hAnsi="Arial" w:cs="Arial"/>
          <w:b/>
          <w:bCs/>
          <w:kern w:val="28"/>
          <w14:textOutline w14:w="12700" w14:cap="flat" w14:cmpd="sng" w14:algn="ctr">
            <w14:noFill/>
            <w14:prstDash w14:val="solid"/>
            <w14:miter w14:lim="400000"/>
          </w14:textOutline>
        </w:rPr>
        <w:tab/>
      </w:r>
      <w:r>
        <w:rPr>
          <w:rFonts w:ascii="Arial" w:eastAsia="Arial" w:hAnsi="Arial" w:cs="Arial"/>
          <w:b/>
          <w:bCs/>
          <w:kern w:val="28"/>
          <w14:textOutline w14:w="12700" w14:cap="flat" w14:cmpd="sng" w14:algn="ctr">
            <w14:noFill/>
            <w14:prstDash w14:val="solid"/>
            <w14:miter w14:lim="400000"/>
          </w14:textOutline>
        </w:rPr>
        <w:tab/>
      </w:r>
      <w:r>
        <w:rPr>
          <w:rFonts w:ascii="Arial" w:eastAsia="Arial" w:hAnsi="Arial" w:cs="Arial"/>
          <w:b/>
          <w:bCs/>
          <w:kern w:val="28"/>
          <w14:textOutline w14:w="12700" w14:cap="flat" w14:cmpd="sng" w14:algn="ctr">
            <w14:noFill/>
            <w14:prstDash w14:val="solid"/>
            <w14:miter w14:lim="400000"/>
          </w14:textOutline>
        </w:rPr>
        <w:tab/>
        <w:t>Adv T Dalrymple</w:t>
      </w:r>
    </w:p>
    <w:p w14:paraId="6CDBD13E" w14:textId="77777777" w:rsidR="008203F5" w:rsidRDefault="008203F5">
      <w:pPr>
        <w:pStyle w:val="Body"/>
        <w:suppressAutoHyphens/>
        <w:spacing w:line="480" w:lineRule="auto"/>
        <w:rPr>
          <w:rFonts w:ascii="Arial" w:hAnsi="Arial"/>
          <w:lang w:val="en-US"/>
          <w14:textOutline w14:w="12700" w14:cap="flat" w14:cmpd="sng" w14:algn="ctr">
            <w14:noFill/>
            <w14:prstDash w14:val="solid"/>
            <w14:miter w14:lim="400000"/>
          </w14:textOutline>
        </w:rPr>
      </w:pPr>
      <w:r>
        <w:rPr>
          <w:rFonts w:ascii="Arial" w:hAnsi="Arial"/>
          <w:lang w:val="en-US"/>
          <w14:textOutline w14:w="12700" w14:cap="flat" w14:cmpd="sng" w14:algn="ctr">
            <w14:noFill/>
            <w14:prstDash w14:val="solid"/>
            <w14:miter w14:lim="400000"/>
          </w14:textOutline>
        </w:rPr>
        <w:t>Instructed by:</w:t>
      </w:r>
      <w:r>
        <w:rPr>
          <w:rFonts w:ascii="Arial" w:hAnsi="Arial"/>
          <w:lang w:val="en-US"/>
          <w14:textOutline w14:w="12700" w14:cap="flat" w14:cmpd="sng" w14:algn="ctr">
            <w14:noFill/>
            <w14:prstDash w14:val="solid"/>
            <w14:miter w14:lim="400000"/>
          </w14:textOutline>
        </w:rPr>
        <w:tab/>
      </w:r>
      <w:r>
        <w:rPr>
          <w:rFonts w:ascii="Arial" w:hAnsi="Arial"/>
          <w:lang w:val="en-US"/>
          <w14:textOutline w14:w="12700" w14:cap="flat" w14:cmpd="sng" w14:algn="ctr">
            <w14:noFill/>
            <w14:prstDash w14:val="solid"/>
            <w14:miter w14:lim="400000"/>
          </w14:textOutline>
        </w:rPr>
        <w:tab/>
      </w:r>
      <w:r>
        <w:rPr>
          <w:rFonts w:ascii="Arial" w:hAnsi="Arial"/>
          <w:lang w:val="en-US"/>
          <w14:textOutline w14:w="12700" w14:cap="flat" w14:cmpd="sng" w14:algn="ctr">
            <w14:noFill/>
            <w14:prstDash w14:val="solid"/>
            <w14:miter w14:lim="400000"/>
          </w14:textOutline>
        </w:rPr>
        <w:tab/>
      </w:r>
      <w:r>
        <w:rPr>
          <w:rFonts w:ascii="Arial" w:hAnsi="Arial"/>
          <w:lang w:val="en-US"/>
          <w14:textOutline w14:w="12700" w14:cap="flat" w14:cmpd="sng" w14:algn="ctr">
            <w14:noFill/>
            <w14:prstDash w14:val="solid"/>
            <w14:miter w14:lim="400000"/>
          </w14:textOutline>
        </w:rPr>
        <w:tab/>
      </w:r>
      <w:r>
        <w:rPr>
          <w:rFonts w:ascii="Arial" w:hAnsi="Arial"/>
          <w:lang w:val="en-US"/>
          <w14:textOutline w14:w="12700" w14:cap="flat" w14:cmpd="sng" w14:algn="ctr">
            <w14:noFill/>
            <w14:prstDash w14:val="solid"/>
            <w14:miter w14:lim="400000"/>
          </w14:textOutline>
        </w:rPr>
        <w:tab/>
        <w:t xml:space="preserve">Knowles, Husain Lindsay Inc. </w:t>
      </w:r>
    </w:p>
    <w:p w14:paraId="6F0278B5" w14:textId="50086C6C" w:rsidR="006B1CEF" w:rsidRDefault="008203F5" w:rsidP="008203F5">
      <w:pPr>
        <w:pStyle w:val="Body"/>
        <w:suppressAutoHyphens/>
        <w:spacing w:line="480" w:lineRule="auto"/>
        <w:ind w:left="4320" w:firstLine="720"/>
      </w:pPr>
      <w:r>
        <w:rPr>
          <w:rFonts w:ascii="Arial" w:hAnsi="Arial"/>
          <w:lang w:val="en-US"/>
          <w14:textOutline w14:w="12700" w14:cap="flat" w14:cmpd="sng" w14:algn="ctr">
            <w14:noFill/>
            <w14:prstDash w14:val="solid"/>
            <w14:miter w14:lim="400000"/>
          </w14:textOutline>
        </w:rPr>
        <w:t xml:space="preserve">℅ </w:t>
      </w:r>
      <w:r>
        <w:rPr>
          <w:rFonts w:ascii="Arial" w:hAnsi="Arial"/>
          <w:lang w:val="de-DE"/>
          <w14:textOutline w14:w="12700" w14:cap="flat" w14:cmpd="sng" w14:algn="ctr">
            <w14:noFill/>
            <w14:prstDash w14:val="solid"/>
            <w14:miter w14:lim="400000"/>
          </w14:textOutline>
        </w:rPr>
        <w:t xml:space="preserve">Friedland Hart Solomon &amp; </w:t>
      </w:r>
      <w:r>
        <w:rPr>
          <w:rFonts w:ascii="Arial" w:hAnsi="Arial"/>
          <w:lang w:val="de-DE"/>
          <w14:textOutline w14:w="12700" w14:cap="flat" w14:cmpd="sng" w14:algn="ctr">
            <w14:noFill/>
            <w14:prstDash w14:val="solid"/>
            <w14:miter w14:lim="400000"/>
          </w14:textOutline>
        </w:rPr>
        <w:tab/>
        <w:t>Nicholson Attorneys</w:t>
      </w:r>
      <w:r>
        <w:rPr>
          <w:rFonts w:ascii="Arial" w:eastAsia="Arial" w:hAnsi="Arial" w:cs="Arial"/>
          <w14:textOutline w14:w="12700" w14:cap="flat" w14:cmpd="sng" w14:algn="ctr">
            <w14:noFill/>
            <w14:prstDash w14:val="solid"/>
            <w14:miter w14:lim="400000"/>
          </w14:textOutline>
        </w:rPr>
        <w:tab/>
      </w:r>
      <w:r>
        <w:rPr>
          <w:rFonts w:ascii="Arial" w:eastAsia="Arial" w:hAnsi="Arial" w:cs="Arial"/>
          <w14:textOutline w14:w="12700" w14:cap="flat" w14:cmpd="sng" w14:algn="ctr">
            <w14:noFill/>
            <w14:prstDash w14:val="solid"/>
            <w14:miter w14:lim="400000"/>
          </w14:textOutline>
        </w:rPr>
        <w:tab/>
      </w:r>
      <w:r>
        <w:rPr>
          <w:rFonts w:ascii="Arial" w:eastAsia="Arial" w:hAnsi="Arial" w:cs="Arial"/>
          <w14:textOutline w14:w="12700" w14:cap="flat" w14:cmpd="sng" w14:algn="ctr">
            <w14:noFill/>
            <w14:prstDash w14:val="solid"/>
            <w14:miter w14:lim="400000"/>
          </w14:textOutline>
        </w:rPr>
        <w:tab/>
      </w:r>
      <w:r>
        <w:rPr>
          <w:rFonts w:ascii="Arial" w:eastAsia="Arial" w:hAnsi="Arial" w:cs="Arial"/>
          <w14:textOutline w14:w="12700" w14:cap="flat" w14:cmpd="sng" w14:algn="ctr">
            <w14:noFill/>
            <w14:prstDash w14:val="solid"/>
            <w14:miter w14:lim="400000"/>
          </w14:textOutline>
        </w:rPr>
        <w:tab/>
      </w:r>
      <w:r>
        <w:rPr>
          <w:rFonts w:ascii="Arial" w:eastAsia="Arial" w:hAnsi="Arial" w:cs="Arial"/>
          <w14:textOutline w14:w="12700" w14:cap="flat" w14:cmpd="sng" w14:algn="ctr">
            <w14:noFill/>
            <w14:prstDash w14:val="solid"/>
            <w14:miter w14:lim="400000"/>
          </w14:textOutline>
        </w:rPr>
        <w:tab/>
      </w:r>
      <w:r>
        <w:rPr>
          <w:rFonts w:ascii="Arial" w:hAnsi="Arial"/>
          <w:lang w:val="it-IT"/>
          <w14:textOutline w14:w="12700" w14:cap="flat" w14:cmpd="sng" w14:algn="ctr">
            <w14:noFill/>
            <w14:prstDash w14:val="solid"/>
            <w14:miter w14:lim="400000"/>
          </w14:textOutline>
        </w:rPr>
        <w:t>Monument Park, Pretoria</w:t>
      </w:r>
    </w:p>
    <w:sectPr w:rsidR="006B1CEF">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57EFF" w14:textId="77777777" w:rsidR="00612C4F" w:rsidRDefault="00612C4F">
      <w:r>
        <w:separator/>
      </w:r>
    </w:p>
  </w:endnote>
  <w:endnote w:type="continuationSeparator" w:id="0">
    <w:p w14:paraId="1B2EA741" w14:textId="77777777" w:rsidR="00612C4F" w:rsidRDefault="0061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61CB5" w14:textId="77777777" w:rsidR="006B1CEF" w:rsidRDefault="008203F5">
    <w:pPr>
      <w:pStyle w:val="HeaderFooterA"/>
      <w:tabs>
        <w:tab w:val="clear" w:pos="9020"/>
        <w:tab w:val="center" w:pos="4819"/>
        <w:tab w:val="right" w:pos="9612"/>
      </w:tabs>
    </w:pPr>
    <w:r>
      <w:tab/>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35230" w14:textId="77777777" w:rsidR="00612C4F" w:rsidRDefault="00612C4F">
      <w:r>
        <w:separator/>
      </w:r>
    </w:p>
  </w:footnote>
  <w:footnote w:type="continuationSeparator" w:id="0">
    <w:p w14:paraId="4D699721" w14:textId="77777777" w:rsidR="00612C4F" w:rsidRDefault="00612C4F">
      <w:r>
        <w:continuationSeparator/>
      </w:r>
    </w:p>
  </w:footnote>
  <w:footnote w:type="continuationNotice" w:id="1">
    <w:p w14:paraId="7872F858" w14:textId="77777777" w:rsidR="00612C4F" w:rsidRDefault="00612C4F"/>
  </w:footnote>
  <w:footnote w:id="2">
    <w:p w14:paraId="675EDAC0" w14:textId="34347E6F" w:rsidR="006B1CEF" w:rsidRPr="008203F5" w:rsidRDefault="008203F5" w:rsidP="008203F5">
      <w:pPr>
        <w:pStyle w:val="Footnote"/>
        <w:jc w:val="both"/>
        <w:rPr>
          <w:rFonts w:ascii="Arial" w:hAnsi="Arial" w:cs="Arial"/>
        </w:rPr>
      </w:pPr>
      <w:r w:rsidRPr="008203F5">
        <w:rPr>
          <w:rFonts w:ascii="Arial" w:eastAsia="Arial" w:hAnsi="Arial" w:cs="Arial"/>
          <w:sz w:val="18"/>
          <w:szCs w:val="18"/>
          <w:vertAlign w:val="superscript"/>
        </w:rPr>
        <w:footnoteRef/>
      </w:r>
      <w:r w:rsidRPr="008203F5">
        <w:rPr>
          <w:rFonts w:ascii="Arial" w:eastAsia="Arial Unicode MS" w:hAnsi="Arial" w:cs="Arial"/>
          <w:sz w:val="18"/>
          <w:szCs w:val="18"/>
        </w:rPr>
        <w:t xml:space="preserve"> </w:t>
      </w:r>
      <w:r w:rsidRPr="008203F5">
        <w:rPr>
          <w:rFonts w:ascii="Arial" w:hAnsi="Arial" w:cs="Arial"/>
          <w:i/>
          <w:iCs/>
          <w:sz w:val="18"/>
          <w:szCs w:val="18"/>
        </w:rPr>
        <w:t>Cradle City (Pty) Ltd v Lindley Farm 528 (Pty) Ltd</w:t>
      </w:r>
      <w:r w:rsidRPr="008203F5">
        <w:rPr>
          <w:rFonts w:ascii="Arial" w:eastAsia="Arial Unicode MS" w:hAnsi="Arial" w:cs="Arial"/>
          <w:sz w:val="18"/>
          <w:szCs w:val="18"/>
        </w:rPr>
        <w:t xml:space="preserve"> (1212/2016) [2017] ZASCA 185; 2018 (3) SA 65 (SCA) (6 December 2017), paragraph 20.</w:t>
      </w:r>
    </w:p>
  </w:footnote>
  <w:footnote w:id="3">
    <w:p w14:paraId="3CFAE5AC" w14:textId="44B7A6BA" w:rsidR="006B1CEF" w:rsidRDefault="008203F5" w:rsidP="008203F5">
      <w:pPr>
        <w:pStyle w:val="Footnote"/>
        <w:jc w:val="both"/>
      </w:pPr>
      <w:r w:rsidRPr="008203F5">
        <w:rPr>
          <w:rFonts w:ascii="Arial" w:eastAsia="Arial" w:hAnsi="Arial" w:cs="Arial"/>
          <w:sz w:val="18"/>
          <w:szCs w:val="18"/>
          <w:vertAlign w:val="superscript"/>
        </w:rPr>
        <w:footnoteRef/>
      </w:r>
      <w:r w:rsidRPr="008203F5">
        <w:rPr>
          <w:rFonts w:ascii="Arial" w:hAnsi="Arial" w:cs="Arial"/>
          <w:sz w:val="18"/>
          <w:szCs w:val="18"/>
        </w:rPr>
        <w:t xml:space="preserve"> </w:t>
      </w:r>
      <w:r w:rsidRPr="008203F5">
        <w:rPr>
          <w:rFonts w:ascii="Arial" w:hAnsi="Arial" w:cs="Arial"/>
          <w:i/>
          <w:iCs/>
          <w:sz w:val="18"/>
          <w:szCs w:val="18"/>
        </w:rPr>
        <w:t>Euhar Truck &amp; Bus (SA) (Pty) Ltd v Dorbyl Limited t/a Dorbyl Transport Products and Busaf</w:t>
      </w:r>
      <w:r w:rsidRPr="008203F5">
        <w:rPr>
          <w:rFonts w:ascii="Arial" w:hAnsi="Arial" w:cs="Arial"/>
          <w:sz w:val="18"/>
          <w:szCs w:val="18"/>
          <w:lang w:val="de-DE"/>
        </w:rPr>
        <w:t>, CASE NO: (38/03), (25 MARCH 2004)</w:t>
      </w:r>
      <w:r w:rsidRPr="008203F5">
        <w:rPr>
          <w:rFonts w:ascii="Arial" w:hAnsi="Arial" w:cs="Arial"/>
          <w:sz w:val="18"/>
          <w:szCs w:val="18"/>
        </w:rPr>
        <w:t>, paragraph 12.</w:t>
      </w:r>
    </w:p>
  </w:footnote>
  <w:footnote w:id="4">
    <w:p w14:paraId="0049BCDF" w14:textId="6A1118CB" w:rsidR="006B1CEF" w:rsidRPr="008203F5" w:rsidRDefault="008203F5" w:rsidP="008203F5">
      <w:pPr>
        <w:pStyle w:val="Footnote"/>
        <w:jc w:val="both"/>
        <w:rPr>
          <w:rFonts w:ascii="Arial" w:hAnsi="Arial" w:cs="Arial"/>
          <w:sz w:val="18"/>
          <w:szCs w:val="18"/>
        </w:rPr>
      </w:pPr>
      <w:r w:rsidRPr="008203F5">
        <w:rPr>
          <w:rFonts w:ascii="Arial" w:eastAsia="Arial" w:hAnsi="Arial" w:cs="Arial"/>
          <w:sz w:val="18"/>
          <w:szCs w:val="18"/>
          <w:vertAlign w:val="superscript"/>
        </w:rPr>
        <w:footnoteRef/>
      </w:r>
      <w:r w:rsidRPr="008203F5">
        <w:rPr>
          <w:rFonts w:ascii="Arial" w:eastAsia="Arial Unicode MS" w:hAnsi="Arial" w:cs="Arial"/>
          <w:sz w:val="18"/>
          <w:szCs w:val="18"/>
        </w:rPr>
        <w:t xml:space="preserve"> </w:t>
      </w:r>
      <w:r w:rsidRPr="008203F5">
        <w:rPr>
          <w:rFonts w:ascii="Arial" w:hAnsi="Arial" w:cs="Arial"/>
          <w:i/>
          <w:iCs/>
          <w:sz w:val="18"/>
          <w:szCs w:val="18"/>
        </w:rPr>
        <w:t>Sandown Travel (Pty) Ltd v Cricket South Africa</w:t>
      </w:r>
      <w:r w:rsidRPr="008203F5">
        <w:rPr>
          <w:rFonts w:ascii="Arial" w:eastAsia="Arial Unicode MS" w:hAnsi="Arial" w:cs="Arial"/>
          <w:sz w:val="18"/>
          <w:szCs w:val="18"/>
        </w:rPr>
        <w:t xml:space="preserve"> (42317/2011) [2012] ZAGPJHC 249; 2013 (2) SA 502 (GSJ) (7 December 2012), paragraph 31.</w:t>
      </w:r>
    </w:p>
  </w:footnote>
  <w:footnote w:id="5">
    <w:p w14:paraId="27DF7222" w14:textId="0CA43C3D" w:rsidR="006B1CEF" w:rsidRPr="008203F5" w:rsidRDefault="008203F5" w:rsidP="008203F5">
      <w:pPr>
        <w:pStyle w:val="Footnote"/>
        <w:jc w:val="both"/>
        <w:rPr>
          <w:rFonts w:ascii="Arial" w:hAnsi="Arial" w:cs="Arial"/>
          <w:sz w:val="18"/>
          <w:szCs w:val="18"/>
        </w:rPr>
      </w:pPr>
      <w:r w:rsidRPr="008203F5">
        <w:rPr>
          <w:rFonts w:ascii="Arial" w:eastAsia="Arial" w:hAnsi="Arial" w:cs="Arial"/>
          <w:sz w:val="18"/>
          <w:szCs w:val="18"/>
          <w:vertAlign w:val="superscript"/>
        </w:rPr>
        <w:footnoteRef/>
      </w:r>
      <w:r w:rsidRPr="008203F5">
        <w:rPr>
          <w:rFonts w:ascii="Arial" w:eastAsia="Arial Unicode MS" w:hAnsi="Arial" w:cs="Arial"/>
          <w:sz w:val="18"/>
          <w:szCs w:val="18"/>
        </w:rPr>
        <w:t xml:space="preserve"> </w:t>
      </w:r>
      <w:r w:rsidRPr="008203F5">
        <w:rPr>
          <w:rFonts w:ascii="Arial" w:hAnsi="Arial" w:cs="Arial"/>
          <w:i/>
          <w:iCs/>
          <w:sz w:val="18"/>
          <w:szCs w:val="18"/>
        </w:rPr>
        <w:t>Sandown</w:t>
      </w:r>
      <w:r w:rsidRPr="008203F5">
        <w:rPr>
          <w:rFonts w:ascii="Arial" w:eastAsia="Arial Unicode MS" w:hAnsi="Arial" w:cs="Arial"/>
          <w:sz w:val="18"/>
          <w:szCs w:val="18"/>
        </w:rPr>
        <w:t xml:space="preserve"> note 9, paragraph 31; </w:t>
      </w:r>
      <w:r w:rsidRPr="008203F5">
        <w:rPr>
          <w:rFonts w:ascii="Arial" w:hAnsi="Arial" w:cs="Arial"/>
          <w:i/>
          <w:iCs/>
          <w:sz w:val="18"/>
          <w:szCs w:val="18"/>
        </w:rPr>
        <w:t>Chamber of Mines of South Africa v National Union of Mineworkers</w:t>
      </w:r>
      <w:r w:rsidRPr="008203F5">
        <w:rPr>
          <w:rFonts w:ascii="Arial" w:eastAsia="Arial Unicode MS" w:hAnsi="Arial" w:cs="Arial"/>
          <w:sz w:val="18"/>
          <w:szCs w:val="18"/>
        </w:rPr>
        <w:t xml:space="preserve"> (243/86) [1986] ZASCA 152 (28 November 1986), paragraph 22 - 23 </w:t>
      </w:r>
    </w:p>
  </w:footnote>
  <w:footnote w:id="6">
    <w:p w14:paraId="422A41E4" w14:textId="69480B5D" w:rsidR="006B1CEF" w:rsidRPr="008203F5" w:rsidRDefault="008203F5" w:rsidP="008203F5">
      <w:pPr>
        <w:pStyle w:val="Footnote"/>
        <w:jc w:val="both"/>
        <w:rPr>
          <w:rFonts w:ascii="Arial" w:hAnsi="Arial" w:cs="Arial"/>
          <w:sz w:val="18"/>
          <w:szCs w:val="18"/>
        </w:rPr>
      </w:pPr>
      <w:r w:rsidRPr="008203F5">
        <w:rPr>
          <w:rFonts w:ascii="Arial" w:eastAsia="Arial" w:hAnsi="Arial" w:cs="Arial"/>
          <w:sz w:val="18"/>
          <w:szCs w:val="18"/>
          <w:vertAlign w:val="superscript"/>
          <w:lang w:val="pt-PT"/>
        </w:rPr>
        <w:footnoteRef/>
      </w:r>
      <w:r w:rsidRPr="008203F5">
        <w:rPr>
          <w:rFonts w:ascii="Arial" w:hAnsi="Arial" w:cs="Arial"/>
          <w:sz w:val="18"/>
          <w:szCs w:val="18"/>
          <w:lang w:val="pt-PT"/>
        </w:rPr>
        <w:t xml:space="preserve"> (277/2021) [2022] ZASCA 94 (17 June 2022), paragraph 23.</w:t>
      </w:r>
    </w:p>
  </w:footnote>
  <w:footnote w:id="7">
    <w:p w14:paraId="6A2EB140" w14:textId="54840F33" w:rsidR="006B1CEF" w:rsidRDefault="008203F5" w:rsidP="008203F5">
      <w:pPr>
        <w:pStyle w:val="Footnote"/>
        <w:jc w:val="both"/>
      </w:pPr>
      <w:r w:rsidRPr="008203F5">
        <w:rPr>
          <w:rFonts w:ascii="Arial" w:eastAsia="Arial" w:hAnsi="Arial" w:cs="Arial"/>
          <w:sz w:val="18"/>
          <w:szCs w:val="18"/>
          <w:vertAlign w:val="superscript"/>
        </w:rPr>
        <w:footnoteRef/>
      </w:r>
      <w:r w:rsidRPr="008203F5">
        <w:rPr>
          <w:rFonts w:ascii="Arial" w:eastAsia="Arial Unicode MS" w:hAnsi="Arial" w:cs="Arial"/>
          <w:sz w:val="18"/>
          <w:szCs w:val="18"/>
        </w:rPr>
        <w:t xml:space="preserve"> Paragraph 6 of this judgment.</w:t>
      </w:r>
    </w:p>
  </w:footnote>
  <w:footnote w:id="8">
    <w:p w14:paraId="1C52D3E5" w14:textId="5482B418" w:rsidR="006B1CEF" w:rsidRPr="008203F5" w:rsidRDefault="008203F5" w:rsidP="008203F5">
      <w:pPr>
        <w:pStyle w:val="Footnote"/>
        <w:jc w:val="both"/>
        <w:rPr>
          <w:rFonts w:ascii="Arial" w:hAnsi="Arial" w:cs="Arial"/>
          <w:sz w:val="18"/>
          <w:szCs w:val="18"/>
        </w:rPr>
      </w:pPr>
      <w:r w:rsidRPr="008203F5">
        <w:rPr>
          <w:rFonts w:ascii="Arial" w:eastAsia="Arial" w:hAnsi="Arial" w:cs="Arial"/>
          <w:sz w:val="18"/>
          <w:szCs w:val="18"/>
          <w:vertAlign w:val="superscript"/>
        </w:rPr>
        <w:footnoteRef/>
      </w:r>
      <w:r w:rsidRPr="008203F5">
        <w:rPr>
          <w:rFonts w:ascii="Arial" w:eastAsia="Arial Unicode MS" w:hAnsi="Arial" w:cs="Arial"/>
          <w:sz w:val="18"/>
          <w:szCs w:val="18"/>
        </w:rPr>
        <w:t xml:space="preserve"> </w:t>
      </w:r>
      <w:r w:rsidRPr="008203F5">
        <w:rPr>
          <w:rFonts w:ascii="Arial" w:hAnsi="Arial" w:cs="Arial"/>
          <w:i/>
          <w:iCs/>
          <w:sz w:val="18"/>
          <w:szCs w:val="18"/>
        </w:rPr>
        <w:t>Director of Hospital Services v Mistry</w:t>
      </w:r>
      <w:r w:rsidRPr="008203F5">
        <w:rPr>
          <w:rFonts w:ascii="Arial" w:eastAsia="Arial Unicode MS" w:hAnsi="Arial" w:cs="Arial"/>
          <w:sz w:val="18"/>
          <w:szCs w:val="18"/>
        </w:rPr>
        <w:t xml:space="preserve"> (272/77) [1978] ZASCA 126 (9 November 1978).</w:t>
      </w:r>
    </w:p>
  </w:footnote>
  <w:footnote w:id="9">
    <w:p w14:paraId="3097C465" w14:textId="3543CEC4" w:rsidR="006B1CEF" w:rsidRPr="008203F5" w:rsidRDefault="008203F5" w:rsidP="008203F5">
      <w:pPr>
        <w:pStyle w:val="Footnote"/>
        <w:jc w:val="both"/>
        <w:rPr>
          <w:rFonts w:ascii="Arial" w:hAnsi="Arial" w:cs="Arial"/>
          <w:sz w:val="18"/>
          <w:szCs w:val="18"/>
        </w:rPr>
      </w:pPr>
      <w:r w:rsidRPr="008203F5">
        <w:rPr>
          <w:rFonts w:ascii="Arial" w:eastAsia="Arial" w:hAnsi="Arial" w:cs="Arial"/>
          <w:sz w:val="18"/>
          <w:szCs w:val="18"/>
          <w:vertAlign w:val="superscript"/>
        </w:rPr>
        <w:footnoteRef/>
      </w:r>
      <w:r w:rsidRPr="008203F5">
        <w:rPr>
          <w:rFonts w:ascii="Arial" w:eastAsia="Arial Unicode MS" w:hAnsi="Arial" w:cs="Arial"/>
          <w:sz w:val="18"/>
          <w:szCs w:val="18"/>
        </w:rPr>
        <w:t xml:space="preserve"> </w:t>
      </w:r>
      <w:r w:rsidRPr="008203F5">
        <w:rPr>
          <w:rFonts w:ascii="Arial" w:hAnsi="Arial" w:cs="Arial"/>
          <w:i/>
          <w:iCs/>
          <w:sz w:val="18"/>
          <w:szCs w:val="18"/>
        </w:rPr>
        <w:t>Gold Fields Limited and Others v Motley Rice LLC,</w:t>
      </w:r>
      <w:r w:rsidRPr="008203F5">
        <w:rPr>
          <w:rFonts w:ascii="Arial" w:eastAsia="Arial Unicode MS" w:hAnsi="Arial" w:cs="Arial"/>
          <w:sz w:val="18"/>
          <w:szCs w:val="18"/>
        </w:rPr>
        <w:t xml:space="preserve"> In re: </w:t>
      </w:r>
      <w:r w:rsidRPr="008203F5">
        <w:rPr>
          <w:rFonts w:ascii="Arial" w:hAnsi="Arial" w:cs="Arial"/>
          <w:i/>
          <w:iCs/>
          <w:sz w:val="18"/>
          <w:szCs w:val="18"/>
        </w:rPr>
        <w:t>Nkala v Harmony Gold Mining Company Limited and Others</w:t>
      </w:r>
      <w:r w:rsidRPr="008203F5">
        <w:rPr>
          <w:rFonts w:ascii="Arial" w:eastAsia="Arial Unicode MS" w:hAnsi="Arial" w:cs="Arial"/>
          <w:sz w:val="18"/>
          <w:szCs w:val="18"/>
        </w:rPr>
        <w:t xml:space="preserve"> (48226/12) [2015] ZAGPJHC 62; 2015 (4) SA 299 (GJ); [2015] 2 All SA 686 (GJ) (19 March 2015), paragraph 122.</w:t>
      </w:r>
    </w:p>
  </w:footnote>
  <w:footnote w:id="10">
    <w:p w14:paraId="4956261D" w14:textId="05600B13" w:rsidR="006B1CEF" w:rsidRPr="008203F5" w:rsidRDefault="008203F5" w:rsidP="008203F5">
      <w:pPr>
        <w:pStyle w:val="Footnote"/>
        <w:jc w:val="both"/>
        <w:rPr>
          <w:rFonts w:ascii="Arial" w:hAnsi="Arial" w:cs="Arial"/>
          <w:sz w:val="18"/>
          <w:szCs w:val="18"/>
        </w:rPr>
      </w:pPr>
      <w:r w:rsidRPr="008203F5">
        <w:rPr>
          <w:rFonts w:ascii="Arial" w:eastAsia="Arial" w:hAnsi="Arial" w:cs="Arial"/>
          <w:sz w:val="18"/>
          <w:szCs w:val="18"/>
          <w:vertAlign w:val="superscript"/>
        </w:rPr>
        <w:footnoteRef/>
      </w:r>
      <w:r w:rsidRPr="008203F5">
        <w:rPr>
          <w:rFonts w:ascii="Arial" w:eastAsia="Arial Unicode MS" w:hAnsi="Arial" w:cs="Arial"/>
          <w:sz w:val="18"/>
          <w:szCs w:val="18"/>
        </w:rPr>
        <w:t xml:space="preserve"> </w:t>
      </w:r>
      <w:r w:rsidRPr="008203F5">
        <w:rPr>
          <w:rFonts w:ascii="Arial" w:hAnsi="Arial" w:cs="Arial"/>
          <w:i/>
          <w:iCs/>
          <w:sz w:val="18"/>
          <w:szCs w:val="18"/>
        </w:rPr>
        <w:t>South African Transport and Allied Workers Union and Another v Garvas and Others</w:t>
      </w:r>
      <w:r w:rsidRPr="008203F5">
        <w:rPr>
          <w:rFonts w:ascii="Arial" w:eastAsia="Arial Unicode MS" w:hAnsi="Arial" w:cs="Arial"/>
          <w:sz w:val="18"/>
          <w:szCs w:val="18"/>
        </w:rPr>
        <w:t xml:space="preserve"> (CCT 112/11) [2012] ZACC 13; 2012 (8) BCLR 840 (CC); [2012] 10 BLLR 959 (CC); (2012) 33 ILJ 1593 (CC); 2013 (1) SA 83 (CC) (13 June 2012), paragraph 114.</w:t>
      </w:r>
    </w:p>
  </w:footnote>
  <w:footnote w:id="11">
    <w:p w14:paraId="0901150F" w14:textId="50959186" w:rsidR="006B1CEF" w:rsidRDefault="008203F5" w:rsidP="008203F5">
      <w:pPr>
        <w:pStyle w:val="Footnote"/>
        <w:jc w:val="both"/>
      </w:pPr>
      <w:r w:rsidRPr="008203F5">
        <w:rPr>
          <w:rFonts w:ascii="Arial" w:eastAsia="Arial" w:hAnsi="Arial" w:cs="Arial"/>
          <w:sz w:val="18"/>
          <w:szCs w:val="18"/>
          <w:vertAlign w:val="superscript"/>
        </w:rPr>
        <w:footnoteRef/>
      </w:r>
      <w:r w:rsidRPr="008203F5">
        <w:rPr>
          <w:rFonts w:ascii="Arial" w:eastAsia="Arial Unicode MS" w:hAnsi="Arial" w:cs="Arial"/>
          <w:sz w:val="18"/>
          <w:szCs w:val="18"/>
        </w:rPr>
        <w:t xml:space="preserve"> Paragraph 15 of the replying affidavit.</w:t>
      </w:r>
    </w:p>
  </w:footnote>
  <w:footnote w:id="12">
    <w:p w14:paraId="099190DB" w14:textId="54A5C16F" w:rsidR="006B1CEF" w:rsidRPr="008203F5" w:rsidRDefault="008203F5" w:rsidP="008203F5">
      <w:pPr>
        <w:pStyle w:val="Footnote"/>
        <w:jc w:val="both"/>
        <w:rPr>
          <w:rFonts w:ascii="Arial" w:hAnsi="Arial" w:cs="Arial"/>
        </w:rPr>
      </w:pPr>
      <w:r w:rsidRPr="008203F5">
        <w:rPr>
          <w:rFonts w:ascii="Arial" w:hAnsi="Arial" w:cs="Arial"/>
          <w:sz w:val="18"/>
          <w:szCs w:val="18"/>
          <w:vertAlign w:val="superscript"/>
        </w:rPr>
        <w:footnoteRef/>
      </w:r>
      <w:r w:rsidRPr="008203F5">
        <w:rPr>
          <w:rFonts w:ascii="Arial" w:hAnsi="Arial" w:cs="Arial"/>
          <w:sz w:val="18"/>
          <w:szCs w:val="18"/>
        </w:rPr>
        <w:t xml:space="preserve"> Natal Joint Municipal Pension Fund v Endumeni Municipality, 920/2010 [2012] ZASCA 13, paragraph 18.</w:t>
      </w:r>
    </w:p>
  </w:footnote>
  <w:footnote w:id="13">
    <w:p w14:paraId="306EE213" w14:textId="17B05EF8" w:rsidR="006B1CEF" w:rsidRDefault="008203F5" w:rsidP="008203F5">
      <w:pPr>
        <w:pStyle w:val="Footnote"/>
        <w:jc w:val="both"/>
      </w:pPr>
      <w:r w:rsidRPr="008203F5">
        <w:rPr>
          <w:rFonts w:ascii="Arial" w:eastAsia="Arial" w:hAnsi="Arial" w:cs="Arial"/>
          <w:sz w:val="18"/>
          <w:szCs w:val="18"/>
          <w:vertAlign w:val="superscript"/>
        </w:rPr>
        <w:footnoteRef/>
      </w:r>
      <w:r w:rsidRPr="008203F5">
        <w:rPr>
          <w:rFonts w:ascii="Arial" w:eastAsia="Arial Unicode MS" w:hAnsi="Arial" w:cs="Arial"/>
          <w:sz w:val="18"/>
          <w:szCs w:val="18"/>
        </w:rPr>
        <w:t xml:space="preserve"> </w:t>
      </w:r>
      <w:r w:rsidRPr="008203F5">
        <w:rPr>
          <w:rFonts w:ascii="Arial" w:hAnsi="Arial" w:cs="Arial"/>
          <w:i/>
          <w:iCs/>
          <w:sz w:val="18"/>
          <w:szCs w:val="18"/>
        </w:rPr>
        <w:t>Road Accident Fund v Mothupi</w:t>
      </w:r>
      <w:r w:rsidRPr="008203F5">
        <w:rPr>
          <w:rFonts w:ascii="Arial" w:eastAsia="Arial Unicode MS" w:hAnsi="Arial" w:cs="Arial"/>
          <w:sz w:val="18"/>
          <w:szCs w:val="18"/>
        </w:rPr>
        <w:t xml:space="preserve"> (518/98) [2000] ZASCA 27; 2000 (4) SA 38 (SCA); [2000] 3 All SA 181 (A) (29 May 2000), paragraph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B6728" w14:textId="77777777" w:rsidR="006B1CEF" w:rsidRDefault="006B1C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5962EC"/>
    <w:multiLevelType w:val="hybridMultilevel"/>
    <w:tmpl w:val="68EA4A96"/>
    <w:styleLink w:val="Lettered"/>
    <w:lvl w:ilvl="0" w:tplc="BE5675C2">
      <w:start w:val="1"/>
      <w:numFmt w:val="lowerRoman"/>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2280B0A">
      <w:start w:val="1"/>
      <w:numFmt w:val="lowerRoman"/>
      <w:lvlText w:val="(%2)"/>
      <w:lvlJc w:val="left"/>
      <w:pPr>
        <w:ind w:left="132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9A4145C">
      <w:start w:val="1"/>
      <w:numFmt w:val="lowerRoman"/>
      <w:lvlText w:val="(%3)"/>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918C558">
      <w:start w:val="1"/>
      <w:numFmt w:val="lowerRoman"/>
      <w:lvlText w:val="(%4)"/>
      <w:lvlJc w:val="left"/>
      <w:pPr>
        <w:ind w:left="204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B00CB7C">
      <w:start w:val="1"/>
      <w:numFmt w:val="lowerRoman"/>
      <w:lvlText w:val="(%5)"/>
      <w:lvlJc w:val="left"/>
      <w:pPr>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154DE14">
      <w:start w:val="1"/>
      <w:numFmt w:val="lowerRoman"/>
      <w:lvlText w:val="(%6)"/>
      <w:lvlJc w:val="left"/>
      <w:pPr>
        <w:ind w:left="276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E2A5ED0">
      <w:start w:val="1"/>
      <w:numFmt w:val="lowerRoman"/>
      <w:lvlText w:val="(%7)"/>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46824FA">
      <w:start w:val="1"/>
      <w:numFmt w:val="lowerRoman"/>
      <w:lvlText w:val="(%8)"/>
      <w:lvlJc w:val="left"/>
      <w:pPr>
        <w:ind w:left="348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A1070AA">
      <w:start w:val="1"/>
      <w:numFmt w:val="lowerRoman"/>
      <w:lvlText w:val="(%9)"/>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CED748F"/>
    <w:multiLevelType w:val="hybridMultilevel"/>
    <w:tmpl w:val="691E1F10"/>
    <w:numStyleLink w:val="Numbered"/>
  </w:abstractNum>
  <w:abstractNum w:abstractNumId="2" w15:restartNumberingAfterBreak="0">
    <w:nsid w:val="4CF51757"/>
    <w:multiLevelType w:val="hybridMultilevel"/>
    <w:tmpl w:val="149C1190"/>
    <w:lvl w:ilvl="0" w:tplc="49467164">
      <w:start w:val="1"/>
      <w:numFmt w:val="decimal"/>
      <w:lvlText w:val="%1)"/>
      <w:lvlJc w:val="left"/>
      <w:pPr>
        <w:ind w:left="878" w:hanging="518"/>
      </w:pPr>
      <w:rPr>
        <w:rFonts w:hAnsi="Arial Unicode MS"/>
        <w:caps w:val="0"/>
        <w:smallCaps w:val="0"/>
        <w:strike w:val="0"/>
        <w:dstrike w:val="0"/>
        <w:outline w:val="0"/>
        <w:emboss w:val="0"/>
        <w:imprint w:val="0"/>
        <w:spacing w:val="0"/>
        <w:w w:val="100"/>
        <w:kern w:val="0"/>
        <w:position w:val="0"/>
        <w:highlight w:val="none"/>
        <w:vertAlign w:val="baseline"/>
      </w:rPr>
    </w:lvl>
    <w:lvl w:ilvl="1" w:tplc="810083C8">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164249AC">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C2222206">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83ACEBD2">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955203C6">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FC920B82">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AF2E0B6">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2576A1A6">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A5361C9"/>
    <w:multiLevelType w:val="hybridMultilevel"/>
    <w:tmpl w:val="691E1F10"/>
    <w:styleLink w:val="Numbered"/>
    <w:lvl w:ilvl="0" w:tplc="1BACDAB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100BED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E2E61A">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8627744">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82D758">
      <w:start w:val="1"/>
      <w:numFmt w:val="decimal"/>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060646E">
      <w:start w:val="1"/>
      <w:numFmt w:val="decimal"/>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2F664DC">
      <w:start w:val="1"/>
      <w:numFmt w:val="decimal"/>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CAA0D6E">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0CCB72">
      <w:start w:val="1"/>
      <w:numFmt w:val="decimal"/>
      <w:lvlText w:val="%9."/>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FA729E4"/>
    <w:multiLevelType w:val="hybridMultilevel"/>
    <w:tmpl w:val="68EA4A96"/>
    <w:numStyleLink w:val="Lettered"/>
  </w:abstractNum>
  <w:num w:numId="1" w16cid:durableId="465512831">
    <w:abstractNumId w:val="2"/>
  </w:num>
  <w:num w:numId="2" w16cid:durableId="1819419921">
    <w:abstractNumId w:val="3"/>
  </w:num>
  <w:num w:numId="3" w16cid:durableId="966662219">
    <w:abstractNumId w:val="1"/>
  </w:num>
  <w:num w:numId="4" w16cid:durableId="721905875">
    <w:abstractNumId w:val="1"/>
    <w:lvlOverride w:ilvl="0">
      <w:lvl w:ilvl="0" w:tplc="3DBE1B86">
        <w:start w:val="1"/>
        <w:numFmt w:val="decimal"/>
        <w:lvlText w:val="%1."/>
        <w:lvlJc w:val="left"/>
        <w:pPr>
          <w:ind w:left="39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105214">
        <w:start w:val="1"/>
        <w:numFmt w:val="decimal"/>
        <w:lvlText w:val="%2."/>
        <w:lvlJc w:val="left"/>
        <w:pPr>
          <w:ind w:left="75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1480E6">
        <w:start w:val="1"/>
        <w:numFmt w:val="decimal"/>
        <w:lvlText w:val="%3."/>
        <w:lvlJc w:val="left"/>
        <w:pPr>
          <w:ind w:left="111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B2E772">
        <w:start w:val="1"/>
        <w:numFmt w:val="decimal"/>
        <w:lvlText w:val="%4."/>
        <w:lvlJc w:val="left"/>
        <w:pPr>
          <w:ind w:left="147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C451A8">
        <w:start w:val="1"/>
        <w:numFmt w:val="decimal"/>
        <w:lvlText w:val="%5."/>
        <w:lvlJc w:val="left"/>
        <w:pPr>
          <w:ind w:left="183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8A4008">
        <w:start w:val="1"/>
        <w:numFmt w:val="decimal"/>
        <w:lvlText w:val="%6."/>
        <w:lvlJc w:val="left"/>
        <w:pPr>
          <w:ind w:left="219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2E4302">
        <w:start w:val="1"/>
        <w:numFmt w:val="decimal"/>
        <w:lvlText w:val="%7."/>
        <w:lvlJc w:val="left"/>
        <w:pPr>
          <w:ind w:left="255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30EED0">
        <w:start w:val="1"/>
        <w:numFmt w:val="decimal"/>
        <w:lvlText w:val="%8."/>
        <w:lvlJc w:val="left"/>
        <w:pPr>
          <w:ind w:left="291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20F2F8">
        <w:start w:val="1"/>
        <w:numFmt w:val="decimal"/>
        <w:lvlText w:val="%9."/>
        <w:lvlJc w:val="left"/>
        <w:pPr>
          <w:ind w:left="3271" w:hanging="3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20004999">
    <w:abstractNumId w:val="0"/>
  </w:num>
  <w:num w:numId="6" w16cid:durableId="2030833494">
    <w:abstractNumId w:val="4"/>
  </w:num>
  <w:num w:numId="7" w16cid:durableId="1214317583">
    <w:abstractNumId w:val="1"/>
    <w:lvlOverride w:ilvl="0">
      <w:startOverride w:val="6"/>
      <w:lvl w:ilvl="0" w:tplc="3DBE1B86">
        <w:start w:val="6"/>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10521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31480E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B2E77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CC451A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8A400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E2E430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30EED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20F2F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EF"/>
    <w:rsid w:val="005B5065"/>
    <w:rsid w:val="00612C4F"/>
    <w:rsid w:val="006B1CEF"/>
    <w:rsid w:val="00804BD2"/>
    <w:rsid w:val="00812D6B"/>
    <w:rsid w:val="008203F5"/>
    <w:rsid w:val="00944E23"/>
    <w:rsid w:val="0099024D"/>
    <w:rsid w:val="00A27BC8"/>
    <w:rsid w:val="00CD3052"/>
    <w:rsid w:val="00E746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34F3"/>
  <w15:docId w15:val="{0C7DA667-5166-443C-91E3-3529E4F7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Numbered">
    <w:name w:val="Numbered"/>
    <w:pPr>
      <w:numPr>
        <w:numId w:val="2"/>
      </w:numPr>
    </w:pPr>
  </w:style>
  <w:style w:type="numbering" w:customStyle="1" w:styleId="Lettered">
    <w:name w:val="Lettered"/>
    <w:pPr>
      <w:numPr>
        <w:numId w:val="5"/>
      </w:numPr>
    </w:pPr>
  </w:style>
  <w:style w:type="paragraph" w:customStyle="1" w:styleId="Footnote">
    <w:name w:val="Footnote"/>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2343</Words>
  <Characters>13360</Characters>
  <Application>Microsoft Office Word</Application>
  <DocSecurity>0</DocSecurity>
  <Lines>111</Lines>
  <Paragraphs>31</Paragraphs>
  <ScaleCrop>false</ScaleCrop>
  <Company>HP Inc.</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sathish sarshan  mohan</cp:lastModifiedBy>
  <cp:revision>6</cp:revision>
  <cp:lastPrinted>2024-05-28T08:52:00Z</cp:lastPrinted>
  <dcterms:created xsi:type="dcterms:W3CDTF">2024-05-28T07:59:00Z</dcterms:created>
  <dcterms:modified xsi:type="dcterms:W3CDTF">2024-06-05T08:31:00Z</dcterms:modified>
</cp:coreProperties>
</file>