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AD4D4" w14:textId="77777777" w:rsidR="004466A8" w:rsidRPr="00B013F2" w:rsidRDefault="004466A8" w:rsidP="004466A8">
      <w:pPr>
        <w:pStyle w:val="LegalTitle"/>
        <w:spacing w:after="120" w:line="360" w:lineRule="auto"/>
        <w:rPr>
          <w:u w:val="single"/>
        </w:rPr>
      </w:pPr>
      <w:r w:rsidRPr="00B013F2">
        <w:rPr>
          <w:noProof/>
          <w:lang w:eastAsia="en-ZA"/>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B013F2" w:rsidRDefault="004466A8" w:rsidP="004466A8">
      <w:pPr>
        <w:pStyle w:val="LegalTitle"/>
        <w:spacing w:after="240" w:line="360" w:lineRule="auto"/>
        <w:rPr>
          <w:rFonts w:cs="Arial"/>
          <w:u w:val="single"/>
        </w:rPr>
      </w:pPr>
      <w:r w:rsidRPr="00B013F2">
        <w:rPr>
          <w:rFonts w:cs="Arial"/>
          <w:u w:val="single"/>
        </w:rPr>
        <w:t>IN THE HIGH COURT OF SOUTH AFRICA</w:t>
      </w:r>
    </w:p>
    <w:p w14:paraId="43592795" w14:textId="77777777" w:rsidR="00631198" w:rsidRDefault="004466A8" w:rsidP="00631198">
      <w:pPr>
        <w:pStyle w:val="LegalTitle"/>
        <w:spacing w:line="360" w:lineRule="auto"/>
        <w:rPr>
          <w:rFonts w:cs="Arial"/>
          <w:u w:val="single"/>
        </w:rPr>
      </w:pPr>
      <w:r w:rsidRPr="00B013F2">
        <w:rPr>
          <w:rFonts w:cs="Arial"/>
          <w:u w:val="single"/>
        </w:rPr>
        <w:t xml:space="preserve">GAUTENG DIVISION, </w:t>
      </w:r>
      <w:r w:rsidR="000B2477" w:rsidRPr="00B013F2">
        <w:rPr>
          <w:rFonts w:cs="Arial"/>
          <w:u w:val="single"/>
        </w:rPr>
        <w:t>PR</w:t>
      </w:r>
      <w:r w:rsidR="00E200FC" w:rsidRPr="00B013F2">
        <w:rPr>
          <w:rFonts w:cs="Arial"/>
          <w:u w:val="single"/>
        </w:rPr>
        <w:t>E</w:t>
      </w:r>
      <w:r w:rsidR="000B2477" w:rsidRPr="00B013F2">
        <w:rPr>
          <w:rFonts w:cs="Arial"/>
          <w:u w:val="single"/>
        </w:rPr>
        <w:t>TORIA</w:t>
      </w:r>
    </w:p>
    <w:p w14:paraId="1192C484" w14:textId="166019CB" w:rsidR="00310AC5" w:rsidRPr="00631198" w:rsidRDefault="00631198" w:rsidP="00631198">
      <w:pPr>
        <w:pStyle w:val="LegalTitle"/>
        <w:spacing w:line="360" w:lineRule="auto"/>
        <w:rPr>
          <w:rFonts w:cs="Arial"/>
          <w:u w:val="single"/>
        </w:rPr>
      </w:pPr>
      <w:r w:rsidRPr="00B013F2">
        <w:rPr>
          <w:rFonts w:eastAsiaTheme="minorEastAsia" w:cs="Arial"/>
          <w:noProof/>
          <w:lang w:eastAsia="en-ZA"/>
        </w:rPr>
        <mc:AlternateContent>
          <mc:Choice Requires="wps">
            <w:drawing>
              <wp:anchor distT="0" distB="0" distL="114300" distR="114300" simplePos="0" relativeHeight="251659264" behindDoc="0" locked="0" layoutInCell="1" allowOverlap="1" wp14:anchorId="7C9EE0E3" wp14:editId="08991FD0">
                <wp:simplePos x="0" y="0"/>
                <wp:positionH relativeFrom="margin">
                  <wp:posOffset>-215900</wp:posOffset>
                </wp:positionH>
                <wp:positionV relativeFrom="paragraph">
                  <wp:posOffset>497840</wp:posOffset>
                </wp:positionV>
                <wp:extent cx="4248150" cy="156845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568450"/>
                        </a:xfrm>
                        <a:prstGeom prst="rect">
                          <a:avLst/>
                        </a:prstGeom>
                        <a:solidFill>
                          <a:srgbClr val="FFFFFF"/>
                        </a:solidFill>
                        <a:ln w="9525">
                          <a:solidFill>
                            <a:srgbClr val="000000"/>
                          </a:solidFill>
                          <a:miter lim="800000"/>
                          <a:headEnd/>
                          <a:tailEnd/>
                        </a:ln>
                      </wps:spPr>
                      <wps:txbx>
                        <w:txbxContent>
                          <w:p w14:paraId="0365E8EC" w14:textId="77777777" w:rsidR="00B621CF" w:rsidRPr="00B013F2" w:rsidRDefault="00B621CF" w:rsidP="004466A8">
                            <w:pPr>
                              <w:rPr>
                                <w:rFonts w:ascii="Century Gothic" w:hAnsi="Century Gothic" w:cs="Arial"/>
                                <w:b/>
                                <w:sz w:val="20"/>
                                <w:szCs w:val="20"/>
                              </w:rPr>
                            </w:pPr>
                            <w:r w:rsidRPr="00B013F2">
                              <w:rPr>
                                <w:rFonts w:ascii="Century Gothic" w:hAnsi="Century Gothic" w:cs="Arial"/>
                                <w:b/>
                                <w:sz w:val="20"/>
                                <w:szCs w:val="20"/>
                              </w:rPr>
                              <w:t>DELETE WHICHEVER IS NOT APPLICABLE</w:t>
                            </w:r>
                          </w:p>
                          <w:p w14:paraId="77A557EF" w14:textId="0725EAEF" w:rsidR="00B621CF" w:rsidRPr="00B013F2" w:rsidRDefault="00E36AA6" w:rsidP="00E36AA6">
                            <w:pPr>
                              <w:tabs>
                                <w:tab w:val="left" w:pos="900"/>
                              </w:tabs>
                              <w:ind w:left="900" w:hanging="720"/>
                              <w:rPr>
                                <w:rFonts w:ascii="Century Gothic" w:hAnsi="Century Gothic"/>
                                <w:sz w:val="20"/>
                                <w:szCs w:val="20"/>
                              </w:rPr>
                            </w:pPr>
                            <w:r w:rsidRPr="00B013F2">
                              <w:rPr>
                                <w:rFonts w:ascii="Century Gothic" w:hAnsi="Century Gothic"/>
                                <w:sz w:val="20"/>
                                <w:szCs w:val="20"/>
                              </w:rPr>
                              <w:t>(1)</w:t>
                            </w:r>
                            <w:r w:rsidRPr="00B013F2">
                              <w:rPr>
                                <w:rFonts w:ascii="Century Gothic" w:hAnsi="Century Gothic"/>
                                <w:sz w:val="20"/>
                                <w:szCs w:val="20"/>
                              </w:rPr>
                              <w:tab/>
                            </w:r>
                            <w:r w:rsidR="00B621CF" w:rsidRPr="00B013F2">
                              <w:rPr>
                                <w:rFonts w:ascii="Century Gothic" w:hAnsi="Century Gothic"/>
                                <w:sz w:val="20"/>
                                <w:szCs w:val="20"/>
                              </w:rPr>
                              <w:t xml:space="preserve">REPORTABLE: </w:t>
                            </w:r>
                            <w:r w:rsidR="00B621CF" w:rsidRPr="00B013F2">
                              <w:rPr>
                                <w:rFonts w:ascii="Century Gothic" w:hAnsi="Century Gothic"/>
                                <w:b/>
                                <w:i/>
                                <w:sz w:val="20"/>
                                <w:szCs w:val="20"/>
                              </w:rPr>
                              <w:t>NO</w:t>
                            </w:r>
                          </w:p>
                          <w:p w14:paraId="1D2B607D" w14:textId="023A06DD" w:rsidR="00B621CF" w:rsidRPr="00B013F2" w:rsidRDefault="00E36AA6" w:rsidP="00E36AA6">
                            <w:pPr>
                              <w:tabs>
                                <w:tab w:val="left" w:pos="900"/>
                              </w:tabs>
                              <w:ind w:left="900" w:hanging="720"/>
                              <w:rPr>
                                <w:rFonts w:ascii="Century Gothic" w:hAnsi="Century Gothic"/>
                                <w:sz w:val="20"/>
                                <w:szCs w:val="20"/>
                              </w:rPr>
                            </w:pPr>
                            <w:r w:rsidRPr="00B013F2">
                              <w:rPr>
                                <w:rFonts w:ascii="Century Gothic" w:hAnsi="Century Gothic"/>
                                <w:sz w:val="20"/>
                                <w:szCs w:val="20"/>
                              </w:rPr>
                              <w:t>(2)</w:t>
                            </w:r>
                            <w:r w:rsidRPr="00B013F2">
                              <w:rPr>
                                <w:rFonts w:ascii="Century Gothic" w:hAnsi="Century Gothic"/>
                                <w:sz w:val="20"/>
                                <w:szCs w:val="20"/>
                              </w:rPr>
                              <w:tab/>
                            </w:r>
                            <w:r w:rsidR="00B621CF" w:rsidRPr="00B013F2">
                              <w:rPr>
                                <w:rFonts w:ascii="Century Gothic" w:hAnsi="Century Gothic"/>
                                <w:sz w:val="20"/>
                                <w:szCs w:val="20"/>
                              </w:rPr>
                              <w:t xml:space="preserve">OF INTEREST TO OTHER JUDGES: </w:t>
                            </w:r>
                            <w:r w:rsidR="00B621CF" w:rsidRPr="00B013F2">
                              <w:rPr>
                                <w:rFonts w:ascii="Century Gothic" w:hAnsi="Century Gothic"/>
                                <w:b/>
                                <w:i/>
                                <w:sz w:val="20"/>
                                <w:szCs w:val="20"/>
                              </w:rPr>
                              <w:t>NO</w:t>
                            </w:r>
                          </w:p>
                          <w:p w14:paraId="24216E35" w14:textId="37CE5906" w:rsidR="00B621CF" w:rsidRPr="00B013F2" w:rsidRDefault="00E36AA6" w:rsidP="00E36AA6">
                            <w:pPr>
                              <w:tabs>
                                <w:tab w:val="left" w:pos="900"/>
                              </w:tabs>
                              <w:ind w:left="900" w:hanging="720"/>
                              <w:rPr>
                                <w:rFonts w:ascii="Century Gothic" w:hAnsi="Century Gothic"/>
                                <w:sz w:val="20"/>
                                <w:szCs w:val="20"/>
                              </w:rPr>
                            </w:pPr>
                            <w:r w:rsidRPr="00B013F2">
                              <w:rPr>
                                <w:rFonts w:ascii="Century Gothic" w:hAnsi="Century Gothic"/>
                                <w:sz w:val="20"/>
                                <w:szCs w:val="20"/>
                              </w:rPr>
                              <w:t>(3)</w:t>
                            </w:r>
                            <w:r w:rsidRPr="00B013F2">
                              <w:rPr>
                                <w:rFonts w:ascii="Century Gothic" w:hAnsi="Century Gothic"/>
                                <w:sz w:val="20"/>
                                <w:szCs w:val="20"/>
                              </w:rPr>
                              <w:tab/>
                            </w:r>
                            <w:r w:rsidR="00B621CF" w:rsidRPr="00B013F2">
                              <w:rPr>
                                <w:rFonts w:ascii="Century Gothic" w:hAnsi="Century Gothic"/>
                                <w:sz w:val="20"/>
                                <w:szCs w:val="20"/>
                              </w:rPr>
                              <w:t xml:space="preserve">REVISED: </w:t>
                            </w:r>
                            <w:r w:rsidR="00980835" w:rsidRPr="00631198">
                              <w:rPr>
                                <w:rFonts w:ascii="Century Gothic" w:hAnsi="Century Gothic"/>
                                <w:b/>
                                <w:bCs/>
                                <w:i/>
                                <w:sz w:val="20"/>
                                <w:szCs w:val="20"/>
                              </w:rPr>
                              <w:t>NO</w:t>
                            </w:r>
                          </w:p>
                          <w:p w14:paraId="59AA13B6" w14:textId="6AF19CE7" w:rsidR="00631198" w:rsidRPr="00631198" w:rsidRDefault="00631198" w:rsidP="00631198">
                            <w:pPr>
                              <w:rPr>
                                <w:rFonts w:ascii="Century Gothic" w:hAnsi="Century Gothic"/>
                                <w:sz w:val="20"/>
                                <w:szCs w:val="20"/>
                              </w:rPr>
                            </w:pPr>
                          </w:p>
                          <w:p w14:paraId="248EFA67" w14:textId="060F032B" w:rsidR="00B621CF" w:rsidRPr="00B013F2" w:rsidRDefault="00B621CF" w:rsidP="004466A8">
                            <w:pPr>
                              <w:rPr>
                                <w:rFonts w:ascii="Century Gothic" w:hAnsi="Century Gothic"/>
                                <w:sz w:val="22"/>
                                <w:szCs w:val="22"/>
                              </w:rPr>
                            </w:pPr>
                            <w:r w:rsidRPr="00B013F2">
                              <w:rPr>
                                <w:rFonts w:ascii="Century Gothic" w:hAnsi="Century Gothic"/>
                                <w:sz w:val="22"/>
                                <w:szCs w:val="22"/>
                              </w:rPr>
                              <w:t xml:space="preserve">Date: </w:t>
                            </w:r>
                            <w:r w:rsidR="002D285C" w:rsidRPr="00B013F2">
                              <w:rPr>
                                <w:rFonts w:ascii="Century Gothic" w:hAnsi="Century Gothic"/>
                                <w:b/>
                                <w:i/>
                                <w:sz w:val="22"/>
                                <w:szCs w:val="22"/>
                                <w:u w:val="single"/>
                              </w:rPr>
                              <w:t xml:space="preserve"> </w:t>
                            </w:r>
                            <w:r w:rsidR="00F663D1" w:rsidRPr="00B013F2">
                              <w:rPr>
                                <w:rFonts w:ascii="Century Gothic" w:hAnsi="Century Gothic"/>
                                <w:b/>
                                <w:i/>
                                <w:sz w:val="22"/>
                                <w:szCs w:val="22"/>
                                <w:u w:val="single"/>
                              </w:rPr>
                              <w:t xml:space="preserve"> </w:t>
                            </w:r>
                            <w:r w:rsidR="00627764">
                              <w:rPr>
                                <w:rFonts w:ascii="Century Gothic" w:hAnsi="Century Gothic"/>
                                <w:b/>
                                <w:i/>
                                <w:sz w:val="22"/>
                                <w:szCs w:val="22"/>
                                <w:u w:val="single"/>
                              </w:rPr>
                              <w:t>23</w:t>
                            </w:r>
                            <w:r w:rsidR="00622405" w:rsidRPr="00B013F2">
                              <w:rPr>
                                <w:rFonts w:ascii="Century Gothic" w:hAnsi="Century Gothic"/>
                                <w:b/>
                                <w:i/>
                                <w:sz w:val="22"/>
                                <w:szCs w:val="22"/>
                                <w:u w:val="single"/>
                              </w:rPr>
                              <w:t xml:space="preserve"> </w:t>
                            </w:r>
                            <w:r w:rsidR="00F015A5">
                              <w:rPr>
                                <w:rFonts w:ascii="Century Gothic" w:hAnsi="Century Gothic"/>
                                <w:b/>
                                <w:i/>
                                <w:sz w:val="22"/>
                                <w:szCs w:val="22"/>
                                <w:u w:val="single"/>
                              </w:rPr>
                              <w:t>M</w:t>
                            </w:r>
                            <w:r w:rsidR="008A6531" w:rsidRPr="00B013F2">
                              <w:rPr>
                                <w:rFonts w:ascii="Century Gothic" w:hAnsi="Century Gothic"/>
                                <w:b/>
                                <w:i/>
                                <w:sz w:val="22"/>
                                <w:szCs w:val="22"/>
                                <w:u w:val="single"/>
                              </w:rPr>
                              <w:t>ay</w:t>
                            </w:r>
                            <w:r w:rsidR="00FA6668" w:rsidRPr="00B013F2">
                              <w:rPr>
                                <w:rFonts w:ascii="Century Gothic" w:hAnsi="Century Gothic"/>
                                <w:b/>
                                <w:i/>
                                <w:sz w:val="22"/>
                                <w:szCs w:val="22"/>
                                <w:u w:val="single"/>
                              </w:rPr>
                              <w:t xml:space="preserve"> </w:t>
                            </w:r>
                            <w:r w:rsidRPr="00B013F2">
                              <w:rPr>
                                <w:rFonts w:ascii="Century Gothic" w:hAnsi="Century Gothic"/>
                                <w:b/>
                                <w:i/>
                                <w:sz w:val="22"/>
                                <w:szCs w:val="22"/>
                                <w:u w:val="single"/>
                              </w:rPr>
                              <w:t>20</w:t>
                            </w:r>
                            <w:r w:rsidR="00F663D1" w:rsidRPr="00B013F2">
                              <w:rPr>
                                <w:rFonts w:ascii="Century Gothic" w:hAnsi="Century Gothic"/>
                                <w:b/>
                                <w:i/>
                                <w:sz w:val="22"/>
                                <w:szCs w:val="22"/>
                                <w:u w:val="single"/>
                              </w:rPr>
                              <w:t>2</w:t>
                            </w:r>
                            <w:r w:rsidR="00622405" w:rsidRPr="00B013F2">
                              <w:rPr>
                                <w:rFonts w:ascii="Century Gothic" w:hAnsi="Century Gothic"/>
                                <w:b/>
                                <w:i/>
                                <w:sz w:val="22"/>
                                <w:szCs w:val="22"/>
                                <w:u w:val="single"/>
                              </w:rPr>
                              <w:t>4</w:t>
                            </w:r>
                            <w:r w:rsidRPr="00B013F2">
                              <w:rPr>
                                <w:rFonts w:ascii="Century Gothic" w:hAnsi="Century Gothic"/>
                                <w:sz w:val="22"/>
                                <w:szCs w:val="22"/>
                              </w:rPr>
                              <w:t xml:space="preserve"> </w:t>
                            </w:r>
                            <w:r w:rsidR="00631198">
                              <w:rPr>
                                <w:rFonts w:ascii="Century Gothic" w:hAnsi="Century Gothic"/>
                                <w:sz w:val="22"/>
                                <w:szCs w:val="22"/>
                              </w:rPr>
                              <w:t xml:space="preserve">              </w:t>
                            </w:r>
                            <w:r w:rsidR="00995C9F" w:rsidRPr="00B013F2">
                              <w:rPr>
                                <w:rFonts w:ascii="Century Gothic" w:hAnsi="Century Gothic"/>
                                <w:sz w:val="22"/>
                                <w:szCs w:val="22"/>
                              </w:rPr>
                              <w:t>Signature: _</w:t>
                            </w:r>
                            <w:r w:rsidRPr="00B013F2">
                              <w:rPr>
                                <w:rFonts w:ascii="Century Gothic" w:hAnsi="Century Gothic"/>
                                <w:sz w:val="22"/>
                                <w:szCs w:val="22"/>
                              </w:rPr>
                              <w:t>________________</w:t>
                            </w:r>
                          </w:p>
                          <w:p w14:paraId="1AFCECFB" w14:textId="77777777" w:rsidR="00B621CF" w:rsidRPr="00B013F2" w:rsidRDefault="00B621CF" w:rsidP="004466A8">
                            <w:pPr>
                              <w:rPr>
                                <w:rFonts w:ascii="Century Gothic" w:hAnsi="Century Gothic"/>
                                <w:sz w:val="28"/>
                                <w:szCs w:val="28"/>
                              </w:rPr>
                            </w:pPr>
                          </w:p>
                          <w:p w14:paraId="741C0CE2" w14:textId="77777777" w:rsidR="00B621CF" w:rsidRPr="00B013F2" w:rsidRDefault="00B621CF" w:rsidP="004466A8">
                            <w:pPr>
                              <w:rPr>
                                <w:rFonts w:ascii="Century Gothic" w:hAnsi="Century Gothic"/>
                                <w:sz w:val="28"/>
                                <w:szCs w:val="28"/>
                              </w:rPr>
                            </w:pPr>
                          </w:p>
                          <w:p w14:paraId="732720AD" w14:textId="77777777" w:rsidR="00B621CF" w:rsidRPr="00B013F2" w:rsidRDefault="00B621CF" w:rsidP="004466A8">
                            <w:pPr>
                              <w:rPr>
                                <w:rFonts w:ascii="Century Gothic" w:hAnsi="Century Gothic"/>
                                <w:sz w:val="28"/>
                                <w:szCs w:val="28"/>
                              </w:rPr>
                            </w:pPr>
                          </w:p>
                          <w:p w14:paraId="3F1D8050" w14:textId="77777777" w:rsidR="00B621CF" w:rsidRPr="00B013F2" w:rsidRDefault="00B621CF" w:rsidP="004466A8">
                            <w:pPr>
                              <w:rPr>
                                <w:rFonts w:ascii="Century Gothic" w:hAnsi="Century Gothic"/>
                                <w:sz w:val="28"/>
                                <w:szCs w:val="28"/>
                              </w:rPr>
                            </w:pPr>
                          </w:p>
                          <w:p w14:paraId="69D05374" w14:textId="77777777" w:rsidR="00B621CF" w:rsidRPr="00B013F2" w:rsidRDefault="00B621CF" w:rsidP="004466A8">
                            <w:pPr>
                              <w:rPr>
                                <w:rFonts w:ascii="Century Gothic" w:hAnsi="Century Gothic"/>
                                <w:b/>
                                <w:sz w:val="18"/>
                                <w:szCs w:val="18"/>
                              </w:rPr>
                            </w:pPr>
                          </w:p>
                          <w:p w14:paraId="781E7389" w14:textId="77777777" w:rsidR="00B621CF" w:rsidRPr="00B013F2" w:rsidRDefault="00B621CF" w:rsidP="004466A8">
                            <w:pPr>
                              <w:rPr>
                                <w:rFonts w:ascii="Century Gothic" w:hAnsi="Century Gothic"/>
                                <w:b/>
                                <w:sz w:val="18"/>
                                <w:szCs w:val="18"/>
                              </w:rPr>
                            </w:pPr>
                          </w:p>
                          <w:p w14:paraId="43434C46" w14:textId="77777777" w:rsidR="00B621CF" w:rsidRPr="00B013F2" w:rsidRDefault="00B621CF" w:rsidP="004466A8">
                            <w:pPr>
                              <w:rPr>
                                <w:rFonts w:ascii="Century Gothic" w:hAnsi="Century Gothic"/>
                                <w:b/>
                                <w:sz w:val="18"/>
                                <w:szCs w:val="18"/>
                              </w:rPr>
                            </w:pPr>
                          </w:p>
                          <w:p w14:paraId="07D1FCDD" w14:textId="77777777" w:rsidR="00B621CF" w:rsidRPr="00B013F2" w:rsidRDefault="00B621CF" w:rsidP="004466A8">
                            <w:pPr>
                              <w:rPr>
                                <w:rFonts w:ascii="Century Gothic" w:hAnsi="Century Gothic"/>
                                <w:b/>
                                <w:sz w:val="18"/>
                                <w:szCs w:val="18"/>
                              </w:rPr>
                            </w:pPr>
                          </w:p>
                          <w:p w14:paraId="1DDE5F30" w14:textId="77777777" w:rsidR="00B621CF" w:rsidRPr="00B013F2" w:rsidRDefault="00B621CF" w:rsidP="004466A8">
                            <w:pPr>
                              <w:rPr>
                                <w:rFonts w:ascii="Century Gothic" w:hAnsi="Century Gothic"/>
                                <w:sz w:val="18"/>
                                <w:szCs w:val="18"/>
                              </w:rPr>
                            </w:pPr>
                            <w:r w:rsidRPr="00B013F2">
                              <w:rPr>
                                <w:rFonts w:ascii="Century Gothic" w:hAnsi="Century Gothic"/>
                                <w:sz w:val="18"/>
                                <w:szCs w:val="18"/>
                              </w:rPr>
                              <w:tab/>
                            </w:r>
                            <w:r w:rsidRPr="00B013F2">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17pt;margin-top:39.2pt;width:334.5pt;height:1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">
                <v:textbox>
                  <w:txbxContent>
                    <w:p w14:paraId="0365E8EC" w14:textId="77777777" w:rsidR="00B621CF" w:rsidRPr="00B013F2" w:rsidRDefault="00B621CF" w:rsidP="004466A8">
                      <w:pPr>
                        <w:rPr>
                          <w:rFonts w:ascii="Century Gothic" w:hAnsi="Century Gothic" w:cs="Arial"/>
                          <w:b/>
                          <w:sz w:val="20"/>
                          <w:szCs w:val="20"/>
                        </w:rPr>
                      </w:pPr>
                      <w:r w:rsidRPr="00B013F2">
                        <w:rPr>
                          <w:rFonts w:ascii="Century Gothic" w:hAnsi="Century Gothic" w:cs="Arial"/>
                          <w:b/>
                          <w:sz w:val="20"/>
                          <w:szCs w:val="20"/>
                        </w:rPr>
                        <w:t>DELETE WHICHEVER IS NOT APPLICABLE</w:t>
                      </w:r>
                    </w:p>
                    <w:p w14:paraId="77A557EF" w14:textId="0725EAEF" w:rsidR="00B621CF" w:rsidRPr="00B013F2" w:rsidRDefault="00E36AA6" w:rsidP="00E36AA6">
                      <w:pPr>
                        <w:tabs>
                          <w:tab w:val="left" w:pos="900"/>
                        </w:tabs>
                        <w:ind w:left="900" w:hanging="720"/>
                        <w:rPr>
                          <w:rFonts w:ascii="Century Gothic" w:hAnsi="Century Gothic"/>
                          <w:sz w:val="20"/>
                          <w:szCs w:val="20"/>
                        </w:rPr>
                      </w:pPr>
                      <w:r w:rsidRPr="00B013F2">
                        <w:rPr>
                          <w:rFonts w:ascii="Century Gothic" w:hAnsi="Century Gothic"/>
                          <w:sz w:val="20"/>
                          <w:szCs w:val="20"/>
                        </w:rPr>
                        <w:t>(1)</w:t>
                      </w:r>
                      <w:r w:rsidRPr="00B013F2">
                        <w:rPr>
                          <w:rFonts w:ascii="Century Gothic" w:hAnsi="Century Gothic"/>
                          <w:sz w:val="20"/>
                          <w:szCs w:val="20"/>
                        </w:rPr>
                        <w:tab/>
                      </w:r>
                      <w:r w:rsidR="00B621CF" w:rsidRPr="00B013F2">
                        <w:rPr>
                          <w:rFonts w:ascii="Century Gothic" w:hAnsi="Century Gothic"/>
                          <w:sz w:val="20"/>
                          <w:szCs w:val="20"/>
                        </w:rPr>
                        <w:t xml:space="preserve">REPORTABLE: </w:t>
                      </w:r>
                      <w:r w:rsidR="00B621CF" w:rsidRPr="00B013F2">
                        <w:rPr>
                          <w:rFonts w:ascii="Century Gothic" w:hAnsi="Century Gothic"/>
                          <w:b/>
                          <w:i/>
                          <w:sz w:val="20"/>
                          <w:szCs w:val="20"/>
                        </w:rPr>
                        <w:t>NO</w:t>
                      </w:r>
                    </w:p>
                    <w:p w14:paraId="1D2B607D" w14:textId="023A06DD" w:rsidR="00B621CF" w:rsidRPr="00B013F2" w:rsidRDefault="00E36AA6" w:rsidP="00E36AA6">
                      <w:pPr>
                        <w:tabs>
                          <w:tab w:val="left" w:pos="900"/>
                        </w:tabs>
                        <w:ind w:left="900" w:hanging="720"/>
                        <w:rPr>
                          <w:rFonts w:ascii="Century Gothic" w:hAnsi="Century Gothic"/>
                          <w:sz w:val="20"/>
                          <w:szCs w:val="20"/>
                        </w:rPr>
                      </w:pPr>
                      <w:r w:rsidRPr="00B013F2">
                        <w:rPr>
                          <w:rFonts w:ascii="Century Gothic" w:hAnsi="Century Gothic"/>
                          <w:sz w:val="20"/>
                          <w:szCs w:val="20"/>
                        </w:rPr>
                        <w:t>(2)</w:t>
                      </w:r>
                      <w:r w:rsidRPr="00B013F2">
                        <w:rPr>
                          <w:rFonts w:ascii="Century Gothic" w:hAnsi="Century Gothic"/>
                          <w:sz w:val="20"/>
                          <w:szCs w:val="20"/>
                        </w:rPr>
                        <w:tab/>
                      </w:r>
                      <w:r w:rsidR="00B621CF" w:rsidRPr="00B013F2">
                        <w:rPr>
                          <w:rFonts w:ascii="Century Gothic" w:hAnsi="Century Gothic"/>
                          <w:sz w:val="20"/>
                          <w:szCs w:val="20"/>
                        </w:rPr>
                        <w:t xml:space="preserve">OF INTEREST TO OTHER JUDGES: </w:t>
                      </w:r>
                      <w:r w:rsidR="00B621CF" w:rsidRPr="00B013F2">
                        <w:rPr>
                          <w:rFonts w:ascii="Century Gothic" w:hAnsi="Century Gothic"/>
                          <w:b/>
                          <w:i/>
                          <w:sz w:val="20"/>
                          <w:szCs w:val="20"/>
                        </w:rPr>
                        <w:t>NO</w:t>
                      </w:r>
                    </w:p>
                    <w:p w14:paraId="24216E35" w14:textId="37CE5906" w:rsidR="00B621CF" w:rsidRPr="00B013F2" w:rsidRDefault="00E36AA6" w:rsidP="00E36AA6">
                      <w:pPr>
                        <w:tabs>
                          <w:tab w:val="left" w:pos="900"/>
                        </w:tabs>
                        <w:ind w:left="900" w:hanging="720"/>
                        <w:rPr>
                          <w:rFonts w:ascii="Century Gothic" w:hAnsi="Century Gothic"/>
                          <w:sz w:val="20"/>
                          <w:szCs w:val="20"/>
                        </w:rPr>
                      </w:pPr>
                      <w:r w:rsidRPr="00B013F2">
                        <w:rPr>
                          <w:rFonts w:ascii="Century Gothic" w:hAnsi="Century Gothic"/>
                          <w:sz w:val="20"/>
                          <w:szCs w:val="20"/>
                        </w:rPr>
                        <w:t>(3)</w:t>
                      </w:r>
                      <w:r w:rsidRPr="00B013F2">
                        <w:rPr>
                          <w:rFonts w:ascii="Century Gothic" w:hAnsi="Century Gothic"/>
                          <w:sz w:val="20"/>
                          <w:szCs w:val="20"/>
                        </w:rPr>
                        <w:tab/>
                      </w:r>
                      <w:r w:rsidR="00B621CF" w:rsidRPr="00B013F2">
                        <w:rPr>
                          <w:rFonts w:ascii="Century Gothic" w:hAnsi="Century Gothic"/>
                          <w:sz w:val="20"/>
                          <w:szCs w:val="20"/>
                        </w:rPr>
                        <w:t xml:space="preserve">REVISED: </w:t>
                      </w:r>
                      <w:r w:rsidR="00980835" w:rsidRPr="00631198">
                        <w:rPr>
                          <w:rFonts w:ascii="Century Gothic" w:hAnsi="Century Gothic"/>
                          <w:b/>
                          <w:bCs/>
                          <w:i/>
                          <w:sz w:val="20"/>
                          <w:szCs w:val="20"/>
                        </w:rPr>
                        <w:t>NO</w:t>
                      </w:r>
                    </w:p>
                    <w:p w14:paraId="59AA13B6" w14:textId="6AF19CE7" w:rsidR="00631198" w:rsidRPr="00631198" w:rsidRDefault="00631198" w:rsidP="00631198">
                      <w:pPr>
                        <w:rPr>
                          <w:rFonts w:ascii="Century Gothic" w:hAnsi="Century Gothic"/>
                          <w:sz w:val="20"/>
                          <w:szCs w:val="20"/>
                        </w:rPr>
                      </w:pPr>
                    </w:p>
                    <w:p w14:paraId="248EFA67" w14:textId="060F032B" w:rsidR="00B621CF" w:rsidRPr="00B013F2" w:rsidRDefault="00B621CF" w:rsidP="004466A8">
                      <w:pPr>
                        <w:rPr>
                          <w:rFonts w:ascii="Century Gothic" w:hAnsi="Century Gothic"/>
                          <w:sz w:val="22"/>
                          <w:szCs w:val="22"/>
                        </w:rPr>
                      </w:pPr>
                      <w:r w:rsidRPr="00B013F2">
                        <w:rPr>
                          <w:rFonts w:ascii="Century Gothic" w:hAnsi="Century Gothic"/>
                          <w:sz w:val="22"/>
                          <w:szCs w:val="22"/>
                        </w:rPr>
                        <w:t xml:space="preserve">Date: </w:t>
                      </w:r>
                      <w:r w:rsidR="002D285C" w:rsidRPr="00B013F2">
                        <w:rPr>
                          <w:rFonts w:ascii="Century Gothic" w:hAnsi="Century Gothic"/>
                          <w:b/>
                          <w:i/>
                          <w:sz w:val="22"/>
                          <w:szCs w:val="22"/>
                          <w:u w:val="single"/>
                        </w:rPr>
                        <w:t xml:space="preserve"> </w:t>
                      </w:r>
                      <w:r w:rsidR="00F663D1" w:rsidRPr="00B013F2">
                        <w:rPr>
                          <w:rFonts w:ascii="Century Gothic" w:hAnsi="Century Gothic"/>
                          <w:b/>
                          <w:i/>
                          <w:sz w:val="22"/>
                          <w:szCs w:val="22"/>
                          <w:u w:val="single"/>
                        </w:rPr>
                        <w:t xml:space="preserve"> </w:t>
                      </w:r>
                      <w:r w:rsidR="00627764">
                        <w:rPr>
                          <w:rFonts w:ascii="Century Gothic" w:hAnsi="Century Gothic"/>
                          <w:b/>
                          <w:i/>
                          <w:sz w:val="22"/>
                          <w:szCs w:val="22"/>
                          <w:u w:val="single"/>
                        </w:rPr>
                        <w:t>23</w:t>
                      </w:r>
                      <w:r w:rsidR="00622405" w:rsidRPr="00B013F2">
                        <w:rPr>
                          <w:rFonts w:ascii="Century Gothic" w:hAnsi="Century Gothic"/>
                          <w:b/>
                          <w:i/>
                          <w:sz w:val="22"/>
                          <w:szCs w:val="22"/>
                          <w:u w:val="single"/>
                        </w:rPr>
                        <w:t xml:space="preserve"> </w:t>
                      </w:r>
                      <w:r w:rsidR="00F015A5">
                        <w:rPr>
                          <w:rFonts w:ascii="Century Gothic" w:hAnsi="Century Gothic"/>
                          <w:b/>
                          <w:i/>
                          <w:sz w:val="22"/>
                          <w:szCs w:val="22"/>
                          <w:u w:val="single"/>
                        </w:rPr>
                        <w:t>M</w:t>
                      </w:r>
                      <w:r w:rsidR="008A6531" w:rsidRPr="00B013F2">
                        <w:rPr>
                          <w:rFonts w:ascii="Century Gothic" w:hAnsi="Century Gothic"/>
                          <w:b/>
                          <w:i/>
                          <w:sz w:val="22"/>
                          <w:szCs w:val="22"/>
                          <w:u w:val="single"/>
                        </w:rPr>
                        <w:t>ay</w:t>
                      </w:r>
                      <w:r w:rsidR="00FA6668" w:rsidRPr="00B013F2">
                        <w:rPr>
                          <w:rFonts w:ascii="Century Gothic" w:hAnsi="Century Gothic"/>
                          <w:b/>
                          <w:i/>
                          <w:sz w:val="22"/>
                          <w:szCs w:val="22"/>
                          <w:u w:val="single"/>
                        </w:rPr>
                        <w:t xml:space="preserve"> </w:t>
                      </w:r>
                      <w:r w:rsidRPr="00B013F2">
                        <w:rPr>
                          <w:rFonts w:ascii="Century Gothic" w:hAnsi="Century Gothic"/>
                          <w:b/>
                          <w:i/>
                          <w:sz w:val="22"/>
                          <w:szCs w:val="22"/>
                          <w:u w:val="single"/>
                        </w:rPr>
                        <w:t>20</w:t>
                      </w:r>
                      <w:r w:rsidR="00F663D1" w:rsidRPr="00B013F2">
                        <w:rPr>
                          <w:rFonts w:ascii="Century Gothic" w:hAnsi="Century Gothic"/>
                          <w:b/>
                          <w:i/>
                          <w:sz w:val="22"/>
                          <w:szCs w:val="22"/>
                          <w:u w:val="single"/>
                        </w:rPr>
                        <w:t>2</w:t>
                      </w:r>
                      <w:r w:rsidR="00622405" w:rsidRPr="00B013F2">
                        <w:rPr>
                          <w:rFonts w:ascii="Century Gothic" w:hAnsi="Century Gothic"/>
                          <w:b/>
                          <w:i/>
                          <w:sz w:val="22"/>
                          <w:szCs w:val="22"/>
                          <w:u w:val="single"/>
                        </w:rPr>
                        <w:t>4</w:t>
                      </w:r>
                      <w:r w:rsidRPr="00B013F2">
                        <w:rPr>
                          <w:rFonts w:ascii="Century Gothic" w:hAnsi="Century Gothic"/>
                          <w:sz w:val="22"/>
                          <w:szCs w:val="22"/>
                        </w:rPr>
                        <w:t xml:space="preserve"> </w:t>
                      </w:r>
                      <w:r w:rsidR="00631198">
                        <w:rPr>
                          <w:rFonts w:ascii="Century Gothic" w:hAnsi="Century Gothic"/>
                          <w:sz w:val="22"/>
                          <w:szCs w:val="22"/>
                        </w:rPr>
                        <w:t xml:space="preserve">              </w:t>
                      </w:r>
                      <w:r w:rsidR="00995C9F" w:rsidRPr="00B013F2">
                        <w:rPr>
                          <w:rFonts w:ascii="Century Gothic" w:hAnsi="Century Gothic"/>
                          <w:sz w:val="22"/>
                          <w:szCs w:val="22"/>
                        </w:rPr>
                        <w:t>Signature: _</w:t>
                      </w:r>
                      <w:r w:rsidRPr="00B013F2">
                        <w:rPr>
                          <w:rFonts w:ascii="Century Gothic" w:hAnsi="Century Gothic"/>
                          <w:sz w:val="22"/>
                          <w:szCs w:val="22"/>
                        </w:rPr>
                        <w:t>________________</w:t>
                      </w:r>
                    </w:p>
                    <w:p w14:paraId="1AFCECFB" w14:textId="77777777" w:rsidR="00B621CF" w:rsidRPr="00B013F2" w:rsidRDefault="00B621CF" w:rsidP="004466A8">
                      <w:pPr>
                        <w:rPr>
                          <w:rFonts w:ascii="Century Gothic" w:hAnsi="Century Gothic"/>
                          <w:sz w:val="28"/>
                          <w:szCs w:val="28"/>
                        </w:rPr>
                      </w:pPr>
                    </w:p>
                    <w:p w14:paraId="741C0CE2" w14:textId="77777777" w:rsidR="00B621CF" w:rsidRPr="00B013F2" w:rsidRDefault="00B621CF" w:rsidP="004466A8">
                      <w:pPr>
                        <w:rPr>
                          <w:rFonts w:ascii="Century Gothic" w:hAnsi="Century Gothic"/>
                          <w:sz w:val="28"/>
                          <w:szCs w:val="28"/>
                        </w:rPr>
                      </w:pPr>
                    </w:p>
                    <w:p w14:paraId="732720AD" w14:textId="77777777" w:rsidR="00B621CF" w:rsidRPr="00B013F2" w:rsidRDefault="00B621CF" w:rsidP="004466A8">
                      <w:pPr>
                        <w:rPr>
                          <w:rFonts w:ascii="Century Gothic" w:hAnsi="Century Gothic"/>
                          <w:sz w:val="28"/>
                          <w:szCs w:val="28"/>
                        </w:rPr>
                      </w:pPr>
                    </w:p>
                    <w:p w14:paraId="3F1D8050" w14:textId="77777777" w:rsidR="00B621CF" w:rsidRPr="00B013F2" w:rsidRDefault="00B621CF" w:rsidP="004466A8">
                      <w:pPr>
                        <w:rPr>
                          <w:rFonts w:ascii="Century Gothic" w:hAnsi="Century Gothic"/>
                          <w:sz w:val="28"/>
                          <w:szCs w:val="28"/>
                        </w:rPr>
                      </w:pPr>
                    </w:p>
                    <w:p w14:paraId="69D05374" w14:textId="77777777" w:rsidR="00B621CF" w:rsidRPr="00B013F2" w:rsidRDefault="00B621CF" w:rsidP="004466A8">
                      <w:pPr>
                        <w:rPr>
                          <w:rFonts w:ascii="Century Gothic" w:hAnsi="Century Gothic"/>
                          <w:b/>
                          <w:sz w:val="18"/>
                          <w:szCs w:val="18"/>
                        </w:rPr>
                      </w:pPr>
                    </w:p>
                    <w:p w14:paraId="781E7389" w14:textId="77777777" w:rsidR="00B621CF" w:rsidRPr="00B013F2" w:rsidRDefault="00B621CF" w:rsidP="004466A8">
                      <w:pPr>
                        <w:rPr>
                          <w:rFonts w:ascii="Century Gothic" w:hAnsi="Century Gothic"/>
                          <w:b/>
                          <w:sz w:val="18"/>
                          <w:szCs w:val="18"/>
                        </w:rPr>
                      </w:pPr>
                    </w:p>
                    <w:p w14:paraId="43434C46" w14:textId="77777777" w:rsidR="00B621CF" w:rsidRPr="00B013F2" w:rsidRDefault="00B621CF" w:rsidP="004466A8">
                      <w:pPr>
                        <w:rPr>
                          <w:rFonts w:ascii="Century Gothic" w:hAnsi="Century Gothic"/>
                          <w:b/>
                          <w:sz w:val="18"/>
                          <w:szCs w:val="18"/>
                        </w:rPr>
                      </w:pPr>
                    </w:p>
                    <w:p w14:paraId="07D1FCDD" w14:textId="77777777" w:rsidR="00B621CF" w:rsidRPr="00B013F2" w:rsidRDefault="00B621CF" w:rsidP="004466A8">
                      <w:pPr>
                        <w:rPr>
                          <w:rFonts w:ascii="Century Gothic" w:hAnsi="Century Gothic"/>
                          <w:b/>
                          <w:sz w:val="18"/>
                          <w:szCs w:val="18"/>
                        </w:rPr>
                      </w:pPr>
                    </w:p>
                    <w:p w14:paraId="1DDE5F30" w14:textId="77777777" w:rsidR="00B621CF" w:rsidRPr="00B013F2" w:rsidRDefault="00B621CF" w:rsidP="004466A8">
                      <w:pPr>
                        <w:rPr>
                          <w:rFonts w:ascii="Century Gothic" w:hAnsi="Century Gothic"/>
                          <w:sz w:val="18"/>
                          <w:szCs w:val="18"/>
                        </w:rPr>
                      </w:pPr>
                      <w:r w:rsidRPr="00B013F2">
                        <w:rPr>
                          <w:rFonts w:ascii="Century Gothic" w:hAnsi="Century Gothic"/>
                          <w:sz w:val="18"/>
                          <w:szCs w:val="18"/>
                        </w:rPr>
                        <w:tab/>
                      </w:r>
                      <w:r w:rsidRPr="00B013F2">
                        <w:rPr>
                          <w:rFonts w:ascii="Century Gothic" w:hAnsi="Century Gothic"/>
                          <w:sz w:val="18"/>
                          <w:szCs w:val="18"/>
                        </w:rPr>
                        <w:tab/>
                      </w:r>
                    </w:p>
                  </w:txbxContent>
                </v:textbox>
                <w10:wrap anchorx="margin"/>
              </v:shape>
            </w:pict>
          </mc:Fallback>
        </mc:AlternateContent>
      </w:r>
      <w:r w:rsidRPr="00631198">
        <w:rPr>
          <w:rFonts w:cs="Arial"/>
        </w:rPr>
        <w:t xml:space="preserve">                                                                                             </w:t>
      </w:r>
      <w:r>
        <w:rPr>
          <w:rFonts w:cs="Arial"/>
        </w:rPr>
        <w:t xml:space="preserve">     </w:t>
      </w:r>
      <w:r w:rsidR="00310AC5" w:rsidRPr="00B013F2">
        <w:t>CASE</w:t>
      </w:r>
      <w:r w:rsidR="00917D26" w:rsidRPr="00B013F2">
        <w:t xml:space="preserve"> </w:t>
      </w:r>
      <w:r w:rsidR="00310AC5" w:rsidRPr="00B013F2">
        <w:t>NO</w:t>
      </w:r>
      <w:r w:rsidR="008370EB" w:rsidRPr="00B013F2">
        <w:t>:</w:t>
      </w:r>
      <w:r w:rsidR="00515C92" w:rsidRPr="00B013F2">
        <w:t xml:space="preserve"> </w:t>
      </w:r>
      <w:r w:rsidR="00995720">
        <w:t>00</w:t>
      </w:r>
      <w:r w:rsidR="005427A8">
        <w:t>6</w:t>
      </w:r>
      <w:r w:rsidR="00C9137F">
        <w:t>0</w:t>
      </w:r>
      <w:r w:rsidR="00A276A4">
        <w:t>9</w:t>
      </w:r>
      <w:r w:rsidR="005427A8">
        <w:t>7</w:t>
      </w:r>
      <w:r w:rsidR="0012567F">
        <w:t>/</w:t>
      </w:r>
      <w:r w:rsidR="00BD770B">
        <w:t>2022</w:t>
      </w:r>
    </w:p>
    <w:p w14:paraId="2D828AC7" w14:textId="46894702" w:rsidR="007C0412" w:rsidRPr="00B013F2" w:rsidRDefault="007C0412" w:rsidP="00310AC5">
      <w:pPr>
        <w:pStyle w:val="LegalNormal"/>
        <w:rPr>
          <w:b/>
        </w:rPr>
      </w:pP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002D17B2" w:rsidRPr="00B013F2">
        <w:rPr>
          <w:b/>
        </w:rPr>
        <w:t xml:space="preserve"> </w:t>
      </w:r>
      <w:r w:rsidR="0074084B" w:rsidRPr="00B013F2">
        <w:rPr>
          <w:b/>
        </w:rPr>
        <w:tab/>
      </w:r>
    </w:p>
    <w:p w14:paraId="43854107" w14:textId="72D3E226" w:rsidR="00117E26" w:rsidRPr="00B013F2" w:rsidRDefault="00DD3DB7" w:rsidP="00310AC5">
      <w:pPr>
        <w:pStyle w:val="LegalNormal"/>
      </w:pP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r>
      <w:r w:rsidRPr="00B013F2">
        <w:rPr>
          <w:b/>
        </w:rPr>
        <w:tab/>
        <w:t xml:space="preserve">   </w:t>
      </w:r>
    </w:p>
    <w:p w14:paraId="1EAC4D5C" w14:textId="1427E2F5" w:rsidR="00631198" w:rsidRDefault="00631198" w:rsidP="00310AC5">
      <w:pPr>
        <w:pStyle w:val="LegalNormal"/>
      </w:pPr>
    </w:p>
    <w:p w14:paraId="4689B533" w14:textId="2A8DD836" w:rsidR="00310AC5" w:rsidRPr="00B013F2" w:rsidRDefault="00310AC5" w:rsidP="00310AC5">
      <w:pPr>
        <w:pStyle w:val="LegalNormal"/>
        <w:rPr>
          <w:b/>
        </w:rPr>
      </w:pPr>
      <w:r w:rsidRPr="00B013F2">
        <w:t>In the matter between:</w:t>
      </w:r>
    </w:p>
    <w:p w14:paraId="1332B976" w14:textId="6381089E" w:rsidR="00FB204E" w:rsidRDefault="00A276A4" w:rsidP="005F4150">
      <w:pPr>
        <w:spacing w:line="480" w:lineRule="auto"/>
        <w:rPr>
          <w:rFonts w:eastAsia="Calibri" w:cs="Arial"/>
          <w:lang w:eastAsia="en-ZA"/>
        </w:rPr>
      </w:pPr>
      <w:r>
        <w:rPr>
          <w:rFonts w:eastAsia="Calibri" w:cs="Arial"/>
          <w:b/>
          <w:bCs/>
          <w:lang w:eastAsia="en-ZA"/>
        </w:rPr>
        <w:t>T</w:t>
      </w:r>
      <w:r w:rsidR="00397BAC">
        <w:rPr>
          <w:rFonts w:eastAsia="Calibri" w:cs="Arial"/>
          <w:b/>
          <w:bCs/>
          <w:lang w:eastAsia="en-ZA"/>
        </w:rPr>
        <w:t>C SMELTERS</w:t>
      </w:r>
      <w:r w:rsidR="00AB5FF6">
        <w:rPr>
          <w:rFonts w:eastAsia="Calibri" w:cs="Arial"/>
          <w:b/>
          <w:bCs/>
          <w:lang w:eastAsia="en-ZA"/>
        </w:rPr>
        <w:t xml:space="preserve"> </w:t>
      </w:r>
      <w:r w:rsidR="00AB5FF6" w:rsidRPr="00FB204E">
        <w:rPr>
          <w:rFonts w:eastAsia="Calibri" w:cs="Arial"/>
          <w:b/>
          <w:bCs/>
          <w:lang w:eastAsia="en-ZA"/>
        </w:rPr>
        <w:t>(</w:t>
      </w:r>
      <w:r w:rsidR="00C03437">
        <w:rPr>
          <w:rFonts w:eastAsia="Calibri" w:cs="Arial"/>
          <w:b/>
          <w:bCs/>
          <w:lang w:eastAsia="en-ZA"/>
        </w:rPr>
        <w:t>PTY) LTD</w:t>
      </w:r>
      <w:r w:rsidR="00C03437">
        <w:rPr>
          <w:rFonts w:eastAsia="Calibri" w:cs="Arial"/>
          <w:b/>
          <w:bCs/>
          <w:lang w:eastAsia="en-ZA"/>
        </w:rPr>
        <w:tab/>
      </w:r>
      <w:r w:rsidR="00C03437">
        <w:rPr>
          <w:rFonts w:eastAsia="Calibri" w:cs="Arial"/>
          <w:b/>
          <w:bCs/>
          <w:lang w:eastAsia="en-ZA"/>
        </w:rPr>
        <w:tab/>
      </w:r>
      <w:r w:rsidR="00C03437">
        <w:rPr>
          <w:rFonts w:eastAsia="Calibri" w:cs="Arial"/>
          <w:b/>
          <w:bCs/>
          <w:lang w:eastAsia="en-ZA"/>
        </w:rPr>
        <w:tab/>
      </w:r>
      <w:r w:rsidR="00C03437">
        <w:rPr>
          <w:rFonts w:eastAsia="Calibri" w:cs="Arial"/>
          <w:b/>
          <w:bCs/>
          <w:lang w:eastAsia="en-ZA"/>
        </w:rPr>
        <w:tab/>
      </w:r>
      <w:r w:rsidR="00C03437">
        <w:rPr>
          <w:rFonts w:eastAsia="Calibri" w:cs="Arial"/>
          <w:b/>
          <w:bCs/>
          <w:lang w:eastAsia="en-ZA"/>
        </w:rPr>
        <w:tab/>
      </w:r>
      <w:r w:rsidR="00C03437">
        <w:rPr>
          <w:rFonts w:eastAsia="Calibri" w:cs="Arial"/>
          <w:b/>
          <w:bCs/>
          <w:lang w:eastAsia="en-ZA"/>
        </w:rPr>
        <w:tab/>
      </w:r>
      <w:r w:rsidR="00C03437">
        <w:rPr>
          <w:rFonts w:eastAsia="Calibri" w:cs="Arial"/>
          <w:b/>
          <w:bCs/>
          <w:lang w:eastAsia="en-ZA"/>
        </w:rPr>
        <w:tab/>
      </w:r>
      <w:r w:rsidR="008A6E03" w:rsidRPr="005F4150">
        <w:rPr>
          <w:rFonts w:eastAsia="Calibri" w:cs="Arial"/>
          <w:lang w:eastAsia="en-ZA"/>
        </w:rPr>
        <w:t>1</w:t>
      </w:r>
      <w:r w:rsidR="005F4150" w:rsidRPr="005F4150">
        <w:rPr>
          <w:rFonts w:eastAsia="Calibri" w:cs="Arial"/>
          <w:vertAlign w:val="superscript"/>
          <w:lang w:eastAsia="en-ZA"/>
        </w:rPr>
        <w:t>st</w:t>
      </w:r>
      <w:r w:rsidR="005F4150" w:rsidRPr="005F4150">
        <w:rPr>
          <w:rFonts w:eastAsia="Calibri" w:cs="Arial"/>
          <w:lang w:eastAsia="en-ZA"/>
        </w:rPr>
        <w:t xml:space="preserve"> </w:t>
      </w:r>
      <w:r w:rsidR="00C03437" w:rsidRPr="00C03437">
        <w:rPr>
          <w:rFonts w:eastAsia="Calibri" w:cs="Arial"/>
          <w:lang w:eastAsia="en-ZA"/>
        </w:rPr>
        <w:t>Applicant</w:t>
      </w:r>
    </w:p>
    <w:p w14:paraId="3BACBB35" w14:textId="0801927B" w:rsidR="00AB5FF6" w:rsidRPr="00631198" w:rsidRDefault="008A6E03" w:rsidP="00631198">
      <w:pPr>
        <w:spacing w:line="480" w:lineRule="auto"/>
        <w:rPr>
          <w:rFonts w:eastAsia="Calibri" w:cs="Arial"/>
          <w:lang w:eastAsia="en-ZA"/>
        </w:rPr>
      </w:pPr>
      <w:r>
        <w:rPr>
          <w:rFonts w:eastAsia="Calibri" w:cs="Arial"/>
          <w:b/>
          <w:bCs/>
          <w:lang w:eastAsia="en-ZA"/>
        </w:rPr>
        <w:t>SAMANCOR CHROME LIMITED</w:t>
      </w:r>
      <w:r>
        <w:rPr>
          <w:rFonts w:eastAsia="Calibri" w:cs="Arial"/>
          <w:b/>
          <w:bCs/>
          <w:lang w:eastAsia="en-ZA"/>
        </w:rPr>
        <w:tab/>
      </w:r>
      <w:r>
        <w:rPr>
          <w:rFonts w:eastAsia="Calibri" w:cs="Arial"/>
          <w:b/>
          <w:bCs/>
          <w:lang w:eastAsia="en-ZA"/>
        </w:rPr>
        <w:tab/>
      </w:r>
      <w:r>
        <w:rPr>
          <w:rFonts w:eastAsia="Calibri" w:cs="Arial"/>
          <w:b/>
          <w:bCs/>
          <w:lang w:eastAsia="en-ZA"/>
        </w:rPr>
        <w:tab/>
      </w:r>
      <w:r>
        <w:rPr>
          <w:rFonts w:eastAsia="Calibri" w:cs="Arial"/>
          <w:b/>
          <w:bCs/>
          <w:lang w:eastAsia="en-ZA"/>
        </w:rPr>
        <w:tab/>
      </w:r>
      <w:r>
        <w:rPr>
          <w:rFonts w:eastAsia="Calibri" w:cs="Arial"/>
          <w:b/>
          <w:bCs/>
          <w:lang w:eastAsia="en-ZA"/>
        </w:rPr>
        <w:tab/>
      </w:r>
      <w:r>
        <w:rPr>
          <w:rFonts w:eastAsia="Calibri" w:cs="Arial"/>
          <w:b/>
          <w:bCs/>
          <w:lang w:eastAsia="en-ZA"/>
        </w:rPr>
        <w:tab/>
      </w:r>
      <w:r>
        <w:rPr>
          <w:rFonts w:eastAsia="Calibri" w:cs="Arial"/>
          <w:b/>
          <w:bCs/>
          <w:lang w:eastAsia="en-ZA"/>
        </w:rPr>
        <w:tab/>
      </w:r>
      <w:r w:rsidR="005F4150" w:rsidRPr="005F4150">
        <w:rPr>
          <w:rFonts w:eastAsia="Calibri" w:cs="Arial"/>
          <w:lang w:eastAsia="en-ZA"/>
        </w:rPr>
        <w:t>2</w:t>
      </w:r>
      <w:r w:rsidR="005F4150" w:rsidRPr="005F4150">
        <w:rPr>
          <w:rFonts w:eastAsia="Calibri" w:cs="Arial"/>
          <w:vertAlign w:val="superscript"/>
          <w:lang w:eastAsia="en-ZA"/>
        </w:rPr>
        <w:t>nd</w:t>
      </w:r>
      <w:r w:rsidR="005F4150" w:rsidRPr="005F4150">
        <w:rPr>
          <w:rFonts w:eastAsia="Calibri" w:cs="Arial"/>
          <w:lang w:eastAsia="en-ZA"/>
        </w:rPr>
        <w:t xml:space="preserve"> </w:t>
      </w:r>
      <w:r>
        <w:rPr>
          <w:rFonts w:eastAsia="Calibri" w:cs="Arial"/>
          <w:lang w:eastAsia="en-ZA"/>
        </w:rPr>
        <w:t>Applicant</w:t>
      </w:r>
    </w:p>
    <w:p w14:paraId="3C26A99E" w14:textId="140C6C8B" w:rsidR="00815432" w:rsidRDefault="00C03437" w:rsidP="00FA6668">
      <w:pPr>
        <w:pStyle w:val="LegalNormal"/>
        <w:spacing w:line="276" w:lineRule="auto"/>
        <w:rPr>
          <w:bCs/>
        </w:rPr>
      </w:pPr>
      <w:r w:rsidRPr="00B013F2">
        <w:rPr>
          <w:bCs/>
        </w:rPr>
        <w:t>A</w:t>
      </w:r>
      <w:r w:rsidR="00FD669E" w:rsidRPr="00B013F2">
        <w:rPr>
          <w:bCs/>
        </w:rPr>
        <w:t>nd</w:t>
      </w:r>
    </w:p>
    <w:p w14:paraId="7B917633" w14:textId="77777777" w:rsidR="00AB37F9" w:rsidRDefault="00DC119E" w:rsidP="00AB37F9">
      <w:pPr>
        <w:pStyle w:val="LegalNormal"/>
        <w:spacing w:line="360" w:lineRule="auto"/>
        <w:rPr>
          <w:b/>
        </w:rPr>
      </w:pPr>
      <w:r>
        <w:rPr>
          <w:b/>
        </w:rPr>
        <w:t>THE MI</w:t>
      </w:r>
      <w:r w:rsidR="00AB5FF6">
        <w:rPr>
          <w:b/>
        </w:rPr>
        <w:t>N</w:t>
      </w:r>
      <w:r>
        <w:rPr>
          <w:b/>
        </w:rPr>
        <w:t>ISTER: D</w:t>
      </w:r>
      <w:r w:rsidR="00AB5FF6">
        <w:rPr>
          <w:b/>
        </w:rPr>
        <w:t>E</w:t>
      </w:r>
      <w:r>
        <w:rPr>
          <w:b/>
        </w:rPr>
        <w:t>P</w:t>
      </w:r>
      <w:r w:rsidR="00AB5FF6">
        <w:rPr>
          <w:b/>
        </w:rPr>
        <w:t>AR</w:t>
      </w:r>
      <w:r w:rsidR="00816484">
        <w:rPr>
          <w:b/>
        </w:rPr>
        <w:t xml:space="preserve">TMENT OF MINERAL </w:t>
      </w:r>
    </w:p>
    <w:p w14:paraId="4597C595" w14:textId="693A3A72" w:rsidR="00C03437" w:rsidRDefault="00816484" w:rsidP="00AB37F9">
      <w:pPr>
        <w:pStyle w:val="LegalNormal"/>
        <w:spacing w:line="360" w:lineRule="auto"/>
        <w:rPr>
          <w:bCs/>
        </w:rPr>
      </w:pPr>
      <w:r>
        <w:rPr>
          <w:b/>
        </w:rPr>
        <w:t>RESOURCES AND ENERGY</w:t>
      </w:r>
      <w:r w:rsidR="00AB5FF6">
        <w:rPr>
          <w:b/>
        </w:rPr>
        <w:tab/>
      </w:r>
      <w:r w:rsidR="00AB5FF6">
        <w:rPr>
          <w:b/>
        </w:rPr>
        <w:tab/>
      </w:r>
      <w:r w:rsidR="00AB5FF6">
        <w:rPr>
          <w:b/>
        </w:rPr>
        <w:tab/>
      </w:r>
      <w:r w:rsidR="00AB5FF6">
        <w:rPr>
          <w:b/>
        </w:rPr>
        <w:tab/>
      </w:r>
      <w:r w:rsidR="009A6B5B">
        <w:rPr>
          <w:b/>
        </w:rPr>
        <w:tab/>
      </w:r>
      <w:r w:rsidR="009A6B5B">
        <w:rPr>
          <w:b/>
        </w:rPr>
        <w:tab/>
      </w:r>
      <w:r w:rsidR="00A1206C" w:rsidRPr="00A1206C">
        <w:rPr>
          <w:bCs/>
        </w:rPr>
        <w:t>1</w:t>
      </w:r>
      <w:r w:rsidR="00A1206C" w:rsidRPr="00A1206C">
        <w:rPr>
          <w:bCs/>
          <w:vertAlign w:val="superscript"/>
        </w:rPr>
        <w:t>st</w:t>
      </w:r>
      <w:r w:rsidR="00A1206C" w:rsidRPr="00A1206C">
        <w:rPr>
          <w:bCs/>
        </w:rPr>
        <w:t xml:space="preserve"> </w:t>
      </w:r>
      <w:r w:rsidR="009A6B5B" w:rsidRPr="009A6B5B">
        <w:rPr>
          <w:bCs/>
        </w:rPr>
        <w:t>R</w:t>
      </w:r>
      <w:r w:rsidR="009A6B5B">
        <w:rPr>
          <w:bCs/>
        </w:rPr>
        <w:t>espondent</w:t>
      </w:r>
    </w:p>
    <w:p w14:paraId="7CB47A20" w14:textId="77777777" w:rsidR="00D34BFC" w:rsidRDefault="00D821B6" w:rsidP="00D34BFC">
      <w:pPr>
        <w:pStyle w:val="LegalNormal"/>
        <w:spacing w:after="0" w:line="360" w:lineRule="auto"/>
        <w:rPr>
          <w:b/>
        </w:rPr>
      </w:pPr>
      <w:r>
        <w:rPr>
          <w:b/>
        </w:rPr>
        <w:t>C</w:t>
      </w:r>
      <w:r w:rsidR="00CC6358">
        <w:rPr>
          <w:b/>
        </w:rPr>
        <w:t xml:space="preserve">HIEF </w:t>
      </w:r>
      <w:r>
        <w:rPr>
          <w:b/>
        </w:rPr>
        <w:t>I</w:t>
      </w:r>
      <w:r w:rsidR="00CC6358">
        <w:rPr>
          <w:b/>
        </w:rPr>
        <w:t xml:space="preserve">NSPECTOR </w:t>
      </w:r>
      <w:r>
        <w:rPr>
          <w:b/>
        </w:rPr>
        <w:t>O</w:t>
      </w:r>
      <w:r w:rsidR="00CC6358">
        <w:rPr>
          <w:b/>
        </w:rPr>
        <w:t>F M</w:t>
      </w:r>
      <w:r>
        <w:rPr>
          <w:b/>
        </w:rPr>
        <w:t>IN</w:t>
      </w:r>
      <w:r w:rsidR="00CC6358">
        <w:rPr>
          <w:b/>
        </w:rPr>
        <w:t>E</w:t>
      </w:r>
      <w:r>
        <w:rPr>
          <w:b/>
        </w:rPr>
        <w:t>S</w:t>
      </w:r>
      <w:r w:rsidR="00CC6358">
        <w:rPr>
          <w:b/>
        </w:rPr>
        <w:t xml:space="preserve">: </w:t>
      </w:r>
      <w:r w:rsidR="00337A0E">
        <w:rPr>
          <w:b/>
        </w:rPr>
        <w:t>D</w:t>
      </w:r>
      <w:r w:rsidR="00CC6358">
        <w:rPr>
          <w:b/>
        </w:rPr>
        <w:t xml:space="preserve">EPARTMENT OF </w:t>
      </w:r>
    </w:p>
    <w:p w14:paraId="0337F1E5" w14:textId="32BE28EB" w:rsidR="00260D8E" w:rsidRDefault="00CC6358" w:rsidP="00B2312E">
      <w:pPr>
        <w:pStyle w:val="LegalNormal"/>
        <w:spacing w:line="360" w:lineRule="auto"/>
        <w:rPr>
          <w:bCs/>
        </w:rPr>
      </w:pPr>
      <w:r>
        <w:rPr>
          <w:b/>
        </w:rPr>
        <w:t>MINERAL RE</w:t>
      </w:r>
      <w:r w:rsidR="004F11D6">
        <w:rPr>
          <w:b/>
        </w:rPr>
        <w:t>SOURCES AND ENERGY</w:t>
      </w:r>
      <w:r w:rsidR="00260D8E">
        <w:rPr>
          <w:bCs/>
        </w:rPr>
        <w:tab/>
      </w:r>
      <w:r w:rsidR="00260D8E">
        <w:rPr>
          <w:bCs/>
        </w:rPr>
        <w:tab/>
      </w:r>
      <w:r w:rsidR="00260D8E">
        <w:rPr>
          <w:bCs/>
        </w:rPr>
        <w:tab/>
      </w:r>
      <w:r w:rsidR="00260D8E">
        <w:rPr>
          <w:bCs/>
        </w:rPr>
        <w:tab/>
        <w:t>2</w:t>
      </w:r>
      <w:r w:rsidR="00260D8E" w:rsidRPr="00260D8E">
        <w:rPr>
          <w:bCs/>
          <w:vertAlign w:val="superscript"/>
        </w:rPr>
        <w:t>nd</w:t>
      </w:r>
      <w:r w:rsidR="00260D8E">
        <w:rPr>
          <w:bCs/>
        </w:rPr>
        <w:t xml:space="preserve"> </w:t>
      </w:r>
      <w:r w:rsidR="00D21C78">
        <w:rPr>
          <w:bCs/>
        </w:rPr>
        <w:t>Respondent</w:t>
      </w:r>
    </w:p>
    <w:p w14:paraId="2B3621F7" w14:textId="3075CD5F" w:rsidR="00D34BFC" w:rsidRDefault="00B2312E" w:rsidP="00B2312E">
      <w:pPr>
        <w:pStyle w:val="LegalNormal"/>
        <w:spacing w:line="360" w:lineRule="auto"/>
        <w:rPr>
          <w:bCs/>
        </w:rPr>
      </w:pPr>
      <w:r w:rsidRPr="00B2312E">
        <w:rPr>
          <w:b/>
        </w:rPr>
        <w:lastRenderedPageBreak/>
        <w:t>P</w:t>
      </w:r>
      <w:r>
        <w:rPr>
          <w:b/>
        </w:rPr>
        <w:t>RINCIPAL INSPECTOR OF MINES</w:t>
      </w:r>
      <w:r w:rsidR="00DF4E1A">
        <w:rPr>
          <w:b/>
        </w:rPr>
        <w:t xml:space="preserve">: </w:t>
      </w:r>
      <w:r w:rsidR="00D319A5">
        <w:rPr>
          <w:b/>
        </w:rPr>
        <w:t>NORTH-WEST</w:t>
      </w:r>
      <w:r w:rsidR="00DF4E1A">
        <w:rPr>
          <w:b/>
        </w:rPr>
        <w:t xml:space="preserve"> REGIO</w:t>
      </w:r>
      <w:r w:rsidR="00D319A5">
        <w:rPr>
          <w:b/>
        </w:rPr>
        <w:t>N</w:t>
      </w:r>
      <w:r w:rsidR="00664B42">
        <w:rPr>
          <w:b/>
        </w:rPr>
        <w:tab/>
      </w:r>
      <w:r w:rsidR="00664B42" w:rsidRPr="00664B42">
        <w:rPr>
          <w:bCs/>
        </w:rPr>
        <w:t>3</w:t>
      </w:r>
      <w:r w:rsidR="00664B42">
        <w:rPr>
          <w:bCs/>
        </w:rPr>
        <w:t>rd Respondent</w:t>
      </w:r>
    </w:p>
    <w:p w14:paraId="6F3D7630" w14:textId="59412D46" w:rsidR="00D319A5" w:rsidRDefault="008D5EE6" w:rsidP="00B2312E">
      <w:pPr>
        <w:pStyle w:val="LegalNormal"/>
        <w:spacing w:line="360" w:lineRule="auto"/>
        <w:rPr>
          <w:bCs/>
        </w:rPr>
      </w:pPr>
      <w:r w:rsidRPr="008D5EE6">
        <w:rPr>
          <w:b/>
        </w:rPr>
        <w:t>MINISTER OF EMPLOYMENT AND LABOUR N.O.</w:t>
      </w:r>
      <w:r>
        <w:rPr>
          <w:b/>
        </w:rPr>
        <w:tab/>
      </w:r>
      <w:r>
        <w:rPr>
          <w:b/>
        </w:rPr>
        <w:tab/>
      </w:r>
      <w:r>
        <w:rPr>
          <w:b/>
        </w:rPr>
        <w:tab/>
      </w:r>
      <w:r>
        <w:rPr>
          <w:bCs/>
        </w:rPr>
        <w:t>4th</w:t>
      </w:r>
      <w:r w:rsidR="00C967D3">
        <w:rPr>
          <w:bCs/>
        </w:rPr>
        <w:t xml:space="preserve"> Respondent</w:t>
      </w:r>
    </w:p>
    <w:p w14:paraId="30F4E0D0" w14:textId="032D3678" w:rsidR="00C967D3" w:rsidRPr="00A0133E" w:rsidRDefault="00A12848" w:rsidP="00A0133E">
      <w:pPr>
        <w:pStyle w:val="LegalNormal"/>
        <w:spacing w:after="0" w:line="360" w:lineRule="auto"/>
        <w:rPr>
          <w:b/>
        </w:rPr>
      </w:pPr>
      <w:r w:rsidRPr="00A0133E">
        <w:rPr>
          <w:b/>
        </w:rPr>
        <w:t xml:space="preserve">CHIEF </w:t>
      </w:r>
      <w:r w:rsidR="00D01508" w:rsidRPr="00A0133E">
        <w:rPr>
          <w:b/>
        </w:rPr>
        <w:t>INSPECTOR: DEPARTMENT OF EMPLOYMENT</w:t>
      </w:r>
    </w:p>
    <w:p w14:paraId="3B03770A" w14:textId="52157A19" w:rsidR="00D01508" w:rsidRDefault="00D01508" w:rsidP="00B00A3F">
      <w:pPr>
        <w:pStyle w:val="LegalNormal"/>
        <w:spacing w:line="360" w:lineRule="auto"/>
        <w:rPr>
          <w:bCs/>
        </w:rPr>
      </w:pPr>
      <w:r w:rsidRPr="00A0133E">
        <w:rPr>
          <w:b/>
        </w:rPr>
        <w:t>AND LABOUR</w:t>
      </w:r>
      <w:r w:rsidR="00A0133E">
        <w:rPr>
          <w:b/>
        </w:rPr>
        <w:tab/>
      </w:r>
      <w:r w:rsidR="00A0133E">
        <w:rPr>
          <w:b/>
        </w:rPr>
        <w:tab/>
      </w:r>
      <w:r w:rsidR="00A0133E">
        <w:rPr>
          <w:b/>
        </w:rPr>
        <w:tab/>
      </w:r>
      <w:r w:rsidR="00A0133E">
        <w:rPr>
          <w:b/>
        </w:rPr>
        <w:tab/>
      </w:r>
      <w:r w:rsidR="00A0133E">
        <w:rPr>
          <w:b/>
        </w:rPr>
        <w:tab/>
      </w:r>
      <w:r w:rsidR="00A0133E">
        <w:rPr>
          <w:b/>
        </w:rPr>
        <w:tab/>
      </w:r>
      <w:r w:rsidR="00A0133E">
        <w:rPr>
          <w:b/>
        </w:rPr>
        <w:tab/>
      </w:r>
      <w:r w:rsidR="00A0133E">
        <w:rPr>
          <w:b/>
        </w:rPr>
        <w:tab/>
      </w:r>
      <w:r w:rsidR="00A0133E" w:rsidRPr="00A0133E">
        <w:rPr>
          <w:bCs/>
        </w:rPr>
        <w:t>5</w:t>
      </w:r>
      <w:r w:rsidR="00A0133E">
        <w:rPr>
          <w:bCs/>
        </w:rPr>
        <w:t>th Respondent</w:t>
      </w:r>
    </w:p>
    <w:p w14:paraId="12775245" w14:textId="77777777" w:rsidR="009D7472" w:rsidRDefault="00A0133E" w:rsidP="009D7472">
      <w:pPr>
        <w:pStyle w:val="LegalNormal"/>
        <w:spacing w:after="0" w:line="360" w:lineRule="auto"/>
        <w:rPr>
          <w:b/>
        </w:rPr>
      </w:pPr>
      <w:r w:rsidRPr="00B00A3F">
        <w:rPr>
          <w:b/>
        </w:rPr>
        <w:t>N</w:t>
      </w:r>
      <w:r w:rsidR="00B00A3F">
        <w:rPr>
          <w:b/>
        </w:rPr>
        <w:t xml:space="preserve">ATIONAL UNION OF METAL WORKERS </w:t>
      </w:r>
    </w:p>
    <w:p w14:paraId="38FE6532" w14:textId="1B59FA78" w:rsidR="00A0133E" w:rsidRDefault="00B00A3F" w:rsidP="009D7472">
      <w:pPr>
        <w:pStyle w:val="LegalNormal"/>
        <w:spacing w:after="0" w:line="360" w:lineRule="auto"/>
        <w:rPr>
          <w:bCs/>
        </w:rPr>
      </w:pPr>
      <w:r>
        <w:rPr>
          <w:b/>
        </w:rPr>
        <w:t>OF SOUTH AFRICA</w:t>
      </w:r>
      <w:r w:rsidR="009D7472">
        <w:rPr>
          <w:b/>
        </w:rPr>
        <w:tab/>
      </w:r>
      <w:r w:rsidR="009D7472">
        <w:rPr>
          <w:b/>
        </w:rPr>
        <w:tab/>
      </w:r>
      <w:r w:rsidR="009D7472">
        <w:rPr>
          <w:b/>
        </w:rPr>
        <w:tab/>
      </w:r>
      <w:r w:rsidR="009D7472">
        <w:rPr>
          <w:b/>
        </w:rPr>
        <w:tab/>
      </w:r>
      <w:r w:rsidR="009D7472">
        <w:rPr>
          <w:b/>
        </w:rPr>
        <w:tab/>
      </w:r>
      <w:r w:rsidR="009D7472">
        <w:rPr>
          <w:b/>
        </w:rPr>
        <w:tab/>
      </w:r>
      <w:r w:rsidR="009D7472">
        <w:rPr>
          <w:b/>
        </w:rPr>
        <w:tab/>
      </w:r>
      <w:r w:rsidR="009D7472" w:rsidRPr="009D7472">
        <w:rPr>
          <w:bCs/>
        </w:rPr>
        <w:t>6</w:t>
      </w:r>
      <w:r w:rsidR="009D7472" w:rsidRPr="009D7472">
        <w:rPr>
          <w:bCs/>
          <w:vertAlign w:val="superscript"/>
        </w:rPr>
        <w:t>th</w:t>
      </w:r>
      <w:r w:rsidR="009D7472">
        <w:rPr>
          <w:bCs/>
        </w:rPr>
        <w:t xml:space="preserve"> R</w:t>
      </w:r>
      <w:r w:rsidR="006F015D">
        <w:rPr>
          <w:bCs/>
        </w:rPr>
        <w:t>espondent</w:t>
      </w:r>
    </w:p>
    <w:p w14:paraId="5821DBFE" w14:textId="77777777" w:rsidR="00A1206C" w:rsidRPr="00B013F2" w:rsidRDefault="00A1206C" w:rsidP="00B2312E">
      <w:pPr>
        <w:pStyle w:val="LegalNormal"/>
        <w:spacing w:line="276" w:lineRule="auto"/>
        <w:rPr>
          <w:bCs/>
        </w:rPr>
      </w:pPr>
    </w:p>
    <w:p w14:paraId="1F1E0059" w14:textId="4245DAAC" w:rsidR="00443EE1" w:rsidRPr="00C03437" w:rsidRDefault="00443EE1" w:rsidP="00FA6668">
      <w:pPr>
        <w:pStyle w:val="LegalNormal"/>
        <w:spacing w:line="276" w:lineRule="auto"/>
        <w:rPr>
          <w:bCs/>
        </w:rPr>
      </w:pPr>
    </w:p>
    <w:p w14:paraId="72F74422" w14:textId="0B27322D" w:rsidR="00673136" w:rsidRPr="00B013F2" w:rsidRDefault="004466A8" w:rsidP="00C62517">
      <w:pPr>
        <w:pStyle w:val="LegalTramLines"/>
        <w:spacing w:line="480" w:lineRule="auto"/>
        <w:rPr>
          <w:rFonts w:ascii="Arial" w:hAnsi="Arial" w:cs="Arial"/>
        </w:rPr>
      </w:pPr>
      <w:r w:rsidRPr="00B013F2">
        <w:rPr>
          <w:rFonts w:ascii="Arial" w:hAnsi="Arial" w:cs="Arial"/>
        </w:rPr>
        <w:t>JUDGMENT</w:t>
      </w:r>
    </w:p>
    <w:p w14:paraId="12FDC8A9" w14:textId="66635217" w:rsidR="00673136" w:rsidRPr="00B013F2" w:rsidRDefault="00EC47D2" w:rsidP="00673136">
      <w:pPr>
        <w:pStyle w:val="LegalMAINHEADING"/>
        <w:rPr>
          <w:rFonts w:cs="Arial"/>
        </w:rPr>
      </w:pPr>
      <w:r w:rsidRPr="00B013F2">
        <w:rPr>
          <w:rFonts w:cs="Arial"/>
        </w:rPr>
        <w:t xml:space="preserve">nyathi </w:t>
      </w:r>
      <w:r w:rsidR="00673136" w:rsidRPr="00B013F2">
        <w:rPr>
          <w:rFonts w:cs="Arial"/>
        </w:rPr>
        <w:t>j</w:t>
      </w:r>
    </w:p>
    <w:p w14:paraId="2C5DEEC5" w14:textId="182E004D" w:rsidR="00310AC5" w:rsidRPr="00B013F2" w:rsidRDefault="00E36AA6" w:rsidP="00E36AA6">
      <w:pPr>
        <w:pStyle w:val="LegalNormal"/>
        <w:ind w:left="720" w:hanging="360"/>
        <w:rPr>
          <w:b/>
        </w:rPr>
      </w:pPr>
      <w:r w:rsidRPr="00B013F2">
        <w:rPr>
          <w:b/>
        </w:rPr>
        <w:t>A.</w:t>
      </w:r>
      <w:r w:rsidRPr="00B013F2">
        <w:rPr>
          <w:b/>
        </w:rPr>
        <w:tab/>
      </w:r>
      <w:r w:rsidR="00310AC5" w:rsidRPr="00B013F2">
        <w:rPr>
          <w:b/>
        </w:rPr>
        <w:t>INTRODUCTION</w:t>
      </w:r>
    </w:p>
    <w:p w14:paraId="3A2876AB" w14:textId="1FE7BC42" w:rsidR="00617A4B" w:rsidRDefault="00E36AA6" w:rsidP="00E36AA6">
      <w:pPr>
        <w:pStyle w:val="LegalNormal"/>
        <w:tabs>
          <w:tab w:val="left" w:pos="927"/>
        </w:tabs>
        <w:ind w:left="927" w:hanging="567"/>
      </w:pPr>
      <w:r>
        <w:t>[1]</w:t>
      </w:r>
      <w:r>
        <w:tab/>
      </w:r>
      <w:r w:rsidR="003535D0" w:rsidRPr="00B013F2">
        <w:t>Th</w:t>
      </w:r>
      <w:r w:rsidR="00996639">
        <w:t>e A</w:t>
      </w:r>
      <w:r w:rsidR="00617A4B" w:rsidRPr="00B013F2">
        <w:t xml:space="preserve">pplicant </w:t>
      </w:r>
      <w:r w:rsidR="00E60B2E">
        <w:t>approached the court for a de</w:t>
      </w:r>
      <w:r w:rsidR="00F502B7">
        <w:t xml:space="preserve">claratory order in the following terms: </w:t>
      </w:r>
    </w:p>
    <w:p w14:paraId="6D8DC5BF" w14:textId="649E1710" w:rsidR="007825BA" w:rsidRDefault="00E36AA6" w:rsidP="00E36AA6">
      <w:pPr>
        <w:pStyle w:val="LegalNormal"/>
        <w:ind w:left="1287" w:hanging="360"/>
      </w:pPr>
      <w:r>
        <w:t>i.</w:t>
      </w:r>
      <w:r>
        <w:tab/>
      </w:r>
      <w:r w:rsidR="002061B8">
        <w:t xml:space="preserve">That </w:t>
      </w:r>
      <w:r w:rsidR="006D4F7D">
        <w:t>t</w:t>
      </w:r>
      <w:r w:rsidR="006D4F7D" w:rsidRPr="006D4F7D">
        <w:t>he smelting operations ("the Operations</w:t>
      </w:r>
      <w:r w:rsidR="00A3680F" w:rsidRPr="006D4F7D">
        <w:t>”)</w:t>
      </w:r>
      <w:r w:rsidR="006D4F7D" w:rsidRPr="006D4F7D">
        <w:t xml:space="preserve"> situated on Farm Buffelsfontein 465JQ, Mooinooi (Portions 10, 11, 12 and 104 of Buffelsfontein Farm 465JQ, Mooinooi), in the Northwest Province ("TC Smelter Property</w:t>
      </w:r>
      <w:r w:rsidR="006D76EE" w:rsidRPr="006D4F7D">
        <w:t>”)</w:t>
      </w:r>
      <w:r w:rsidR="006D4F7D" w:rsidRPr="006D4F7D">
        <w:t xml:space="preserve">, do not constitute a </w:t>
      </w:r>
      <w:r w:rsidR="000F671B">
        <w:t>“</w:t>
      </w:r>
      <w:r w:rsidR="006D4F7D" w:rsidRPr="006D4F7D">
        <w:t>mine</w:t>
      </w:r>
      <w:r w:rsidR="000F671B">
        <w:t>”</w:t>
      </w:r>
      <w:r w:rsidR="006D4F7D" w:rsidRPr="006D4F7D">
        <w:t xml:space="preserve"> as defined in section 102 of the Mine Health and Safety Act, No 29 of 1996</w:t>
      </w:r>
      <w:r w:rsidR="000F671B">
        <w:t xml:space="preserve"> </w:t>
      </w:r>
      <w:r w:rsidR="006D4F7D" w:rsidRPr="006D4F7D">
        <w:t>("the MHSA");</w:t>
      </w:r>
    </w:p>
    <w:p w14:paraId="6B50D321" w14:textId="01DACE2A" w:rsidR="000A35D1" w:rsidRPr="00B013F2" w:rsidRDefault="000A35D1" w:rsidP="000A35D1">
      <w:pPr>
        <w:pStyle w:val="LegalNormal"/>
        <w:ind w:left="927"/>
      </w:pPr>
      <w:r>
        <w:t>ii.</w:t>
      </w:r>
      <w:r>
        <w:tab/>
        <w:t xml:space="preserve">That the provisions of </w:t>
      </w:r>
      <w:r w:rsidR="007110B3">
        <w:t>the MHSA are not applicable to the Operations.</w:t>
      </w:r>
    </w:p>
    <w:p w14:paraId="3A4785C7" w14:textId="122305B1" w:rsidR="008C11E2" w:rsidRPr="008C11E2" w:rsidRDefault="00E36AA6" w:rsidP="00E36AA6">
      <w:pPr>
        <w:tabs>
          <w:tab w:val="left" w:pos="927"/>
        </w:tabs>
        <w:spacing w:after="240" w:line="480" w:lineRule="auto"/>
        <w:ind w:left="927" w:hanging="567"/>
      </w:pPr>
      <w:r w:rsidRPr="008C11E2">
        <w:lastRenderedPageBreak/>
        <w:t>[2]</w:t>
      </w:r>
      <w:r w:rsidRPr="008C11E2">
        <w:tab/>
      </w:r>
      <w:r w:rsidR="008C11E2">
        <w:t>It is common cause that t</w:t>
      </w:r>
      <w:r w:rsidR="008C11E2" w:rsidRPr="008C11E2">
        <w:t>he TC Smelters Property falls within the Buffelsfontein farm, which is subject to a mining right, which</w:t>
      </w:r>
      <w:r w:rsidR="00996639">
        <w:t xml:space="preserve"> mining right was ceded to the Second A</w:t>
      </w:r>
      <w:r w:rsidR="008C11E2" w:rsidRPr="008C11E2">
        <w:t>pplicant by way of Ministerial consent in terms of Section 11 of the Mineral and Petroleum Resources Development Act, No. 28 of 2002 ("MPRDA"), following a Sale Agreement ente</w:t>
      </w:r>
      <w:r w:rsidR="00996639">
        <w:t>red into between IFMSA and the Second A</w:t>
      </w:r>
      <w:r w:rsidR="008C11E2" w:rsidRPr="008C11E2">
        <w:t>pplicant.</w:t>
      </w:r>
    </w:p>
    <w:p w14:paraId="2A5D808A" w14:textId="37503532" w:rsidR="002F62F4" w:rsidRPr="00B013F2" w:rsidRDefault="00E36AA6" w:rsidP="00E36AA6">
      <w:pPr>
        <w:pStyle w:val="LegalNormal"/>
        <w:tabs>
          <w:tab w:val="left" w:pos="927"/>
        </w:tabs>
        <w:ind w:left="927" w:hanging="567"/>
      </w:pPr>
      <w:r w:rsidRPr="00B013F2">
        <w:t>[3]</w:t>
      </w:r>
      <w:r w:rsidRPr="00B013F2">
        <w:tab/>
      </w:r>
      <w:r w:rsidR="007450C9" w:rsidRPr="00B013F2">
        <w:t xml:space="preserve">The </w:t>
      </w:r>
      <w:r w:rsidR="007D217D" w:rsidRPr="00B013F2">
        <w:t xml:space="preserve">application is opposed by the </w:t>
      </w:r>
      <w:r w:rsidR="00996639">
        <w:t>F</w:t>
      </w:r>
      <w:r w:rsidR="000F7725">
        <w:t xml:space="preserve">irst </w:t>
      </w:r>
      <w:r w:rsidR="00996639">
        <w:t>to T</w:t>
      </w:r>
      <w:r w:rsidR="00EB6642">
        <w:t>hird</w:t>
      </w:r>
      <w:r w:rsidR="00996639">
        <w:t xml:space="preserve"> R</w:t>
      </w:r>
      <w:r w:rsidR="007D217D" w:rsidRPr="00B013F2">
        <w:t>espondent</w:t>
      </w:r>
      <w:r w:rsidR="00EB6642">
        <w:t>s</w:t>
      </w:r>
      <w:r w:rsidR="007D217D" w:rsidRPr="00B013F2">
        <w:t>.</w:t>
      </w:r>
      <w:r w:rsidR="00996639">
        <w:t xml:space="preserve"> The Fourth to Sixth R</w:t>
      </w:r>
      <w:r w:rsidR="00EB6642">
        <w:t>espondents do not oppose the application.</w:t>
      </w:r>
    </w:p>
    <w:p w14:paraId="36AF900B" w14:textId="77777777" w:rsidR="008C0E56" w:rsidRPr="00B013F2" w:rsidRDefault="008C0E56" w:rsidP="008C0E56">
      <w:pPr>
        <w:pStyle w:val="LegalNormal"/>
        <w:ind w:left="927"/>
      </w:pPr>
    </w:p>
    <w:p w14:paraId="6BDAD092" w14:textId="5F7C1C22" w:rsidR="00646D62" w:rsidRPr="00B013F2" w:rsidRDefault="00E36AA6" w:rsidP="00E36AA6">
      <w:pPr>
        <w:pStyle w:val="LegalNormal"/>
        <w:ind w:left="720" w:hanging="360"/>
        <w:rPr>
          <w:b/>
          <w:bCs/>
        </w:rPr>
      </w:pPr>
      <w:r w:rsidRPr="00B013F2">
        <w:rPr>
          <w:b/>
          <w:bCs/>
        </w:rPr>
        <w:t>B.</w:t>
      </w:r>
      <w:r w:rsidRPr="00B013F2">
        <w:rPr>
          <w:b/>
          <w:bCs/>
        </w:rPr>
        <w:tab/>
      </w:r>
      <w:r w:rsidR="00566203" w:rsidRPr="00B013F2">
        <w:rPr>
          <w:b/>
          <w:bCs/>
        </w:rPr>
        <w:t>APPLICANT’S CASE</w:t>
      </w:r>
    </w:p>
    <w:p w14:paraId="333D236F" w14:textId="43C7B51E" w:rsidR="00AF5423" w:rsidRDefault="00E36AA6" w:rsidP="00E36AA6">
      <w:pPr>
        <w:pStyle w:val="LegalNormal"/>
        <w:tabs>
          <w:tab w:val="left" w:pos="927"/>
        </w:tabs>
        <w:ind w:left="927" w:hanging="567"/>
      </w:pPr>
      <w:r>
        <w:t>[4]</w:t>
      </w:r>
      <w:r>
        <w:tab/>
      </w:r>
      <w:r w:rsidR="00996639">
        <w:t>It is the A</w:t>
      </w:r>
      <w:r w:rsidR="00277E7C">
        <w:t>pplicants’ case that an unbundling of International Ferr</w:t>
      </w:r>
      <w:r w:rsidR="00F764A3">
        <w:t>o Metals of South Africa took place, resulting in a mining right being ceded</w:t>
      </w:r>
      <w:r w:rsidR="00B552AD">
        <w:t xml:space="preserve"> to Samancor Ltd </w:t>
      </w:r>
      <w:r w:rsidR="00696247">
        <w:t>(</w:t>
      </w:r>
      <w:r w:rsidR="00172EC4">
        <w:t>“</w:t>
      </w:r>
      <w:r w:rsidR="00B552AD">
        <w:t>the Second Applicant</w:t>
      </w:r>
      <w:r w:rsidR="00172EC4">
        <w:t>”</w:t>
      </w:r>
      <w:r w:rsidR="00696247">
        <w:t>)</w:t>
      </w:r>
      <w:r w:rsidR="00E101FC">
        <w:t xml:space="preserve"> and a smelting operation being sold to TC Smelters, the First Applicant.</w:t>
      </w:r>
    </w:p>
    <w:p w14:paraId="2EC4028E" w14:textId="66A0D992" w:rsidR="00DC52F3" w:rsidRDefault="00E36AA6" w:rsidP="00E36AA6">
      <w:pPr>
        <w:pStyle w:val="LegalNormal"/>
        <w:tabs>
          <w:tab w:val="left" w:pos="927"/>
        </w:tabs>
        <w:ind w:left="927" w:hanging="567"/>
      </w:pPr>
      <w:r>
        <w:t>[5]</w:t>
      </w:r>
      <w:r>
        <w:tab/>
      </w:r>
      <w:r w:rsidR="008E158F">
        <w:t>It was submitted on behalf of the</w:t>
      </w:r>
      <w:r w:rsidR="00996639">
        <w:t xml:space="preserve"> A</w:t>
      </w:r>
      <w:r w:rsidR="008E158F">
        <w:t xml:space="preserve">pplicants </w:t>
      </w:r>
      <w:r w:rsidR="0055345B">
        <w:t xml:space="preserve">that the smelting operation situated </w:t>
      </w:r>
      <w:r w:rsidR="00545660">
        <w:t xml:space="preserve">on Farm Buffelsfontein 465 JQ does </w:t>
      </w:r>
      <w:r w:rsidR="00E252B6">
        <w:t>not constitute a mine</w:t>
      </w:r>
      <w:r w:rsidR="00CC5403">
        <w:t xml:space="preserve"> as defined in section 102 of the Mine Health and </w:t>
      </w:r>
      <w:r w:rsidR="00CB2B8B">
        <w:t xml:space="preserve">Safety Act and secondly that the provisions </w:t>
      </w:r>
      <w:r w:rsidR="002C5571">
        <w:t>of the said Act are not applicable to the operations.</w:t>
      </w:r>
      <w:r w:rsidR="003E6DAC">
        <w:t xml:space="preserve"> </w:t>
      </w:r>
    </w:p>
    <w:p w14:paraId="22E2B6FD" w14:textId="3A0B82AC" w:rsidR="00F214CC" w:rsidRDefault="00E36AA6" w:rsidP="00E36AA6">
      <w:pPr>
        <w:tabs>
          <w:tab w:val="left" w:pos="927"/>
        </w:tabs>
        <w:spacing w:before="240" w:after="240" w:line="480" w:lineRule="auto"/>
        <w:ind w:left="927" w:hanging="567"/>
      </w:pPr>
      <w:r>
        <w:t>[6]</w:t>
      </w:r>
      <w:r>
        <w:tab/>
      </w:r>
      <w:r w:rsidR="00F214CC" w:rsidRPr="00F214CC">
        <w:t>The</w:t>
      </w:r>
      <w:r w:rsidR="00996639">
        <w:t xml:space="preserve"> A</w:t>
      </w:r>
      <w:r w:rsidR="00F214CC">
        <w:t>pplicants</w:t>
      </w:r>
      <w:r w:rsidR="00F214CC" w:rsidRPr="00F214CC">
        <w:t xml:space="preserve"> submit therefore that the Occupational Health and Safety Act 85 of 1993 ("OHSA") applies to the </w:t>
      </w:r>
      <w:r w:rsidR="00422183" w:rsidRPr="00F214CC">
        <w:t>operations</w:t>
      </w:r>
      <w:r w:rsidR="00F214CC" w:rsidRPr="00F214CC">
        <w:t>, and not the provisions of the MHSA.</w:t>
      </w:r>
    </w:p>
    <w:p w14:paraId="2EC5F458" w14:textId="71BE8993" w:rsidR="00C739D7" w:rsidRDefault="00E36AA6" w:rsidP="00E36AA6">
      <w:pPr>
        <w:tabs>
          <w:tab w:val="left" w:pos="927"/>
        </w:tabs>
        <w:spacing w:after="240" w:line="480" w:lineRule="auto"/>
        <w:ind w:left="927" w:hanging="567"/>
      </w:pPr>
      <w:r>
        <w:lastRenderedPageBreak/>
        <w:t>[7]</w:t>
      </w:r>
      <w:r>
        <w:tab/>
      </w:r>
      <w:r w:rsidR="00D73C74">
        <w:t xml:space="preserve">It is the </w:t>
      </w:r>
      <w:r w:rsidR="00996639">
        <w:t>First A</w:t>
      </w:r>
      <w:r w:rsidR="00A7435D">
        <w:t>pplicant’s contention that</w:t>
      </w:r>
      <w:r w:rsidR="00BD5E07">
        <w:t xml:space="preserve"> it has faced challenges due to what it </w:t>
      </w:r>
      <w:r w:rsidR="004E754D">
        <w:t>characterises as the DMRE’s mischaracterisation of its operations</w:t>
      </w:r>
      <w:r w:rsidR="002B3ABC">
        <w:t xml:space="preserve"> falling to be regulated under the MHSA instead of the OHSA</w:t>
      </w:r>
      <w:r w:rsidR="00495010">
        <w:t>. These are:</w:t>
      </w:r>
    </w:p>
    <w:p w14:paraId="0E340FC4" w14:textId="7B24CBDC" w:rsidR="00DB1F07" w:rsidRPr="00AC2B9A" w:rsidRDefault="00E36AA6" w:rsidP="00E36AA6">
      <w:pPr>
        <w:pStyle w:val="LegalHeading2"/>
        <w:numPr>
          <w:ilvl w:val="0"/>
          <w:numId w:val="0"/>
        </w:numPr>
        <w:tabs>
          <w:tab w:val="left" w:pos="2629"/>
        </w:tabs>
        <w:ind w:left="2629" w:hanging="1134"/>
        <w:rPr>
          <w:b w:val="0"/>
          <w:bCs/>
        </w:rPr>
      </w:pPr>
      <w:r w:rsidRPr="00AC2B9A">
        <w:rPr>
          <w:rFonts w:cs="Arial"/>
          <w:b w:val="0"/>
          <w:bCs/>
        </w:rPr>
        <w:t>7.1</w:t>
      </w:r>
      <w:r w:rsidRPr="00AC2B9A">
        <w:rPr>
          <w:rFonts w:cs="Arial"/>
          <w:b w:val="0"/>
          <w:bCs/>
        </w:rPr>
        <w:tab/>
      </w:r>
      <w:r w:rsidR="004031F1" w:rsidRPr="00AC2B9A">
        <w:rPr>
          <w:b w:val="0"/>
          <w:bCs/>
        </w:rPr>
        <w:t xml:space="preserve">There is a potential risk to the safety </w:t>
      </w:r>
      <w:r w:rsidR="00A307A1" w:rsidRPr="00AC2B9A">
        <w:rPr>
          <w:b w:val="0"/>
          <w:bCs/>
        </w:rPr>
        <w:t xml:space="preserve">of the employees working in the Operations due to </w:t>
      </w:r>
      <w:r w:rsidR="00FD5630" w:rsidRPr="00AC2B9A">
        <w:rPr>
          <w:b w:val="0"/>
          <w:bCs/>
        </w:rPr>
        <w:t>uncertainty as to which safety regime is applicable</w:t>
      </w:r>
      <w:r w:rsidR="00FE5483" w:rsidRPr="00AC2B9A">
        <w:rPr>
          <w:b w:val="0"/>
          <w:bCs/>
        </w:rPr>
        <w:t xml:space="preserve"> to TC Smelters. </w:t>
      </w:r>
    </w:p>
    <w:p w14:paraId="306CD357" w14:textId="2E909159" w:rsidR="004031F1" w:rsidRPr="00AC2B9A" w:rsidRDefault="00E36AA6" w:rsidP="00E36AA6">
      <w:pPr>
        <w:pStyle w:val="LegalHeading2"/>
        <w:numPr>
          <w:ilvl w:val="0"/>
          <w:numId w:val="0"/>
        </w:numPr>
        <w:tabs>
          <w:tab w:val="left" w:pos="2629"/>
        </w:tabs>
        <w:ind w:left="2629" w:hanging="1134"/>
        <w:rPr>
          <w:b w:val="0"/>
          <w:bCs/>
        </w:rPr>
      </w:pPr>
      <w:r w:rsidRPr="00AC2B9A">
        <w:rPr>
          <w:rFonts w:cs="Arial"/>
          <w:b w:val="0"/>
          <w:bCs/>
        </w:rPr>
        <w:t>7.2</w:t>
      </w:r>
      <w:r w:rsidRPr="00AC2B9A">
        <w:rPr>
          <w:rFonts w:cs="Arial"/>
          <w:b w:val="0"/>
          <w:bCs/>
        </w:rPr>
        <w:tab/>
      </w:r>
      <w:r w:rsidR="00FE5483" w:rsidRPr="00AC2B9A">
        <w:rPr>
          <w:b w:val="0"/>
          <w:bCs/>
        </w:rPr>
        <w:t xml:space="preserve">TC Smelters has </w:t>
      </w:r>
      <w:r w:rsidR="00186B95" w:rsidRPr="00AC2B9A">
        <w:rPr>
          <w:b w:val="0"/>
          <w:bCs/>
        </w:rPr>
        <w:t>been advised by the Department of Agriculture</w:t>
      </w:r>
      <w:r w:rsidR="00596F06" w:rsidRPr="00AC2B9A">
        <w:rPr>
          <w:b w:val="0"/>
          <w:bCs/>
        </w:rPr>
        <w:t xml:space="preserve">, Forestry and Fisheries (“DEAFF”) that a transfer of its Waste Management </w:t>
      </w:r>
      <w:r w:rsidR="00DB1F07" w:rsidRPr="00AC2B9A">
        <w:rPr>
          <w:b w:val="0"/>
          <w:bCs/>
        </w:rPr>
        <w:t xml:space="preserve">Licences from the DMRE to the DEAFF is not competent. </w:t>
      </w:r>
      <w:r w:rsidR="00996639">
        <w:rPr>
          <w:b w:val="0"/>
          <w:bCs/>
        </w:rPr>
        <w:t>The First A</w:t>
      </w:r>
      <w:r w:rsidR="00640630" w:rsidRPr="00AC2B9A">
        <w:rPr>
          <w:b w:val="0"/>
          <w:bCs/>
        </w:rPr>
        <w:t xml:space="preserve">pplicant attaches minutes of a meeting held </w:t>
      </w:r>
      <w:r w:rsidR="003B34F4" w:rsidRPr="00AC2B9A">
        <w:rPr>
          <w:b w:val="0"/>
          <w:bCs/>
        </w:rPr>
        <w:t xml:space="preserve">on 26 July 2019 whereat its representatives </w:t>
      </w:r>
      <w:r w:rsidR="005F7DE1" w:rsidRPr="00AC2B9A">
        <w:rPr>
          <w:b w:val="0"/>
          <w:bCs/>
        </w:rPr>
        <w:t>met those of the DEAFF, the DMRE</w:t>
      </w:r>
      <w:r w:rsidR="00540153" w:rsidRPr="00AC2B9A">
        <w:rPr>
          <w:b w:val="0"/>
          <w:bCs/>
        </w:rPr>
        <w:t>,</w:t>
      </w:r>
      <w:r w:rsidR="00FE65E6" w:rsidRPr="00AC2B9A">
        <w:rPr>
          <w:b w:val="0"/>
          <w:bCs/>
        </w:rPr>
        <w:t xml:space="preserve"> and</w:t>
      </w:r>
      <w:r w:rsidR="00540153" w:rsidRPr="00AC2B9A">
        <w:rPr>
          <w:b w:val="0"/>
          <w:bCs/>
        </w:rPr>
        <w:t xml:space="preserve"> </w:t>
      </w:r>
      <w:r w:rsidR="00AC2B9A">
        <w:rPr>
          <w:b w:val="0"/>
          <w:bCs/>
        </w:rPr>
        <w:t xml:space="preserve">those </w:t>
      </w:r>
      <w:r w:rsidR="00FE65E6" w:rsidRPr="00AC2B9A">
        <w:rPr>
          <w:b w:val="0"/>
          <w:bCs/>
        </w:rPr>
        <w:t>of</w:t>
      </w:r>
      <w:r w:rsidR="00AC2B9A">
        <w:rPr>
          <w:b w:val="0"/>
          <w:bCs/>
        </w:rPr>
        <w:t xml:space="preserve"> an entity n</w:t>
      </w:r>
      <w:r w:rsidR="00A1369A">
        <w:rPr>
          <w:b w:val="0"/>
          <w:bCs/>
        </w:rPr>
        <w:t>amed</w:t>
      </w:r>
      <w:r w:rsidR="00FE65E6" w:rsidRPr="00AC2B9A">
        <w:rPr>
          <w:b w:val="0"/>
          <w:bCs/>
        </w:rPr>
        <w:t xml:space="preserve"> </w:t>
      </w:r>
      <w:r w:rsidR="00540153" w:rsidRPr="00AC2B9A">
        <w:rPr>
          <w:b w:val="0"/>
          <w:bCs/>
        </w:rPr>
        <w:t>Tubatse Alloy Smelter (Pty) Ltd</w:t>
      </w:r>
      <w:r w:rsidR="00FE65E6" w:rsidRPr="00AC2B9A">
        <w:rPr>
          <w:b w:val="0"/>
          <w:bCs/>
        </w:rPr>
        <w:t xml:space="preserve"> (“Tubatse Alloy”)</w:t>
      </w:r>
      <w:r w:rsidR="00A1369A">
        <w:rPr>
          <w:b w:val="0"/>
          <w:bCs/>
        </w:rPr>
        <w:t>.</w:t>
      </w:r>
    </w:p>
    <w:p w14:paraId="7ACD3689" w14:textId="0FBF0787" w:rsidR="00E00AD6" w:rsidRDefault="00E36AA6" w:rsidP="00E36AA6">
      <w:pPr>
        <w:tabs>
          <w:tab w:val="left" w:pos="927"/>
        </w:tabs>
        <w:spacing w:before="240" w:after="240" w:line="480" w:lineRule="auto"/>
        <w:ind w:left="927" w:hanging="567"/>
      </w:pPr>
      <w:r>
        <w:t>[8]</w:t>
      </w:r>
      <w:r>
        <w:tab/>
      </w:r>
      <w:r w:rsidR="00996639">
        <w:t>The A</w:t>
      </w:r>
      <w:r w:rsidR="00912536">
        <w:t>ppl</w:t>
      </w:r>
      <w:r w:rsidR="00CA19D8">
        <w:t xml:space="preserve">icants then proceed to set out in detail </w:t>
      </w:r>
      <w:r w:rsidR="009E62DC">
        <w:t>i</w:t>
      </w:r>
      <w:r w:rsidR="00CA19D8">
        <w:t>t</w:t>
      </w:r>
      <w:r w:rsidR="009E62DC">
        <w:t xml:space="preserve">s </w:t>
      </w:r>
      <w:r w:rsidR="003021DD">
        <w:t>operations</w:t>
      </w:r>
      <w:r w:rsidR="009E62DC">
        <w:t xml:space="preserve">. </w:t>
      </w:r>
      <w:r w:rsidR="00D938E6">
        <w:t>The deponent Mr W</w:t>
      </w:r>
      <w:r w:rsidR="003021DD">
        <w:t>i</w:t>
      </w:r>
      <w:r w:rsidR="00D938E6">
        <w:t>han</w:t>
      </w:r>
      <w:r w:rsidR="003021DD">
        <w:t xml:space="preserve"> Swanepoel </w:t>
      </w:r>
      <w:r w:rsidR="00BA4C2E">
        <w:t>sets out the whole p</w:t>
      </w:r>
      <w:r w:rsidR="00776ACF">
        <w:t>rocess involved in preparing the extracted ore</w:t>
      </w:r>
      <w:r w:rsidR="00661F04">
        <w:t xml:space="preserve"> with water </w:t>
      </w:r>
      <w:r w:rsidR="00617308">
        <w:t xml:space="preserve">until it lands up in the furnace </w:t>
      </w:r>
      <w:r w:rsidR="003B2694">
        <w:t>of the</w:t>
      </w:r>
      <w:r w:rsidR="00617308">
        <w:t xml:space="preserve"> smelt</w:t>
      </w:r>
      <w:r w:rsidR="003B2694">
        <w:t>er.</w:t>
      </w:r>
      <w:r w:rsidR="003B2694">
        <w:rPr>
          <w:rStyle w:val="FootnoteReference"/>
        </w:rPr>
        <w:footnoteReference w:id="1"/>
      </w:r>
      <w:r w:rsidR="00D938E6">
        <w:t xml:space="preserve"> </w:t>
      </w:r>
      <w:r w:rsidR="009E62DC">
        <w:t xml:space="preserve"> </w:t>
      </w:r>
      <w:r w:rsidR="003B2694">
        <w:t>Save for noting</w:t>
      </w:r>
      <w:r w:rsidR="00FD2BBF">
        <w:t xml:space="preserve"> the process as alluded herein, I do not see the </w:t>
      </w:r>
      <w:r w:rsidR="00AE56B3">
        <w:t>necessity to repeat it herein.</w:t>
      </w:r>
    </w:p>
    <w:p w14:paraId="23B8920A" w14:textId="77777777" w:rsidR="00E00AD6" w:rsidRDefault="00E00AD6" w:rsidP="00E00AD6">
      <w:pPr>
        <w:pStyle w:val="ListParagraph"/>
        <w:spacing w:before="240" w:after="240" w:line="480" w:lineRule="auto"/>
        <w:ind w:left="927"/>
      </w:pPr>
    </w:p>
    <w:p w14:paraId="7AC75682" w14:textId="77777777" w:rsidR="00E00AD6" w:rsidRDefault="00E00AD6" w:rsidP="00E00AD6">
      <w:pPr>
        <w:pStyle w:val="ListParagraph"/>
      </w:pPr>
    </w:p>
    <w:p w14:paraId="4C000FF1" w14:textId="00C5C31F" w:rsidR="00F32348" w:rsidRDefault="00E36AA6" w:rsidP="00E36AA6">
      <w:pPr>
        <w:tabs>
          <w:tab w:val="left" w:pos="927"/>
        </w:tabs>
        <w:spacing w:before="240" w:after="240" w:line="480" w:lineRule="auto"/>
        <w:ind w:left="927" w:hanging="567"/>
      </w:pPr>
      <w:r>
        <w:lastRenderedPageBreak/>
        <w:t>[9]</w:t>
      </w:r>
      <w:r>
        <w:tab/>
      </w:r>
      <w:r w:rsidR="00976D7D">
        <w:t xml:space="preserve">The deponent then submits that: </w:t>
      </w:r>
    </w:p>
    <w:p w14:paraId="1F4FDF94" w14:textId="451183F4" w:rsidR="00180592" w:rsidRPr="00F32348" w:rsidRDefault="00F81BE7" w:rsidP="00F32348">
      <w:pPr>
        <w:pStyle w:val="ListParagraph"/>
        <w:spacing w:after="240" w:line="480" w:lineRule="auto"/>
        <w:ind w:left="927"/>
        <w:rPr>
          <w:i/>
          <w:iCs/>
        </w:rPr>
      </w:pPr>
      <w:r w:rsidRPr="00F32348">
        <w:rPr>
          <w:i/>
          <w:iCs/>
        </w:rPr>
        <w:t>“41.1 The plant layout and location are designed to accept material direct from the mine and supply the final ore direct to the smelter with minimum handling of the materials to reduce costs and generation of fines/dust. Chrome ores consisting of lumpy is discharged directly from the ore beneficiation plant to the smelter raw material storage area…”</w:t>
      </w:r>
    </w:p>
    <w:p w14:paraId="551E5931" w14:textId="2E9555A1" w:rsidR="00F81BE7" w:rsidRDefault="00F81BE7" w:rsidP="00676B9C">
      <w:pPr>
        <w:pStyle w:val="ListParagraph"/>
        <w:spacing w:after="240" w:line="720" w:lineRule="auto"/>
        <w:ind w:left="927"/>
      </w:pPr>
    </w:p>
    <w:p w14:paraId="0251F542" w14:textId="16676A13" w:rsidR="00A8689F" w:rsidRPr="00E36AA6" w:rsidRDefault="00E36AA6" w:rsidP="00E36AA6">
      <w:pPr>
        <w:tabs>
          <w:tab w:val="left" w:pos="927"/>
        </w:tabs>
        <w:spacing w:after="240" w:line="720" w:lineRule="auto"/>
        <w:ind w:left="924" w:hanging="567"/>
        <w:rPr>
          <w:bCs/>
        </w:rPr>
      </w:pPr>
      <w:r w:rsidRPr="00A8689F">
        <w:rPr>
          <w:bCs/>
        </w:rPr>
        <w:t>[10]</w:t>
      </w:r>
      <w:r w:rsidRPr="00A8689F">
        <w:rPr>
          <w:bCs/>
        </w:rPr>
        <w:tab/>
      </w:r>
      <w:r w:rsidR="00996639">
        <w:t>The A</w:t>
      </w:r>
      <w:r w:rsidR="008F6FB8">
        <w:t xml:space="preserve">pplicants </w:t>
      </w:r>
      <w:r w:rsidR="00E6047F">
        <w:t>base their application on the premise that</w:t>
      </w:r>
      <w:r w:rsidR="00EC6254">
        <w:t>:</w:t>
      </w:r>
    </w:p>
    <w:p w14:paraId="2BDBA0B2" w14:textId="753CF653" w:rsidR="00AC262A" w:rsidRPr="00A8689F" w:rsidRDefault="00E36AA6" w:rsidP="00E36AA6">
      <w:pPr>
        <w:pStyle w:val="LegalHeading2"/>
        <w:numPr>
          <w:ilvl w:val="0"/>
          <w:numId w:val="0"/>
        </w:numPr>
        <w:tabs>
          <w:tab w:val="left" w:pos="2629"/>
        </w:tabs>
        <w:ind w:left="2629" w:hanging="1134"/>
        <w:rPr>
          <w:b w:val="0"/>
          <w:bCs/>
        </w:rPr>
      </w:pPr>
      <w:r w:rsidRPr="00A8689F">
        <w:rPr>
          <w:rFonts w:cs="Arial"/>
          <w:b w:val="0"/>
          <w:bCs/>
        </w:rPr>
        <w:t>10.1</w:t>
      </w:r>
      <w:r w:rsidRPr="00A8689F">
        <w:rPr>
          <w:rFonts w:cs="Arial"/>
          <w:b w:val="0"/>
          <w:bCs/>
        </w:rPr>
        <w:tab/>
      </w:r>
      <w:r w:rsidR="00C465D2" w:rsidRPr="00A8689F">
        <w:rPr>
          <w:b w:val="0"/>
          <w:bCs/>
        </w:rPr>
        <w:t>the MHSA only applies to a “mine”</w:t>
      </w:r>
      <w:r w:rsidR="00192543" w:rsidRPr="00A8689F">
        <w:rPr>
          <w:b w:val="0"/>
          <w:bCs/>
        </w:rPr>
        <w:t xml:space="preserve"> as defined in the MHSA. </w:t>
      </w:r>
    </w:p>
    <w:p w14:paraId="4A04BF24" w14:textId="06E0B2EE" w:rsidR="00AC262A" w:rsidRPr="00AC262A" w:rsidRDefault="00E36AA6" w:rsidP="00E36AA6">
      <w:pPr>
        <w:pStyle w:val="LegalHeading2"/>
        <w:numPr>
          <w:ilvl w:val="0"/>
          <w:numId w:val="0"/>
        </w:numPr>
        <w:tabs>
          <w:tab w:val="left" w:pos="2629"/>
        </w:tabs>
        <w:ind w:left="2629" w:hanging="1134"/>
        <w:rPr>
          <w:b w:val="0"/>
          <w:bCs/>
        </w:rPr>
      </w:pPr>
      <w:r w:rsidRPr="00AC262A">
        <w:rPr>
          <w:rFonts w:cs="Arial"/>
          <w:b w:val="0"/>
          <w:bCs/>
        </w:rPr>
        <w:t>10.2</w:t>
      </w:r>
      <w:r w:rsidRPr="00AC262A">
        <w:rPr>
          <w:rFonts w:cs="Arial"/>
          <w:b w:val="0"/>
          <w:bCs/>
        </w:rPr>
        <w:tab/>
      </w:r>
      <w:r w:rsidR="00EC6254" w:rsidRPr="00AC262A">
        <w:rPr>
          <w:b w:val="0"/>
          <w:bCs/>
        </w:rPr>
        <w:t xml:space="preserve">That the </w:t>
      </w:r>
      <w:r w:rsidR="009A5B93" w:rsidRPr="00AC262A">
        <w:rPr>
          <w:b w:val="0"/>
          <w:bCs/>
        </w:rPr>
        <w:t xml:space="preserve">MHSA and OHSA cannot both apply to the same operation. </w:t>
      </w:r>
    </w:p>
    <w:p w14:paraId="4496937E" w14:textId="33D82A6F" w:rsidR="00AC262A" w:rsidRPr="00AC262A" w:rsidRDefault="00E36AA6" w:rsidP="00E36AA6">
      <w:pPr>
        <w:pStyle w:val="LegalHeading2"/>
        <w:numPr>
          <w:ilvl w:val="0"/>
          <w:numId w:val="0"/>
        </w:numPr>
        <w:tabs>
          <w:tab w:val="left" w:pos="2629"/>
        </w:tabs>
        <w:ind w:left="2629" w:hanging="1134"/>
        <w:rPr>
          <w:b w:val="0"/>
          <w:bCs/>
        </w:rPr>
      </w:pPr>
      <w:r w:rsidRPr="00AC262A">
        <w:rPr>
          <w:rFonts w:cs="Arial"/>
          <w:b w:val="0"/>
          <w:bCs/>
        </w:rPr>
        <w:t>10.3</w:t>
      </w:r>
      <w:r w:rsidRPr="00AC262A">
        <w:rPr>
          <w:rFonts w:cs="Arial"/>
          <w:b w:val="0"/>
          <w:bCs/>
        </w:rPr>
        <w:tab/>
      </w:r>
      <w:r w:rsidR="000A1926" w:rsidRPr="00AC262A">
        <w:rPr>
          <w:b w:val="0"/>
          <w:bCs/>
        </w:rPr>
        <w:t xml:space="preserve">That the OHSA does not apply to </w:t>
      </w:r>
      <w:r w:rsidR="00460F8B" w:rsidRPr="00AC262A">
        <w:rPr>
          <w:b w:val="0"/>
          <w:bCs/>
        </w:rPr>
        <w:t xml:space="preserve">a mine, a mining area or any works as defined in the </w:t>
      </w:r>
      <w:r w:rsidR="005F2E40" w:rsidRPr="00AC262A">
        <w:rPr>
          <w:b w:val="0"/>
          <w:bCs/>
        </w:rPr>
        <w:t>Minerals Act</w:t>
      </w:r>
      <w:r w:rsidR="00DE35F4" w:rsidRPr="00AC262A">
        <w:rPr>
          <w:b w:val="0"/>
          <w:bCs/>
        </w:rPr>
        <w:t xml:space="preserve"> 50 of 1991. </w:t>
      </w:r>
    </w:p>
    <w:p w14:paraId="7905F07F" w14:textId="3B07C332" w:rsidR="00F81BE7" w:rsidRDefault="00E36AA6" w:rsidP="00E36AA6">
      <w:pPr>
        <w:pStyle w:val="LegalHeading2"/>
        <w:numPr>
          <w:ilvl w:val="0"/>
          <w:numId w:val="0"/>
        </w:numPr>
        <w:tabs>
          <w:tab w:val="left" w:pos="2629"/>
        </w:tabs>
        <w:ind w:left="2629" w:hanging="1134"/>
        <w:rPr>
          <w:b w:val="0"/>
          <w:bCs/>
        </w:rPr>
      </w:pPr>
      <w:r>
        <w:rPr>
          <w:rFonts w:cs="Arial"/>
          <w:b w:val="0"/>
          <w:bCs/>
        </w:rPr>
        <w:t>10.4</w:t>
      </w:r>
      <w:r>
        <w:rPr>
          <w:rFonts w:cs="Arial"/>
          <w:b w:val="0"/>
          <w:bCs/>
        </w:rPr>
        <w:tab/>
      </w:r>
      <w:r w:rsidR="00DE35F4" w:rsidRPr="00AC262A">
        <w:rPr>
          <w:b w:val="0"/>
          <w:bCs/>
        </w:rPr>
        <w:t xml:space="preserve">The </w:t>
      </w:r>
      <w:r w:rsidR="00996639">
        <w:rPr>
          <w:b w:val="0"/>
          <w:bCs/>
        </w:rPr>
        <w:t>A</w:t>
      </w:r>
      <w:r w:rsidR="00224540" w:rsidRPr="00AC262A">
        <w:rPr>
          <w:b w:val="0"/>
          <w:bCs/>
        </w:rPr>
        <w:t>pplicant</w:t>
      </w:r>
      <w:r w:rsidR="00D01E6E">
        <w:rPr>
          <w:b w:val="0"/>
          <w:bCs/>
        </w:rPr>
        <w:t>s</w:t>
      </w:r>
      <w:r w:rsidR="00224540" w:rsidRPr="00AC262A">
        <w:rPr>
          <w:b w:val="0"/>
          <w:bCs/>
        </w:rPr>
        <w:t xml:space="preserve"> therefore assert that the application of one statute</w:t>
      </w:r>
      <w:r w:rsidR="00AC262A" w:rsidRPr="00AC262A">
        <w:rPr>
          <w:b w:val="0"/>
          <w:bCs/>
        </w:rPr>
        <w:t xml:space="preserve"> automatically excludes the application of the other.</w:t>
      </w:r>
    </w:p>
    <w:p w14:paraId="7EF23414" w14:textId="77777777" w:rsidR="00DA1735" w:rsidRPr="00DA1735" w:rsidRDefault="00DA1735" w:rsidP="00DA1735">
      <w:pPr>
        <w:pStyle w:val="LegalBodyText2"/>
      </w:pPr>
    </w:p>
    <w:p w14:paraId="062C6311" w14:textId="3D212150" w:rsidR="00EF4263" w:rsidRPr="00E36AA6" w:rsidRDefault="00E36AA6" w:rsidP="00E36AA6">
      <w:pPr>
        <w:spacing w:before="240" w:after="240" w:line="480" w:lineRule="auto"/>
        <w:ind w:left="720" w:hanging="360"/>
        <w:rPr>
          <w:b/>
          <w:bCs/>
        </w:rPr>
      </w:pPr>
      <w:r w:rsidRPr="00D3116C">
        <w:rPr>
          <w:b/>
          <w:bCs/>
        </w:rPr>
        <w:t>C.</w:t>
      </w:r>
      <w:r w:rsidRPr="00D3116C">
        <w:rPr>
          <w:b/>
          <w:bCs/>
        </w:rPr>
        <w:tab/>
      </w:r>
      <w:r w:rsidR="00EF4263" w:rsidRPr="00E36AA6">
        <w:rPr>
          <w:b/>
          <w:bCs/>
        </w:rPr>
        <w:t>THE RESPONDENTS’ CASE</w:t>
      </w:r>
    </w:p>
    <w:p w14:paraId="25C59A03" w14:textId="607936CD" w:rsidR="008237B4" w:rsidRDefault="00E36AA6" w:rsidP="00E36AA6">
      <w:pPr>
        <w:tabs>
          <w:tab w:val="left" w:pos="927"/>
        </w:tabs>
        <w:spacing w:before="240" w:after="240" w:line="480" w:lineRule="auto"/>
        <w:ind w:left="924" w:hanging="567"/>
      </w:pPr>
      <w:r>
        <w:lastRenderedPageBreak/>
        <w:t>[11]</w:t>
      </w:r>
      <w:r>
        <w:tab/>
      </w:r>
      <w:r w:rsidR="00353BC3">
        <w:t xml:space="preserve">The </w:t>
      </w:r>
      <w:r w:rsidR="00EF4263">
        <w:t xml:space="preserve">Respondents </w:t>
      </w:r>
      <w:r w:rsidR="00EF6346">
        <w:t>raise a preliminary point of non-joinder</w:t>
      </w:r>
      <w:r w:rsidR="00D3443C">
        <w:t xml:space="preserve">, in that the Minister of </w:t>
      </w:r>
      <w:r w:rsidR="00DF303F">
        <w:t xml:space="preserve">Environmental Affairs and </w:t>
      </w:r>
      <w:r w:rsidR="00A47225">
        <w:t xml:space="preserve">the Minister </w:t>
      </w:r>
      <w:r w:rsidR="00DF303F">
        <w:t>of A</w:t>
      </w:r>
      <w:r w:rsidR="00A47225">
        <w:t xml:space="preserve">griculture have a </w:t>
      </w:r>
      <w:r w:rsidR="003F6387">
        <w:t>substantial interest in the legal issues which form the s</w:t>
      </w:r>
      <w:r w:rsidR="000E3D3B">
        <w:t>ubject matters of this application</w:t>
      </w:r>
      <w:r w:rsidR="00BE1B61">
        <w:t xml:space="preserve">, have not been joined. </w:t>
      </w:r>
      <w:r w:rsidR="00077D5C">
        <w:t xml:space="preserve">Should </w:t>
      </w:r>
      <w:r w:rsidR="00996639">
        <w:t>the relief being sought by the A</w:t>
      </w:r>
      <w:r w:rsidR="00077D5C">
        <w:t xml:space="preserve">pplicants be granted, </w:t>
      </w:r>
      <w:r w:rsidR="00BA0609">
        <w:t>it would have a direct impact on the</w:t>
      </w:r>
      <w:r w:rsidR="00A43E39">
        <w:t xml:space="preserve"> rights and obligations of two Ministers</w:t>
      </w:r>
      <w:r w:rsidR="00A60451">
        <w:t xml:space="preserve"> in relation to the environmental rehabilitation gua</w:t>
      </w:r>
      <w:r w:rsidR="00294852">
        <w:t>rantee which had been furnished in respect of the property</w:t>
      </w:r>
      <w:r w:rsidR="00D9761E">
        <w:t xml:space="preserve"> upon which the mining activities are being conducted.</w:t>
      </w:r>
      <w:r w:rsidR="000D267D">
        <w:rPr>
          <w:rStyle w:val="FootnoteReference"/>
        </w:rPr>
        <w:footnoteReference w:id="2"/>
      </w:r>
    </w:p>
    <w:p w14:paraId="51380A1E" w14:textId="0C6D2049" w:rsidR="00D9761E" w:rsidRDefault="00E36AA6" w:rsidP="00E36AA6">
      <w:pPr>
        <w:tabs>
          <w:tab w:val="left" w:pos="927"/>
        </w:tabs>
        <w:spacing w:before="240" w:after="240" w:line="480" w:lineRule="auto"/>
        <w:ind w:left="924" w:hanging="567"/>
      </w:pPr>
      <w:r>
        <w:t>[12]</w:t>
      </w:r>
      <w:r>
        <w:tab/>
      </w:r>
      <w:r w:rsidR="00FF0DEC">
        <w:t xml:space="preserve">On the </w:t>
      </w:r>
      <w:r w:rsidR="00996639">
        <w:t>merits of the application, the R</w:t>
      </w:r>
      <w:r w:rsidR="00FF0DEC">
        <w:t>espondents</w:t>
      </w:r>
      <w:r w:rsidR="00B46849">
        <w:t xml:space="preserve"> </w:t>
      </w:r>
      <w:r w:rsidR="00C43D03">
        <w:t xml:space="preserve">contend that while the </w:t>
      </w:r>
      <w:r w:rsidR="00996639">
        <w:t>A</w:t>
      </w:r>
      <w:r w:rsidR="00120689">
        <w:t xml:space="preserve">pplicants rely heavily </w:t>
      </w:r>
      <w:r w:rsidR="00D85C95">
        <w:t>up</w:t>
      </w:r>
      <w:r w:rsidR="00120689">
        <w:t xml:space="preserve">on </w:t>
      </w:r>
      <w:r w:rsidR="00D85C95">
        <w:t xml:space="preserve">the terms and conditions of the </w:t>
      </w:r>
      <w:r w:rsidR="000E54C3">
        <w:t xml:space="preserve">separation agreement, which they have attached to their application, </w:t>
      </w:r>
      <w:r w:rsidR="00167984">
        <w:t>their affairs are intertwined and interwoven.</w:t>
      </w:r>
      <w:r w:rsidR="002B4512">
        <w:t xml:space="preserve"> For example, the </w:t>
      </w:r>
      <w:r w:rsidR="001D2393">
        <w:t>First and S</w:t>
      </w:r>
      <w:r w:rsidR="00996639">
        <w:t>econd A</w:t>
      </w:r>
      <w:r w:rsidR="00BE4BC1">
        <w:t>ppli</w:t>
      </w:r>
      <w:r w:rsidR="00996B9E">
        <w:t xml:space="preserve">cants </w:t>
      </w:r>
      <w:r w:rsidR="002871D6" w:rsidRPr="002871D6">
        <w:t>have their principal places of business, as well as their registered addresses, situated upon exactly the same premises.</w:t>
      </w:r>
    </w:p>
    <w:p w14:paraId="53F0D795" w14:textId="6FF65D08" w:rsidR="00EB5442" w:rsidRPr="00EB5442" w:rsidRDefault="00E36AA6" w:rsidP="00E36AA6">
      <w:pPr>
        <w:tabs>
          <w:tab w:val="left" w:pos="927"/>
        </w:tabs>
        <w:spacing w:before="240" w:after="240" w:line="480" w:lineRule="auto"/>
        <w:ind w:left="924" w:hanging="567"/>
      </w:pPr>
      <w:r w:rsidRPr="00EB5442">
        <w:t>[13]</w:t>
      </w:r>
      <w:r w:rsidRPr="00EB5442">
        <w:tab/>
      </w:r>
      <w:r w:rsidR="00996639">
        <w:t>The A</w:t>
      </w:r>
      <w:r w:rsidR="002D1A87">
        <w:t>pplicants share the same resources</w:t>
      </w:r>
      <w:r w:rsidR="00EB5442">
        <w:t xml:space="preserve"> and </w:t>
      </w:r>
      <w:r w:rsidR="00EB5442" w:rsidRPr="00EB5442">
        <w:t xml:space="preserve">the activities which are </w:t>
      </w:r>
      <w:r w:rsidR="00EB5442">
        <w:t>central to</w:t>
      </w:r>
      <w:r w:rsidR="00EB5442" w:rsidRPr="00EB5442">
        <w:t xml:space="preserve"> this application are being conducted on various portions of the farm Buffelsfontein 465 JQ, in the magisterial district of Rustenbur</w:t>
      </w:r>
      <w:r w:rsidR="00996639">
        <w:t>g, and in respect of which the Second A</w:t>
      </w:r>
      <w:r w:rsidR="00EB5442" w:rsidRPr="00EB5442">
        <w:t xml:space="preserve">pplicant holds a mining right. The mining right is to mine for platinum group metals and chrome (excluding chrome on the Remaining Extent of Portion 10) on the Remaining Portion 10, Remaining Extent of Portion 11, Remaining Extent of Portion 12, Portion 22 (portion of Portion 11), Portion 21 </w:t>
      </w:r>
      <w:r w:rsidR="00EB5442" w:rsidRPr="00EB5442">
        <w:lastRenderedPageBreak/>
        <w:t>(portion of Portion 11), Portion 22 (portion of Portion 11)</w:t>
      </w:r>
      <w:r w:rsidR="001A2E1E">
        <w:t>.</w:t>
      </w:r>
      <w:r w:rsidR="00A9627F">
        <w:t xml:space="preserve"> </w:t>
      </w:r>
      <w:r w:rsidR="00A9627F" w:rsidRPr="00A9627F">
        <w:t>Portion 23 (portion of Portion 11), Portion 24 (portion of Portion 11) and Portion 104 (portion of portion 11) of the farm Buffelsfontein 465 JQ ("the mining right").</w:t>
      </w:r>
      <w:r w:rsidR="001A2E1E">
        <w:rPr>
          <w:rStyle w:val="FootnoteReference"/>
        </w:rPr>
        <w:footnoteReference w:id="3"/>
      </w:r>
    </w:p>
    <w:p w14:paraId="4344893E" w14:textId="523F2D31" w:rsidR="00BA63C9" w:rsidRDefault="00E36AA6" w:rsidP="00E36AA6">
      <w:pPr>
        <w:tabs>
          <w:tab w:val="left" w:pos="927"/>
        </w:tabs>
        <w:spacing w:before="240" w:after="240" w:line="480" w:lineRule="auto"/>
        <w:ind w:left="924" w:hanging="567"/>
      </w:pPr>
      <w:r>
        <w:t>[14]</w:t>
      </w:r>
      <w:r>
        <w:tab/>
      </w:r>
      <w:r w:rsidR="00B075BA" w:rsidRPr="00B075BA">
        <w:t>The a</w:t>
      </w:r>
      <w:r w:rsidR="00996639">
        <w:t>ctivities now conducted by the First A</w:t>
      </w:r>
      <w:r w:rsidR="001D2393">
        <w:t>pplicant as well as the S</w:t>
      </w:r>
      <w:r w:rsidR="00996639">
        <w:t>econd A</w:t>
      </w:r>
      <w:r w:rsidR="00B075BA" w:rsidRPr="00B075BA">
        <w:t>pplicant were initially conducted by a company which previously held the mining right, but which company became ensnared in financial difficulties and which went into business rescue, namely International Ferro Metals SA (Pty) Ltd (in business rescue). The Applicants refer to this entity as "IFMSA".</w:t>
      </w:r>
      <w:r w:rsidR="00CB7548">
        <w:rPr>
          <w:rStyle w:val="FootnoteReference"/>
        </w:rPr>
        <w:footnoteReference w:id="4"/>
      </w:r>
    </w:p>
    <w:p w14:paraId="44DB6F63" w14:textId="3091DCC7" w:rsidR="00EB5442" w:rsidRDefault="00E36AA6" w:rsidP="00E36AA6">
      <w:pPr>
        <w:tabs>
          <w:tab w:val="left" w:pos="927"/>
        </w:tabs>
        <w:spacing w:before="240" w:after="240" w:line="480" w:lineRule="auto"/>
        <w:ind w:left="924" w:hanging="567"/>
      </w:pPr>
      <w:r>
        <w:t>[15]</w:t>
      </w:r>
      <w:r>
        <w:tab/>
      </w:r>
      <w:r w:rsidR="00524950" w:rsidRPr="00524950">
        <w:t>The Applicants allege that this business previously conducted by IFMSA was effectively split up or separated in the sense that the Second Applicant acquired the mining right and proceeded with the mining activities and the First Applicant acquired what it describes in its papers as the smelting operations.</w:t>
      </w:r>
    </w:p>
    <w:p w14:paraId="0D34381E" w14:textId="0A7AD7C0" w:rsidR="00524950" w:rsidRDefault="00E36AA6" w:rsidP="00E36AA6">
      <w:pPr>
        <w:tabs>
          <w:tab w:val="left" w:pos="927"/>
        </w:tabs>
        <w:spacing w:before="240" w:after="240" w:line="480" w:lineRule="auto"/>
        <w:ind w:left="924" w:hanging="567"/>
      </w:pPr>
      <w:r>
        <w:t>[16]</w:t>
      </w:r>
      <w:r>
        <w:tab/>
      </w:r>
      <w:r w:rsidR="009A72DA">
        <w:t>I</w:t>
      </w:r>
      <w:r w:rsidR="0007572C">
        <w:t>F</w:t>
      </w:r>
      <w:r w:rsidR="009A72DA">
        <w:t>MSA</w:t>
      </w:r>
      <w:r w:rsidR="0007572C">
        <w:t xml:space="preserve"> </w:t>
      </w:r>
      <w:r w:rsidR="000262D4">
        <w:t xml:space="preserve">has historically conducted </w:t>
      </w:r>
      <w:r w:rsidR="00A95CDA">
        <w:t>operations which constituted the business of a mine</w:t>
      </w:r>
      <w:r w:rsidR="00E64470">
        <w:t xml:space="preserve"> and was understood by the regulatory authorities as such</w:t>
      </w:r>
      <w:r w:rsidR="00D922C0">
        <w:t>, including with regar</w:t>
      </w:r>
      <w:r w:rsidR="00A3754B">
        <w:t xml:space="preserve">d to its acquisition of the mining right and in its provision </w:t>
      </w:r>
      <w:r w:rsidR="00897E6B">
        <w:t>of</w:t>
      </w:r>
      <w:r w:rsidR="00080AF6">
        <w:t xml:space="preserve"> post</w:t>
      </w:r>
      <w:r w:rsidR="004525C6">
        <w:t>-</w:t>
      </w:r>
      <w:r w:rsidR="00613C76">
        <w:t>operation environmental</w:t>
      </w:r>
      <w:r w:rsidR="00897E6B">
        <w:t xml:space="preserve"> rehabilitation </w:t>
      </w:r>
      <w:r w:rsidR="00080AF6">
        <w:t xml:space="preserve">guarantees. </w:t>
      </w:r>
    </w:p>
    <w:p w14:paraId="1B26830E" w14:textId="581410AA" w:rsidR="001275AA" w:rsidRDefault="00E36AA6" w:rsidP="00E36AA6">
      <w:pPr>
        <w:tabs>
          <w:tab w:val="left" w:pos="927"/>
        </w:tabs>
        <w:spacing w:before="240" w:after="240" w:line="480" w:lineRule="auto"/>
        <w:ind w:left="924" w:hanging="567"/>
      </w:pPr>
      <w:r>
        <w:t>[17]</w:t>
      </w:r>
      <w:r>
        <w:tab/>
      </w:r>
      <w:r w:rsidR="004525C6">
        <w:t xml:space="preserve">The separation effected by way of </w:t>
      </w:r>
      <w:r w:rsidR="00683253">
        <w:t xml:space="preserve">the separation agreement is not such that it </w:t>
      </w:r>
      <w:r w:rsidR="00927B33">
        <w:t xml:space="preserve">successfully achieved the kind of separation </w:t>
      </w:r>
      <w:r w:rsidR="00613C76" w:rsidRPr="00613C76">
        <w:t xml:space="preserve">which would render the provisions of the Mine Health and Safety Act, 29 of 1996 ("the MHSA"), inapplicable to the </w:t>
      </w:r>
      <w:r w:rsidR="00613C76" w:rsidRPr="00613C76">
        <w:lastRenderedPageBreak/>
        <w:t>operations conducted by the First Applicant.</w:t>
      </w:r>
      <w:r w:rsidR="00C574B5">
        <w:t xml:space="preserve"> This </w:t>
      </w:r>
      <w:r w:rsidR="001C226B">
        <w:t xml:space="preserve">is so for </w:t>
      </w:r>
      <w:r w:rsidR="001275AA">
        <w:t>reasons that follow hereunder.</w:t>
      </w:r>
    </w:p>
    <w:p w14:paraId="0AE663DF" w14:textId="27D40A53" w:rsidR="00472848" w:rsidRDefault="00E36AA6" w:rsidP="00E36AA6">
      <w:pPr>
        <w:tabs>
          <w:tab w:val="left" w:pos="927"/>
        </w:tabs>
        <w:spacing w:before="240" w:after="240" w:line="480" w:lineRule="auto"/>
        <w:ind w:left="924" w:hanging="567"/>
      </w:pPr>
      <w:r>
        <w:t>[18]</w:t>
      </w:r>
      <w:r>
        <w:tab/>
      </w:r>
      <w:r w:rsidR="004F7FF6">
        <w:t>Annexure “FA4”</w:t>
      </w:r>
      <w:r w:rsidR="003E3DED">
        <w:t xml:space="preserve"> is a copy of the separation agreement</w:t>
      </w:r>
      <w:r w:rsidR="004414A0">
        <w:t xml:space="preserve"> and from the terms and co</w:t>
      </w:r>
      <w:r w:rsidR="00B62322">
        <w:t>nditions it is apparent</w:t>
      </w:r>
      <w:r w:rsidR="001275AA">
        <w:t xml:space="preserve"> that:</w:t>
      </w:r>
      <w:r w:rsidR="004735A9">
        <w:t xml:space="preserve"> </w:t>
      </w:r>
    </w:p>
    <w:p w14:paraId="144F24A2" w14:textId="56EEF372" w:rsidR="007A6F08" w:rsidRPr="00A850F6" w:rsidRDefault="00E36AA6" w:rsidP="00E36AA6">
      <w:pPr>
        <w:pStyle w:val="LegalHeading2"/>
        <w:numPr>
          <w:ilvl w:val="0"/>
          <w:numId w:val="0"/>
        </w:numPr>
        <w:tabs>
          <w:tab w:val="left" w:pos="2629"/>
        </w:tabs>
        <w:ind w:left="2629" w:hanging="1134"/>
        <w:rPr>
          <w:b w:val="0"/>
          <w:bCs/>
        </w:rPr>
      </w:pPr>
      <w:r w:rsidRPr="00A850F6">
        <w:rPr>
          <w:rFonts w:cs="Arial"/>
          <w:b w:val="0"/>
          <w:bCs/>
        </w:rPr>
        <w:t>18.1</w:t>
      </w:r>
      <w:r w:rsidRPr="00A850F6">
        <w:rPr>
          <w:rFonts w:cs="Arial"/>
          <w:b w:val="0"/>
          <w:bCs/>
        </w:rPr>
        <w:tab/>
      </w:r>
      <w:r w:rsidR="00D86FBD" w:rsidRPr="00A850F6">
        <w:rPr>
          <w:b w:val="0"/>
          <w:bCs/>
        </w:rPr>
        <w:t xml:space="preserve">Clause 1.3.31 refers to </w:t>
      </w:r>
      <w:r w:rsidR="00472848" w:rsidRPr="00A850F6">
        <w:rPr>
          <w:b w:val="0"/>
          <w:bCs/>
        </w:rPr>
        <w:t xml:space="preserve">the conclusion of sale of business agreement between the parties entered into on 16 March 2016 in terms of which IFMSA wishes to sell to the First Applicant, who wishes to purchase, the business conducted by IFMSA as </w:t>
      </w:r>
      <w:r w:rsidR="00472848" w:rsidRPr="000C31B4">
        <w:t>a going concern</w:t>
      </w:r>
      <w:r w:rsidR="00472848" w:rsidRPr="00A850F6">
        <w:rPr>
          <w:b w:val="0"/>
          <w:bCs/>
        </w:rPr>
        <w:t xml:space="preserve"> in terms of which, inter alia, IFMSA owns and operates </w:t>
      </w:r>
      <w:r w:rsidR="00472848" w:rsidRPr="000C31B4">
        <w:t>a pelletising and sinter plant and furnace operations in relation to IFMSA's Lesedi mine.</w:t>
      </w:r>
      <w:r w:rsidR="00472848" w:rsidRPr="00A850F6">
        <w:rPr>
          <w:b w:val="0"/>
          <w:bCs/>
        </w:rPr>
        <w:t xml:space="preserve"> These operations are </w:t>
      </w:r>
      <w:r w:rsidR="00F63FA2" w:rsidRPr="00A850F6">
        <w:rPr>
          <w:b w:val="0"/>
          <w:bCs/>
        </w:rPr>
        <w:t xml:space="preserve">in fact the smelting operations </w:t>
      </w:r>
      <w:r w:rsidR="000F2DBE" w:rsidRPr="00A850F6">
        <w:rPr>
          <w:b w:val="0"/>
          <w:bCs/>
        </w:rPr>
        <w:t>as more fully described in the Applicant’s founding affidavit.</w:t>
      </w:r>
      <w:r w:rsidR="00A71641" w:rsidRPr="00A850F6">
        <w:rPr>
          <w:b w:val="0"/>
          <w:bCs/>
        </w:rPr>
        <w:t xml:space="preserve"> </w:t>
      </w:r>
    </w:p>
    <w:p w14:paraId="65ED7107" w14:textId="07F4D729" w:rsidR="00003C64" w:rsidRPr="00A850F6" w:rsidRDefault="00E36AA6" w:rsidP="00E36AA6">
      <w:pPr>
        <w:pStyle w:val="LegalHeading2"/>
        <w:numPr>
          <w:ilvl w:val="0"/>
          <w:numId w:val="0"/>
        </w:numPr>
        <w:tabs>
          <w:tab w:val="left" w:pos="2629"/>
        </w:tabs>
        <w:ind w:left="2629" w:hanging="1134"/>
        <w:rPr>
          <w:b w:val="0"/>
          <w:bCs/>
        </w:rPr>
      </w:pPr>
      <w:r w:rsidRPr="00A850F6">
        <w:rPr>
          <w:rFonts w:cs="Arial"/>
          <w:b w:val="0"/>
          <w:bCs/>
        </w:rPr>
        <w:t>18.2</w:t>
      </w:r>
      <w:r w:rsidRPr="00A850F6">
        <w:rPr>
          <w:rFonts w:cs="Arial"/>
          <w:b w:val="0"/>
          <w:bCs/>
        </w:rPr>
        <w:tab/>
      </w:r>
      <w:r w:rsidR="00A71641" w:rsidRPr="00A850F6">
        <w:rPr>
          <w:b w:val="0"/>
          <w:bCs/>
        </w:rPr>
        <w:t>Clause 1.3.33</w:t>
      </w:r>
      <w:r w:rsidR="007A6F08" w:rsidRPr="00A850F6">
        <w:rPr>
          <w:b w:val="0"/>
          <w:bCs/>
        </w:rPr>
        <w:t xml:space="preserve"> envisaged the conclusion of a sale of the </w:t>
      </w:r>
      <w:r w:rsidR="007A6F08" w:rsidRPr="000C31B4">
        <w:t>mining right</w:t>
      </w:r>
      <w:r w:rsidR="007A6F08" w:rsidRPr="00A850F6">
        <w:rPr>
          <w:b w:val="0"/>
          <w:bCs/>
        </w:rPr>
        <w:t xml:space="preserve"> and </w:t>
      </w:r>
      <w:r w:rsidR="007A6F08" w:rsidRPr="000C31B4">
        <w:t>beneficiation plant</w:t>
      </w:r>
      <w:r w:rsidR="007A6F08" w:rsidRPr="00A850F6">
        <w:rPr>
          <w:b w:val="0"/>
          <w:bCs/>
        </w:rPr>
        <w:t xml:space="preserve"> agreement between IFMSA and another company, namely K2015356066 </w:t>
      </w:r>
      <w:r w:rsidR="009D03AA">
        <w:rPr>
          <w:b w:val="0"/>
          <w:bCs/>
        </w:rPr>
        <w:t>(</w:t>
      </w:r>
      <w:r w:rsidR="007A6F08" w:rsidRPr="00A850F6">
        <w:rPr>
          <w:b w:val="0"/>
          <w:bCs/>
        </w:rPr>
        <w:t>South Africa</w:t>
      </w:r>
      <w:r w:rsidR="009D03AA">
        <w:rPr>
          <w:b w:val="0"/>
          <w:bCs/>
        </w:rPr>
        <w:t>)</w:t>
      </w:r>
      <w:r w:rsidR="007A6F08" w:rsidRPr="00A850F6">
        <w:rPr>
          <w:b w:val="0"/>
          <w:bCs/>
        </w:rPr>
        <w:t xml:space="preserve"> (Pty) Ltd. However, as is clear from the founding affidavit the mining right was in fact acquired by the Second Applicant which is not the company referred to in clause 1.3.33.</w:t>
      </w:r>
      <w:r w:rsidR="00D41193" w:rsidRPr="00A850F6">
        <w:rPr>
          <w:b w:val="0"/>
          <w:bCs/>
        </w:rPr>
        <w:t xml:space="preserve"> </w:t>
      </w:r>
    </w:p>
    <w:p w14:paraId="293C7F26" w14:textId="02EAE236" w:rsidR="00173057" w:rsidRPr="00A850F6" w:rsidRDefault="00E36AA6" w:rsidP="00E36AA6">
      <w:pPr>
        <w:pStyle w:val="LegalHeading2"/>
        <w:numPr>
          <w:ilvl w:val="0"/>
          <w:numId w:val="0"/>
        </w:numPr>
        <w:tabs>
          <w:tab w:val="left" w:pos="2629"/>
        </w:tabs>
        <w:ind w:left="2629" w:hanging="1134"/>
        <w:rPr>
          <w:b w:val="0"/>
          <w:bCs/>
        </w:rPr>
      </w:pPr>
      <w:r w:rsidRPr="00A850F6">
        <w:rPr>
          <w:rFonts w:cs="Arial"/>
          <w:b w:val="0"/>
          <w:bCs/>
        </w:rPr>
        <w:t>18.3</w:t>
      </w:r>
      <w:r w:rsidRPr="00A850F6">
        <w:rPr>
          <w:rFonts w:cs="Arial"/>
          <w:b w:val="0"/>
          <w:bCs/>
        </w:rPr>
        <w:tab/>
      </w:r>
      <w:r w:rsidR="00B32EA7" w:rsidRPr="00A850F6">
        <w:rPr>
          <w:b w:val="0"/>
          <w:bCs/>
        </w:rPr>
        <w:t>Clause</w:t>
      </w:r>
      <w:r w:rsidR="00003C64" w:rsidRPr="00A850F6">
        <w:rPr>
          <w:b w:val="0"/>
          <w:bCs/>
        </w:rPr>
        <w:t xml:space="preserve"> </w:t>
      </w:r>
      <w:r w:rsidR="00B32EA7" w:rsidRPr="00A850F6">
        <w:rPr>
          <w:b w:val="0"/>
          <w:bCs/>
        </w:rPr>
        <w:t xml:space="preserve">2.3 </w:t>
      </w:r>
      <w:r w:rsidR="00003C64" w:rsidRPr="00A850F6">
        <w:rPr>
          <w:b w:val="0"/>
          <w:bCs/>
        </w:rPr>
        <w:t>expressly record</w:t>
      </w:r>
      <w:r w:rsidR="00B32EA7" w:rsidRPr="00A850F6">
        <w:rPr>
          <w:b w:val="0"/>
          <w:bCs/>
        </w:rPr>
        <w:t>s</w:t>
      </w:r>
      <w:r w:rsidR="00003C64" w:rsidRPr="00A850F6">
        <w:rPr>
          <w:b w:val="0"/>
          <w:bCs/>
        </w:rPr>
        <w:t xml:space="preserve"> that in order to ensure that IFMSA is able to operate the mine, that entity will require </w:t>
      </w:r>
      <w:r w:rsidR="00003C64" w:rsidRPr="000C31B4">
        <w:t xml:space="preserve">use and </w:t>
      </w:r>
      <w:r w:rsidR="00003C64" w:rsidRPr="000C31B4">
        <w:lastRenderedPageBreak/>
        <w:t>access to certain of the business assets</w:t>
      </w:r>
      <w:r w:rsidR="00003C64" w:rsidRPr="00A850F6">
        <w:rPr>
          <w:b w:val="0"/>
          <w:bCs/>
        </w:rPr>
        <w:t xml:space="preserve"> which the First Applicant purchased in terms of annexure "FA4". Furthermore, the same clause also envisaged that the First Applicant would be able to operate the plant but would require for that purpose </w:t>
      </w:r>
      <w:r w:rsidR="00003C64" w:rsidRPr="00916DAD">
        <w:t>use and access to certain of the mining assets.</w:t>
      </w:r>
      <w:r w:rsidR="009570ED" w:rsidRPr="00A850F6">
        <w:rPr>
          <w:b w:val="0"/>
          <w:bCs/>
        </w:rPr>
        <w:t xml:space="preserve"> </w:t>
      </w:r>
    </w:p>
    <w:p w14:paraId="3BE3ADEB" w14:textId="55B7B014" w:rsidR="00A850F6" w:rsidRPr="00916DAD" w:rsidRDefault="00E36AA6" w:rsidP="00E36AA6">
      <w:pPr>
        <w:pStyle w:val="LegalHeading2"/>
        <w:numPr>
          <w:ilvl w:val="0"/>
          <w:numId w:val="0"/>
        </w:numPr>
        <w:tabs>
          <w:tab w:val="left" w:pos="2629"/>
        </w:tabs>
        <w:ind w:left="2629" w:hanging="1134"/>
      </w:pPr>
      <w:r w:rsidRPr="00916DAD">
        <w:rPr>
          <w:rFonts w:cs="Arial"/>
          <w:b w:val="0"/>
        </w:rPr>
        <w:t>18.4</w:t>
      </w:r>
      <w:r w:rsidRPr="00916DAD">
        <w:rPr>
          <w:rFonts w:cs="Arial"/>
          <w:b w:val="0"/>
        </w:rPr>
        <w:tab/>
      </w:r>
      <w:r w:rsidR="00173057" w:rsidRPr="00A850F6">
        <w:rPr>
          <w:b w:val="0"/>
          <w:bCs/>
        </w:rPr>
        <w:t xml:space="preserve">Clauses 2.4.1 and 2.4.2 deal with the rights of respectively the First Applicant and IFMSA </w:t>
      </w:r>
      <w:r w:rsidR="00173057" w:rsidRPr="00916DAD">
        <w:t>to use each other's assets and to have access to the assets.</w:t>
      </w:r>
      <w:r w:rsidR="00A850F6" w:rsidRPr="00916DAD">
        <w:t xml:space="preserve"> </w:t>
      </w:r>
    </w:p>
    <w:p w14:paraId="5986B422" w14:textId="2FCC8FDC" w:rsidR="00D442C3" w:rsidRPr="00D442C3" w:rsidRDefault="00E36AA6" w:rsidP="00E36AA6">
      <w:pPr>
        <w:pStyle w:val="LegalHeading2"/>
        <w:numPr>
          <w:ilvl w:val="0"/>
          <w:numId w:val="0"/>
        </w:numPr>
        <w:tabs>
          <w:tab w:val="left" w:pos="2629"/>
        </w:tabs>
        <w:ind w:left="2629" w:hanging="1134"/>
      </w:pPr>
      <w:r w:rsidRPr="00D442C3">
        <w:rPr>
          <w:rFonts w:cs="Arial"/>
          <w:b w:val="0"/>
        </w:rPr>
        <w:t>18.5</w:t>
      </w:r>
      <w:r w:rsidRPr="00D442C3">
        <w:rPr>
          <w:rFonts w:cs="Arial"/>
          <w:b w:val="0"/>
        </w:rPr>
        <w:tab/>
      </w:r>
      <w:r w:rsidR="00A850F6" w:rsidRPr="00A850F6">
        <w:rPr>
          <w:b w:val="0"/>
          <w:bCs/>
        </w:rPr>
        <w:t xml:space="preserve">Clause 5 of the agreement envisages a joint operation and for that purpose a </w:t>
      </w:r>
      <w:r w:rsidR="00A850F6" w:rsidRPr="00916DAD">
        <w:t>joint operating committee</w:t>
      </w:r>
      <w:r w:rsidR="00A850F6" w:rsidRPr="00A850F6">
        <w:rPr>
          <w:b w:val="0"/>
          <w:bCs/>
        </w:rPr>
        <w:t xml:space="preserve"> was established.</w:t>
      </w:r>
      <w:r w:rsidR="00B453AF">
        <w:rPr>
          <w:b w:val="0"/>
          <w:bCs/>
        </w:rPr>
        <w:t xml:space="preserve"> </w:t>
      </w:r>
    </w:p>
    <w:p w14:paraId="69DA8F6E" w14:textId="04A457E5" w:rsidR="0096258F" w:rsidRDefault="00E36AA6" w:rsidP="00E36AA6">
      <w:pPr>
        <w:pStyle w:val="LegalHeading2"/>
        <w:numPr>
          <w:ilvl w:val="0"/>
          <w:numId w:val="0"/>
        </w:numPr>
        <w:tabs>
          <w:tab w:val="left" w:pos="2629"/>
        </w:tabs>
        <w:ind w:left="2629" w:hanging="1134"/>
        <w:rPr>
          <w:b w:val="0"/>
          <w:bCs/>
        </w:rPr>
      </w:pPr>
      <w:r>
        <w:rPr>
          <w:rFonts w:cs="Arial"/>
          <w:b w:val="0"/>
          <w:bCs/>
        </w:rPr>
        <w:t>18.6</w:t>
      </w:r>
      <w:r>
        <w:rPr>
          <w:rFonts w:cs="Arial"/>
          <w:b w:val="0"/>
          <w:bCs/>
        </w:rPr>
        <w:tab/>
      </w:r>
      <w:r w:rsidR="00B453AF" w:rsidRPr="00D442C3">
        <w:rPr>
          <w:b w:val="0"/>
          <w:bCs/>
        </w:rPr>
        <w:t>Clause</w:t>
      </w:r>
      <w:r w:rsidR="00345992" w:rsidRPr="00D442C3">
        <w:rPr>
          <w:b w:val="0"/>
          <w:bCs/>
        </w:rPr>
        <w:t xml:space="preserve"> </w:t>
      </w:r>
      <w:r w:rsidR="006A2993" w:rsidRPr="00D442C3">
        <w:rPr>
          <w:b w:val="0"/>
          <w:bCs/>
        </w:rPr>
        <w:t>6.1.1.5</w:t>
      </w:r>
      <w:r w:rsidR="00AF3B68" w:rsidRPr="00D442C3">
        <w:rPr>
          <w:b w:val="0"/>
          <w:bCs/>
        </w:rPr>
        <w:t xml:space="preserve"> provides </w:t>
      </w:r>
      <w:r w:rsidR="00391204" w:rsidRPr="00D442C3">
        <w:rPr>
          <w:b w:val="0"/>
          <w:bCs/>
        </w:rPr>
        <w:t xml:space="preserve">that the </w:t>
      </w:r>
      <w:r w:rsidR="002607D6" w:rsidRPr="00D442C3">
        <w:rPr>
          <w:b w:val="0"/>
          <w:bCs/>
        </w:rPr>
        <w:t xml:space="preserve">First Applicant would, for purposes </w:t>
      </w:r>
      <w:r w:rsidR="00D442C3" w:rsidRPr="00D442C3">
        <w:rPr>
          <w:b w:val="0"/>
          <w:bCs/>
        </w:rPr>
        <w:t xml:space="preserve">of health and safety laws nominate a representative with appropriate experience as the designated CEO in terms of Section 2A(3) of the MHSA with health and safety responsibility for the plant and its operations. This clearly envisaged, without any doubt, that by concluding annexure "FA4" the parties therefore clearly accepted that the operations of the First Applicant would be subject to the provisions of the MHSA. The purpose of this application is therefore to </w:t>
      </w:r>
      <w:r w:rsidR="00D442C3">
        <w:rPr>
          <w:b w:val="0"/>
          <w:bCs/>
        </w:rPr>
        <w:t xml:space="preserve">obtain </w:t>
      </w:r>
      <w:r w:rsidR="00137BD3">
        <w:rPr>
          <w:b w:val="0"/>
          <w:bCs/>
        </w:rPr>
        <w:t xml:space="preserve">the </w:t>
      </w:r>
      <w:r w:rsidR="00D442C3" w:rsidRPr="00D442C3">
        <w:rPr>
          <w:b w:val="0"/>
          <w:bCs/>
        </w:rPr>
        <w:t xml:space="preserve">direct opposite of what was clearly accepted in the agreement, </w:t>
      </w:r>
      <w:r w:rsidR="00D442C3" w:rsidRPr="00D442C3">
        <w:rPr>
          <w:b w:val="0"/>
          <w:bCs/>
        </w:rPr>
        <w:lastRenderedPageBreak/>
        <w:t>because in the application the Applicants seek a declarator that the operations are not subject to the MHSA.</w:t>
      </w:r>
      <w:r w:rsidR="00137BD3">
        <w:rPr>
          <w:b w:val="0"/>
          <w:bCs/>
        </w:rPr>
        <w:t xml:space="preserve"> </w:t>
      </w:r>
    </w:p>
    <w:p w14:paraId="2ACCD0AE" w14:textId="4F72DD65" w:rsidR="00D442C3" w:rsidRPr="0023366A" w:rsidRDefault="00E36AA6" w:rsidP="00E36AA6">
      <w:pPr>
        <w:pStyle w:val="LegalHeading2"/>
        <w:numPr>
          <w:ilvl w:val="0"/>
          <w:numId w:val="0"/>
        </w:numPr>
        <w:tabs>
          <w:tab w:val="left" w:pos="2629"/>
        </w:tabs>
        <w:ind w:left="2629" w:hanging="1134"/>
        <w:rPr>
          <w:b w:val="0"/>
          <w:bCs/>
          <w:i/>
          <w:iCs/>
        </w:rPr>
      </w:pPr>
      <w:r w:rsidRPr="0023366A">
        <w:rPr>
          <w:rFonts w:cs="Arial"/>
          <w:b w:val="0"/>
          <w:bCs/>
          <w:iCs/>
        </w:rPr>
        <w:t>18.7</w:t>
      </w:r>
      <w:r w:rsidRPr="0023366A">
        <w:rPr>
          <w:rFonts w:cs="Arial"/>
          <w:b w:val="0"/>
          <w:bCs/>
          <w:iCs/>
        </w:rPr>
        <w:tab/>
      </w:r>
      <w:r w:rsidR="00DF65FF">
        <w:rPr>
          <w:b w:val="0"/>
          <w:bCs/>
        </w:rPr>
        <w:t>In terms of Clause 6.1.1.6.2</w:t>
      </w:r>
      <w:r w:rsidR="0096258F">
        <w:rPr>
          <w:b w:val="0"/>
          <w:bCs/>
        </w:rPr>
        <w:t xml:space="preserve"> </w:t>
      </w:r>
      <w:r w:rsidR="0096258F" w:rsidRPr="0096258F">
        <w:rPr>
          <w:b w:val="0"/>
          <w:bCs/>
        </w:rPr>
        <w:t>the appointment of the appointee mentioned in clause 1.1.1.5 shall terminate only on the date on which the requisite approval of the relevant authority is granted for the exemption of the plant from the ambit of the MHSA in accordance with the provisions of Section 79 of the MHSA,</w:t>
      </w:r>
      <w:r w:rsidR="00171E6D">
        <w:rPr>
          <w:rStyle w:val="FootnoteReference"/>
          <w:b w:val="0"/>
          <w:bCs/>
        </w:rPr>
        <w:footnoteReference w:id="5"/>
      </w:r>
      <w:r w:rsidR="0096258F" w:rsidRPr="0096258F">
        <w:rPr>
          <w:b w:val="0"/>
          <w:bCs/>
        </w:rPr>
        <w:t xml:space="preserve"> either unconditionally or subject to such conditions as have been approved in writing. This was referred to as the </w:t>
      </w:r>
      <w:r w:rsidR="0096258F" w:rsidRPr="0023366A">
        <w:rPr>
          <w:b w:val="0"/>
          <w:bCs/>
          <w:i/>
          <w:iCs/>
        </w:rPr>
        <w:t xml:space="preserve">"exemption </w:t>
      </w:r>
      <w:r w:rsidR="00A76AA1" w:rsidRPr="0023366A">
        <w:rPr>
          <w:b w:val="0"/>
          <w:bCs/>
          <w:i/>
          <w:iCs/>
        </w:rPr>
        <w:t>approval</w:t>
      </w:r>
      <w:r w:rsidR="0096258F" w:rsidRPr="0023366A">
        <w:rPr>
          <w:b w:val="0"/>
          <w:bCs/>
          <w:i/>
          <w:iCs/>
        </w:rPr>
        <w:t>".</w:t>
      </w:r>
    </w:p>
    <w:p w14:paraId="30AE7280" w14:textId="5C78F4C2" w:rsidR="000C31B4" w:rsidRPr="009831EF" w:rsidRDefault="009831EF" w:rsidP="000C31B4">
      <w:pPr>
        <w:pStyle w:val="LegalBodyText2"/>
        <w:rPr>
          <w:b/>
          <w:bCs/>
        </w:rPr>
      </w:pPr>
      <w:r w:rsidRPr="009831EF">
        <w:rPr>
          <w:b/>
          <w:bCs/>
        </w:rPr>
        <w:t>[Empasis added]</w:t>
      </w:r>
    </w:p>
    <w:p w14:paraId="52AF679B" w14:textId="0080275D" w:rsidR="004735A9" w:rsidRDefault="00E36AA6" w:rsidP="00E36AA6">
      <w:pPr>
        <w:tabs>
          <w:tab w:val="left" w:pos="927"/>
        </w:tabs>
        <w:spacing w:before="240" w:after="240" w:line="480" w:lineRule="auto"/>
        <w:ind w:left="924" w:hanging="567"/>
      </w:pPr>
      <w:r>
        <w:t>[19]</w:t>
      </w:r>
      <w:r>
        <w:tab/>
      </w:r>
      <w:r w:rsidR="009831EF">
        <w:t xml:space="preserve">The above highlights </w:t>
      </w:r>
      <w:r w:rsidR="00896110">
        <w:t>the Respondents’ contention that the activities</w:t>
      </w:r>
      <w:r w:rsidR="0004090C">
        <w:t xml:space="preserve"> are intertwined and intermingled.</w:t>
      </w:r>
    </w:p>
    <w:p w14:paraId="74096BFD" w14:textId="77777777" w:rsidR="00085C37" w:rsidRDefault="00085C37" w:rsidP="00085C37">
      <w:pPr>
        <w:pStyle w:val="ListParagraph"/>
        <w:spacing w:before="240" w:after="240" w:line="480" w:lineRule="auto"/>
        <w:ind w:left="924"/>
        <w:contextualSpacing w:val="0"/>
      </w:pPr>
    </w:p>
    <w:p w14:paraId="379277B4" w14:textId="37BB6BFD" w:rsidR="00085C37" w:rsidRPr="00E36AA6" w:rsidRDefault="00E36AA6" w:rsidP="00E36AA6">
      <w:pPr>
        <w:spacing w:before="240" w:after="240" w:line="480" w:lineRule="auto"/>
        <w:ind w:left="714" w:hanging="357"/>
        <w:rPr>
          <w:b/>
          <w:bCs/>
        </w:rPr>
      </w:pPr>
      <w:r w:rsidRPr="003F7AC2">
        <w:rPr>
          <w:b/>
          <w:bCs/>
        </w:rPr>
        <w:t>D.</w:t>
      </w:r>
      <w:r w:rsidRPr="003F7AC2">
        <w:rPr>
          <w:b/>
          <w:bCs/>
        </w:rPr>
        <w:tab/>
      </w:r>
      <w:r w:rsidR="00D3116C" w:rsidRPr="00E36AA6">
        <w:rPr>
          <w:b/>
          <w:bCs/>
        </w:rPr>
        <w:t>ANALYSIS</w:t>
      </w:r>
    </w:p>
    <w:p w14:paraId="6F76B1DE" w14:textId="0C0B6917" w:rsidR="00085C37" w:rsidRPr="00E36AA6" w:rsidRDefault="00E36AA6" w:rsidP="00E36AA6">
      <w:pPr>
        <w:tabs>
          <w:tab w:val="left" w:pos="927"/>
        </w:tabs>
        <w:spacing w:before="240" w:after="240" w:line="480" w:lineRule="auto"/>
        <w:ind w:left="924" w:hanging="567"/>
        <w:rPr>
          <w:b/>
          <w:bCs/>
        </w:rPr>
      </w:pPr>
      <w:r w:rsidRPr="00554490">
        <w:rPr>
          <w:bCs/>
        </w:rPr>
        <w:lastRenderedPageBreak/>
        <w:t>[20]</w:t>
      </w:r>
      <w:r w:rsidRPr="00554490">
        <w:rPr>
          <w:bCs/>
        </w:rPr>
        <w:tab/>
      </w:r>
      <w:r w:rsidR="00083AD2">
        <w:t>The Applicants have attached correspondence</w:t>
      </w:r>
      <w:r w:rsidR="001D4862">
        <w:t xml:space="preserve"> which attests to </w:t>
      </w:r>
      <w:r w:rsidR="003479E9">
        <w:t xml:space="preserve">preliminary discussions </w:t>
      </w:r>
      <w:r w:rsidR="001D4862">
        <w:t>betw</w:t>
      </w:r>
      <w:r w:rsidR="003479E9">
        <w:t xml:space="preserve">een themselves and </w:t>
      </w:r>
      <w:r w:rsidR="00E22FFF">
        <w:t xml:space="preserve">the Mine Health and Safety Inspectorate in </w:t>
      </w:r>
      <w:r w:rsidR="005C1BEA">
        <w:t>the North-West Province.</w:t>
      </w:r>
      <w:r w:rsidR="005C1BEA">
        <w:rPr>
          <w:rStyle w:val="FootnoteReference"/>
        </w:rPr>
        <w:footnoteReference w:id="6"/>
      </w:r>
    </w:p>
    <w:p w14:paraId="67C5633B" w14:textId="20DA08B0" w:rsidR="00554490" w:rsidRPr="00E36AA6" w:rsidRDefault="00E36AA6" w:rsidP="00E36AA6">
      <w:pPr>
        <w:tabs>
          <w:tab w:val="left" w:pos="927"/>
        </w:tabs>
        <w:spacing w:before="240" w:after="240" w:line="480" w:lineRule="auto"/>
        <w:ind w:left="924" w:hanging="567"/>
        <w:rPr>
          <w:b/>
          <w:bCs/>
        </w:rPr>
      </w:pPr>
      <w:r w:rsidRPr="0074655B">
        <w:rPr>
          <w:bCs/>
        </w:rPr>
        <w:t>[21]</w:t>
      </w:r>
      <w:r w:rsidRPr="0074655B">
        <w:rPr>
          <w:bCs/>
        </w:rPr>
        <w:tab/>
      </w:r>
      <w:r w:rsidR="00554490">
        <w:t xml:space="preserve">The Applicants also </w:t>
      </w:r>
      <w:r w:rsidR="005B540E">
        <w:t>engaged with the Department of Employment and Labour</w:t>
      </w:r>
      <w:r w:rsidR="00C90785">
        <w:t>.</w:t>
      </w:r>
      <w:r w:rsidR="00C90785">
        <w:rPr>
          <w:rStyle w:val="FootnoteReference"/>
        </w:rPr>
        <w:footnoteReference w:id="7"/>
      </w:r>
      <w:r w:rsidR="008825B6">
        <w:t xml:space="preserve"> The </w:t>
      </w:r>
      <w:r w:rsidR="00C95216">
        <w:t>Applicants were endeavouring to have the provisions of the</w:t>
      </w:r>
      <w:r w:rsidR="00C446AD">
        <w:t xml:space="preserve"> OHSA to be made applicable to the Operations of TC Smelters.</w:t>
      </w:r>
    </w:p>
    <w:p w14:paraId="5C414CAF" w14:textId="6C82AD8F" w:rsidR="00526B1A" w:rsidRPr="00E36AA6" w:rsidRDefault="00E36AA6" w:rsidP="00E36AA6">
      <w:pPr>
        <w:tabs>
          <w:tab w:val="left" w:pos="927"/>
        </w:tabs>
        <w:spacing w:before="240" w:after="240" w:line="480" w:lineRule="auto"/>
        <w:ind w:left="924" w:hanging="567"/>
        <w:rPr>
          <w:b/>
          <w:bCs/>
        </w:rPr>
      </w:pPr>
      <w:r w:rsidRPr="00526B1A">
        <w:rPr>
          <w:bCs/>
        </w:rPr>
        <w:t>[22]</w:t>
      </w:r>
      <w:r w:rsidRPr="00526B1A">
        <w:rPr>
          <w:bCs/>
        </w:rPr>
        <w:tab/>
      </w:r>
      <w:r w:rsidR="00B141E9">
        <w:t xml:space="preserve">Further correspondence is Annexure </w:t>
      </w:r>
      <w:r w:rsidR="00F6738C">
        <w:t>“FA19”</w:t>
      </w:r>
      <w:r w:rsidR="004149F5">
        <w:t xml:space="preserve"> which over and above </w:t>
      </w:r>
      <w:r w:rsidR="00904605">
        <w:t xml:space="preserve">the preceding correspondence, </w:t>
      </w:r>
      <w:r w:rsidR="009924E1">
        <w:t>confirm that consultations</w:t>
      </w:r>
      <w:r w:rsidR="005054B8">
        <w:t xml:space="preserve"> were had</w:t>
      </w:r>
      <w:r w:rsidR="009924E1">
        <w:t xml:space="preserve"> with</w:t>
      </w:r>
      <w:r w:rsidR="005054B8">
        <w:t xml:space="preserve"> a trade union </w:t>
      </w:r>
      <w:r w:rsidR="00526B1A">
        <w:t>NUMSA on some three occasions.</w:t>
      </w:r>
    </w:p>
    <w:p w14:paraId="05675422" w14:textId="1CC59464" w:rsidR="00A6047C" w:rsidRPr="00E36AA6" w:rsidRDefault="00E36AA6" w:rsidP="00E36AA6">
      <w:pPr>
        <w:tabs>
          <w:tab w:val="left" w:pos="927"/>
        </w:tabs>
        <w:spacing w:before="240" w:after="240" w:line="480" w:lineRule="auto"/>
        <w:ind w:left="924" w:hanging="567"/>
        <w:rPr>
          <w:b/>
          <w:bCs/>
        </w:rPr>
      </w:pPr>
      <w:r w:rsidRPr="00A6047C">
        <w:rPr>
          <w:bCs/>
        </w:rPr>
        <w:t>[23]</w:t>
      </w:r>
      <w:r w:rsidRPr="00A6047C">
        <w:rPr>
          <w:bCs/>
        </w:rPr>
        <w:tab/>
      </w:r>
      <w:r w:rsidR="009924E1">
        <w:t xml:space="preserve"> </w:t>
      </w:r>
      <w:r w:rsidR="004149F5">
        <w:t xml:space="preserve"> </w:t>
      </w:r>
      <w:r w:rsidR="00D018C4">
        <w:t>The provisions of Clause 6.1.1</w:t>
      </w:r>
      <w:r w:rsidR="00573C50">
        <w:t xml:space="preserve">.6.2 are explicit in </w:t>
      </w:r>
      <w:r w:rsidR="00596298">
        <w:t>recording</w:t>
      </w:r>
      <w:r w:rsidR="00573C50">
        <w:t xml:space="preserve"> the fact that</w:t>
      </w:r>
      <w:r w:rsidR="00596298">
        <w:t xml:space="preserve"> the Applicants undertook to</w:t>
      </w:r>
      <w:r w:rsidR="00D927CD">
        <w:t xml:space="preserve"> set in motion the process of obtaining a section 79 </w:t>
      </w:r>
      <w:r w:rsidR="00807FB7">
        <w:t xml:space="preserve">exemption. </w:t>
      </w:r>
      <w:r w:rsidR="00750AF6">
        <w:t>This application should have been directed to the DMRE</w:t>
      </w:r>
      <w:r w:rsidR="00650454">
        <w:t xml:space="preserve"> because IFMSA was already </w:t>
      </w:r>
      <w:r w:rsidR="0024453E">
        <w:t xml:space="preserve">regulated </w:t>
      </w:r>
      <w:r w:rsidR="00650454">
        <w:t>under</w:t>
      </w:r>
      <w:r w:rsidR="0024453E">
        <w:t xml:space="preserve"> the MHSA. The Applicants’ </w:t>
      </w:r>
      <w:r w:rsidR="00714F9A">
        <w:t xml:space="preserve">engagement with the Department of Employment and Labour were </w:t>
      </w:r>
      <w:r w:rsidR="00A6047C">
        <w:t>misplaced or at best premature.</w:t>
      </w:r>
    </w:p>
    <w:p w14:paraId="7F916EA4" w14:textId="47A1202B" w:rsidR="0074655B" w:rsidRPr="00E36AA6" w:rsidRDefault="00E36AA6" w:rsidP="00E36AA6">
      <w:pPr>
        <w:tabs>
          <w:tab w:val="left" w:pos="927"/>
        </w:tabs>
        <w:spacing w:before="240" w:after="240" w:line="480" w:lineRule="auto"/>
        <w:ind w:left="924" w:hanging="567"/>
        <w:rPr>
          <w:b/>
          <w:bCs/>
        </w:rPr>
      </w:pPr>
      <w:r w:rsidRPr="00BD6C7A">
        <w:rPr>
          <w:bCs/>
        </w:rPr>
        <w:t>[24]</w:t>
      </w:r>
      <w:r w:rsidRPr="00BD6C7A">
        <w:rPr>
          <w:bCs/>
        </w:rPr>
        <w:tab/>
      </w:r>
      <w:r w:rsidR="00A6047C">
        <w:t xml:space="preserve">Since the Applicants had already </w:t>
      </w:r>
      <w:r w:rsidR="003C5B82">
        <w:t xml:space="preserve">started consultations with the trade union, this </w:t>
      </w:r>
      <w:r w:rsidR="00B10FBC">
        <w:t>would have been in keeping with the prerequisites of a section 79</w:t>
      </w:r>
      <w:r w:rsidR="00714F9A">
        <w:t xml:space="preserve"> </w:t>
      </w:r>
      <w:r w:rsidR="00B10FBC">
        <w:t>application.</w:t>
      </w:r>
      <w:r w:rsidR="00E53AB0">
        <w:t xml:space="preserve"> </w:t>
      </w:r>
      <w:r w:rsidR="00E53AB0">
        <w:lastRenderedPageBreak/>
        <w:t xml:space="preserve">One would have expected that in keeping with the clause in the </w:t>
      </w:r>
      <w:r w:rsidR="00065BB2">
        <w:t>separation agreement, the next step would be to lodge an application with the DMRE.</w:t>
      </w:r>
      <w:r w:rsidR="00961401">
        <w:rPr>
          <w:rStyle w:val="FootnoteReference"/>
        </w:rPr>
        <w:footnoteReference w:id="8"/>
      </w:r>
    </w:p>
    <w:p w14:paraId="06CC417D" w14:textId="14E8D188" w:rsidR="00BD6C7A" w:rsidRPr="00E36AA6" w:rsidRDefault="00E36AA6" w:rsidP="00E36AA6">
      <w:pPr>
        <w:tabs>
          <w:tab w:val="left" w:pos="927"/>
        </w:tabs>
        <w:spacing w:before="240" w:after="240" w:line="480" w:lineRule="auto"/>
        <w:ind w:left="924" w:hanging="567"/>
        <w:rPr>
          <w:b/>
          <w:bCs/>
        </w:rPr>
      </w:pPr>
      <w:r w:rsidRPr="00BA6780">
        <w:rPr>
          <w:bCs/>
        </w:rPr>
        <w:t>[25]</w:t>
      </w:r>
      <w:r w:rsidRPr="00BA6780">
        <w:rPr>
          <w:bCs/>
        </w:rPr>
        <w:tab/>
      </w:r>
      <w:r w:rsidR="00E366D0">
        <w:t>Seeking a declarator in the terms of this application</w:t>
      </w:r>
      <w:r w:rsidR="00882F73">
        <w:t xml:space="preserve"> </w:t>
      </w:r>
      <w:r w:rsidR="00270B13">
        <w:t xml:space="preserve">is akin to </w:t>
      </w:r>
      <w:r w:rsidR="00FA33D5">
        <w:t>applying for this court to review the decision</w:t>
      </w:r>
      <w:r w:rsidR="00996639">
        <w:t xml:space="preserve"> of the R</w:t>
      </w:r>
      <w:r w:rsidR="00EC341F">
        <w:t xml:space="preserve">espondents without in fact making such an </w:t>
      </w:r>
      <w:r w:rsidR="007A0839">
        <w:t>application. The legislature has heeded the Constitutional imperative to enact legislation</w:t>
      </w:r>
      <w:r w:rsidR="00C861D5">
        <w:t xml:space="preserve"> to ensure that </w:t>
      </w:r>
      <w:r w:rsidR="00B31333">
        <w:t xml:space="preserve">everyone </w:t>
      </w:r>
      <w:r w:rsidR="00CE6345">
        <w:t>has the right to</w:t>
      </w:r>
      <w:r w:rsidR="00C861D5">
        <w:t xml:space="preserve"> administrative action</w:t>
      </w:r>
      <w:r w:rsidR="00CE6345">
        <w:t xml:space="preserve"> that is lawful, reasonable</w:t>
      </w:r>
      <w:r w:rsidR="00EB0FF3">
        <w:t xml:space="preserve"> and procedurally fair by enactment of the P</w:t>
      </w:r>
      <w:r w:rsidR="007D13AC">
        <w:t>romotion of Administrative Jus</w:t>
      </w:r>
      <w:r w:rsidR="000F2C99">
        <w:t>tice Act 3 of 2000 (“PAJA”).</w:t>
      </w:r>
      <w:r w:rsidR="001752FC">
        <w:rPr>
          <w:rStyle w:val="FootnoteReference"/>
        </w:rPr>
        <w:footnoteReference w:id="9"/>
      </w:r>
    </w:p>
    <w:p w14:paraId="4F5F4D4B" w14:textId="1F2F0D16" w:rsidR="00BA6780" w:rsidRPr="00E36AA6" w:rsidRDefault="00E36AA6" w:rsidP="00E36AA6">
      <w:pPr>
        <w:tabs>
          <w:tab w:val="left" w:pos="927"/>
        </w:tabs>
        <w:spacing w:before="240" w:after="240" w:line="480" w:lineRule="auto"/>
        <w:ind w:left="924" w:hanging="567"/>
        <w:rPr>
          <w:b/>
          <w:bCs/>
        </w:rPr>
      </w:pPr>
      <w:r w:rsidRPr="003F4630">
        <w:rPr>
          <w:bCs/>
        </w:rPr>
        <w:t>[26]</w:t>
      </w:r>
      <w:r w:rsidRPr="003F4630">
        <w:rPr>
          <w:bCs/>
        </w:rPr>
        <w:tab/>
      </w:r>
      <w:r w:rsidR="00766372">
        <w:t xml:space="preserve">In the event that the Applicants </w:t>
      </w:r>
      <w:r w:rsidR="0019493E">
        <w:t xml:space="preserve">are unhappy with any administrative action or decision, the </w:t>
      </w:r>
      <w:r w:rsidR="00324925">
        <w:t xml:space="preserve">manner in which they </w:t>
      </w:r>
      <w:r w:rsidR="006E0DB3">
        <w:t xml:space="preserve">could have sought any declarator is by way of a review in terms of the provisions of PAJA within the </w:t>
      </w:r>
      <w:r w:rsidR="006F5991">
        <w:t>timeframe</w:t>
      </w:r>
      <w:r w:rsidR="003F4630">
        <w:t xml:space="preserve"> stipulated therein.</w:t>
      </w:r>
    </w:p>
    <w:p w14:paraId="052450BB" w14:textId="6F7EC2E7" w:rsidR="003F4630" w:rsidRPr="00E36AA6" w:rsidRDefault="00E36AA6" w:rsidP="00E36AA6">
      <w:pPr>
        <w:tabs>
          <w:tab w:val="left" w:pos="927"/>
        </w:tabs>
        <w:spacing w:before="240" w:after="240" w:line="480" w:lineRule="auto"/>
        <w:ind w:left="924" w:hanging="567"/>
        <w:rPr>
          <w:b/>
          <w:bCs/>
        </w:rPr>
      </w:pPr>
      <w:r w:rsidRPr="006F5991">
        <w:rPr>
          <w:bCs/>
        </w:rPr>
        <w:t>[27]</w:t>
      </w:r>
      <w:r w:rsidRPr="006F5991">
        <w:rPr>
          <w:bCs/>
        </w:rPr>
        <w:tab/>
      </w:r>
      <w:r w:rsidR="00865BFB">
        <w:t>In so far as reliance on the Tubatse Alloy</w:t>
      </w:r>
      <w:r w:rsidR="00232380">
        <w:t>s</w:t>
      </w:r>
      <w:r w:rsidR="00FE0296">
        <w:t xml:space="preserve"> matter,</w:t>
      </w:r>
      <w:r w:rsidR="00C30F65">
        <w:rPr>
          <w:rStyle w:val="FootnoteReference"/>
        </w:rPr>
        <w:footnoteReference w:id="10"/>
      </w:r>
      <w:r w:rsidR="00FE0296">
        <w:t xml:space="preserve"> the Respondents have stated </w:t>
      </w:r>
      <w:r w:rsidR="00A465CB">
        <w:t xml:space="preserve">under oath that the order in question was obtained </w:t>
      </w:r>
      <w:r w:rsidR="00A73E3A">
        <w:t xml:space="preserve">in an </w:t>
      </w:r>
      <w:r w:rsidR="00A73E3A" w:rsidRPr="00E36AA6">
        <w:rPr>
          <w:i/>
          <w:iCs/>
        </w:rPr>
        <w:t>ex parte</w:t>
      </w:r>
      <w:r w:rsidR="00A73E3A">
        <w:t xml:space="preserve"> fashion</w:t>
      </w:r>
      <w:r w:rsidR="006B47DA">
        <w:t>.</w:t>
      </w:r>
    </w:p>
    <w:p w14:paraId="65A744C6" w14:textId="1EA77D07" w:rsidR="006F5991" w:rsidRPr="00E36AA6" w:rsidRDefault="00E36AA6" w:rsidP="00E36AA6">
      <w:pPr>
        <w:tabs>
          <w:tab w:val="left" w:pos="927"/>
        </w:tabs>
        <w:spacing w:before="240" w:after="240" w:line="480" w:lineRule="auto"/>
        <w:ind w:left="924" w:hanging="567"/>
        <w:rPr>
          <w:b/>
          <w:bCs/>
        </w:rPr>
      </w:pPr>
      <w:r w:rsidRPr="006C4084">
        <w:rPr>
          <w:bCs/>
        </w:rPr>
        <w:t>[28]</w:t>
      </w:r>
      <w:r w:rsidRPr="006C4084">
        <w:rPr>
          <w:bCs/>
        </w:rPr>
        <w:tab/>
      </w:r>
      <w:r w:rsidR="00EC7EE4">
        <w:t xml:space="preserve">To the extent that the Applicants </w:t>
      </w:r>
      <w:r w:rsidR="00FA7956">
        <w:t xml:space="preserve">state that they beneficiate </w:t>
      </w:r>
      <w:r w:rsidR="001B67DD">
        <w:t>ore from</w:t>
      </w:r>
      <w:r w:rsidR="00FA7956">
        <w:t xml:space="preserve"> various other mines</w:t>
      </w:r>
      <w:r w:rsidR="004955EA">
        <w:t xml:space="preserve"> and not the Lesedi Mine located on the </w:t>
      </w:r>
      <w:r w:rsidR="00716221">
        <w:t xml:space="preserve">mining right subject to this </w:t>
      </w:r>
      <w:r w:rsidR="00716221">
        <w:lastRenderedPageBreak/>
        <w:t>application,</w:t>
      </w:r>
      <w:r w:rsidR="005E4366">
        <w:rPr>
          <w:rStyle w:val="FootnoteReference"/>
        </w:rPr>
        <w:footnoteReference w:id="11"/>
      </w:r>
      <w:r w:rsidR="000A1DEF">
        <w:t xml:space="preserve"> nothing prevents it from </w:t>
      </w:r>
      <w:r w:rsidR="00716221">
        <w:t xml:space="preserve">so doing. There is no </w:t>
      </w:r>
      <w:r w:rsidR="001B67DD">
        <w:t xml:space="preserve">evidence </w:t>
      </w:r>
      <w:r w:rsidR="00716221">
        <w:t>sub</w:t>
      </w:r>
      <w:r w:rsidR="001B67DD">
        <w:t>mitted or any logical explanation why and how this cannot be the case.</w:t>
      </w:r>
    </w:p>
    <w:p w14:paraId="72EF06C6" w14:textId="129C1F39" w:rsidR="006C4084" w:rsidRPr="00E36AA6" w:rsidRDefault="00E36AA6" w:rsidP="00E36AA6">
      <w:pPr>
        <w:tabs>
          <w:tab w:val="left" w:pos="927"/>
        </w:tabs>
        <w:spacing w:before="240" w:after="240" w:line="480" w:lineRule="auto"/>
        <w:ind w:left="924" w:hanging="567"/>
        <w:rPr>
          <w:b/>
          <w:bCs/>
        </w:rPr>
      </w:pPr>
      <w:r w:rsidRPr="00647952">
        <w:rPr>
          <w:bCs/>
        </w:rPr>
        <w:t>[29]</w:t>
      </w:r>
      <w:r w:rsidRPr="00647952">
        <w:rPr>
          <w:bCs/>
        </w:rPr>
        <w:tab/>
      </w:r>
      <w:r w:rsidR="006C4084">
        <w:t>At the core of this application</w:t>
      </w:r>
      <w:r w:rsidR="00E56682">
        <w:t xml:space="preserve">, and similar such applications is an attempt by </w:t>
      </w:r>
      <w:r w:rsidR="00665E79">
        <w:t>owners</w:t>
      </w:r>
      <w:r w:rsidR="00E56682">
        <w:t xml:space="preserve"> of </w:t>
      </w:r>
      <w:r w:rsidR="00665E79">
        <w:t>mining companies to avoid compliance with the safety regime in the MHSA. This is not surprising</w:t>
      </w:r>
      <w:r w:rsidR="00B513DF">
        <w:t xml:space="preserve"> at all if one ponders the histori</w:t>
      </w:r>
      <w:r w:rsidR="00B741F4">
        <w:t xml:space="preserve">c genesis leading to </w:t>
      </w:r>
      <w:r w:rsidR="007A2CEA">
        <w:t xml:space="preserve">the promulgation of the MHSA. </w:t>
      </w:r>
      <w:r w:rsidR="00AB3201">
        <w:t>The MHSA was the direct outcome of the</w:t>
      </w:r>
      <w:r w:rsidR="00FC275E">
        <w:t xml:space="preserve"> report of the</w:t>
      </w:r>
      <w:r w:rsidR="00AB3201">
        <w:t xml:space="preserve"> </w:t>
      </w:r>
      <w:r w:rsidR="00985425">
        <w:t xml:space="preserve">Leon Commission of inquiry </w:t>
      </w:r>
      <w:r w:rsidR="00FC275E">
        <w:t>on safety in the mining industry which was</w:t>
      </w:r>
      <w:r w:rsidR="007D7F62">
        <w:t xml:space="preserve"> </w:t>
      </w:r>
      <w:r w:rsidR="00985425">
        <w:t>chaired by the late Mr Ju</w:t>
      </w:r>
      <w:r w:rsidR="00FC275E">
        <w:t>stice R. Leon</w:t>
      </w:r>
      <w:r w:rsidR="007D7F62">
        <w:t>.</w:t>
      </w:r>
    </w:p>
    <w:p w14:paraId="7CC99774" w14:textId="3D41D982" w:rsidR="00CD2B7D" w:rsidRPr="00E36AA6" w:rsidRDefault="00E36AA6" w:rsidP="00E36AA6">
      <w:pPr>
        <w:tabs>
          <w:tab w:val="left" w:pos="927"/>
        </w:tabs>
        <w:spacing w:before="240" w:after="240" w:line="480" w:lineRule="auto"/>
        <w:ind w:left="924" w:hanging="567"/>
        <w:rPr>
          <w:b/>
          <w:bCs/>
        </w:rPr>
      </w:pPr>
      <w:r w:rsidRPr="00CD2B7D">
        <w:rPr>
          <w:bCs/>
        </w:rPr>
        <w:t>[30]</w:t>
      </w:r>
      <w:r w:rsidRPr="00CD2B7D">
        <w:rPr>
          <w:bCs/>
        </w:rPr>
        <w:tab/>
      </w:r>
      <w:r w:rsidR="0017475B">
        <w:t>In a handbook published under the auspices of</w:t>
      </w:r>
      <w:r w:rsidR="0099708E">
        <w:t xml:space="preserve"> the Safety in Mines Research Advisory Committee (SIMRAC</w:t>
      </w:r>
      <w:r w:rsidR="00100429">
        <w:t>), the editors state in the preface th</w:t>
      </w:r>
      <w:r w:rsidR="00CD2B7D">
        <w:t>us:</w:t>
      </w:r>
    </w:p>
    <w:p w14:paraId="635B5AB5" w14:textId="3AE00BFC" w:rsidR="00647952" w:rsidRPr="00CD2B7D" w:rsidRDefault="00946C64" w:rsidP="00CD2B7D">
      <w:pPr>
        <w:pStyle w:val="ListParagraph"/>
        <w:spacing w:before="240" w:after="240" w:line="480" w:lineRule="auto"/>
        <w:ind w:left="924"/>
        <w:contextualSpacing w:val="0"/>
        <w:rPr>
          <w:b/>
          <w:bCs/>
          <w:i/>
          <w:iCs/>
        </w:rPr>
      </w:pPr>
      <w:r w:rsidRPr="00CD2B7D">
        <w:rPr>
          <w:i/>
          <w:iCs/>
        </w:rPr>
        <w:t>“The mining industry, which includes underground and surface ore extraction, smelting and refining, remains a pillar of the South African economy</w:t>
      </w:r>
      <w:r w:rsidR="00CD2B7D" w:rsidRPr="00CD2B7D">
        <w:rPr>
          <w:i/>
          <w:iCs/>
        </w:rPr>
        <w:t>…”</w:t>
      </w:r>
      <w:r w:rsidR="00576F29">
        <w:rPr>
          <w:rStyle w:val="FootnoteReference"/>
          <w:i/>
          <w:iCs/>
        </w:rPr>
        <w:footnoteReference w:id="12"/>
      </w:r>
    </w:p>
    <w:p w14:paraId="0DE12443" w14:textId="170E3F8F" w:rsidR="004D22BC" w:rsidRDefault="00E36AA6" w:rsidP="00E36AA6">
      <w:pPr>
        <w:tabs>
          <w:tab w:val="left" w:pos="927"/>
        </w:tabs>
        <w:spacing w:before="240" w:after="240" w:line="480" w:lineRule="auto"/>
        <w:ind w:left="924" w:hanging="567"/>
      </w:pPr>
      <w:r>
        <w:t>[31]</w:t>
      </w:r>
      <w:r>
        <w:tab/>
      </w:r>
      <w:r w:rsidR="00B90546" w:rsidRPr="00B90546">
        <w:t xml:space="preserve">The </w:t>
      </w:r>
      <w:r w:rsidR="00B90546">
        <w:t xml:space="preserve">strenuous attempts by the </w:t>
      </w:r>
      <w:r w:rsidR="00996639">
        <w:t>A</w:t>
      </w:r>
      <w:r w:rsidR="00097FD2">
        <w:t>pplicants to cast smelting operations</w:t>
      </w:r>
      <w:r w:rsidR="008F7349">
        <w:t xml:space="preserve"> as </w:t>
      </w:r>
      <w:r w:rsidR="008E6103">
        <w:t>being</w:t>
      </w:r>
      <w:r w:rsidR="001A3CAC">
        <w:t xml:space="preserve"> an</w:t>
      </w:r>
      <w:r w:rsidR="008E6103">
        <w:t xml:space="preserve"> </w:t>
      </w:r>
      <w:r w:rsidR="001A3CAC">
        <w:t xml:space="preserve">activity distinct from </w:t>
      </w:r>
      <w:r w:rsidR="00403EB4">
        <w:t>mining is contrived and unfortunate.</w:t>
      </w:r>
    </w:p>
    <w:p w14:paraId="69A849E6" w14:textId="086F8570" w:rsidR="00403EB4" w:rsidRDefault="00E36AA6" w:rsidP="00E36AA6">
      <w:pPr>
        <w:tabs>
          <w:tab w:val="left" w:pos="927"/>
        </w:tabs>
        <w:spacing w:before="240" w:after="240" w:line="480" w:lineRule="auto"/>
        <w:ind w:left="924" w:hanging="567"/>
      </w:pPr>
      <w:r>
        <w:t>[32]</w:t>
      </w:r>
      <w:r>
        <w:tab/>
      </w:r>
      <w:r w:rsidR="00DC1C30">
        <w:t>The</w:t>
      </w:r>
      <w:r w:rsidR="00996639">
        <w:t xml:space="preserve"> A</w:t>
      </w:r>
      <w:r w:rsidR="00DC1C30">
        <w:t xml:space="preserve">pplicants’ </w:t>
      </w:r>
      <w:r w:rsidR="003A61BF">
        <w:t xml:space="preserve">submissions and evidence </w:t>
      </w:r>
      <w:r w:rsidR="00060797">
        <w:t>fail</w:t>
      </w:r>
      <w:r w:rsidR="003A61BF">
        <w:t xml:space="preserve"> to persuade me to find in their favour, accordingly the application for a declarator must fail.</w:t>
      </w:r>
      <w:r w:rsidR="00060797">
        <w:t xml:space="preserve"> The </w:t>
      </w:r>
      <w:r w:rsidR="00475B7D">
        <w:t>costs of this application shall follow the outcome</w:t>
      </w:r>
      <w:r w:rsidR="00BD3057">
        <w:t>.</w:t>
      </w:r>
    </w:p>
    <w:p w14:paraId="6EE9782D" w14:textId="2EF14BC9" w:rsidR="003A61BF" w:rsidRDefault="00E36AA6" w:rsidP="00E36AA6">
      <w:pPr>
        <w:tabs>
          <w:tab w:val="left" w:pos="927"/>
        </w:tabs>
        <w:spacing w:before="240" w:after="240" w:line="480" w:lineRule="auto"/>
        <w:ind w:left="924" w:hanging="567"/>
      </w:pPr>
      <w:r>
        <w:lastRenderedPageBreak/>
        <w:t>[33]</w:t>
      </w:r>
      <w:r>
        <w:tab/>
      </w:r>
      <w:r w:rsidR="00060797">
        <w:t>Accordingly, I make the following order</w:t>
      </w:r>
      <w:r w:rsidR="00BD3057">
        <w:t>:</w:t>
      </w:r>
    </w:p>
    <w:p w14:paraId="174ACDB1" w14:textId="5747F87B" w:rsidR="00BD3057" w:rsidRPr="00B90546" w:rsidRDefault="00BD3057" w:rsidP="00BD3057">
      <w:pPr>
        <w:pStyle w:val="ListParagraph"/>
        <w:spacing w:before="240" w:after="240" w:line="480" w:lineRule="auto"/>
        <w:ind w:left="924"/>
        <w:contextualSpacing w:val="0"/>
      </w:pPr>
      <w:r>
        <w:t>The application is dismissed with costs.</w:t>
      </w:r>
    </w:p>
    <w:p w14:paraId="44705A57" w14:textId="45434979" w:rsidR="00310AC5" w:rsidRPr="00B013F2" w:rsidRDefault="00310AC5" w:rsidP="00310AC5">
      <w:pPr>
        <w:pStyle w:val="LegalNormal"/>
        <w:spacing w:after="0"/>
      </w:pPr>
      <w:r w:rsidRPr="00B013F2">
        <w:t xml:space="preserve">                                                                                     ____________________</w:t>
      </w:r>
    </w:p>
    <w:p w14:paraId="25468423" w14:textId="74A09951" w:rsidR="00310AC5" w:rsidRPr="00B013F2" w:rsidRDefault="00310AC5" w:rsidP="00310AC5">
      <w:pPr>
        <w:pStyle w:val="LegalNormal"/>
        <w:spacing w:after="0"/>
        <w:ind w:left="4320" w:firstLine="720"/>
      </w:pPr>
      <w:r w:rsidRPr="00B013F2">
        <w:t xml:space="preserve">        J.S. NYATHI</w:t>
      </w:r>
    </w:p>
    <w:p w14:paraId="1D4805F6" w14:textId="41BA2EBB" w:rsidR="00310AC5" w:rsidRPr="00B013F2" w:rsidRDefault="00310AC5" w:rsidP="00310AC5">
      <w:pPr>
        <w:pStyle w:val="LegalNormal"/>
        <w:spacing w:after="0"/>
        <w:ind w:left="5040"/>
      </w:pPr>
      <w:r w:rsidRPr="00B013F2">
        <w:t xml:space="preserve">      Judge of the High Court</w:t>
      </w:r>
    </w:p>
    <w:p w14:paraId="03EB4698" w14:textId="33CD9C80" w:rsidR="00310AC5" w:rsidRPr="00B013F2" w:rsidRDefault="00310AC5" w:rsidP="00310AC5">
      <w:pPr>
        <w:pStyle w:val="LegalNormal"/>
        <w:spacing w:after="0"/>
        <w:ind w:left="4320" w:firstLine="720"/>
      </w:pPr>
      <w:r w:rsidRPr="00B013F2">
        <w:t xml:space="preserve">      Gauteng Division, </w:t>
      </w:r>
      <w:r w:rsidR="000B2477" w:rsidRPr="00B013F2">
        <w:t>Pretoria</w:t>
      </w:r>
    </w:p>
    <w:p w14:paraId="73FFE4B8" w14:textId="77777777" w:rsidR="00310AC5" w:rsidRPr="00B013F2" w:rsidRDefault="00310AC5" w:rsidP="00310AC5">
      <w:pPr>
        <w:pStyle w:val="LegalNormal"/>
      </w:pPr>
    </w:p>
    <w:p w14:paraId="7E0A6AA0" w14:textId="402F776F" w:rsidR="00310AC5" w:rsidRPr="00B013F2" w:rsidRDefault="00310AC5" w:rsidP="00310AC5">
      <w:pPr>
        <w:pStyle w:val="LegalNormal"/>
        <w:spacing w:after="0"/>
      </w:pPr>
      <w:r w:rsidRPr="00B013F2">
        <w:t xml:space="preserve">Date of hearing: </w:t>
      </w:r>
      <w:r w:rsidR="006F015D">
        <w:t>25</w:t>
      </w:r>
      <w:r w:rsidR="00627764">
        <w:t xml:space="preserve"> January </w:t>
      </w:r>
      <w:r w:rsidR="00CE357C">
        <w:t>202</w:t>
      </w:r>
      <w:r w:rsidR="0079141B">
        <w:t>4</w:t>
      </w:r>
    </w:p>
    <w:p w14:paraId="7BE41C33" w14:textId="228B0747" w:rsidR="00310AC5" w:rsidRPr="00B013F2" w:rsidRDefault="00310AC5" w:rsidP="00310AC5">
      <w:pPr>
        <w:pStyle w:val="LegalNormal"/>
        <w:spacing w:after="0"/>
      </w:pPr>
      <w:r w:rsidRPr="00B013F2">
        <w:t xml:space="preserve">Date of Judgment: </w:t>
      </w:r>
      <w:r w:rsidR="00627764">
        <w:t>23</w:t>
      </w:r>
      <w:r w:rsidR="00F015A5">
        <w:t xml:space="preserve"> </w:t>
      </w:r>
      <w:r w:rsidR="00CE357C">
        <w:t>Ma</w:t>
      </w:r>
      <w:r w:rsidR="0079141B">
        <w:t>y</w:t>
      </w:r>
      <w:r w:rsidRPr="00B013F2">
        <w:t xml:space="preserve"> 202</w:t>
      </w:r>
      <w:r w:rsidR="00134AA9" w:rsidRPr="00B013F2">
        <w:t>4</w:t>
      </w:r>
    </w:p>
    <w:p w14:paraId="0AA0BB52" w14:textId="77777777" w:rsidR="000410CB" w:rsidRPr="00B013F2" w:rsidRDefault="000410CB" w:rsidP="00310AC5">
      <w:pPr>
        <w:pStyle w:val="LegalNormal"/>
        <w:spacing w:after="0"/>
      </w:pPr>
    </w:p>
    <w:p w14:paraId="2E571142" w14:textId="77777777" w:rsidR="000410CB" w:rsidRPr="00B013F2" w:rsidRDefault="000410CB" w:rsidP="00310AC5">
      <w:pPr>
        <w:pStyle w:val="LegalNormal"/>
        <w:spacing w:after="0"/>
      </w:pPr>
    </w:p>
    <w:p w14:paraId="3D9E422D" w14:textId="5242E3E0" w:rsidR="00AD635C" w:rsidRDefault="00310AC5" w:rsidP="00CE357C">
      <w:pPr>
        <w:pStyle w:val="LegalNormal"/>
        <w:spacing w:after="0"/>
      </w:pPr>
      <w:r w:rsidRPr="00B013F2">
        <w:t xml:space="preserve">On behalf of the </w:t>
      </w:r>
      <w:r w:rsidR="007372BC" w:rsidRPr="00B013F2">
        <w:t>App</w:t>
      </w:r>
      <w:r w:rsidR="008B2CF4" w:rsidRPr="00B013F2">
        <w:t>lic</w:t>
      </w:r>
      <w:r w:rsidR="007372BC" w:rsidRPr="00B013F2">
        <w:t>ant</w:t>
      </w:r>
      <w:r w:rsidRPr="00B013F2">
        <w:t xml:space="preserve">: </w:t>
      </w:r>
      <w:r w:rsidR="003353A7">
        <w:t xml:space="preserve">Adv. </w:t>
      </w:r>
      <w:r w:rsidR="0079141B">
        <w:t xml:space="preserve">H. </w:t>
      </w:r>
      <w:r w:rsidR="00916841">
        <w:t>Ma</w:t>
      </w:r>
      <w:r w:rsidR="0079141B">
        <w:t>rti</w:t>
      </w:r>
      <w:r w:rsidR="00916841">
        <w:t>n</w:t>
      </w:r>
    </w:p>
    <w:p w14:paraId="342B86F0" w14:textId="1E1DE825" w:rsidR="0079141B" w:rsidRDefault="0079141B" w:rsidP="00CE357C">
      <w:pPr>
        <w:pStyle w:val="LegalNormal"/>
        <w:spacing w:after="0"/>
      </w:pPr>
      <w:r>
        <w:tab/>
      </w:r>
      <w:r>
        <w:tab/>
      </w:r>
      <w:r w:rsidR="006653B3">
        <w:t xml:space="preserve">      </w:t>
      </w:r>
      <w:r>
        <w:t>With him:</w:t>
      </w:r>
      <w:r>
        <w:tab/>
      </w:r>
      <w:r w:rsidR="006653B3">
        <w:t xml:space="preserve">Adv. K Turner (Ms) </w:t>
      </w:r>
    </w:p>
    <w:p w14:paraId="58AC5981" w14:textId="3573B152" w:rsidR="00670548" w:rsidRDefault="00DD506D" w:rsidP="00E44650">
      <w:pPr>
        <w:pStyle w:val="LegalNormal"/>
        <w:spacing w:after="0"/>
      </w:pPr>
      <w:r>
        <w:t xml:space="preserve">Duly instructed by: </w:t>
      </w:r>
      <w:r w:rsidR="00F956CD">
        <w:t>Beech Veltman Incorporated, Johannesburg</w:t>
      </w:r>
    </w:p>
    <w:p w14:paraId="6CCAA575" w14:textId="2286AAFA" w:rsidR="007A7537" w:rsidRDefault="007A7537" w:rsidP="00E44650">
      <w:pPr>
        <w:pStyle w:val="LegalNormal"/>
        <w:spacing w:after="0"/>
      </w:pPr>
      <w:r>
        <w:tab/>
      </w:r>
      <w:r>
        <w:tab/>
      </w:r>
      <w:r>
        <w:tab/>
        <w:t>c/</w:t>
      </w:r>
      <w:r w:rsidR="00F54463">
        <w:t>o:</w:t>
      </w:r>
      <w:r>
        <w:t xml:space="preserve"> McIntosh Cross &amp; Farquharson</w:t>
      </w:r>
      <w:r w:rsidR="00F54463">
        <w:t>; Pretoria</w:t>
      </w:r>
      <w:r>
        <w:t xml:space="preserve"> </w:t>
      </w:r>
    </w:p>
    <w:p w14:paraId="05F5F408" w14:textId="71D17AFB" w:rsidR="0005444E" w:rsidRDefault="005D0FB4" w:rsidP="00E44650">
      <w:pPr>
        <w:pStyle w:val="LegalNormal"/>
        <w:spacing w:after="0"/>
        <w:rPr>
          <w:rStyle w:val="Hyperlink"/>
          <w:u w:val="none"/>
        </w:rPr>
      </w:pPr>
      <w:r>
        <w:t>e-mail</w:t>
      </w:r>
      <w:r w:rsidR="00A435F2">
        <w:t>s</w:t>
      </w:r>
      <w:r>
        <w:t xml:space="preserve">: </w:t>
      </w:r>
      <w:hyperlink r:id="rId9" w:history="1">
        <w:r w:rsidR="0005444E" w:rsidRPr="00B241E0">
          <w:rPr>
            <w:rStyle w:val="Hyperlink"/>
          </w:rPr>
          <w:t>nick@bv-inc.co.za</w:t>
        </w:r>
      </w:hyperlink>
      <w:r w:rsidR="0005444E" w:rsidRPr="00DB6A24">
        <w:rPr>
          <w:rStyle w:val="Hyperlink"/>
          <w:u w:val="none"/>
        </w:rPr>
        <w:tab/>
      </w:r>
      <w:r w:rsidR="00DB6A24" w:rsidRPr="00DB6A24">
        <w:rPr>
          <w:rStyle w:val="Hyperlink"/>
          <w:u w:val="none"/>
        </w:rPr>
        <w:t xml:space="preserve">; </w:t>
      </w:r>
      <w:hyperlink r:id="rId10" w:history="1">
        <w:r w:rsidR="00DB6A24" w:rsidRPr="00B241E0">
          <w:rPr>
            <w:rStyle w:val="Hyperlink"/>
          </w:rPr>
          <w:t>bryan@bv-inc.co.za</w:t>
        </w:r>
      </w:hyperlink>
      <w:r w:rsidR="00DB6A24" w:rsidRPr="00DB6A24">
        <w:rPr>
          <w:rStyle w:val="Hyperlink"/>
          <w:u w:val="none"/>
        </w:rPr>
        <w:t xml:space="preserve">; </w:t>
      </w:r>
      <w:hyperlink r:id="rId11" w:history="1">
        <w:r w:rsidR="003031D2" w:rsidRPr="00B145F6">
          <w:rPr>
            <w:rStyle w:val="Hyperlink"/>
          </w:rPr>
          <w:t>mbuyi@bv-inc.co.za</w:t>
        </w:r>
      </w:hyperlink>
    </w:p>
    <w:p w14:paraId="104046BF" w14:textId="5D2635BF" w:rsidR="00C20039" w:rsidRPr="00627764" w:rsidRDefault="003031D2" w:rsidP="00CE357C">
      <w:pPr>
        <w:pStyle w:val="LegalNormal"/>
        <w:spacing w:after="0"/>
        <w:rPr>
          <w:color w:val="0000FF" w:themeColor="hyperlink"/>
        </w:rPr>
      </w:pPr>
      <w:r>
        <w:rPr>
          <w:rStyle w:val="Hyperlink"/>
          <w:u w:val="none"/>
        </w:rPr>
        <w:tab/>
        <w:t>:</w:t>
      </w:r>
      <w:r w:rsidR="00953EAB">
        <w:rPr>
          <w:rStyle w:val="Hyperlink"/>
          <w:u w:val="none"/>
        </w:rPr>
        <w:t xml:space="preserve"> </w:t>
      </w:r>
      <w:hyperlink r:id="rId12" w:history="1">
        <w:r w:rsidR="00953EAB" w:rsidRPr="00B145F6">
          <w:rPr>
            <w:rStyle w:val="Hyperlink"/>
          </w:rPr>
          <w:t>jk@macintoshcross.co.za</w:t>
        </w:r>
      </w:hyperlink>
      <w:r w:rsidR="00953EAB">
        <w:rPr>
          <w:rStyle w:val="Hyperlink"/>
          <w:u w:val="none"/>
        </w:rPr>
        <w:t xml:space="preserve">; </w:t>
      </w:r>
      <w:hyperlink r:id="rId13" w:history="1">
        <w:r w:rsidR="00953EAB" w:rsidRPr="00B145F6">
          <w:rPr>
            <w:rStyle w:val="Hyperlink"/>
          </w:rPr>
          <w:t>dd@macintoshcross.co.za</w:t>
        </w:r>
      </w:hyperlink>
    </w:p>
    <w:p w14:paraId="23A03356" w14:textId="77777777" w:rsidR="00310AC5" w:rsidRPr="00B013F2" w:rsidRDefault="00310AC5" w:rsidP="00310AC5">
      <w:pPr>
        <w:pStyle w:val="LegalNormal"/>
        <w:spacing w:after="0"/>
      </w:pPr>
    </w:p>
    <w:p w14:paraId="3D1AD0FD" w14:textId="735C7AF8" w:rsidR="00310AC5" w:rsidRDefault="00310AC5" w:rsidP="00310AC5">
      <w:pPr>
        <w:pStyle w:val="LegalNormal"/>
        <w:spacing w:after="0"/>
      </w:pPr>
      <w:r w:rsidRPr="00B013F2">
        <w:t xml:space="preserve">On behalf of </w:t>
      </w:r>
      <w:r w:rsidR="00BD23DB" w:rsidRPr="00B013F2">
        <w:t xml:space="preserve">the </w:t>
      </w:r>
      <w:r w:rsidR="00AA1127">
        <w:t>1</w:t>
      </w:r>
      <w:r w:rsidR="00AA1127" w:rsidRPr="00AA1127">
        <w:rPr>
          <w:vertAlign w:val="superscript"/>
        </w:rPr>
        <w:t>st</w:t>
      </w:r>
      <w:r w:rsidR="00AA1127">
        <w:t xml:space="preserve">, </w:t>
      </w:r>
      <w:r w:rsidR="008957E7">
        <w:t>2</w:t>
      </w:r>
      <w:r w:rsidR="008957E7" w:rsidRPr="00AA1127">
        <w:rPr>
          <w:vertAlign w:val="superscript"/>
        </w:rPr>
        <w:t>nd</w:t>
      </w:r>
      <w:r w:rsidR="008957E7">
        <w:rPr>
          <w:vertAlign w:val="superscript"/>
        </w:rPr>
        <w:t xml:space="preserve"> </w:t>
      </w:r>
      <w:r w:rsidR="00AA1127">
        <w:t>and 3</w:t>
      </w:r>
      <w:r w:rsidR="00AA1127" w:rsidRPr="00AA1127">
        <w:rPr>
          <w:vertAlign w:val="superscript"/>
        </w:rPr>
        <w:t>rd</w:t>
      </w:r>
      <w:r w:rsidR="00AA1127">
        <w:t xml:space="preserve"> </w:t>
      </w:r>
      <w:r w:rsidR="004951F0" w:rsidRPr="00B013F2">
        <w:t>Responde</w:t>
      </w:r>
      <w:r w:rsidR="00704A22" w:rsidRPr="00B013F2">
        <w:t>nt</w:t>
      </w:r>
      <w:r w:rsidR="00AA1127">
        <w:t>s</w:t>
      </w:r>
      <w:r w:rsidRPr="00B013F2">
        <w:t xml:space="preserve">: </w:t>
      </w:r>
      <w:r w:rsidR="0072663F" w:rsidRPr="00B013F2">
        <w:t>Adv</w:t>
      </w:r>
      <w:r w:rsidR="004A03E8" w:rsidRPr="00B013F2">
        <w:t>.</w:t>
      </w:r>
      <w:r w:rsidR="006B3978">
        <w:t xml:space="preserve"> M</w:t>
      </w:r>
      <w:r w:rsidR="00844BFB">
        <w:t xml:space="preserve">.P. </w:t>
      </w:r>
      <w:r w:rsidR="004A03E8" w:rsidRPr="00B013F2">
        <w:t xml:space="preserve"> </w:t>
      </w:r>
      <w:r w:rsidR="00AA1127">
        <w:t>Van der</w:t>
      </w:r>
      <w:r w:rsidR="00D94C58">
        <w:t xml:space="preserve"> </w:t>
      </w:r>
      <w:r w:rsidR="00AA73CC">
        <w:t>M</w:t>
      </w:r>
      <w:r w:rsidR="00D94C58">
        <w:t>erwe</w:t>
      </w:r>
      <w:r w:rsidR="00844BFB">
        <w:t xml:space="preserve"> SC.</w:t>
      </w:r>
    </w:p>
    <w:p w14:paraId="79A5AD2D" w14:textId="0F12872F" w:rsidR="00AA73CC" w:rsidRDefault="00B643AA" w:rsidP="00310AC5">
      <w:pPr>
        <w:pStyle w:val="LegalNormal"/>
        <w:spacing w:after="0"/>
      </w:pPr>
      <w:r>
        <w:t>Duly instructed by:</w:t>
      </w:r>
      <w:r w:rsidR="008614D5">
        <w:t xml:space="preserve"> </w:t>
      </w:r>
      <w:r w:rsidR="00E95705">
        <w:t>State Attorney,</w:t>
      </w:r>
      <w:r w:rsidR="008614D5">
        <w:t xml:space="preserve"> Pretoria</w:t>
      </w:r>
      <w:r w:rsidR="00AF3961">
        <w:t>.</w:t>
      </w:r>
    </w:p>
    <w:p w14:paraId="1D17A81F" w14:textId="701FB3A9" w:rsidR="00AF3961" w:rsidRDefault="009A416D" w:rsidP="00310AC5">
      <w:pPr>
        <w:pStyle w:val="LegalNormal"/>
        <w:spacing w:after="0"/>
      </w:pPr>
      <w:r>
        <w:t>Attorney: Mr Sipho Mathebula</w:t>
      </w:r>
    </w:p>
    <w:p w14:paraId="6F641669" w14:textId="4F5B8E1D" w:rsidR="00C96F29" w:rsidRDefault="00207D86" w:rsidP="00310AC5">
      <w:pPr>
        <w:pStyle w:val="LegalNormal"/>
        <w:spacing w:after="0"/>
      </w:pPr>
      <w:r>
        <w:t>e-mail:</w:t>
      </w:r>
      <w:r w:rsidR="005171E9">
        <w:t xml:space="preserve"> </w:t>
      </w:r>
      <w:hyperlink r:id="rId14" w:history="1">
        <w:r w:rsidR="008957E7" w:rsidRPr="00B145F6">
          <w:rPr>
            <w:rStyle w:val="Hyperlink"/>
          </w:rPr>
          <w:t>simathebula@justice.gov.za</w:t>
        </w:r>
      </w:hyperlink>
    </w:p>
    <w:p w14:paraId="62C99739" w14:textId="308CEBEB" w:rsidR="008957E7" w:rsidRDefault="0050430C" w:rsidP="00310AC5">
      <w:pPr>
        <w:pStyle w:val="LegalNormal"/>
        <w:spacing w:after="0"/>
      </w:pPr>
      <w:r>
        <w:lastRenderedPageBreak/>
        <w:t>4</w:t>
      </w:r>
      <w:r w:rsidRPr="0050430C">
        <w:rPr>
          <w:vertAlign w:val="superscript"/>
        </w:rPr>
        <w:t>th</w:t>
      </w:r>
      <w:r>
        <w:t xml:space="preserve"> to 6</w:t>
      </w:r>
      <w:r w:rsidRPr="0050430C">
        <w:rPr>
          <w:vertAlign w:val="superscript"/>
        </w:rPr>
        <w:t>th</w:t>
      </w:r>
      <w:r>
        <w:t xml:space="preserve"> Respondents do not oppose the application. </w:t>
      </w:r>
    </w:p>
    <w:p w14:paraId="7B916D78" w14:textId="23EA7E4F" w:rsidR="00207D86" w:rsidRDefault="005171E9" w:rsidP="00310AC5">
      <w:pPr>
        <w:pStyle w:val="LegalNormal"/>
        <w:spacing w:after="0"/>
      </w:pPr>
      <w:r>
        <w:t xml:space="preserve"> </w:t>
      </w:r>
    </w:p>
    <w:p w14:paraId="089B8B18" w14:textId="77777777" w:rsidR="00207D86" w:rsidRDefault="00207D86" w:rsidP="00310AC5">
      <w:pPr>
        <w:pStyle w:val="LegalNormal"/>
        <w:spacing w:after="0"/>
      </w:pPr>
    </w:p>
    <w:p w14:paraId="0E3CA618" w14:textId="26E9338F" w:rsidR="00012A18" w:rsidRDefault="00310AC5" w:rsidP="00F1291D">
      <w:pPr>
        <w:pStyle w:val="LegalNormal"/>
        <w:rPr>
          <w:rFonts w:ascii="Segoe UI Semilight" w:hAnsi="Segoe UI Semilight" w:cs="Segoe UI Semilight"/>
        </w:rPr>
      </w:pPr>
      <w:r w:rsidRPr="00B013F2">
        <w:rPr>
          <w:b/>
          <w:sz w:val="22"/>
          <w:szCs w:val="22"/>
        </w:rPr>
        <w:t>Delivery</w:t>
      </w:r>
      <w:r w:rsidRPr="00B013F2">
        <w:rPr>
          <w:sz w:val="22"/>
          <w:szCs w:val="22"/>
        </w:rPr>
        <w:t>: This judgment was handed down electronically by circulation to the parties' l</w:t>
      </w:r>
      <w:r w:rsidR="00627764">
        <w:rPr>
          <w:sz w:val="22"/>
          <w:szCs w:val="22"/>
        </w:rPr>
        <w:t>egal representatives by email an</w:t>
      </w:r>
      <w:r w:rsidRPr="00B013F2">
        <w:rPr>
          <w:sz w:val="22"/>
          <w:szCs w:val="22"/>
        </w:rPr>
        <w:t xml:space="preserve">d uploaded on the CaseLines electronic platform. The date for hand-down is deemed to </w:t>
      </w:r>
      <w:r w:rsidR="00F015A5" w:rsidRPr="00B013F2">
        <w:rPr>
          <w:sz w:val="22"/>
          <w:szCs w:val="22"/>
        </w:rPr>
        <w:t xml:space="preserve">be </w:t>
      </w:r>
      <w:r w:rsidR="00627764">
        <w:rPr>
          <w:sz w:val="22"/>
          <w:szCs w:val="22"/>
          <w:u w:val="single"/>
        </w:rPr>
        <w:t>23</w:t>
      </w:r>
      <w:r w:rsidR="00F015A5">
        <w:rPr>
          <w:sz w:val="22"/>
          <w:szCs w:val="22"/>
          <w:u w:val="single"/>
        </w:rPr>
        <w:t xml:space="preserve"> </w:t>
      </w:r>
      <w:r w:rsidR="008957E7">
        <w:rPr>
          <w:sz w:val="22"/>
          <w:szCs w:val="22"/>
          <w:u w:val="single"/>
        </w:rPr>
        <w:t>May</w:t>
      </w:r>
      <w:r w:rsidRPr="00B013F2">
        <w:rPr>
          <w:sz w:val="22"/>
          <w:szCs w:val="22"/>
          <w:u w:val="single"/>
        </w:rPr>
        <w:t xml:space="preserve"> 202</w:t>
      </w:r>
      <w:r w:rsidR="007320D0" w:rsidRPr="00B013F2">
        <w:rPr>
          <w:sz w:val="22"/>
          <w:szCs w:val="22"/>
          <w:u w:val="single"/>
        </w:rPr>
        <w:t>4</w:t>
      </w:r>
      <w:r w:rsidRPr="00B013F2">
        <w:rPr>
          <w:sz w:val="22"/>
          <w:szCs w:val="22"/>
        </w:rPr>
        <w:t>.</w:t>
      </w:r>
      <w:r w:rsidRPr="00B013F2">
        <w:rPr>
          <w:rFonts w:ascii="Segoe UI Semilight" w:hAnsi="Segoe UI Semilight" w:cs="Segoe UI Semilight"/>
        </w:rPr>
        <w:t xml:space="preserve">                                                                                     </w:t>
      </w:r>
    </w:p>
    <w:sectPr w:rsidR="00012A18" w:rsidSect="00AF772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3DD25" w14:textId="77777777" w:rsidR="001D006B" w:rsidRPr="00B013F2" w:rsidRDefault="001D006B" w:rsidP="004466A8">
      <w:r w:rsidRPr="00B013F2">
        <w:separator/>
      </w:r>
    </w:p>
  </w:endnote>
  <w:endnote w:type="continuationSeparator" w:id="0">
    <w:p w14:paraId="6EDBC33A" w14:textId="77777777" w:rsidR="001D006B" w:rsidRPr="00B013F2" w:rsidRDefault="001D006B" w:rsidP="004466A8">
      <w:r w:rsidRPr="00B013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0130839"/>
      <w:docPartObj>
        <w:docPartGallery w:val="Page Numbers (Bottom of Page)"/>
        <w:docPartUnique/>
      </w:docPartObj>
    </w:sdtPr>
    <w:sdtContent>
      <w:p w14:paraId="379869DB" w14:textId="10EBDE14" w:rsidR="000A4529" w:rsidRPr="00B013F2" w:rsidRDefault="000A4529">
        <w:pPr>
          <w:pStyle w:val="Footer"/>
          <w:jc w:val="center"/>
        </w:pPr>
        <w:r w:rsidRPr="00B013F2">
          <w:fldChar w:fldCharType="begin"/>
        </w:r>
        <w:r w:rsidRPr="00B013F2">
          <w:instrText xml:space="preserve"> PAGE   \* MERGEFORMAT </w:instrText>
        </w:r>
        <w:r w:rsidRPr="00B013F2">
          <w:fldChar w:fldCharType="separate"/>
        </w:r>
        <w:r w:rsidR="00165501">
          <w:rPr>
            <w:noProof/>
          </w:rPr>
          <w:t>1</w:t>
        </w:r>
        <w:r w:rsidRPr="00B013F2">
          <w:fldChar w:fldCharType="end"/>
        </w:r>
      </w:p>
    </w:sdtContent>
  </w:sdt>
  <w:p w14:paraId="790A0DB5" w14:textId="77777777" w:rsidR="000A4529" w:rsidRPr="00B013F2" w:rsidRDefault="000A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9DCDC" w14:textId="77777777" w:rsidR="001D006B" w:rsidRPr="00B013F2" w:rsidRDefault="001D006B" w:rsidP="004466A8">
      <w:r w:rsidRPr="00B013F2">
        <w:separator/>
      </w:r>
    </w:p>
  </w:footnote>
  <w:footnote w:type="continuationSeparator" w:id="0">
    <w:p w14:paraId="2FE48F4F" w14:textId="77777777" w:rsidR="001D006B" w:rsidRPr="00B013F2" w:rsidRDefault="001D006B" w:rsidP="004466A8">
      <w:r w:rsidRPr="00B013F2">
        <w:continuationSeparator/>
      </w:r>
    </w:p>
  </w:footnote>
  <w:footnote w:id="1">
    <w:p w14:paraId="6E373B15" w14:textId="76849195" w:rsidR="003B2694" w:rsidRPr="003B2694" w:rsidRDefault="003B2694">
      <w:pPr>
        <w:pStyle w:val="FootnoteText"/>
        <w:rPr>
          <w:lang w:val="en-US"/>
        </w:rPr>
      </w:pPr>
      <w:r>
        <w:rPr>
          <w:rStyle w:val="FootnoteReference"/>
        </w:rPr>
        <w:footnoteRef/>
      </w:r>
      <w:r>
        <w:t xml:space="preserve"> </w:t>
      </w:r>
      <w:r>
        <w:rPr>
          <w:lang w:val="en-US"/>
        </w:rPr>
        <w:t xml:space="preserve">Paragraph 40 </w:t>
      </w:r>
      <w:r w:rsidR="00854444">
        <w:rPr>
          <w:lang w:val="en-US"/>
        </w:rPr>
        <w:t xml:space="preserve">to 44 </w:t>
      </w:r>
      <w:r>
        <w:rPr>
          <w:lang w:val="en-US"/>
        </w:rPr>
        <w:t>of the Founding Affidavit.</w:t>
      </w:r>
    </w:p>
  </w:footnote>
  <w:footnote w:id="2">
    <w:p w14:paraId="3DFA7D00" w14:textId="56CA432B" w:rsidR="000D267D" w:rsidRPr="000D267D" w:rsidRDefault="000D267D">
      <w:pPr>
        <w:pStyle w:val="FootnoteText"/>
        <w:rPr>
          <w:lang w:val="en-US"/>
        </w:rPr>
      </w:pPr>
      <w:r>
        <w:rPr>
          <w:rStyle w:val="FootnoteReference"/>
        </w:rPr>
        <w:footnoteRef/>
      </w:r>
      <w:r>
        <w:t xml:space="preserve"> </w:t>
      </w:r>
      <w:r>
        <w:rPr>
          <w:lang w:val="en-US"/>
        </w:rPr>
        <w:t xml:space="preserve">Para 10 of </w:t>
      </w:r>
      <w:r w:rsidR="002C09CB">
        <w:rPr>
          <w:lang w:val="en-US"/>
        </w:rPr>
        <w:t>the Answering Affidavit on behalf of the respondents.</w:t>
      </w:r>
    </w:p>
  </w:footnote>
  <w:footnote w:id="3">
    <w:p w14:paraId="57580F76" w14:textId="4A8E617B" w:rsidR="001A2E1E" w:rsidRPr="001A2E1E" w:rsidRDefault="001A2E1E">
      <w:pPr>
        <w:pStyle w:val="FootnoteText"/>
        <w:rPr>
          <w:lang w:val="en-US"/>
        </w:rPr>
      </w:pPr>
      <w:r>
        <w:rPr>
          <w:rStyle w:val="FootnoteReference"/>
        </w:rPr>
        <w:footnoteRef/>
      </w:r>
      <w:r>
        <w:t xml:space="preserve"> </w:t>
      </w:r>
      <w:r w:rsidR="00E52F5E">
        <w:rPr>
          <w:lang w:val="en-US"/>
        </w:rPr>
        <w:t>Para 20 Answering Affidavit.</w:t>
      </w:r>
    </w:p>
  </w:footnote>
  <w:footnote w:id="4">
    <w:p w14:paraId="03A87759" w14:textId="0DDD4359" w:rsidR="00CB7548" w:rsidRPr="00CB7548" w:rsidRDefault="00CB7548">
      <w:pPr>
        <w:pStyle w:val="FootnoteText"/>
        <w:rPr>
          <w:lang w:val="en-US"/>
        </w:rPr>
      </w:pPr>
      <w:r>
        <w:rPr>
          <w:rStyle w:val="FootnoteReference"/>
        </w:rPr>
        <w:footnoteRef/>
      </w:r>
      <w:r>
        <w:t xml:space="preserve"> </w:t>
      </w:r>
      <w:r w:rsidR="000C2304">
        <w:rPr>
          <w:lang w:val="en-US"/>
        </w:rPr>
        <w:t>Para 21 Answering Affidavit.</w:t>
      </w:r>
    </w:p>
  </w:footnote>
  <w:footnote w:id="5">
    <w:p w14:paraId="1BBD4487" w14:textId="3006BF86" w:rsidR="00171E6D" w:rsidRPr="00171E6D" w:rsidRDefault="00171E6D">
      <w:pPr>
        <w:pStyle w:val="FootnoteText"/>
        <w:rPr>
          <w:lang w:val="en-US"/>
        </w:rPr>
      </w:pPr>
      <w:r>
        <w:rPr>
          <w:rStyle w:val="FootnoteReference"/>
        </w:rPr>
        <w:footnoteRef/>
      </w:r>
      <w:r>
        <w:t xml:space="preserve"> </w:t>
      </w:r>
      <w:r>
        <w:rPr>
          <w:lang w:val="en-US"/>
        </w:rPr>
        <w:t xml:space="preserve">Section 79 of the MHSA provides for </w:t>
      </w:r>
      <w:r w:rsidR="009A022D">
        <w:rPr>
          <w:lang w:val="en-US"/>
        </w:rPr>
        <w:t>an exemption from the application of the MHSA</w:t>
      </w:r>
      <w:r w:rsidR="00252E74">
        <w:rPr>
          <w:lang w:val="en-US"/>
        </w:rPr>
        <w:t xml:space="preserve"> as a whole or part thereof on application to the Minister of D</w:t>
      </w:r>
      <w:r w:rsidR="00493513">
        <w:rPr>
          <w:lang w:val="en-US"/>
        </w:rPr>
        <w:t>MRE.</w:t>
      </w:r>
    </w:p>
  </w:footnote>
  <w:footnote w:id="6">
    <w:p w14:paraId="1B2F561A" w14:textId="4EC26058" w:rsidR="005C1BEA" w:rsidRPr="005C1BEA" w:rsidRDefault="005C1BEA">
      <w:pPr>
        <w:pStyle w:val="FootnoteText"/>
        <w:rPr>
          <w:lang w:val="en-US"/>
        </w:rPr>
      </w:pPr>
      <w:r>
        <w:rPr>
          <w:rStyle w:val="FootnoteReference"/>
        </w:rPr>
        <w:footnoteRef/>
      </w:r>
      <w:r>
        <w:t xml:space="preserve"> </w:t>
      </w:r>
      <w:r>
        <w:rPr>
          <w:lang w:val="en-US"/>
        </w:rPr>
        <w:t>Annexure “</w:t>
      </w:r>
      <w:r w:rsidR="00927FD3">
        <w:rPr>
          <w:lang w:val="en-US"/>
        </w:rPr>
        <w:t xml:space="preserve">FA17” </w:t>
      </w:r>
      <w:r w:rsidR="00191AAE">
        <w:rPr>
          <w:lang w:val="en-US"/>
        </w:rPr>
        <w:t xml:space="preserve">which is a letter from the Applicants’ Attorneys to the </w:t>
      </w:r>
      <w:r w:rsidR="00A63068">
        <w:rPr>
          <w:lang w:val="en-US"/>
        </w:rPr>
        <w:t xml:space="preserve">Department of Mineral Resources’ Legal Services. </w:t>
      </w:r>
    </w:p>
  </w:footnote>
  <w:footnote w:id="7">
    <w:p w14:paraId="1BF5D2BD" w14:textId="38F1B203" w:rsidR="00C90785" w:rsidRPr="00C90785" w:rsidRDefault="00C90785">
      <w:pPr>
        <w:pStyle w:val="FootnoteText"/>
        <w:rPr>
          <w:lang w:val="en-US"/>
        </w:rPr>
      </w:pPr>
      <w:r>
        <w:rPr>
          <w:rStyle w:val="FootnoteReference"/>
        </w:rPr>
        <w:footnoteRef/>
      </w:r>
      <w:r>
        <w:t xml:space="preserve"> </w:t>
      </w:r>
      <w:r>
        <w:rPr>
          <w:lang w:val="en-US"/>
        </w:rPr>
        <w:t xml:space="preserve">Annexure “FA18” which is </w:t>
      </w:r>
      <w:r w:rsidR="008825B6">
        <w:rPr>
          <w:lang w:val="en-US"/>
        </w:rPr>
        <w:t>correspondence from the Applicants’ Attorneys and the Employment and Labour Department.</w:t>
      </w:r>
    </w:p>
  </w:footnote>
  <w:footnote w:id="8">
    <w:p w14:paraId="32A96BDA" w14:textId="2E315F1E" w:rsidR="00961401" w:rsidRPr="00961401" w:rsidRDefault="00961401">
      <w:pPr>
        <w:pStyle w:val="FootnoteText"/>
        <w:rPr>
          <w:lang w:val="en-US"/>
        </w:rPr>
      </w:pPr>
      <w:r>
        <w:rPr>
          <w:rStyle w:val="FootnoteReference"/>
        </w:rPr>
        <w:footnoteRef/>
      </w:r>
      <w:r>
        <w:t xml:space="preserve"> </w:t>
      </w:r>
      <w:r>
        <w:rPr>
          <w:lang w:val="en-US"/>
        </w:rPr>
        <w:t>Para</w:t>
      </w:r>
      <w:r w:rsidR="00B858BC">
        <w:rPr>
          <w:lang w:val="en-US"/>
        </w:rPr>
        <w:t xml:space="preserve"> 12 of Applicants’ replying affidavit confirms that the Appli</w:t>
      </w:r>
      <w:r w:rsidR="003B3D3F">
        <w:rPr>
          <w:lang w:val="en-US"/>
        </w:rPr>
        <w:t>cant failed to apply for an exemption</w:t>
      </w:r>
      <w:r w:rsidR="00DC32F2">
        <w:rPr>
          <w:lang w:val="en-US"/>
        </w:rPr>
        <w:t xml:space="preserve"> in terms of Section 79 of MHSA.</w:t>
      </w:r>
    </w:p>
  </w:footnote>
  <w:footnote w:id="9">
    <w:p w14:paraId="134EE7A1" w14:textId="58E207BB" w:rsidR="001752FC" w:rsidRPr="001752FC" w:rsidRDefault="001752FC">
      <w:pPr>
        <w:pStyle w:val="FootnoteText"/>
        <w:rPr>
          <w:lang w:val="en-US"/>
        </w:rPr>
      </w:pPr>
      <w:r>
        <w:rPr>
          <w:rStyle w:val="FootnoteReference"/>
        </w:rPr>
        <w:footnoteRef/>
      </w:r>
      <w:r>
        <w:t xml:space="preserve"> </w:t>
      </w:r>
      <w:r>
        <w:rPr>
          <w:lang w:val="en-US"/>
        </w:rPr>
        <w:t xml:space="preserve">Section 33 of the Constitution </w:t>
      </w:r>
      <w:r w:rsidR="00F44894">
        <w:rPr>
          <w:lang w:val="en-US"/>
        </w:rPr>
        <w:t>Act</w:t>
      </w:r>
      <w:r w:rsidR="00416BCD">
        <w:rPr>
          <w:lang w:val="en-US"/>
        </w:rPr>
        <w:t xml:space="preserve"> 108</w:t>
      </w:r>
      <w:r w:rsidR="00886B96">
        <w:rPr>
          <w:lang w:val="en-US"/>
        </w:rPr>
        <w:t>b</w:t>
      </w:r>
      <w:r w:rsidR="00C038A5">
        <w:rPr>
          <w:lang w:val="en-US"/>
        </w:rPr>
        <w:t>x</w:t>
      </w:r>
      <w:r w:rsidR="00F44894">
        <w:rPr>
          <w:lang w:val="en-US"/>
        </w:rPr>
        <w:t xml:space="preserve"> of 1996.</w:t>
      </w:r>
    </w:p>
  </w:footnote>
  <w:footnote w:id="10">
    <w:p w14:paraId="10186D9E" w14:textId="7F21D1AB" w:rsidR="00C30F65" w:rsidRPr="00C33223" w:rsidRDefault="00C30F65">
      <w:pPr>
        <w:pStyle w:val="FootnoteText"/>
        <w:rPr>
          <w:i/>
          <w:iCs/>
          <w:lang w:val="en-US"/>
        </w:rPr>
      </w:pPr>
      <w:r>
        <w:rPr>
          <w:rStyle w:val="FootnoteReference"/>
        </w:rPr>
        <w:footnoteRef/>
      </w:r>
      <w:r>
        <w:t xml:space="preserve"> </w:t>
      </w:r>
      <w:r w:rsidR="00370760">
        <w:t>Paras 37,</w:t>
      </w:r>
      <w:r w:rsidR="00C0052D">
        <w:t xml:space="preserve"> 38 and more specifically 39 which reads</w:t>
      </w:r>
      <w:r w:rsidR="00483A0A">
        <w:t xml:space="preserve">: </w:t>
      </w:r>
      <w:r w:rsidR="00483A0A" w:rsidRPr="00C33223">
        <w:rPr>
          <w:i/>
          <w:iCs/>
        </w:rPr>
        <w:t>“</w:t>
      </w:r>
      <w:r w:rsidR="00C33223" w:rsidRPr="00C33223">
        <w:rPr>
          <w:i/>
          <w:iCs/>
        </w:rPr>
        <w:t>Tubatse Alloys has already proceeded to approach the above honourable court for a similar declaration as requested in this application, which was granted, and is attached hereto as annexure FA22.”</w:t>
      </w:r>
    </w:p>
  </w:footnote>
  <w:footnote w:id="11">
    <w:p w14:paraId="62033445" w14:textId="390D9BE4" w:rsidR="005E4366" w:rsidRPr="005E4366" w:rsidRDefault="005E4366">
      <w:pPr>
        <w:pStyle w:val="FootnoteText"/>
        <w:rPr>
          <w:lang w:val="en-US"/>
        </w:rPr>
      </w:pPr>
      <w:r>
        <w:rPr>
          <w:rStyle w:val="FootnoteReference"/>
        </w:rPr>
        <w:footnoteRef/>
      </w:r>
      <w:r>
        <w:t xml:space="preserve"> </w:t>
      </w:r>
      <w:r>
        <w:rPr>
          <w:lang w:val="en-US"/>
        </w:rPr>
        <w:t>Paragraph 9.2 of Applicant</w:t>
      </w:r>
      <w:r w:rsidR="00B32D12">
        <w:rPr>
          <w:lang w:val="en-US"/>
        </w:rPr>
        <w:t>s’ replying affidavit.</w:t>
      </w:r>
    </w:p>
  </w:footnote>
  <w:footnote w:id="12">
    <w:p w14:paraId="4038A886" w14:textId="0A2B0F4E" w:rsidR="00576F29" w:rsidRPr="00576F29" w:rsidRDefault="00576F29">
      <w:pPr>
        <w:pStyle w:val="FootnoteText"/>
        <w:rPr>
          <w:lang w:val="en-US"/>
        </w:rPr>
      </w:pPr>
      <w:r>
        <w:rPr>
          <w:rStyle w:val="FootnoteReference"/>
        </w:rPr>
        <w:footnoteRef/>
      </w:r>
      <w:r>
        <w:t xml:space="preserve"> </w:t>
      </w:r>
      <w:r w:rsidR="002A6B7B">
        <w:rPr>
          <w:lang w:val="en-US"/>
        </w:rPr>
        <w:t>A handbook on Occupational Health Practice in the South African</w:t>
      </w:r>
      <w:r w:rsidR="004F5492">
        <w:rPr>
          <w:lang w:val="en-US"/>
        </w:rPr>
        <w:t xml:space="preserve"> Mining Industry, </w:t>
      </w:r>
      <w:r w:rsidR="00F20CEA">
        <w:rPr>
          <w:lang w:val="en-US"/>
        </w:rPr>
        <w:t>page xii – R. Guild</w:t>
      </w:r>
      <w:r w:rsidR="00C24DF9">
        <w:rPr>
          <w:lang w:val="en-US"/>
        </w:rPr>
        <w:t>, Ehrlich, Johnston &amp; Ross (Editors)</w:t>
      </w:r>
      <w:r w:rsidR="004F5492">
        <w:rPr>
          <w:lang w:val="en-US"/>
        </w:rPr>
        <w:t xml:space="preserve"> </w:t>
      </w:r>
      <w:r w:rsidR="00AE5628">
        <w:rPr>
          <w:lang w:val="en-US"/>
        </w:rPr>
        <w:t>, SIMRAC,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F2F214E"/>
    <w:multiLevelType w:val="hybridMultilevel"/>
    <w:tmpl w:val="F4309FE2"/>
    <w:lvl w:ilvl="0" w:tplc="3B4C1E54">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15:restartNumberingAfterBreak="0">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6" w15:restartNumberingAfterBreak="0">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7" w15:restartNumberingAfterBreak="0">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51C0287"/>
    <w:multiLevelType w:val="multilevel"/>
    <w:tmpl w:val="B01EECC0"/>
    <w:lvl w:ilvl="0">
      <w:start w:val="1"/>
      <w:numFmt w:val="decimal"/>
      <w:lvlText w:val="[%1]"/>
      <w:lvlJc w:val="left"/>
      <w:pPr>
        <w:tabs>
          <w:tab w:val="num" w:pos="927"/>
        </w:tabs>
        <w:ind w:left="927" w:hanging="567"/>
      </w:pPr>
      <w:rPr>
        <w:rFonts w:hint="default"/>
        <w:b w:val="0"/>
        <w:i w:val="0"/>
        <w:sz w:val="24"/>
        <w:szCs w:val="24"/>
      </w:rPr>
    </w:lvl>
    <w:lvl w:ilvl="1">
      <w:start w:val="1"/>
      <w:numFmt w:val="decimal"/>
      <w:pStyle w:val="LegalHeading2"/>
      <w:lvlText w:val="%1.%2"/>
      <w:lvlJc w:val="left"/>
      <w:pPr>
        <w:tabs>
          <w:tab w:val="num" w:pos="2629"/>
        </w:tabs>
        <w:ind w:left="2629" w:hanging="1134"/>
      </w:pPr>
      <w:rPr>
        <w:rFonts w:ascii="Arial" w:hAnsi="Arial" w:cs="Arial" w:hint="default"/>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10" w15:restartNumberingAfterBreak="0">
    <w:nsid w:val="4E8E665F"/>
    <w:multiLevelType w:val="hybridMultilevel"/>
    <w:tmpl w:val="6C045116"/>
    <w:lvl w:ilvl="0" w:tplc="D1765048">
      <w:start w:val="9"/>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15:restartNumberingAfterBreak="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2" w15:restartNumberingAfterBreak="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8F167A3"/>
    <w:multiLevelType w:val="hybridMultilevel"/>
    <w:tmpl w:val="EFCE356C"/>
    <w:lvl w:ilvl="0" w:tplc="C540B20C">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15:restartNumberingAfterBreak="0">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15:restartNumberingAfterBreak="0">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7" w15:restartNumberingAfterBreak="0">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16cid:durableId="1481922463">
    <w:abstractNumId w:val="9"/>
  </w:num>
  <w:num w:numId="2" w16cid:durableId="712463896">
    <w:abstractNumId w:val="2"/>
  </w:num>
  <w:num w:numId="3" w16cid:durableId="236014140">
    <w:abstractNumId w:val="16"/>
  </w:num>
  <w:num w:numId="4" w16cid:durableId="559169243">
    <w:abstractNumId w:val="8"/>
  </w:num>
  <w:num w:numId="5" w16cid:durableId="2028823320">
    <w:abstractNumId w:val="7"/>
  </w:num>
  <w:num w:numId="6" w16cid:durableId="1006098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1042383">
    <w:abstractNumId w:val="17"/>
  </w:num>
  <w:num w:numId="8" w16cid:durableId="1916623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6560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8104798">
    <w:abstractNumId w:val="12"/>
  </w:num>
  <w:num w:numId="11" w16cid:durableId="1290161888">
    <w:abstractNumId w:val="1"/>
  </w:num>
  <w:num w:numId="12" w16cid:durableId="538779409">
    <w:abstractNumId w:val="6"/>
  </w:num>
  <w:num w:numId="13" w16cid:durableId="1561938718">
    <w:abstractNumId w:val="4"/>
  </w:num>
  <w:num w:numId="14" w16cid:durableId="1686786213">
    <w:abstractNumId w:val="15"/>
  </w:num>
  <w:num w:numId="15" w16cid:durableId="1370912141">
    <w:abstractNumId w:val="11"/>
  </w:num>
  <w:num w:numId="16" w16cid:durableId="986278313">
    <w:abstractNumId w:val="5"/>
  </w:num>
  <w:num w:numId="17" w16cid:durableId="1774396296">
    <w:abstractNumId w:val="14"/>
  </w:num>
  <w:num w:numId="18" w16cid:durableId="313265862">
    <w:abstractNumId w:val="0"/>
  </w:num>
  <w:num w:numId="19" w16cid:durableId="163783626">
    <w:abstractNumId w:val="3"/>
  </w:num>
  <w:num w:numId="20" w16cid:durableId="814682576">
    <w:abstractNumId w:val="10"/>
  </w:num>
  <w:num w:numId="21" w16cid:durableId="12494629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A8"/>
    <w:rsid w:val="00000B8C"/>
    <w:rsid w:val="000017BA"/>
    <w:rsid w:val="00003C64"/>
    <w:rsid w:val="0000452E"/>
    <w:rsid w:val="00004B2E"/>
    <w:rsid w:val="00005A44"/>
    <w:rsid w:val="0000633E"/>
    <w:rsid w:val="00006D46"/>
    <w:rsid w:val="00007F15"/>
    <w:rsid w:val="00012781"/>
    <w:rsid w:val="0001286D"/>
    <w:rsid w:val="00012A18"/>
    <w:rsid w:val="00013845"/>
    <w:rsid w:val="00013F71"/>
    <w:rsid w:val="000158CB"/>
    <w:rsid w:val="00015913"/>
    <w:rsid w:val="000176F3"/>
    <w:rsid w:val="00017D30"/>
    <w:rsid w:val="000206C6"/>
    <w:rsid w:val="000235CA"/>
    <w:rsid w:val="00023D43"/>
    <w:rsid w:val="000262D4"/>
    <w:rsid w:val="00026395"/>
    <w:rsid w:val="00026995"/>
    <w:rsid w:val="00026CCB"/>
    <w:rsid w:val="000324B4"/>
    <w:rsid w:val="00032E89"/>
    <w:rsid w:val="00034996"/>
    <w:rsid w:val="0004090C"/>
    <w:rsid w:val="00040CDC"/>
    <w:rsid w:val="000410CB"/>
    <w:rsid w:val="000417D8"/>
    <w:rsid w:val="00041E02"/>
    <w:rsid w:val="00041FF8"/>
    <w:rsid w:val="00042399"/>
    <w:rsid w:val="00044644"/>
    <w:rsid w:val="00044D86"/>
    <w:rsid w:val="0004588E"/>
    <w:rsid w:val="00045AB1"/>
    <w:rsid w:val="00045BCB"/>
    <w:rsid w:val="00045F21"/>
    <w:rsid w:val="00046BC8"/>
    <w:rsid w:val="00046DD6"/>
    <w:rsid w:val="00047A30"/>
    <w:rsid w:val="0005076C"/>
    <w:rsid w:val="00051D86"/>
    <w:rsid w:val="00052665"/>
    <w:rsid w:val="00053B4E"/>
    <w:rsid w:val="00053F59"/>
    <w:rsid w:val="000541ED"/>
    <w:rsid w:val="0005444E"/>
    <w:rsid w:val="00056306"/>
    <w:rsid w:val="000565E0"/>
    <w:rsid w:val="0005718D"/>
    <w:rsid w:val="00060797"/>
    <w:rsid w:val="00063047"/>
    <w:rsid w:val="00063239"/>
    <w:rsid w:val="00065BB2"/>
    <w:rsid w:val="00070079"/>
    <w:rsid w:val="00070D60"/>
    <w:rsid w:val="000713CF"/>
    <w:rsid w:val="00072435"/>
    <w:rsid w:val="000731D6"/>
    <w:rsid w:val="00075708"/>
    <w:rsid w:val="0007572C"/>
    <w:rsid w:val="00077D5C"/>
    <w:rsid w:val="000803CB"/>
    <w:rsid w:val="00080AF6"/>
    <w:rsid w:val="00080BFA"/>
    <w:rsid w:val="0008114E"/>
    <w:rsid w:val="00081D17"/>
    <w:rsid w:val="00081DB4"/>
    <w:rsid w:val="00082886"/>
    <w:rsid w:val="000832B2"/>
    <w:rsid w:val="00083AD2"/>
    <w:rsid w:val="0008419F"/>
    <w:rsid w:val="00085C37"/>
    <w:rsid w:val="00085ECF"/>
    <w:rsid w:val="000874CB"/>
    <w:rsid w:val="00092485"/>
    <w:rsid w:val="00092C48"/>
    <w:rsid w:val="000930E8"/>
    <w:rsid w:val="000934F2"/>
    <w:rsid w:val="000956FF"/>
    <w:rsid w:val="00096022"/>
    <w:rsid w:val="00097E4F"/>
    <w:rsid w:val="00097FD2"/>
    <w:rsid w:val="000A134C"/>
    <w:rsid w:val="000A1926"/>
    <w:rsid w:val="000A19F0"/>
    <w:rsid w:val="000A1DEF"/>
    <w:rsid w:val="000A1FAF"/>
    <w:rsid w:val="000A3564"/>
    <w:rsid w:val="000A35D1"/>
    <w:rsid w:val="000A36B8"/>
    <w:rsid w:val="000A37BF"/>
    <w:rsid w:val="000A4529"/>
    <w:rsid w:val="000A49CD"/>
    <w:rsid w:val="000A59A0"/>
    <w:rsid w:val="000A5AD5"/>
    <w:rsid w:val="000A5AF8"/>
    <w:rsid w:val="000A6572"/>
    <w:rsid w:val="000A678A"/>
    <w:rsid w:val="000A6E89"/>
    <w:rsid w:val="000A731F"/>
    <w:rsid w:val="000B2477"/>
    <w:rsid w:val="000B3C04"/>
    <w:rsid w:val="000B4699"/>
    <w:rsid w:val="000B4CA7"/>
    <w:rsid w:val="000B4D56"/>
    <w:rsid w:val="000B5B3C"/>
    <w:rsid w:val="000B5D45"/>
    <w:rsid w:val="000B5EC0"/>
    <w:rsid w:val="000C2304"/>
    <w:rsid w:val="000C31B4"/>
    <w:rsid w:val="000C56B3"/>
    <w:rsid w:val="000C6C70"/>
    <w:rsid w:val="000D0F5D"/>
    <w:rsid w:val="000D15BD"/>
    <w:rsid w:val="000D267D"/>
    <w:rsid w:val="000D27FD"/>
    <w:rsid w:val="000D3633"/>
    <w:rsid w:val="000D4B5B"/>
    <w:rsid w:val="000D604C"/>
    <w:rsid w:val="000D71D1"/>
    <w:rsid w:val="000D72CE"/>
    <w:rsid w:val="000D78D8"/>
    <w:rsid w:val="000D7C9F"/>
    <w:rsid w:val="000E02D8"/>
    <w:rsid w:val="000E0ECB"/>
    <w:rsid w:val="000E3D3B"/>
    <w:rsid w:val="000E54C3"/>
    <w:rsid w:val="000E54D2"/>
    <w:rsid w:val="000E5CF3"/>
    <w:rsid w:val="000E64E1"/>
    <w:rsid w:val="000E6743"/>
    <w:rsid w:val="000E7137"/>
    <w:rsid w:val="000F239E"/>
    <w:rsid w:val="000F2C99"/>
    <w:rsid w:val="000F2DBE"/>
    <w:rsid w:val="000F3A72"/>
    <w:rsid w:val="000F4395"/>
    <w:rsid w:val="000F5F9D"/>
    <w:rsid w:val="000F671B"/>
    <w:rsid w:val="000F6959"/>
    <w:rsid w:val="000F69AA"/>
    <w:rsid w:val="000F7725"/>
    <w:rsid w:val="00100429"/>
    <w:rsid w:val="00100B25"/>
    <w:rsid w:val="0010159A"/>
    <w:rsid w:val="00104DF9"/>
    <w:rsid w:val="00106F23"/>
    <w:rsid w:val="001075CA"/>
    <w:rsid w:val="00111A06"/>
    <w:rsid w:val="001124E1"/>
    <w:rsid w:val="0011291A"/>
    <w:rsid w:val="00112F9D"/>
    <w:rsid w:val="00112FF4"/>
    <w:rsid w:val="0011457D"/>
    <w:rsid w:val="0011689D"/>
    <w:rsid w:val="00117233"/>
    <w:rsid w:val="00117E26"/>
    <w:rsid w:val="00120689"/>
    <w:rsid w:val="001206E3"/>
    <w:rsid w:val="00120BD8"/>
    <w:rsid w:val="00122AF8"/>
    <w:rsid w:val="00122AFC"/>
    <w:rsid w:val="0012356F"/>
    <w:rsid w:val="0012567F"/>
    <w:rsid w:val="00125DDE"/>
    <w:rsid w:val="001275AA"/>
    <w:rsid w:val="00127822"/>
    <w:rsid w:val="00127EE8"/>
    <w:rsid w:val="001308A6"/>
    <w:rsid w:val="00131748"/>
    <w:rsid w:val="00132753"/>
    <w:rsid w:val="001332D2"/>
    <w:rsid w:val="001340F0"/>
    <w:rsid w:val="001346CF"/>
    <w:rsid w:val="00134AA9"/>
    <w:rsid w:val="001351A5"/>
    <w:rsid w:val="00137BD3"/>
    <w:rsid w:val="00140E2C"/>
    <w:rsid w:val="00142D20"/>
    <w:rsid w:val="0014505A"/>
    <w:rsid w:val="00145C17"/>
    <w:rsid w:val="00146455"/>
    <w:rsid w:val="00150347"/>
    <w:rsid w:val="0015042C"/>
    <w:rsid w:val="00150AAA"/>
    <w:rsid w:val="001522BF"/>
    <w:rsid w:val="001525CE"/>
    <w:rsid w:val="00152FD1"/>
    <w:rsid w:val="0015309C"/>
    <w:rsid w:val="00154A98"/>
    <w:rsid w:val="00154D4D"/>
    <w:rsid w:val="00157DE0"/>
    <w:rsid w:val="00160CFF"/>
    <w:rsid w:val="00161DE4"/>
    <w:rsid w:val="00164080"/>
    <w:rsid w:val="0016496E"/>
    <w:rsid w:val="00165501"/>
    <w:rsid w:val="00166BE2"/>
    <w:rsid w:val="00167984"/>
    <w:rsid w:val="00170B08"/>
    <w:rsid w:val="00171E6D"/>
    <w:rsid w:val="00172EC4"/>
    <w:rsid w:val="00173057"/>
    <w:rsid w:val="0017475B"/>
    <w:rsid w:val="00174ECE"/>
    <w:rsid w:val="001752FC"/>
    <w:rsid w:val="0017564E"/>
    <w:rsid w:val="00180592"/>
    <w:rsid w:val="00180C68"/>
    <w:rsid w:val="00183965"/>
    <w:rsid w:val="0018563F"/>
    <w:rsid w:val="00186B95"/>
    <w:rsid w:val="00186FE7"/>
    <w:rsid w:val="001879AC"/>
    <w:rsid w:val="00187E92"/>
    <w:rsid w:val="00191AAE"/>
    <w:rsid w:val="00192543"/>
    <w:rsid w:val="001929B7"/>
    <w:rsid w:val="001936BB"/>
    <w:rsid w:val="001936EE"/>
    <w:rsid w:val="00193E19"/>
    <w:rsid w:val="0019493D"/>
    <w:rsid w:val="0019493E"/>
    <w:rsid w:val="00194E30"/>
    <w:rsid w:val="001956A1"/>
    <w:rsid w:val="00196272"/>
    <w:rsid w:val="001A0211"/>
    <w:rsid w:val="001A0AB8"/>
    <w:rsid w:val="001A18A5"/>
    <w:rsid w:val="001A2E1E"/>
    <w:rsid w:val="001A3718"/>
    <w:rsid w:val="001A3CAC"/>
    <w:rsid w:val="001A426A"/>
    <w:rsid w:val="001A5E34"/>
    <w:rsid w:val="001A715F"/>
    <w:rsid w:val="001A7D35"/>
    <w:rsid w:val="001B087E"/>
    <w:rsid w:val="001B154A"/>
    <w:rsid w:val="001B271A"/>
    <w:rsid w:val="001B39E5"/>
    <w:rsid w:val="001B54C1"/>
    <w:rsid w:val="001B554E"/>
    <w:rsid w:val="001B55D9"/>
    <w:rsid w:val="001B567B"/>
    <w:rsid w:val="001B60B6"/>
    <w:rsid w:val="001B67DD"/>
    <w:rsid w:val="001C119B"/>
    <w:rsid w:val="001C226B"/>
    <w:rsid w:val="001C292E"/>
    <w:rsid w:val="001C3512"/>
    <w:rsid w:val="001C3538"/>
    <w:rsid w:val="001C3668"/>
    <w:rsid w:val="001C4A09"/>
    <w:rsid w:val="001C4D92"/>
    <w:rsid w:val="001C609A"/>
    <w:rsid w:val="001C7CBD"/>
    <w:rsid w:val="001D006B"/>
    <w:rsid w:val="001D012E"/>
    <w:rsid w:val="001D1352"/>
    <w:rsid w:val="001D2393"/>
    <w:rsid w:val="001D3B22"/>
    <w:rsid w:val="001D4862"/>
    <w:rsid w:val="001D48AD"/>
    <w:rsid w:val="001D71E0"/>
    <w:rsid w:val="001E2187"/>
    <w:rsid w:val="001E3002"/>
    <w:rsid w:val="001E3272"/>
    <w:rsid w:val="001E4F4F"/>
    <w:rsid w:val="001E5012"/>
    <w:rsid w:val="001E758B"/>
    <w:rsid w:val="001F1B89"/>
    <w:rsid w:val="001F2478"/>
    <w:rsid w:val="001F24DD"/>
    <w:rsid w:val="001F3D61"/>
    <w:rsid w:val="001F4034"/>
    <w:rsid w:val="001F5D70"/>
    <w:rsid w:val="002050FB"/>
    <w:rsid w:val="002061B8"/>
    <w:rsid w:val="00206D30"/>
    <w:rsid w:val="00207736"/>
    <w:rsid w:val="00207D86"/>
    <w:rsid w:val="00212AFF"/>
    <w:rsid w:val="00212EAB"/>
    <w:rsid w:val="00213E80"/>
    <w:rsid w:val="00214117"/>
    <w:rsid w:val="002144E7"/>
    <w:rsid w:val="0021532A"/>
    <w:rsid w:val="00215340"/>
    <w:rsid w:val="00215B62"/>
    <w:rsid w:val="0021656D"/>
    <w:rsid w:val="00216DEB"/>
    <w:rsid w:val="0021755E"/>
    <w:rsid w:val="0022009C"/>
    <w:rsid w:val="00220F3B"/>
    <w:rsid w:val="002210BF"/>
    <w:rsid w:val="00222CEF"/>
    <w:rsid w:val="00224540"/>
    <w:rsid w:val="00226526"/>
    <w:rsid w:val="00230814"/>
    <w:rsid w:val="00230DF1"/>
    <w:rsid w:val="00230E6A"/>
    <w:rsid w:val="00231079"/>
    <w:rsid w:val="00232380"/>
    <w:rsid w:val="00232A8E"/>
    <w:rsid w:val="0023333A"/>
    <w:rsid w:val="0023366A"/>
    <w:rsid w:val="002339B4"/>
    <w:rsid w:val="00233E55"/>
    <w:rsid w:val="00236087"/>
    <w:rsid w:val="0024301F"/>
    <w:rsid w:val="0024453E"/>
    <w:rsid w:val="00244BEA"/>
    <w:rsid w:val="00244F0B"/>
    <w:rsid w:val="00246FC1"/>
    <w:rsid w:val="0025116F"/>
    <w:rsid w:val="00251BFB"/>
    <w:rsid w:val="002522D6"/>
    <w:rsid w:val="00252E74"/>
    <w:rsid w:val="002539A2"/>
    <w:rsid w:val="002539B8"/>
    <w:rsid w:val="00254BE5"/>
    <w:rsid w:val="00255104"/>
    <w:rsid w:val="00257B41"/>
    <w:rsid w:val="00257E56"/>
    <w:rsid w:val="002601E8"/>
    <w:rsid w:val="002607D6"/>
    <w:rsid w:val="00260D17"/>
    <w:rsid w:val="00260D1A"/>
    <w:rsid w:val="00260D8E"/>
    <w:rsid w:val="00261618"/>
    <w:rsid w:val="002621C1"/>
    <w:rsid w:val="00264716"/>
    <w:rsid w:val="00265058"/>
    <w:rsid w:val="002672A5"/>
    <w:rsid w:val="00267411"/>
    <w:rsid w:val="002705D2"/>
    <w:rsid w:val="00270B13"/>
    <w:rsid w:val="002729D8"/>
    <w:rsid w:val="00273410"/>
    <w:rsid w:val="00274693"/>
    <w:rsid w:val="0027774A"/>
    <w:rsid w:val="00277E7C"/>
    <w:rsid w:val="0028103E"/>
    <w:rsid w:val="002813D8"/>
    <w:rsid w:val="00281874"/>
    <w:rsid w:val="002818B1"/>
    <w:rsid w:val="002820B5"/>
    <w:rsid w:val="00282B15"/>
    <w:rsid w:val="0028349D"/>
    <w:rsid w:val="0028363A"/>
    <w:rsid w:val="0028397B"/>
    <w:rsid w:val="002848C2"/>
    <w:rsid w:val="0028627F"/>
    <w:rsid w:val="00286CA7"/>
    <w:rsid w:val="002871D6"/>
    <w:rsid w:val="00291000"/>
    <w:rsid w:val="0029163A"/>
    <w:rsid w:val="00292422"/>
    <w:rsid w:val="00292A7A"/>
    <w:rsid w:val="00294047"/>
    <w:rsid w:val="002940B9"/>
    <w:rsid w:val="00294852"/>
    <w:rsid w:val="002948C9"/>
    <w:rsid w:val="00294FE9"/>
    <w:rsid w:val="00296AE5"/>
    <w:rsid w:val="002976C6"/>
    <w:rsid w:val="00297CB0"/>
    <w:rsid w:val="00297E4B"/>
    <w:rsid w:val="002A0D22"/>
    <w:rsid w:val="002A3236"/>
    <w:rsid w:val="002A40EE"/>
    <w:rsid w:val="002A452D"/>
    <w:rsid w:val="002A4941"/>
    <w:rsid w:val="002A57EF"/>
    <w:rsid w:val="002A6B7B"/>
    <w:rsid w:val="002A6DD4"/>
    <w:rsid w:val="002B020E"/>
    <w:rsid w:val="002B1690"/>
    <w:rsid w:val="002B3ABC"/>
    <w:rsid w:val="002B4512"/>
    <w:rsid w:val="002B5165"/>
    <w:rsid w:val="002B61A6"/>
    <w:rsid w:val="002C03EB"/>
    <w:rsid w:val="002C0738"/>
    <w:rsid w:val="002C09CB"/>
    <w:rsid w:val="002C0AAB"/>
    <w:rsid w:val="002C1526"/>
    <w:rsid w:val="002C2AB6"/>
    <w:rsid w:val="002C50D8"/>
    <w:rsid w:val="002C52AC"/>
    <w:rsid w:val="002C5571"/>
    <w:rsid w:val="002C5803"/>
    <w:rsid w:val="002C71A7"/>
    <w:rsid w:val="002C7405"/>
    <w:rsid w:val="002D043B"/>
    <w:rsid w:val="002D0479"/>
    <w:rsid w:val="002D17B2"/>
    <w:rsid w:val="002D193B"/>
    <w:rsid w:val="002D1952"/>
    <w:rsid w:val="002D1A87"/>
    <w:rsid w:val="002D1BD2"/>
    <w:rsid w:val="002D285C"/>
    <w:rsid w:val="002D48DF"/>
    <w:rsid w:val="002D4AC5"/>
    <w:rsid w:val="002D4BB7"/>
    <w:rsid w:val="002D4C00"/>
    <w:rsid w:val="002D4E97"/>
    <w:rsid w:val="002D66F9"/>
    <w:rsid w:val="002E19A5"/>
    <w:rsid w:val="002E2D5A"/>
    <w:rsid w:val="002E5125"/>
    <w:rsid w:val="002E5161"/>
    <w:rsid w:val="002E5769"/>
    <w:rsid w:val="002E69C8"/>
    <w:rsid w:val="002E6AD8"/>
    <w:rsid w:val="002E7AC1"/>
    <w:rsid w:val="002E7AD6"/>
    <w:rsid w:val="002F0CFA"/>
    <w:rsid w:val="002F23CF"/>
    <w:rsid w:val="002F3F1A"/>
    <w:rsid w:val="002F4682"/>
    <w:rsid w:val="002F575E"/>
    <w:rsid w:val="002F62F4"/>
    <w:rsid w:val="002F660B"/>
    <w:rsid w:val="002F6C3C"/>
    <w:rsid w:val="002F7621"/>
    <w:rsid w:val="00300CF5"/>
    <w:rsid w:val="00300CF8"/>
    <w:rsid w:val="003019DC"/>
    <w:rsid w:val="003021DD"/>
    <w:rsid w:val="003031D2"/>
    <w:rsid w:val="0030600D"/>
    <w:rsid w:val="003064BF"/>
    <w:rsid w:val="00310AC5"/>
    <w:rsid w:val="0031100A"/>
    <w:rsid w:val="00314226"/>
    <w:rsid w:val="00314953"/>
    <w:rsid w:val="00314B4C"/>
    <w:rsid w:val="0031678C"/>
    <w:rsid w:val="003168D6"/>
    <w:rsid w:val="00316C65"/>
    <w:rsid w:val="003170CC"/>
    <w:rsid w:val="003175B4"/>
    <w:rsid w:val="00322A09"/>
    <w:rsid w:val="00323A1A"/>
    <w:rsid w:val="00323D51"/>
    <w:rsid w:val="00324925"/>
    <w:rsid w:val="00332E31"/>
    <w:rsid w:val="003353A7"/>
    <w:rsid w:val="00335A76"/>
    <w:rsid w:val="00336FD1"/>
    <w:rsid w:val="00337A0E"/>
    <w:rsid w:val="00340F30"/>
    <w:rsid w:val="00341871"/>
    <w:rsid w:val="003419C8"/>
    <w:rsid w:val="00341B67"/>
    <w:rsid w:val="00345192"/>
    <w:rsid w:val="00345992"/>
    <w:rsid w:val="00346997"/>
    <w:rsid w:val="00346C63"/>
    <w:rsid w:val="00346FC7"/>
    <w:rsid w:val="003473F0"/>
    <w:rsid w:val="003477F2"/>
    <w:rsid w:val="003479E9"/>
    <w:rsid w:val="00350383"/>
    <w:rsid w:val="003535D0"/>
    <w:rsid w:val="00353BC3"/>
    <w:rsid w:val="00354480"/>
    <w:rsid w:val="0035499D"/>
    <w:rsid w:val="0035549B"/>
    <w:rsid w:val="00357D59"/>
    <w:rsid w:val="00360A37"/>
    <w:rsid w:val="003646ED"/>
    <w:rsid w:val="00365BB3"/>
    <w:rsid w:val="00370760"/>
    <w:rsid w:val="00372970"/>
    <w:rsid w:val="00373007"/>
    <w:rsid w:val="00374E34"/>
    <w:rsid w:val="00374E4A"/>
    <w:rsid w:val="0037547B"/>
    <w:rsid w:val="00375B44"/>
    <w:rsid w:val="00375D90"/>
    <w:rsid w:val="00380224"/>
    <w:rsid w:val="0038245A"/>
    <w:rsid w:val="00382DA6"/>
    <w:rsid w:val="00382FAE"/>
    <w:rsid w:val="00383C3A"/>
    <w:rsid w:val="003856A1"/>
    <w:rsid w:val="00386526"/>
    <w:rsid w:val="00386BA5"/>
    <w:rsid w:val="00390817"/>
    <w:rsid w:val="00390B63"/>
    <w:rsid w:val="003910E2"/>
    <w:rsid w:val="00391204"/>
    <w:rsid w:val="0039296B"/>
    <w:rsid w:val="00395F35"/>
    <w:rsid w:val="00397BAC"/>
    <w:rsid w:val="00397C6C"/>
    <w:rsid w:val="003A3610"/>
    <w:rsid w:val="003A3C05"/>
    <w:rsid w:val="003A3DC0"/>
    <w:rsid w:val="003A61BF"/>
    <w:rsid w:val="003A6A3D"/>
    <w:rsid w:val="003B0F74"/>
    <w:rsid w:val="003B18E3"/>
    <w:rsid w:val="003B1BA9"/>
    <w:rsid w:val="003B2694"/>
    <w:rsid w:val="003B34F4"/>
    <w:rsid w:val="003B3D3F"/>
    <w:rsid w:val="003B51F0"/>
    <w:rsid w:val="003B5843"/>
    <w:rsid w:val="003C2D48"/>
    <w:rsid w:val="003C30AA"/>
    <w:rsid w:val="003C30D7"/>
    <w:rsid w:val="003C5B82"/>
    <w:rsid w:val="003C67CD"/>
    <w:rsid w:val="003D0B82"/>
    <w:rsid w:val="003D6896"/>
    <w:rsid w:val="003D7610"/>
    <w:rsid w:val="003E01E4"/>
    <w:rsid w:val="003E2D7F"/>
    <w:rsid w:val="003E3DED"/>
    <w:rsid w:val="003E6AAF"/>
    <w:rsid w:val="003E6DAC"/>
    <w:rsid w:val="003E7D46"/>
    <w:rsid w:val="003F0F41"/>
    <w:rsid w:val="003F10D1"/>
    <w:rsid w:val="003F2339"/>
    <w:rsid w:val="003F3614"/>
    <w:rsid w:val="003F4630"/>
    <w:rsid w:val="003F6387"/>
    <w:rsid w:val="003F7AC2"/>
    <w:rsid w:val="00402425"/>
    <w:rsid w:val="004027B9"/>
    <w:rsid w:val="00402D6A"/>
    <w:rsid w:val="004031F1"/>
    <w:rsid w:val="00403EB4"/>
    <w:rsid w:val="004053C7"/>
    <w:rsid w:val="004056C4"/>
    <w:rsid w:val="00406581"/>
    <w:rsid w:val="00406E12"/>
    <w:rsid w:val="004104F6"/>
    <w:rsid w:val="00412441"/>
    <w:rsid w:val="00413D9C"/>
    <w:rsid w:val="004149F5"/>
    <w:rsid w:val="00416BCD"/>
    <w:rsid w:val="0042065F"/>
    <w:rsid w:val="00421BE1"/>
    <w:rsid w:val="00422183"/>
    <w:rsid w:val="00424638"/>
    <w:rsid w:val="00424CDC"/>
    <w:rsid w:val="00425C83"/>
    <w:rsid w:val="00426A8F"/>
    <w:rsid w:val="0042771B"/>
    <w:rsid w:val="00427D39"/>
    <w:rsid w:val="004302B0"/>
    <w:rsid w:val="00430AED"/>
    <w:rsid w:val="00434981"/>
    <w:rsid w:val="004349D2"/>
    <w:rsid w:val="00435106"/>
    <w:rsid w:val="00437396"/>
    <w:rsid w:val="00437EA4"/>
    <w:rsid w:val="004414A0"/>
    <w:rsid w:val="0044303B"/>
    <w:rsid w:val="004435E2"/>
    <w:rsid w:val="004438FE"/>
    <w:rsid w:val="00443EE1"/>
    <w:rsid w:val="004466A8"/>
    <w:rsid w:val="00446737"/>
    <w:rsid w:val="004470A0"/>
    <w:rsid w:val="00447C74"/>
    <w:rsid w:val="0045041E"/>
    <w:rsid w:val="00450E14"/>
    <w:rsid w:val="004525C6"/>
    <w:rsid w:val="00460C59"/>
    <w:rsid w:val="00460CEE"/>
    <w:rsid w:val="00460F8B"/>
    <w:rsid w:val="00461CEF"/>
    <w:rsid w:val="00461D74"/>
    <w:rsid w:val="00462BF0"/>
    <w:rsid w:val="004630E4"/>
    <w:rsid w:val="00463B32"/>
    <w:rsid w:val="00463B8B"/>
    <w:rsid w:val="0047086F"/>
    <w:rsid w:val="004716DD"/>
    <w:rsid w:val="00472848"/>
    <w:rsid w:val="00473375"/>
    <w:rsid w:val="004735A9"/>
    <w:rsid w:val="0047436C"/>
    <w:rsid w:val="00474A1F"/>
    <w:rsid w:val="00475381"/>
    <w:rsid w:val="00475B7D"/>
    <w:rsid w:val="00476EC3"/>
    <w:rsid w:val="0047705C"/>
    <w:rsid w:val="00477A24"/>
    <w:rsid w:val="00481070"/>
    <w:rsid w:val="0048171F"/>
    <w:rsid w:val="00483920"/>
    <w:rsid w:val="00483A0A"/>
    <w:rsid w:val="00483E9E"/>
    <w:rsid w:val="0048455A"/>
    <w:rsid w:val="0048495F"/>
    <w:rsid w:val="00484AAC"/>
    <w:rsid w:val="00484BED"/>
    <w:rsid w:val="0048583D"/>
    <w:rsid w:val="00486792"/>
    <w:rsid w:val="004868DD"/>
    <w:rsid w:val="00487B5C"/>
    <w:rsid w:val="004916C9"/>
    <w:rsid w:val="00493513"/>
    <w:rsid w:val="004938C5"/>
    <w:rsid w:val="00495010"/>
    <w:rsid w:val="004951F0"/>
    <w:rsid w:val="004955EA"/>
    <w:rsid w:val="0049561B"/>
    <w:rsid w:val="004A0263"/>
    <w:rsid w:val="004A03E8"/>
    <w:rsid w:val="004A0D82"/>
    <w:rsid w:val="004A0E60"/>
    <w:rsid w:val="004A1258"/>
    <w:rsid w:val="004A23A7"/>
    <w:rsid w:val="004A2E3C"/>
    <w:rsid w:val="004A3DE8"/>
    <w:rsid w:val="004A417D"/>
    <w:rsid w:val="004A5DD4"/>
    <w:rsid w:val="004A63F1"/>
    <w:rsid w:val="004A7566"/>
    <w:rsid w:val="004B0045"/>
    <w:rsid w:val="004B0E88"/>
    <w:rsid w:val="004B182B"/>
    <w:rsid w:val="004B27AC"/>
    <w:rsid w:val="004B376D"/>
    <w:rsid w:val="004B4EC8"/>
    <w:rsid w:val="004C054F"/>
    <w:rsid w:val="004C3A65"/>
    <w:rsid w:val="004C78D1"/>
    <w:rsid w:val="004D22BC"/>
    <w:rsid w:val="004D2C2D"/>
    <w:rsid w:val="004D2F7D"/>
    <w:rsid w:val="004D3ABB"/>
    <w:rsid w:val="004D3DD1"/>
    <w:rsid w:val="004D4436"/>
    <w:rsid w:val="004D73CA"/>
    <w:rsid w:val="004E101C"/>
    <w:rsid w:val="004E2D30"/>
    <w:rsid w:val="004E72CB"/>
    <w:rsid w:val="004E754D"/>
    <w:rsid w:val="004F11D6"/>
    <w:rsid w:val="004F16B1"/>
    <w:rsid w:val="004F5492"/>
    <w:rsid w:val="004F7FF6"/>
    <w:rsid w:val="005018DD"/>
    <w:rsid w:val="00501C40"/>
    <w:rsid w:val="00501D7E"/>
    <w:rsid w:val="0050430C"/>
    <w:rsid w:val="005054B8"/>
    <w:rsid w:val="00506B6B"/>
    <w:rsid w:val="005131A8"/>
    <w:rsid w:val="00515C92"/>
    <w:rsid w:val="00516094"/>
    <w:rsid w:val="005169E8"/>
    <w:rsid w:val="005171E9"/>
    <w:rsid w:val="00517392"/>
    <w:rsid w:val="005178A1"/>
    <w:rsid w:val="00517D2D"/>
    <w:rsid w:val="00517E23"/>
    <w:rsid w:val="005201CF"/>
    <w:rsid w:val="00521645"/>
    <w:rsid w:val="00521FA6"/>
    <w:rsid w:val="00523169"/>
    <w:rsid w:val="005233B8"/>
    <w:rsid w:val="005235A5"/>
    <w:rsid w:val="00523698"/>
    <w:rsid w:val="00524950"/>
    <w:rsid w:val="00524AD4"/>
    <w:rsid w:val="005256DB"/>
    <w:rsid w:val="00525E79"/>
    <w:rsid w:val="00526B1A"/>
    <w:rsid w:val="00532C9A"/>
    <w:rsid w:val="0053564F"/>
    <w:rsid w:val="00540153"/>
    <w:rsid w:val="00541167"/>
    <w:rsid w:val="005427A8"/>
    <w:rsid w:val="00542D2C"/>
    <w:rsid w:val="005431E5"/>
    <w:rsid w:val="00543BAB"/>
    <w:rsid w:val="00545660"/>
    <w:rsid w:val="0054693E"/>
    <w:rsid w:val="00550B3B"/>
    <w:rsid w:val="005520F9"/>
    <w:rsid w:val="0055345B"/>
    <w:rsid w:val="00554490"/>
    <w:rsid w:val="00556732"/>
    <w:rsid w:val="00557AA9"/>
    <w:rsid w:val="00557BC6"/>
    <w:rsid w:val="00557E37"/>
    <w:rsid w:val="005601D1"/>
    <w:rsid w:val="00562C83"/>
    <w:rsid w:val="00564FB2"/>
    <w:rsid w:val="00566203"/>
    <w:rsid w:val="005663C0"/>
    <w:rsid w:val="005664A7"/>
    <w:rsid w:val="00567DB7"/>
    <w:rsid w:val="00567DE3"/>
    <w:rsid w:val="005708AA"/>
    <w:rsid w:val="0057253E"/>
    <w:rsid w:val="0057256F"/>
    <w:rsid w:val="005726BA"/>
    <w:rsid w:val="00572B41"/>
    <w:rsid w:val="005735F4"/>
    <w:rsid w:val="00573C50"/>
    <w:rsid w:val="00574C5E"/>
    <w:rsid w:val="00575287"/>
    <w:rsid w:val="0057541C"/>
    <w:rsid w:val="00576B53"/>
    <w:rsid w:val="00576F29"/>
    <w:rsid w:val="0058264E"/>
    <w:rsid w:val="005828BD"/>
    <w:rsid w:val="00582DCE"/>
    <w:rsid w:val="00585EE0"/>
    <w:rsid w:val="0059028F"/>
    <w:rsid w:val="005909E4"/>
    <w:rsid w:val="00590D8C"/>
    <w:rsid w:val="0059103D"/>
    <w:rsid w:val="00591EE2"/>
    <w:rsid w:val="00592087"/>
    <w:rsid w:val="00596298"/>
    <w:rsid w:val="00596C62"/>
    <w:rsid w:val="00596F06"/>
    <w:rsid w:val="00596FBE"/>
    <w:rsid w:val="00597D59"/>
    <w:rsid w:val="005A1E63"/>
    <w:rsid w:val="005A651A"/>
    <w:rsid w:val="005A6757"/>
    <w:rsid w:val="005A6FDC"/>
    <w:rsid w:val="005A7CBD"/>
    <w:rsid w:val="005B1D2D"/>
    <w:rsid w:val="005B3CC3"/>
    <w:rsid w:val="005B519F"/>
    <w:rsid w:val="005B535D"/>
    <w:rsid w:val="005B540E"/>
    <w:rsid w:val="005B7878"/>
    <w:rsid w:val="005C0665"/>
    <w:rsid w:val="005C115A"/>
    <w:rsid w:val="005C1BEA"/>
    <w:rsid w:val="005C2295"/>
    <w:rsid w:val="005C29A9"/>
    <w:rsid w:val="005C342D"/>
    <w:rsid w:val="005C3A35"/>
    <w:rsid w:val="005C7688"/>
    <w:rsid w:val="005D0F05"/>
    <w:rsid w:val="005D0FB4"/>
    <w:rsid w:val="005D3750"/>
    <w:rsid w:val="005D3D9A"/>
    <w:rsid w:val="005D745A"/>
    <w:rsid w:val="005D78C3"/>
    <w:rsid w:val="005E3212"/>
    <w:rsid w:val="005E38CD"/>
    <w:rsid w:val="005E3D86"/>
    <w:rsid w:val="005E40DE"/>
    <w:rsid w:val="005E4366"/>
    <w:rsid w:val="005E5AB7"/>
    <w:rsid w:val="005E5BBA"/>
    <w:rsid w:val="005E6BFC"/>
    <w:rsid w:val="005E716A"/>
    <w:rsid w:val="005F2C06"/>
    <w:rsid w:val="005F2E40"/>
    <w:rsid w:val="005F3D31"/>
    <w:rsid w:val="005F4150"/>
    <w:rsid w:val="005F5625"/>
    <w:rsid w:val="005F7DE1"/>
    <w:rsid w:val="006002CD"/>
    <w:rsid w:val="006004A1"/>
    <w:rsid w:val="00603EBC"/>
    <w:rsid w:val="00604681"/>
    <w:rsid w:val="00605ECF"/>
    <w:rsid w:val="006070D5"/>
    <w:rsid w:val="006077F3"/>
    <w:rsid w:val="00610DA5"/>
    <w:rsid w:val="00610FED"/>
    <w:rsid w:val="00611194"/>
    <w:rsid w:val="006113AD"/>
    <w:rsid w:val="0061200C"/>
    <w:rsid w:val="006123F4"/>
    <w:rsid w:val="00613581"/>
    <w:rsid w:val="00613C76"/>
    <w:rsid w:val="006167C7"/>
    <w:rsid w:val="00617308"/>
    <w:rsid w:val="00617A4B"/>
    <w:rsid w:val="006215A5"/>
    <w:rsid w:val="00621B49"/>
    <w:rsid w:val="00622405"/>
    <w:rsid w:val="00622F91"/>
    <w:rsid w:val="006238F1"/>
    <w:rsid w:val="00623A92"/>
    <w:rsid w:val="00623B65"/>
    <w:rsid w:val="006241F5"/>
    <w:rsid w:val="00624A79"/>
    <w:rsid w:val="00625637"/>
    <w:rsid w:val="00627764"/>
    <w:rsid w:val="00631198"/>
    <w:rsid w:val="00631257"/>
    <w:rsid w:val="00631344"/>
    <w:rsid w:val="006313A3"/>
    <w:rsid w:val="00632FEC"/>
    <w:rsid w:val="0063441C"/>
    <w:rsid w:val="006345DC"/>
    <w:rsid w:val="00636FF1"/>
    <w:rsid w:val="006403F2"/>
    <w:rsid w:val="00640548"/>
    <w:rsid w:val="00640630"/>
    <w:rsid w:val="0064081E"/>
    <w:rsid w:val="006417E4"/>
    <w:rsid w:val="0064212A"/>
    <w:rsid w:val="006423B2"/>
    <w:rsid w:val="006431AC"/>
    <w:rsid w:val="00644C73"/>
    <w:rsid w:val="00646CAC"/>
    <w:rsid w:val="00646D62"/>
    <w:rsid w:val="00647952"/>
    <w:rsid w:val="00650256"/>
    <w:rsid w:val="006502F7"/>
    <w:rsid w:val="00650454"/>
    <w:rsid w:val="006504FF"/>
    <w:rsid w:val="0065126B"/>
    <w:rsid w:val="006514A2"/>
    <w:rsid w:val="00652DC3"/>
    <w:rsid w:val="006536D9"/>
    <w:rsid w:val="006555CC"/>
    <w:rsid w:val="00656ECF"/>
    <w:rsid w:val="0065766D"/>
    <w:rsid w:val="00661F04"/>
    <w:rsid w:val="00664B42"/>
    <w:rsid w:val="006653B3"/>
    <w:rsid w:val="00665E79"/>
    <w:rsid w:val="00665F15"/>
    <w:rsid w:val="00666963"/>
    <w:rsid w:val="00670548"/>
    <w:rsid w:val="006727E5"/>
    <w:rsid w:val="00672B56"/>
    <w:rsid w:val="00672B75"/>
    <w:rsid w:val="00673136"/>
    <w:rsid w:val="006739E2"/>
    <w:rsid w:val="006744D5"/>
    <w:rsid w:val="00674883"/>
    <w:rsid w:val="00676B9C"/>
    <w:rsid w:val="006774F1"/>
    <w:rsid w:val="00681696"/>
    <w:rsid w:val="00683253"/>
    <w:rsid w:val="0068415D"/>
    <w:rsid w:val="00684C25"/>
    <w:rsid w:val="00685C1E"/>
    <w:rsid w:val="00690583"/>
    <w:rsid w:val="00690D94"/>
    <w:rsid w:val="006934C3"/>
    <w:rsid w:val="00696247"/>
    <w:rsid w:val="006A003D"/>
    <w:rsid w:val="006A1DBF"/>
    <w:rsid w:val="006A28A5"/>
    <w:rsid w:val="006A2993"/>
    <w:rsid w:val="006A3147"/>
    <w:rsid w:val="006A38D3"/>
    <w:rsid w:val="006A4026"/>
    <w:rsid w:val="006A5242"/>
    <w:rsid w:val="006A5774"/>
    <w:rsid w:val="006A6FCC"/>
    <w:rsid w:val="006A778B"/>
    <w:rsid w:val="006A782B"/>
    <w:rsid w:val="006B0FE1"/>
    <w:rsid w:val="006B10F8"/>
    <w:rsid w:val="006B1A6A"/>
    <w:rsid w:val="006B2F6C"/>
    <w:rsid w:val="006B3978"/>
    <w:rsid w:val="006B47DA"/>
    <w:rsid w:val="006B508D"/>
    <w:rsid w:val="006B6A3E"/>
    <w:rsid w:val="006B6D89"/>
    <w:rsid w:val="006C03E4"/>
    <w:rsid w:val="006C1111"/>
    <w:rsid w:val="006C118A"/>
    <w:rsid w:val="006C2FFD"/>
    <w:rsid w:val="006C4084"/>
    <w:rsid w:val="006C437A"/>
    <w:rsid w:val="006C4EF2"/>
    <w:rsid w:val="006C581D"/>
    <w:rsid w:val="006C7823"/>
    <w:rsid w:val="006C7B4E"/>
    <w:rsid w:val="006D09DD"/>
    <w:rsid w:val="006D4F54"/>
    <w:rsid w:val="006D4F7D"/>
    <w:rsid w:val="006D6E5E"/>
    <w:rsid w:val="006D76EE"/>
    <w:rsid w:val="006E0166"/>
    <w:rsid w:val="006E0DB3"/>
    <w:rsid w:val="006E0FD3"/>
    <w:rsid w:val="006E1B16"/>
    <w:rsid w:val="006E339E"/>
    <w:rsid w:val="006E54A6"/>
    <w:rsid w:val="006E71A2"/>
    <w:rsid w:val="006F0055"/>
    <w:rsid w:val="006F015D"/>
    <w:rsid w:val="006F0465"/>
    <w:rsid w:val="006F0ED8"/>
    <w:rsid w:val="006F1D3F"/>
    <w:rsid w:val="006F4484"/>
    <w:rsid w:val="006F48B1"/>
    <w:rsid w:val="006F4A7F"/>
    <w:rsid w:val="006F5991"/>
    <w:rsid w:val="006F5F46"/>
    <w:rsid w:val="006F6684"/>
    <w:rsid w:val="006F6B2B"/>
    <w:rsid w:val="006F7938"/>
    <w:rsid w:val="006F7F3F"/>
    <w:rsid w:val="00704A22"/>
    <w:rsid w:val="00704FE8"/>
    <w:rsid w:val="0070682B"/>
    <w:rsid w:val="00706DAB"/>
    <w:rsid w:val="0070736B"/>
    <w:rsid w:val="00710BF3"/>
    <w:rsid w:val="007110B3"/>
    <w:rsid w:val="00711712"/>
    <w:rsid w:val="00712C0D"/>
    <w:rsid w:val="007145CB"/>
    <w:rsid w:val="00714897"/>
    <w:rsid w:val="00714A2E"/>
    <w:rsid w:val="00714F9A"/>
    <w:rsid w:val="00715868"/>
    <w:rsid w:val="00715E25"/>
    <w:rsid w:val="00716221"/>
    <w:rsid w:val="007235ED"/>
    <w:rsid w:val="00723E3A"/>
    <w:rsid w:val="0072663F"/>
    <w:rsid w:val="00727584"/>
    <w:rsid w:val="0073006D"/>
    <w:rsid w:val="00731F7F"/>
    <w:rsid w:val="007320D0"/>
    <w:rsid w:val="00732E8E"/>
    <w:rsid w:val="0073383B"/>
    <w:rsid w:val="007368DE"/>
    <w:rsid w:val="00736D32"/>
    <w:rsid w:val="007372BC"/>
    <w:rsid w:val="0074084B"/>
    <w:rsid w:val="00740C03"/>
    <w:rsid w:val="00740DF3"/>
    <w:rsid w:val="00744AB5"/>
    <w:rsid w:val="007450C9"/>
    <w:rsid w:val="007453D5"/>
    <w:rsid w:val="0074655B"/>
    <w:rsid w:val="00747496"/>
    <w:rsid w:val="00750AF6"/>
    <w:rsid w:val="00750FC8"/>
    <w:rsid w:val="00752955"/>
    <w:rsid w:val="00753354"/>
    <w:rsid w:val="00755329"/>
    <w:rsid w:val="007559BB"/>
    <w:rsid w:val="00760E3B"/>
    <w:rsid w:val="007624FD"/>
    <w:rsid w:val="00764AD1"/>
    <w:rsid w:val="00765999"/>
    <w:rsid w:val="00766372"/>
    <w:rsid w:val="007668F9"/>
    <w:rsid w:val="00770B05"/>
    <w:rsid w:val="00771307"/>
    <w:rsid w:val="00773260"/>
    <w:rsid w:val="007744C7"/>
    <w:rsid w:val="00774FD3"/>
    <w:rsid w:val="007759E1"/>
    <w:rsid w:val="00776ACF"/>
    <w:rsid w:val="00777E30"/>
    <w:rsid w:val="00777E99"/>
    <w:rsid w:val="00780B5C"/>
    <w:rsid w:val="00782174"/>
    <w:rsid w:val="007825BA"/>
    <w:rsid w:val="00783A61"/>
    <w:rsid w:val="00787395"/>
    <w:rsid w:val="00787911"/>
    <w:rsid w:val="00790D97"/>
    <w:rsid w:val="0079141B"/>
    <w:rsid w:val="00791BC4"/>
    <w:rsid w:val="00791DE0"/>
    <w:rsid w:val="00792293"/>
    <w:rsid w:val="00793E5D"/>
    <w:rsid w:val="007954F4"/>
    <w:rsid w:val="00795F08"/>
    <w:rsid w:val="00795FBB"/>
    <w:rsid w:val="007A0839"/>
    <w:rsid w:val="007A1943"/>
    <w:rsid w:val="007A1CC0"/>
    <w:rsid w:val="007A2CEA"/>
    <w:rsid w:val="007A305C"/>
    <w:rsid w:val="007A3E97"/>
    <w:rsid w:val="007A4E81"/>
    <w:rsid w:val="007A56FB"/>
    <w:rsid w:val="007A6F08"/>
    <w:rsid w:val="007A7537"/>
    <w:rsid w:val="007A7892"/>
    <w:rsid w:val="007B0C47"/>
    <w:rsid w:val="007B2755"/>
    <w:rsid w:val="007B3310"/>
    <w:rsid w:val="007B3F75"/>
    <w:rsid w:val="007B6856"/>
    <w:rsid w:val="007B70CC"/>
    <w:rsid w:val="007B78BF"/>
    <w:rsid w:val="007C0412"/>
    <w:rsid w:val="007C1DF0"/>
    <w:rsid w:val="007C1EAD"/>
    <w:rsid w:val="007C2044"/>
    <w:rsid w:val="007C2F87"/>
    <w:rsid w:val="007C3283"/>
    <w:rsid w:val="007C345D"/>
    <w:rsid w:val="007C46C3"/>
    <w:rsid w:val="007D13AC"/>
    <w:rsid w:val="007D217D"/>
    <w:rsid w:val="007D65F6"/>
    <w:rsid w:val="007D7F62"/>
    <w:rsid w:val="007E08AC"/>
    <w:rsid w:val="007E2408"/>
    <w:rsid w:val="007E2B90"/>
    <w:rsid w:val="007E2FF7"/>
    <w:rsid w:val="007E78FA"/>
    <w:rsid w:val="007F0E11"/>
    <w:rsid w:val="007F0FA0"/>
    <w:rsid w:val="007F1789"/>
    <w:rsid w:val="007F4A82"/>
    <w:rsid w:val="007F6BEF"/>
    <w:rsid w:val="008042F7"/>
    <w:rsid w:val="0080452F"/>
    <w:rsid w:val="0080504B"/>
    <w:rsid w:val="00805C7F"/>
    <w:rsid w:val="0080710F"/>
    <w:rsid w:val="00807E9A"/>
    <w:rsid w:val="00807FB7"/>
    <w:rsid w:val="00812961"/>
    <w:rsid w:val="00814707"/>
    <w:rsid w:val="00814B29"/>
    <w:rsid w:val="00815432"/>
    <w:rsid w:val="00815A14"/>
    <w:rsid w:val="00816484"/>
    <w:rsid w:val="00817883"/>
    <w:rsid w:val="008209E6"/>
    <w:rsid w:val="0082228A"/>
    <w:rsid w:val="008237B4"/>
    <w:rsid w:val="008249C5"/>
    <w:rsid w:val="008254F8"/>
    <w:rsid w:val="00825602"/>
    <w:rsid w:val="00825E38"/>
    <w:rsid w:val="00826521"/>
    <w:rsid w:val="00826714"/>
    <w:rsid w:val="0083398B"/>
    <w:rsid w:val="008340B8"/>
    <w:rsid w:val="00834B24"/>
    <w:rsid w:val="0083527D"/>
    <w:rsid w:val="00836B91"/>
    <w:rsid w:val="008370EB"/>
    <w:rsid w:val="00837799"/>
    <w:rsid w:val="00840FFB"/>
    <w:rsid w:val="00842B88"/>
    <w:rsid w:val="00842F88"/>
    <w:rsid w:val="00844BFB"/>
    <w:rsid w:val="0084703A"/>
    <w:rsid w:val="00851F95"/>
    <w:rsid w:val="00854444"/>
    <w:rsid w:val="0085638A"/>
    <w:rsid w:val="008603F9"/>
    <w:rsid w:val="008614D5"/>
    <w:rsid w:val="008639AE"/>
    <w:rsid w:val="00863F01"/>
    <w:rsid w:val="00864F53"/>
    <w:rsid w:val="008653EF"/>
    <w:rsid w:val="00865BFB"/>
    <w:rsid w:val="00867294"/>
    <w:rsid w:val="0087606B"/>
    <w:rsid w:val="008768F5"/>
    <w:rsid w:val="008825B6"/>
    <w:rsid w:val="00882F73"/>
    <w:rsid w:val="008852F9"/>
    <w:rsid w:val="00886079"/>
    <w:rsid w:val="00886B96"/>
    <w:rsid w:val="00887994"/>
    <w:rsid w:val="008903D0"/>
    <w:rsid w:val="008957E7"/>
    <w:rsid w:val="00896110"/>
    <w:rsid w:val="00896E4C"/>
    <w:rsid w:val="00897E6B"/>
    <w:rsid w:val="008A1178"/>
    <w:rsid w:val="008A2BF8"/>
    <w:rsid w:val="008A2C2E"/>
    <w:rsid w:val="008A3346"/>
    <w:rsid w:val="008A422A"/>
    <w:rsid w:val="008A6531"/>
    <w:rsid w:val="008A6A30"/>
    <w:rsid w:val="008A6D08"/>
    <w:rsid w:val="008A6E03"/>
    <w:rsid w:val="008B0311"/>
    <w:rsid w:val="008B08BC"/>
    <w:rsid w:val="008B17AB"/>
    <w:rsid w:val="008B24B0"/>
    <w:rsid w:val="008B2CF4"/>
    <w:rsid w:val="008B4A76"/>
    <w:rsid w:val="008B4C0B"/>
    <w:rsid w:val="008B502E"/>
    <w:rsid w:val="008C0E56"/>
    <w:rsid w:val="008C11E2"/>
    <w:rsid w:val="008C1260"/>
    <w:rsid w:val="008C32B6"/>
    <w:rsid w:val="008C36A3"/>
    <w:rsid w:val="008C4340"/>
    <w:rsid w:val="008C6890"/>
    <w:rsid w:val="008C7204"/>
    <w:rsid w:val="008D0D1F"/>
    <w:rsid w:val="008D1EBF"/>
    <w:rsid w:val="008D2A7A"/>
    <w:rsid w:val="008D421C"/>
    <w:rsid w:val="008D4472"/>
    <w:rsid w:val="008D5EE6"/>
    <w:rsid w:val="008D6090"/>
    <w:rsid w:val="008D679A"/>
    <w:rsid w:val="008D6999"/>
    <w:rsid w:val="008D7B20"/>
    <w:rsid w:val="008E158F"/>
    <w:rsid w:val="008E18EB"/>
    <w:rsid w:val="008E2B78"/>
    <w:rsid w:val="008E6103"/>
    <w:rsid w:val="008E63E2"/>
    <w:rsid w:val="008E6ECA"/>
    <w:rsid w:val="008E7C70"/>
    <w:rsid w:val="008F4362"/>
    <w:rsid w:val="008F6277"/>
    <w:rsid w:val="008F6C10"/>
    <w:rsid w:val="008F6FB8"/>
    <w:rsid w:val="008F7349"/>
    <w:rsid w:val="00901FFB"/>
    <w:rsid w:val="00904605"/>
    <w:rsid w:val="00906392"/>
    <w:rsid w:val="00910139"/>
    <w:rsid w:val="0091127B"/>
    <w:rsid w:val="00912536"/>
    <w:rsid w:val="00912696"/>
    <w:rsid w:val="00913849"/>
    <w:rsid w:val="0091395D"/>
    <w:rsid w:val="00914E0D"/>
    <w:rsid w:val="009164E2"/>
    <w:rsid w:val="00916841"/>
    <w:rsid w:val="00916B90"/>
    <w:rsid w:val="00916DAD"/>
    <w:rsid w:val="00917D26"/>
    <w:rsid w:val="009224E2"/>
    <w:rsid w:val="00923BFC"/>
    <w:rsid w:val="00924715"/>
    <w:rsid w:val="009254FE"/>
    <w:rsid w:val="00927B33"/>
    <w:rsid w:val="00927FD3"/>
    <w:rsid w:val="00930259"/>
    <w:rsid w:val="009303F9"/>
    <w:rsid w:val="009318BB"/>
    <w:rsid w:val="00931AF0"/>
    <w:rsid w:val="00933D4F"/>
    <w:rsid w:val="0093451C"/>
    <w:rsid w:val="0093569F"/>
    <w:rsid w:val="00936927"/>
    <w:rsid w:val="00940FDD"/>
    <w:rsid w:val="00942AF9"/>
    <w:rsid w:val="00944292"/>
    <w:rsid w:val="009443D9"/>
    <w:rsid w:val="00945C15"/>
    <w:rsid w:val="00946C64"/>
    <w:rsid w:val="00947405"/>
    <w:rsid w:val="00947ECD"/>
    <w:rsid w:val="00953EAB"/>
    <w:rsid w:val="009562DC"/>
    <w:rsid w:val="009570ED"/>
    <w:rsid w:val="00961401"/>
    <w:rsid w:val="009622FE"/>
    <w:rsid w:val="0096258F"/>
    <w:rsid w:val="00962968"/>
    <w:rsid w:val="00964E27"/>
    <w:rsid w:val="0096505C"/>
    <w:rsid w:val="00965D44"/>
    <w:rsid w:val="0097038C"/>
    <w:rsid w:val="00970B4B"/>
    <w:rsid w:val="0097133D"/>
    <w:rsid w:val="009734D0"/>
    <w:rsid w:val="00973C14"/>
    <w:rsid w:val="009752D8"/>
    <w:rsid w:val="009758A9"/>
    <w:rsid w:val="00976D6C"/>
    <w:rsid w:val="00976D7D"/>
    <w:rsid w:val="0098020C"/>
    <w:rsid w:val="00980835"/>
    <w:rsid w:val="00982F4A"/>
    <w:rsid w:val="009831EF"/>
    <w:rsid w:val="00983963"/>
    <w:rsid w:val="009843EF"/>
    <w:rsid w:val="00985425"/>
    <w:rsid w:val="00990A96"/>
    <w:rsid w:val="009911EB"/>
    <w:rsid w:val="009924E1"/>
    <w:rsid w:val="00994277"/>
    <w:rsid w:val="00995720"/>
    <w:rsid w:val="00995C9F"/>
    <w:rsid w:val="009960DF"/>
    <w:rsid w:val="00996639"/>
    <w:rsid w:val="00996B9E"/>
    <w:rsid w:val="0099708E"/>
    <w:rsid w:val="009978DA"/>
    <w:rsid w:val="009A022D"/>
    <w:rsid w:val="009A2EEC"/>
    <w:rsid w:val="009A416D"/>
    <w:rsid w:val="009A5B93"/>
    <w:rsid w:val="009A6958"/>
    <w:rsid w:val="009A6B5B"/>
    <w:rsid w:val="009A72DA"/>
    <w:rsid w:val="009A7794"/>
    <w:rsid w:val="009B0D4D"/>
    <w:rsid w:val="009B2ABA"/>
    <w:rsid w:val="009B40C0"/>
    <w:rsid w:val="009B456F"/>
    <w:rsid w:val="009B4D2E"/>
    <w:rsid w:val="009B5B0B"/>
    <w:rsid w:val="009B6EDB"/>
    <w:rsid w:val="009C03F5"/>
    <w:rsid w:val="009C147B"/>
    <w:rsid w:val="009C1DA0"/>
    <w:rsid w:val="009C2245"/>
    <w:rsid w:val="009C4E5C"/>
    <w:rsid w:val="009C639E"/>
    <w:rsid w:val="009C7E87"/>
    <w:rsid w:val="009D03AA"/>
    <w:rsid w:val="009D09F3"/>
    <w:rsid w:val="009D0DEE"/>
    <w:rsid w:val="009D4CD3"/>
    <w:rsid w:val="009D7472"/>
    <w:rsid w:val="009D7D1C"/>
    <w:rsid w:val="009E0A9A"/>
    <w:rsid w:val="009E3BB9"/>
    <w:rsid w:val="009E5C15"/>
    <w:rsid w:val="009E62DC"/>
    <w:rsid w:val="009E7BED"/>
    <w:rsid w:val="009E7D6D"/>
    <w:rsid w:val="009F0162"/>
    <w:rsid w:val="009F031D"/>
    <w:rsid w:val="009F0F8C"/>
    <w:rsid w:val="009F165C"/>
    <w:rsid w:val="009F20B9"/>
    <w:rsid w:val="009F3A64"/>
    <w:rsid w:val="009F4559"/>
    <w:rsid w:val="009F5582"/>
    <w:rsid w:val="00A00990"/>
    <w:rsid w:val="00A0133E"/>
    <w:rsid w:val="00A01FB4"/>
    <w:rsid w:val="00A02DA9"/>
    <w:rsid w:val="00A0721D"/>
    <w:rsid w:val="00A103D2"/>
    <w:rsid w:val="00A1206C"/>
    <w:rsid w:val="00A12848"/>
    <w:rsid w:val="00A1369A"/>
    <w:rsid w:val="00A139B7"/>
    <w:rsid w:val="00A14807"/>
    <w:rsid w:val="00A14B1C"/>
    <w:rsid w:val="00A20FCE"/>
    <w:rsid w:val="00A21359"/>
    <w:rsid w:val="00A21C36"/>
    <w:rsid w:val="00A22190"/>
    <w:rsid w:val="00A23292"/>
    <w:rsid w:val="00A2381F"/>
    <w:rsid w:val="00A23F91"/>
    <w:rsid w:val="00A24370"/>
    <w:rsid w:val="00A259C9"/>
    <w:rsid w:val="00A265C9"/>
    <w:rsid w:val="00A276A4"/>
    <w:rsid w:val="00A307A1"/>
    <w:rsid w:val="00A30E0F"/>
    <w:rsid w:val="00A31767"/>
    <w:rsid w:val="00A337D5"/>
    <w:rsid w:val="00A34B57"/>
    <w:rsid w:val="00A34C62"/>
    <w:rsid w:val="00A3680F"/>
    <w:rsid w:val="00A3754B"/>
    <w:rsid w:val="00A3792A"/>
    <w:rsid w:val="00A37B52"/>
    <w:rsid w:val="00A41A71"/>
    <w:rsid w:val="00A4275F"/>
    <w:rsid w:val="00A435F2"/>
    <w:rsid w:val="00A43E39"/>
    <w:rsid w:val="00A43F67"/>
    <w:rsid w:val="00A465CB"/>
    <w:rsid w:val="00A46DCD"/>
    <w:rsid w:val="00A47225"/>
    <w:rsid w:val="00A53D6E"/>
    <w:rsid w:val="00A54028"/>
    <w:rsid w:val="00A55787"/>
    <w:rsid w:val="00A55811"/>
    <w:rsid w:val="00A56D65"/>
    <w:rsid w:val="00A60451"/>
    <w:rsid w:val="00A6047C"/>
    <w:rsid w:val="00A607B2"/>
    <w:rsid w:val="00A613D2"/>
    <w:rsid w:val="00A6181A"/>
    <w:rsid w:val="00A63068"/>
    <w:rsid w:val="00A63D0A"/>
    <w:rsid w:val="00A6627B"/>
    <w:rsid w:val="00A677A8"/>
    <w:rsid w:val="00A71641"/>
    <w:rsid w:val="00A71697"/>
    <w:rsid w:val="00A721A8"/>
    <w:rsid w:val="00A72292"/>
    <w:rsid w:val="00A73377"/>
    <w:rsid w:val="00A73E3A"/>
    <w:rsid w:val="00A7423E"/>
    <w:rsid w:val="00A7435D"/>
    <w:rsid w:val="00A74533"/>
    <w:rsid w:val="00A7459B"/>
    <w:rsid w:val="00A76AA1"/>
    <w:rsid w:val="00A8196A"/>
    <w:rsid w:val="00A833AE"/>
    <w:rsid w:val="00A84192"/>
    <w:rsid w:val="00A850F6"/>
    <w:rsid w:val="00A8689F"/>
    <w:rsid w:val="00A86A82"/>
    <w:rsid w:val="00A86CF1"/>
    <w:rsid w:val="00A90321"/>
    <w:rsid w:val="00A91E25"/>
    <w:rsid w:val="00A9248C"/>
    <w:rsid w:val="00A92B7B"/>
    <w:rsid w:val="00A94E59"/>
    <w:rsid w:val="00A95059"/>
    <w:rsid w:val="00A95322"/>
    <w:rsid w:val="00A95CDA"/>
    <w:rsid w:val="00A9627F"/>
    <w:rsid w:val="00A978EC"/>
    <w:rsid w:val="00A97BEA"/>
    <w:rsid w:val="00AA1127"/>
    <w:rsid w:val="00AA1D29"/>
    <w:rsid w:val="00AA2ACF"/>
    <w:rsid w:val="00AA47C0"/>
    <w:rsid w:val="00AA4D55"/>
    <w:rsid w:val="00AA73CC"/>
    <w:rsid w:val="00AA76FF"/>
    <w:rsid w:val="00AB3201"/>
    <w:rsid w:val="00AB37F9"/>
    <w:rsid w:val="00AB485A"/>
    <w:rsid w:val="00AB4FF0"/>
    <w:rsid w:val="00AB5DCD"/>
    <w:rsid w:val="00AB5FF6"/>
    <w:rsid w:val="00AC0233"/>
    <w:rsid w:val="00AC262A"/>
    <w:rsid w:val="00AC2B9A"/>
    <w:rsid w:val="00AC5259"/>
    <w:rsid w:val="00AC6E16"/>
    <w:rsid w:val="00AD18E6"/>
    <w:rsid w:val="00AD1B3A"/>
    <w:rsid w:val="00AD2F94"/>
    <w:rsid w:val="00AD3D7C"/>
    <w:rsid w:val="00AD45B7"/>
    <w:rsid w:val="00AD5927"/>
    <w:rsid w:val="00AD635C"/>
    <w:rsid w:val="00AD70D2"/>
    <w:rsid w:val="00AE020F"/>
    <w:rsid w:val="00AE1384"/>
    <w:rsid w:val="00AE2756"/>
    <w:rsid w:val="00AE2BAD"/>
    <w:rsid w:val="00AE2D3E"/>
    <w:rsid w:val="00AE36F4"/>
    <w:rsid w:val="00AE522E"/>
    <w:rsid w:val="00AE5628"/>
    <w:rsid w:val="00AE56B3"/>
    <w:rsid w:val="00AE712E"/>
    <w:rsid w:val="00AE72C1"/>
    <w:rsid w:val="00AE7C6E"/>
    <w:rsid w:val="00AF03BE"/>
    <w:rsid w:val="00AF17F6"/>
    <w:rsid w:val="00AF2740"/>
    <w:rsid w:val="00AF2BA9"/>
    <w:rsid w:val="00AF3961"/>
    <w:rsid w:val="00AF3AC2"/>
    <w:rsid w:val="00AF3B68"/>
    <w:rsid w:val="00AF4082"/>
    <w:rsid w:val="00AF5423"/>
    <w:rsid w:val="00AF7725"/>
    <w:rsid w:val="00B0051E"/>
    <w:rsid w:val="00B00A3F"/>
    <w:rsid w:val="00B012C7"/>
    <w:rsid w:val="00B013F2"/>
    <w:rsid w:val="00B02C59"/>
    <w:rsid w:val="00B0303C"/>
    <w:rsid w:val="00B03CDC"/>
    <w:rsid w:val="00B05757"/>
    <w:rsid w:val="00B068DE"/>
    <w:rsid w:val="00B0734A"/>
    <w:rsid w:val="00B0739E"/>
    <w:rsid w:val="00B075BA"/>
    <w:rsid w:val="00B07B9A"/>
    <w:rsid w:val="00B07D40"/>
    <w:rsid w:val="00B10FBC"/>
    <w:rsid w:val="00B134B4"/>
    <w:rsid w:val="00B141E9"/>
    <w:rsid w:val="00B17632"/>
    <w:rsid w:val="00B20A68"/>
    <w:rsid w:val="00B21E50"/>
    <w:rsid w:val="00B2312E"/>
    <w:rsid w:val="00B241E0"/>
    <w:rsid w:val="00B24321"/>
    <w:rsid w:val="00B30725"/>
    <w:rsid w:val="00B30DF3"/>
    <w:rsid w:val="00B31333"/>
    <w:rsid w:val="00B32D12"/>
    <w:rsid w:val="00B32EA7"/>
    <w:rsid w:val="00B34E44"/>
    <w:rsid w:val="00B358E3"/>
    <w:rsid w:val="00B36C37"/>
    <w:rsid w:val="00B37DA0"/>
    <w:rsid w:val="00B404BD"/>
    <w:rsid w:val="00B407D6"/>
    <w:rsid w:val="00B408EC"/>
    <w:rsid w:val="00B41BF0"/>
    <w:rsid w:val="00B41DFE"/>
    <w:rsid w:val="00B42483"/>
    <w:rsid w:val="00B44237"/>
    <w:rsid w:val="00B44D55"/>
    <w:rsid w:val="00B45216"/>
    <w:rsid w:val="00B453AF"/>
    <w:rsid w:val="00B45709"/>
    <w:rsid w:val="00B46188"/>
    <w:rsid w:val="00B46849"/>
    <w:rsid w:val="00B513DF"/>
    <w:rsid w:val="00B52205"/>
    <w:rsid w:val="00B525F5"/>
    <w:rsid w:val="00B552AD"/>
    <w:rsid w:val="00B556A5"/>
    <w:rsid w:val="00B55969"/>
    <w:rsid w:val="00B564C9"/>
    <w:rsid w:val="00B56A5B"/>
    <w:rsid w:val="00B56D54"/>
    <w:rsid w:val="00B5709E"/>
    <w:rsid w:val="00B608EA"/>
    <w:rsid w:val="00B60C10"/>
    <w:rsid w:val="00B61C56"/>
    <w:rsid w:val="00B621CF"/>
    <w:rsid w:val="00B6226F"/>
    <w:rsid w:val="00B62322"/>
    <w:rsid w:val="00B62517"/>
    <w:rsid w:val="00B632F1"/>
    <w:rsid w:val="00B64108"/>
    <w:rsid w:val="00B643AA"/>
    <w:rsid w:val="00B65658"/>
    <w:rsid w:val="00B657A8"/>
    <w:rsid w:val="00B65A50"/>
    <w:rsid w:val="00B66514"/>
    <w:rsid w:val="00B67191"/>
    <w:rsid w:val="00B70A7D"/>
    <w:rsid w:val="00B741E7"/>
    <w:rsid w:val="00B741F4"/>
    <w:rsid w:val="00B77601"/>
    <w:rsid w:val="00B81379"/>
    <w:rsid w:val="00B823A5"/>
    <w:rsid w:val="00B8311D"/>
    <w:rsid w:val="00B8329F"/>
    <w:rsid w:val="00B852AA"/>
    <w:rsid w:val="00B858BC"/>
    <w:rsid w:val="00B86550"/>
    <w:rsid w:val="00B87159"/>
    <w:rsid w:val="00B90546"/>
    <w:rsid w:val="00B94ACD"/>
    <w:rsid w:val="00B959EA"/>
    <w:rsid w:val="00B96C10"/>
    <w:rsid w:val="00B97790"/>
    <w:rsid w:val="00BA0496"/>
    <w:rsid w:val="00BA0609"/>
    <w:rsid w:val="00BA1B29"/>
    <w:rsid w:val="00BA2367"/>
    <w:rsid w:val="00BA2D46"/>
    <w:rsid w:val="00BA489B"/>
    <w:rsid w:val="00BA4C2E"/>
    <w:rsid w:val="00BA63C9"/>
    <w:rsid w:val="00BA675B"/>
    <w:rsid w:val="00BA6780"/>
    <w:rsid w:val="00BB0299"/>
    <w:rsid w:val="00BB2D47"/>
    <w:rsid w:val="00BB318E"/>
    <w:rsid w:val="00BB348A"/>
    <w:rsid w:val="00BB3BD9"/>
    <w:rsid w:val="00BB41CC"/>
    <w:rsid w:val="00BB5374"/>
    <w:rsid w:val="00BB7F9A"/>
    <w:rsid w:val="00BC0517"/>
    <w:rsid w:val="00BC0897"/>
    <w:rsid w:val="00BC0B58"/>
    <w:rsid w:val="00BC3D7D"/>
    <w:rsid w:val="00BC540C"/>
    <w:rsid w:val="00BC69F9"/>
    <w:rsid w:val="00BC6F73"/>
    <w:rsid w:val="00BC7E29"/>
    <w:rsid w:val="00BD0BC6"/>
    <w:rsid w:val="00BD0FD5"/>
    <w:rsid w:val="00BD17CD"/>
    <w:rsid w:val="00BD1E48"/>
    <w:rsid w:val="00BD23DB"/>
    <w:rsid w:val="00BD2865"/>
    <w:rsid w:val="00BD3057"/>
    <w:rsid w:val="00BD3426"/>
    <w:rsid w:val="00BD3DD5"/>
    <w:rsid w:val="00BD4F60"/>
    <w:rsid w:val="00BD5E07"/>
    <w:rsid w:val="00BD66B1"/>
    <w:rsid w:val="00BD6C18"/>
    <w:rsid w:val="00BD6C7A"/>
    <w:rsid w:val="00BD71E4"/>
    <w:rsid w:val="00BD770B"/>
    <w:rsid w:val="00BE134A"/>
    <w:rsid w:val="00BE1B61"/>
    <w:rsid w:val="00BE349C"/>
    <w:rsid w:val="00BE357A"/>
    <w:rsid w:val="00BE382D"/>
    <w:rsid w:val="00BE3E2B"/>
    <w:rsid w:val="00BE4BC1"/>
    <w:rsid w:val="00BE7670"/>
    <w:rsid w:val="00BF0BF2"/>
    <w:rsid w:val="00BF16EB"/>
    <w:rsid w:val="00BF1FEE"/>
    <w:rsid w:val="00BF4706"/>
    <w:rsid w:val="00BF5039"/>
    <w:rsid w:val="00BF7B72"/>
    <w:rsid w:val="00C0052D"/>
    <w:rsid w:val="00C00BAE"/>
    <w:rsid w:val="00C03437"/>
    <w:rsid w:val="00C038A5"/>
    <w:rsid w:val="00C04ECA"/>
    <w:rsid w:val="00C06E1D"/>
    <w:rsid w:val="00C10956"/>
    <w:rsid w:val="00C10A4C"/>
    <w:rsid w:val="00C1324C"/>
    <w:rsid w:val="00C14620"/>
    <w:rsid w:val="00C16EAE"/>
    <w:rsid w:val="00C16F62"/>
    <w:rsid w:val="00C20039"/>
    <w:rsid w:val="00C20055"/>
    <w:rsid w:val="00C21815"/>
    <w:rsid w:val="00C2455E"/>
    <w:rsid w:val="00C24DF9"/>
    <w:rsid w:val="00C25101"/>
    <w:rsid w:val="00C2552B"/>
    <w:rsid w:val="00C26DEE"/>
    <w:rsid w:val="00C30593"/>
    <w:rsid w:val="00C30F65"/>
    <w:rsid w:val="00C32D36"/>
    <w:rsid w:val="00C33223"/>
    <w:rsid w:val="00C3434B"/>
    <w:rsid w:val="00C346DC"/>
    <w:rsid w:val="00C3499E"/>
    <w:rsid w:val="00C36862"/>
    <w:rsid w:val="00C37DA7"/>
    <w:rsid w:val="00C405E9"/>
    <w:rsid w:val="00C40A06"/>
    <w:rsid w:val="00C40DB1"/>
    <w:rsid w:val="00C41684"/>
    <w:rsid w:val="00C423B3"/>
    <w:rsid w:val="00C433EA"/>
    <w:rsid w:val="00C43D03"/>
    <w:rsid w:val="00C446AD"/>
    <w:rsid w:val="00C45376"/>
    <w:rsid w:val="00C465D2"/>
    <w:rsid w:val="00C517F5"/>
    <w:rsid w:val="00C526B4"/>
    <w:rsid w:val="00C53853"/>
    <w:rsid w:val="00C539D1"/>
    <w:rsid w:val="00C574B5"/>
    <w:rsid w:val="00C578B2"/>
    <w:rsid w:val="00C57DE4"/>
    <w:rsid w:val="00C6239E"/>
    <w:rsid w:val="00C62517"/>
    <w:rsid w:val="00C63149"/>
    <w:rsid w:val="00C647F9"/>
    <w:rsid w:val="00C71242"/>
    <w:rsid w:val="00C71BEA"/>
    <w:rsid w:val="00C739D7"/>
    <w:rsid w:val="00C750A9"/>
    <w:rsid w:val="00C75C76"/>
    <w:rsid w:val="00C81E32"/>
    <w:rsid w:val="00C83A8C"/>
    <w:rsid w:val="00C861D5"/>
    <w:rsid w:val="00C86611"/>
    <w:rsid w:val="00C90785"/>
    <w:rsid w:val="00C90C84"/>
    <w:rsid w:val="00C90D85"/>
    <w:rsid w:val="00C9137F"/>
    <w:rsid w:val="00C95216"/>
    <w:rsid w:val="00C963CB"/>
    <w:rsid w:val="00C96773"/>
    <w:rsid w:val="00C967D3"/>
    <w:rsid w:val="00C96F29"/>
    <w:rsid w:val="00CA19D8"/>
    <w:rsid w:val="00CA39B9"/>
    <w:rsid w:val="00CA4DE7"/>
    <w:rsid w:val="00CA5DE0"/>
    <w:rsid w:val="00CA6C17"/>
    <w:rsid w:val="00CA6D9D"/>
    <w:rsid w:val="00CB0B66"/>
    <w:rsid w:val="00CB1AA9"/>
    <w:rsid w:val="00CB1CF4"/>
    <w:rsid w:val="00CB2B8B"/>
    <w:rsid w:val="00CB4863"/>
    <w:rsid w:val="00CB7548"/>
    <w:rsid w:val="00CB7AAC"/>
    <w:rsid w:val="00CB7F09"/>
    <w:rsid w:val="00CC19A4"/>
    <w:rsid w:val="00CC1B46"/>
    <w:rsid w:val="00CC2037"/>
    <w:rsid w:val="00CC296B"/>
    <w:rsid w:val="00CC2EFF"/>
    <w:rsid w:val="00CC3A7D"/>
    <w:rsid w:val="00CC3BF5"/>
    <w:rsid w:val="00CC3EC4"/>
    <w:rsid w:val="00CC5403"/>
    <w:rsid w:val="00CC59D1"/>
    <w:rsid w:val="00CC5A34"/>
    <w:rsid w:val="00CC5D0D"/>
    <w:rsid w:val="00CC6358"/>
    <w:rsid w:val="00CC6AE4"/>
    <w:rsid w:val="00CD0227"/>
    <w:rsid w:val="00CD2B7D"/>
    <w:rsid w:val="00CD546E"/>
    <w:rsid w:val="00CD6083"/>
    <w:rsid w:val="00CD737F"/>
    <w:rsid w:val="00CD7D31"/>
    <w:rsid w:val="00CE1D88"/>
    <w:rsid w:val="00CE20D1"/>
    <w:rsid w:val="00CE279A"/>
    <w:rsid w:val="00CE3009"/>
    <w:rsid w:val="00CE357C"/>
    <w:rsid w:val="00CE3C09"/>
    <w:rsid w:val="00CE4DBA"/>
    <w:rsid w:val="00CE6345"/>
    <w:rsid w:val="00CE75AE"/>
    <w:rsid w:val="00CE78D1"/>
    <w:rsid w:val="00CE7F22"/>
    <w:rsid w:val="00CF28F0"/>
    <w:rsid w:val="00CF400A"/>
    <w:rsid w:val="00CF40E0"/>
    <w:rsid w:val="00CF47C9"/>
    <w:rsid w:val="00CF47EF"/>
    <w:rsid w:val="00CF62DC"/>
    <w:rsid w:val="00CF6507"/>
    <w:rsid w:val="00CF6B77"/>
    <w:rsid w:val="00CF7679"/>
    <w:rsid w:val="00CF78C0"/>
    <w:rsid w:val="00CF7B1D"/>
    <w:rsid w:val="00CF7C45"/>
    <w:rsid w:val="00D01508"/>
    <w:rsid w:val="00D018C4"/>
    <w:rsid w:val="00D01A31"/>
    <w:rsid w:val="00D01E6E"/>
    <w:rsid w:val="00D026D9"/>
    <w:rsid w:val="00D03047"/>
    <w:rsid w:val="00D03286"/>
    <w:rsid w:val="00D03E04"/>
    <w:rsid w:val="00D04B07"/>
    <w:rsid w:val="00D04FB2"/>
    <w:rsid w:val="00D10504"/>
    <w:rsid w:val="00D11E53"/>
    <w:rsid w:val="00D13E06"/>
    <w:rsid w:val="00D16753"/>
    <w:rsid w:val="00D20F4A"/>
    <w:rsid w:val="00D21C78"/>
    <w:rsid w:val="00D21CCE"/>
    <w:rsid w:val="00D252DE"/>
    <w:rsid w:val="00D2668B"/>
    <w:rsid w:val="00D266E5"/>
    <w:rsid w:val="00D26982"/>
    <w:rsid w:val="00D26C38"/>
    <w:rsid w:val="00D27195"/>
    <w:rsid w:val="00D3116C"/>
    <w:rsid w:val="00D319A5"/>
    <w:rsid w:val="00D32236"/>
    <w:rsid w:val="00D32A67"/>
    <w:rsid w:val="00D33067"/>
    <w:rsid w:val="00D33142"/>
    <w:rsid w:val="00D3346C"/>
    <w:rsid w:val="00D3443C"/>
    <w:rsid w:val="00D34BFC"/>
    <w:rsid w:val="00D37EE2"/>
    <w:rsid w:val="00D41193"/>
    <w:rsid w:val="00D4128C"/>
    <w:rsid w:val="00D42FAB"/>
    <w:rsid w:val="00D43C94"/>
    <w:rsid w:val="00D441A7"/>
    <w:rsid w:val="00D442C3"/>
    <w:rsid w:val="00D46592"/>
    <w:rsid w:val="00D466CE"/>
    <w:rsid w:val="00D46A02"/>
    <w:rsid w:val="00D47881"/>
    <w:rsid w:val="00D500D5"/>
    <w:rsid w:val="00D51878"/>
    <w:rsid w:val="00D51F7D"/>
    <w:rsid w:val="00D521C3"/>
    <w:rsid w:val="00D546FF"/>
    <w:rsid w:val="00D554AE"/>
    <w:rsid w:val="00D56C0A"/>
    <w:rsid w:val="00D57378"/>
    <w:rsid w:val="00D6165C"/>
    <w:rsid w:val="00D61EB7"/>
    <w:rsid w:val="00D625E7"/>
    <w:rsid w:val="00D62837"/>
    <w:rsid w:val="00D62A8E"/>
    <w:rsid w:val="00D636A4"/>
    <w:rsid w:val="00D63B0F"/>
    <w:rsid w:val="00D64903"/>
    <w:rsid w:val="00D7014A"/>
    <w:rsid w:val="00D70AC3"/>
    <w:rsid w:val="00D71B6E"/>
    <w:rsid w:val="00D729F4"/>
    <w:rsid w:val="00D72AFD"/>
    <w:rsid w:val="00D72CDE"/>
    <w:rsid w:val="00D73C74"/>
    <w:rsid w:val="00D7476F"/>
    <w:rsid w:val="00D747BD"/>
    <w:rsid w:val="00D772D7"/>
    <w:rsid w:val="00D8038F"/>
    <w:rsid w:val="00D81633"/>
    <w:rsid w:val="00D821B6"/>
    <w:rsid w:val="00D82D00"/>
    <w:rsid w:val="00D8392D"/>
    <w:rsid w:val="00D845A1"/>
    <w:rsid w:val="00D85C95"/>
    <w:rsid w:val="00D86FBD"/>
    <w:rsid w:val="00D877AE"/>
    <w:rsid w:val="00D87CE8"/>
    <w:rsid w:val="00D90DE2"/>
    <w:rsid w:val="00D91A19"/>
    <w:rsid w:val="00D91B11"/>
    <w:rsid w:val="00D922C0"/>
    <w:rsid w:val="00D927CD"/>
    <w:rsid w:val="00D92A62"/>
    <w:rsid w:val="00D938E6"/>
    <w:rsid w:val="00D9418C"/>
    <w:rsid w:val="00D94C58"/>
    <w:rsid w:val="00D9534E"/>
    <w:rsid w:val="00D953BD"/>
    <w:rsid w:val="00D95782"/>
    <w:rsid w:val="00D95A60"/>
    <w:rsid w:val="00D9761E"/>
    <w:rsid w:val="00DA1735"/>
    <w:rsid w:val="00DA2B59"/>
    <w:rsid w:val="00DA2BC2"/>
    <w:rsid w:val="00DA3768"/>
    <w:rsid w:val="00DA515C"/>
    <w:rsid w:val="00DA6152"/>
    <w:rsid w:val="00DA7F1E"/>
    <w:rsid w:val="00DB0448"/>
    <w:rsid w:val="00DB0931"/>
    <w:rsid w:val="00DB0E88"/>
    <w:rsid w:val="00DB1F07"/>
    <w:rsid w:val="00DB2172"/>
    <w:rsid w:val="00DB2343"/>
    <w:rsid w:val="00DB38B1"/>
    <w:rsid w:val="00DB38BA"/>
    <w:rsid w:val="00DB40A5"/>
    <w:rsid w:val="00DB4AF4"/>
    <w:rsid w:val="00DB5BBA"/>
    <w:rsid w:val="00DB6A24"/>
    <w:rsid w:val="00DB6F17"/>
    <w:rsid w:val="00DB742D"/>
    <w:rsid w:val="00DB77EC"/>
    <w:rsid w:val="00DB7D73"/>
    <w:rsid w:val="00DB7EE6"/>
    <w:rsid w:val="00DC119E"/>
    <w:rsid w:val="00DC1515"/>
    <w:rsid w:val="00DC152D"/>
    <w:rsid w:val="00DC1C30"/>
    <w:rsid w:val="00DC2110"/>
    <w:rsid w:val="00DC3209"/>
    <w:rsid w:val="00DC32F2"/>
    <w:rsid w:val="00DC39A0"/>
    <w:rsid w:val="00DC51D2"/>
    <w:rsid w:val="00DC52F3"/>
    <w:rsid w:val="00DC657F"/>
    <w:rsid w:val="00DC691F"/>
    <w:rsid w:val="00DC6D30"/>
    <w:rsid w:val="00DC7C96"/>
    <w:rsid w:val="00DC7C9A"/>
    <w:rsid w:val="00DD1B6F"/>
    <w:rsid w:val="00DD1EA0"/>
    <w:rsid w:val="00DD2D90"/>
    <w:rsid w:val="00DD3AE0"/>
    <w:rsid w:val="00DD3DB7"/>
    <w:rsid w:val="00DD49F1"/>
    <w:rsid w:val="00DD506D"/>
    <w:rsid w:val="00DD60CC"/>
    <w:rsid w:val="00DD7984"/>
    <w:rsid w:val="00DD7F66"/>
    <w:rsid w:val="00DE114C"/>
    <w:rsid w:val="00DE35F4"/>
    <w:rsid w:val="00DE399B"/>
    <w:rsid w:val="00DE427B"/>
    <w:rsid w:val="00DE5C90"/>
    <w:rsid w:val="00DE6E0C"/>
    <w:rsid w:val="00DF011E"/>
    <w:rsid w:val="00DF055A"/>
    <w:rsid w:val="00DF303F"/>
    <w:rsid w:val="00DF4B3D"/>
    <w:rsid w:val="00DF4E1A"/>
    <w:rsid w:val="00DF5CF0"/>
    <w:rsid w:val="00DF6488"/>
    <w:rsid w:val="00DF65FF"/>
    <w:rsid w:val="00DF6A32"/>
    <w:rsid w:val="00DF7FE1"/>
    <w:rsid w:val="00E003E7"/>
    <w:rsid w:val="00E00AD6"/>
    <w:rsid w:val="00E02A69"/>
    <w:rsid w:val="00E03520"/>
    <w:rsid w:val="00E03AAF"/>
    <w:rsid w:val="00E06C9F"/>
    <w:rsid w:val="00E101FC"/>
    <w:rsid w:val="00E1299D"/>
    <w:rsid w:val="00E135AD"/>
    <w:rsid w:val="00E13EDC"/>
    <w:rsid w:val="00E14E71"/>
    <w:rsid w:val="00E15B7F"/>
    <w:rsid w:val="00E16439"/>
    <w:rsid w:val="00E16C85"/>
    <w:rsid w:val="00E17477"/>
    <w:rsid w:val="00E17A2A"/>
    <w:rsid w:val="00E200FC"/>
    <w:rsid w:val="00E20690"/>
    <w:rsid w:val="00E22FFF"/>
    <w:rsid w:val="00E244F7"/>
    <w:rsid w:val="00E24992"/>
    <w:rsid w:val="00E24A8A"/>
    <w:rsid w:val="00E252B6"/>
    <w:rsid w:val="00E25806"/>
    <w:rsid w:val="00E25ACF"/>
    <w:rsid w:val="00E264B4"/>
    <w:rsid w:val="00E26AD4"/>
    <w:rsid w:val="00E30EF8"/>
    <w:rsid w:val="00E33357"/>
    <w:rsid w:val="00E366D0"/>
    <w:rsid w:val="00E36AA6"/>
    <w:rsid w:val="00E36E6E"/>
    <w:rsid w:val="00E3754F"/>
    <w:rsid w:val="00E37B95"/>
    <w:rsid w:val="00E41656"/>
    <w:rsid w:val="00E42E34"/>
    <w:rsid w:val="00E431A9"/>
    <w:rsid w:val="00E43B34"/>
    <w:rsid w:val="00E44650"/>
    <w:rsid w:val="00E4491E"/>
    <w:rsid w:val="00E46C2B"/>
    <w:rsid w:val="00E473E0"/>
    <w:rsid w:val="00E5254C"/>
    <w:rsid w:val="00E52D9C"/>
    <w:rsid w:val="00E52F5E"/>
    <w:rsid w:val="00E53278"/>
    <w:rsid w:val="00E53AB0"/>
    <w:rsid w:val="00E53B5A"/>
    <w:rsid w:val="00E55E33"/>
    <w:rsid w:val="00E56682"/>
    <w:rsid w:val="00E57CC5"/>
    <w:rsid w:val="00E6047F"/>
    <w:rsid w:val="00E60B2E"/>
    <w:rsid w:val="00E611B7"/>
    <w:rsid w:val="00E613C7"/>
    <w:rsid w:val="00E621FC"/>
    <w:rsid w:val="00E62E3F"/>
    <w:rsid w:val="00E64470"/>
    <w:rsid w:val="00E6549E"/>
    <w:rsid w:val="00E70004"/>
    <w:rsid w:val="00E70F4D"/>
    <w:rsid w:val="00E71B05"/>
    <w:rsid w:val="00E74C1B"/>
    <w:rsid w:val="00E7731E"/>
    <w:rsid w:val="00E77BF9"/>
    <w:rsid w:val="00E80CB2"/>
    <w:rsid w:val="00E80EC7"/>
    <w:rsid w:val="00E81B28"/>
    <w:rsid w:val="00E82EA1"/>
    <w:rsid w:val="00E835B3"/>
    <w:rsid w:val="00E842CC"/>
    <w:rsid w:val="00E86F21"/>
    <w:rsid w:val="00E9246F"/>
    <w:rsid w:val="00E92D68"/>
    <w:rsid w:val="00E94D5B"/>
    <w:rsid w:val="00E95705"/>
    <w:rsid w:val="00E9576C"/>
    <w:rsid w:val="00E9622A"/>
    <w:rsid w:val="00E966CA"/>
    <w:rsid w:val="00EA1FCC"/>
    <w:rsid w:val="00EA375E"/>
    <w:rsid w:val="00EA3A92"/>
    <w:rsid w:val="00EA3D17"/>
    <w:rsid w:val="00EA3E45"/>
    <w:rsid w:val="00EA45EA"/>
    <w:rsid w:val="00EA4789"/>
    <w:rsid w:val="00EA4C94"/>
    <w:rsid w:val="00EA63BB"/>
    <w:rsid w:val="00EB0FF3"/>
    <w:rsid w:val="00EB1221"/>
    <w:rsid w:val="00EB2C35"/>
    <w:rsid w:val="00EB41C2"/>
    <w:rsid w:val="00EB4CFE"/>
    <w:rsid w:val="00EB5389"/>
    <w:rsid w:val="00EB5442"/>
    <w:rsid w:val="00EB5606"/>
    <w:rsid w:val="00EB6107"/>
    <w:rsid w:val="00EB6642"/>
    <w:rsid w:val="00EC009A"/>
    <w:rsid w:val="00EC0B15"/>
    <w:rsid w:val="00EC2310"/>
    <w:rsid w:val="00EC26AF"/>
    <w:rsid w:val="00EC341F"/>
    <w:rsid w:val="00EC47D2"/>
    <w:rsid w:val="00EC50DA"/>
    <w:rsid w:val="00EC518F"/>
    <w:rsid w:val="00EC6254"/>
    <w:rsid w:val="00EC6B1F"/>
    <w:rsid w:val="00EC71BC"/>
    <w:rsid w:val="00EC723D"/>
    <w:rsid w:val="00EC74DF"/>
    <w:rsid w:val="00EC75F4"/>
    <w:rsid w:val="00EC7EE4"/>
    <w:rsid w:val="00ED0DC6"/>
    <w:rsid w:val="00ED1917"/>
    <w:rsid w:val="00ED1EB0"/>
    <w:rsid w:val="00ED27F3"/>
    <w:rsid w:val="00ED37F7"/>
    <w:rsid w:val="00ED3D4D"/>
    <w:rsid w:val="00ED475D"/>
    <w:rsid w:val="00ED59CE"/>
    <w:rsid w:val="00ED672B"/>
    <w:rsid w:val="00ED693A"/>
    <w:rsid w:val="00ED69E2"/>
    <w:rsid w:val="00ED71A0"/>
    <w:rsid w:val="00ED78AD"/>
    <w:rsid w:val="00ED7B9C"/>
    <w:rsid w:val="00ED7D24"/>
    <w:rsid w:val="00EE0653"/>
    <w:rsid w:val="00EE0D1B"/>
    <w:rsid w:val="00EE1706"/>
    <w:rsid w:val="00EE1EEA"/>
    <w:rsid w:val="00EE3A12"/>
    <w:rsid w:val="00EE5EA9"/>
    <w:rsid w:val="00EF0A49"/>
    <w:rsid w:val="00EF1664"/>
    <w:rsid w:val="00EF1B9B"/>
    <w:rsid w:val="00EF2844"/>
    <w:rsid w:val="00EF4263"/>
    <w:rsid w:val="00EF6346"/>
    <w:rsid w:val="00F015A5"/>
    <w:rsid w:val="00F04828"/>
    <w:rsid w:val="00F07058"/>
    <w:rsid w:val="00F070F7"/>
    <w:rsid w:val="00F07DD5"/>
    <w:rsid w:val="00F10DDE"/>
    <w:rsid w:val="00F111A9"/>
    <w:rsid w:val="00F11B83"/>
    <w:rsid w:val="00F12621"/>
    <w:rsid w:val="00F1291D"/>
    <w:rsid w:val="00F17408"/>
    <w:rsid w:val="00F1744C"/>
    <w:rsid w:val="00F200E2"/>
    <w:rsid w:val="00F20CBA"/>
    <w:rsid w:val="00F20CEA"/>
    <w:rsid w:val="00F214CC"/>
    <w:rsid w:val="00F21EBB"/>
    <w:rsid w:val="00F2620A"/>
    <w:rsid w:val="00F270B2"/>
    <w:rsid w:val="00F2742E"/>
    <w:rsid w:val="00F3079A"/>
    <w:rsid w:val="00F30FE6"/>
    <w:rsid w:val="00F322D6"/>
    <w:rsid w:val="00F32348"/>
    <w:rsid w:val="00F34043"/>
    <w:rsid w:val="00F34C13"/>
    <w:rsid w:val="00F35C2A"/>
    <w:rsid w:val="00F369A0"/>
    <w:rsid w:val="00F36CEC"/>
    <w:rsid w:val="00F4031D"/>
    <w:rsid w:val="00F41CC2"/>
    <w:rsid w:val="00F42C3D"/>
    <w:rsid w:val="00F43096"/>
    <w:rsid w:val="00F431DF"/>
    <w:rsid w:val="00F44384"/>
    <w:rsid w:val="00F44894"/>
    <w:rsid w:val="00F478A6"/>
    <w:rsid w:val="00F502B7"/>
    <w:rsid w:val="00F51083"/>
    <w:rsid w:val="00F513B3"/>
    <w:rsid w:val="00F51570"/>
    <w:rsid w:val="00F5194F"/>
    <w:rsid w:val="00F51ED4"/>
    <w:rsid w:val="00F52950"/>
    <w:rsid w:val="00F53E09"/>
    <w:rsid w:val="00F54463"/>
    <w:rsid w:val="00F56F1B"/>
    <w:rsid w:val="00F60480"/>
    <w:rsid w:val="00F60485"/>
    <w:rsid w:val="00F63FA2"/>
    <w:rsid w:val="00F6500B"/>
    <w:rsid w:val="00F663D1"/>
    <w:rsid w:val="00F6738C"/>
    <w:rsid w:val="00F67E61"/>
    <w:rsid w:val="00F7062A"/>
    <w:rsid w:val="00F70F4A"/>
    <w:rsid w:val="00F7157F"/>
    <w:rsid w:val="00F72691"/>
    <w:rsid w:val="00F7415E"/>
    <w:rsid w:val="00F74C71"/>
    <w:rsid w:val="00F75788"/>
    <w:rsid w:val="00F764A3"/>
    <w:rsid w:val="00F81BE7"/>
    <w:rsid w:val="00F81E99"/>
    <w:rsid w:val="00F870FC"/>
    <w:rsid w:val="00F91CE3"/>
    <w:rsid w:val="00F92DB6"/>
    <w:rsid w:val="00F94016"/>
    <w:rsid w:val="00F9429E"/>
    <w:rsid w:val="00F94E10"/>
    <w:rsid w:val="00F956CD"/>
    <w:rsid w:val="00F9593C"/>
    <w:rsid w:val="00F95986"/>
    <w:rsid w:val="00F967E3"/>
    <w:rsid w:val="00F97D6A"/>
    <w:rsid w:val="00FA0E33"/>
    <w:rsid w:val="00FA2198"/>
    <w:rsid w:val="00FA2735"/>
    <w:rsid w:val="00FA2993"/>
    <w:rsid w:val="00FA2BD2"/>
    <w:rsid w:val="00FA2BDB"/>
    <w:rsid w:val="00FA3313"/>
    <w:rsid w:val="00FA33D5"/>
    <w:rsid w:val="00FA6668"/>
    <w:rsid w:val="00FA7886"/>
    <w:rsid w:val="00FA7956"/>
    <w:rsid w:val="00FA7F14"/>
    <w:rsid w:val="00FB0918"/>
    <w:rsid w:val="00FB0BD5"/>
    <w:rsid w:val="00FB204E"/>
    <w:rsid w:val="00FB2D8E"/>
    <w:rsid w:val="00FB3C65"/>
    <w:rsid w:val="00FB47B9"/>
    <w:rsid w:val="00FB5D6F"/>
    <w:rsid w:val="00FC0AB8"/>
    <w:rsid w:val="00FC240F"/>
    <w:rsid w:val="00FC275E"/>
    <w:rsid w:val="00FC4137"/>
    <w:rsid w:val="00FC48E1"/>
    <w:rsid w:val="00FC512D"/>
    <w:rsid w:val="00FC5466"/>
    <w:rsid w:val="00FC5EB6"/>
    <w:rsid w:val="00FC6FB4"/>
    <w:rsid w:val="00FD1033"/>
    <w:rsid w:val="00FD2097"/>
    <w:rsid w:val="00FD2BBF"/>
    <w:rsid w:val="00FD5630"/>
    <w:rsid w:val="00FD57D6"/>
    <w:rsid w:val="00FD5EFA"/>
    <w:rsid w:val="00FD5F19"/>
    <w:rsid w:val="00FD669E"/>
    <w:rsid w:val="00FD70B9"/>
    <w:rsid w:val="00FE0296"/>
    <w:rsid w:val="00FE0C58"/>
    <w:rsid w:val="00FE1CD1"/>
    <w:rsid w:val="00FE34C7"/>
    <w:rsid w:val="00FE4221"/>
    <w:rsid w:val="00FE529A"/>
    <w:rsid w:val="00FE5483"/>
    <w:rsid w:val="00FE5B73"/>
    <w:rsid w:val="00FE65E6"/>
    <w:rsid w:val="00FE6AC4"/>
    <w:rsid w:val="00FE7D4B"/>
    <w:rsid w:val="00FF0DEC"/>
    <w:rsid w:val="00FF0FE7"/>
    <w:rsid w:val="00FF13DF"/>
    <w:rsid w:val="00FF237F"/>
    <w:rsid w:val="00FF4DD8"/>
    <w:rsid w:val="00FF59CC"/>
    <w:rsid w:val="00FF6CDA"/>
    <w:rsid w:val="00FF7E8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A8"/>
    <w:rPr>
      <w:rFonts w:ascii="Arial" w:eastAsia="Times New Roman" w:hAnsi="Arial" w:cs="Times New Roman"/>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2">
    <w:name w:val="Unresolved Mention2"/>
    <w:basedOn w:val="DefaultParagraphFont"/>
    <w:uiPriority w:val="99"/>
    <w:semiHidden/>
    <w:unhideWhenUsed/>
    <w:rsid w:val="0093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603079584">
      <w:bodyDiv w:val="1"/>
      <w:marLeft w:val="0"/>
      <w:marRight w:val="0"/>
      <w:marTop w:val="0"/>
      <w:marBottom w:val="0"/>
      <w:divBdr>
        <w:top w:val="none" w:sz="0" w:space="0" w:color="auto"/>
        <w:left w:val="none" w:sz="0" w:space="0" w:color="auto"/>
        <w:bottom w:val="none" w:sz="0" w:space="0" w:color="auto"/>
        <w:right w:val="none" w:sz="0" w:space="0" w:color="auto"/>
      </w:divBdr>
      <w:divsChild>
        <w:div w:id="1513644593">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733149">
      <w:bodyDiv w:val="1"/>
      <w:marLeft w:val="0"/>
      <w:marRight w:val="0"/>
      <w:marTop w:val="0"/>
      <w:marBottom w:val="0"/>
      <w:divBdr>
        <w:top w:val="none" w:sz="0" w:space="0" w:color="auto"/>
        <w:left w:val="none" w:sz="0" w:space="0" w:color="auto"/>
        <w:bottom w:val="none" w:sz="0" w:space="0" w:color="auto"/>
        <w:right w:val="none" w:sz="0" w:space="0" w:color="auto"/>
      </w:divBdr>
      <w:divsChild>
        <w:div w:id="128716269">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594244450">
      <w:bodyDiv w:val="1"/>
      <w:marLeft w:val="0"/>
      <w:marRight w:val="0"/>
      <w:marTop w:val="0"/>
      <w:marBottom w:val="0"/>
      <w:divBdr>
        <w:top w:val="none" w:sz="0" w:space="0" w:color="auto"/>
        <w:left w:val="none" w:sz="0" w:space="0" w:color="auto"/>
        <w:bottom w:val="none" w:sz="0" w:space="0" w:color="auto"/>
        <w:right w:val="none" w:sz="0" w:space="0" w:color="auto"/>
      </w:divBdr>
      <w:divsChild>
        <w:div w:id="163597480">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d@macintoshcross.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macintoshcros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uyi@bv-inc.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yan@bv-inc.co.za" TargetMode="External"/><Relationship Id="rId4" Type="http://schemas.openxmlformats.org/officeDocument/2006/relationships/settings" Target="settings.xml"/><Relationship Id="rId9" Type="http://schemas.openxmlformats.org/officeDocument/2006/relationships/hyperlink" Target="mailto:nick@bv-inc.co.za" TargetMode="External"/><Relationship Id="rId14" Type="http://schemas.openxmlformats.org/officeDocument/2006/relationships/hyperlink" Target="mailto:simathebula@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1CFE-DE8B-43A5-9566-2E7B616A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Zintle Twaku</dc:creator>
  <cp:lastModifiedBy>sathish sarshan  mohan</cp:lastModifiedBy>
  <cp:revision>3</cp:revision>
  <cp:lastPrinted>2024-05-23T06:44:00Z</cp:lastPrinted>
  <dcterms:created xsi:type="dcterms:W3CDTF">2024-05-23T06:45:00Z</dcterms:created>
  <dcterms:modified xsi:type="dcterms:W3CDTF">2024-06-05T14:23:00Z</dcterms:modified>
</cp:coreProperties>
</file>