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C22331" w14:textId="6DDFB54D" w:rsidR="00454A0E" w:rsidRDefault="00454A0E" w:rsidP="00454A0E">
      <w:pPr>
        <w:pStyle w:val="Body"/>
      </w:pPr>
      <w:r>
        <w:rPr>
          <w:noProof/>
        </w:rPr>
        <w:drawing>
          <wp:inline distT="0" distB="0" distL="0" distR="0" wp14:anchorId="0ADA326B" wp14:editId="04AA149A">
            <wp:extent cx="4286250" cy="466725"/>
            <wp:effectExtent l="0" t="0" r="0" b="9525"/>
            <wp:docPr id="17788672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142E015B" w14:textId="0656B749" w:rsidR="00225B9E" w:rsidRDefault="00225B9E" w:rsidP="00225B9E">
      <w:pPr>
        <w:pStyle w:val="Body"/>
        <w:jc w:val="center"/>
      </w:pPr>
      <w:r>
        <w:rPr>
          <w:noProof/>
        </w:rPr>
        <w:drawing>
          <wp:inline distT="0" distB="0" distL="0" distR="0" wp14:anchorId="7490181E" wp14:editId="56FA348D">
            <wp:extent cx="1495425" cy="1495425"/>
            <wp:effectExtent l="0" t="0" r="3175" b="3175"/>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9">
                      <a:extLst>
                        <a:ext uri="{BEBA8EAE-BF5A-486C-A8C5-ECC9F3942E4B}">
                          <a14:imgProps xmlns:a14="http://schemas.microsoft.com/office/drawing/2010/main">
                            <a14:imgLayer r:embed="rId10">
                              <a14:imgEffect>
                                <a14:sharpenSoften amount="100000"/>
                              </a14:imgEffect>
                            </a14:imgLayer>
                          </a14:imgProps>
                        </a:ext>
                      </a:extLst>
                    </a:blip>
                    <a:stretch>
                      <a:fillRect/>
                    </a:stretch>
                  </pic:blipFill>
                  <pic:spPr>
                    <a:xfrm>
                      <a:off x="0" y="0"/>
                      <a:ext cx="1495425" cy="1495425"/>
                    </a:xfrm>
                    <a:prstGeom prst="rect">
                      <a:avLst/>
                    </a:prstGeom>
                    <a:ln w="12700" cap="flat">
                      <a:noFill/>
                      <a:miter lim="400000"/>
                    </a:ln>
                    <a:effectLst/>
                  </pic:spPr>
                </pic:pic>
              </a:graphicData>
            </a:graphic>
          </wp:inline>
        </w:drawing>
      </w:r>
    </w:p>
    <w:p w14:paraId="43F6CF42" w14:textId="77777777" w:rsidR="00225B9E" w:rsidRPr="0031449E" w:rsidRDefault="00225B9E" w:rsidP="00225B9E">
      <w:pPr>
        <w:pStyle w:val="Body"/>
        <w:spacing w:line="360" w:lineRule="auto"/>
        <w:jc w:val="center"/>
        <w:outlineLvl w:val="0"/>
        <w:rPr>
          <w:rFonts w:cs="Arial"/>
          <w:b/>
          <w:bCs/>
          <w:sz w:val="24"/>
          <w:szCs w:val="24"/>
        </w:rPr>
      </w:pPr>
      <w:r w:rsidRPr="0031449E">
        <w:rPr>
          <w:rFonts w:cs="Arial"/>
          <w:b/>
          <w:bCs/>
          <w:sz w:val="24"/>
          <w:szCs w:val="24"/>
          <w:u w:val="single"/>
        </w:rPr>
        <w:t>IN THE HIGH COURT OF SOUTH AFRICA</w:t>
      </w:r>
    </w:p>
    <w:p w14:paraId="6E79F097" w14:textId="77777777" w:rsidR="00225B9E" w:rsidRDefault="00225B9E" w:rsidP="00225B9E">
      <w:pPr>
        <w:pStyle w:val="Body"/>
        <w:spacing w:line="360" w:lineRule="auto"/>
        <w:jc w:val="center"/>
        <w:rPr>
          <w:rFonts w:cs="Arial"/>
          <w:b/>
          <w:bCs/>
          <w:sz w:val="24"/>
          <w:szCs w:val="24"/>
          <w:u w:val="single"/>
          <w:lang w:val="de-DE"/>
        </w:rPr>
      </w:pPr>
      <w:r w:rsidRPr="0031449E">
        <w:rPr>
          <w:rFonts w:cs="Arial"/>
          <w:b/>
          <w:bCs/>
          <w:sz w:val="24"/>
          <w:szCs w:val="24"/>
          <w:u w:val="single"/>
          <w:lang w:val="de-DE"/>
        </w:rPr>
        <w:t>(GAUTENG DIVISION, PRETORIA)</w:t>
      </w:r>
    </w:p>
    <w:p w14:paraId="570FB3FC" w14:textId="77777777" w:rsidR="00225B9E" w:rsidRPr="008E6813" w:rsidRDefault="00225B9E" w:rsidP="00225B9E">
      <w:pPr>
        <w:pStyle w:val="Body"/>
        <w:spacing w:line="360" w:lineRule="auto"/>
        <w:jc w:val="center"/>
        <w:rPr>
          <w:rFonts w:cs="Arial"/>
          <w:b/>
          <w:bCs/>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8"/>
      </w:tblGrid>
      <w:tr w:rsidR="00225B9E" w:rsidRPr="00EE3682" w14:paraId="5D78393F" w14:textId="77777777" w:rsidTr="002B5E3B">
        <w:trPr>
          <w:trHeight w:val="1656"/>
        </w:trPr>
        <w:tc>
          <w:tcPr>
            <w:tcW w:w="4458" w:type="dxa"/>
          </w:tcPr>
          <w:p w14:paraId="1078B061" w14:textId="77777777" w:rsidR="00225B9E" w:rsidRPr="00EE3682" w:rsidRDefault="00225B9E" w:rsidP="002B5E3B">
            <w:pPr>
              <w:spacing w:after="0" w:line="240" w:lineRule="auto"/>
              <w:rPr>
                <w:rFonts w:ascii="Arial Unicode MS" w:eastAsia="Arial Unicode MS" w:hAnsi="Arial Unicode MS" w:cs="Arial Unicode MS"/>
                <w:b/>
                <w:sz w:val="16"/>
                <w:szCs w:val="16"/>
              </w:rPr>
            </w:pPr>
            <w:r w:rsidRPr="00EE3682">
              <w:rPr>
                <w:rFonts w:ascii="Arial Unicode MS" w:eastAsia="Arial Unicode MS" w:hAnsi="Arial Unicode MS" w:cs="Arial Unicode MS"/>
                <w:b/>
                <w:sz w:val="16"/>
                <w:szCs w:val="16"/>
              </w:rPr>
              <w:t>DELETE WHICHEVER IS NOT APPLICABLE</w:t>
            </w:r>
          </w:p>
          <w:p w14:paraId="011326F3" w14:textId="77777777" w:rsidR="00225B9E" w:rsidRPr="00EE3682" w:rsidRDefault="00225B9E" w:rsidP="002B5E3B">
            <w:pPr>
              <w:spacing w:after="0" w:line="240" w:lineRule="auto"/>
              <w:rPr>
                <w:rFonts w:ascii="Arial Unicode MS" w:eastAsia="Arial Unicode MS" w:hAnsi="Arial Unicode MS" w:cs="Arial Unicode MS"/>
                <w:sz w:val="16"/>
                <w:szCs w:val="16"/>
              </w:rPr>
            </w:pPr>
            <w:r w:rsidRPr="00EE3682">
              <w:rPr>
                <w:rFonts w:ascii="Arial Unicode MS" w:eastAsia="Arial Unicode MS" w:hAnsi="Arial Unicode MS" w:cs="Arial Unicode MS"/>
                <w:sz w:val="16"/>
                <w:szCs w:val="16"/>
              </w:rPr>
              <w:t>(1)  REPORTABLE: NO</w:t>
            </w:r>
          </w:p>
          <w:p w14:paraId="56C9E41C" w14:textId="77777777" w:rsidR="00225B9E" w:rsidRPr="00EE3682" w:rsidRDefault="00225B9E" w:rsidP="002B5E3B">
            <w:pPr>
              <w:spacing w:after="0" w:line="240" w:lineRule="auto"/>
              <w:rPr>
                <w:rFonts w:ascii="Arial Unicode MS" w:eastAsia="Arial Unicode MS" w:hAnsi="Arial Unicode MS" w:cs="Arial Unicode MS"/>
                <w:sz w:val="16"/>
                <w:szCs w:val="16"/>
              </w:rPr>
            </w:pPr>
            <w:r w:rsidRPr="00EE3682">
              <w:rPr>
                <w:rFonts w:ascii="Arial Unicode MS" w:eastAsia="Arial Unicode MS" w:hAnsi="Arial Unicode MS" w:cs="Arial Unicode MS"/>
                <w:sz w:val="16"/>
                <w:szCs w:val="16"/>
              </w:rPr>
              <w:t xml:space="preserve">(2)  OF INTEREST TO OTHER JUDGES: </w:t>
            </w:r>
            <w:r>
              <w:rPr>
                <w:rFonts w:ascii="Arial Unicode MS" w:eastAsia="Arial Unicode MS" w:hAnsi="Arial Unicode MS" w:cs="Arial Unicode MS"/>
                <w:sz w:val="16"/>
                <w:szCs w:val="16"/>
              </w:rPr>
              <w:t>NO</w:t>
            </w:r>
          </w:p>
          <w:p w14:paraId="1A40E9FB" w14:textId="77777777" w:rsidR="00225B9E" w:rsidRPr="00EE3682" w:rsidRDefault="00225B9E" w:rsidP="002B5E3B">
            <w:pPr>
              <w:spacing w:after="0" w:line="240" w:lineRule="auto"/>
              <w:rPr>
                <w:rFonts w:ascii="Arial Unicode MS" w:eastAsia="Arial Unicode MS" w:hAnsi="Arial Unicode MS" w:cs="Arial Unicode MS"/>
                <w:sz w:val="16"/>
                <w:szCs w:val="16"/>
              </w:rPr>
            </w:pPr>
            <w:r w:rsidRPr="00EE3682">
              <w:rPr>
                <w:rFonts w:ascii="Arial Unicode MS" w:eastAsia="Arial Unicode MS" w:hAnsi="Arial Unicode MS" w:cs="Arial Unicode MS"/>
                <w:sz w:val="16"/>
                <w:szCs w:val="16"/>
              </w:rPr>
              <w:t>(3)  REVISED</w:t>
            </w:r>
          </w:p>
          <w:p w14:paraId="475CFF06" w14:textId="1989AB16" w:rsidR="00225B9E" w:rsidRPr="00EE3682" w:rsidRDefault="00225B9E" w:rsidP="002B5E3B">
            <w:pPr>
              <w:spacing w:before="120" w:after="0" w:line="240" w:lineRule="auto"/>
              <w:rPr>
                <w:rFonts w:ascii="Arial Unicode MS" w:eastAsia="Arial Unicode MS" w:hAnsi="Arial Unicode MS" w:cs="Arial Unicode MS"/>
                <w:sz w:val="16"/>
                <w:szCs w:val="16"/>
              </w:rPr>
            </w:pPr>
            <w:r w:rsidRPr="00EE3682">
              <w:rPr>
                <w:rFonts w:ascii="Arial Unicode MS" w:eastAsia="Arial Unicode MS" w:hAnsi="Arial Unicode MS" w:cs="Arial Unicode MS"/>
                <w:sz w:val="16"/>
                <w:szCs w:val="16"/>
              </w:rPr>
              <w:t>DATE</w:t>
            </w:r>
            <w:r w:rsidRPr="00EE3682">
              <w:rPr>
                <w:rFonts w:ascii="Arial Unicode MS" w:eastAsia="Arial Unicode MS" w:hAnsi="Arial Unicode MS" w:cs="Arial Unicode MS"/>
                <w:b/>
                <w:bCs/>
                <w:sz w:val="16"/>
                <w:szCs w:val="16"/>
                <w:u w:val="single"/>
              </w:rPr>
              <w:t>:</w:t>
            </w:r>
            <w:r w:rsidR="001D7C70">
              <w:rPr>
                <w:rFonts w:ascii="Arial Unicode MS" w:eastAsia="Arial Unicode MS" w:hAnsi="Arial Unicode MS" w:cs="Arial Unicode MS"/>
                <w:b/>
                <w:bCs/>
                <w:sz w:val="16"/>
                <w:szCs w:val="16"/>
                <w:u w:val="single"/>
              </w:rPr>
              <w:t xml:space="preserve"> </w:t>
            </w:r>
            <w:r w:rsidR="00DE2D23">
              <w:rPr>
                <w:rFonts w:ascii="Arial Unicode MS" w:eastAsia="Arial Unicode MS" w:hAnsi="Arial Unicode MS" w:cs="Arial Unicode MS"/>
                <w:b/>
                <w:bCs/>
                <w:sz w:val="16"/>
                <w:szCs w:val="16"/>
                <w:u w:val="single"/>
              </w:rPr>
              <w:t>06 JUNE</w:t>
            </w:r>
            <w:r w:rsidR="001D7C70">
              <w:rPr>
                <w:rFonts w:ascii="Arial Unicode MS" w:eastAsia="Arial Unicode MS" w:hAnsi="Arial Unicode MS" w:cs="Arial Unicode MS"/>
                <w:b/>
                <w:bCs/>
                <w:sz w:val="16"/>
                <w:szCs w:val="16"/>
                <w:u w:val="single"/>
              </w:rPr>
              <w:t xml:space="preserve"> 2024</w:t>
            </w:r>
          </w:p>
          <w:p w14:paraId="55B075E6" w14:textId="77777777" w:rsidR="00225B9E" w:rsidRPr="00EE3682" w:rsidRDefault="00225B9E" w:rsidP="002B5E3B">
            <w:pPr>
              <w:spacing w:after="0" w:line="240" w:lineRule="auto"/>
              <w:rPr>
                <w:rFonts w:ascii="Arial Unicode MS" w:eastAsia="Arial Unicode MS" w:hAnsi="Arial Unicode MS" w:cs="Arial Unicode MS"/>
                <w:sz w:val="16"/>
                <w:szCs w:val="16"/>
              </w:rPr>
            </w:pPr>
          </w:p>
          <w:p w14:paraId="6DA7E7E5" w14:textId="0D5C4582" w:rsidR="00225B9E" w:rsidRPr="00EE3682" w:rsidRDefault="00225B9E" w:rsidP="002B5E3B">
            <w:pPr>
              <w:spacing w:after="0" w:line="240" w:lineRule="auto"/>
              <w:rPr>
                <w:rFonts w:ascii="Arial Unicode MS" w:eastAsia="Arial Unicode MS" w:hAnsi="Arial Unicode MS" w:cs="Arial Unicode MS"/>
                <w:sz w:val="16"/>
                <w:szCs w:val="16"/>
              </w:rPr>
            </w:pPr>
            <w:r w:rsidRPr="00EE3682">
              <w:rPr>
                <w:rFonts w:ascii="Arial Unicode MS" w:eastAsia="Arial Unicode MS" w:hAnsi="Arial Unicode MS" w:cs="Arial Unicode MS"/>
                <w:sz w:val="16"/>
                <w:szCs w:val="16"/>
              </w:rPr>
              <w:t>SIGNATURE:</w:t>
            </w:r>
            <w:r w:rsidR="001D7C70">
              <w:rPr>
                <w:rFonts w:ascii="Arial Unicode MS" w:eastAsia="Arial Unicode MS" w:hAnsi="Arial Unicode MS" w:cs="Arial Unicode MS"/>
                <w:sz w:val="16"/>
                <w:szCs w:val="16"/>
              </w:rPr>
              <w:t xml:space="preserve"> </w:t>
            </w:r>
            <w:r w:rsidR="0076376A">
              <w:rPr>
                <w:rFonts w:ascii="Arial Unicode MS" w:eastAsia="Arial Unicode MS" w:hAnsi="Arial Unicode MS" w:cs="Arial Unicode MS"/>
                <w:noProof/>
                <w:sz w:val="16"/>
                <w:szCs w:val="16"/>
              </w:rPr>
              <w:t>[…]</w:t>
            </w:r>
          </w:p>
        </w:tc>
      </w:tr>
    </w:tbl>
    <w:p w14:paraId="683905DE" w14:textId="32CE4FEF" w:rsidR="00225B9E" w:rsidRPr="0031449E" w:rsidRDefault="00225B9E" w:rsidP="00225B9E">
      <w:pPr>
        <w:pStyle w:val="Body"/>
        <w:spacing w:line="360" w:lineRule="auto"/>
        <w:jc w:val="right"/>
        <w:outlineLvl w:val="0"/>
        <w:rPr>
          <w:rFonts w:cs="Arial"/>
          <w:sz w:val="24"/>
          <w:szCs w:val="24"/>
        </w:rPr>
      </w:pPr>
      <w:r w:rsidRPr="0031449E">
        <w:rPr>
          <w:rFonts w:cs="Arial"/>
          <w:sz w:val="24"/>
          <w:szCs w:val="24"/>
        </w:rPr>
        <w:tab/>
      </w:r>
      <w:r>
        <w:rPr>
          <w:rFonts w:cs="Arial"/>
          <w:b/>
          <w:bCs/>
          <w:sz w:val="24"/>
          <w:szCs w:val="24"/>
        </w:rPr>
        <w:t>Case No: 485</w:t>
      </w:r>
      <w:r w:rsidR="00AB3EF6">
        <w:rPr>
          <w:rFonts w:cs="Arial"/>
          <w:b/>
          <w:bCs/>
          <w:sz w:val="24"/>
          <w:szCs w:val="24"/>
        </w:rPr>
        <w:t>5</w:t>
      </w:r>
      <w:r>
        <w:rPr>
          <w:rFonts w:cs="Arial"/>
          <w:b/>
          <w:bCs/>
          <w:sz w:val="24"/>
          <w:szCs w:val="24"/>
        </w:rPr>
        <w:t>/2022</w:t>
      </w: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4078"/>
        <w:gridCol w:w="66"/>
      </w:tblGrid>
      <w:tr w:rsidR="00225B9E" w:rsidRPr="0031449E" w14:paraId="73D33AEF" w14:textId="77777777" w:rsidTr="002B5E3B">
        <w:trPr>
          <w:gridAfter w:val="1"/>
          <w:wAfter w:w="66" w:type="dxa"/>
        </w:trPr>
        <w:tc>
          <w:tcPr>
            <w:tcW w:w="5485" w:type="dxa"/>
          </w:tcPr>
          <w:p w14:paraId="6EA309A3" w14:textId="77777777" w:rsidR="00225B9E" w:rsidRPr="0031449E" w:rsidRDefault="00225B9E" w:rsidP="002B5E3B">
            <w:pPr>
              <w:pStyle w:val="Body"/>
              <w:spacing w:line="360" w:lineRule="auto"/>
              <w:jc w:val="both"/>
              <w:rPr>
                <w:rFonts w:cs="Arial"/>
                <w:sz w:val="24"/>
                <w:szCs w:val="24"/>
              </w:rPr>
            </w:pPr>
            <w:r w:rsidRPr="0031449E">
              <w:rPr>
                <w:rFonts w:cs="Arial"/>
                <w:sz w:val="24"/>
                <w:szCs w:val="24"/>
              </w:rPr>
              <w:t>In the matter between:</w:t>
            </w:r>
          </w:p>
        </w:tc>
        <w:tc>
          <w:tcPr>
            <w:tcW w:w="4078" w:type="dxa"/>
          </w:tcPr>
          <w:p w14:paraId="7FB592F2" w14:textId="77777777" w:rsidR="00225B9E" w:rsidRPr="0031449E" w:rsidRDefault="00225B9E" w:rsidP="002B5E3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sz w:val="24"/>
                <w:szCs w:val="24"/>
              </w:rPr>
            </w:pPr>
          </w:p>
        </w:tc>
      </w:tr>
      <w:tr w:rsidR="00225B9E" w:rsidRPr="0031449E" w14:paraId="1F678E4E" w14:textId="77777777" w:rsidTr="002B5E3B">
        <w:trPr>
          <w:gridAfter w:val="1"/>
          <w:wAfter w:w="66" w:type="dxa"/>
          <w:trHeight w:val="1045"/>
        </w:trPr>
        <w:tc>
          <w:tcPr>
            <w:tcW w:w="5485" w:type="dxa"/>
          </w:tcPr>
          <w:p w14:paraId="0988C7C2" w14:textId="77777777" w:rsidR="00225B9E" w:rsidRDefault="00225B9E" w:rsidP="002B5E3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sz w:val="24"/>
                <w:szCs w:val="24"/>
              </w:rPr>
            </w:pPr>
          </w:p>
          <w:p w14:paraId="5F64045D" w14:textId="16145416" w:rsidR="00225B9E" w:rsidRPr="00ED7E37" w:rsidRDefault="00225B9E" w:rsidP="002B5E3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Pr>
                <w:rFonts w:cs="Arial"/>
                <w:b/>
                <w:bCs/>
                <w:sz w:val="24"/>
                <w:szCs w:val="24"/>
              </w:rPr>
              <w:t>BMW FINANCIAL SERVICES SA (PTY) LTD</w:t>
            </w:r>
          </w:p>
        </w:tc>
        <w:tc>
          <w:tcPr>
            <w:tcW w:w="4078" w:type="dxa"/>
          </w:tcPr>
          <w:p w14:paraId="1B08480B" w14:textId="77777777" w:rsidR="00225B9E" w:rsidRDefault="00225B9E" w:rsidP="002B5E3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27C082D3" w14:textId="77777777" w:rsidR="00225B9E" w:rsidRPr="0031449E" w:rsidRDefault="00225B9E" w:rsidP="002B5E3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APPLICANT</w:t>
            </w:r>
          </w:p>
        </w:tc>
      </w:tr>
      <w:tr w:rsidR="00225B9E" w:rsidRPr="0031449E" w14:paraId="5A176257" w14:textId="77777777" w:rsidTr="002B5E3B">
        <w:trPr>
          <w:gridAfter w:val="1"/>
          <w:wAfter w:w="66" w:type="dxa"/>
        </w:trPr>
        <w:tc>
          <w:tcPr>
            <w:tcW w:w="5485" w:type="dxa"/>
          </w:tcPr>
          <w:p w14:paraId="62CAFBE8" w14:textId="77777777" w:rsidR="00225B9E" w:rsidRPr="00F43C52" w:rsidRDefault="00225B9E" w:rsidP="002B5E3B">
            <w:pPr>
              <w:pStyle w:val="Body"/>
              <w:spacing w:line="360" w:lineRule="auto"/>
              <w:jc w:val="both"/>
              <w:rPr>
                <w:rFonts w:cs="Arial"/>
                <w:b/>
                <w:sz w:val="24"/>
                <w:szCs w:val="24"/>
              </w:rPr>
            </w:pPr>
          </w:p>
          <w:p w14:paraId="202EEE9E" w14:textId="77777777" w:rsidR="00225B9E" w:rsidRPr="0031449E" w:rsidRDefault="00225B9E" w:rsidP="002B5E3B">
            <w:pPr>
              <w:pStyle w:val="Body"/>
              <w:spacing w:line="360" w:lineRule="auto"/>
              <w:jc w:val="both"/>
              <w:rPr>
                <w:rFonts w:eastAsia="Tahoma" w:cs="Arial"/>
                <w:sz w:val="24"/>
                <w:szCs w:val="24"/>
              </w:rPr>
            </w:pPr>
            <w:r w:rsidRPr="0031449E">
              <w:rPr>
                <w:rFonts w:cs="Arial"/>
                <w:sz w:val="24"/>
                <w:szCs w:val="24"/>
              </w:rPr>
              <w:t>And</w:t>
            </w:r>
          </w:p>
        </w:tc>
        <w:tc>
          <w:tcPr>
            <w:tcW w:w="4078" w:type="dxa"/>
          </w:tcPr>
          <w:p w14:paraId="4384D620" w14:textId="77777777" w:rsidR="00225B9E" w:rsidRPr="0031449E" w:rsidRDefault="00225B9E" w:rsidP="002B5E3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tc>
      </w:tr>
      <w:tr w:rsidR="00225B9E" w:rsidRPr="0031449E" w14:paraId="05F28294" w14:textId="77777777" w:rsidTr="002B5E3B">
        <w:trPr>
          <w:gridAfter w:val="1"/>
          <w:wAfter w:w="66" w:type="dxa"/>
        </w:trPr>
        <w:tc>
          <w:tcPr>
            <w:tcW w:w="5485" w:type="dxa"/>
          </w:tcPr>
          <w:p w14:paraId="4E247FD7" w14:textId="77777777" w:rsidR="00225B9E" w:rsidRDefault="00225B9E" w:rsidP="002B5E3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p>
          <w:p w14:paraId="69494BF2" w14:textId="02B11614" w:rsidR="00225B9E" w:rsidRPr="00DA7A8D" w:rsidRDefault="00225B9E" w:rsidP="002B5E3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05"/>
              <w:jc w:val="both"/>
              <w:rPr>
                <w:rFonts w:cs="Arial"/>
                <w:b/>
                <w:bCs/>
                <w:sz w:val="24"/>
                <w:szCs w:val="24"/>
                <w:lang w:val="de-DE"/>
              </w:rPr>
            </w:pPr>
            <w:r>
              <w:rPr>
                <w:rFonts w:cs="Arial"/>
                <w:b/>
                <w:bCs/>
                <w:sz w:val="24"/>
                <w:szCs w:val="24"/>
                <w:lang w:val="de-DE"/>
              </w:rPr>
              <w:t xml:space="preserve">TSHEPO SIMON MOFOMME </w:t>
            </w:r>
          </w:p>
        </w:tc>
        <w:tc>
          <w:tcPr>
            <w:tcW w:w="4078" w:type="dxa"/>
          </w:tcPr>
          <w:p w14:paraId="3BF371E2" w14:textId="77777777" w:rsidR="00225B9E" w:rsidRDefault="00225B9E" w:rsidP="002B5E3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0564C552" w14:textId="77777777" w:rsidR="00225B9E" w:rsidRPr="0031449E" w:rsidRDefault="00225B9E" w:rsidP="002B5E3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 xml:space="preserve"> RESPONDENT</w:t>
            </w:r>
          </w:p>
        </w:tc>
      </w:tr>
      <w:tr w:rsidR="00225B9E" w:rsidRPr="00217B1F" w14:paraId="59F058EB" w14:textId="77777777" w:rsidTr="002B5E3B">
        <w:trPr>
          <w:trHeight w:val="1045"/>
        </w:trPr>
        <w:tc>
          <w:tcPr>
            <w:tcW w:w="9629" w:type="dxa"/>
            <w:gridSpan w:val="3"/>
          </w:tcPr>
          <w:p w14:paraId="43882C8D" w14:textId="77777777" w:rsidR="00225B9E" w:rsidRDefault="00225B9E" w:rsidP="002B5E3B">
            <w:pPr>
              <w:pStyle w:val="Body"/>
              <w:pBdr>
                <w:top w:val="none" w:sz="0" w:space="0" w:color="auto"/>
                <w:left w:val="none" w:sz="0" w:space="0" w:color="auto"/>
                <w:bottom w:val="single" w:sz="12" w:space="1" w:color="auto"/>
                <w:right w:val="none" w:sz="0" w:space="0" w:color="auto"/>
                <w:between w:val="none" w:sz="0" w:space="0" w:color="auto"/>
                <w:bar w:val="none" w:sz="0" w:color="auto"/>
              </w:pBdr>
              <w:spacing w:line="360" w:lineRule="auto"/>
              <w:rPr>
                <w:rFonts w:cs="Arial"/>
                <w:b/>
                <w:bCs/>
                <w:sz w:val="24"/>
                <w:szCs w:val="24"/>
              </w:rPr>
            </w:pPr>
          </w:p>
          <w:p w14:paraId="5A21ED52" w14:textId="77777777" w:rsidR="00225B9E" w:rsidRPr="00217B1F" w:rsidRDefault="00225B9E" w:rsidP="002B5E3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4"/>
              <w:gridCol w:w="7513"/>
            </w:tblGrid>
            <w:tr w:rsidR="00225B9E" w14:paraId="6CC914CA" w14:textId="77777777" w:rsidTr="002B5E3B">
              <w:tc>
                <w:tcPr>
                  <w:tcW w:w="1734" w:type="dxa"/>
                </w:tcPr>
                <w:p w14:paraId="629A434B" w14:textId="77777777" w:rsidR="00225B9E" w:rsidRPr="008A1016" w:rsidRDefault="00225B9E" w:rsidP="002B5E3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4"/>
                    <w:rPr>
                      <w:rFonts w:ascii="Times" w:hAnsi="Times" w:cs="Arial"/>
                      <w:b/>
                      <w:bCs/>
                      <w:i/>
                      <w:iCs/>
                      <w:sz w:val="24"/>
                      <w:szCs w:val="24"/>
                    </w:rPr>
                  </w:pPr>
                  <w:r w:rsidRPr="008A1016">
                    <w:rPr>
                      <w:rFonts w:ascii="Times" w:eastAsia="Times New Roman" w:hAnsi="Times" w:cs="Arial"/>
                      <w:b/>
                      <w:bCs/>
                      <w:i/>
                      <w:iCs/>
                      <w:sz w:val="24"/>
                      <w:szCs w:val="24"/>
                      <w:lang w:val="en-ZA"/>
                    </w:rPr>
                    <w:t xml:space="preserve"> Coram:          </w:t>
                  </w:r>
                </w:p>
              </w:tc>
              <w:tc>
                <w:tcPr>
                  <w:tcW w:w="7513" w:type="dxa"/>
                </w:tcPr>
                <w:p w14:paraId="531492A6" w14:textId="77777777" w:rsidR="00225B9E" w:rsidRPr="00C56A0B" w:rsidRDefault="00225B9E" w:rsidP="002B5E3B">
                  <w:pPr>
                    <w:tabs>
                      <w:tab w:val="left" w:pos="1417"/>
                    </w:tabs>
                    <w:spacing w:after="120" w:line="360" w:lineRule="auto"/>
                    <w:ind w:left="2268" w:hanging="2268"/>
                    <w:rPr>
                      <w:rFonts w:ascii="Arial" w:eastAsia="Times New Roman" w:hAnsi="Arial" w:cs="Arial"/>
                      <w:b/>
                      <w:bCs/>
                      <w:color w:val="000000"/>
                      <w:sz w:val="24"/>
                      <w:szCs w:val="24"/>
                    </w:rPr>
                  </w:pPr>
                  <w:r>
                    <w:rPr>
                      <w:rFonts w:ascii="Arial" w:eastAsia="Times New Roman" w:hAnsi="Arial" w:cs="Arial"/>
                      <w:b/>
                      <w:bCs/>
                      <w:color w:val="000000"/>
                      <w:sz w:val="24"/>
                      <w:szCs w:val="24"/>
                      <w:lang w:val="en-ZA"/>
                    </w:rPr>
                    <w:t>ACTING JUDGE KEKANA</w:t>
                  </w:r>
                </w:p>
                <w:p w14:paraId="574AD48D" w14:textId="77777777" w:rsidR="00225B9E" w:rsidRDefault="00225B9E" w:rsidP="002B5E3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225B9E" w14:paraId="3B42D3A4" w14:textId="77777777" w:rsidTr="002B5E3B">
              <w:tc>
                <w:tcPr>
                  <w:tcW w:w="1734" w:type="dxa"/>
                </w:tcPr>
                <w:p w14:paraId="792F74FA" w14:textId="77777777" w:rsidR="00225B9E" w:rsidRPr="008A1016" w:rsidRDefault="00225B9E" w:rsidP="002B5E3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w:hAnsi="Times" w:cs="Arial"/>
                      <w:b/>
                      <w:bCs/>
                      <w:i/>
                      <w:iCs/>
                      <w:sz w:val="24"/>
                      <w:szCs w:val="24"/>
                    </w:rPr>
                  </w:pPr>
                  <w:r w:rsidRPr="008A1016">
                    <w:rPr>
                      <w:rFonts w:ascii="Times" w:eastAsia="Times New Roman" w:hAnsi="Times" w:cs="Arial"/>
                      <w:b/>
                      <w:bCs/>
                      <w:i/>
                      <w:iCs/>
                      <w:sz w:val="24"/>
                      <w:szCs w:val="24"/>
                      <w:lang w:val="en-ZA"/>
                    </w:rPr>
                    <w:t>Heard on:      </w:t>
                  </w:r>
                </w:p>
              </w:tc>
              <w:tc>
                <w:tcPr>
                  <w:tcW w:w="7513" w:type="dxa"/>
                </w:tcPr>
                <w:p w14:paraId="2CA794BB" w14:textId="77777777" w:rsidR="00225B9E" w:rsidRPr="00217B1F" w:rsidRDefault="00225B9E" w:rsidP="002B5E3B">
                  <w:pPr>
                    <w:spacing w:after="120" w:line="360" w:lineRule="auto"/>
                    <w:ind w:left="2268" w:hanging="2268"/>
                    <w:jc w:val="both"/>
                    <w:rPr>
                      <w:rFonts w:ascii="Arial" w:eastAsia="Times New Roman" w:hAnsi="Arial" w:cs="Arial"/>
                      <w:color w:val="000000"/>
                      <w:sz w:val="24"/>
                      <w:szCs w:val="24"/>
                    </w:rPr>
                  </w:pPr>
                  <w:r>
                    <w:rPr>
                      <w:rFonts w:ascii="Arial" w:eastAsia="Times New Roman" w:hAnsi="Arial" w:cs="Arial"/>
                      <w:color w:val="000000"/>
                      <w:sz w:val="24"/>
                      <w:szCs w:val="24"/>
                      <w:lang w:val="en-ZA"/>
                    </w:rPr>
                    <w:t>29 APRIL 2024</w:t>
                  </w:r>
                </w:p>
                <w:p w14:paraId="340191CA" w14:textId="77777777" w:rsidR="00225B9E" w:rsidRDefault="00225B9E" w:rsidP="002B5E3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225B9E" w14:paraId="6DDB41C3" w14:textId="77777777" w:rsidTr="002B5E3B">
              <w:tc>
                <w:tcPr>
                  <w:tcW w:w="1734" w:type="dxa"/>
                </w:tcPr>
                <w:p w14:paraId="0DBE0B94" w14:textId="77777777" w:rsidR="00225B9E" w:rsidRPr="008A1016" w:rsidRDefault="00225B9E" w:rsidP="002B5E3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w:hAnsi="Times" w:cs="Arial"/>
                      <w:b/>
                      <w:bCs/>
                      <w:i/>
                      <w:iCs/>
                      <w:sz w:val="24"/>
                      <w:szCs w:val="24"/>
                    </w:rPr>
                  </w:pPr>
                  <w:r w:rsidRPr="008A1016">
                    <w:rPr>
                      <w:rFonts w:ascii="Times" w:eastAsia="Times New Roman" w:hAnsi="Times" w:cs="Arial"/>
                      <w:b/>
                      <w:bCs/>
                      <w:i/>
                      <w:iCs/>
                      <w:sz w:val="24"/>
                      <w:szCs w:val="24"/>
                      <w:lang w:val="en-ZA"/>
                    </w:rPr>
                    <w:lastRenderedPageBreak/>
                    <w:t xml:space="preserve">Delivered:   </w:t>
                  </w:r>
                </w:p>
              </w:tc>
              <w:tc>
                <w:tcPr>
                  <w:tcW w:w="7513" w:type="dxa"/>
                </w:tcPr>
                <w:p w14:paraId="4ECEEDCE" w14:textId="77777777" w:rsidR="00225B9E" w:rsidRPr="00217B1F" w:rsidRDefault="00225B9E" w:rsidP="002B5E3B">
                  <w:pPr>
                    <w:tabs>
                      <w:tab w:val="left" w:pos="0"/>
                    </w:tabs>
                    <w:spacing w:after="120" w:line="360" w:lineRule="auto"/>
                    <w:ind w:right="37" w:hanging="21"/>
                    <w:jc w:val="both"/>
                    <w:rPr>
                      <w:rFonts w:ascii="Arial" w:eastAsia="Times New Roman" w:hAnsi="Arial" w:cs="Arial"/>
                      <w:color w:val="000000"/>
                      <w:sz w:val="24"/>
                      <w:szCs w:val="24"/>
                    </w:rPr>
                  </w:pPr>
                  <w:r>
                    <w:rPr>
                      <w:rFonts w:ascii="Arial" w:eastAsia="Times New Roman" w:hAnsi="Arial" w:cs="Arial"/>
                      <w:color w:val="000000"/>
                      <w:sz w:val="24"/>
                      <w:szCs w:val="24"/>
                      <w:lang w:val="en-ZA"/>
                    </w:rPr>
                    <w:t xml:space="preserve"> T</w:t>
                  </w:r>
                  <w:r w:rsidRPr="00217B1F">
                    <w:rPr>
                      <w:rFonts w:ascii="Arial" w:eastAsia="Times New Roman" w:hAnsi="Arial" w:cs="Arial"/>
                      <w:color w:val="000000"/>
                      <w:sz w:val="24"/>
                      <w:szCs w:val="24"/>
                      <w:lang w:val="en-ZA"/>
                    </w:rPr>
                    <w:t>his judgment was handed down electronically by</w:t>
                  </w:r>
                  <w:r>
                    <w:rPr>
                      <w:rFonts w:ascii="Arial" w:eastAsia="Times New Roman" w:hAnsi="Arial" w:cs="Arial"/>
                      <w:color w:val="000000"/>
                      <w:sz w:val="24"/>
                      <w:szCs w:val="24"/>
                      <w:lang w:val="en-ZA"/>
                    </w:rPr>
                    <w:t xml:space="preserve"> </w:t>
                  </w:r>
                  <w:r w:rsidRPr="00217B1F">
                    <w:rPr>
                      <w:rFonts w:ascii="Arial" w:eastAsia="Times New Roman" w:hAnsi="Arial" w:cs="Arial"/>
                      <w:color w:val="000000"/>
                      <w:sz w:val="24"/>
                      <w:szCs w:val="24"/>
                      <w:lang w:val="en-ZA"/>
                    </w:rPr>
                    <w:t>circulation to the</w:t>
                  </w:r>
                  <w:r>
                    <w:rPr>
                      <w:rFonts w:ascii="Arial" w:eastAsia="Times New Roman" w:hAnsi="Arial" w:cs="Arial"/>
                      <w:color w:val="000000"/>
                      <w:sz w:val="24"/>
                      <w:szCs w:val="24"/>
                      <w:lang w:val="en-ZA"/>
                    </w:rPr>
                    <w:t xml:space="preserve"> </w:t>
                  </w:r>
                  <w:r w:rsidRPr="00217B1F">
                    <w:rPr>
                      <w:rFonts w:ascii="Arial" w:eastAsia="Times New Roman" w:hAnsi="Arial" w:cs="Arial"/>
                      <w:color w:val="000000"/>
                      <w:sz w:val="24"/>
                      <w:szCs w:val="24"/>
                      <w:lang w:val="en-ZA"/>
                    </w:rPr>
                    <w:t>parties' representatives by email, by being uploaded to the </w:t>
                  </w:r>
                  <w:proofErr w:type="spellStart"/>
                  <w:r w:rsidRPr="00217B1F">
                    <w:rPr>
                      <w:rFonts w:ascii="Arial" w:eastAsia="Times New Roman" w:hAnsi="Arial" w:cs="Arial"/>
                      <w:i/>
                      <w:iCs/>
                      <w:color w:val="000000"/>
                      <w:sz w:val="24"/>
                      <w:szCs w:val="24"/>
                      <w:lang w:val="en-ZA"/>
                    </w:rPr>
                    <w:t>CaseLines</w:t>
                  </w:r>
                  <w:proofErr w:type="spellEnd"/>
                  <w:r>
                    <w:rPr>
                      <w:rFonts w:ascii="Arial" w:eastAsia="Times New Roman" w:hAnsi="Arial" w:cs="Arial"/>
                      <w:color w:val="000000"/>
                      <w:sz w:val="24"/>
                      <w:szCs w:val="24"/>
                      <w:lang w:val="en-ZA"/>
                    </w:rPr>
                    <w:t xml:space="preserve"> system. </w:t>
                  </w:r>
                </w:p>
                <w:p w14:paraId="7385C4C9" w14:textId="77777777" w:rsidR="00225B9E" w:rsidRDefault="00225B9E" w:rsidP="002B5E3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bl>
          <w:p w14:paraId="0F76C1AA" w14:textId="77777777" w:rsidR="00225B9E" w:rsidRPr="00217B1F" w:rsidRDefault="00225B9E" w:rsidP="002B5E3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bl>
    <w:p w14:paraId="00BABA4E" w14:textId="2EC5CC71" w:rsidR="007D3A5B" w:rsidRDefault="007D3A5B" w:rsidP="00D70FE5">
      <w:pPr>
        <w:spacing w:line="480" w:lineRule="auto"/>
        <w:rPr>
          <w:rFonts w:ascii="Arial" w:hAnsi="Arial" w:cs="Arial"/>
          <w:b/>
          <w:bCs/>
          <w:sz w:val="24"/>
          <w:szCs w:val="24"/>
          <w:lang w:val="en-US"/>
        </w:rPr>
      </w:pPr>
      <w:r>
        <w:rPr>
          <w:rFonts w:ascii="Arial" w:hAnsi="Arial" w:cs="Arial"/>
          <w:b/>
          <w:bCs/>
          <w:sz w:val="24"/>
          <w:szCs w:val="24"/>
          <w:lang w:val="en-US"/>
        </w:rPr>
        <w:lastRenderedPageBreak/>
        <w:t>_________________________________________________________________</w:t>
      </w:r>
      <w:r w:rsidR="00D70FE5">
        <w:rPr>
          <w:rFonts w:ascii="Arial" w:hAnsi="Arial" w:cs="Arial"/>
          <w:b/>
          <w:bCs/>
          <w:sz w:val="24"/>
          <w:szCs w:val="24"/>
          <w:lang w:val="en-US"/>
        </w:rPr>
        <w:t>__</w:t>
      </w:r>
    </w:p>
    <w:p w14:paraId="1B9CD01C" w14:textId="2D1405CC" w:rsidR="004013D2" w:rsidRDefault="007D3A5B" w:rsidP="007D3A5B">
      <w:pPr>
        <w:spacing w:line="480" w:lineRule="auto"/>
        <w:jc w:val="center"/>
        <w:rPr>
          <w:rFonts w:ascii="Arial" w:hAnsi="Arial" w:cs="Arial"/>
          <w:b/>
          <w:bCs/>
          <w:sz w:val="24"/>
          <w:szCs w:val="24"/>
          <w:lang w:val="en-US"/>
        </w:rPr>
      </w:pPr>
      <w:r>
        <w:rPr>
          <w:rFonts w:ascii="Arial" w:hAnsi="Arial" w:cs="Arial"/>
          <w:b/>
          <w:bCs/>
          <w:sz w:val="24"/>
          <w:szCs w:val="24"/>
          <w:lang w:val="en-US"/>
        </w:rPr>
        <w:t>JUDGMENT</w:t>
      </w:r>
    </w:p>
    <w:p w14:paraId="58695D89" w14:textId="6A0116D3" w:rsidR="007D3A5B" w:rsidRPr="00DB7EAB" w:rsidRDefault="007D3A5B" w:rsidP="007D3A5B">
      <w:pPr>
        <w:spacing w:line="480" w:lineRule="auto"/>
        <w:jc w:val="center"/>
        <w:rPr>
          <w:rFonts w:ascii="Arial" w:hAnsi="Arial" w:cs="Arial"/>
          <w:b/>
          <w:bCs/>
          <w:sz w:val="24"/>
          <w:szCs w:val="24"/>
          <w:lang w:val="en-US"/>
        </w:rPr>
      </w:pPr>
      <w:r>
        <w:rPr>
          <w:rFonts w:ascii="Arial" w:hAnsi="Arial" w:cs="Arial"/>
          <w:b/>
          <w:bCs/>
          <w:sz w:val="24"/>
          <w:szCs w:val="24"/>
          <w:lang w:val="en-US"/>
        </w:rPr>
        <w:t>___________________________________________________________________</w:t>
      </w:r>
    </w:p>
    <w:p w14:paraId="2EE28FAF" w14:textId="5C16C275" w:rsidR="00865F7B" w:rsidRDefault="00DB7EAB" w:rsidP="00865F7B">
      <w:pPr>
        <w:spacing w:line="480" w:lineRule="auto"/>
        <w:jc w:val="both"/>
        <w:rPr>
          <w:rFonts w:ascii="Arial" w:hAnsi="Arial" w:cs="Arial"/>
          <w:sz w:val="24"/>
          <w:szCs w:val="24"/>
          <w:lang w:val="en-US"/>
        </w:rPr>
      </w:pPr>
      <w:r>
        <w:rPr>
          <w:rFonts w:ascii="Arial" w:hAnsi="Arial" w:cs="Arial"/>
          <w:sz w:val="24"/>
          <w:szCs w:val="24"/>
          <w:lang w:val="en-US"/>
        </w:rPr>
        <w:t>[</w:t>
      </w:r>
      <w:r w:rsidR="000F30C5">
        <w:rPr>
          <w:rFonts w:ascii="Arial" w:hAnsi="Arial" w:cs="Arial"/>
          <w:sz w:val="24"/>
          <w:szCs w:val="24"/>
          <w:lang w:val="en-US"/>
        </w:rPr>
        <w:t>1</w:t>
      </w:r>
      <w:r>
        <w:rPr>
          <w:rFonts w:ascii="Arial" w:hAnsi="Arial" w:cs="Arial"/>
          <w:sz w:val="24"/>
          <w:szCs w:val="24"/>
          <w:lang w:val="en-US"/>
        </w:rPr>
        <w:t>]</w:t>
      </w:r>
      <w:r w:rsidR="00CB6350">
        <w:rPr>
          <w:rFonts w:ascii="Arial" w:hAnsi="Arial" w:cs="Arial"/>
          <w:sz w:val="24"/>
          <w:szCs w:val="24"/>
          <w:lang w:val="en-US"/>
        </w:rPr>
        <w:t xml:space="preserve"> </w:t>
      </w:r>
      <w:r w:rsidR="003B7249">
        <w:rPr>
          <w:rFonts w:ascii="Arial" w:hAnsi="Arial" w:cs="Arial"/>
          <w:sz w:val="24"/>
          <w:szCs w:val="24"/>
          <w:lang w:val="en-US"/>
        </w:rPr>
        <w:t xml:space="preserve">In this matter the Applicant is applying for an order for </w:t>
      </w:r>
      <w:r w:rsidR="000F30C5">
        <w:rPr>
          <w:rFonts w:ascii="Arial" w:hAnsi="Arial" w:cs="Arial"/>
          <w:sz w:val="24"/>
          <w:szCs w:val="24"/>
          <w:lang w:val="en-US"/>
        </w:rPr>
        <w:t xml:space="preserve">a </w:t>
      </w:r>
      <w:r w:rsidR="00A967D7">
        <w:rPr>
          <w:rFonts w:ascii="Arial" w:hAnsi="Arial" w:cs="Arial"/>
          <w:sz w:val="24"/>
          <w:szCs w:val="24"/>
          <w:lang w:val="en-US"/>
        </w:rPr>
        <w:t xml:space="preserve">Summary Judgment against the </w:t>
      </w:r>
      <w:r w:rsidR="000F30C5">
        <w:rPr>
          <w:rFonts w:ascii="Arial" w:hAnsi="Arial" w:cs="Arial"/>
          <w:sz w:val="24"/>
          <w:szCs w:val="24"/>
          <w:lang w:val="en-US"/>
        </w:rPr>
        <w:t xml:space="preserve">Respondent </w:t>
      </w:r>
      <w:r w:rsidR="00865F7B">
        <w:rPr>
          <w:rFonts w:ascii="Arial" w:hAnsi="Arial" w:cs="Arial"/>
          <w:sz w:val="24"/>
          <w:szCs w:val="24"/>
          <w:lang w:val="en-US"/>
        </w:rPr>
        <w:t xml:space="preserve">for the </w:t>
      </w:r>
      <w:r w:rsidR="00865F7B" w:rsidRPr="00865F7B">
        <w:rPr>
          <w:rFonts w:ascii="Arial" w:hAnsi="Arial" w:cs="Arial"/>
          <w:sz w:val="24"/>
          <w:szCs w:val="24"/>
          <w:lang w:val="en-US"/>
        </w:rPr>
        <w:t>return of a luxury</w:t>
      </w:r>
      <w:r w:rsidR="00865F7B">
        <w:rPr>
          <w:rFonts w:ascii="Arial" w:hAnsi="Arial" w:cs="Arial"/>
          <w:sz w:val="24"/>
          <w:szCs w:val="24"/>
          <w:lang w:val="en-US"/>
        </w:rPr>
        <w:t xml:space="preserve"> v</w:t>
      </w:r>
      <w:r w:rsidR="00865F7B" w:rsidRPr="00865F7B">
        <w:rPr>
          <w:rFonts w:ascii="Arial" w:hAnsi="Arial" w:cs="Arial"/>
          <w:sz w:val="24"/>
          <w:szCs w:val="24"/>
          <w:lang w:val="en-US"/>
        </w:rPr>
        <w:t>ehicle.</w:t>
      </w:r>
      <w:r w:rsidR="00865F7B">
        <w:rPr>
          <w:rFonts w:ascii="Arial" w:hAnsi="Arial" w:cs="Arial"/>
          <w:sz w:val="24"/>
          <w:szCs w:val="24"/>
          <w:lang w:val="en-US"/>
        </w:rPr>
        <w:t xml:space="preserve"> The Applicant alleges that t</w:t>
      </w:r>
      <w:r w:rsidR="00865F7B" w:rsidRPr="00865F7B">
        <w:rPr>
          <w:rFonts w:ascii="Arial" w:hAnsi="Arial" w:cs="Arial"/>
          <w:sz w:val="24"/>
          <w:szCs w:val="24"/>
          <w:lang w:val="en-US"/>
        </w:rPr>
        <w:t>he instalment sale agreements was cancelled due to the breach of the</w:t>
      </w:r>
      <w:r w:rsidR="00865F7B">
        <w:rPr>
          <w:rFonts w:ascii="Arial" w:hAnsi="Arial" w:cs="Arial"/>
          <w:sz w:val="24"/>
          <w:szCs w:val="24"/>
          <w:lang w:val="en-US"/>
        </w:rPr>
        <w:t xml:space="preserve"> </w:t>
      </w:r>
      <w:r w:rsidR="00865F7B" w:rsidRPr="00865F7B">
        <w:rPr>
          <w:rFonts w:ascii="Arial" w:hAnsi="Arial" w:cs="Arial"/>
          <w:sz w:val="24"/>
          <w:szCs w:val="24"/>
          <w:lang w:val="en-US"/>
        </w:rPr>
        <w:t>agreement by the Respondent</w:t>
      </w:r>
      <w:r w:rsidR="00865F7B">
        <w:rPr>
          <w:rFonts w:ascii="Arial" w:hAnsi="Arial" w:cs="Arial"/>
          <w:sz w:val="24"/>
          <w:szCs w:val="24"/>
          <w:lang w:val="en-US"/>
        </w:rPr>
        <w:t xml:space="preserve">. The Applicant further alleges that he </w:t>
      </w:r>
      <w:r w:rsidR="00865F7B" w:rsidRPr="00865F7B">
        <w:rPr>
          <w:rFonts w:ascii="Arial" w:hAnsi="Arial" w:cs="Arial"/>
          <w:sz w:val="24"/>
          <w:szCs w:val="24"/>
          <w:lang w:val="en-US"/>
        </w:rPr>
        <w:t>complied with the provisions of</w:t>
      </w:r>
      <w:r w:rsidR="008843A4">
        <w:rPr>
          <w:rFonts w:ascii="Arial" w:hAnsi="Arial" w:cs="Arial"/>
          <w:sz w:val="24"/>
          <w:szCs w:val="24"/>
          <w:lang w:val="en-US"/>
        </w:rPr>
        <w:t xml:space="preserve"> section 129 of</w:t>
      </w:r>
      <w:r w:rsidR="00865F7B" w:rsidRPr="00865F7B">
        <w:rPr>
          <w:rFonts w:ascii="Arial" w:hAnsi="Arial" w:cs="Arial"/>
          <w:sz w:val="24"/>
          <w:szCs w:val="24"/>
          <w:lang w:val="en-US"/>
        </w:rPr>
        <w:t xml:space="preserve"> the</w:t>
      </w:r>
      <w:r w:rsidR="00865F7B">
        <w:rPr>
          <w:rFonts w:ascii="Arial" w:hAnsi="Arial" w:cs="Arial"/>
          <w:sz w:val="24"/>
          <w:szCs w:val="24"/>
          <w:lang w:val="en-US"/>
        </w:rPr>
        <w:t xml:space="preserve"> </w:t>
      </w:r>
      <w:r w:rsidR="00865F7B" w:rsidRPr="00865F7B">
        <w:rPr>
          <w:rFonts w:ascii="Arial" w:hAnsi="Arial" w:cs="Arial"/>
          <w:sz w:val="24"/>
          <w:szCs w:val="24"/>
          <w:lang w:val="en-US"/>
        </w:rPr>
        <w:t>National Credit Act 34 of 2005</w:t>
      </w:r>
      <w:r w:rsidR="003D3C2A">
        <w:rPr>
          <w:rFonts w:ascii="Arial" w:hAnsi="Arial" w:cs="Arial"/>
          <w:sz w:val="24"/>
          <w:szCs w:val="24"/>
          <w:lang w:val="en-US"/>
        </w:rPr>
        <w:t xml:space="preserve"> (herein after referred to as “NCA”)</w:t>
      </w:r>
      <w:r w:rsidR="00865F7B">
        <w:rPr>
          <w:rFonts w:ascii="Arial" w:hAnsi="Arial" w:cs="Arial"/>
          <w:sz w:val="24"/>
          <w:szCs w:val="24"/>
          <w:lang w:val="en-US"/>
        </w:rPr>
        <w:t>.</w:t>
      </w:r>
    </w:p>
    <w:p w14:paraId="6F2F692B" w14:textId="48F80161" w:rsidR="00CE01BC" w:rsidRDefault="00CE01BC" w:rsidP="00865F7B">
      <w:pPr>
        <w:spacing w:line="480" w:lineRule="auto"/>
        <w:jc w:val="both"/>
        <w:rPr>
          <w:rFonts w:ascii="Arial" w:hAnsi="Arial" w:cs="Arial"/>
          <w:b/>
          <w:bCs/>
          <w:sz w:val="24"/>
          <w:szCs w:val="24"/>
          <w:lang w:val="en-US"/>
        </w:rPr>
      </w:pPr>
      <w:r w:rsidRPr="00CE01BC">
        <w:rPr>
          <w:rFonts w:ascii="Arial" w:hAnsi="Arial" w:cs="Arial"/>
          <w:b/>
          <w:bCs/>
          <w:sz w:val="24"/>
          <w:szCs w:val="24"/>
          <w:lang w:val="en-US"/>
        </w:rPr>
        <w:t xml:space="preserve">BACKGROUND </w:t>
      </w:r>
    </w:p>
    <w:p w14:paraId="27D9E90D" w14:textId="4C5DABEA" w:rsidR="00CE01BC" w:rsidRPr="00CE01BC" w:rsidRDefault="003F0A15" w:rsidP="00A41412">
      <w:pPr>
        <w:spacing w:line="480" w:lineRule="auto"/>
        <w:jc w:val="both"/>
        <w:rPr>
          <w:rFonts w:ascii="Arial" w:hAnsi="Arial" w:cs="Arial"/>
          <w:sz w:val="24"/>
          <w:szCs w:val="24"/>
          <w:lang w:val="en-US"/>
        </w:rPr>
      </w:pPr>
      <w:r>
        <w:rPr>
          <w:rFonts w:ascii="Arial" w:hAnsi="Arial" w:cs="Arial"/>
          <w:sz w:val="24"/>
          <w:szCs w:val="24"/>
          <w:lang w:val="en-US"/>
        </w:rPr>
        <w:t xml:space="preserve">[2] </w:t>
      </w:r>
      <w:r w:rsidR="00CE01BC" w:rsidRPr="00CE01BC">
        <w:rPr>
          <w:rFonts w:ascii="Arial" w:hAnsi="Arial" w:cs="Arial"/>
          <w:sz w:val="24"/>
          <w:szCs w:val="24"/>
          <w:lang w:val="en-US"/>
        </w:rPr>
        <w:t>On 10 M</w:t>
      </w:r>
      <w:r w:rsidR="00CE01BC">
        <w:rPr>
          <w:rFonts w:ascii="Arial" w:hAnsi="Arial" w:cs="Arial"/>
          <w:sz w:val="24"/>
          <w:szCs w:val="24"/>
          <w:lang w:val="en-US"/>
        </w:rPr>
        <w:t xml:space="preserve">arch </w:t>
      </w:r>
      <w:r w:rsidR="00CE01BC" w:rsidRPr="00CE01BC">
        <w:rPr>
          <w:rFonts w:ascii="Arial" w:hAnsi="Arial" w:cs="Arial"/>
          <w:sz w:val="24"/>
          <w:szCs w:val="24"/>
          <w:lang w:val="en-US"/>
        </w:rPr>
        <w:t xml:space="preserve">2021 </w:t>
      </w:r>
      <w:r w:rsidR="00CE01BC">
        <w:rPr>
          <w:rFonts w:ascii="Arial" w:hAnsi="Arial" w:cs="Arial"/>
          <w:sz w:val="24"/>
          <w:szCs w:val="24"/>
          <w:lang w:val="en-US"/>
        </w:rPr>
        <w:t>Applicant</w:t>
      </w:r>
      <w:r w:rsidR="00CE01BC" w:rsidRPr="00CE01BC">
        <w:rPr>
          <w:rFonts w:ascii="Arial" w:hAnsi="Arial" w:cs="Arial"/>
          <w:sz w:val="24"/>
          <w:szCs w:val="24"/>
          <w:lang w:val="en-US"/>
        </w:rPr>
        <w:t xml:space="preserve"> </w:t>
      </w:r>
      <w:r w:rsidR="00CE01BC">
        <w:rPr>
          <w:rFonts w:ascii="Arial" w:hAnsi="Arial" w:cs="Arial"/>
          <w:sz w:val="24"/>
          <w:szCs w:val="24"/>
          <w:lang w:val="en-US"/>
        </w:rPr>
        <w:t>(</w:t>
      </w:r>
      <w:r w:rsidR="00CE01BC" w:rsidRPr="00CE01BC">
        <w:rPr>
          <w:rFonts w:ascii="Arial" w:hAnsi="Arial" w:cs="Arial"/>
          <w:sz w:val="24"/>
          <w:szCs w:val="24"/>
          <w:lang w:val="en-US"/>
        </w:rPr>
        <w:t>du</w:t>
      </w:r>
      <w:r w:rsidR="00CE01BC">
        <w:rPr>
          <w:rFonts w:ascii="Arial" w:hAnsi="Arial" w:cs="Arial"/>
          <w:sz w:val="24"/>
          <w:szCs w:val="24"/>
          <w:lang w:val="en-US"/>
        </w:rPr>
        <w:t>l</w:t>
      </w:r>
      <w:r w:rsidR="00CE01BC" w:rsidRPr="00CE01BC">
        <w:rPr>
          <w:rFonts w:ascii="Arial" w:hAnsi="Arial" w:cs="Arial"/>
          <w:sz w:val="24"/>
          <w:szCs w:val="24"/>
          <w:lang w:val="en-US"/>
        </w:rPr>
        <w:t>y represented</w:t>
      </w:r>
      <w:r w:rsidR="00CE01BC">
        <w:rPr>
          <w:rFonts w:ascii="Arial" w:hAnsi="Arial" w:cs="Arial"/>
          <w:sz w:val="24"/>
          <w:szCs w:val="24"/>
          <w:lang w:val="en-US"/>
        </w:rPr>
        <w:t xml:space="preserve">) </w:t>
      </w:r>
      <w:r w:rsidR="00CE01BC" w:rsidRPr="00CE01BC">
        <w:rPr>
          <w:rFonts w:ascii="Arial" w:hAnsi="Arial" w:cs="Arial"/>
          <w:sz w:val="24"/>
          <w:szCs w:val="24"/>
          <w:lang w:val="en-US"/>
        </w:rPr>
        <w:t xml:space="preserve">and </w:t>
      </w:r>
      <w:r w:rsidR="00CE01BC">
        <w:rPr>
          <w:rFonts w:ascii="Arial" w:hAnsi="Arial" w:cs="Arial"/>
          <w:sz w:val="24"/>
          <w:szCs w:val="24"/>
          <w:lang w:val="en-US"/>
        </w:rPr>
        <w:t xml:space="preserve">Respondent </w:t>
      </w:r>
      <w:proofErr w:type="gramStart"/>
      <w:r w:rsidR="00CE01BC" w:rsidRPr="00CE01BC">
        <w:rPr>
          <w:rFonts w:ascii="Arial" w:hAnsi="Arial" w:cs="Arial"/>
          <w:sz w:val="24"/>
          <w:szCs w:val="24"/>
          <w:lang w:val="en-US"/>
        </w:rPr>
        <w:t>entered into</w:t>
      </w:r>
      <w:proofErr w:type="gramEnd"/>
      <w:r w:rsidR="00CE01BC" w:rsidRPr="00CE01BC">
        <w:rPr>
          <w:rFonts w:ascii="Arial" w:hAnsi="Arial" w:cs="Arial"/>
          <w:sz w:val="24"/>
          <w:szCs w:val="24"/>
          <w:lang w:val="en-US"/>
        </w:rPr>
        <w:t xml:space="preserve"> a written </w:t>
      </w:r>
      <w:proofErr w:type="spellStart"/>
      <w:r w:rsidR="00CE01BC" w:rsidRPr="00CE01BC">
        <w:rPr>
          <w:rFonts w:ascii="Arial" w:hAnsi="Arial" w:cs="Arial"/>
          <w:sz w:val="24"/>
          <w:szCs w:val="24"/>
          <w:lang w:val="en-US"/>
        </w:rPr>
        <w:t>lnstallment</w:t>
      </w:r>
      <w:proofErr w:type="spellEnd"/>
      <w:r w:rsidR="00CE01BC" w:rsidRPr="00CE01BC">
        <w:rPr>
          <w:rFonts w:ascii="Arial" w:hAnsi="Arial" w:cs="Arial"/>
          <w:sz w:val="24"/>
          <w:szCs w:val="24"/>
          <w:lang w:val="en-US"/>
        </w:rPr>
        <w:t xml:space="preserve"> Sale Agreement</w:t>
      </w:r>
      <w:r w:rsidR="00CE01BC">
        <w:rPr>
          <w:rFonts w:ascii="Arial" w:hAnsi="Arial" w:cs="Arial"/>
          <w:sz w:val="24"/>
          <w:szCs w:val="24"/>
          <w:lang w:val="en-US"/>
        </w:rPr>
        <w:t>.</w:t>
      </w:r>
      <w:r w:rsidR="00CE01BC" w:rsidRPr="00CE01BC">
        <w:rPr>
          <w:rFonts w:ascii="Arial" w:hAnsi="Arial" w:cs="Arial"/>
          <w:sz w:val="24"/>
          <w:szCs w:val="24"/>
          <w:lang w:val="en-US"/>
        </w:rPr>
        <w:t xml:space="preserve"> ln terms of the agreement the </w:t>
      </w:r>
      <w:r w:rsidR="00CE01BC">
        <w:rPr>
          <w:rFonts w:ascii="Arial" w:hAnsi="Arial" w:cs="Arial"/>
          <w:sz w:val="24"/>
          <w:szCs w:val="24"/>
          <w:lang w:val="en-US"/>
        </w:rPr>
        <w:t xml:space="preserve">Applicant </w:t>
      </w:r>
      <w:r w:rsidR="00CE01BC" w:rsidRPr="00CE01BC">
        <w:rPr>
          <w:rFonts w:ascii="Arial" w:hAnsi="Arial" w:cs="Arial"/>
          <w:sz w:val="24"/>
          <w:szCs w:val="24"/>
          <w:lang w:val="en-US"/>
        </w:rPr>
        <w:t xml:space="preserve">sold a BMW M5 M DCT (F90) to the </w:t>
      </w:r>
      <w:r w:rsidR="00CE01BC">
        <w:rPr>
          <w:rFonts w:ascii="Arial" w:hAnsi="Arial" w:cs="Arial"/>
          <w:sz w:val="24"/>
          <w:szCs w:val="24"/>
          <w:lang w:val="en-US"/>
        </w:rPr>
        <w:t>Respondent</w:t>
      </w:r>
      <w:r w:rsidR="00CE01BC" w:rsidRPr="00CE01BC">
        <w:rPr>
          <w:rFonts w:ascii="Arial" w:hAnsi="Arial" w:cs="Arial"/>
          <w:sz w:val="24"/>
          <w:szCs w:val="24"/>
          <w:lang w:val="en-US"/>
        </w:rPr>
        <w:t>, which vehicle was delivered to the Respondent on date of</w:t>
      </w:r>
      <w:r w:rsidR="00CE01BC">
        <w:rPr>
          <w:rFonts w:ascii="Arial" w:hAnsi="Arial" w:cs="Arial"/>
          <w:sz w:val="24"/>
          <w:szCs w:val="24"/>
          <w:lang w:val="en-US"/>
        </w:rPr>
        <w:t xml:space="preserve"> </w:t>
      </w:r>
      <w:r w:rsidR="00CE01BC" w:rsidRPr="00CE01BC">
        <w:rPr>
          <w:rFonts w:ascii="Arial" w:hAnsi="Arial" w:cs="Arial"/>
          <w:sz w:val="24"/>
          <w:szCs w:val="24"/>
          <w:lang w:val="en-US"/>
        </w:rPr>
        <w:t>concluding the agreement</w:t>
      </w:r>
      <w:r w:rsidR="00CE01BC">
        <w:rPr>
          <w:rFonts w:ascii="Arial" w:hAnsi="Arial" w:cs="Arial"/>
          <w:sz w:val="24"/>
          <w:szCs w:val="24"/>
          <w:lang w:val="en-US"/>
        </w:rPr>
        <w:t xml:space="preserve">. </w:t>
      </w:r>
      <w:r w:rsidR="00CE01BC" w:rsidRPr="00CE01BC">
        <w:rPr>
          <w:rFonts w:ascii="Arial" w:hAnsi="Arial" w:cs="Arial"/>
          <w:sz w:val="24"/>
          <w:szCs w:val="24"/>
          <w:lang w:val="en-US"/>
        </w:rPr>
        <w:t>Despite delivery of the vehicle to the</w:t>
      </w:r>
      <w:r w:rsidR="00A41412">
        <w:rPr>
          <w:rFonts w:ascii="Arial" w:hAnsi="Arial" w:cs="Arial"/>
          <w:sz w:val="24"/>
          <w:szCs w:val="24"/>
          <w:lang w:val="en-US"/>
        </w:rPr>
        <w:t xml:space="preserve"> </w:t>
      </w:r>
      <w:proofErr w:type="gramStart"/>
      <w:r w:rsidR="00A41412">
        <w:rPr>
          <w:rFonts w:ascii="Arial" w:hAnsi="Arial" w:cs="Arial"/>
          <w:sz w:val="24"/>
          <w:szCs w:val="24"/>
          <w:lang w:val="en-US"/>
        </w:rPr>
        <w:t>Respondent</w:t>
      </w:r>
      <w:r w:rsidR="00C92DB0">
        <w:rPr>
          <w:rFonts w:ascii="Arial" w:hAnsi="Arial" w:cs="Arial"/>
          <w:sz w:val="24"/>
          <w:szCs w:val="24"/>
          <w:lang w:val="en-US"/>
        </w:rPr>
        <w:t>,</w:t>
      </w:r>
      <w:r w:rsidR="00A41412">
        <w:rPr>
          <w:rFonts w:ascii="Arial" w:hAnsi="Arial" w:cs="Arial"/>
          <w:sz w:val="24"/>
          <w:szCs w:val="24"/>
          <w:lang w:val="en-US"/>
        </w:rPr>
        <w:t xml:space="preserve"> </w:t>
      </w:r>
      <w:r w:rsidR="00CE01BC" w:rsidRPr="00CE01BC">
        <w:rPr>
          <w:rFonts w:ascii="Arial" w:hAnsi="Arial" w:cs="Arial"/>
          <w:sz w:val="24"/>
          <w:szCs w:val="24"/>
          <w:lang w:val="en-US"/>
        </w:rPr>
        <w:t xml:space="preserve"> ownership</w:t>
      </w:r>
      <w:proofErr w:type="gramEnd"/>
      <w:r w:rsidR="00CE01BC" w:rsidRPr="00CE01BC">
        <w:rPr>
          <w:rFonts w:ascii="Arial" w:hAnsi="Arial" w:cs="Arial"/>
          <w:sz w:val="24"/>
          <w:szCs w:val="24"/>
          <w:lang w:val="en-US"/>
        </w:rPr>
        <w:t xml:space="preserve"> of the vehicle remains vested</w:t>
      </w:r>
      <w:r w:rsidR="00A41412">
        <w:rPr>
          <w:rFonts w:ascii="Arial" w:hAnsi="Arial" w:cs="Arial"/>
          <w:sz w:val="24"/>
          <w:szCs w:val="24"/>
          <w:lang w:val="en-US"/>
        </w:rPr>
        <w:t xml:space="preserve"> </w:t>
      </w:r>
      <w:r w:rsidR="00CE01BC" w:rsidRPr="00CE01BC">
        <w:rPr>
          <w:rFonts w:ascii="Arial" w:hAnsi="Arial" w:cs="Arial"/>
          <w:sz w:val="24"/>
          <w:szCs w:val="24"/>
          <w:lang w:val="en-US"/>
        </w:rPr>
        <w:t xml:space="preserve">within the </w:t>
      </w:r>
      <w:r w:rsidR="00A41412">
        <w:rPr>
          <w:rFonts w:ascii="Arial" w:hAnsi="Arial" w:cs="Arial"/>
          <w:sz w:val="24"/>
          <w:szCs w:val="24"/>
          <w:lang w:val="en-US"/>
        </w:rPr>
        <w:t>Applicant.</w:t>
      </w:r>
      <w:r w:rsidR="00A41412" w:rsidRPr="00A41412">
        <w:t xml:space="preserve"> </w:t>
      </w:r>
      <w:r w:rsidR="00A41412" w:rsidRPr="00A41412">
        <w:rPr>
          <w:rFonts w:ascii="Arial" w:hAnsi="Arial" w:cs="Arial"/>
          <w:sz w:val="24"/>
          <w:szCs w:val="24"/>
          <w:lang w:val="en-US"/>
        </w:rPr>
        <w:t xml:space="preserve">The </w:t>
      </w:r>
      <w:r w:rsidR="00A41412">
        <w:rPr>
          <w:rFonts w:ascii="Arial" w:hAnsi="Arial" w:cs="Arial"/>
          <w:sz w:val="24"/>
          <w:szCs w:val="24"/>
          <w:lang w:val="en-US"/>
        </w:rPr>
        <w:t xml:space="preserve">Respondent </w:t>
      </w:r>
      <w:r w:rsidR="00A41412" w:rsidRPr="00A41412">
        <w:rPr>
          <w:rFonts w:ascii="Arial" w:hAnsi="Arial" w:cs="Arial"/>
          <w:sz w:val="24"/>
          <w:szCs w:val="24"/>
          <w:lang w:val="en-US"/>
        </w:rPr>
        <w:t xml:space="preserve">breached the agreement in that </w:t>
      </w:r>
      <w:r w:rsidR="00A41412">
        <w:rPr>
          <w:rFonts w:ascii="Arial" w:hAnsi="Arial" w:cs="Arial"/>
          <w:sz w:val="24"/>
          <w:szCs w:val="24"/>
          <w:lang w:val="en-US"/>
        </w:rPr>
        <w:t>t</w:t>
      </w:r>
      <w:r w:rsidR="00A41412" w:rsidRPr="00A41412">
        <w:rPr>
          <w:rFonts w:ascii="Arial" w:hAnsi="Arial" w:cs="Arial"/>
          <w:sz w:val="24"/>
          <w:szCs w:val="24"/>
          <w:lang w:val="en-US"/>
        </w:rPr>
        <w:t xml:space="preserve">he </w:t>
      </w:r>
      <w:r w:rsidR="00A41412">
        <w:rPr>
          <w:rFonts w:ascii="Arial" w:hAnsi="Arial" w:cs="Arial"/>
          <w:sz w:val="24"/>
          <w:szCs w:val="24"/>
          <w:lang w:val="en-US"/>
        </w:rPr>
        <w:t xml:space="preserve">Respondent </w:t>
      </w:r>
      <w:r w:rsidR="00A41412" w:rsidRPr="00A41412">
        <w:rPr>
          <w:rFonts w:ascii="Arial" w:hAnsi="Arial" w:cs="Arial"/>
          <w:sz w:val="24"/>
          <w:szCs w:val="24"/>
          <w:lang w:val="en-US"/>
        </w:rPr>
        <w:t xml:space="preserve">failed to pay </w:t>
      </w:r>
      <w:proofErr w:type="gramStart"/>
      <w:r w:rsidR="00A41412" w:rsidRPr="00A41412">
        <w:rPr>
          <w:rFonts w:ascii="Arial" w:hAnsi="Arial" w:cs="Arial"/>
          <w:sz w:val="24"/>
          <w:szCs w:val="24"/>
          <w:lang w:val="en-US"/>
        </w:rPr>
        <w:t>the</w:t>
      </w:r>
      <w:r w:rsidR="00A41412">
        <w:rPr>
          <w:rFonts w:ascii="Arial" w:hAnsi="Arial" w:cs="Arial"/>
          <w:sz w:val="24"/>
          <w:szCs w:val="24"/>
          <w:lang w:val="en-US"/>
        </w:rPr>
        <w:t xml:space="preserve"> </w:t>
      </w:r>
      <w:r w:rsidR="00A41412" w:rsidRPr="00A41412">
        <w:rPr>
          <w:rFonts w:ascii="Arial" w:hAnsi="Arial" w:cs="Arial"/>
          <w:sz w:val="24"/>
          <w:szCs w:val="24"/>
          <w:lang w:val="en-US"/>
        </w:rPr>
        <w:t xml:space="preserve"> payments</w:t>
      </w:r>
      <w:proofErr w:type="gramEnd"/>
      <w:r w:rsidR="00A41412" w:rsidRPr="00A41412">
        <w:rPr>
          <w:rFonts w:ascii="Arial" w:hAnsi="Arial" w:cs="Arial"/>
          <w:sz w:val="24"/>
          <w:szCs w:val="24"/>
          <w:lang w:val="en-US"/>
        </w:rPr>
        <w:t xml:space="preserve"> in terms of the agreement and on 7 J</w:t>
      </w:r>
      <w:r w:rsidR="00A41412">
        <w:rPr>
          <w:rFonts w:ascii="Arial" w:hAnsi="Arial" w:cs="Arial"/>
          <w:sz w:val="24"/>
          <w:szCs w:val="24"/>
          <w:lang w:val="en-US"/>
        </w:rPr>
        <w:t xml:space="preserve">anuary </w:t>
      </w:r>
      <w:r w:rsidR="00A41412" w:rsidRPr="00A41412">
        <w:rPr>
          <w:rFonts w:ascii="Arial" w:hAnsi="Arial" w:cs="Arial"/>
          <w:sz w:val="24"/>
          <w:szCs w:val="24"/>
          <w:lang w:val="en-US"/>
        </w:rPr>
        <w:t xml:space="preserve">2022 the </w:t>
      </w:r>
      <w:r w:rsidR="00A41412">
        <w:rPr>
          <w:rFonts w:ascii="Arial" w:hAnsi="Arial" w:cs="Arial"/>
          <w:sz w:val="24"/>
          <w:szCs w:val="24"/>
          <w:lang w:val="en-US"/>
        </w:rPr>
        <w:t xml:space="preserve">Respondent </w:t>
      </w:r>
      <w:r w:rsidR="00A41412" w:rsidRPr="00A41412">
        <w:rPr>
          <w:rFonts w:ascii="Arial" w:hAnsi="Arial" w:cs="Arial"/>
          <w:sz w:val="24"/>
          <w:szCs w:val="24"/>
          <w:lang w:val="en-US"/>
        </w:rPr>
        <w:t>was in a</w:t>
      </w:r>
      <w:r w:rsidR="00A41412">
        <w:rPr>
          <w:rFonts w:ascii="Arial" w:hAnsi="Arial" w:cs="Arial"/>
          <w:sz w:val="24"/>
          <w:szCs w:val="24"/>
          <w:lang w:val="en-US"/>
        </w:rPr>
        <w:t>r</w:t>
      </w:r>
      <w:r w:rsidR="00A41412" w:rsidRPr="00A41412">
        <w:rPr>
          <w:rFonts w:ascii="Arial" w:hAnsi="Arial" w:cs="Arial"/>
          <w:sz w:val="24"/>
          <w:szCs w:val="24"/>
          <w:lang w:val="en-US"/>
        </w:rPr>
        <w:t>ears with payments in the sum of R 24 807.08</w:t>
      </w:r>
    </w:p>
    <w:p w14:paraId="10F739D2" w14:textId="7124F4EE" w:rsidR="008901B8" w:rsidRDefault="00BB2602" w:rsidP="00BB2602">
      <w:pPr>
        <w:spacing w:line="480" w:lineRule="auto"/>
        <w:jc w:val="both"/>
      </w:pPr>
      <w:r w:rsidRPr="00BB2602">
        <w:rPr>
          <w:rFonts w:ascii="Arial" w:hAnsi="Arial" w:cs="Arial"/>
          <w:sz w:val="24"/>
          <w:szCs w:val="24"/>
          <w:lang w:val="en-US"/>
        </w:rPr>
        <w:t xml:space="preserve">[3] On 3 November 2021, the Applicant delivered to the Respondent a notice complying with Section 129 of the National Credit Act 34 of 2005, advising the </w:t>
      </w:r>
      <w:r w:rsidRPr="00BB2602">
        <w:rPr>
          <w:rFonts w:ascii="Arial" w:hAnsi="Arial" w:cs="Arial"/>
          <w:sz w:val="24"/>
          <w:szCs w:val="24"/>
          <w:lang w:val="en-US"/>
        </w:rPr>
        <w:lastRenderedPageBreak/>
        <w:t xml:space="preserve">Respondent of </w:t>
      </w:r>
      <w:proofErr w:type="gramStart"/>
      <w:r w:rsidRPr="00BB2602">
        <w:rPr>
          <w:rFonts w:ascii="Arial" w:hAnsi="Arial" w:cs="Arial"/>
          <w:sz w:val="24"/>
          <w:szCs w:val="24"/>
          <w:lang w:val="en-US"/>
        </w:rPr>
        <w:t>the  extent</w:t>
      </w:r>
      <w:proofErr w:type="gramEnd"/>
      <w:r w:rsidRPr="00BB2602">
        <w:rPr>
          <w:rFonts w:ascii="Arial" w:hAnsi="Arial" w:cs="Arial"/>
          <w:sz w:val="24"/>
          <w:szCs w:val="24"/>
          <w:lang w:val="en-US"/>
        </w:rPr>
        <w:t xml:space="preserve"> of its arrears and demanding payment of the outstanding balance. The Respondent chose this manner of service in terms of the agreement.</w:t>
      </w:r>
      <w:r w:rsidRPr="00BB2602">
        <w:t xml:space="preserve"> </w:t>
      </w:r>
    </w:p>
    <w:p w14:paraId="72E76EDD" w14:textId="6219AB32" w:rsidR="00BB2602" w:rsidRPr="00BB2602" w:rsidRDefault="008901B8" w:rsidP="00BB2602">
      <w:pPr>
        <w:spacing w:line="480" w:lineRule="auto"/>
        <w:jc w:val="both"/>
        <w:rPr>
          <w:rFonts w:ascii="Arial" w:hAnsi="Arial" w:cs="Arial"/>
          <w:sz w:val="24"/>
          <w:szCs w:val="24"/>
          <w:lang w:val="en-US"/>
        </w:rPr>
      </w:pPr>
      <w:r w:rsidRPr="002B431B">
        <w:rPr>
          <w:rFonts w:ascii="Arial" w:hAnsi="Arial" w:cs="Arial"/>
          <w:sz w:val="24"/>
          <w:szCs w:val="24"/>
        </w:rPr>
        <w:t>[4]</w:t>
      </w:r>
      <w:r>
        <w:t xml:space="preserve"> </w:t>
      </w:r>
      <w:r w:rsidRPr="008901B8">
        <w:rPr>
          <w:rFonts w:ascii="Arial" w:hAnsi="Arial" w:cs="Arial"/>
          <w:sz w:val="24"/>
          <w:szCs w:val="24"/>
        </w:rPr>
        <w:t xml:space="preserve">The applicant alleges </w:t>
      </w:r>
      <w:proofErr w:type="gramStart"/>
      <w:r w:rsidRPr="008901B8">
        <w:rPr>
          <w:rFonts w:ascii="Arial" w:hAnsi="Arial" w:cs="Arial"/>
          <w:sz w:val="24"/>
          <w:szCs w:val="24"/>
        </w:rPr>
        <w:t>the  that</w:t>
      </w:r>
      <w:proofErr w:type="gramEnd"/>
      <w:r w:rsidRPr="008901B8">
        <w:rPr>
          <w:rFonts w:ascii="Arial" w:hAnsi="Arial" w:cs="Arial"/>
          <w:sz w:val="24"/>
          <w:szCs w:val="24"/>
        </w:rPr>
        <w:t xml:space="preserve"> the </w:t>
      </w:r>
      <w:r w:rsidR="003D3C2A">
        <w:rPr>
          <w:rFonts w:ascii="Arial" w:hAnsi="Arial" w:cs="Arial"/>
          <w:sz w:val="24"/>
          <w:szCs w:val="24"/>
        </w:rPr>
        <w:t>R</w:t>
      </w:r>
      <w:proofErr w:type="spellStart"/>
      <w:r w:rsidR="003D3C2A" w:rsidRPr="008901B8">
        <w:rPr>
          <w:rFonts w:ascii="Arial" w:hAnsi="Arial" w:cs="Arial"/>
          <w:sz w:val="24"/>
          <w:szCs w:val="24"/>
          <w:lang w:val="en-US"/>
        </w:rPr>
        <w:t>espondent</w:t>
      </w:r>
      <w:proofErr w:type="spellEnd"/>
      <w:r w:rsidR="00BB2602" w:rsidRPr="008901B8">
        <w:rPr>
          <w:rFonts w:ascii="Arial" w:hAnsi="Arial" w:cs="Arial"/>
          <w:sz w:val="24"/>
          <w:szCs w:val="24"/>
          <w:lang w:val="en-US"/>
        </w:rPr>
        <w:t xml:space="preserve"> failed to respond to the notice in that</w:t>
      </w:r>
      <w:r w:rsidR="00BB2602" w:rsidRPr="00BB2602">
        <w:rPr>
          <w:rFonts w:ascii="Arial" w:hAnsi="Arial" w:cs="Arial"/>
          <w:sz w:val="24"/>
          <w:szCs w:val="24"/>
          <w:lang w:val="en-US"/>
        </w:rPr>
        <w:t>:</w:t>
      </w:r>
    </w:p>
    <w:p w14:paraId="798A8DCB" w14:textId="4BBF7667" w:rsidR="00BB2602" w:rsidRPr="00BB2602" w:rsidRDefault="008901B8" w:rsidP="008901B8">
      <w:pPr>
        <w:spacing w:line="480" w:lineRule="auto"/>
        <w:ind w:left="1440" w:hanging="720"/>
        <w:jc w:val="both"/>
        <w:rPr>
          <w:rFonts w:ascii="Arial" w:hAnsi="Arial" w:cs="Arial"/>
          <w:sz w:val="24"/>
          <w:szCs w:val="24"/>
          <w:lang w:val="en-US"/>
        </w:rPr>
      </w:pPr>
      <w:proofErr w:type="spellStart"/>
      <w:r>
        <w:rPr>
          <w:rFonts w:ascii="Arial" w:hAnsi="Arial" w:cs="Arial"/>
          <w:sz w:val="24"/>
          <w:szCs w:val="24"/>
          <w:lang w:val="en-US"/>
        </w:rPr>
        <w:t>i</w:t>
      </w:r>
      <w:proofErr w:type="spellEnd"/>
      <w:r>
        <w:rPr>
          <w:rFonts w:ascii="Arial" w:hAnsi="Arial" w:cs="Arial"/>
          <w:sz w:val="24"/>
          <w:szCs w:val="24"/>
          <w:lang w:val="en-US"/>
        </w:rPr>
        <w:t>)</w:t>
      </w:r>
      <w:r w:rsidR="00BB2602">
        <w:rPr>
          <w:rFonts w:ascii="Arial" w:hAnsi="Arial" w:cs="Arial"/>
          <w:sz w:val="24"/>
          <w:szCs w:val="24"/>
          <w:lang w:val="en-US"/>
        </w:rPr>
        <w:tab/>
      </w:r>
      <w:r w:rsidR="00BB2602" w:rsidRPr="00BB2602">
        <w:rPr>
          <w:rFonts w:ascii="Arial" w:hAnsi="Arial" w:cs="Arial"/>
          <w:sz w:val="24"/>
          <w:szCs w:val="24"/>
          <w:lang w:val="en-US"/>
        </w:rPr>
        <w:t>He has failed to pay the arrears within 20 (T</w:t>
      </w:r>
      <w:r w:rsidR="00BB2602">
        <w:rPr>
          <w:rFonts w:ascii="Arial" w:hAnsi="Arial" w:cs="Arial"/>
          <w:sz w:val="24"/>
          <w:szCs w:val="24"/>
          <w:lang w:val="en-US"/>
        </w:rPr>
        <w:t>wenty)</w:t>
      </w:r>
      <w:r w:rsidR="00BB2602" w:rsidRPr="00BB2602">
        <w:rPr>
          <w:rFonts w:ascii="Arial" w:hAnsi="Arial" w:cs="Arial"/>
          <w:sz w:val="24"/>
          <w:szCs w:val="24"/>
          <w:lang w:val="en-US"/>
        </w:rPr>
        <w:t xml:space="preserve"> business days from date </w:t>
      </w:r>
      <w:proofErr w:type="gramStart"/>
      <w:r w:rsidR="00BB2602" w:rsidRPr="00BB2602">
        <w:rPr>
          <w:rFonts w:ascii="Arial" w:hAnsi="Arial" w:cs="Arial"/>
          <w:sz w:val="24"/>
          <w:szCs w:val="24"/>
          <w:lang w:val="en-US"/>
        </w:rPr>
        <w:t>of</w:t>
      </w:r>
      <w:r>
        <w:rPr>
          <w:rFonts w:ascii="Arial" w:hAnsi="Arial" w:cs="Arial"/>
          <w:sz w:val="24"/>
          <w:szCs w:val="24"/>
          <w:lang w:val="en-US"/>
        </w:rPr>
        <w:t xml:space="preserve"> </w:t>
      </w:r>
      <w:r w:rsidR="00BB2602" w:rsidRPr="00BB2602">
        <w:rPr>
          <w:rFonts w:ascii="Arial" w:hAnsi="Arial" w:cs="Arial"/>
          <w:sz w:val="24"/>
          <w:szCs w:val="24"/>
          <w:lang w:val="en-US"/>
        </w:rPr>
        <w:t xml:space="preserve"> default</w:t>
      </w:r>
      <w:proofErr w:type="gramEnd"/>
      <w:r w:rsidR="00BB2602" w:rsidRPr="00BB2602">
        <w:rPr>
          <w:rFonts w:ascii="Arial" w:hAnsi="Arial" w:cs="Arial"/>
          <w:sz w:val="24"/>
          <w:szCs w:val="24"/>
          <w:lang w:val="en-US"/>
        </w:rPr>
        <w:t>.</w:t>
      </w:r>
    </w:p>
    <w:p w14:paraId="20AB983C" w14:textId="7EF59E6A" w:rsidR="00CE01BC" w:rsidRDefault="008901B8" w:rsidP="008901B8">
      <w:pPr>
        <w:spacing w:line="480" w:lineRule="auto"/>
        <w:ind w:left="1440" w:hanging="720"/>
        <w:jc w:val="both"/>
        <w:rPr>
          <w:rFonts w:ascii="Arial" w:hAnsi="Arial" w:cs="Arial"/>
          <w:sz w:val="24"/>
          <w:szCs w:val="24"/>
          <w:lang w:val="en-US"/>
        </w:rPr>
      </w:pPr>
      <w:r>
        <w:rPr>
          <w:rFonts w:ascii="Arial" w:hAnsi="Arial" w:cs="Arial"/>
          <w:sz w:val="24"/>
          <w:szCs w:val="24"/>
          <w:lang w:val="en-US"/>
        </w:rPr>
        <w:t>ii)</w:t>
      </w:r>
      <w:r w:rsidR="00BB2602">
        <w:rPr>
          <w:rFonts w:ascii="Arial" w:hAnsi="Arial" w:cs="Arial"/>
          <w:sz w:val="24"/>
          <w:szCs w:val="24"/>
          <w:lang w:val="en-US"/>
        </w:rPr>
        <w:tab/>
      </w:r>
      <w:r w:rsidR="00BB2602" w:rsidRPr="00BB2602">
        <w:rPr>
          <w:rFonts w:ascii="Arial" w:hAnsi="Arial" w:cs="Arial"/>
          <w:sz w:val="24"/>
          <w:szCs w:val="24"/>
          <w:lang w:val="en-US"/>
        </w:rPr>
        <w:t xml:space="preserve">He has failed to refer the agreement to either a debt counsellor, </w:t>
      </w:r>
      <w:r w:rsidR="00C92DB0" w:rsidRPr="00BB2602">
        <w:rPr>
          <w:rFonts w:ascii="Arial" w:hAnsi="Arial" w:cs="Arial"/>
          <w:sz w:val="24"/>
          <w:szCs w:val="24"/>
          <w:lang w:val="en-US"/>
        </w:rPr>
        <w:t>alternative</w:t>
      </w:r>
      <w:r w:rsidR="00BB2602" w:rsidRPr="00BB2602">
        <w:rPr>
          <w:rFonts w:ascii="Arial" w:hAnsi="Arial" w:cs="Arial"/>
          <w:sz w:val="24"/>
          <w:szCs w:val="24"/>
          <w:lang w:val="en-US"/>
        </w:rPr>
        <w:t xml:space="preserve"> dispute</w:t>
      </w:r>
      <w:r w:rsidR="00BB2602">
        <w:rPr>
          <w:rFonts w:ascii="Arial" w:hAnsi="Arial" w:cs="Arial"/>
          <w:sz w:val="24"/>
          <w:szCs w:val="24"/>
          <w:lang w:val="en-US"/>
        </w:rPr>
        <w:t xml:space="preserve"> </w:t>
      </w:r>
      <w:r w:rsidR="00BB2602" w:rsidRPr="00BB2602">
        <w:rPr>
          <w:rFonts w:ascii="Arial" w:hAnsi="Arial" w:cs="Arial"/>
          <w:sz w:val="24"/>
          <w:szCs w:val="24"/>
          <w:lang w:val="en-US"/>
        </w:rPr>
        <w:t xml:space="preserve">resolution agent, consumer court or ombud with jurisdiction to resolve any </w:t>
      </w:r>
      <w:proofErr w:type="gramStart"/>
      <w:r w:rsidR="00BB2602" w:rsidRPr="00BB2602">
        <w:rPr>
          <w:rFonts w:ascii="Arial" w:hAnsi="Arial" w:cs="Arial"/>
          <w:sz w:val="24"/>
          <w:szCs w:val="24"/>
          <w:lang w:val="en-US"/>
        </w:rPr>
        <w:t>dispute</w:t>
      </w:r>
      <w:r w:rsidR="00BB2602">
        <w:rPr>
          <w:rFonts w:ascii="Arial" w:hAnsi="Arial" w:cs="Arial"/>
          <w:sz w:val="24"/>
          <w:szCs w:val="24"/>
          <w:lang w:val="en-US"/>
        </w:rPr>
        <w:t xml:space="preserve"> </w:t>
      </w:r>
      <w:r w:rsidR="00BB2602" w:rsidRPr="00BB2602">
        <w:rPr>
          <w:rFonts w:ascii="Arial" w:hAnsi="Arial" w:cs="Arial"/>
          <w:sz w:val="24"/>
          <w:szCs w:val="24"/>
          <w:lang w:val="en-US"/>
        </w:rPr>
        <w:t xml:space="preserve"> under</w:t>
      </w:r>
      <w:proofErr w:type="gramEnd"/>
      <w:r w:rsidR="00BB2602" w:rsidRPr="00BB2602">
        <w:rPr>
          <w:rFonts w:ascii="Arial" w:hAnsi="Arial" w:cs="Arial"/>
          <w:sz w:val="24"/>
          <w:szCs w:val="24"/>
          <w:lang w:val="en-US"/>
        </w:rPr>
        <w:t xml:space="preserve"> the agreement or develop and agree on a plan to bring the payments under the</w:t>
      </w:r>
      <w:r w:rsidR="00BB2602">
        <w:rPr>
          <w:rFonts w:ascii="Arial" w:hAnsi="Arial" w:cs="Arial"/>
          <w:sz w:val="24"/>
          <w:szCs w:val="24"/>
          <w:lang w:val="en-US"/>
        </w:rPr>
        <w:t xml:space="preserve"> </w:t>
      </w:r>
      <w:r w:rsidR="00BB2602" w:rsidRPr="00BB2602">
        <w:rPr>
          <w:rFonts w:ascii="Arial" w:hAnsi="Arial" w:cs="Arial"/>
          <w:sz w:val="24"/>
          <w:szCs w:val="24"/>
          <w:lang w:val="en-US"/>
        </w:rPr>
        <w:t>agreement up to date</w:t>
      </w:r>
    </w:p>
    <w:p w14:paraId="3EC74551" w14:textId="67F8177F" w:rsidR="008901B8" w:rsidRPr="008901B8" w:rsidRDefault="008901B8" w:rsidP="008901B8">
      <w:pPr>
        <w:spacing w:line="480" w:lineRule="auto"/>
        <w:ind w:left="1440" w:hanging="720"/>
        <w:jc w:val="both"/>
        <w:rPr>
          <w:rFonts w:ascii="Arial" w:hAnsi="Arial" w:cs="Arial"/>
          <w:sz w:val="24"/>
          <w:szCs w:val="24"/>
          <w:lang w:val="en-US"/>
        </w:rPr>
      </w:pPr>
      <w:r>
        <w:rPr>
          <w:rFonts w:ascii="Arial" w:hAnsi="Arial" w:cs="Arial"/>
          <w:sz w:val="24"/>
          <w:szCs w:val="24"/>
          <w:lang w:val="en-US"/>
        </w:rPr>
        <w:t>iii)</w:t>
      </w:r>
      <w:r>
        <w:rPr>
          <w:rFonts w:ascii="Arial" w:hAnsi="Arial" w:cs="Arial"/>
          <w:sz w:val="24"/>
          <w:szCs w:val="24"/>
          <w:lang w:val="en-US"/>
        </w:rPr>
        <w:tab/>
      </w:r>
      <w:r w:rsidRPr="008901B8">
        <w:rPr>
          <w:rFonts w:ascii="Arial" w:hAnsi="Arial" w:cs="Arial"/>
          <w:sz w:val="24"/>
          <w:szCs w:val="24"/>
          <w:lang w:val="en-US"/>
        </w:rPr>
        <w:t>He has not surrendered the vehicle to the Plaintiff as contemplated in Section 127 of</w:t>
      </w:r>
      <w:r>
        <w:rPr>
          <w:rFonts w:ascii="Arial" w:hAnsi="Arial" w:cs="Arial"/>
          <w:sz w:val="24"/>
          <w:szCs w:val="24"/>
          <w:lang w:val="en-US"/>
        </w:rPr>
        <w:t xml:space="preserve"> </w:t>
      </w:r>
      <w:r w:rsidRPr="008901B8">
        <w:rPr>
          <w:rFonts w:ascii="Arial" w:hAnsi="Arial" w:cs="Arial"/>
          <w:sz w:val="24"/>
          <w:szCs w:val="24"/>
          <w:lang w:val="en-US"/>
        </w:rPr>
        <w:t>the National Credit Act.</w:t>
      </w:r>
    </w:p>
    <w:p w14:paraId="7DBB0485" w14:textId="0BD12ADB" w:rsidR="008901B8" w:rsidRPr="008901B8" w:rsidRDefault="008901B8" w:rsidP="008901B8">
      <w:pPr>
        <w:spacing w:line="480" w:lineRule="auto"/>
        <w:jc w:val="both"/>
        <w:rPr>
          <w:rFonts w:ascii="Arial" w:hAnsi="Arial" w:cs="Arial"/>
          <w:sz w:val="24"/>
          <w:szCs w:val="24"/>
          <w:lang w:val="en-US"/>
        </w:rPr>
      </w:pPr>
      <w:r w:rsidRPr="008901B8">
        <w:rPr>
          <w:rFonts w:ascii="Arial" w:hAnsi="Arial" w:cs="Arial"/>
          <w:sz w:val="24"/>
          <w:szCs w:val="24"/>
          <w:lang w:val="en-US"/>
        </w:rPr>
        <w:t xml:space="preserve">Due to the </w:t>
      </w:r>
      <w:r>
        <w:rPr>
          <w:rFonts w:ascii="Arial" w:hAnsi="Arial" w:cs="Arial"/>
          <w:sz w:val="24"/>
          <w:szCs w:val="24"/>
          <w:lang w:val="en-US"/>
        </w:rPr>
        <w:t>Respondent</w:t>
      </w:r>
      <w:r w:rsidRPr="008901B8">
        <w:rPr>
          <w:rFonts w:ascii="Arial" w:hAnsi="Arial" w:cs="Arial"/>
          <w:sz w:val="24"/>
          <w:szCs w:val="24"/>
          <w:lang w:val="en-US"/>
        </w:rPr>
        <w:t xml:space="preserve">'s breach of the agreement the </w:t>
      </w:r>
      <w:r>
        <w:rPr>
          <w:rFonts w:ascii="Arial" w:hAnsi="Arial" w:cs="Arial"/>
          <w:sz w:val="24"/>
          <w:szCs w:val="24"/>
          <w:lang w:val="en-US"/>
        </w:rPr>
        <w:t xml:space="preserve">Applicant </w:t>
      </w:r>
      <w:r w:rsidRPr="008901B8">
        <w:rPr>
          <w:rFonts w:ascii="Arial" w:hAnsi="Arial" w:cs="Arial"/>
          <w:sz w:val="24"/>
          <w:szCs w:val="24"/>
          <w:lang w:val="en-US"/>
        </w:rPr>
        <w:t>terminated the</w:t>
      </w:r>
      <w:r>
        <w:rPr>
          <w:rFonts w:ascii="Arial" w:hAnsi="Arial" w:cs="Arial"/>
          <w:sz w:val="24"/>
          <w:szCs w:val="24"/>
          <w:lang w:val="en-US"/>
        </w:rPr>
        <w:t xml:space="preserve"> a</w:t>
      </w:r>
      <w:r w:rsidRPr="008901B8">
        <w:rPr>
          <w:rFonts w:ascii="Arial" w:hAnsi="Arial" w:cs="Arial"/>
          <w:sz w:val="24"/>
          <w:szCs w:val="24"/>
          <w:lang w:val="en-US"/>
        </w:rPr>
        <w:t>greement,</w:t>
      </w:r>
    </w:p>
    <w:p w14:paraId="5FD0A939" w14:textId="78E8D2F4" w:rsidR="008901B8" w:rsidRPr="00BB2602" w:rsidRDefault="002B431B" w:rsidP="002B431B">
      <w:pPr>
        <w:spacing w:line="480" w:lineRule="auto"/>
        <w:jc w:val="both"/>
        <w:rPr>
          <w:rFonts w:ascii="Arial" w:hAnsi="Arial" w:cs="Arial"/>
          <w:sz w:val="24"/>
          <w:szCs w:val="24"/>
          <w:lang w:val="en-US"/>
        </w:rPr>
      </w:pPr>
      <w:r>
        <w:rPr>
          <w:rFonts w:ascii="Arial" w:hAnsi="Arial" w:cs="Arial"/>
          <w:sz w:val="24"/>
          <w:szCs w:val="24"/>
          <w:lang w:val="en-US"/>
        </w:rPr>
        <w:t>[5] The Respondent argue that there was no compliance with section 129 of the National Credit Act in that</w:t>
      </w:r>
      <w:r w:rsidR="003D3C2A">
        <w:rPr>
          <w:rFonts w:ascii="Arial" w:hAnsi="Arial" w:cs="Arial"/>
          <w:sz w:val="24"/>
          <w:szCs w:val="24"/>
          <w:lang w:val="en-US"/>
        </w:rPr>
        <w:t>,</w:t>
      </w:r>
      <w:r>
        <w:rPr>
          <w:rFonts w:ascii="Arial" w:hAnsi="Arial" w:cs="Arial"/>
          <w:sz w:val="24"/>
          <w:szCs w:val="24"/>
          <w:lang w:val="en-US"/>
        </w:rPr>
        <w:t xml:space="preserve"> mere dispatch of notice is not enough</w:t>
      </w:r>
      <w:r w:rsidR="003D3C2A">
        <w:rPr>
          <w:rFonts w:ascii="Arial" w:hAnsi="Arial" w:cs="Arial"/>
          <w:sz w:val="24"/>
          <w:szCs w:val="24"/>
          <w:lang w:val="en-US"/>
        </w:rPr>
        <w:t xml:space="preserve"> as the track and trace only </w:t>
      </w:r>
      <w:r w:rsidR="00325C54">
        <w:rPr>
          <w:rFonts w:ascii="Arial" w:hAnsi="Arial" w:cs="Arial"/>
          <w:sz w:val="24"/>
          <w:szCs w:val="24"/>
          <w:lang w:val="en-US"/>
        </w:rPr>
        <w:t>show</w:t>
      </w:r>
      <w:r w:rsidR="003D3C2A">
        <w:rPr>
          <w:rFonts w:ascii="Arial" w:hAnsi="Arial" w:cs="Arial"/>
          <w:sz w:val="24"/>
          <w:szCs w:val="24"/>
          <w:lang w:val="en-US"/>
        </w:rPr>
        <w:t xml:space="preserve"> that the documents are at the post office, it does not show if the documents were delivered to him or not. Therefore</w:t>
      </w:r>
      <w:r w:rsidR="00325C54">
        <w:rPr>
          <w:rFonts w:ascii="Arial" w:hAnsi="Arial" w:cs="Arial"/>
          <w:sz w:val="24"/>
          <w:szCs w:val="24"/>
          <w:lang w:val="en-US"/>
        </w:rPr>
        <w:t>,</w:t>
      </w:r>
      <w:r w:rsidR="003D3C2A">
        <w:rPr>
          <w:rFonts w:ascii="Arial" w:hAnsi="Arial" w:cs="Arial"/>
          <w:sz w:val="24"/>
          <w:szCs w:val="24"/>
          <w:lang w:val="en-US"/>
        </w:rPr>
        <w:t xml:space="preserve"> the Applicant has not complied with section 129 of the NCA.</w:t>
      </w:r>
      <w:r w:rsidR="00325C54">
        <w:rPr>
          <w:rFonts w:ascii="Arial" w:hAnsi="Arial" w:cs="Arial"/>
          <w:sz w:val="24"/>
          <w:szCs w:val="24"/>
          <w:lang w:val="en-US"/>
        </w:rPr>
        <w:t xml:space="preserve"> There were payments that were later made by the Respondents, those payments consequently revived the agreement and as such the agreement is not terminated.  </w:t>
      </w:r>
    </w:p>
    <w:p w14:paraId="5D8E9FBA" w14:textId="7EF86BBF" w:rsidR="00CB73FA" w:rsidRDefault="00CE01BC" w:rsidP="00865F7B">
      <w:pPr>
        <w:spacing w:line="480" w:lineRule="auto"/>
        <w:jc w:val="both"/>
        <w:rPr>
          <w:rFonts w:ascii="Arial" w:hAnsi="Arial" w:cs="Arial"/>
          <w:sz w:val="24"/>
          <w:szCs w:val="24"/>
          <w:lang w:val="en-US"/>
        </w:rPr>
      </w:pPr>
      <w:r>
        <w:rPr>
          <w:rFonts w:ascii="Arial" w:hAnsi="Arial" w:cs="Arial"/>
          <w:sz w:val="24"/>
          <w:szCs w:val="24"/>
          <w:lang w:val="en-US"/>
        </w:rPr>
        <w:t>[</w:t>
      </w:r>
      <w:r w:rsidR="003D3C2A">
        <w:rPr>
          <w:rFonts w:ascii="Arial" w:hAnsi="Arial" w:cs="Arial"/>
          <w:sz w:val="24"/>
          <w:szCs w:val="24"/>
          <w:lang w:val="en-US"/>
        </w:rPr>
        <w:t>6</w:t>
      </w:r>
      <w:r>
        <w:rPr>
          <w:rFonts w:ascii="Arial" w:hAnsi="Arial" w:cs="Arial"/>
          <w:sz w:val="24"/>
          <w:szCs w:val="24"/>
          <w:lang w:val="en-US"/>
        </w:rPr>
        <w:t xml:space="preserve">] </w:t>
      </w:r>
      <w:r w:rsidR="00CB73FA">
        <w:rPr>
          <w:rFonts w:ascii="Arial" w:hAnsi="Arial" w:cs="Arial"/>
          <w:sz w:val="24"/>
          <w:szCs w:val="24"/>
          <w:lang w:val="en-US"/>
        </w:rPr>
        <w:t xml:space="preserve">In arriving at the correct answer </w:t>
      </w:r>
      <w:r w:rsidR="00325C54">
        <w:rPr>
          <w:rFonts w:ascii="Arial" w:hAnsi="Arial" w:cs="Arial"/>
          <w:sz w:val="24"/>
          <w:szCs w:val="24"/>
          <w:lang w:val="en-US"/>
        </w:rPr>
        <w:t xml:space="preserve">to the issues raised and contended, </w:t>
      </w:r>
      <w:r w:rsidR="00CB73FA">
        <w:rPr>
          <w:rFonts w:ascii="Arial" w:hAnsi="Arial" w:cs="Arial"/>
          <w:sz w:val="24"/>
          <w:szCs w:val="24"/>
          <w:lang w:val="en-US"/>
        </w:rPr>
        <w:t xml:space="preserve">this </w:t>
      </w:r>
      <w:r w:rsidR="00325C54">
        <w:rPr>
          <w:rFonts w:ascii="Arial" w:hAnsi="Arial" w:cs="Arial"/>
          <w:sz w:val="24"/>
          <w:szCs w:val="24"/>
          <w:lang w:val="en-US"/>
        </w:rPr>
        <w:t>C</w:t>
      </w:r>
      <w:r w:rsidR="00CB73FA">
        <w:rPr>
          <w:rFonts w:ascii="Arial" w:hAnsi="Arial" w:cs="Arial"/>
          <w:sz w:val="24"/>
          <w:szCs w:val="24"/>
          <w:lang w:val="en-US"/>
        </w:rPr>
        <w:t xml:space="preserve">ourt </w:t>
      </w:r>
      <w:r w:rsidR="00325C54">
        <w:rPr>
          <w:rFonts w:ascii="Arial" w:hAnsi="Arial" w:cs="Arial"/>
          <w:sz w:val="24"/>
          <w:szCs w:val="24"/>
          <w:lang w:val="en-US"/>
        </w:rPr>
        <w:t xml:space="preserve">will </w:t>
      </w:r>
      <w:r w:rsidR="00CB73FA">
        <w:rPr>
          <w:rFonts w:ascii="Arial" w:hAnsi="Arial" w:cs="Arial"/>
          <w:sz w:val="24"/>
          <w:szCs w:val="24"/>
          <w:lang w:val="en-US"/>
        </w:rPr>
        <w:t>ha</w:t>
      </w:r>
      <w:r w:rsidR="00325C54">
        <w:rPr>
          <w:rFonts w:ascii="Arial" w:hAnsi="Arial" w:cs="Arial"/>
          <w:sz w:val="24"/>
          <w:szCs w:val="24"/>
          <w:lang w:val="en-US"/>
        </w:rPr>
        <w:t xml:space="preserve">ve </w:t>
      </w:r>
      <w:r w:rsidR="00CB73FA">
        <w:rPr>
          <w:rFonts w:ascii="Arial" w:hAnsi="Arial" w:cs="Arial"/>
          <w:sz w:val="24"/>
          <w:szCs w:val="24"/>
          <w:lang w:val="en-US"/>
        </w:rPr>
        <w:t xml:space="preserve">to consider and pronounce on the following issues: </w:t>
      </w:r>
    </w:p>
    <w:p w14:paraId="2ED6EF58" w14:textId="5BE2F427" w:rsidR="00CB73FA" w:rsidRPr="00CD382D" w:rsidRDefault="00CD382D" w:rsidP="00CD382D">
      <w:pPr>
        <w:spacing w:line="480" w:lineRule="auto"/>
        <w:ind w:left="1440" w:hanging="720"/>
        <w:jc w:val="both"/>
        <w:rPr>
          <w:rFonts w:ascii="Arial" w:hAnsi="Arial" w:cs="Arial"/>
          <w:sz w:val="24"/>
          <w:szCs w:val="24"/>
          <w:lang w:val="en-US"/>
        </w:rPr>
      </w:pPr>
      <w:r w:rsidRPr="003D3C2A">
        <w:rPr>
          <w:rFonts w:ascii="Arial" w:hAnsi="Arial" w:cs="Arial"/>
          <w:sz w:val="24"/>
          <w:szCs w:val="24"/>
          <w:lang w:val="en-US"/>
        </w:rPr>
        <w:lastRenderedPageBreak/>
        <w:t>(</w:t>
      </w:r>
      <w:proofErr w:type="spellStart"/>
      <w:r w:rsidRPr="003D3C2A">
        <w:rPr>
          <w:rFonts w:ascii="Arial" w:hAnsi="Arial" w:cs="Arial"/>
          <w:sz w:val="24"/>
          <w:szCs w:val="24"/>
          <w:lang w:val="en-US"/>
        </w:rPr>
        <w:t>i</w:t>
      </w:r>
      <w:proofErr w:type="spellEnd"/>
      <w:r w:rsidRPr="003D3C2A">
        <w:rPr>
          <w:rFonts w:ascii="Arial" w:hAnsi="Arial" w:cs="Arial"/>
          <w:sz w:val="24"/>
          <w:szCs w:val="24"/>
          <w:lang w:val="en-US"/>
        </w:rPr>
        <w:t>)</w:t>
      </w:r>
      <w:r w:rsidRPr="003D3C2A">
        <w:rPr>
          <w:rFonts w:ascii="Arial" w:hAnsi="Arial" w:cs="Arial"/>
          <w:sz w:val="24"/>
          <w:szCs w:val="24"/>
          <w:lang w:val="en-US"/>
        </w:rPr>
        <w:tab/>
      </w:r>
      <w:r w:rsidR="00CB73FA" w:rsidRPr="00CD382D">
        <w:rPr>
          <w:rFonts w:ascii="Arial" w:hAnsi="Arial" w:cs="Arial"/>
          <w:sz w:val="24"/>
          <w:szCs w:val="24"/>
          <w:lang w:val="en-US"/>
        </w:rPr>
        <w:t>the Applicant</w:t>
      </w:r>
      <w:r w:rsidR="00C92DB0" w:rsidRPr="00CD382D">
        <w:rPr>
          <w:rFonts w:ascii="Arial" w:hAnsi="Arial" w:cs="Arial"/>
          <w:sz w:val="24"/>
          <w:szCs w:val="24"/>
          <w:lang w:val="en-US"/>
        </w:rPr>
        <w:t>’s</w:t>
      </w:r>
      <w:r w:rsidR="00CB73FA" w:rsidRPr="00CD382D">
        <w:rPr>
          <w:rFonts w:ascii="Arial" w:hAnsi="Arial" w:cs="Arial"/>
          <w:sz w:val="24"/>
          <w:szCs w:val="24"/>
          <w:lang w:val="en-US"/>
        </w:rPr>
        <w:t xml:space="preserve"> compl</w:t>
      </w:r>
      <w:r w:rsidR="00966EA0" w:rsidRPr="00CD382D">
        <w:rPr>
          <w:rFonts w:ascii="Arial" w:hAnsi="Arial" w:cs="Arial"/>
          <w:sz w:val="24"/>
          <w:szCs w:val="24"/>
          <w:lang w:val="en-US"/>
        </w:rPr>
        <w:t xml:space="preserve">iance </w:t>
      </w:r>
      <w:r w:rsidR="00CB73FA" w:rsidRPr="00CD382D">
        <w:rPr>
          <w:rFonts w:ascii="Arial" w:hAnsi="Arial" w:cs="Arial"/>
          <w:sz w:val="24"/>
          <w:szCs w:val="24"/>
          <w:lang w:val="en-US"/>
        </w:rPr>
        <w:t xml:space="preserve">with the provisions of section 129 of the National Credit </w:t>
      </w:r>
      <w:proofErr w:type="gramStart"/>
      <w:r w:rsidR="00CB73FA" w:rsidRPr="00CD382D">
        <w:rPr>
          <w:rFonts w:ascii="Arial" w:hAnsi="Arial" w:cs="Arial"/>
          <w:sz w:val="24"/>
          <w:szCs w:val="24"/>
          <w:lang w:val="en-US"/>
        </w:rPr>
        <w:t>Act;</w:t>
      </w:r>
      <w:proofErr w:type="gramEnd"/>
    </w:p>
    <w:p w14:paraId="2B0A2C11" w14:textId="1415B68C" w:rsidR="00CE01BC" w:rsidRPr="00CD382D" w:rsidRDefault="00CD382D" w:rsidP="00CD382D">
      <w:pPr>
        <w:spacing w:line="480" w:lineRule="auto"/>
        <w:ind w:left="1440" w:hanging="720"/>
        <w:jc w:val="both"/>
        <w:rPr>
          <w:rFonts w:ascii="Arial" w:hAnsi="Arial" w:cs="Arial"/>
          <w:sz w:val="24"/>
          <w:szCs w:val="24"/>
          <w:lang w:val="en-US"/>
        </w:rPr>
      </w:pPr>
      <w:r>
        <w:rPr>
          <w:rFonts w:ascii="Arial" w:hAnsi="Arial" w:cs="Arial"/>
          <w:sz w:val="24"/>
          <w:szCs w:val="24"/>
          <w:lang w:val="en-US"/>
        </w:rPr>
        <w:t>(ii)</w:t>
      </w:r>
      <w:r>
        <w:rPr>
          <w:rFonts w:ascii="Arial" w:hAnsi="Arial" w:cs="Arial"/>
          <w:sz w:val="24"/>
          <w:szCs w:val="24"/>
          <w:lang w:val="en-US"/>
        </w:rPr>
        <w:tab/>
      </w:r>
      <w:r w:rsidR="00CE01BC" w:rsidRPr="00CD382D">
        <w:rPr>
          <w:rFonts w:ascii="Arial" w:hAnsi="Arial" w:cs="Arial"/>
          <w:sz w:val="24"/>
          <w:szCs w:val="24"/>
          <w:lang w:val="en-US"/>
        </w:rPr>
        <w:t xml:space="preserve">the </w:t>
      </w:r>
      <w:r w:rsidR="00966EA0" w:rsidRPr="00CD382D">
        <w:rPr>
          <w:rFonts w:ascii="Arial" w:hAnsi="Arial" w:cs="Arial"/>
          <w:sz w:val="24"/>
          <w:szCs w:val="24"/>
          <w:lang w:val="en-US"/>
        </w:rPr>
        <w:t xml:space="preserve">existence of the </w:t>
      </w:r>
      <w:r w:rsidR="00CE01BC" w:rsidRPr="00CD382D">
        <w:rPr>
          <w:rFonts w:ascii="Arial" w:hAnsi="Arial" w:cs="Arial"/>
          <w:sz w:val="24"/>
          <w:szCs w:val="24"/>
          <w:lang w:val="en-US"/>
        </w:rPr>
        <w:t>credit agreement/contract</w:t>
      </w:r>
      <w:r w:rsidR="00966EA0" w:rsidRPr="00CD382D">
        <w:rPr>
          <w:rFonts w:ascii="Arial" w:hAnsi="Arial" w:cs="Arial"/>
          <w:sz w:val="24"/>
          <w:szCs w:val="24"/>
          <w:lang w:val="en-US"/>
        </w:rPr>
        <w:t>, d</w:t>
      </w:r>
      <w:r w:rsidR="00CE01BC" w:rsidRPr="00CD382D">
        <w:rPr>
          <w:rFonts w:ascii="Arial" w:hAnsi="Arial" w:cs="Arial"/>
          <w:sz w:val="24"/>
          <w:szCs w:val="24"/>
          <w:lang w:val="en-US"/>
        </w:rPr>
        <w:t xml:space="preserve">o the payments made by the </w:t>
      </w:r>
      <w:r w:rsidR="00966EA0" w:rsidRPr="00CD382D">
        <w:rPr>
          <w:rFonts w:ascii="Arial" w:hAnsi="Arial" w:cs="Arial"/>
          <w:sz w:val="24"/>
          <w:szCs w:val="24"/>
          <w:lang w:val="en-US"/>
        </w:rPr>
        <w:t>R</w:t>
      </w:r>
      <w:r w:rsidR="00CE01BC" w:rsidRPr="00CD382D">
        <w:rPr>
          <w:rFonts w:ascii="Arial" w:hAnsi="Arial" w:cs="Arial"/>
          <w:sz w:val="24"/>
          <w:szCs w:val="24"/>
          <w:lang w:val="en-US"/>
        </w:rPr>
        <w:t xml:space="preserve">espondent later, revive the </w:t>
      </w:r>
      <w:proofErr w:type="gramStart"/>
      <w:r w:rsidR="00CE01BC" w:rsidRPr="00CD382D">
        <w:rPr>
          <w:rFonts w:ascii="Arial" w:hAnsi="Arial" w:cs="Arial"/>
          <w:sz w:val="24"/>
          <w:szCs w:val="24"/>
          <w:lang w:val="en-US"/>
        </w:rPr>
        <w:t>agreement</w:t>
      </w:r>
      <w:r w:rsidR="00966EA0" w:rsidRPr="00CD382D">
        <w:rPr>
          <w:rFonts w:ascii="Arial" w:hAnsi="Arial" w:cs="Arial"/>
          <w:sz w:val="24"/>
          <w:szCs w:val="24"/>
          <w:lang w:val="en-US"/>
        </w:rPr>
        <w:t>?;</w:t>
      </w:r>
      <w:proofErr w:type="gramEnd"/>
      <w:r w:rsidR="00CE01BC" w:rsidRPr="00CD382D">
        <w:rPr>
          <w:rFonts w:ascii="Arial" w:hAnsi="Arial" w:cs="Arial"/>
          <w:sz w:val="24"/>
          <w:szCs w:val="24"/>
          <w:lang w:val="en-US"/>
        </w:rPr>
        <w:t xml:space="preserve"> </w:t>
      </w:r>
      <w:r w:rsidR="00966EA0" w:rsidRPr="00CD382D">
        <w:rPr>
          <w:rFonts w:ascii="Arial" w:hAnsi="Arial" w:cs="Arial"/>
          <w:sz w:val="24"/>
          <w:szCs w:val="24"/>
          <w:lang w:val="en-US"/>
        </w:rPr>
        <w:t>and</w:t>
      </w:r>
      <w:r w:rsidR="00CE01BC" w:rsidRPr="00CD382D">
        <w:rPr>
          <w:rFonts w:ascii="Arial" w:hAnsi="Arial" w:cs="Arial"/>
          <w:sz w:val="24"/>
          <w:szCs w:val="24"/>
          <w:lang w:val="en-US"/>
        </w:rPr>
        <w:t xml:space="preserve"> </w:t>
      </w:r>
    </w:p>
    <w:p w14:paraId="385DB486" w14:textId="47C69CEC" w:rsidR="00CE01BC" w:rsidRPr="00CD382D" w:rsidRDefault="00CD382D" w:rsidP="00CD382D">
      <w:pPr>
        <w:spacing w:line="480" w:lineRule="auto"/>
        <w:ind w:left="1440" w:hanging="720"/>
        <w:jc w:val="both"/>
        <w:rPr>
          <w:rFonts w:ascii="Arial" w:hAnsi="Arial" w:cs="Arial"/>
          <w:color w:val="FF0000"/>
          <w:sz w:val="24"/>
          <w:szCs w:val="24"/>
          <w:lang w:val="en-US"/>
        </w:rPr>
      </w:pPr>
      <w:r w:rsidRPr="00325C54">
        <w:rPr>
          <w:rFonts w:ascii="Arial" w:hAnsi="Arial" w:cs="Arial"/>
          <w:sz w:val="24"/>
          <w:szCs w:val="24"/>
          <w:lang w:val="en-US"/>
        </w:rPr>
        <w:t>(iii)</w:t>
      </w:r>
      <w:r w:rsidRPr="00325C54">
        <w:rPr>
          <w:rFonts w:ascii="Arial" w:hAnsi="Arial" w:cs="Arial"/>
          <w:sz w:val="24"/>
          <w:szCs w:val="24"/>
          <w:lang w:val="en-US"/>
        </w:rPr>
        <w:tab/>
      </w:r>
      <w:r w:rsidR="00325C54" w:rsidRPr="00CD382D">
        <w:rPr>
          <w:rFonts w:ascii="Arial" w:hAnsi="Arial" w:cs="Arial"/>
          <w:sz w:val="24"/>
          <w:szCs w:val="24"/>
          <w:lang w:val="en-US"/>
        </w:rPr>
        <w:t xml:space="preserve">the character of payments </w:t>
      </w:r>
      <w:r w:rsidR="0076534C" w:rsidRPr="00CD382D">
        <w:rPr>
          <w:rFonts w:ascii="Arial" w:hAnsi="Arial" w:cs="Arial"/>
          <w:sz w:val="24"/>
          <w:szCs w:val="24"/>
          <w:lang w:val="en-US"/>
        </w:rPr>
        <w:t xml:space="preserve">made </w:t>
      </w:r>
      <w:r w:rsidR="00325C54" w:rsidRPr="00CD382D">
        <w:rPr>
          <w:rFonts w:ascii="Arial" w:hAnsi="Arial" w:cs="Arial"/>
          <w:sz w:val="24"/>
          <w:szCs w:val="24"/>
          <w:lang w:val="en-US"/>
        </w:rPr>
        <w:t xml:space="preserve">by the Respondent on the dates of between June and August 2022. </w:t>
      </w:r>
    </w:p>
    <w:p w14:paraId="02FF65C0" w14:textId="212C06B0" w:rsidR="00AD3803" w:rsidRDefault="003D3C2A" w:rsidP="00865F7B">
      <w:pPr>
        <w:spacing w:line="480" w:lineRule="auto"/>
        <w:jc w:val="both"/>
        <w:rPr>
          <w:rFonts w:ascii="Arial" w:hAnsi="Arial" w:cs="Arial"/>
          <w:sz w:val="24"/>
          <w:szCs w:val="24"/>
          <w:lang w:val="en-US"/>
        </w:rPr>
      </w:pPr>
      <w:r w:rsidRPr="003D3C2A">
        <w:rPr>
          <w:rFonts w:ascii="Arial" w:hAnsi="Arial" w:cs="Arial"/>
          <w:sz w:val="24"/>
          <w:szCs w:val="24"/>
          <w:lang w:val="en-US"/>
        </w:rPr>
        <w:t xml:space="preserve">[7] I will now deal with what is required </w:t>
      </w:r>
      <w:r w:rsidR="00966EA0">
        <w:rPr>
          <w:rFonts w:ascii="Arial" w:hAnsi="Arial" w:cs="Arial"/>
          <w:sz w:val="24"/>
          <w:szCs w:val="24"/>
          <w:lang w:val="en-US"/>
        </w:rPr>
        <w:t xml:space="preserve">from the service provider </w:t>
      </w:r>
      <w:r w:rsidRPr="003D3C2A">
        <w:rPr>
          <w:rFonts w:ascii="Arial" w:hAnsi="Arial" w:cs="Arial"/>
          <w:sz w:val="24"/>
          <w:szCs w:val="24"/>
          <w:lang w:val="en-US"/>
        </w:rPr>
        <w:t xml:space="preserve">to ensure compliance with section 129 of the National Credit Act. </w:t>
      </w:r>
      <w:r>
        <w:rPr>
          <w:rFonts w:ascii="Arial" w:hAnsi="Arial" w:cs="Arial"/>
          <w:sz w:val="24"/>
          <w:szCs w:val="24"/>
          <w:lang w:val="en-US"/>
        </w:rPr>
        <w:t xml:space="preserve">In the </w:t>
      </w:r>
      <w:r w:rsidR="009130C8">
        <w:rPr>
          <w:rFonts w:ascii="Arial" w:hAnsi="Arial" w:cs="Arial"/>
          <w:sz w:val="24"/>
          <w:szCs w:val="24"/>
          <w:lang w:val="en-US"/>
        </w:rPr>
        <w:t>Constitutional</w:t>
      </w:r>
      <w:r>
        <w:rPr>
          <w:rFonts w:ascii="Arial" w:hAnsi="Arial" w:cs="Arial"/>
          <w:sz w:val="24"/>
          <w:szCs w:val="24"/>
          <w:lang w:val="en-US"/>
        </w:rPr>
        <w:t xml:space="preserve"> Court case </w:t>
      </w:r>
      <w:r w:rsidR="009130C8">
        <w:rPr>
          <w:rFonts w:ascii="Arial" w:hAnsi="Arial" w:cs="Arial"/>
          <w:sz w:val="24"/>
          <w:szCs w:val="24"/>
          <w:lang w:val="en-US"/>
        </w:rPr>
        <w:t xml:space="preserve">of </w:t>
      </w:r>
      <w:r w:rsidR="009130C8" w:rsidRPr="008843A4">
        <w:rPr>
          <w:rFonts w:ascii="Arial" w:hAnsi="Arial" w:cs="Arial"/>
          <w:b/>
          <w:bCs/>
          <w:i/>
          <w:iCs/>
          <w:sz w:val="24"/>
          <w:szCs w:val="24"/>
          <w:lang w:val="en-US"/>
        </w:rPr>
        <w:t>Sebola v Standard Bank of South Africa Ltd</w:t>
      </w:r>
      <w:r w:rsidR="009130C8" w:rsidRPr="009130C8">
        <w:rPr>
          <w:rStyle w:val="FootnoteReference"/>
          <w:rFonts w:ascii="Arial" w:hAnsi="Arial" w:cs="Arial"/>
          <w:sz w:val="24"/>
          <w:szCs w:val="24"/>
          <w:lang w:val="en-US"/>
        </w:rPr>
        <w:footnoteReference w:id="1"/>
      </w:r>
      <w:r w:rsidRPr="003D3C2A">
        <w:rPr>
          <w:rFonts w:ascii="Arial" w:hAnsi="Arial" w:cs="Arial"/>
          <w:sz w:val="24"/>
          <w:szCs w:val="24"/>
          <w:lang w:val="en-US"/>
        </w:rPr>
        <w:t xml:space="preserve"> </w:t>
      </w:r>
      <w:r w:rsidR="009130C8" w:rsidRPr="008843A4">
        <w:rPr>
          <w:rFonts w:ascii="Arial" w:hAnsi="Arial" w:cs="Arial"/>
          <w:sz w:val="24"/>
          <w:szCs w:val="24"/>
          <w:lang w:val="en-US"/>
        </w:rPr>
        <w:t>Cameron J, who deliver</w:t>
      </w:r>
      <w:r w:rsidR="009130C8">
        <w:rPr>
          <w:rFonts w:ascii="Arial" w:hAnsi="Arial" w:cs="Arial"/>
          <w:sz w:val="24"/>
          <w:szCs w:val="24"/>
          <w:lang w:val="en-US"/>
        </w:rPr>
        <w:t xml:space="preserve">ing </w:t>
      </w:r>
      <w:r w:rsidR="009130C8" w:rsidRPr="008843A4">
        <w:rPr>
          <w:rFonts w:ascii="Arial" w:hAnsi="Arial" w:cs="Arial"/>
          <w:sz w:val="24"/>
          <w:szCs w:val="24"/>
          <w:lang w:val="en-US"/>
        </w:rPr>
        <w:t>the majority judgment, held that</w:t>
      </w:r>
      <w:r w:rsidR="00AD3803">
        <w:rPr>
          <w:rFonts w:ascii="Arial" w:hAnsi="Arial" w:cs="Arial"/>
          <w:sz w:val="24"/>
          <w:szCs w:val="24"/>
          <w:lang w:val="en-US"/>
        </w:rPr>
        <w:t>:</w:t>
      </w:r>
    </w:p>
    <w:p w14:paraId="5D4841DE" w14:textId="77777777" w:rsidR="00C92DB0" w:rsidRDefault="009130C8" w:rsidP="00AD3803">
      <w:pPr>
        <w:spacing w:line="480" w:lineRule="auto"/>
        <w:ind w:left="720"/>
        <w:jc w:val="both"/>
        <w:rPr>
          <w:rFonts w:ascii="Arial" w:hAnsi="Arial" w:cs="Arial"/>
          <w:sz w:val="24"/>
          <w:szCs w:val="24"/>
          <w:lang w:val="en-US"/>
        </w:rPr>
      </w:pPr>
      <w:proofErr w:type="gramStart"/>
      <w:r w:rsidRPr="008843A4">
        <w:rPr>
          <w:rFonts w:ascii="Arial" w:hAnsi="Arial" w:cs="Arial"/>
          <w:sz w:val="24"/>
          <w:szCs w:val="24"/>
          <w:lang w:val="en-US"/>
        </w:rPr>
        <w:t>the</w:t>
      </w:r>
      <w:proofErr w:type="gramEnd"/>
      <w:r w:rsidRPr="008843A4">
        <w:rPr>
          <w:rFonts w:ascii="Arial" w:hAnsi="Arial" w:cs="Arial"/>
          <w:sz w:val="24"/>
          <w:szCs w:val="24"/>
          <w:lang w:val="en-US"/>
        </w:rPr>
        <w:t xml:space="preserve"> NCA did not require the credit provider to prove that the default notice had </w:t>
      </w:r>
      <w:proofErr w:type="gramStart"/>
      <w:r w:rsidRPr="008843A4">
        <w:rPr>
          <w:rFonts w:ascii="Arial" w:hAnsi="Arial" w:cs="Arial"/>
          <w:sz w:val="24"/>
          <w:szCs w:val="24"/>
          <w:lang w:val="en-US"/>
        </w:rPr>
        <w:t>actually come</w:t>
      </w:r>
      <w:proofErr w:type="gramEnd"/>
      <w:r w:rsidRPr="008843A4">
        <w:rPr>
          <w:rFonts w:ascii="Arial" w:hAnsi="Arial" w:cs="Arial"/>
          <w:sz w:val="24"/>
          <w:szCs w:val="24"/>
          <w:lang w:val="en-US"/>
        </w:rPr>
        <w:t xml:space="preserve"> to the attention of the consumer or that it had been delivered to a specific address, as this would ordinarily be impossible to do. He added, that although it might be difficult for the credit provider to show that the notice came to the attention of the consumer, the credit provider had to make allegations that would satisfy the court from which enforcement was sought that the notice, on a balance of probabilities, had reached the consumer.</w:t>
      </w:r>
      <w:r w:rsidRPr="008843A4">
        <w:t xml:space="preserve"> </w:t>
      </w:r>
      <w:r w:rsidRPr="008843A4">
        <w:rPr>
          <w:rFonts w:ascii="Arial" w:hAnsi="Arial" w:cs="Arial"/>
          <w:sz w:val="24"/>
          <w:szCs w:val="24"/>
          <w:lang w:val="en-US"/>
        </w:rPr>
        <w:t xml:space="preserve">Therefore, where the notice was posted, </w:t>
      </w:r>
      <w:proofErr w:type="gramStart"/>
      <w:r w:rsidRPr="008843A4">
        <w:rPr>
          <w:rFonts w:ascii="Arial" w:hAnsi="Arial" w:cs="Arial"/>
          <w:sz w:val="24"/>
          <w:szCs w:val="24"/>
          <w:lang w:val="en-US"/>
        </w:rPr>
        <w:t>mere</w:t>
      </w:r>
      <w:proofErr w:type="gramEnd"/>
      <w:r w:rsidRPr="008843A4">
        <w:rPr>
          <w:rFonts w:ascii="Arial" w:hAnsi="Arial" w:cs="Arial"/>
          <w:sz w:val="24"/>
          <w:szCs w:val="24"/>
          <w:lang w:val="en-US"/>
        </w:rPr>
        <w:t xml:space="preserve"> dispatch of it was not sufficient. Due to the risk of non-delivery by ordinary mail</w:t>
      </w:r>
      <w:r>
        <w:rPr>
          <w:rFonts w:ascii="Arial" w:hAnsi="Arial" w:cs="Arial"/>
          <w:sz w:val="24"/>
          <w:szCs w:val="24"/>
          <w:lang w:val="en-US"/>
        </w:rPr>
        <w:t xml:space="preserve">. </w:t>
      </w:r>
      <w:r w:rsidRPr="009130C8">
        <w:rPr>
          <w:rFonts w:ascii="Arial" w:hAnsi="Arial" w:cs="Arial"/>
          <w:sz w:val="24"/>
          <w:szCs w:val="24"/>
          <w:lang w:val="en-US"/>
        </w:rPr>
        <w:t>He added that even when a registered letter was sent there was a possibility that proof of registered d</w:t>
      </w:r>
      <w:r>
        <w:rPr>
          <w:rFonts w:ascii="Arial" w:hAnsi="Arial" w:cs="Arial"/>
          <w:sz w:val="24"/>
          <w:szCs w:val="24"/>
          <w:lang w:val="en-US"/>
        </w:rPr>
        <w:t>i</w:t>
      </w:r>
      <w:r w:rsidRPr="009130C8">
        <w:rPr>
          <w:rFonts w:ascii="Arial" w:hAnsi="Arial" w:cs="Arial"/>
          <w:sz w:val="24"/>
          <w:szCs w:val="24"/>
          <w:lang w:val="en-US"/>
        </w:rPr>
        <w:t xml:space="preserve">spatch by itself was not enough. Thus, it was not sufficient for the credit provider to simply allege and provide proof that the notice had been sent by registered mail to the address chosen by the defaulting consumer. A credit provider also had to prove that the notice </w:t>
      </w:r>
      <w:r w:rsidRPr="009130C8">
        <w:rPr>
          <w:rFonts w:ascii="Arial" w:hAnsi="Arial" w:cs="Arial"/>
          <w:sz w:val="24"/>
          <w:szCs w:val="24"/>
          <w:lang w:val="en-US"/>
        </w:rPr>
        <w:lastRenderedPageBreak/>
        <w:t>was received by the correct post office. Thus, the mere dispatch of a notice was not enough and at the very least, the credit provider "must obtain a post-d</w:t>
      </w:r>
      <w:r>
        <w:rPr>
          <w:rFonts w:ascii="Arial" w:hAnsi="Arial" w:cs="Arial"/>
          <w:sz w:val="24"/>
          <w:szCs w:val="24"/>
          <w:lang w:val="en-US"/>
        </w:rPr>
        <w:t>i</w:t>
      </w:r>
      <w:r w:rsidRPr="009130C8">
        <w:rPr>
          <w:rFonts w:ascii="Arial" w:hAnsi="Arial" w:cs="Arial"/>
          <w:sz w:val="24"/>
          <w:szCs w:val="24"/>
          <w:lang w:val="en-US"/>
        </w:rPr>
        <w:t>spatch 'track and trace' print-out from the website of the South African Post Office" to show that the notice had been delivered to the relevant post office</w:t>
      </w:r>
      <w:r>
        <w:rPr>
          <w:rStyle w:val="FootnoteReference"/>
          <w:rFonts w:ascii="Arial" w:hAnsi="Arial" w:cs="Arial"/>
          <w:sz w:val="24"/>
          <w:szCs w:val="24"/>
          <w:lang w:val="en-US"/>
        </w:rPr>
        <w:footnoteReference w:id="2"/>
      </w:r>
      <w:r>
        <w:rPr>
          <w:rFonts w:ascii="Arial" w:hAnsi="Arial" w:cs="Arial"/>
          <w:sz w:val="24"/>
          <w:szCs w:val="24"/>
          <w:lang w:val="en-US"/>
        </w:rPr>
        <w:t>.</w:t>
      </w:r>
      <w:r w:rsidR="0062514D">
        <w:rPr>
          <w:rFonts w:ascii="Arial" w:hAnsi="Arial" w:cs="Arial"/>
          <w:sz w:val="24"/>
          <w:szCs w:val="24"/>
          <w:lang w:val="en-US"/>
        </w:rPr>
        <w:t xml:space="preserve"> </w:t>
      </w:r>
      <w:r w:rsidR="0062514D" w:rsidRPr="0062514D">
        <w:rPr>
          <w:rFonts w:ascii="Arial" w:hAnsi="Arial" w:cs="Arial"/>
          <w:sz w:val="24"/>
          <w:szCs w:val="24"/>
          <w:lang w:val="en-US"/>
        </w:rPr>
        <w:t>If the notice reached the correct post office, in the absence of an indication to the contrary, a court could accept that there was adequate proof of delivery of the notice to the defaulting consumer.</w:t>
      </w:r>
      <w:r w:rsidR="0062514D">
        <w:rPr>
          <w:rFonts w:ascii="Arial" w:hAnsi="Arial" w:cs="Arial"/>
          <w:sz w:val="24"/>
          <w:szCs w:val="24"/>
          <w:lang w:val="en-US"/>
        </w:rPr>
        <w:t xml:space="preserve"> </w:t>
      </w:r>
    </w:p>
    <w:p w14:paraId="4F0EBDF8" w14:textId="57B599B7" w:rsidR="0062514D" w:rsidRDefault="00C92DB0" w:rsidP="00C92DB0">
      <w:pPr>
        <w:spacing w:line="480" w:lineRule="auto"/>
        <w:jc w:val="both"/>
        <w:rPr>
          <w:rFonts w:ascii="Arial" w:hAnsi="Arial" w:cs="Arial"/>
          <w:sz w:val="24"/>
          <w:szCs w:val="24"/>
          <w:lang w:val="en-US"/>
        </w:rPr>
      </w:pPr>
      <w:r>
        <w:rPr>
          <w:rFonts w:ascii="Arial" w:hAnsi="Arial" w:cs="Arial"/>
          <w:sz w:val="24"/>
          <w:szCs w:val="24"/>
          <w:lang w:val="en-US"/>
        </w:rPr>
        <w:t xml:space="preserve">[8] </w:t>
      </w:r>
      <w:r w:rsidR="0062514D">
        <w:rPr>
          <w:rFonts w:ascii="Arial" w:hAnsi="Arial" w:cs="Arial"/>
          <w:sz w:val="24"/>
          <w:szCs w:val="24"/>
          <w:lang w:val="en-US"/>
        </w:rPr>
        <w:t>In the matter before me there is evidence in the form of Annexures C2 (</w:t>
      </w:r>
      <w:r w:rsidR="0062514D" w:rsidRPr="0062514D">
        <w:rPr>
          <w:rFonts w:ascii="Arial" w:hAnsi="Arial" w:cs="Arial"/>
          <w:sz w:val="24"/>
          <w:szCs w:val="24"/>
          <w:lang w:val="en-US"/>
        </w:rPr>
        <w:t>Postal Slip</w:t>
      </w:r>
      <w:r w:rsidR="0062514D">
        <w:rPr>
          <w:rFonts w:ascii="Arial" w:hAnsi="Arial" w:cs="Arial"/>
          <w:sz w:val="24"/>
          <w:szCs w:val="24"/>
          <w:lang w:val="en-US"/>
        </w:rPr>
        <w:t>)</w:t>
      </w:r>
      <w:r w:rsidR="0062514D" w:rsidRPr="0062514D">
        <w:rPr>
          <w:rFonts w:ascii="Arial" w:hAnsi="Arial" w:cs="Arial"/>
          <w:sz w:val="24"/>
          <w:szCs w:val="24"/>
          <w:lang w:val="en-US"/>
        </w:rPr>
        <w:t xml:space="preserve"> </w:t>
      </w:r>
      <w:r w:rsidR="0062514D">
        <w:rPr>
          <w:rFonts w:ascii="Arial" w:hAnsi="Arial" w:cs="Arial"/>
          <w:sz w:val="24"/>
          <w:szCs w:val="24"/>
          <w:lang w:val="en-US"/>
        </w:rPr>
        <w:t xml:space="preserve">and C3 (Parcel Tracking) – which also show that the Respondent was notified when the parcel arrived at Soshanguve Post Office.  </w:t>
      </w:r>
    </w:p>
    <w:p w14:paraId="702B82C8" w14:textId="09FEE696" w:rsidR="0062514D" w:rsidRDefault="00AD3803" w:rsidP="00865F7B">
      <w:pPr>
        <w:spacing w:line="480" w:lineRule="auto"/>
        <w:jc w:val="both"/>
        <w:rPr>
          <w:rFonts w:ascii="Arial" w:hAnsi="Arial" w:cs="Arial"/>
          <w:sz w:val="24"/>
          <w:szCs w:val="24"/>
          <w:lang w:val="en-US"/>
        </w:rPr>
      </w:pPr>
      <w:r>
        <w:rPr>
          <w:rFonts w:ascii="Arial" w:hAnsi="Arial" w:cs="Arial"/>
          <w:sz w:val="24"/>
          <w:szCs w:val="24"/>
          <w:lang w:val="en-US"/>
        </w:rPr>
        <w:t>[</w:t>
      </w:r>
      <w:r w:rsidR="00C92DB0">
        <w:rPr>
          <w:rFonts w:ascii="Arial" w:hAnsi="Arial" w:cs="Arial"/>
          <w:sz w:val="24"/>
          <w:szCs w:val="24"/>
          <w:lang w:val="en-US"/>
        </w:rPr>
        <w:t>9]</w:t>
      </w:r>
      <w:r>
        <w:rPr>
          <w:rFonts w:ascii="Arial" w:hAnsi="Arial" w:cs="Arial"/>
          <w:sz w:val="24"/>
          <w:szCs w:val="24"/>
          <w:lang w:val="en-US"/>
        </w:rPr>
        <w:t xml:space="preserve"> </w:t>
      </w:r>
      <w:r w:rsidR="0062514D">
        <w:rPr>
          <w:rFonts w:ascii="Arial" w:hAnsi="Arial" w:cs="Arial"/>
          <w:sz w:val="24"/>
          <w:szCs w:val="24"/>
          <w:lang w:val="en-US"/>
        </w:rPr>
        <w:t xml:space="preserve">In another Constitutional Court case of </w:t>
      </w:r>
      <w:proofErr w:type="spellStart"/>
      <w:r w:rsidR="0062514D" w:rsidRPr="00D87A97">
        <w:rPr>
          <w:rFonts w:ascii="Arial" w:hAnsi="Arial" w:cs="Arial"/>
          <w:b/>
          <w:bCs/>
          <w:i/>
          <w:iCs/>
          <w:sz w:val="24"/>
          <w:szCs w:val="24"/>
          <w:lang w:val="en-US"/>
        </w:rPr>
        <w:t>Kubyana</w:t>
      </w:r>
      <w:proofErr w:type="spellEnd"/>
      <w:r w:rsidR="0062514D" w:rsidRPr="00D87A97">
        <w:rPr>
          <w:rFonts w:ascii="Arial" w:hAnsi="Arial" w:cs="Arial"/>
          <w:b/>
          <w:bCs/>
          <w:i/>
          <w:iCs/>
          <w:sz w:val="24"/>
          <w:szCs w:val="24"/>
          <w:lang w:val="en-US"/>
        </w:rPr>
        <w:t xml:space="preserve"> v Standard Bank of South Africa Ltd</w:t>
      </w:r>
      <w:r w:rsidR="0062514D" w:rsidRPr="0062514D">
        <w:rPr>
          <w:rStyle w:val="FootnoteReference"/>
          <w:rFonts w:ascii="Arial" w:hAnsi="Arial" w:cs="Arial"/>
          <w:sz w:val="24"/>
          <w:szCs w:val="24"/>
          <w:lang w:val="en-US"/>
        </w:rPr>
        <w:footnoteReference w:id="3"/>
      </w:r>
      <w:r w:rsidR="0062514D">
        <w:rPr>
          <w:rFonts w:ascii="Arial" w:hAnsi="Arial" w:cs="Arial"/>
          <w:sz w:val="24"/>
          <w:szCs w:val="24"/>
          <w:lang w:val="en-US"/>
        </w:rPr>
        <w:t xml:space="preserve"> t</w:t>
      </w:r>
      <w:r w:rsidR="00D87A97" w:rsidRPr="00D87A97">
        <w:rPr>
          <w:rFonts w:ascii="Arial" w:hAnsi="Arial" w:cs="Arial"/>
          <w:sz w:val="24"/>
          <w:szCs w:val="24"/>
          <w:lang w:val="en-US"/>
        </w:rPr>
        <w:t xml:space="preserve">he majority judgment (per </w:t>
      </w:r>
      <w:proofErr w:type="spellStart"/>
      <w:r w:rsidR="00D87A97" w:rsidRPr="00D87A97">
        <w:rPr>
          <w:rFonts w:ascii="Arial" w:hAnsi="Arial" w:cs="Arial"/>
          <w:sz w:val="24"/>
          <w:szCs w:val="24"/>
          <w:lang w:val="en-US"/>
        </w:rPr>
        <w:t>Mhlantla</w:t>
      </w:r>
      <w:proofErr w:type="spellEnd"/>
      <w:r w:rsidR="00D87A97" w:rsidRPr="00D87A97">
        <w:rPr>
          <w:rFonts w:ascii="Arial" w:hAnsi="Arial" w:cs="Arial"/>
          <w:sz w:val="24"/>
          <w:szCs w:val="24"/>
          <w:lang w:val="en-US"/>
        </w:rPr>
        <w:t xml:space="preserve"> AJ) held that</w:t>
      </w:r>
      <w:r w:rsidR="0062514D">
        <w:rPr>
          <w:rFonts w:ascii="Arial" w:hAnsi="Arial" w:cs="Arial"/>
          <w:sz w:val="24"/>
          <w:szCs w:val="24"/>
          <w:lang w:val="en-US"/>
        </w:rPr>
        <w:t>:</w:t>
      </w:r>
    </w:p>
    <w:p w14:paraId="6EE9AFFB" w14:textId="5045199B" w:rsidR="008843A4" w:rsidRDefault="00D87A97" w:rsidP="0062514D">
      <w:pPr>
        <w:spacing w:line="480" w:lineRule="auto"/>
        <w:ind w:left="720"/>
        <w:jc w:val="both"/>
        <w:rPr>
          <w:rFonts w:ascii="Arial" w:hAnsi="Arial" w:cs="Arial"/>
          <w:sz w:val="24"/>
          <w:szCs w:val="24"/>
          <w:lang w:val="en-US"/>
        </w:rPr>
      </w:pPr>
      <w:r w:rsidRPr="00D87A97">
        <w:rPr>
          <w:rFonts w:ascii="Arial" w:hAnsi="Arial" w:cs="Arial"/>
          <w:sz w:val="24"/>
          <w:szCs w:val="24"/>
          <w:lang w:val="en-US"/>
        </w:rPr>
        <w:t>the credit provider had shown that it had complied with the NCA by proving that the notice had been sent via registered mail to the correct post office. By doing this, the credit provider might credibly aver receipt of the notice by the consumer, and to require anything further from the credit provider would be too onerous and would allow consumers to ignore validly sent notices with impunity</w:t>
      </w:r>
      <w:r>
        <w:rPr>
          <w:rFonts w:ascii="Arial" w:hAnsi="Arial" w:cs="Arial"/>
          <w:sz w:val="24"/>
          <w:szCs w:val="24"/>
          <w:lang w:val="en-US"/>
        </w:rPr>
        <w:t>.</w:t>
      </w:r>
      <w:r w:rsidRPr="00D87A97">
        <w:t xml:space="preserve"> </w:t>
      </w:r>
      <w:r w:rsidRPr="00D87A97">
        <w:rPr>
          <w:rFonts w:ascii="Arial" w:hAnsi="Arial" w:cs="Arial"/>
          <w:sz w:val="24"/>
          <w:szCs w:val="24"/>
          <w:lang w:val="en-US"/>
        </w:rPr>
        <w:t>that there was no need for the credit provider to prove that the notice had come to the subjective attention of the consumer, nor was it a requirement that the notice be served personally on the consumer.</w:t>
      </w:r>
      <w:r>
        <w:rPr>
          <w:rFonts w:ascii="Arial" w:hAnsi="Arial" w:cs="Arial"/>
          <w:sz w:val="24"/>
          <w:szCs w:val="24"/>
          <w:lang w:val="en-US"/>
        </w:rPr>
        <w:t xml:space="preserve"> (</w:t>
      </w:r>
      <w:r w:rsidRPr="00D87A97">
        <w:rPr>
          <w:rFonts w:ascii="Arial" w:hAnsi="Arial" w:cs="Arial"/>
          <w:sz w:val="24"/>
          <w:szCs w:val="24"/>
          <w:lang w:val="en-US"/>
        </w:rPr>
        <w:t>paras 31 and 39</w:t>
      </w:r>
      <w:r>
        <w:rPr>
          <w:rFonts w:ascii="Arial" w:hAnsi="Arial" w:cs="Arial"/>
          <w:sz w:val="24"/>
          <w:szCs w:val="24"/>
          <w:lang w:val="en-US"/>
        </w:rPr>
        <w:t>)</w:t>
      </w:r>
      <w:r w:rsidRPr="00D87A97">
        <w:rPr>
          <w:rFonts w:ascii="Arial" w:hAnsi="Arial" w:cs="Arial"/>
          <w:sz w:val="24"/>
          <w:szCs w:val="24"/>
          <w:lang w:val="en-US"/>
        </w:rPr>
        <w:t>.</w:t>
      </w:r>
    </w:p>
    <w:p w14:paraId="2BF62686" w14:textId="781497B6" w:rsidR="00D668C9" w:rsidRPr="00D668C9" w:rsidRDefault="00AD3803" w:rsidP="00D668C9">
      <w:pPr>
        <w:spacing w:line="480" w:lineRule="auto"/>
        <w:jc w:val="both"/>
        <w:rPr>
          <w:rFonts w:ascii="Arial" w:hAnsi="Arial" w:cs="Arial"/>
          <w:sz w:val="24"/>
          <w:szCs w:val="24"/>
          <w:lang w:val="en-US"/>
        </w:rPr>
      </w:pPr>
      <w:r>
        <w:rPr>
          <w:rFonts w:ascii="Arial" w:hAnsi="Arial" w:cs="Arial"/>
          <w:sz w:val="24"/>
          <w:szCs w:val="24"/>
          <w:lang w:val="en-US"/>
        </w:rPr>
        <w:t>[</w:t>
      </w:r>
      <w:r w:rsidR="00C92DB0">
        <w:rPr>
          <w:rFonts w:ascii="Arial" w:hAnsi="Arial" w:cs="Arial"/>
          <w:sz w:val="24"/>
          <w:szCs w:val="24"/>
          <w:lang w:val="en-US"/>
        </w:rPr>
        <w:t>10</w:t>
      </w:r>
      <w:r>
        <w:rPr>
          <w:rFonts w:ascii="Arial" w:hAnsi="Arial" w:cs="Arial"/>
          <w:sz w:val="24"/>
          <w:szCs w:val="24"/>
          <w:lang w:val="en-US"/>
        </w:rPr>
        <w:t xml:space="preserve">] </w:t>
      </w:r>
      <w:r w:rsidR="00D668C9" w:rsidRPr="00D668C9">
        <w:rPr>
          <w:rFonts w:ascii="Arial" w:hAnsi="Arial" w:cs="Arial"/>
          <w:sz w:val="24"/>
          <w:szCs w:val="24"/>
          <w:lang w:val="en-US"/>
        </w:rPr>
        <w:t xml:space="preserve">The Constitutional Court </w:t>
      </w:r>
      <w:proofErr w:type="spellStart"/>
      <w:r w:rsidR="00D668C9" w:rsidRPr="00D668C9">
        <w:rPr>
          <w:rFonts w:ascii="Arial" w:hAnsi="Arial" w:cs="Arial"/>
          <w:sz w:val="24"/>
          <w:szCs w:val="24"/>
          <w:lang w:val="en-US"/>
        </w:rPr>
        <w:t>summarised</w:t>
      </w:r>
      <w:proofErr w:type="spellEnd"/>
      <w:r w:rsidR="00D668C9" w:rsidRPr="00D668C9">
        <w:rPr>
          <w:rFonts w:ascii="Arial" w:hAnsi="Arial" w:cs="Arial"/>
          <w:sz w:val="24"/>
          <w:szCs w:val="24"/>
          <w:lang w:val="en-US"/>
        </w:rPr>
        <w:t xml:space="preserve"> the situation as follows:</w:t>
      </w:r>
      <w:r w:rsidR="00D668C9">
        <w:rPr>
          <w:rFonts w:ascii="Arial" w:hAnsi="Arial" w:cs="Arial"/>
          <w:sz w:val="24"/>
          <w:szCs w:val="24"/>
          <w:lang w:val="en-US"/>
        </w:rPr>
        <w:t xml:space="preserve"> (</w:t>
      </w:r>
      <w:r w:rsidR="00D668C9" w:rsidRPr="00D668C9">
        <w:rPr>
          <w:rFonts w:ascii="Arial" w:hAnsi="Arial" w:cs="Arial"/>
          <w:sz w:val="24"/>
          <w:szCs w:val="24"/>
          <w:lang w:val="en-US"/>
        </w:rPr>
        <w:t>para 53</w:t>
      </w:r>
      <w:r w:rsidR="00D668C9">
        <w:rPr>
          <w:rFonts w:ascii="Arial" w:hAnsi="Arial" w:cs="Arial"/>
          <w:sz w:val="24"/>
          <w:szCs w:val="24"/>
          <w:lang w:val="en-US"/>
        </w:rPr>
        <w:t>)</w:t>
      </w:r>
      <w:r w:rsidR="00D668C9" w:rsidRPr="00D668C9">
        <w:rPr>
          <w:rFonts w:ascii="Arial" w:hAnsi="Arial" w:cs="Arial"/>
          <w:sz w:val="24"/>
          <w:szCs w:val="24"/>
          <w:lang w:val="en-US"/>
        </w:rPr>
        <w:t xml:space="preserve"> </w:t>
      </w:r>
    </w:p>
    <w:p w14:paraId="29A2D882" w14:textId="7AFDC3F7" w:rsidR="008843A4" w:rsidRPr="00AD3803" w:rsidRDefault="00D668C9" w:rsidP="00AD3803">
      <w:pPr>
        <w:spacing w:line="480" w:lineRule="auto"/>
        <w:ind w:left="720"/>
        <w:jc w:val="both"/>
        <w:rPr>
          <w:rFonts w:ascii="Arial" w:hAnsi="Arial" w:cs="Arial"/>
          <w:sz w:val="24"/>
          <w:szCs w:val="24"/>
          <w:lang w:val="en-US"/>
        </w:rPr>
      </w:pPr>
      <w:r w:rsidRPr="00AD3803">
        <w:rPr>
          <w:rFonts w:ascii="Arial" w:hAnsi="Arial" w:cs="Arial"/>
          <w:sz w:val="24"/>
          <w:szCs w:val="24"/>
          <w:lang w:val="en-US"/>
        </w:rPr>
        <w:lastRenderedPageBreak/>
        <w:t xml:space="preserve">Once a credit provider has produced the track and trace report indicating that the section 129 notice was sent to the correct branch of the Post Office and has shown that a notification was sent to the consumer by the Post Office, that credit provider will generally have shown that it has discharged its obligations under the Act to effect delivery. The credit provider is at that stage entitled to aver that it has done what is necessary to ensure that the notice reached the consumer. It then falls to the consumer to explain why it is not reasonable to expect the notice to have reached her attention if she wishes to escape the consequences of that notice. And it makes sense for the consumer to bear this burden of rebutting the inference of delivery, for the information regarding the reasonableness of her conduct generally lies solely within her knowledge. In the absence of such an explanation the credit provider's averment will stand. Put differently, even if there is evidence indicating that the section 129 notice did not reach the consumer's attention, that will not amount to an indication disproving delivery if the reason for non-receipt is the consumer's unreasonable </w:t>
      </w:r>
      <w:r w:rsidR="005749E4" w:rsidRPr="00AD3803">
        <w:rPr>
          <w:rFonts w:ascii="Arial" w:hAnsi="Arial" w:cs="Arial"/>
          <w:sz w:val="24"/>
          <w:szCs w:val="24"/>
          <w:lang w:val="en-US"/>
        </w:rPr>
        <w:t>behavior</w:t>
      </w:r>
      <w:r w:rsidRPr="00AD3803">
        <w:rPr>
          <w:rFonts w:ascii="Arial" w:hAnsi="Arial" w:cs="Arial"/>
          <w:sz w:val="24"/>
          <w:szCs w:val="24"/>
          <w:lang w:val="en-US"/>
        </w:rPr>
        <w:t>.</w:t>
      </w:r>
    </w:p>
    <w:p w14:paraId="6BE00ED1" w14:textId="1734FEE5" w:rsidR="00DC4790" w:rsidRDefault="00AD3803" w:rsidP="00AD3803">
      <w:pPr>
        <w:spacing w:line="480" w:lineRule="auto"/>
        <w:jc w:val="both"/>
        <w:rPr>
          <w:rFonts w:ascii="Arial" w:hAnsi="Arial" w:cs="Arial"/>
          <w:sz w:val="24"/>
          <w:szCs w:val="24"/>
          <w:lang w:val="en-US"/>
        </w:rPr>
      </w:pPr>
      <w:r>
        <w:rPr>
          <w:rFonts w:ascii="Arial" w:hAnsi="Arial" w:cs="Arial"/>
          <w:sz w:val="24"/>
          <w:szCs w:val="24"/>
          <w:lang w:val="en-US"/>
        </w:rPr>
        <w:t>[1</w:t>
      </w:r>
      <w:r w:rsidR="003F0A15">
        <w:rPr>
          <w:rFonts w:ascii="Arial" w:hAnsi="Arial" w:cs="Arial"/>
          <w:sz w:val="24"/>
          <w:szCs w:val="24"/>
          <w:lang w:val="en-US"/>
        </w:rPr>
        <w:t>1</w:t>
      </w:r>
      <w:r>
        <w:rPr>
          <w:rFonts w:ascii="Arial" w:hAnsi="Arial" w:cs="Arial"/>
          <w:sz w:val="24"/>
          <w:szCs w:val="24"/>
          <w:lang w:val="en-US"/>
        </w:rPr>
        <w:t xml:space="preserve">] </w:t>
      </w:r>
      <w:r w:rsidRPr="00AD3803">
        <w:rPr>
          <w:rFonts w:ascii="Arial" w:hAnsi="Arial" w:cs="Arial"/>
          <w:sz w:val="24"/>
          <w:szCs w:val="24"/>
          <w:lang w:val="en-US"/>
        </w:rPr>
        <w:t>Relying on the above referred Constitutional Court cases</w:t>
      </w:r>
      <w:r w:rsidR="00966EA0">
        <w:rPr>
          <w:rFonts w:ascii="Arial" w:hAnsi="Arial" w:cs="Arial"/>
          <w:sz w:val="24"/>
          <w:szCs w:val="24"/>
          <w:lang w:val="en-US"/>
        </w:rPr>
        <w:t>,</w:t>
      </w:r>
      <w:r w:rsidRPr="00AD3803">
        <w:rPr>
          <w:rFonts w:ascii="Arial" w:hAnsi="Arial" w:cs="Arial"/>
          <w:sz w:val="24"/>
          <w:szCs w:val="24"/>
          <w:lang w:val="en-US"/>
        </w:rPr>
        <w:t xml:space="preserve"> I’m satisfied that the existence of Postal Slip and </w:t>
      </w:r>
      <w:r w:rsidR="008E1B63" w:rsidRPr="00AD3803">
        <w:rPr>
          <w:rFonts w:ascii="Arial" w:hAnsi="Arial" w:cs="Arial"/>
          <w:sz w:val="24"/>
          <w:szCs w:val="24"/>
          <w:lang w:val="en-US"/>
        </w:rPr>
        <w:t>Parcel</w:t>
      </w:r>
      <w:r w:rsidRPr="00AD3803">
        <w:rPr>
          <w:rFonts w:ascii="Arial" w:hAnsi="Arial" w:cs="Arial"/>
          <w:sz w:val="24"/>
          <w:szCs w:val="24"/>
          <w:lang w:val="en-US"/>
        </w:rPr>
        <w:t xml:space="preserve"> Tracking proves that the Applicant has complied with section 129 of the NCA. </w:t>
      </w:r>
      <w:r w:rsidR="00966EA0">
        <w:rPr>
          <w:rFonts w:ascii="Arial" w:hAnsi="Arial" w:cs="Arial"/>
          <w:sz w:val="24"/>
          <w:szCs w:val="24"/>
          <w:lang w:val="en-US"/>
        </w:rPr>
        <w:t xml:space="preserve">There is no </w:t>
      </w:r>
      <w:proofErr w:type="spellStart"/>
      <w:r w:rsidR="00966EA0">
        <w:rPr>
          <w:rFonts w:ascii="Arial" w:hAnsi="Arial" w:cs="Arial"/>
          <w:sz w:val="24"/>
          <w:szCs w:val="24"/>
          <w:lang w:val="en-US"/>
        </w:rPr>
        <w:t>defence</w:t>
      </w:r>
      <w:proofErr w:type="spellEnd"/>
      <w:r w:rsidR="00966EA0">
        <w:rPr>
          <w:rFonts w:ascii="Arial" w:hAnsi="Arial" w:cs="Arial"/>
          <w:sz w:val="24"/>
          <w:szCs w:val="24"/>
          <w:lang w:val="en-US"/>
        </w:rPr>
        <w:t xml:space="preserve"> in law to be raised by the Respondent on the aspect of whether the Applicant complied with section 129 of the NCA. The two cases are clear on what is expected of the </w:t>
      </w:r>
      <w:r w:rsidR="005749E4">
        <w:rPr>
          <w:rFonts w:ascii="Arial" w:hAnsi="Arial" w:cs="Arial"/>
          <w:sz w:val="24"/>
          <w:szCs w:val="24"/>
          <w:lang w:val="en-US"/>
        </w:rPr>
        <w:t>Applicant,</w:t>
      </w:r>
      <w:r w:rsidR="00966EA0">
        <w:rPr>
          <w:rFonts w:ascii="Arial" w:hAnsi="Arial" w:cs="Arial"/>
          <w:sz w:val="24"/>
          <w:szCs w:val="24"/>
          <w:lang w:val="en-US"/>
        </w:rPr>
        <w:t xml:space="preserve"> and I</w:t>
      </w:r>
      <w:r w:rsidR="003F0A15">
        <w:rPr>
          <w:rFonts w:ascii="Arial" w:hAnsi="Arial" w:cs="Arial"/>
          <w:sz w:val="24"/>
          <w:szCs w:val="24"/>
          <w:lang w:val="en-US"/>
        </w:rPr>
        <w:t>’m</w:t>
      </w:r>
      <w:r w:rsidR="00966EA0">
        <w:rPr>
          <w:rFonts w:ascii="Arial" w:hAnsi="Arial" w:cs="Arial"/>
          <w:sz w:val="24"/>
          <w:szCs w:val="24"/>
          <w:lang w:val="en-US"/>
        </w:rPr>
        <w:t xml:space="preserve"> satisfied that there has been compliance. </w:t>
      </w:r>
      <w:r w:rsidRPr="00AD3803">
        <w:rPr>
          <w:rFonts w:ascii="Arial" w:hAnsi="Arial" w:cs="Arial"/>
          <w:sz w:val="24"/>
          <w:szCs w:val="24"/>
          <w:lang w:val="en-US"/>
        </w:rPr>
        <w:t xml:space="preserve"> </w:t>
      </w:r>
    </w:p>
    <w:p w14:paraId="262EF3B8" w14:textId="514D4446" w:rsidR="008E1B63" w:rsidRDefault="008E1B63" w:rsidP="00AD3803">
      <w:pPr>
        <w:spacing w:line="480" w:lineRule="auto"/>
        <w:jc w:val="both"/>
        <w:rPr>
          <w:rFonts w:ascii="Arial" w:hAnsi="Arial" w:cs="Arial"/>
          <w:sz w:val="24"/>
          <w:szCs w:val="24"/>
          <w:lang w:val="en-US"/>
        </w:rPr>
      </w:pPr>
      <w:r>
        <w:rPr>
          <w:rFonts w:ascii="Arial" w:hAnsi="Arial" w:cs="Arial"/>
          <w:sz w:val="24"/>
          <w:szCs w:val="24"/>
          <w:lang w:val="en-US"/>
        </w:rPr>
        <w:t>[1</w:t>
      </w:r>
      <w:r w:rsidR="003F0A15">
        <w:rPr>
          <w:rFonts w:ascii="Arial" w:hAnsi="Arial" w:cs="Arial"/>
          <w:sz w:val="24"/>
          <w:szCs w:val="24"/>
          <w:lang w:val="en-US"/>
        </w:rPr>
        <w:t>2</w:t>
      </w:r>
      <w:r>
        <w:rPr>
          <w:rFonts w:ascii="Arial" w:hAnsi="Arial" w:cs="Arial"/>
          <w:sz w:val="24"/>
          <w:szCs w:val="24"/>
          <w:lang w:val="en-US"/>
        </w:rPr>
        <w:t xml:space="preserve">] I now turn to the question of whether the sale </w:t>
      </w:r>
      <w:r w:rsidRPr="008E1B63">
        <w:rPr>
          <w:rFonts w:ascii="Arial" w:hAnsi="Arial" w:cs="Arial"/>
          <w:sz w:val="24"/>
          <w:szCs w:val="24"/>
          <w:lang w:val="en-US"/>
        </w:rPr>
        <w:t xml:space="preserve">agreement/contract </w:t>
      </w:r>
      <w:r w:rsidR="001F31CD">
        <w:rPr>
          <w:rFonts w:ascii="Arial" w:hAnsi="Arial" w:cs="Arial"/>
          <w:sz w:val="24"/>
          <w:szCs w:val="24"/>
          <w:lang w:val="en-US"/>
        </w:rPr>
        <w:t xml:space="preserve">is </w:t>
      </w:r>
      <w:r w:rsidRPr="008E1B63">
        <w:rPr>
          <w:rFonts w:ascii="Arial" w:hAnsi="Arial" w:cs="Arial"/>
          <w:sz w:val="24"/>
          <w:szCs w:val="24"/>
          <w:lang w:val="en-US"/>
        </w:rPr>
        <w:t xml:space="preserve">terminated or </w:t>
      </w:r>
      <w:r w:rsidR="001F31CD">
        <w:rPr>
          <w:rFonts w:ascii="Arial" w:hAnsi="Arial" w:cs="Arial"/>
          <w:sz w:val="24"/>
          <w:szCs w:val="24"/>
          <w:lang w:val="en-US"/>
        </w:rPr>
        <w:t xml:space="preserve">not and </w:t>
      </w:r>
      <w:r w:rsidRPr="008E1B63">
        <w:rPr>
          <w:rFonts w:ascii="Arial" w:hAnsi="Arial" w:cs="Arial"/>
          <w:sz w:val="24"/>
          <w:szCs w:val="24"/>
          <w:lang w:val="en-US"/>
        </w:rPr>
        <w:t xml:space="preserve">do the payments made by the respondent later, revive the agreement. </w:t>
      </w:r>
      <w:r>
        <w:rPr>
          <w:rFonts w:ascii="Arial" w:hAnsi="Arial" w:cs="Arial"/>
          <w:sz w:val="24"/>
          <w:szCs w:val="24"/>
          <w:lang w:val="en-US"/>
        </w:rPr>
        <w:t xml:space="preserve">The </w:t>
      </w:r>
      <w:r>
        <w:rPr>
          <w:rFonts w:ascii="Arial" w:hAnsi="Arial" w:cs="Arial"/>
          <w:sz w:val="24"/>
          <w:szCs w:val="24"/>
          <w:lang w:val="en-US"/>
        </w:rPr>
        <w:lastRenderedPageBreak/>
        <w:t>decision taken by the Applicant to terminate the sale agreement is challenged by the Respondent on two grounds:</w:t>
      </w:r>
    </w:p>
    <w:p w14:paraId="28A47156" w14:textId="2DE99246" w:rsidR="002A4EC7" w:rsidRDefault="008E1B63" w:rsidP="008E1B63">
      <w:pPr>
        <w:spacing w:line="480" w:lineRule="auto"/>
        <w:ind w:left="1440" w:hanging="720"/>
        <w:jc w:val="both"/>
        <w:rPr>
          <w:rFonts w:ascii="Arial" w:hAnsi="Arial" w:cs="Arial"/>
          <w:sz w:val="24"/>
          <w:szCs w:val="24"/>
          <w:lang w:val="en-US"/>
        </w:rPr>
      </w:pPr>
      <w:r>
        <w:rPr>
          <w:rFonts w:ascii="Arial" w:hAnsi="Arial" w:cs="Arial"/>
          <w:sz w:val="24"/>
          <w:szCs w:val="24"/>
          <w:lang w:val="en-US"/>
        </w:rPr>
        <w:t xml:space="preserve">(a) </w:t>
      </w:r>
      <w:r>
        <w:rPr>
          <w:rFonts w:ascii="Arial" w:hAnsi="Arial" w:cs="Arial"/>
          <w:sz w:val="24"/>
          <w:szCs w:val="24"/>
          <w:lang w:val="en-US"/>
        </w:rPr>
        <w:tab/>
        <w:t xml:space="preserve">that there was no compliance </w:t>
      </w:r>
      <w:r w:rsidR="002A4EC7">
        <w:rPr>
          <w:rFonts w:ascii="Arial" w:hAnsi="Arial" w:cs="Arial"/>
          <w:sz w:val="24"/>
          <w:szCs w:val="24"/>
          <w:lang w:val="en-US"/>
        </w:rPr>
        <w:t xml:space="preserve">with </w:t>
      </w:r>
      <w:r>
        <w:rPr>
          <w:rFonts w:ascii="Arial" w:hAnsi="Arial" w:cs="Arial"/>
          <w:sz w:val="24"/>
          <w:szCs w:val="24"/>
          <w:lang w:val="en-US"/>
        </w:rPr>
        <w:t xml:space="preserve">section 129 </w:t>
      </w:r>
      <w:r w:rsidR="001F31CD">
        <w:rPr>
          <w:rFonts w:ascii="Arial" w:hAnsi="Arial" w:cs="Arial"/>
          <w:sz w:val="24"/>
          <w:szCs w:val="24"/>
          <w:lang w:val="en-US"/>
        </w:rPr>
        <w:t xml:space="preserve">of the </w:t>
      </w:r>
      <w:r>
        <w:rPr>
          <w:rFonts w:ascii="Arial" w:hAnsi="Arial" w:cs="Arial"/>
          <w:sz w:val="24"/>
          <w:szCs w:val="24"/>
          <w:lang w:val="en-US"/>
        </w:rPr>
        <w:t>NCA, compliance thereto would have enable</w:t>
      </w:r>
      <w:r w:rsidR="002A4EC7">
        <w:rPr>
          <w:rFonts w:ascii="Arial" w:hAnsi="Arial" w:cs="Arial"/>
          <w:sz w:val="24"/>
          <w:szCs w:val="24"/>
          <w:lang w:val="en-US"/>
        </w:rPr>
        <w:t>d</w:t>
      </w:r>
      <w:r>
        <w:rPr>
          <w:rFonts w:ascii="Arial" w:hAnsi="Arial" w:cs="Arial"/>
          <w:sz w:val="24"/>
          <w:szCs w:val="24"/>
          <w:lang w:val="en-US"/>
        </w:rPr>
        <w:t xml:space="preserve"> the Respondent to explore </w:t>
      </w:r>
      <w:r w:rsidR="002A4EC7">
        <w:rPr>
          <w:rFonts w:ascii="Arial" w:hAnsi="Arial" w:cs="Arial"/>
          <w:sz w:val="24"/>
          <w:szCs w:val="24"/>
          <w:lang w:val="en-US"/>
        </w:rPr>
        <w:t>the remedies provided for in the agreement under clause 16.2.1 thereof</w:t>
      </w:r>
      <w:r w:rsidR="001F31CD">
        <w:rPr>
          <w:rFonts w:ascii="Arial" w:hAnsi="Arial" w:cs="Arial"/>
          <w:sz w:val="24"/>
          <w:szCs w:val="24"/>
          <w:lang w:val="en-US"/>
        </w:rPr>
        <w:t>; and</w:t>
      </w:r>
    </w:p>
    <w:p w14:paraId="4957DE18" w14:textId="6FB00E2E" w:rsidR="00873A70" w:rsidRDefault="008E1B63" w:rsidP="00873A70">
      <w:pPr>
        <w:spacing w:line="480" w:lineRule="auto"/>
        <w:ind w:left="1440" w:hanging="720"/>
        <w:jc w:val="both"/>
        <w:rPr>
          <w:rFonts w:ascii="Arial" w:hAnsi="Arial" w:cs="Arial"/>
          <w:sz w:val="24"/>
          <w:szCs w:val="24"/>
          <w:lang w:val="en-US"/>
        </w:rPr>
      </w:pPr>
      <w:r>
        <w:rPr>
          <w:rFonts w:ascii="Arial" w:hAnsi="Arial" w:cs="Arial"/>
          <w:sz w:val="24"/>
          <w:szCs w:val="24"/>
          <w:lang w:val="en-US"/>
        </w:rPr>
        <w:t xml:space="preserve"> </w:t>
      </w:r>
      <w:r w:rsidR="002A4EC7">
        <w:rPr>
          <w:rFonts w:ascii="Arial" w:hAnsi="Arial" w:cs="Arial"/>
          <w:sz w:val="24"/>
          <w:szCs w:val="24"/>
          <w:lang w:val="en-US"/>
        </w:rPr>
        <w:t xml:space="preserve">(b) </w:t>
      </w:r>
      <w:r w:rsidR="002A4EC7">
        <w:rPr>
          <w:rFonts w:ascii="Arial" w:hAnsi="Arial" w:cs="Arial"/>
          <w:sz w:val="24"/>
          <w:szCs w:val="24"/>
          <w:lang w:val="en-US"/>
        </w:rPr>
        <w:tab/>
      </w:r>
      <w:r w:rsidR="001F31CD">
        <w:rPr>
          <w:rFonts w:ascii="Arial" w:hAnsi="Arial" w:cs="Arial"/>
          <w:sz w:val="24"/>
          <w:szCs w:val="24"/>
          <w:lang w:val="en-US"/>
        </w:rPr>
        <w:t>p</w:t>
      </w:r>
      <w:r w:rsidR="002A4EC7">
        <w:rPr>
          <w:rFonts w:ascii="Arial" w:hAnsi="Arial" w:cs="Arial"/>
          <w:sz w:val="24"/>
          <w:szCs w:val="24"/>
          <w:lang w:val="en-US"/>
        </w:rPr>
        <w:t xml:space="preserve">ayments made by the Respondents in June 2022 </w:t>
      </w:r>
      <w:r w:rsidR="001F31CD">
        <w:rPr>
          <w:rFonts w:ascii="Arial" w:hAnsi="Arial" w:cs="Arial"/>
          <w:sz w:val="24"/>
          <w:szCs w:val="24"/>
          <w:lang w:val="en-US"/>
        </w:rPr>
        <w:t xml:space="preserve">and August 2022 </w:t>
      </w:r>
      <w:r w:rsidR="002A4EC7">
        <w:rPr>
          <w:rFonts w:ascii="Arial" w:hAnsi="Arial" w:cs="Arial"/>
          <w:sz w:val="24"/>
          <w:szCs w:val="24"/>
          <w:lang w:val="en-US"/>
        </w:rPr>
        <w:t>revived the contract and as a result the contract is not terminated.</w:t>
      </w:r>
    </w:p>
    <w:p w14:paraId="6E5E3D82" w14:textId="06E9E147" w:rsidR="0076534C" w:rsidRDefault="00644056" w:rsidP="00873A70">
      <w:pPr>
        <w:spacing w:line="480" w:lineRule="auto"/>
        <w:jc w:val="both"/>
        <w:rPr>
          <w:rFonts w:ascii="Arial" w:hAnsi="Arial" w:cs="Arial"/>
          <w:sz w:val="24"/>
          <w:szCs w:val="24"/>
          <w:lang w:val="en-US"/>
        </w:rPr>
      </w:pPr>
      <w:r>
        <w:rPr>
          <w:rFonts w:ascii="Arial" w:hAnsi="Arial" w:cs="Arial"/>
          <w:sz w:val="24"/>
          <w:szCs w:val="24"/>
          <w:lang w:val="en-US"/>
        </w:rPr>
        <w:t>[1</w:t>
      </w:r>
      <w:r w:rsidR="003F0A15">
        <w:rPr>
          <w:rFonts w:ascii="Arial" w:hAnsi="Arial" w:cs="Arial"/>
          <w:sz w:val="24"/>
          <w:szCs w:val="24"/>
          <w:lang w:val="en-US"/>
        </w:rPr>
        <w:t>3</w:t>
      </w:r>
      <w:r>
        <w:rPr>
          <w:rFonts w:ascii="Arial" w:hAnsi="Arial" w:cs="Arial"/>
          <w:sz w:val="24"/>
          <w:szCs w:val="24"/>
          <w:lang w:val="en-US"/>
        </w:rPr>
        <w:t xml:space="preserve">] </w:t>
      </w:r>
      <w:r w:rsidR="00873A70">
        <w:rPr>
          <w:rFonts w:ascii="Arial" w:hAnsi="Arial" w:cs="Arial"/>
          <w:sz w:val="24"/>
          <w:szCs w:val="24"/>
          <w:lang w:val="en-US"/>
        </w:rPr>
        <w:t xml:space="preserve">The sale </w:t>
      </w:r>
      <w:r w:rsidR="00873A70" w:rsidRPr="00873A70">
        <w:rPr>
          <w:rFonts w:ascii="Arial" w:hAnsi="Arial" w:cs="Arial"/>
          <w:sz w:val="24"/>
          <w:szCs w:val="24"/>
          <w:lang w:val="en-US"/>
        </w:rPr>
        <w:t xml:space="preserve">agreement </w:t>
      </w:r>
      <w:r w:rsidR="00873A70">
        <w:rPr>
          <w:rFonts w:ascii="Arial" w:hAnsi="Arial" w:cs="Arial"/>
          <w:sz w:val="24"/>
          <w:szCs w:val="24"/>
          <w:lang w:val="en-US"/>
        </w:rPr>
        <w:t xml:space="preserve">between the Applicant and the Respondent clearly defined </w:t>
      </w:r>
      <w:r w:rsidR="00873A70" w:rsidRPr="00873A70">
        <w:rPr>
          <w:rFonts w:ascii="Arial" w:hAnsi="Arial" w:cs="Arial"/>
          <w:sz w:val="24"/>
          <w:szCs w:val="24"/>
          <w:lang w:val="en-US"/>
        </w:rPr>
        <w:t>fixe</w:t>
      </w:r>
      <w:r w:rsidR="00873A70">
        <w:rPr>
          <w:rFonts w:ascii="Arial" w:hAnsi="Arial" w:cs="Arial"/>
          <w:sz w:val="24"/>
          <w:szCs w:val="24"/>
          <w:lang w:val="en-US"/>
        </w:rPr>
        <w:t>d</w:t>
      </w:r>
      <w:r w:rsidR="00873A70" w:rsidRPr="00873A70">
        <w:rPr>
          <w:rFonts w:ascii="Arial" w:hAnsi="Arial" w:cs="Arial"/>
          <w:sz w:val="24"/>
          <w:szCs w:val="24"/>
          <w:lang w:val="en-US"/>
        </w:rPr>
        <w:t xml:space="preserve"> time for performance and </w:t>
      </w:r>
      <w:r w:rsidR="00873A70">
        <w:rPr>
          <w:rFonts w:ascii="Arial" w:hAnsi="Arial" w:cs="Arial"/>
          <w:sz w:val="24"/>
          <w:szCs w:val="24"/>
          <w:lang w:val="en-US"/>
        </w:rPr>
        <w:t xml:space="preserve">what would happen in cases of a breach. The evidence of the issuance of summons is enough to prove </w:t>
      </w:r>
      <w:r w:rsidR="00873A70" w:rsidRPr="00873A70">
        <w:rPr>
          <w:rFonts w:ascii="Arial" w:hAnsi="Arial" w:cs="Arial"/>
          <w:sz w:val="24"/>
          <w:szCs w:val="24"/>
          <w:lang w:val="en-US"/>
        </w:rPr>
        <w:t>cancellation of the agreement. The summons serves th</w:t>
      </w:r>
      <w:r w:rsidR="00873A70">
        <w:rPr>
          <w:rFonts w:ascii="Arial" w:hAnsi="Arial" w:cs="Arial"/>
          <w:sz w:val="24"/>
          <w:szCs w:val="24"/>
          <w:lang w:val="en-US"/>
        </w:rPr>
        <w:t xml:space="preserve">e </w:t>
      </w:r>
      <w:r w:rsidR="00873A70" w:rsidRPr="00873A70">
        <w:rPr>
          <w:rFonts w:ascii="Arial" w:hAnsi="Arial" w:cs="Arial"/>
          <w:sz w:val="24"/>
          <w:szCs w:val="24"/>
          <w:lang w:val="en-US"/>
        </w:rPr>
        <w:t xml:space="preserve">purpose </w:t>
      </w:r>
      <w:r w:rsidR="00873A70">
        <w:rPr>
          <w:rFonts w:ascii="Arial" w:hAnsi="Arial" w:cs="Arial"/>
          <w:sz w:val="24"/>
          <w:szCs w:val="24"/>
          <w:lang w:val="en-US"/>
        </w:rPr>
        <w:t>of proving action taken by the Applicant. N</w:t>
      </w:r>
      <w:r w:rsidR="00873A70" w:rsidRPr="00873A70">
        <w:rPr>
          <w:rFonts w:ascii="Arial" w:hAnsi="Arial" w:cs="Arial"/>
          <w:sz w:val="24"/>
          <w:szCs w:val="24"/>
          <w:lang w:val="en-US"/>
        </w:rPr>
        <w:t>o further letter of demand is required</w:t>
      </w:r>
      <w:r w:rsidR="00873A70">
        <w:rPr>
          <w:rFonts w:ascii="Arial" w:hAnsi="Arial" w:cs="Arial"/>
          <w:sz w:val="24"/>
          <w:szCs w:val="24"/>
          <w:lang w:val="en-US"/>
        </w:rPr>
        <w:t xml:space="preserve">. </w:t>
      </w:r>
      <w:r w:rsidR="0076534C">
        <w:rPr>
          <w:rFonts w:ascii="Arial" w:hAnsi="Arial" w:cs="Arial"/>
          <w:sz w:val="24"/>
          <w:szCs w:val="24"/>
          <w:lang w:val="en-US"/>
        </w:rPr>
        <w:t xml:space="preserve">Having established that there was compliance with section 129 of the NCA, the Applicant was within his rights to cancel the sale agreement. There is no evidence presented </w:t>
      </w:r>
      <w:r w:rsidR="001F31CD">
        <w:rPr>
          <w:rFonts w:ascii="Arial" w:hAnsi="Arial" w:cs="Arial"/>
          <w:sz w:val="24"/>
          <w:szCs w:val="24"/>
          <w:lang w:val="en-US"/>
        </w:rPr>
        <w:t xml:space="preserve">before </w:t>
      </w:r>
      <w:r w:rsidR="0076534C">
        <w:rPr>
          <w:rFonts w:ascii="Arial" w:hAnsi="Arial" w:cs="Arial"/>
          <w:sz w:val="24"/>
          <w:szCs w:val="24"/>
          <w:lang w:val="en-US"/>
        </w:rPr>
        <w:t xml:space="preserve">of any further discussions </w:t>
      </w:r>
      <w:r w:rsidR="001F31CD">
        <w:rPr>
          <w:rFonts w:ascii="Arial" w:hAnsi="Arial" w:cs="Arial"/>
          <w:sz w:val="24"/>
          <w:szCs w:val="24"/>
          <w:lang w:val="en-US"/>
        </w:rPr>
        <w:t xml:space="preserve">between the Applicant and the Respondent </w:t>
      </w:r>
      <w:r w:rsidR="0076534C">
        <w:rPr>
          <w:rFonts w:ascii="Arial" w:hAnsi="Arial" w:cs="Arial"/>
          <w:sz w:val="24"/>
          <w:szCs w:val="24"/>
          <w:lang w:val="en-US"/>
        </w:rPr>
        <w:t xml:space="preserve">after the Applicant has taken the decision to cancel the sale agreement. </w:t>
      </w:r>
      <w:r w:rsidR="001F31CD">
        <w:rPr>
          <w:rFonts w:ascii="Arial" w:hAnsi="Arial" w:cs="Arial"/>
          <w:sz w:val="24"/>
          <w:szCs w:val="24"/>
          <w:lang w:val="en-US"/>
        </w:rPr>
        <w:t>I conclude that the agreement was terminated</w:t>
      </w:r>
      <w:r w:rsidR="00C95FC5">
        <w:rPr>
          <w:rFonts w:ascii="Arial" w:hAnsi="Arial" w:cs="Arial"/>
          <w:sz w:val="24"/>
          <w:szCs w:val="24"/>
          <w:lang w:val="en-US"/>
        </w:rPr>
        <w:t xml:space="preserve">, this aspect is closely connected with the issue about the character of the payments made by the Respondent between June 2022 and August 2022 which I will deal it immediately hereafter.  </w:t>
      </w:r>
      <w:r w:rsidR="001F31CD">
        <w:rPr>
          <w:rFonts w:ascii="Arial" w:hAnsi="Arial" w:cs="Arial"/>
          <w:sz w:val="24"/>
          <w:szCs w:val="24"/>
          <w:lang w:val="en-US"/>
        </w:rPr>
        <w:t xml:space="preserve"> </w:t>
      </w:r>
    </w:p>
    <w:p w14:paraId="507F5E66" w14:textId="5F070616" w:rsidR="0076534C" w:rsidRDefault="00644056" w:rsidP="0076534C">
      <w:pPr>
        <w:spacing w:line="480" w:lineRule="auto"/>
        <w:jc w:val="both"/>
        <w:rPr>
          <w:rFonts w:ascii="Arial" w:hAnsi="Arial" w:cs="Arial"/>
          <w:sz w:val="24"/>
          <w:szCs w:val="24"/>
          <w:lang w:val="en-US"/>
        </w:rPr>
      </w:pPr>
      <w:r>
        <w:rPr>
          <w:rFonts w:ascii="Arial" w:hAnsi="Arial" w:cs="Arial"/>
          <w:sz w:val="24"/>
          <w:szCs w:val="24"/>
          <w:lang w:val="en-US"/>
        </w:rPr>
        <w:t>[1</w:t>
      </w:r>
      <w:r w:rsidR="003F0A15">
        <w:rPr>
          <w:rFonts w:ascii="Arial" w:hAnsi="Arial" w:cs="Arial"/>
          <w:sz w:val="24"/>
          <w:szCs w:val="24"/>
          <w:lang w:val="en-US"/>
        </w:rPr>
        <w:t>4</w:t>
      </w:r>
      <w:r>
        <w:rPr>
          <w:rFonts w:ascii="Arial" w:hAnsi="Arial" w:cs="Arial"/>
          <w:sz w:val="24"/>
          <w:szCs w:val="24"/>
          <w:lang w:val="en-US"/>
        </w:rPr>
        <w:t xml:space="preserve">] </w:t>
      </w:r>
      <w:r w:rsidR="0076534C">
        <w:rPr>
          <w:rFonts w:ascii="Arial" w:hAnsi="Arial" w:cs="Arial"/>
          <w:sz w:val="24"/>
          <w:szCs w:val="24"/>
          <w:lang w:val="en-US"/>
        </w:rPr>
        <w:t xml:space="preserve">I </w:t>
      </w:r>
      <w:r w:rsidR="00C95FC5">
        <w:rPr>
          <w:rFonts w:ascii="Arial" w:hAnsi="Arial" w:cs="Arial"/>
          <w:sz w:val="24"/>
          <w:szCs w:val="24"/>
          <w:lang w:val="en-US"/>
        </w:rPr>
        <w:t xml:space="preserve">now deal with the issue about </w:t>
      </w:r>
      <w:r w:rsidR="0076534C" w:rsidRPr="0076534C">
        <w:rPr>
          <w:rFonts w:ascii="Arial" w:hAnsi="Arial" w:cs="Arial"/>
          <w:sz w:val="24"/>
          <w:szCs w:val="24"/>
          <w:lang w:val="en-US"/>
        </w:rPr>
        <w:t xml:space="preserve">the character of payments by the Respondent on the dates of between June and August 2022 is. </w:t>
      </w:r>
      <w:r w:rsidR="0076534C" w:rsidRPr="00644056">
        <w:rPr>
          <w:rFonts w:ascii="Arial" w:hAnsi="Arial" w:cs="Arial"/>
          <w:b/>
          <w:bCs/>
          <w:sz w:val="24"/>
          <w:szCs w:val="24"/>
          <w:lang w:val="en-US"/>
        </w:rPr>
        <w:t>Clause 6.8</w:t>
      </w:r>
      <w:r w:rsidR="0076534C" w:rsidRPr="0076534C">
        <w:rPr>
          <w:rFonts w:ascii="Arial" w:hAnsi="Arial" w:cs="Arial"/>
          <w:sz w:val="24"/>
          <w:szCs w:val="24"/>
          <w:lang w:val="en-US"/>
        </w:rPr>
        <w:t xml:space="preserve"> </w:t>
      </w:r>
      <w:r w:rsidR="0076534C">
        <w:rPr>
          <w:rFonts w:ascii="Arial" w:hAnsi="Arial" w:cs="Arial"/>
          <w:sz w:val="24"/>
          <w:szCs w:val="24"/>
          <w:lang w:val="en-US"/>
        </w:rPr>
        <w:t xml:space="preserve">of the sale agreement reads as follows: </w:t>
      </w:r>
    </w:p>
    <w:p w14:paraId="03892073" w14:textId="4F43A530" w:rsidR="0076534C" w:rsidRDefault="003F0A15" w:rsidP="003F0A15">
      <w:pPr>
        <w:spacing w:after="0" w:line="480" w:lineRule="auto"/>
        <w:ind w:left="720"/>
        <w:jc w:val="both"/>
        <w:rPr>
          <w:rFonts w:ascii="Arial" w:hAnsi="Arial" w:cs="Arial"/>
          <w:sz w:val="24"/>
          <w:szCs w:val="24"/>
          <w:lang w:val="en-US"/>
        </w:rPr>
      </w:pPr>
      <w:r>
        <w:rPr>
          <w:rFonts w:ascii="Arial" w:hAnsi="Arial" w:cs="Arial"/>
          <w:sz w:val="24"/>
          <w:szCs w:val="24"/>
          <w:lang w:val="en-US"/>
        </w:rPr>
        <w:t>i</w:t>
      </w:r>
      <w:r w:rsidR="0076534C" w:rsidRPr="0076534C">
        <w:rPr>
          <w:rFonts w:ascii="Arial" w:hAnsi="Arial" w:cs="Arial"/>
          <w:sz w:val="24"/>
          <w:szCs w:val="24"/>
          <w:lang w:val="en-US"/>
        </w:rPr>
        <w:t>f this agreement is terminated by us and you dispute such termination</w:t>
      </w:r>
      <w:r>
        <w:rPr>
          <w:rFonts w:ascii="Arial" w:hAnsi="Arial" w:cs="Arial"/>
          <w:sz w:val="24"/>
          <w:szCs w:val="24"/>
          <w:lang w:val="en-US"/>
        </w:rPr>
        <w:t xml:space="preserve"> </w:t>
      </w:r>
      <w:r w:rsidR="0076534C" w:rsidRPr="0076534C">
        <w:rPr>
          <w:rFonts w:ascii="Arial" w:hAnsi="Arial" w:cs="Arial"/>
          <w:sz w:val="24"/>
          <w:szCs w:val="24"/>
          <w:lang w:val="en-US"/>
        </w:rPr>
        <w:t>whilst remaining in possession of the Goods, you must continue to pay all</w:t>
      </w:r>
      <w:r>
        <w:rPr>
          <w:rFonts w:ascii="Arial" w:hAnsi="Arial" w:cs="Arial"/>
          <w:sz w:val="24"/>
          <w:szCs w:val="24"/>
          <w:lang w:val="en-US"/>
        </w:rPr>
        <w:t xml:space="preserve"> </w:t>
      </w:r>
      <w:r w:rsidR="0076534C" w:rsidRPr="0076534C">
        <w:rPr>
          <w:rFonts w:ascii="Arial" w:hAnsi="Arial" w:cs="Arial"/>
          <w:sz w:val="24"/>
          <w:szCs w:val="24"/>
          <w:lang w:val="en-US"/>
        </w:rPr>
        <w:t xml:space="preserve">amounts </w:t>
      </w:r>
      <w:r w:rsidR="0076534C" w:rsidRPr="0076534C">
        <w:rPr>
          <w:rFonts w:ascii="Arial" w:hAnsi="Arial" w:cs="Arial"/>
          <w:sz w:val="24"/>
          <w:szCs w:val="24"/>
          <w:lang w:val="en-US"/>
        </w:rPr>
        <w:lastRenderedPageBreak/>
        <w:t>due in terms of the Agreement. Notwithstanding our acceptance of</w:t>
      </w:r>
      <w:r>
        <w:rPr>
          <w:rFonts w:ascii="Arial" w:hAnsi="Arial" w:cs="Arial"/>
          <w:sz w:val="24"/>
          <w:szCs w:val="24"/>
          <w:lang w:val="en-US"/>
        </w:rPr>
        <w:t xml:space="preserve"> </w:t>
      </w:r>
      <w:r w:rsidR="0076534C" w:rsidRPr="0076534C">
        <w:rPr>
          <w:rFonts w:ascii="Arial" w:hAnsi="Arial" w:cs="Arial"/>
          <w:sz w:val="24"/>
          <w:szCs w:val="24"/>
          <w:lang w:val="en-US"/>
        </w:rPr>
        <w:t>such payments, we will not lose any of our rights herein.”</w:t>
      </w:r>
    </w:p>
    <w:p w14:paraId="5E57D8D9" w14:textId="4894AD18" w:rsidR="000C5061" w:rsidRDefault="00644056" w:rsidP="000C5061">
      <w:pPr>
        <w:spacing w:after="0" w:line="480" w:lineRule="auto"/>
        <w:jc w:val="both"/>
        <w:rPr>
          <w:rFonts w:ascii="Arial" w:hAnsi="Arial" w:cs="Arial"/>
          <w:sz w:val="24"/>
          <w:szCs w:val="24"/>
          <w:lang w:val="en-US"/>
        </w:rPr>
      </w:pPr>
      <w:r>
        <w:rPr>
          <w:rFonts w:ascii="Arial" w:hAnsi="Arial" w:cs="Arial"/>
          <w:sz w:val="24"/>
          <w:szCs w:val="24"/>
          <w:lang w:val="en-US"/>
        </w:rPr>
        <w:t>[1</w:t>
      </w:r>
      <w:r w:rsidR="003F0A15">
        <w:rPr>
          <w:rFonts w:ascii="Arial" w:hAnsi="Arial" w:cs="Arial"/>
          <w:sz w:val="24"/>
          <w:szCs w:val="24"/>
          <w:lang w:val="en-US"/>
        </w:rPr>
        <w:t>5</w:t>
      </w:r>
      <w:r>
        <w:rPr>
          <w:rFonts w:ascii="Arial" w:hAnsi="Arial" w:cs="Arial"/>
          <w:sz w:val="24"/>
          <w:szCs w:val="24"/>
          <w:lang w:val="en-US"/>
        </w:rPr>
        <w:t xml:space="preserve">] </w:t>
      </w:r>
      <w:r w:rsidR="000C5061">
        <w:rPr>
          <w:rFonts w:ascii="Arial" w:hAnsi="Arial" w:cs="Arial"/>
          <w:sz w:val="24"/>
          <w:szCs w:val="24"/>
          <w:lang w:val="en-US"/>
        </w:rPr>
        <w:t xml:space="preserve">The Respondent had an obligation in terms of the agreement </w:t>
      </w:r>
      <w:r w:rsidR="00C95FC5">
        <w:rPr>
          <w:rFonts w:ascii="Arial" w:hAnsi="Arial" w:cs="Arial"/>
          <w:sz w:val="24"/>
          <w:szCs w:val="24"/>
          <w:lang w:val="en-US"/>
        </w:rPr>
        <w:t xml:space="preserve">itself </w:t>
      </w:r>
      <w:r>
        <w:rPr>
          <w:rFonts w:ascii="Arial" w:hAnsi="Arial" w:cs="Arial"/>
          <w:sz w:val="24"/>
          <w:szCs w:val="24"/>
          <w:lang w:val="en-US"/>
        </w:rPr>
        <w:t xml:space="preserve">even if the </w:t>
      </w:r>
      <w:r w:rsidR="00C95FC5">
        <w:rPr>
          <w:rFonts w:ascii="Arial" w:hAnsi="Arial" w:cs="Arial"/>
          <w:sz w:val="24"/>
          <w:szCs w:val="24"/>
          <w:lang w:val="en-US"/>
        </w:rPr>
        <w:t xml:space="preserve">agreement is </w:t>
      </w:r>
      <w:r>
        <w:rPr>
          <w:rFonts w:ascii="Arial" w:hAnsi="Arial" w:cs="Arial"/>
          <w:sz w:val="24"/>
          <w:szCs w:val="24"/>
          <w:lang w:val="en-US"/>
        </w:rPr>
        <w:t xml:space="preserve">terminated </w:t>
      </w:r>
      <w:r w:rsidR="000C5061">
        <w:rPr>
          <w:rFonts w:ascii="Arial" w:hAnsi="Arial" w:cs="Arial"/>
          <w:sz w:val="24"/>
          <w:szCs w:val="24"/>
          <w:lang w:val="en-US"/>
        </w:rPr>
        <w:t xml:space="preserve">to continue to make payments </w:t>
      </w:r>
      <w:r w:rsidR="00C95FC5">
        <w:rPr>
          <w:rFonts w:ascii="Arial" w:hAnsi="Arial" w:cs="Arial"/>
          <w:sz w:val="24"/>
          <w:szCs w:val="24"/>
          <w:lang w:val="en-US"/>
        </w:rPr>
        <w:t xml:space="preserve">especially as he continued to be in </w:t>
      </w:r>
      <w:r>
        <w:rPr>
          <w:rFonts w:ascii="Arial" w:hAnsi="Arial" w:cs="Arial"/>
          <w:sz w:val="24"/>
          <w:szCs w:val="24"/>
          <w:lang w:val="en-US"/>
        </w:rPr>
        <w:t xml:space="preserve">possession of the goods. </w:t>
      </w:r>
      <w:r w:rsidR="00A119F9">
        <w:rPr>
          <w:rFonts w:ascii="Arial" w:hAnsi="Arial" w:cs="Arial"/>
          <w:sz w:val="24"/>
          <w:szCs w:val="24"/>
          <w:lang w:val="en-US"/>
        </w:rPr>
        <w:t xml:space="preserve">The clause on the agreement is very clear of what obligations it imposes on the Respondent, payments per se to ensure compliance with the obligation does not revive the agreement in any way. </w:t>
      </w:r>
      <w:r>
        <w:rPr>
          <w:rFonts w:ascii="Arial" w:hAnsi="Arial" w:cs="Arial"/>
          <w:sz w:val="24"/>
          <w:szCs w:val="24"/>
          <w:lang w:val="en-US"/>
        </w:rPr>
        <w:t xml:space="preserve">The Respondent always had and during the times when the said payments were made being in the possession of the goods. </w:t>
      </w:r>
      <w:r w:rsidR="00A119F9">
        <w:rPr>
          <w:rFonts w:ascii="Arial" w:hAnsi="Arial" w:cs="Arial"/>
          <w:sz w:val="24"/>
          <w:szCs w:val="24"/>
          <w:lang w:val="en-US"/>
        </w:rPr>
        <w:t>In the absence of evidence demonstrating any revived agreement, the contract remains terminated. It is my conclusion that the contract between the Applicant and the Respondent remains terminated even as the Respondent c</w:t>
      </w:r>
      <w:r>
        <w:rPr>
          <w:rFonts w:ascii="Arial" w:hAnsi="Arial" w:cs="Arial"/>
          <w:sz w:val="24"/>
          <w:szCs w:val="24"/>
          <w:lang w:val="en-US"/>
        </w:rPr>
        <w:t>ontinu</w:t>
      </w:r>
      <w:r w:rsidR="00A119F9">
        <w:rPr>
          <w:rFonts w:ascii="Arial" w:hAnsi="Arial" w:cs="Arial"/>
          <w:sz w:val="24"/>
          <w:szCs w:val="24"/>
          <w:lang w:val="en-US"/>
        </w:rPr>
        <w:t xml:space="preserve">ed making </w:t>
      </w:r>
      <w:r>
        <w:rPr>
          <w:rFonts w:ascii="Arial" w:hAnsi="Arial" w:cs="Arial"/>
          <w:sz w:val="24"/>
          <w:szCs w:val="24"/>
          <w:lang w:val="en-US"/>
        </w:rPr>
        <w:t>payment</w:t>
      </w:r>
      <w:r w:rsidR="00A119F9">
        <w:rPr>
          <w:rFonts w:ascii="Arial" w:hAnsi="Arial" w:cs="Arial"/>
          <w:sz w:val="24"/>
          <w:szCs w:val="24"/>
          <w:lang w:val="en-US"/>
        </w:rPr>
        <w:t xml:space="preserve">s as this was adherence with the obligation in terms of clause 6.8 of the agreement. </w:t>
      </w:r>
      <w:r w:rsidR="00C95FC5">
        <w:rPr>
          <w:rFonts w:ascii="Arial" w:hAnsi="Arial" w:cs="Arial"/>
          <w:sz w:val="24"/>
          <w:szCs w:val="24"/>
          <w:lang w:val="en-US"/>
        </w:rPr>
        <w:t xml:space="preserve"> </w:t>
      </w:r>
    </w:p>
    <w:p w14:paraId="1766EF8F" w14:textId="6A693DAC" w:rsidR="008E1B63" w:rsidRDefault="0086290E" w:rsidP="00AD3803">
      <w:pPr>
        <w:spacing w:line="480" w:lineRule="auto"/>
        <w:jc w:val="both"/>
        <w:rPr>
          <w:rFonts w:ascii="Arial" w:hAnsi="Arial" w:cs="Arial"/>
          <w:sz w:val="24"/>
          <w:szCs w:val="24"/>
          <w:lang w:val="en-US"/>
        </w:rPr>
      </w:pPr>
      <w:r>
        <w:rPr>
          <w:rFonts w:ascii="Arial" w:hAnsi="Arial" w:cs="Arial"/>
          <w:sz w:val="24"/>
          <w:szCs w:val="24"/>
          <w:lang w:val="en-US"/>
        </w:rPr>
        <w:t>[1</w:t>
      </w:r>
      <w:r w:rsidR="003F0A15">
        <w:rPr>
          <w:rFonts w:ascii="Arial" w:hAnsi="Arial" w:cs="Arial"/>
          <w:sz w:val="24"/>
          <w:szCs w:val="24"/>
          <w:lang w:val="en-US"/>
        </w:rPr>
        <w:t>6</w:t>
      </w:r>
      <w:r>
        <w:rPr>
          <w:rFonts w:ascii="Arial" w:hAnsi="Arial" w:cs="Arial"/>
          <w:sz w:val="24"/>
          <w:szCs w:val="24"/>
          <w:lang w:val="en-US"/>
        </w:rPr>
        <w:t xml:space="preserve">] </w:t>
      </w:r>
      <w:r w:rsidR="00644056">
        <w:rPr>
          <w:rFonts w:ascii="Arial" w:hAnsi="Arial" w:cs="Arial"/>
          <w:sz w:val="24"/>
          <w:szCs w:val="24"/>
          <w:lang w:val="en-US"/>
        </w:rPr>
        <w:t xml:space="preserve">Since this is an application for summary Judgment one </w:t>
      </w:r>
      <w:proofErr w:type="gramStart"/>
      <w:r w:rsidR="00644056">
        <w:rPr>
          <w:rFonts w:ascii="Arial" w:hAnsi="Arial" w:cs="Arial"/>
          <w:sz w:val="24"/>
          <w:szCs w:val="24"/>
          <w:lang w:val="en-US"/>
        </w:rPr>
        <w:t>has to</w:t>
      </w:r>
      <w:proofErr w:type="gramEnd"/>
      <w:r w:rsidR="00644056">
        <w:rPr>
          <w:rFonts w:ascii="Arial" w:hAnsi="Arial" w:cs="Arial"/>
          <w:sz w:val="24"/>
          <w:szCs w:val="24"/>
          <w:lang w:val="en-US"/>
        </w:rPr>
        <w:t xml:space="preserve"> ask </w:t>
      </w:r>
      <w:r>
        <w:rPr>
          <w:rFonts w:ascii="Arial" w:hAnsi="Arial" w:cs="Arial"/>
          <w:sz w:val="24"/>
          <w:szCs w:val="24"/>
          <w:lang w:val="en-US"/>
        </w:rPr>
        <w:t>the same question which was posed by Corbett J in the case of</w:t>
      </w:r>
      <w:r w:rsidRPr="0086290E">
        <w:t xml:space="preserve"> </w:t>
      </w:r>
      <w:r w:rsidRPr="0086290E">
        <w:rPr>
          <w:rFonts w:ascii="Arial" w:hAnsi="Arial" w:cs="Arial"/>
          <w:b/>
          <w:bCs/>
          <w:i/>
          <w:iCs/>
          <w:sz w:val="24"/>
          <w:szCs w:val="24"/>
          <w:lang w:val="en-US"/>
        </w:rPr>
        <w:t>Maharaj v Barclays National Bank Limited</w:t>
      </w:r>
      <w:r>
        <w:rPr>
          <w:rFonts w:ascii="Arial" w:hAnsi="Arial" w:cs="Arial"/>
          <w:sz w:val="24"/>
          <w:szCs w:val="24"/>
          <w:lang w:val="en-US"/>
        </w:rPr>
        <w:t xml:space="preserve">, </w:t>
      </w:r>
      <w:r w:rsidR="00644056">
        <w:rPr>
          <w:rFonts w:ascii="Arial" w:hAnsi="Arial" w:cs="Arial"/>
          <w:sz w:val="24"/>
          <w:szCs w:val="24"/>
          <w:lang w:val="en-US"/>
        </w:rPr>
        <w:t xml:space="preserve">whether </w:t>
      </w:r>
      <w:r>
        <w:rPr>
          <w:rFonts w:ascii="Arial" w:hAnsi="Arial" w:cs="Arial"/>
          <w:sz w:val="24"/>
          <w:szCs w:val="24"/>
          <w:lang w:val="en-US"/>
        </w:rPr>
        <w:t xml:space="preserve">the [Applicant’s] claim is unimpeachable and that the [Respondents] </w:t>
      </w:r>
      <w:proofErr w:type="spellStart"/>
      <w:r>
        <w:rPr>
          <w:rFonts w:ascii="Arial" w:hAnsi="Arial" w:cs="Arial"/>
          <w:sz w:val="24"/>
          <w:szCs w:val="24"/>
          <w:lang w:val="en-US"/>
        </w:rPr>
        <w:t>defence</w:t>
      </w:r>
      <w:proofErr w:type="spellEnd"/>
      <w:r>
        <w:rPr>
          <w:rFonts w:ascii="Arial" w:hAnsi="Arial" w:cs="Arial"/>
          <w:sz w:val="24"/>
          <w:szCs w:val="24"/>
          <w:lang w:val="en-US"/>
        </w:rPr>
        <w:t xml:space="preserve"> is bogus and bad in law</w:t>
      </w:r>
      <w:r>
        <w:rPr>
          <w:rStyle w:val="FootnoteReference"/>
          <w:rFonts w:ascii="Arial" w:hAnsi="Arial" w:cs="Arial"/>
          <w:sz w:val="24"/>
          <w:szCs w:val="24"/>
          <w:lang w:val="en-US"/>
        </w:rPr>
        <w:footnoteReference w:id="4"/>
      </w:r>
      <w:r>
        <w:rPr>
          <w:rFonts w:ascii="Arial" w:hAnsi="Arial" w:cs="Arial"/>
          <w:sz w:val="24"/>
          <w:szCs w:val="24"/>
          <w:lang w:val="en-US"/>
        </w:rPr>
        <w:t xml:space="preserve">. </w:t>
      </w:r>
      <w:r w:rsidR="00644056">
        <w:rPr>
          <w:rFonts w:ascii="Arial" w:hAnsi="Arial" w:cs="Arial"/>
          <w:sz w:val="24"/>
          <w:szCs w:val="24"/>
          <w:lang w:val="en-US"/>
        </w:rPr>
        <w:t xml:space="preserve"> </w:t>
      </w:r>
    </w:p>
    <w:p w14:paraId="71158290" w14:textId="797C396D" w:rsidR="0086290E" w:rsidRDefault="002A6947" w:rsidP="00AD3803">
      <w:pPr>
        <w:spacing w:line="480" w:lineRule="auto"/>
        <w:jc w:val="both"/>
        <w:rPr>
          <w:rFonts w:ascii="Arial" w:hAnsi="Arial" w:cs="Arial"/>
          <w:sz w:val="24"/>
          <w:szCs w:val="24"/>
          <w:lang w:val="en-US"/>
        </w:rPr>
      </w:pPr>
      <w:r>
        <w:rPr>
          <w:rFonts w:ascii="Arial" w:hAnsi="Arial" w:cs="Arial"/>
          <w:sz w:val="24"/>
          <w:szCs w:val="24"/>
          <w:lang w:val="en-US"/>
        </w:rPr>
        <w:t>[1</w:t>
      </w:r>
      <w:r w:rsidR="003F0A15">
        <w:rPr>
          <w:rFonts w:ascii="Arial" w:hAnsi="Arial" w:cs="Arial"/>
          <w:sz w:val="24"/>
          <w:szCs w:val="24"/>
          <w:lang w:val="en-US"/>
        </w:rPr>
        <w:t>7</w:t>
      </w:r>
      <w:r>
        <w:rPr>
          <w:rFonts w:ascii="Arial" w:hAnsi="Arial" w:cs="Arial"/>
          <w:sz w:val="24"/>
          <w:szCs w:val="24"/>
          <w:lang w:val="en-US"/>
        </w:rPr>
        <w:t xml:space="preserve">] </w:t>
      </w:r>
      <w:r w:rsidR="0086290E">
        <w:rPr>
          <w:rFonts w:ascii="Arial" w:hAnsi="Arial" w:cs="Arial"/>
          <w:sz w:val="24"/>
          <w:szCs w:val="24"/>
          <w:lang w:val="en-US"/>
        </w:rPr>
        <w:t xml:space="preserve">Courts are extremely loath to grant summary judgment unless satisfied that the plaintiff has </w:t>
      </w:r>
      <w:r>
        <w:rPr>
          <w:rFonts w:ascii="Arial" w:hAnsi="Arial" w:cs="Arial"/>
          <w:sz w:val="24"/>
          <w:szCs w:val="24"/>
          <w:lang w:val="en-US"/>
        </w:rPr>
        <w:t>an unanswerable</w:t>
      </w:r>
      <w:r w:rsidR="0086290E">
        <w:rPr>
          <w:rFonts w:ascii="Arial" w:hAnsi="Arial" w:cs="Arial"/>
          <w:sz w:val="24"/>
          <w:szCs w:val="24"/>
          <w:lang w:val="en-US"/>
        </w:rPr>
        <w:t xml:space="preserve"> case. This is because summary judgment is an extra ordinary and very stringent remedy in that it permits a judgment to be given without trial. It closes the court for the defendant. It is only where there is no doubt that the plaintiff has an unanswerable case that it should be granted</w:t>
      </w:r>
      <w:r>
        <w:rPr>
          <w:rStyle w:val="FootnoteReference"/>
          <w:rFonts w:ascii="Arial" w:hAnsi="Arial" w:cs="Arial"/>
          <w:sz w:val="24"/>
          <w:szCs w:val="24"/>
          <w:lang w:val="en-US"/>
        </w:rPr>
        <w:footnoteReference w:id="5"/>
      </w:r>
      <w:r w:rsidR="0086290E">
        <w:rPr>
          <w:rFonts w:ascii="Arial" w:hAnsi="Arial" w:cs="Arial"/>
          <w:sz w:val="24"/>
          <w:szCs w:val="24"/>
          <w:lang w:val="en-US"/>
        </w:rPr>
        <w:t>.</w:t>
      </w:r>
    </w:p>
    <w:p w14:paraId="4347668C" w14:textId="19E9574F" w:rsidR="004018B9" w:rsidRDefault="003F0A15" w:rsidP="004018B9">
      <w:pPr>
        <w:spacing w:line="480" w:lineRule="auto"/>
        <w:jc w:val="both"/>
        <w:rPr>
          <w:rFonts w:ascii="Arial" w:hAnsi="Arial" w:cs="Arial"/>
          <w:sz w:val="24"/>
          <w:szCs w:val="24"/>
          <w:lang w:val="en-US"/>
        </w:rPr>
      </w:pPr>
      <w:r>
        <w:rPr>
          <w:rFonts w:ascii="Arial" w:hAnsi="Arial" w:cs="Arial"/>
          <w:sz w:val="24"/>
          <w:szCs w:val="24"/>
          <w:lang w:val="en-US"/>
        </w:rPr>
        <w:t xml:space="preserve">[18] </w:t>
      </w:r>
      <w:r w:rsidR="004018B9">
        <w:rPr>
          <w:rFonts w:ascii="Arial" w:hAnsi="Arial" w:cs="Arial"/>
          <w:sz w:val="24"/>
          <w:szCs w:val="24"/>
          <w:lang w:val="en-US"/>
        </w:rPr>
        <w:t xml:space="preserve">The provision of section 130 </w:t>
      </w:r>
      <w:r w:rsidR="004018B9" w:rsidRPr="004018B9">
        <w:rPr>
          <w:rFonts w:ascii="Arial" w:hAnsi="Arial" w:cs="Arial"/>
          <w:sz w:val="24"/>
          <w:szCs w:val="24"/>
          <w:lang w:val="en-US"/>
        </w:rPr>
        <w:t>(3)</w:t>
      </w:r>
      <w:r w:rsidR="004018B9">
        <w:rPr>
          <w:rFonts w:ascii="Arial" w:hAnsi="Arial" w:cs="Arial"/>
          <w:sz w:val="24"/>
          <w:szCs w:val="24"/>
          <w:lang w:val="en-US"/>
        </w:rPr>
        <w:t xml:space="preserve"> of the NCA states that:</w:t>
      </w:r>
    </w:p>
    <w:p w14:paraId="1614C266" w14:textId="09A9E96E" w:rsidR="004018B9" w:rsidRPr="004018B9" w:rsidRDefault="004018B9" w:rsidP="004018B9">
      <w:pPr>
        <w:spacing w:line="480" w:lineRule="auto"/>
        <w:ind w:left="720"/>
        <w:jc w:val="both"/>
        <w:rPr>
          <w:rFonts w:ascii="Arial" w:hAnsi="Arial" w:cs="Arial"/>
          <w:sz w:val="24"/>
          <w:szCs w:val="24"/>
          <w:lang w:val="en-US"/>
        </w:rPr>
      </w:pPr>
      <w:r w:rsidRPr="004018B9">
        <w:rPr>
          <w:rFonts w:ascii="Arial" w:hAnsi="Arial" w:cs="Arial"/>
          <w:sz w:val="24"/>
          <w:szCs w:val="24"/>
          <w:lang w:val="en-US"/>
        </w:rPr>
        <w:lastRenderedPageBreak/>
        <w:t>Despite any provision of law or contract to the contrary, in any proceedings</w:t>
      </w:r>
      <w:r>
        <w:rPr>
          <w:rFonts w:ascii="Arial" w:hAnsi="Arial" w:cs="Arial"/>
          <w:sz w:val="24"/>
          <w:szCs w:val="24"/>
          <w:lang w:val="en-US"/>
        </w:rPr>
        <w:t xml:space="preserve"> </w:t>
      </w:r>
      <w:r w:rsidRPr="004018B9">
        <w:rPr>
          <w:rFonts w:ascii="Arial" w:hAnsi="Arial" w:cs="Arial"/>
          <w:sz w:val="24"/>
          <w:szCs w:val="24"/>
          <w:lang w:val="en-US"/>
        </w:rPr>
        <w:t xml:space="preserve">commenced in a court in respect of a credit agreement to which this Act applies, the court may determine the matter only if the court is satisfied that- </w:t>
      </w:r>
    </w:p>
    <w:p w14:paraId="4F8ADC2E" w14:textId="6C9B20B8" w:rsidR="004018B9" w:rsidRPr="00CD382D" w:rsidRDefault="00CD382D" w:rsidP="00CD382D">
      <w:pPr>
        <w:spacing w:line="480" w:lineRule="auto"/>
        <w:ind w:left="1440" w:hanging="731"/>
        <w:jc w:val="both"/>
        <w:rPr>
          <w:rFonts w:ascii="Arial" w:hAnsi="Arial" w:cs="Arial"/>
          <w:sz w:val="24"/>
          <w:szCs w:val="24"/>
          <w:lang w:val="en-US"/>
        </w:rPr>
      </w:pPr>
      <w:r>
        <w:rPr>
          <w:rFonts w:ascii="Arial" w:hAnsi="Arial" w:cs="Arial"/>
          <w:sz w:val="24"/>
          <w:szCs w:val="24"/>
          <w:lang w:val="en-US"/>
        </w:rPr>
        <w:t>(a)</w:t>
      </w:r>
      <w:r>
        <w:rPr>
          <w:rFonts w:ascii="Arial" w:hAnsi="Arial" w:cs="Arial"/>
          <w:sz w:val="24"/>
          <w:szCs w:val="24"/>
          <w:lang w:val="en-US"/>
        </w:rPr>
        <w:tab/>
      </w:r>
      <w:r w:rsidR="004018B9" w:rsidRPr="00CD382D">
        <w:rPr>
          <w:rFonts w:ascii="Arial" w:hAnsi="Arial" w:cs="Arial"/>
          <w:sz w:val="24"/>
          <w:szCs w:val="24"/>
          <w:lang w:val="en-US"/>
        </w:rPr>
        <w:t xml:space="preserve">in the case of proceedings to which sections 127, 129 or 131 apply, the procedures required by those sections have been complied </w:t>
      </w:r>
      <w:proofErr w:type="gramStart"/>
      <w:r w:rsidR="004018B9" w:rsidRPr="00CD382D">
        <w:rPr>
          <w:rFonts w:ascii="Arial" w:hAnsi="Arial" w:cs="Arial"/>
          <w:sz w:val="24"/>
          <w:szCs w:val="24"/>
          <w:lang w:val="en-US"/>
        </w:rPr>
        <w:t>with;</w:t>
      </w:r>
      <w:proofErr w:type="gramEnd"/>
      <w:r w:rsidR="004018B9" w:rsidRPr="00CD382D">
        <w:rPr>
          <w:rFonts w:ascii="Arial" w:hAnsi="Arial" w:cs="Arial"/>
          <w:sz w:val="24"/>
          <w:szCs w:val="24"/>
          <w:lang w:val="en-US"/>
        </w:rPr>
        <w:t xml:space="preserve"> </w:t>
      </w:r>
    </w:p>
    <w:p w14:paraId="00F6328A" w14:textId="5CB259E2" w:rsidR="004018B9" w:rsidRPr="00CD382D" w:rsidRDefault="00CD382D" w:rsidP="00CD382D">
      <w:pPr>
        <w:spacing w:line="480" w:lineRule="auto"/>
        <w:ind w:left="1440" w:hanging="731"/>
        <w:jc w:val="both"/>
        <w:rPr>
          <w:rFonts w:ascii="Arial" w:hAnsi="Arial" w:cs="Arial"/>
          <w:sz w:val="24"/>
          <w:szCs w:val="24"/>
          <w:lang w:val="en-US"/>
        </w:rPr>
      </w:pPr>
      <w:r w:rsidRPr="004018B9">
        <w:rPr>
          <w:rFonts w:ascii="Arial" w:hAnsi="Arial" w:cs="Arial"/>
          <w:sz w:val="24"/>
          <w:szCs w:val="24"/>
          <w:lang w:val="en-US"/>
        </w:rPr>
        <w:t>(b)</w:t>
      </w:r>
      <w:r w:rsidRPr="004018B9">
        <w:rPr>
          <w:rFonts w:ascii="Arial" w:hAnsi="Arial" w:cs="Arial"/>
          <w:sz w:val="24"/>
          <w:szCs w:val="24"/>
          <w:lang w:val="en-US"/>
        </w:rPr>
        <w:tab/>
      </w:r>
      <w:r w:rsidR="004018B9" w:rsidRPr="00CD382D">
        <w:rPr>
          <w:rFonts w:ascii="Arial" w:hAnsi="Arial" w:cs="Arial"/>
          <w:sz w:val="24"/>
          <w:szCs w:val="24"/>
          <w:lang w:val="en-US"/>
        </w:rPr>
        <w:t xml:space="preserve">there is no matter arising under that credit agreement, and pending before the Tribunal, that could result in an order affecting the issues to be determined by the court; and </w:t>
      </w:r>
    </w:p>
    <w:p w14:paraId="7FFD96EB" w14:textId="43707003" w:rsidR="004018B9" w:rsidRPr="004018B9" w:rsidRDefault="004018B9" w:rsidP="004018B9">
      <w:pPr>
        <w:spacing w:line="480" w:lineRule="auto"/>
        <w:ind w:firstLine="709"/>
        <w:jc w:val="both"/>
        <w:rPr>
          <w:rFonts w:ascii="Arial" w:hAnsi="Arial" w:cs="Arial"/>
          <w:sz w:val="24"/>
          <w:szCs w:val="24"/>
          <w:lang w:val="en-US"/>
        </w:rPr>
      </w:pPr>
      <w:r w:rsidRPr="004018B9">
        <w:rPr>
          <w:rFonts w:ascii="Arial" w:hAnsi="Arial" w:cs="Arial"/>
          <w:sz w:val="24"/>
          <w:szCs w:val="24"/>
          <w:lang w:val="en-US"/>
        </w:rPr>
        <w:t xml:space="preserve">(c) </w:t>
      </w:r>
      <w:r>
        <w:rPr>
          <w:rFonts w:ascii="Arial" w:hAnsi="Arial" w:cs="Arial"/>
          <w:sz w:val="24"/>
          <w:szCs w:val="24"/>
          <w:lang w:val="en-US"/>
        </w:rPr>
        <w:tab/>
      </w:r>
      <w:r w:rsidRPr="004018B9">
        <w:rPr>
          <w:rFonts w:ascii="Arial" w:hAnsi="Arial" w:cs="Arial"/>
          <w:sz w:val="24"/>
          <w:szCs w:val="24"/>
          <w:lang w:val="en-US"/>
        </w:rPr>
        <w:t xml:space="preserve">that the credit provider has not approached the court- </w:t>
      </w:r>
    </w:p>
    <w:p w14:paraId="4087B038" w14:textId="0884CB4B" w:rsidR="004018B9" w:rsidRPr="004018B9" w:rsidRDefault="004018B9" w:rsidP="003F0A15">
      <w:pPr>
        <w:spacing w:line="480" w:lineRule="auto"/>
        <w:ind w:left="1440"/>
        <w:jc w:val="both"/>
        <w:rPr>
          <w:rFonts w:ascii="Arial" w:hAnsi="Arial" w:cs="Arial"/>
          <w:sz w:val="24"/>
          <w:szCs w:val="24"/>
          <w:lang w:val="en-US"/>
        </w:rPr>
      </w:pPr>
      <w:r w:rsidRPr="004018B9">
        <w:rPr>
          <w:rFonts w:ascii="Arial" w:hAnsi="Arial" w:cs="Arial"/>
          <w:sz w:val="24"/>
          <w:szCs w:val="24"/>
          <w:lang w:val="en-US"/>
        </w:rPr>
        <w:t>(</w:t>
      </w:r>
      <w:proofErr w:type="spellStart"/>
      <w:r w:rsidRPr="004018B9">
        <w:rPr>
          <w:rFonts w:ascii="Arial" w:hAnsi="Arial" w:cs="Arial"/>
          <w:sz w:val="24"/>
          <w:szCs w:val="24"/>
          <w:lang w:val="en-US"/>
        </w:rPr>
        <w:t>i</w:t>
      </w:r>
      <w:proofErr w:type="spellEnd"/>
      <w:r w:rsidRPr="004018B9">
        <w:rPr>
          <w:rFonts w:ascii="Arial" w:hAnsi="Arial" w:cs="Arial"/>
          <w:sz w:val="24"/>
          <w:szCs w:val="24"/>
          <w:lang w:val="en-US"/>
        </w:rPr>
        <w:t xml:space="preserve">) during the time that the matter was before a debt counsellor, alternative dispute resolution agent, consumer court or the ombud with jurisdiction; </w:t>
      </w:r>
      <w:r>
        <w:rPr>
          <w:rFonts w:ascii="Arial" w:hAnsi="Arial" w:cs="Arial"/>
          <w:sz w:val="24"/>
          <w:szCs w:val="24"/>
          <w:lang w:val="en-US"/>
        </w:rPr>
        <w:t>o</w:t>
      </w:r>
      <w:r w:rsidRPr="004018B9">
        <w:rPr>
          <w:rFonts w:ascii="Arial" w:hAnsi="Arial" w:cs="Arial"/>
          <w:sz w:val="24"/>
          <w:szCs w:val="24"/>
          <w:lang w:val="en-US"/>
        </w:rPr>
        <w:t xml:space="preserve">r </w:t>
      </w:r>
    </w:p>
    <w:p w14:paraId="308032D4" w14:textId="77777777" w:rsidR="004018B9" w:rsidRPr="004018B9" w:rsidRDefault="004018B9" w:rsidP="003F0A15">
      <w:pPr>
        <w:spacing w:line="480" w:lineRule="auto"/>
        <w:ind w:left="720" w:firstLine="720"/>
        <w:jc w:val="both"/>
        <w:rPr>
          <w:rFonts w:ascii="Arial" w:hAnsi="Arial" w:cs="Arial"/>
          <w:sz w:val="24"/>
          <w:szCs w:val="24"/>
          <w:lang w:val="en-US"/>
        </w:rPr>
      </w:pPr>
      <w:r w:rsidRPr="004018B9">
        <w:rPr>
          <w:rFonts w:ascii="Arial" w:hAnsi="Arial" w:cs="Arial"/>
          <w:sz w:val="24"/>
          <w:szCs w:val="24"/>
          <w:lang w:val="en-US"/>
        </w:rPr>
        <w:t xml:space="preserve">(ii) despite the consumer having- </w:t>
      </w:r>
    </w:p>
    <w:p w14:paraId="21B02800" w14:textId="6977C3E0" w:rsidR="004018B9" w:rsidRPr="004018B9" w:rsidRDefault="004018B9" w:rsidP="003F0A15">
      <w:pPr>
        <w:spacing w:line="480" w:lineRule="auto"/>
        <w:ind w:left="1440"/>
        <w:jc w:val="both"/>
        <w:rPr>
          <w:rFonts w:ascii="Arial" w:hAnsi="Arial" w:cs="Arial"/>
          <w:sz w:val="24"/>
          <w:szCs w:val="24"/>
          <w:lang w:val="en-US"/>
        </w:rPr>
      </w:pPr>
      <w:r w:rsidRPr="004018B9">
        <w:rPr>
          <w:rFonts w:ascii="Arial" w:hAnsi="Arial" w:cs="Arial"/>
          <w:sz w:val="24"/>
          <w:szCs w:val="24"/>
          <w:lang w:val="en-US"/>
        </w:rPr>
        <w:t xml:space="preserve">(aa) surrendered property to the credit provider, and before that property has been </w:t>
      </w:r>
      <w:proofErr w:type="gramStart"/>
      <w:r w:rsidRPr="004018B9">
        <w:rPr>
          <w:rFonts w:ascii="Arial" w:hAnsi="Arial" w:cs="Arial"/>
          <w:sz w:val="24"/>
          <w:szCs w:val="24"/>
          <w:lang w:val="en-US"/>
        </w:rPr>
        <w:t>sold;</w:t>
      </w:r>
      <w:proofErr w:type="gramEnd"/>
      <w:r w:rsidRPr="004018B9">
        <w:rPr>
          <w:rFonts w:ascii="Arial" w:hAnsi="Arial" w:cs="Arial"/>
          <w:sz w:val="24"/>
          <w:szCs w:val="24"/>
          <w:lang w:val="en-US"/>
        </w:rPr>
        <w:t xml:space="preserve"> </w:t>
      </w:r>
    </w:p>
    <w:p w14:paraId="2BE314F3" w14:textId="6F733371" w:rsidR="004018B9" w:rsidRPr="004018B9" w:rsidRDefault="004018B9" w:rsidP="003F0A15">
      <w:pPr>
        <w:spacing w:line="480" w:lineRule="auto"/>
        <w:ind w:left="1440"/>
        <w:jc w:val="both"/>
        <w:rPr>
          <w:rFonts w:ascii="Arial" w:hAnsi="Arial" w:cs="Arial"/>
          <w:sz w:val="24"/>
          <w:szCs w:val="24"/>
          <w:lang w:val="en-US"/>
        </w:rPr>
      </w:pPr>
      <w:r w:rsidRPr="004018B9">
        <w:rPr>
          <w:rFonts w:ascii="Arial" w:hAnsi="Arial" w:cs="Arial"/>
          <w:sz w:val="24"/>
          <w:szCs w:val="24"/>
          <w:lang w:val="en-US"/>
        </w:rPr>
        <w:t>(bb) agreed to a proposal made in terms of section 129(</w:t>
      </w:r>
      <w:r>
        <w:rPr>
          <w:rFonts w:ascii="Arial" w:hAnsi="Arial" w:cs="Arial"/>
          <w:sz w:val="24"/>
          <w:szCs w:val="24"/>
          <w:lang w:val="en-US"/>
        </w:rPr>
        <w:t>1</w:t>
      </w:r>
      <w:r w:rsidRPr="004018B9">
        <w:rPr>
          <w:rFonts w:ascii="Arial" w:hAnsi="Arial" w:cs="Arial"/>
          <w:sz w:val="24"/>
          <w:szCs w:val="24"/>
          <w:lang w:val="en-US"/>
        </w:rPr>
        <w:t xml:space="preserve">)(u) and acted in good faith in fulfilment of that </w:t>
      </w:r>
      <w:proofErr w:type="gramStart"/>
      <w:r w:rsidRPr="004018B9">
        <w:rPr>
          <w:rFonts w:ascii="Arial" w:hAnsi="Arial" w:cs="Arial"/>
          <w:sz w:val="24"/>
          <w:szCs w:val="24"/>
          <w:lang w:val="en-US"/>
        </w:rPr>
        <w:t>agreement;</w:t>
      </w:r>
      <w:proofErr w:type="gramEnd"/>
      <w:r w:rsidRPr="004018B9">
        <w:rPr>
          <w:rFonts w:ascii="Arial" w:hAnsi="Arial" w:cs="Arial"/>
          <w:sz w:val="24"/>
          <w:szCs w:val="24"/>
          <w:lang w:val="en-US"/>
        </w:rPr>
        <w:t xml:space="preserve"> </w:t>
      </w:r>
    </w:p>
    <w:p w14:paraId="3EC26FA7" w14:textId="5675E115" w:rsidR="004018B9" w:rsidRPr="004018B9" w:rsidRDefault="004018B9" w:rsidP="003F0A15">
      <w:pPr>
        <w:spacing w:line="480" w:lineRule="auto"/>
        <w:ind w:left="1440"/>
        <w:jc w:val="both"/>
        <w:rPr>
          <w:rFonts w:ascii="Arial" w:hAnsi="Arial" w:cs="Arial"/>
          <w:sz w:val="24"/>
          <w:szCs w:val="24"/>
          <w:lang w:val="en-US"/>
        </w:rPr>
      </w:pPr>
      <w:r w:rsidRPr="004018B9">
        <w:rPr>
          <w:rFonts w:ascii="Arial" w:hAnsi="Arial" w:cs="Arial"/>
          <w:sz w:val="24"/>
          <w:szCs w:val="24"/>
          <w:lang w:val="en-US"/>
        </w:rPr>
        <w:t>(cc) complied with an agreed plan as contemplated in section 129(</w:t>
      </w:r>
      <w:r>
        <w:rPr>
          <w:rFonts w:ascii="Arial" w:hAnsi="Arial" w:cs="Arial"/>
          <w:sz w:val="24"/>
          <w:szCs w:val="24"/>
          <w:lang w:val="en-US"/>
        </w:rPr>
        <w:t>1</w:t>
      </w:r>
      <w:r w:rsidRPr="004018B9">
        <w:rPr>
          <w:rFonts w:ascii="Arial" w:hAnsi="Arial" w:cs="Arial"/>
          <w:sz w:val="24"/>
          <w:szCs w:val="24"/>
          <w:lang w:val="en-US"/>
        </w:rPr>
        <w:t>)(</w:t>
      </w:r>
      <w:r>
        <w:rPr>
          <w:rFonts w:ascii="Arial" w:hAnsi="Arial" w:cs="Arial"/>
          <w:sz w:val="24"/>
          <w:szCs w:val="24"/>
          <w:lang w:val="en-US"/>
        </w:rPr>
        <w:t>a</w:t>
      </w:r>
      <w:r w:rsidRPr="004018B9">
        <w:rPr>
          <w:rFonts w:ascii="Arial" w:hAnsi="Arial" w:cs="Arial"/>
          <w:sz w:val="24"/>
          <w:szCs w:val="24"/>
          <w:lang w:val="en-US"/>
        </w:rPr>
        <w:t xml:space="preserve">); or </w:t>
      </w:r>
    </w:p>
    <w:p w14:paraId="4F98D92A" w14:textId="77777777" w:rsidR="004018B9" w:rsidRDefault="004018B9" w:rsidP="003F0A15">
      <w:pPr>
        <w:spacing w:line="480" w:lineRule="auto"/>
        <w:ind w:left="1440"/>
        <w:jc w:val="both"/>
        <w:rPr>
          <w:rFonts w:ascii="Arial" w:hAnsi="Arial" w:cs="Arial"/>
          <w:sz w:val="24"/>
          <w:szCs w:val="24"/>
          <w:lang w:val="en-US"/>
        </w:rPr>
      </w:pPr>
      <w:r w:rsidRPr="004018B9">
        <w:rPr>
          <w:rFonts w:ascii="Arial" w:hAnsi="Arial" w:cs="Arial"/>
          <w:sz w:val="24"/>
          <w:szCs w:val="24"/>
          <w:lang w:val="en-US"/>
        </w:rPr>
        <w:t>(dd) brought the payments under the credit agreement up to date, as</w:t>
      </w:r>
      <w:r>
        <w:rPr>
          <w:rFonts w:ascii="Arial" w:hAnsi="Arial" w:cs="Arial"/>
          <w:sz w:val="24"/>
          <w:szCs w:val="24"/>
          <w:lang w:val="en-US"/>
        </w:rPr>
        <w:t xml:space="preserve"> </w:t>
      </w:r>
      <w:r w:rsidRPr="004018B9">
        <w:rPr>
          <w:rFonts w:ascii="Arial" w:hAnsi="Arial" w:cs="Arial"/>
          <w:sz w:val="24"/>
          <w:szCs w:val="24"/>
          <w:lang w:val="en-US"/>
        </w:rPr>
        <w:t>contemplated in section 129(</w:t>
      </w:r>
      <w:r>
        <w:rPr>
          <w:rFonts w:ascii="Arial" w:hAnsi="Arial" w:cs="Arial"/>
          <w:sz w:val="24"/>
          <w:szCs w:val="24"/>
          <w:lang w:val="en-US"/>
        </w:rPr>
        <w:t>1</w:t>
      </w:r>
      <w:r w:rsidRPr="004018B9">
        <w:rPr>
          <w:rFonts w:ascii="Arial" w:hAnsi="Arial" w:cs="Arial"/>
          <w:sz w:val="24"/>
          <w:szCs w:val="24"/>
          <w:lang w:val="en-US"/>
        </w:rPr>
        <w:t>)(a).</w:t>
      </w:r>
    </w:p>
    <w:p w14:paraId="29394156" w14:textId="5B6F5842" w:rsidR="007333A5" w:rsidRDefault="003F0A15" w:rsidP="00B01595">
      <w:pPr>
        <w:spacing w:line="480" w:lineRule="auto"/>
        <w:jc w:val="both"/>
        <w:rPr>
          <w:rFonts w:ascii="Arial" w:hAnsi="Arial" w:cs="Arial"/>
          <w:sz w:val="24"/>
          <w:szCs w:val="24"/>
          <w:lang w:val="en-US"/>
        </w:rPr>
      </w:pPr>
      <w:r>
        <w:rPr>
          <w:rFonts w:ascii="Arial" w:hAnsi="Arial" w:cs="Arial"/>
          <w:sz w:val="24"/>
          <w:szCs w:val="24"/>
          <w:lang w:val="en-US"/>
        </w:rPr>
        <w:lastRenderedPageBreak/>
        <w:t xml:space="preserve">[19] </w:t>
      </w:r>
      <w:r w:rsidR="0037619F">
        <w:rPr>
          <w:rFonts w:ascii="Arial" w:hAnsi="Arial" w:cs="Arial"/>
          <w:sz w:val="24"/>
          <w:szCs w:val="24"/>
          <w:lang w:val="en-US"/>
        </w:rPr>
        <w:t>I</w:t>
      </w:r>
      <w:r w:rsidR="0037619F" w:rsidRPr="0037619F">
        <w:rPr>
          <w:rFonts w:ascii="Arial" w:hAnsi="Arial" w:cs="Arial"/>
          <w:sz w:val="24"/>
          <w:szCs w:val="24"/>
          <w:lang w:val="en-US"/>
        </w:rPr>
        <w:t>n the circumstances</w:t>
      </w:r>
      <w:r w:rsidR="0037619F">
        <w:rPr>
          <w:rFonts w:ascii="Arial" w:hAnsi="Arial" w:cs="Arial"/>
          <w:sz w:val="24"/>
          <w:szCs w:val="24"/>
          <w:lang w:val="en-US"/>
        </w:rPr>
        <w:t xml:space="preserve"> </w:t>
      </w:r>
      <w:r w:rsidR="0037619F" w:rsidRPr="0037619F">
        <w:rPr>
          <w:rFonts w:ascii="Arial" w:hAnsi="Arial" w:cs="Arial"/>
          <w:sz w:val="24"/>
          <w:szCs w:val="24"/>
          <w:lang w:val="en-US"/>
        </w:rPr>
        <w:t>I</w:t>
      </w:r>
      <w:r w:rsidR="00A119F9">
        <w:rPr>
          <w:rFonts w:ascii="Arial" w:hAnsi="Arial" w:cs="Arial"/>
          <w:sz w:val="24"/>
          <w:szCs w:val="24"/>
          <w:lang w:val="en-US"/>
        </w:rPr>
        <w:t xml:space="preserve">’m satisfied that </w:t>
      </w:r>
      <w:r w:rsidR="007333A5" w:rsidRPr="007333A5">
        <w:rPr>
          <w:rFonts w:ascii="Arial" w:hAnsi="Arial" w:cs="Arial"/>
          <w:sz w:val="24"/>
          <w:szCs w:val="24"/>
          <w:lang w:val="en-US"/>
        </w:rPr>
        <w:t>Applicant has proved an unimpeachable claim against the Respondent</w:t>
      </w:r>
      <w:r w:rsidR="007333A5">
        <w:rPr>
          <w:rFonts w:ascii="Arial" w:hAnsi="Arial" w:cs="Arial"/>
          <w:sz w:val="24"/>
          <w:szCs w:val="24"/>
          <w:lang w:val="en-US"/>
        </w:rPr>
        <w:t xml:space="preserve"> and that </w:t>
      </w:r>
      <w:r w:rsidR="007333A5" w:rsidRPr="007333A5">
        <w:rPr>
          <w:rFonts w:ascii="Arial" w:hAnsi="Arial" w:cs="Arial"/>
          <w:sz w:val="24"/>
          <w:szCs w:val="24"/>
          <w:lang w:val="en-US"/>
        </w:rPr>
        <w:t xml:space="preserve">the Respondent </w:t>
      </w:r>
      <w:r w:rsidR="007333A5">
        <w:rPr>
          <w:rFonts w:ascii="Arial" w:hAnsi="Arial" w:cs="Arial"/>
          <w:sz w:val="24"/>
          <w:szCs w:val="24"/>
          <w:lang w:val="en-US"/>
        </w:rPr>
        <w:t xml:space="preserve">has no </w:t>
      </w:r>
      <w:proofErr w:type="spellStart"/>
      <w:r w:rsidR="007333A5">
        <w:rPr>
          <w:rFonts w:ascii="Arial" w:hAnsi="Arial" w:cs="Arial"/>
          <w:sz w:val="24"/>
          <w:szCs w:val="24"/>
          <w:lang w:val="en-US"/>
        </w:rPr>
        <w:t>defence</w:t>
      </w:r>
      <w:proofErr w:type="spellEnd"/>
      <w:r w:rsidR="007333A5">
        <w:rPr>
          <w:rFonts w:ascii="Arial" w:hAnsi="Arial" w:cs="Arial"/>
          <w:sz w:val="24"/>
          <w:szCs w:val="24"/>
          <w:lang w:val="en-US"/>
        </w:rPr>
        <w:t xml:space="preserve"> in law. </w:t>
      </w:r>
    </w:p>
    <w:p w14:paraId="1A0F59B9" w14:textId="5895E3A8" w:rsidR="0037619F" w:rsidRPr="0037619F" w:rsidRDefault="007333A5" w:rsidP="00B01595">
      <w:pPr>
        <w:spacing w:line="480" w:lineRule="auto"/>
        <w:jc w:val="both"/>
        <w:rPr>
          <w:rFonts w:ascii="Arial" w:hAnsi="Arial" w:cs="Arial"/>
          <w:sz w:val="24"/>
          <w:szCs w:val="24"/>
          <w:lang w:val="en-US"/>
        </w:rPr>
      </w:pPr>
      <w:r>
        <w:rPr>
          <w:rFonts w:ascii="Arial" w:hAnsi="Arial" w:cs="Arial"/>
          <w:sz w:val="24"/>
          <w:szCs w:val="24"/>
          <w:lang w:val="en-US"/>
        </w:rPr>
        <w:t xml:space="preserve">I </w:t>
      </w:r>
      <w:r w:rsidR="00A119F9">
        <w:rPr>
          <w:rFonts w:ascii="Arial" w:hAnsi="Arial" w:cs="Arial"/>
          <w:sz w:val="24"/>
          <w:szCs w:val="24"/>
          <w:lang w:val="en-US"/>
        </w:rPr>
        <w:t>there</w:t>
      </w:r>
      <w:r>
        <w:rPr>
          <w:rFonts w:ascii="Arial" w:hAnsi="Arial" w:cs="Arial"/>
          <w:sz w:val="24"/>
          <w:szCs w:val="24"/>
          <w:lang w:val="en-US"/>
        </w:rPr>
        <w:t xml:space="preserve">fore </w:t>
      </w:r>
      <w:r w:rsidR="0037619F" w:rsidRPr="0037619F">
        <w:rPr>
          <w:rFonts w:ascii="Arial" w:hAnsi="Arial" w:cs="Arial"/>
          <w:sz w:val="24"/>
          <w:szCs w:val="24"/>
          <w:lang w:val="en-US"/>
        </w:rPr>
        <w:t xml:space="preserve">grant judgment in </w:t>
      </w:r>
      <w:proofErr w:type="spellStart"/>
      <w:r w:rsidR="0037619F" w:rsidRPr="0037619F">
        <w:rPr>
          <w:rFonts w:ascii="Arial" w:hAnsi="Arial" w:cs="Arial"/>
          <w:sz w:val="24"/>
          <w:szCs w:val="24"/>
          <w:lang w:val="en-US"/>
        </w:rPr>
        <w:t>favour</w:t>
      </w:r>
      <w:proofErr w:type="spellEnd"/>
      <w:r w:rsidR="0037619F" w:rsidRPr="0037619F">
        <w:rPr>
          <w:rFonts w:ascii="Arial" w:hAnsi="Arial" w:cs="Arial"/>
          <w:sz w:val="24"/>
          <w:szCs w:val="24"/>
          <w:lang w:val="en-US"/>
        </w:rPr>
        <w:t xml:space="preserve"> of the </w:t>
      </w:r>
      <w:r w:rsidR="0037619F">
        <w:rPr>
          <w:rFonts w:ascii="Arial" w:hAnsi="Arial" w:cs="Arial"/>
          <w:sz w:val="24"/>
          <w:szCs w:val="24"/>
          <w:lang w:val="en-US"/>
        </w:rPr>
        <w:t>Applicant</w:t>
      </w:r>
      <w:r w:rsidR="0037619F" w:rsidRPr="0037619F">
        <w:rPr>
          <w:rFonts w:ascii="Arial" w:hAnsi="Arial" w:cs="Arial"/>
          <w:sz w:val="24"/>
          <w:szCs w:val="24"/>
          <w:lang w:val="en-US"/>
        </w:rPr>
        <w:t>. I make the following order:</w:t>
      </w:r>
    </w:p>
    <w:p w14:paraId="40A6B289" w14:textId="1E1616CD" w:rsidR="00BC4195" w:rsidRPr="000E69FB" w:rsidRDefault="0037619F" w:rsidP="0037619F">
      <w:pPr>
        <w:spacing w:line="240" w:lineRule="auto"/>
        <w:jc w:val="both"/>
        <w:rPr>
          <w:rFonts w:ascii="Arial" w:hAnsi="Arial" w:cs="Arial"/>
          <w:sz w:val="24"/>
          <w:szCs w:val="24"/>
          <w:lang w:val="en-US"/>
        </w:rPr>
      </w:pPr>
      <w:r w:rsidRPr="0037619F">
        <w:rPr>
          <w:rFonts w:ascii="Arial" w:hAnsi="Arial" w:cs="Arial"/>
          <w:sz w:val="24"/>
          <w:szCs w:val="24"/>
          <w:lang w:val="en-US"/>
        </w:rPr>
        <w:t>1.      The application for summary judgment is granted</w:t>
      </w:r>
      <w:r>
        <w:rPr>
          <w:rFonts w:ascii="Arial" w:hAnsi="Arial" w:cs="Arial"/>
          <w:sz w:val="24"/>
          <w:szCs w:val="24"/>
          <w:lang w:val="en-US"/>
        </w:rPr>
        <w:t>.</w:t>
      </w:r>
      <w:r w:rsidRPr="0037619F">
        <w:rPr>
          <w:rFonts w:ascii="Arial" w:hAnsi="Arial" w:cs="Arial"/>
          <w:sz w:val="24"/>
          <w:szCs w:val="24"/>
          <w:lang w:val="en-US"/>
        </w:rPr>
        <w:t xml:space="preserve"> </w:t>
      </w:r>
    </w:p>
    <w:p w14:paraId="2EBB016B" w14:textId="77777777" w:rsidR="00BC4195" w:rsidRDefault="00BC4195" w:rsidP="00BC4195">
      <w:pPr>
        <w:spacing w:line="240" w:lineRule="auto"/>
        <w:jc w:val="both"/>
        <w:rPr>
          <w:rFonts w:ascii="Arial" w:hAnsi="Arial" w:cs="Arial"/>
          <w:sz w:val="20"/>
          <w:szCs w:val="20"/>
          <w:lang w:val="en-US"/>
        </w:rPr>
      </w:pPr>
    </w:p>
    <w:p w14:paraId="51ECE7C6" w14:textId="623EF48F" w:rsidR="00BC4195" w:rsidRPr="0037619F" w:rsidRDefault="0037619F" w:rsidP="0037619F">
      <w:pPr>
        <w:spacing w:line="480" w:lineRule="auto"/>
        <w:ind w:left="567" w:hanging="567"/>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BC4195" w:rsidRPr="0037619F">
        <w:rPr>
          <w:rFonts w:ascii="Arial" w:hAnsi="Arial" w:cs="Arial"/>
          <w:sz w:val="24"/>
          <w:szCs w:val="24"/>
          <w:lang w:val="en-US"/>
        </w:rPr>
        <w:t xml:space="preserve">The sale agreement between the Applicant and the Respondent is terminated as </w:t>
      </w:r>
      <w:r>
        <w:rPr>
          <w:rFonts w:ascii="Arial" w:hAnsi="Arial" w:cs="Arial"/>
          <w:sz w:val="24"/>
          <w:szCs w:val="24"/>
          <w:lang w:val="en-US"/>
        </w:rPr>
        <w:t xml:space="preserve">of </w:t>
      </w:r>
      <w:r w:rsidR="00BC4195" w:rsidRPr="0037619F">
        <w:rPr>
          <w:rFonts w:ascii="Arial" w:hAnsi="Arial" w:cs="Arial"/>
          <w:sz w:val="24"/>
          <w:szCs w:val="24"/>
          <w:lang w:val="en-US"/>
        </w:rPr>
        <w:t xml:space="preserve">the </w:t>
      </w:r>
      <w:r>
        <w:rPr>
          <w:rFonts w:ascii="Arial" w:hAnsi="Arial" w:cs="Arial"/>
          <w:sz w:val="24"/>
          <w:szCs w:val="24"/>
          <w:lang w:val="en-US"/>
        </w:rPr>
        <w:t xml:space="preserve">date the </w:t>
      </w:r>
      <w:r w:rsidR="00BC4195" w:rsidRPr="0037619F">
        <w:rPr>
          <w:rFonts w:ascii="Arial" w:hAnsi="Arial" w:cs="Arial"/>
          <w:sz w:val="24"/>
          <w:szCs w:val="24"/>
          <w:lang w:val="en-US"/>
        </w:rPr>
        <w:t>Applicant</w:t>
      </w:r>
      <w:r w:rsidR="000E69FB" w:rsidRPr="0037619F">
        <w:rPr>
          <w:rFonts w:ascii="Arial" w:hAnsi="Arial" w:cs="Arial"/>
          <w:sz w:val="24"/>
          <w:szCs w:val="24"/>
          <w:lang w:val="en-US"/>
        </w:rPr>
        <w:t xml:space="preserve"> terminated the agreement. </w:t>
      </w:r>
    </w:p>
    <w:p w14:paraId="0605890E" w14:textId="7B2A575C" w:rsidR="00BC4195" w:rsidRPr="00CD382D" w:rsidRDefault="00CD382D" w:rsidP="00CD382D">
      <w:pPr>
        <w:spacing w:line="480" w:lineRule="auto"/>
        <w:ind w:left="567" w:hanging="567"/>
        <w:jc w:val="both"/>
        <w:rPr>
          <w:rFonts w:ascii="Arial" w:hAnsi="Arial" w:cs="Arial"/>
          <w:sz w:val="24"/>
          <w:szCs w:val="24"/>
          <w:lang w:val="en-US"/>
        </w:rPr>
      </w:pPr>
      <w:r w:rsidRPr="0037619F">
        <w:rPr>
          <w:rFonts w:ascii="Arial" w:hAnsi="Arial" w:cs="Arial"/>
          <w:sz w:val="24"/>
          <w:szCs w:val="24"/>
          <w:lang w:val="en-US"/>
        </w:rPr>
        <w:t>3.</w:t>
      </w:r>
      <w:r w:rsidRPr="0037619F">
        <w:rPr>
          <w:rFonts w:ascii="Arial" w:hAnsi="Arial" w:cs="Arial"/>
          <w:sz w:val="24"/>
          <w:szCs w:val="24"/>
          <w:lang w:val="en-US"/>
        </w:rPr>
        <w:tab/>
      </w:r>
      <w:r w:rsidR="00BC4195" w:rsidRPr="00CD382D">
        <w:rPr>
          <w:rFonts w:ascii="Arial" w:hAnsi="Arial" w:cs="Arial"/>
          <w:sz w:val="24"/>
          <w:szCs w:val="24"/>
          <w:lang w:val="en-US"/>
        </w:rPr>
        <w:t>The Respondent to return to the Applicant a BMW M5 M DCT (F90) with engine Number 21253073 and chassis Number F02010G403461 to the Applicant forthwith</w:t>
      </w:r>
      <w:r w:rsidR="000E69FB" w:rsidRPr="00CD382D">
        <w:rPr>
          <w:rFonts w:ascii="Arial" w:hAnsi="Arial" w:cs="Arial"/>
          <w:sz w:val="24"/>
          <w:szCs w:val="24"/>
          <w:lang w:val="en-US"/>
        </w:rPr>
        <w:t>.</w:t>
      </w:r>
    </w:p>
    <w:p w14:paraId="236E7CE2" w14:textId="77777777" w:rsidR="00BC4195" w:rsidRPr="000E69FB" w:rsidRDefault="00BC4195" w:rsidP="00BC4195">
      <w:pPr>
        <w:pStyle w:val="ListParagraph"/>
        <w:rPr>
          <w:rFonts w:ascii="Arial" w:hAnsi="Arial" w:cs="Arial"/>
          <w:sz w:val="24"/>
          <w:szCs w:val="24"/>
          <w:lang w:val="en-US"/>
        </w:rPr>
      </w:pPr>
    </w:p>
    <w:p w14:paraId="6BD5BB47" w14:textId="68C0E707" w:rsidR="00BC4195" w:rsidRPr="00CD382D" w:rsidRDefault="00CD382D" w:rsidP="00CD382D">
      <w:pPr>
        <w:spacing w:line="480" w:lineRule="auto"/>
        <w:ind w:left="567" w:hanging="567"/>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BC4195" w:rsidRPr="00CD382D">
        <w:rPr>
          <w:rFonts w:ascii="Arial" w:hAnsi="Arial" w:cs="Arial"/>
          <w:sz w:val="24"/>
          <w:szCs w:val="24"/>
          <w:lang w:val="en-US"/>
        </w:rPr>
        <w:t>The Applicant is authorized to apply to the Court on the same papers, supplemented insofar as may be necessary, for judgment in respect of any damages and further expenses incurred by the Plaintiff in the repossession of the said vehicle, which amount can only be determined once the vehicle has been repossessed by the Applicant and has been sold</w:t>
      </w:r>
      <w:r w:rsidR="000E69FB" w:rsidRPr="00CD382D">
        <w:rPr>
          <w:rFonts w:ascii="Arial" w:hAnsi="Arial" w:cs="Arial"/>
          <w:sz w:val="24"/>
          <w:szCs w:val="24"/>
          <w:lang w:val="en-US"/>
        </w:rPr>
        <w:t>.</w:t>
      </w:r>
    </w:p>
    <w:p w14:paraId="4C02CE80" w14:textId="77777777" w:rsidR="00E81100" w:rsidRPr="00E81100" w:rsidRDefault="00E81100" w:rsidP="00E81100">
      <w:pPr>
        <w:pStyle w:val="ListParagraph"/>
        <w:rPr>
          <w:rFonts w:ascii="Arial" w:hAnsi="Arial" w:cs="Arial"/>
          <w:sz w:val="24"/>
          <w:szCs w:val="24"/>
          <w:lang w:val="en-US"/>
        </w:rPr>
      </w:pPr>
    </w:p>
    <w:p w14:paraId="7AC1EDC7" w14:textId="4E1DA790" w:rsidR="00BC4195" w:rsidRPr="00CD382D" w:rsidRDefault="00CD382D" w:rsidP="00CD382D">
      <w:pPr>
        <w:spacing w:line="480" w:lineRule="auto"/>
        <w:ind w:left="567" w:hanging="567"/>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193386" w:rsidRPr="00CD382D">
        <w:rPr>
          <w:rFonts w:ascii="Arial" w:hAnsi="Arial" w:cs="Arial"/>
          <w:sz w:val="24"/>
          <w:szCs w:val="24"/>
          <w:lang w:val="en-US"/>
        </w:rPr>
        <w:t>The Applicant is awarded c</w:t>
      </w:r>
      <w:r w:rsidR="00BC4195" w:rsidRPr="00CD382D">
        <w:rPr>
          <w:rFonts w:ascii="Arial" w:hAnsi="Arial" w:cs="Arial"/>
          <w:sz w:val="24"/>
          <w:szCs w:val="24"/>
          <w:lang w:val="en-US"/>
        </w:rPr>
        <w:t xml:space="preserve">ost </w:t>
      </w:r>
      <w:r w:rsidR="00193386" w:rsidRPr="00CD382D">
        <w:rPr>
          <w:rFonts w:ascii="Arial" w:hAnsi="Arial" w:cs="Arial"/>
          <w:sz w:val="24"/>
          <w:szCs w:val="24"/>
          <w:lang w:val="en-US"/>
        </w:rPr>
        <w:t xml:space="preserve">on a </w:t>
      </w:r>
      <w:r w:rsidR="000E69FB" w:rsidRPr="00CD382D">
        <w:rPr>
          <w:rFonts w:ascii="Arial" w:hAnsi="Arial" w:cs="Arial"/>
          <w:sz w:val="24"/>
          <w:szCs w:val="24"/>
          <w:lang w:val="en-US"/>
        </w:rPr>
        <w:t>Party-to-Party</w:t>
      </w:r>
      <w:r w:rsidR="00193386" w:rsidRPr="00CD382D">
        <w:rPr>
          <w:rFonts w:ascii="Arial" w:hAnsi="Arial" w:cs="Arial"/>
          <w:sz w:val="24"/>
          <w:szCs w:val="24"/>
          <w:lang w:val="en-US"/>
        </w:rPr>
        <w:t xml:space="preserve"> Scale - Scale B</w:t>
      </w:r>
      <w:r w:rsidR="000E69FB" w:rsidRPr="00CD382D">
        <w:rPr>
          <w:rFonts w:ascii="Arial" w:hAnsi="Arial" w:cs="Arial"/>
          <w:sz w:val="24"/>
          <w:szCs w:val="24"/>
          <w:lang w:val="en-US"/>
        </w:rPr>
        <w:t>.</w:t>
      </w:r>
      <w:r w:rsidR="00193386" w:rsidRPr="00CD382D">
        <w:rPr>
          <w:rFonts w:ascii="Arial" w:hAnsi="Arial" w:cs="Arial"/>
          <w:sz w:val="24"/>
          <w:szCs w:val="24"/>
          <w:lang w:val="en-US"/>
        </w:rPr>
        <w:t xml:space="preserve"> </w:t>
      </w:r>
    </w:p>
    <w:p w14:paraId="7B9B0C9F" w14:textId="77777777" w:rsidR="00225B9E" w:rsidRPr="00225B9E" w:rsidRDefault="00225B9E" w:rsidP="00225B9E">
      <w:pPr>
        <w:pStyle w:val="ListParagraph"/>
        <w:rPr>
          <w:rFonts w:ascii="Arial" w:hAnsi="Arial" w:cs="Arial"/>
          <w:sz w:val="24"/>
          <w:szCs w:val="24"/>
          <w:lang w:val="en-US"/>
        </w:rPr>
      </w:pPr>
    </w:p>
    <w:p w14:paraId="1D2D78BB" w14:textId="77777777" w:rsidR="00225B9E" w:rsidRPr="008A1016" w:rsidRDefault="00225B9E" w:rsidP="00225B9E">
      <w:pPr>
        <w:spacing w:line="360" w:lineRule="auto"/>
        <w:jc w:val="both"/>
        <w:rPr>
          <w:rFonts w:ascii="Arial" w:hAnsi="Arial" w:cs="Arial"/>
        </w:rPr>
      </w:pPr>
    </w:p>
    <w:p w14:paraId="747D6D5B" w14:textId="423CFBF7" w:rsidR="00225B9E" w:rsidRPr="008E492A" w:rsidRDefault="00225B9E" w:rsidP="00DE2D23">
      <w:pPr>
        <w:spacing w:line="360" w:lineRule="auto"/>
        <w:ind w:left="567" w:hanging="567"/>
        <w:jc w:val="both"/>
        <w:rPr>
          <w:rFonts w:ascii="Arial" w:hAnsi="Arial" w:cs="Arial"/>
          <w:sz w:val="24"/>
          <w:szCs w:val="24"/>
        </w:rPr>
      </w:pPr>
      <w:r w:rsidRPr="008E492A">
        <w:rPr>
          <w:rFonts w:ascii="Arial" w:hAnsi="Arial" w:cs="Arial"/>
          <w:sz w:val="24"/>
          <w:szCs w:val="24"/>
        </w:rPr>
        <w:t>HEARD ON:</w:t>
      </w:r>
      <w:r w:rsidRPr="008E492A">
        <w:rPr>
          <w:rFonts w:ascii="Arial" w:hAnsi="Arial" w:cs="Arial"/>
          <w:sz w:val="24"/>
          <w:szCs w:val="24"/>
        </w:rPr>
        <w:tab/>
      </w:r>
      <w:r w:rsidRPr="008E492A">
        <w:rPr>
          <w:rFonts w:ascii="Arial" w:hAnsi="Arial" w:cs="Arial"/>
          <w:sz w:val="24"/>
          <w:szCs w:val="24"/>
        </w:rPr>
        <w:tab/>
      </w:r>
      <w:r w:rsidRPr="008E492A">
        <w:rPr>
          <w:rFonts w:ascii="Arial" w:hAnsi="Arial" w:cs="Arial"/>
          <w:sz w:val="24"/>
          <w:szCs w:val="24"/>
        </w:rPr>
        <w:tab/>
      </w:r>
      <w:r w:rsidRPr="008E492A">
        <w:rPr>
          <w:rFonts w:ascii="Arial" w:hAnsi="Arial" w:cs="Arial"/>
          <w:sz w:val="24"/>
          <w:szCs w:val="24"/>
        </w:rPr>
        <w:tab/>
      </w:r>
      <w:r w:rsidRPr="008E492A">
        <w:rPr>
          <w:rFonts w:ascii="Arial" w:hAnsi="Arial" w:cs="Arial"/>
          <w:sz w:val="24"/>
          <w:szCs w:val="24"/>
        </w:rPr>
        <w:tab/>
      </w:r>
      <w:r w:rsidRPr="008E492A">
        <w:rPr>
          <w:rFonts w:ascii="Arial" w:hAnsi="Arial" w:cs="Arial"/>
          <w:sz w:val="24"/>
          <w:szCs w:val="24"/>
        </w:rPr>
        <w:tab/>
      </w:r>
      <w:r>
        <w:rPr>
          <w:rFonts w:ascii="Arial" w:hAnsi="Arial" w:cs="Arial"/>
          <w:sz w:val="24"/>
          <w:szCs w:val="24"/>
        </w:rPr>
        <w:t>29 APRIL</w:t>
      </w:r>
      <w:r w:rsidRPr="008E492A">
        <w:rPr>
          <w:rFonts w:ascii="Arial" w:hAnsi="Arial" w:cs="Arial"/>
          <w:sz w:val="24"/>
          <w:szCs w:val="24"/>
        </w:rPr>
        <w:t xml:space="preserve"> 2024</w:t>
      </w:r>
    </w:p>
    <w:p w14:paraId="0AD92A95" w14:textId="74194ECA" w:rsidR="00225B9E" w:rsidRPr="008E492A" w:rsidRDefault="00225B9E" w:rsidP="00225B9E">
      <w:pPr>
        <w:spacing w:line="360" w:lineRule="auto"/>
        <w:ind w:left="567" w:hanging="567"/>
        <w:jc w:val="both"/>
        <w:rPr>
          <w:rFonts w:ascii="Arial" w:hAnsi="Arial" w:cs="Arial"/>
          <w:sz w:val="24"/>
          <w:szCs w:val="24"/>
        </w:rPr>
      </w:pPr>
      <w:r w:rsidRPr="008E492A">
        <w:rPr>
          <w:rFonts w:ascii="Arial" w:hAnsi="Arial" w:cs="Arial"/>
          <w:sz w:val="24"/>
          <w:szCs w:val="24"/>
        </w:rPr>
        <w:t>JUDGMENT DELIVERED ON:</w:t>
      </w:r>
      <w:r w:rsidRPr="008E492A">
        <w:rPr>
          <w:rFonts w:ascii="Arial" w:hAnsi="Arial" w:cs="Arial"/>
          <w:sz w:val="24"/>
          <w:szCs w:val="24"/>
        </w:rPr>
        <w:tab/>
      </w:r>
      <w:r w:rsidRPr="008E492A">
        <w:rPr>
          <w:rFonts w:ascii="Arial" w:hAnsi="Arial" w:cs="Arial"/>
          <w:sz w:val="24"/>
          <w:szCs w:val="24"/>
        </w:rPr>
        <w:tab/>
      </w:r>
      <w:r w:rsidRPr="008E492A">
        <w:rPr>
          <w:rFonts w:ascii="Arial" w:hAnsi="Arial" w:cs="Arial"/>
          <w:sz w:val="24"/>
          <w:szCs w:val="24"/>
        </w:rPr>
        <w:tab/>
      </w:r>
      <w:r w:rsidR="00DE2D23">
        <w:rPr>
          <w:rFonts w:ascii="Arial" w:hAnsi="Arial" w:cs="Arial"/>
          <w:sz w:val="24"/>
          <w:szCs w:val="24"/>
        </w:rPr>
        <w:t>06 JUNE</w:t>
      </w:r>
      <w:r w:rsidR="00D805F0">
        <w:rPr>
          <w:rFonts w:ascii="Arial" w:hAnsi="Arial" w:cs="Arial"/>
          <w:sz w:val="24"/>
          <w:szCs w:val="24"/>
        </w:rPr>
        <w:t xml:space="preserve"> 2024</w:t>
      </w:r>
    </w:p>
    <w:p w14:paraId="4843469B" w14:textId="77777777" w:rsidR="00225B9E" w:rsidRPr="008E492A" w:rsidRDefault="00225B9E" w:rsidP="00225B9E">
      <w:pPr>
        <w:spacing w:line="360" w:lineRule="auto"/>
        <w:jc w:val="both"/>
        <w:rPr>
          <w:rFonts w:ascii="Arial" w:hAnsi="Arial" w:cs="Arial"/>
          <w:sz w:val="24"/>
          <w:szCs w:val="24"/>
        </w:rPr>
      </w:pPr>
    </w:p>
    <w:p w14:paraId="57F89627" w14:textId="62FC419A" w:rsidR="00225B9E" w:rsidRPr="008E492A" w:rsidRDefault="00225B9E" w:rsidP="00225B9E">
      <w:pPr>
        <w:spacing w:line="360" w:lineRule="auto"/>
        <w:ind w:left="567" w:hanging="567"/>
        <w:jc w:val="both"/>
        <w:rPr>
          <w:rFonts w:ascii="Arial" w:hAnsi="Arial" w:cs="Arial"/>
          <w:sz w:val="24"/>
          <w:szCs w:val="24"/>
        </w:rPr>
      </w:pPr>
      <w:r w:rsidRPr="008E492A">
        <w:rPr>
          <w:rFonts w:ascii="Arial" w:hAnsi="Arial" w:cs="Arial"/>
          <w:sz w:val="24"/>
          <w:szCs w:val="24"/>
        </w:rPr>
        <w:t>COUNSEL FOR THE APPELLANT:</w:t>
      </w:r>
      <w:r w:rsidRPr="008E492A">
        <w:rPr>
          <w:rFonts w:ascii="Arial" w:hAnsi="Arial" w:cs="Arial"/>
          <w:sz w:val="24"/>
          <w:szCs w:val="24"/>
        </w:rPr>
        <w:tab/>
      </w:r>
      <w:r w:rsidRPr="008E492A">
        <w:rPr>
          <w:rFonts w:ascii="Arial" w:hAnsi="Arial" w:cs="Arial"/>
          <w:sz w:val="24"/>
          <w:szCs w:val="24"/>
        </w:rPr>
        <w:tab/>
      </w:r>
      <w:r>
        <w:rPr>
          <w:rFonts w:ascii="Arial" w:hAnsi="Arial" w:cs="Arial"/>
          <w:sz w:val="24"/>
          <w:szCs w:val="24"/>
        </w:rPr>
        <w:t>ADV CJ WELGEMOED</w:t>
      </w:r>
    </w:p>
    <w:p w14:paraId="76A53AF2" w14:textId="77777777" w:rsidR="00225B9E" w:rsidRPr="008E492A" w:rsidRDefault="00225B9E" w:rsidP="00225B9E">
      <w:pPr>
        <w:spacing w:line="360" w:lineRule="auto"/>
        <w:ind w:left="567" w:hanging="567"/>
        <w:jc w:val="both"/>
        <w:rPr>
          <w:rFonts w:ascii="Arial" w:hAnsi="Arial" w:cs="Arial"/>
          <w:sz w:val="24"/>
          <w:szCs w:val="24"/>
        </w:rPr>
      </w:pPr>
      <w:r w:rsidRPr="008E492A">
        <w:rPr>
          <w:rFonts w:ascii="Arial" w:hAnsi="Arial" w:cs="Arial"/>
          <w:sz w:val="24"/>
          <w:szCs w:val="24"/>
        </w:rPr>
        <w:lastRenderedPageBreak/>
        <w:tab/>
      </w:r>
      <w:r w:rsidRPr="008E492A">
        <w:rPr>
          <w:rFonts w:ascii="Arial" w:hAnsi="Arial" w:cs="Arial"/>
          <w:sz w:val="24"/>
          <w:szCs w:val="24"/>
        </w:rPr>
        <w:tab/>
      </w:r>
      <w:r w:rsidRPr="008E492A">
        <w:rPr>
          <w:rFonts w:ascii="Arial" w:hAnsi="Arial" w:cs="Arial"/>
          <w:sz w:val="24"/>
          <w:szCs w:val="24"/>
        </w:rPr>
        <w:tab/>
      </w:r>
      <w:r w:rsidRPr="008E492A">
        <w:rPr>
          <w:rFonts w:ascii="Arial" w:hAnsi="Arial" w:cs="Arial"/>
          <w:sz w:val="24"/>
          <w:szCs w:val="24"/>
        </w:rPr>
        <w:tab/>
      </w:r>
      <w:r w:rsidRPr="008E492A">
        <w:rPr>
          <w:rFonts w:ascii="Arial" w:hAnsi="Arial" w:cs="Arial"/>
          <w:sz w:val="24"/>
          <w:szCs w:val="24"/>
        </w:rPr>
        <w:tab/>
      </w:r>
      <w:r w:rsidRPr="008E492A">
        <w:rPr>
          <w:rFonts w:ascii="Arial" w:hAnsi="Arial" w:cs="Arial"/>
          <w:sz w:val="24"/>
          <w:szCs w:val="24"/>
        </w:rPr>
        <w:tab/>
      </w:r>
      <w:r w:rsidRPr="008E492A">
        <w:rPr>
          <w:rFonts w:ascii="Arial" w:hAnsi="Arial" w:cs="Arial"/>
          <w:sz w:val="24"/>
          <w:szCs w:val="24"/>
        </w:rPr>
        <w:tab/>
      </w:r>
    </w:p>
    <w:p w14:paraId="3BD33B84" w14:textId="64A11554" w:rsidR="00225B9E" w:rsidRPr="00772E81" w:rsidRDefault="00225B9E" w:rsidP="00225B9E">
      <w:pPr>
        <w:spacing w:line="360" w:lineRule="auto"/>
        <w:ind w:left="567" w:hanging="567"/>
        <w:jc w:val="both"/>
        <w:rPr>
          <w:rFonts w:ascii="Arial" w:hAnsi="Arial" w:cs="Arial"/>
          <w:sz w:val="24"/>
          <w:szCs w:val="24"/>
        </w:rPr>
      </w:pPr>
      <w:r>
        <w:rPr>
          <w:rFonts w:ascii="Arial" w:hAnsi="Arial" w:cs="Arial"/>
          <w:sz w:val="24"/>
          <w:szCs w:val="24"/>
        </w:rPr>
        <w:t xml:space="preserve"> COUNSEL FOR RESPODENT:  </w:t>
      </w:r>
      <w:r>
        <w:rPr>
          <w:rFonts w:ascii="Arial" w:hAnsi="Arial" w:cs="Arial"/>
          <w:sz w:val="24"/>
          <w:szCs w:val="24"/>
        </w:rPr>
        <w:tab/>
        <w:t xml:space="preserve">             </w:t>
      </w:r>
      <w:r>
        <w:rPr>
          <w:rFonts w:cs="Arial"/>
          <w:bCs/>
          <w:sz w:val="24"/>
          <w:szCs w:val="24"/>
          <w:lang w:val="de-DE"/>
        </w:rPr>
        <w:tab/>
        <w:t>ADV KP LETSWALO</w:t>
      </w:r>
    </w:p>
    <w:p w14:paraId="319F1C7B" w14:textId="77777777" w:rsidR="00225B9E" w:rsidRDefault="00225B9E" w:rsidP="00225B9E">
      <w:pPr>
        <w:spacing w:line="480" w:lineRule="auto"/>
        <w:jc w:val="both"/>
        <w:rPr>
          <w:rFonts w:ascii="Arial" w:hAnsi="Arial" w:cs="Arial"/>
          <w:sz w:val="24"/>
          <w:szCs w:val="24"/>
          <w:lang w:val="en-US"/>
        </w:rPr>
      </w:pPr>
    </w:p>
    <w:p w14:paraId="2A4D895A" w14:textId="77777777" w:rsidR="00225B9E" w:rsidRPr="00225B9E" w:rsidRDefault="00225B9E" w:rsidP="00225B9E">
      <w:pPr>
        <w:spacing w:line="480" w:lineRule="auto"/>
        <w:jc w:val="both"/>
        <w:rPr>
          <w:rFonts w:ascii="Arial" w:hAnsi="Arial" w:cs="Arial"/>
          <w:sz w:val="24"/>
          <w:szCs w:val="24"/>
          <w:lang w:val="en-US"/>
        </w:rPr>
      </w:pPr>
    </w:p>
    <w:sectPr w:rsidR="00225B9E" w:rsidRPr="00225B9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BE93EC" w14:textId="77777777" w:rsidR="003B0A51" w:rsidRDefault="003B0A51" w:rsidP="007D3A5B">
      <w:pPr>
        <w:spacing w:after="0" w:line="240" w:lineRule="auto"/>
      </w:pPr>
      <w:r>
        <w:separator/>
      </w:r>
    </w:p>
  </w:endnote>
  <w:endnote w:type="continuationSeparator" w:id="0">
    <w:p w14:paraId="6F9DC5BD" w14:textId="77777777" w:rsidR="003B0A51" w:rsidRDefault="003B0A51" w:rsidP="007D3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33EC8C" w14:textId="77777777" w:rsidR="003B0A51" w:rsidRDefault="003B0A51" w:rsidP="007D3A5B">
      <w:pPr>
        <w:spacing w:after="0" w:line="240" w:lineRule="auto"/>
      </w:pPr>
      <w:r>
        <w:separator/>
      </w:r>
    </w:p>
  </w:footnote>
  <w:footnote w:type="continuationSeparator" w:id="0">
    <w:p w14:paraId="712AE13A" w14:textId="77777777" w:rsidR="003B0A51" w:rsidRDefault="003B0A51" w:rsidP="007D3A5B">
      <w:pPr>
        <w:spacing w:after="0" w:line="240" w:lineRule="auto"/>
      </w:pPr>
      <w:r>
        <w:continuationSeparator/>
      </w:r>
    </w:p>
  </w:footnote>
  <w:footnote w:id="1">
    <w:p w14:paraId="0ADEB2AE" w14:textId="2FB9FD16" w:rsidR="009130C8" w:rsidRPr="009130C8" w:rsidRDefault="009130C8">
      <w:pPr>
        <w:pStyle w:val="FootnoteText"/>
        <w:rPr>
          <w:lang w:val="en-US"/>
        </w:rPr>
      </w:pPr>
      <w:r>
        <w:rPr>
          <w:rStyle w:val="FootnoteReference"/>
        </w:rPr>
        <w:footnoteRef/>
      </w:r>
      <w:r>
        <w:t xml:space="preserve"> </w:t>
      </w:r>
      <w:r w:rsidRPr="009130C8">
        <w:t xml:space="preserve">2012 </w:t>
      </w:r>
      <w:r w:rsidR="00C92DB0">
        <w:t>(</w:t>
      </w:r>
      <w:r w:rsidRPr="009130C8">
        <w:t>5</w:t>
      </w:r>
      <w:r w:rsidR="00C92DB0">
        <w:t>)</w:t>
      </w:r>
      <w:r w:rsidRPr="009130C8">
        <w:t xml:space="preserve"> SA 142 (CC)</w:t>
      </w:r>
      <w:r>
        <w:t xml:space="preserve"> para 74.</w:t>
      </w:r>
      <w:r>
        <w:tab/>
      </w:r>
    </w:p>
  </w:footnote>
  <w:footnote w:id="2">
    <w:p w14:paraId="651E804F" w14:textId="2EE039C7" w:rsidR="009130C8" w:rsidRPr="009130C8" w:rsidRDefault="009130C8">
      <w:pPr>
        <w:pStyle w:val="FootnoteText"/>
        <w:rPr>
          <w:lang w:val="en-US"/>
        </w:rPr>
      </w:pPr>
      <w:r>
        <w:rPr>
          <w:rStyle w:val="FootnoteReference"/>
        </w:rPr>
        <w:footnoteRef/>
      </w:r>
      <w:r>
        <w:t xml:space="preserve"> </w:t>
      </w:r>
      <w:r w:rsidR="001D7C70">
        <w:t xml:space="preserve"> Supra </w:t>
      </w:r>
      <w:r w:rsidR="001D7C70" w:rsidRPr="001D7C70">
        <w:rPr>
          <w:i/>
          <w:iCs/>
        </w:rPr>
        <w:t>Sebola</w:t>
      </w:r>
      <w:r w:rsidR="001D7C70" w:rsidRPr="001D7C70">
        <w:t xml:space="preserve"> </w:t>
      </w:r>
      <w:r w:rsidR="001D7C70">
        <w:t>p</w:t>
      </w:r>
      <w:proofErr w:type="spellStart"/>
      <w:r>
        <w:rPr>
          <w:lang w:val="en-US"/>
        </w:rPr>
        <w:t>ara</w:t>
      </w:r>
      <w:proofErr w:type="spellEnd"/>
      <w:r>
        <w:rPr>
          <w:lang w:val="en-US"/>
        </w:rPr>
        <w:t xml:space="preserve"> 76.</w:t>
      </w:r>
    </w:p>
  </w:footnote>
  <w:footnote w:id="3">
    <w:p w14:paraId="5BBC8707" w14:textId="36AC7A69" w:rsidR="0062514D" w:rsidRPr="0062514D" w:rsidRDefault="0062514D">
      <w:pPr>
        <w:pStyle w:val="FootnoteText"/>
        <w:rPr>
          <w:lang w:val="en-US"/>
        </w:rPr>
      </w:pPr>
      <w:r>
        <w:rPr>
          <w:rStyle w:val="FootnoteReference"/>
        </w:rPr>
        <w:footnoteRef/>
      </w:r>
      <w:r>
        <w:t xml:space="preserve"> </w:t>
      </w:r>
      <w:r w:rsidR="00225B9E">
        <w:rPr>
          <w:lang w:val="en-US"/>
        </w:rPr>
        <w:t xml:space="preserve"> </w:t>
      </w:r>
      <w:r w:rsidRPr="0062514D">
        <w:rPr>
          <w:lang w:val="en-US"/>
        </w:rPr>
        <w:t xml:space="preserve">2014 </w:t>
      </w:r>
      <w:r>
        <w:rPr>
          <w:lang w:val="en-US"/>
        </w:rPr>
        <w:t>(</w:t>
      </w:r>
      <w:r w:rsidRPr="0062514D">
        <w:rPr>
          <w:lang w:val="en-US"/>
        </w:rPr>
        <w:t>3</w:t>
      </w:r>
      <w:r>
        <w:rPr>
          <w:lang w:val="en-US"/>
        </w:rPr>
        <w:t>)</w:t>
      </w:r>
      <w:r w:rsidRPr="0062514D">
        <w:rPr>
          <w:lang w:val="en-US"/>
        </w:rPr>
        <w:t xml:space="preserve"> SA 56 (CC)</w:t>
      </w:r>
      <w:r>
        <w:rPr>
          <w:lang w:val="en-US"/>
        </w:rPr>
        <w:t xml:space="preserve"> para 12.</w:t>
      </w:r>
    </w:p>
  </w:footnote>
  <w:footnote w:id="4">
    <w:p w14:paraId="0CF0C859" w14:textId="22AE8917" w:rsidR="0086290E" w:rsidRPr="0086290E" w:rsidRDefault="0086290E">
      <w:pPr>
        <w:pStyle w:val="FootnoteText"/>
        <w:rPr>
          <w:lang w:val="en-US"/>
        </w:rPr>
      </w:pPr>
      <w:r>
        <w:rPr>
          <w:rStyle w:val="FootnoteReference"/>
        </w:rPr>
        <w:footnoteRef/>
      </w:r>
      <w:r>
        <w:t xml:space="preserve"> </w:t>
      </w:r>
      <w:r>
        <w:rPr>
          <w:lang w:val="en-US"/>
        </w:rPr>
        <w:t xml:space="preserve">   1976 (</w:t>
      </w:r>
      <w:proofErr w:type="gramStart"/>
      <w:r>
        <w:rPr>
          <w:lang w:val="en-US"/>
        </w:rPr>
        <w:t>1)SA</w:t>
      </w:r>
      <w:proofErr w:type="gramEnd"/>
      <w:r>
        <w:rPr>
          <w:lang w:val="en-US"/>
        </w:rPr>
        <w:t xml:space="preserve"> 418 A. </w:t>
      </w:r>
    </w:p>
  </w:footnote>
  <w:footnote w:id="5">
    <w:p w14:paraId="6BBFA0E8" w14:textId="4C0C3DE4" w:rsidR="002A6947" w:rsidRPr="002A6947" w:rsidRDefault="002A6947">
      <w:pPr>
        <w:pStyle w:val="FootnoteText"/>
        <w:rPr>
          <w:lang w:val="en-US"/>
        </w:rPr>
      </w:pPr>
      <w:r>
        <w:rPr>
          <w:rStyle w:val="FootnoteReference"/>
        </w:rPr>
        <w:footnoteRef/>
      </w:r>
      <w:r w:rsidR="004018B9">
        <w:t xml:space="preserve">     Supra Maharaj.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0056067"/>
      <w:docPartObj>
        <w:docPartGallery w:val="Page Numbers (Top of Page)"/>
        <w:docPartUnique/>
      </w:docPartObj>
    </w:sdtPr>
    <w:sdtEndPr>
      <w:rPr>
        <w:noProof/>
      </w:rPr>
    </w:sdtEndPr>
    <w:sdtContent>
      <w:p w14:paraId="62B46F23" w14:textId="2BFEDD6B" w:rsidR="00716D50" w:rsidRPr="00716D50" w:rsidRDefault="00716D50">
        <w:pPr>
          <w:pStyle w:val="Header"/>
          <w:jc w:val="right"/>
        </w:pPr>
        <w:r w:rsidRPr="00716D50">
          <w:fldChar w:fldCharType="begin"/>
        </w:r>
        <w:r w:rsidRPr="00716D50">
          <w:instrText xml:space="preserve"> PAGE   \* MERGEFORMAT </w:instrText>
        </w:r>
        <w:r w:rsidRPr="00716D50">
          <w:fldChar w:fldCharType="separate"/>
        </w:r>
        <w:r w:rsidRPr="00716D50">
          <w:rPr>
            <w:noProof/>
          </w:rPr>
          <w:t>2</w:t>
        </w:r>
        <w:r w:rsidRPr="00716D50">
          <w:rPr>
            <w:noProof/>
          </w:rPr>
          <w:fldChar w:fldCharType="end"/>
        </w:r>
      </w:p>
    </w:sdtContent>
  </w:sdt>
  <w:p w14:paraId="49BD5980" w14:textId="77777777" w:rsidR="00716D50" w:rsidRDefault="00716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4641F"/>
    <w:multiLevelType w:val="hybridMultilevel"/>
    <w:tmpl w:val="7F44F7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BA136AC"/>
    <w:multiLevelType w:val="hybridMultilevel"/>
    <w:tmpl w:val="37F28738"/>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FF06414"/>
    <w:multiLevelType w:val="hybridMultilevel"/>
    <w:tmpl w:val="F516EA46"/>
    <w:lvl w:ilvl="0" w:tplc="01407146">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31DB5BFF"/>
    <w:multiLevelType w:val="hybridMultilevel"/>
    <w:tmpl w:val="F09667E8"/>
    <w:lvl w:ilvl="0" w:tplc="1C09000F">
      <w:start w:val="4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852456B"/>
    <w:multiLevelType w:val="hybridMultilevel"/>
    <w:tmpl w:val="32B6E51C"/>
    <w:lvl w:ilvl="0" w:tplc="1C09000F">
      <w:start w:val="3"/>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DCE62C5"/>
    <w:multiLevelType w:val="hybridMultilevel"/>
    <w:tmpl w:val="AC3E67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9900CC6"/>
    <w:multiLevelType w:val="hybridMultilevel"/>
    <w:tmpl w:val="338C077A"/>
    <w:lvl w:ilvl="0" w:tplc="4BD47F6E">
      <w:start w:val="1"/>
      <w:numFmt w:val="lowerRoman"/>
      <w:lvlText w:val="(%1)"/>
      <w:lvlJc w:val="left"/>
      <w:pPr>
        <w:ind w:left="1440" w:hanging="72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6F0D13CB"/>
    <w:multiLevelType w:val="hybridMultilevel"/>
    <w:tmpl w:val="40240990"/>
    <w:lvl w:ilvl="0" w:tplc="FDDEC7D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16cid:durableId="1645352732">
    <w:abstractNumId w:val="0"/>
  </w:num>
  <w:num w:numId="2" w16cid:durableId="543249695">
    <w:abstractNumId w:val="6"/>
  </w:num>
  <w:num w:numId="3" w16cid:durableId="903835152">
    <w:abstractNumId w:val="5"/>
  </w:num>
  <w:num w:numId="4" w16cid:durableId="423232059">
    <w:abstractNumId w:val="4"/>
  </w:num>
  <w:num w:numId="5" w16cid:durableId="2109226340">
    <w:abstractNumId w:val="3"/>
  </w:num>
  <w:num w:numId="6" w16cid:durableId="1458136283">
    <w:abstractNumId w:val="1"/>
  </w:num>
  <w:num w:numId="7" w16cid:durableId="1935358280">
    <w:abstractNumId w:val="7"/>
  </w:num>
  <w:num w:numId="8" w16cid:durableId="6543386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EAB"/>
    <w:rsid w:val="000056C8"/>
    <w:rsid w:val="00005CD6"/>
    <w:rsid w:val="0001173B"/>
    <w:rsid w:val="00021021"/>
    <w:rsid w:val="00026945"/>
    <w:rsid w:val="00076A25"/>
    <w:rsid w:val="00097BC9"/>
    <w:rsid w:val="000C5061"/>
    <w:rsid w:val="000E69FB"/>
    <w:rsid w:val="000F30C5"/>
    <w:rsid w:val="001527C5"/>
    <w:rsid w:val="00177457"/>
    <w:rsid w:val="00193386"/>
    <w:rsid w:val="001B6B30"/>
    <w:rsid w:val="001D7C70"/>
    <w:rsid w:val="001F31CD"/>
    <w:rsid w:val="00225B9E"/>
    <w:rsid w:val="00263011"/>
    <w:rsid w:val="002A4EC7"/>
    <w:rsid w:val="002A6947"/>
    <w:rsid w:val="002B431B"/>
    <w:rsid w:val="002C3628"/>
    <w:rsid w:val="002E69AB"/>
    <w:rsid w:val="00325C54"/>
    <w:rsid w:val="0037619F"/>
    <w:rsid w:val="003B0A51"/>
    <w:rsid w:val="003B7249"/>
    <w:rsid w:val="003D3C2A"/>
    <w:rsid w:val="003F0A15"/>
    <w:rsid w:val="004013D2"/>
    <w:rsid w:val="004018B9"/>
    <w:rsid w:val="00454A0E"/>
    <w:rsid w:val="0046720F"/>
    <w:rsid w:val="00472341"/>
    <w:rsid w:val="00491CC2"/>
    <w:rsid w:val="004D49BF"/>
    <w:rsid w:val="004E08FE"/>
    <w:rsid w:val="00501D19"/>
    <w:rsid w:val="00514604"/>
    <w:rsid w:val="00545C68"/>
    <w:rsid w:val="005749E4"/>
    <w:rsid w:val="0062514D"/>
    <w:rsid w:val="00644056"/>
    <w:rsid w:val="00657BF6"/>
    <w:rsid w:val="00695142"/>
    <w:rsid w:val="006A7E9E"/>
    <w:rsid w:val="006E1160"/>
    <w:rsid w:val="00703B89"/>
    <w:rsid w:val="00707081"/>
    <w:rsid w:val="00716D50"/>
    <w:rsid w:val="0072144E"/>
    <w:rsid w:val="007333A5"/>
    <w:rsid w:val="0076376A"/>
    <w:rsid w:val="0076534C"/>
    <w:rsid w:val="007667B6"/>
    <w:rsid w:val="007948F9"/>
    <w:rsid w:val="007A5485"/>
    <w:rsid w:val="007D3A5B"/>
    <w:rsid w:val="008012D4"/>
    <w:rsid w:val="00826822"/>
    <w:rsid w:val="0086290E"/>
    <w:rsid w:val="00865F7B"/>
    <w:rsid w:val="00873A70"/>
    <w:rsid w:val="008843A4"/>
    <w:rsid w:val="008901B8"/>
    <w:rsid w:val="008E1B63"/>
    <w:rsid w:val="009130C8"/>
    <w:rsid w:val="009242EE"/>
    <w:rsid w:val="00966EA0"/>
    <w:rsid w:val="0098190D"/>
    <w:rsid w:val="00A00D1A"/>
    <w:rsid w:val="00A119F9"/>
    <w:rsid w:val="00A2522D"/>
    <w:rsid w:val="00A41412"/>
    <w:rsid w:val="00A967D7"/>
    <w:rsid w:val="00AB3EF6"/>
    <w:rsid w:val="00AD3803"/>
    <w:rsid w:val="00B01595"/>
    <w:rsid w:val="00B2099A"/>
    <w:rsid w:val="00B27AC1"/>
    <w:rsid w:val="00B514A3"/>
    <w:rsid w:val="00B654FD"/>
    <w:rsid w:val="00BB2602"/>
    <w:rsid w:val="00BB522A"/>
    <w:rsid w:val="00BC4195"/>
    <w:rsid w:val="00BE37EC"/>
    <w:rsid w:val="00C43C5D"/>
    <w:rsid w:val="00C92DB0"/>
    <w:rsid w:val="00C95FC5"/>
    <w:rsid w:val="00CB6350"/>
    <w:rsid w:val="00CB73FA"/>
    <w:rsid w:val="00CD382D"/>
    <w:rsid w:val="00CE01BC"/>
    <w:rsid w:val="00D32AEA"/>
    <w:rsid w:val="00D668C9"/>
    <w:rsid w:val="00D70FE5"/>
    <w:rsid w:val="00D805F0"/>
    <w:rsid w:val="00D87A97"/>
    <w:rsid w:val="00D96A93"/>
    <w:rsid w:val="00DB5321"/>
    <w:rsid w:val="00DB7EAB"/>
    <w:rsid w:val="00DC4790"/>
    <w:rsid w:val="00DE2D23"/>
    <w:rsid w:val="00DE68F5"/>
    <w:rsid w:val="00E81100"/>
    <w:rsid w:val="00F36800"/>
    <w:rsid w:val="00F63972"/>
    <w:rsid w:val="00F86E03"/>
    <w:rsid w:val="00FB72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AFAF"/>
  <w15:docId w15:val="{5F5EA0FA-D351-4625-B3C5-F7C51D6A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7EA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B7EA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B7EA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B7EA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B7EA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B7EA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B7EA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B7EA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B7EA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EA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B7EA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B7EA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B7EA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B7EA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B7EA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B7EA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B7EA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B7EAB"/>
    <w:rPr>
      <w:rFonts w:eastAsiaTheme="majorEastAsia" w:cstheme="majorBidi"/>
      <w:color w:val="272727" w:themeColor="text1" w:themeTint="D8"/>
    </w:rPr>
  </w:style>
  <w:style w:type="paragraph" w:styleId="Title">
    <w:name w:val="Title"/>
    <w:basedOn w:val="Normal"/>
    <w:next w:val="Normal"/>
    <w:link w:val="TitleChar"/>
    <w:uiPriority w:val="10"/>
    <w:qFormat/>
    <w:rsid w:val="00DB7EA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7EA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7EA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B7EA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B7EAB"/>
    <w:pPr>
      <w:spacing w:before="160"/>
      <w:jc w:val="center"/>
    </w:pPr>
    <w:rPr>
      <w:i/>
      <w:iCs/>
      <w:color w:val="404040" w:themeColor="text1" w:themeTint="BF"/>
    </w:rPr>
  </w:style>
  <w:style w:type="character" w:customStyle="1" w:styleId="QuoteChar">
    <w:name w:val="Quote Char"/>
    <w:basedOn w:val="DefaultParagraphFont"/>
    <w:link w:val="Quote"/>
    <w:uiPriority w:val="29"/>
    <w:rsid w:val="00DB7EAB"/>
    <w:rPr>
      <w:i/>
      <w:iCs/>
      <w:color w:val="404040" w:themeColor="text1" w:themeTint="BF"/>
    </w:rPr>
  </w:style>
  <w:style w:type="paragraph" w:styleId="ListParagraph">
    <w:name w:val="List Paragraph"/>
    <w:basedOn w:val="Normal"/>
    <w:uiPriority w:val="34"/>
    <w:qFormat/>
    <w:rsid w:val="00DB7EAB"/>
    <w:pPr>
      <w:ind w:left="720"/>
      <w:contextualSpacing/>
    </w:pPr>
  </w:style>
  <w:style w:type="character" w:styleId="IntenseEmphasis">
    <w:name w:val="Intense Emphasis"/>
    <w:basedOn w:val="DefaultParagraphFont"/>
    <w:uiPriority w:val="21"/>
    <w:qFormat/>
    <w:rsid w:val="00DB7EAB"/>
    <w:rPr>
      <w:i/>
      <w:iCs/>
      <w:color w:val="0F4761" w:themeColor="accent1" w:themeShade="BF"/>
    </w:rPr>
  </w:style>
  <w:style w:type="paragraph" w:styleId="IntenseQuote">
    <w:name w:val="Intense Quote"/>
    <w:basedOn w:val="Normal"/>
    <w:next w:val="Normal"/>
    <w:link w:val="IntenseQuoteChar"/>
    <w:uiPriority w:val="30"/>
    <w:qFormat/>
    <w:rsid w:val="00DB7EA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B7EAB"/>
    <w:rPr>
      <w:i/>
      <w:iCs/>
      <w:color w:val="0F4761" w:themeColor="accent1" w:themeShade="BF"/>
    </w:rPr>
  </w:style>
  <w:style w:type="character" w:styleId="IntenseReference">
    <w:name w:val="Intense Reference"/>
    <w:basedOn w:val="DefaultParagraphFont"/>
    <w:uiPriority w:val="32"/>
    <w:qFormat/>
    <w:rsid w:val="00DB7EAB"/>
    <w:rPr>
      <w:b/>
      <w:bCs/>
      <w:smallCaps/>
      <w:color w:val="0F4761" w:themeColor="accent1" w:themeShade="BF"/>
      <w:spacing w:val="5"/>
    </w:rPr>
  </w:style>
  <w:style w:type="paragraph" w:styleId="FootnoteText">
    <w:name w:val="footnote text"/>
    <w:basedOn w:val="Normal"/>
    <w:link w:val="FootnoteTextChar"/>
    <w:uiPriority w:val="99"/>
    <w:semiHidden/>
    <w:unhideWhenUsed/>
    <w:rsid w:val="007D3A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3A5B"/>
    <w:rPr>
      <w:sz w:val="20"/>
      <w:szCs w:val="20"/>
    </w:rPr>
  </w:style>
  <w:style w:type="character" w:styleId="FootnoteReference">
    <w:name w:val="footnote reference"/>
    <w:basedOn w:val="DefaultParagraphFont"/>
    <w:uiPriority w:val="99"/>
    <w:semiHidden/>
    <w:unhideWhenUsed/>
    <w:rsid w:val="007D3A5B"/>
    <w:rPr>
      <w:vertAlign w:val="superscript"/>
    </w:rPr>
  </w:style>
  <w:style w:type="paragraph" w:customStyle="1" w:styleId="Body">
    <w:name w:val="Body"/>
    <w:rsid w:val="00225B9E"/>
    <w:pPr>
      <w:pBdr>
        <w:top w:val="nil"/>
        <w:left w:val="nil"/>
        <w:bottom w:val="nil"/>
        <w:right w:val="nil"/>
        <w:between w:val="nil"/>
        <w:bar w:val="nil"/>
      </w:pBdr>
      <w:spacing w:after="0" w:line="480" w:lineRule="auto"/>
    </w:pPr>
    <w:rPr>
      <w:rFonts w:ascii="Arial" w:eastAsia="Arial Unicode MS" w:hAnsi="Arial" w:cs="Arial Unicode MS"/>
      <w:color w:val="000000"/>
      <w:kern w:val="0"/>
      <w:sz w:val="26"/>
      <w:szCs w:val="26"/>
      <w:bdr w:val="nil"/>
      <w:lang w:val="en-US"/>
      <w14:ligatures w14:val="none"/>
    </w:rPr>
  </w:style>
  <w:style w:type="table" w:styleId="TableGrid">
    <w:name w:val="Table Grid"/>
    <w:basedOn w:val="TableNormal"/>
    <w:uiPriority w:val="39"/>
    <w:rsid w:val="00225B9E"/>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6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D50"/>
  </w:style>
  <w:style w:type="paragraph" w:styleId="Footer">
    <w:name w:val="footer"/>
    <w:basedOn w:val="Normal"/>
    <w:link w:val="FooterChar"/>
    <w:uiPriority w:val="99"/>
    <w:unhideWhenUsed/>
    <w:rsid w:val="00716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8C21D1D-DF0C-4D2F-8D77-3D950CE22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2125</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Kekana</dc:creator>
  <cp:keywords/>
  <dc:description/>
  <cp:lastModifiedBy>sathish sarshan  mohan</cp:lastModifiedBy>
  <cp:revision>5</cp:revision>
  <cp:lastPrinted>2024-06-06T09:07:00Z</cp:lastPrinted>
  <dcterms:created xsi:type="dcterms:W3CDTF">2024-06-06T09:10:00Z</dcterms:created>
  <dcterms:modified xsi:type="dcterms:W3CDTF">2024-06-08T09:58:00Z</dcterms:modified>
</cp:coreProperties>
</file>