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7E74D" w14:textId="77777777" w:rsidR="00E97474" w:rsidRDefault="003D5935" w:rsidP="00E97474">
      <w:pPr>
        <w:spacing w:after="0" w:line="360" w:lineRule="auto"/>
        <w:jc w:val="center"/>
      </w:pPr>
      <w:r w:rsidRPr="003C28F1">
        <w:rPr>
          <w:rFonts w:ascii="Bookman Old Style" w:hAnsi="Bookman Old Style"/>
          <w:noProof/>
          <w:color w:val="1F497D"/>
          <w:lang w:eastAsia="en-ZA"/>
        </w:rPr>
        <w:drawing>
          <wp:inline distT="0" distB="0" distL="0" distR="0" wp14:anchorId="726B3B7C" wp14:editId="16D5FE08">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0815BA0" w14:textId="77777777" w:rsidR="00E97474" w:rsidRPr="00437385" w:rsidRDefault="00E97474" w:rsidP="00E97474">
      <w:pPr>
        <w:spacing w:after="0" w:line="360" w:lineRule="auto"/>
        <w:jc w:val="center"/>
      </w:pPr>
      <w:r>
        <w:t>IN THE HI</w:t>
      </w:r>
      <w:r w:rsidRPr="00437385">
        <w:t>G</w:t>
      </w:r>
      <w:r>
        <w:t>H</w:t>
      </w:r>
      <w:r w:rsidRPr="00437385">
        <w:t xml:space="preserve"> COURT OF SOUTH AFRICA</w:t>
      </w:r>
    </w:p>
    <w:p w14:paraId="1DA4DD1F" w14:textId="77777777" w:rsidR="00E97474" w:rsidRPr="00437385" w:rsidRDefault="00E97474" w:rsidP="00E97474">
      <w:pPr>
        <w:spacing w:after="0" w:line="360" w:lineRule="auto"/>
        <w:jc w:val="center"/>
      </w:pPr>
      <w:r w:rsidRPr="00437385">
        <w:t>GAUTENG DIVISION, PRETORIA</w:t>
      </w:r>
    </w:p>
    <w:p w14:paraId="58C3B97D" w14:textId="77777777" w:rsidR="00E97474" w:rsidRDefault="00E97474" w:rsidP="00E97474">
      <w:pPr>
        <w:spacing w:after="0" w:line="360" w:lineRule="auto"/>
        <w:jc w:val="right"/>
      </w:pPr>
      <w:r>
        <w:tab/>
      </w:r>
      <w:r>
        <w:tab/>
      </w:r>
      <w:r>
        <w:tab/>
      </w:r>
      <w:r>
        <w:tab/>
      </w:r>
      <w:r>
        <w:tab/>
      </w:r>
      <w:r>
        <w:tab/>
      </w:r>
      <w:r>
        <w:tab/>
      </w:r>
      <w:r>
        <w:tab/>
      </w:r>
    </w:p>
    <w:p w14:paraId="67AFD855" w14:textId="703BFE10" w:rsidR="00E97474" w:rsidRPr="000A0967" w:rsidRDefault="00E97474" w:rsidP="00E97474">
      <w:pPr>
        <w:spacing w:after="0" w:line="360" w:lineRule="auto"/>
        <w:jc w:val="right"/>
        <w:rPr>
          <w:b/>
        </w:rPr>
      </w:pPr>
      <w:r>
        <w:rPr>
          <w:b/>
        </w:rPr>
        <w:t xml:space="preserve">CASE NO: </w:t>
      </w:r>
      <w:r w:rsidR="002C1E94">
        <w:rPr>
          <w:b/>
        </w:rPr>
        <w:t>38549/2022</w:t>
      </w:r>
    </w:p>
    <w:p w14:paraId="600B329B" w14:textId="77777777" w:rsidR="00E97474" w:rsidRPr="000A0967" w:rsidRDefault="00E97474" w:rsidP="00E97474">
      <w:pPr>
        <w:jc w:val="center"/>
        <w:rPr>
          <w:b/>
        </w:rPr>
      </w:pPr>
      <w:r w:rsidRPr="000A0967">
        <w:rPr>
          <w:b/>
          <w:noProof/>
          <w:lang w:eastAsia="en-ZA"/>
        </w:rPr>
        <mc:AlternateContent>
          <mc:Choice Requires="wps">
            <w:drawing>
              <wp:anchor distT="0" distB="0" distL="114300" distR="114300" simplePos="0" relativeHeight="251659264" behindDoc="0" locked="0" layoutInCell="1" allowOverlap="1" wp14:anchorId="2A7F47A8" wp14:editId="66E62632">
                <wp:simplePos x="0" y="0"/>
                <wp:positionH relativeFrom="column">
                  <wp:posOffset>-30480</wp:posOffset>
                </wp:positionH>
                <wp:positionV relativeFrom="paragraph">
                  <wp:posOffset>78105</wp:posOffset>
                </wp:positionV>
                <wp:extent cx="3371850" cy="13335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33500"/>
                        </a:xfrm>
                        <a:prstGeom prst="rect">
                          <a:avLst/>
                        </a:prstGeom>
                        <a:solidFill>
                          <a:srgbClr val="FFFFFF"/>
                        </a:solidFill>
                        <a:ln w="9525">
                          <a:solidFill>
                            <a:srgbClr val="000000"/>
                          </a:solidFill>
                          <a:miter lim="800000"/>
                          <a:headEnd/>
                          <a:tailEnd/>
                        </a:ln>
                      </wps:spPr>
                      <wps:txbx>
                        <w:txbxContent>
                          <w:p w14:paraId="0CCEC4BC" w14:textId="09BAC08C" w:rsidR="00927EA6" w:rsidRPr="00292ABE" w:rsidRDefault="00292ABE" w:rsidP="00292ABE">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927EA6" w:rsidRPr="00292ABE">
                              <w:rPr>
                                <w:rFonts w:ascii="Century Gothic" w:hAnsi="Century Gothic"/>
                                <w:sz w:val="18"/>
                                <w:szCs w:val="18"/>
                              </w:rPr>
                              <w:t xml:space="preserve">REPORTABLE: </w:t>
                            </w:r>
                            <w:r w:rsidR="00B70C12" w:rsidRPr="00292ABE">
                              <w:rPr>
                                <w:rFonts w:ascii="Century Gothic" w:hAnsi="Century Gothic"/>
                                <w:b/>
                                <w:sz w:val="18"/>
                                <w:szCs w:val="18"/>
                              </w:rPr>
                              <w:t>NO</w:t>
                            </w:r>
                          </w:p>
                          <w:p w14:paraId="735E0E00" w14:textId="2A87AB1D" w:rsidR="00927EA6" w:rsidRPr="00A75EE1" w:rsidRDefault="00292ABE" w:rsidP="00292ABE">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927EA6" w:rsidRPr="00A75EE1">
                              <w:rPr>
                                <w:rFonts w:ascii="Century Gothic" w:hAnsi="Century Gothic"/>
                                <w:sz w:val="18"/>
                                <w:szCs w:val="18"/>
                              </w:rPr>
                              <w:t xml:space="preserve">OF INTEREST TO OTHER JUDGES: </w:t>
                            </w:r>
                            <w:r w:rsidR="00B70C12">
                              <w:rPr>
                                <w:rFonts w:ascii="Century Gothic" w:hAnsi="Century Gothic"/>
                                <w:b/>
                                <w:sz w:val="18"/>
                                <w:szCs w:val="18"/>
                              </w:rPr>
                              <w:t>NO</w:t>
                            </w:r>
                          </w:p>
                          <w:p w14:paraId="7A4C0E8E" w14:textId="4AFB6CBF" w:rsidR="00927EA6" w:rsidRPr="00A75EE1" w:rsidRDefault="00292ABE" w:rsidP="00292ABE">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927EA6" w:rsidRPr="00A75EE1">
                              <w:rPr>
                                <w:rFonts w:ascii="Century Gothic" w:hAnsi="Century Gothic"/>
                                <w:sz w:val="18"/>
                                <w:szCs w:val="18"/>
                              </w:rPr>
                              <w:t>REVISED</w:t>
                            </w:r>
                            <w:r w:rsidR="00927EA6">
                              <w:rPr>
                                <w:rFonts w:ascii="Century Gothic" w:hAnsi="Century Gothic"/>
                                <w:sz w:val="18"/>
                                <w:szCs w:val="18"/>
                              </w:rPr>
                              <w:t>:</w:t>
                            </w:r>
                            <w:r w:rsidR="00927EA6" w:rsidRPr="00A75EE1">
                              <w:rPr>
                                <w:rFonts w:ascii="Century Gothic" w:hAnsi="Century Gothic"/>
                                <w:sz w:val="18"/>
                                <w:szCs w:val="18"/>
                              </w:rPr>
                              <w:t xml:space="preserve"> </w:t>
                            </w:r>
                            <w:r w:rsidR="00927EA6" w:rsidRPr="00A75EE1">
                              <w:rPr>
                                <w:rFonts w:ascii="Century Gothic" w:hAnsi="Century Gothic"/>
                                <w:b/>
                                <w:sz w:val="18"/>
                                <w:szCs w:val="18"/>
                              </w:rPr>
                              <w:t>YES</w:t>
                            </w:r>
                          </w:p>
                          <w:p w14:paraId="5EF47923" w14:textId="77777777" w:rsidR="00927EA6" w:rsidRDefault="00927EA6" w:rsidP="00477604">
                            <w:pPr>
                              <w:spacing w:after="0" w:line="240" w:lineRule="auto"/>
                              <w:rPr>
                                <w:rFonts w:ascii="Century Gothic" w:hAnsi="Century Gothic"/>
                                <w:sz w:val="18"/>
                                <w:szCs w:val="18"/>
                              </w:rPr>
                            </w:pPr>
                          </w:p>
                          <w:p w14:paraId="49C6B448" w14:textId="23B62ECD" w:rsidR="00927EA6" w:rsidRDefault="00927EA6" w:rsidP="00477604">
                            <w:pPr>
                              <w:spacing w:after="0" w:line="240" w:lineRule="auto"/>
                              <w:rPr>
                                <w:rFonts w:ascii="Century Gothic" w:hAnsi="Century Gothic"/>
                                <w:sz w:val="18"/>
                                <w:szCs w:val="18"/>
                              </w:rPr>
                            </w:pPr>
                          </w:p>
                          <w:p w14:paraId="1F2E3CA0" w14:textId="77777777" w:rsidR="00927EA6" w:rsidRDefault="00927EA6" w:rsidP="00477604">
                            <w:pPr>
                              <w:spacing w:after="0" w:line="240" w:lineRule="auto"/>
                              <w:rPr>
                                <w:rFonts w:ascii="Century Gothic" w:hAnsi="Century Gothic"/>
                                <w:sz w:val="18"/>
                                <w:szCs w:val="18"/>
                              </w:rPr>
                            </w:pPr>
                          </w:p>
                          <w:p w14:paraId="51AD6044" w14:textId="7616563F" w:rsidR="00927EA6" w:rsidRPr="004770F6" w:rsidRDefault="00927EA6" w:rsidP="00E97474">
                            <w:pPr>
                              <w:spacing w:after="0" w:line="240" w:lineRule="auto"/>
                              <w:rPr>
                                <w:rFonts w:ascii="Century Gothic" w:hAnsi="Century Gothic"/>
                                <w:b/>
                                <w:sz w:val="18"/>
                                <w:szCs w:val="18"/>
                              </w:rPr>
                            </w:pPr>
                            <w:r w:rsidRPr="004770F6">
                              <w:rPr>
                                <w:rFonts w:ascii="Century Gothic" w:hAnsi="Century Gothic"/>
                                <w:b/>
                                <w:sz w:val="18"/>
                                <w:szCs w:val="18"/>
                              </w:rPr>
                              <w:t>___________________________         _______________________</w:t>
                            </w:r>
                          </w:p>
                          <w:p w14:paraId="235E459C" w14:textId="0566BEAB" w:rsidR="00927EA6" w:rsidRPr="004770F6" w:rsidRDefault="00927EA6" w:rsidP="00E97474">
                            <w:pPr>
                              <w:spacing w:after="0" w:line="240" w:lineRule="auto"/>
                              <w:rPr>
                                <w:rFonts w:ascii="Century Gothic" w:hAnsi="Century Gothic"/>
                                <w:b/>
                                <w:sz w:val="18"/>
                                <w:szCs w:val="18"/>
                              </w:rPr>
                            </w:pPr>
                            <w:r w:rsidRPr="004770F6">
                              <w:rPr>
                                <w:rFonts w:ascii="Century Gothic" w:hAnsi="Century Gothic"/>
                                <w:b/>
                                <w:sz w:val="18"/>
                                <w:szCs w:val="18"/>
                              </w:rPr>
                              <w:t>DATE</w:t>
                            </w:r>
                            <w:r w:rsidRPr="004770F6">
                              <w:rPr>
                                <w:rFonts w:ascii="Century Gothic" w:hAnsi="Century Gothic"/>
                                <w:b/>
                                <w:sz w:val="18"/>
                                <w:szCs w:val="18"/>
                              </w:rPr>
                              <w:tab/>
                            </w:r>
                            <w:r w:rsidRPr="004770F6">
                              <w:rPr>
                                <w:rFonts w:ascii="Century Gothic" w:hAnsi="Century Gothic"/>
                                <w:b/>
                                <w:sz w:val="18"/>
                                <w:szCs w:val="18"/>
                              </w:rPr>
                              <w:tab/>
                              <w:t xml:space="preserve">                  </w:t>
                            </w:r>
                            <w:r w:rsidRPr="004770F6">
                              <w:rPr>
                                <w:rFonts w:ascii="Century Gothic" w:hAnsi="Century Gothic"/>
                                <w:b/>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F47A8" id="_x0000_t202" coordsize="21600,21600" o:spt="202" path="m,l,21600r21600,l21600,xe">
                <v:stroke joinstyle="miter"/>
                <v:path gradientshapeok="t" o:connecttype="rect"/>
              </v:shapetype>
              <v:shape id="Text Box 5" o:spid="_x0000_s1026" type="#_x0000_t202" style="position:absolute;left:0;text-align:left;margin-left:-2.4pt;margin-top:6.15pt;width:265.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">
                <v:textbox>
                  <w:txbxContent>
                    <w:p w14:paraId="0CCEC4BC" w14:textId="09BAC08C" w:rsidR="00927EA6" w:rsidRPr="00292ABE" w:rsidRDefault="00292ABE" w:rsidP="00292ABE">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927EA6" w:rsidRPr="00292ABE">
                        <w:rPr>
                          <w:rFonts w:ascii="Century Gothic" w:hAnsi="Century Gothic"/>
                          <w:sz w:val="18"/>
                          <w:szCs w:val="18"/>
                        </w:rPr>
                        <w:t xml:space="preserve">REPORTABLE: </w:t>
                      </w:r>
                      <w:r w:rsidR="00B70C12" w:rsidRPr="00292ABE">
                        <w:rPr>
                          <w:rFonts w:ascii="Century Gothic" w:hAnsi="Century Gothic"/>
                          <w:b/>
                          <w:sz w:val="18"/>
                          <w:szCs w:val="18"/>
                        </w:rPr>
                        <w:t>NO</w:t>
                      </w:r>
                    </w:p>
                    <w:p w14:paraId="735E0E00" w14:textId="2A87AB1D" w:rsidR="00927EA6" w:rsidRPr="00A75EE1" w:rsidRDefault="00292ABE" w:rsidP="00292ABE">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927EA6" w:rsidRPr="00A75EE1">
                        <w:rPr>
                          <w:rFonts w:ascii="Century Gothic" w:hAnsi="Century Gothic"/>
                          <w:sz w:val="18"/>
                          <w:szCs w:val="18"/>
                        </w:rPr>
                        <w:t xml:space="preserve">OF INTEREST TO OTHER JUDGES: </w:t>
                      </w:r>
                      <w:r w:rsidR="00B70C12">
                        <w:rPr>
                          <w:rFonts w:ascii="Century Gothic" w:hAnsi="Century Gothic"/>
                          <w:b/>
                          <w:sz w:val="18"/>
                          <w:szCs w:val="18"/>
                        </w:rPr>
                        <w:t>NO</w:t>
                      </w:r>
                    </w:p>
                    <w:p w14:paraId="7A4C0E8E" w14:textId="4AFB6CBF" w:rsidR="00927EA6" w:rsidRPr="00A75EE1" w:rsidRDefault="00292ABE" w:rsidP="00292ABE">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927EA6" w:rsidRPr="00A75EE1">
                        <w:rPr>
                          <w:rFonts w:ascii="Century Gothic" w:hAnsi="Century Gothic"/>
                          <w:sz w:val="18"/>
                          <w:szCs w:val="18"/>
                        </w:rPr>
                        <w:t>REVISED</w:t>
                      </w:r>
                      <w:r w:rsidR="00927EA6">
                        <w:rPr>
                          <w:rFonts w:ascii="Century Gothic" w:hAnsi="Century Gothic"/>
                          <w:sz w:val="18"/>
                          <w:szCs w:val="18"/>
                        </w:rPr>
                        <w:t>:</w:t>
                      </w:r>
                      <w:r w:rsidR="00927EA6" w:rsidRPr="00A75EE1">
                        <w:rPr>
                          <w:rFonts w:ascii="Century Gothic" w:hAnsi="Century Gothic"/>
                          <w:sz w:val="18"/>
                          <w:szCs w:val="18"/>
                        </w:rPr>
                        <w:t xml:space="preserve"> </w:t>
                      </w:r>
                      <w:r w:rsidR="00927EA6" w:rsidRPr="00A75EE1">
                        <w:rPr>
                          <w:rFonts w:ascii="Century Gothic" w:hAnsi="Century Gothic"/>
                          <w:b/>
                          <w:sz w:val="18"/>
                          <w:szCs w:val="18"/>
                        </w:rPr>
                        <w:t>YES</w:t>
                      </w:r>
                    </w:p>
                    <w:p w14:paraId="5EF47923" w14:textId="77777777" w:rsidR="00927EA6" w:rsidRDefault="00927EA6" w:rsidP="00477604">
                      <w:pPr>
                        <w:spacing w:after="0" w:line="240" w:lineRule="auto"/>
                        <w:rPr>
                          <w:rFonts w:ascii="Century Gothic" w:hAnsi="Century Gothic"/>
                          <w:sz w:val="18"/>
                          <w:szCs w:val="18"/>
                        </w:rPr>
                      </w:pPr>
                    </w:p>
                    <w:p w14:paraId="49C6B448" w14:textId="23B62ECD" w:rsidR="00927EA6" w:rsidRDefault="00927EA6" w:rsidP="00477604">
                      <w:pPr>
                        <w:spacing w:after="0" w:line="240" w:lineRule="auto"/>
                        <w:rPr>
                          <w:rFonts w:ascii="Century Gothic" w:hAnsi="Century Gothic"/>
                          <w:sz w:val="18"/>
                          <w:szCs w:val="18"/>
                        </w:rPr>
                      </w:pPr>
                    </w:p>
                    <w:p w14:paraId="1F2E3CA0" w14:textId="77777777" w:rsidR="00927EA6" w:rsidRDefault="00927EA6" w:rsidP="00477604">
                      <w:pPr>
                        <w:spacing w:after="0" w:line="240" w:lineRule="auto"/>
                        <w:rPr>
                          <w:rFonts w:ascii="Century Gothic" w:hAnsi="Century Gothic"/>
                          <w:sz w:val="18"/>
                          <w:szCs w:val="18"/>
                        </w:rPr>
                      </w:pPr>
                    </w:p>
                    <w:p w14:paraId="51AD6044" w14:textId="7616563F" w:rsidR="00927EA6" w:rsidRPr="004770F6" w:rsidRDefault="00927EA6" w:rsidP="00E97474">
                      <w:pPr>
                        <w:spacing w:after="0" w:line="240" w:lineRule="auto"/>
                        <w:rPr>
                          <w:rFonts w:ascii="Century Gothic" w:hAnsi="Century Gothic"/>
                          <w:b/>
                          <w:sz w:val="18"/>
                          <w:szCs w:val="18"/>
                        </w:rPr>
                      </w:pPr>
                      <w:r w:rsidRPr="004770F6">
                        <w:rPr>
                          <w:rFonts w:ascii="Century Gothic" w:hAnsi="Century Gothic"/>
                          <w:b/>
                          <w:sz w:val="18"/>
                          <w:szCs w:val="18"/>
                        </w:rPr>
                        <w:t>___________________________         _______________________</w:t>
                      </w:r>
                    </w:p>
                    <w:p w14:paraId="235E459C" w14:textId="0566BEAB" w:rsidR="00927EA6" w:rsidRPr="004770F6" w:rsidRDefault="00927EA6" w:rsidP="00E97474">
                      <w:pPr>
                        <w:spacing w:after="0" w:line="240" w:lineRule="auto"/>
                        <w:rPr>
                          <w:rFonts w:ascii="Century Gothic" w:hAnsi="Century Gothic"/>
                          <w:b/>
                          <w:sz w:val="18"/>
                          <w:szCs w:val="18"/>
                        </w:rPr>
                      </w:pPr>
                      <w:r w:rsidRPr="004770F6">
                        <w:rPr>
                          <w:rFonts w:ascii="Century Gothic" w:hAnsi="Century Gothic"/>
                          <w:b/>
                          <w:sz w:val="18"/>
                          <w:szCs w:val="18"/>
                        </w:rPr>
                        <w:t>DATE</w:t>
                      </w:r>
                      <w:r w:rsidRPr="004770F6">
                        <w:rPr>
                          <w:rFonts w:ascii="Century Gothic" w:hAnsi="Century Gothic"/>
                          <w:b/>
                          <w:sz w:val="18"/>
                          <w:szCs w:val="18"/>
                        </w:rPr>
                        <w:tab/>
                      </w:r>
                      <w:r w:rsidRPr="004770F6">
                        <w:rPr>
                          <w:rFonts w:ascii="Century Gothic" w:hAnsi="Century Gothic"/>
                          <w:b/>
                          <w:sz w:val="18"/>
                          <w:szCs w:val="18"/>
                        </w:rPr>
                        <w:tab/>
                        <w:t xml:space="preserve">                  </w:t>
                      </w:r>
                      <w:r w:rsidRPr="004770F6">
                        <w:rPr>
                          <w:rFonts w:ascii="Century Gothic" w:hAnsi="Century Gothic"/>
                          <w:b/>
                          <w:sz w:val="18"/>
                          <w:szCs w:val="18"/>
                        </w:rPr>
                        <w:tab/>
                        <w:t>SIGNATURE</w:t>
                      </w:r>
                    </w:p>
                  </w:txbxContent>
                </v:textbox>
              </v:shape>
            </w:pict>
          </mc:Fallback>
        </mc:AlternateContent>
      </w:r>
    </w:p>
    <w:p w14:paraId="28A15C92" w14:textId="77777777" w:rsidR="00E97474" w:rsidRPr="000A0967" w:rsidRDefault="00E97474" w:rsidP="00E97474">
      <w:pPr>
        <w:spacing w:after="0" w:line="360" w:lineRule="auto"/>
      </w:pPr>
    </w:p>
    <w:p w14:paraId="516914F8" w14:textId="77777777" w:rsidR="00E97474" w:rsidRPr="000A0967" w:rsidRDefault="00E97474" w:rsidP="00E97474">
      <w:pPr>
        <w:spacing w:after="0" w:line="360" w:lineRule="auto"/>
      </w:pPr>
    </w:p>
    <w:p w14:paraId="47565652" w14:textId="77777777" w:rsidR="00E97474" w:rsidRPr="000A0967" w:rsidRDefault="00E97474" w:rsidP="00E97474">
      <w:pPr>
        <w:spacing w:after="0" w:line="360" w:lineRule="auto"/>
      </w:pPr>
      <w:r w:rsidRPr="000A0967">
        <w:t>In the matter between:</w:t>
      </w:r>
    </w:p>
    <w:p w14:paraId="563A54AA" w14:textId="77777777" w:rsidR="00E97474" w:rsidRPr="000A0967" w:rsidRDefault="00E97474" w:rsidP="00E97474">
      <w:pPr>
        <w:spacing w:after="0" w:line="360" w:lineRule="auto"/>
      </w:pPr>
    </w:p>
    <w:p w14:paraId="16CEE589" w14:textId="77777777" w:rsidR="00E97474" w:rsidRPr="000A0967" w:rsidRDefault="00E97474" w:rsidP="00E97474">
      <w:pPr>
        <w:spacing w:after="0" w:line="360" w:lineRule="auto"/>
      </w:pPr>
    </w:p>
    <w:p w14:paraId="1A488234" w14:textId="77777777" w:rsidR="00E97474" w:rsidRPr="000A0967" w:rsidRDefault="00E97474" w:rsidP="00E97474">
      <w:pPr>
        <w:tabs>
          <w:tab w:val="right" w:pos="8931"/>
        </w:tabs>
        <w:spacing w:after="0" w:line="480" w:lineRule="auto"/>
        <w:jc w:val="both"/>
        <w:rPr>
          <w:rFonts w:eastAsia="Times New Roman"/>
          <w:b/>
          <w:bCs/>
        </w:rPr>
      </w:pPr>
    </w:p>
    <w:p w14:paraId="6AB7B8AA" w14:textId="25E6703F" w:rsidR="00E97474" w:rsidRPr="0093460A" w:rsidRDefault="002C1E94" w:rsidP="00E97474">
      <w:pPr>
        <w:tabs>
          <w:tab w:val="right" w:pos="8931"/>
        </w:tabs>
        <w:spacing w:after="0" w:line="480" w:lineRule="auto"/>
        <w:jc w:val="both"/>
        <w:rPr>
          <w:rFonts w:eastAsia="Times New Roman"/>
        </w:rPr>
      </w:pPr>
      <w:r w:rsidRPr="00E17DDB">
        <w:rPr>
          <w:rFonts w:eastAsia="Times New Roman"/>
          <w:b/>
          <w:bCs/>
        </w:rPr>
        <w:t>SPAREPRO (PTY) LTD</w:t>
      </w:r>
      <w:r w:rsidR="00B87793">
        <w:rPr>
          <w:rFonts w:eastAsia="Times New Roman"/>
          <w:bCs/>
        </w:rPr>
        <w:tab/>
        <w:t>Appli</w:t>
      </w:r>
      <w:r w:rsidR="00E97474">
        <w:rPr>
          <w:rFonts w:eastAsia="Times New Roman"/>
          <w:bCs/>
        </w:rPr>
        <w:t>cant</w:t>
      </w:r>
    </w:p>
    <w:p w14:paraId="25343F4E" w14:textId="77777777" w:rsidR="00E97474" w:rsidRPr="000A0967" w:rsidRDefault="00E97474" w:rsidP="00E97474">
      <w:pPr>
        <w:spacing w:after="0" w:line="360" w:lineRule="auto"/>
      </w:pPr>
    </w:p>
    <w:p w14:paraId="606D5C3D" w14:textId="77777777" w:rsidR="00E97474" w:rsidRPr="000A0967" w:rsidRDefault="00E97474" w:rsidP="00E97474">
      <w:pPr>
        <w:spacing w:after="0" w:line="360" w:lineRule="auto"/>
      </w:pPr>
      <w:r>
        <w:t>a</w:t>
      </w:r>
      <w:r w:rsidRPr="000A0967">
        <w:t>nd</w:t>
      </w:r>
    </w:p>
    <w:p w14:paraId="5E78863F" w14:textId="77777777" w:rsidR="00E97474" w:rsidRPr="000A0967" w:rsidRDefault="00E97474" w:rsidP="00E97474">
      <w:pPr>
        <w:spacing w:after="0" w:line="360" w:lineRule="auto"/>
      </w:pPr>
    </w:p>
    <w:p w14:paraId="518AF187" w14:textId="3386824B" w:rsidR="002C1E94" w:rsidRDefault="002C1E94" w:rsidP="00E17DDB">
      <w:pPr>
        <w:tabs>
          <w:tab w:val="right" w:pos="8931"/>
        </w:tabs>
        <w:spacing w:after="0" w:line="276" w:lineRule="auto"/>
        <w:jc w:val="both"/>
        <w:rPr>
          <w:rFonts w:eastAsia="Times New Roman"/>
        </w:rPr>
      </w:pPr>
      <w:r w:rsidRPr="00E17DDB">
        <w:rPr>
          <w:rFonts w:eastAsia="Times New Roman"/>
          <w:b/>
        </w:rPr>
        <w:t>THE NATIONAL REGULATOR FOR COMPULSORY</w:t>
      </w:r>
      <w:r>
        <w:rPr>
          <w:rFonts w:eastAsia="Times New Roman"/>
        </w:rPr>
        <w:t xml:space="preserve"> </w:t>
      </w:r>
      <w:r w:rsidR="00E17DDB">
        <w:rPr>
          <w:rFonts w:eastAsia="Times New Roman"/>
        </w:rPr>
        <w:t xml:space="preserve">                          </w:t>
      </w:r>
      <w:r>
        <w:rPr>
          <w:rFonts w:eastAsia="Times New Roman"/>
        </w:rPr>
        <w:t xml:space="preserve"> First Respondent</w:t>
      </w:r>
    </w:p>
    <w:p w14:paraId="1E09F1C6" w14:textId="77777777" w:rsidR="002C1E94" w:rsidRPr="00E17DDB" w:rsidRDefault="002C1E94" w:rsidP="00E17DDB">
      <w:pPr>
        <w:tabs>
          <w:tab w:val="right" w:pos="8931"/>
        </w:tabs>
        <w:spacing w:after="0" w:line="276" w:lineRule="auto"/>
        <w:jc w:val="both"/>
        <w:rPr>
          <w:rFonts w:eastAsia="Times New Roman"/>
          <w:b/>
        </w:rPr>
      </w:pPr>
      <w:r w:rsidRPr="00E17DDB">
        <w:rPr>
          <w:rFonts w:eastAsia="Times New Roman"/>
          <w:b/>
        </w:rPr>
        <w:t>SPECIFICATIONS</w:t>
      </w:r>
    </w:p>
    <w:p w14:paraId="03780CC5" w14:textId="77777777" w:rsidR="00E17DDB" w:rsidRDefault="00E17DDB" w:rsidP="00E97474">
      <w:pPr>
        <w:tabs>
          <w:tab w:val="right" w:pos="8931"/>
        </w:tabs>
        <w:spacing w:after="0" w:line="480" w:lineRule="auto"/>
        <w:jc w:val="both"/>
        <w:rPr>
          <w:rFonts w:eastAsia="Times New Roman"/>
          <w:b/>
        </w:rPr>
      </w:pPr>
    </w:p>
    <w:p w14:paraId="0F72944C" w14:textId="1F83198E" w:rsidR="002C1E94" w:rsidRDefault="002C1E94" w:rsidP="00E17DDB">
      <w:pPr>
        <w:tabs>
          <w:tab w:val="right" w:pos="8931"/>
        </w:tabs>
        <w:spacing w:after="0" w:line="276" w:lineRule="auto"/>
        <w:jc w:val="both"/>
        <w:rPr>
          <w:rFonts w:eastAsia="Times New Roman"/>
        </w:rPr>
      </w:pPr>
      <w:r w:rsidRPr="00E17DDB">
        <w:rPr>
          <w:rFonts w:eastAsia="Times New Roman"/>
          <w:b/>
        </w:rPr>
        <w:t>THE SOUTH AFRICAN NATIONAL ACCREDITATION</w:t>
      </w:r>
      <w:r>
        <w:rPr>
          <w:rFonts w:eastAsia="Times New Roman"/>
        </w:rPr>
        <w:t xml:space="preserve">                    Second Respondent</w:t>
      </w:r>
    </w:p>
    <w:p w14:paraId="50BA9E7A" w14:textId="77777777" w:rsidR="002C1E94" w:rsidRPr="00E17DDB" w:rsidRDefault="002C1E94" w:rsidP="00E17DDB">
      <w:pPr>
        <w:tabs>
          <w:tab w:val="right" w:pos="8931"/>
        </w:tabs>
        <w:spacing w:after="0" w:line="276" w:lineRule="auto"/>
        <w:jc w:val="both"/>
        <w:rPr>
          <w:rFonts w:eastAsia="Times New Roman"/>
          <w:b/>
        </w:rPr>
      </w:pPr>
      <w:r w:rsidRPr="00E17DDB">
        <w:rPr>
          <w:rFonts w:eastAsia="Times New Roman"/>
          <w:b/>
        </w:rPr>
        <w:t>SYSTEM</w:t>
      </w:r>
    </w:p>
    <w:p w14:paraId="11951986" w14:textId="77777777" w:rsidR="00E17DDB" w:rsidRDefault="00E17DDB" w:rsidP="00E17DDB">
      <w:pPr>
        <w:tabs>
          <w:tab w:val="right" w:pos="8931"/>
        </w:tabs>
        <w:spacing w:after="0" w:line="276" w:lineRule="auto"/>
        <w:jc w:val="both"/>
        <w:rPr>
          <w:rFonts w:eastAsia="Times New Roman"/>
          <w:b/>
        </w:rPr>
      </w:pPr>
    </w:p>
    <w:p w14:paraId="3E861DDF" w14:textId="686F5176" w:rsidR="002C1E94" w:rsidRDefault="002C1E94" w:rsidP="00E17DDB">
      <w:pPr>
        <w:tabs>
          <w:tab w:val="right" w:pos="8931"/>
        </w:tabs>
        <w:spacing w:after="0" w:line="276" w:lineRule="auto"/>
        <w:jc w:val="both"/>
        <w:rPr>
          <w:rFonts w:eastAsia="Times New Roman"/>
        </w:rPr>
      </w:pPr>
      <w:r w:rsidRPr="00E17DDB">
        <w:rPr>
          <w:rFonts w:eastAsia="Times New Roman"/>
          <w:b/>
        </w:rPr>
        <w:t xml:space="preserve">G.U.D HOLDINGS (PTY) LTD                                                                 </w:t>
      </w:r>
      <w:r>
        <w:rPr>
          <w:rFonts w:eastAsia="Times New Roman"/>
        </w:rPr>
        <w:t>Third Respondent</w:t>
      </w:r>
    </w:p>
    <w:p w14:paraId="50C302EA" w14:textId="5FCEFC0B" w:rsidR="00E97474" w:rsidRPr="00E17DDB" w:rsidRDefault="002C1E94" w:rsidP="00E17DDB">
      <w:pPr>
        <w:tabs>
          <w:tab w:val="right" w:pos="8931"/>
        </w:tabs>
        <w:spacing w:after="0" w:line="276" w:lineRule="auto"/>
        <w:jc w:val="both"/>
        <w:rPr>
          <w:rFonts w:eastAsia="Times New Roman"/>
          <w:b/>
        </w:rPr>
      </w:pPr>
      <w:r w:rsidRPr="00E17DDB">
        <w:rPr>
          <w:rFonts w:eastAsia="Times New Roman"/>
          <w:b/>
        </w:rPr>
        <w:t>t/a ECE 90 BRAKE TESTING</w:t>
      </w:r>
      <w:r w:rsidR="00E97474" w:rsidRPr="00E17DDB">
        <w:rPr>
          <w:rFonts w:eastAsia="Times New Roman"/>
          <w:b/>
        </w:rPr>
        <w:tab/>
      </w:r>
    </w:p>
    <w:p w14:paraId="6453B7A7" w14:textId="77777777" w:rsidR="00E97474" w:rsidRPr="00540C70" w:rsidRDefault="00E97474" w:rsidP="00E97474">
      <w:pPr>
        <w:tabs>
          <w:tab w:val="right" w:pos="8931"/>
        </w:tabs>
        <w:spacing w:after="0" w:line="480" w:lineRule="auto"/>
        <w:jc w:val="both"/>
        <w:rPr>
          <w:rFonts w:eastAsia="Times New Roman"/>
          <w:b/>
        </w:rPr>
      </w:pPr>
      <w:r w:rsidRPr="00540C70">
        <w:rPr>
          <w:rFonts w:eastAsia="Times New Roman"/>
          <w:b/>
        </w:rPr>
        <w:t>___________________________________________________________________</w:t>
      </w:r>
    </w:p>
    <w:p w14:paraId="20409219" w14:textId="2B24D29A" w:rsidR="00540C70" w:rsidRPr="00540C70" w:rsidRDefault="00540C70" w:rsidP="00540C70">
      <w:pPr>
        <w:tabs>
          <w:tab w:val="right" w:pos="8931"/>
        </w:tabs>
        <w:spacing w:after="0" w:line="480" w:lineRule="auto"/>
        <w:jc w:val="center"/>
        <w:rPr>
          <w:rFonts w:eastAsia="Times New Roman"/>
          <w:b/>
        </w:rPr>
      </w:pPr>
      <w:r w:rsidRPr="00540C70">
        <w:rPr>
          <w:rFonts w:eastAsia="Times New Roman"/>
          <w:b/>
        </w:rPr>
        <w:t>JUDGMENT</w:t>
      </w:r>
    </w:p>
    <w:p w14:paraId="37455077" w14:textId="3551DAB8" w:rsidR="00540C70" w:rsidRDefault="00540C70" w:rsidP="00E97474">
      <w:pPr>
        <w:tabs>
          <w:tab w:val="right" w:pos="8931"/>
        </w:tabs>
        <w:spacing w:after="0" w:line="480" w:lineRule="auto"/>
        <w:jc w:val="both"/>
        <w:rPr>
          <w:rFonts w:eastAsia="Times New Roman"/>
          <w:b/>
          <w:u w:val="single"/>
        </w:rPr>
      </w:pPr>
      <w:r>
        <w:rPr>
          <w:rFonts w:eastAsia="Times New Roman"/>
          <w:b/>
          <w:u w:val="single"/>
        </w:rPr>
        <w:t>___________________________________________________________________</w:t>
      </w:r>
    </w:p>
    <w:p w14:paraId="7AB96A0A" w14:textId="5D30E16F" w:rsidR="00E97474" w:rsidRDefault="00E97474" w:rsidP="00E97474">
      <w:pPr>
        <w:tabs>
          <w:tab w:val="right" w:pos="8931"/>
        </w:tabs>
        <w:spacing w:after="0" w:line="480" w:lineRule="auto"/>
        <w:jc w:val="both"/>
        <w:rPr>
          <w:rFonts w:eastAsia="Times New Roman"/>
        </w:rPr>
      </w:pPr>
      <w:r>
        <w:rPr>
          <w:rFonts w:eastAsia="Times New Roman"/>
          <w:b/>
          <w:u w:val="single"/>
        </w:rPr>
        <w:t>NEUKIRCHER J</w:t>
      </w:r>
      <w:r>
        <w:rPr>
          <w:rFonts w:eastAsia="Times New Roman"/>
        </w:rPr>
        <w:t>:</w:t>
      </w:r>
    </w:p>
    <w:p w14:paraId="362602CF" w14:textId="17CA67C3" w:rsidR="00EE0C65" w:rsidRDefault="00292ABE" w:rsidP="00292ABE">
      <w:pPr>
        <w:tabs>
          <w:tab w:val="left" w:pos="709"/>
        </w:tabs>
        <w:spacing w:after="0" w:line="480" w:lineRule="auto"/>
        <w:jc w:val="both"/>
      </w:pPr>
      <w:r>
        <w:lastRenderedPageBreak/>
        <w:t>1]</w:t>
      </w:r>
      <w:r>
        <w:tab/>
      </w:r>
      <w:r w:rsidR="001020E5">
        <w:t>This is in essence an applica</w:t>
      </w:r>
      <w:r w:rsidR="00DB2E42">
        <w:t>tion to review and set aside a D</w:t>
      </w:r>
      <w:r w:rsidR="001020E5">
        <w:t>irective issued by the first respondent</w:t>
      </w:r>
      <w:r w:rsidR="001020E5">
        <w:rPr>
          <w:rStyle w:val="FootnoteReference"/>
        </w:rPr>
        <w:footnoteReference w:id="1"/>
      </w:r>
      <w:r w:rsidR="001020E5">
        <w:t xml:space="preserve"> under s15(3) of the National Regulator for Compulsory S</w:t>
      </w:r>
      <w:r w:rsidR="004E34F4">
        <w:t>pecifications Act 5 of 2002 (NRCS Act) in June 2022. The applicant (Sparepro) also seeks certain further relief flowi</w:t>
      </w:r>
      <w:r w:rsidR="0048370F">
        <w:t>ng from the provisions of the N</w:t>
      </w:r>
      <w:r w:rsidR="004E34F4">
        <w:t>R</w:t>
      </w:r>
      <w:r w:rsidR="0048370F">
        <w:t>C</w:t>
      </w:r>
      <w:r w:rsidR="004E34F4">
        <w:t>S</w:t>
      </w:r>
      <w:r w:rsidR="00B810EA">
        <w:t xml:space="preserve"> </w:t>
      </w:r>
      <w:r w:rsidR="004E34F4">
        <w:t>Act</w:t>
      </w:r>
      <w:r w:rsidR="00B810EA">
        <w:t>.</w:t>
      </w:r>
    </w:p>
    <w:p w14:paraId="384DC191" w14:textId="07870781" w:rsidR="0051199E" w:rsidRDefault="0051199E" w:rsidP="00EF7960">
      <w:pPr>
        <w:pStyle w:val="ListParagraph"/>
        <w:spacing w:after="0" w:line="480" w:lineRule="auto"/>
        <w:ind w:left="0"/>
        <w:jc w:val="both"/>
      </w:pPr>
    </w:p>
    <w:p w14:paraId="623787F3" w14:textId="462FD9AB" w:rsidR="004E34F4" w:rsidRPr="004E34F4" w:rsidRDefault="004E34F4" w:rsidP="00EF7960">
      <w:pPr>
        <w:pStyle w:val="ListParagraph"/>
        <w:spacing w:after="0" w:line="480" w:lineRule="auto"/>
        <w:ind w:left="0"/>
        <w:jc w:val="both"/>
        <w:rPr>
          <w:b/>
        </w:rPr>
      </w:pPr>
      <w:r w:rsidRPr="004E34F4">
        <w:rPr>
          <w:b/>
        </w:rPr>
        <w:t>THE PARTIES</w:t>
      </w:r>
    </w:p>
    <w:p w14:paraId="680B7211" w14:textId="416B4ED7" w:rsidR="0051199E" w:rsidRDefault="00292ABE" w:rsidP="00292ABE">
      <w:pPr>
        <w:spacing w:after="0" w:line="480" w:lineRule="auto"/>
        <w:jc w:val="both"/>
      </w:pPr>
      <w:r>
        <w:t>2]</w:t>
      </w:r>
      <w:r>
        <w:tab/>
      </w:r>
      <w:r w:rsidR="004E34F4">
        <w:t>Sparepro is an importer and distributor of aftermarket automotive components for passenger and light commercial vehicles in Sub-Saharan Africa.</w:t>
      </w:r>
    </w:p>
    <w:p w14:paraId="2182F225" w14:textId="287ED290" w:rsidR="0051199E" w:rsidRPr="0051199E" w:rsidRDefault="0051199E" w:rsidP="00EF7960">
      <w:pPr>
        <w:pStyle w:val="ListParagraph"/>
        <w:spacing w:after="0" w:line="480" w:lineRule="auto"/>
        <w:ind w:left="0"/>
        <w:jc w:val="both"/>
      </w:pPr>
    </w:p>
    <w:p w14:paraId="65E0D228" w14:textId="17A850F8" w:rsidR="0051199E" w:rsidRDefault="00292ABE" w:rsidP="00292ABE">
      <w:pPr>
        <w:spacing w:after="0" w:line="480" w:lineRule="auto"/>
        <w:jc w:val="both"/>
      </w:pPr>
      <w:r>
        <w:t>3]</w:t>
      </w:r>
      <w:r>
        <w:tab/>
      </w:r>
      <w:r w:rsidR="004E34F4">
        <w:t>The Regulator</w:t>
      </w:r>
      <w:r w:rsidR="0008186D">
        <w:t xml:space="preserve"> </w:t>
      </w:r>
      <w:r w:rsidR="004E34F4">
        <w:t>is established under the NRCS Act and its function is to “</w:t>
      </w:r>
      <w:r w:rsidR="004E34F4" w:rsidRPr="00292ABE">
        <w:rPr>
          <w:i/>
        </w:rPr>
        <w:t>provide for the administration and maintenance of compulsory specifications in the interest of public safety and health or for the environmental protection; and to provide for the matters connected therewith</w:t>
      </w:r>
      <w:r w:rsidR="004E34F4">
        <w:t>”</w:t>
      </w:r>
      <w:r w:rsidR="004E34F4">
        <w:rPr>
          <w:rStyle w:val="FootnoteReference"/>
        </w:rPr>
        <w:footnoteReference w:id="2"/>
      </w:r>
    </w:p>
    <w:p w14:paraId="01945EC9" w14:textId="77777777" w:rsidR="00EF7960" w:rsidRDefault="00EF7960" w:rsidP="00EF7960">
      <w:pPr>
        <w:pStyle w:val="ListParagraph"/>
        <w:spacing w:after="0" w:line="480" w:lineRule="auto"/>
      </w:pPr>
    </w:p>
    <w:p w14:paraId="0BD7CB8B" w14:textId="42F48666" w:rsidR="00EF7960" w:rsidRDefault="00292ABE" w:rsidP="00292ABE">
      <w:pPr>
        <w:spacing w:after="0" w:line="480" w:lineRule="auto"/>
        <w:jc w:val="both"/>
      </w:pPr>
      <w:r>
        <w:t>4]</w:t>
      </w:r>
      <w:r>
        <w:tab/>
      </w:r>
      <w:r w:rsidR="009D266C">
        <w:t xml:space="preserve">In terms of s5 of the </w:t>
      </w:r>
      <w:r w:rsidR="00B810EA">
        <w:t xml:space="preserve">NRCS </w:t>
      </w:r>
      <w:r w:rsidR="009D266C">
        <w:t>Act, the object of the Regulator is inter alia, to administer, maintain and enforce compliance with compulsory specifications</w:t>
      </w:r>
      <w:r w:rsidR="009D266C">
        <w:rPr>
          <w:rStyle w:val="FootnoteReference"/>
        </w:rPr>
        <w:footnoteReference w:id="3"/>
      </w:r>
      <w:r w:rsidR="00407EC9">
        <w:t xml:space="preserve"> and it achieves this by, inter alia, en</w:t>
      </w:r>
      <w:r w:rsidR="00B810EA">
        <w:t xml:space="preserve">tering into agreements with </w:t>
      </w:r>
      <w:r w:rsidR="00407EC9">
        <w:t>conformity assessment services providers to inspect, examine, test or analyse</w:t>
      </w:r>
      <w:r w:rsidR="00691099">
        <w:t xml:space="preserve"> samples on</w:t>
      </w:r>
      <w:r w:rsidR="001F2AC6">
        <w:t xml:space="preserve"> its</w:t>
      </w:r>
      <w:r w:rsidR="00691099">
        <w:t xml:space="preserve"> behalf. The NRCS must, by virtue of VC 8053 and its conformity assessment policy, only rely on evidence relating to conformity with compulsory specifications where that evidence is provided by a laboratory that:</w:t>
      </w:r>
    </w:p>
    <w:p w14:paraId="691F6210" w14:textId="77777777" w:rsidR="00691099" w:rsidRDefault="00691099" w:rsidP="00691099">
      <w:pPr>
        <w:pStyle w:val="ListParagraph"/>
      </w:pPr>
    </w:p>
    <w:p w14:paraId="78A95D0A" w14:textId="39ECCF9D" w:rsidR="00691099" w:rsidRDefault="00292ABE" w:rsidP="00292ABE">
      <w:pPr>
        <w:spacing w:after="0" w:line="480" w:lineRule="auto"/>
        <w:ind w:left="1418" w:hanging="709"/>
        <w:jc w:val="both"/>
      </w:pPr>
      <w:r>
        <w:t>a)</w:t>
      </w:r>
      <w:r>
        <w:tab/>
      </w:r>
      <w:r w:rsidR="00691099">
        <w:t>is a member of an international or regional mutual acceptance scheme;</w:t>
      </w:r>
    </w:p>
    <w:p w14:paraId="59F4BCAF" w14:textId="4D3C03A7" w:rsidR="00691099" w:rsidRDefault="00292ABE" w:rsidP="00292ABE">
      <w:pPr>
        <w:spacing w:after="0" w:line="480" w:lineRule="auto"/>
        <w:ind w:left="1418" w:hanging="709"/>
        <w:jc w:val="both"/>
      </w:pPr>
      <w:r>
        <w:lastRenderedPageBreak/>
        <w:t>b)</w:t>
      </w:r>
      <w:r>
        <w:tab/>
      </w:r>
      <w:r w:rsidR="00691099">
        <w:t>has been successfully assessed against the requirements of ISO/IEC 17025 by SANAS or an ILAC affiliated accreditation body; or</w:t>
      </w:r>
    </w:p>
    <w:p w14:paraId="57DA2F80" w14:textId="70150114" w:rsidR="00691099" w:rsidRDefault="00292ABE" w:rsidP="00292ABE">
      <w:pPr>
        <w:spacing w:after="0" w:line="480" w:lineRule="auto"/>
        <w:ind w:left="1418" w:hanging="709"/>
        <w:jc w:val="both"/>
      </w:pPr>
      <w:r>
        <w:t>c)</w:t>
      </w:r>
      <w:r>
        <w:tab/>
      </w:r>
      <w:r w:rsidR="00691099">
        <w:t>has been accredited to ISO/IEC 17025 by SANAS or an ILAC affiliated accreditation body.</w:t>
      </w:r>
    </w:p>
    <w:p w14:paraId="5DCF75FE" w14:textId="77777777" w:rsidR="00EF7960" w:rsidRDefault="00EF7960" w:rsidP="00EF7960">
      <w:pPr>
        <w:pStyle w:val="ListParagraph"/>
        <w:spacing w:after="0" w:line="480" w:lineRule="auto"/>
      </w:pPr>
    </w:p>
    <w:p w14:paraId="25D3E2AB" w14:textId="6BC935AD" w:rsidR="00EF7960" w:rsidRDefault="00292ABE" w:rsidP="00292ABE">
      <w:pPr>
        <w:spacing w:after="0" w:line="480" w:lineRule="auto"/>
        <w:jc w:val="both"/>
      </w:pPr>
      <w:r>
        <w:t>5]</w:t>
      </w:r>
      <w:r>
        <w:tab/>
      </w:r>
      <w:r w:rsidR="00F36AF9">
        <w:t>The third respondent (GUD) is just such a service provider and was appointed by the Regulator in compliance with its obliga</w:t>
      </w:r>
      <w:r w:rsidR="00B810EA">
        <w:t>tions under section 5 of the NRCS</w:t>
      </w:r>
      <w:r w:rsidR="00F36AF9">
        <w:t xml:space="preserve"> Act. In fact, at a ti</w:t>
      </w:r>
      <w:r w:rsidR="00E86E3B">
        <w:t>me the SABS was also accredited</w:t>
      </w:r>
      <w:r w:rsidR="00F36AF9">
        <w:t xml:space="preserve"> as was a laboratory known as ABTI.</w:t>
      </w:r>
    </w:p>
    <w:p w14:paraId="150EEA94" w14:textId="77777777" w:rsidR="00EF7960" w:rsidRDefault="00EF7960" w:rsidP="00EF7960">
      <w:pPr>
        <w:pStyle w:val="ListParagraph"/>
        <w:spacing w:after="0" w:line="480" w:lineRule="auto"/>
      </w:pPr>
    </w:p>
    <w:p w14:paraId="1EE35510" w14:textId="07273532" w:rsidR="00EF7960" w:rsidRDefault="00292ABE" w:rsidP="00292ABE">
      <w:pPr>
        <w:spacing w:after="0" w:line="480" w:lineRule="auto"/>
        <w:jc w:val="both"/>
      </w:pPr>
      <w:r>
        <w:t>6]</w:t>
      </w:r>
      <w:r>
        <w:tab/>
      </w:r>
      <w:r w:rsidR="00E220D6">
        <w:t>It bears mentioning that GUD is Sparepro’s competitor in the automotive spare parts component market.</w:t>
      </w:r>
    </w:p>
    <w:p w14:paraId="39A8A59E" w14:textId="77777777" w:rsidR="00EF7960" w:rsidRDefault="00EF7960" w:rsidP="00EF7960">
      <w:pPr>
        <w:pStyle w:val="ListParagraph"/>
        <w:spacing w:after="0" w:line="480" w:lineRule="auto"/>
      </w:pPr>
    </w:p>
    <w:p w14:paraId="3CAFEB92" w14:textId="65ED0DE0" w:rsidR="00EF7960" w:rsidRDefault="00292ABE" w:rsidP="00292ABE">
      <w:pPr>
        <w:spacing w:after="0" w:line="480" w:lineRule="auto"/>
        <w:jc w:val="both"/>
      </w:pPr>
      <w:r>
        <w:t>7]</w:t>
      </w:r>
      <w:r>
        <w:tab/>
      </w:r>
      <w:r w:rsidR="00E220D6">
        <w:t>This application pertains specifically to brake pads and whether that part, sold by Sparepro</w:t>
      </w:r>
      <w:r w:rsidR="00A3268E">
        <w:t>,</w:t>
      </w:r>
      <w:r w:rsidR="00E220D6">
        <w:t xml:space="preserve"> complies with SANS 20900: 2010</w:t>
      </w:r>
      <w:r w:rsidR="00E220D6">
        <w:rPr>
          <w:rStyle w:val="FootnoteReference"/>
        </w:rPr>
        <w:footnoteReference w:id="4"/>
      </w:r>
      <w:r w:rsidR="000D5D0D">
        <w:t xml:space="preserve">. According to the parties, in order to test these parts, the company’s testing facility must be ISO77025: 2017 accredited. </w:t>
      </w:r>
    </w:p>
    <w:p w14:paraId="3313483D" w14:textId="77777777" w:rsidR="00EF7960" w:rsidRDefault="00EF7960" w:rsidP="00EF7960">
      <w:pPr>
        <w:pStyle w:val="ListParagraph"/>
        <w:spacing w:after="0" w:line="480" w:lineRule="auto"/>
      </w:pPr>
    </w:p>
    <w:p w14:paraId="40FDB78A" w14:textId="087B29D9" w:rsidR="00EF7960" w:rsidRDefault="00292ABE" w:rsidP="00292ABE">
      <w:pPr>
        <w:spacing w:after="0" w:line="480" w:lineRule="auto"/>
        <w:jc w:val="both"/>
      </w:pPr>
      <w:r>
        <w:t>8]</w:t>
      </w:r>
      <w:r>
        <w:tab/>
      </w:r>
      <w:r w:rsidR="000D5D0D">
        <w:t>According to GUD</w:t>
      </w:r>
      <w:r w:rsidR="000D5D0D">
        <w:rPr>
          <w:rStyle w:val="FootnoteReference"/>
        </w:rPr>
        <w:footnoteReference w:id="5"/>
      </w:r>
      <w:r w:rsidR="000D5D0D">
        <w:t>, it tests its own “safeline” brake pads to ensure compliance with the SANS Standard and it also purchases brake pads of competitors sold in the South African market and tests those to ensure that they comply with SANS standard. Thus, pursuant to this policy of theirs, GUD purchased “from dealers” sets of the Kratex brake pads sold by Sparepro in early 2021</w:t>
      </w:r>
      <w:r w:rsidR="00E86E3B">
        <w:t>,</w:t>
      </w:r>
      <w:r w:rsidR="000D5D0D">
        <w:t xml:space="preserve"> subjected them to testing at the GUD facility</w:t>
      </w:r>
      <w:r w:rsidR="00076CF4">
        <w:rPr>
          <w:rStyle w:val="FootnoteReference"/>
        </w:rPr>
        <w:footnoteReference w:id="6"/>
      </w:r>
      <w:r w:rsidR="000D5D0D">
        <w:t xml:space="preserve"> and “found them to be sub-standard”.</w:t>
      </w:r>
    </w:p>
    <w:p w14:paraId="00A17857" w14:textId="77777777" w:rsidR="00EF7960" w:rsidRDefault="00EF7960" w:rsidP="00EF7960">
      <w:pPr>
        <w:pStyle w:val="ListParagraph"/>
        <w:spacing w:after="0" w:line="480" w:lineRule="auto"/>
      </w:pPr>
    </w:p>
    <w:p w14:paraId="4F6A85E7" w14:textId="647CF0E1" w:rsidR="00EF7960" w:rsidRDefault="00292ABE" w:rsidP="00292ABE">
      <w:pPr>
        <w:spacing w:after="0" w:line="480" w:lineRule="auto"/>
        <w:jc w:val="both"/>
      </w:pPr>
      <w:r>
        <w:lastRenderedPageBreak/>
        <w:t>9]</w:t>
      </w:r>
      <w:r>
        <w:tab/>
      </w:r>
      <w:r w:rsidR="009C6F1F">
        <w:t>As a consequence, the Technical Director of GUD - Mr Avilan Reddy (</w:t>
      </w:r>
      <w:r w:rsidR="00E86E3B">
        <w:t xml:space="preserve">Mr </w:t>
      </w:r>
      <w:r w:rsidR="009C6F1F">
        <w:t>Reddy)</w:t>
      </w:r>
      <w:r w:rsidR="004645C1">
        <w:t xml:space="preserve"> - then lodged a complaint with the Regulator on 12 March 2021. The Regulator was then required to initiate </w:t>
      </w:r>
      <w:r w:rsidR="00A3268E">
        <w:t>a bidding process to appoint a service</w:t>
      </w:r>
      <w:r w:rsidR="004645C1">
        <w:t xml:space="preserve"> provider</w:t>
      </w:r>
      <w:r w:rsidR="00A3268E">
        <w:t xml:space="preserve"> to conduct the necessary tests,</w:t>
      </w:r>
      <w:r w:rsidR="004645C1">
        <w:t xml:space="preserve"> and issued a request for qu</w:t>
      </w:r>
      <w:r w:rsidR="00160574">
        <w:t>otations (RFQ) on 21 July 2021.</w:t>
      </w:r>
    </w:p>
    <w:p w14:paraId="6BB3B2A0" w14:textId="77777777" w:rsidR="00160574" w:rsidRDefault="00160574" w:rsidP="00160574">
      <w:pPr>
        <w:pStyle w:val="ListParagraph"/>
      </w:pPr>
    </w:p>
    <w:p w14:paraId="0CA415A8" w14:textId="33C06149" w:rsidR="008574AE" w:rsidRDefault="00292ABE" w:rsidP="00292ABE">
      <w:pPr>
        <w:spacing w:after="0" w:line="480" w:lineRule="auto"/>
        <w:jc w:val="both"/>
      </w:pPr>
      <w:r>
        <w:t>10]</w:t>
      </w:r>
      <w:r>
        <w:tab/>
      </w:r>
      <w:r w:rsidR="00160574">
        <w:t>According to the Regulator, the only quota</w:t>
      </w:r>
      <w:r w:rsidR="00591C44">
        <w:t>t</w:t>
      </w:r>
      <w:r w:rsidR="00160574">
        <w:t xml:space="preserve">ion received was from GUD. In fact, interestingly enough, Mr Reddy </w:t>
      </w:r>
      <w:r w:rsidR="00D850E2">
        <w:t xml:space="preserve">submitted the quote on behalf of </w:t>
      </w:r>
      <w:r w:rsidR="00160574">
        <w:t>GUD. But the Regulator’s argument is disingenuous</w:t>
      </w:r>
      <w:r w:rsidR="00160574">
        <w:rPr>
          <w:rStyle w:val="FootnoteReference"/>
        </w:rPr>
        <w:footnoteReference w:id="7"/>
      </w:r>
      <w:r w:rsidR="00160574">
        <w:t xml:space="preserve"> as:</w:t>
      </w:r>
    </w:p>
    <w:p w14:paraId="5AF375F7" w14:textId="3930AFE4" w:rsidR="008574AE" w:rsidRDefault="00292ABE" w:rsidP="00292ABE">
      <w:pPr>
        <w:spacing w:after="0" w:line="480" w:lineRule="auto"/>
        <w:ind w:left="1418" w:hanging="709"/>
        <w:jc w:val="both"/>
      </w:pPr>
      <w:r>
        <w:t>a)</w:t>
      </w:r>
      <w:r>
        <w:tab/>
      </w:r>
      <w:r w:rsidR="008574AE">
        <w:t>the RFQ was not sent to ABTI who was an accredited service provider at the time;</w:t>
      </w:r>
    </w:p>
    <w:p w14:paraId="17854903" w14:textId="57310808" w:rsidR="008574AE" w:rsidRDefault="00292ABE" w:rsidP="00292ABE">
      <w:pPr>
        <w:spacing w:after="0" w:line="480" w:lineRule="auto"/>
        <w:ind w:left="1418" w:hanging="708"/>
        <w:jc w:val="both"/>
      </w:pPr>
      <w:r>
        <w:t>b)</w:t>
      </w:r>
      <w:r>
        <w:tab/>
      </w:r>
      <w:r w:rsidR="008574AE">
        <w:t>the service level agreement b</w:t>
      </w:r>
      <w:r w:rsidR="00076CF4">
        <w:t>etween the SABS and the NRCS had</w:t>
      </w:r>
      <w:r w:rsidR="008574AE">
        <w:t xml:space="preserve"> expired by July 2021 and had not yet been renewed and </w:t>
      </w:r>
      <w:r w:rsidR="00D850E2">
        <w:t xml:space="preserve">it </w:t>
      </w:r>
      <w:r w:rsidR="008574AE">
        <w:t>was</w:t>
      </w:r>
      <w:r w:rsidR="00D850E2">
        <w:t xml:space="preserve"> thus</w:t>
      </w:r>
      <w:r w:rsidR="008574AE">
        <w:t xml:space="preserve"> excluded from the bidding process;</w:t>
      </w:r>
    </w:p>
    <w:p w14:paraId="27C4EC1A" w14:textId="78C3C86D" w:rsidR="008574AE" w:rsidRDefault="00292ABE" w:rsidP="00292ABE">
      <w:pPr>
        <w:spacing w:after="0" w:line="480" w:lineRule="auto"/>
        <w:ind w:left="1418" w:hanging="708"/>
        <w:jc w:val="both"/>
      </w:pPr>
      <w:r>
        <w:t>c)</w:t>
      </w:r>
      <w:r>
        <w:tab/>
      </w:r>
      <w:r w:rsidR="008574AE">
        <w:t>the only other accredited company was GUD.</w:t>
      </w:r>
    </w:p>
    <w:p w14:paraId="2F583D1C" w14:textId="77777777" w:rsidR="00160574" w:rsidRDefault="00160574" w:rsidP="00160574">
      <w:pPr>
        <w:pStyle w:val="ListParagraph"/>
      </w:pPr>
    </w:p>
    <w:p w14:paraId="443FED5B" w14:textId="126F1693" w:rsidR="00160574" w:rsidRDefault="00292ABE" w:rsidP="00292ABE">
      <w:pPr>
        <w:spacing w:after="0" w:line="480" w:lineRule="auto"/>
        <w:jc w:val="both"/>
      </w:pPr>
      <w:r>
        <w:t>11]</w:t>
      </w:r>
      <w:r>
        <w:tab/>
      </w:r>
      <w:r w:rsidR="007303F4">
        <w:t>The Regulator argued that although the RFQ was not sent to ABTI in July 2021 it made no difference as ABTI’s accreditation lapsed in December 2021 anyway. But what that argument ignores is that when the RFQ was sent out in July 2021, and an award made soon after, ABTI was accredited and yet inexplicably excluded from the bid process.</w:t>
      </w:r>
    </w:p>
    <w:p w14:paraId="123CADA4" w14:textId="77777777" w:rsidR="007303F4" w:rsidRDefault="007303F4" w:rsidP="007303F4">
      <w:pPr>
        <w:pStyle w:val="ListParagraph"/>
        <w:spacing w:after="0" w:line="480" w:lineRule="auto"/>
        <w:ind w:left="0"/>
        <w:jc w:val="both"/>
      </w:pPr>
    </w:p>
    <w:p w14:paraId="762564C1" w14:textId="675ADC0E" w:rsidR="00EF7960" w:rsidRDefault="00292ABE" w:rsidP="00292ABE">
      <w:pPr>
        <w:spacing w:after="0" w:line="480" w:lineRule="auto"/>
        <w:jc w:val="both"/>
      </w:pPr>
      <w:r>
        <w:t>12]</w:t>
      </w:r>
      <w:r>
        <w:tab/>
      </w:r>
      <w:r w:rsidR="002700A8">
        <w:t>On 13 April 2021, p</w:t>
      </w:r>
      <w:r w:rsidR="00305563">
        <w:t>rior to the RFQ being sent out</w:t>
      </w:r>
      <w:r w:rsidR="002700A8">
        <w:t>,</w:t>
      </w:r>
      <w:r w:rsidR="00305563">
        <w:t xml:space="preserve"> the NRCS conducted an inspection at Sparepro’s Johannesburg premises and removed 5 sets of Kratex brake </w:t>
      </w:r>
      <w:r w:rsidR="00305563">
        <w:lastRenderedPageBreak/>
        <w:t>pad parts B1-54</w:t>
      </w:r>
      <w:r w:rsidR="005732DE">
        <w:rPr>
          <w:rStyle w:val="FootnoteReference"/>
        </w:rPr>
        <w:footnoteReference w:id="8"/>
      </w:r>
      <w:r w:rsidR="00817D7A">
        <w:t xml:space="preserve">. On 30 August 2021, 31 August 2021 and 1 September 2021, the Regulator toured </w:t>
      </w:r>
      <w:r w:rsidR="00FC085F">
        <w:t>“</w:t>
      </w:r>
      <w:r w:rsidR="00817D7A">
        <w:t>and assessed</w:t>
      </w:r>
      <w:r w:rsidR="00C348D7">
        <w:t>”</w:t>
      </w:r>
      <w:r w:rsidR="00817D7A">
        <w:t xml:space="preserve"> the ECE90</w:t>
      </w:r>
      <w:r w:rsidR="00817D7A">
        <w:rPr>
          <w:rStyle w:val="FootnoteReference"/>
        </w:rPr>
        <w:footnoteReference w:id="9"/>
      </w:r>
      <w:r w:rsidR="00FC085F">
        <w:t xml:space="preserve"> te</w:t>
      </w:r>
      <w:r w:rsidR="00C348D7">
        <w:t xml:space="preserve">sting laboratory on the dates </w:t>
      </w:r>
      <w:r w:rsidR="00FC085F">
        <w:t>the B1-54 p</w:t>
      </w:r>
      <w:r w:rsidR="00F47B73">
        <w:t>arts</w:t>
      </w:r>
      <w:r w:rsidR="00C348D7">
        <w:t xml:space="preserve"> were tested</w:t>
      </w:r>
      <w:r w:rsidR="00F47B73">
        <w:t>, and witnessed the testing and thus they say that they “</w:t>
      </w:r>
      <w:r w:rsidR="00F47B73" w:rsidRPr="00292ABE">
        <w:rPr>
          <w:i/>
        </w:rPr>
        <w:t xml:space="preserve">mitigated against potential concerns which could arise in relation to ECE 90’s </w:t>
      </w:r>
      <w:r w:rsidR="0070630C" w:rsidRPr="00292ABE">
        <w:rPr>
          <w:i/>
        </w:rPr>
        <w:t>position</w:t>
      </w:r>
      <w:r w:rsidR="00F47B73" w:rsidRPr="00292ABE">
        <w:rPr>
          <w:i/>
        </w:rPr>
        <w:t xml:space="preserve"> as both an accredited tester and an entity related to a competitor of Sparepro.</w:t>
      </w:r>
      <w:r w:rsidR="00F47B73">
        <w:t>”</w:t>
      </w:r>
    </w:p>
    <w:p w14:paraId="6DFFC206" w14:textId="77777777" w:rsidR="00EF7960" w:rsidRDefault="00EF7960" w:rsidP="00EF7960">
      <w:pPr>
        <w:pStyle w:val="ListParagraph"/>
        <w:spacing w:after="0" w:line="480" w:lineRule="auto"/>
      </w:pPr>
    </w:p>
    <w:p w14:paraId="19F27828" w14:textId="38C01170" w:rsidR="00EF7960" w:rsidRDefault="00292ABE" w:rsidP="00292ABE">
      <w:pPr>
        <w:spacing w:after="0" w:line="480" w:lineRule="auto"/>
        <w:jc w:val="both"/>
      </w:pPr>
      <w:r>
        <w:t>13]</w:t>
      </w:r>
      <w:r>
        <w:tab/>
      </w:r>
      <w:r w:rsidR="00EF7960">
        <w:t>I</w:t>
      </w:r>
      <w:r w:rsidR="00F47B73">
        <w:t>nterestingly enough, it is common cause both on the papers an</w:t>
      </w:r>
      <w:r w:rsidR="006C4FB5">
        <w:t>d</w:t>
      </w:r>
      <w:r w:rsidR="00F47B73">
        <w:t xml:space="preserve"> during argument, that at this time the Regulator had refused to disclose the identity of the complainant to Sparepro. The Regulator </w:t>
      </w:r>
      <w:r w:rsidR="0070630C">
        <w:t>persisted</w:t>
      </w:r>
      <w:r w:rsidR="00F47B73">
        <w:t xml:space="preserve"> with this position and provided only a redacted copy of the complaint in the Rule 53 record and in the response to Sparepro’s Rule 35(12) notice</w:t>
      </w:r>
      <w:r w:rsidR="00F47B73">
        <w:rPr>
          <w:rStyle w:val="FootnoteReference"/>
        </w:rPr>
        <w:footnoteReference w:id="10"/>
      </w:r>
      <w:r w:rsidR="000D1807">
        <w:t xml:space="preserve">. This is despite the fact that GUD disclosed the origin of </w:t>
      </w:r>
      <w:r w:rsidR="006C4FB5">
        <w:t xml:space="preserve">the </w:t>
      </w:r>
      <w:r w:rsidR="000D1807">
        <w:t xml:space="preserve">complaint as far back as 24 October 2022 ie some 7 months earlier. GUD also provided an unredacted copy of the complaint in their Rule </w:t>
      </w:r>
      <w:r w:rsidR="00F53D22">
        <w:t>31(12) response on 1 June 2023. Given this, the position held by the Regulator is not acceptable.</w:t>
      </w:r>
    </w:p>
    <w:p w14:paraId="464E6BC9" w14:textId="77777777" w:rsidR="00EF7960" w:rsidRDefault="00EF7960" w:rsidP="00EF7960">
      <w:pPr>
        <w:pStyle w:val="ListParagraph"/>
        <w:spacing w:after="0" w:line="480" w:lineRule="auto"/>
      </w:pPr>
    </w:p>
    <w:p w14:paraId="52348104" w14:textId="567FACB2" w:rsidR="00EF7960" w:rsidRDefault="00292ABE" w:rsidP="00292ABE">
      <w:pPr>
        <w:spacing w:after="0" w:line="480" w:lineRule="auto"/>
        <w:jc w:val="both"/>
      </w:pPr>
      <w:r>
        <w:t>14]</w:t>
      </w:r>
      <w:r>
        <w:tab/>
      </w:r>
      <w:r w:rsidR="003F7516">
        <w:t>This, of course, must be viewed in the context of the Regulator’s position</w:t>
      </w:r>
      <w:r w:rsidR="00076CF4">
        <w:t xml:space="preserve"> on the one </w:t>
      </w:r>
      <w:r w:rsidR="00E31CCF">
        <w:t>hand that</w:t>
      </w:r>
      <w:r w:rsidR="003F7516">
        <w:t xml:space="preserve"> everything w</w:t>
      </w:r>
      <w:r w:rsidR="006C4FB5">
        <w:t>as above-board and transparent</w:t>
      </w:r>
      <w:r w:rsidR="00E31CCF">
        <w:t>,</w:t>
      </w:r>
      <w:r w:rsidR="006C4FB5">
        <w:t xml:space="preserve"> and Sparepro’s argument </w:t>
      </w:r>
      <w:r w:rsidR="00E31CCF">
        <w:t xml:space="preserve">on the other hand, </w:t>
      </w:r>
      <w:r w:rsidR="006C4FB5">
        <w:t xml:space="preserve">that the process </w:t>
      </w:r>
      <w:r w:rsidR="00E31CCF">
        <w:t>was</w:t>
      </w:r>
      <w:r w:rsidR="00DB2E42">
        <w:t xml:space="preserve"> tainted</w:t>
      </w:r>
      <w:r w:rsidR="006C4FB5">
        <w:t xml:space="preserve"> by bias.</w:t>
      </w:r>
    </w:p>
    <w:p w14:paraId="140776C8" w14:textId="77777777" w:rsidR="00EF7960" w:rsidRDefault="00EF7960" w:rsidP="00EF7960">
      <w:pPr>
        <w:pStyle w:val="ListParagraph"/>
        <w:spacing w:after="0" w:line="480" w:lineRule="auto"/>
      </w:pPr>
    </w:p>
    <w:p w14:paraId="1689DC56" w14:textId="16223D09" w:rsidR="00EF7960" w:rsidRDefault="00292ABE" w:rsidP="00292ABE">
      <w:pPr>
        <w:spacing w:after="0" w:line="480" w:lineRule="auto"/>
        <w:jc w:val="both"/>
      </w:pPr>
      <w:r>
        <w:t>15]</w:t>
      </w:r>
      <w:r>
        <w:tab/>
      </w:r>
      <w:r w:rsidR="003F7516">
        <w:t xml:space="preserve">Thus, it was only in October 2022 that Sparepro became aware that GUD had lodged the complaint and </w:t>
      </w:r>
      <w:r w:rsidR="00DB2E42">
        <w:t xml:space="preserve">that </w:t>
      </w:r>
      <w:r w:rsidR="003F7516">
        <w:t>despite this</w:t>
      </w:r>
      <w:r w:rsidR="006C4FB5">
        <w:t>, the Regulator appointed it</w:t>
      </w:r>
      <w:r w:rsidR="003F7516">
        <w:t xml:space="preserve"> to conduct the tests.</w:t>
      </w:r>
    </w:p>
    <w:p w14:paraId="523544F5" w14:textId="77777777" w:rsidR="00EF7960" w:rsidRDefault="00EF7960" w:rsidP="00EF7960">
      <w:pPr>
        <w:pStyle w:val="ListParagraph"/>
        <w:spacing w:after="0" w:line="480" w:lineRule="auto"/>
      </w:pPr>
    </w:p>
    <w:p w14:paraId="30A3C977" w14:textId="1457039B" w:rsidR="00EF7960" w:rsidRDefault="00292ABE" w:rsidP="00292ABE">
      <w:pPr>
        <w:spacing w:after="0" w:line="480" w:lineRule="auto"/>
        <w:jc w:val="both"/>
      </w:pPr>
      <w:r>
        <w:lastRenderedPageBreak/>
        <w:t>16]</w:t>
      </w:r>
      <w:r>
        <w:tab/>
      </w:r>
      <w:r w:rsidR="00EF7960">
        <w:t>I</w:t>
      </w:r>
      <w:r w:rsidR="00810E8A">
        <w:t>t is common cause that Sparepro’s parts failed these tests. The test re</w:t>
      </w:r>
      <w:r w:rsidR="002A24A8">
        <w:t>p</w:t>
      </w:r>
      <w:r w:rsidR="00810E8A">
        <w:t>ort, dated 6 September 2021</w:t>
      </w:r>
      <w:r w:rsidR="00801793">
        <w:t>,</w:t>
      </w:r>
      <w:r w:rsidR="00810E8A">
        <w:t xml:space="preserve"> was signed by </w:t>
      </w:r>
      <w:r w:rsidR="00E31CCF">
        <w:t xml:space="preserve">the very same </w:t>
      </w:r>
      <w:r w:rsidR="00810E8A">
        <w:t>Mr Reddy.</w:t>
      </w:r>
    </w:p>
    <w:p w14:paraId="64057041" w14:textId="23B4065A" w:rsidR="00EF7960" w:rsidRDefault="00292ABE" w:rsidP="00292ABE">
      <w:pPr>
        <w:spacing w:after="0" w:line="480" w:lineRule="auto"/>
        <w:jc w:val="both"/>
      </w:pPr>
      <w:r>
        <w:t>17]</w:t>
      </w:r>
      <w:r>
        <w:tab/>
      </w:r>
      <w:r w:rsidR="00810E8A">
        <w:t>On 7 September 2021, the applicant was informed of the outcome of the tests cond</w:t>
      </w:r>
      <w:r w:rsidR="0061523D">
        <w:t>ucted on the B1-54 brake pads and</w:t>
      </w:r>
      <w:r w:rsidR="00810E8A">
        <w:t xml:space="preserve"> asked for a re-test to be conducted. The Regulator consented subject to 3 conditions: </w:t>
      </w:r>
    </w:p>
    <w:p w14:paraId="6BF521C0" w14:textId="4672F730" w:rsidR="00810E8A" w:rsidRDefault="00292ABE" w:rsidP="00292ABE">
      <w:pPr>
        <w:spacing w:after="0" w:line="480" w:lineRule="auto"/>
        <w:ind w:left="1418" w:hanging="709"/>
        <w:jc w:val="both"/>
      </w:pPr>
      <w:r>
        <w:t>a)</w:t>
      </w:r>
      <w:r>
        <w:tab/>
      </w:r>
      <w:r w:rsidR="00810E8A">
        <w:t>that a re-test would have to be at Sparepro’s expense;</w:t>
      </w:r>
    </w:p>
    <w:p w14:paraId="49CE6600" w14:textId="0F4C2C8E" w:rsidR="00810E8A" w:rsidRDefault="00292ABE" w:rsidP="00292ABE">
      <w:pPr>
        <w:spacing w:after="0" w:line="480" w:lineRule="auto"/>
        <w:ind w:left="1418" w:hanging="709"/>
        <w:jc w:val="both"/>
      </w:pPr>
      <w:r>
        <w:t>b)</w:t>
      </w:r>
      <w:r>
        <w:tab/>
      </w:r>
      <w:r w:rsidR="00810E8A">
        <w:t>the Regulator would have to be present; and</w:t>
      </w:r>
    </w:p>
    <w:p w14:paraId="6208FD3F" w14:textId="1563BB83" w:rsidR="00C97532" w:rsidRDefault="00292ABE" w:rsidP="00292ABE">
      <w:pPr>
        <w:spacing w:after="0" w:line="480" w:lineRule="auto"/>
        <w:ind w:left="1418" w:hanging="709"/>
        <w:jc w:val="both"/>
      </w:pPr>
      <w:r>
        <w:t>c)</w:t>
      </w:r>
      <w:r>
        <w:tab/>
      </w:r>
      <w:r w:rsidR="00810E8A">
        <w:t>Sparepro could only use the samples in the Regulator’s poss</w:t>
      </w:r>
      <w:r w:rsidR="00E72555">
        <w:t>ession</w:t>
      </w:r>
      <w:r w:rsidR="00810E8A">
        <w:t xml:space="preserve"> for re-testing. </w:t>
      </w:r>
    </w:p>
    <w:p w14:paraId="22990373" w14:textId="77777777" w:rsidR="0061523D" w:rsidRDefault="0061523D" w:rsidP="0061523D">
      <w:pPr>
        <w:pStyle w:val="ListParagraph"/>
        <w:spacing w:after="0" w:line="480" w:lineRule="auto"/>
        <w:ind w:left="1418"/>
        <w:jc w:val="both"/>
      </w:pPr>
    </w:p>
    <w:p w14:paraId="48C81B6F" w14:textId="0A1DDC74" w:rsidR="0061523D" w:rsidRDefault="00292ABE" w:rsidP="00292ABE">
      <w:pPr>
        <w:spacing w:after="0" w:line="480" w:lineRule="auto"/>
        <w:jc w:val="both"/>
      </w:pPr>
      <w:r>
        <w:t>18]</w:t>
      </w:r>
      <w:r>
        <w:tab/>
      </w:r>
      <w:r w:rsidR="004C7748">
        <w:t>But the next Sparepro knew</w:t>
      </w:r>
      <w:r w:rsidR="0061523D">
        <w:t>,</w:t>
      </w:r>
      <w:r w:rsidR="004C7748">
        <w:t xml:space="preserve"> and before a final agreement was reached,</w:t>
      </w:r>
      <w:r w:rsidR="0061523D">
        <w:t xml:space="preserve"> the Regulator issued</w:t>
      </w:r>
      <w:r w:rsidR="004C7748">
        <w:t xml:space="preserve"> a</w:t>
      </w:r>
      <w:r w:rsidR="0061523D">
        <w:t xml:space="preserve"> </w:t>
      </w:r>
      <w:r w:rsidR="004C7748">
        <w:t>directive</w:t>
      </w:r>
      <w:r w:rsidR="0061523D">
        <w:t xml:space="preserve"> in terms of s15(1)</w:t>
      </w:r>
      <w:r w:rsidR="0061523D">
        <w:rPr>
          <w:rStyle w:val="FootnoteReference"/>
        </w:rPr>
        <w:footnoteReference w:id="11"/>
      </w:r>
      <w:r w:rsidR="004F4BCE">
        <w:t xml:space="preserve"> of the NRCS Act these being </w:t>
      </w:r>
      <w:r w:rsidR="0061523D">
        <w:t>Directive ADD 41220 (</w:t>
      </w:r>
      <w:r w:rsidR="00DE3980">
        <w:t>issued on 7 September 2021).</w:t>
      </w:r>
    </w:p>
    <w:p w14:paraId="4022C22F" w14:textId="77777777" w:rsidR="0061523D" w:rsidRDefault="0061523D" w:rsidP="0061523D">
      <w:pPr>
        <w:pStyle w:val="ListParagraph"/>
        <w:spacing w:after="0" w:line="480" w:lineRule="auto"/>
        <w:ind w:left="0"/>
        <w:jc w:val="both"/>
      </w:pPr>
    </w:p>
    <w:p w14:paraId="4FB677CA" w14:textId="56797663" w:rsidR="00EF7960" w:rsidRDefault="00292ABE" w:rsidP="00292ABE">
      <w:pPr>
        <w:spacing w:after="0" w:line="480" w:lineRule="auto"/>
        <w:jc w:val="both"/>
      </w:pPr>
      <w:r>
        <w:t>19]</w:t>
      </w:r>
      <w:r>
        <w:tab/>
      </w:r>
      <w:r w:rsidR="00C97532">
        <w:t xml:space="preserve">Directive No </w:t>
      </w:r>
      <w:r w:rsidR="009E2D1D">
        <w:t xml:space="preserve">ADD </w:t>
      </w:r>
      <w:r w:rsidR="00C97532">
        <w:t>41220 indicates, inter alia, the following:</w:t>
      </w:r>
    </w:p>
    <w:p w14:paraId="4FE0AB96" w14:textId="77C487F7" w:rsidR="00C97532" w:rsidRDefault="00292ABE" w:rsidP="00292ABE">
      <w:pPr>
        <w:spacing w:after="0" w:line="480" w:lineRule="auto"/>
        <w:ind w:left="1418" w:hanging="709"/>
        <w:jc w:val="both"/>
      </w:pPr>
      <w:r>
        <w:t>a)</w:t>
      </w:r>
      <w:r>
        <w:tab/>
      </w:r>
      <w:r w:rsidR="00C97532">
        <w:t>that the B1-54 brake pads had failed the hot and cold compressibility test and were therefore not in compliance with VC 805-3.</w:t>
      </w:r>
    </w:p>
    <w:p w14:paraId="00C917F6" w14:textId="767CA02B" w:rsidR="00C97532" w:rsidRDefault="00292ABE" w:rsidP="00292ABE">
      <w:pPr>
        <w:spacing w:after="0" w:line="480" w:lineRule="auto"/>
        <w:ind w:left="1418" w:hanging="709"/>
        <w:jc w:val="both"/>
      </w:pPr>
      <w:r>
        <w:t>b)</w:t>
      </w:r>
      <w:r>
        <w:tab/>
      </w:r>
      <w:r w:rsidR="00C97532">
        <w:t xml:space="preserve">that Sparepro </w:t>
      </w:r>
      <w:r w:rsidR="00E72555">
        <w:t>was to retain possession and control of its 3320 units of B1-54 brake pads</w:t>
      </w:r>
      <w:r w:rsidR="00E72555">
        <w:rPr>
          <w:rStyle w:val="FootnoteReference"/>
        </w:rPr>
        <w:footnoteReference w:id="12"/>
      </w:r>
      <w:r w:rsidR="00865957">
        <w:t>;</w:t>
      </w:r>
    </w:p>
    <w:p w14:paraId="1481F60D" w14:textId="737ADEE2" w:rsidR="00EF7960" w:rsidRDefault="00292ABE" w:rsidP="00292ABE">
      <w:pPr>
        <w:spacing w:after="0" w:line="480" w:lineRule="auto"/>
        <w:ind w:left="1418" w:hanging="709"/>
        <w:jc w:val="both"/>
      </w:pPr>
      <w:r>
        <w:t>c)</w:t>
      </w:r>
      <w:r>
        <w:tab/>
      </w:r>
      <w:r w:rsidR="00865957">
        <w:t>Sparepro was directed not to tamper with or dispose of any of the pro</w:t>
      </w:r>
      <w:r w:rsidR="00DE3980">
        <w:t>ducts until the directive was with</w:t>
      </w:r>
      <w:r w:rsidR="00865957">
        <w:t>d</w:t>
      </w:r>
      <w:r w:rsidR="00DE3980">
        <w:t>rawn</w:t>
      </w:r>
      <w:r w:rsidR="00865957">
        <w:t xml:space="preserve"> by the NRCS</w:t>
      </w:r>
      <w:r w:rsidR="009450FC">
        <w:t xml:space="preserve"> </w:t>
      </w:r>
      <w:r w:rsidR="00865957">
        <w:t xml:space="preserve">in writing. </w:t>
      </w:r>
    </w:p>
    <w:p w14:paraId="000F0F32" w14:textId="00064BBA" w:rsidR="00EF7960" w:rsidRDefault="00292ABE" w:rsidP="00292ABE">
      <w:pPr>
        <w:spacing w:after="0" w:line="480" w:lineRule="auto"/>
        <w:jc w:val="both"/>
      </w:pPr>
      <w:r>
        <w:lastRenderedPageBreak/>
        <w:t>20]</w:t>
      </w:r>
      <w:r>
        <w:tab/>
      </w:r>
      <w:r w:rsidR="00865957">
        <w:t xml:space="preserve">On 7 September 2021 the NRCS Inspectors also requested 5 samples of brake pads, the first being B1-12 (D3015) suitable for Toyota Hiace vehicles, and </w:t>
      </w:r>
      <w:r w:rsidR="009450FC">
        <w:t xml:space="preserve">the </w:t>
      </w:r>
      <w:r w:rsidR="00865957">
        <w:t>second</w:t>
      </w:r>
      <w:r w:rsidR="009450FC">
        <w:t xml:space="preserve"> being B</w:t>
      </w:r>
      <w:r w:rsidR="00865957">
        <w:t>1-38 (D3295) suitable for VW Golf 4 vehicles, but refused to divulge the identity of the complainant. These brake pads were tested and the test report - dated 15 September 2021 -  indicates that they too failed. These reports are also signed by Mr Reddy.</w:t>
      </w:r>
    </w:p>
    <w:p w14:paraId="7AAC6A5C" w14:textId="77777777" w:rsidR="00163C5D" w:rsidRDefault="00163C5D" w:rsidP="00163C5D">
      <w:pPr>
        <w:pStyle w:val="ListParagraph"/>
        <w:spacing w:after="0" w:line="480" w:lineRule="auto"/>
        <w:ind w:left="0"/>
        <w:jc w:val="both"/>
      </w:pPr>
    </w:p>
    <w:p w14:paraId="384762F7" w14:textId="08AD8E2A" w:rsidR="00EF7960" w:rsidRDefault="00292ABE" w:rsidP="00292ABE">
      <w:pPr>
        <w:spacing w:after="0" w:line="480" w:lineRule="auto"/>
        <w:jc w:val="both"/>
      </w:pPr>
      <w:r>
        <w:t>21]</w:t>
      </w:r>
      <w:r>
        <w:tab/>
      </w:r>
      <w:r w:rsidR="00865957">
        <w:t>On 17 September 2</w:t>
      </w:r>
      <w:r w:rsidR="00BF3AA0">
        <w:t xml:space="preserve">021 a further s15(1) Directive </w:t>
      </w:r>
      <w:r w:rsidR="00865957">
        <w:t xml:space="preserve">No </w:t>
      </w:r>
      <w:r w:rsidR="00BF3AA0">
        <w:t xml:space="preserve">ADD </w:t>
      </w:r>
      <w:r w:rsidR="00865957">
        <w:t xml:space="preserve">41226 was issued to Sparepro, the terms of which are identical to that of Directive No </w:t>
      </w:r>
      <w:r w:rsidR="00BF3AA0">
        <w:t xml:space="preserve">ADD </w:t>
      </w:r>
      <w:r w:rsidR="00865957">
        <w:t xml:space="preserve">41220. This time, the 1400 units of the B1-12 brake pads are valued at R119 000-00. </w:t>
      </w:r>
    </w:p>
    <w:p w14:paraId="035A0DB6" w14:textId="77777777" w:rsidR="00EF7960" w:rsidRDefault="00EF7960" w:rsidP="00C97532">
      <w:pPr>
        <w:pStyle w:val="ListParagraph"/>
        <w:spacing w:after="0" w:line="480" w:lineRule="auto"/>
        <w:jc w:val="both"/>
      </w:pPr>
    </w:p>
    <w:p w14:paraId="7E428B1C" w14:textId="0E40275E" w:rsidR="00EF7960" w:rsidRDefault="00292ABE" w:rsidP="00292ABE">
      <w:pPr>
        <w:spacing w:after="0" w:line="480" w:lineRule="auto"/>
        <w:jc w:val="both"/>
      </w:pPr>
      <w:r>
        <w:t>22]</w:t>
      </w:r>
      <w:r>
        <w:tab/>
      </w:r>
      <w:r w:rsidR="00865957">
        <w:t>Both Directives provide that Sparepro must provide the Regulator with a proposed corrective action plan in writing</w:t>
      </w:r>
      <w:r w:rsidR="00865957">
        <w:rPr>
          <w:rStyle w:val="FootnoteReference"/>
        </w:rPr>
        <w:footnoteReference w:id="13"/>
      </w:r>
      <w:r w:rsidR="001C7169">
        <w:t xml:space="preserve"> within 7 business days.</w:t>
      </w:r>
    </w:p>
    <w:p w14:paraId="3585EC7F" w14:textId="77777777" w:rsidR="00EF7960" w:rsidRDefault="00EF7960" w:rsidP="00C97532">
      <w:pPr>
        <w:pStyle w:val="ListParagraph"/>
        <w:spacing w:after="0" w:line="480" w:lineRule="auto"/>
        <w:jc w:val="both"/>
      </w:pPr>
    </w:p>
    <w:p w14:paraId="1D40896A" w14:textId="1700BF14" w:rsidR="00EF7960" w:rsidRDefault="00292ABE" w:rsidP="00292ABE">
      <w:pPr>
        <w:spacing w:after="0" w:line="480" w:lineRule="auto"/>
        <w:jc w:val="both"/>
      </w:pPr>
      <w:r>
        <w:t>23]</w:t>
      </w:r>
      <w:r>
        <w:tab/>
      </w:r>
      <w:r w:rsidR="001C7169">
        <w:t>During all this, Sparepro and the Regulator were discussing the proposed re-testing of all the seized brake pads, which Sparepro informed the Regulator was necessary before it could submit any corrective action plan. On 12 October 2021, Sparepro was informed that official feed</w:t>
      </w:r>
      <w:r w:rsidR="00154F83">
        <w:t>back would be given in regards to</w:t>
      </w:r>
      <w:r w:rsidR="001C7169">
        <w:t xml:space="preserve"> the re-testing, however on 22 October 2021 the Regulator again </w:t>
      </w:r>
      <w:r w:rsidR="00154F83">
        <w:t>demanded</w:t>
      </w:r>
      <w:r w:rsidR="001C7169">
        <w:t xml:space="preserve"> a corrective plan vis-à-vis Directives 41220 and 41266</w:t>
      </w:r>
      <w:r w:rsidR="00154F83">
        <w:t>. B</w:t>
      </w:r>
      <w:r w:rsidR="001C7169">
        <w:t xml:space="preserve">etween 9 and 18 November 2021 </w:t>
      </w:r>
      <w:r w:rsidR="00B34B35">
        <w:t xml:space="preserve">the Regulator </w:t>
      </w:r>
      <w:r w:rsidR="00F07657">
        <w:t>issued s15(1) D</w:t>
      </w:r>
      <w:r w:rsidR="001C7169">
        <w:t>irectives</w:t>
      </w:r>
      <w:r w:rsidR="005D0E4B">
        <w:t xml:space="preserve"> </w:t>
      </w:r>
      <w:r w:rsidR="001C7169">
        <w:t>to Sparepro’s customers</w:t>
      </w:r>
      <w:r w:rsidR="005D0E4B">
        <w:t xml:space="preserve"> as its stance was that Sparepro had failed to submit the required corrective action plan (my emphasis)</w:t>
      </w:r>
      <w:r w:rsidR="001C7169">
        <w:t>.</w:t>
      </w:r>
      <w:r w:rsidR="005D0E4B">
        <w:t xml:space="preserve"> </w:t>
      </w:r>
      <w:r w:rsidR="00F07657">
        <w:lastRenderedPageBreak/>
        <w:t>However, these were not confine</w:t>
      </w:r>
      <w:r w:rsidR="001C7169">
        <w:t xml:space="preserve">d to the B1-54, B1-12 and B1-38 brake pads: they pertained to all Kratex brake pads sold by Sparepro. </w:t>
      </w:r>
    </w:p>
    <w:p w14:paraId="404C2E64" w14:textId="77777777" w:rsidR="00CA7B98" w:rsidRDefault="00CA7B98" w:rsidP="00CA7B98">
      <w:pPr>
        <w:pStyle w:val="ListParagraph"/>
      </w:pPr>
    </w:p>
    <w:p w14:paraId="2612BE7D" w14:textId="77777777" w:rsidR="00CA7B98" w:rsidRDefault="00CA7B98" w:rsidP="00CA7B98">
      <w:pPr>
        <w:pStyle w:val="ListParagraph"/>
        <w:spacing w:after="0" w:line="360" w:lineRule="auto"/>
        <w:ind w:left="0"/>
        <w:jc w:val="both"/>
      </w:pPr>
    </w:p>
    <w:p w14:paraId="50D411CF" w14:textId="70B5CAFF" w:rsidR="00EF7960" w:rsidRDefault="00292ABE" w:rsidP="00292ABE">
      <w:pPr>
        <w:spacing w:after="0" w:line="480" w:lineRule="auto"/>
        <w:jc w:val="both"/>
      </w:pPr>
      <w:r>
        <w:t>24]</w:t>
      </w:r>
      <w:r>
        <w:tab/>
      </w:r>
      <w:r w:rsidR="00B34B35">
        <w:t>Bearing in mind that Sparepro was, as yet, still in the dark about the identity of the complainant</w:t>
      </w:r>
      <w:r w:rsidR="00B34B35">
        <w:rPr>
          <w:rStyle w:val="FootnoteReference"/>
        </w:rPr>
        <w:footnoteReference w:id="14"/>
      </w:r>
      <w:r w:rsidR="006539F8">
        <w:t>, o</w:t>
      </w:r>
      <w:r w:rsidR="003F1C6C">
        <w:t>n 29 November 2021, Spar</w:t>
      </w:r>
      <w:r w:rsidR="00B34B35">
        <w:t>e</w:t>
      </w:r>
      <w:r w:rsidR="003F1C6C">
        <w:t xml:space="preserve">pro provided the Regulator with its corrective action plan which included a plan for the re-testing to be done locally by ECE 90 as there was no other </w:t>
      </w:r>
      <w:r w:rsidR="00AC4F48">
        <w:t xml:space="preserve">local </w:t>
      </w:r>
      <w:r w:rsidR="003F1C6C">
        <w:t xml:space="preserve">suitably accredited testing facility, but under certain conditions </w:t>
      </w:r>
    </w:p>
    <w:p w14:paraId="5927970D" w14:textId="03CA4CCD" w:rsidR="00D319F6" w:rsidRDefault="00D319F6" w:rsidP="00D319F6">
      <w:pPr>
        <w:spacing w:line="480" w:lineRule="auto"/>
        <w:ind w:left="720"/>
        <w:jc w:val="both"/>
        <w:rPr>
          <w:i/>
          <w:sz w:val="22"/>
          <w:szCs w:val="22"/>
        </w:rPr>
      </w:pPr>
      <w:r w:rsidRPr="00D319F6">
        <w:rPr>
          <w:i/>
          <w:sz w:val="22"/>
          <w:szCs w:val="22"/>
        </w:rPr>
        <w:t>“81</w:t>
      </w:r>
      <w:r w:rsidR="00AC4F48">
        <w:rPr>
          <w:i/>
          <w:sz w:val="22"/>
          <w:szCs w:val="22"/>
        </w:rPr>
        <w:t>.</w:t>
      </w:r>
      <w:r w:rsidRPr="00D319F6">
        <w:rPr>
          <w:i/>
          <w:sz w:val="22"/>
          <w:szCs w:val="22"/>
        </w:rPr>
        <w:t xml:space="preserve"> On 29 November 2021, Sparepro (via its then attorneys) furnished the National Regulator with its CAP </w:t>
      </w:r>
      <w:r w:rsidR="00120B8B">
        <w:rPr>
          <w:i/>
          <w:sz w:val="22"/>
          <w:szCs w:val="22"/>
        </w:rPr>
        <w:t>..</w:t>
      </w:r>
      <w:r w:rsidRPr="00D319F6">
        <w:rPr>
          <w:i/>
          <w:sz w:val="22"/>
          <w:szCs w:val="22"/>
        </w:rPr>
        <w:t>. The CAP included provision (under paragraph 17) for the re-testing of the allegedly non-compliant parts. Sparepro reluctantly accepted in this regard that re-testing could only be done locally by ECE 90, given SANAS'</w:t>
      </w:r>
      <w:r w:rsidRPr="00D319F6">
        <w:rPr>
          <w:i/>
        </w:rPr>
        <w:t xml:space="preserve"> i</w:t>
      </w:r>
      <w:r w:rsidRPr="00D319F6">
        <w:rPr>
          <w:i/>
          <w:sz w:val="22"/>
          <w:szCs w:val="22"/>
        </w:rPr>
        <w:t>nability to recommend a suitable alternative accredited testing facility, though it was still concerned about the conflict of inte</w:t>
      </w:r>
      <w:r w:rsidR="00AC4F48">
        <w:rPr>
          <w:i/>
          <w:sz w:val="22"/>
          <w:szCs w:val="22"/>
        </w:rPr>
        <w:t>rest inherent in this.”</w:t>
      </w:r>
    </w:p>
    <w:p w14:paraId="7E93DFB5" w14:textId="77777777" w:rsidR="00B06769" w:rsidRPr="00D319F6" w:rsidRDefault="00B06769" w:rsidP="00B06769">
      <w:pPr>
        <w:spacing w:after="0" w:line="480" w:lineRule="auto"/>
        <w:jc w:val="both"/>
        <w:rPr>
          <w:i/>
          <w:sz w:val="22"/>
          <w:szCs w:val="22"/>
        </w:rPr>
      </w:pPr>
    </w:p>
    <w:p w14:paraId="03A71628" w14:textId="623BFBE3" w:rsidR="008E7084" w:rsidRDefault="00292ABE" w:rsidP="00292ABE">
      <w:pPr>
        <w:spacing w:after="0" w:line="480" w:lineRule="auto"/>
        <w:jc w:val="both"/>
      </w:pPr>
      <w:r>
        <w:t>25]</w:t>
      </w:r>
      <w:r>
        <w:tab/>
      </w:r>
      <w:r w:rsidR="008E7084">
        <w:t xml:space="preserve">As a result of the </w:t>
      </w:r>
      <w:r w:rsidR="004A48A8">
        <w:t>conflict</w:t>
      </w:r>
      <w:r w:rsidR="008E7084">
        <w:t xml:space="preserve"> of interest concern</w:t>
      </w:r>
      <w:r w:rsidR="00E31CCF">
        <w:t>s</w:t>
      </w:r>
      <w:r w:rsidR="008E7084">
        <w:t xml:space="preserve">, Sparepro’s conditions were, inter alia, that: </w:t>
      </w:r>
    </w:p>
    <w:p w14:paraId="74CDC798" w14:textId="78CBD9F4" w:rsidR="008E7084" w:rsidRPr="00B430AD" w:rsidRDefault="00292ABE" w:rsidP="00292ABE">
      <w:pPr>
        <w:spacing w:after="0" w:line="480" w:lineRule="auto"/>
        <w:ind w:left="1418" w:hanging="709"/>
        <w:jc w:val="both"/>
      </w:pPr>
      <w:r w:rsidRPr="00B430AD">
        <w:t>a)</w:t>
      </w:r>
      <w:r w:rsidRPr="00B430AD">
        <w:tab/>
      </w:r>
      <w:r w:rsidR="008E7084" w:rsidRPr="00B430AD">
        <w:t xml:space="preserve">ECE </w:t>
      </w:r>
      <w:r w:rsidR="00E31CCF" w:rsidRPr="00B430AD">
        <w:t xml:space="preserve">90 must advise Sparepro when the equipment that would </w:t>
      </w:r>
      <w:r w:rsidR="008E7084" w:rsidRPr="00B430AD">
        <w:t>be used for the re-tests was last calibrated and provide Sparepro with the e</w:t>
      </w:r>
      <w:r w:rsidR="00F641A2">
        <w:t>quipment’s calibration</w:t>
      </w:r>
      <w:r w:rsidR="008E7084" w:rsidRPr="00B430AD">
        <w:t>;</w:t>
      </w:r>
    </w:p>
    <w:p w14:paraId="7AE260B8" w14:textId="48EFE9FE" w:rsidR="008E7084" w:rsidRPr="00B430AD" w:rsidRDefault="00292ABE" w:rsidP="00292ABE">
      <w:pPr>
        <w:spacing w:line="480" w:lineRule="auto"/>
        <w:ind w:left="1418" w:hanging="709"/>
        <w:jc w:val="both"/>
      </w:pPr>
      <w:r w:rsidRPr="00B430AD">
        <w:t>b)</w:t>
      </w:r>
      <w:r w:rsidRPr="00B430AD">
        <w:tab/>
      </w:r>
      <w:r w:rsidR="00F641A2">
        <w:t>i</w:t>
      </w:r>
      <w:r w:rsidR="008E7084" w:rsidRPr="00B430AD">
        <w:t xml:space="preserve">n advance of the re-tests being conducted, the NRCS inspectors may attend Sparepro's warehouse and select new samples of part nos. Bl-54; Bl-12 and Bl-38 from any of Sparepro's warehouse stock, to be used for </w:t>
      </w:r>
      <w:r w:rsidR="008E7084" w:rsidRPr="00B430AD">
        <w:lastRenderedPageBreak/>
        <w:t>the re-tests (the samples). The samples must be securely sealed, and must only be opened when it is time for each of the respective</w:t>
      </w:r>
      <w:r w:rsidR="004E19EE" w:rsidRPr="00B430AD">
        <w:t xml:space="preserve"> re-tests</w:t>
      </w:r>
      <w:r w:rsidR="008E7084" w:rsidRPr="00B430AD">
        <w:t>;</w:t>
      </w:r>
    </w:p>
    <w:p w14:paraId="44CEEEF7" w14:textId="27520737" w:rsidR="00193438" w:rsidRPr="00B430AD" w:rsidRDefault="00292ABE" w:rsidP="00292ABE">
      <w:pPr>
        <w:spacing w:line="480" w:lineRule="auto"/>
        <w:ind w:left="1418" w:hanging="709"/>
        <w:jc w:val="both"/>
      </w:pPr>
      <w:r w:rsidRPr="00B430AD">
        <w:t>c)</w:t>
      </w:r>
      <w:r w:rsidRPr="00B430AD">
        <w:tab/>
      </w:r>
      <w:r w:rsidR="00FE47A7">
        <w:t>r</w:t>
      </w:r>
      <w:r w:rsidR="00193438" w:rsidRPr="00B430AD">
        <w:t>epresentatives of Sparepro must accompany the samples with the NRCS inspectors to the ECE90 Brake Testing facility on the day tha</w:t>
      </w:r>
      <w:r w:rsidR="004E19EE" w:rsidRPr="00B430AD">
        <w:t>t the tests were to be conducted</w:t>
      </w:r>
      <w:r w:rsidR="00193438" w:rsidRPr="00B430AD">
        <w:t xml:space="preserve">; </w:t>
      </w:r>
    </w:p>
    <w:p w14:paraId="19A0D047" w14:textId="128C37E6" w:rsidR="008E7084" w:rsidRPr="00B430AD" w:rsidRDefault="00292ABE" w:rsidP="00292ABE">
      <w:pPr>
        <w:spacing w:after="0" w:line="480" w:lineRule="auto"/>
        <w:ind w:left="1418" w:hanging="709"/>
        <w:jc w:val="both"/>
      </w:pPr>
      <w:r w:rsidRPr="00B430AD">
        <w:t>d)</w:t>
      </w:r>
      <w:r w:rsidRPr="00B430AD">
        <w:tab/>
      </w:r>
      <w:r w:rsidR="00FE47A7">
        <w:t>t</w:t>
      </w:r>
      <w:r w:rsidR="00193438" w:rsidRPr="00B430AD">
        <w:t>he sealed samples must only be opened</w:t>
      </w:r>
      <w:r w:rsidR="004E19EE" w:rsidRPr="00B430AD">
        <w:t xml:space="preserve"> in the presence of both the </w:t>
      </w:r>
      <w:r w:rsidR="00041A8B" w:rsidRPr="00B430AD">
        <w:t>NRCS Inspectors</w:t>
      </w:r>
      <w:r w:rsidR="004E19EE" w:rsidRPr="00B430AD">
        <w:t xml:space="preserve"> and Sparepro representatives </w:t>
      </w:r>
      <w:r w:rsidR="00193438" w:rsidRPr="00B430AD">
        <w:t>at the time that each respective re-test is to be conducted</w:t>
      </w:r>
      <w:r w:rsidR="004E19EE" w:rsidRPr="00B430AD">
        <w:t>;</w:t>
      </w:r>
      <w:r w:rsidR="00193438" w:rsidRPr="00B430AD">
        <w:t xml:space="preserve"> </w:t>
      </w:r>
    </w:p>
    <w:p w14:paraId="76C0F01D" w14:textId="799EACCF" w:rsidR="00193438" w:rsidRPr="00B430AD" w:rsidRDefault="00292ABE" w:rsidP="00292ABE">
      <w:pPr>
        <w:spacing w:line="480" w:lineRule="auto"/>
        <w:ind w:left="1418" w:hanging="709"/>
        <w:jc w:val="both"/>
      </w:pPr>
      <w:r w:rsidRPr="00B430AD">
        <w:t>e)</w:t>
      </w:r>
      <w:r w:rsidRPr="00B430AD">
        <w:tab/>
      </w:r>
      <w:r w:rsidR="00FE47A7">
        <w:t>b</w:t>
      </w:r>
      <w:r w:rsidR="00193438" w:rsidRPr="00B430AD">
        <w:t>oth the NRCS inspectors and the Sparepro representatives must be present, at all times, when the re-testing is being conducted on each of the samples</w:t>
      </w:r>
      <w:r w:rsidR="00C402CB" w:rsidRPr="00B430AD">
        <w:t>, and</w:t>
      </w:r>
      <w:r w:rsidR="00193438" w:rsidRPr="00B430AD">
        <w:t xml:space="preserve"> Sparepro must be allowed, at the testing facility, to inspect the samples and take p</w:t>
      </w:r>
      <w:r w:rsidR="00FE47A7">
        <w:t>ictures of each of the samples i</w:t>
      </w:r>
      <w:r w:rsidR="00193438" w:rsidRPr="00B430AD">
        <w:t>mmediately after each re-test is complete;</w:t>
      </w:r>
    </w:p>
    <w:p w14:paraId="25B4A204" w14:textId="6C5D3A0A" w:rsidR="00193438" w:rsidRPr="00B430AD" w:rsidRDefault="00292ABE" w:rsidP="00292ABE">
      <w:pPr>
        <w:spacing w:line="480" w:lineRule="auto"/>
        <w:ind w:left="1418" w:hanging="709"/>
        <w:jc w:val="both"/>
      </w:pPr>
      <w:r w:rsidRPr="00B430AD">
        <w:t>f)</w:t>
      </w:r>
      <w:r w:rsidRPr="00B430AD">
        <w:tab/>
      </w:r>
      <w:r w:rsidR="00FE47A7">
        <w:t>t</w:t>
      </w:r>
      <w:r w:rsidR="00996045" w:rsidRPr="00B430AD">
        <w:t xml:space="preserve">he results of the re-tests must be compared to the </w:t>
      </w:r>
      <w:r w:rsidR="00041A8B" w:rsidRPr="00B430AD">
        <w:t>previous</w:t>
      </w:r>
      <w:r w:rsidR="00996045" w:rsidRPr="00B430AD">
        <w:t xml:space="preserve"> test re</w:t>
      </w:r>
      <w:r w:rsidR="00041A8B" w:rsidRPr="00B430AD">
        <w:t>ports of ECE90 brake testing and in</w:t>
      </w:r>
      <w:r w:rsidR="00996045" w:rsidRPr="00B430AD">
        <w:t xml:space="preserve"> the event that the samples pass the re-tests, Sparepro will request that the Directives ADD41220 and ADD41226, and all other directives that were issued to Sparepro's customers, be forthwith </w:t>
      </w:r>
      <w:r w:rsidR="00041A8B" w:rsidRPr="00B430AD">
        <w:t>withdrawn.</w:t>
      </w:r>
    </w:p>
    <w:p w14:paraId="318E8E5D" w14:textId="77777777" w:rsidR="00EF7960" w:rsidRDefault="00EF7960" w:rsidP="00C97532">
      <w:pPr>
        <w:pStyle w:val="ListParagraph"/>
        <w:spacing w:after="0" w:line="480" w:lineRule="auto"/>
        <w:jc w:val="both"/>
      </w:pPr>
    </w:p>
    <w:p w14:paraId="19E9464F" w14:textId="6AFE4307" w:rsidR="00B11BD6" w:rsidRDefault="00292ABE" w:rsidP="00292ABE">
      <w:pPr>
        <w:tabs>
          <w:tab w:val="left" w:pos="709"/>
        </w:tabs>
        <w:spacing w:after="0" w:line="480" w:lineRule="auto"/>
        <w:jc w:val="both"/>
      </w:pPr>
      <w:r>
        <w:t>26]</w:t>
      </w:r>
      <w:r>
        <w:tab/>
      </w:r>
      <w:r w:rsidR="008A527A">
        <w:t>The Regulator was amenable t</w:t>
      </w:r>
      <w:r w:rsidR="004A48A8">
        <w:t>o the conditions save that the t</w:t>
      </w:r>
      <w:r w:rsidR="008A527A">
        <w:t xml:space="preserve">ests would have to be </w:t>
      </w:r>
      <w:r w:rsidR="004A48A8">
        <w:t xml:space="preserve">conducted </w:t>
      </w:r>
      <w:r w:rsidR="008A527A">
        <w:t xml:space="preserve">on the </w:t>
      </w:r>
      <w:r w:rsidR="004A48A8">
        <w:t>products</w:t>
      </w:r>
      <w:r w:rsidR="008A527A">
        <w:t xml:space="preserve"> in its possession</w:t>
      </w:r>
      <w:r w:rsidR="004A48A8">
        <w:t>. F</w:t>
      </w:r>
      <w:r w:rsidR="008A527A">
        <w:t>or reasons not relevant hereto, the next communication between it and Sparepro was in April 2022 and by that ti</w:t>
      </w:r>
      <w:r w:rsidR="004A48A8">
        <w:t>m</w:t>
      </w:r>
      <w:r w:rsidR="008A527A">
        <w:t xml:space="preserve">e </w:t>
      </w:r>
      <w:r w:rsidR="008A527A" w:rsidRPr="009857A9">
        <w:t xml:space="preserve">Sparepro was represented by new attorneys of record </w:t>
      </w:r>
      <w:r w:rsidR="009857A9" w:rsidRPr="009857A9">
        <w:t>who informed the Regulator that</w:t>
      </w:r>
      <w:r w:rsidR="00B11BD6">
        <w:t>:</w:t>
      </w:r>
    </w:p>
    <w:p w14:paraId="19CADA65" w14:textId="2CDB88FB" w:rsidR="008A527A" w:rsidRPr="009857A9" w:rsidRDefault="00292ABE" w:rsidP="00292ABE">
      <w:pPr>
        <w:tabs>
          <w:tab w:val="left" w:pos="709"/>
        </w:tabs>
        <w:spacing w:after="0" w:line="480" w:lineRule="auto"/>
        <w:ind w:left="1418" w:hanging="709"/>
        <w:jc w:val="both"/>
      </w:pPr>
      <w:r w:rsidRPr="009857A9">
        <w:lastRenderedPageBreak/>
        <w:t>a)</w:t>
      </w:r>
      <w:r w:rsidRPr="009857A9">
        <w:tab/>
      </w:r>
      <w:r w:rsidR="009857A9" w:rsidRPr="009857A9">
        <w:t>the NRCS should</w:t>
      </w:r>
      <w:r w:rsidR="009E79D1" w:rsidRPr="009857A9">
        <w:t xml:space="preserve"> allow Sparepro's products to be tested by a different laboratory </w:t>
      </w:r>
      <w:r w:rsidR="009857A9" w:rsidRPr="009857A9">
        <w:t>or</w:t>
      </w:r>
      <w:r w:rsidR="009E79D1" w:rsidRPr="009857A9">
        <w:t xml:space="preserve"> service provider to ECE90 given ECE90's obvious conflict of interest, and </w:t>
      </w:r>
      <w:r w:rsidR="009857A9" w:rsidRPr="009857A9">
        <w:t>t</w:t>
      </w:r>
      <w:r w:rsidR="009E79D1" w:rsidRPr="009857A9">
        <w:t>hat Sparepro was in the process of engaging with another testing facility in order for the brake pads to be tested at Sparepro's expense.</w:t>
      </w:r>
    </w:p>
    <w:p w14:paraId="0083D308" w14:textId="66C98C33" w:rsidR="00653CAF" w:rsidRDefault="00292ABE" w:rsidP="00292ABE">
      <w:pPr>
        <w:spacing w:line="480" w:lineRule="auto"/>
        <w:ind w:left="1418" w:hanging="709"/>
        <w:jc w:val="both"/>
      </w:pPr>
      <w:r>
        <w:t>b)</w:t>
      </w:r>
      <w:r>
        <w:tab/>
      </w:r>
      <w:r w:rsidR="00982F9F" w:rsidRPr="008C70B1">
        <w:t>it was unlawful for the National Regulator to issue directives to customers which were unrelated to parts</w:t>
      </w:r>
      <w:r w:rsidR="00653CAF">
        <w:t xml:space="preserve"> numbers Bl-12, Bl-38 and BI-54;</w:t>
      </w:r>
    </w:p>
    <w:p w14:paraId="53D2A24C" w14:textId="53046674" w:rsidR="004746A5" w:rsidRDefault="00292ABE" w:rsidP="00292ABE">
      <w:pPr>
        <w:spacing w:line="480" w:lineRule="auto"/>
        <w:ind w:left="1418" w:hanging="709"/>
        <w:jc w:val="both"/>
      </w:pPr>
      <w:r>
        <w:t>c)</w:t>
      </w:r>
      <w:r>
        <w:tab/>
      </w:r>
      <w:r w:rsidR="00F77323" w:rsidRPr="008C70B1">
        <w:t>although Sparepro continued to di</w:t>
      </w:r>
      <w:r w:rsidR="005735E1" w:rsidRPr="008C70B1">
        <w:t>spute the test results from ECE</w:t>
      </w:r>
      <w:r w:rsidR="00F77323" w:rsidRPr="008C70B1">
        <w:t>90, given that there are no alternative service providers in South Africa to conduct the relevant tests, and in the light of the costs of conducting</w:t>
      </w:r>
      <w:r w:rsidR="00A81617" w:rsidRPr="008C70B1">
        <w:t xml:space="preserve"> </w:t>
      </w:r>
      <w:r w:rsidR="00F77323" w:rsidRPr="008C70B1">
        <w:t xml:space="preserve">tests overseas, Sparepro was, on advice, considering whether to have the remaining batches of brake pad part numbers BI-12, Bl-38 and Bl-54 surrendered to the NRCS, </w:t>
      </w:r>
      <w:r w:rsidR="004746A5">
        <w:t xml:space="preserve">as per note 3 of the </w:t>
      </w:r>
      <w:r w:rsidR="00F77323" w:rsidRPr="008C70B1">
        <w:t>Directives, which it is assumed would result in t</w:t>
      </w:r>
      <w:r w:rsidR="004746A5">
        <w:t>hose Directives being withdrawn</w:t>
      </w:r>
      <w:r w:rsidR="00F77323" w:rsidRPr="008C70B1">
        <w:t xml:space="preserve"> and</w:t>
      </w:r>
      <w:r w:rsidR="004746A5">
        <w:t>;</w:t>
      </w:r>
    </w:p>
    <w:p w14:paraId="4BE7B7D3" w14:textId="2FA0B325" w:rsidR="00E862D2" w:rsidRDefault="00292ABE" w:rsidP="00292ABE">
      <w:pPr>
        <w:spacing w:line="480" w:lineRule="auto"/>
        <w:ind w:left="1418" w:hanging="709"/>
        <w:jc w:val="both"/>
      </w:pPr>
      <w:r>
        <w:t>d)</w:t>
      </w:r>
      <w:r>
        <w:tab/>
      </w:r>
      <w:r w:rsidR="00F77323" w:rsidRPr="008C70B1">
        <w:t>in the meantime, the brake pads with the numbers BI-12, Bl-38 and Bl-54 were being kept at the warehouse of Sparepro stipulated in the relevant Directives, and would remain there, in the possession and under the control of Sparepro, until the directives are withdrawn.</w:t>
      </w:r>
    </w:p>
    <w:p w14:paraId="0DBB936B" w14:textId="77777777" w:rsidR="00E862D2" w:rsidRPr="008C70B1" w:rsidRDefault="00E862D2" w:rsidP="00E862D2">
      <w:pPr>
        <w:pStyle w:val="ListParagraph"/>
        <w:spacing w:line="480" w:lineRule="auto"/>
        <w:ind w:left="1418"/>
        <w:jc w:val="both"/>
      </w:pPr>
    </w:p>
    <w:p w14:paraId="15BEAEF2" w14:textId="09096FC7" w:rsidR="002C19D3" w:rsidRDefault="00292ABE" w:rsidP="00292ABE">
      <w:pPr>
        <w:tabs>
          <w:tab w:val="left" w:pos="709"/>
        </w:tabs>
        <w:spacing w:line="480" w:lineRule="auto"/>
        <w:jc w:val="both"/>
      </w:pPr>
      <w:r>
        <w:t>27]</w:t>
      </w:r>
      <w:r>
        <w:tab/>
      </w:r>
      <w:r w:rsidR="002C19D3">
        <w:t>By early June 2022, the parties had reached an impasse and the Regulator then issued its s15(3) Directive on 7 June 2022 and sen</w:t>
      </w:r>
      <w:r w:rsidR="003917C8">
        <w:t>t it to Sparepro on 8 June 2022. It states:</w:t>
      </w:r>
    </w:p>
    <w:p w14:paraId="6B19F154" w14:textId="48FC1CBA" w:rsidR="00DB6AF5" w:rsidRDefault="006E4DBB" w:rsidP="00010FF3">
      <w:pPr>
        <w:pStyle w:val="ListParagraph"/>
        <w:tabs>
          <w:tab w:val="left" w:pos="1276"/>
        </w:tabs>
        <w:spacing w:line="480" w:lineRule="auto"/>
        <w:ind w:left="709"/>
        <w:jc w:val="both"/>
      </w:pPr>
      <w:r>
        <w:rPr>
          <w:noProof/>
          <w:lang w:eastAsia="en-ZA"/>
        </w:rPr>
        <w:lastRenderedPageBreak/>
        <mc:AlternateContent>
          <mc:Choice Requires="wps">
            <w:drawing>
              <wp:anchor distT="0" distB="0" distL="114300" distR="114300" simplePos="0" relativeHeight="251660288" behindDoc="0" locked="0" layoutInCell="1" allowOverlap="1" wp14:anchorId="0AE6E377" wp14:editId="4F782D33">
                <wp:simplePos x="0" y="0"/>
                <wp:positionH relativeFrom="column">
                  <wp:posOffset>5212080</wp:posOffset>
                </wp:positionH>
                <wp:positionV relativeFrom="paragraph">
                  <wp:posOffset>510540</wp:posOffset>
                </wp:positionV>
                <wp:extent cx="563880" cy="2286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56388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FA6BE" id="Rectangle 6" o:spid="_x0000_s1026" style="position:absolute;margin-left:410.4pt;margin-top:40.2pt;width:44.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" fillcolor="white [3201]" strokecolor="white [3212]" strokeweight="1pt"/>
            </w:pict>
          </mc:Fallback>
        </mc:AlternateContent>
      </w:r>
      <w:r w:rsidR="00DB6AF5">
        <w:rPr>
          <w:noProof/>
          <w:lang w:eastAsia="en-ZA"/>
        </w:rPr>
        <w:drawing>
          <wp:inline distT="0" distB="0" distL="0" distR="0" wp14:anchorId="7450F197" wp14:editId="7A1BCCF4">
            <wp:extent cx="5830570" cy="697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rieveDocumentImag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4008" cy="6976411"/>
                    </a:xfrm>
                    <a:prstGeom prst="rect">
                      <a:avLst/>
                    </a:prstGeom>
                  </pic:spPr>
                </pic:pic>
              </a:graphicData>
            </a:graphic>
          </wp:inline>
        </w:drawing>
      </w:r>
    </w:p>
    <w:p w14:paraId="21A1AE5D" w14:textId="77777777" w:rsidR="002C19D3" w:rsidRDefault="002C19D3" w:rsidP="00010FF3">
      <w:pPr>
        <w:pStyle w:val="ListParagraph"/>
        <w:tabs>
          <w:tab w:val="left" w:pos="1276"/>
        </w:tabs>
        <w:spacing w:line="480" w:lineRule="auto"/>
        <w:ind w:left="709"/>
        <w:jc w:val="both"/>
      </w:pPr>
    </w:p>
    <w:p w14:paraId="692F5053" w14:textId="6C22037C" w:rsidR="002C19D3" w:rsidRPr="00010FF3" w:rsidRDefault="00187878" w:rsidP="00010FF3">
      <w:pPr>
        <w:pStyle w:val="ListParagraph"/>
        <w:tabs>
          <w:tab w:val="left" w:pos="1276"/>
        </w:tabs>
        <w:spacing w:line="480" w:lineRule="auto"/>
        <w:ind w:left="709"/>
        <w:jc w:val="both"/>
      </w:pPr>
      <w:r>
        <w:rPr>
          <w:noProof/>
          <w:lang w:eastAsia="en-ZA"/>
        </w:rPr>
        <w:lastRenderedPageBreak/>
        <mc:AlternateContent>
          <mc:Choice Requires="wps">
            <w:drawing>
              <wp:anchor distT="0" distB="0" distL="114300" distR="114300" simplePos="0" relativeHeight="251661312" behindDoc="0" locked="0" layoutInCell="1" allowOverlap="1" wp14:anchorId="6FEC947F" wp14:editId="6A6E7A6E">
                <wp:simplePos x="0" y="0"/>
                <wp:positionH relativeFrom="column">
                  <wp:posOffset>5097780</wp:posOffset>
                </wp:positionH>
                <wp:positionV relativeFrom="paragraph">
                  <wp:posOffset>556260</wp:posOffset>
                </wp:positionV>
                <wp:extent cx="556260" cy="2667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55626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282EE" id="Rectangle 7" o:spid="_x0000_s1026" style="position:absolute;margin-left:401.4pt;margin-top:43.8pt;width:43.8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" fillcolor="white [3201]" strokecolor="white [3212]" strokeweight="1pt"/>
            </w:pict>
          </mc:Fallback>
        </mc:AlternateContent>
      </w:r>
      <w:r w:rsidR="00DB6AF5">
        <w:rPr>
          <w:noProof/>
          <w:lang w:eastAsia="en-ZA"/>
        </w:rPr>
        <w:drawing>
          <wp:inline distT="0" distB="0" distL="0" distR="0" wp14:anchorId="3C4C51A1" wp14:editId="072D6271">
            <wp:extent cx="5731510" cy="48387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trieveDocumentImage4 (1).png"/>
                    <pic:cNvPicPr/>
                  </pic:nvPicPr>
                  <pic:blipFill rotWithShape="1">
                    <a:blip r:embed="rId10" cstate="print">
                      <a:extLst>
                        <a:ext uri="{28A0092B-C50C-407E-A947-70E740481C1C}">
                          <a14:useLocalDpi xmlns:a14="http://schemas.microsoft.com/office/drawing/2010/main" val="0"/>
                        </a:ext>
                      </a:extLst>
                    </a:blip>
                    <a:srcRect b="38529"/>
                    <a:stretch/>
                  </pic:blipFill>
                  <pic:spPr bwMode="auto">
                    <a:xfrm>
                      <a:off x="0" y="0"/>
                      <a:ext cx="5731510" cy="4838700"/>
                    </a:xfrm>
                    <a:prstGeom prst="rect">
                      <a:avLst/>
                    </a:prstGeom>
                    <a:ln>
                      <a:noFill/>
                    </a:ln>
                    <a:extLst>
                      <a:ext uri="{53640926-AAD7-44D8-BBD7-CCE9431645EC}">
                        <a14:shadowObscured xmlns:a14="http://schemas.microsoft.com/office/drawing/2010/main"/>
                      </a:ext>
                    </a:extLst>
                  </pic:spPr>
                </pic:pic>
              </a:graphicData>
            </a:graphic>
          </wp:inline>
        </w:drawing>
      </w:r>
    </w:p>
    <w:p w14:paraId="5CF68B54" w14:textId="77777777" w:rsidR="00A74BA5" w:rsidRDefault="00A74BA5" w:rsidP="00A74BA5">
      <w:pPr>
        <w:pStyle w:val="ListParagraph"/>
        <w:tabs>
          <w:tab w:val="left" w:pos="1276"/>
        </w:tabs>
        <w:spacing w:line="480" w:lineRule="auto"/>
        <w:ind w:left="709"/>
        <w:jc w:val="both"/>
      </w:pPr>
    </w:p>
    <w:p w14:paraId="61303B45" w14:textId="03C29155" w:rsidR="00010FF3" w:rsidRDefault="00292ABE" w:rsidP="00292ABE">
      <w:pPr>
        <w:tabs>
          <w:tab w:val="left" w:pos="1276"/>
        </w:tabs>
        <w:spacing w:line="480" w:lineRule="auto"/>
        <w:ind w:left="709" w:hanging="731"/>
        <w:jc w:val="both"/>
      </w:pPr>
      <w:r>
        <w:t>28]</w:t>
      </w:r>
      <w:r>
        <w:tab/>
      </w:r>
      <w:r w:rsidR="00DB6AF5">
        <w:t>The Regulator states that the s15(3) Directive was</w:t>
      </w:r>
      <w:r w:rsidR="00A54CED">
        <w:t xml:space="preserve"> the result of an</w:t>
      </w:r>
      <w:r w:rsidR="00DB6AF5">
        <w:t xml:space="preserve"> informed decision after:</w:t>
      </w:r>
    </w:p>
    <w:p w14:paraId="2D099B3F" w14:textId="0669084F" w:rsidR="00DB6AF5" w:rsidRDefault="00292ABE" w:rsidP="00292ABE">
      <w:pPr>
        <w:tabs>
          <w:tab w:val="left" w:pos="1418"/>
        </w:tabs>
        <w:spacing w:line="480" w:lineRule="auto"/>
        <w:ind w:left="1418" w:hanging="709"/>
        <w:jc w:val="both"/>
      </w:pPr>
      <w:r>
        <w:t>a)</w:t>
      </w:r>
      <w:r>
        <w:tab/>
      </w:r>
      <w:r w:rsidR="00DB6AF5">
        <w:t>it had become aware of the fact that Sparepro had,</w:t>
      </w:r>
      <w:r w:rsidR="00201A98">
        <w:t xml:space="preserve"> in contravention of the </w:t>
      </w:r>
      <w:r w:rsidR="00DB6AF5">
        <w:t>s15(1) Directives,</w:t>
      </w:r>
      <w:r w:rsidR="00B22C84">
        <w:t xml:space="preserve"> </w:t>
      </w:r>
      <w:r w:rsidR="00C60FFC">
        <w:t>continued to sell</w:t>
      </w:r>
      <w:r w:rsidR="00B22C84">
        <w:t xml:space="preserve"> Kratex brake pads;</w:t>
      </w:r>
    </w:p>
    <w:p w14:paraId="5619D6CB" w14:textId="6BFD5A81" w:rsidR="00DB6AF5" w:rsidRDefault="00292ABE" w:rsidP="00292ABE">
      <w:pPr>
        <w:tabs>
          <w:tab w:val="left" w:pos="1418"/>
        </w:tabs>
        <w:spacing w:line="480" w:lineRule="auto"/>
        <w:ind w:left="1418" w:hanging="709"/>
        <w:jc w:val="both"/>
      </w:pPr>
      <w:r>
        <w:t>b)</w:t>
      </w:r>
      <w:r>
        <w:tab/>
      </w:r>
      <w:r w:rsidR="00DB6AF5">
        <w:t>a</w:t>
      </w:r>
      <w:r w:rsidR="00B22C84">
        <w:t>t</w:t>
      </w:r>
      <w:r w:rsidR="00DB6AF5">
        <w:t xml:space="preserve"> </w:t>
      </w:r>
      <w:r w:rsidR="00907F09">
        <w:t xml:space="preserve">a </w:t>
      </w:r>
      <w:r w:rsidR="00DB6AF5">
        <w:t xml:space="preserve">subsequent </w:t>
      </w:r>
      <w:r w:rsidR="00E4078A">
        <w:t>inspection</w:t>
      </w:r>
      <w:r w:rsidR="00907F09">
        <w:rPr>
          <w:rStyle w:val="FootnoteReference"/>
        </w:rPr>
        <w:footnoteReference w:id="15"/>
      </w:r>
      <w:r w:rsidR="00E4078A">
        <w:t xml:space="preserve">  at Sparepro’s </w:t>
      </w:r>
      <w:r w:rsidR="00B22C84">
        <w:t xml:space="preserve">premises it discovered that the </w:t>
      </w:r>
      <w:r w:rsidR="001906D4">
        <w:t xml:space="preserve">products had been moved </w:t>
      </w:r>
      <w:r w:rsidR="00E4078A">
        <w:t>in contravention of t</w:t>
      </w:r>
      <w:r w:rsidR="00B22C84">
        <w:t>he s15(1) Directive</w:t>
      </w:r>
      <w:r w:rsidR="001906D4">
        <w:t>s</w:t>
      </w:r>
      <w:r w:rsidR="00B22C84">
        <w:t>;</w:t>
      </w:r>
    </w:p>
    <w:p w14:paraId="3654DAA3" w14:textId="2CF66250" w:rsidR="00E4078A" w:rsidRDefault="00292ABE" w:rsidP="00292ABE">
      <w:pPr>
        <w:tabs>
          <w:tab w:val="left" w:pos="1418"/>
        </w:tabs>
        <w:spacing w:line="480" w:lineRule="auto"/>
        <w:ind w:left="1418" w:hanging="709"/>
        <w:jc w:val="both"/>
      </w:pPr>
      <w:r>
        <w:t>c)</w:t>
      </w:r>
      <w:r>
        <w:tab/>
      </w:r>
      <w:r w:rsidR="00E4078A">
        <w:t>Sparepro employees refused to co-operate with the Regulator’s Inspectors at an inspection conducted at</w:t>
      </w:r>
      <w:r w:rsidR="00A460B6">
        <w:t xml:space="preserve"> its warehouse on 29 April 2022;</w:t>
      </w:r>
    </w:p>
    <w:p w14:paraId="71D1BFD7" w14:textId="02375F02" w:rsidR="00E4078A" w:rsidRDefault="00292ABE" w:rsidP="00292ABE">
      <w:pPr>
        <w:tabs>
          <w:tab w:val="left" w:pos="1418"/>
        </w:tabs>
        <w:spacing w:line="480" w:lineRule="auto"/>
        <w:ind w:left="1418" w:hanging="709"/>
        <w:jc w:val="both"/>
      </w:pPr>
      <w:r>
        <w:lastRenderedPageBreak/>
        <w:t>d)</w:t>
      </w:r>
      <w:r>
        <w:tab/>
      </w:r>
      <w:r w:rsidR="00E4078A">
        <w:t xml:space="preserve">through its new attorney, Sparepro reneged </w:t>
      </w:r>
      <w:r w:rsidR="005D0CF9">
        <w:t>on or</w:t>
      </w:r>
      <w:r w:rsidR="00E4078A">
        <w:t xml:space="preserve"> repudiated the agreement reached during late 2021.</w:t>
      </w:r>
    </w:p>
    <w:p w14:paraId="6A8D1170" w14:textId="77777777" w:rsidR="00010FF3" w:rsidRDefault="00010FF3" w:rsidP="00010FF3">
      <w:pPr>
        <w:pStyle w:val="ListParagraph"/>
      </w:pPr>
    </w:p>
    <w:p w14:paraId="186AAC29" w14:textId="5AC47EBE" w:rsidR="00CD329A" w:rsidRDefault="00292ABE" w:rsidP="00292ABE">
      <w:pPr>
        <w:tabs>
          <w:tab w:val="left" w:pos="709"/>
        </w:tabs>
        <w:spacing w:line="480" w:lineRule="auto"/>
        <w:jc w:val="both"/>
      </w:pPr>
      <w:r>
        <w:t>29]</w:t>
      </w:r>
      <w:r>
        <w:tab/>
      </w:r>
      <w:r w:rsidR="0034424D">
        <w:t>During 2021</w:t>
      </w:r>
      <w:r w:rsidR="005B043E">
        <w:t xml:space="preserve"> Sparepro applied to the Regulator for the renew</w:t>
      </w:r>
      <w:r w:rsidR="00CD329A">
        <w:t>a</w:t>
      </w:r>
      <w:r w:rsidR="005B043E">
        <w:t>l of its letters of authority (LoA). T</w:t>
      </w:r>
      <w:r w:rsidR="00C66B9C">
        <w:t>he Regulator sent it an invoice on 31 January 2021 for the renewal fee</w:t>
      </w:r>
      <w:r w:rsidR="005B043E">
        <w:t xml:space="preserve"> which Sparepro then paid, but the Regulator refused to issue the new LoA ostensibly because of Sparepro’s non-compliance with its s15(3) Directive and </w:t>
      </w:r>
      <w:r w:rsidR="00CD329A">
        <w:t xml:space="preserve">its </w:t>
      </w:r>
      <w:r w:rsidR="005B043E">
        <w:t>failure to file a corrective action plan.</w:t>
      </w:r>
    </w:p>
    <w:p w14:paraId="24A6BB1A" w14:textId="77777777" w:rsidR="00CD329A" w:rsidRDefault="00CD329A" w:rsidP="00CD329A">
      <w:pPr>
        <w:tabs>
          <w:tab w:val="left" w:pos="1276"/>
        </w:tabs>
        <w:spacing w:after="0" w:line="480" w:lineRule="auto"/>
        <w:ind w:left="-22"/>
        <w:jc w:val="both"/>
      </w:pPr>
    </w:p>
    <w:p w14:paraId="028AB215" w14:textId="1EF74CFD" w:rsidR="00010FF3" w:rsidRPr="00CD329A" w:rsidRDefault="00CD329A" w:rsidP="00CD329A">
      <w:pPr>
        <w:rPr>
          <w:b/>
        </w:rPr>
      </w:pPr>
      <w:r w:rsidRPr="00CD329A">
        <w:rPr>
          <w:b/>
        </w:rPr>
        <w:t>THE REVIEW</w:t>
      </w:r>
    </w:p>
    <w:p w14:paraId="54DDD091" w14:textId="0BB606C5" w:rsidR="00010FF3" w:rsidRDefault="00292ABE" w:rsidP="00292ABE">
      <w:pPr>
        <w:tabs>
          <w:tab w:val="left" w:pos="1276"/>
        </w:tabs>
        <w:spacing w:line="480" w:lineRule="auto"/>
        <w:ind w:left="709" w:hanging="731"/>
        <w:jc w:val="both"/>
      </w:pPr>
      <w:r>
        <w:t>30]</w:t>
      </w:r>
      <w:r>
        <w:tab/>
      </w:r>
      <w:r w:rsidR="00482FCB">
        <w:t>The review grounds are based on the following:</w:t>
      </w:r>
    </w:p>
    <w:p w14:paraId="7FFB91CA" w14:textId="6FC80174" w:rsidR="00482FCB" w:rsidRDefault="00292ABE" w:rsidP="00292ABE">
      <w:pPr>
        <w:tabs>
          <w:tab w:val="left" w:pos="1276"/>
        </w:tabs>
        <w:spacing w:line="480" w:lineRule="auto"/>
        <w:ind w:left="1418" w:hanging="709"/>
        <w:jc w:val="both"/>
      </w:pPr>
      <w:r>
        <w:t>a)</w:t>
      </w:r>
      <w:r>
        <w:tab/>
      </w:r>
      <w:r w:rsidR="00482FCB">
        <w:t>that the s15(3) Directive was not authorised by the empowering provisions;</w:t>
      </w:r>
    </w:p>
    <w:p w14:paraId="53D0468A" w14:textId="5AE1FA7D" w:rsidR="00482FCB" w:rsidRDefault="00292ABE" w:rsidP="00292ABE">
      <w:pPr>
        <w:tabs>
          <w:tab w:val="left" w:pos="1276"/>
        </w:tabs>
        <w:spacing w:line="480" w:lineRule="auto"/>
        <w:ind w:left="1418" w:hanging="709"/>
        <w:jc w:val="both"/>
      </w:pPr>
      <w:r>
        <w:t>b)</w:t>
      </w:r>
      <w:r>
        <w:tab/>
      </w:r>
      <w:r w:rsidR="00482FCB">
        <w:t>that it was procedurally unfair;</w:t>
      </w:r>
    </w:p>
    <w:p w14:paraId="4B6E7FDC" w14:textId="6BFA185B" w:rsidR="00482FCB" w:rsidRDefault="00292ABE" w:rsidP="00292ABE">
      <w:pPr>
        <w:tabs>
          <w:tab w:val="left" w:pos="1276"/>
        </w:tabs>
        <w:spacing w:line="480" w:lineRule="auto"/>
        <w:ind w:left="1418" w:hanging="709"/>
        <w:jc w:val="both"/>
      </w:pPr>
      <w:r>
        <w:t>c)</w:t>
      </w:r>
      <w:r>
        <w:tab/>
      </w:r>
      <w:r w:rsidR="00482FCB">
        <w:t>that it was vitiated by bias or a reasonable perception thereof.</w:t>
      </w:r>
    </w:p>
    <w:p w14:paraId="183BDC2E" w14:textId="68DAE16C" w:rsidR="00010FF3" w:rsidRDefault="00010FF3" w:rsidP="009829A2"/>
    <w:p w14:paraId="3006EC10" w14:textId="67A62EB1" w:rsidR="009829A2" w:rsidRPr="009829A2" w:rsidRDefault="009829A2" w:rsidP="009829A2">
      <w:pPr>
        <w:rPr>
          <w:b/>
        </w:rPr>
      </w:pPr>
      <w:r w:rsidRPr="009829A2">
        <w:rPr>
          <w:b/>
        </w:rPr>
        <w:t>THE SECTION 15(3)</w:t>
      </w:r>
      <w:r w:rsidR="004D4034">
        <w:rPr>
          <w:b/>
        </w:rPr>
        <w:t xml:space="preserve"> DIRECTIVE</w:t>
      </w:r>
      <w:r w:rsidRPr="009829A2">
        <w:rPr>
          <w:b/>
        </w:rPr>
        <w:t xml:space="preserve"> IS NOT AUTHORISED</w:t>
      </w:r>
    </w:p>
    <w:p w14:paraId="146BD8F7" w14:textId="743710DC" w:rsidR="00010FF3" w:rsidRDefault="00292ABE" w:rsidP="00292ABE">
      <w:pPr>
        <w:tabs>
          <w:tab w:val="left" w:pos="709"/>
        </w:tabs>
        <w:spacing w:line="480" w:lineRule="auto"/>
        <w:jc w:val="both"/>
      </w:pPr>
      <w:r>
        <w:t>31]</w:t>
      </w:r>
      <w:r>
        <w:tab/>
      </w:r>
      <w:r w:rsidR="00BD4189">
        <w:t>T</w:t>
      </w:r>
      <w:r w:rsidR="009829A2">
        <w:t>he argument is grounded in the provisions of s15(1</w:t>
      </w:r>
      <w:r w:rsidR="00383D35">
        <w:t>) and</w:t>
      </w:r>
      <w:r w:rsidR="009829A2">
        <w:t xml:space="preserve"> s15(3) of the NRCS Act itself. These must be read in conjunction with the provisions of Regulation 7 issued under s36 of the NRCS Act</w:t>
      </w:r>
      <w:r w:rsidR="009829A2">
        <w:rPr>
          <w:rStyle w:val="FootnoteReference"/>
        </w:rPr>
        <w:footnoteReference w:id="16"/>
      </w:r>
      <w:r w:rsidR="00383D35">
        <w:t xml:space="preserve">. The relevant provisions are the following: </w:t>
      </w:r>
    </w:p>
    <w:p w14:paraId="1366AB79" w14:textId="0FA0C4F8" w:rsidR="005920BD" w:rsidRPr="00072ABD" w:rsidRDefault="00292ABE" w:rsidP="00292ABE">
      <w:pPr>
        <w:spacing w:line="480" w:lineRule="auto"/>
        <w:ind w:left="1418" w:hanging="698"/>
        <w:jc w:val="both"/>
      </w:pPr>
      <w:r w:rsidRPr="00072ABD">
        <w:rPr>
          <w:color w:val="000000"/>
        </w:rPr>
        <w:t>a)</w:t>
      </w:r>
      <w:r w:rsidRPr="00072ABD">
        <w:rPr>
          <w:color w:val="000000"/>
        </w:rPr>
        <w:tab/>
      </w:r>
      <w:r w:rsidR="005920BD" w:rsidRPr="00072ABD">
        <w:t>s15(1) states:</w:t>
      </w:r>
    </w:p>
    <w:p w14:paraId="34E78041" w14:textId="77765393" w:rsidR="00010FF3" w:rsidRPr="00072ABD" w:rsidRDefault="005920BD" w:rsidP="00072ABD">
      <w:pPr>
        <w:pStyle w:val="ListParagraph"/>
        <w:spacing w:line="480" w:lineRule="auto"/>
        <w:ind w:left="1418"/>
        <w:jc w:val="both"/>
        <w:rPr>
          <w:i/>
        </w:rPr>
      </w:pPr>
      <w:r w:rsidRPr="00072ABD">
        <w:rPr>
          <w:i/>
          <w:sz w:val="22"/>
          <w:shd w:val="clear" w:color="auto" w:fill="FFFFFF"/>
        </w:rPr>
        <w:t>“</w:t>
      </w:r>
      <w:r w:rsidR="00383D35" w:rsidRPr="00072ABD">
        <w:rPr>
          <w:i/>
          <w:sz w:val="22"/>
          <w:shd w:val="clear" w:color="auto" w:fill="FFFFFF"/>
        </w:rPr>
        <w:t xml:space="preserve">If the Chief Executive Officer on reasonable grounds suspects that a commodity or product, or a consignment or batch of a commodity or product, does not conform to or has not been manufactured in accordance with a compulsory specification that applies to it, the Chief Executive Officer may </w:t>
      </w:r>
      <w:r w:rsidR="00383D35" w:rsidRPr="00072ABD">
        <w:rPr>
          <w:i/>
          <w:sz w:val="22"/>
          <w:shd w:val="clear" w:color="auto" w:fill="FFFFFF"/>
        </w:rPr>
        <w:lastRenderedPageBreak/>
        <w:t>issue a directive to ensure that any person who is in possession or control of the commodity or product, consignment or batch, keeps it in his or her possession or under his or her control at or on any premises specified in the directive, and does not tamper with or dispose of it, until the directive is withdrawn by the Chief Executive Officer in writing.</w:t>
      </w:r>
      <w:r w:rsidRPr="00072ABD">
        <w:rPr>
          <w:i/>
          <w:sz w:val="22"/>
          <w:shd w:val="clear" w:color="auto" w:fill="FFFFFF"/>
        </w:rPr>
        <w:t>”</w:t>
      </w:r>
    </w:p>
    <w:p w14:paraId="13778200" w14:textId="3C2F8606" w:rsidR="005920BD" w:rsidRPr="00072ABD" w:rsidRDefault="00292ABE" w:rsidP="00292ABE">
      <w:pPr>
        <w:pStyle w:val="lg-para3"/>
        <w:shd w:val="clear" w:color="auto" w:fill="FFFFFF"/>
        <w:spacing w:before="120" w:beforeAutospacing="0" w:after="0" w:afterAutospacing="0" w:line="480" w:lineRule="auto"/>
        <w:ind w:left="1418" w:hanging="709"/>
        <w:jc w:val="both"/>
        <w:rPr>
          <w:rFonts w:ascii="Arial" w:hAnsi="Arial" w:cs="Arial"/>
        </w:rPr>
      </w:pPr>
      <w:r w:rsidRPr="00072ABD">
        <w:rPr>
          <w:rFonts w:ascii="Arial" w:hAnsi="Arial" w:cs="Arial"/>
          <w:color w:val="000000"/>
        </w:rPr>
        <w:t>b)</w:t>
      </w:r>
      <w:r w:rsidRPr="00072ABD">
        <w:rPr>
          <w:rFonts w:ascii="Arial" w:hAnsi="Arial" w:cs="Arial"/>
          <w:color w:val="000000"/>
        </w:rPr>
        <w:tab/>
      </w:r>
      <w:r w:rsidR="005920BD" w:rsidRPr="00072ABD">
        <w:rPr>
          <w:rFonts w:ascii="Arial" w:hAnsi="Arial" w:cs="Arial"/>
        </w:rPr>
        <w:t>S15(3) states:</w:t>
      </w:r>
    </w:p>
    <w:p w14:paraId="2DACA985" w14:textId="4BA90C60" w:rsidR="005920BD" w:rsidRPr="00072ABD" w:rsidRDefault="00072ABD" w:rsidP="00072ABD">
      <w:pPr>
        <w:pStyle w:val="lg-para3"/>
        <w:shd w:val="clear" w:color="auto" w:fill="FFFFFF"/>
        <w:spacing w:before="120" w:beforeAutospacing="0" w:after="0" w:afterAutospacing="0" w:line="480" w:lineRule="auto"/>
        <w:ind w:left="1418"/>
        <w:jc w:val="both"/>
        <w:rPr>
          <w:rFonts w:ascii="Arial" w:hAnsi="Arial" w:cs="Arial"/>
          <w:i/>
          <w:sz w:val="22"/>
          <w:szCs w:val="22"/>
        </w:rPr>
      </w:pPr>
      <w:r w:rsidRPr="00072ABD">
        <w:rPr>
          <w:rFonts w:ascii="Arial" w:hAnsi="Arial" w:cs="Arial"/>
          <w:i/>
          <w:sz w:val="22"/>
          <w:szCs w:val="22"/>
        </w:rPr>
        <w:t>“</w:t>
      </w:r>
      <w:r w:rsidR="005920BD" w:rsidRPr="00072ABD">
        <w:rPr>
          <w:rFonts w:ascii="Arial" w:hAnsi="Arial" w:cs="Arial"/>
          <w:i/>
          <w:sz w:val="22"/>
          <w:szCs w:val="22"/>
        </w:rPr>
        <w:t>If the National Regulator finds that a commodity or product referred to in subsection (1) does not conform to the compulsory specification concerned, the National Regulator may</w:t>
      </w:r>
    </w:p>
    <w:p w14:paraId="3A138EBF" w14:textId="2D85330B" w:rsidR="005920BD" w:rsidRPr="00072ABD" w:rsidRDefault="005920BD" w:rsidP="00072ABD">
      <w:pPr>
        <w:pStyle w:val="lg-para3"/>
        <w:shd w:val="clear" w:color="auto" w:fill="FFFFFF"/>
        <w:spacing w:before="120" w:beforeAutospacing="0" w:after="0" w:afterAutospacing="0" w:line="480" w:lineRule="auto"/>
        <w:ind w:left="1080" w:firstLine="338"/>
        <w:jc w:val="both"/>
        <w:rPr>
          <w:rFonts w:ascii="Arial" w:hAnsi="Arial" w:cs="Arial"/>
          <w:i/>
          <w:sz w:val="22"/>
          <w:szCs w:val="22"/>
        </w:rPr>
      </w:pPr>
      <w:r w:rsidRPr="00072ABD">
        <w:rPr>
          <w:rFonts w:ascii="Arial" w:hAnsi="Arial" w:cs="Arial"/>
          <w:i/>
          <w:sz w:val="22"/>
          <w:szCs w:val="22"/>
        </w:rPr>
        <w:t>(</w:t>
      </w:r>
      <w:r w:rsidRPr="00072ABD">
        <w:rPr>
          <w:rFonts w:ascii="Arial" w:hAnsi="Arial" w:cs="Arial"/>
          <w:i/>
          <w:iCs/>
          <w:sz w:val="22"/>
          <w:szCs w:val="22"/>
        </w:rPr>
        <w:t>a</w:t>
      </w:r>
      <w:r w:rsidRPr="00072ABD">
        <w:rPr>
          <w:rFonts w:ascii="Arial" w:hAnsi="Arial" w:cs="Arial"/>
          <w:i/>
          <w:sz w:val="22"/>
          <w:szCs w:val="22"/>
        </w:rPr>
        <w:t>)</w:t>
      </w:r>
      <w:r w:rsidR="00BC62E2">
        <w:rPr>
          <w:rFonts w:ascii="Arial" w:hAnsi="Arial" w:cs="Arial"/>
          <w:i/>
          <w:sz w:val="22"/>
          <w:szCs w:val="22"/>
        </w:rPr>
        <w:tab/>
      </w:r>
      <w:r w:rsidRPr="00072ABD">
        <w:rPr>
          <w:rFonts w:ascii="Arial" w:hAnsi="Arial" w:cs="Arial"/>
          <w:i/>
          <w:sz w:val="22"/>
          <w:szCs w:val="22"/>
        </w:rPr>
        <w:t>take action to ensure the recall of a commodity or product;</w:t>
      </w:r>
    </w:p>
    <w:p w14:paraId="1B05447D" w14:textId="399FA540" w:rsidR="005920BD" w:rsidRPr="00072ABD" w:rsidRDefault="005920BD" w:rsidP="00BC62E2">
      <w:pPr>
        <w:pStyle w:val="lg-a-1"/>
        <w:shd w:val="clear" w:color="auto" w:fill="FFFFFF"/>
        <w:spacing w:before="180" w:beforeAutospacing="0" w:after="0" w:afterAutospacing="0" w:line="480" w:lineRule="auto"/>
        <w:ind w:left="2160" w:hanging="742"/>
        <w:jc w:val="both"/>
        <w:rPr>
          <w:rFonts w:ascii="Arial" w:hAnsi="Arial" w:cs="Arial"/>
          <w:i/>
          <w:sz w:val="22"/>
          <w:szCs w:val="22"/>
        </w:rPr>
      </w:pPr>
      <w:r w:rsidRPr="00072ABD">
        <w:rPr>
          <w:rFonts w:ascii="Arial" w:hAnsi="Arial" w:cs="Arial"/>
          <w:i/>
          <w:sz w:val="22"/>
          <w:szCs w:val="22"/>
        </w:rPr>
        <w:t>(</w:t>
      </w:r>
      <w:r w:rsidRPr="00072ABD">
        <w:rPr>
          <w:rFonts w:ascii="Arial" w:hAnsi="Arial" w:cs="Arial"/>
          <w:i/>
          <w:iCs/>
          <w:sz w:val="22"/>
          <w:szCs w:val="22"/>
        </w:rPr>
        <w:t>b</w:t>
      </w:r>
      <w:r w:rsidRPr="00072ABD">
        <w:rPr>
          <w:rFonts w:ascii="Arial" w:hAnsi="Arial" w:cs="Arial"/>
          <w:i/>
          <w:sz w:val="22"/>
          <w:szCs w:val="22"/>
        </w:rPr>
        <w:t>)</w:t>
      </w:r>
      <w:r w:rsidR="00BC62E2">
        <w:rPr>
          <w:rFonts w:ascii="Arial" w:hAnsi="Arial" w:cs="Arial"/>
          <w:i/>
          <w:sz w:val="22"/>
          <w:szCs w:val="22"/>
        </w:rPr>
        <w:tab/>
      </w:r>
      <w:r w:rsidR="00A23E9E">
        <w:rPr>
          <w:rFonts w:ascii="Arial" w:hAnsi="Arial" w:cs="Arial"/>
          <w:i/>
          <w:sz w:val="22"/>
          <w:szCs w:val="22"/>
        </w:rPr>
        <w:t xml:space="preserve">direct </w:t>
      </w:r>
      <w:r w:rsidRPr="00072ABD">
        <w:rPr>
          <w:rFonts w:ascii="Arial" w:hAnsi="Arial" w:cs="Arial"/>
          <w:i/>
          <w:sz w:val="22"/>
          <w:szCs w:val="22"/>
        </w:rPr>
        <w:t xml:space="preserve">in writing that the importer of the consignment returns it to its country of </w:t>
      </w:r>
      <w:r w:rsidR="00BC62E2" w:rsidRPr="00072ABD">
        <w:rPr>
          <w:rFonts w:ascii="Arial" w:hAnsi="Arial" w:cs="Arial"/>
          <w:i/>
          <w:sz w:val="22"/>
          <w:szCs w:val="22"/>
        </w:rPr>
        <w:t>origin; or</w:t>
      </w:r>
    </w:p>
    <w:p w14:paraId="779D209D" w14:textId="49321A2A" w:rsidR="005920BD" w:rsidRPr="00072ABD" w:rsidRDefault="005920BD" w:rsidP="00BC62E2">
      <w:pPr>
        <w:pStyle w:val="lg-a-1"/>
        <w:shd w:val="clear" w:color="auto" w:fill="FFFFFF"/>
        <w:spacing w:before="180" w:beforeAutospacing="0" w:after="0" w:afterAutospacing="0" w:line="480" w:lineRule="auto"/>
        <w:ind w:left="2160" w:hanging="742"/>
        <w:jc w:val="both"/>
        <w:rPr>
          <w:rFonts w:ascii="Arial" w:hAnsi="Arial" w:cs="Arial"/>
          <w:i/>
          <w:sz w:val="22"/>
          <w:szCs w:val="22"/>
        </w:rPr>
      </w:pPr>
      <w:r w:rsidRPr="00072ABD">
        <w:rPr>
          <w:rFonts w:ascii="Arial" w:hAnsi="Arial" w:cs="Arial"/>
          <w:i/>
          <w:sz w:val="22"/>
          <w:szCs w:val="22"/>
        </w:rPr>
        <w:t>(</w:t>
      </w:r>
      <w:r w:rsidRPr="00072ABD">
        <w:rPr>
          <w:rFonts w:ascii="Arial" w:hAnsi="Arial" w:cs="Arial"/>
          <w:i/>
          <w:iCs/>
          <w:sz w:val="22"/>
          <w:szCs w:val="22"/>
        </w:rPr>
        <w:t>c</w:t>
      </w:r>
      <w:r w:rsidRPr="00072ABD">
        <w:rPr>
          <w:rFonts w:ascii="Arial" w:hAnsi="Arial" w:cs="Arial"/>
          <w:i/>
          <w:sz w:val="22"/>
          <w:szCs w:val="22"/>
        </w:rPr>
        <w:t>)</w:t>
      </w:r>
      <w:r w:rsidR="00BC62E2">
        <w:rPr>
          <w:rFonts w:ascii="Arial" w:hAnsi="Arial" w:cs="Arial"/>
          <w:i/>
          <w:sz w:val="22"/>
          <w:szCs w:val="22"/>
        </w:rPr>
        <w:tab/>
      </w:r>
      <w:r w:rsidRPr="00072ABD">
        <w:rPr>
          <w:rFonts w:ascii="Arial" w:hAnsi="Arial" w:cs="Arial"/>
          <w:i/>
          <w:sz w:val="22"/>
          <w:szCs w:val="22"/>
        </w:rPr>
        <w:t>direct in writing that the consignment or batch of the article concerned be confiscated, destroyed or dealt with in such other manner as the National Regulator may consider fit.</w:t>
      </w:r>
      <w:r w:rsidR="00072ABD" w:rsidRPr="00072ABD">
        <w:rPr>
          <w:rFonts w:ascii="Arial" w:hAnsi="Arial" w:cs="Arial"/>
          <w:i/>
          <w:sz w:val="22"/>
          <w:szCs w:val="22"/>
        </w:rPr>
        <w:t>”</w:t>
      </w:r>
    </w:p>
    <w:p w14:paraId="57E82F38" w14:textId="1AC0A33C" w:rsidR="005920BD" w:rsidRDefault="005920BD" w:rsidP="00072ABD">
      <w:pPr>
        <w:pStyle w:val="lg-a-1"/>
        <w:shd w:val="clear" w:color="auto" w:fill="FFFFFF"/>
        <w:spacing w:before="180" w:beforeAutospacing="0" w:after="0" w:afterAutospacing="0" w:line="480" w:lineRule="auto"/>
        <w:ind w:left="1418" w:hanging="709"/>
        <w:jc w:val="both"/>
        <w:rPr>
          <w:rFonts w:ascii="Arial" w:hAnsi="Arial" w:cs="Arial"/>
        </w:rPr>
      </w:pPr>
      <w:r w:rsidRPr="0066289F">
        <w:rPr>
          <w:rFonts w:ascii="Arial" w:hAnsi="Arial" w:cs="Arial"/>
        </w:rPr>
        <w:t xml:space="preserve">c) </w:t>
      </w:r>
      <w:r w:rsidR="00072ABD" w:rsidRPr="0066289F">
        <w:rPr>
          <w:rFonts w:ascii="Arial" w:hAnsi="Arial" w:cs="Arial"/>
        </w:rPr>
        <w:tab/>
      </w:r>
      <w:r w:rsidR="00BD4189" w:rsidRPr="0066289F">
        <w:rPr>
          <w:rFonts w:ascii="Arial" w:hAnsi="Arial" w:cs="Arial"/>
        </w:rPr>
        <w:t>Regulation 7 s</w:t>
      </w:r>
      <w:r w:rsidRPr="0066289F">
        <w:rPr>
          <w:rFonts w:ascii="Arial" w:hAnsi="Arial" w:cs="Arial"/>
        </w:rPr>
        <w:t>tates:</w:t>
      </w:r>
    </w:p>
    <w:p w14:paraId="6BAE9334" w14:textId="7001414E" w:rsidR="00EB6516" w:rsidRDefault="00EB6516" w:rsidP="00EB6516">
      <w:pPr>
        <w:pStyle w:val="lg-a-1"/>
        <w:shd w:val="clear" w:color="auto" w:fill="FFFFFF"/>
        <w:spacing w:before="0" w:beforeAutospacing="0" w:after="0" w:afterAutospacing="0" w:line="480" w:lineRule="auto"/>
        <w:ind w:left="1418"/>
        <w:jc w:val="both"/>
        <w:rPr>
          <w:rFonts w:ascii="Arial" w:hAnsi="Arial" w:cs="Arial"/>
          <w:i/>
          <w:sz w:val="22"/>
          <w:szCs w:val="22"/>
        </w:rPr>
      </w:pPr>
      <w:r w:rsidRPr="00EB6516">
        <w:rPr>
          <w:rFonts w:ascii="Arial" w:hAnsi="Arial" w:cs="Arial"/>
          <w:i/>
          <w:sz w:val="22"/>
          <w:szCs w:val="22"/>
        </w:rPr>
        <w:t>7. (1)(a) A directive issued by the CEO in terms of section 15(1) of the Act, shall be withdrawn in writing by the CEO if no steps have been taken by the Board in terms of sections 15(3) or 34(4) of the Act within 120 days from the date of issue of the directive by the CEO.</w:t>
      </w:r>
    </w:p>
    <w:p w14:paraId="7B33418C" w14:textId="77777777" w:rsidR="00EB6516" w:rsidRPr="00EB6516" w:rsidRDefault="00EB6516" w:rsidP="00EB6516">
      <w:pPr>
        <w:pStyle w:val="lg-a-1"/>
        <w:shd w:val="clear" w:color="auto" w:fill="FFFFFF"/>
        <w:spacing w:before="0" w:beforeAutospacing="0" w:after="0" w:afterAutospacing="0" w:line="480" w:lineRule="auto"/>
        <w:ind w:left="1418"/>
        <w:jc w:val="both"/>
        <w:rPr>
          <w:rFonts w:ascii="Arial" w:hAnsi="Arial" w:cs="Arial"/>
          <w:i/>
          <w:sz w:val="22"/>
          <w:szCs w:val="22"/>
        </w:rPr>
      </w:pPr>
    </w:p>
    <w:p w14:paraId="4E4DD2CC" w14:textId="7AA8E393" w:rsidR="00010FF3" w:rsidRPr="00095503" w:rsidRDefault="00292ABE" w:rsidP="00292ABE">
      <w:pPr>
        <w:tabs>
          <w:tab w:val="left" w:pos="709"/>
        </w:tabs>
        <w:spacing w:line="480" w:lineRule="auto"/>
        <w:ind w:hanging="22"/>
        <w:jc w:val="both"/>
      </w:pPr>
      <w:r w:rsidRPr="00095503">
        <w:t>32]</w:t>
      </w:r>
      <w:r w:rsidRPr="00095503">
        <w:tab/>
      </w:r>
      <w:r w:rsidR="006A10EC" w:rsidRPr="00095503">
        <w:t xml:space="preserve">Thus, </w:t>
      </w:r>
      <w:r w:rsidR="0066289F">
        <w:t>a</w:t>
      </w:r>
      <w:r w:rsidR="006A10EC" w:rsidRPr="00095503">
        <w:t xml:space="preserve"> s15(1) Directive rests on a suspicion </w:t>
      </w:r>
      <w:r w:rsidR="0066289F">
        <w:t>“</w:t>
      </w:r>
      <w:r w:rsidR="006A10EC" w:rsidRPr="00292ABE">
        <w:rPr>
          <w:i/>
        </w:rPr>
        <w:t>on reasonable grounds</w:t>
      </w:r>
      <w:r w:rsidR="0066289F">
        <w:t>”</w:t>
      </w:r>
      <w:r w:rsidR="006A10EC" w:rsidRPr="00095503">
        <w:t xml:space="preserve"> that the product to which it relates does not comply with the specifications that apply to it.</w:t>
      </w:r>
    </w:p>
    <w:p w14:paraId="507784AE" w14:textId="77777777" w:rsidR="00010FF3" w:rsidRPr="00095503" w:rsidRDefault="00010FF3" w:rsidP="00095503">
      <w:pPr>
        <w:pStyle w:val="ListParagraph"/>
        <w:spacing w:line="480" w:lineRule="auto"/>
        <w:jc w:val="both"/>
      </w:pPr>
    </w:p>
    <w:p w14:paraId="5F0F269D" w14:textId="39776CBA" w:rsidR="00010FF3" w:rsidRPr="00095503" w:rsidRDefault="00292ABE" w:rsidP="00292ABE">
      <w:pPr>
        <w:tabs>
          <w:tab w:val="left" w:pos="709"/>
        </w:tabs>
        <w:spacing w:line="480" w:lineRule="auto"/>
        <w:ind w:hanging="22"/>
        <w:jc w:val="both"/>
      </w:pPr>
      <w:r w:rsidRPr="00095503">
        <w:lastRenderedPageBreak/>
        <w:t>33]</w:t>
      </w:r>
      <w:r w:rsidRPr="00095503">
        <w:tab/>
      </w:r>
      <w:r w:rsidR="006A10EC" w:rsidRPr="00095503">
        <w:t>From this point on, and in accordance with Regulation 7, the Regulator has 120 days within which to issue a s15(3) Directive.</w:t>
      </w:r>
      <w:r w:rsidR="0006634F">
        <w:t xml:space="preserve"> If i</w:t>
      </w:r>
      <w:r w:rsidR="00D05949" w:rsidRPr="00095503">
        <w:t>t fails to act within this period, the s15(1) Directive “</w:t>
      </w:r>
      <w:r w:rsidR="00D05949" w:rsidRPr="00292ABE">
        <w:rPr>
          <w:u w:val="single"/>
        </w:rPr>
        <w:t>shall be</w:t>
      </w:r>
      <w:r w:rsidR="00D05949" w:rsidRPr="00095503">
        <w:rPr>
          <w:rStyle w:val="FootnoteReference"/>
        </w:rPr>
        <w:footnoteReference w:id="17"/>
      </w:r>
      <w:r w:rsidR="00D05949" w:rsidRPr="00095503">
        <w:t xml:space="preserve"> withdrawn in writing by the CEO”. The reason for this</w:t>
      </w:r>
      <w:r w:rsidR="00B46858">
        <w:t xml:space="preserve"> is</w:t>
      </w:r>
      <w:r w:rsidR="00D05949" w:rsidRPr="00095503">
        <w:t xml:space="preserve"> clear: a s15(1) Directive affects the business and standing of the entity or person – it relates to a recall of the product which has fin</w:t>
      </w:r>
      <w:r w:rsidR="0006634F">
        <w:t>ancial</w:t>
      </w:r>
      <w:r w:rsidR="00D05949" w:rsidRPr="00095503">
        <w:t xml:space="preserve"> implications and insofar it is directed to a customer of th</w:t>
      </w:r>
      <w:r w:rsidR="0006634F">
        <w:t>at</w:t>
      </w:r>
      <w:r w:rsidR="00D05949" w:rsidRPr="00095503">
        <w:t xml:space="preserve"> person/entity</w:t>
      </w:r>
      <w:r w:rsidR="0006634F">
        <w:t>,</w:t>
      </w:r>
      <w:r w:rsidR="00D05949" w:rsidRPr="00095503">
        <w:t xml:space="preserve"> it affects its business and business reputation in that industry.</w:t>
      </w:r>
      <w:r w:rsidR="0006634F">
        <w:t xml:space="preserve"> Thus, any compliance issue must be dealt with expeditiously. </w:t>
      </w:r>
    </w:p>
    <w:p w14:paraId="79021FC2" w14:textId="77777777" w:rsidR="00010FF3" w:rsidRPr="00095503" w:rsidRDefault="00010FF3" w:rsidP="00095503">
      <w:pPr>
        <w:pStyle w:val="ListParagraph"/>
        <w:spacing w:line="480" w:lineRule="auto"/>
        <w:jc w:val="both"/>
      </w:pPr>
    </w:p>
    <w:p w14:paraId="38A308BB" w14:textId="4305BCA0" w:rsidR="00010FF3" w:rsidRDefault="00292ABE" w:rsidP="00292ABE">
      <w:pPr>
        <w:spacing w:line="480" w:lineRule="auto"/>
        <w:jc w:val="both"/>
      </w:pPr>
      <w:r>
        <w:t>34]</w:t>
      </w:r>
      <w:r>
        <w:tab/>
      </w:r>
      <w:r w:rsidR="00D05949" w:rsidRPr="00095503">
        <w:t>It is common cause that the s15(1) Directives were issued on 7 September 2021</w:t>
      </w:r>
      <w:r w:rsidR="00D05949" w:rsidRPr="00095503">
        <w:rPr>
          <w:rStyle w:val="FootnoteReference"/>
        </w:rPr>
        <w:footnoteReference w:id="18"/>
      </w:r>
      <w:r w:rsidR="00D05949" w:rsidRPr="00095503">
        <w:t xml:space="preserve"> and 17 September 2021</w:t>
      </w:r>
      <w:r w:rsidR="00D05949" w:rsidRPr="00095503">
        <w:rPr>
          <w:rStyle w:val="FootnoteReference"/>
        </w:rPr>
        <w:footnoteReference w:id="19"/>
      </w:r>
      <w:r w:rsidR="00ED7C23">
        <w:t>. Thu</w:t>
      </w:r>
      <w:r w:rsidR="00D05949" w:rsidRPr="00095503">
        <w:t xml:space="preserve">s, in relation </w:t>
      </w:r>
      <w:r w:rsidR="000532DE" w:rsidRPr="00095503">
        <w:t xml:space="preserve">of </w:t>
      </w:r>
      <w:r w:rsidR="00D05949" w:rsidRPr="00095503">
        <w:t xml:space="preserve">Directive </w:t>
      </w:r>
      <w:r w:rsidR="000532DE" w:rsidRPr="00095503">
        <w:t>No</w:t>
      </w:r>
      <w:r w:rsidR="00297DF0">
        <w:t xml:space="preserve"> ADD</w:t>
      </w:r>
      <w:r w:rsidR="000532DE" w:rsidRPr="00095503">
        <w:t xml:space="preserve"> 41220, a s15(3) Directive had to </w:t>
      </w:r>
      <w:r w:rsidR="005A5BE8">
        <w:t xml:space="preserve">be issued on or </w:t>
      </w:r>
      <w:r w:rsidR="000532DE" w:rsidRPr="00095503">
        <w:t>before 7 January 2022; and in re</w:t>
      </w:r>
      <w:r w:rsidR="00ED7C23">
        <w:t xml:space="preserve">lation of Directive No </w:t>
      </w:r>
      <w:r w:rsidR="00297DF0">
        <w:t xml:space="preserve">ADD </w:t>
      </w:r>
      <w:r w:rsidR="00ED7C23">
        <w:t xml:space="preserve">41226 on or </w:t>
      </w:r>
      <w:r w:rsidR="000532DE" w:rsidRPr="00095503">
        <w:t>before 17 January 2022. It is common cause too, that the s15(3) Directive</w:t>
      </w:r>
      <w:r w:rsidR="009466EC">
        <w:t xml:space="preserve"> was </w:t>
      </w:r>
      <w:r w:rsidR="000532DE" w:rsidRPr="00095503">
        <w:t>issued on 8 June 2022 ie 5 months after the 120 days period ha</w:t>
      </w:r>
      <w:r w:rsidR="00297DF0">
        <w:t>d</w:t>
      </w:r>
      <w:r w:rsidR="000532DE" w:rsidRPr="00095503">
        <w:t xml:space="preserve"> passed.</w:t>
      </w:r>
    </w:p>
    <w:p w14:paraId="40D83C5F" w14:textId="77777777" w:rsidR="00EF221A" w:rsidRDefault="00EF221A" w:rsidP="00EF221A">
      <w:pPr>
        <w:pStyle w:val="ListParagraph"/>
      </w:pPr>
    </w:p>
    <w:p w14:paraId="4A35FAAB" w14:textId="77777777" w:rsidR="00EF221A" w:rsidRPr="00095503" w:rsidRDefault="00EF221A" w:rsidP="00EF221A">
      <w:pPr>
        <w:pStyle w:val="ListParagraph"/>
        <w:spacing w:after="0" w:line="360" w:lineRule="auto"/>
        <w:ind w:left="0"/>
        <w:jc w:val="both"/>
      </w:pPr>
    </w:p>
    <w:p w14:paraId="496FB68E" w14:textId="1A1E2D28" w:rsidR="00010FF3" w:rsidRPr="00095503" w:rsidRDefault="00292ABE" w:rsidP="00292ABE">
      <w:pPr>
        <w:tabs>
          <w:tab w:val="left" w:pos="709"/>
        </w:tabs>
        <w:spacing w:line="480" w:lineRule="auto"/>
        <w:ind w:hanging="22"/>
        <w:jc w:val="both"/>
      </w:pPr>
      <w:r w:rsidRPr="00095503">
        <w:t>35]</w:t>
      </w:r>
      <w:r w:rsidRPr="00095503">
        <w:tab/>
      </w:r>
      <w:r w:rsidR="00095503" w:rsidRPr="00095503">
        <w:t xml:space="preserve">Mr Ngcongo argued that this was permissible given the </w:t>
      </w:r>
      <w:r w:rsidR="00ED7C23">
        <w:t>fact that the parties had been in discussion</w:t>
      </w:r>
      <w:r w:rsidR="00095503" w:rsidRPr="00095503">
        <w:t xml:space="preserve"> since September 2021 - but this argument ignores 2 facts:</w:t>
      </w:r>
    </w:p>
    <w:p w14:paraId="5DB05228" w14:textId="077484B7" w:rsidR="00010FF3" w:rsidRDefault="00292ABE" w:rsidP="00292ABE">
      <w:pPr>
        <w:spacing w:line="480" w:lineRule="auto"/>
        <w:ind w:left="1418" w:hanging="698"/>
        <w:jc w:val="both"/>
      </w:pPr>
      <w:r>
        <w:t>a)</w:t>
      </w:r>
      <w:r>
        <w:tab/>
      </w:r>
      <w:r w:rsidR="00ED7C23">
        <w:t>t</w:t>
      </w:r>
      <w:r w:rsidR="00095503" w:rsidRPr="00095503">
        <w:t xml:space="preserve">hat the </w:t>
      </w:r>
      <w:r w:rsidR="00ED7C23">
        <w:t xml:space="preserve">NRCS </w:t>
      </w:r>
      <w:r w:rsidR="00095503" w:rsidRPr="00095503">
        <w:t xml:space="preserve">Act and </w:t>
      </w:r>
      <w:r w:rsidR="00ED7C23" w:rsidRPr="00095503">
        <w:t>Reg</w:t>
      </w:r>
      <w:r w:rsidR="00ED7C23">
        <w:t>ulation</w:t>
      </w:r>
      <w:r w:rsidR="00ED7C23" w:rsidRPr="00095503">
        <w:t>s</w:t>
      </w:r>
      <w:r w:rsidR="00095503" w:rsidRPr="00095503">
        <w:t xml:space="preserve"> do not give the Regulator any discretion to extend the time period set out therein – in my view the reason is obvious: it is to minimise the prejudice caused to a party in</w:t>
      </w:r>
      <w:r w:rsidR="009F535F">
        <w:t xml:space="preserve"> Sparepro’s position and prevent compliance issues from being dragged out endlessly;</w:t>
      </w:r>
    </w:p>
    <w:p w14:paraId="441B615C" w14:textId="6C3E2A17" w:rsidR="00095503" w:rsidRDefault="00292ABE" w:rsidP="00292ABE">
      <w:pPr>
        <w:spacing w:line="480" w:lineRule="auto"/>
        <w:ind w:left="1418" w:hanging="698"/>
        <w:jc w:val="both"/>
      </w:pPr>
      <w:r>
        <w:lastRenderedPageBreak/>
        <w:t>b)</w:t>
      </w:r>
      <w:r>
        <w:tab/>
      </w:r>
      <w:r w:rsidR="00ED7C23">
        <w:t>n</w:t>
      </w:r>
      <w:r w:rsidR="00095503">
        <w:t xml:space="preserve">o correspondence was placed before the court demonstrating that the parties had agreed to hold over any s15(3) Directive pending </w:t>
      </w:r>
      <w:r w:rsidR="00ED7C23">
        <w:t>the finalisation of their discussion</w:t>
      </w:r>
      <w:r w:rsidR="009F535F">
        <w:t>s</w:t>
      </w:r>
      <w:r w:rsidR="00ED7C23">
        <w:t>.</w:t>
      </w:r>
    </w:p>
    <w:p w14:paraId="18EE93C6" w14:textId="77777777" w:rsidR="00E21C91" w:rsidRPr="00095503" w:rsidRDefault="00E21C91" w:rsidP="00E21C91">
      <w:pPr>
        <w:pStyle w:val="ListParagraph"/>
        <w:spacing w:after="0" w:line="480" w:lineRule="auto"/>
        <w:ind w:left="1418"/>
        <w:jc w:val="both"/>
      </w:pPr>
    </w:p>
    <w:p w14:paraId="42A57A96" w14:textId="25F67173" w:rsidR="00010FF3" w:rsidRPr="00095503" w:rsidRDefault="00292ABE" w:rsidP="00292ABE">
      <w:pPr>
        <w:tabs>
          <w:tab w:val="left" w:pos="1276"/>
        </w:tabs>
        <w:spacing w:line="480" w:lineRule="auto"/>
        <w:ind w:left="709" w:hanging="731"/>
        <w:jc w:val="both"/>
      </w:pPr>
      <w:r w:rsidRPr="00095503">
        <w:t>36]</w:t>
      </w:r>
      <w:r w:rsidRPr="00095503">
        <w:tab/>
      </w:r>
      <w:r w:rsidR="00E21C91">
        <w:t>Thus the Regulator ac</w:t>
      </w:r>
      <w:r w:rsidR="009F535F">
        <w:t xml:space="preserve">ted ultra vires in issuing the </w:t>
      </w:r>
      <w:r w:rsidR="000A0220">
        <w:t>s15(3) Directive</w:t>
      </w:r>
      <w:r w:rsidR="00E21C91">
        <w:t>.</w:t>
      </w:r>
    </w:p>
    <w:p w14:paraId="63C847BB" w14:textId="77777777" w:rsidR="00010FF3" w:rsidRPr="00095503" w:rsidRDefault="00010FF3" w:rsidP="00E21C91">
      <w:pPr>
        <w:pStyle w:val="ListParagraph"/>
        <w:spacing w:line="480" w:lineRule="auto"/>
        <w:jc w:val="both"/>
      </w:pPr>
    </w:p>
    <w:p w14:paraId="54E02B02" w14:textId="06D13064" w:rsidR="00010FF3" w:rsidRPr="00095503" w:rsidRDefault="00292ABE" w:rsidP="00292ABE">
      <w:pPr>
        <w:tabs>
          <w:tab w:val="left" w:pos="709"/>
        </w:tabs>
        <w:spacing w:line="480" w:lineRule="auto"/>
        <w:jc w:val="both"/>
      </w:pPr>
      <w:r w:rsidRPr="00095503">
        <w:t>37]</w:t>
      </w:r>
      <w:r w:rsidRPr="00095503">
        <w:tab/>
      </w:r>
      <w:r w:rsidR="00E21C91">
        <w:t>Furthermore, s15(4) requires the NRCS to inform the M</w:t>
      </w:r>
      <w:r w:rsidR="00ED7C23">
        <w:t>i</w:t>
      </w:r>
      <w:r w:rsidR="00E21C91">
        <w:t>n</w:t>
      </w:r>
      <w:r w:rsidR="00ED7C23">
        <w:t>i</w:t>
      </w:r>
      <w:r w:rsidR="00E21C91">
        <w:t>ster of Trade and Industry of the s15(3) Directive within 21 days – it failed to do so, and there is no indication on these papers that it com</w:t>
      </w:r>
      <w:r w:rsidR="005244E4">
        <w:t>plied with s15(4) at any stage, in fact the Regulator has conceded that it did not.</w:t>
      </w:r>
    </w:p>
    <w:p w14:paraId="1E8D6830" w14:textId="77777777" w:rsidR="00010FF3" w:rsidRPr="00095503" w:rsidRDefault="00010FF3" w:rsidP="00E21C91">
      <w:pPr>
        <w:pStyle w:val="ListParagraph"/>
        <w:spacing w:line="480" w:lineRule="auto"/>
        <w:jc w:val="both"/>
      </w:pPr>
    </w:p>
    <w:p w14:paraId="79DD7373" w14:textId="5A57EC04" w:rsidR="00010FF3" w:rsidRDefault="00292ABE" w:rsidP="00292ABE">
      <w:pPr>
        <w:spacing w:after="0" w:line="480" w:lineRule="auto"/>
        <w:jc w:val="both"/>
      </w:pPr>
      <w:r>
        <w:t>38]</w:t>
      </w:r>
      <w:r>
        <w:tab/>
      </w:r>
      <w:r w:rsidR="002E37F7">
        <w:t>Neither party took issue with the fact that the decisio</w:t>
      </w:r>
      <w:r w:rsidR="000A0220">
        <w:t>n to issue the s15(3) Directive</w:t>
      </w:r>
      <w:r w:rsidR="002E37F7">
        <w:t xml:space="preserve"> constitutes an ‘administrative action’ in terms of the Promotion of Administrative Justice Act 3 of 2000 (PAJA) and thus is capable of review under PAJA.</w:t>
      </w:r>
    </w:p>
    <w:p w14:paraId="7B282E79" w14:textId="3B2F4E7D" w:rsidR="002E37F7" w:rsidRPr="00095503" w:rsidRDefault="002E37F7" w:rsidP="002E37F7">
      <w:pPr>
        <w:tabs>
          <w:tab w:val="left" w:pos="1276"/>
        </w:tabs>
        <w:spacing w:after="0" w:line="480" w:lineRule="auto"/>
        <w:jc w:val="both"/>
      </w:pPr>
    </w:p>
    <w:p w14:paraId="36EE64E7" w14:textId="3B9DDC39" w:rsidR="00010FF3" w:rsidRDefault="00292ABE" w:rsidP="00292ABE">
      <w:pPr>
        <w:tabs>
          <w:tab w:val="left" w:pos="1276"/>
        </w:tabs>
        <w:spacing w:line="480" w:lineRule="auto"/>
        <w:ind w:left="709" w:hanging="731"/>
        <w:jc w:val="both"/>
      </w:pPr>
      <w:r>
        <w:t>39]</w:t>
      </w:r>
      <w:r>
        <w:tab/>
      </w:r>
      <w:r w:rsidR="002E37F7">
        <w:t xml:space="preserve">Section 6(2)(b) of PAJA provides: </w:t>
      </w:r>
    </w:p>
    <w:p w14:paraId="593148BD" w14:textId="780B7579" w:rsidR="002E37F7" w:rsidRPr="002E37F7" w:rsidRDefault="002E37F7" w:rsidP="002E37F7">
      <w:pPr>
        <w:tabs>
          <w:tab w:val="left" w:pos="1276"/>
        </w:tabs>
        <w:spacing w:line="480" w:lineRule="auto"/>
        <w:ind w:firstLine="709"/>
        <w:jc w:val="both"/>
        <w:rPr>
          <w:i/>
          <w:color w:val="000000"/>
          <w:sz w:val="22"/>
          <w:szCs w:val="22"/>
          <w:shd w:val="clear" w:color="auto" w:fill="FFFFFF"/>
        </w:rPr>
      </w:pPr>
      <w:r>
        <w:rPr>
          <w:i/>
          <w:color w:val="000000"/>
          <w:sz w:val="22"/>
          <w:szCs w:val="22"/>
          <w:shd w:val="clear" w:color="auto" w:fill="FFFFFF"/>
        </w:rPr>
        <w:t>“</w:t>
      </w:r>
      <w:r w:rsidRPr="002E37F7">
        <w:rPr>
          <w:i/>
          <w:color w:val="000000"/>
          <w:sz w:val="22"/>
          <w:szCs w:val="22"/>
          <w:shd w:val="clear" w:color="auto" w:fill="FFFFFF"/>
        </w:rPr>
        <w:t>(2</w:t>
      </w:r>
      <w:r w:rsidR="00DA5E32" w:rsidRPr="002E37F7">
        <w:rPr>
          <w:i/>
          <w:color w:val="000000"/>
          <w:sz w:val="22"/>
          <w:szCs w:val="22"/>
          <w:shd w:val="clear" w:color="auto" w:fill="FFFFFF"/>
        </w:rPr>
        <w:t>) A</w:t>
      </w:r>
      <w:r w:rsidRPr="002E37F7">
        <w:rPr>
          <w:i/>
          <w:color w:val="000000"/>
          <w:sz w:val="22"/>
          <w:szCs w:val="22"/>
          <w:shd w:val="clear" w:color="auto" w:fill="FFFFFF"/>
        </w:rPr>
        <w:t xml:space="preserve"> court or tribunal has the power to judicially review an administrative action if</w:t>
      </w:r>
      <w:r w:rsidR="00DA5E32">
        <w:rPr>
          <w:i/>
          <w:color w:val="000000"/>
          <w:sz w:val="22"/>
          <w:szCs w:val="22"/>
          <w:shd w:val="clear" w:color="auto" w:fill="FFFFFF"/>
        </w:rPr>
        <w:t xml:space="preserve"> -</w:t>
      </w:r>
    </w:p>
    <w:p w14:paraId="741F858E" w14:textId="02FBD7D5" w:rsidR="002E37F7" w:rsidRPr="002E37F7" w:rsidRDefault="002E37F7" w:rsidP="002E37F7">
      <w:pPr>
        <w:tabs>
          <w:tab w:val="left" w:pos="1276"/>
        </w:tabs>
        <w:spacing w:line="480" w:lineRule="auto"/>
        <w:ind w:firstLine="709"/>
        <w:jc w:val="both"/>
        <w:rPr>
          <w:i/>
          <w:color w:val="000000"/>
          <w:sz w:val="22"/>
          <w:szCs w:val="22"/>
          <w:shd w:val="clear" w:color="auto" w:fill="FFFFFF"/>
        </w:rPr>
      </w:pPr>
      <w:r w:rsidRPr="002E37F7">
        <w:rPr>
          <w:i/>
          <w:color w:val="000000"/>
          <w:sz w:val="22"/>
          <w:szCs w:val="22"/>
          <w:shd w:val="clear" w:color="auto" w:fill="FFFFFF"/>
        </w:rPr>
        <w:t>…</w:t>
      </w:r>
    </w:p>
    <w:p w14:paraId="79FA839A" w14:textId="0652415E" w:rsidR="00010FF3" w:rsidRDefault="002E37F7" w:rsidP="00EE1508">
      <w:pPr>
        <w:tabs>
          <w:tab w:val="left" w:pos="1276"/>
        </w:tabs>
        <w:spacing w:line="480" w:lineRule="auto"/>
        <w:ind w:left="993" w:hanging="284"/>
        <w:jc w:val="both"/>
        <w:rPr>
          <w:i/>
          <w:color w:val="000000"/>
          <w:sz w:val="22"/>
          <w:szCs w:val="22"/>
          <w:shd w:val="clear" w:color="auto" w:fill="FFFFFF"/>
        </w:rPr>
      </w:pPr>
      <w:r w:rsidRPr="002E37F7">
        <w:rPr>
          <w:i/>
          <w:color w:val="000000"/>
          <w:sz w:val="22"/>
          <w:szCs w:val="22"/>
          <w:shd w:val="clear" w:color="auto" w:fill="FFFFFF"/>
        </w:rPr>
        <w:t>(b)</w:t>
      </w:r>
      <w:r w:rsidRPr="002E37F7">
        <w:rPr>
          <w:i/>
          <w:sz w:val="22"/>
          <w:szCs w:val="22"/>
        </w:rPr>
        <w:t xml:space="preserve"> </w:t>
      </w:r>
      <w:r w:rsidRPr="002E37F7">
        <w:rPr>
          <w:i/>
          <w:color w:val="000000"/>
          <w:sz w:val="22"/>
          <w:szCs w:val="22"/>
          <w:shd w:val="clear" w:color="auto" w:fill="FFFFFF"/>
        </w:rPr>
        <w:t>a mandatory and material procedure or condition prescribed by an empowering provision was not complied with</w:t>
      </w:r>
      <w:r>
        <w:rPr>
          <w:i/>
          <w:color w:val="000000"/>
          <w:sz w:val="22"/>
          <w:szCs w:val="22"/>
          <w:shd w:val="clear" w:color="auto" w:fill="FFFFFF"/>
        </w:rPr>
        <w:t>.”</w:t>
      </w:r>
    </w:p>
    <w:p w14:paraId="1CA25518" w14:textId="77777777" w:rsidR="00894151" w:rsidRPr="00EE1508" w:rsidRDefault="00894151" w:rsidP="00894151">
      <w:pPr>
        <w:tabs>
          <w:tab w:val="left" w:pos="1276"/>
        </w:tabs>
        <w:spacing w:line="240" w:lineRule="auto"/>
        <w:jc w:val="both"/>
        <w:rPr>
          <w:i/>
          <w:sz w:val="22"/>
          <w:szCs w:val="22"/>
        </w:rPr>
      </w:pPr>
    </w:p>
    <w:p w14:paraId="4C4CC9F7" w14:textId="486F6D28" w:rsidR="00010FF3" w:rsidRPr="00095503" w:rsidRDefault="00292ABE" w:rsidP="00292ABE">
      <w:pPr>
        <w:tabs>
          <w:tab w:val="left" w:pos="709"/>
        </w:tabs>
        <w:spacing w:line="480" w:lineRule="auto"/>
        <w:jc w:val="both"/>
      </w:pPr>
      <w:r w:rsidRPr="00095503">
        <w:t>40]</w:t>
      </w:r>
      <w:r w:rsidRPr="00095503">
        <w:tab/>
      </w:r>
      <w:r w:rsidR="008D111A">
        <w:t>Given the Regulator’s failure to comply with the 120 day period prescribed in s15(1) as read with Regulation 7, and its failure to comply with s15(4), in my view the decision falls to be reviewed and set aside in terms of s6(2)(b) of PAJA.</w:t>
      </w:r>
    </w:p>
    <w:p w14:paraId="33C75EB0" w14:textId="77777777" w:rsidR="00010FF3" w:rsidRPr="00095503" w:rsidRDefault="00010FF3" w:rsidP="00095503">
      <w:pPr>
        <w:pStyle w:val="ListParagraph"/>
        <w:spacing w:line="480" w:lineRule="auto"/>
        <w:jc w:val="both"/>
      </w:pPr>
    </w:p>
    <w:p w14:paraId="4FC797BF" w14:textId="72DCC7DB" w:rsidR="00010FF3" w:rsidRDefault="00292ABE" w:rsidP="00292ABE">
      <w:pPr>
        <w:tabs>
          <w:tab w:val="left" w:pos="709"/>
        </w:tabs>
        <w:spacing w:line="480" w:lineRule="auto"/>
        <w:jc w:val="both"/>
      </w:pPr>
      <w:r>
        <w:lastRenderedPageBreak/>
        <w:t>41]</w:t>
      </w:r>
      <w:r>
        <w:tab/>
      </w:r>
      <w:r w:rsidR="007B4E35">
        <w:t>But even if I am wrong on this aspect, the s15(3) Directive</w:t>
      </w:r>
      <w:r w:rsidR="00E3088B">
        <w:t xml:space="preserve"> fall</w:t>
      </w:r>
      <w:r w:rsidR="00CB6CD1">
        <w:t>s</w:t>
      </w:r>
      <w:r w:rsidR="007B4E35">
        <w:t xml:space="preserve"> to be reviewed and set aside in terms of s6(2)(c) of PAJA which provides:</w:t>
      </w:r>
    </w:p>
    <w:p w14:paraId="00F9BBD9" w14:textId="267CF749" w:rsidR="007B4E35" w:rsidRPr="007B4E35" w:rsidRDefault="007B4E35" w:rsidP="007B4E35">
      <w:pPr>
        <w:tabs>
          <w:tab w:val="left" w:pos="1276"/>
        </w:tabs>
        <w:spacing w:after="0" w:line="480" w:lineRule="auto"/>
        <w:ind w:left="709"/>
        <w:jc w:val="both"/>
        <w:rPr>
          <w:i/>
          <w:color w:val="000000"/>
          <w:sz w:val="22"/>
          <w:szCs w:val="22"/>
          <w:shd w:val="clear" w:color="auto" w:fill="FFFFFF"/>
        </w:rPr>
      </w:pPr>
      <w:r w:rsidRPr="007B4E35">
        <w:rPr>
          <w:i/>
          <w:color w:val="000000"/>
          <w:sz w:val="22"/>
          <w:szCs w:val="22"/>
          <w:shd w:val="clear" w:color="auto" w:fill="FFFFFF"/>
        </w:rPr>
        <w:t>“(2) A court or tribunal has the power to judicially review an administrative action if –</w:t>
      </w:r>
    </w:p>
    <w:p w14:paraId="556538E6" w14:textId="77777777" w:rsidR="007B4E35" w:rsidRPr="007B4E35" w:rsidRDefault="007B4E35" w:rsidP="007B4E35">
      <w:pPr>
        <w:tabs>
          <w:tab w:val="left" w:pos="1276"/>
        </w:tabs>
        <w:spacing w:after="0" w:line="480" w:lineRule="auto"/>
        <w:ind w:left="709"/>
        <w:jc w:val="both"/>
        <w:rPr>
          <w:i/>
          <w:color w:val="000000"/>
          <w:sz w:val="22"/>
          <w:szCs w:val="22"/>
          <w:shd w:val="clear" w:color="auto" w:fill="FFFFFF"/>
        </w:rPr>
      </w:pPr>
      <w:r w:rsidRPr="007B4E35">
        <w:rPr>
          <w:i/>
          <w:color w:val="000000"/>
          <w:sz w:val="22"/>
          <w:szCs w:val="22"/>
          <w:shd w:val="clear" w:color="auto" w:fill="FFFFFF"/>
        </w:rPr>
        <w:t>…</w:t>
      </w:r>
    </w:p>
    <w:p w14:paraId="1550EF86" w14:textId="0BC72A55" w:rsidR="00967927" w:rsidRPr="00967927" w:rsidRDefault="007B4E35" w:rsidP="00967927">
      <w:pPr>
        <w:tabs>
          <w:tab w:val="left" w:pos="1276"/>
        </w:tabs>
        <w:spacing w:after="0" w:line="480" w:lineRule="auto"/>
        <w:ind w:left="709"/>
        <w:jc w:val="both"/>
        <w:rPr>
          <w:i/>
          <w:color w:val="000000"/>
          <w:sz w:val="22"/>
          <w:szCs w:val="22"/>
        </w:rPr>
      </w:pPr>
      <w:r w:rsidRPr="007B4E35">
        <w:rPr>
          <w:i/>
          <w:color w:val="000000"/>
          <w:sz w:val="22"/>
          <w:szCs w:val="22"/>
        </w:rPr>
        <w:t>(</w:t>
      </w:r>
      <w:r w:rsidRPr="007B4E35">
        <w:rPr>
          <w:i/>
          <w:iCs/>
          <w:color w:val="000000"/>
          <w:sz w:val="22"/>
          <w:szCs w:val="22"/>
        </w:rPr>
        <w:t>c</w:t>
      </w:r>
      <w:r w:rsidRPr="007B4E35">
        <w:rPr>
          <w:i/>
          <w:color w:val="000000"/>
          <w:sz w:val="22"/>
          <w:szCs w:val="22"/>
        </w:rPr>
        <w:t>) the action was procedurally unfair”</w:t>
      </w:r>
    </w:p>
    <w:p w14:paraId="49222E9C" w14:textId="77777777" w:rsidR="007B4E35" w:rsidRPr="007B4E35" w:rsidRDefault="007B4E35" w:rsidP="00A71753">
      <w:pPr>
        <w:pStyle w:val="lg-a-1"/>
        <w:shd w:val="clear" w:color="auto" w:fill="FFFFFF"/>
        <w:spacing w:before="240" w:beforeAutospacing="0" w:after="0" w:afterAutospacing="0"/>
        <w:ind w:left="1440"/>
        <w:jc w:val="both"/>
        <w:rPr>
          <w:rFonts w:ascii="Verdana" w:hAnsi="Verdana"/>
          <w:color w:val="000000"/>
          <w:sz w:val="18"/>
          <w:szCs w:val="18"/>
        </w:rPr>
      </w:pPr>
    </w:p>
    <w:p w14:paraId="6417A713" w14:textId="14AFF4B2" w:rsidR="007B4E35" w:rsidRPr="00095503" w:rsidRDefault="00292ABE" w:rsidP="00292ABE">
      <w:pPr>
        <w:tabs>
          <w:tab w:val="left" w:pos="709"/>
        </w:tabs>
        <w:spacing w:after="0" w:line="480" w:lineRule="auto"/>
        <w:jc w:val="both"/>
      </w:pPr>
      <w:r w:rsidRPr="00095503">
        <w:t>42]</w:t>
      </w:r>
      <w:r w:rsidRPr="00095503">
        <w:tab/>
      </w:r>
      <w:r w:rsidR="003A030B">
        <w:t xml:space="preserve">The unfairness arises from the fact that </w:t>
      </w:r>
      <w:r w:rsidR="00ED7C23">
        <w:t xml:space="preserve">Sparepro </w:t>
      </w:r>
      <w:r w:rsidR="003A030B">
        <w:t xml:space="preserve">firstly </w:t>
      </w:r>
      <w:r w:rsidR="00ED7C23">
        <w:t>was not</w:t>
      </w:r>
      <w:r w:rsidR="003A030B">
        <w:t xml:space="preserve"> given </w:t>
      </w:r>
      <w:r w:rsidR="005268D4">
        <w:t xml:space="preserve">any opportunity to </w:t>
      </w:r>
      <w:r w:rsidR="00BC6030">
        <w:t>make representations as to why the</w:t>
      </w:r>
      <w:r w:rsidR="005268D4">
        <w:t xml:space="preserve"> s15(3) </w:t>
      </w:r>
      <w:r w:rsidR="00BC6030">
        <w:t>Directive</w:t>
      </w:r>
      <w:r w:rsidR="005268D4">
        <w:t xml:space="preserve"> </w:t>
      </w:r>
      <w:r w:rsidR="00BC6030">
        <w:t>should follow</w:t>
      </w:r>
      <w:r w:rsidR="005268D4">
        <w:t xml:space="preserve"> the s15(1) </w:t>
      </w:r>
      <w:r w:rsidR="00BC6030">
        <w:t>Directives</w:t>
      </w:r>
      <w:r w:rsidR="005268D4">
        <w:t>; and secondly, irrespective of this, the</w:t>
      </w:r>
      <w:r w:rsidR="00ED7C23">
        <w:t>y</w:t>
      </w:r>
      <w:r w:rsidR="005268D4">
        <w:t xml:space="preserve"> were never notified of the nature or purpose of the s15(3) Directive.</w:t>
      </w:r>
    </w:p>
    <w:p w14:paraId="5F6892D2" w14:textId="77777777" w:rsidR="00010FF3" w:rsidRPr="00095503" w:rsidRDefault="00010FF3" w:rsidP="00A71753">
      <w:pPr>
        <w:pStyle w:val="ListParagraph"/>
        <w:spacing w:after="0" w:line="480" w:lineRule="auto"/>
        <w:jc w:val="both"/>
      </w:pPr>
    </w:p>
    <w:p w14:paraId="5C8DBEB1" w14:textId="6DE13186" w:rsidR="00010FF3" w:rsidRDefault="00292ABE" w:rsidP="00292ABE">
      <w:pPr>
        <w:tabs>
          <w:tab w:val="left" w:pos="709"/>
        </w:tabs>
        <w:spacing w:after="0" w:line="480" w:lineRule="auto"/>
        <w:ind w:hanging="22"/>
        <w:jc w:val="both"/>
      </w:pPr>
      <w:r>
        <w:t>43]</w:t>
      </w:r>
      <w:r>
        <w:tab/>
      </w:r>
      <w:r w:rsidR="005268D4">
        <w:t xml:space="preserve">Insofar </w:t>
      </w:r>
      <w:r w:rsidR="002140B5">
        <w:t>as Sparepro argued that it was never notified that a s15(3) Directive may follow the s15(1) Directive,</w:t>
      </w:r>
      <w:r w:rsidR="005268D4">
        <w:t xml:space="preserve"> this leg of the argument must fail: the s15(1) Directive </w:t>
      </w:r>
      <w:r w:rsidR="00BC6030">
        <w:t xml:space="preserve">itself </w:t>
      </w:r>
      <w:r w:rsidR="005268D4">
        <w:t>provides for such a possibility.</w:t>
      </w:r>
    </w:p>
    <w:p w14:paraId="457583B1" w14:textId="7350CBE7" w:rsidR="00154084" w:rsidRPr="00095503" w:rsidRDefault="00154084" w:rsidP="00154084">
      <w:pPr>
        <w:tabs>
          <w:tab w:val="left" w:pos="1276"/>
        </w:tabs>
        <w:spacing w:after="0" w:line="480" w:lineRule="auto"/>
        <w:jc w:val="both"/>
      </w:pPr>
    </w:p>
    <w:p w14:paraId="6344B10D" w14:textId="31CCE935" w:rsidR="00010FF3" w:rsidRDefault="00292ABE" w:rsidP="00292ABE">
      <w:pPr>
        <w:tabs>
          <w:tab w:val="left" w:pos="709"/>
        </w:tabs>
        <w:spacing w:after="0" w:line="480" w:lineRule="auto"/>
        <w:ind w:hanging="22"/>
        <w:jc w:val="both"/>
      </w:pPr>
      <w:r>
        <w:t>44]</w:t>
      </w:r>
      <w:r>
        <w:tab/>
      </w:r>
      <w:r w:rsidR="005268D4">
        <w:t xml:space="preserve">However, that Sparepro </w:t>
      </w:r>
      <w:r w:rsidR="00154084">
        <w:t>was not given any opportunity to make rep</w:t>
      </w:r>
      <w:r w:rsidR="007B6AA9">
        <w:t>resentations</w:t>
      </w:r>
      <w:r w:rsidR="00154084">
        <w:t xml:space="preserve"> before the </w:t>
      </w:r>
      <w:r w:rsidR="00BC6030">
        <w:t>s15(3) Directive</w:t>
      </w:r>
      <w:r w:rsidR="00CB6CD1">
        <w:t xml:space="preserve"> was</w:t>
      </w:r>
      <w:r w:rsidR="00BC6030">
        <w:t xml:space="preserve"> issued,</w:t>
      </w:r>
      <w:r w:rsidR="00154084">
        <w:t xml:space="preserve"> is so. In fact, it would appear that the s15(3) Directive</w:t>
      </w:r>
      <w:r w:rsidR="00CB6CD1">
        <w:t xml:space="preserve"> was</w:t>
      </w:r>
      <w:r w:rsidR="00154084">
        <w:t xml:space="preserve"> the Regulator’s </w:t>
      </w:r>
      <w:r w:rsidR="00BC6030">
        <w:t xml:space="preserve">reaction to its </w:t>
      </w:r>
      <w:r w:rsidR="00154084">
        <w:t>failed inspection at Sparepro’s warehouse on 20 April 2022.</w:t>
      </w:r>
    </w:p>
    <w:p w14:paraId="66FD6943" w14:textId="125B919D" w:rsidR="00580938" w:rsidRPr="00095503" w:rsidRDefault="00580938" w:rsidP="00580938">
      <w:pPr>
        <w:pStyle w:val="ListParagraph"/>
        <w:tabs>
          <w:tab w:val="left" w:pos="709"/>
        </w:tabs>
        <w:spacing w:after="0" w:line="480" w:lineRule="auto"/>
        <w:ind w:left="0"/>
        <w:jc w:val="both"/>
      </w:pPr>
    </w:p>
    <w:p w14:paraId="2D2C1FE6" w14:textId="6109DC0A" w:rsidR="00010FF3" w:rsidRPr="00095503" w:rsidRDefault="00292ABE" w:rsidP="00292ABE">
      <w:pPr>
        <w:spacing w:line="480" w:lineRule="auto"/>
        <w:jc w:val="both"/>
      </w:pPr>
      <w:r w:rsidRPr="00095503">
        <w:t>45]</w:t>
      </w:r>
      <w:r w:rsidRPr="00095503">
        <w:tab/>
      </w:r>
      <w:r w:rsidR="007B6AA9">
        <w:t>Given that</w:t>
      </w:r>
      <w:r w:rsidR="00154084">
        <w:t xml:space="preserve"> by June 2022</w:t>
      </w:r>
      <w:r w:rsidR="007B6AA9">
        <w:t>,</w:t>
      </w:r>
      <w:r w:rsidR="00154084">
        <w:t xml:space="preserve"> </w:t>
      </w:r>
      <w:r w:rsidR="00780410">
        <w:t>when the s15(3) Directive</w:t>
      </w:r>
      <w:r w:rsidR="00CB6CD1">
        <w:t xml:space="preserve"> was </w:t>
      </w:r>
      <w:r w:rsidR="00780410">
        <w:t xml:space="preserve"> </w:t>
      </w:r>
      <w:r w:rsidR="00154084">
        <w:t>issued</w:t>
      </w:r>
      <w:r w:rsidR="007B6AA9">
        <w:t>,</w:t>
      </w:r>
      <w:r w:rsidR="00154084">
        <w:t xml:space="preserve"> the Regulator was 5 months late already there is no reason for it not to have complied with s3(2)(b) </w:t>
      </w:r>
      <w:r w:rsidR="00154084">
        <w:lastRenderedPageBreak/>
        <w:t>of PAJA</w:t>
      </w:r>
      <w:r w:rsidR="00154084">
        <w:rPr>
          <w:rStyle w:val="FootnoteReference"/>
        </w:rPr>
        <w:footnoteReference w:id="20"/>
      </w:r>
      <w:r w:rsidR="00EB5470">
        <w:t xml:space="preserve"> and invited Sparepro to make comments</w:t>
      </w:r>
      <w:r w:rsidR="00780410">
        <w:t xml:space="preserve"> or </w:t>
      </w:r>
      <w:r w:rsidR="00EB5470">
        <w:t>submissions. A failure to do so has seen such a decision declared invalid</w:t>
      </w:r>
      <w:r w:rsidR="00EB5470">
        <w:rPr>
          <w:rStyle w:val="FootnoteReference"/>
        </w:rPr>
        <w:footnoteReference w:id="21"/>
      </w:r>
      <w:r w:rsidR="00CA4273">
        <w:t>.</w:t>
      </w:r>
    </w:p>
    <w:p w14:paraId="12C81391" w14:textId="77777777" w:rsidR="00010FF3" w:rsidRPr="00095503" w:rsidRDefault="00010FF3" w:rsidP="00095503">
      <w:pPr>
        <w:pStyle w:val="ListParagraph"/>
        <w:spacing w:line="480" w:lineRule="auto"/>
        <w:jc w:val="both"/>
      </w:pPr>
    </w:p>
    <w:p w14:paraId="365EFFB2" w14:textId="1221628B" w:rsidR="00010FF3" w:rsidRPr="00095503" w:rsidRDefault="00292ABE" w:rsidP="00292ABE">
      <w:pPr>
        <w:tabs>
          <w:tab w:val="left" w:pos="1276"/>
        </w:tabs>
        <w:spacing w:line="480" w:lineRule="auto"/>
        <w:ind w:left="709" w:hanging="731"/>
        <w:jc w:val="both"/>
      </w:pPr>
      <w:r w:rsidRPr="00095503">
        <w:t>46]</w:t>
      </w:r>
      <w:r w:rsidRPr="00095503">
        <w:tab/>
      </w:r>
      <w:r w:rsidR="00D705AD">
        <w:t>Thus,</w:t>
      </w:r>
      <w:r w:rsidR="00780410">
        <w:t xml:space="preserve"> I agree </w:t>
      </w:r>
      <w:r w:rsidR="00D705AD">
        <w:t>that the</w:t>
      </w:r>
      <w:r w:rsidR="00CA4273">
        <w:t xml:space="preserve"> s15(3) </w:t>
      </w:r>
      <w:r w:rsidR="009818E7">
        <w:t>Directive</w:t>
      </w:r>
      <w:r w:rsidR="00CA4273">
        <w:t xml:space="preserve"> w</w:t>
      </w:r>
      <w:r w:rsidR="00780410">
        <w:t>as procedurally unfair.</w:t>
      </w:r>
    </w:p>
    <w:p w14:paraId="544DE9EA" w14:textId="77777777" w:rsidR="00010FF3" w:rsidRPr="00095503" w:rsidRDefault="00010FF3" w:rsidP="00095503">
      <w:pPr>
        <w:pStyle w:val="ListParagraph"/>
        <w:spacing w:line="480" w:lineRule="auto"/>
        <w:jc w:val="both"/>
      </w:pPr>
    </w:p>
    <w:p w14:paraId="1A922DEB" w14:textId="7C920F73" w:rsidR="00010FF3" w:rsidRDefault="00292ABE" w:rsidP="00292ABE">
      <w:pPr>
        <w:tabs>
          <w:tab w:val="left" w:pos="709"/>
        </w:tabs>
        <w:spacing w:line="480" w:lineRule="auto"/>
        <w:ind w:hanging="22"/>
        <w:jc w:val="both"/>
      </w:pPr>
      <w:r>
        <w:t>47]</w:t>
      </w:r>
      <w:r>
        <w:tab/>
      </w:r>
      <w:r w:rsidR="00CA4273">
        <w:t>The last ground pertained to the issue of bias</w:t>
      </w:r>
      <w:r w:rsidR="00D705AD">
        <w:t xml:space="preserve"> and this relates to the direct h</w:t>
      </w:r>
      <w:r w:rsidR="00190E15">
        <w:t xml:space="preserve">and GUD had in the events leading up to the issue of the s15(3) Directive. The uncontroverted facts are that: </w:t>
      </w:r>
    </w:p>
    <w:p w14:paraId="3B3E17A6" w14:textId="3641B33B" w:rsidR="00190E15" w:rsidRDefault="00292ABE" w:rsidP="00292ABE">
      <w:pPr>
        <w:tabs>
          <w:tab w:val="left" w:pos="1418"/>
        </w:tabs>
        <w:spacing w:line="480" w:lineRule="auto"/>
        <w:ind w:left="1418" w:hanging="709"/>
        <w:jc w:val="both"/>
      </w:pPr>
      <w:r>
        <w:t>a)</w:t>
      </w:r>
      <w:r>
        <w:tab/>
      </w:r>
      <w:r w:rsidR="00190E15">
        <w:t xml:space="preserve">GUD </w:t>
      </w:r>
      <w:r w:rsidR="00E31191">
        <w:t>initiated</w:t>
      </w:r>
      <w:r w:rsidR="00190E15">
        <w:t xml:space="preserve"> both complaints;</w:t>
      </w:r>
    </w:p>
    <w:p w14:paraId="45D71A05" w14:textId="65B3E1A3" w:rsidR="00190E15" w:rsidRDefault="00292ABE" w:rsidP="00292ABE">
      <w:pPr>
        <w:tabs>
          <w:tab w:val="left" w:pos="1418"/>
        </w:tabs>
        <w:spacing w:line="480" w:lineRule="auto"/>
        <w:ind w:left="1418" w:hanging="709"/>
        <w:jc w:val="both"/>
      </w:pPr>
      <w:r>
        <w:t>b)</w:t>
      </w:r>
      <w:r>
        <w:tab/>
      </w:r>
      <w:r w:rsidR="00190E15">
        <w:t>the complaints led t</w:t>
      </w:r>
      <w:r w:rsidR="00D705AD">
        <w:t>o the Regulator sending out a RF</w:t>
      </w:r>
      <w:r w:rsidR="00190E15">
        <w:t>Q;</w:t>
      </w:r>
    </w:p>
    <w:p w14:paraId="2318A618" w14:textId="0B5D02B7" w:rsidR="00190E15" w:rsidRDefault="00292ABE" w:rsidP="00292ABE">
      <w:pPr>
        <w:tabs>
          <w:tab w:val="left" w:pos="1418"/>
        </w:tabs>
        <w:spacing w:line="480" w:lineRule="auto"/>
        <w:ind w:left="1418" w:hanging="709"/>
        <w:jc w:val="both"/>
      </w:pPr>
      <w:r>
        <w:t>c)</w:t>
      </w:r>
      <w:r>
        <w:tab/>
      </w:r>
      <w:r w:rsidR="00190E15">
        <w:t xml:space="preserve">in essence the Regulator sent out the quote to only one of the two accredited laboratories at the time: ABTI was </w:t>
      </w:r>
      <w:r w:rsidR="00D705AD">
        <w:t xml:space="preserve">not </w:t>
      </w:r>
      <w:r w:rsidR="00190E15">
        <w:t xml:space="preserve">sent the RFQ </w:t>
      </w:r>
      <w:r w:rsidR="00780410">
        <w:t xml:space="preserve">- </w:t>
      </w:r>
      <w:r w:rsidR="00190E15">
        <w:t>this was conceded during argument;</w:t>
      </w:r>
    </w:p>
    <w:p w14:paraId="0A4F6A93" w14:textId="45D2A252" w:rsidR="00190E15" w:rsidRDefault="00292ABE" w:rsidP="00292ABE">
      <w:pPr>
        <w:tabs>
          <w:tab w:val="left" w:pos="1418"/>
        </w:tabs>
        <w:spacing w:line="480" w:lineRule="auto"/>
        <w:ind w:left="1418" w:hanging="709"/>
        <w:jc w:val="both"/>
      </w:pPr>
      <w:r>
        <w:t>d)</w:t>
      </w:r>
      <w:r>
        <w:tab/>
      </w:r>
      <w:r w:rsidR="00190E15">
        <w:t>the only response to the RFQ was from GUD and not just from GUD, but from the very same person who had initiated the complaint</w:t>
      </w:r>
      <w:r w:rsidR="00D278CC">
        <w:t>s -</w:t>
      </w:r>
      <w:r w:rsidR="00190E15">
        <w:t xml:space="preserve"> Mr Reddy;</w:t>
      </w:r>
    </w:p>
    <w:p w14:paraId="1A2D9391" w14:textId="6DC8798E" w:rsidR="00190E15" w:rsidRDefault="00292ABE" w:rsidP="00292ABE">
      <w:pPr>
        <w:tabs>
          <w:tab w:val="left" w:pos="1418"/>
        </w:tabs>
        <w:spacing w:line="480" w:lineRule="auto"/>
        <w:ind w:left="1418" w:hanging="709"/>
        <w:jc w:val="both"/>
      </w:pPr>
      <w:r>
        <w:t>e)</w:t>
      </w:r>
      <w:r>
        <w:tab/>
      </w:r>
      <w:r w:rsidR="00190E15">
        <w:t>the results of the tests conducted by GUD were then signed off by the very same Mr Reddy;</w:t>
      </w:r>
    </w:p>
    <w:p w14:paraId="7D4517B7" w14:textId="0F2C9CC0" w:rsidR="00010FF3" w:rsidRDefault="00292ABE" w:rsidP="00292ABE">
      <w:pPr>
        <w:tabs>
          <w:tab w:val="left" w:pos="1418"/>
        </w:tabs>
        <w:spacing w:line="480" w:lineRule="auto"/>
        <w:ind w:left="1418" w:hanging="709"/>
        <w:jc w:val="both"/>
      </w:pPr>
      <w:r>
        <w:t>f)</w:t>
      </w:r>
      <w:r>
        <w:tab/>
      </w:r>
      <w:r w:rsidR="00190E15">
        <w:t>on the strength of these the Regulator then issued the two s15(1) Directives.</w:t>
      </w:r>
    </w:p>
    <w:p w14:paraId="07257881" w14:textId="77777777" w:rsidR="00E01C07" w:rsidRPr="00095503" w:rsidRDefault="00E01C07" w:rsidP="00E01C07">
      <w:pPr>
        <w:pStyle w:val="ListParagraph"/>
        <w:tabs>
          <w:tab w:val="left" w:pos="1418"/>
        </w:tabs>
        <w:spacing w:line="480" w:lineRule="auto"/>
        <w:ind w:left="1418"/>
        <w:jc w:val="both"/>
      </w:pPr>
    </w:p>
    <w:p w14:paraId="1B24817F" w14:textId="6D48540E" w:rsidR="00010FF3" w:rsidRDefault="00292ABE" w:rsidP="00292ABE">
      <w:pPr>
        <w:tabs>
          <w:tab w:val="left" w:pos="709"/>
          <w:tab w:val="left" w:pos="1276"/>
        </w:tabs>
        <w:spacing w:line="480" w:lineRule="auto"/>
        <w:ind w:hanging="22"/>
        <w:jc w:val="both"/>
      </w:pPr>
      <w:r>
        <w:lastRenderedPageBreak/>
        <w:t>48]</w:t>
      </w:r>
      <w:r>
        <w:tab/>
      </w:r>
      <w:r w:rsidR="00E01C07">
        <w:t xml:space="preserve">The test for bias, formulated in </w:t>
      </w:r>
      <w:r w:rsidR="00E01C07" w:rsidRPr="00292ABE">
        <w:rPr>
          <w:b/>
        </w:rPr>
        <w:t>President of the Republic of South Africa v South African Rugby Football Union</w:t>
      </w:r>
      <w:r w:rsidR="00E01C07">
        <w:rPr>
          <w:rStyle w:val="FootnoteReference"/>
        </w:rPr>
        <w:footnoteReference w:id="22"/>
      </w:r>
      <w:r w:rsidR="00E01C07">
        <w:t>, is whether a reasonable, objective and informed person would on the facts reasonably comprehend that the decision maker would not bring an impartial mind to bear on the adjudication of the case. It stands to reason that no-one can be the judge in his or her own matter</w:t>
      </w:r>
      <w:r w:rsidR="00E01C07">
        <w:rPr>
          <w:rStyle w:val="FootnoteReference"/>
        </w:rPr>
        <w:footnoteReference w:id="23"/>
      </w:r>
      <w:r w:rsidR="00E01C07">
        <w:t xml:space="preserve">. </w:t>
      </w:r>
    </w:p>
    <w:p w14:paraId="7C99951D" w14:textId="77777777" w:rsidR="002C0E88" w:rsidRPr="00095503" w:rsidRDefault="002C0E88" w:rsidP="002C0E88">
      <w:pPr>
        <w:pStyle w:val="ListParagraph"/>
        <w:tabs>
          <w:tab w:val="left" w:pos="709"/>
          <w:tab w:val="left" w:pos="1276"/>
        </w:tabs>
        <w:spacing w:line="480" w:lineRule="auto"/>
        <w:ind w:left="0"/>
        <w:jc w:val="both"/>
      </w:pPr>
    </w:p>
    <w:p w14:paraId="3E7B5E19" w14:textId="151DAB67" w:rsidR="00010FF3" w:rsidRDefault="00292ABE" w:rsidP="00292ABE">
      <w:pPr>
        <w:tabs>
          <w:tab w:val="left" w:pos="1276"/>
        </w:tabs>
        <w:spacing w:after="0" w:line="360" w:lineRule="auto"/>
        <w:ind w:left="709" w:hanging="731"/>
        <w:jc w:val="both"/>
      </w:pPr>
      <w:r>
        <w:t>49]</w:t>
      </w:r>
      <w:r>
        <w:tab/>
      </w:r>
      <w:r w:rsidR="00190E15">
        <w:t>Section 6(2)(a)(iii) of PAJA provides:</w:t>
      </w:r>
    </w:p>
    <w:p w14:paraId="17AA14E3" w14:textId="5ABD67A5" w:rsidR="00190E15" w:rsidRPr="00190E15" w:rsidRDefault="00190E15" w:rsidP="00190E15">
      <w:pPr>
        <w:pStyle w:val="lg-para3"/>
        <w:shd w:val="clear" w:color="auto" w:fill="FFFFFF"/>
        <w:spacing w:before="120" w:beforeAutospacing="0" w:after="0" w:afterAutospacing="0" w:line="360" w:lineRule="auto"/>
        <w:ind w:left="709"/>
        <w:jc w:val="both"/>
        <w:rPr>
          <w:rFonts w:ascii="Arial" w:hAnsi="Arial" w:cs="Arial"/>
          <w:i/>
          <w:color w:val="000000"/>
          <w:sz w:val="22"/>
          <w:szCs w:val="22"/>
        </w:rPr>
      </w:pPr>
      <w:r w:rsidRPr="00190E15">
        <w:rPr>
          <w:rFonts w:ascii="Arial" w:hAnsi="Arial" w:cs="Arial"/>
          <w:i/>
          <w:sz w:val="22"/>
          <w:szCs w:val="22"/>
        </w:rPr>
        <w:t>“</w:t>
      </w:r>
      <w:r w:rsidRPr="00190E15">
        <w:rPr>
          <w:rFonts w:ascii="Arial" w:hAnsi="Arial" w:cs="Arial"/>
          <w:i/>
          <w:color w:val="000000"/>
          <w:sz w:val="22"/>
          <w:szCs w:val="22"/>
        </w:rPr>
        <w:t>(2) A court or tribunal has the power to judicially review an administrative action if—</w:t>
      </w:r>
    </w:p>
    <w:p w14:paraId="3D115CE4" w14:textId="613A1E84" w:rsidR="00190E15" w:rsidRPr="00190E15" w:rsidRDefault="00292ABE" w:rsidP="00292ABE">
      <w:pPr>
        <w:pStyle w:val="lg-a-1"/>
        <w:shd w:val="clear" w:color="auto" w:fill="FFFFFF"/>
        <w:spacing w:before="180" w:beforeAutospacing="0" w:after="0" w:afterAutospacing="0"/>
        <w:ind w:left="1040" w:firstLine="94"/>
        <w:jc w:val="both"/>
        <w:rPr>
          <w:rFonts w:ascii="Arial" w:hAnsi="Arial" w:cs="Arial"/>
          <w:i/>
          <w:color w:val="000000"/>
          <w:sz w:val="22"/>
          <w:szCs w:val="22"/>
        </w:rPr>
      </w:pPr>
      <w:r w:rsidRPr="00190E15">
        <w:rPr>
          <w:rFonts w:ascii="Arial" w:hAnsi="Arial" w:cs="Arial"/>
          <w:i/>
          <w:color w:val="000000"/>
          <w:sz w:val="22"/>
          <w:szCs w:val="22"/>
        </w:rPr>
        <w:t>(a)</w:t>
      </w:r>
      <w:r w:rsidRPr="00190E15">
        <w:rPr>
          <w:rFonts w:ascii="Arial" w:hAnsi="Arial" w:cs="Arial"/>
          <w:i/>
          <w:color w:val="000000"/>
          <w:sz w:val="22"/>
          <w:szCs w:val="22"/>
        </w:rPr>
        <w:tab/>
      </w:r>
      <w:r w:rsidR="00190E15" w:rsidRPr="00190E15">
        <w:rPr>
          <w:rFonts w:ascii="Arial" w:hAnsi="Arial" w:cs="Arial"/>
          <w:i/>
          <w:color w:val="000000"/>
          <w:sz w:val="22"/>
          <w:szCs w:val="22"/>
        </w:rPr>
        <w:t>the administrator who took it—</w:t>
      </w:r>
    </w:p>
    <w:p w14:paraId="30CA9CA6" w14:textId="77777777" w:rsidR="00190E15" w:rsidRPr="00190E15" w:rsidRDefault="00190E15" w:rsidP="00190E15">
      <w:pPr>
        <w:pStyle w:val="lg-a-1"/>
        <w:shd w:val="clear" w:color="auto" w:fill="FFFFFF"/>
        <w:spacing w:before="180" w:beforeAutospacing="0" w:after="0" w:afterAutospacing="0"/>
        <w:ind w:left="1040"/>
        <w:jc w:val="both"/>
        <w:rPr>
          <w:rFonts w:ascii="Arial" w:hAnsi="Arial" w:cs="Arial"/>
          <w:i/>
          <w:color w:val="000000"/>
          <w:sz w:val="22"/>
          <w:szCs w:val="22"/>
        </w:rPr>
      </w:pPr>
      <w:r w:rsidRPr="00190E15">
        <w:rPr>
          <w:rFonts w:ascii="Arial" w:hAnsi="Arial" w:cs="Arial"/>
          <w:i/>
          <w:color w:val="000000"/>
          <w:sz w:val="22"/>
          <w:szCs w:val="22"/>
        </w:rPr>
        <w:t>…</w:t>
      </w:r>
    </w:p>
    <w:p w14:paraId="0A59318E" w14:textId="40FD6720" w:rsidR="00190E15" w:rsidRPr="00190E15" w:rsidRDefault="00190E15" w:rsidP="00190E15">
      <w:pPr>
        <w:pStyle w:val="lg-a-1"/>
        <w:shd w:val="clear" w:color="auto" w:fill="FFFFFF"/>
        <w:spacing w:before="180" w:beforeAutospacing="0" w:after="0" w:afterAutospacing="0"/>
        <w:ind w:left="1040"/>
        <w:jc w:val="both"/>
        <w:rPr>
          <w:rFonts w:ascii="Arial" w:hAnsi="Arial" w:cs="Arial"/>
          <w:i/>
          <w:color w:val="000000"/>
          <w:sz w:val="22"/>
          <w:szCs w:val="22"/>
        </w:rPr>
      </w:pPr>
      <w:r w:rsidRPr="00190E15">
        <w:rPr>
          <w:rFonts w:ascii="Arial" w:hAnsi="Arial" w:cs="Arial"/>
          <w:i/>
          <w:color w:val="000000"/>
          <w:sz w:val="22"/>
          <w:szCs w:val="22"/>
        </w:rPr>
        <w:t xml:space="preserve"> (iii) was biased or reasonably suspected of bias</w:t>
      </w:r>
      <w:r>
        <w:rPr>
          <w:rFonts w:ascii="Arial" w:hAnsi="Arial" w:cs="Arial"/>
          <w:i/>
          <w:color w:val="000000"/>
          <w:sz w:val="22"/>
          <w:szCs w:val="22"/>
        </w:rPr>
        <w:t>”</w:t>
      </w:r>
    </w:p>
    <w:p w14:paraId="2FCB4E30" w14:textId="430159AA" w:rsidR="00010FF3" w:rsidRPr="00095503" w:rsidRDefault="00010FF3" w:rsidP="00683014">
      <w:pPr>
        <w:spacing w:line="480" w:lineRule="auto"/>
        <w:jc w:val="both"/>
      </w:pPr>
    </w:p>
    <w:p w14:paraId="40B4417D" w14:textId="7544889E" w:rsidR="00010FF3" w:rsidRPr="00095503" w:rsidRDefault="00292ABE" w:rsidP="00292ABE">
      <w:pPr>
        <w:tabs>
          <w:tab w:val="left" w:pos="709"/>
        </w:tabs>
        <w:spacing w:line="480" w:lineRule="auto"/>
        <w:ind w:hanging="22"/>
        <w:jc w:val="both"/>
      </w:pPr>
      <w:r w:rsidRPr="00095503">
        <w:t>50]</w:t>
      </w:r>
      <w:r w:rsidRPr="00095503">
        <w:tab/>
      </w:r>
      <w:r w:rsidR="00B755E8">
        <w:t>Thus</w:t>
      </w:r>
      <w:r w:rsidR="00683014">
        <w:t>, an administrative action tainted with bias will be reviewed and set aside</w:t>
      </w:r>
      <w:r w:rsidR="00683014">
        <w:rPr>
          <w:rStyle w:val="FootnoteReference"/>
        </w:rPr>
        <w:footnoteReference w:id="24"/>
      </w:r>
      <w:r w:rsidR="00A57D22">
        <w:t>.</w:t>
      </w:r>
    </w:p>
    <w:p w14:paraId="0F4BCF27" w14:textId="77777777" w:rsidR="00010FF3" w:rsidRPr="00095503" w:rsidRDefault="00010FF3" w:rsidP="00095503">
      <w:pPr>
        <w:pStyle w:val="ListParagraph"/>
        <w:spacing w:line="480" w:lineRule="auto"/>
        <w:jc w:val="both"/>
      </w:pPr>
    </w:p>
    <w:p w14:paraId="440B7218" w14:textId="203DBE33" w:rsidR="00010FF3" w:rsidRDefault="00292ABE" w:rsidP="00292ABE">
      <w:pPr>
        <w:tabs>
          <w:tab w:val="left" w:pos="709"/>
          <w:tab w:val="left" w:pos="1276"/>
        </w:tabs>
        <w:spacing w:line="480" w:lineRule="auto"/>
        <w:ind w:hanging="22"/>
        <w:jc w:val="both"/>
      </w:pPr>
      <w:r>
        <w:t>51]</w:t>
      </w:r>
      <w:r>
        <w:tab/>
      </w:r>
      <w:r w:rsidR="002C0E88">
        <w:t>In this matter GUD is simply an extension of the Regulator: one cannot lose sight of the fact that the tests conducted by GUD were not preparatory in nature but instead forme</w:t>
      </w:r>
      <w:r w:rsidR="0030517F">
        <w:t>d part of the adjudica</w:t>
      </w:r>
      <w:r w:rsidR="002C0E88">
        <w:t xml:space="preserve">tive function of the Regulator and were instrumental in the Regulator’s decision-making process. It is clear that in this entire chain of events, GUD became the judge and jury and the Regulator the executioner and thus on </w:t>
      </w:r>
      <w:r w:rsidR="00CE2895">
        <w:t>this ground too, the review must succeed and the s15(3) Directive set aside.</w:t>
      </w:r>
    </w:p>
    <w:p w14:paraId="1B652637" w14:textId="177339FE" w:rsidR="00CE2895" w:rsidRDefault="00CE2895" w:rsidP="00CE2895">
      <w:pPr>
        <w:spacing w:after="0" w:line="480" w:lineRule="auto"/>
        <w:jc w:val="both"/>
        <w:rPr>
          <w:b/>
        </w:rPr>
      </w:pPr>
    </w:p>
    <w:p w14:paraId="3A847BE6" w14:textId="77777777" w:rsidR="0030517F" w:rsidRDefault="0030517F" w:rsidP="00CE2895">
      <w:pPr>
        <w:spacing w:after="0" w:line="480" w:lineRule="auto"/>
        <w:jc w:val="both"/>
        <w:rPr>
          <w:b/>
        </w:rPr>
      </w:pPr>
    </w:p>
    <w:p w14:paraId="712199DA" w14:textId="6C5F3445" w:rsidR="00CE2895" w:rsidRPr="00CE2895" w:rsidRDefault="00CE2895" w:rsidP="00CE2895">
      <w:pPr>
        <w:spacing w:line="480" w:lineRule="auto"/>
        <w:jc w:val="both"/>
        <w:rPr>
          <w:b/>
        </w:rPr>
      </w:pPr>
      <w:r w:rsidRPr="00CE2895">
        <w:rPr>
          <w:b/>
        </w:rPr>
        <w:t>RE THE S15(1) DIRECTIVES</w:t>
      </w:r>
    </w:p>
    <w:p w14:paraId="30C3311A" w14:textId="0E0E068D" w:rsidR="00010FF3" w:rsidRDefault="00292ABE" w:rsidP="00292ABE">
      <w:pPr>
        <w:tabs>
          <w:tab w:val="left" w:pos="1276"/>
        </w:tabs>
        <w:spacing w:line="480" w:lineRule="auto"/>
        <w:ind w:left="709" w:hanging="731"/>
        <w:jc w:val="both"/>
      </w:pPr>
      <w:r>
        <w:lastRenderedPageBreak/>
        <w:t>52]</w:t>
      </w:r>
      <w:r>
        <w:tab/>
      </w:r>
      <w:r w:rsidR="00CE2895">
        <w:t>Sparepro seeks in its Amended Notice of Motion the following relief:</w:t>
      </w:r>
    </w:p>
    <w:p w14:paraId="3AF0996D" w14:textId="520495D0" w:rsidR="00CE2895" w:rsidRDefault="005A69CB" w:rsidP="00CE2895">
      <w:pPr>
        <w:pStyle w:val="ListParagraph"/>
        <w:tabs>
          <w:tab w:val="left" w:pos="1276"/>
        </w:tabs>
        <w:spacing w:line="480" w:lineRule="auto"/>
        <w:ind w:left="709"/>
        <w:jc w:val="both"/>
        <w:rPr>
          <w:i/>
          <w:sz w:val="22"/>
        </w:rPr>
      </w:pPr>
      <w:r w:rsidRPr="005A69CB">
        <w:rPr>
          <w:i/>
          <w:sz w:val="22"/>
        </w:rPr>
        <w:t>“Directing that the Chief Executive Officer of the First Respondent (“NRCS”) withdraw Directive No. ADD 41220, issued in terms of section 15(1) of the National Regulator for Compulsory Specifications, Act 5 of 2008 (the “NRCS Act”) on 7 September 2021, and Directive No. ADD 41226, issued under section 15(1) of the NRCS Act on 17 September 2021 (the “section 15(1) Directives”), in terms of regulation 7(1)(a) of the Regulation promu</w:t>
      </w:r>
      <w:r>
        <w:rPr>
          <w:i/>
          <w:sz w:val="22"/>
        </w:rPr>
        <w:t>lgated in terms of the NRCS Act”.</w:t>
      </w:r>
    </w:p>
    <w:p w14:paraId="14F41FF6" w14:textId="77777777" w:rsidR="005A69CB" w:rsidRPr="005A69CB" w:rsidRDefault="005A69CB" w:rsidP="00CE2895">
      <w:pPr>
        <w:pStyle w:val="ListParagraph"/>
        <w:tabs>
          <w:tab w:val="left" w:pos="1276"/>
        </w:tabs>
        <w:spacing w:line="480" w:lineRule="auto"/>
        <w:ind w:left="709"/>
        <w:jc w:val="both"/>
        <w:rPr>
          <w:i/>
          <w:sz w:val="22"/>
        </w:rPr>
      </w:pPr>
    </w:p>
    <w:p w14:paraId="5B8C7309" w14:textId="3173D552" w:rsidR="00010FF3" w:rsidRPr="00095503" w:rsidRDefault="00292ABE" w:rsidP="00292ABE">
      <w:pPr>
        <w:tabs>
          <w:tab w:val="left" w:pos="709"/>
        </w:tabs>
        <w:spacing w:line="480" w:lineRule="auto"/>
        <w:ind w:hanging="22"/>
        <w:jc w:val="both"/>
      </w:pPr>
      <w:r w:rsidRPr="00095503">
        <w:t>53]</w:t>
      </w:r>
      <w:r w:rsidRPr="00095503">
        <w:tab/>
      </w:r>
      <w:r w:rsidR="008D145D">
        <w:t xml:space="preserve">The relief is based on the fact that </w:t>
      </w:r>
      <w:r w:rsidR="00480D55">
        <w:t>both s15(1) Directives have reached the max</w:t>
      </w:r>
      <w:r w:rsidR="008D145D">
        <w:t>imum</w:t>
      </w:r>
      <w:r w:rsidR="00480D55">
        <w:t xml:space="preserve"> period of validity and the s15(3) </w:t>
      </w:r>
      <w:r w:rsidR="008D145D">
        <w:t>Directive</w:t>
      </w:r>
      <w:r w:rsidR="00FE77A1">
        <w:t xml:space="preserve"> was</w:t>
      </w:r>
      <w:r w:rsidR="00480D55">
        <w:t xml:space="preserve"> not issued within the </w:t>
      </w:r>
      <w:r w:rsidR="00371218">
        <w:t>120-day</w:t>
      </w:r>
      <w:r w:rsidR="00480D55">
        <w:t xml:space="preserve"> period set out in Regulation 7. Therefore, they must be withdrawn and insofar as the CEO has failed to comply with s15(1), this court is empowered to issue the </w:t>
      </w:r>
      <w:r w:rsidR="00F32C8D">
        <w:t xml:space="preserve">sought </w:t>
      </w:r>
      <w:r w:rsidR="00A07757">
        <w:t>declarator.</w:t>
      </w:r>
    </w:p>
    <w:p w14:paraId="0786E48D" w14:textId="690B245B" w:rsidR="00EE0024" w:rsidRDefault="00EE0024" w:rsidP="008957D6">
      <w:pPr>
        <w:spacing w:line="240" w:lineRule="auto"/>
        <w:jc w:val="both"/>
      </w:pPr>
    </w:p>
    <w:p w14:paraId="6B7EAB1F" w14:textId="77E53796" w:rsidR="00EE0024" w:rsidRPr="00EE0024" w:rsidRDefault="00EE0024" w:rsidP="00EE0024">
      <w:pPr>
        <w:spacing w:line="480" w:lineRule="auto"/>
        <w:jc w:val="both"/>
        <w:rPr>
          <w:b/>
        </w:rPr>
      </w:pPr>
      <w:r w:rsidRPr="00EE0024">
        <w:rPr>
          <w:b/>
        </w:rPr>
        <w:t>AD LETTER OF AUTHORITY</w:t>
      </w:r>
    </w:p>
    <w:p w14:paraId="50787E8F" w14:textId="286CBA10" w:rsidR="00010FF3" w:rsidRPr="00095503" w:rsidRDefault="00292ABE" w:rsidP="00292ABE">
      <w:pPr>
        <w:tabs>
          <w:tab w:val="left" w:pos="709"/>
        </w:tabs>
        <w:spacing w:line="480" w:lineRule="auto"/>
        <w:ind w:hanging="22"/>
        <w:jc w:val="both"/>
      </w:pPr>
      <w:r w:rsidRPr="00095503">
        <w:t>54]</w:t>
      </w:r>
      <w:r w:rsidRPr="00095503">
        <w:tab/>
      </w:r>
      <w:r w:rsidR="00EE0024">
        <w:t xml:space="preserve">The Regulator argued that the </w:t>
      </w:r>
      <w:r w:rsidR="0036276B">
        <w:t>LoA</w:t>
      </w:r>
      <w:r w:rsidR="00EE0024">
        <w:t xml:space="preserve"> was not issued because of Sparepro’s failure to comply with the s15(1) Directives and </w:t>
      </w:r>
      <w:r w:rsidR="004F13DE">
        <w:t xml:space="preserve">because </w:t>
      </w:r>
      <w:r w:rsidR="00EE0024">
        <w:t xml:space="preserve">Sparepro had failed to address its concerns. </w:t>
      </w:r>
    </w:p>
    <w:p w14:paraId="438CD167" w14:textId="77777777" w:rsidR="00010FF3" w:rsidRPr="00095503" w:rsidRDefault="00010FF3" w:rsidP="00095503">
      <w:pPr>
        <w:pStyle w:val="ListParagraph"/>
        <w:spacing w:line="480" w:lineRule="auto"/>
        <w:jc w:val="both"/>
      </w:pPr>
    </w:p>
    <w:p w14:paraId="529E1F28" w14:textId="083C0C4D" w:rsidR="00010FF3" w:rsidRDefault="00292ABE" w:rsidP="00292ABE">
      <w:pPr>
        <w:tabs>
          <w:tab w:val="left" w:pos="709"/>
        </w:tabs>
        <w:spacing w:line="480" w:lineRule="auto"/>
        <w:ind w:hanging="22"/>
        <w:jc w:val="both"/>
      </w:pPr>
      <w:r>
        <w:t>55]</w:t>
      </w:r>
      <w:r>
        <w:tab/>
      </w:r>
      <w:r w:rsidR="00C4563C">
        <w:t xml:space="preserve">However, Sparepro’s </w:t>
      </w:r>
      <w:r w:rsidR="0036276B">
        <w:t>LoA</w:t>
      </w:r>
      <w:r w:rsidR="00C4563C">
        <w:t xml:space="preserve"> expired in January 2022 and it filed for renewal</w:t>
      </w:r>
      <w:r w:rsidR="004F13DE">
        <w:t xml:space="preserve"> prior to that</w:t>
      </w:r>
      <w:r w:rsidR="00C4563C">
        <w:t xml:space="preserve">. By this time the relevant time period provided for in Regulation 7 </w:t>
      </w:r>
      <w:r w:rsidR="00033A3F">
        <w:t>had</w:t>
      </w:r>
      <w:r w:rsidR="00C4563C">
        <w:t xml:space="preserve"> expired and the CEO was obliged to withdraw the s15(1) Directives. Furthermore, the Regulator had provided Sparepro with an invoice, which it then paid. All of this being so, there was no basis upon which the Regulator could refuse to issue the </w:t>
      </w:r>
      <w:r w:rsidR="0036276B">
        <w:t>LoA.</w:t>
      </w:r>
    </w:p>
    <w:p w14:paraId="43966E2B" w14:textId="77777777" w:rsidR="00DD36E7" w:rsidRDefault="00DD36E7" w:rsidP="00DD36E7">
      <w:pPr>
        <w:pStyle w:val="ListParagraph"/>
      </w:pPr>
    </w:p>
    <w:p w14:paraId="42EDEF07" w14:textId="77777777" w:rsidR="00DD36E7" w:rsidRPr="00095503" w:rsidRDefault="00DD36E7" w:rsidP="00DD36E7">
      <w:pPr>
        <w:pStyle w:val="ListParagraph"/>
        <w:tabs>
          <w:tab w:val="left" w:pos="709"/>
        </w:tabs>
        <w:spacing w:line="480" w:lineRule="auto"/>
        <w:ind w:left="0"/>
        <w:jc w:val="both"/>
      </w:pPr>
    </w:p>
    <w:p w14:paraId="6908A74B" w14:textId="38F6E56D" w:rsidR="00010FF3" w:rsidRPr="00095503" w:rsidRDefault="00292ABE" w:rsidP="00292ABE">
      <w:pPr>
        <w:tabs>
          <w:tab w:val="left" w:pos="709"/>
        </w:tabs>
        <w:spacing w:line="480" w:lineRule="auto"/>
        <w:ind w:hanging="22"/>
        <w:jc w:val="both"/>
      </w:pPr>
      <w:r w:rsidRPr="00095503">
        <w:lastRenderedPageBreak/>
        <w:t>56]</w:t>
      </w:r>
      <w:r w:rsidRPr="00095503">
        <w:tab/>
      </w:r>
      <w:r w:rsidR="00C4563C">
        <w:t>In any event, the Regulator conceded in argument that should I</w:t>
      </w:r>
      <w:r w:rsidR="007B0B0A">
        <w:t xml:space="preserve"> set aside the s15(3) Directive</w:t>
      </w:r>
      <w:r w:rsidR="00C4563C">
        <w:t xml:space="preserve">, there would be no basis upon which this relief could be refused. </w:t>
      </w:r>
    </w:p>
    <w:p w14:paraId="189A806E" w14:textId="77777777" w:rsidR="00102A59" w:rsidRDefault="00102A59" w:rsidP="00102A59">
      <w:pPr>
        <w:spacing w:after="0" w:line="240" w:lineRule="auto"/>
        <w:jc w:val="both"/>
        <w:rPr>
          <w:b/>
        </w:rPr>
      </w:pPr>
    </w:p>
    <w:p w14:paraId="2F3ECA68" w14:textId="0F49ADBA" w:rsidR="00010FF3" w:rsidRPr="008957D6" w:rsidRDefault="008957D6" w:rsidP="00102A59">
      <w:pPr>
        <w:spacing w:before="240" w:line="240" w:lineRule="auto"/>
        <w:jc w:val="both"/>
        <w:rPr>
          <w:b/>
        </w:rPr>
      </w:pPr>
      <w:r w:rsidRPr="008957D6">
        <w:rPr>
          <w:b/>
        </w:rPr>
        <w:t>THE RETURN OF SEIZED GOODS</w:t>
      </w:r>
    </w:p>
    <w:p w14:paraId="103B7D11" w14:textId="0618A5F7" w:rsidR="00010FF3" w:rsidRDefault="00292ABE" w:rsidP="00292ABE">
      <w:pPr>
        <w:tabs>
          <w:tab w:val="left" w:pos="1276"/>
        </w:tabs>
        <w:spacing w:line="480" w:lineRule="auto"/>
        <w:ind w:left="709" w:hanging="731"/>
        <w:jc w:val="both"/>
      </w:pPr>
      <w:r>
        <w:t>57]</w:t>
      </w:r>
      <w:r>
        <w:tab/>
      </w:r>
      <w:r w:rsidR="001A56A3">
        <w:t xml:space="preserve">Prayer 7 </w:t>
      </w:r>
      <w:r w:rsidR="007B0B0A">
        <w:t xml:space="preserve">of the Amended Notice of Motion </w:t>
      </w:r>
      <w:r w:rsidR="001A56A3">
        <w:t>reads:</w:t>
      </w:r>
    </w:p>
    <w:p w14:paraId="780589B7" w14:textId="00115468" w:rsidR="001A56A3" w:rsidRPr="001A56A3" w:rsidRDefault="001A56A3" w:rsidP="001A56A3">
      <w:pPr>
        <w:tabs>
          <w:tab w:val="left" w:pos="1276"/>
        </w:tabs>
        <w:spacing w:line="480" w:lineRule="auto"/>
        <w:ind w:left="709"/>
        <w:jc w:val="both"/>
        <w:rPr>
          <w:i/>
          <w:sz w:val="22"/>
        </w:rPr>
      </w:pPr>
      <w:r w:rsidRPr="001A56A3">
        <w:rPr>
          <w:i/>
          <w:sz w:val="22"/>
        </w:rPr>
        <w:t>“Directing the NRCS to return to the applicant the Kratex brake pads seized and confiscated from the applicant’s clients’ premises;”</w:t>
      </w:r>
    </w:p>
    <w:p w14:paraId="163153E2" w14:textId="639F2E3A" w:rsidR="00010FF3" w:rsidRDefault="00263FDE" w:rsidP="0036276B">
      <w:pPr>
        <w:spacing w:after="0" w:line="480" w:lineRule="auto"/>
        <w:ind w:left="709" w:firstLine="11"/>
        <w:jc w:val="both"/>
      </w:pPr>
      <w:r>
        <w:t>Given that this is a consequence of the</w:t>
      </w:r>
      <w:r w:rsidR="007B0B0A">
        <w:t xml:space="preserve"> withdrawal of </w:t>
      </w:r>
      <w:r w:rsidR="00C97042">
        <w:t>the s</w:t>
      </w:r>
      <w:r>
        <w:t>15(1) Directives, this relief would follow.</w:t>
      </w:r>
    </w:p>
    <w:p w14:paraId="3D18D741" w14:textId="75324F3A" w:rsidR="0036276B" w:rsidRDefault="0036276B" w:rsidP="00263FDE">
      <w:pPr>
        <w:spacing w:line="480" w:lineRule="auto"/>
        <w:jc w:val="both"/>
        <w:rPr>
          <w:b/>
        </w:rPr>
      </w:pPr>
    </w:p>
    <w:p w14:paraId="01FA5DDF" w14:textId="08F1BE29" w:rsidR="00263FDE" w:rsidRPr="00263FDE" w:rsidRDefault="00263FDE" w:rsidP="00263FDE">
      <w:pPr>
        <w:spacing w:line="480" w:lineRule="auto"/>
        <w:jc w:val="both"/>
        <w:rPr>
          <w:b/>
        </w:rPr>
      </w:pPr>
      <w:r w:rsidRPr="00263FDE">
        <w:rPr>
          <w:b/>
        </w:rPr>
        <w:t>FURTHER RELIEF</w:t>
      </w:r>
    </w:p>
    <w:p w14:paraId="0C367785" w14:textId="5E0F92B2" w:rsidR="00010FF3" w:rsidRPr="00095503" w:rsidRDefault="00292ABE" w:rsidP="00292ABE">
      <w:pPr>
        <w:tabs>
          <w:tab w:val="left" w:pos="709"/>
        </w:tabs>
        <w:spacing w:line="480" w:lineRule="auto"/>
        <w:jc w:val="both"/>
      </w:pPr>
      <w:r w:rsidRPr="00095503">
        <w:t>58]</w:t>
      </w:r>
      <w:r w:rsidRPr="00095503">
        <w:tab/>
      </w:r>
      <w:r w:rsidR="00640B8A">
        <w:t>The parties were ad ite</w:t>
      </w:r>
      <w:r w:rsidR="00263FDE">
        <w:t>m that the only relevant relief was that contained in Prayer</w:t>
      </w:r>
      <w:r w:rsidR="007B0B0A">
        <w:t>s</w:t>
      </w:r>
      <w:r w:rsidR="00263FDE">
        <w:t xml:space="preserve"> 1, (excluding A and 1B), 2, 6 and 7. The remainder of the relief in the Amended Notice of Motion was not persisted with.</w:t>
      </w:r>
    </w:p>
    <w:p w14:paraId="569ED7BF" w14:textId="77777777" w:rsidR="007B5E4D" w:rsidRDefault="007B5E4D" w:rsidP="007B5E4D">
      <w:pPr>
        <w:spacing w:after="0" w:line="240" w:lineRule="auto"/>
        <w:jc w:val="both"/>
        <w:rPr>
          <w:b/>
        </w:rPr>
      </w:pPr>
    </w:p>
    <w:p w14:paraId="0BE1C311" w14:textId="4DFBF97C" w:rsidR="00263FDE" w:rsidRPr="00263FDE" w:rsidRDefault="00263FDE" w:rsidP="00263FDE">
      <w:pPr>
        <w:spacing w:line="480" w:lineRule="auto"/>
        <w:jc w:val="both"/>
        <w:rPr>
          <w:b/>
        </w:rPr>
      </w:pPr>
      <w:r w:rsidRPr="00263FDE">
        <w:rPr>
          <w:b/>
        </w:rPr>
        <w:t>COSTS</w:t>
      </w:r>
    </w:p>
    <w:p w14:paraId="2B9AA767" w14:textId="5682DD6C" w:rsidR="00010FF3" w:rsidRDefault="00292ABE" w:rsidP="00292ABE">
      <w:pPr>
        <w:tabs>
          <w:tab w:val="left" w:pos="709"/>
        </w:tabs>
        <w:spacing w:line="480" w:lineRule="auto"/>
        <w:ind w:hanging="22"/>
        <w:jc w:val="both"/>
      </w:pPr>
      <w:r>
        <w:t>59]</w:t>
      </w:r>
      <w:r>
        <w:tab/>
      </w:r>
      <w:r w:rsidR="00263FDE">
        <w:t>The matter is of importance to both parties. The Regulator argued that the guidelines established in this matter were of importance to establish the proper and efficient way it would regulate its duties going forward. The matter is also relatively complex and the papers voluminous. Both parties were represented by 2 counsel who each sought costs on Scale C. I agree that the scale is commensurate with all these factors.</w:t>
      </w:r>
    </w:p>
    <w:p w14:paraId="4DEC7D1B" w14:textId="295F0038" w:rsidR="00EE029D" w:rsidRDefault="00EE029D" w:rsidP="00EE029D">
      <w:pPr>
        <w:pStyle w:val="ListParagraph"/>
        <w:tabs>
          <w:tab w:val="left" w:pos="709"/>
        </w:tabs>
        <w:spacing w:line="480" w:lineRule="auto"/>
        <w:ind w:left="0"/>
        <w:jc w:val="both"/>
      </w:pPr>
    </w:p>
    <w:p w14:paraId="3C982FB9" w14:textId="77777777" w:rsidR="00EE029D" w:rsidRPr="00095503" w:rsidRDefault="00EE029D" w:rsidP="00EE029D">
      <w:pPr>
        <w:pStyle w:val="ListParagraph"/>
        <w:tabs>
          <w:tab w:val="left" w:pos="709"/>
        </w:tabs>
        <w:spacing w:line="480" w:lineRule="auto"/>
        <w:ind w:left="0"/>
        <w:jc w:val="both"/>
      </w:pPr>
    </w:p>
    <w:p w14:paraId="36951B7E" w14:textId="06E572C0" w:rsidR="00E42A19" w:rsidRPr="00E42A19" w:rsidRDefault="00E42A19" w:rsidP="00E42A19">
      <w:pPr>
        <w:spacing w:line="480" w:lineRule="auto"/>
        <w:jc w:val="both"/>
        <w:rPr>
          <w:b/>
        </w:rPr>
      </w:pPr>
      <w:r w:rsidRPr="00E42A19">
        <w:rPr>
          <w:b/>
        </w:rPr>
        <w:lastRenderedPageBreak/>
        <w:t>ORDER</w:t>
      </w:r>
    </w:p>
    <w:p w14:paraId="5E0D03D7" w14:textId="7A85A40F" w:rsidR="00010FF3" w:rsidRDefault="00292ABE" w:rsidP="00292ABE">
      <w:pPr>
        <w:tabs>
          <w:tab w:val="left" w:pos="1276"/>
        </w:tabs>
        <w:spacing w:line="480" w:lineRule="auto"/>
        <w:ind w:left="709" w:hanging="731"/>
        <w:jc w:val="both"/>
      </w:pPr>
      <w:r>
        <w:t>60]</w:t>
      </w:r>
      <w:r>
        <w:tab/>
      </w:r>
      <w:r w:rsidR="00E42A19">
        <w:t>The order is the following:</w:t>
      </w:r>
    </w:p>
    <w:p w14:paraId="0F32CB44" w14:textId="3B627B1C" w:rsidR="00E42A19" w:rsidRDefault="00292ABE" w:rsidP="00292ABE">
      <w:pPr>
        <w:tabs>
          <w:tab w:val="left" w:pos="1418"/>
        </w:tabs>
        <w:spacing w:line="480" w:lineRule="auto"/>
        <w:ind w:left="1418" w:hanging="709"/>
        <w:jc w:val="both"/>
      </w:pPr>
      <w:r>
        <w:t>1)</w:t>
      </w:r>
      <w:r>
        <w:tab/>
      </w:r>
      <w:r w:rsidR="007B0B0A">
        <w:t xml:space="preserve">The </w:t>
      </w:r>
      <w:r w:rsidR="002965F2">
        <w:t xml:space="preserve">Section 15(3) Directive No. [ADD 41220, 41226] (the “Section 15(3) Directive”), issued by the First Respondent (the </w:t>
      </w:r>
      <w:r w:rsidR="007B0B0A">
        <w:t>“NRCS”) by email on 8 June 2022 is reviewed and set aside.</w:t>
      </w:r>
    </w:p>
    <w:p w14:paraId="6CDEE1EA" w14:textId="2F627B9E" w:rsidR="002965F2" w:rsidRDefault="00292ABE" w:rsidP="00292ABE">
      <w:pPr>
        <w:tabs>
          <w:tab w:val="left" w:pos="1418"/>
        </w:tabs>
        <w:spacing w:line="480" w:lineRule="auto"/>
        <w:ind w:left="1418" w:hanging="709"/>
        <w:jc w:val="both"/>
      </w:pPr>
      <w:r>
        <w:t>2)</w:t>
      </w:r>
      <w:r>
        <w:tab/>
      </w:r>
      <w:r w:rsidR="007B0B0A">
        <w:t>The</w:t>
      </w:r>
      <w:r w:rsidR="002965F2">
        <w:t xml:space="preserve"> Chief Executive Officer of the First Respondent (“NRCS”) </w:t>
      </w:r>
      <w:r w:rsidR="007B0B0A">
        <w:t xml:space="preserve">is directed to </w:t>
      </w:r>
      <w:r w:rsidR="002965F2">
        <w:t xml:space="preserve">withdraw Directive No. ADD 41220, issued in terms of section 15(1) of the National Regulator for Compulsory Specifications, Act 5 of 2008 (the “NRCS Act”) on 7 September 2021, </w:t>
      </w:r>
      <w:r w:rsidR="007B0B0A">
        <w:t xml:space="preserve">as well as </w:t>
      </w:r>
      <w:r w:rsidR="002965F2">
        <w:t>Directive No. ADD 41226, issued under section 15(1) of the NRCS Act on 17 September 2021 (the “section 15(1) Directives”), in terms of regulation 7(1)(a) of the Regulation promu</w:t>
      </w:r>
      <w:r w:rsidR="00467F22">
        <w:t>lgated in terms of the NRCS Act.</w:t>
      </w:r>
    </w:p>
    <w:p w14:paraId="6A47ECE2" w14:textId="27D02882" w:rsidR="002965F2" w:rsidRDefault="00292ABE" w:rsidP="00292ABE">
      <w:pPr>
        <w:tabs>
          <w:tab w:val="left" w:pos="1418"/>
        </w:tabs>
        <w:spacing w:line="480" w:lineRule="auto"/>
        <w:ind w:left="1418" w:hanging="709"/>
        <w:jc w:val="both"/>
      </w:pPr>
      <w:r>
        <w:t>3)</w:t>
      </w:r>
      <w:r>
        <w:tab/>
      </w:r>
      <w:r w:rsidR="00467F22">
        <w:t>The</w:t>
      </w:r>
      <w:r w:rsidR="002965F2">
        <w:t xml:space="preserve"> NRCS’s refusal to issue the applicant with letters of authority (“LOAs”) </w:t>
      </w:r>
      <w:r w:rsidR="00467F22">
        <w:t>is reviewed and set aside and the NRCS is directed to issue the Applicant with the relevant Letter of Authority.</w:t>
      </w:r>
    </w:p>
    <w:p w14:paraId="0213CE2C" w14:textId="134A3695" w:rsidR="002965F2" w:rsidRDefault="00292ABE" w:rsidP="00292ABE">
      <w:pPr>
        <w:tabs>
          <w:tab w:val="left" w:pos="1418"/>
        </w:tabs>
        <w:spacing w:line="480" w:lineRule="auto"/>
        <w:ind w:left="1418" w:hanging="709"/>
        <w:jc w:val="both"/>
      </w:pPr>
      <w:r>
        <w:t>4)</w:t>
      </w:r>
      <w:r>
        <w:tab/>
      </w:r>
      <w:r w:rsidR="0004373D">
        <w:t>The</w:t>
      </w:r>
      <w:r w:rsidR="002965F2">
        <w:t xml:space="preserve"> NRCS </w:t>
      </w:r>
      <w:r w:rsidR="0004373D">
        <w:t xml:space="preserve">is directed </w:t>
      </w:r>
      <w:r w:rsidR="002965F2">
        <w:t>to return to the applicant the Kratex brake pads seized and confiscated from th</w:t>
      </w:r>
      <w:r w:rsidR="0004373D">
        <w:t>e applicant’s clients’ premises.</w:t>
      </w:r>
    </w:p>
    <w:p w14:paraId="440CC170" w14:textId="3FE55715" w:rsidR="002965F2" w:rsidRPr="00095503" w:rsidRDefault="00292ABE" w:rsidP="00292ABE">
      <w:pPr>
        <w:tabs>
          <w:tab w:val="left" w:pos="1418"/>
        </w:tabs>
        <w:spacing w:line="480" w:lineRule="auto"/>
        <w:ind w:left="1418" w:hanging="709"/>
        <w:jc w:val="both"/>
      </w:pPr>
      <w:r w:rsidRPr="00095503">
        <w:t>5)</w:t>
      </w:r>
      <w:r w:rsidRPr="00095503">
        <w:tab/>
      </w:r>
      <w:r w:rsidR="002965F2">
        <w:t xml:space="preserve">The </w:t>
      </w:r>
      <w:r w:rsidR="006428AD">
        <w:t xml:space="preserve">first respondent is </w:t>
      </w:r>
      <w:r w:rsidR="002965F2">
        <w:t>ordered to pay the applicant’s costs, including the costs of the 2 counsel of which one is Senior Counsel, on scale C.</w:t>
      </w:r>
    </w:p>
    <w:p w14:paraId="38681E42" w14:textId="5FD4BCF8" w:rsidR="0051199E" w:rsidRPr="007E3C57" w:rsidRDefault="0051199E" w:rsidP="00C97532">
      <w:pPr>
        <w:spacing w:after="0" w:line="480" w:lineRule="auto"/>
        <w:jc w:val="both"/>
      </w:pPr>
    </w:p>
    <w:p w14:paraId="26B2A000" w14:textId="08634B12" w:rsidR="00036264" w:rsidRPr="007810C3" w:rsidRDefault="00036264" w:rsidP="00C97532">
      <w:pPr>
        <w:shd w:val="clear" w:color="auto" w:fill="FFFFFF"/>
        <w:spacing w:after="0" w:line="480" w:lineRule="auto"/>
        <w:jc w:val="both"/>
        <w:rPr>
          <w:noProof/>
          <w:lang w:eastAsia="en-ZA"/>
        </w:rPr>
      </w:pPr>
    </w:p>
    <w:p w14:paraId="3B6714A9" w14:textId="77777777" w:rsidR="004B0502" w:rsidRPr="00815BE4" w:rsidRDefault="004B0502" w:rsidP="004B0502">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rFonts w:ascii="Calibri" w:hAnsi="Calibri" w:cs="Calibri"/>
          <w:lang w:val="en-GB"/>
        </w:rPr>
      </w:pPr>
      <w:r>
        <w:rPr>
          <w:rFonts w:ascii="Calibri" w:hAnsi="Calibri" w:cs="Calibri"/>
          <w:noProof/>
          <w:lang w:eastAsia="en-ZA"/>
        </w:rPr>
        <w:t>___________________________</w:t>
      </w:r>
    </w:p>
    <w:p w14:paraId="7C90622C" w14:textId="77777777" w:rsidR="004B0502"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 xml:space="preserve"> NEUKIRCHER J</w:t>
      </w:r>
    </w:p>
    <w:p w14:paraId="4A1321ED" w14:textId="77777777" w:rsidR="004B0502" w:rsidRPr="00992F34"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JUDGE OF THE HIGH COURT</w:t>
      </w:r>
    </w:p>
    <w:p w14:paraId="5B096952" w14:textId="77777777" w:rsidR="004B0502"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GAUTENG DIVISION, PRETORIA</w:t>
      </w:r>
    </w:p>
    <w:p w14:paraId="131A6208" w14:textId="77777777" w:rsidR="004B0502"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lang w:val="en-GB"/>
        </w:rPr>
      </w:pPr>
    </w:p>
    <w:p w14:paraId="762F8E51" w14:textId="5FFDE7C4" w:rsidR="004B0502" w:rsidRPr="00BC4A37"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lang w:val="en-GB"/>
        </w:rPr>
      </w:pPr>
      <w:r w:rsidRPr="00BC4A37">
        <w:rPr>
          <w:lang w:val="en-GB"/>
        </w:rPr>
        <w:t xml:space="preserve">Delivered:  This judgment was prepared and authored by the Judge whose name </w:t>
      </w:r>
      <w:r w:rsidR="00FB7367">
        <w:rPr>
          <w:lang w:val="en-GB"/>
        </w:rPr>
        <w:t>is</w:t>
      </w:r>
      <w:r w:rsidRPr="00BC4A37">
        <w:rPr>
          <w:lang w:val="en-GB"/>
        </w:rPr>
        <w:t xml:space="preserve"> reflected and is handed down electronically by circulation to the parties/their legal representatives by email and by uploading it to the electronic file of this matter on CaseLines.  The date for hand-down is deemed to be </w:t>
      </w:r>
      <w:r w:rsidR="00E61FFE">
        <w:rPr>
          <w:lang w:val="en-GB"/>
        </w:rPr>
        <w:t>4 June 2024</w:t>
      </w:r>
    </w:p>
    <w:p w14:paraId="1973A939" w14:textId="77777777" w:rsidR="004B0502" w:rsidRDefault="004B0502" w:rsidP="004B0502">
      <w:pPr>
        <w:widowControl w:val="0"/>
        <w:autoSpaceDE w:val="0"/>
        <w:autoSpaceDN w:val="0"/>
        <w:adjustRightInd w:val="0"/>
        <w:spacing w:after="0" w:line="360" w:lineRule="auto"/>
        <w:jc w:val="both"/>
      </w:pPr>
    </w:p>
    <w:p w14:paraId="0F9F933B" w14:textId="00DC5336" w:rsidR="004B0502" w:rsidRPr="000A48D3" w:rsidRDefault="004B0502" w:rsidP="00C63292">
      <w:pPr>
        <w:widowControl w:val="0"/>
        <w:autoSpaceDE w:val="0"/>
        <w:autoSpaceDN w:val="0"/>
        <w:adjustRightInd w:val="0"/>
        <w:spacing w:after="0" w:line="360" w:lineRule="auto"/>
        <w:ind w:left="3600" w:hanging="3600"/>
        <w:jc w:val="both"/>
      </w:pPr>
      <w:r w:rsidRPr="000A48D3">
        <w:t xml:space="preserve">For the </w:t>
      </w:r>
      <w:r w:rsidR="000A48D3" w:rsidRPr="000A48D3">
        <w:t>Applicant</w:t>
      </w:r>
      <w:r w:rsidRPr="000A48D3">
        <w:tab/>
        <w:t xml:space="preserve">: </w:t>
      </w:r>
      <w:r w:rsidRPr="000A48D3">
        <w:tab/>
      </w:r>
      <w:r w:rsidR="006668C9">
        <w:t>Adv P Farlam SC with Adv V Mabuza</w:t>
      </w:r>
    </w:p>
    <w:p w14:paraId="77E00756" w14:textId="3D7B14E2" w:rsidR="004B0502" w:rsidRPr="000A48D3" w:rsidRDefault="004B0502" w:rsidP="004B0502">
      <w:pPr>
        <w:widowControl w:val="0"/>
        <w:autoSpaceDE w:val="0"/>
        <w:autoSpaceDN w:val="0"/>
        <w:adjustRightInd w:val="0"/>
        <w:spacing w:after="0" w:line="360" w:lineRule="auto"/>
        <w:jc w:val="both"/>
      </w:pPr>
      <w:r w:rsidRPr="000A48D3">
        <w:t>Instructed by</w:t>
      </w:r>
      <w:r w:rsidRPr="000A48D3">
        <w:tab/>
      </w:r>
      <w:r w:rsidRPr="000A48D3">
        <w:tab/>
      </w:r>
      <w:r w:rsidRPr="000A48D3">
        <w:tab/>
      </w:r>
      <w:r w:rsidRPr="000A48D3">
        <w:tab/>
        <w:t>:</w:t>
      </w:r>
      <w:r w:rsidRPr="000A48D3">
        <w:tab/>
      </w:r>
      <w:r w:rsidR="006668C9">
        <w:t>Edward Nathan Sonnenbergs Inc</w:t>
      </w:r>
    </w:p>
    <w:p w14:paraId="585595A7" w14:textId="77777777" w:rsidR="000A48D3" w:rsidRPr="000A48D3" w:rsidRDefault="000A48D3" w:rsidP="00C63292">
      <w:pPr>
        <w:widowControl w:val="0"/>
        <w:autoSpaceDE w:val="0"/>
        <w:autoSpaceDN w:val="0"/>
        <w:adjustRightInd w:val="0"/>
        <w:spacing w:after="0" w:line="360" w:lineRule="auto"/>
        <w:jc w:val="both"/>
      </w:pPr>
    </w:p>
    <w:p w14:paraId="06C3CE8C" w14:textId="1AB0E27D" w:rsidR="004B0502" w:rsidRPr="000A48D3" w:rsidRDefault="004B0502" w:rsidP="00C63292">
      <w:pPr>
        <w:widowControl w:val="0"/>
        <w:autoSpaceDE w:val="0"/>
        <w:autoSpaceDN w:val="0"/>
        <w:adjustRightInd w:val="0"/>
        <w:spacing w:after="0" w:line="360" w:lineRule="auto"/>
        <w:jc w:val="both"/>
      </w:pPr>
      <w:r w:rsidRPr="000A48D3">
        <w:t xml:space="preserve">For the </w:t>
      </w:r>
      <w:r w:rsidR="000A48D3" w:rsidRPr="000A48D3">
        <w:t>First Respondent</w:t>
      </w:r>
      <w:r w:rsidRPr="000A48D3">
        <w:tab/>
      </w:r>
      <w:r w:rsidRPr="000A48D3">
        <w:tab/>
        <w:t>:</w:t>
      </w:r>
      <w:r w:rsidRPr="000A48D3">
        <w:tab/>
      </w:r>
      <w:r w:rsidR="006668C9">
        <w:t>Adv P Ngcongo with Adv J Mthembu</w:t>
      </w:r>
    </w:p>
    <w:p w14:paraId="20D79725" w14:textId="67C2EB8F" w:rsidR="004B0502" w:rsidRPr="000A48D3" w:rsidRDefault="004B0502" w:rsidP="004B0502">
      <w:pPr>
        <w:widowControl w:val="0"/>
        <w:autoSpaceDE w:val="0"/>
        <w:autoSpaceDN w:val="0"/>
        <w:adjustRightInd w:val="0"/>
        <w:spacing w:after="0" w:line="360" w:lineRule="auto"/>
        <w:jc w:val="both"/>
      </w:pPr>
      <w:r w:rsidRPr="000A48D3">
        <w:t>Instructed by</w:t>
      </w:r>
      <w:r w:rsidRPr="000A48D3">
        <w:tab/>
      </w:r>
      <w:r w:rsidRPr="000A48D3">
        <w:tab/>
      </w:r>
      <w:r w:rsidRPr="000A48D3">
        <w:tab/>
      </w:r>
      <w:r w:rsidRPr="000A48D3">
        <w:tab/>
        <w:t xml:space="preserve">: </w:t>
      </w:r>
      <w:r w:rsidRPr="000A48D3">
        <w:tab/>
      </w:r>
      <w:r w:rsidR="006668C9">
        <w:t>GMI Attorneys</w:t>
      </w:r>
    </w:p>
    <w:p w14:paraId="7AF87947" w14:textId="77777777" w:rsidR="000A48D3" w:rsidRPr="000A48D3" w:rsidRDefault="000A48D3" w:rsidP="000A48D3">
      <w:pPr>
        <w:widowControl w:val="0"/>
        <w:autoSpaceDE w:val="0"/>
        <w:autoSpaceDN w:val="0"/>
        <w:adjustRightInd w:val="0"/>
        <w:spacing w:after="0" w:line="360" w:lineRule="auto"/>
        <w:jc w:val="both"/>
      </w:pPr>
    </w:p>
    <w:p w14:paraId="1F79E4AE" w14:textId="27B2BA65" w:rsidR="000A48D3" w:rsidRPr="000A48D3" w:rsidRDefault="000A48D3" w:rsidP="000A48D3">
      <w:pPr>
        <w:widowControl w:val="0"/>
        <w:autoSpaceDE w:val="0"/>
        <w:autoSpaceDN w:val="0"/>
        <w:adjustRightInd w:val="0"/>
        <w:spacing w:after="0" w:line="360" w:lineRule="auto"/>
        <w:jc w:val="both"/>
      </w:pPr>
      <w:r w:rsidRPr="000A48D3">
        <w:t>For the Second Respondent</w:t>
      </w:r>
      <w:r w:rsidRPr="000A48D3">
        <w:tab/>
      </w:r>
      <w:r w:rsidR="006668C9">
        <w:t>:</w:t>
      </w:r>
      <w:r w:rsidR="006668C9">
        <w:tab/>
        <w:t>No appearance</w:t>
      </w:r>
      <w:r w:rsidRPr="000A48D3">
        <w:tab/>
      </w:r>
      <w:r w:rsidRPr="000A48D3">
        <w:tab/>
      </w:r>
    </w:p>
    <w:p w14:paraId="73F449FF" w14:textId="4803F55D" w:rsidR="000A48D3" w:rsidRPr="000A48D3" w:rsidRDefault="006668C9" w:rsidP="000A48D3">
      <w:pPr>
        <w:widowControl w:val="0"/>
        <w:autoSpaceDE w:val="0"/>
        <w:autoSpaceDN w:val="0"/>
        <w:adjustRightInd w:val="0"/>
        <w:spacing w:after="0" w:line="360" w:lineRule="auto"/>
        <w:jc w:val="both"/>
      </w:pPr>
      <w:r>
        <w:t>and</w:t>
      </w:r>
      <w:r w:rsidR="000A48D3" w:rsidRPr="000A48D3">
        <w:t xml:space="preserve"> Third Respondent</w:t>
      </w:r>
      <w:r w:rsidR="000A48D3" w:rsidRPr="000A48D3">
        <w:tab/>
      </w:r>
      <w:r w:rsidR="000A48D3" w:rsidRPr="000A48D3">
        <w:tab/>
      </w:r>
      <w:r w:rsidR="000A48D3" w:rsidRPr="000A48D3">
        <w:tab/>
      </w:r>
    </w:p>
    <w:p w14:paraId="09CE2875" w14:textId="77777777" w:rsidR="004B0502" w:rsidRPr="000A48D3" w:rsidRDefault="004B0502" w:rsidP="004B0502">
      <w:pPr>
        <w:widowControl w:val="0"/>
        <w:autoSpaceDE w:val="0"/>
        <w:autoSpaceDN w:val="0"/>
        <w:adjustRightInd w:val="0"/>
        <w:spacing w:after="0" w:line="360" w:lineRule="auto"/>
        <w:jc w:val="both"/>
      </w:pPr>
    </w:p>
    <w:p w14:paraId="44F2C4F4" w14:textId="2B464CDA" w:rsidR="004B0502" w:rsidRPr="000A48D3" w:rsidRDefault="004B0502" w:rsidP="004B0502">
      <w:pPr>
        <w:widowControl w:val="0"/>
        <w:autoSpaceDE w:val="0"/>
        <w:autoSpaceDN w:val="0"/>
        <w:adjustRightInd w:val="0"/>
        <w:spacing w:after="0" w:line="360" w:lineRule="auto"/>
        <w:jc w:val="both"/>
      </w:pPr>
      <w:r w:rsidRPr="000A48D3">
        <w:t xml:space="preserve">Matter heard on      </w:t>
      </w:r>
      <w:r w:rsidRPr="000A48D3">
        <w:tab/>
      </w:r>
      <w:r w:rsidRPr="000A48D3">
        <w:tab/>
      </w:r>
      <w:r w:rsidRPr="000A48D3">
        <w:tab/>
        <w:t xml:space="preserve">: </w:t>
      </w:r>
      <w:r w:rsidRPr="000A48D3">
        <w:tab/>
      </w:r>
      <w:r w:rsidR="0044230F">
        <w:t>7</w:t>
      </w:r>
      <w:r w:rsidR="001A17AA">
        <w:t xml:space="preserve"> May 2024 </w:t>
      </w:r>
    </w:p>
    <w:p w14:paraId="307AA42D" w14:textId="318ADCD2" w:rsidR="004B0502" w:rsidRPr="000A48D3" w:rsidRDefault="004B0502" w:rsidP="004B0502">
      <w:pPr>
        <w:widowControl w:val="0"/>
        <w:autoSpaceDE w:val="0"/>
        <w:autoSpaceDN w:val="0"/>
        <w:adjustRightInd w:val="0"/>
        <w:spacing w:after="0" w:line="360" w:lineRule="auto"/>
        <w:jc w:val="both"/>
      </w:pPr>
      <w:r w:rsidRPr="000A48D3">
        <w:t>Judgment date</w:t>
      </w:r>
      <w:r w:rsidRPr="000A48D3">
        <w:tab/>
      </w:r>
      <w:r w:rsidRPr="000A48D3">
        <w:tab/>
      </w:r>
      <w:r w:rsidRPr="000A48D3">
        <w:tab/>
        <w:t>:</w:t>
      </w:r>
      <w:r w:rsidRPr="000A48D3">
        <w:tab/>
      </w:r>
      <w:r w:rsidR="00E61FFE">
        <w:t>4 June 2024</w:t>
      </w:r>
    </w:p>
    <w:p w14:paraId="6BF91C86" w14:textId="77777777" w:rsidR="004B0502" w:rsidRPr="000A48D3" w:rsidRDefault="004B0502" w:rsidP="004B0502"/>
    <w:p w14:paraId="4EC83A23" w14:textId="77777777" w:rsidR="004B0502" w:rsidRDefault="004B0502" w:rsidP="00F15823">
      <w:pPr>
        <w:spacing w:after="0" w:line="480" w:lineRule="auto"/>
        <w:jc w:val="both"/>
      </w:pPr>
    </w:p>
    <w:sectPr w:rsidR="004B050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ABC25" w14:textId="77777777" w:rsidR="006A0092" w:rsidRDefault="006A0092" w:rsidP="00EE0C65">
      <w:pPr>
        <w:spacing w:after="0" w:line="240" w:lineRule="auto"/>
      </w:pPr>
      <w:r>
        <w:separator/>
      </w:r>
    </w:p>
  </w:endnote>
  <w:endnote w:type="continuationSeparator" w:id="0">
    <w:p w14:paraId="2C25134E" w14:textId="77777777" w:rsidR="006A0092" w:rsidRDefault="006A0092" w:rsidP="00EE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19815" w14:textId="77777777" w:rsidR="006A0092" w:rsidRDefault="006A0092" w:rsidP="00EE0C65">
      <w:pPr>
        <w:spacing w:after="0" w:line="240" w:lineRule="auto"/>
      </w:pPr>
      <w:r>
        <w:separator/>
      </w:r>
    </w:p>
  </w:footnote>
  <w:footnote w:type="continuationSeparator" w:id="0">
    <w:p w14:paraId="3F08D7CA" w14:textId="77777777" w:rsidR="006A0092" w:rsidRDefault="006A0092" w:rsidP="00EE0C65">
      <w:pPr>
        <w:spacing w:after="0" w:line="240" w:lineRule="auto"/>
      </w:pPr>
      <w:r>
        <w:continuationSeparator/>
      </w:r>
    </w:p>
  </w:footnote>
  <w:footnote w:id="1">
    <w:p w14:paraId="2A84F8EC" w14:textId="36C64B5D" w:rsidR="00927EA6" w:rsidRDefault="00927EA6">
      <w:pPr>
        <w:pStyle w:val="FootnoteText"/>
      </w:pPr>
      <w:r>
        <w:rPr>
          <w:rStyle w:val="FootnoteReference"/>
        </w:rPr>
        <w:footnoteRef/>
      </w:r>
      <w:r>
        <w:t xml:space="preserve"> The National Regulator for Compulsory Specifications (the Regulator).</w:t>
      </w:r>
    </w:p>
  </w:footnote>
  <w:footnote w:id="2">
    <w:p w14:paraId="3BDD1C35" w14:textId="704D7D1B" w:rsidR="00927EA6" w:rsidRDefault="00927EA6">
      <w:pPr>
        <w:pStyle w:val="FootnoteText"/>
      </w:pPr>
      <w:r>
        <w:rPr>
          <w:rStyle w:val="FootnoteReference"/>
        </w:rPr>
        <w:footnoteRef/>
      </w:r>
      <w:r w:rsidR="00B810EA">
        <w:t xml:space="preserve"> N</w:t>
      </w:r>
      <w:r>
        <w:t>R</w:t>
      </w:r>
      <w:r w:rsidR="00B810EA">
        <w:t>C</w:t>
      </w:r>
      <w:r>
        <w:t>S Act – preamble.</w:t>
      </w:r>
    </w:p>
  </w:footnote>
  <w:footnote w:id="3">
    <w:p w14:paraId="6DD6E8E0" w14:textId="01B00A4F" w:rsidR="00927EA6" w:rsidRDefault="00927EA6">
      <w:pPr>
        <w:pStyle w:val="FootnoteText"/>
      </w:pPr>
      <w:r>
        <w:rPr>
          <w:rStyle w:val="FootnoteReference"/>
        </w:rPr>
        <w:footnoteRef/>
      </w:r>
      <w:r>
        <w:t xml:space="preserve"> Section 5(1)(b) and (d)</w:t>
      </w:r>
    </w:p>
  </w:footnote>
  <w:footnote w:id="4">
    <w:p w14:paraId="5D59E39D" w14:textId="5AA362C6" w:rsidR="00927EA6" w:rsidRDefault="00927EA6">
      <w:pPr>
        <w:pStyle w:val="FootnoteText"/>
      </w:pPr>
      <w:r>
        <w:rPr>
          <w:rStyle w:val="FootnoteReference"/>
        </w:rPr>
        <w:footnoteRef/>
      </w:r>
      <w:r>
        <w:t xml:space="preserve"> “the SANS Standard”</w:t>
      </w:r>
    </w:p>
  </w:footnote>
  <w:footnote w:id="5">
    <w:p w14:paraId="2A61D88A" w14:textId="2498CE66" w:rsidR="00927EA6" w:rsidRDefault="00927EA6">
      <w:pPr>
        <w:pStyle w:val="FootnoteText"/>
      </w:pPr>
      <w:r>
        <w:rPr>
          <w:rStyle w:val="FootnoteReference"/>
        </w:rPr>
        <w:footnoteRef/>
      </w:r>
      <w:r>
        <w:t xml:space="preserve"> Which filed an explanatory affidavit but does not oppose this application.</w:t>
      </w:r>
    </w:p>
  </w:footnote>
  <w:footnote w:id="6">
    <w:p w14:paraId="479E870C" w14:textId="6E6E063E" w:rsidR="00076CF4" w:rsidRDefault="00076CF4">
      <w:pPr>
        <w:pStyle w:val="FootnoteText"/>
      </w:pPr>
      <w:r>
        <w:rPr>
          <w:rStyle w:val="FootnoteReference"/>
        </w:rPr>
        <w:footnoteRef/>
      </w:r>
      <w:r>
        <w:t xml:space="preserve"> The ECE90 testing laboratory</w:t>
      </w:r>
    </w:p>
  </w:footnote>
  <w:footnote w:id="7">
    <w:p w14:paraId="591D8A9F" w14:textId="3179862B" w:rsidR="00160574" w:rsidRDefault="00160574">
      <w:pPr>
        <w:pStyle w:val="FootnoteText"/>
      </w:pPr>
      <w:r>
        <w:rPr>
          <w:rStyle w:val="FootnoteReference"/>
        </w:rPr>
        <w:footnoteRef/>
      </w:r>
      <w:r>
        <w:t xml:space="preserve"> As not only was GUD’s quote submitted to the Regulator by Mr Reddy, but GUD’s appointment letter was received by Mr Reddy,</w:t>
      </w:r>
    </w:p>
  </w:footnote>
  <w:footnote w:id="8">
    <w:p w14:paraId="7841BF71" w14:textId="04E08F80" w:rsidR="00927EA6" w:rsidRDefault="00927EA6">
      <w:pPr>
        <w:pStyle w:val="FootnoteText"/>
      </w:pPr>
      <w:r>
        <w:rPr>
          <w:rStyle w:val="FootnoteReference"/>
        </w:rPr>
        <w:footnoteRef/>
      </w:r>
      <w:r>
        <w:t xml:space="preserve"> These had formed the subject matter of the complaint.</w:t>
      </w:r>
    </w:p>
  </w:footnote>
  <w:footnote w:id="9">
    <w:p w14:paraId="6541E1BE" w14:textId="03313AC6" w:rsidR="00927EA6" w:rsidRDefault="00927EA6">
      <w:pPr>
        <w:pStyle w:val="FootnoteText"/>
      </w:pPr>
      <w:r>
        <w:rPr>
          <w:rStyle w:val="FootnoteReference"/>
        </w:rPr>
        <w:footnoteRef/>
      </w:r>
      <w:r w:rsidR="008B2A81">
        <w:t xml:space="preserve"> Which is the division within which </w:t>
      </w:r>
      <w:r>
        <w:t>GUD Holdings</w:t>
      </w:r>
      <w:r w:rsidR="008B2A81">
        <w:t xml:space="preserve"> conducts the tests</w:t>
      </w:r>
    </w:p>
  </w:footnote>
  <w:footnote w:id="10">
    <w:p w14:paraId="41708311" w14:textId="744C5C5D" w:rsidR="00927EA6" w:rsidRDefault="00927EA6">
      <w:pPr>
        <w:pStyle w:val="FootnoteText"/>
      </w:pPr>
      <w:r>
        <w:rPr>
          <w:rStyle w:val="FootnoteReference"/>
        </w:rPr>
        <w:footnoteRef/>
      </w:r>
      <w:r>
        <w:t xml:space="preserve"> Which is dated 22 May 2023</w:t>
      </w:r>
    </w:p>
  </w:footnote>
  <w:footnote w:id="11">
    <w:p w14:paraId="3FD13CA1" w14:textId="56523383" w:rsidR="0061523D" w:rsidRPr="009D5689" w:rsidRDefault="0061523D" w:rsidP="00C23A7B">
      <w:pPr>
        <w:spacing w:after="0"/>
        <w:ind w:left="284" w:hanging="284"/>
        <w:jc w:val="both"/>
        <w:rPr>
          <w:sz w:val="20"/>
          <w:szCs w:val="20"/>
        </w:rPr>
      </w:pPr>
      <w:r w:rsidRPr="009D5689">
        <w:rPr>
          <w:rStyle w:val="FootnoteReference"/>
          <w:sz w:val="20"/>
          <w:szCs w:val="20"/>
        </w:rPr>
        <w:footnoteRef/>
      </w:r>
      <w:r w:rsidRPr="009D5689">
        <w:rPr>
          <w:sz w:val="20"/>
          <w:szCs w:val="20"/>
        </w:rPr>
        <w:t xml:space="preserve"> </w:t>
      </w:r>
      <w:r w:rsidR="009D5689">
        <w:rPr>
          <w:sz w:val="20"/>
          <w:szCs w:val="20"/>
        </w:rPr>
        <w:t>“</w:t>
      </w:r>
      <w:r w:rsidR="009D5689" w:rsidRPr="009D5689">
        <w:rPr>
          <w:i/>
          <w:sz w:val="20"/>
          <w:szCs w:val="20"/>
        </w:rPr>
        <w:t>15 (1) If the Chief Executive Officer on reasonable grounds suspects that a commodity or product, or a consignment or batch of a commodity or product, does not conform to or has not been manufactured in accordance with a compulsory specification that applies to it, the Chief Executive Officer may issue a</w:t>
      </w:r>
      <w:r w:rsidR="009D5689">
        <w:rPr>
          <w:i/>
          <w:sz w:val="20"/>
          <w:szCs w:val="20"/>
        </w:rPr>
        <w:t xml:space="preserve"> directive to ensure that any </w:t>
      </w:r>
      <w:r w:rsidR="009D5689" w:rsidRPr="009D5689">
        <w:rPr>
          <w:i/>
          <w:sz w:val="20"/>
          <w:szCs w:val="20"/>
        </w:rPr>
        <w:t>person who is in possession or control of the commodity or product, consignment or batch, keeps it in his or her possession or under his or her control at or on any premises specified in the directive, and does not tamper with or dispose of it, until the directive is withdrawn by the Chief Executive Officer in writing.”</w:t>
      </w:r>
    </w:p>
  </w:footnote>
  <w:footnote w:id="12">
    <w:p w14:paraId="6886C6A8" w14:textId="76076138" w:rsidR="00927EA6" w:rsidRDefault="00927EA6" w:rsidP="009D5689">
      <w:pPr>
        <w:pStyle w:val="FootnoteText"/>
      </w:pPr>
      <w:r>
        <w:rPr>
          <w:rStyle w:val="FootnoteReference"/>
        </w:rPr>
        <w:footnoteRef/>
      </w:r>
      <w:r>
        <w:t xml:space="preserve"> Valued at R286 350-00</w:t>
      </w:r>
    </w:p>
  </w:footnote>
  <w:footnote w:id="13">
    <w:p w14:paraId="65051224" w14:textId="209969D6" w:rsidR="00927EA6" w:rsidRDefault="00927EA6">
      <w:pPr>
        <w:pStyle w:val="FootnoteText"/>
      </w:pPr>
      <w:r>
        <w:rPr>
          <w:rStyle w:val="FootnoteReference"/>
        </w:rPr>
        <w:footnoteRef/>
      </w:r>
      <w:r>
        <w:t xml:space="preserve"> For the correction of the production in order to bring them in line with the rel</w:t>
      </w:r>
      <w:r w:rsidR="00A92AA5">
        <w:t>ative</w:t>
      </w:r>
      <w:r>
        <w:t xml:space="preserve"> compulsory specification.</w:t>
      </w:r>
    </w:p>
  </w:footnote>
  <w:footnote w:id="14">
    <w:p w14:paraId="4FA1DF72" w14:textId="209E11C4" w:rsidR="00B34B35" w:rsidRDefault="00B34B35">
      <w:pPr>
        <w:pStyle w:val="FootnoteText"/>
      </w:pPr>
      <w:r>
        <w:rPr>
          <w:rStyle w:val="FootnoteReference"/>
        </w:rPr>
        <w:footnoteRef/>
      </w:r>
      <w:r>
        <w:t xml:space="preserve"> </w:t>
      </w:r>
      <w:r w:rsidR="00CB3F95">
        <w:t>Although it suspected that it was GUD</w:t>
      </w:r>
    </w:p>
  </w:footnote>
  <w:footnote w:id="15">
    <w:p w14:paraId="776A2B79" w14:textId="0990A9BF" w:rsidR="00907F09" w:rsidRDefault="00907F09">
      <w:pPr>
        <w:pStyle w:val="FootnoteText"/>
      </w:pPr>
      <w:r>
        <w:rPr>
          <w:rStyle w:val="FootnoteReference"/>
        </w:rPr>
        <w:footnoteRef/>
      </w:r>
      <w:r>
        <w:t xml:space="preserve"> What it terms an “intelligence gathering exercise”</w:t>
      </w:r>
    </w:p>
  </w:footnote>
  <w:footnote w:id="16">
    <w:p w14:paraId="6928F967" w14:textId="51CED5C4" w:rsidR="00927EA6" w:rsidRDefault="00927EA6">
      <w:pPr>
        <w:pStyle w:val="FootnoteText"/>
      </w:pPr>
      <w:r>
        <w:rPr>
          <w:rStyle w:val="FootnoteReference"/>
        </w:rPr>
        <w:footnoteRef/>
      </w:r>
      <w:r>
        <w:t xml:space="preserve"> GG No 33615 of 15 October 2010 </w:t>
      </w:r>
    </w:p>
  </w:footnote>
  <w:footnote w:id="17">
    <w:p w14:paraId="048E3ED1" w14:textId="6EEF2BF4" w:rsidR="00927EA6" w:rsidRDefault="00927EA6">
      <w:pPr>
        <w:pStyle w:val="FootnoteText"/>
      </w:pPr>
      <w:r>
        <w:rPr>
          <w:rStyle w:val="FootnoteReference"/>
        </w:rPr>
        <w:footnoteRef/>
      </w:r>
      <w:r>
        <w:t xml:space="preserve"> My emphasis</w:t>
      </w:r>
    </w:p>
  </w:footnote>
  <w:footnote w:id="18">
    <w:p w14:paraId="2A614366" w14:textId="07A71B6E" w:rsidR="00927EA6" w:rsidRDefault="00927EA6">
      <w:pPr>
        <w:pStyle w:val="FootnoteText"/>
      </w:pPr>
      <w:r>
        <w:rPr>
          <w:rStyle w:val="FootnoteReference"/>
        </w:rPr>
        <w:footnoteRef/>
      </w:r>
      <w:r>
        <w:t xml:space="preserve"> Directive No 41220</w:t>
      </w:r>
    </w:p>
  </w:footnote>
  <w:footnote w:id="19">
    <w:p w14:paraId="49555186" w14:textId="689E307D" w:rsidR="00927EA6" w:rsidRDefault="00927EA6">
      <w:pPr>
        <w:pStyle w:val="FootnoteText"/>
      </w:pPr>
      <w:r>
        <w:rPr>
          <w:rStyle w:val="FootnoteReference"/>
        </w:rPr>
        <w:footnoteRef/>
      </w:r>
      <w:r>
        <w:t xml:space="preserve"> Directive 41226</w:t>
      </w:r>
    </w:p>
  </w:footnote>
  <w:footnote w:id="20">
    <w:p w14:paraId="1080B0EF" w14:textId="0E3C6DDB" w:rsidR="00927EA6" w:rsidRPr="009818E7" w:rsidRDefault="00927EA6" w:rsidP="009772AB">
      <w:pPr>
        <w:pStyle w:val="lg-para4"/>
        <w:shd w:val="clear" w:color="auto" w:fill="FFFFFF"/>
        <w:spacing w:before="0" w:beforeAutospacing="0" w:after="0" w:afterAutospacing="0"/>
        <w:jc w:val="both"/>
        <w:rPr>
          <w:rFonts w:ascii="Arial" w:hAnsi="Arial" w:cs="Arial"/>
          <w:i/>
          <w:sz w:val="20"/>
          <w:szCs w:val="20"/>
        </w:rPr>
      </w:pPr>
      <w:r w:rsidRPr="00154084">
        <w:rPr>
          <w:rStyle w:val="FootnoteReference"/>
          <w:rFonts w:ascii="Arial" w:hAnsi="Arial" w:cs="Arial"/>
          <w:sz w:val="20"/>
          <w:szCs w:val="20"/>
        </w:rPr>
        <w:footnoteRef/>
      </w:r>
      <w:r w:rsidRPr="00154084">
        <w:rPr>
          <w:rFonts w:ascii="Arial" w:hAnsi="Arial" w:cs="Arial"/>
          <w:sz w:val="20"/>
          <w:szCs w:val="20"/>
        </w:rPr>
        <w:t xml:space="preserve"> </w:t>
      </w:r>
      <w:r w:rsidR="009818E7">
        <w:rPr>
          <w:rFonts w:ascii="Arial" w:hAnsi="Arial" w:cs="Arial"/>
          <w:sz w:val="20"/>
          <w:szCs w:val="20"/>
        </w:rPr>
        <w:t>“</w:t>
      </w:r>
      <w:r w:rsidR="00E258DF" w:rsidRPr="009818E7">
        <w:rPr>
          <w:rFonts w:ascii="Arial" w:hAnsi="Arial" w:cs="Arial"/>
          <w:i/>
          <w:sz w:val="20"/>
          <w:szCs w:val="20"/>
        </w:rPr>
        <w:t>3(2)</w:t>
      </w:r>
      <w:r w:rsidRPr="009818E7">
        <w:rPr>
          <w:rFonts w:ascii="Arial" w:hAnsi="Arial" w:cs="Arial"/>
          <w:i/>
          <w:sz w:val="20"/>
          <w:szCs w:val="20"/>
        </w:rPr>
        <w:t>(</w:t>
      </w:r>
      <w:r w:rsidRPr="009818E7">
        <w:rPr>
          <w:rFonts w:ascii="Arial" w:hAnsi="Arial" w:cs="Arial"/>
          <w:i/>
          <w:iCs/>
          <w:sz w:val="20"/>
          <w:szCs w:val="20"/>
        </w:rPr>
        <w:t>b</w:t>
      </w:r>
      <w:r w:rsidRPr="009818E7">
        <w:rPr>
          <w:rFonts w:ascii="Arial" w:hAnsi="Arial" w:cs="Arial"/>
          <w:i/>
          <w:sz w:val="20"/>
          <w:szCs w:val="20"/>
        </w:rPr>
        <w:t>)  In order to give effect to the right to procedurally fair administrative action, an administrator, subject to </w:t>
      </w:r>
      <w:hyperlink r:id="rId1" w:anchor="gf" w:history="1">
        <w:r w:rsidRPr="009818E7">
          <w:rPr>
            <w:rStyle w:val="Hyperlink"/>
            <w:rFonts w:ascii="Arial" w:hAnsi="Arial" w:cs="Arial"/>
            <w:i/>
            <w:color w:val="auto"/>
            <w:sz w:val="20"/>
            <w:szCs w:val="20"/>
            <w:u w:val="none"/>
          </w:rPr>
          <w:t>subsection (4)</w:t>
        </w:r>
      </w:hyperlink>
      <w:r w:rsidRPr="009818E7">
        <w:rPr>
          <w:rFonts w:ascii="Arial" w:hAnsi="Arial" w:cs="Arial"/>
          <w:i/>
          <w:sz w:val="20"/>
          <w:szCs w:val="20"/>
        </w:rPr>
        <w:t>, must give a person referred to in </w:t>
      </w:r>
      <w:hyperlink r:id="rId2" w:anchor="g1" w:history="1">
        <w:r w:rsidRPr="009818E7">
          <w:rPr>
            <w:rStyle w:val="Hyperlink"/>
            <w:rFonts w:ascii="Arial" w:hAnsi="Arial" w:cs="Arial"/>
            <w:i/>
            <w:color w:val="auto"/>
            <w:sz w:val="20"/>
            <w:szCs w:val="20"/>
            <w:u w:val="none"/>
          </w:rPr>
          <w:t>subsection (1)</w:t>
        </w:r>
      </w:hyperlink>
      <w:r w:rsidRPr="009818E7">
        <w:rPr>
          <w:rFonts w:ascii="Arial" w:hAnsi="Arial" w:cs="Arial"/>
          <w:i/>
          <w:sz w:val="20"/>
          <w:szCs w:val="20"/>
        </w:rPr>
        <w:t xml:space="preserve"> - </w:t>
      </w:r>
    </w:p>
    <w:p w14:paraId="769AFC05" w14:textId="235E278E" w:rsidR="00927EA6" w:rsidRPr="009818E7" w:rsidRDefault="00927EA6" w:rsidP="009772AB">
      <w:pPr>
        <w:pStyle w:val="lg-i"/>
        <w:shd w:val="clear" w:color="auto" w:fill="FFFFFF"/>
        <w:spacing w:before="0" w:beforeAutospacing="0" w:after="0" w:afterAutospacing="0"/>
        <w:rPr>
          <w:rFonts w:ascii="Arial" w:hAnsi="Arial" w:cs="Arial"/>
          <w:i/>
          <w:sz w:val="20"/>
          <w:szCs w:val="20"/>
        </w:rPr>
      </w:pPr>
      <w:r w:rsidRPr="009818E7">
        <w:rPr>
          <w:rFonts w:ascii="Arial" w:hAnsi="Arial" w:cs="Arial"/>
          <w:i/>
          <w:sz w:val="20"/>
          <w:szCs w:val="20"/>
        </w:rPr>
        <w:t>(i) adequate notice of the nature and purpose of the proposed administrative action;</w:t>
      </w:r>
    </w:p>
    <w:p w14:paraId="092B6EDC" w14:textId="43943DA3" w:rsidR="00927EA6" w:rsidRPr="009818E7" w:rsidRDefault="00927EA6" w:rsidP="009772AB">
      <w:pPr>
        <w:pStyle w:val="lg-i"/>
        <w:shd w:val="clear" w:color="auto" w:fill="FFFFFF"/>
        <w:spacing w:before="0" w:beforeAutospacing="0" w:after="0" w:afterAutospacing="0"/>
        <w:rPr>
          <w:rFonts w:ascii="Arial" w:hAnsi="Arial" w:cs="Arial"/>
          <w:i/>
          <w:sz w:val="20"/>
          <w:szCs w:val="20"/>
        </w:rPr>
      </w:pPr>
      <w:r w:rsidRPr="009818E7">
        <w:rPr>
          <w:rFonts w:ascii="Arial" w:hAnsi="Arial" w:cs="Arial"/>
          <w:i/>
          <w:sz w:val="20"/>
          <w:szCs w:val="20"/>
        </w:rPr>
        <w:t>(ii) a reasonable opportunity to make representations;</w:t>
      </w:r>
    </w:p>
    <w:p w14:paraId="18CBE790" w14:textId="64DA9B00" w:rsidR="00927EA6" w:rsidRPr="009818E7" w:rsidRDefault="00927EA6" w:rsidP="009772AB">
      <w:pPr>
        <w:pStyle w:val="lg-i"/>
        <w:shd w:val="clear" w:color="auto" w:fill="FFFFFF"/>
        <w:spacing w:before="0" w:beforeAutospacing="0" w:after="0" w:afterAutospacing="0"/>
        <w:rPr>
          <w:rFonts w:ascii="Arial" w:hAnsi="Arial" w:cs="Arial"/>
          <w:i/>
          <w:sz w:val="20"/>
          <w:szCs w:val="20"/>
        </w:rPr>
      </w:pPr>
      <w:r w:rsidRPr="009818E7">
        <w:rPr>
          <w:rFonts w:ascii="Arial" w:hAnsi="Arial" w:cs="Arial"/>
          <w:i/>
          <w:sz w:val="20"/>
          <w:szCs w:val="20"/>
        </w:rPr>
        <w:t>(iii) a clear statement of the administrative action;</w:t>
      </w:r>
    </w:p>
    <w:p w14:paraId="6B053BF0" w14:textId="673C4726" w:rsidR="00927EA6" w:rsidRPr="009818E7" w:rsidRDefault="00927EA6" w:rsidP="009772AB">
      <w:pPr>
        <w:pStyle w:val="lg-i"/>
        <w:shd w:val="clear" w:color="auto" w:fill="FFFFFF"/>
        <w:spacing w:before="0" w:beforeAutospacing="0" w:after="0" w:afterAutospacing="0"/>
        <w:rPr>
          <w:rFonts w:ascii="Arial" w:hAnsi="Arial" w:cs="Arial"/>
          <w:i/>
          <w:sz w:val="20"/>
          <w:szCs w:val="20"/>
        </w:rPr>
      </w:pPr>
      <w:r w:rsidRPr="009818E7">
        <w:rPr>
          <w:rFonts w:ascii="Arial" w:hAnsi="Arial" w:cs="Arial"/>
          <w:i/>
          <w:sz w:val="20"/>
          <w:szCs w:val="20"/>
        </w:rPr>
        <w:t>(iv) adequate notice of any right of review or internal appeal, where applicable; and</w:t>
      </w:r>
    </w:p>
    <w:p w14:paraId="4AB2ABEF" w14:textId="7101539D" w:rsidR="00927EA6" w:rsidRPr="00EC03A4" w:rsidRDefault="00927EA6" w:rsidP="00EC03A4">
      <w:pPr>
        <w:pStyle w:val="lg-i"/>
        <w:shd w:val="clear" w:color="auto" w:fill="FFFFFF"/>
        <w:spacing w:before="0" w:beforeAutospacing="0" w:after="0" w:afterAutospacing="0"/>
        <w:rPr>
          <w:rFonts w:ascii="Arial" w:hAnsi="Arial" w:cs="Arial"/>
          <w:sz w:val="20"/>
          <w:szCs w:val="20"/>
        </w:rPr>
      </w:pPr>
      <w:r w:rsidRPr="009818E7">
        <w:rPr>
          <w:rFonts w:ascii="Arial" w:hAnsi="Arial" w:cs="Arial"/>
          <w:i/>
          <w:sz w:val="20"/>
          <w:szCs w:val="20"/>
        </w:rPr>
        <w:t>(v) adequate notice of the right to request reasons in terms of section 5.</w:t>
      </w:r>
      <w:r w:rsidR="009818E7" w:rsidRPr="009818E7">
        <w:rPr>
          <w:rFonts w:ascii="Arial" w:hAnsi="Arial" w:cs="Arial"/>
          <w:i/>
          <w:sz w:val="20"/>
          <w:szCs w:val="20"/>
        </w:rPr>
        <w:t>”</w:t>
      </w:r>
    </w:p>
  </w:footnote>
  <w:footnote w:id="21">
    <w:p w14:paraId="116C3660" w14:textId="73127D18" w:rsidR="00EB5470" w:rsidRDefault="00EB5470" w:rsidP="00EC03A4">
      <w:pPr>
        <w:pStyle w:val="FootnoteText"/>
      </w:pPr>
      <w:r>
        <w:rPr>
          <w:rStyle w:val="FootnoteReference"/>
        </w:rPr>
        <w:footnoteRef/>
      </w:r>
      <w:r>
        <w:t xml:space="preserve"> Mamabolo v Rustenburg Regional Local Council 2001 (1) SA 135 (SCA) at par [20]; Fidelity ADT (Pty) Ltd v Mongwe NO and Others (45583/2019) [2022] ZAGPPHC 605 (8 August 2022)</w:t>
      </w:r>
    </w:p>
  </w:footnote>
  <w:footnote w:id="22">
    <w:p w14:paraId="6A0D8D58" w14:textId="77777777" w:rsidR="00E01C07" w:rsidRDefault="00E01C07" w:rsidP="00E01C07">
      <w:pPr>
        <w:pStyle w:val="FootnoteText"/>
      </w:pPr>
      <w:r>
        <w:rPr>
          <w:rStyle w:val="FootnoteReference"/>
        </w:rPr>
        <w:footnoteRef/>
      </w:r>
      <w:r>
        <w:t xml:space="preserve"> 1999 (4) SA 147 (CC) at para [148]</w:t>
      </w:r>
    </w:p>
  </w:footnote>
  <w:footnote w:id="23">
    <w:p w14:paraId="24F44D60" w14:textId="77777777" w:rsidR="00E01C07" w:rsidRDefault="00E01C07" w:rsidP="00E01C07">
      <w:pPr>
        <w:pStyle w:val="FootnoteText"/>
      </w:pPr>
      <w:r>
        <w:rPr>
          <w:rStyle w:val="FootnoteReference"/>
        </w:rPr>
        <w:footnoteRef/>
      </w:r>
      <w:r>
        <w:t xml:space="preserve"> Nemo iudex in sua causa; Basson v Associated Portfolio Solutions (Pty) Ltd and Others (16224/2017) [2018] ZAWCHC 184 (14 December 2018)</w:t>
      </w:r>
    </w:p>
  </w:footnote>
  <w:footnote w:id="24">
    <w:p w14:paraId="591629DA" w14:textId="0336861A" w:rsidR="00683014" w:rsidRDefault="00683014">
      <w:pPr>
        <w:pStyle w:val="FootnoteText"/>
      </w:pPr>
      <w:r>
        <w:rPr>
          <w:rStyle w:val="FootnoteReference"/>
        </w:rPr>
        <w:footnoteRef/>
      </w:r>
      <w:r>
        <w:t xml:space="preserve"> </w:t>
      </w:r>
      <w:r w:rsidR="001E2974">
        <w:t>Tshwane City v Link Africa (Pty) Ltd and Others 2015 (6) SA 440 (CC) at para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8095156"/>
      <w:docPartObj>
        <w:docPartGallery w:val="Page Numbers (Top of Page)"/>
        <w:docPartUnique/>
      </w:docPartObj>
    </w:sdtPr>
    <w:sdtEndPr>
      <w:rPr>
        <w:noProof/>
      </w:rPr>
    </w:sdtEndPr>
    <w:sdtContent>
      <w:p w14:paraId="4461935F" w14:textId="4EA10417" w:rsidR="00927EA6" w:rsidRDefault="00927EA6">
        <w:pPr>
          <w:pStyle w:val="Header"/>
          <w:jc w:val="right"/>
        </w:pPr>
        <w:r>
          <w:fldChar w:fldCharType="begin"/>
        </w:r>
        <w:r>
          <w:instrText xml:space="preserve"> PAGE   \* MERGEFORMAT </w:instrText>
        </w:r>
        <w:r>
          <w:fldChar w:fldCharType="separate"/>
        </w:r>
        <w:r w:rsidR="00187878">
          <w:rPr>
            <w:noProof/>
          </w:rPr>
          <w:t>21</w:t>
        </w:r>
        <w:r>
          <w:rPr>
            <w:noProof/>
          </w:rPr>
          <w:fldChar w:fldCharType="end"/>
        </w:r>
      </w:p>
    </w:sdtContent>
  </w:sdt>
  <w:p w14:paraId="6E5F7149" w14:textId="77777777" w:rsidR="00927EA6" w:rsidRDefault="00927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5B37EB"/>
    <w:multiLevelType w:val="hybridMultilevel"/>
    <w:tmpl w:val="015C76B2"/>
    <w:lvl w:ilvl="0" w:tplc="88F0010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28060DB"/>
    <w:multiLevelType w:val="hybridMultilevel"/>
    <w:tmpl w:val="F948C3DA"/>
    <w:lvl w:ilvl="0" w:tplc="D0807DD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12B85EFC"/>
    <w:multiLevelType w:val="multilevel"/>
    <w:tmpl w:val="CD98E9B8"/>
    <w:lvl w:ilvl="0">
      <w:start w:val="1"/>
      <w:numFmt w:val="decimal"/>
      <w:lvlText w:val="%1."/>
      <w:lvlJc w:val="left"/>
      <w:pPr>
        <w:tabs>
          <w:tab w:val="num" w:pos="1077"/>
        </w:tabs>
        <w:ind w:left="1077" w:hanging="360"/>
      </w:pPr>
      <w:rPr>
        <w:rFonts w:ascii="Arial" w:eastAsia="Times New Roman" w:hAnsi="Arial" w:cs="Arial"/>
      </w:r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5" w15:restartNumberingAfterBreak="0">
    <w:nsid w:val="16D061F2"/>
    <w:multiLevelType w:val="hybridMultilevel"/>
    <w:tmpl w:val="42E0EA1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FD375E"/>
    <w:multiLevelType w:val="multilevel"/>
    <w:tmpl w:val="7DD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525CE"/>
    <w:multiLevelType w:val="hybridMultilevel"/>
    <w:tmpl w:val="FE1C2A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E5132E1"/>
    <w:multiLevelType w:val="hybridMultilevel"/>
    <w:tmpl w:val="82520608"/>
    <w:lvl w:ilvl="0" w:tplc="D0B69466">
      <w:start w:val="1"/>
      <w:numFmt w:val="lowerLetter"/>
      <w:lvlText w:val="%1)"/>
      <w:lvlJc w:val="left"/>
      <w:pPr>
        <w:ind w:left="1070" w:hanging="360"/>
      </w:pPr>
      <w:rPr>
        <w:rFonts w:hint="default"/>
      </w:rPr>
    </w:lvl>
    <w:lvl w:ilvl="1" w:tplc="1C090019" w:tentative="1">
      <w:start w:val="1"/>
      <w:numFmt w:val="lowerLetter"/>
      <w:lvlText w:val="%2."/>
      <w:lvlJc w:val="left"/>
      <w:pPr>
        <w:ind w:left="2352" w:hanging="360"/>
      </w:pPr>
    </w:lvl>
    <w:lvl w:ilvl="2" w:tplc="1C09001B" w:tentative="1">
      <w:start w:val="1"/>
      <w:numFmt w:val="lowerRoman"/>
      <w:lvlText w:val="%3."/>
      <w:lvlJc w:val="right"/>
      <w:pPr>
        <w:ind w:left="3072" w:hanging="180"/>
      </w:pPr>
    </w:lvl>
    <w:lvl w:ilvl="3" w:tplc="1C09000F" w:tentative="1">
      <w:start w:val="1"/>
      <w:numFmt w:val="decimal"/>
      <w:lvlText w:val="%4."/>
      <w:lvlJc w:val="left"/>
      <w:pPr>
        <w:ind w:left="3792" w:hanging="360"/>
      </w:pPr>
    </w:lvl>
    <w:lvl w:ilvl="4" w:tplc="1C090019" w:tentative="1">
      <w:start w:val="1"/>
      <w:numFmt w:val="lowerLetter"/>
      <w:lvlText w:val="%5."/>
      <w:lvlJc w:val="left"/>
      <w:pPr>
        <w:ind w:left="4512" w:hanging="360"/>
      </w:pPr>
    </w:lvl>
    <w:lvl w:ilvl="5" w:tplc="1C09001B" w:tentative="1">
      <w:start w:val="1"/>
      <w:numFmt w:val="lowerRoman"/>
      <w:lvlText w:val="%6."/>
      <w:lvlJc w:val="right"/>
      <w:pPr>
        <w:ind w:left="5232" w:hanging="180"/>
      </w:pPr>
    </w:lvl>
    <w:lvl w:ilvl="6" w:tplc="1C09000F" w:tentative="1">
      <w:start w:val="1"/>
      <w:numFmt w:val="decimal"/>
      <w:lvlText w:val="%7."/>
      <w:lvlJc w:val="left"/>
      <w:pPr>
        <w:ind w:left="5952" w:hanging="360"/>
      </w:pPr>
    </w:lvl>
    <w:lvl w:ilvl="7" w:tplc="1C090019" w:tentative="1">
      <w:start w:val="1"/>
      <w:numFmt w:val="lowerLetter"/>
      <w:lvlText w:val="%8."/>
      <w:lvlJc w:val="left"/>
      <w:pPr>
        <w:ind w:left="6672" w:hanging="360"/>
      </w:pPr>
    </w:lvl>
    <w:lvl w:ilvl="8" w:tplc="1C09001B" w:tentative="1">
      <w:start w:val="1"/>
      <w:numFmt w:val="lowerRoman"/>
      <w:lvlText w:val="%9."/>
      <w:lvlJc w:val="right"/>
      <w:pPr>
        <w:ind w:left="7392" w:hanging="180"/>
      </w:pPr>
    </w:lvl>
  </w:abstractNum>
  <w:abstractNum w:abstractNumId="9" w15:restartNumberingAfterBreak="0">
    <w:nsid w:val="1EAB331F"/>
    <w:multiLevelType w:val="hybridMultilevel"/>
    <w:tmpl w:val="DB306486"/>
    <w:lvl w:ilvl="0" w:tplc="FF225B98">
      <w:start w:val="1"/>
      <w:numFmt w:val="lowerLetter"/>
      <w:lvlText w:val="(%1)"/>
      <w:lvlJc w:val="left"/>
      <w:pPr>
        <w:ind w:left="2880" w:hanging="720"/>
      </w:pPr>
      <w:rPr>
        <w:rFonts w:ascii="Arial" w:eastAsiaTheme="minorHAnsi" w:hAnsi="Arial" w:cs="Arial"/>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BB27E9D"/>
    <w:multiLevelType w:val="hybridMultilevel"/>
    <w:tmpl w:val="0BBEF1F0"/>
    <w:lvl w:ilvl="0" w:tplc="132CC24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C892DBB"/>
    <w:multiLevelType w:val="hybridMultilevel"/>
    <w:tmpl w:val="E5E4F87C"/>
    <w:lvl w:ilvl="0" w:tplc="45702D78">
      <w:start w:val="1"/>
      <w:numFmt w:val="lowerLetter"/>
      <w:lvlText w:val="%1)"/>
      <w:lvlJc w:val="left"/>
      <w:pPr>
        <w:ind w:left="1080" w:hanging="360"/>
      </w:pPr>
      <w:rPr>
        <w:rFonts w:ascii="Arial" w:hAnsi="Arial" w:cs="Arial" w:hint="default"/>
        <w:color w:val="000000"/>
        <w:sz w:val="24"/>
        <w:szCs w:val="24"/>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0AE42F2"/>
    <w:multiLevelType w:val="hybridMultilevel"/>
    <w:tmpl w:val="62C6A2EC"/>
    <w:lvl w:ilvl="0" w:tplc="BA40C054">
      <w:start w:val="1"/>
      <w:numFmt w:val="lowerLetter"/>
      <w:lvlText w:val="%1)"/>
      <w:lvlJc w:val="left"/>
      <w:pPr>
        <w:ind w:left="1833" w:hanging="360"/>
      </w:pPr>
      <w:rPr>
        <w:rFonts w:hint="default"/>
        <w:i w:val="0"/>
        <w:sz w:val="24"/>
        <w:szCs w:val="24"/>
      </w:rPr>
    </w:lvl>
    <w:lvl w:ilvl="1" w:tplc="1C090019" w:tentative="1">
      <w:start w:val="1"/>
      <w:numFmt w:val="lowerLetter"/>
      <w:lvlText w:val="%2."/>
      <w:lvlJc w:val="left"/>
      <w:pPr>
        <w:ind w:left="2553" w:hanging="360"/>
      </w:pPr>
    </w:lvl>
    <w:lvl w:ilvl="2" w:tplc="1C09001B" w:tentative="1">
      <w:start w:val="1"/>
      <w:numFmt w:val="lowerRoman"/>
      <w:lvlText w:val="%3."/>
      <w:lvlJc w:val="right"/>
      <w:pPr>
        <w:ind w:left="3273" w:hanging="180"/>
      </w:pPr>
    </w:lvl>
    <w:lvl w:ilvl="3" w:tplc="1C09000F" w:tentative="1">
      <w:start w:val="1"/>
      <w:numFmt w:val="decimal"/>
      <w:lvlText w:val="%4."/>
      <w:lvlJc w:val="left"/>
      <w:pPr>
        <w:ind w:left="3993" w:hanging="360"/>
      </w:pPr>
    </w:lvl>
    <w:lvl w:ilvl="4" w:tplc="1C090019" w:tentative="1">
      <w:start w:val="1"/>
      <w:numFmt w:val="lowerLetter"/>
      <w:lvlText w:val="%5."/>
      <w:lvlJc w:val="left"/>
      <w:pPr>
        <w:ind w:left="4713" w:hanging="360"/>
      </w:pPr>
    </w:lvl>
    <w:lvl w:ilvl="5" w:tplc="1C09001B" w:tentative="1">
      <w:start w:val="1"/>
      <w:numFmt w:val="lowerRoman"/>
      <w:lvlText w:val="%6."/>
      <w:lvlJc w:val="right"/>
      <w:pPr>
        <w:ind w:left="5433" w:hanging="180"/>
      </w:pPr>
    </w:lvl>
    <w:lvl w:ilvl="6" w:tplc="1C09000F" w:tentative="1">
      <w:start w:val="1"/>
      <w:numFmt w:val="decimal"/>
      <w:lvlText w:val="%7."/>
      <w:lvlJc w:val="left"/>
      <w:pPr>
        <w:ind w:left="6153" w:hanging="360"/>
      </w:pPr>
    </w:lvl>
    <w:lvl w:ilvl="7" w:tplc="1C090019" w:tentative="1">
      <w:start w:val="1"/>
      <w:numFmt w:val="lowerLetter"/>
      <w:lvlText w:val="%8."/>
      <w:lvlJc w:val="left"/>
      <w:pPr>
        <w:ind w:left="6873" w:hanging="360"/>
      </w:pPr>
    </w:lvl>
    <w:lvl w:ilvl="8" w:tplc="1C09001B" w:tentative="1">
      <w:start w:val="1"/>
      <w:numFmt w:val="lowerRoman"/>
      <w:lvlText w:val="%9."/>
      <w:lvlJc w:val="right"/>
      <w:pPr>
        <w:ind w:left="7593" w:hanging="180"/>
      </w:pPr>
    </w:lvl>
  </w:abstractNum>
  <w:abstractNum w:abstractNumId="13" w15:restartNumberingAfterBreak="0">
    <w:nsid w:val="34EA2B81"/>
    <w:multiLevelType w:val="hybridMultilevel"/>
    <w:tmpl w:val="385807AC"/>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B9D2E80"/>
    <w:multiLevelType w:val="hybridMultilevel"/>
    <w:tmpl w:val="B1F81FC0"/>
    <w:lvl w:ilvl="0" w:tplc="79B0FB14">
      <w:start w:val="1"/>
      <w:numFmt w:val="lowerLetter"/>
      <w:lvlText w:val="%1)"/>
      <w:lvlJc w:val="left"/>
      <w:pPr>
        <w:ind w:left="1102" w:hanging="360"/>
      </w:pPr>
      <w:rPr>
        <w:rFonts w:hint="default"/>
      </w:rPr>
    </w:lvl>
    <w:lvl w:ilvl="1" w:tplc="1C090019" w:tentative="1">
      <w:start w:val="1"/>
      <w:numFmt w:val="lowerLetter"/>
      <w:lvlText w:val="%2."/>
      <w:lvlJc w:val="left"/>
      <w:pPr>
        <w:ind w:left="1822" w:hanging="360"/>
      </w:pPr>
    </w:lvl>
    <w:lvl w:ilvl="2" w:tplc="1C09001B" w:tentative="1">
      <w:start w:val="1"/>
      <w:numFmt w:val="lowerRoman"/>
      <w:lvlText w:val="%3."/>
      <w:lvlJc w:val="right"/>
      <w:pPr>
        <w:ind w:left="2542" w:hanging="180"/>
      </w:pPr>
    </w:lvl>
    <w:lvl w:ilvl="3" w:tplc="1C09000F" w:tentative="1">
      <w:start w:val="1"/>
      <w:numFmt w:val="decimal"/>
      <w:lvlText w:val="%4."/>
      <w:lvlJc w:val="left"/>
      <w:pPr>
        <w:ind w:left="3262" w:hanging="360"/>
      </w:pPr>
    </w:lvl>
    <w:lvl w:ilvl="4" w:tplc="1C090019" w:tentative="1">
      <w:start w:val="1"/>
      <w:numFmt w:val="lowerLetter"/>
      <w:lvlText w:val="%5."/>
      <w:lvlJc w:val="left"/>
      <w:pPr>
        <w:ind w:left="3982" w:hanging="360"/>
      </w:pPr>
    </w:lvl>
    <w:lvl w:ilvl="5" w:tplc="1C09001B" w:tentative="1">
      <w:start w:val="1"/>
      <w:numFmt w:val="lowerRoman"/>
      <w:lvlText w:val="%6."/>
      <w:lvlJc w:val="right"/>
      <w:pPr>
        <w:ind w:left="4702" w:hanging="180"/>
      </w:pPr>
    </w:lvl>
    <w:lvl w:ilvl="6" w:tplc="1C09000F" w:tentative="1">
      <w:start w:val="1"/>
      <w:numFmt w:val="decimal"/>
      <w:lvlText w:val="%7."/>
      <w:lvlJc w:val="left"/>
      <w:pPr>
        <w:ind w:left="5422" w:hanging="360"/>
      </w:pPr>
    </w:lvl>
    <w:lvl w:ilvl="7" w:tplc="1C090019" w:tentative="1">
      <w:start w:val="1"/>
      <w:numFmt w:val="lowerLetter"/>
      <w:lvlText w:val="%8."/>
      <w:lvlJc w:val="left"/>
      <w:pPr>
        <w:ind w:left="6142" w:hanging="360"/>
      </w:pPr>
    </w:lvl>
    <w:lvl w:ilvl="8" w:tplc="1C09001B" w:tentative="1">
      <w:start w:val="1"/>
      <w:numFmt w:val="lowerRoman"/>
      <w:lvlText w:val="%9."/>
      <w:lvlJc w:val="right"/>
      <w:pPr>
        <w:ind w:left="6862" w:hanging="180"/>
      </w:pPr>
    </w:lvl>
  </w:abstractNum>
  <w:abstractNum w:abstractNumId="15" w15:restartNumberingAfterBreak="0">
    <w:nsid w:val="3D494A37"/>
    <w:multiLevelType w:val="multilevel"/>
    <w:tmpl w:val="BAF26536"/>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rPr>
    </w:lvl>
    <w:lvl w:ilvl="2">
      <w:start w:val="1"/>
      <w:numFmt w:val="decimal"/>
      <w:lvlText w:val="[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3F0A22B5"/>
    <w:multiLevelType w:val="multilevel"/>
    <w:tmpl w:val="60A897F6"/>
    <w:lvl w:ilvl="0">
      <w:start w:val="39"/>
      <w:numFmt w:val="decimal"/>
      <w:lvlText w:val="%1."/>
      <w:lvlJc w:val="left"/>
      <w:pPr>
        <w:tabs>
          <w:tab w:val="num" w:pos="1077"/>
        </w:tabs>
        <w:ind w:left="1077" w:hanging="360"/>
      </w:p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17" w15:restartNumberingAfterBreak="0">
    <w:nsid w:val="43CE74D3"/>
    <w:multiLevelType w:val="hybridMultilevel"/>
    <w:tmpl w:val="1AFA724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B264414"/>
    <w:multiLevelType w:val="hybridMultilevel"/>
    <w:tmpl w:val="AC00FFAC"/>
    <w:lvl w:ilvl="0" w:tplc="6B5E943E">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9" w15:restartNumberingAfterBreak="0">
    <w:nsid w:val="4CF3399D"/>
    <w:multiLevelType w:val="hybridMultilevel"/>
    <w:tmpl w:val="8F563900"/>
    <w:lvl w:ilvl="0" w:tplc="1C090017">
      <w:start w:val="1"/>
      <w:numFmt w:val="lowerLetter"/>
      <w:lvlText w:val="%1)"/>
      <w:lvlJc w:val="left"/>
      <w:pPr>
        <w:ind w:left="107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5B37DEF"/>
    <w:multiLevelType w:val="hybridMultilevel"/>
    <w:tmpl w:val="7A9C41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88643D"/>
    <w:multiLevelType w:val="hybridMultilevel"/>
    <w:tmpl w:val="72B2804E"/>
    <w:lvl w:ilvl="0" w:tplc="1C090017">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5DD16EB3"/>
    <w:multiLevelType w:val="multilevel"/>
    <w:tmpl w:val="4B80EECA"/>
    <w:lvl w:ilvl="0">
      <w:start w:val="17"/>
      <w:numFmt w:val="decimal"/>
      <w:lvlText w:val="%1"/>
      <w:lvlJc w:val="left"/>
      <w:pPr>
        <w:ind w:left="420" w:hanging="420"/>
      </w:pPr>
      <w:rPr>
        <w:rFonts w:hint="default"/>
      </w:rPr>
    </w:lvl>
    <w:lvl w:ilvl="1">
      <w:start w:val="7"/>
      <w:numFmt w:val="decimal"/>
      <w:lvlText w:val="%1.%2"/>
      <w:lvlJc w:val="left"/>
      <w:pPr>
        <w:ind w:left="1129" w:hanging="420"/>
      </w:pPr>
      <w:rPr>
        <w:rFonts w:hint="default"/>
      </w:rPr>
    </w:lvl>
    <w:lvl w:ilvl="2">
      <w:start w:val="1"/>
      <w:numFmt w:val="upperLetter"/>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E8E4881"/>
    <w:multiLevelType w:val="hybridMultilevel"/>
    <w:tmpl w:val="3F74AAF2"/>
    <w:lvl w:ilvl="0" w:tplc="56463B0A">
      <w:start w:val="1"/>
      <w:numFmt w:val="decimal"/>
      <w:lvlText w:val="%1)"/>
      <w:lvlJc w:val="left"/>
      <w:pPr>
        <w:ind w:left="1124" w:hanging="360"/>
      </w:pPr>
      <w:rPr>
        <w:rFonts w:hint="default"/>
      </w:rPr>
    </w:lvl>
    <w:lvl w:ilvl="1" w:tplc="1C090019" w:tentative="1">
      <w:start w:val="1"/>
      <w:numFmt w:val="lowerLetter"/>
      <w:lvlText w:val="%2."/>
      <w:lvlJc w:val="left"/>
      <w:pPr>
        <w:ind w:left="1844" w:hanging="360"/>
      </w:pPr>
    </w:lvl>
    <w:lvl w:ilvl="2" w:tplc="1C09001B" w:tentative="1">
      <w:start w:val="1"/>
      <w:numFmt w:val="lowerRoman"/>
      <w:lvlText w:val="%3."/>
      <w:lvlJc w:val="right"/>
      <w:pPr>
        <w:ind w:left="2564" w:hanging="180"/>
      </w:pPr>
    </w:lvl>
    <w:lvl w:ilvl="3" w:tplc="1C09000F" w:tentative="1">
      <w:start w:val="1"/>
      <w:numFmt w:val="decimal"/>
      <w:lvlText w:val="%4."/>
      <w:lvlJc w:val="left"/>
      <w:pPr>
        <w:ind w:left="3284" w:hanging="360"/>
      </w:pPr>
    </w:lvl>
    <w:lvl w:ilvl="4" w:tplc="1C090019" w:tentative="1">
      <w:start w:val="1"/>
      <w:numFmt w:val="lowerLetter"/>
      <w:lvlText w:val="%5."/>
      <w:lvlJc w:val="left"/>
      <w:pPr>
        <w:ind w:left="4004" w:hanging="360"/>
      </w:pPr>
    </w:lvl>
    <w:lvl w:ilvl="5" w:tplc="1C09001B" w:tentative="1">
      <w:start w:val="1"/>
      <w:numFmt w:val="lowerRoman"/>
      <w:lvlText w:val="%6."/>
      <w:lvlJc w:val="right"/>
      <w:pPr>
        <w:ind w:left="4724" w:hanging="180"/>
      </w:pPr>
    </w:lvl>
    <w:lvl w:ilvl="6" w:tplc="1C09000F" w:tentative="1">
      <w:start w:val="1"/>
      <w:numFmt w:val="decimal"/>
      <w:lvlText w:val="%7."/>
      <w:lvlJc w:val="left"/>
      <w:pPr>
        <w:ind w:left="5444" w:hanging="360"/>
      </w:pPr>
    </w:lvl>
    <w:lvl w:ilvl="7" w:tplc="1C090019" w:tentative="1">
      <w:start w:val="1"/>
      <w:numFmt w:val="lowerLetter"/>
      <w:lvlText w:val="%8."/>
      <w:lvlJc w:val="left"/>
      <w:pPr>
        <w:ind w:left="6164" w:hanging="360"/>
      </w:pPr>
    </w:lvl>
    <w:lvl w:ilvl="8" w:tplc="1C09001B" w:tentative="1">
      <w:start w:val="1"/>
      <w:numFmt w:val="lowerRoman"/>
      <w:lvlText w:val="%9."/>
      <w:lvlJc w:val="right"/>
      <w:pPr>
        <w:ind w:left="6884" w:hanging="180"/>
      </w:pPr>
    </w:lvl>
  </w:abstractNum>
  <w:abstractNum w:abstractNumId="24" w15:restartNumberingAfterBreak="0">
    <w:nsid w:val="634228D8"/>
    <w:multiLevelType w:val="hybridMultilevel"/>
    <w:tmpl w:val="32E27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7ED4A5C"/>
    <w:multiLevelType w:val="multilevel"/>
    <w:tmpl w:val="E4DC5658"/>
    <w:lvl w:ilvl="0">
      <w:start w:val="39"/>
      <w:numFmt w:val="decimal"/>
      <w:lvlText w:val="%1."/>
      <w:lvlJc w:val="left"/>
      <w:pPr>
        <w:tabs>
          <w:tab w:val="num" w:pos="1678"/>
        </w:tabs>
        <w:ind w:left="1678" w:hanging="360"/>
      </w:pPr>
    </w:lvl>
    <w:lvl w:ilvl="1" w:tentative="1">
      <w:start w:val="1"/>
      <w:numFmt w:val="decimal"/>
      <w:lvlText w:val="%2."/>
      <w:lvlJc w:val="left"/>
      <w:pPr>
        <w:tabs>
          <w:tab w:val="num" w:pos="2398"/>
        </w:tabs>
        <w:ind w:left="2398" w:hanging="360"/>
      </w:pPr>
    </w:lvl>
    <w:lvl w:ilvl="2" w:tentative="1">
      <w:start w:val="1"/>
      <w:numFmt w:val="decimal"/>
      <w:lvlText w:val="%3."/>
      <w:lvlJc w:val="left"/>
      <w:pPr>
        <w:tabs>
          <w:tab w:val="num" w:pos="3118"/>
        </w:tabs>
        <w:ind w:left="3118" w:hanging="360"/>
      </w:pPr>
    </w:lvl>
    <w:lvl w:ilvl="3" w:tentative="1">
      <w:start w:val="1"/>
      <w:numFmt w:val="decimal"/>
      <w:lvlText w:val="%4."/>
      <w:lvlJc w:val="left"/>
      <w:pPr>
        <w:tabs>
          <w:tab w:val="num" w:pos="3838"/>
        </w:tabs>
        <w:ind w:left="3838" w:hanging="360"/>
      </w:pPr>
    </w:lvl>
    <w:lvl w:ilvl="4" w:tentative="1">
      <w:start w:val="1"/>
      <w:numFmt w:val="decimal"/>
      <w:lvlText w:val="%5."/>
      <w:lvlJc w:val="left"/>
      <w:pPr>
        <w:tabs>
          <w:tab w:val="num" w:pos="4558"/>
        </w:tabs>
        <w:ind w:left="4558" w:hanging="360"/>
      </w:pPr>
    </w:lvl>
    <w:lvl w:ilvl="5" w:tentative="1">
      <w:start w:val="1"/>
      <w:numFmt w:val="decimal"/>
      <w:lvlText w:val="%6."/>
      <w:lvlJc w:val="left"/>
      <w:pPr>
        <w:tabs>
          <w:tab w:val="num" w:pos="5278"/>
        </w:tabs>
        <w:ind w:left="5278" w:hanging="360"/>
      </w:pPr>
    </w:lvl>
    <w:lvl w:ilvl="6" w:tentative="1">
      <w:start w:val="1"/>
      <w:numFmt w:val="decimal"/>
      <w:lvlText w:val="%7."/>
      <w:lvlJc w:val="left"/>
      <w:pPr>
        <w:tabs>
          <w:tab w:val="num" w:pos="5998"/>
        </w:tabs>
        <w:ind w:left="5998" w:hanging="360"/>
      </w:pPr>
    </w:lvl>
    <w:lvl w:ilvl="7" w:tentative="1">
      <w:start w:val="1"/>
      <w:numFmt w:val="decimal"/>
      <w:lvlText w:val="%8."/>
      <w:lvlJc w:val="left"/>
      <w:pPr>
        <w:tabs>
          <w:tab w:val="num" w:pos="6718"/>
        </w:tabs>
        <w:ind w:left="6718" w:hanging="360"/>
      </w:pPr>
    </w:lvl>
    <w:lvl w:ilvl="8" w:tentative="1">
      <w:start w:val="1"/>
      <w:numFmt w:val="decimal"/>
      <w:lvlText w:val="%9."/>
      <w:lvlJc w:val="left"/>
      <w:pPr>
        <w:tabs>
          <w:tab w:val="num" w:pos="7438"/>
        </w:tabs>
        <w:ind w:left="7438" w:hanging="360"/>
      </w:pPr>
    </w:lvl>
  </w:abstractNum>
  <w:abstractNum w:abstractNumId="26" w15:restartNumberingAfterBreak="0">
    <w:nsid w:val="6C1F356B"/>
    <w:multiLevelType w:val="hybridMultilevel"/>
    <w:tmpl w:val="9A02D37E"/>
    <w:lvl w:ilvl="0" w:tplc="2DE86504">
      <w:start w:val="1"/>
      <w:numFmt w:val="decimal"/>
      <w:lvlText w:val="%1]"/>
      <w:lvlJc w:val="left"/>
      <w:pPr>
        <w:ind w:left="360" w:hanging="360"/>
      </w:pPr>
      <w:rPr>
        <w:rFonts w:hint="default"/>
        <w:i w:val="0"/>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6F07355E"/>
    <w:multiLevelType w:val="hybridMultilevel"/>
    <w:tmpl w:val="470ACBFC"/>
    <w:lvl w:ilvl="0" w:tplc="22F67B9C">
      <w:start w:val="1"/>
      <w:numFmt w:val="lowerLetter"/>
      <w:lvlText w:val="%1)"/>
      <w:lvlJc w:val="left"/>
      <w:pPr>
        <w:ind w:left="720" w:hanging="360"/>
      </w:pPr>
      <w:rPr>
        <w:rFonts w:hint="default"/>
        <w:i w:val="0"/>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1257775"/>
    <w:multiLevelType w:val="multilevel"/>
    <w:tmpl w:val="2636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201C3"/>
    <w:multiLevelType w:val="multilevel"/>
    <w:tmpl w:val="72FA6996"/>
    <w:lvl w:ilvl="0">
      <w:start w:val="17"/>
      <w:numFmt w:val="decimal"/>
      <w:lvlText w:val="%1"/>
      <w:lvlJc w:val="left"/>
      <w:pPr>
        <w:ind w:left="420" w:hanging="420"/>
      </w:pPr>
      <w:rPr>
        <w:rFonts w:hint="default"/>
        <w:sz w:val="22"/>
      </w:rPr>
    </w:lvl>
    <w:lvl w:ilvl="1">
      <w:start w:val="3"/>
      <w:numFmt w:val="decimal"/>
      <w:lvlText w:val="%1.%2"/>
      <w:lvlJc w:val="left"/>
      <w:pPr>
        <w:ind w:left="1140" w:hanging="420"/>
      </w:pPr>
      <w:rPr>
        <w:rFonts w:hint="default"/>
        <w:sz w:val="22"/>
      </w:rPr>
    </w:lvl>
    <w:lvl w:ilvl="2">
      <w:start w:val="1"/>
      <w:numFmt w:val="upperLetter"/>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3722C92"/>
    <w:multiLevelType w:val="hybridMultilevel"/>
    <w:tmpl w:val="E79870F0"/>
    <w:lvl w:ilvl="0" w:tplc="EAA8AE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7945149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4445084">
    <w:abstractNumId w:val="28"/>
  </w:num>
  <w:num w:numId="3" w16cid:durableId="1256397943">
    <w:abstractNumId w:val="15"/>
  </w:num>
  <w:num w:numId="4" w16cid:durableId="538515497">
    <w:abstractNumId w:val="0"/>
  </w:num>
  <w:num w:numId="5" w16cid:durableId="763577868">
    <w:abstractNumId w:val="25"/>
  </w:num>
  <w:num w:numId="6" w16cid:durableId="1013067816">
    <w:abstractNumId w:val="6"/>
  </w:num>
  <w:num w:numId="7" w16cid:durableId="169104134">
    <w:abstractNumId w:val="24"/>
  </w:num>
  <w:num w:numId="8" w16cid:durableId="2045516222">
    <w:abstractNumId w:val="16"/>
  </w:num>
  <w:num w:numId="9" w16cid:durableId="2011058880">
    <w:abstractNumId w:val="4"/>
  </w:num>
  <w:num w:numId="10" w16cid:durableId="745344856">
    <w:abstractNumId w:val="9"/>
  </w:num>
  <w:num w:numId="11" w16cid:durableId="2070224583">
    <w:abstractNumId w:val="26"/>
  </w:num>
  <w:num w:numId="12" w16cid:durableId="1582712708">
    <w:abstractNumId w:val="17"/>
  </w:num>
  <w:num w:numId="13" w16cid:durableId="92286911">
    <w:abstractNumId w:val="5"/>
  </w:num>
  <w:num w:numId="14" w16cid:durableId="468207974">
    <w:abstractNumId w:val="20"/>
  </w:num>
  <w:num w:numId="15" w16cid:durableId="1912157322">
    <w:abstractNumId w:val="21"/>
  </w:num>
  <w:num w:numId="16" w16cid:durableId="749618662">
    <w:abstractNumId w:val="29"/>
  </w:num>
  <w:num w:numId="17" w16cid:durableId="1602759990">
    <w:abstractNumId w:val="22"/>
  </w:num>
  <w:num w:numId="18" w16cid:durableId="615218403">
    <w:abstractNumId w:val="7"/>
  </w:num>
  <w:num w:numId="19" w16cid:durableId="2001419234">
    <w:abstractNumId w:val="12"/>
  </w:num>
  <w:num w:numId="20" w16cid:durableId="1336566365">
    <w:abstractNumId w:val="1"/>
  </w:num>
  <w:num w:numId="21" w16cid:durableId="1134517109">
    <w:abstractNumId w:val="14"/>
  </w:num>
  <w:num w:numId="22" w16cid:durableId="202407901">
    <w:abstractNumId w:val="8"/>
  </w:num>
  <w:num w:numId="23" w16cid:durableId="196285454">
    <w:abstractNumId w:val="3"/>
  </w:num>
  <w:num w:numId="24" w16cid:durableId="1554999602">
    <w:abstractNumId w:val="11"/>
  </w:num>
  <w:num w:numId="25" w16cid:durableId="513106028">
    <w:abstractNumId w:val="30"/>
  </w:num>
  <w:num w:numId="26" w16cid:durableId="1438794830">
    <w:abstractNumId w:val="13"/>
  </w:num>
  <w:num w:numId="27" w16cid:durableId="1281573371">
    <w:abstractNumId w:val="18"/>
  </w:num>
  <w:num w:numId="28" w16cid:durableId="598638522">
    <w:abstractNumId w:val="23"/>
  </w:num>
  <w:num w:numId="29" w16cid:durableId="1013143776">
    <w:abstractNumId w:val="10"/>
  </w:num>
  <w:num w:numId="30" w16cid:durableId="503711088">
    <w:abstractNumId w:val="19"/>
  </w:num>
  <w:num w:numId="31" w16cid:durableId="6984361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474"/>
    <w:rsid w:val="00002C2E"/>
    <w:rsid w:val="00003E20"/>
    <w:rsid w:val="00010FF3"/>
    <w:rsid w:val="0001509A"/>
    <w:rsid w:val="00025CBF"/>
    <w:rsid w:val="00027A4C"/>
    <w:rsid w:val="00027FA0"/>
    <w:rsid w:val="00033A3F"/>
    <w:rsid w:val="00036264"/>
    <w:rsid w:val="000409F2"/>
    <w:rsid w:val="000414C2"/>
    <w:rsid w:val="00041A8B"/>
    <w:rsid w:val="0004373D"/>
    <w:rsid w:val="00044DD1"/>
    <w:rsid w:val="000532DE"/>
    <w:rsid w:val="00057B1E"/>
    <w:rsid w:val="0006634F"/>
    <w:rsid w:val="0006726F"/>
    <w:rsid w:val="00072ABD"/>
    <w:rsid w:val="00076CF4"/>
    <w:rsid w:val="0008186D"/>
    <w:rsid w:val="00091E4F"/>
    <w:rsid w:val="00095503"/>
    <w:rsid w:val="00096293"/>
    <w:rsid w:val="00097412"/>
    <w:rsid w:val="000A0220"/>
    <w:rsid w:val="000A48D3"/>
    <w:rsid w:val="000A4A71"/>
    <w:rsid w:val="000A5135"/>
    <w:rsid w:val="000A7B92"/>
    <w:rsid w:val="000B7C1F"/>
    <w:rsid w:val="000C29E8"/>
    <w:rsid w:val="000C5F05"/>
    <w:rsid w:val="000C7B32"/>
    <w:rsid w:val="000D0A3E"/>
    <w:rsid w:val="000D1684"/>
    <w:rsid w:val="000D1807"/>
    <w:rsid w:val="000D5D0D"/>
    <w:rsid w:val="000D7E0D"/>
    <w:rsid w:val="001020E5"/>
    <w:rsid w:val="00102A59"/>
    <w:rsid w:val="00105C42"/>
    <w:rsid w:val="001076C3"/>
    <w:rsid w:val="001143BB"/>
    <w:rsid w:val="00114809"/>
    <w:rsid w:val="001156B3"/>
    <w:rsid w:val="00120B8B"/>
    <w:rsid w:val="001254A8"/>
    <w:rsid w:val="0013113A"/>
    <w:rsid w:val="00134EE3"/>
    <w:rsid w:val="0014725C"/>
    <w:rsid w:val="00151939"/>
    <w:rsid w:val="00153323"/>
    <w:rsid w:val="00154084"/>
    <w:rsid w:val="00154F83"/>
    <w:rsid w:val="00160574"/>
    <w:rsid w:val="00163C5D"/>
    <w:rsid w:val="001766BE"/>
    <w:rsid w:val="00187878"/>
    <w:rsid w:val="001906D4"/>
    <w:rsid w:val="00190E15"/>
    <w:rsid w:val="00193438"/>
    <w:rsid w:val="001A17AA"/>
    <w:rsid w:val="001A56A3"/>
    <w:rsid w:val="001A60DD"/>
    <w:rsid w:val="001B7CE4"/>
    <w:rsid w:val="001C26DF"/>
    <w:rsid w:val="001C3918"/>
    <w:rsid w:val="001C4D55"/>
    <w:rsid w:val="001C5D15"/>
    <w:rsid w:val="001C642A"/>
    <w:rsid w:val="001C7169"/>
    <w:rsid w:val="001D3FE4"/>
    <w:rsid w:val="001E017B"/>
    <w:rsid w:val="001E0C00"/>
    <w:rsid w:val="001E2974"/>
    <w:rsid w:val="001E5736"/>
    <w:rsid w:val="001E6DBE"/>
    <w:rsid w:val="001F2AC6"/>
    <w:rsid w:val="00201A98"/>
    <w:rsid w:val="002140B5"/>
    <w:rsid w:val="00214979"/>
    <w:rsid w:val="00216D49"/>
    <w:rsid w:val="002176B8"/>
    <w:rsid w:val="00223C33"/>
    <w:rsid w:val="0022720A"/>
    <w:rsid w:val="00230AD0"/>
    <w:rsid w:val="002312D6"/>
    <w:rsid w:val="00233C6C"/>
    <w:rsid w:val="002428DF"/>
    <w:rsid w:val="00243C0E"/>
    <w:rsid w:val="0025012E"/>
    <w:rsid w:val="00253BD2"/>
    <w:rsid w:val="00261757"/>
    <w:rsid w:val="0026347E"/>
    <w:rsid w:val="00263FDE"/>
    <w:rsid w:val="002660A6"/>
    <w:rsid w:val="002673C7"/>
    <w:rsid w:val="002700A8"/>
    <w:rsid w:val="00271918"/>
    <w:rsid w:val="00271C93"/>
    <w:rsid w:val="00277751"/>
    <w:rsid w:val="00283439"/>
    <w:rsid w:val="002920B5"/>
    <w:rsid w:val="00292ABE"/>
    <w:rsid w:val="00294903"/>
    <w:rsid w:val="002965F2"/>
    <w:rsid w:val="00297DF0"/>
    <w:rsid w:val="002A1782"/>
    <w:rsid w:val="002A24A8"/>
    <w:rsid w:val="002B35C2"/>
    <w:rsid w:val="002B363A"/>
    <w:rsid w:val="002B5C6F"/>
    <w:rsid w:val="002B6D43"/>
    <w:rsid w:val="002C073D"/>
    <w:rsid w:val="002C0E88"/>
    <w:rsid w:val="002C19D3"/>
    <w:rsid w:val="002C1E94"/>
    <w:rsid w:val="002D1D80"/>
    <w:rsid w:val="002D4ABB"/>
    <w:rsid w:val="002D50AF"/>
    <w:rsid w:val="002D5BAB"/>
    <w:rsid w:val="002D7BB5"/>
    <w:rsid w:val="002E27CA"/>
    <w:rsid w:val="002E37F7"/>
    <w:rsid w:val="002E5AF9"/>
    <w:rsid w:val="002E61E7"/>
    <w:rsid w:val="002E7F11"/>
    <w:rsid w:val="002F35DF"/>
    <w:rsid w:val="002F685F"/>
    <w:rsid w:val="002F6F1B"/>
    <w:rsid w:val="003029C6"/>
    <w:rsid w:val="0030517F"/>
    <w:rsid w:val="00305354"/>
    <w:rsid w:val="00305563"/>
    <w:rsid w:val="0031105E"/>
    <w:rsid w:val="0031785E"/>
    <w:rsid w:val="00320542"/>
    <w:rsid w:val="0033130F"/>
    <w:rsid w:val="00333F8E"/>
    <w:rsid w:val="0034424D"/>
    <w:rsid w:val="00353558"/>
    <w:rsid w:val="0036276B"/>
    <w:rsid w:val="003652DC"/>
    <w:rsid w:val="00371218"/>
    <w:rsid w:val="00371C59"/>
    <w:rsid w:val="00380219"/>
    <w:rsid w:val="00380D84"/>
    <w:rsid w:val="00383D35"/>
    <w:rsid w:val="00384B58"/>
    <w:rsid w:val="003868BC"/>
    <w:rsid w:val="003917C8"/>
    <w:rsid w:val="00396A82"/>
    <w:rsid w:val="003A030B"/>
    <w:rsid w:val="003A0458"/>
    <w:rsid w:val="003B556E"/>
    <w:rsid w:val="003D1062"/>
    <w:rsid w:val="003D4D61"/>
    <w:rsid w:val="003D5935"/>
    <w:rsid w:val="003E115E"/>
    <w:rsid w:val="003E19AE"/>
    <w:rsid w:val="003E25AC"/>
    <w:rsid w:val="003E2D1D"/>
    <w:rsid w:val="003E3017"/>
    <w:rsid w:val="003E58BB"/>
    <w:rsid w:val="003E736D"/>
    <w:rsid w:val="003F1096"/>
    <w:rsid w:val="003F1A1F"/>
    <w:rsid w:val="003F1C6C"/>
    <w:rsid w:val="003F7516"/>
    <w:rsid w:val="004001FF"/>
    <w:rsid w:val="00401418"/>
    <w:rsid w:val="00402669"/>
    <w:rsid w:val="00404FD9"/>
    <w:rsid w:val="00407EC9"/>
    <w:rsid w:val="0041185F"/>
    <w:rsid w:val="00417BA6"/>
    <w:rsid w:val="00420659"/>
    <w:rsid w:val="004272E6"/>
    <w:rsid w:val="004341C0"/>
    <w:rsid w:val="004359A6"/>
    <w:rsid w:val="00435CFE"/>
    <w:rsid w:val="004412B9"/>
    <w:rsid w:val="00442292"/>
    <w:rsid w:val="0044230F"/>
    <w:rsid w:val="00445F3E"/>
    <w:rsid w:val="00447E4F"/>
    <w:rsid w:val="0045081D"/>
    <w:rsid w:val="00450C5E"/>
    <w:rsid w:val="00454A06"/>
    <w:rsid w:val="00457CF4"/>
    <w:rsid w:val="00460EC6"/>
    <w:rsid w:val="004645C1"/>
    <w:rsid w:val="00467F22"/>
    <w:rsid w:val="0047227C"/>
    <w:rsid w:val="004746A5"/>
    <w:rsid w:val="004770F6"/>
    <w:rsid w:val="004774CA"/>
    <w:rsid w:val="00477604"/>
    <w:rsid w:val="00480450"/>
    <w:rsid w:val="00480D55"/>
    <w:rsid w:val="00482696"/>
    <w:rsid w:val="00482FCB"/>
    <w:rsid w:val="0048370F"/>
    <w:rsid w:val="00483A93"/>
    <w:rsid w:val="00483C9A"/>
    <w:rsid w:val="00497DDD"/>
    <w:rsid w:val="004A48A8"/>
    <w:rsid w:val="004B0502"/>
    <w:rsid w:val="004B34CF"/>
    <w:rsid w:val="004B6587"/>
    <w:rsid w:val="004C7748"/>
    <w:rsid w:val="004D4034"/>
    <w:rsid w:val="004D7622"/>
    <w:rsid w:val="004E10BF"/>
    <w:rsid w:val="004E19EE"/>
    <w:rsid w:val="004E27E9"/>
    <w:rsid w:val="004E34F4"/>
    <w:rsid w:val="004F13DE"/>
    <w:rsid w:val="004F2D31"/>
    <w:rsid w:val="004F4BCE"/>
    <w:rsid w:val="00503380"/>
    <w:rsid w:val="00505D08"/>
    <w:rsid w:val="0051199E"/>
    <w:rsid w:val="005132A8"/>
    <w:rsid w:val="00515AD5"/>
    <w:rsid w:val="00515E06"/>
    <w:rsid w:val="005208F4"/>
    <w:rsid w:val="005221B2"/>
    <w:rsid w:val="00523BAF"/>
    <w:rsid w:val="005244E4"/>
    <w:rsid w:val="0052628F"/>
    <w:rsid w:val="005264AF"/>
    <w:rsid w:val="005268D4"/>
    <w:rsid w:val="005271EA"/>
    <w:rsid w:val="00533BE1"/>
    <w:rsid w:val="00540C70"/>
    <w:rsid w:val="00540CBF"/>
    <w:rsid w:val="00541895"/>
    <w:rsid w:val="00546259"/>
    <w:rsid w:val="00546571"/>
    <w:rsid w:val="005466DC"/>
    <w:rsid w:val="00547890"/>
    <w:rsid w:val="005536DB"/>
    <w:rsid w:val="00556A08"/>
    <w:rsid w:val="005664B3"/>
    <w:rsid w:val="005703EF"/>
    <w:rsid w:val="00572866"/>
    <w:rsid w:val="005732DE"/>
    <w:rsid w:val="005735E1"/>
    <w:rsid w:val="00573D8C"/>
    <w:rsid w:val="00575E62"/>
    <w:rsid w:val="0058035D"/>
    <w:rsid w:val="00580938"/>
    <w:rsid w:val="0058652B"/>
    <w:rsid w:val="00591C44"/>
    <w:rsid w:val="005920BD"/>
    <w:rsid w:val="00594F3E"/>
    <w:rsid w:val="005A55AA"/>
    <w:rsid w:val="005A5BE8"/>
    <w:rsid w:val="005A69CB"/>
    <w:rsid w:val="005A6C27"/>
    <w:rsid w:val="005B043E"/>
    <w:rsid w:val="005B081D"/>
    <w:rsid w:val="005B5732"/>
    <w:rsid w:val="005B6164"/>
    <w:rsid w:val="005B7669"/>
    <w:rsid w:val="005C09FE"/>
    <w:rsid w:val="005C30F1"/>
    <w:rsid w:val="005C3A9F"/>
    <w:rsid w:val="005C631C"/>
    <w:rsid w:val="005C63FE"/>
    <w:rsid w:val="005C7556"/>
    <w:rsid w:val="005D0CF9"/>
    <w:rsid w:val="005D0E4B"/>
    <w:rsid w:val="005D4F15"/>
    <w:rsid w:val="005E4491"/>
    <w:rsid w:val="005E45AA"/>
    <w:rsid w:val="005E6E31"/>
    <w:rsid w:val="005F0820"/>
    <w:rsid w:val="005F522E"/>
    <w:rsid w:val="005F65F5"/>
    <w:rsid w:val="005F797B"/>
    <w:rsid w:val="0060550E"/>
    <w:rsid w:val="00605D74"/>
    <w:rsid w:val="00606B67"/>
    <w:rsid w:val="0061483E"/>
    <w:rsid w:val="0061523D"/>
    <w:rsid w:val="006202C4"/>
    <w:rsid w:val="006217A1"/>
    <w:rsid w:val="0063169F"/>
    <w:rsid w:val="00631E27"/>
    <w:rsid w:val="00635A24"/>
    <w:rsid w:val="00636674"/>
    <w:rsid w:val="006400AD"/>
    <w:rsid w:val="00640B8A"/>
    <w:rsid w:val="006428AD"/>
    <w:rsid w:val="006539F8"/>
    <w:rsid w:val="00653CAF"/>
    <w:rsid w:val="00654ACF"/>
    <w:rsid w:val="00661080"/>
    <w:rsid w:val="0066289F"/>
    <w:rsid w:val="0066415F"/>
    <w:rsid w:val="006668C9"/>
    <w:rsid w:val="00667733"/>
    <w:rsid w:val="00672C92"/>
    <w:rsid w:val="00674E57"/>
    <w:rsid w:val="00683014"/>
    <w:rsid w:val="00686BF3"/>
    <w:rsid w:val="00691099"/>
    <w:rsid w:val="006970BB"/>
    <w:rsid w:val="006A0092"/>
    <w:rsid w:val="006A10EC"/>
    <w:rsid w:val="006A1C2D"/>
    <w:rsid w:val="006A6793"/>
    <w:rsid w:val="006B3733"/>
    <w:rsid w:val="006B4147"/>
    <w:rsid w:val="006C3BD7"/>
    <w:rsid w:val="006C4FB5"/>
    <w:rsid w:val="006C7405"/>
    <w:rsid w:val="006D66CF"/>
    <w:rsid w:val="006D74C4"/>
    <w:rsid w:val="006E1474"/>
    <w:rsid w:val="006E4DBB"/>
    <w:rsid w:val="006F2D4B"/>
    <w:rsid w:val="00701BF8"/>
    <w:rsid w:val="00704F4C"/>
    <w:rsid w:val="0070630C"/>
    <w:rsid w:val="007068DD"/>
    <w:rsid w:val="00710717"/>
    <w:rsid w:val="007205FA"/>
    <w:rsid w:val="00722F71"/>
    <w:rsid w:val="007303F4"/>
    <w:rsid w:val="007333D1"/>
    <w:rsid w:val="00733A5D"/>
    <w:rsid w:val="0074683B"/>
    <w:rsid w:val="00756523"/>
    <w:rsid w:val="00760ADA"/>
    <w:rsid w:val="00763DD6"/>
    <w:rsid w:val="00767702"/>
    <w:rsid w:val="00770DBA"/>
    <w:rsid w:val="007722F3"/>
    <w:rsid w:val="00772B96"/>
    <w:rsid w:val="007733E8"/>
    <w:rsid w:val="007747E7"/>
    <w:rsid w:val="00776D52"/>
    <w:rsid w:val="00780410"/>
    <w:rsid w:val="007810C3"/>
    <w:rsid w:val="00784845"/>
    <w:rsid w:val="00784DA6"/>
    <w:rsid w:val="00786277"/>
    <w:rsid w:val="007868A4"/>
    <w:rsid w:val="00793D02"/>
    <w:rsid w:val="007A4D24"/>
    <w:rsid w:val="007A69B8"/>
    <w:rsid w:val="007B0681"/>
    <w:rsid w:val="007B0B0A"/>
    <w:rsid w:val="007B38CD"/>
    <w:rsid w:val="007B43F8"/>
    <w:rsid w:val="007B4DAE"/>
    <w:rsid w:val="007B4E35"/>
    <w:rsid w:val="007B5E4D"/>
    <w:rsid w:val="007B6AA9"/>
    <w:rsid w:val="007C049E"/>
    <w:rsid w:val="007C2A4A"/>
    <w:rsid w:val="007C742C"/>
    <w:rsid w:val="007C790F"/>
    <w:rsid w:val="007D15AC"/>
    <w:rsid w:val="007E1443"/>
    <w:rsid w:val="007E3C57"/>
    <w:rsid w:val="007F06F0"/>
    <w:rsid w:val="00801110"/>
    <w:rsid w:val="00801793"/>
    <w:rsid w:val="00801880"/>
    <w:rsid w:val="00805B15"/>
    <w:rsid w:val="00810A89"/>
    <w:rsid w:val="00810E8A"/>
    <w:rsid w:val="00817D7A"/>
    <w:rsid w:val="00830FED"/>
    <w:rsid w:val="00832CE0"/>
    <w:rsid w:val="00834DBF"/>
    <w:rsid w:val="008402AE"/>
    <w:rsid w:val="0084099F"/>
    <w:rsid w:val="008412FA"/>
    <w:rsid w:val="00844941"/>
    <w:rsid w:val="00847F38"/>
    <w:rsid w:val="0085259C"/>
    <w:rsid w:val="008574AE"/>
    <w:rsid w:val="0086327F"/>
    <w:rsid w:val="0086411A"/>
    <w:rsid w:val="00865957"/>
    <w:rsid w:val="008742F7"/>
    <w:rsid w:val="00885FF3"/>
    <w:rsid w:val="008902D1"/>
    <w:rsid w:val="0089184E"/>
    <w:rsid w:val="00892339"/>
    <w:rsid w:val="00892A79"/>
    <w:rsid w:val="00894151"/>
    <w:rsid w:val="008957D6"/>
    <w:rsid w:val="00896E32"/>
    <w:rsid w:val="008A08E9"/>
    <w:rsid w:val="008A20FD"/>
    <w:rsid w:val="008A32E2"/>
    <w:rsid w:val="008A527A"/>
    <w:rsid w:val="008B2772"/>
    <w:rsid w:val="008B2A81"/>
    <w:rsid w:val="008C3DF2"/>
    <w:rsid w:val="008C50A6"/>
    <w:rsid w:val="008C70B1"/>
    <w:rsid w:val="008D111A"/>
    <w:rsid w:val="008D145D"/>
    <w:rsid w:val="008D15A4"/>
    <w:rsid w:val="008D3C36"/>
    <w:rsid w:val="008D6F04"/>
    <w:rsid w:val="008E5B2E"/>
    <w:rsid w:val="008E7084"/>
    <w:rsid w:val="008F369A"/>
    <w:rsid w:val="008F4113"/>
    <w:rsid w:val="008F596B"/>
    <w:rsid w:val="0090153E"/>
    <w:rsid w:val="009030DB"/>
    <w:rsid w:val="00903D9E"/>
    <w:rsid w:val="00904682"/>
    <w:rsid w:val="009054EE"/>
    <w:rsid w:val="00907F09"/>
    <w:rsid w:val="00913631"/>
    <w:rsid w:val="00927EA6"/>
    <w:rsid w:val="00936D8F"/>
    <w:rsid w:val="00937A0C"/>
    <w:rsid w:val="00941206"/>
    <w:rsid w:val="00942552"/>
    <w:rsid w:val="00942D4C"/>
    <w:rsid w:val="0094334D"/>
    <w:rsid w:val="00944C43"/>
    <w:rsid w:val="009450FC"/>
    <w:rsid w:val="00945734"/>
    <w:rsid w:val="009466EC"/>
    <w:rsid w:val="00953307"/>
    <w:rsid w:val="009534D7"/>
    <w:rsid w:val="00953A09"/>
    <w:rsid w:val="0096109C"/>
    <w:rsid w:val="00967927"/>
    <w:rsid w:val="00967B20"/>
    <w:rsid w:val="00967DFD"/>
    <w:rsid w:val="009750CB"/>
    <w:rsid w:val="0097661C"/>
    <w:rsid w:val="009772AB"/>
    <w:rsid w:val="00980176"/>
    <w:rsid w:val="00981020"/>
    <w:rsid w:val="009818E7"/>
    <w:rsid w:val="009829A2"/>
    <w:rsid w:val="00982BF5"/>
    <w:rsid w:val="00982F9F"/>
    <w:rsid w:val="009857A9"/>
    <w:rsid w:val="0099535B"/>
    <w:rsid w:val="00996045"/>
    <w:rsid w:val="00996283"/>
    <w:rsid w:val="009A03BF"/>
    <w:rsid w:val="009A6716"/>
    <w:rsid w:val="009A7C12"/>
    <w:rsid w:val="009C22D1"/>
    <w:rsid w:val="009C23DE"/>
    <w:rsid w:val="009C3330"/>
    <w:rsid w:val="009C4A54"/>
    <w:rsid w:val="009C6F1F"/>
    <w:rsid w:val="009C7DF0"/>
    <w:rsid w:val="009D0E47"/>
    <w:rsid w:val="009D0FD0"/>
    <w:rsid w:val="009D1364"/>
    <w:rsid w:val="009D141B"/>
    <w:rsid w:val="009D16C9"/>
    <w:rsid w:val="009D266C"/>
    <w:rsid w:val="009D5689"/>
    <w:rsid w:val="009D6161"/>
    <w:rsid w:val="009E2D1D"/>
    <w:rsid w:val="009E79D1"/>
    <w:rsid w:val="009F1E39"/>
    <w:rsid w:val="009F2928"/>
    <w:rsid w:val="009F535F"/>
    <w:rsid w:val="009F6DEB"/>
    <w:rsid w:val="00A01927"/>
    <w:rsid w:val="00A0234F"/>
    <w:rsid w:val="00A05DC5"/>
    <w:rsid w:val="00A07757"/>
    <w:rsid w:val="00A1349C"/>
    <w:rsid w:val="00A164EA"/>
    <w:rsid w:val="00A179B3"/>
    <w:rsid w:val="00A20147"/>
    <w:rsid w:val="00A23E9E"/>
    <w:rsid w:val="00A3268E"/>
    <w:rsid w:val="00A413FA"/>
    <w:rsid w:val="00A41CE0"/>
    <w:rsid w:val="00A44F6D"/>
    <w:rsid w:val="00A460B6"/>
    <w:rsid w:val="00A54CED"/>
    <w:rsid w:val="00A57209"/>
    <w:rsid w:val="00A57521"/>
    <w:rsid w:val="00A57D22"/>
    <w:rsid w:val="00A71753"/>
    <w:rsid w:val="00A74770"/>
    <w:rsid w:val="00A74BA5"/>
    <w:rsid w:val="00A75E11"/>
    <w:rsid w:val="00A773EF"/>
    <w:rsid w:val="00A8077A"/>
    <w:rsid w:val="00A80C31"/>
    <w:rsid w:val="00A81617"/>
    <w:rsid w:val="00A84B10"/>
    <w:rsid w:val="00A851BF"/>
    <w:rsid w:val="00A91B17"/>
    <w:rsid w:val="00A92AA5"/>
    <w:rsid w:val="00AB0CED"/>
    <w:rsid w:val="00AB11B2"/>
    <w:rsid w:val="00AB467B"/>
    <w:rsid w:val="00AC4F48"/>
    <w:rsid w:val="00AC7CBC"/>
    <w:rsid w:val="00AE46C7"/>
    <w:rsid w:val="00AF4917"/>
    <w:rsid w:val="00B0316A"/>
    <w:rsid w:val="00B06769"/>
    <w:rsid w:val="00B11BD6"/>
    <w:rsid w:val="00B125E0"/>
    <w:rsid w:val="00B13067"/>
    <w:rsid w:val="00B13137"/>
    <w:rsid w:val="00B1365D"/>
    <w:rsid w:val="00B22C84"/>
    <w:rsid w:val="00B25071"/>
    <w:rsid w:val="00B34B35"/>
    <w:rsid w:val="00B40052"/>
    <w:rsid w:val="00B430AD"/>
    <w:rsid w:val="00B436D3"/>
    <w:rsid w:val="00B43D47"/>
    <w:rsid w:val="00B46858"/>
    <w:rsid w:val="00B54D06"/>
    <w:rsid w:val="00B553C7"/>
    <w:rsid w:val="00B56D8E"/>
    <w:rsid w:val="00B62CD9"/>
    <w:rsid w:val="00B70C12"/>
    <w:rsid w:val="00B755E8"/>
    <w:rsid w:val="00B810EA"/>
    <w:rsid w:val="00B84469"/>
    <w:rsid w:val="00B853E3"/>
    <w:rsid w:val="00B87793"/>
    <w:rsid w:val="00B90FE4"/>
    <w:rsid w:val="00B916E2"/>
    <w:rsid w:val="00BA4570"/>
    <w:rsid w:val="00BB4461"/>
    <w:rsid w:val="00BB514A"/>
    <w:rsid w:val="00BB5B58"/>
    <w:rsid w:val="00BC6030"/>
    <w:rsid w:val="00BC62E2"/>
    <w:rsid w:val="00BD2CD4"/>
    <w:rsid w:val="00BD4189"/>
    <w:rsid w:val="00BE122B"/>
    <w:rsid w:val="00BE3E1F"/>
    <w:rsid w:val="00BE604E"/>
    <w:rsid w:val="00BF1800"/>
    <w:rsid w:val="00BF3AA0"/>
    <w:rsid w:val="00BF578A"/>
    <w:rsid w:val="00BF67F2"/>
    <w:rsid w:val="00BF681D"/>
    <w:rsid w:val="00BF72EC"/>
    <w:rsid w:val="00C01135"/>
    <w:rsid w:val="00C026EC"/>
    <w:rsid w:val="00C05996"/>
    <w:rsid w:val="00C11FD1"/>
    <w:rsid w:val="00C1310D"/>
    <w:rsid w:val="00C1330E"/>
    <w:rsid w:val="00C149C2"/>
    <w:rsid w:val="00C16DC2"/>
    <w:rsid w:val="00C216E3"/>
    <w:rsid w:val="00C23A7B"/>
    <w:rsid w:val="00C23BED"/>
    <w:rsid w:val="00C3311B"/>
    <w:rsid w:val="00C348D7"/>
    <w:rsid w:val="00C367C4"/>
    <w:rsid w:val="00C402CB"/>
    <w:rsid w:val="00C43D29"/>
    <w:rsid w:val="00C448D2"/>
    <w:rsid w:val="00C4563C"/>
    <w:rsid w:val="00C50690"/>
    <w:rsid w:val="00C50BBC"/>
    <w:rsid w:val="00C51059"/>
    <w:rsid w:val="00C5362C"/>
    <w:rsid w:val="00C53D62"/>
    <w:rsid w:val="00C60FFC"/>
    <w:rsid w:val="00C63292"/>
    <w:rsid w:val="00C640A7"/>
    <w:rsid w:val="00C6505C"/>
    <w:rsid w:val="00C66B9C"/>
    <w:rsid w:val="00C71879"/>
    <w:rsid w:val="00C753EF"/>
    <w:rsid w:val="00C77033"/>
    <w:rsid w:val="00C779E1"/>
    <w:rsid w:val="00C8622E"/>
    <w:rsid w:val="00C909F6"/>
    <w:rsid w:val="00C94975"/>
    <w:rsid w:val="00C97042"/>
    <w:rsid w:val="00C97532"/>
    <w:rsid w:val="00CA0583"/>
    <w:rsid w:val="00CA2E86"/>
    <w:rsid w:val="00CA4273"/>
    <w:rsid w:val="00CA4E98"/>
    <w:rsid w:val="00CA5917"/>
    <w:rsid w:val="00CA7B98"/>
    <w:rsid w:val="00CB12AA"/>
    <w:rsid w:val="00CB3F95"/>
    <w:rsid w:val="00CB670D"/>
    <w:rsid w:val="00CB6725"/>
    <w:rsid w:val="00CB6CD1"/>
    <w:rsid w:val="00CC4B5F"/>
    <w:rsid w:val="00CC4CAB"/>
    <w:rsid w:val="00CD329A"/>
    <w:rsid w:val="00CD52C9"/>
    <w:rsid w:val="00CE0DA7"/>
    <w:rsid w:val="00CE2895"/>
    <w:rsid w:val="00CE5196"/>
    <w:rsid w:val="00CE7502"/>
    <w:rsid w:val="00CF20FC"/>
    <w:rsid w:val="00D00E48"/>
    <w:rsid w:val="00D05949"/>
    <w:rsid w:val="00D068A3"/>
    <w:rsid w:val="00D06962"/>
    <w:rsid w:val="00D07B28"/>
    <w:rsid w:val="00D2787A"/>
    <w:rsid w:val="00D278CC"/>
    <w:rsid w:val="00D319F6"/>
    <w:rsid w:val="00D41E75"/>
    <w:rsid w:val="00D42DE1"/>
    <w:rsid w:val="00D43320"/>
    <w:rsid w:val="00D448C3"/>
    <w:rsid w:val="00D526FB"/>
    <w:rsid w:val="00D52F3B"/>
    <w:rsid w:val="00D55A37"/>
    <w:rsid w:val="00D572D5"/>
    <w:rsid w:val="00D62E60"/>
    <w:rsid w:val="00D64014"/>
    <w:rsid w:val="00D659E9"/>
    <w:rsid w:val="00D66C7D"/>
    <w:rsid w:val="00D705AD"/>
    <w:rsid w:val="00D70AF6"/>
    <w:rsid w:val="00D717CB"/>
    <w:rsid w:val="00D7402E"/>
    <w:rsid w:val="00D752C0"/>
    <w:rsid w:val="00D764E6"/>
    <w:rsid w:val="00D850E2"/>
    <w:rsid w:val="00D8687E"/>
    <w:rsid w:val="00D924BA"/>
    <w:rsid w:val="00DA4B27"/>
    <w:rsid w:val="00DA5E32"/>
    <w:rsid w:val="00DB13D2"/>
    <w:rsid w:val="00DB1477"/>
    <w:rsid w:val="00DB2A53"/>
    <w:rsid w:val="00DB2E42"/>
    <w:rsid w:val="00DB2F53"/>
    <w:rsid w:val="00DB4711"/>
    <w:rsid w:val="00DB6AF5"/>
    <w:rsid w:val="00DC0ABD"/>
    <w:rsid w:val="00DC7AD6"/>
    <w:rsid w:val="00DD36E7"/>
    <w:rsid w:val="00DD75F0"/>
    <w:rsid w:val="00DE3308"/>
    <w:rsid w:val="00DE3980"/>
    <w:rsid w:val="00DE5621"/>
    <w:rsid w:val="00DE7CE3"/>
    <w:rsid w:val="00DF017F"/>
    <w:rsid w:val="00DF14DA"/>
    <w:rsid w:val="00DF637E"/>
    <w:rsid w:val="00DF73A5"/>
    <w:rsid w:val="00E01C07"/>
    <w:rsid w:val="00E037F1"/>
    <w:rsid w:val="00E15593"/>
    <w:rsid w:val="00E17DDB"/>
    <w:rsid w:val="00E20A8B"/>
    <w:rsid w:val="00E21C91"/>
    <w:rsid w:val="00E220D6"/>
    <w:rsid w:val="00E24B7E"/>
    <w:rsid w:val="00E258DF"/>
    <w:rsid w:val="00E3088B"/>
    <w:rsid w:val="00E31191"/>
    <w:rsid w:val="00E31CCF"/>
    <w:rsid w:val="00E4022B"/>
    <w:rsid w:val="00E4078A"/>
    <w:rsid w:val="00E41094"/>
    <w:rsid w:val="00E42A19"/>
    <w:rsid w:val="00E436ED"/>
    <w:rsid w:val="00E43849"/>
    <w:rsid w:val="00E519DC"/>
    <w:rsid w:val="00E5657E"/>
    <w:rsid w:val="00E57623"/>
    <w:rsid w:val="00E61FFE"/>
    <w:rsid w:val="00E671A0"/>
    <w:rsid w:val="00E72555"/>
    <w:rsid w:val="00E77C76"/>
    <w:rsid w:val="00E80637"/>
    <w:rsid w:val="00E81702"/>
    <w:rsid w:val="00E862D2"/>
    <w:rsid w:val="00E86991"/>
    <w:rsid w:val="00E86E3B"/>
    <w:rsid w:val="00E95F09"/>
    <w:rsid w:val="00E96C88"/>
    <w:rsid w:val="00E97474"/>
    <w:rsid w:val="00EA2C1C"/>
    <w:rsid w:val="00EB203C"/>
    <w:rsid w:val="00EB5470"/>
    <w:rsid w:val="00EB6516"/>
    <w:rsid w:val="00EC03A4"/>
    <w:rsid w:val="00EC15A7"/>
    <w:rsid w:val="00EC2184"/>
    <w:rsid w:val="00ED1DDE"/>
    <w:rsid w:val="00ED394C"/>
    <w:rsid w:val="00ED7818"/>
    <w:rsid w:val="00ED7C23"/>
    <w:rsid w:val="00EE0024"/>
    <w:rsid w:val="00EE029D"/>
    <w:rsid w:val="00EE0C22"/>
    <w:rsid w:val="00EE0C65"/>
    <w:rsid w:val="00EE1508"/>
    <w:rsid w:val="00EE4764"/>
    <w:rsid w:val="00EF221A"/>
    <w:rsid w:val="00EF7502"/>
    <w:rsid w:val="00EF7960"/>
    <w:rsid w:val="00F043BD"/>
    <w:rsid w:val="00F06693"/>
    <w:rsid w:val="00F07657"/>
    <w:rsid w:val="00F07D84"/>
    <w:rsid w:val="00F15823"/>
    <w:rsid w:val="00F15AEF"/>
    <w:rsid w:val="00F21E79"/>
    <w:rsid w:val="00F22FF8"/>
    <w:rsid w:val="00F32C8D"/>
    <w:rsid w:val="00F361BA"/>
    <w:rsid w:val="00F36AF9"/>
    <w:rsid w:val="00F3701E"/>
    <w:rsid w:val="00F42512"/>
    <w:rsid w:val="00F42FD0"/>
    <w:rsid w:val="00F440AC"/>
    <w:rsid w:val="00F46D10"/>
    <w:rsid w:val="00F473B0"/>
    <w:rsid w:val="00F47B73"/>
    <w:rsid w:val="00F507E8"/>
    <w:rsid w:val="00F5094E"/>
    <w:rsid w:val="00F53D22"/>
    <w:rsid w:val="00F641A2"/>
    <w:rsid w:val="00F641B1"/>
    <w:rsid w:val="00F65F63"/>
    <w:rsid w:val="00F77323"/>
    <w:rsid w:val="00F90015"/>
    <w:rsid w:val="00F90A93"/>
    <w:rsid w:val="00F90DB1"/>
    <w:rsid w:val="00F9359F"/>
    <w:rsid w:val="00F96BFF"/>
    <w:rsid w:val="00FA18C7"/>
    <w:rsid w:val="00FB2343"/>
    <w:rsid w:val="00FB2623"/>
    <w:rsid w:val="00FB4C8A"/>
    <w:rsid w:val="00FB5E75"/>
    <w:rsid w:val="00FB704C"/>
    <w:rsid w:val="00FB7367"/>
    <w:rsid w:val="00FC0444"/>
    <w:rsid w:val="00FC085F"/>
    <w:rsid w:val="00FC15D2"/>
    <w:rsid w:val="00FC27BD"/>
    <w:rsid w:val="00FC2BBA"/>
    <w:rsid w:val="00FC493C"/>
    <w:rsid w:val="00FC4A1D"/>
    <w:rsid w:val="00FC608C"/>
    <w:rsid w:val="00FC79B1"/>
    <w:rsid w:val="00FE0D6D"/>
    <w:rsid w:val="00FE47A7"/>
    <w:rsid w:val="00FE6742"/>
    <w:rsid w:val="00FE717F"/>
    <w:rsid w:val="00FE77A1"/>
    <w:rsid w:val="00FE7C6F"/>
    <w:rsid w:val="00FF1EAB"/>
    <w:rsid w:val="00FF2B51"/>
    <w:rsid w:val="00FF358C"/>
    <w:rsid w:val="00FF78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559D"/>
  <w15:chartTrackingRefBased/>
  <w15:docId w15:val="{B4D14595-C3AA-49C1-84D9-2B991257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74"/>
    <w:rPr>
      <w:rFonts w:ascii="Arial" w:hAnsi="Arial" w:cs="Arial"/>
      <w:sz w:val="24"/>
      <w:szCs w:val="24"/>
    </w:rPr>
  </w:style>
  <w:style w:type="paragraph" w:styleId="Heading1">
    <w:name w:val="heading 1"/>
    <w:basedOn w:val="Normal"/>
    <w:link w:val="Heading1Char"/>
    <w:uiPriority w:val="9"/>
    <w:qFormat/>
    <w:rsid w:val="00FE7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FE7C6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74"/>
    <w:pPr>
      <w:ind w:left="720"/>
      <w:contextualSpacing/>
    </w:pPr>
  </w:style>
  <w:style w:type="paragraph" w:styleId="FootnoteText">
    <w:name w:val="footnote text"/>
    <w:basedOn w:val="Normal"/>
    <w:link w:val="FootnoteTextChar"/>
    <w:uiPriority w:val="99"/>
    <w:unhideWhenUsed/>
    <w:rsid w:val="00EE0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C65"/>
    <w:rPr>
      <w:rFonts w:ascii="Arial" w:hAnsi="Arial" w:cs="Arial"/>
      <w:sz w:val="20"/>
      <w:szCs w:val="20"/>
    </w:rPr>
  </w:style>
  <w:style w:type="character" w:styleId="FootnoteReference">
    <w:name w:val="footnote reference"/>
    <w:basedOn w:val="DefaultParagraphFont"/>
    <w:uiPriority w:val="99"/>
    <w:semiHidden/>
    <w:unhideWhenUsed/>
    <w:rsid w:val="00EE0C65"/>
    <w:rPr>
      <w:vertAlign w:val="superscript"/>
    </w:rPr>
  </w:style>
  <w:style w:type="paragraph" w:styleId="Header">
    <w:name w:val="header"/>
    <w:basedOn w:val="Normal"/>
    <w:link w:val="HeaderChar"/>
    <w:uiPriority w:val="99"/>
    <w:unhideWhenUsed/>
    <w:rsid w:val="00E5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623"/>
    <w:rPr>
      <w:rFonts w:ascii="Arial" w:hAnsi="Arial" w:cs="Arial"/>
      <w:sz w:val="24"/>
      <w:szCs w:val="24"/>
    </w:rPr>
  </w:style>
  <w:style w:type="paragraph" w:styleId="Footer">
    <w:name w:val="footer"/>
    <w:basedOn w:val="Normal"/>
    <w:link w:val="FooterChar"/>
    <w:uiPriority w:val="99"/>
    <w:unhideWhenUsed/>
    <w:rsid w:val="00E5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623"/>
    <w:rPr>
      <w:rFonts w:ascii="Arial" w:hAnsi="Arial" w:cs="Arial"/>
      <w:sz w:val="24"/>
      <w:szCs w:val="24"/>
    </w:rPr>
  </w:style>
  <w:style w:type="character" w:styleId="CommentReference">
    <w:name w:val="annotation reference"/>
    <w:basedOn w:val="DefaultParagraphFont"/>
    <w:uiPriority w:val="99"/>
    <w:semiHidden/>
    <w:unhideWhenUsed/>
    <w:rsid w:val="006B3733"/>
    <w:rPr>
      <w:sz w:val="16"/>
      <w:szCs w:val="16"/>
    </w:rPr>
  </w:style>
  <w:style w:type="paragraph" w:styleId="CommentText">
    <w:name w:val="annotation text"/>
    <w:basedOn w:val="Normal"/>
    <w:link w:val="CommentTextChar"/>
    <w:uiPriority w:val="99"/>
    <w:semiHidden/>
    <w:unhideWhenUsed/>
    <w:rsid w:val="006B3733"/>
    <w:pPr>
      <w:spacing w:line="240" w:lineRule="auto"/>
    </w:pPr>
    <w:rPr>
      <w:sz w:val="20"/>
      <w:szCs w:val="20"/>
    </w:rPr>
  </w:style>
  <w:style w:type="character" w:customStyle="1" w:styleId="CommentTextChar">
    <w:name w:val="Comment Text Char"/>
    <w:basedOn w:val="DefaultParagraphFont"/>
    <w:link w:val="CommentText"/>
    <w:uiPriority w:val="99"/>
    <w:semiHidden/>
    <w:rsid w:val="006B37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B3733"/>
    <w:rPr>
      <w:b/>
      <w:bCs/>
    </w:rPr>
  </w:style>
  <w:style w:type="character" w:customStyle="1" w:styleId="CommentSubjectChar">
    <w:name w:val="Comment Subject Char"/>
    <w:basedOn w:val="CommentTextChar"/>
    <w:link w:val="CommentSubject"/>
    <w:uiPriority w:val="99"/>
    <w:semiHidden/>
    <w:rsid w:val="006B3733"/>
    <w:rPr>
      <w:rFonts w:ascii="Arial" w:hAnsi="Arial" w:cs="Arial"/>
      <w:b/>
      <w:bCs/>
      <w:sz w:val="20"/>
      <w:szCs w:val="20"/>
    </w:rPr>
  </w:style>
  <w:style w:type="paragraph" w:styleId="BalloonText">
    <w:name w:val="Balloon Text"/>
    <w:basedOn w:val="Normal"/>
    <w:link w:val="BalloonTextChar"/>
    <w:uiPriority w:val="99"/>
    <w:semiHidden/>
    <w:unhideWhenUsed/>
    <w:rsid w:val="006B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33"/>
    <w:rPr>
      <w:rFonts w:ascii="Segoe UI" w:hAnsi="Segoe UI" w:cs="Segoe UI"/>
      <w:sz w:val="18"/>
      <w:szCs w:val="18"/>
    </w:rPr>
  </w:style>
  <w:style w:type="character" w:customStyle="1" w:styleId="Heading1Char">
    <w:name w:val="Heading 1 Char"/>
    <w:basedOn w:val="DefaultParagraphFont"/>
    <w:link w:val="Heading1"/>
    <w:uiPriority w:val="9"/>
    <w:rsid w:val="00FE7C6F"/>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FE7C6F"/>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FE7C6F"/>
    <w:rPr>
      <w:color w:val="0000FF"/>
      <w:u w:val="single"/>
    </w:rPr>
  </w:style>
  <w:style w:type="paragraph" w:styleId="NormalWeb">
    <w:name w:val="Normal (Web)"/>
    <w:basedOn w:val="Normal"/>
    <w:uiPriority w:val="99"/>
    <w:unhideWhenUsed/>
    <w:rsid w:val="00FE7C6F"/>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western">
    <w:name w:val="western"/>
    <w:basedOn w:val="Normal"/>
    <w:rsid w:val="003029C6"/>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lg-para3">
    <w:name w:val="lg-para3"/>
    <w:basedOn w:val="Normal"/>
    <w:rsid w:val="005920BD"/>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lg-a-1">
    <w:name w:val="lg-a-1"/>
    <w:basedOn w:val="Normal"/>
    <w:rsid w:val="005920BD"/>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lg-section">
    <w:name w:val="lg-section"/>
    <w:basedOn w:val="Normal"/>
    <w:rsid w:val="005920BD"/>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lg-para4">
    <w:name w:val="lg-para4"/>
    <w:basedOn w:val="Normal"/>
    <w:rsid w:val="00154084"/>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lg-i">
    <w:name w:val="lg-i"/>
    <w:basedOn w:val="Normal"/>
    <w:rsid w:val="00154084"/>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lg-i-a-1">
    <w:name w:val="lg-i-a-1"/>
    <w:basedOn w:val="Normal"/>
    <w:rsid w:val="00190E15"/>
    <w:pPr>
      <w:spacing w:before="100" w:beforeAutospacing="1" w:after="100" w:afterAutospacing="1" w:line="240" w:lineRule="auto"/>
    </w:pPr>
    <w:rPr>
      <w:rFonts w:ascii="Times New Roman" w:eastAsia="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130127">
      <w:bodyDiv w:val="1"/>
      <w:marLeft w:val="0"/>
      <w:marRight w:val="0"/>
      <w:marTop w:val="0"/>
      <w:marBottom w:val="0"/>
      <w:divBdr>
        <w:top w:val="none" w:sz="0" w:space="0" w:color="auto"/>
        <w:left w:val="none" w:sz="0" w:space="0" w:color="auto"/>
        <w:bottom w:val="none" w:sz="0" w:space="0" w:color="auto"/>
        <w:right w:val="none" w:sz="0" w:space="0" w:color="auto"/>
      </w:divBdr>
    </w:div>
    <w:div w:id="494495043">
      <w:bodyDiv w:val="1"/>
      <w:marLeft w:val="0"/>
      <w:marRight w:val="0"/>
      <w:marTop w:val="0"/>
      <w:marBottom w:val="0"/>
      <w:divBdr>
        <w:top w:val="none" w:sz="0" w:space="0" w:color="auto"/>
        <w:left w:val="none" w:sz="0" w:space="0" w:color="auto"/>
        <w:bottom w:val="none" w:sz="0" w:space="0" w:color="auto"/>
        <w:right w:val="none" w:sz="0" w:space="0" w:color="auto"/>
      </w:divBdr>
    </w:div>
    <w:div w:id="514614326">
      <w:bodyDiv w:val="1"/>
      <w:marLeft w:val="0"/>
      <w:marRight w:val="0"/>
      <w:marTop w:val="0"/>
      <w:marBottom w:val="0"/>
      <w:divBdr>
        <w:top w:val="none" w:sz="0" w:space="0" w:color="auto"/>
        <w:left w:val="none" w:sz="0" w:space="0" w:color="auto"/>
        <w:bottom w:val="none" w:sz="0" w:space="0" w:color="auto"/>
        <w:right w:val="none" w:sz="0" w:space="0" w:color="auto"/>
      </w:divBdr>
    </w:div>
    <w:div w:id="524826621">
      <w:bodyDiv w:val="1"/>
      <w:marLeft w:val="0"/>
      <w:marRight w:val="0"/>
      <w:marTop w:val="0"/>
      <w:marBottom w:val="0"/>
      <w:divBdr>
        <w:top w:val="none" w:sz="0" w:space="0" w:color="auto"/>
        <w:left w:val="none" w:sz="0" w:space="0" w:color="auto"/>
        <w:bottom w:val="none" w:sz="0" w:space="0" w:color="auto"/>
        <w:right w:val="none" w:sz="0" w:space="0" w:color="auto"/>
      </w:divBdr>
    </w:div>
    <w:div w:id="710303111">
      <w:bodyDiv w:val="1"/>
      <w:marLeft w:val="0"/>
      <w:marRight w:val="0"/>
      <w:marTop w:val="0"/>
      <w:marBottom w:val="0"/>
      <w:divBdr>
        <w:top w:val="none" w:sz="0" w:space="0" w:color="auto"/>
        <w:left w:val="none" w:sz="0" w:space="0" w:color="auto"/>
        <w:bottom w:val="none" w:sz="0" w:space="0" w:color="auto"/>
        <w:right w:val="none" w:sz="0" w:space="0" w:color="auto"/>
      </w:divBdr>
    </w:div>
    <w:div w:id="772556483">
      <w:bodyDiv w:val="1"/>
      <w:marLeft w:val="0"/>
      <w:marRight w:val="0"/>
      <w:marTop w:val="0"/>
      <w:marBottom w:val="0"/>
      <w:divBdr>
        <w:top w:val="none" w:sz="0" w:space="0" w:color="auto"/>
        <w:left w:val="none" w:sz="0" w:space="0" w:color="auto"/>
        <w:bottom w:val="none" w:sz="0" w:space="0" w:color="auto"/>
        <w:right w:val="none" w:sz="0" w:space="0" w:color="auto"/>
      </w:divBdr>
    </w:div>
    <w:div w:id="1046414373">
      <w:bodyDiv w:val="1"/>
      <w:marLeft w:val="0"/>
      <w:marRight w:val="0"/>
      <w:marTop w:val="0"/>
      <w:marBottom w:val="0"/>
      <w:divBdr>
        <w:top w:val="none" w:sz="0" w:space="0" w:color="auto"/>
        <w:left w:val="none" w:sz="0" w:space="0" w:color="auto"/>
        <w:bottom w:val="none" w:sz="0" w:space="0" w:color="auto"/>
        <w:right w:val="none" w:sz="0" w:space="0" w:color="auto"/>
      </w:divBdr>
    </w:div>
    <w:div w:id="1241014554">
      <w:bodyDiv w:val="1"/>
      <w:marLeft w:val="0"/>
      <w:marRight w:val="0"/>
      <w:marTop w:val="0"/>
      <w:marBottom w:val="0"/>
      <w:divBdr>
        <w:top w:val="none" w:sz="0" w:space="0" w:color="auto"/>
        <w:left w:val="none" w:sz="0" w:space="0" w:color="auto"/>
        <w:bottom w:val="none" w:sz="0" w:space="0" w:color="auto"/>
        <w:right w:val="none" w:sz="0" w:space="0" w:color="auto"/>
      </w:divBdr>
      <w:divsChild>
        <w:div w:id="1167669666">
          <w:marLeft w:val="0"/>
          <w:marRight w:val="0"/>
          <w:marTop w:val="0"/>
          <w:marBottom w:val="225"/>
          <w:divBdr>
            <w:top w:val="single" w:sz="24" w:space="0" w:color="auto"/>
            <w:left w:val="single" w:sz="24" w:space="0" w:color="auto"/>
            <w:bottom w:val="single" w:sz="36" w:space="0" w:color="003300"/>
            <w:right w:val="single" w:sz="24" w:space="0" w:color="auto"/>
          </w:divBdr>
          <w:divsChild>
            <w:div w:id="68618917">
              <w:marLeft w:val="0"/>
              <w:marRight w:val="0"/>
              <w:marTop w:val="0"/>
              <w:marBottom w:val="0"/>
              <w:divBdr>
                <w:top w:val="none" w:sz="0" w:space="0" w:color="auto"/>
                <w:left w:val="none" w:sz="0" w:space="0" w:color="auto"/>
                <w:bottom w:val="none" w:sz="0" w:space="0" w:color="auto"/>
                <w:right w:val="none" w:sz="0" w:space="0" w:color="auto"/>
              </w:divBdr>
            </w:div>
          </w:divsChild>
        </w:div>
        <w:div w:id="2071224625">
          <w:marLeft w:val="0"/>
          <w:marRight w:val="0"/>
          <w:marTop w:val="0"/>
          <w:marBottom w:val="0"/>
          <w:divBdr>
            <w:top w:val="none" w:sz="0" w:space="0" w:color="auto"/>
            <w:left w:val="none" w:sz="0" w:space="0" w:color="auto"/>
            <w:bottom w:val="none" w:sz="0" w:space="0" w:color="auto"/>
            <w:right w:val="none" w:sz="0" w:space="0" w:color="auto"/>
          </w:divBdr>
          <w:divsChild>
            <w:div w:id="918750028">
              <w:marLeft w:val="0"/>
              <w:marRight w:val="0"/>
              <w:marTop w:val="0"/>
              <w:marBottom w:val="0"/>
              <w:divBdr>
                <w:top w:val="none" w:sz="0" w:space="0" w:color="auto"/>
                <w:left w:val="none" w:sz="0" w:space="0" w:color="auto"/>
                <w:bottom w:val="none" w:sz="0" w:space="0" w:color="auto"/>
                <w:right w:val="none" w:sz="0" w:space="0" w:color="auto"/>
              </w:divBdr>
              <w:divsChild>
                <w:div w:id="1945577643">
                  <w:marLeft w:val="0"/>
                  <w:marRight w:val="0"/>
                  <w:marTop w:val="0"/>
                  <w:marBottom w:val="0"/>
                  <w:divBdr>
                    <w:top w:val="none" w:sz="0" w:space="0" w:color="auto"/>
                    <w:left w:val="none" w:sz="0" w:space="0" w:color="auto"/>
                    <w:bottom w:val="none" w:sz="0" w:space="0" w:color="auto"/>
                    <w:right w:val="none" w:sz="0" w:space="0" w:color="auto"/>
                  </w:divBdr>
                  <w:divsChild>
                    <w:div w:id="1890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0230">
      <w:bodyDiv w:val="1"/>
      <w:marLeft w:val="0"/>
      <w:marRight w:val="0"/>
      <w:marTop w:val="0"/>
      <w:marBottom w:val="0"/>
      <w:divBdr>
        <w:top w:val="none" w:sz="0" w:space="0" w:color="auto"/>
        <w:left w:val="none" w:sz="0" w:space="0" w:color="auto"/>
        <w:bottom w:val="none" w:sz="0" w:space="0" w:color="auto"/>
        <w:right w:val="none" w:sz="0" w:space="0" w:color="auto"/>
      </w:divBdr>
    </w:div>
    <w:div w:id="1340355886">
      <w:bodyDiv w:val="1"/>
      <w:marLeft w:val="0"/>
      <w:marRight w:val="0"/>
      <w:marTop w:val="0"/>
      <w:marBottom w:val="0"/>
      <w:divBdr>
        <w:top w:val="none" w:sz="0" w:space="0" w:color="auto"/>
        <w:left w:val="none" w:sz="0" w:space="0" w:color="auto"/>
        <w:bottom w:val="none" w:sz="0" w:space="0" w:color="auto"/>
        <w:right w:val="none" w:sz="0" w:space="0" w:color="auto"/>
      </w:divBdr>
    </w:div>
    <w:div w:id="1422797280">
      <w:bodyDiv w:val="1"/>
      <w:marLeft w:val="0"/>
      <w:marRight w:val="0"/>
      <w:marTop w:val="0"/>
      <w:marBottom w:val="0"/>
      <w:divBdr>
        <w:top w:val="none" w:sz="0" w:space="0" w:color="auto"/>
        <w:left w:val="none" w:sz="0" w:space="0" w:color="auto"/>
        <w:bottom w:val="none" w:sz="0" w:space="0" w:color="auto"/>
        <w:right w:val="none" w:sz="0" w:space="0" w:color="auto"/>
      </w:divBdr>
    </w:div>
    <w:div w:id="1439989322">
      <w:bodyDiv w:val="1"/>
      <w:marLeft w:val="0"/>
      <w:marRight w:val="0"/>
      <w:marTop w:val="0"/>
      <w:marBottom w:val="0"/>
      <w:divBdr>
        <w:top w:val="none" w:sz="0" w:space="0" w:color="auto"/>
        <w:left w:val="none" w:sz="0" w:space="0" w:color="auto"/>
        <w:bottom w:val="none" w:sz="0" w:space="0" w:color="auto"/>
        <w:right w:val="none" w:sz="0" w:space="0" w:color="auto"/>
      </w:divBdr>
    </w:div>
    <w:div w:id="1592860827">
      <w:bodyDiv w:val="1"/>
      <w:marLeft w:val="0"/>
      <w:marRight w:val="0"/>
      <w:marTop w:val="0"/>
      <w:marBottom w:val="0"/>
      <w:divBdr>
        <w:top w:val="none" w:sz="0" w:space="0" w:color="auto"/>
        <w:left w:val="none" w:sz="0" w:space="0" w:color="auto"/>
        <w:bottom w:val="none" w:sz="0" w:space="0" w:color="auto"/>
        <w:right w:val="none" w:sz="0" w:space="0" w:color="auto"/>
      </w:divBdr>
    </w:div>
    <w:div w:id="1607956448">
      <w:bodyDiv w:val="1"/>
      <w:marLeft w:val="0"/>
      <w:marRight w:val="0"/>
      <w:marTop w:val="0"/>
      <w:marBottom w:val="0"/>
      <w:divBdr>
        <w:top w:val="none" w:sz="0" w:space="0" w:color="auto"/>
        <w:left w:val="none" w:sz="0" w:space="0" w:color="auto"/>
        <w:bottom w:val="none" w:sz="0" w:space="0" w:color="auto"/>
        <w:right w:val="none" w:sz="0" w:space="0" w:color="auto"/>
      </w:divBdr>
    </w:div>
    <w:div w:id="1756434865">
      <w:bodyDiv w:val="1"/>
      <w:marLeft w:val="0"/>
      <w:marRight w:val="0"/>
      <w:marTop w:val="0"/>
      <w:marBottom w:val="0"/>
      <w:divBdr>
        <w:top w:val="none" w:sz="0" w:space="0" w:color="auto"/>
        <w:left w:val="none" w:sz="0" w:space="0" w:color="auto"/>
        <w:bottom w:val="none" w:sz="0" w:space="0" w:color="auto"/>
        <w:right w:val="none" w:sz="0" w:space="0" w:color="auto"/>
      </w:divBdr>
    </w:div>
    <w:div w:id="1994218271">
      <w:bodyDiv w:val="1"/>
      <w:marLeft w:val="0"/>
      <w:marRight w:val="0"/>
      <w:marTop w:val="0"/>
      <w:marBottom w:val="0"/>
      <w:divBdr>
        <w:top w:val="none" w:sz="0" w:space="0" w:color="auto"/>
        <w:left w:val="none" w:sz="0" w:space="0" w:color="auto"/>
        <w:bottom w:val="none" w:sz="0" w:space="0" w:color="auto"/>
        <w:right w:val="none" w:sz="0" w:space="0" w:color="auto"/>
      </w:divBdr>
    </w:div>
    <w:div w:id="20804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mylexisnexis.co.za/Library/IframeContent.aspx?dpath=zb/jilc/kilc/xjsg/8tsg/9tsg/k48h&amp;ismultiview=False&amp;caAu=" TargetMode="External"/><Relationship Id="rId1" Type="http://schemas.openxmlformats.org/officeDocument/2006/relationships/hyperlink" Target="https://www.mylexisnexis.co.za/Library/IframeContent.aspx?dpath=zb/jilc/kilc/xjsg/8tsg/9tsg/k48h&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1E80C-BA00-419B-965F-6955B615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sathish sarshan  mohan</cp:lastModifiedBy>
  <cp:revision>28</cp:revision>
  <cp:lastPrinted>2023-10-13T07:09:00Z</cp:lastPrinted>
  <dcterms:created xsi:type="dcterms:W3CDTF">2024-06-04T10:31:00Z</dcterms:created>
  <dcterms:modified xsi:type="dcterms:W3CDTF">2024-06-08T16:22:00Z</dcterms:modified>
</cp:coreProperties>
</file>