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4B10A" w14:textId="31369AA8" w:rsidR="00286F7E" w:rsidRDefault="00286F7E" w:rsidP="00286F7E">
      <w:pPr>
        <w:spacing w:after="0" w:line="360" w:lineRule="auto"/>
        <w:rPr>
          <w:rFonts w:ascii="Arial" w:eastAsia="Arial" w:hAnsi="Arial" w:cs="Arial"/>
          <w:b/>
          <w:sz w:val="24"/>
          <w:szCs w:val="24"/>
        </w:rPr>
      </w:pPr>
      <w:r>
        <w:rPr>
          <w:noProof/>
        </w:rPr>
        <w:drawing>
          <wp:inline distT="0" distB="0" distL="0" distR="0" wp14:anchorId="4C058D7D" wp14:editId="4582424F">
            <wp:extent cx="4286250" cy="466725"/>
            <wp:effectExtent l="0" t="0" r="0" b="9525"/>
            <wp:docPr id="1401537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C4A742C" w14:textId="2A5680B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REPUBLIC OF SOUTH AFRICA</w:t>
      </w:r>
    </w:p>
    <w:p w14:paraId="3F57997F"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409700" cy="1371600"/>
                    </a:xfrm>
                    <a:prstGeom prst="rect">
                      <a:avLst/>
                    </a:prstGeom>
                    <a:ln/>
                  </pic:spPr>
                </pic:pic>
              </a:graphicData>
            </a:graphic>
          </wp:inline>
        </w:drawing>
      </w:r>
    </w:p>
    <w:p w14:paraId="1EA86AFD"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IN THE HIGH COURT OF SOUTH AFRICA</w:t>
      </w:r>
    </w:p>
    <w:p w14:paraId="3E1D3B2F" w14:textId="41C54EEB" w:rsidR="00A245CB" w:rsidRPr="00294709" w:rsidRDefault="0062737A">
      <w:pPr>
        <w:spacing w:after="0" w:line="360" w:lineRule="auto"/>
        <w:jc w:val="center"/>
        <w:rPr>
          <w:rFonts w:ascii="Arial" w:eastAsia="Arial" w:hAnsi="Arial" w:cs="Arial"/>
          <w:b/>
          <w:sz w:val="24"/>
          <w:szCs w:val="24"/>
        </w:rPr>
      </w:pPr>
      <w:r w:rsidRPr="00294709">
        <w:rPr>
          <w:rFonts w:ascii="Arial" w:eastAsia="Arial" w:hAnsi="Arial" w:cs="Arial"/>
          <w:b/>
          <w:sz w:val="24"/>
          <w:szCs w:val="24"/>
        </w:rPr>
        <w:t>GAUTENG DIVISION, PRETORIA</w:t>
      </w:r>
    </w:p>
    <w:p w14:paraId="02745AA9" w14:textId="77777777" w:rsidR="00A245CB" w:rsidRPr="00294709" w:rsidRDefault="00A245CB">
      <w:pPr>
        <w:spacing w:after="0" w:line="360" w:lineRule="auto"/>
        <w:ind w:left="5040" w:firstLine="720"/>
        <w:jc w:val="both"/>
        <w:rPr>
          <w:rFonts w:ascii="Arial" w:eastAsia="Arial" w:hAnsi="Arial" w:cs="Arial"/>
          <w:b/>
          <w:sz w:val="24"/>
          <w:szCs w:val="24"/>
        </w:rPr>
      </w:pPr>
    </w:p>
    <w:p w14:paraId="17756BC4" w14:textId="1570B5F2" w:rsidR="00A245CB" w:rsidRPr="00294709" w:rsidRDefault="0062737A" w:rsidP="00401238">
      <w:pPr>
        <w:spacing w:after="0" w:line="360" w:lineRule="auto"/>
        <w:ind w:left="6480" w:firstLine="720"/>
        <w:jc w:val="both"/>
        <w:rPr>
          <w:rFonts w:ascii="Arial" w:eastAsia="Arial" w:hAnsi="Arial" w:cs="Arial"/>
          <w:b/>
          <w:sz w:val="24"/>
          <w:szCs w:val="24"/>
        </w:rPr>
      </w:pPr>
      <w:r w:rsidRPr="00294709">
        <w:rPr>
          <w:rFonts w:ascii="Arial" w:eastAsia="Arial" w:hAnsi="Arial" w:cs="Arial"/>
          <w:b/>
          <w:sz w:val="24"/>
          <w:szCs w:val="24"/>
        </w:rPr>
        <w:t xml:space="preserve">CASE NO: </w:t>
      </w:r>
      <w:r w:rsidR="00C46BF1" w:rsidRPr="00C46BF1">
        <w:rPr>
          <w:rFonts w:ascii="Arial" w:eastAsia="Arial" w:hAnsi="Arial" w:cs="Arial"/>
          <w:b/>
          <w:sz w:val="24"/>
          <w:szCs w:val="24"/>
        </w:rPr>
        <w:t>042994/2023</w:t>
      </w:r>
    </w:p>
    <w:tbl>
      <w:tblPr>
        <w:tblStyle w:val="a"/>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tblGrid>
      <w:tr w:rsidR="00A245CB" w:rsidRPr="00294709" w14:paraId="29475CA9" w14:textId="77777777" w:rsidTr="00957E3E">
        <w:trPr>
          <w:trHeight w:val="1359"/>
        </w:trPr>
        <w:tc>
          <w:tcPr>
            <w:tcW w:w="3681" w:type="dxa"/>
            <w:tcBorders>
              <w:top w:val="single" w:sz="4" w:space="0" w:color="000000"/>
              <w:left w:val="single" w:sz="4" w:space="0" w:color="000000"/>
              <w:bottom w:val="single" w:sz="4" w:space="0" w:color="000000"/>
              <w:right w:val="single" w:sz="4" w:space="0" w:color="000000"/>
            </w:tcBorders>
          </w:tcPr>
          <w:p w14:paraId="7B92168A" w14:textId="287151C2" w:rsidR="00BA310F" w:rsidRPr="0042336E" w:rsidRDefault="0042336E" w:rsidP="0042336E">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1.</w:t>
            </w:r>
            <w:r w:rsidRPr="00BA310F">
              <w:rPr>
                <w:rFonts w:ascii="Arial" w:eastAsia="Arial" w:hAnsi="Arial" w:cs="Arial"/>
                <w:color w:val="000000"/>
                <w:sz w:val="16"/>
                <w:szCs w:val="16"/>
              </w:rPr>
              <w:tab/>
            </w:r>
            <w:r w:rsidR="0062737A" w:rsidRPr="0042336E">
              <w:rPr>
                <w:rFonts w:ascii="Arial" w:eastAsia="Arial" w:hAnsi="Arial" w:cs="Arial"/>
                <w:color w:val="000000"/>
                <w:sz w:val="16"/>
                <w:szCs w:val="16"/>
              </w:rPr>
              <w:t>REPORTABLE: NO</w:t>
            </w:r>
          </w:p>
          <w:p w14:paraId="451A023D" w14:textId="1BC70F11" w:rsidR="00BA310F" w:rsidRPr="0042336E" w:rsidRDefault="0042336E" w:rsidP="0042336E">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2.</w:t>
            </w:r>
            <w:r w:rsidRPr="00BA310F">
              <w:rPr>
                <w:rFonts w:ascii="Arial" w:eastAsia="Arial" w:hAnsi="Arial" w:cs="Arial"/>
                <w:color w:val="000000"/>
                <w:sz w:val="16"/>
                <w:szCs w:val="16"/>
              </w:rPr>
              <w:tab/>
            </w:r>
            <w:r w:rsidR="0062737A" w:rsidRPr="0042336E">
              <w:rPr>
                <w:rFonts w:ascii="Arial" w:eastAsia="Arial" w:hAnsi="Arial" w:cs="Arial"/>
                <w:color w:val="000000"/>
                <w:sz w:val="16"/>
                <w:szCs w:val="16"/>
              </w:rPr>
              <w:t>OF INTEREST TO OTHER JUDGES: NO</w:t>
            </w:r>
          </w:p>
          <w:p w14:paraId="38C556F6" w14:textId="2A380895" w:rsidR="00A245CB" w:rsidRPr="0042336E" w:rsidRDefault="0042336E" w:rsidP="0042336E">
            <w:pPr>
              <w:pBdr>
                <w:top w:val="nil"/>
                <w:left w:val="nil"/>
                <w:bottom w:val="nil"/>
                <w:right w:val="nil"/>
                <w:between w:val="nil"/>
              </w:pBdr>
              <w:spacing w:after="0" w:line="240" w:lineRule="auto"/>
              <w:ind w:left="306" w:hanging="360"/>
              <w:jc w:val="both"/>
              <w:rPr>
                <w:rFonts w:ascii="Arial" w:hAnsi="Arial" w:cs="Arial"/>
                <w:color w:val="000000"/>
                <w:sz w:val="16"/>
                <w:szCs w:val="16"/>
              </w:rPr>
            </w:pPr>
            <w:r w:rsidRPr="00BA310F">
              <w:rPr>
                <w:rFonts w:ascii="Arial" w:eastAsia="Arial" w:hAnsi="Arial" w:cs="Arial"/>
                <w:color w:val="000000"/>
                <w:sz w:val="16"/>
                <w:szCs w:val="16"/>
              </w:rPr>
              <w:t>3.</w:t>
            </w:r>
            <w:r w:rsidRPr="00BA310F">
              <w:rPr>
                <w:rFonts w:ascii="Arial" w:eastAsia="Arial" w:hAnsi="Arial" w:cs="Arial"/>
                <w:color w:val="000000"/>
                <w:sz w:val="16"/>
                <w:szCs w:val="16"/>
              </w:rPr>
              <w:tab/>
            </w:r>
            <w:r w:rsidR="0062737A" w:rsidRPr="0042336E">
              <w:rPr>
                <w:rFonts w:ascii="Arial" w:eastAsia="Arial" w:hAnsi="Arial" w:cs="Arial"/>
                <w:color w:val="000000"/>
                <w:sz w:val="16"/>
                <w:szCs w:val="16"/>
              </w:rPr>
              <w:t>REVISED:  NO</w:t>
            </w:r>
          </w:p>
          <w:p w14:paraId="2708B32C" w14:textId="77777777" w:rsidR="00BA310F" w:rsidRPr="00BA310F" w:rsidRDefault="00BA310F" w:rsidP="00BA310F">
            <w:pPr>
              <w:pStyle w:val="ListParagraph"/>
              <w:pBdr>
                <w:top w:val="nil"/>
                <w:left w:val="nil"/>
                <w:bottom w:val="nil"/>
                <w:right w:val="nil"/>
                <w:between w:val="nil"/>
              </w:pBdr>
              <w:spacing w:after="0" w:line="240" w:lineRule="auto"/>
              <w:ind w:left="306"/>
              <w:jc w:val="both"/>
              <w:rPr>
                <w:rFonts w:ascii="Arial" w:hAnsi="Arial" w:cs="Arial"/>
                <w:color w:val="000000"/>
                <w:sz w:val="16"/>
                <w:szCs w:val="16"/>
              </w:rPr>
            </w:pPr>
          </w:p>
          <w:p w14:paraId="05A600AD" w14:textId="5B67E6D5" w:rsidR="00A245CB" w:rsidRDefault="006A12DB" w:rsidP="00BA310F">
            <w:pPr>
              <w:spacing w:after="0" w:line="240" w:lineRule="auto"/>
              <w:contextualSpacing/>
              <w:jc w:val="both"/>
              <w:rPr>
                <w:rFonts w:ascii="Arial" w:eastAsia="Arial" w:hAnsi="Arial" w:cs="Arial"/>
                <w:sz w:val="16"/>
                <w:szCs w:val="16"/>
              </w:rPr>
            </w:pPr>
            <w:r w:rsidRPr="00294709">
              <w:rPr>
                <w:rFonts w:ascii="Arial" w:eastAsia="Arial" w:hAnsi="Arial" w:cs="Arial"/>
                <w:sz w:val="16"/>
                <w:szCs w:val="16"/>
              </w:rPr>
              <w:t xml:space="preserve">DATE: </w:t>
            </w:r>
            <w:r w:rsidR="00401238">
              <w:rPr>
                <w:rFonts w:ascii="Arial" w:eastAsia="Arial" w:hAnsi="Arial" w:cs="Arial"/>
                <w:sz w:val="16"/>
                <w:szCs w:val="16"/>
              </w:rPr>
              <w:t>1</w:t>
            </w:r>
            <w:r w:rsidR="00E41DEF">
              <w:rPr>
                <w:rFonts w:ascii="Arial" w:eastAsia="Arial" w:hAnsi="Arial" w:cs="Arial"/>
                <w:sz w:val="16"/>
                <w:szCs w:val="16"/>
              </w:rPr>
              <w:t>8</w:t>
            </w:r>
            <w:r w:rsidR="00BA310F">
              <w:rPr>
                <w:rFonts w:ascii="Arial" w:eastAsia="Arial" w:hAnsi="Arial" w:cs="Arial"/>
                <w:sz w:val="16"/>
                <w:szCs w:val="16"/>
              </w:rPr>
              <w:t xml:space="preserve"> JUNE </w:t>
            </w:r>
            <w:r w:rsidR="0062737A" w:rsidRPr="00294709">
              <w:rPr>
                <w:rFonts w:ascii="Arial" w:eastAsia="Arial" w:hAnsi="Arial" w:cs="Arial"/>
                <w:sz w:val="16"/>
                <w:szCs w:val="16"/>
              </w:rPr>
              <w:t>202</w:t>
            </w:r>
            <w:r w:rsidR="001334FD">
              <w:rPr>
                <w:rFonts w:ascii="Arial" w:eastAsia="Arial" w:hAnsi="Arial" w:cs="Arial"/>
                <w:sz w:val="16"/>
                <w:szCs w:val="16"/>
              </w:rPr>
              <w:t>4</w:t>
            </w:r>
          </w:p>
          <w:p w14:paraId="6DE50309" w14:textId="77777777" w:rsidR="00BA310F" w:rsidRDefault="00BA310F" w:rsidP="00BA310F">
            <w:pPr>
              <w:spacing w:after="0" w:line="240" w:lineRule="auto"/>
              <w:contextualSpacing/>
              <w:jc w:val="both"/>
              <w:rPr>
                <w:rFonts w:ascii="Arial" w:eastAsia="Arial" w:hAnsi="Arial" w:cs="Arial"/>
                <w:sz w:val="16"/>
                <w:szCs w:val="16"/>
              </w:rPr>
            </w:pPr>
          </w:p>
          <w:p w14:paraId="78714470" w14:textId="62DFBDBA" w:rsidR="00BA310F" w:rsidRDefault="0042336E">
            <w:r>
              <w:t>[…]</w:t>
            </w:r>
          </w:p>
          <w:p w14:paraId="282D33BE" w14:textId="4845D774" w:rsidR="00BA310F" w:rsidRPr="00294709" w:rsidRDefault="00BA310F" w:rsidP="00BA310F">
            <w:pPr>
              <w:spacing w:after="0" w:line="240" w:lineRule="auto"/>
              <w:contextualSpacing/>
              <w:jc w:val="both"/>
              <w:rPr>
                <w:rFonts w:ascii="Arial" w:eastAsia="Arial" w:hAnsi="Arial" w:cs="Arial"/>
                <w:sz w:val="16"/>
                <w:szCs w:val="16"/>
              </w:rPr>
            </w:pPr>
            <w:r>
              <w:rPr>
                <w:rFonts w:ascii="Arial" w:eastAsia="Arial" w:hAnsi="Arial" w:cs="Arial"/>
                <w:sz w:val="16"/>
                <w:szCs w:val="16"/>
              </w:rPr>
              <w:t>_________________</w:t>
            </w:r>
          </w:p>
          <w:p w14:paraId="2F01664D" w14:textId="0F42BA3C" w:rsidR="00A245CB" w:rsidRDefault="006A12DB" w:rsidP="00957E3E">
            <w:pPr>
              <w:spacing w:after="0" w:line="240" w:lineRule="auto"/>
              <w:contextualSpacing/>
              <w:jc w:val="both"/>
              <w:rPr>
                <w:rFonts w:ascii="Arial" w:eastAsia="Arial" w:hAnsi="Arial" w:cs="Arial"/>
                <w:sz w:val="16"/>
                <w:szCs w:val="16"/>
              </w:rPr>
            </w:pPr>
            <w:r w:rsidRPr="00294709">
              <w:rPr>
                <w:rFonts w:ascii="Arial" w:eastAsia="Arial" w:hAnsi="Arial" w:cs="Arial"/>
                <w:sz w:val="16"/>
                <w:szCs w:val="16"/>
              </w:rPr>
              <w:t>SIGNATURE OF JUDGE:</w:t>
            </w:r>
          </w:p>
          <w:p w14:paraId="2ECA7DC3" w14:textId="58D8B9F4" w:rsidR="00957E3E" w:rsidRPr="00957E3E" w:rsidRDefault="00957E3E" w:rsidP="00957E3E">
            <w:pPr>
              <w:spacing w:after="0" w:line="240" w:lineRule="auto"/>
              <w:contextualSpacing/>
              <w:jc w:val="both"/>
              <w:rPr>
                <w:rFonts w:ascii="Arial" w:eastAsia="Arial" w:hAnsi="Arial" w:cs="Arial"/>
                <w:sz w:val="16"/>
                <w:szCs w:val="16"/>
              </w:rPr>
            </w:pPr>
          </w:p>
        </w:tc>
      </w:tr>
    </w:tbl>
    <w:p w14:paraId="31BA896D" w14:textId="77777777" w:rsidR="00A245CB" w:rsidRPr="00294709" w:rsidRDefault="00A245CB">
      <w:pPr>
        <w:spacing w:after="0" w:line="360" w:lineRule="auto"/>
        <w:jc w:val="both"/>
        <w:rPr>
          <w:rFonts w:ascii="Arial" w:eastAsia="Arial" w:hAnsi="Arial" w:cs="Arial"/>
          <w:b/>
          <w:sz w:val="24"/>
          <w:szCs w:val="24"/>
        </w:rPr>
      </w:pPr>
    </w:p>
    <w:p w14:paraId="4032E20E"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In the matter between:</w:t>
      </w:r>
    </w:p>
    <w:p w14:paraId="3C4109D3" w14:textId="36FEF158" w:rsidR="00A245CB" w:rsidRPr="00F749C6" w:rsidRDefault="003E3191" w:rsidP="00F749C6">
      <w:pPr>
        <w:pStyle w:val="NoSpacing"/>
        <w:spacing w:before="240"/>
        <w:rPr>
          <w:rFonts w:ascii="Arial" w:hAnsi="Arial" w:cs="Arial"/>
          <w:b/>
          <w:sz w:val="24"/>
          <w:szCs w:val="24"/>
        </w:rPr>
      </w:pPr>
      <w:r w:rsidRPr="00F749C6">
        <w:rPr>
          <w:rFonts w:ascii="Arial" w:hAnsi="Arial" w:cs="Arial"/>
          <w:b/>
          <w:sz w:val="24"/>
          <w:szCs w:val="24"/>
        </w:rPr>
        <w:t xml:space="preserve">NEDBANK  </w:t>
      </w:r>
      <w:r w:rsidR="00F749C6" w:rsidRPr="00F749C6">
        <w:rPr>
          <w:rFonts w:ascii="Arial" w:hAnsi="Arial" w:cs="Arial"/>
          <w:b/>
          <w:sz w:val="24"/>
          <w:szCs w:val="24"/>
        </w:rPr>
        <w:t>LIMITED</w:t>
      </w:r>
      <w:r w:rsidR="00F749C6" w:rsidRPr="00F749C6">
        <w:rPr>
          <w:rFonts w:ascii="Arial" w:hAnsi="Arial" w:cs="Arial"/>
          <w:b/>
          <w:sz w:val="24"/>
          <w:szCs w:val="24"/>
        </w:rPr>
        <w:tab/>
      </w:r>
      <w:r w:rsidR="00F749C6" w:rsidRPr="00F749C6">
        <w:rPr>
          <w:rFonts w:ascii="Arial" w:hAnsi="Arial" w:cs="Arial"/>
          <w:b/>
          <w:sz w:val="24"/>
          <w:szCs w:val="24"/>
        </w:rPr>
        <w:tab/>
      </w:r>
      <w:r w:rsidR="00F749C6" w:rsidRPr="00F749C6">
        <w:rPr>
          <w:rFonts w:ascii="Arial" w:hAnsi="Arial" w:cs="Arial"/>
          <w:b/>
          <w:sz w:val="24"/>
          <w:szCs w:val="24"/>
        </w:rPr>
        <w:tab/>
      </w:r>
      <w:r w:rsidR="006A12DB" w:rsidRPr="00F749C6">
        <w:rPr>
          <w:rFonts w:ascii="Arial" w:hAnsi="Arial" w:cs="Arial"/>
          <w:sz w:val="24"/>
          <w:szCs w:val="24"/>
        </w:rPr>
        <w:tab/>
      </w:r>
      <w:r w:rsidR="006A12DB" w:rsidRPr="00F749C6">
        <w:rPr>
          <w:rFonts w:ascii="Arial" w:hAnsi="Arial" w:cs="Arial"/>
          <w:sz w:val="24"/>
          <w:szCs w:val="24"/>
        </w:rPr>
        <w:tab/>
      </w:r>
      <w:r w:rsidR="003557E5" w:rsidRPr="00F749C6">
        <w:rPr>
          <w:rFonts w:ascii="Arial" w:hAnsi="Arial" w:cs="Arial"/>
          <w:sz w:val="24"/>
          <w:szCs w:val="24"/>
        </w:rPr>
        <w:tab/>
        <w:t xml:space="preserve"> </w:t>
      </w:r>
      <w:r w:rsidR="003557E5" w:rsidRPr="00F749C6">
        <w:rPr>
          <w:rFonts w:ascii="Arial" w:hAnsi="Arial" w:cs="Arial"/>
          <w:sz w:val="24"/>
          <w:szCs w:val="24"/>
        </w:rPr>
        <w:tab/>
      </w:r>
      <w:r w:rsidR="00937D04" w:rsidRPr="00F749C6">
        <w:rPr>
          <w:rFonts w:ascii="Arial" w:hAnsi="Arial" w:cs="Arial"/>
          <w:sz w:val="24"/>
          <w:szCs w:val="24"/>
        </w:rPr>
        <w:tab/>
        <w:t xml:space="preserve">      </w:t>
      </w:r>
      <w:r w:rsidR="003557E5" w:rsidRPr="00F749C6">
        <w:rPr>
          <w:rFonts w:ascii="Arial" w:hAnsi="Arial" w:cs="Arial"/>
          <w:sz w:val="24"/>
          <w:szCs w:val="24"/>
        </w:rPr>
        <w:t>Applicant</w:t>
      </w:r>
    </w:p>
    <w:p w14:paraId="2622BC4B" w14:textId="77777777" w:rsidR="00A245CB" w:rsidRPr="00294709" w:rsidRDefault="00A245CB">
      <w:pPr>
        <w:spacing w:after="0" w:line="240" w:lineRule="auto"/>
        <w:jc w:val="both"/>
        <w:rPr>
          <w:rFonts w:ascii="Arial" w:eastAsia="Arial" w:hAnsi="Arial" w:cs="Arial"/>
          <w:sz w:val="24"/>
          <w:szCs w:val="24"/>
        </w:rPr>
      </w:pPr>
    </w:p>
    <w:p w14:paraId="1D9E5E84"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 xml:space="preserve">and </w:t>
      </w:r>
    </w:p>
    <w:p w14:paraId="5F9CBC8D" w14:textId="77777777" w:rsidR="00A245CB" w:rsidRPr="00294709" w:rsidRDefault="00A245CB">
      <w:pPr>
        <w:spacing w:after="0" w:line="240" w:lineRule="auto"/>
        <w:jc w:val="both"/>
        <w:rPr>
          <w:rFonts w:ascii="Arial" w:eastAsia="Arial" w:hAnsi="Arial" w:cs="Arial"/>
          <w:sz w:val="24"/>
          <w:szCs w:val="24"/>
        </w:rPr>
      </w:pPr>
    </w:p>
    <w:p w14:paraId="31DC19F4" w14:textId="6935EA01" w:rsidR="00144EA8" w:rsidRPr="00144EA8" w:rsidRDefault="00807255" w:rsidP="00D57E34">
      <w:pPr>
        <w:spacing w:after="0" w:line="360" w:lineRule="auto"/>
        <w:jc w:val="both"/>
        <w:rPr>
          <w:rFonts w:ascii="Arial" w:eastAsia="Arial" w:hAnsi="Arial" w:cs="Arial"/>
          <w:bCs/>
          <w:sz w:val="24"/>
          <w:szCs w:val="24"/>
          <w:lang w:val="en-GB"/>
        </w:rPr>
      </w:pPr>
      <w:r>
        <w:rPr>
          <w:rFonts w:ascii="Arial" w:eastAsia="Arial" w:hAnsi="Arial" w:cs="Arial"/>
          <w:b/>
          <w:sz w:val="24"/>
          <w:szCs w:val="24"/>
          <w:lang w:val="en-GB"/>
        </w:rPr>
        <w:t>ALTIVEX</w:t>
      </w:r>
      <w:r w:rsidR="002C6D51">
        <w:rPr>
          <w:rFonts w:ascii="Arial" w:eastAsia="Arial" w:hAnsi="Arial" w:cs="Arial"/>
          <w:b/>
          <w:sz w:val="24"/>
          <w:szCs w:val="24"/>
          <w:lang w:val="en-GB"/>
        </w:rPr>
        <w:t xml:space="preserve"> </w:t>
      </w:r>
      <w:r w:rsidR="002C6D51" w:rsidRPr="002C6D51">
        <w:rPr>
          <w:rFonts w:ascii="Arial" w:eastAsia="Arial" w:hAnsi="Arial" w:cs="Arial"/>
          <w:b/>
          <w:sz w:val="24"/>
          <w:szCs w:val="24"/>
          <w:lang w:val="en-GB"/>
        </w:rPr>
        <w:t>15 (PTY) LTD</w:t>
      </w:r>
      <w:r w:rsidR="0062737A" w:rsidRPr="00294709">
        <w:rPr>
          <w:rFonts w:ascii="Arial" w:eastAsia="Arial" w:hAnsi="Arial" w:cs="Arial"/>
          <w:b/>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3557E5" w:rsidRPr="00294709">
        <w:rPr>
          <w:rFonts w:ascii="Arial" w:eastAsia="Arial" w:hAnsi="Arial" w:cs="Arial"/>
          <w:bCs/>
          <w:sz w:val="24"/>
          <w:szCs w:val="24"/>
          <w:lang w:val="en-GB"/>
        </w:rPr>
        <w:tab/>
      </w:r>
      <w:r w:rsidR="005D6361">
        <w:rPr>
          <w:rFonts w:ascii="Arial" w:eastAsia="Arial" w:hAnsi="Arial" w:cs="Arial"/>
          <w:bCs/>
          <w:sz w:val="24"/>
          <w:szCs w:val="24"/>
          <w:lang w:val="en-GB"/>
        </w:rPr>
        <w:t xml:space="preserve">  </w:t>
      </w:r>
      <w:r w:rsidR="00937D04">
        <w:rPr>
          <w:rFonts w:ascii="Arial" w:eastAsia="Arial" w:hAnsi="Arial" w:cs="Arial"/>
          <w:bCs/>
          <w:sz w:val="24"/>
          <w:szCs w:val="24"/>
          <w:lang w:val="en-GB"/>
        </w:rPr>
        <w:tab/>
      </w:r>
      <w:r>
        <w:rPr>
          <w:rFonts w:ascii="Arial" w:eastAsia="Arial" w:hAnsi="Arial" w:cs="Arial"/>
          <w:bCs/>
          <w:sz w:val="24"/>
          <w:szCs w:val="24"/>
          <w:lang w:val="en-GB"/>
        </w:rPr>
        <w:tab/>
        <w:t xml:space="preserve">     </w:t>
      </w:r>
      <w:r w:rsidRPr="00807255">
        <w:rPr>
          <w:rFonts w:ascii="Arial" w:eastAsia="Arial" w:hAnsi="Arial" w:cs="Arial"/>
          <w:bCs/>
          <w:sz w:val="24"/>
          <w:szCs w:val="24"/>
          <w:lang w:val="en-GB"/>
        </w:rPr>
        <w:t>First</w:t>
      </w:r>
      <w:r>
        <w:rPr>
          <w:rFonts w:ascii="Arial" w:eastAsia="Arial" w:hAnsi="Arial" w:cs="Arial"/>
          <w:b/>
          <w:sz w:val="24"/>
          <w:szCs w:val="24"/>
          <w:lang w:val="en-GB"/>
        </w:rPr>
        <w:t xml:space="preserve"> </w:t>
      </w:r>
      <w:r w:rsidR="0062737A" w:rsidRPr="00294709">
        <w:rPr>
          <w:rFonts w:ascii="Arial" w:eastAsia="Arial" w:hAnsi="Arial" w:cs="Arial"/>
          <w:bCs/>
          <w:sz w:val="24"/>
          <w:szCs w:val="24"/>
          <w:lang w:val="en-GB"/>
        </w:rPr>
        <w:t>Respondent</w:t>
      </w:r>
    </w:p>
    <w:p w14:paraId="49BA21EE" w14:textId="06530089" w:rsidR="00807255" w:rsidRDefault="00144EA8" w:rsidP="00D57E34">
      <w:pPr>
        <w:spacing w:after="0" w:line="360" w:lineRule="auto"/>
        <w:jc w:val="both"/>
        <w:rPr>
          <w:rFonts w:ascii="Arial" w:eastAsia="Arial" w:hAnsi="Arial" w:cs="Arial"/>
          <w:bCs/>
          <w:sz w:val="24"/>
          <w:szCs w:val="24"/>
          <w:lang w:val="en-GB"/>
        </w:rPr>
      </w:pPr>
      <w:r w:rsidRPr="00144EA8">
        <w:rPr>
          <w:rFonts w:ascii="Arial" w:hAnsi="Arial" w:cs="Arial"/>
          <w:b/>
          <w:bCs/>
          <w:sz w:val="24"/>
          <w:szCs w:val="24"/>
        </w:rPr>
        <w:t>AS BENADE</w:t>
      </w:r>
      <w:r w:rsidR="00807255" w:rsidRPr="00144EA8">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Pr>
          <w:rFonts w:ascii="Arial" w:eastAsia="Arial" w:hAnsi="Arial" w:cs="Arial"/>
          <w:bCs/>
          <w:sz w:val="24"/>
          <w:szCs w:val="24"/>
          <w:lang w:val="en-GB"/>
        </w:rPr>
        <w:tab/>
      </w:r>
      <w:r>
        <w:rPr>
          <w:rFonts w:ascii="Arial" w:eastAsia="Arial" w:hAnsi="Arial" w:cs="Arial"/>
          <w:bCs/>
          <w:sz w:val="24"/>
          <w:szCs w:val="24"/>
          <w:lang w:val="en-GB"/>
        </w:rPr>
        <w:tab/>
      </w:r>
      <w:r>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t xml:space="preserve">Second Respondent </w:t>
      </w:r>
    </w:p>
    <w:p w14:paraId="20EAABA9" w14:textId="24535345" w:rsidR="00807255" w:rsidRPr="00AF6989" w:rsidRDefault="00144EA8" w:rsidP="00D57E34">
      <w:pPr>
        <w:spacing w:after="0" w:line="360" w:lineRule="auto"/>
        <w:jc w:val="both"/>
        <w:rPr>
          <w:rFonts w:ascii="Arial" w:eastAsia="Arial" w:hAnsi="Arial" w:cs="Arial"/>
          <w:b/>
          <w:sz w:val="24"/>
          <w:szCs w:val="24"/>
          <w:lang w:val="en-GB"/>
        </w:rPr>
      </w:pPr>
      <w:r w:rsidRPr="00144EA8">
        <w:rPr>
          <w:rFonts w:ascii="Arial" w:eastAsia="Arial" w:hAnsi="Arial" w:cs="Arial"/>
          <w:b/>
          <w:sz w:val="24"/>
          <w:szCs w:val="24"/>
          <w:lang w:val="en-GB"/>
        </w:rPr>
        <w:t>WM EKSTEEN</w:t>
      </w:r>
      <w:r>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r>
      <w:r>
        <w:rPr>
          <w:rFonts w:ascii="Arial" w:eastAsia="Arial" w:hAnsi="Arial" w:cs="Arial"/>
          <w:bCs/>
          <w:sz w:val="24"/>
          <w:szCs w:val="24"/>
          <w:lang w:val="en-GB"/>
        </w:rPr>
        <w:tab/>
      </w:r>
      <w:r>
        <w:rPr>
          <w:rFonts w:ascii="Arial" w:eastAsia="Arial" w:hAnsi="Arial" w:cs="Arial"/>
          <w:bCs/>
          <w:sz w:val="24"/>
          <w:szCs w:val="24"/>
          <w:lang w:val="en-GB"/>
        </w:rPr>
        <w:tab/>
      </w:r>
      <w:r w:rsidR="00807255">
        <w:rPr>
          <w:rFonts w:ascii="Arial" w:eastAsia="Arial" w:hAnsi="Arial" w:cs="Arial"/>
          <w:bCs/>
          <w:sz w:val="24"/>
          <w:szCs w:val="24"/>
          <w:lang w:val="en-GB"/>
        </w:rPr>
        <w:tab/>
      </w:r>
      <w:r w:rsidR="00807255">
        <w:rPr>
          <w:rFonts w:ascii="Arial" w:eastAsia="Arial" w:hAnsi="Arial" w:cs="Arial"/>
          <w:bCs/>
          <w:sz w:val="24"/>
          <w:szCs w:val="24"/>
          <w:lang w:val="en-GB"/>
        </w:rPr>
        <w:tab/>
        <w:t xml:space="preserve">    Third Respondent</w:t>
      </w:r>
    </w:p>
    <w:p w14:paraId="283F8F33" w14:textId="045D0D7D" w:rsidR="00AE2B18" w:rsidRPr="00294709" w:rsidRDefault="00AE2B18" w:rsidP="003557E5">
      <w:pPr>
        <w:spacing w:after="0" w:line="240" w:lineRule="auto"/>
        <w:ind w:right="206"/>
        <w:jc w:val="both"/>
        <w:rPr>
          <w:rFonts w:ascii="Arial" w:eastAsia="Arial" w:hAnsi="Arial" w:cs="Arial"/>
          <w:bCs/>
          <w:sz w:val="24"/>
          <w:szCs w:val="24"/>
          <w:lang w:val="en-GB"/>
        </w:rPr>
      </w:pPr>
    </w:p>
    <w:p w14:paraId="40D1D1CA" w14:textId="57B7B849" w:rsidR="00AE2B18" w:rsidRPr="00294709" w:rsidRDefault="00AE2B18" w:rsidP="00540D10">
      <w:pPr>
        <w:spacing w:after="0" w:line="240" w:lineRule="auto"/>
        <w:jc w:val="both"/>
        <w:rPr>
          <w:rFonts w:ascii="Arial" w:hAnsi="Arial" w:cs="Arial"/>
          <w:b/>
        </w:rPr>
      </w:pPr>
      <w:r w:rsidRPr="00294709">
        <w:rPr>
          <w:rFonts w:ascii="Arial" w:hAnsi="Arial" w:cs="Arial"/>
          <w:b/>
        </w:rPr>
        <w:t>____________________________________________________________________________</w:t>
      </w:r>
      <w:r w:rsidR="00937D04">
        <w:rPr>
          <w:rFonts w:ascii="Arial" w:hAnsi="Arial" w:cs="Arial"/>
          <w:b/>
        </w:rPr>
        <w:t>___________</w:t>
      </w:r>
      <w:r w:rsidRPr="00294709">
        <w:rPr>
          <w:rFonts w:ascii="Arial" w:hAnsi="Arial" w:cs="Arial"/>
          <w:b/>
        </w:rPr>
        <w:t>____</w:t>
      </w:r>
    </w:p>
    <w:p w14:paraId="4C6A16DC" w14:textId="77777777" w:rsidR="00AE2B18" w:rsidRPr="00F7317F" w:rsidRDefault="00AE2B18" w:rsidP="00FE08F1">
      <w:pPr>
        <w:spacing w:before="120" w:after="0" w:line="240" w:lineRule="auto"/>
        <w:jc w:val="center"/>
        <w:rPr>
          <w:rFonts w:ascii="Arial" w:hAnsi="Arial" w:cs="Arial"/>
          <w:b/>
          <w:sz w:val="24"/>
          <w:szCs w:val="24"/>
        </w:rPr>
      </w:pPr>
      <w:r w:rsidRPr="00F7317F">
        <w:rPr>
          <w:rFonts w:ascii="Arial" w:hAnsi="Arial" w:cs="Arial"/>
          <w:b/>
          <w:sz w:val="24"/>
          <w:szCs w:val="24"/>
        </w:rPr>
        <w:t>ORDER</w:t>
      </w:r>
    </w:p>
    <w:p w14:paraId="1CFBE604" w14:textId="3DD3411D" w:rsidR="00AE2B18" w:rsidRPr="00294709" w:rsidRDefault="00AE2B18" w:rsidP="00375C80">
      <w:pPr>
        <w:spacing w:after="0" w:line="240" w:lineRule="auto"/>
        <w:jc w:val="both"/>
        <w:rPr>
          <w:rFonts w:ascii="Arial" w:hAnsi="Arial" w:cs="Arial"/>
          <w:b/>
        </w:rPr>
      </w:pPr>
      <w:r w:rsidRPr="00294709">
        <w:rPr>
          <w:rFonts w:ascii="Arial" w:hAnsi="Arial" w:cs="Arial"/>
          <w:b/>
        </w:rPr>
        <w:t>_____________________________________________________________________________</w:t>
      </w:r>
      <w:r w:rsidR="00937D04">
        <w:rPr>
          <w:rFonts w:ascii="Arial" w:hAnsi="Arial" w:cs="Arial"/>
          <w:b/>
        </w:rPr>
        <w:t>___________</w:t>
      </w:r>
      <w:r w:rsidRPr="00294709">
        <w:rPr>
          <w:rFonts w:ascii="Arial" w:hAnsi="Arial" w:cs="Arial"/>
          <w:b/>
        </w:rPr>
        <w:t>____</w:t>
      </w:r>
    </w:p>
    <w:p w14:paraId="06B3F71B" w14:textId="77777777" w:rsidR="00AE2B18" w:rsidRPr="00294709" w:rsidRDefault="00AE2B18" w:rsidP="00375C80">
      <w:pPr>
        <w:spacing w:line="240" w:lineRule="auto"/>
        <w:jc w:val="both"/>
        <w:rPr>
          <w:rFonts w:ascii="Arial" w:hAnsi="Arial" w:cs="Arial"/>
          <w:b/>
        </w:rPr>
      </w:pPr>
    </w:p>
    <w:p w14:paraId="4C09889D" w14:textId="561FF6D3" w:rsidR="00C10D31" w:rsidRPr="0042336E" w:rsidRDefault="0042336E" w:rsidP="0042336E">
      <w:pPr>
        <w:tabs>
          <w:tab w:val="right" w:pos="8208"/>
        </w:tabs>
        <w:spacing w:before="60" w:afterLines="60" w:after="144"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10D31" w:rsidRPr="0042336E">
        <w:rPr>
          <w:rFonts w:ascii="Arial" w:hAnsi="Arial" w:cs="Arial"/>
          <w:sz w:val="24"/>
          <w:szCs w:val="24"/>
        </w:rPr>
        <w:t>The application for summary judgment is dismissed.</w:t>
      </w:r>
    </w:p>
    <w:p w14:paraId="6F48CC0B" w14:textId="0440B3C5" w:rsidR="00A245CB" w:rsidRPr="0042336E" w:rsidRDefault="0042336E" w:rsidP="0042336E">
      <w:pPr>
        <w:tabs>
          <w:tab w:val="right" w:pos="8208"/>
        </w:tabs>
        <w:spacing w:before="60" w:afterLines="60" w:after="144" w:line="240" w:lineRule="auto"/>
        <w:ind w:left="360" w:hanging="360"/>
        <w:jc w:val="both"/>
        <w:rPr>
          <w:rFonts w:ascii="Arial" w:hAnsi="Arial" w:cs="Arial"/>
          <w:sz w:val="24"/>
          <w:szCs w:val="24"/>
        </w:rPr>
      </w:pPr>
      <w:r w:rsidRPr="00C10D31">
        <w:rPr>
          <w:rFonts w:ascii="Arial" w:hAnsi="Arial" w:cs="Arial"/>
          <w:sz w:val="24"/>
          <w:szCs w:val="24"/>
        </w:rPr>
        <w:t>2.</w:t>
      </w:r>
      <w:r w:rsidRPr="00C10D31">
        <w:rPr>
          <w:rFonts w:ascii="Arial" w:hAnsi="Arial" w:cs="Arial"/>
          <w:sz w:val="24"/>
          <w:szCs w:val="24"/>
        </w:rPr>
        <w:tab/>
      </w:r>
      <w:r w:rsidR="00C10D31" w:rsidRPr="0042336E">
        <w:rPr>
          <w:rFonts w:ascii="Arial" w:hAnsi="Arial" w:cs="Arial"/>
          <w:sz w:val="24"/>
          <w:szCs w:val="24"/>
        </w:rPr>
        <w:t>Costs of the application shall be costs in the main action</w:t>
      </w:r>
    </w:p>
    <w:p w14:paraId="56C8C3C5" w14:textId="532AB62B" w:rsidR="00A245CB" w:rsidRPr="00294709" w:rsidRDefault="006A12DB" w:rsidP="00375C80">
      <w:pPr>
        <w:pBdr>
          <w:bottom w:val="single" w:sz="12" w:space="1" w:color="000000"/>
        </w:pBdr>
        <w:spacing w:after="0" w:line="240" w:lineRule="auto"/>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w:t>
      </w:r>
      <w:r w:rsidR="00937D04">
        <w:rPr>
          <w:rFonts w:ascii="Arial" w:eastAsia="Arial" w:hAnsi="Arial" w:cs="Arial"/>
          <w:b/>
          <w:sz w:val="24"/>
          <w:szCs w:val="24"/>
        </w:rPr>
        <w:t>___________</w:t>
      </w:r>
      <w:r w:rsidRPr="00294709">
        <w:rPr>
          <w:rFonts w:ascii="Arial" w:eastAsia="Arial" w:hAnsi="Arial" w:cs="Arial"/>
          <w:b/>
          <w:sz w:val="24"/>
          <w:szCs w:val="24"/>
        </w:rPr>
        <w:t>__</w:t>
      </w:r>
    </w:p>
    <w:p w14:paraId="6F0B4D7B" w14:textId="77777777" w:rsidR="00A245CB" w:rsidRPr="00294709" w:rsidRDefault="00A245CB" w:rsidP="00375C80">
      <w:pPr>
        <w:pBdr>
          <w:bottom w:val="single" w:sz="12" w:space="1" w:color="000000"/>
        </w:pBdr>
        <w:spacing w:after="0" w:line="240" w:lineRule="auto"/>
        <w:jc w:val="both"/>
        <w:rPr>
          <w:rFonts w:ascii="Arial" w:eastAsia="Arial" w:hAnsi="Arial" w:cs="Arial"/>
          <w:b/>
          <w:sz w:val="24"/>
          <w:szCs w:val="24"/>
        </w:rPr>
      </w:pPr>
    </w:p>
    <w:p w14:paraId="191C7302" w14:textId="68A6AAB7" w:rsidR="00A245CB" w:rsidRDefault="006A12DB" w:rsidP="00375C80">
      <w:pPr>
        <w:pBdr>
          <w:bottom w:val="single" w:sz="12" w:space="1" w:color="000000"/>
        </w:pBdr>
        <w:spacing w:after="0" w:line="240" w:lineRule="auto"/>
        <w:jc w:val="center"/>
        <w:rPr>
          <w:rFonts w:ascii="Arial" w:eastAsia="Arial" w:hAnsi="Arial" w:cs="Arial"/>
          <w:b/>
          <w:sz w:val="24"/>
          <w:szCs w:val="24"/>
        </w:rPr>
      </w:pPr>
      <w:r w:rsidRPr="00294709">
        <w:rPr>
          <w:rFonts w:ascii="Arial" w:eastAsia="Arial" w:hAnsi="Arial" w:cs="Arial"/>
          <w:b/>
          <w:sz w:val="24"/>
          <w:szCs w:val="24"/>
        </w:rPr>
        <w:t>JUDGMENT</w:t>
      </w:r>
    </w:p>
    <w:p w14:paraId="5F057E94" w14:textId="77777777" w:rsidR="00937D04" w:rsidRPr="00294709" w:rsidRDefault="00937D04" w:rsidP="00375C80">
      <w:pPr>
        <w:pBdr>
          <w:bottom w:val="single" w:sz="12" w:space="1" w:color="000000"/>
        </w:pBdr>
        <w:spacing w:after="0" w:line="240" w:lineRule="auto"/>
        <w:jc w:val="center"/>
        <w:rPr>
          <w:rFonts w:ascii="Arial" w:eastAsia="Arial" w:hAnsi="Arial" w:cs="Arial"/>
          <w:b/>
          <w:sz w:val="24"/>
          <w:szCs w:val="24"/>
        </w:rPr>
      </w:pPr>
    </w:p>
    <w:p w14:paraId="7374C9D2" w14:textId="77777777" w:rsidR="00A245CB" w:rsidRPr="00294709" w:rsidRDefault="00A245CB" w:rsidP="00375C80">
      <w:pPr>
        <w:spacing w:before="60" w:afterLines="60" w:after="144" w:line="240" w:lineRule="auto"/>
        <w:jc w:val="both"/>
        <w:rPr>
          <w:rFonts w:ascii="Arial" w:eastAsia="Arial" w:hAnsi="Arial" w:cs="Arial"/>
          <w:b/>
          <w:sz w:val="24"/>
          <w:szCs w:val="24"/>
        </w:rPr>
      </w:pPr>
    </w:p>
    <w:p w14:paraId="3C317E0B" w14:textId="21FE8644" w:rsidR="007F50EE" w:rsidRDefault="00375C80" w:rsidP="007F50EE">
      <w:pPr>
        <w:spacing w:before="60" w:afterLines="60" w:after="144" w:line="480" w:lineRule="auto"/>
        <w:jc w:val="both"/>
        <w:rPr>
          <w:rFonts w:ascii="Arial" w:eastAsia="Arial" w:hAnsi="Arial" w:cs="Arial"/>
          <w:b/>
          <w:sz w:val="24"/>
          <w:szCs w:val="24"/>
        </w:rPr>
      </w:pPr>
      <w:r>
        <w:rPr>
          <w:rFonts w:ascii="Arial" w:eastAsia="Arial" w:hAnsi="Arial" w:cs="Arial"/>
          <w:b/>
          <w:sz w:val="24"/>
          <w:szCs w:val="24"/>
        </w:rPr>
        <w:lastRenderedPageBreak/>
        <w:t xml:space="preserve">K. </w:t>
      </w:r>
      <w:r w:rsidR="003557E5" w:rsidRPr="00294709">
        <w:rPr>
          <w:rFonts w:ascii="Arial" w:eastAsia="Arial" w:hAnsi="Arial" w:cs="Arial"/>
          <w:b/>
          <w:sz w:val="24"/>
          <w:szCs w:val="24"/>
        </w:rPr>
        <w:t>STRYDOM</w:t>
      </w:r>
      <w:r w:rsidR="0062737A" w:rsidRPr="00294709">
        <w:rPr>
          <w:rFonts w:ascii="Arial" w:eastAsia="Arial" w:hAnsi="Arial" w:cs="Arial"/>
          <w:b/>
          <w:sz w:val="24"/>
          <w:szCs w:val="24"/>
        </w:rPr>
        <w:t>, A</w:t>
      </w:r>
      <w:r w:rsidR="006A12DB" w:rsidRPr="00294709">
        <w:rPr>
          <w:rFonts w:ascii="Arial" w:eastAsia="Arial" w:hAnsi="Arial" w:cs="Arial"/>
          <w:b/>
          <w:sz w:val="24"/>
          <w:szCs w:val="24"/>
        </w:rPr>
        <w:t>J</w:t>
      </w:r>
    </w:p>
    <w:p w14:paraId="7D4E5C53" w14:textId="77777777" w:rsidR="00FE08F1" w:rsidRPr="007F50EE" w:rsidRDefault="00FE08F1" w:rsidP="007F50EE">
      <w:pPr>
        <w:spacing w:before="60" w:afterLines="60" w:after="144" w:line="480" w:lineRule="auto"/>
        <w:jc w:val="both"/>
        <w:rPr>
          <w:rFonts w:ascii="Arial" w:eastAsia="Arial" w:hAnsi="Arial" w:cs="Arial"/>
          <w:b/>
          <w:sz w:val="24"/>
          <w:szCs w:val="24"/>
        </w:rPr>
      </w:pPr>
    </w:p>
    <w:p w14:paraId="47575D63" w14:textId="2CAD9C39" w:rsidR="00E073C0" w:rsidRPr="00E073C0" w:rsidRDefault="00E073C0" w:rsidP="00E073C0">
      <w:pPr>
        <w:tabs>
          <w:tab w:val="right" w:pos="8208"/>
        </w:tabs>
        <w:spacing w:before="60" w:afterLines="60" w:after="144" w:line="480" w:lineRule="auto"/>
        <w:jc w:val="both"/>
        <w:rPr>
          <w:rFonts w:ascii="Arial" w:hAnsi="Arial" w:cs="Arial"/>
          <w:b/>
          <w:bCs/>
          <w:sz w:val="24"/>
          <w:szCs w:val="24"/>
        </w:rPr>
      </w:pPr>
      <w:r>
        <w:rPr>
          <w:rFonts w:ascii="Arial" w:hAnsi="Arial" w:cs="Arial"/>
          <w:b/>
          <w:bCs/>
          <w:sz w:val="24"/>
          <w:szCs w:val="24"/>
        </w:rPr>
        <w:t>INTRODUCTION</w:t>
      </w:r>
    </w:p>
    <w:p w14:paraId="57E001D3" w14:textId="4CAB2B9D" w:rsidR="00CC4D44" w:rsidRPr="0042336E" w:rsidRDefault="0042336E" w:rsidP="0042336E">
      <w:pPr>
        <w:tabs>
          <w:tab w:val="right" w:pos="8208"/>
        </w:tabs>
        <w:spacing w:before="60" w:afterLines="60" w:after="144" w:line="480" w:lineRule="auto"/>
        <w:ind w:left="284" w:hanging="284"/>
        <w:jc w:val="both"/>
        <w:rPr>
          <w:rFonts w:ascii="Arial" w:hAnsi="Arial" w:cs="Arial"/>
          <w:sz w:val="24"/>
          <w:szCs w:val="24"/>
        </w:rPr>
      </w:pPr>
      <w:r w:rsidRPr="00714AC9">
        <w:rPr>
          <w:rFonts w:ascii="Arial" w:hAnsi="Arial" w:cs="Arial"/>
          <w:sz w:val="24"/>
          <w:szCs w:val="24"/>
        </w:rPr>
        <w:t>1.</w:t>
      </w:r>
      <w:r w:rsidRPr="00714AC9">
        <w:rPr>
          <w:rFonts w:ascii="Arial" w:hAnsi="Arial" w:cs="Arial"/>
          <w:sz w:val="24"/>
          <w:szCs w:val="24"/>
        </w:rPr>
        <w:tab/>
      </w:r>
      <w:r w:rsidR="001334FD" w:rsidRPr="0042336E">
        <w:rPr>
          <w:rFonts w:ascii="Arial" w:hAnsi="Arial" w:cs="Arial"/>
          <w:sz w:val="24"/>
          <w:szCs w:val="24"/>
        </w:rPr>
        <w:t>The facts of this matter echo those of countless summary judgment applications that serve before th</w:t>
      </w:r>
      <w:r w:rsidR="001C7105" w:rsidRPr="0042336E">
        <w:rPr>
          <w:rFonts w:ascii="Arial" w:hAnsi="Arial" w:cs="Arial"/>
          <w:sz w:val="24"/>
          <w:szCs w:val="24"/>
        </w:rPr>
        <w:t>e</w:t>
      </w:r>
      <w:r w:rsidR="001334FD" w:rsidRPr="0042336E">
        <w:rPr>
          <w:rFonts w:ascii="Arial" w:hAnsi="Arial" w:cs="Arial"/>
          <w:sz w:val="24"/>
          <w:szCs w:val="24"/>
        </w:rPr>
        <w:t xml:space="preserve"> Court</w:t>
      </w:r>
      <w:r w:rsidR="001C7105" w:rsidRPr="0042336E">
        <w:rPr>
          <w:rFonts w:ascii="Arial" w:hAnsi="Arial" w:cs="Arial"/>
          <w:sz w:val="24"/>
          <w:szCs w:val="24"/>
        </w:rPr>
        <w:t xml:space="preserve"> daily</w:t>
      </w:r>
      <w:r w:rsidR="00714AC9" w:rsidRPr="0042336E">
        <w:rPr>
          <w:rFonts w:ascii="Arial" w:hAnsi="Arial" w:cs="Arial"/>
          <w:sz w:val="24"/>
          <w:szCs w:val="24"/>
        </w:rPr>
        <w:t xml:space="preserve">: </w:t>
      </w:r>
      <w:r w:rsidR="001334FD" w:rsidRPr="0042336E">
        <w:rPr>
          <w:rFonts w:ascii="Arial" w:hAnsi="Arial" w:cs="Arial"/>
          <w:sz w:val="24"/>
          <w:szCs w:val="24"/>
        </w:rPr>
        <w:t>The Second and Third Respondents</w:t>
      </w:r>
      <w:r w:rsidR="004A28AF" w:rsidRPr="0042336E">
        <w:rPr>
          <w:rFonts w:ascii="Arial" w:hAnsi="Arial" w:cs="Arial"/>
          <w:sz w:val="24"/>
          <w:szCs w:val="24"/>
        </w:rPr>
        <w:t xml:space="preserve"> (“the Respondents”)</w:t>
      </w:r>
      <w:r w:rsidR="001334FD" w:rsidRPr="0042336E">
        <w:rPr>
          <w:rFonts w:ascii="Arial" w:hAnsi="Arial" w:cs="Arial"/>
          <w:sz w:val="24"/>
          <w:szCs w:val="24"/>
        </w:rPr>
        <w:t xml:space="preserve">, being the directors of the </w:t>
      </w:r>
      <w:r w:rsidR="00CC4D44" w:rsidRPr="0042336E">
        <w:rPr>
          <w:rFonts w:ascii="Arial" w:hAnsi="Arial" w:cs="Arial"/>
          <w:sz w:val="24"/>
          <w:szCs w:val="24"/>
        </w:rPr>
        <w:t xml:space="preserve">First Respondent, </w:t>
      </w:r>
      <w:r w:rsidR="001334FD" w:rsidRPr="0042336E">
        <w:rPr>
          <w:rFonts w:ascii="Arial" w:hAnsi="Arial" w:cs="Arial"/>
          <w:sz w:val="24"/>
          <w:szCs w:val="24"/>
        </w:rPr>
        <w:t>in 2006</w:t>
      </w:r>
      <w:r w:rsidR="00CC4D44" w:rsidRPr="0042336E">
        <w:rPr>
          <w:rFonts w:ascii="Arial" w:hAnsi="Arial" w:cs="Arial"/>
          <w:sz w:val="24"/>
          <w:szCs w:val="24"/>
        </w:rPr>
        <w:t>,</w:t>
      </w:r>
      <w:r w:rsidR="001334FD" w:rsidRPr="0042336E">
        <w:rPr>
          <w:rFonts w:ascii="Arial" w:hAnsi="Arial" w:cs="Arial"/>
          <w:sz w:val="24"/>
          <w:szCs w:val="24"/>
        </w:rPr>
        <w:t xml:space="preserve"> bought a house</w:t>
      </w:r>
      <w:r w:rsidR="005830D6" w:rsidRPr="0042336E">
        <w:rPr>
          <w:rFonts w:ascii="Arial" w:hAnsi="Arial" w:cs="Arial"/>
          <w:sz w:val="24"/>
          <w:szCs w:val="24"/>
        </w:rPr>
        <w:t xml:space="preserve"> in the name of the First Respondent</w:t>
      </w:r>
      <w:r w:rsidR="001334FD" w:rsidRPr="0042336E">
        <w:rPr>
          <w:rFonts w:ascii="Arial" w:hAnsi="Arial" w:cs="Arial"/>
          <w:sz w:val="24"/>
          <w:szCs w:val="24"/>
        </w:rPr>
        <w:t>.  For purposes of</w:t>
      </w:r>
      <w:r w:rsidR="004A28AF" w:rsidRPr="0042336E">
        <w:rPr>
          <w:rFonts w:ascii="Arial" w:hAnsi="Arial" w:cs="Arial"/>
          <w:sz w:val="24"/>
          <w:szCs w:val="24"/>
        </w:rPr>
        <w:t xml:space="preserve"> securing</w:t>
      </w:r>
      <w:r w:rsidR="001334FD" w:rsidRPr="0042336E">
        <w:rPr>
          <w:rFonts w:ascii="Arial" w:hAnsi="Arial" w:cs="Arial"/>
          <w:sz w:val="24"/>
          <w:szCs w:val="24"/>
        </w:rPr>
        <w:t xml:space="preserve"> the home loan, the Respondents signed a deed of surety for the debts of the </w:t>
      </w:r>
      <w:r w:rsidR="005830D6" w:rsidRPr="0042336E">
        <w:rPr>
          <w:rFonts w:ascii="Arial" w:hAnsi="Arial" w:cs="Arial"/>
          <w:sz w:val="24"/>
          <w:szCs w:val="24"/>
        </w:rPr>
        <w:t xml:space="preserve">First Respondent. </w:t>
      </w:r>
    </w:p>
    <w:p w14:paraId="603B078D" w14:textId="7C685E05" w:rsidR="000A66AF" w:rsidRPr="0042336E" w:rsidRDefault="0042336E" w:rsidP="0042336E">
      <w:pPr>
        <w:tabs>
          <w:tab w:val="right" w:pos="8208"/>
        </w:tabs>
        <w:spacing w:before="60" w:afterLines="60" w:after="144" w:line="480" w:lineRule="auto"/>
        <w:ind w:left="284" w:hanging="284"/>
        <w:jc w:val="both"/>
        <w:rPr>
          <w:rFonts w:ascii="Arial" w:hAnsi="Arial" w:cs="Arial"/>
          <w:sz w:val="24"/>
          <w:szCs w:val="24"/>
        </w:rPr>
      </w:pPr>
      <w:r>
        <w:rPr>
          <w:rFonts w:ascii="Arial" w:hAnsi="Arial" w:cs="Arial"/>
          <w:sz w:val="24"/>
          <w:szCs w:val="24"/>
        </w:rPr>
        <w:t>2.</w:t>
      </w:r>
      <w:r>
        <w:rPr>
          <w:rFonts w:ascii="Arial" w:hAnsi="Arial" w:cs="Arial"/>
          <w:sz w:val="24"/>
          <w:szCs w:val="24"/>
        </w:rPr>
        <w:tab/>
      </w:r>
      <w:r w:rsidR="001334FD" w:rsidRPr="0042336E">
        <w:rPr>
          <w:rFonts w:ascii="Arial" w:hAnsi="Arial" w:cs="Arial"/>
          <w:sz w:val="24"/>
          <w:szCs w:val="24"/>
        </w:rPr>
        <w:t xml:space="preserve">It is common cause that the </w:t>
      </w:r>
      <w:r w:rsidR="004C3806" w:rsidRPr="0042336E">
        <w:rPr>
          <w:rFonts w:ascii="Arial" w:hAnsi="Arial" w:cs="Arial"/>
          <w:sz w:val="24"/>
          <w:szCs w:val="24"/>
        </w:rPr>
        <w:t xml:space="preserve">First </w:t>
      </w:r>
      <w:r w:rsidR="001334FD" w:rsidRPr="0042336E">
        <w:rPr>
          <w:rFonts w:ascii="Arial" w:hAnsi="Arial" w:cs="Arial"/>
          <w:sz w:val="24"/>
          <w:szCs w:val="24"/>
        </w:rPr>
        <w:t>Respondent fell in arrears with the</w:t>
      </w:r>
      <w:r w:rsidR="00234934" w:rsidRPr="0042336E">
        <w:rPr>
          <w:rFonts w:ascii="Arial" w:hAnsi="Arial" w:cs="Arial"/>
          <w:sz w:val="24"/>
          <w:szCs w:val="24"/>
        </w:rPr>
        <w:t xml:space="preserve"> </w:t>
      </w:r>
      <w:r w:rsidR="001334FD" w:rsidRPr="0042336E">
        <w:rPr>
          <w:rFonts w:ascii="Arial" w:hAnsi="Arial" w:cs="Arial"/>
          <w:sz w:val="24"/>
          <w:szCs w:val="24"/>
        </w:rPr>
        <w:t xml:space="preserve">repayments of the home loan amounts.  </w:t>
      </w:r>
      <w:r w:rsidR="009A2AA7" w:rsidRPr="0042336E">
        <w:rPr>
          <w:rFonts w:ascii="Arial" w:hAnsi="Arial" w:cs="Arial"/>
          <w:sz w:val="24"/>
          <w:szCs w:val="24"/>
        </w:rPr>
        <w:t xml:space="preserve">The </w:t>
      </w:r>
      <w:r w:rsidR="00C04991" w:rsidRPr="0042336E">
        <w:rPr>
          <w:rFonts w:ascii="Arial" w:hAnsi="Arial" w:cs="Arial"/>
          <w:sz w:val="24"/>
          <w:szCs w:val="24"/>
        </w:rPr>
        <w:t>Applicant</w:t>
      </w:r>
      <w:r w:rsidR="009A2AA7" w:rsidRPr="0042336E">
        <w:rPr>
          <w:rFonts w:ascii="Arial" w:hAnsi="Arial" w:cs="Arial"/>
          <w:sz w:val="24"/>
          <w:szCs w:val="24"/>
        </w:rPr>
        <w:t xml:space="preserve"> has instituted action for the recovery of the total outstanding amount and has relied on the suretyship to obtain payment</w:t>
      </w:r>
      <w:r w:rsidR="001616A7" w:rsidRPr="0042336E">
        <w:rPr>
          <w:rFonts w:ascii="Arial" w:hAnsi="Arial" w:cs="Arial"/>
          <w:sz w:val="24"/>
          <w:szCs w:val="24"/>
        </w:rPr>
        <w:t xml:space="preserve"> from the Respondents</w:t>
      </w:r>
      <w:r w:rsidR="009A2AA7" w:rsidRPr="0042336E">
        <w:rPr>
          <w:rFonts w:ascii="Arial" w:hAnsi="Arial" w:cs="Arial"/>
          <w:sz w:val="24"/>
          <w:szCs w:val="24"/>
        </w:rPr>
        <w:t xml:space="preserve">. </w:t>
      </w:r>
    </w:p>
    <w:p w14:paraId="3327D657" w14:textId="28D6DD09" w:rsidR="009A2AA7" w:rsidRPr="0042336E" w:rsidRDefault="0042336E" w:rsidP="0042336E">
      <w:pPr>
        <w:tabs>
          <w:tab w:val="right" w:pos="8208"/>
        </w:tabs>
        <w:spacing w:before="60" w:afterLines="60" w:after="144" w:line="480" w:lineRule="auto"/>
        <w:ind w:left="284" w:hanging="284"/>
        <w:jc w:val="both"/>
        <w:rPr>
          <w:rFonts w:ascii="Arial" w:hAnsi="Arial" w:cs="Arial"/>
          <w:sz w:val="24"/>
          <w:szCs w:val="24"/>
        </w:rPr>
      </w:pPr>
      <w:r>
        <w:rPr>
          <w:rFonts w:ascii="Arial" w:hAnsi="Arial" w:cs="Arial"/>
          <w:sz w:val="24"/>
          <w:szCs w:val="24"/>
        </w:rPr>
        <w:t>3.</w:t>
      </w:r>
      <w:r>
        <w:rPr>
          <w:rFonts w:ascii="Arial" w:hAnsi="Arial" w:cs="Arial"/>
          <w:sz w:val="24"/>
          <w:szCs w:val="24"/>
        </w:rPr>
        <w:tab/>
      </w:r>
      <w:r w:rsidR="009A2AA7" w:rsidRPr="0042336E">
        <w:rPr>
          <w:rFonts w:ascii="Arial" w:hAnsi="Arial" w:cs="Arial"/>
          <w:sz w:val="24"/>
          <w:szCs w:val="24"/>
        </w:rPr>
        <w:t>Subsequent to the Respondents’ plea, this application for summary judgment</w:t>
      </w:r>
      <w:r w:rsidR="001616A7" w:rsidRPr="0042336E">
        <w:rPr>
          <w:rFonts w:ascii="Arial" w:hAnsi="Arial" w:cs="Arial"/>
          <w:sz w:val="24"/>
          <w:szCs w:val="24"/>
        </w:rPr>
        <w:t>,</w:t>
      </w:r>
      <w:r w:rsidR="009A2AA7" w:rsidRPr="0042336E">
        <w:rPr>
          <w:rFonts w:ascii="Arial" w:hAnsi="Arial" w:cs="Arial"/>
          <w:sz w:val="24"/>
          <w:szCs w:val="24"/>
        </w:rPr>
        <w:t xml:space="preserve"> combined with an application in terms of Rule 46(A)</w:t>
      </w:r>
      <w:r w:rsidR="001616A7" w:rsidRPr="0042336E">
        <w:rPr>
          <w:rFonts w:ascii="Arial" w:hAnsi="Arial" w:cs="Arial"/>
          <w:sz w:val="24"/>
          <w:szCs w:val="24"/>
        </w:rPr>
        <w:t>,</w:t>
      </w:r>
      <w:r w:rsidR="009A2AA7" w:rsidRPr="0042336E">
        <w:rPr>
          <w:rFonts w:ascii="Arial" w:hAnsi="Arial" w:cs="Arial"/>
          <w:sz w:val="24"/>
          <w:szCs w:val="24"/>
        </w:rPr>
        <w:t xml:space="preserve"> was launched and duly opposed</w:t>
      </w:r>
      <w:r w:rsidR="005F2E57" w:rsidRPr="0042336E">
        <w:rPr>
          <w:rFonts w:ascii="Arial" w:hAnsi="Arial" w:cs="Arial"/>
          <w:sz w:val="24"/>
          <w:szCs w:val="24"/>
        </w:rPr>
        <w:t xml:space="preserve"> by the Respondents</w:t>
      </w:r>
      <w:r w:rsidR="009A2AA7" w:rsidRPr="0042336E">
        <w:rPr>
          <w:rFonts w:ascii="Arial" w:hAnsi="Arial" w:cs="Arial"/>
          <w:sz w:val="24"/>
          <w:szCs w:val="24"/>
        </w:rPr>
        <w:t xml:space="preserve">.  </w:t>
      </w:r>
    </w:p>
    <w:p w14:paraId="56913069" w14:textId="5FB41ED4" w:rsidR="009A2AA7" w:rsidRPr="0042336E" w:rsidRDefault="0042336E" w:rsidP="0042336E">
      <w:pPr>
        <w:tabs>
          <w:tab w:val="right" w:pos="8208"/>
        </w:tabs>
        <w:spacing w:before="60" w:afterLines="60" w:after="144" w:line="480" w:lineRule="auto"/>
        <w:ind w:left="284" w:hanging="284"/>
        <w:jc w:val="both"/>
        <w:rPr>
          <w:rFonts w:ascii="Arial" w:hAnsi="Arial" w:cs="Arial"/>
          <w:sz w:val="24"/>
          <w:szCs w:val="24"/>
        </w:rPr>
      </w:pPr>
      <w:r>
        <w:rPr>
          <w:rFonts w:ascii="Arial" w:hAnsi="Arial" w:cs="Arial"/>
          <w:sz w:val="24"/>
          <w:szCs w:val="24"/>
        </w:rPr>
        <w:t>4.</w:t>
      </w:r>
      <w:r>
        <w:rPr>
          <w:rFonts w:ascii="Arial" w:hAnsi="Arial" w:cs="Arial"/>
          <w:sz w:val="24"/>
          <w:szCs w:val="24"/>
        </w:rPr>
        <w:tab/>
      </w:r>
      <w:r w:rsidR="00696D30" w:rsidRPr="0042336E">
        <w:rPr>
          <w:rFonts w:ascii="Arial" w:hAnsi="Arial" w:cs="Arial"/>
          <w:sz w:val="24"/>
          <w:szCs w:val="24"/>
        </w:rPr>
        <w:t>With regards to the summary judgment application, t</w:t>
      </w:r>
      <w:r w:rsidR="009A2AA7" w:rsidRPr="0042336E">
        <w:rPr>
          <w:rFonts w:ascii="Arial" w:hAnsi="Arial" w:cs="Arial"/>
          <w:sz w:val="24"/>
          <w:szCs w:val="24"/>
        </w:rPr>
        <w:t xml:space="preserve">he Respondents have raised </w:t>
      </w:r>
      <w:r w:rsidR="001C7105" w:rsidRPr="0042336E">
        <w:rPr>
          <w:rFonts w:ascii="Arial" w:hAnsi="Arial" w:cs="Arial"/>
          <w:sz w:val="24"/>
          <w:szCs w:val="24"/>
        </w:rPr>
        <w:t>t</w:t>
      </w:r>
      <w:r w:rsidR="008739F3" w:rsidRPr="0042336E">
        <w:rPr>
          <w:rFonts w:ascii="Arial" w:hAnsi="Arial" w:cs="Arial"/>
          <w:sz w:val="24"/>
          <w:szCs w:val="24"/>
        </w:rPr>
        <w:t>w</w:t>
      </w:r>
      <w:r w:rsidR="001C7105" w:rsidRPr="0042336E">
        <w:rPr>
          <w:rFonts w:ascii="Arial" w:hAnsi="Arial" w:cs="Arial"/>
          <w:sz w:val="24"/>
          <w:szCs w:val="24"/>
        </w:rPr>
        <w:t>o</w:t>
      </w:r>
      <w:r w:rsidR="009A2AA7" w:rsidRPr="0042336E">
        <w:rPr>
          <w:rFonts w:ascii="Arial" w:hAnsi="Arial" w:cs="Arial"/>
          <w:sz w:val="24"/>
          <w:szCs w:val="24"/>
        </w:rPr>
        <w:t xml:space="preserve"> points </w:t>
      </w:r>
      <w:r w:rsidR="009A2AA7" w:rsidRPr="0042336E">
        <w:rPr>
          <w:rFonts w:ascii="Arial" w:hAnsi="Arial" w:cs="Arial"/>
          <w:i/>
          <w:iCs/>
          <w:sz w:val="24"/>
          <w:szCs w:val="24"/>
        </w:rPr>
        <w:t>in limine</w:t>
      </w:r>
      <w:r w:rsidR="009A2AA7" w:rsidRPr="0042336E">
        <w:rPr>
          <w:rFonts w:ascii="Arial" w:hAnsi="Arial" w:cs="Arial"/>
          <w:sz w:val="24"/>
          <w:szCs w:val="24"/>
        </w:rPr>
        <w:t xml:space="preserve"> </w:t>
      </w:r>
      <w:r w:rsidR="00187A31" w:rsidRPr="0042336E">
        <w:rPr>
          <w:rFonts w:ascii="Arial" w:hAnsi="Arial" w:cs="Arial"/>
          <w:sz w:val="24"/>
          <w:szCs w:val="24"/>
        </w:rPr>
        <w:t xml:space="preserve">relating to the </w:t>
      </w:r>
      <w:bookmarkStart w:id="0" w:name="_Hlk168965790"/>
      <w:r w:rsidR="00A554B9" w:rsidRPr="0042336E">
        <w:rPr>
          <w:rFonts w:ascii="Arial" w:hAnsi="Arial" w:cs="Arial"/>
          <w:sz w:val="24"/>
          <w:szCs w:val="24"/>
        </w:rPr>
        <w:t>affidavit in support of summary judgment</w:t>
      </w:r>
      <w:r w:rsidR="00187A31" w:rsidRPr="0042336E">
        <w:rPr>
          <w:rFonts w:ascii="Arial" w:hAnsi="Arial" w:cs="Arial"/>
          <w:sz w:val="24"/>
          <w:szCs w:val="24"/>
        </w:rPr>
        <w:t xml:space="preserve"> </w:t>
      </w:r>
      <w:bookmarkEnd w:id="0"/>
      <w:r w:rsidR="009A2AA7" w:rsidRPr="0042336E">
        <w:rPr>
          <w:rFonts w:ascii="Arial" w:hAnsi="Arial" w:cs="Arial"/>
          <w:sz w:val="24"/>
          <w:szCs w:val="24"/>
        </w:rPr>
        <w:t>and one substantive argument in terms of the</w:t>
      </w:r>
      <w:r w:rsidR="000E1369" w:rsidRPr="0042336E">
        <w:rPr>
          <w:rFonts w:ascii="Arial" w:hAnsi="Arial" w:cs="Arial"/>
          <w:sz w:val="24"/>
          <w:szCs w:val="24"/>
        </w:rPr>
        <w:t>ir purported</w:t>
      </w:r>
      <w:r w:rsidR="009A2AA7" w:rsidRPr="0042336E">
        <w:rPr>
          <w:rFonts w:ascii="Arial" w:hAnsi="Arial" w:cs="Arial"/>
          <w:sz w:val="24"/>
          <w:szCs w:val="24"/>
        </w:rPr>
        <w:t xml:space="preserve"> </w:t>
      </w:r>
      <w:r w:rsidR="009A2AA7" w:rsidRPr="0042336E">
        <w:rPr>
          <w:rFonts w:ascii="Arial" w:hAnsi="Arial" w:cs="Arial"/>
          <w:i/>
          <w:iCs/>
          <w:sz w:val="24"/>
          <w:szCs w:val="24"/>
        </w:rPr>
        <w:t>bona fide</w:t>
      </w:r>
      <w:r w:rsidR="009A2AA7" w:rsidRPr="0042336E">
        <w:rPr>
          <w:rFonts w:ascii="Arial" w:hAnsi="Arial" w:cs="Arial"/>
          <w:sz w:val="24"/>
          <w:szCs w:val="24"/>
        </w:rPr>
        <w:t xml:space="preserve"> defence.</w:t>
      </w:r>
      <w:r w:rsidR="003150F9" w:rsidRPr="0042336E">
        <w:rPr>
          <w:rFonts w:ascii="Arial" w:hAnsi="Arial" w:cs="Arial"/>
          <w:sz w:val="24"/>
          <w:szCs w:val="24"/>
        </w:rPr>
        <w:t xml:space="preserve"> </w:t>
      </w:r>
    </w:p>
    <w:p w14:paraId="44B4450B" w14:textId="28F73168" w:rsidR="00365555" w:rsidRPr="0042336E" w:rsidRDefault="0042336E" w:rsidP="0042336E">
      <w:pPr>
        <w:tabs>
          <w:tab w:val="right" w:pos="8208"/>
        </w:tabs>
        <w:spacing w:before="60" w:afterLines="60" w:after="144" w:line="480" w:lineRule="auto"/>
        <w:ind w:left="284" w:hanging="284"/>
        <w:jc w:val="both"/>
        <w:rPr>
          <w:rFonts w:ascii="Arial" w:hAnsi="Arial" w:cs="Arial"/>
          <w:b/>
          <w:bCs/>
          <w:sz w:val="24"/>
          <w:szCs w:val="24"/>
        </w:rPr>
      </w:pPr>
      <w:r w:rsidRPr="00365555">
        <w:rPr>
          <w:rFonts w:ascii="Arial" w:hAnsi="Arial" w:cs="Arial"/>
          <w:sz w:val="24"/>
          <w:szCs w:val="24"/>
        </w:rPr>
        <w:t>5.</w:t>
      </w:r>
      <w:r w:rsidRPr="00365555">
        <w:rPr>
          <w:rFonts w:ascii="Arial" w:hAnsi="Arial" w:cs="Arial"/>
          <w:sz w:val="24"/>
          <w:szCs w:val="24"/>
        </w:rPr>
        <w:tab/>
      </w:r>
      <w:r w:rsidR="00584CAF" w:rsidRPr="0042336E">
        <w:rPr>
          <w:rFonts w:ascii="Arial" w:hAnsi="Arial" w:cs="Arial"/>
          <w:sz w:val="24"/>
          <w:szCs w:val="24"/>
        </w:rPr>
        <w:t xml:space="preserve">With regards to the Rule 46A application, the Respondents allege that the Applicant has not complied with the provisions of Rule 46A. </w:t>
      </w:r>
    </w:p>
    <w:p w14:paraId="68FAB486" w14:textId="116E04A1" w:rsidR="00DA3B9F" w:rsidRPr="00365555" w:rsidRDefault="00F32040" w:rsidP="00365555">
      <w:pPr>
        <w:tabs>
          <w:tab w:val="right" w:pos="8208"/>
        </w:tabs>
        <w:spacing w:before="60" w:afterLines="60" w:after="144" w:line="480" w:lineRule="auto"/>
        <w:jc w:val="both"/>
        <w:rPr>
          <w:rFonts w:ascii="Arial" w:hAnsi="Arial" w:cs="Arial"/>
          <w:b/>
          <w:bCs/>
          <w:sz w:val="24"/>
          <w:szCs w:val="24"/>
        </w:rPr>
      </w:pPr>
      <w:r w:rsidRPr="00365555">
        <w:rPr>
          <w:rFonts w:ascii="Arial" w:hAnsi="Arial" w:cs="Arial"/>
          <w:b/>
          <w:bCs/>
          <w:sz w:val="24"/>
          <w:szCs w:val="24"/>
        </w:rPr>
        <w:t>SUMMARY JUDGMENT APPLICATION</w:t>
      </w:r>
    </w:p>
    <w:p w14:paraId="1B40B165" w14:textId="0603034A" w:rsidR="00AF1E26" w:rsidRPr="0008637D" w:rsidRDefault="00AF1E26" w:rsidP="0008637D">
      <w:pPr>
        <w:tabs>
          <w:tab w:val="right" w:pos="8208"/>
        </w:tabs>
        <w:spacing w:before="60" w:afterLines="60" w:after="144" w:line="480" w:lineRule="auto"/>
        <w:jc w:val="both"/>
        <w:rPr>
          <w:rFonts w:ascii="Arial" w:hAnsi="Arial" w:cs="Arial"/>
          <w:b/>
          <w:bCs/>
          <w:sz w:val="24"/>
          <w:szCs w:val="24"/>
        </w:rPr>
      </w:pPr>
      <w:r w:rsidRPr="0008637D">
        <w:rPr>
          <w:rFonts w:ascii="Arial" w:hAnsi="Arial" w:cs="Arial"/>
          <w:b/>
          <w:bCs/>
          <w:sz w:val="24"/>
          <w:szCs w:val="24"/>
        </w:rPr>
        <w:t xml:space="preserve">First point </w:t>
      </w:r>
      <w:r w:rsidRPr="003361D8">
        <w:rPr>
          <w:rFonts w:ascii="Arial" w:hAnsi="Arial" w:cs="Arial"/>
          <w:b/>
          <w:bCs/>
          <w:i/>
          <w:iCs/>
          <w:sz w:val="24"/>
          <w:szCs w:val="24"/>
        </w:rPr>
        <w:t>in limine</w:t>
      </w:r>
      <w:r w:rsidRPr="0008637D">
        <w:rPr>
          <w:rFonts w:ascii="Arial" w:hAnsi="Arial" w:cs="Arial"/>
          <w:b/>
          <w:bCs/>
          <w:sz w:val="24"/>
          <w:szCs w:val="24"/>
        </w:rPr>
        <w:t xml:space="preserve">: </w:t>
      </w:r>
      <w:r w:rsidR="00172468" w:rsidRPr="0008637D">
        <w:rPr>
          <w:rFonts w:ascii="Arial" w:hAnsi="Arial" w:cs="Arial"/>
          <w:b/>
          <w:bCs/>
          <w:sz w:val="24"/>
          <w:szCs w:val="24"/>
        </w:rPr>
        <w:t xml:space="preserve">Remote commissioning of the </w:t>
      </w:r>
      <w:r w:rsidR="003361D8" w:rsidRPr="003361D8">
        <w:rPr>
          <w:rFonts w:ascii="Arial" w:hAnsi="Arial" w:cs="Arial"/>
          <w:b/>
          <w:bCs/>
          <w:sz w:val="24"/>
          <w:szCs w:val="24"/>
        </w:rPr>
        <w:t>affidavit in support of summary judgment</w:t>
      </w:r>
    </w:p>
    <w:p w14:paraId="44C571E8" w14:textId="70892173" w:rsidR="00230C40" w:rsidRPr="0042336E" w:rsidRDefault="0042336E" w:rsidP="0042336E">
      <w:pPr>
        <w:tabs>
          <w:tab w:val="right" w:pos="8208"/>
        </w:tabs>
        <w:spacing w:before="60" w:afterLines="60" w:after="144" w:line="480" w:lineRule="auto"/>
        <w:ind w:left="284" w:hanging="284"/>
        <w:jc w:val="both"/>
        <w:rPr>
          <w:rFonts w:ascii="Arial" w:hAnsi="Arial" w:cs="Arial"/>
          <w:sz w:val="24"/>
          <w:szCs w:val="24"/>
        </w:rPr>
      </w:pPr>
      <w:r w:rsidRPr="00230C40">
        <w:rPr>
          <w:rFonts w:ascii="Arial" w:hAnsi="Arial" w:cs="Arial"/>
          <w:sz w:val="24"/>
          <w:szCs w:val="24"/>
        </w:rPr>
        <w:t>6.</w:t>
      </w:r>
      <w:r w:rsidRPr="00230C40">
        <w:rPr>
          <w:rFonts w:ascii="Arial" w:hAnsi="Arial" w:cs="Arial"/>
          <w:sz w:val="24"/>
          <w:szCs w:val="24"/>
        </w:rPr>
        <w:tab/>
      </w:r>
      <w:r w:rsidR="009A2AA7" w:rsidRPr="0042336E">
        <w:rPr>
          <w:rFonts w:ascii="Arial" w:hAnsi="Arial" w:cs="Arial"/>
          <w:sz w:val="24"/>
          <w:szCs w:val="24"/>
        </w:rPr>
        <w:t xml:space="preserve">The </w:t>
      </w:r>
      <w:r w:rsidR="00C04991" w:rsidRPr="0042336E">
        <w:rPr>
          <w:rFonts w:ascii="Arial" w:hAnsi="Arial" w:cs="Arial"/>
          <w:sz w:val="24"/>
          <w:szCs w:val="24"/>
        </w:rPr>
        <w:t>Applicant</w:t>
      </w:r>
      <w:r w:rsidR="009A2AA7" w:rsidRPr="0042336E">
        <w:rPr>
          <w:rFonts w:ascii="Arial" w:hAnsi="Arial" w:cs="Arial"/>
          <w:sz w:val="24"/>
          <w:szCs w:val="24"/>
        </w:rPr>
        <w:t xml:space="preserve"> has placed reliance on the judgment in </w:t>
      </w:r>
      <w:r w:rsidR="00AA4208" w:rsidRPr="0042336E">
        <w:rPr>
          <w:rFonts w:ascii="Arial" w:hAnsi="Arial" w:cs="Arial"/>
          <w:i/>
          <w:iCs/>
          <w:sz w:val="24"/>
          <w:szCs w:val="24"/>
        </w:rPr>
        <w:t>Firstrand Bank Limited v Briedenhann</w:t>
      </w:r>
      <w:r w:rsidR="00AA4208">
        <w:rPr>
          <w:rStyle w:val="FootnoteReference"/>
          <w:rFonts w:ascii="Arial" w:hAnsi="Arial" w:cs="Arial"/>
          <w:i/>
          <w:iCs/>
          <w:sz w:val="24"/>
          <w:szCs w:val="24"/>
        </w:rPr>
        <w:footnoteReference w:id="1"/>
      </w:r>
      <w:r w:rsidR="00AA4208" w:rsidRPr="0042336E">
        <w:rPr>
          <w:rFonts w:ascii="Arial" w:hAnsi="Arial" w:cs="Arial"/>
          <w:sz w:val="24"/>
          <w:szCs w:val="24"/>
        </w:rPr>
        <w:t xml:space="preserve"> </w:t>
      </w:r>
      <w:r w:rsidR="009A2AA7" w:rsidRPr="0042336E">
        <w:rPr>
          <w:rFonts w:ascii="Arial" w:hAnsi="Arial" w:cs="Arial"/>
          <w:sz w:val="24"/>
          <w:szCs w:val="24"/>
        </w:rPr>
        <w:t xml:space="preserve">as authority for its </w:t>
      </w:r>
      <w:r w:rsidR="00574D57" w:rsidRPr="0042336E">
        <w:rPr>
          <w:rFonts w:ascii="Arial" w:hAnsi="Arial" w:cs="Arial"/>
          <w:sz w:val="24"/>
          <w:szCs w:val="24"/>
        </w:rPr>
        <w:t>submission</w:t>
      </w:r>
      <w:r w:rsidR="009A2AA7" w:rsidRPr="0042336E">
        <w:rPr>
          <w:rFonts w:ascii="Arial" w:hAnsi="Arial" w:cs="Arial"/>
          <w:sz w:val="24"/>
          <w:szCs w:val="24"/>
        </w:rPr>
        <w:t xml:space="preserve"> that this Court</w:t>
      </w:r>
      <w:r w:rsidR="00574D57" w:rsidRPr="0042336E">
        <w:rPr>
          <w:rFonts w:ascii="Arial" w:hAnsi="Arial" w:cs="Arial"/>
          <w:sz w:val="24"/>
          <w:szCs w:val="24"/>
        </w:rPr>
        <w:t xml:space="preserve"> should</w:t>
      </w:r>
      <w:r w:rsidR="009A2AA7" w:rsidRPr="0042336E">
        <w:rPr>
          <w:rFonts w:ascii="Arial" w:hAnsi="Arial" w:cs="Arial"/>
          <w:sz w:val="24"/>
          <w:szCs w:val="24"/>
        </w:rPr>
        <w:t xml:space="preserve"> </w:t>
      </w:r>
      <w:r w:rsidR="005F45F5" w:rsidRPr="0042336E">
        <w:rPr>
          <w:rFonts w:ascii="Arial" w:hAnsi="Arial" w:cs="Arial"/>
          <w:sz w:val="24"/>
          <w:szCs w:val="24"/>
        </w:rPr>
        <w:t>‘</w:t>
      </w:r>
      <w:r w:rsidR="009A2AA7" w:rsidRPr="0042336E">
        <w:rPr>
          <w:rFonts w:ascii="Arial" w:hAnsi="Arial" w:cs="Arial"/>
          <w:sz w:val="24"/>
          <w:szCs w:val="24"/>
        </w:rPr>
        <w:t>condone</w:t>
      </w:r>
      <w:r w:rsidR="005F45F5" w:rsidRPr="0042336E">
        <w:rPr>
          <w:rFonts w:ascii="Arial" w:hAnsi="Arial" w:cs="Arial"/>
          <w:sz w:val="24"/>
          <w:szCs w:val="24"/>
        </w:rPr>
        <w:t>’</w:t>
      </w:r>
      <w:r w:rsidR="009A2AA7" w:rsidRPr="0042336E">
        <w:rPr>
          <w:rFonts w:ascii="Arial" w:hAnsi="Arial" w:cs="Arial"/>
          <w:sz w:val="24"/>
          <w:szCs w:val="24"/>
        </w:rPr>
        <w:t xml:space="preserve"> the virtual commissioning of the affidavit.  It was submitted that this Court should,</w:t>
      </w:r>
      <w:r w:rsidR="007C2AF0" w:rsidRPr="0042336E">
        <w:rPr>
          <w:rFonts w:ascii="Arial" w:hAnsi="Arial" w:cs="Arial"/>
          <w:sz w:val="24"/>
          <w:szCs w:val="24"/>
        </w:rPr>
        <w:t xml:space="preserve"> on the basis of </w:t>
      </w:r>
      <w:r w:rsidR="007C2AF0" w:rsidRPr="0042336E">
        <w:rPr>
          <w:rFonts w:ascii="Arial" w:hAnsi="Arial" w:cs="Arial"/>
          <w:i/>
          <w:iCs/>
          <w:sz w:val="24"/>
          <w:szCs w:val="24"/>
        </w:rPr>
        <w:t>Briedenkann</w:t>
      </w:r>
      <w:r w:rsidR="007C2AF0" w:rsidRPr="0042336E">
        <w:rPr>
          <w:rFonts w:ascii="Arial" w:hAnsi="Arial" w:cs="Arial"/>
          <w:sz w:val="24"/>
          <w:szCs w:val="24"/>
        </w:rPr>
        <w:t>,</w:t>
      </w:r>
      <w:r w:rsidR="009A2AA7" w:rsidRPr="0042336E">
        <w:rPr>
          <w:rFonts w:ascii="Arial" w:hAnsi="Arial" w:cs="Arial"/>
          <w:sz w:val="24"/>
          <w:szCs w:val="24"/>
        </w:rPr>
        <w:t xml:space="preserve"> </w:t>
      </w:r>
      <w:r w:rsidR="00822A39" w:rsidRPr="0042336E">
        <w:rPr>
          <w:rFonts w:ascii="Arial" w:hAnsi="Arial" w:cs="Arial"/>
          <w:sz w:val="24"/>
          <w:szCs w:val="24"/>
        </w:rPr>
        <w:t xml:space="preserve">exercise its </w:t>
      </w:r>
      <w:r w:rsidR="009A2AA7" w:rsidRPr="0042336E">
        <w:rPr>
          <w:rFonts w:ascii="Arial" w:hAnsi="Arial" w:cs="Arial"/>
          <w:sz w:val="24"/>
          <w:szCs w:val="24"/>
        </w:rPr>
        <w:lastRenderedPageBreak/>
        <w:t xml:space="preserve">discretion </w:t>
      </w:r>
      <w:r w:rsidR="00822A39" w:rsidRPr="0042336E">
        <w:rPr>
          <w:rFonts w:ascii="Arial" w:hAnsi="Arial" w:cs="Arial"/>
          <w:sz w:val="24"/>
          <w:szCs w:val="24"/>
        </w:rPr>
        <w:t xml:space="preserve">based primarily on considerations of </w:t>
      </w:r>
      <w:r w:rsidR="00BE64C2" w:rsidRPr="0042336E">
        <w:rPr>
          <w:rFonts w:ascii="Arial" w:hAnsi="Arial" w:cs="Arial"/>
          <w:sz w:val="24"/>
          <w:szCs w:val="24"/>
        </w:rPr>
        <w:t xml:space="preserve">substantial compliance with the provisions of the </w:t>
      </w:r>
      <w:r w:rsidR="00486A91" w:rsidRPr="0042336E">
        <w:rPr>
          <w:rFonts w:ascii="Arial" w:hAnsi="Arial" w:cs="Arial"/>
          <w:i/>
          <w:iCs/>
          <w:sz w:val="24"/>
          <w:szCs w:val="24"/>
        </w:rPr>
        <w:t>Justices of the Peace and Commissioners of Oaths Act</w:t>
      </w:r>
      <w:r w:rsidR="00486A91" w:rsidRPr="0042336E">
        <w:rPr>
          <w:rFonts w:ascii="Arial" w:hAnsi="Arial" w:cs="Arial"/>
          <w:sz w:val="24"/>
          <w:szCs w:val="24"/>
        </w:rPr>
        <w:t>, No. 16 of 1963 (“the Justice of the Peace Act").</w:t>
      </w:r>
      <w:r w:rsidR="009A2AA7" w:rsidRPr="0042336E">
        <w:rPr>
          <w:rFonts w:ascii="Arial" w:hAnsi="Arial" w:cs="Arial"/>
          <w:sz w:val="24"/>
          <w:szCs w:val="24"/>
        </w:rPr>
        <w:t xml:space="preserve">  </w:t>
      </w:r>
    </w:p>
    <w:p w14:paraId="56F43BDF" w14:textId="46AD090D" w:rsidR="00535BF8"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7.</w:t>
      </w:r>
      <w:r>
        <w:rPr>
          <w:rFonts w:ascii="Arial" w:hAnsi="Arial" w:cs="Arial"/>
          <w:sz w:val="24"/>
          <w:szCs w:val="24"/>
        </w:rPr>
        <w:tab/>
      </w:r>
      <w:r w:rsidR="009A2AA7" w:rsidRPr="0042336E">
        <w:rPr>
          <w:rFonts w:ascii="Arial" w:hAnsi="Arial" w:cs="Arial"/>
          <w:sz w:val="24"/>
          <w:szCs w:val="24"/>
        </w:rPr>
        <w:t>It has become almost par for the course</w:t>
      </w:r>
      <w:r w:rsidR="006F2A5F" w:rsidRPr="0042336E">
        <w:rPr>
          <w:rFonts w:ascii="Arial" w:hAnsi="Arial" w:cs="Arial"/>
          <w:sz w:val="24"/>
          <w:szCs w:val="24"/>
        </w:rPr>
        <w:t>,</w:t>
      </w:r>
      <w:r w:rsidR="009A2AA7" w:rsidRPr="0042336E">
        <w:rPr>
          <w:rFonts w:ascii="Arial" w:hAnsi="Arial" w:cs="Arial"/>
          <w:sz w:val="24"/>
          <w:szCs w:val="24"/>
        </w:rPr>
        <w:t xml:space="preserve"> for large institutions such as banks, in these types of applications, </w:t>
      </w:r>
      <w:r w:rsidR="001C7105" w:rsidRPr="0042336E">
        <w:rPr>
          <w:rFonts w:ascii="Arial" w:hAnsi="Arial" w:cs="Arial"/>
          <w:sz w:val="24"/>
          <w:szCs w:val="24"/>
        </w:rPr>
        <w:t xml:space="preserve">to </w:t>
      </w:r>
      <w:r w:rsidR="009A2AA7" w:rsidRPr="0042336E">
        <w:rPr>
          <w:rFonts w:ascii="Arial" w:hAnsi="Arial" w:cs="Arial"/>
          <w:sz w:val="24"/>
          <w:szCs w:val="24"/>
        </w:rPr>
        <w:t xml:space="preserve">have such affidavits commissioned remotely. </w:t>
      </w:r>
      <w:r w:rsidR="000919A5" w:rsidRPr="0042336E">
        <w:rPr>
          <w:rFonts w:ascii="Arial" w:hAnsi="Arial" w:cs="Arial"/>
          <w:sz w:val="24"/>
          <w:szCs w:val="24"/>
        </w:rPr>
        <w:t>Justices of the Peace and Commissioners of Oaths Act, No. 16 of 1963 ("herein after referred to as the Commissioners Act").</w:t>
      </w:r>
    </w:p>
    <w:p w14:paraId="3DDB72B6" w14:textId="7D3D7ED7" w:rsidR="00E2709D" w:rsidRPr="0042336E" w:rsidRDefault="0042336E" w:rsidP="0042336E">
      <w:pPr>
        <w:tabs>
          <w:tab w:val="right" w:pos="8208"/>
        </w:tabs>
        <w:spacing w:before="60" w:afterLines="60" w:after="144" w:line="480" w:lineRule="auto"/>
        <w:ind w:left="425" w:hanging="425"/>
        <w:jc w:val="both"/>
        <w:rPr>
          <w:rFonts w:ascii="Arial" w:hAnsi="Arial" w:cs="Arial"/>
          <w:sz w:val="24"/>
          <w:szCs w:val="24"/>
        </w:rPr>
      </w:pPr>
      <w:r>
        <w:rPr>
          <w:rFonts w:ascii="Arial" w:hAnsi="Arial" w:cs="Arial"/>
          <w:sz w:val="24"/>
          <w:szCs w:val="24"/>
        </w:rPr>
        <w:t>8.</w:t>
      </w:r>
      <w:r>
        <w:rPr>
          <w:rFonts w:ascii="Arial" w:hAnsi="Arial" w:cs="Arial"/>
          <w:sz w:val="24"/>
          <w:szCs w:val="24"/>
        </w:rPr>
        <w:tab/>
      </w:r>
      <w:r w:rsidR="009A2AA7" w:rsidRPr="0042336E">
        <w:rPr>
          <w:rFonts w:ascii="Arial" w:hAnsi="Arial" w:cs="Arial"/>
          <w:sz w:val="24"/>
          <w:szCs w:val="24"/>
        </w:rPr>
        <w:t xml:space="preserve"> I disagree with the submission that </w:t>
      </w:r>
      <w:r w:rsidR="009A2AA7" w:rsidRPr="0042336E">
        <w:rPr>
          <w:rFonts w:ascii="Arial" w:hAnsi="Arial" w:cs="Arial"/>
          <w:i/>
          <w:iCs/>
          <w:sz w:val="24"/>
          <w:szCs w:val="24"/>
        </w:rPr>
        <w:t>Brieden</w:t>
      </w:r>
      <w:r w:rsidR="00535BF8" w:rsidRPr="0042336E">
        <w:rPr>
          <w:rFonts w:ascii="Arial" w:hAnsi="Arial" w:cs="Arial"/>
          <w:i/>
          <w:iCs/>
          <w:sz w:val="24"/>
          <w:szCs w:val="24"/>
        </w:rPr>
        <w:t>h</w:t>
      </w:r>
      <w:r w:rsidR="009A2AA7" w:rsidRPr="0042336E">
        <w:rPr>
          <w:rFonts w:ascii="Arial" w:hAnsi="Arial" w:cs="Arial"/>
          <w:i/>
          <w:iCs/>
          <w:sz w:val="24"/>
          <w:szCs w:val="24"/>
        </w:rPr>
        <w:t>ann</w:t>
      </w:r>
      <w:r w:rsidR="009A2AA7" w:rsidRPr="0042336E">
        <w:rPr>
          <w:rFonts w:ascii="Arial" w:hAnsi="Arial" w:cs="Arial"/>
          <w:sz w:val="24"/>
          <w:szCs w:val="24"/>
        </w:rPr>
        <w:t xml:space="preserve"> is authority</w:t>
      </w:r>
      <w:r w:rsidR="00E2709D" w:rsidRPr="0042336E">
        <w:rPr>
          <w:rFonts w:ascii="Arial" w:hAnsi="Arial" w:cs="Arial"/>
          <w:sz w:val="24"/>
          <w:szCs w:val="24"/>
        </w:rPr>
        <w:t xml:space="preserve"> for the position</w:t>
      </w:r>
      <w:r w:rsidR="009A2AA7" w:rsidRPr="0042336E">
        <w:rPr>
          <w:rFonts w:ascii="Arial" w:hAnsi="Arial" w:cs="Arial"/>
          <w:sz w:val="24"/>
          <w:szCs w:val="24"/>
        </w:rPr>
        <w:t xml:space="preserve"> that as long as there has been substant</w:t>
      </w:r>
      <w:r w:rsidR="00E2709D" w:rsidRPr="0042336E">
        <w:rPr>
          <w:rFonts w:ascii="Arial" w:hAnsi="Arial" w:cs="Arial"/>
          <w:sz w:val="24"/>
          <w:szCs w:val="24"/>
        </w:rPr>
        <w:t>ial</w:t>
      </w:r>
      <w:r w:rsidR="009A2AA7" w:rsidRPr="0042336E">
        <w:rPr>
          <w:rFonts w:ascii="Arial" w:hAnsi="Arial" w:cs="Arial"/>
          <w:sz w:val="24"/>
          <w:szCs w:val="24"/>
        </w:rPr>
        <w:t xml:space="preserve"> compliance, the non-compliance with the </w:t>
      </w:r>
      <w:r w:rsidR="00974FD1" w:rsidRPr="0042336E">
        <w:rPr>
          <w:rFonts w:ascii="Arial" w:hAnsi="Arial" w:cs="Arial"/>
          <w:sz w:val="24"/>
          <w:szCs w:val="24"/>
        </w:rPr>
        <w:t xml:space="preserve">Justices of the Peace </w:t>
      </w:r>
      <w:r w:rsidR="009A2AA7" w:rsidRPr="0042336E">
        <w:rPr>
          <w:rFonts w:ascii="Arial" w:hAnsi="Arial" w:cs="Arial"/>
          <w:sz w:val="24"/>
          <w:szCs w:val="24"/>
        </w:rPr>
        <w:t xml:space="preserve">Act should be </w:t>
      </w:r>
      <w:r w:rsidR="00974FD1" w:rsidRPr="0042336E">
        <w:rPr>
          <w:rFonts w:ascii="Arial" w:hAnsi="Arial" w:cs="Arial"/>
          <w:sz w:val="24"/>
          <w:szCs w:val="24"/>
        </w:rPr>
        <w:t>‘</w:t>
      </w:r>
      <w:r w:rsidR="009A2AA7" w:rsidRPr="0042336E">
        <w:rPr>
          <w:rFonts w:ascii="Arial" w:hAnsi="Arial" w:cs="Arial"/>
          <w:sz w:val="24"/>
          <w:szCs w:val="24"/>
        </w:rPr>
        <w:t>condoned.</w:t>
      </w:r>
      <w:r w:rsidR="0062490D" w:rsidRPr="0042336E">
        <w:rPr>
          <w:rFonts w:ascii="Arial" w:hAnsi="Arial" w:cs="Arial"/>
          <w:sz w:val="24"/>
          <w:szCs w:val="24"/>
        </w:rPr>
        <w:t>’</w:t>
      </w:r>
      <w:r w:rsidR="009A2AA7" w:rsidRPr="0042336E">
        <w:rPr>
          <w:rFonts w:ascii="Arial" w:hAnsi="Arial" w:cs="Arial"/>
          <w:sz w:val="24"/>
          <w:szCs w:val="24"/>
        </w:rPr>
        <w:t xml:space="preserve">  In </w:t>
      </w:r>
      <w:r w:rsidR="009A2AA7" w:rsidRPr="0042336E">
        <w:rPr>
          <w:rFonts w:ascii="Arial" w:hAnsi="Arial" w:cs="Arial"/>
          <w:i/>
          <w:iCs/>
          <w:sz w:val="24"/>
          <w:szCs w:val="24"/>
        </w:rPr>
        <w:t>Brieden</w:t>
      </w:r>
      <w:r w:rsidR="00E2709D" w:rsidRPr="0042336E">
        <w:rPr>
          <w:rFonts w:ascii="Arial" w:hAnsi="Arial" w:cs="Arial"/>
          <w:i/>
          <w:iCs/>
          <w:sz w:val="24"/>
          <w:szCs w:val="24"/>
        </w:rPr>
        <w:t>h</w:t>
      </w:r>
      <w:r w:rsidR="009A2AA7" w:rsidRPr="0042336E">
        <w:rPr>
          <w:rFonts w:ascii="Arial" w:hAnsi="Arial" w:cs="Arial"/>
          <w:i/>
          <w:iCs/>
          <w:sz w:val="24"/>
          <w:szCs w:val="24"/>
        </w:rPr>
        <w:t>ann</w:t>
      </w:r>
      <w:r w:rsidR="009A2AA7" w:rsidRPr="0042336E">
        <w:rPr>
          <w:rFonts w:ascii="Arial" w:hAnsi="Arial" w:cs="Arial"/>
          <w:sz w:val="24"/>
          <w:szCs w:val="24"/>
        </w:rPr>
        <w:t xml:space="preserve"> as well as the cases referred to therein, Goosen J made it abundantly clear </w:t>
      </w:r>
      <w:r w:rsidR="0062490D" w:rsidRPr="0042336E">
        <w:rPr>
          <w:rFonts w:ascii="Arial" w:hAnsi="Arial" w:cs="Arial"/>
          <w:sz w:val="24"/>
          <w:szCs w:val="24"/>
        </w:rPr>
        <w:t xml:space="preserve">that </w:t>
      </w:r>
      <w:r w:rsidR="008A6BB2" w:rsidRPr="0042336E">
        <w:rPr>
          <w:rFonts w:ascii="Arial" w:hAnsi="Arial" w:cs="Arial"/>
          <w:sz w:val="24"/>
          <w:szCs w:val="24"/>
        </w:rPr>
        <w:t xml:space="preserve">the exercise of the Court’s discretion in that matter was </w:t>
      </w:r>
      <w:r w:rsidR="009A2AA7" w:rsidRPr="0042336E">
        <w:rPr>
          <w:rFonts w:ascii="Arial" w:hAnsi="Arial" w:cs="Arial"/>
          <w:sz w:val="24"/>
          <w:szCs w:val="24"/>
        </w:rPr>
        <w:t xml:space="preserve">based on the relevant factual matrix presented to him by the </w:t>
      </w:r>
      <w:r w:rsidR="00C04991" w:rsidRPr="0042336E">
        <w:rPr>
          <w:rFonts w:ascii="Arial" w:hAnsi="Arial" w:cs="Arial"/>
          <w:sz w:val="24"/>
          <w:szCs w:val="24"/>
        </w:rPr>
        <w:t>Applicant</w:t>
      </w:r>
      <w:r w:rsidR="009A2AA7" w:rsidRPr="0042336E">
        <w:rPr>
          <w:rFonts w:ascii="Arial" w:hAnsi="Arial" w:cs="Arial"/>
          <w:sz w:val="24"/>
          <w:szCs w:val="24"/>
        </w:rPr>
        <w:t xml:space="preserve"> </w:t>
      </w:r>
      <w:r w:rsidR="00F775BE" w:rsidRPr="0042336E">
        <w:rPr>
          <w:rFonts w:ascii="Arial" w:hAnsi="Arial" w:cs="Arial"/>
          <w:sz w:val="24"/>
          <w:szCs w:val="24"/>
        </w:rPr>
        <w:t>as</w:t>
      </w:r>
      <w:r w:rsidR="009A2AA7" w:rsidRPr="0042336E">
        <w:rPr>
          <w:rFonts w:ascii="Arial" w:hAnsi="Arial" w:cs="Arial"/>
          <w:sz w:val="24"/>
          <w:szCs w:val="24"/>
        </w:rPr>
        <w:t xml:space="preserve"> explanation </w:t>
      </w:r>
      <w:r w:rsidR="00F775BE" w:rsidRPr="0042336E">
        <w:rPr>
          <w:rFonts w:ascii="Arial" w:hAnsi="Arial" w:cs="Arial"/>
          <w:sz w:val="24"/>
          <w:szCs w:val="24"/>
        </w:rPr>
        <w:t xml:space="preserve">for </w:t>
      </w:r>
      <w:r w:rsidR="009A2AA7" w:rsidRPr="0042336E">
        <w:rPr>
          <w:rFonts w:ascii="Arial" w:hAnsi="Arial" w:cs="Arial"/>
          <w:sz w:val="24"/>
          <w:szCs w:val="24"/>
        </w:rPr>
        <w:t>the non-compliance</w:t>
      </w:r>
      <w:r w:rsidR="00F775BE" w:rsidRPr="0042336E">
        <w:rPr>
          <w:rFonts w:ascii="Arial" w:hAnsi="Arial" w:cs="Arial"/>
          <w:sz w:val="24"/>
          <w:szCs w:val="24"/>
        </w:rPr>
        <w:t>:</w:t>
      </w:r>
      <w:r w:rsidR="00E2709D" w:rsidRPr="0042336E">
        <w:rPr>
          <w:rFonts w:ascii="Arial" w:hAnsi="Arial" w:cs="Arial"/>
          <w:sz w:val="24"/>
          <w:szCs w:val="24"/>
        </w:rPr>
        <w:t xml:space="preserve"> </w:t>
      </w:r>
    </w:p>
    <w:p w14:paraId="555F0CF9" w14:textId="53344AD1" w:rsidR="00790619" w:rsidRPr="00150C83" w:rsidRDefault="00E2709D" w:rsidP="00EE15EF">
      <w:pPr>
        <w:pStyle w:val="ListParagraph"/>
        <w:tabs>
          <w:tab w:val="right" w:pos="8208"/>
        </w:tabs>
        <w:spacing w:before="60" w:afterLines="60" w:after="144" w:line="360" w:lineRule="auto"/>
        <w:ind w:left="425"/>
        <w:jc w:val="both"/>
        <w:rPr>
          <w:rFonts w:ascii="Arial" w:hAnsi="Arial" w:cs="Arial"/>
          <w:i/>
          <w:iCs/>
          <w:sz w:val="24"/>
          <w:szCs w:val="24"/>
        </w:rPr>
      </w:pPr>
      <w:r>
        <w:rPr>
          <w:rFonts w:ascii="Arial" w:hAnsi="Arial" w:cs="Arial"/>
          <w:i/>
          <w:iCs/>
          <w:sz w:val="24"/>
          <w:szCs w:val="24"/>
        </w:rPr>
        <w:t>“</w:t>
      </w:r>
      <w:r w:rsidRPr="00E2709D">
        <w:rPr>
          <w:rFonts w:ascii="Arial" w:hAnsi="Arial" w:cs="Arial"/>
          <w:i/>
          <w:iCs/>
          <w:sz w:val="24"/>
          <w:szCs w:val="24"/>
        </w:rPr>
        <w:t>[52] In the Knuttel case the need to protect persons from infection with Covid 19 precluded the appearance of the deponent before the commissioner. In the Munn, Sopete and Mtembu matters, all of which involved criminal prosecutions, the non-compliance was inadvertent and related to form. That was also the case in the other instances I have highlighted. When a court is asked to exercise its discretion to condone non-compliance, the reasons advanced for such non-compliance are plainly relevant. I doubt that a court would readily accept that an affidavit substantially complies with regulated formalities in circumstances where the non-compliance is as a result of a deliberate choice. In my view, to do so would countenance a situation of self-help.”</w:t>
      </w:r>
    </w:p>
    <w:p w14:paraId="57C8C0D8" w14:textId="7537D090" w:rsidR="00150C83" w:rsidRPr="0042336E" w:rsidRDefault="0042336E" w:rsidP="0042336E">
      <w:pPr>
        <w:tabs>
          <w:tab w:val="right" w:pos="8208"/>
        </w:tabs>
        <w:spacing w:before="240" w:afterLines="60" w:after="144" w:line="480" w:lineRule="auto"/>
        <w:ind w:left="425" w:hanging="425"/>
        <w:jc w:val="both"/>
        <w:rPr>
          <w:rFonts w:ascii="Arial" w:hAnsi="Arial" w:cs="Arial"/>
          <w:sz w:val="24"/>
          <w:szCs w:val="24"/>
        </w:rPr>
      </w:pPr>
      <w:r>
        <w:rPr>
          <w:rFonts w:ascii="Arial" w:hAnsi="Arial" w:cs="Arial"/>
          <w:sz w:val="24"/>
          <w:szCs w:val="24"/>
        </w:rPr>
        <w:t>9.</w:t>
      </w:r>
      <w:r>
        <w:rPr>
          <w:rFonts w:ascii="Arial" w:hAnsi="Arial" w:cs="Arial"/>
          <w:sz w:val="24"/>
          <w:szCs w:val="24"/>
        </w:rPr>
        <w:tab/>
      </w:r>
      <w:r w:rsidR="00D255E8" w:rsidRPr="0042336E">
        <w:rPr>
          <w:rFonts w:ascii="Arial" w:hAnsi="Arial" w:cs="Arial"/>
          <w:sz w:val="24"/>
          <w:szCs w:val="24"/>
        </w:rPr>
        <w:t xml:space="preserve">Since the decision in </w:t>
      </w:r>
      <w:r w:rsidR="00D255E8" w:rsidRPr="0042336E">
        <w:rPr>
          <w:rFonts w:ascii="Arial" w:hAnsi="Arial" w:cs="Arial"/>
          <w:i/>
          <w:iCs/>
          <w:sz w:val="24"/>
          <w:szCs w:val="24"/>
        </w:rPr>
        <w:t>Briedenhann,</w:t>
      </w:r>
      <w:r w:rsidR="00D255E8" w:rsidRPr="0042336E">
        <w:rPr>
          <w:rFonts w:ascii="Arial" w:hAnsi="Arial" w:cs="Arial"/>
          <w:sz w:val="24"/>
          <w:szCs w:val="24"/>
        </w:rPr>
        <w:t xml:space="preserve"> </w:t>
      </w:r>
      <w:r w:rsidR="00A209B3" w:rsidRPr="0042336E">
        <w:rPr>
          <w:rFonts w:ascii="Arial" w:hAnsi="Arial" w:cs="Arial"/>
          <w:sz w:val="24"/>
          <w:szCs w:val="24"/>
        </w:rPr>
        <w:t xml:space="preserve">it has almost become par for the course in the motion courts </w:t>
      </w:r>
      <w:r w:rsidR="00B2037A" w:rsidRPr="0042336E">
        <w:rPr>
          <w:rFonts w:ascii="Arial" w:hAnsi="Arial" w:cs="Arial"/>
          <w:sz w:val="24"/>
          <w:szCs w:val="24"/>
        </w:rPr>
        <w:t>(</w:t>
      </w:r>
      <w:r w:rsidR="00A209B3" w:rsidRPr="0042336E">
        <w:rPr>
          <w:rFonts w:ascii="Arial" w:hAnsi="Arial" w:cs="Arial"/>
          <w:sz w:val="24"/>
          <w:szCs w:val="24"/>
        </w:rPr>
        <w:t>of this division</w:t>
      </w:r>
      <w:r w:rsidR="00B2037A" w:rsidRPr="0042336E">
        <w:rPr>
          <w:rFonts w:ascii="Arial" w:hAnsi="Arial" w:cs="Arial"/>
          <w:sz w:val="24"/>
          <w:szCs w:val="24"/>
        </w:rPr>
        <w:t>, at least)</w:t>
      </w:r>
      <w:r w:rsidR="00A209B3" w:rsidRPr="0042336E">
        <w:rPr>
          <w:rFonts w:ascii="Arial" w:hAnsi="Arial" w:cs="Arial"/>
          <w:sz w:val="24"/>
          <w:szCs w:val="24"/>
        </w:rPr>
        <w:t xml:space="preserve"> for large institutional litigants (such as banks), to </w:t>
      </w:r>
      <w:r w:rsidR="001E2961" w:rsidRPr="0042336E">
        <w:rPr>
          <w:rFonts w:ascii="Arial" w:hAnsi="Arial" w:cs="Arial"/>
          <w:sz w:val="24"/>
          <w:szCs w:val="24"/>
        </w:rPr>
        <w:t xml:space="preserve">depose to </w:t>
      </w:r>
      <w:r w:rsidR="009650E1" w:rsidRPr="0042336E">
        <w:rPr>
          <w:rFonts w:ascii="Arial" w:hAnsi="Arial" w:cs="Arial"/>
          <w:sz w:val="24"/>
          <w:szCs w:val="24"/>
        </w:rPr>
        <w:t>affidavits</w:t>
      </w:r>
      <w:r w:rsidR="006D1118" w:rsidRPr="0042336E">
        <w:rPr>
          <w:rFonts w:ascii="Arial" w:hAnsi="Arial" w:cs="Arial"/>
          <w:sz w:val="24"/>
          <w:szCs w:val="24"/>
        </w:rPr>
        <w:t xml:space="preserve"> in support of summary judgment </w:t>
      </w:r>
      <w:r w:rsidR="001E2961" w:rsidRPr="0042336E">
        <w:rPr>
          <w:rFonts w:ascii="Arial" w:hAnsi="Arial" w:cs="Arial"/>
          <w:sz w:val="24"/>
          <w:szCs w:val="24"/>
        </w:rPr>
        <w:t xml:space="preserve">virtually and then, on the strength of </w:t>
      </w:r>
      <w:r w:rsidR="001E2961" w:rsidRPr="0042336E">
        <w:rPr>
          <w:rFonts w:ascii="Arial" w:hAnsi="Arial" w:cs="Arial"/>
          <w:i/>
          <w:iCs/>
          <w:sz w:val="24"/>
          <w:szCs w:val="24"/>
        </w:rPr>
        <w:t>Briedenhann</w:t>
      </w:r>
      <w:r w:rsidR="001E2961" w:rsidRPr="0042336E">
        <w:rPr>
          <w:rFonts w:ascii="Arial" w:hAnsi="Arial" w:cs="Arial"/>
          <w:sz w:val="24"/>
          <w:szCs w:val="24"/>
        </w:rPr>
        <w:t xml:space="preserve">, to simply ask for condonation at the hearing of the application. </w:t>
      </w:r>
      <w:r w:rsidR="00A75B4E" w:rsidRPr="0042336E">
        <w:rPr>
          <w:rFonts w:ascii="Arial" w:hAnsi="Arial" w:cs="Arial"/>
          <w:sz w:val="24"/>
          <w:szCs w:val="24"/>
        </w:rPr>
        <w:t xml:space="preserve">However, contrary to the widely held opinion </w:t>
      </w:r>
      <w:r w:rsidR="00A74247" w:rsidRPr="0042336E">
        <w:rPr>
          <w:rFonts w:ascii="Arial" w:hAnsi="Arial" w:cs="Arial"/>
          <w:sz w:val="24"/>
          <w:szCs w:val="24"/>
        </w:rPr>
        <w:t xml:space="preserve">that substantial compliance </w:t>
      </w:r>
      <w:r w:rsidR="000C107D" w:rsidRPr="0042336E">
        <w:rPr>
          <w:rFonts w:ascii="Arial" w:hAnsi="Arial" w:cs="Arial"/>
          <w:sz w:val="24"/>
          <w:szCs w:val="24"/>
        </w:rPr>
        <w:t xml:space="preserve">trumps form, </w:t>
      </w:r>
      <w:r w:rsidR="003B7D1C" w:rsidRPr="0042336E">
        <w:rPr>
          <w:rFonts w:ascii="Arial" w:hAnsi="Arial" w:cs="Arial"/>
          <w:sz w:val="24"/>
          <w:szCs w:val="24"/>
        </w:rPr>
        <w:t xml:space="preserve">in </w:t>
      </w:r>
      <w:r w:rsidR="003B7D1C" w:rsidRPr="0042336E">
        <w:rPr>
          <w:rFonts w:ascii="Arial" w:hAnsi="Arial" w:cs="Arial"/>
          <w:i/>
          <w:iCs/>
          <w:sz w:val="24"/>
          <w:szCs w:val="24"/>
        </w:rPr>
        <w:t>Briedenhann,</w:t>
      </w:r>
      <w:r w:rsidR="003B7D1C" w:rsidRPr="0042336E">
        <w:rPr>
          <w:rFonts w:ascii="Arial" w:hAnsi="Arial" w:cs="Arial"/>
          <w:sz w:val="24"/>
          <w:szCs w:val="24"/>
        </w:rPr>
        <w:t xml:space="preserve"> the exact opposite was stated:</w:t>
      </w:r>
    </w:p>
    <w:p w14:paraId="3C188DA5" w14:textId="5B6E1347" w:rsidR="004D3DD3" w:rsidRPr="00415959" w:rsidRDefault="003B7D1C" w:rsidP="00EE15EF">
      <w:pPr>
        <w:pStyle w:val="ListParagraph"/>
        <w:tabs>
          <w:tab w:val="right" w:pos="8208"/>
        </w:tabs>
        <w:spacing w:before="60" w:afterLines="60" w:after="144" w:line="360" w:lineRule="auto"/>
        <w:ind w:left="425"/>
        <w:jc w:val="both"/>
        <w:rPr>
          <w:rFonts w:ascii="Arial" w:hAnsi="Arial" w:cs="Arial"/>
          <w:sz w:val="24"/>
          <w:szCs w:val="24"/>
        </w:rPr>
      </w:pPr>
      <w:r w:rsidRPr="003B7D1C">
        <w:rPr>
          <w:rFonts w:ascii="Arial" w:hAnsi="Arial" w:cs="Arial"/>
          <w:i/>
          <w:iCs/>
          <w:sz w:val="24"/>
          <w:szCs w:val="24"/>
        </w:rPr>
        <w:t xml:space="preserve">“[51] The advantages of the system used by the plaintiff are, however, </w:t>
      </w:r>
      <w:r w:rsidRPr="003B7D1C">
        <w:rPr>
          <w:rFonts w:ascii="Arial" w:hAnsi="Arial" w:cs="Arial"/>
          <w:i/>
          <w:iCs/>
          <w:sz w:val="24"/>
          <w:szCs w:val="24"/>
          <w:u w:val="single"/>
        </w:rPr>
        <w:t>not a basis upon which an existing Regulation may be ignored</w:t>
      </w:r>
      <w:r w:rsidRPr="003B7D1C">
        <w:rPr>
          <w:rFonts w:ascii="Arial" w:hAnsi="Arial" w:cs="Arial"/>
          <w:i/>
          <w:iCs/>
          <w:sz w:val="24"/>
          <w:szCs w:val="24"/>
        </w:rPr>
        <w:t xml:space="preserve">. It is, in my view, not open to a person to elect to follow </w:t>
      </w:r>
      <w:r w:rsidRPr="003B7D1C">
        <w:rPr>
          <w:rFonts w:ascii="Arial" w:hAnsi="Arial" w:cs="Arial"/>
          <w:i/>
          <w:iCs/>
          <w:sz w:val="24"/>
          <w:szCs w:val="24"/>
        </w:rPr>
        <w:lastRenderedPageBreak/>
        <w:t xml:space="preserve">a different mode of oath administration to that which is statutorily regulated. That is true even if in doing so every effort is made to substantially comply. The regulations stipulate that the declaration is to be signed in the presence of the commissioner. Unless that cannot be achieved, the Regulations must be followed. </w:t>
      </w:r>
      <w:r w:rsidRPr="00415959">
        <w:rPr>
          <w:rFonts w:ascii="Arial" w:hAnsi="Arial" w:cs="Arial"/>
          <w:i/>
          <w:iCs/>
          <w:sz w:val="24"/>
          <w:szCs w:val="24"/>
          <w:u w:val="single"/>
        </w:rPr>
        <w:t>The fact that the Regulation is directory does not mean that a party can set out to achieve substantial compliance with such regulation rather than to comply with its requirements.</w:t>
      </w:r>
      <w:r w:rsidRPr="003B7D1C">
        <w:rPr>
          <w:rFonts w:ascii="Arial" w:hAnsi="Arial" w:cs="Arial"/>
          <w:i/>
          <w:iCs/>
          <w:sz w:val="24"/>
          <w:szCs w:val="24"/>
        </w:rPr>
        <w:t>”</w:t>
      </w:r>
      <w:r w:rsidR="00415959">
        <w:rPr>
          <w:rFonts w:ascii="Arial" w:hAnsi="Arial" w:cs="Arial"/>
          <w:i/>
          <w:iCs/>
          <w:sz w:val="24"/>
          <w:szCs w:val="24"/>
        </w:rPr>
        <w:t xml:space="preserve"> </w:t>
      </w:r>
      <w:r w:rsidR="00415959">
        <w:rPr>
          <w:rFonts w:ascii="Arial" w:hAnsi="Arial" w:cs="Arial"/>
          <w:sz w:val="24"/>
          <w:szCs w:val="24"/>
        </w:rPr>
        <w:t>[Underlining my own]</w:t>
      </w:r>
    </w:p>
    <w:p w14:paraId="2B2F4E23" w14:textId="26476C7A" w:rsidR="00EF43E0" w:rsidRPr="0042336E" w:rsidRDefault="0042336E" w:rsidP="0042336E">
      <w:pPr>
        <w:tabs>
          <w:tab w:val="right" w:pos="8208"/>
        </w:tabs>
        <w:spacing w:before="360" w:afterLines="60" w:after="144" w:line="480" w:lineRule="auto"/>
        <w:ind w:left="425" w:hanging="425"/>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216E7" w:rsidRPr="0042336E">
        <w:rPr>
          <w:rFonts w:ascii="Arial" w:hAnsi="Arial" w:cs="Arial"/>
          <w:sz w:val="24"/>
          <w:szCs w:val="24"/>
        </w:rPr>
        <w:t xml:space="preserve">Whilst it might be so that the Applicant would have deposed to the exact same affidavit and have placed the same facts before this Court </w:t>
      </w:r>
      <w:r w:rsidR="0084520E" w:rsidRPr="0042336E">
        <w:rPr>
          <w:rFonts w:ascii="Arial" w:hAnsi="Arial" w:cs="Arial"/>
          <w:sz w:val="24"/>
          <w:szCs w:val="24"/>
        </w:rPr>
        <w:t>(</w:t>
      </w:r>
      <w:r w:rsidR="004216E7" w:rsidRPr="0042336E">
        <w:rPr>
          <w:rFonts w:ascii="Arial" w:hAnsi="Arial" w:cs="Arial"/>
          <w:sz w:val="24"/>
          <w:szCs w:val="24"/>
        </w:rPr>
        <w:t>regardless of the method of commissioning</w:t>
      </w:r>
      <w:r w:rsidR="0084520E" w:rsidRPr="0042336E">
        <w:rPr>
          <w:rFonts w:ascii="Arial" w:hAnsi="Arial" w:cs="Arial"/>
          <w:sz w:val="24"/>
          <w:szCs w:val="24"/>
        </w:rPr>
        <w:t>) and w</w:t>
      </w:r>
      <w:r w:rsidR="006F563A" w:rsidRPr="0042336E">
        <w:rPr>
          <w:rFonts w:ascii="Arial" w:hAnsi="Arial" w:cs="Arial"/>
          <w:sz w:val="24"/>
          <w:szCs w:val="24"/>
        </w:rPr>
        <w:t>hilst it may</w:t>
      </w:r>
      <w:r w:rsidR="0084520E" w:rsidRPr="0042336E">
        <w:rPr>
          <w:rFonts w:ascii="Arial" w:hAnsi="Arial" w:cs="Arial"/>
          <w:sz w:val="24"/>
          <w:szCs w:val="24"/>
        </w:rPr>
        <w:t xml:space="preserve"> equally</w:t>
      </w:r>
      <w:r w:rsidR="006F563A" w:rsidRPr="0042336E">
        <w:rPr>
          <w:rFonts w:ascii="Arial" w:hAnsi="Arial" w:cs="Arial"/>
          <w:sz w:val="24"/>
          <w:szCs w:val="24"/>
        </w:rPr>
        <w:t xml:space="preserve"> be so that</w:t>
      </w:r>
      <w:r w:rsidR="00554438" w:rsidRPr="0042336E">
        <w:rPr>
          <w:rFonts w:ascii="Arial" w:hAnsi="Arial" w:cs="Arial"/>
          <w:sz w:val="24"/>
          <w:szCs w:val="24"/>
        </w:rPr>
        <w:t xml:space="preserve"> remote commissioning would be more expedient</w:t>
      </w:r>
      <w:r w:rsidR="006F563A" w:rsidRPr="0042336E">
        <w:rPr>
          <w:rFonts w:ascii="Arial" w:hAnsi="Arial" w:cs="Arial"/>
          <w:sz w:val="24"/>
          <w:szCs w:val="24"/>
        </w:rPr>
        <w:t>, the</w:t>
      </w:r>
      <w:r w:rsidR="00973209" w:rsidRPr="0042336E">
        <w:rPr>
          <w:rFonts w:ascii="Arial" w:hAnsi="Arial" w:cs="Arial"/>
          <w:sz w:val="24"/>
          <w:szCs w:val="24"/>
        </w:rPr>
        <w:t xml:space="preserve"> simple</w:t>
      </w:r>
      <w:r w:rsidR="006F563A" w:rsidRPr="0042336E">
        <w:rPr>
          <w:rFonts w:ascii="Arial" w:hAnsi="Arial" w:cs="Arial"/>
          <w:sz w:val="24"/>
          <w:szCs w:val="24"/>
        </w:rPr>
        <w:t xml:space="preserve"> fact of the matter is that</w:t>
      </w:r>
      <w:r w:rsidR="007329F1" w:rsidRPr="0042336E">
        <w:rPr>
          <w:rFonts w:ascii="Arial" w:hAnsi="Arial" w:cs="Arial"/>
          <w:sz w:val="24"/>
          <w:szCs w:val="24"/>
        </w:rPr>
        <w:t>,</w:t>
      </w:r>
      <w:r w:rsidR="006F563A" w:rsidRPr="0042336E">
        <w:rPr>
          <w:rFonts w:ascii="Arial" w:hAnsi="Arial" w:cs="Arial"/>
          <w:sz w:val="24"/>
          <w:szCs w:val="24"/>
        </w:rPr>
        <w:t xml:space="preserve"> since </w:t>
      </w:r>
      <w:r w:rsidR="00186B07" w:rsidRPr="0042336E">
        <w:rPr>
          <w:rFonts w:ascii="Arial" w:hAnsi="Arial" w:cs="Arial"/>
          <w:i/>
          <w:iCs/>
          <w:sz w:val="24"/>
          <w:szCs w:val="24"/>
        </w:rPr>
        <w:t>Briedenhan</w:t>
      </w:r>
      <w:r w:rsidR="006F563A" w:rsidRPr="0042336E">
        <w:rPr>
          <w:rFonts w:ascii="Arial" w:hAnsi="Arial" w:cs="Arial"/>
          <w:i/>
          <w:iCs/>
          <w:sz w:val="24"/>
          <w:szCs w:val="24"/>
        </w:rPr>
        <w:t>n</w:t>
      </w:r>
      <w:r w:rsidR="007329F1" w:rsidRPr="0042336E">
        <w:rPr>
          <w:rFonts w:ascii="Arial" w:hAnsi="Arial" w:cs="Arial"/>
          <w:sz w:val="24"/>
          <w:szCs w:val="24"/>
        </w:rPr>
        <w:t>,</w:t>
      </w:r>
      <w:r w:rsidR="00A552D7" w:rsidRPr="0042336E">
        <w:rPr>
          <w:rFonts w:ascii="Arial" w:hAnsi="Arial" w:cs="Arial"/>
          <w:sz w:val="24"/>
          <w:szCs w:val="24"/>
        </w:rPr>
        <w:t xml:space="preserve"> no legislative changes have been made to the Justices of the Peace Act or the Regulations</w:t>
      </w:r>
      <w:r w:rsidR="006F563A" w:rsidRPr="0042336E">
        <w:rPr>
          <w:rFonts w:ascii="Arial" w:hAnsi="Arial" w:cs="Arial"/>
          <w:sz w:val="24"/>
          <w:szCs w:val="24"/>
        </w:rPr>
        <w:t xml:space="preserve">.  </w:t>
      </w:r>
    </w:p>
    <w:p w14:paraId="35AAA9E5" w14:textId="766559B1" w:rsidR="007E508F"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F43E0" w:rsidRPr="0042336E">
        <w:rPr>
          <w:rFonts w:ascii="Arial" w:hAnsi="Arial" w:cs="Arial"/>
          <w:sz w:val="24"/>
          <w:szCs w:val="24"/>
        </w:rPr>
        <w:t>One of the major legal advancements</w:t>
      </w:r>
      <w:r w:rsidR="00F7434B" w:rsidRPr="0042336E">
        <w:rPr>
          <w:rFonts w:ascii="Arial" w:hAnsi="Arial" w:cs="Arial"/>
          <w:sz w:val="24"/>
          <w:szCs w:val="24"/>
        </w:rPr>
        <w:t>,</w:t>
      </w:r>
      <w:r w:rsidR="00EF43E0" w:rsidRPr="0042336E">
        <w:rPr>
          <w:rFonts w:ascii="Arial" w:hAnsi="Arial" w:cs="Arial"/>
          <w:sz w:val="24"/>
          <w:szCs w:val="24"/>
        </w:rPr>
        <w:t xml:space="preserve"> since 1963, was the crystallisation of the doctrine of separation of powers in the Constitution. </w:t>
      </w:r>
      <w:r w:rsidR="007C1BE5" w:rsidRPr="0042336E">
        <w:rPr>
          <w:rFonts w:ascii="Arial" w:hAnsi="Arial" w:cs="Arial"/>
          <w:sz w:val="24"/>
          <w:szCs w:val="24"/>
        </w:rPr>
        <w:t xml:space="preserve">Incumbent to the doctrine is that </w:t>
      </w:r>
      <w:r w:rsidR="00431311" w:rsidRPr="0042336E">
        <w:rPr>
          <w:rFonts w:ascii="Arial" w:hAnsi="Arial" w:cs="Arial"/>
          <w:sz w:val="24"/>
          <w:szCs w:val="24"/>
        </w:rPr>
        <w:t>the Judicial branch should not, under the guise of a general discretion or</w:t>
      </w:r>
      <w:r w:rsidR="00A24DF7" w:rsidRPr="0042336E">
        <w:rPr>
          <w:rFonts w:ascii="Arial" w:hAnsi="Arial" w:cs="Arial"/>
          <w:sz w:val="24"/>
          <w:szCs w:val="24"/>
        </w:rPr>
        <w:t xml:space="preserve"> in</w:t>
      </w:r>
      <w:r w:rsidR="00431311" w:rsidRPr="0042336E">
        <w:rPr>
          <w:rFonts w:ascii="Arial" w:hAnsi="Arial" w:cs="Arial"/>
          <w:sz w:val="24"/>
          <w:szCs w:val="24"/>
        </w:rPr>
        <w:t xml:space="preserve"> the interest of justice, circumvent the authority of the legislature by </w:t>
      </w:r>
      <w:r w:rsidR="00240E3D" w:rsidRPr="0042336E">
        <w:rPr>
          <w:rFonts w:ascii="Arial" w:hAnsi="Arial" w:cs="Arial"/>
          <w:sz w:val="24"/>
          <w:szCs w:val="24"/>
        </w:rPr>
        <w:t>condoning non-compliance with laws or regulations</w:t>
      </w:r>
      <w:r w:rsidR="00632AE1" w:rsidRPr="0042336E">
        <w:rPr>
          <w:rFonts w:ascii="Arial" w:hAnsi="Arial" w:cs="Arial"/>
          <w:sz w:val="24"/>
          <w:szCs w:val="24"/>
        </w:rPr>
        <w:t xml:space="preserve"> simply because said law or regulation may be considered archaic</w:t>
      </w:r>
      <w:r w:rsidR="006D00C9" w:rsidRPr="0042336E">
        <w:rPr>
          <w:rFonts w:ascii="Arial" w:hAnsi="Arial" w:cs="Arial"/>
          <w:sz w:val="24"/>
          <w:szCs w:val="24"/>
        </w:rPr>
        <w:t xml:space="preserve"> or outdated</w:t>
      </w:r>
      <w:r w:rsidR="00240E3D" w:rsidRPr="0042336E">
        <w:rPr>
          <w:rFonts w:ascii="Arial" w:hAnsi="Arial" w:cs="Arial"/>
          <w:sz w:val="24"/>
          <w:szCs w:val="24"/>
        </w:rPr>
        <w:t xml:space="preserve">.  </w:t>
      </w:r>
    </w:p>
    <w:p w14:paraId="21948DD2" w14:textId="23F166F5" w:rsidR="006F563A"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sidRPr="007E508F">
        <w:rPr>
          <w:rFonts w:ascii="Arial" w:hAnsi="Arial" w:cs="Arial"/>
          <w:sz w:val="24"/>
          <w:szCs w:val="24"/>
        </w:rPr>
        <w:t>12.</w:t>
      </w:r>
      <w:r w:rsidRPr="007E508F">
        <w:rPr>
          <w:rFonts w:ascii="Arial" w:hAnsi="Arial" w:cs="Arial"/>
          <w:sz w:val="24"/>
          <w:szCs w:val="24"/>
        </w:rPr>
        <w:tab/>
      </w:r>
      <w:r w:rsidR="006F563A" w:rsidRPr="0042336E">
        <w:rPr>
          <w:rFonts w:ascii="Arial" w:hAnsi="Arial" w:cs="Arial"/>
          <w:sz w:val="24"/>
          <w:szCs w:val="24"/>
        </w:rPr>
        <w:t>Simply put, discretions need to be exercised judicially.  If there are no facts placed before a Court</w:t>
      </w:r>
      <w:r w:rsidR="00DB0457" w:rsidRPr="0042336E">
        <w:rPr>
          <w:rFonts w:ascii="Arial" w:hAnsi="Arial" w:cs="Arial"/>
          <w:sz w:val="24"/>
          <w:szCs w:val="24"/>
        </w:rPr>
        <w:t xml:space="preserve"> upon which to exercise its discretion, </w:t>
      </w:r>
      <w:r w:rsidR="00414E09" w:rsidRPr="0042336E">
        <w:rPr>
          <w:rFonts w:ascii="Arial" w:hAnsi="Arial" w:cs="Arial"/>
          <w:sz w:val="24"/>
          <w:szCs w:val="24"/>
        </w:rPr>
        <w:t>it cannot</w:t>
      </w:r>
      <w:r w:rsidR="00A60581" w:rsidRPr="0042336E">
        <w:rPr>
          <w:rFonts w:ascii="Arial" w:hAnsi="Arial" w:cs="Arial"/>
          <w:sz w:val="24"/>
          <w:szCs w:val="24"/>
        </w:rPr>
        <w:t xml:space="preserve"> make a generalised finding on the </w:t>
      </w:r>
      <w:r w:rsidR="006F563A" w:rsidRPr="0042336E">
        <w:rPr>
          <w:rFonts w:ascii="Arial" w:hAnsi="Arial" w:cs="Arial"/>
          <w:sz w:val="24"/>
          <w:szCs w:val="24"/>
        </w:rPr>
        <w:t>commonly held views of litigants</w:t>
      </w:r>
      <w:r w:rsidR="00087175" w:rsidRPr="0042336E">
        <w:rPr>
          <w:rFonts w:ascii="Arial" w:hAnsi="Arial" w:cs="Arial"/>
          <w:sz w:val="24"/>
          <w:szCs w:val="24"/>
        </w:rPr>
        <w:t xml:space="preserve"> (or even the Court</w:t>
      </w:r>
      <w:r w:rsidR="00A60581" w:rsidRPr="0042336E">
        <w:rPr>
          <w:rFonts w:ascii="Arial" w:hAnsi="Arial" w:cs="Arial"/>
          <w:sz w:val="24"/>
          <w:szCs w:val="24"/>
        </w:rPr>
        <w:t xml:space="preserve"> itself</w:t>
      </w:r>
      <w:r w:rsidR="00087175" w:rsidRPr="0042336E">
        <w:rPr>
          <w:rFonts w:ascii="Arial" w:hAnsi="Arial" w:cs="Arial"/>
          <w:sz w:val="24"/>
          <w:szCs w:val="24"/>
        </w:rPr>
        <w:t>)</w:t>
      </w:r>
      <w:r w:rsidR="006F563A" w:rsidRPr="0042336E">
        <w:rPr>
          <w:rFonts w:ascii="Arial" w:hAnsi="Arial" w:cs="Arial"/>
          <w:sz w:val="24"/>
          <w:szCs w:val="24"/>
        </w:rPr>
        <w:t xml:space="preserve"> as to what is expedient</w:t>
      </w:r>
      <w:r w:rsidR="00087175" w:rsidRPr="0042336E">
        <w:rPr>
          <w:rFonts w:ascii="Arial" w:hAnsi="Arial" w:cs="Arial"/>
          <w:sz w:val="24"/>
          <w:szCs w:val="24"/>
        </w:rPr>
        <w:t xml:space="preserve"> and in keeping with the latest technological advancements</w:t>
      </w:r>
      <w:r w:rsidR="006F563A" w:rsidRPr="0042336E">
        <w:rPr>
          <w:rFonts w:ascii="Arial" w:hAnsi="Arial" w:cs="Arial"/>
          <w:sz w:val="24"/>
          <w:szCs w:val="24"/>
        </w:rPr>
        <w:t>.</w:t>
      </w:r>
      <w:r w:rsidR="00A60581" w:rsidRPr="0042336E">
        <w:rPr>
          <w:rFonts w:ascii="Arial" w:hAnsi="Arial" w:cs="Arial"/>
          <w:sz w:val="24"/>
          <w:szCs w:val="24"/>
        </w:rPr>
        <w:t xml:space="preserve"> </w:t>
      </w:r>
      <w:r w:rsidR="006F563A" w:rsidRPr="0042336E">
        <w:rPr>
          <w:rFonts w:ascii="Arial" w:hAnsi="Arial" w:cs="Arial"/>
          <w:sz w:val="24"/>
          <w:szCs w:val="24"/>
        </w:rPr>
        <w:t xml:space="preserve"> </w:t>
      </w:r>
    </w:p>
    <w:p w14:paraId="03491220" w14:textId="44ACD6CE" w:rsidR="002C3BCE"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C3BCE" w:rsidRPr="0042336E">
        <w:rPr>
          <w:rFonts w:ascii="Arial" w:hAnsi="Arial" w:cs="Arial"/>
          <w:sz w:val="24"/>
          <w:szCs w:val="24"/>
        </w:rPr>
        <w:t>Under the circumstances</w:t>
      </w:r>
      <w:r w:rsidR="00BB06E5" w:rsidRPr="0042336E">
        <w:rPr>
          <w:rFonts w:ascii="Arial" w:hAnsi="Arial" w:cs="Arial"/>
          <w:sz w:val="24"/>
          <w:szCs w:val="24"/>
        </w:rPr>
        <w:t>,</w:t>
      </w:r>
      <w:r w:rsidR="002C3BCE" w:rsidRPr="0042336E">
        <w:rPr>
          <w:rFonts w:ascii="Arial" w:hAnsi="Arial" w:cs="Arial"/>
          <w:sz w:val="24"/>
          <w:szCs w:val="24"/>
        </w:rPr>
        <w:t xml:space="preserve"> for a Court to </w:t>
      </w:r>
      <w:r w:rsidR="00D716EB" w:rsidRPr="0042336E">
        <w:rPr>
          <w:rFonts w:ascii="Arial" w:hAnsi="Arial" w:cs="Arial"/>
          <w:sz w:val="24"/>
          <w:szCs w:val="24"/>
        </w:rPr>
        <w:t xml:space="preserve">exercise its discretion in favour of </w:t>
      </w:r>
      <w:r w:rsidR="00042FAD" w:rsidRPr="0042336E">
        <w:rPr>
          <w:rFonts w:ascii="Arial" w:hAnsi="Arial" w:cs="Arial"/>
          <w:sz w:val="24"/>
          <w:szCs w:val="24"/>
        </w:rPr>
        <w:t xml:space="preserve">Applicants </w:t>
      </w:r>
      <w:r w:rsidR="002C3BCE" w:rsidRPr="0042336E">
        <w:rPr>
          <w:rFonts w:ascii="Arial" w:hAnsi="Arial" w:cs="Arial"/>
          <w:sz w:val="24"/>
          <w:szCs w:val="24"/>
        </w:rPr>
        <w:t>in each instance where virtual commissioning is used</w:t>
      </w:r>
      <w:r w:rsidR="00830B45" w:rsidRPr="0042336E">
        <w:rPr>
          <w:rFonts w:ascii="Arial" w:hAnsi="Arial" w:cs="Arial"/>
          <w:sz w:val="24"/>
          <w:szCs w:val="24"/>
        </w:rPr>
        <w:t>,</w:t>
      </w:r>
      <w:r w:rsidR="002C3BCE" w:rsidRPr="0042336E">
        <w:rPr>
          <w:rFonts w:ascii="Arial" w:hAnsi="Arial" w:cs="Arial"/>
          <w:sz w:val="24"/>
          <w:szCs w:val="24"/>
        </w:rPr>
        <w:t xml:space="preserve"> regardless of a proper explanation for such non-compliance, would constitute impermissible judicial overreaching.  </w:t>
      </w:r>
    </w:p>
    <w:p w14:paraId="2A060051" w14:textId="1E77E3A5" w:rsidR="00900F8D" w:rsidRPr="0042336E" w:rsidRDefault="0042336E" w:rsidP="0042336E">
      <w:pPr>
        <w:tabs>
          <w:tab w:val="right" w:pos="8208"/>
        </w:tabs>
        <w:spacing w:before="60" w:afterLines="60" w:after="144" w:line="480" w:lineRule="auto"/>
        <w:ind w:left="425" w:hanging="425"/>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40B79" w:rsidRPr="0042336E">
        <w:rPr>
          <w:rFonts w:ascii="Arial" w:hAnsi="Arial" w:cs="Arial"/>
          <w:sz w:val="24"/>
          <w:szCs w:val="24"/>
        </w:rPr>
        <w:t xml:space="preserve">I am fortified in this view by the </w:t>
      </w:r>
      <w:r w:rsidR="00BA044A" w:rsidRPr="0042336E">
        <w:rPr>
          <w:rFonts w:ascii="Arial" w:hAnsi="Arial" w:cs="Arial"/>
          <w:sz w:val="24"/>
          <w:szCs w:val="24"/>
        </w:rPr>
        <w:t xml:space="preserve">findings of Swanepoel J earlier this year, where he too was called upon to interpret the provisions of the </w:t>
      </w:r>
      <w:r w:rsidR="00683B37" w:rsidRPr="0042336E">
        <w:rPr>
          <w:rFonts w:ascii="Arial" w:hAnsi="Arial" w:cs="Arial"/>
          <w:sz w:val="24"/>
          <w:szCs w:val="24"/>
        </w:rPr>
        <w:t xml:space="preserve">Regulation 3 of the </w:t>
      </w:r>
      <w:r w:rsidR="00683B37" w:rsidRPr="0042336E">
        <w:rPr>
          <w:rFonts w:ascii="Arial" w:hAnsi="Arial" w:cs="Arial"/>
          <w:i/>
          <w:iCs/>
          <w:sz w:val="24"/>
          <w:szCs w:val="24"/>
        </w:rPr>
        <w:t xml:space="preserve">Regulations Governing the </w:t>
      </w:r>
      <w:r w:rsidR="00683B37" w:rsidRPr="0042336E">
        <w:rPr>
          <w:rFonts w:ascii="Arial" w:hAnsi="Arial" w:cs="Arial"/>
          <w:i/>
          <w:iCs/>
          <w:sz w:val="24"/>
          <w:szCs w:val="24"/>
        </w:rPr>
        <w:lastRenderedPageBreak/>
        <w:t>Administering of an Oath or Affirmation</w:t>
      </w:r>
      <w:r w:rsidR="00683B37" w:rsidRPr="0042336E">
        <w:rPr>
          <w:rFonts w:ascii="Arial" w:hAnsi="Arial" w:cs="Arial"/>
          <w:sz w:val="24"/>
          <w:szCs w:val="24"/>
        </w:rPr>
        <w:t>,</w:t>
      </w:r>
      <w:r w:rsidR="00683B37">
        <w:rPr>
          <w:rStyle w:val="FootnoteReference"/>
          <w:rFonts w:ascii="Arial" w:hAnsi="Arial" w:cs="Arial"/>
          <w:sz w:val="24"/>
          <w:szCs w:val="24"/>
        </w:rPr>
        <w:footnoteReference w:id="2"/>
      </w:r>
      <w:r w:rsidR="00683B37" w:rsidRPr="0042336E">
        <w:rPr>
          <w:rFonts w:ascii="Arial" w:hAnsi="Arial" w:cs="Arial"/>
          <w:sz w:val="24"/>
          <w:szCs w:val="24"/>
        </w:rPr>
        <w:t xml:space="preserve"> </w:t>
      </w:r>
      <w:r w:rsidR="005B716D" w:rsidRPr="0042336E">
        <w:rPr>
          <w:rFonts w:ascii="Arial" w:hAnsi="Arial" w:cs="Arial"/>
          <w:sz w:val="24"/>
          <w:szCs w:val="24"/>
        </w:rPr>
        <w:t xml:space="preserve"> in view of</w:t>
      </w:r>
      <w:r w:rsidR="005B716D" w:rsidRPr="0042336E">
        <w:rPr>
          <w:rFonts w:ascii="Arial" w:hAnsi="Arial" w:cs="Arial"/>
          <w:i/>
          <w:iCs/>
          <w:sz w:val="24"/>
          <w:szCs w:val="24"/>
        </w:rPr>
        <w:t xml:space="preserve"> Briedenhann. </w:t>
      </w:r>
      <w:r w:rsidR="005B716D" w:rsidRPr="0042336E">
        <w:rPr>
          <w:rFonts w:ascii="Arial" w:hAnsi="Arial" w:cs="Arial"/>
          <w:sz w:val="24"/>
          <w:szCs w:val="24"/>
        </w:rPr>
        <w:t xml:space="preserve">In declining to </w:t>
      </w:r>
      <w:r w:rsidR="00804E15" w:rsidRPr="0042336E">
        <w:rPr>
          <w:rFonts w:ascii="Arial" w:hAnsi="Arial" w:cs="Arial"/>
          <w:sz w:val="24"/>
          <w:szCs w:val="24"/>
        </w:rPr>
        <w:t xml:space="preserve">uphold a broad interpretation of the </w:t>
      </w:r>
      <w:r w:rsidR="00362532" w:rsidRPr="0042336E">
        <w:rPr>
          <w:rFonts w:ascii="Arial" w:hAnsi="Arial" w:cs="Arial"/>
          <w:sz w:val="24"/>
          <w:szCs w:val="24"/>
        </w:rPr>
        <w:t>words “</w:t>
      </w:r>
      <w:r w:rsidR="00362532" w:rsidRPr="0042336E">
        <w:rPr>
          <w:rFonts w:ascii="Arial" w:hAnsi="Arial" w:cs="Arial"/>
          <w:i/>
          <w:iCs/>
          <w:sz w:val="24"/>
          <w:szCs w:val="24"/>
        </w:rPr>
        <w:t>in the presence of</w:t>
      </w:r>
      <w:r w:rsidR="00362532" w:rsidRPr="0042336E">
        <w:rPr>
          <w:rFonts w:ascii="Arial" w:hAnsi="Arial" w:cs="Arial"/>
          <w:sz w:val="24"/>
          <w:szCs w:val="24"/>
        </w:rPr>
        <w:t>”</w:t>
      </w:r>
      <w:r w:rsidR="00804E15" w:rsidRPr="0042336E">
        <w:rPr>
          <w:rFonts w:ascii="Arial" w:hAnsi="Arial" w:cs="Arial"/>
          <w:sz w:val="24"/>
          <w:szCs w:val="24"/>
        </w:rPr>
        <w:t xml:space="preserve"> in favour of remote </w:t>
      </w:r>
      <w:r w:rsidR="00881B2A" w:rsidRPr="0042336E">
        <w:rPr>
          <w:rFonts w:ascii="Arial" w:hAnsi="Arial" w:cs="Arial"/>
          <w:sz w:val="24"/>
          <w:szCs w:val="24"/>
        </w:rPr>
        <w:t>commissioning</w:t>
      </w:r>
      <w:r w:rsidR="00804E15" w:rsidRPr="0042336E">
        <w:rPr>
          <w:rFonts w:ascii="Arial" w:hAnsi="Arial" w:cs="Arial"/>
          <w:sz w:val="24"/>
          <w:szCs w:val="24"/>
        </w:rPr>
        <w:t>, he stated as follows:</w:t>
      </w:r>
    </w:p>
    <w:p w14:paraId="128EE5F3" w14:textId="1527A681" w:rsidR="00804E15" w:rsidRPr="00F50325" w:rsidRDefault="00881B2A" w:rsidP="00F50325">
      <w:pPr>
        <w:pStyle w:val="ListParagraph"/>
        <w:tabs>
          <w:tab w:val="right" w:pos="8208"/>
        </w:tabs>
        <w:spacing w:before="60" w:afterLines="60" w:after="144" w:line="360" w:lineRule="auto"/>
        <w:ind w:left="425"/>
        <w:contextualSpacing w:val="0"/>
        <w:jc w:val="both"/>
        <w:rPr>
          <w:rFonts w:ascii="Arial" w:hAnsi="Arial" w:cs="Arial"/>
          <w:i/>
          <w:iCs/>
          <w:sz w:val="24"/>
          <w:szCs w:val="24"/>
        </w:rPr>
      </w:pPr>
      <w:r>
        <w:rPr>
          <w:rFonts w:ascii="Arial" w:hAnsi="Arial" w:cs="Arial"/>
          <w:i/>
          <w:iCs/>
          <w:sz w:val="24"/>
          <w:szCs w:val="24"/>
        </w:rPr>
        <w:t>“</w:t>
      </w:r>
      <w:r w:rsidR="00F50325" w:rsidRPr="00F50325">
        <w:rPr>
          <w:rFonts w:ascii="Arial" w:hAnsi="Arial" w:cs="Arial"/>
          <w:i/>
          <w:iCs/>
          <w:sz w:val="24"/>
          <w:szCs w:val="24"/>
        </w:rPr>
        <w:t>[19]</w:t>
      </w:r>
      <w:r w:rsidR="00F50325" w:rsidRPr="00F50325">
        <w:rPr>
          <w:rFonts w:ascii="Arial" w:hAnsi="Arial" w:cs="Arial"/>
          <w:i/>
          <w:iCs/>
          <w:sz w:val="24"/>
          <w:szCs w:val="24"/>
        </w:rPr>
        <w:tab/>
        <w:t>However, to find for applicant would require me to ignore the clear meaning of the words in the Regulations. In so doing I would be 'crossing the divide between interpretation and legislation', as Wallis JA warned of in Endumeni. It is not for a Court to impose its view of what would be sensible or businesslike where the wording of the document is clear.”</w:t>
      </w:r>
      <w:r>
        <w:rPr>
          <w:rStyle w:val="FootnoteReference"/>
          <w:rFonts w:ascii="Arial" w:hAnsi="Arial" w:cs="Arial"/>
          <w:i/>
          <w:iCs/>
          <w:sz w:val="24"/>
          <w:szCs w:val="24"/>
        </w:rPr>
        <w:footnoteReference w:id="3"/>
      </w:r>
    </w:p>
    <w:p w14:paraId="3D221C97" w14:textId="71CC79F7" w:rsidR="00812693" w:rsidRPr="00812693" w:rsidRDefault="00812693" w:rsidP="00812693">
      <w:pPr>
        <w:tabs>
          <w:tab w:val="right" w:pos="8208"/>
        </w:tabs>
        <w:spacing w:before="60" w:afterLines="60" w:after="144" w:line="480" w:lineRule="auto"/>
        <w:jc w:val="both"/>
        <w:rPr>
          <w:rFonts w:ascii="Arial" w:hAnsi="Arial" w:cs="Arial"/>
          <w:b/>
          <w:bCs/>
          <w:sz w:val="24"/>
          <w:szCs w:val="24"/>
        </w:rPr>
      </w:pPr>
      <w:r>
        <w:rPr>
          <w:rFonts w:ascii="Arial" w:hAnsi="Arial" w:cs="Arial"/>
          <w:b/>
          <w:bCs/>
          <w:sz w:val="24"/>
          <w:szCs w:val="24"/>
        </w:rPr>
        <w:t xml:space="preserve">Point </w:t>
      </w:r>
      <w:r w:rsidRPr="00696446">
        <w:rPr>
          <w:rFonts w:ascii="Arial" w:hAnsi="Arial" w:cs="Arial"/>
          <w:b/>
          <w:bCs/>
          <w:i/>
          <w:iCs/>
          <w:sz w:val="24"/>
          <w:szCs w:val="24"/>
        </w:rPr>
        <w:t>in limine</w:t>
      </w:r>
      <w:r>
        <w:rPr>
          <w:rFonts w:ascii="Arial" w:hAnsi="Arial" w:cs="Arial"/>
          <w:b/>
          <w:bCs/>
          <w:sz w:val="24"/>
          <w:szCs w:val="24"/>
        </w:rPr>
        <w:t xml:space="preserve"> 2: Failure of the commissioner to state his designation</w:t>
      </w:r>
    </w:p>
    <w:p w14:paraId="289D9705" w14:textId="5371EA32" w:rsidR="003A40E0"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91256" w:rsidRPr="0042336E">
        <w:rPr>
          <w:rFonts w:ascii="Arial" w:hAnsi="Arial" w:cs="Arial"/>
          <w:sz w:val="24"/>
          <w:szCs w:val="24"/>
        </w:rPr>
        <w:t>In direct contrast to the</w:t>
      </w:r>
      <w:r w:rsidR="009265DE" w:rsidRPr="0042336E">
        <w:rPr>
          <w:rFonts w:ascii="Arial" w:hAnsi="Arial" w:cs="Arial"/>
          <w:sz w:val="24"/>
          <w:szCs w:val="24"/>
        </w:rPr>
        <w:t>ir</w:t>
      </w:r>
      <w:r w:rsidR="00891256" w:rsidRPr="0042336E">
        <w:rPr>
          <w:rFonts w:ascii="Arial" w:hAnsi="Arial" w:cs="Arial"/>
          <w:sz w:val="24"/>
          <w:szCs w:val="24"/>
        </w:rPr>
        <w:t xml:space="preserve"> approach to </w:t>
      </w:r>
      <w:r w:rsidR="007D32D9" w:rsidRPr="0042336E">
        <w:rPr>
          <w:rFonts w:ascii="Arial" w:hAnsi="Arial" w:cs="Arial"/>
          <w:sz w:val="24"/>
          <w:szCs w:val="24"/>
        </w:rPr>
        <w:t>non-compliance</w:t>
      </w:r>
      <w:r w:rsidR="00891256" w:rsidRPr="0042336E">
        <w:rPr>
          <w:rFonts w:ascii="Arial" w:hAnsi="Arial" w:cs="Arial"/>
          <w:sz w:val="24"/>
          <w:szCs w:val="24"/>
        </w:rPr>
        <w:t xml:space="preserve"> </w:t>
      </w:r>
      <w:r w:rsidR="00891256" w:rsidRPr="0042336E">
        <w:rPr>
          <w:rFonts w:ascii="Arial" w:hAnsi="Arial" w:cs="Arial"/>
          <w:i/>
          <w:iCs/>
          <w:sz w:val="24"/>
          <w:szCs w:val="24"/>
        </w:rPr>
        <w:t>supra,</w:t>
      </w:r>
      <w:r w:rsidR="00891256" w:rsidRPr="0042336E">
        <w:rPr>
          <w:rFonts w:ascii="Arial" w:hAnsi="Arial" w:cs="Arial"/>
          <w:sz w:val="24"/>
          <w:szCs w:val="24"/>
        </w:rPr>
        <w:t xml:space="preserve"> </w:t>
      </w:r>
      <w:r w:rsidR="009265DE" w:rsidRPr="0042336E">
        <w:rPr>
          <w:rFonts w:ascii="Arial" w:hAnsi="Arial" w:cs="Arial"/>
          <w:sz w:val="24"/>
          <w:szCs w:val="24"/>
        </w:rPr>
        <w:t>when it came to the second objection by the Respondent,</w:t>
      </w:r>
      <w:r w:rsidR="00DA7AAE" w:rsidRPr="0042336E">
        <w:rPr>
          <w:rFonts w:ascii="Arial" w:hAnsi="Arial" w:cs="Arial"/>
          <w:sz w:val="24"/>
          <w:szCs w:val="24"/>
        </w:rPr>
        <w:t xml:space="preserve"> the Applicant </w:t>
      </w:r>
      <w:r w:rsidR="00527A24" w:rsidRPr="0042336E">
        <w:rPr>
          <w:rFonts w:ascii="Arial" w:hAnsi="Arial" w:cs="Arial"/>
          <w:sz w:val="24"/>
          <w:szCs w:val="24"/>
        </w:rPr>
        <w:t xml:space="preserve">appreciated that some </w:t>
      </w:r>
      <w:r w:rsidR="008A3CBB" w:rsidRPr="0042336E">
        <w:rPr>
          <w:rFonts w:ascii="Arial" w:hAnsi="Arial" w:cs="Arial"/>
          <w:sz w:val="24"/>
          <w:szCs w:val="24"/>
        </w:rPr>
        <w:t>explanation</w:t>
      </w:r>
      <w:r w:rsidR="00527A24" w:rsidRPr="0042336E">
        <w:rPr>
          <w:rFonts w:ascii="Arial" w:hAnsi="Arial" w:cs="Arial"/>
          <w:sz w:val="24"/>
          <w:szCs w:val="24"/>
        </w:rPr>
        <w:t xml:space="preserve"> would be due before a Court could exercise its discretion</w:t>
      </w:r>
      <w:r w:rsidR="008A3CBB" w:rsidRPr="0042336E">
        <w:rPr>
          <w:rFonts w:ascii="Arial" w:hAnsi="Arial" w:cs="Arial"/>
          <w:sz w:val="24"/>
          <w:szCs w:val="24"/>
        </w:rPr>
        <w:t xml:space="preserve"> in condoning such </w:t>
      </w:r>
      <w:r w:rsidR="007D32D9" w:rsidRPr="0042336E">
        <w:rPr>
          <w:rFonts w:ascii="Arial" w:hAnsi="Arial" w:cs="Arial"/>
          <w:sz w:val="24"/>
          <w:szCs w:val="24"/>
        </w:rPr>
        <w:t>non-compliance</w:t>
      </w:r>
      <w:r w:rsidR="00527A24" w:rsidRPr="0042336E">
        <w:rPr>
          <w:rFonts w:ascii="Arial" w:hAnsi="Arial" w:cs="Arial"/>
          <w:sz w:val="24"/>
          <w:szCs w:val="24"/>
        </w:rPr>
        <w:t>.</w:t>
      </w:r>
      <w:r w:rsidR="00360AE7" w:rsidRPr="0042336E">
        <w:rPr>
          <w:rFonts w:ascii="Arial" w:hAnsi="Arial" w:cs="Arial"/>
          <w:sz w:val="24"/>
          <w:szCs w:val="24"/>
        </w:rPr>
        <w:t xml:space="preserve"> </w:t>
      </w:r>
    </w:p>
    <w:p w14:paraId="3839D5A6" w14:textId="1C847F3F" w:rsidR="00360AE7"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C1CAF" w:rsidRPr="0042336E">
        <w:rPr>
          <w:rFonts w:ascii="Arial" w:hAnsi="Arial" w:cs="Arial"/>
          <w:sz w:val="24"/>
          <w:szCs w:val="24"/>
        </w:rPr>
        <w:t xml:space="preserve">The commissioner of oaths has deposed to an affidavit confirming that the failure to fully set out his designation was a bona fide oversight. </w:t>
      </w:r>
      <w:r w:rsidR="001239A5" w:rsidRPr="0042336E">
        <w:rPr>
          <w:rFonts w:ascii="Arial" w:hAnsi="Arial" w:cs="Arial"/>
          <w:sz w:val="24"/>
          <w:szCs w:val="24"/>
        </w:rPr>
        <w:t xml:space="preserve">I am satisfied that it would be appropriate to </w:t>
      </w:r>
      <w:r w:rsidR="00947F90" w:rsidRPr="0042336E">
        <w:rPr>
          <w:rFonts w:ascii="Arial" w:hAnsi="Arial" w:cs="Arial"/>
          <w:sz w:val="24"/>
          <w:szCs w:val="24"/>
        </w:rPr>
        <w:t xml:space="preserve">exercise my discretion in favour of the Applicant in this regard. </w:t>
      </w:r>
    </w:p>
    <w:p w14:paraId="004BE380" w14:textId="5A69695B" w:rsidR="006A449D" w:rsidRPr="006A449D" w:rsidRDefault="00BC3DC7" w:rsidP="006A449D">
      <w:pPr>
        <w:tabs>
          <w:tab w:val="right" w:pos="8208"/>
        </w:tabs>
        <w:spacing w:before="60" w:afterLines="60" w:after="144" w:line="480" w:lineRule="auto"/>
        <w:jc w:val="both"/>
        <w:rPr>
          <w:rFonts w:ascii="Arial" w:hAnsi="Arial" w:cs="Arial"/>
          <w:b/>
          <w:bCs/>
          <w:sz w:val="24"/>
          <w:szCs w:val="24"/>
        </w:rPr>
      </w:pPr>
      <w:r>
        <w:rPr>
          <w:rFonts w:ascii="Arial" w:hAnsi="Arial" w:cs="Arial"/>
          <w:b/>
          <w:bCs/>
          <w:sz w:val="24"/>
          <w:szCs w:val="24"/>
        </w:rPr>
        <w:t>Respondents’ defence</w:t>
      </w:r>
      <w:r w:rsidR="00714AC9">
        <w:rPr>
          <w:rFonts w:ascii="Arial" w:hAnsi="Arial" w:cs="Arial"/>
          <w:b/>
          <w:bCs/>
          <w:sz w:val="24"/>
          <w:szCs w:val="24"/>
        </w:rPr>
        <w:t>:</w:t>
      </w:r>
      <w:r w:rsidR="006A449D">
        <w:rPr>
          <w:rFonts w:ascii="Arial" w:hAnsi="Arial" w:cs="Arial"/>
          <w:b/>
          <w:bCs/>
          <w:sz w:val="24"/>
          <w:szCs w:val="24"/>
        </w:rPr>
        <w:t xml:space="preserve"> </w:t>
      </w:r>
      <w:r w:rsidR="006A449D" w:rsidRPr="00714AC9">
        <w:rPr>
          <w:rFonts w:ascii="Arial" w:hAnsi="Arial" w:cs="Arial"/>
          <w:b/>
          <w:bCs/>
          <w:i/>
          <w:iCs/>
          <w:sz w:val="24"/>
          <w:szCs w:val="24"/>
        </w:rPr>
        <w:t>iustus error</w:t>
      </w:r>
    </w:p>
    <w:p w14:paraId="1C7D9688" w14:textId="027E058B" w:rsidR="008B666A"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F563A" w:rsidRPr="0042336E">
        <w:rPr>
          <w:rFonts w:ascii="Arial" w:hAnsi="Arial" w:cs="Arial"/>
          <w:sz w:val="24"/>
          <w:szCs w:val="24"/>
        </w:rPr>
        <w:t xml:space="preserve">With regards to </w:t>
      </w:r>
      <w:r w:rsidR="001C7105" w:rsidRPr="0042336E">
        <w:rPr>
          <w:rFonts w:ascii="Arial" w:hAnsi="Arial" w:cs="Arial"/>
          <w:i/>
          <w:iCs/>
          <w:sz w:val="24"/>
          <w:szCs w:val="24"/>
        </w:rPr>
        <w:t>i</w:t>
      </w:r>
      <w:r w:rsidR="006F563A" w:rsidRPr="0042336E">
        <w:rPr>
          <w:rFonts w:ascii="Arial" w:hAnsi="Arial" w:cs="Arial"/>
          <w:i/>
          <w:iCs/>
          <w:sz w:val="24"/>
          <w:szCs w:val="24"/>
        </w:rPr>
        <w:t>ustus error</w:t>
      </w:r>
      <w:r w:rsidR="006F563A" w:rsidRPr="0042336E">
        <w:rPr>
          <w:rFonts w:ascii="Arial" w:hAnsi="Arial" w:cs="Arial"/>
          <w:sz w:val="24"/>
          <w:szCs w:val="24"/>
        </w:rPr>
        <w:t xml:space="preserve"> defence, the Respondents submit that</w:t>
      </w:r>
      <w:r w:rsidR="00C854E6" w:rsidRPr="0042336E">
        <w:rPr>
          <w:rFonts w:ascii="Arial" w:hAnsi="Arial" w:cs="Arial"/>
          <w:sz w:val="24"/>
          <w:szCs w:val="24"/>
        </w:rPr>
        <w:t xml:space="preserve"> it was not their intention to be bound as sureties, that</w:t>
      </w:r>
      <w:r w:rsidR="006F563A" w:rsidRPr="0042336E">
        <w:rPr>
          <w:rFonts w:ascii="Arial" w:hAnsi="Arial" w:cs="Arial"/>
          <w:sz w:val="24"/>
          <w:szCs w:val="24"/>
        </w:rPr>
        <w:t xml:space="preserve"> the </w:t>
      </w:r>
      <w:r w:rsidR="00C04991" w:rsidRPr="0042336E">
        <w:rPr>
          <w:rFonts w:ascii="Arial" w:hAnsi="Arial" w:cs="Arial"/>
          <w:sz w:val="24"/>
          <w:szCs w:val="24"/>
        </w:rPr>
        <w:t>Applicant</w:t>
      </w:r>
      <w:r w:rsidR="006F563A" w:rsidRPr="0042336E">
        <w:rPr>
          <w:rFonts w:ascii="Arial" w:hAnsi="Arial" w:cs="Arial"/>
          <w:sz w:val="24"/>
          <w:szCs w:val="24"/>
        </w:rPr>
        <w:t xml:space="preserve"> failed to draw their attention to the suretyship agreement</w:t>
      </w:r>
      <w:r w:rsidR="00CE48B5" w:rsidRPr="0042336E">
        <w:rPr>
          <w:rFonts w:ascii="Arial" w:hAnsi="Arial" w:cs="Arial"/>
          <w:sz w:val="24"/>
          <w:szCs w:val="24"/>
        </w:rPr>
        <w:t xml:space="preserve"> and failed to explain the nature and financial implications thereof to them</w:t>
      </w:r>
      <w:r w:rsidR="006F563A" w:rsidRPr="0042336E">
        <w:rPr>
          <w:rFonts w:ascii="Arial" w:hAnsi="Arial" w:cs="Arial"/>
          <w:sz w:val="24"/>
          <w:szCs w:val="24"/>
        </w:rPr>
        <w:t xml:space="preserve">.  </w:t>
      </w:r>
    </w:p>
    <w:p w14:paraId="59D3BD66" w14:textId="2CB0B578" w:rsidR="008B666A" w:rsidRPr="0042336E" w:rsidRDefault="0042336E" w:rsidP="0042336E">
      <w:pPr>
        <w:tabs>
          <w:tab w:val="right" w:pos="8208"/>
        </w:tabs>
        <w:spacing w:before="60" w:afterLines="60" w:after="144" w:line="480" w:lineRule="auto"/>
        <w:ind w:left="425" w:hanging="425"/>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24704" w:rsidRPr="0042336E">
        <w:rPr>
          <w:rFonts w:ascii="Arial" w:hAnsi="Arial" w:cs="Arial"/>
          <w:sz w:val="24"/>
          <w:szCs w:val="24"/>
        </w:rPr>
        <w:t xml:space="preserve">To succeed with </w:t>
      </w:r>
      <w:r w:rsidR="00526395" w:rsidRPr="0042336E">
        <w:rPr>
          <w:rFonts w:ascii="Arial" w:hAnsi="Arial" w:cs="Arial"/>
          <w:sz w:val="24"/>
          <w:szCs w:val="24"/>
        </w:rPr>
        <w:t xml:space="preserve">the defence of </w:t>
      </w:r>
      <w:r w:rsidR="00526395" w:rsidRPr="0042336E">
        <w:rPr>
          <w:rFonts w:ascii="Arial" w:hAnsi="Arial" w:cs="Arial"/>
          <w:i/>
          <w:iCs/>
          <w:sz w:val="24"/>
          <w:szCs w:val="24"/>
        </w:rPr>
        <w:t>iustus error</w:t>
      </w:r>
      <w:r w:rsidR="00526395" w:rsidRPr="0042336E">
        <w:rPr>
          <w:rFonts w:ascii="Arial" w:hAnsi="Arial" w:cs="Arial"/>
          <w:sz w:val="24"/>
          <w:szCs w:val="24"/>
        </w:rPr>
        <w:t xml:space="preserve">, the Respondents would have to </w:t>
      </w:r>
      <w:r w:rsidR="005A2D5E" w:rsidRPr="0042336E">
        <w:rPr>
          <w:rFonts w:ascii="Arial" w:hAnsi="Arial" w:cs="Arial"/>
          <w:sz w:val="24"/>
          <w:szCs w:val="24"/>
        </w:rPr>
        <w:t xml:space="preserve">prove more than </w:t>
      </w:r>
      <w:r w:rsidR="002C5F57" w:rsidRPr="0042336E">
        <w:rPr>
          <w:rFonts w:ascii="Arial" w:hAnsi="Arial" w:cs="Arial"/>
          <w:sz w:val="24"/>
          <w:szCs w:val="24"/>
        </w:rPr>
        <w:t>their own unilateral mistake. In</w:t>
      </w:r>
      <w:r w:rsidR="00BF3812" w:rsidRPr="0042336E">
        <w:rPr>
          <w:rFonts w:ascii="Arial" w:hAnsi="Arial" w:cs="Arial"/>
          <w:sz w:val="24"/>
          <w:szCs w:val="24"/>
        </w:rPr>
        <w:t xml:space="preserve"> </w:t>
      </w:r>
      <w:r w:rsidR="00BF3812" w:rsidRPr="0042336E">
        <w:rPr>
          <w:rFonts w:ascii="Arial" w:hAnsi="Arial" w:cs="Arial"/>
          <w:i/>
          <w:iCs/>
          <w:sz w:val="24"/>
          <w:szCs w:val="24"/>
        </w:rPr>
        <w:t>Sonap Petroleum (SA) (Pty) Ltd (formerly known as Sonarep (SA) (Pty) Ltd) v Pappadogianis</w:t>
      </w:r>
      <w:r w:rsidR="002C5F57">
        <w:rPr>
          <w:rStyle w:val="FootnoteReference"/>
          <w:rFonts w:ascii="Arial" w:hAnsi="Arial" w:cs="Arial"/>
          <w:i/>
          <w:iCs/>
          <w:sz w:val="24"/>
          <w:szCs w:val="24"/>
        </w:rPr>
        <w:footnoteReference w:id="4"/>
      </w:r>
      <w:r w:rsidR="002C5F57" w:rsidRPr="0042336E">
        <w:rPr>
          <w:rFonts w:ascii="Arial" w:hAnsi="Arial" w:cs="Arial"/>
          <w:sz w:val="24"/>
          <w:szCs w:val="24"/>
        </w:rPr>
        <w:t>, the approach to determi</w:t>
      </w:r>
      <w:r w:rsidR="005B377C" w:rsidRPr="0042336E">
        <w:rPr>
          <w:rFonts w:ascii="Arial" w:hAnsi="Arial" w:cs="Arial"/>
          <w:sz w:val="24"/>
          <w:szCs w:val="24"/>
        </w:rPr>
        <w:t>ni</w:t>
      </w:r>
      <w:r w:rsidR="002C5F57" w:rsidRPr="0042336E">
        <w:rPr>
          <w:rFonts w:ascii="Arial" w:hAnsi="Arial" w:cs="Arial"/>
          <w:sz w:val="24"/>
          <w:szCs w:val="24"/>
        </w:rPr>
        <w:t xml:space="preserve">ng </w:t>
      </w:r>
      <w:r w:rsidR="002C5F57" w:rsidRPr="0042336E">
        <w:rPr>
          <w:rFonts w:ascii="Arial" w:hAnsi="Arial" w:cs="Arial"/>
          <w:i/>
          <w:iCs/>
          <w:sz w:val="24"/>
          <w:szCs w:val="24"/>
        </w:rPr>
        <w:t>iustus error</w:t>
      </w:r>
      <w:r w:rsidR="002C5F57" w:rsidRPr="0042336E">
        <w:rPr>
          <w:rFonts w:ascii="Arial" w:hAnsi="Arial" w:cs="Arial"/>
          <w:sz w:val="24"/>
          <w:szCs w:val="24"/>
        </w:rPr>
        <w:t xml:space="preserve"> defences was set out</w:t>
      </w:r>
      <w:r w:rsidR="00BF3812" w:rsidRPr="0042336E">
        <w:rPr>
          <w:rFonts w:ascii="Arial" w:hAnsi="Arial" w:cs="Arial"/>
          <w:sz w:val="24"/>
          <w:szCs w:val="24"/>
        </w:rPr>
        <w:t xml:space="preserve"> as follows:  </w:t>
      </w:r>
    </w:p>
    <w:p w14:paraId="766C6CE4" w14:textId="0B01A56B" w:rsidR="00BF3812" w:rsidRPr="008B666A" w:rsidRDefault="00BF3812" w:rsidP="00AA7D19">
      <w:pPr>
        <w:pStyle w:val="ListParagraph"/>
        <w:tabs>
          <w:tab w:val="right" w:pos="8208"/>
        </w:tabs>
        <w:spacing w:before="60" w:afterLines="60" w:after="144" w:line="360" w:lineRule="auto"/>
        <w:ind w:left="425"/>
        <w:jc w:val="both"/>
        <w:rPr>
          <w:rFonts w:ascii="Arial" w:hAnsi="Arial" w:cs="Arial"/>
          <w:sz w:val="24"/>
          <w:szCs w:val="24"/>
        </w:rPr>
      </w:pPr>
      <w:r w:rsidRPr="008B666A">
        <w:rPr>
          <w:rFonts w:ascii="Arial" w:hAnsi="Arial" w:cs="Arial"/>
          <w:i/>
          <w:iCs/>
          <w:sz w:val="24"/>
          <w:szCs w:val="24"/>
        </w:rPr>
        <w:lastRenderedPageBreak/>
        <w:t xml:space="preserve">'. . . [D]id the party whose actual intention did not conform to the common intention expressed, lead the other party, as a reasonable man, to believe that his declared intention represented his actual intention? . . . To answer this question, a threefold enquiry is usually necessary, namely, firstly, was there a misrepresentation as to one party's intention; secondly, who made that representation; and thirdly, was the last party misled thereby? . . . The last question postulates two possibilities: Was he actually </w:t>
      </w:r>
      <w:r w:rsidR="00704A5B" w:rsidRPr="008B666A">
        <w:rPr>
          <w:rFonts w:ascii="Arial" w:hAnsi="Arial" w:cs="Arial"/>
          <w:i/>
          <w:iCs/>
          <w:sz w:val="24"/>
          <w:szCs w:val="24"/>
        </w:rPr>
        <w:t>misled,</w:t>
      </w:r>
      <w:r w:rsidRPr="008B666A">
        <w:rPr>
          <w:rFonts w:ascii="Arial" w:hAnsi="Arial" w:cs="Arial"/>
          <w:i/>
          <w:iCs/>
          <w:sz w:val="24"/>
          <w:szCs w:val="24"/>
        </w:rPr>
        <w:t xml:space="preserve"> and would a reasonable man have been misled?</w:t>
      </w:r>
      <w:r w:rsidR="00ED7B4C">
        <w:rPr>
          <w:rFonts w:ascii="Arial" w:hAnsi="Arial" w:cs="Arial"/>
          <w:i/>
          <w:iCs/>
          <w:sz w:val="24"/>
          <w:szCs w:val="24"/>
        </w:rPr>
        <w:t>”</w:t>
      </w:r>
      <w:r w:rsidRPr="008B666A">
        <w:rPr>
          <w:rFonts w:ascii="Arial" w:hAnsi="Arial" w:cs="Arial"/>
          <w:i/>
          <w:iCs/>
          <w:sz w:val="24"/>
          <w:szCs w:val="24"/>
        </w:rPr>
        <w:t xml:space="preserve">  </w:t>
      </w:r>
    </w:p>
    <w:p w14:paraId="74FAAAD6" w14:textId="7585664D" w:rsidR="001859F9" w:rsidRPr="0042336E" w:rsidRDefault="0042336E" w:rsidP="0042336E">
      <w:pPr>
        <w:tabs>
          <w:tab w:val="right" w:pos="8208"/>
        </w:tabs>
        <w:spacing w:before="240" w:after="0" w:line="480" w:lineRule="auto"/>
        <w:ind w:left="425" w:hanging="425"/>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83168" w:rsidRPr="0042336E">
        <w:rPr>
          <w:rFonts w:ascii="Arial" w:hAnsi="Arial" w:cs="Arial"/>
          <w:sz w:val="24"/>
          <w:szCs w:val="24"/>
        </w:rPr>
        <w:t>Does the failure to pertinently draw a party’s attention to the nature and consequences of a contract</w:t>
      </w:r>
      <w:r w:rsidR="004C7594" w:rsidRPr="0042336E">
        <w:rPr>
          <w:rFonts w:ascii="Arial" w:hAnsi="Arial" w:cs="Arial"/>
          <w:sz w:val="24"/>
          <w:szCs w:val="24"/>
        </w:rPr>
        <w:t xml:space="preserve">, constitute ‘misrepresentation’? Decidedly not. As was held in </w:t>
      </w:r>
      <w:r w:rsidR="004C7594" w:rsidRPr="0042336E">
        <w:rPr>
          <w:rFonts w:ascii="Arial" w:hAnsi="Arial" w:cs="Arial"/>
          <w:i/>
          <w:iCs/>
          <w:sz w:val="24"/>
          <w:szCs w:val="24"/>
        </w:rPr>
        <w:t>Slip Knot Investments 777 (Pty) Ltd v Du Toit</w:t>
      </w:r>
      <w:r w:rsidR="004C7594" w:rsidRPr="0042336E">
        <w:rPr>
          <w:rFonts w:ascii="Arial" w:hAnsi="Arial" w:cs="Arial"/>
          <w:sz w:val="24"/>
          <w:szCs w:val="24"/>
        </w:rPr>
        <w:t>:</w:t>
      </w:r>
      <w:r w:rsidR="004C7594">
        <w:rPr>
          <w:rStyle w:val="FootnoteReference"/>
          <w:rFonts w:ascii="Arial" w:hAnsi="Arial" w:cs="Arial"/>
          <w:sz w:val="24"/>
          <w:szCs w:val="24"/>
        </w:rPr>
        <w:footnoteReference w:id="5"/>
      </w:r>
      <w:r w:rsidR="004C7594" w:rsidRPr="0042336E">
        <w:rPr>
          <w:rFonts w:ascii="Arial" w:hAnsi="Arial" w:cs="Arial"/>
          <w:sz w:val="24"/>
          <w:szCs w:val="24"/>
        </w:rPr>
        <w:t xml:space="preserve">  </w:t>
      </w:r>
    </w:p>
    <w:p w14:paraId="11AA3C2E" w14:textId="1A52C921" w:rsidR="004315C0" w:rsidRDefault="004C7594" w:rsidP="00ED7B4C">
      <w:pPr>
        <w:pStyle w:val="ListParagraph"/>
        <w:tabs>
          <w:tab w:val="right" w:pos="8208"/>
        </w:tabs>
        <w:spacing w:before="60" w:afterLines="60" w:after="144" w:line="360" w:lineRule="auto"/>
        <w:ind w:left="425"/>
        <w:jc w:val="both"/>
        <w:rPr>
          <w:rFonts w:ascii="Arial" w:hAnsi="Arial" w:cs="Arial"/>
          <w:sz w:val="24"/>
          <w:szCs w:val="24"/>
        </w:rPr>
      </w:pPr>
      <w:r w:rsidRPr="004C7594">
        <w:rPr>
          <w:rFonts w:ascii="Arial" w:hAnsi="Arial" w:cs="Arial"/>
          <w:i/>
          <w:iCs/>
          <w:sz w:val="24"/>
          <w:szCs w:val="24"/>
        </w:rPr>
        <w:t>'A contracting party is generally not bound to inform the other party of the terms of the proposed agreement. He must do so, however, where there are terms that could not reasonably have been expected in the contract. The court below came to the conclusion that the suretyship was "hidden" in the bundle, and held that the respondent was in the circumstances entitled to assume that he was not personally implicated. I can find nothing objectionable in the set of documents sent to the respondent. Even a cursory glance at them would have alerted the respondent that he was signing a deed of suretyship . . . Slip Knot was entitled to rely on the respondent's signature as a surety just as it was entitled to rely on his signature as a trustee. The respondent relied entirely on what was conveyed to him by his nephew through Altro Potgieter. Slip Knot made no misrepresentation to him, and there is no suggestion on the respondent's papers that Slip Knot knew or ought, as a reasonable person, to have known of his mistake.'</w:t>
      </w:r>
    </w:p>
    <w:p w14:paraId="3E0BB76A" w14:textId="6E296B37" w:rsidR="006F563A" w:rsidRPr="0042336E" w:rsidRDefault="0042336E" w:rsidP="0042336E">
      <w:pPr>
        <w:tabs>
          <w:tab w:val="right" w:pos="8208"/>
        </w:tabs>
        <w:spacing w:before="360" w:afterLines="60" w:after="144" w:line="480" w:lineRule="auto"/>
        <w:ind w:left="425" w:hanging="425"/>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B64B7" w:rsidRPr="0042336E">
        <w:rPr>
          <w:rFonts w:ascii="Arial" w:hAnsi="Arial" w:cs="Arial"/>
          <w:sz w:val="24"/>
          <w:szCs w:val="24"/>
        </w:rPr>
        <w:t xml:space="preserve">Likewise, </w:t>
      </w:r>
      <w:r w:rsidR="00E8219B" w:rsidRPr="0042336E">
        <w:rPr>
          <w:rFonts w:ascii="Arial" w:hAnsi="Arial" w:cs="Arial"/>
          <w:i/>
          <w:iCs/>
          <w:sz w:val="24"/>
          <w:szCs w:val="24"/>
        </w:rPr>
        <w:t>in casu</w:t>
      </w:r>
      <w:r w:rsidR="00E8219B" w:rsidRPr="0042336E">
        <w:rPr>
          <w:rFonts w:ascii="Arial" w:hAnsi="Arial" w:cs="Arial"/>
          <w:sz w:val="24"/>
          <w:szCs w:val="24"/>
        </w:rPr>
        <w:t>, there is no suggestion there was misrepresentation on the part of the Applicant</w:t>
      </w:r>
      <w:r w:rsidR="00674F35" w:rsidRPr="0042336E">
        <w:rPr>
          <w:rFonts w:ascii="Arial" w:hAnsi="Arial" w:cs="Arial"/>
          <w:sz w:val="24"/>
          <w:szCs w:val="24"/>
        </w:rPr>
        <w:t xml:space="preserve">. </w:t>
      </w:r>
      <w:r w:rsidR="00C467C9" w:rsidRPr="0042336E">
        <w:rPr>
          <w:rFonts w:ascii="Arial" w:hAnsi="Arial" w:cs="Arial"/>
          <w:sz w:val="24"/>
          <w:szCs w:val="24"/>
        </w:rPr>
        <w:t xml:space="preserve">The </w:t>
      </w:r>
      <w:r w:rsidR="00E72E65" w:rsidRPr="0042336E">
        <w:rPr>
          <w:rFonts w:ascii="Arial" w:hAnsi="Arial" w:cs="Arial"/>
          <w:sz w:val="24"/>
          <w:szCs w:val="24"/>
        </w:rPr>
        <w:t>Respondents have failed to set out material facts</w:t>
      </w:r>
      <w:r w:rsidR="006D63F7" w:rsidRPr="0042336E">
        <w:rPr>
          <w:rFonts w:ascii="Arial" w:hAnsi="Arial" w:cs="Arial"/>
          <w:sz w:val="24"/>
          <w:szCs w:val="24"/>
        </w:rPr>
        <w:t xml:space="preserve"> which </w:t>
      </w:r>
      <w:r w:rsidR="00B52C99" w:rsidRPr="0042336E">
        <w:rPr>
          <w:rFonts w:ascii="Arial" w:hAnsi="Arial" w:cs="Arial"/>
          <w:sz w:val="24"/>
          <w:szCs w:val="24"/>
        </w:rPr>
        <w:t>constitute a</w:t>
      </w:r>
      <w:r w:rsidR="006D63F7" w:rsidRPr="0042336E">
        <w:rPr>
          <w:rFonts w:ascii="Arial" w:hAnsi="Arial" w:cs="Arial"/>
          <w:sz w:val="24"/>
          <w:szCs w:val="24"/>
        </w:rPr>
        <w:t xml:space="preserve"> </w:t>
      </w:r>
      <w:r w:rsidR="00B52C99" w:rsidRPr="0042336E">
        <w:rPr>
          <w:rFonts w:ascii="Arial" w:hAnsi="Arial" w:cs="Arial"/>
          <w:i/>
          <w:iCs/>
          <w:sz w:val="24"/>
          <w:szCs w:val="24"/>
        </w:rPr>
        <w:t>“…</w:t>
      </w:r>
      <w:r w:rsidR="006D63F7" w:rsidRPr="0042336E">
        <w:rPr>
          <w:rFonts w:ascii="Arial" w:hAnsi="Arial" w:cs="Arial"/>
          <w:i/>
          <w:iCs/>
          <w:sz w:val="24"/>
          <w:szCs w:val="24"/>
        </w:rPr>
        <w:t xml:space="preserve">triable issue and a sustainable defence in law deserving of their day in </w:t>
      </w:r>
      <w:r w:rsidR="002E1DC2" w:rsidRPr="0042336E">
        <w:rPr>
          <w:rFonts w:ascii="Arial" w:hAnsi="Arial" w:cs="Arial"/>
          <w:i/>
          <w:iCs/>
          <w:sz w:val="24"/>
          <w:szCs w:val="24"/>
        </w:rPr>
        <w:t>C</w:t>
      </w:r>
      <w:r w:rsidR="006D63F7" w:rsidRPr="0042336E">
        <w:rPr>
          <w:rFonts w:ascii="Arial" w:hAnsi="Arial" w:cs="Arial"/>
          <w:i/>
          <w:iCs/>
          <w:sz w:val="24"/>
          <w:szCs w:val="24"/>
        </w:rPr>
        <w:t>ourt</w:t>
      </w:r>
      <w:r w:rsidR="006D63F7" w:rsidRPr="0042336E">
        <w:rPr>
          <w:rFonts w:ascii="Arial" w:hAnsi="Arial" w:cs="Arial"/>
          <w:sz w:val="24"/>
          <w:szCs w:val="24"/>
        </w:rPr>
        <w:t>."</w:t>
      </w:r>
      <w:r w:rsidR="002E1DC2">
        <w:rPr>
          <w:rStyle w:val="FootnoteReference"/>
          <w:rFonts w:ascii="Arial" w:hAnsi="Arial" w:cs="Arial"/>
          <w:sz w:val="24"/>
          <w:szCs w:val="24"/>
        </w:rPr>
        <w:footnoteReference w:id="6"/>
      </w:r>
    </w:p>
    <w:p w14:paraId="17C61803" w14:textId="7340D0EF" w:rsidR="00B10050" w:rsidRPr="00B10050" w:rsidRDefault="00B10050" w:rsidP="00B10050">
      <w:pPr>
        <w:tabs>
          <w:tab w:val="right" w:pos="8208"/>
        </w:tabs>
        <w:spacing w:before="60" w:afterLines="60" w:after="144" w:line="480" w:lineRule="auto"/>
        <w:jc w:val="both"/>
        <w:rPr>
          <w:rFonts w:ascii="Arial" w:hAnsi="Arial" w:cs="Arial"/>
          <w:b/>
          <w:bCs/>
          <w:sz w:val="24"/>
          <w:szCs w:val="24"/>
        </w:rPr>
      </w:pPr>
      <w:r w:rsidRPr="00B10050">
        <w:rPr>
          <w:rFonts w:ascii="Arial" w:hAnsi="Arial" w:cs="Arial"/>
          <w:b/>
          <w:bCs/>
          <w:sz w:val="24"/>
          <w:szCs w:val="24"/>
        </w:rPr>
        <w:t>Findings on summary judgment application</w:t>
      </w:r>
    </w:p>
    <w:p w14:paraId="11B47C51" w14:textId="56DF3EB8" w:rsidR="0088211D" w:rsidRPr="0042336E" w:rsidRDefault="0042336E" w:rsidP="0042336E">
      <w:pPr>
        <w:spacing w:before="60" w:after="60" w:line="480" w:lineRule="auto"/>
        <w:ind w:left="357" w:hanging="357"/>
        <w:rPr>
          <w:rFonts w:ascii="Arial" w:hAnsi="Arial" w:cs="Arial"/>
          <w:sz w:val="24"/>
          <w:szCs w:val="24"/>
        </w:rPr>
      </w:pPr>
      <w:r>
        <w:rPr>
          <w:rFonts w:ascii="Arial" w:hAnsi="Arial" w:cs="Arial"/>
          <w:sz w:val="24"/>
          <w:szCs w:val="24"/>
        </w:rPr>
        <w:t>21.</w:t>
      </w:r>
      <w:r>
        <w:rPr>
          <w:rFonts w:ascii="Arial" w:hAnsi="Arial" w:cs="Arial"/>
          <w:sz w:val="24"/>
          <w:szCs w:val="24"/>
        </w:rPr>
        <w:tab/>
      </w:r>
      <w:r w:rsidR="00D041FE" w:rsidRPr="0042336E">
        <w:rPr>
          <w:rFonts w:ascii="Arial" w:hAnsi="Arial" w:cs="Arial"/>
          <w:sz w:val="24"/>
          <w:szCs w:val="24"/>
        </w:rPr>
        <w:t xml:space="preserve"> </w:t>
      </w:r>
      <w:r w:rsidR="007438DA" w:rsidRPr="0042336E">
        <w:rPr>
          <w:rFonts w:ascii="Arial" w:hAnsi="Arial" w:cs="Arial"/>
          <w:sz w:val="24"/>
          <w:szCs w:val="24"/>
        </w:rPr>
        <w:t xml:space="preserve">In summation therefore, </w:t>
      </w:r>
      <w:r w:rsidR="00440E66" w:rsidRPr="0042336E">
        <w:rPr>
          <w:rFonts w:ascii="Arial" w:hAnsi="Arial" w:cs="Arial"/>
          <w:sz w:val="24"/>
          <w:szCs w:val="24"/>
        </w:rPr>
        <w:t xml:space="preserve">there is a </w:t>
      </w:r>
      <w:r w:rsidR="000C1743" w:rsidRPr="0042336E">
        <w:rPr>
          <w:rFonts w:ascii="Arial" w:hAnsi="Arial" w:cs="Arial"/>
          <w:sz w:val="24"/>
          <w:szCs w:val="24"/>
        </w:rPr>
        <w:t>non-compliant</w:t>
      </w:r>
      <w:r w:rsidR="007438DA" w:rsidRPr="0042336E">
        <w:rPr>
          <w:rFonts w:ascii="Arial" w:hAnsi="Arial" w:cs="Arial"/>
          <w:sz w:val="24"/>
          <w:szCs w:val="24"/>
        </w:rPr>
        <w:t xml:space="preserve"> </w:t>
      </w:r>
      <w:r w:rsidR="00B308BB" w:rsidRPr="0042336E">
        <w:rPr>
          <w:rFonts w:ascii="Arial" w:hAnsi="Arial" w:cs="Arial"/>
          <w:sz w:val="24"/>
          <w:szCs w:val="24"/>
        </w:rPr>
        <w:t xml:space="preserve">affidavit in support of summary judgment </w:t>
      </w:r>
      <w:r w:rsidR="00643ADB" w:rsidRPr="0042336E">
        <w:rPr>
          <w:rFonts w:ascii="Arial" w:hAnsi="Arial" w:cs="Arial"/>
          <w:sz w:val="24"/>
          <w:szCs w:val="24"/>
        </w:rPr>
        <w:t xml:space="preserve">on the one hand and a lack of a </w:t>
      </w:r>
      <w:r w:rsidR="00643ADB" w:rsidRPr="0042336E">
        <w:rPr>
          <w:rFonts w:ascii="Arial" w:hAnsi="Arial" w:cs="Arial"/>
          <w:i/>
          <w:iCs/>
          <w:sz w:val="24"/>
          <w:szCs w:val="24"/>
        </w:rPr>
        <w:t>bona fide</w:t>
      </w:r>
      <w:r w:rsidR="00643ADB" w:rsidRPr="0042336E">
        <w:rPr>
          <w:rFonts w:ascii="Arial" w:hAnsi="Arial" w:cs="Arial"/>
          <w:sz w:val="24"/>
          <w:szCs w:val="24"/>
        </w:rPr>
        <w:t xml:space="preserve"> defence on the other. </w:t>
      </w:r>
      <w:r w:rsidR="00F236D1" w:rsidRPr="0042336E">
        <w:rPr>
          <w:rFonts w:ascii="Arial" w:hAnsi="Arial" w:cs="Arial"/>
          <w:sz w:val="24"/>
          <w:szCs w:val="24"/>
        </w:rPr>
        <w:t xml:space="preserve">At first glance, it would seem that </w:t>
      </w:r>
      <w:r w:rsidR="00EE775A" w:rsidRPr="0042336E">
        <w:rPr>
          <w:rFonts w:ascii="Arial" w:hAnsi="Arial" w:cs="Arial"/>
          <w:sz w:val="24"/>
          <w:szCs w:val="24"/>
        </w:rPr>
        <w:t xml:space="preserve">Respondents’ points </w:t>
      </w:r>
      <w:r w:rsidR="00EE775A" w:rsidRPr="0042336E">
        <w:rPr>
          <w:rFonts w:ascii="Arial" w:hAnsi="Arial" w:cs="Arial"/>
          <w:i/>
          <w:iCs/>
          <w:sz w:val="24"/>
          <w:szCs w:val="24"/>
        </w:rPr>
        <w:t>in limine</w:t>
      </w:r>
      <w:r w:rsidR="00EE775A" w:rsidRPr="0042336E">
        <w:rPr>
          <w:rFonts w:ascii="Arial" w:hAnsi="Arial" w:cs="Arial"/>
          <w:sz w:val="24"/>
          <w:szCs w:val="24"/>
        </w:rPr>
        <w:t xml:space="preserve"> are more </w:t>
      </w:r>
      <w:r w:rsidR="00800E15" w:rsidRPr="0042336E">
        <w:rPr>
          <w:rFonts w:ascii="Arial" w:hAnsi="Arial" w:cs="Arial"/>
          <w:sz w:val="24"/>
          <w:szCs w:val="24"/>
        </w:rPr>
        <w:t>“</w:t>
      </w:r>
      <w:r w:rsidR="00EE775A" w:rsidRPr="0042336E">
        <w:rPr>
          <w:rFonts w:ascii="Arial" w:hAnsi="Arial" w:cs="Arial"/>
          <w:sz w:val="24"/>
          <w:szCs w:val="24"/>
        </w:rPr>
        <w:t>form over substance</w:t>
      </w:r>
      <w:r w:rsidR="00800E15" w:rsidRPr="0042336E">
        <w:rPr>
          <w:rFonts w:ascii="Arial" w:hAnsi="Arial" w:cs="Arial"/>
          <w:sz w:val="24"/>
          <w:szCs w:val="24"/>
        </w:rPr>
        <w:t>”</w:t>
      </w:r>
      <w:r w:rsidR="00EE775A" w:rsidRPr="0042336E">
        <w:rPr>
          <w:rFonts w:ascii="Arial" w:hAnsi="Arial" w:cs="Arial"/>
          <w:sz w:val="24"/>
          <w:szCs w:val="24"/>
        </w:rPr>
        <w:t xml:space="preserve"> and that the </w:t>
      </w:r>
      <w:r w:rsidR="00D06F64" w:rsidRPr="0042336E">
        <w:rPr>
          <w:rFonts w:ascii="Arial" w:hAnsi="Arial" w:cs="Arial"/>
          <w:sz w:val="24"/>
          <w:szCs w:val="24"/>
        </w:rPr>
        <w:t xml:space="preserve">lack of a defence </w:t>
      </w:r>
      <w:r w:rsidR="00D06F64" w:rsidRPr="0042336E">
        <w:rPr>
          <w:rFonts w:ascii="Arial" w:hAnsi="Arial" w:cs="Arial"/>
          <w:sz w:val="24"/>
          <w:szCs w:val="24"/>
        </w:rPr>
        <w:lastRenderedPageBreak/>
        <w:t xml:space="preserve">should </w:t>
      </w:r>
      <w:r w:rsidR="00E147A3" w:rsidRPr="0042336E">
        <w:rPr>
          <w:rFonts w:ascii="Arial" w:hAnsi="Arial" w:cs="Arial"/>
          <w:sz w:val="24"/>
          <w:szCs w:val="24"/>
        </w:rPr>
        <w:t xml:space="preserve">outweigh any non-compliance by the Applicant. </w:t>
      </w:r>
      <w:r w:rsidR="008A574E" w:rsidRPr="0042336E">
        <w:rPr>
          <w:rFonts w:ascii="Arial" w:hAnsi="Arial" w:cs="Arial"/>
          <w:sz w:val="24"/>
          <w:szCs w:val="24"/>
        </w:rPr>
        <w:t>The Applicant’s contention, that the Court should have regard to substantial compliance</w:t>
      </w:r>
      <w:r w:rsidR="00EF0536" w:rsidRPr="0042336E">
        <w:rPr>
          <w:rFonts w:ascii="Arial" w:hAnsi="Arial" w:cs="Arial"/>
          <w:sz w:val="24"/>
          <w:szCs w:val="24"/>
        </w:rPr>
        <w:t xml:space="preserve"> in exercising its discretion to allow the affidavit into evidence</w:t>
      </w:r>
      <w:r w:rsidR="008A574E" w:rsidRPr="0042336E">
        <w:rPr>
          <w:rFonts w:ascii="Arial" w:hAnsi="Arial" w:cs="Arial"/>
          <w:sz w:val="24"/>
          <w:szCs w:val="24"/>
        </w:rPr>
        <w:t xml:space="preserve">, </w:t>
      </w:r>
      <w:r w:rsidR="00BD0249" w:rsidRPr="0042336E">
        <w:rPr>
          <w:rFonts w:ascii="Arial" w:hAnsi="Arial" w:cs="Arial"/>
          <w:sz w:val="24"/>
          <w:szCs w:val="24"/>
        </w:rPr>
        <w:t>is alluring</w:t>
      </w:r>
      <w:r w:rsidR="001249E8" w:rsidRPr="0042336E">
        <w:rPr>
          <w:rFonts w:ascii="Arial" w:hAnsi="Arial" w:cs="Arial"/>
          <w:sz w:val="24"/>
          <w:szCs w:val="24"/>
        </w:rPr>
        <w:t>.</w:t>
      </w:r>
    </w:p>
    <w:p w14:paraId="4509227D" w14:textId="090B01C7" w:rsidR="00AC490D" w:rsidRPr="0042336E" w:rsidRDefault="0042336E" w:rsidP="0042336E">
      <w:pPr>
        <w:spacing w:before="60" w:after="60" w:line="480" w:lineRule="auto"/>
        <w:ind w:left="357" w:hanging="357"/>
        <w:rPr>
          <w:rFonts w:ascii="Arial" w:hAnsi="Arial" w:cs="Arial"/>
          <w:sz w:val="24"/>
          <w:szCs w:val="24"/>
        </w:rPr>
      </w:pPr>
      <w:r>
        <w:rPr>
          <w:rFonts w:ascii="Arial" w:hAnsi="Arial" w:cs="Arial"/>
          <w:sz w:val="24"/>
          <w:szCs w:val="24"/>
        </w:rPr>
        <w:t>22.</w:t>
      </w:r>
      <w:r>
        <w:rPr>
          <w:rFonts w:ascii="Arial" w:hAnsi="Arial" w:cs="Arial"/>
          <w:sz w:val="24"/>
          <w:szCs w:val="24"/>
        </w:rPr>
        <w:tab/>
      </w:r>
      <w:r w:rsidR="00361F80" w:rsidRPr="0042336E">
        <w:rPr>
          <w:rFonts w:ascii="Arial" w:hAnsi="Arial" w:cs="Arial"/>
          <w:sz w:val="24"/>
          <w:szCs w:val="24"/>
        </w:rPr>
        <w:t xml:space="preserve">However, such an approach </w:t>
      </w:r>
      <w:r w:rsidR="00324C74" w:rsidRPr="0042336E">
        <w:rPr>
          <w:rFonts w:ascii="Arial" w:hAnsi="Arial" w:cs="Arial"/>
          <w:sz w:val="24"/>
          <w:szCs w:val="24"/>
        </w:rPr>
        <w:t>would</w:t>
      </w:r>
      <w:r w:rsidR="00EF0536" w:rsidRPr="0042336E">
        <w:rPr>
          <w:rFonts w:ascii="Arial" w:hAnsi="Arial" w:cs="Arial"/>
          <w:sz w:val="24"/>
          <w:szCs w:val="24"/>
        </w:rPr>
        <w:t>, proverbially,</w:t>
      </w:r>
      <w:r w:rsidR="00324C74" w:rsidRPr="0042336E">
        <w:rPr>
          <w:rFonts w:ascii="Arial" w:hAnsi="Arial" w:cs="Arial"/>
          <w:sz w:val="24"/>
          <w:szCs w:val="24"/>
        </w:rPr>
        <w:t xml:space="preserve"> be putting the cart before the horses. Before the question of substantial compliance </w:t>
      </w:r>
      <w:r w:rsidR="00811D2E" w:rsidRPr="0042336E">
        <w:rPr>
          <w:rFonts w:ascii="Arial" w:hAnsi="Arial" w:cs="Arial"/>
          <w:sz w:val="24"/>
          <w:szCs w:val="24"/>
        </w:rPr>
        <w:t xml:space="preserve">comes into play, the Court must first </w:t>
      </w:r>
      <w:r w:rsidR="00171BBB" w:rsidRPr="0042336E">
        <w:rPr>
          <w:rFonts w:ascii="Arial" w:hAnsi="Arial" w:cs="Arial"/>
          <w:sz w:val="24"/>
          <w:szCs w:val="24"/>
        </w:rPr>
        <w:t xml:space="preserve">be placed </w:t>
      </w:r>
      <w:r w:rsidR="009C76CD" w:rsidRPr="0042336E">
        <w:rPr>
          <w:rFonts w:ascii="Arial" w:hAnsi="Arial" w:cs="Arial"/>
          <w:sz w:val="24"/>
          <w:szCs w:val="24"/>
        </w:rPr>
        <w:t xml:space="preserve">in possession </w:t>
      </w:r>
      <w:r w:rsidR="00E212CD" w:rsidRPr="0042336E">
        <w:rPr>
          <w:rFonts w:ascii="Arial" w:hAnsi="Arial" w:cs="Arial"/>
          <w:sz w:val="24"/>
          <w:szCs w:val="24"/>
        </w:rPr>
        <w:t xml:space="preserve">of </w:t>
      </w:r>
      <w:r w:rsidR="00286358" w:rsidRPr="0042336E">
        <w:rPr>
          <w:rFonts w:ascii="Arial" w:hAnsi="Arial" w:cs="Arial"/>
          <w:sz w:val="24"/>
          <w:szCs w:val="24"/>
        </w:rPr>
        <w:t xml:space="preserve">the case specific </w:t>
      </w:r>
      <w:r w:rsidR="00E212CD" w:rsidRPr="0042336E">
        <w:rPr>
          <w:rFonts w:ascii="Arial" w:hAnsi="Arial" w:cs="Arial"/>
          <w:sz w:val="24"/>
          <w:szCs w:val="24"/>
        </w:rPr>
        <w:t>facts</w:t>
      </w:r>
      <w:r w:rsidR="00286358" w:rsidRPr="0042336E">
        <w:rPr>
          <w:rFonts w:ascii="Arial" w:hAnsi="Arial" w:cs="Arial"/>
          <w:sz w:val="24"/>
          <w:szCs w:val="24"/>
        </w:rPr>
        <w:t xml:space="preserve"> that </w:t>
      </w:r>
      <w:r w:rsidR="000937EE" w:rsidRPr="0042336E">
        <w:rPr>
          <w:rFonts w:ascii="Arial" w:hAnsi="Arial" w:cs="Arial"/>
          <w:sz w:val="24"/>
          <w:szCs w:val="24"/>
        </w:rPr>
        <w:t>underlie the need to consider</w:t>
      </w:r>
      <w:r w:rsidR="00D4744C" w:rsidRPr="0042336E">
        <w:rPr>
          <w:rFonts w:ascii="Arial" w:hAnsi="Arial" w:cs="Arial"/>
          <w:sz w:val="24"/>
          <w:szCs w:val="24"/>
        </w:rPr>
        <w:t xml:space="preserve"> whether there has </w:t>
      </w:r>
      <w:r w:rsidR="00D51CA0" w:rsidRPr="0042336E">
        <w:rPr>
          <w:rFonts w:ascii="Arial" w:hAnsi="Arial" w:cs="Arial"/>
          <w:sz w:val="24"/>
          <w:szCs w:val="24"/>
        </w:rPr>
        <w:t>been substantial</w:t>
      </w:r>
      <w:r w:rsidR="000937EE" w:rsidRPr="0042336E">
        <w:rPr>
          <w:rFonts w:ascii="Arial" w:hAnsi="Arial" w:cs="Arial"/>
          <w:sz w:val="24"/>
          <w:szCs w:val="24"/>
        </w:rPr>
        <w:t xml:space="preserve"> compliance. </w:t>
      </w:r>
      <w:r w:rsidR="00A35570" w:rsidRPr="0042336E">
        <w:rPr>
          <w:rFonts w:ascii="Arial" w:hAnsi="Arial" w:cs="Arial"/>
          <w:sz w:val="24"/>
          <w:szCs w:val="24"/>
        </w:rPr>
        <w:t xml:space="preserve">This is where the facts of this matter diverge from those in </w:t>
      </w:r>
      <w:r w:rsidR="00A35570" w:rsidRPr="0042336E">
        <w:rPr>
          <w:rFonts w:ascii="Arial" w:hAnsi="Arial" w:cs="Arial"/>
          <w:i/>
          <w:iCs/>
          <w:sz w:val="24"/>
          <w:szCs w:val="24"/>
        </w:rPr>
        <w:t>Briedenhann</w:t>
      </w:r>
      <w:r w:rsidR="00A35570" w:rsidRPr="0042336E">
        <w:rPr>
          <w:rFonts w:ascii="Arial" w:hAnsi="Arial" w:cs="Arial"/>
          <w:sz w:val="24"/>
          <w:szCs w:val="24"/>
        </w:rPr>
        <w:t xml:space="preserve">. </w:t>
      </w:r>
      <w:r w:rsidR="002148D7" w:rsidRPr="0042336E">
        <w:rPr>
          <w:rFonts w:ascii="Arial" w:hAnsi="Arial" w:cs="Arial"/>
          <w:sz w:val="24"/>
          <w:szCs w:val="24"/>
        </w:rPr>
        <w:t xml:space="preserve">Whilst in </w:t>
      </w:r>
      <w:r w:rsidR="002148D7" w:rsidRPr="0042336E">
        <w:rPr>
          <w:rFonts w:ascii="Arial" w:hAnsi="Arial" w:cs="Arial"/>
          <w:i/>
          <w:iCs/>
          <w:sz w:val="24"/>
          <w:szCs w:val="24"/>
        </w:rPr>
        <w:t>Brieden</w:t>
      </w:r>
      <w:r w:rsidR="000A0DE2" w:rsidRPr="0042336E">
        <w:rPr>
          <w:rFonts w:ascii="Arial" w:hAnsi="Arial" w:cs="Arial"/>
          <w:i/>
          <w:iCs/>
          <w:sz w:val="24"/>
          <w:szCs w:val="24"/>
        </w:rPr>
        <w:t>h</w:t>
      </w:r>
      <w:r w:rsidR="002148D7" w:rsidRPr="0042336E">
        <w:rPr>
          <w:rFonts w:ascii="Arial" w:hAnsi="Arial" w:cs="Arial"/>
          <w:i/>
          <w:iCs/>
          <w:sz w:val="24"/>
          <w:szCs w:val="24"/>
        </w:rPr>
        <w:t>ann</w:t>
      </w:r>
      <w:r w:rsidR="002148D7" w:rsidRPr="0042336E">
        <w:rPr>
          <w:rFonts w:ascii="Arial" w:hAnsi="Arial" w:cs="Arial"/>
          <w:sz w:val="24"/>
          <w:szCs w:val="24"/>
        </w:rPr>
        <w:t>, Goosen J had the benefit of an explanation</w:t>
      </w:r>
      <w:r w:rsidR="00A35570" w:rsidRPr="0042336E">
        <w:rPr>
          <w:rFonts w:ascii="Arial" w:hAnsi="Arial" w:cs="Arial"/>
          <w:sz w:val="24"/>
          <w:szCs w:val="24"/>
        </w:rPr>
        <w:t xml:space="preserve"> </w:t>
      </w:r>
      <w:r w:rsidR="002148D7" w:rsidRPr="0042336E">
        <w:rPr>
          <w:rFonts w:ascii="Arial" w:hAnsi="Arial" w:cs="Arial"/>
          <w:sz w:val="24"/>
          <w:szCs w:val="24"/>
        </w:rPr>
        <w:t xml:space="preserve">as to the </w:t>
      </w:r>
      <w:r w:rsidR="002B09EA" w:rsidRPr="0042336E">
        <w:rPr>
          <w:rFonts w:ascii="Arial" w:hAnsi="Arial" w:cs="Arial"/>
          <w:sz w:val="24"/>
          <w:szCs w:val="24"/>
        </w:rPr>
        <w:t xml:space="preserve">reasons for non-compliance, </w:t>
      </w:r>
      <w:r w:rsidR="002B09EA" w:rsidRPr="0042336E">
        <w:rPr>
          <w:rFonts w:ascii="Arial" w:hAnsi="Arial" w:cs="Arial"/>
          <w:i/>
          <w:iCs/>
          <w:sz w:val="24"/>
          <w:szCs w:val="24"/>
        </w:rPr>
        <w:t>in casu</w:t>
      </w:r>
      <w:r w:rsidR="002B09EA" w:rsidRPr="0042336E">
        <w:rPr>
          <w:rFonts w:ascii="Arial" w:hAnsi="Arial" w:cs="Arial"/>
          <w:sz w:val="24"/>
          <w:szCs w:val="24"/>
        </w:rPr>
        <w:t xml:space="preserve">, the Court has not been furnished with </w:t>
      </w:r>
      <w:r w:rsidR="000A0DE2" w:rsidRPr="0042336E">
        <w:rPr>
          <w:rFonts w:ascii="Arial" w:hAnsi="Arial" w:cs="Arial"/>
          <w:sz w:val="24"/>
          <w:szCs w:val="24"/>
        </w:rPr>
        <w:t xml:space="preserve">any. </w:t>
      </w:r>
    </w:p>
    <w:p w14:paraId="565EFA60" w14:textId="56DADB6D" w:rsidR="008D6C5E" w:rsidRPr="0042336E" w:rsidRDefault="0042336E" w:rsidP="0042336E">
      <w:pPr>
        <w:spacing w:before="60" w:after="60" w:line="480" w:lineRule="auto"/>
        <w:ind w:left="357" w:hanging="357"/>
        <w:rPr>
          <w:rFonts w:ascii="Arial" w:hAnsi="Arial" w:cs="Arial"/>
          <w:sz w:val="24"/>
          <w:szCs w:val="24"/>
        </w:rPr>
      </w:pPr>
      <w:r>
        <w:rPr>
          <w:rFonts w:ascii="Arial" w:hAnsi="Arial" w:cs="Arial"/>
          <w:sz w:val="24"/>
          <w:szCs w:val="24"/>
        </w:rPr>
        <w:t>23.</w:t>
      </w:r>
      <w:r>
        <w:rPr>
          <w:rFonts w:ascii="Arial" w:hAnsi="Arial" w:cs="Arial"/>
          <w:sz w:val="24"/>
          <w:szCs w:val="24"/>
        </w:rPr>
        <w:tab/>
      </w:r>
      <w:r w:rsidR="00D5610D" w:rsidRPr="0042336E">
        <w:rPr>
          <w:rFonts w:ascii="Arial" w:hAnsi="Arial" w:cs="Arial"/>
          <w:sz w:val="24"/>
          <w:szCs w:val="24"/>
        </w:rPr>
        <w:t xml:space="preserve">As a result, there is no basis for this Court to </w:t>
      </w:r>
      <w:r w:rsidR="00BC6140" w:rsidRPr="0042336E">
        <w:rPr>
          <w:rFonts w:ascii="Arial" w:hAnsi="Arial" w:cs="Arial"/>
          <w:sz w:val="24"/>
          <w:szCs w:val="24"/>
        </w:rPr>
        <w:t xml:space="preserve">exercise its discretion in favour of allowing the </w:t>
      </w:r>
      <w:r w:rsidR="005713CA" w:rsidRPr="0042336E">
        <w:rPr>
          <w:rFonts w:ascii="Arial" w:hAnsi="Arial" w:cs="Arial"/>
          <w:sz w:val="24"/>
          <w:szCs w:val="24"/>
        </w:rPr>
        <w:t xml:space="preserve">non-compliant affidavit in support of summary judgment </w:t>
      </w:r>
      <w:r w:rsidR="005555F2" w:rsidRPr="0042336E">
        <w:rPr>
          <w:rFonts w:ascii="Arial" w:hAnsi="Arial" w:cs="Arial"/>
          <w:sz w:val="24"/>
          <w:szCs w:val="24"/>
        </w:rPr>
        <w:t xml:space="preserve">to stand as an affidavit for purposes of </w:t>
      </w:r>
      <w:r w:rsidR="005100BC" w:rsidRPr="0042336E">
        <w:rPr>
          <w:rFonts w:ascii="Arial" w:hAnsi="Arial" w:cs="Arial"/>
          <w:sz w:val="24"/>
          <w:szCs w:val="24"/>
        </w:rPr>
        <w:t xml:space="preserve">compliance with the provisions of </w:t>
      </w:r>
      <w:r w:rsidR="0055390B" w:rsidRPr="0042336E">
        <w:rPr>
          <w:rFonts w:ascii="Arial" w:hAnsi="Arial" w:cs="Arial"/>
          <w:sz w:val="24"/>
          <w:szCs w:val="24"/>
        </w:rPr>
        <w:t>Rule 32</w:t>
      </w:r>
      <w:r w:rsidR="005100BC" w:rsidRPr="0042336E">
        <w:rPr>
          <w:rFonts w:ascii="Arial" w:hAnsi="Arial" w:cs="Arial"/>
          <w:sz w:val="24"/>
          <w:szCs w:val="24"/>
        </w:rPr>
        <w:t xml:space="preserve">. </w:t>
      </w:r>
      <w:r w:rsidR="00A45144" w:rsidRPr="0042336E">
        <w:rPr>
          <w:rFonts w:ascii="Arial" w:hAnsi="Arial" w:cs="Arial"/>
          <w:sz w:val="24"/>
          <w:szCs w:val="24"/>
        </w:rPr>
        <w:t xml:space="preserve">On this basis alone the application for summary judgment stands to be dismissed. </w:t>
      </w:r>
    </w:p>
    <w:p w14:paraId="26ECEFFD" w14:textId="5E3535D5" w:rsidR="002E1DC2" w:rsidRPr="00383899" w:rsidRDefault="007E5CD8" w:rsidP="007E5CD8">
      <w:pPr>
        <w:tabs>
          <w:tab w:val="right" w:pos="8208"/>
        </w:tabs>
        <w:spacing w:before="240" w:afterLines="60" w:after="144" w:line="480" w:lineRule="auto"/>
        <w:jc w:val="both"/>
        <w:rPr>
          <w:rFonts w:ascii="Arial" w:hAnsi="Arial" w:cs="Arial"/>
          <w:b/>
          <w:bCs/>
          <w:sz w:val="24"/>
          <w:szCs w:val="24"/>
        </w:rPr>
      </w:pPr>
      <w:r>
        <w:rPr>
          <w:rFonts w:ascii="Arial" w:hAnsi="Arial" w:cs="Arial"/>
          <w:b/>
          <w:bCs/>
          <w:sz w:val="24"/>
          <w:szCs w:val="24"/>
        </w:rPr>
        <w:t>THE RULE 46A APPLICATION</w:t>
      </w:r>
    </w:p>
    <w:p w14:paraId="453CB3C7" w14:textId="5A33513C" w:rsidR="00121EE2"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16A4A" w:rsidRPr="0042336E">
        <w:rPr>
          <w:rFonts w:ascii="Arial" w:hAnsi="Arial" w:cs="Arial"/>
          <w:sz w:val="24"/>
          <w:szCs w:val="24"/>
        </w:rPr>
        <w:t xml:space="preserve">Having </w:t>
      </w:r>
      <w:r w:rsidR="00E76A6D" w:rsidRPr="0042336E">
        <w:rPr>
          <w:rFonts w:ascii="Arial" w:hAnsi="Arial" w:cs="Arial"/>
          <w:sz w:val="24"/>
          <w:szCs w:val="24"/>
        </w:rPr>
        <w:t>already found that the summary judgment application stands to be dismissed, a</w:t>
      </w:r>
      <w:r w:rsidR="00E8662E" w:rsidRPr="0042336E">
        <w:rPr>
          <w:rFonts w:ascii="Arial" w:hAnsi="Arial" w:cs="Arial"/>
          <w:sz w:val="24"/>
          <w:szCs w:val="24"/>
        </w:rPr>
        <w:t xml:space="preserve">n </w:t>
      </w:r>
      <w:r w:rsidR="00E76A6D" w:rsidRPr="0042336E">
        <w:rPr>
          <w:rFonts w:ascii="Arial" w:hAnsi="Arial" w:cs="Arial"/>
          <w:sz w:val="24"/>
          <w:szCs w:val="24"/>
        </w:rPr>
        <w:t xml:space="preserve">evaluation of the Rule 46A application </w:t>
      </w:r>
      <w:r w:rsidR="00652FDD" w:rsidRPr="0042336E">
        <w:rPr>
          <w:rFonts w:ascii="Arial" w:hAnsi="Arial" w:cs="Arial"/>
          <w:sz w:val="24"/>
          <w:szCs w:val="24"/>
        </w:rPr>
        <w:t xml:space="preserve">itself is unnecessary. However, </w:t>
      </w:r>
      <w:r w:rsidR="00D27361" w:rsidRPr="0042336E">
        <w:rPr>
          <w:rFonts w:ascii="Arial" w:hAnsi="Arial" w:cs="Arial"/>
          <w:sz w:val="24"/>
          <w:szCs w:val="24"/>
        </w:rPr>
        <w:t xml:space="preserve">insofar as the objections raised </w:t>
      </w:r>
      <w:r w:rsidR="002C0081" w:rsidRPr="0042336E">
        <w:rPr>
          <w:rFonts w:ascii="Arial" w:hAnsi="Arial" w:cs="Arial"/>
          <w:sz w:val="24"/>
          <w:szCs w:val="24"/>
        </w:rPr>
        <w:t xml:space="preserve">to the Rule 46A application also constitute </w:t>
      </w:r>
      <w:r w:rsidR="00855AB2" w:rsidRPr="0042336E">
        <w:rPr>
          <w:rFonts w:ascii="Arial" w:hAnsi="Arial" w:cs="Arial"/>
          <w:sz w:val="24"/>
          <w:szCs w:val="24"/>
        </w:rPr>
        <w:t>possible defences or objections for purposes of the summary judgment application</w:t>
      </w:r>
      <w:r w:rsidR="00040983" w:rsidRPr="0042336E">
        <w:rPr>
          <w:rFonts w:ascii="Arial" w:hAnsi="Arial" w:cs="Arial"/>
          <w:sz w:val="24"/>
          <w:szCs w:val="24"/>
        </w:rPr>
        <w:t xml:space="preserve">, </w:t>
      </w:r>
      <w:r w:rsidR="006E471B" w:rsidRPr="0042336E">
        <w:rPr>
          <w:rFonts w:ascii="Arial" w:hAnsi="Arial" w:cs="Arial"/>
          <w:sz w:val="24"/>
          <w:szCs w:val="24"/>
        </w:rPr>
        <w:t>I consider it prudent to address the</w:t>
      </w:r>
      <w:r w:rsidR="005713CA" w:rsidRPr="0042336E">
        <w:rPr>
          <w:rFonts w:ascii="Arial" w:hAnsi="Arial" w:cs="Arial"/>
          <w:sz w:val="24"/>
          <w:szCs w:val="24"/>
        </w:rPr>
        <w:t xml:space="preserve"> </w:t>
      </w:r>
      <w:r w:rsidR="0012170E" w:rsidRPr="0042336E">
        <w:rPr>
          <w:rFonts w:ascii="Arial" w:hAnsi="Arial" w:cs="Arial"/>
          <w:sz w:val="24"/>
          <w:szCs w:val="24"/>
        </w:rPr>
        <w:t>most pertinent</w:t>
      </w:r>
      <w:r w:rsidR="006E471B" w:rsidRPr="0042336E">
        <w:rPr>
          <w:rFonts w:ascii="Arial" w:hAnsi="Arial" w:cs="Arial"/>
          <w:sz w:val="24"/>
          <w:szCs w:val="24"/>
        </w:rPr>
        <w:t xml:space="preserve"> submissions made in this regard.</w:t>
      </w:r>
    </w:p>
    <w:p w14:paraId="32984B27" w14:textId="73FA51F8" w:rsidR="00BB73B7"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15931" w:rsidRPr="0042336E">
        <w:rPr>
          <w:rFonts w:ascii="Arial" w:hAnsi="Arial" w:cs="Arial"/>
          <w:sz w:val="24"/>
          <w:szCs w:val="24"/>
        </w:rPr>
        <w:t xml:space="preserve">In its particulars of claim, the Applicant drew the </w:t>
      </w:r>
      <w:r w:rsidR="00CF20F7" w:rsidRPr="0042336E">
        <w:rPr>
          <w:rFonts w:ascii="Arial" w:hAnsi="Arial" w:cs="Arial"/>
          <w:sz w:val="24"/>
          <w:szCs w:val="24"/>
        </w:rPr>
        <w:t>Respondents’ attention to S26 of the Constitution</w:t>
      </w:r>
      <w:r w:rsidR="00AC4117" w:rsidRPr="0042336E">
        <w:rPr>
          <w:rFonts w:ascii="Arial" w:hAnsi="Arial" w:cs="Arial"/>
          <w:sz w:val="24"/>
          <w:szCs w:val="24"/>
        </w:rPr>
        <w:t xml:space="preserve">. </w:t>
      </w:r>
      <w:r w:rsidR="00A220F3" w:rsidRPr="0042336E">
        <w:rPr>
          <w:rFonts w:ascii="Arial" w:hAnsi="Arial" w:cs="Arial"/>
          <w:sz w:val="24"/>
          <w:szCs w:val="24"/>
        </w:rPr>
        <w:t xml:space="preserve">In the event that they allege </w:t>
      </w:r>
      <w:r w:rsidR="008B4233" w:rsidRPr="0042336E">
        <w:rPr>
          <w:rFonts w:ascii="Arial" w:hAnsi="Arial" w:cs="Arial"/>
          <w:sz w:val="24"/>
          <w:szCs w:val="24"/>
        </w:rPr>
        <w:t>there are factors relevant to the Court’s determination regarding the special executability of the property, t</w:t>
      </w:r>
      <w:r w:rsidR="00A220F3" w:rsidRPr="0042336E">
        <w:rPr>
          <w:rFonts w:ascii="Arial" w:hAnsi="Arial" w:cs="Arial"/>
          <w:sz w:val="24"/>
          <w:szCs w:val="24"/>
        </w:rPr>
        <w:t xml:space="preserve">he </w:t>
      </w:r>
      <w:r w:rsidR="00AC4117" w:rsidRPr="0042336E">
        <w:rPr>
          <w:rFonts w:ascii="Arial" w:hAnsi="Arial" w:cs="Arial"/>
          <w:sz w:val="24"/>
          <w:szCs w:val="24"/>
        </w:rPr>
        <w:t xml:space="preserve">Respondents were called upon </w:t>
      </w:r>
      <w:r w:rsidR="008B4233" w:rsidRPr="0042336E">
        <w:rPr>
          <w:rFonts w:ascii="Arial" w:hAnsi="Arial" w:cs="Arial"/>
          <w:i/>
          <w:iCs/>
          <w:sz w:val="24"/>
          <w:szCs w:val="24"/>
        </w:rPr>
        <w:t>“…</w:t>
      </w:r>
      <w:r w:rsidR="00AC4117" w:rsidRPr="0042336E">
        <w:rPr>
          <w:rFonts w:ascii="Arial" w:hAnsi="Arial" w:cs="Arial"/>
          <w:i/>
          <w:iCs/>
          <w:sz w:val="24"/>
          <w:szCs w:val="24"/>
        </w:rPr>
        <w:t xml:space="preserve">to </w:t>
      </w:r>
      <w:r w:rsidR="00A220F3" w:rsidRPr="0042336E">
        <w:rPr>
          <w:rFonts w:ascii="Arial" w:hAnsi="Arial" w:cs="Arial"/>
          <w:i/>
          <w:iCs/>
          <w:sz w:val="24"/>
          <w:szCs w:val="24"/>
        </w:rPr>
        <w:t>place such information and/or circumstances before the above mentioned Honourable Court</w:t>
      </w:r>
      <w:r w:rsidR="00A220F3" w:rsidRPr="0042336E">
        <w:rPr>
          <w:rFonts w:ascii="Arial" w:hAnsi="Arial" w:cs="Arial"/>
          <w:sz w:val="24"/>
          <w:szCs w:val="24"/>
        </w:rPr>
        <w:t>.</w:t>
      </w:r>
      <w:r w:rsidR="008B4233" w:rsidRPr="0042336E">
        <w:rPr>
          <w:rFonts w:ascii="Arial" w:hAnsi="Arial" w:cs="Arial"/>
          <w:sz w:val="24"/>
          <w:szCs w:val="24"/>
        </w:rPr>
        <w:t>”</w:t>
      </w:r>
      <w:r w:rsidR="006F4ED6" w:rsidRPr="0042336E">
        <w:rPr>
          <w:rFonts w:ascii="Arial" w:hAnsi="Arial" w:cs="Arial"/>
          <w:sz w:val="24"/>
          <w:szCs w:val="24"/>
        </w:rPr>
        <w:t xml:space="preserve"> In terms of the particulars of claim, the Applicant denied any knowledge of whether the property </w:t>
      </w:r>
      <w:r w:rsidR="006F4ED6" w:rsidRPr="0042336E">
        <w:rPr>
          <w:rFonts w:ascii="Arial" w:hAnsi="Arial" w:cs="Arial"/>
          <w:sz w:val="24"/>
          <w:szCs w:val="24"/>
        </w:rPr>
        <w:lastRenderedPageBreak/>
        <w:t>constituted a primary residence or not</w:t>
      </w:r>
      <w:r w:rsidR="00631517" w:rsidRPr="0042336E">
        <w:rPr>
          <w:rFonts w:ascii="Arial" w:hAnsi="Arial" w:cs="Arial"/>
          <w:sz w:val="24"/>
          <w:szCs w:val="24"/>
        </w:rPr>
        <w:t>. The Respondents, in their plea</w:t>
      </w:r>
      <w:r w:rsidR="00195FC1" w:rsidRPr="0042336E">
        <w:rPr>
          <w:rFonts w:ascii="Arial" w:hAnsi="Arial" w:cs="Arial"/>
          <w:sz w:val="24"/>
          <w:szCs w:val="24"/>
        </w:rPr>
        <w:t xml:space="preserve">, indicated that it was in fact their and/or their extended family’s primary residence. </w:t>
      </w:r>
    </w:p>
    <w:p w14:paraId="71E0A31C" w14:textId="54A84E8C" w:rsidR="00871DB0"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36F79" w:rsidRPr="0042336E">
        <w:rPr>
          <w:rFonts w:ascii="Arial" w:hAnsi="Arial" w:cs="Arial"/>
          <w:sz w:val="24"/>
          <w:szCs w:val="24"/>
        </w:rPr>
        <w:t>In the founding affidavit to the summary judgment</w:t>
      </w:r>
      <w:r w:rsidR="007939EE" w:rsidRPr="0042336E">
        <w:rPr>
          <w:rFonts w:ascii="Arial" w:hAnsi="Arial" w:cs="Arial"/>
          <w:sz w:val="24"/>
          <w:szCs w:val="24"/>
        </w:rPr>
        <w:t xml:space="preserve">, </w:t>
      </w:r>
      <w:r w:rsidR="00A81330" w:rsidRPr="0042336E">
        <w:rPr>
          <w:rFonts w:ascii="Arial" w:hAnsi="Arial" w:cs="Arial"/>
          <w:sz w:val="24"/>
          <w:szCs w:val="24"/>
        </w:rPr>
        <w:t xml:space="preserve">the deponent </w:t>
      </w:r>
      <w:r w:rsidR="003548D6" w:rsidRPr="0042336E">
        <w:rPr>
          <w:rFonts w:ascii="Arial" w:hAnsi="Arial" w:cs="Arial"/>
          <w:sz w:val="24"/>
          <w:szCs w:val="24"/>
        </w:rPr>
        <w:t xml:space="preserve">submitted that </w:t>
      </w:r>
      <w:r w:rsidR="00590E8A" w:rsidRPr="0042336E">
        <w:rPr>
          <w:rFonts w:ascii="Arial" w:hAnsi="Arial" w:cs="Arial"/>
          <w:sz w:val="24"/>
          <w:szCs w:val="24"/>
        </w:rPr>
        <w:t xml:space="preserve">as the </w:t>
      </w:r>
      <w:r w:rsidR="003548D6" w:rsidRPr="0042336E">
        <w:rPr>
          <w:rFonts w:ascii="Arial" w:hAnsi="Arial" w:cs="Arial"/>
          <w:sz w:val="24"/>
          <w:szCs w:val="24"/>
        </w:rPr>
        <w:t xml:space="preserve">Respondents </w:t>
      </w:r>
      <w:r w:rsidR="00590E8A" w:rsidRPr="0042336E">
        <w:rPr>
          <w:rFonts w:ascii="Arial" w:hAnsi="Arial" w:cs="Arial"/>
          <w:sz w:val="24"/>
          <w:szCs w:val="24"/>
        </w:rPr>
        <w:t xml:space="preserve">had failed </w:t>
      </w:r>
      <w:r w:rsidR="003548D6" w:rsidRPr="0042336E">
        <w:rPr>
          <w:rFonts w:ascii="Arial" w:hAnsi="Arial" w:cs="Arial"/>
          <w:sz w:val="24"/>
          <w:szCs w:val="24"/>
        </w:rPr>
        <w:t>to provide specificity regarding their family members or financial position</w:t>
      </w:r>
      <w:r w:rsidR="00590E8A" w:rsidRPr="0042336E">
        <w:rPr>
          <w:rFonts w:ascii="Arial" w:hAnsi="Arial" w:cs="Arial"/>
          <w:sz w:val="24"/>
          <w:szCs w:val="24"/>
        </w:rPr>
        <w:t xml:space="preserve">, </w:t>
      </w:r>
      <w:r w:rsidR="00B447AA" w:rsidRPr="0042336E">
        <w:rPr>
          <w:rFonts w:ascii="Arial" w:hAnsi="Arial" w:cs="Arial"/>
          <w:i/>
          <w:iCs/>
          <w:sz w:val="24"/>
          <w:szCs w:val="24"/>
        </w:rPr>
        <w:t>“…(o)n the preponderance of information before this Honourable Court at present the Second and Third Respondents' right to adequate housing as contemplated by Section 26 of the Constitution will not be unduly infringed if execution is granted in these circumstances</w:t>
      </w:r>
      <w:r w:rsidR="00B447AA" w:rsidRPr="0042336E">
        <w:rPr>
          <w:rFonts w:ascii="Arial" w:hAnsi="Arial" w:cs="Arial"/>
          <w:sz w:val="24"/>
          <w:szCs w:val="24"/>
        </w:rPr>
        <w:t>.”</w:t>
      </w:r>
      <w:r w:rsidR="007E4B24" w:rsidRPr="0042336E">
        <w:rPr>
          <w:rFonts w:ascii="Arial" w:hAnsi="Arial" w:cs="Arial"/>
          <w:sz w:val="24"/>
          <w:szCs w:val="24"/>
        </w:rPr>
        <w:t xml:space="preserve"> </w:t>
      </w:r>
    </w:p>
    <w:p w14:paraId="3CA94DB4" w14:textId="08F89FE5" w:rsidR="000F24E8"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871CD" w:rsidRPr="0042336E">
        <w:rPr>
          <w:rFonts w:ascii="Arial" w:hAnsi="Arial" w:cs="Arial"/>
          <w:sz w:val="24"/>
          <w:szCs w:val="24"/>
        </w:rPr>
        <w:t>As evidence</w:t>
      </w:r>
      <w:r w:rsidR="00647DA5" w:rsidRPr="0042336E">
        <w:rPr>
          <w:rFonts w:ascii="Arial" w:hAnsi="Arial" w:cs="Arial"/>
          <w:sz w:val="24"/>
          <w:szCs w:val="24"/>
        </w:rPr>
        <w:t xml:space="preserve"> in action proceedings is </w:t>
      </w:r>
      <w:r w:rsidR="00AA0116" w:rsidRPr="0042336E">
        <w:rPr>
          <w:rFonts w:ascii="Arial" w:hAnsi="Arial" w:cs="Arial"/>
          <w:sz w:val="24"/>
          <w:szCs w:val="24"/>
        </w:rPr>
        <w:t xml:space="preserve">not </w:t>
      </w:r>
      <w:r w:rsidR="00647DA5" w:rsidRPr="0042336E">
        <w:rPr>
          <w:rFonts w:ascii="Arial" w:hAnsi="Arial" w:cs="Arial"/>
          <w:sz w:val="24"/>
          <w:szCs w:val="24"/>
        </w:rPr>
        <w:t>contained in the plea, the complaint of lack of specificity</w:t>
      </w:r>
      <w:r w:rsidR="00AA0116" w:rsidRPr="0042336E">
        <w:rPr>
          <w:rFonts w:ascii="Arial" w:hAnsi="Arial" w:cs="Arial"/>
          <w:sz w:val="24"/>
          <w:szCs w:val="24"/>
        </w:rPr>
        <w:t xml:space="preserve"> (at the stage of pleading)</w:t>
      </w:r>
      <w:r w:rsidR="00647DA5" w:rsidRPr="0042336E">
        <w:rPr>
          <w:rFonts w:ascii="Arial" w:hAnsi="Arial" w:cs="Arial"/>
          <w:sz w:val="24"/>
          <w:szCs w:val="24"/>
        </w:rPr>
        <w:t xml:space="preserve"> </w:t>
      </w:r>
      <w:r w:rsidR="00562A1A" w:rsidRPr="0042336E">
        <w:rPr>
          <w:rFonts w:ascii="Arial" w:hAnsi="Arial" w:cs="Arial"/>
          <w:sz w:val="24"/>
          <w:szCs w:val="24"/>
        </w:rPr>
        <w:t>is unwarranted.</w:t>
      </w:r>
      <w:r w:rsidR="00FA6B2F" w:rsidRPr="0042336E">
        <w:rPr>
          <w:rFonts w:ascii="Arial" w:hAnsi="Arial" w:cs="Arial"/>
          <w:sz w:val="24"/>
          <w:szCs w:val="24"/>
        </w:rPr>
        <w:t xml:space="preserve"> </w:t>
      </w:r>
      <w:r w:rsidR="00E8576B" w:rsidRPr="0042336E">
        <w:rPr>
          <w:rFonts w:ascii="Arial" w:hAnsi="Arial" w:cs="Arial"/>
          <w:sz w:val="24"/>
          <w:szCs w:val="24"/>
        </w:rPr>
        <w:t>The position however changed after the summary judgment application</w:t>
      </w:r>
      <w:r w:rsidR="00282E5E" w:rsidRPr="0042336E">
        <w:rPr>
          <w:rFonts w:ascii="Arial" w:hAnsi="Arial" w:cs="Arial"/>
          <w:sz w:val="24"/>
          <w:szCs w:val="24"/>
        </w:rPr>
        <w:t xml:space="preserve"> (encompassing a Rule 46A application) was served. As was stated in </w:t>
      </w:r>
      <w:r w:rsidR="00B4198F" w:rsidRPr="0042336E">
        <w:rPr>
          <w:rFonts w:ascii="Arial" w:hAnsi="Arial" w:cs="Arial"/>
          <w:i/>
          <w:iCs/>
          <w:sz w:val="24"/>
          <w:szCs w:val="24"/>
        </w:rPr>
        <w:t>NPGS Protection and Security Services CC and Another v FirstRand Bank Ltd</w:t>
      </w:r>
      <w:r w:rsidR="0019270F" w:rsidRPr="0042336E">
        <w:rPr>
          <w:rFonts w:ascii="Arial" w:hAnsi="Arial" w:cs="Arial"/>
          <w:sz w:val="24"/>
          <w:szCs w:val="24"/>
        </w:rPr>
        <w:t xml:space="preserve"> (“</w:t>
      </w:r>
      <w:r w:rsidR="0019270F" w:rsidRPr="0042336E">
        <w:rPr>
          <w:rFonts w:ascii="Arial" w:hAnsi="Arial" w:cs="Arial"/>
          <w:i/>
          <w:iCs/>
          <w:sz w:val="24"/>
          <w:szCs w:val="24"/>
        </w:rPr>
        <w:t>NPGS</w:t>
      </w:r>
      <w:r w:rsidR="0019270F" w:rsidRPr="0042336E">
        <w:rPr>
          <w:rFonts w:ascii="Arial" w:hAnsi="Arial" w:cs="Arial"/>
          <w:sz w:val="24"/>
          <w:szCs w:val="24"/>
        </w:rPr>
        <w:t>”)</w:t>
      </w:r>
      <w:r w:rsidR="00282E5E" w:rsidRPr="0042336E">
        <w:rPr>
          <w:rFonts w:ascii="Arial" w:hAnsi="Arial" w:cs="Arial"/>
          <w:sz w:val="24"/>
          <w:szCs w:val="24"/>
        </w:rPr>
        <w:t>:</w:t>
      </w:r>
      <w:r w:rsidR="0019270F">
        <w:rPr>
          <w:rStyle w:val="FootnoteReference"/>
          <w:rFonts w:ascii="Arial" w:hAnsi="Arial" w:cs="Arial"/>
          <w:sz w:val="24"/>
          <w:szCs w:val="24"/>
        </w:rPr>
        <w:footnoteReference w:id="7"/>
      </w:r>
    </w:p>
    <w:p w14:paraId="23CE6E6E" w14:textId="5D0D4505" w:rsidR="00282E5E" w:rsidRPr="0019270F" w:rsidRDefault="0019270F" w:rsidP="00D4557D">
      <w:pPr>
        <w:pStyle w:val="ListParagraph"/>
        <w:tabs>
          <w:tab w:val="right" w:pos="8208"/>
        </w:tabs>
        <w:spacing w:before="60" w:afterLines="60" w:after="144" w:line="360" w:lineRule="auto"/>
        <w:ind w:left="360"/>
        <w:contextualSpacing w:val="0"/>
        <w:jc w:val="both"/>
        <w:rPr>
          <w:rFonts w:ascii="Arial" w:hAnsi="Arial" w:cs="Arial"/>
          <w:i/>
          <w:iCs/>
          <w:sz w:val="24"/>
          <w:szCs w:val="24"/>
        </w:rPr>
      </w:pPr>
      <w:r w:rsidRPr="0019270F">
        <w:rPr>
          <w:rFonts w:ascii="Arial" w:hAnsi="Arial" w:cs="Arial"/>
          <w:i/>
          <w:iCs/>
          <w:sz w:val="24"/>
          <w:szCs w:val="24"/>
        </w:rPr>
        <w:t>“</w:t>
      </w:r>
      <w:r w:rsidR="00282E5E" w:rsidRPr="0019270F">
        <w:rPr>
          <w:rFonts w:ascii="Arial" w:hAnsi="Arial" w:cs="Arial"/>
          <w:i/>
          <w:iCs/>
          <w:sz w:val="24"/>
          <w:szCs w:val="24"/>
        </w:rPr>
        <w:t>[55] From this review of the relevant jurisprudence, it is clear that in a case of an application for default judgment, a court, in its discretion, needs to ensure that it is possessed with adequate information to enable it to grant a remedy which complies with these requirements. In the case of an application for summary judgment, provided the creditor has complied with the requirements of rule 46(A), there is an onus on the debtor, at the very least, to provide the court with information concerning whether the property is his or her personal residence, whether it is a primary residence, whether there are other means available to discharge the debt and whether there is a disproportionality between the execution and other possible means to exact payment of the judgment debt.</w:t>
      </w:r>
      <w:r w:rsidRPr="0019270F">
        <w:rPr>
          <w:rFonts w:ascii="Arial" w:hAnsi="Arial" w:cs="Arial"/>
          <w:i/>
          <w:iCs/>
          <w:sz w:val="24"/>
          <w:szCs w:val="24"/>
        </w:rPr>
        <w:t>”</w:t>
      </w:r>
    </w:p>
    <w:p w14:paraId="3DB354F1" w14:textId="32E8B18B" w:rsidR="00282E5E"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67D47" w:rsidRPr="0042336E">
        <w:rPr>
          <w:rFonts w:ascii="Arial" w:hAnsi="Arial" w:cs="Arial"/>
          <w:sz w:val="24"/>
          <w:szCs w:val="24"/>
        </w:rPr>
        <w:t>The Applicant, in its heads of argument</w:t>
      </w:r>
      <w:r w:rsidR="008739C4" w:rsidRPr="0042336E">
        <w:rPr>
          <w:rFonts w:ascii="Arial" w:hAnsi="Arial" w:cs="Arial"/>
          <w:sz w:val="24"/>
          <w:szCs w:val="24"/>
        </w:rPr>
        <w:t>, again,</w:t>
      </w:r>
      <w:r w:rsidR="00767D47" w:rsidRPr="0042336E">
        <w:rPr>
          <w:rFonts w:ascii="Arial" w:hAnsi="Arial" w:cs="Arial"/>
          <w:sz w:val="24"/>
          <w:szCs w:val="24"/>
        </w:rPr>
        <w:t xml:space="preserve"> contended that </w:t>
      </w:r>
      <w:r w:rsidR="002519C9" w:rsidRPr="0042336E">
        <w:rPr>
          <w:rFonts w:ascii="Arial" w:hAnsi="Arial" w:cs="Arial"/>
          <w:sz w:val="24"/>
          <w:szCs w:val="24"/>
        </w:rPr>
        <w:t xml:space="preserve">the Respondents have </w:t>
      </w:r>
      <w:r w:rsidR="00307937" w:rsidRPr="0042336E">
        <w:rPr>
          <w:rFonts w:ascii="Arial" w:hAnsi="Arial" w:cs="Arial"/>
          <w:sz w:val="24"/>
          <w:szCs w:val="24"/>
        </w:rPr>
        <w:t>not provided suffi</w:t>
      </w:r>
      <w:r w:rsidR="00926EB3" w:rsidRPr="0042336E">
        <w:rPr>
          <w:rFonts w:ascii="Arial" w:hAnsi="Arial" w:cs="Arial"/>
          <w:sz w:val="24"/>
          <w:szCs w:val="24"/>
        </w:rPr>
        <w:t>cie</w:t>
      </w:r>
      <w:r w:rsidR="00A71515" w:rsidRPr="0042336E">
        <w:rPr>
          <w:rFonts w:ascii="Arial" w:hAnsi="Arial" w:cs="Arial"/>
          <w:sz w:val="24"/>
          <w:szCs w:val="24"/>
        </w:rPr>
        <w:t>n</w:t>
      </w:r>
      <w:r w:rsidR="00307937" w:rsidRPr="0042336E">
        <w:rPr>
          <w:rFonts w:ascii="Arial" w:hAnsi="Arial" w:cs="Arial"/>
          <w:sz w:val="24"/>
          <w:szCs w:val="24"/>
        </w:rPr>
        <w:t xml:space="preserve">t information to the Court regarding their claim that the property </w:t>
      </w:r>
      <w:r w:rsidR="00926EB3" w:rsidRPr="0042336E">
        <w:rPr>
          <w:rFonts w:ascii="Arial" w:hAnsi="Arial" w:cs="Arial"/>
          <w:sz w:val="24"/>
          <w:szCs w:val="24"/>
        </w:rPr>
        <w:t xml:space="preserve">constitutes a primary residence. The Court was referred to the following </w:t>
      </w:r>
      <w:r w:rsidR="00E31F2C" w:rsidRPr="0042336E">
        <w:rPr>
          <w:rFonts w:ascii="Arial" w:hAnsi="Arial" w:cs="Arial"/>
          <w:sz w:val="24"/>
          <w:szCs w:val="24"/>
        </w:rPr>
        <w:t>extract from paragraph 67 of</w:t>
      </w:r>
      <w:r w:rsidR="00926EB3" w:rsidRPr="0042336E">
        <w:rPr>
          <w:rFonts w:ascii="Arial" w:hAnsi="Arial" w:cs="Arial"/>
          <w:sz w:val="24"/>
          <w:szCs w:val="24"/>
        </w:rPr>
        <w:t xml:space="preserve"> </w:t>
      </w:r>
      <w:r w:rsidR="00926EB3" w:rsidRPr="0042336E">
        <w:rPr>
          <w:rFonts w:ascii="Arial" w:hAnsi="Arial" w:cs="Arial"/>
          <w:i/>
          <w:iCs/>
          <w:sz w:val="24"/>
          <w:szCs w:val="24"/>
        </w:rPr>
        <w:t>NPGS</w:t>
      </w:r>
      <w:r w:rsidR="00926EB3" w:rsidRPr="0042336E">
        <w:rPr>
          <w:rFonts w:ascii="Arial" w:hAnsi="Arial" w:cs="Arial"/>
          <w:sz w:val="24"/>
          <w:szCs w:val="24"/>
        </w:rPr>
        <w:t>:</w:t>
      </w:r>
    </w:p>
    <w:p w14:paraId="6D5115E8" w14:textId="428C4307" w:rsidR="00E31F2C" w:rsidRPr="00D17AC7" w:rsidRDefault="00926EB3" w:rsidP="00D4557D">
      <w:pPr>
        <w:pStyle w:val="ListParagraph"/>
        <w:tabs>
          <w:tab w:val="right" w:pos="8208"/>
        </w:tabs>
        <w:spacing w:before="60" w:afterLines="60" w:after="144" w:line="360" w:lineRule="auto"/>
        <w:ind w:left="425"/>
        <w:contextualSpacing w:val="0"/>
        <w:jc w:val="both"/>
        <w:rPr>
          <w:rFonts w:ascii="Arial" w:hAnsi="Arial" w:cs="Arial"/>
          <w:i/>
          <w:iCs/>
          <w:sz w:val="24"/>
          <w:szCs w:val="24"/>
        </w:rPr>
      </w:pPr>
      <w:r w:rsidRPr="00926EB3">
        <w:rPr>
          <w:rFonts w:ascii="Arial" w:hAnsi="Arial" w:cs="Arial"/>
          <w:sz w:val="24"/>
          <w:szCs w:val="24"/>
        </w:rPr>
        <w:t>"</w:t>
      </w:r>
      <w:r w:rsidR="00A42E00">
        <w:rPr>
          <w:rFonts w:ascii="Arial" w:hAnsi="Arial" w:cs="Arial"/>
          <w:sz w:val="24"/>
          <w:szCs w:val="24"/>
        </w:rPr>
        <w:t>…..</w:t>
      </w:r>
      <w:r w:rsidR="00CC47DD" w:rsidRPr="00A71515">
        <w:rPr>
          <w:rFonts w:ascii="Arial" w:hAnsi="Arial" w:cs="Arial"/>
          <w:i/>
          <w:iCs/>
          <w:sz w:val="24"/>
          <w:szCs w:val="24"/>
        </w:rPr>
        <w:t>I</w:t>
      </w:r>
      <w:r w:rsidRPr="00A71515">
        <w:rPr>
          <w:rFonts w:ascii="Arial" w:hAnsi="Arial" w:cs="Arial"/>
          <w:i/>
          <w:iCs/>
          <w:sz w:val="24"/>
          <w:szCs w:val="24"/>
        </w:rPr>
        <w:t>n imposing an obligation upon a court</w:t>
      </w:r>
      <w:r w:rsidR="00CC47DD" w:rsidRPr="00A71515">
        <w:rPr>
          <w:rFonts w:ascii="Arial" w:hAnsi="Arial" w:cs="Arial"/>
          <w:i/>
          <w:iCs/>
          <w:sz w:val="24"/>
          <w:szCs w:val="24"/>
        </w:rPr>
        <w:t xml:space="preserve"> </w:t>
      </w:r>
      <w:r w:rsidRPr="00A71515">
        <w:rPr>
          <w:rFonts w:ascii="Arial" w:hAnsi="Arial" w:cs="Arial"/>
          <w:i/>
          <w:iCs/>
          <w:sz w:val="24"/>
          <w:szCs w:val="24"/>
        </w:rPr>
        <w:t xml:space="preserve">in this case when one vague and unspecified mention of a personal residence without more suffices as a defence or even a justification for remitting </w:t>
      </w:r>
      <w:r w:rsidRPr="00A71515">
        <w:rPr>
          <w:rFonts w:ascii="Arial" w:hAnsi="Arial" w:cs="Arial"/>
          <w:i/>
          <w:iCs/>
          <w:sz w:val="24"/>
          <w:szCs w:val="24"/>
        </w:rPr>
        <w:lastRenderedPageBreak/>
        <w:t>a case back to the court a quo, would in my view, cause significant uncertainty, and arguably serious damage to the efficient provision of credit</w:t>
      </w:r>
      <w:r w:rsidR="00CC47DD" w:rsidRPr="00A71515">
        <w:rPr>
          <w:rFonts w:ascii="Arial" w:hAnsi="Arial" w:cs="Arial"/>
          <w:i/>
          <w:iCs/>
          <w:sz w:val="24"/>
          <w:szCs w:val="24"/>
        </w:rPr>
        <w:t xml:space="preserve"> </w:t>
      </w:r>
      <w:r w:rsidRPr="00A71515">
        <w:rPr>
          <w:rFonts w:ascii="Arial" w:hAnsi="Arial" w:cs="Arial"/>
          <w:i/>
          <w:iCs/>
          <w:sz w:val="24"/>
          <w:szCs w:val="24"/>
        </w:rPr>
        <w:t>in the economy.</w:t>
      </w:r>
      <w:r w:rsidR="00A71515">
        <w:rPr>
          <w:rFonts w:ascii="Arial" w:hAnsi="Arial" w:cs="Arial"/>
          <w:i/>
          <w:iCs/>
          <w:sz w:val="24"/>
          <w:szCs w:val="24"/>
        </w:rPr>
        <w:t>”</w:t>
      </w:r>
      <w:r w:rsidR="005470C7">
        <w:rPr>
          <w:rStyle w:val="FootnoteReference"/>
          <w:rFonts w:ascii="Arial" w:hAnsi="Arial" w:cs="Arial"/>
          <w:i/>
          <w:iCs/>
          <w:sz w:val="24"/>
          <w:szCs w:val="24"/>
        </w:rPr>
        <w:footnoteReference w:id="8"/>
      </w:r>
    </w:p>
    <w:p w14:paraId="73CEA84D" w14:textId="2523BFBD" w:rsidR="001D5DCC"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C1E12" w:rsidRPr="0042336E">
        <w:rPr>
          <w:rFonts w:ascii="Arial" w:hAnsi="Arial" w:cs="Arial"/>
          <w:sz w:val="24"/>
          <w:szCs w:val="24"/>
        </w:rPr>
        <w:t xml:space="preserve">The factual matrix </w:t>
      </w:r>
      <w:r w:rsidR="002A4CF5" w:rsidRPr="0042336E">
        <w:rPr>
          <w:rFonts w:ascii="Arial" w:hAnsi="Arial" w:cs="Arial"/>
          <w:sz w:val="24"/>
          <w:szCs w:val="24"/>
        </w:rPr>
        <w:t xml:space="preserve">in NPGS, however, </w:t>
      </w:r>
      <w:r w:rsidR="00641676" w:rsidRPr="0042336E">
        <w:rPr>
          <w:rFonts w:ascii="Arial" w:hAnsi="Arial" w:cs="Arial"/>
          <w:sz w:val="24"/>
          <w:szCs w:val="24"/>
        </w:rPr>
        <w:t xml:space="preserve">is distinct from that </w:t>
      </w:r>
      <w:r w:rsidR="00641676" w:rsidRPr="0042336E">
        <w:rPr>
          <w:rFonts w:ascii="Arial" w:hAnsi="Arial" w:cs="Arial"/>
          <w:i/>
          <w:iCs/>
          <w:sz w:val="24"/>
          <w:szCs w:val="24"/>
        </w:rPr>
        <w:t>in casu</w:t>
      </w:r>
      <w:r w:rsidR="00641676" w:rsidRPr="0042336E">
        <w:rPr>
          <w:rFonts w:ascii="Arial" w:hAnsi="Arial" w:cs="Arial"/>
          <w:sz w:val="24"/>
          <w:szCs w:val="24"/>
        </w:rPr>
        <w:t>. In NPGS, the</w:t>
      </w:r>
      <w:r w:rsidR="00CA60D9" w:rsidRPr="0042336E">
        <w:rPr>
          <w:rFonts w:ascii="Arial" w:hAnsi="Arial" w:cs="Arial"/>
          <w:sz w:val="24"/>
          <w:szCs w:val="24"/>
        </w:rPr>
        <w:t xml:space="preserve"> issue of primary residence was not raised in the plea</w:t>
      </w:r>
      <w:r w:rsidR="00386EDA" w:rsidRPr="0042336E">
        <w:rPr>
          <w:rFonts w:ascii="Arial" w:hAnsi="Arial" w:cs="Arial"/>
          <w:sz w:val="24"/>
          <w:szCs w:val="24"/>
        </w:rPr>
        <w:t xml:space="preserve"> or</w:t>
      </w:r>
      <w:r w:rsidR="00CA60D9" w:rsidRPr="0042336E">
        <w:rPr>
          <w:rFonts w:ascii="Arial" w:hAnsi="Arial" w:cs="Arial"/>
          <w:sz w:val="24"/>
          <w:szCs w:val="24"/>
        </w:rPr>
        <w:t xml:space="preserve"> in the affidavit opposing summary judgment. </w:t>
      </w:r>
      <w:r w:rsidR="00AF0E83" w:rsidRPr="0042336E">
        <w:rPr>
          <w:rFonts w:ascii="Arial" w:hAnsi="Arial" w:cs="Arial"/>
          <w:sz w:val="24"/>
          <w:szCs w:val="24"/>
        </w:rPr>
        <w:t xml:space="preserve">The submission was vaguely made from the bar during argument in the court </w:t>
      </w:r>
      <w:r w:rsidR="00AF0E83" w:rsidRPr="0042336E">
        <w:rPr>
          <w:rFonts w:ascii="Arial" w:hAnsi="Arial" w:cs="Arial"/>
          <w:i/>
          <w:iCs/>
          <w:sz w:val="24"/>
          <w:szCs w:val="24"/>
        </w:rPr>
        <w:t>a quo</w:t>
      </w:r>
      <w:r w:rsidR="00AF0E83" w:rsidRPr="0042336E">
        <w:rPr>
          <w:rFonts w:ascii="Arial" w:hAnsi="Arial" w:cs="Arial"/>
          <w:sz w:val="24"/>
          <w:szCs w:val="24"/>
        </w:rPr>
        <w:t>.</w:t>
      </w:r>
      <w:r w:rsidR="00CD4F34" w:rsidRPr="0042336E">
        <w:rPr>
          <w:rFonts w:ascii="Arial" w:hAnsi="Arial" w:cs="Arial"/>
          <w:sz w:val="24"/>
          <w:szCs w:val="24"/>
        </w:rPr>
        <w:t xml:space="preserve"> This contextualisation becomes </w:t>
      </w:r>
      <w:r w:rsidR="006E2DC7" w:rsidRPr="0042336E">
        <w:rPr>
          <w:rFonts w:ascii="Arial" w:hAnsi="Arial" w:cs="Arial"/>
          <w:sz w:val="24"/>
          <w:szCs w:val="24"/>
        </w:rPr>
        <w:t>self-evident</w:t>
      </w:r>
      <w:r w:rsidR="00CD4F34" w:rsidRPr="0042336E">
        <w:rPr>
          <w:rFonts w:ascii="Arial" w:hAnsi="Arial" w:cs="Arial"/>
          <w:sz w:val="24"/>
          <w:szCs w:val="24"/>
        </w:rPr>
        <w:t xml:space="preserve"> when paragraph 67 of </w:t>
      </w:r>
      <w:r w:rsidR="00CD4F34" w:rsidRPr="0042336E">
        <w:rPr>
          <w:rFonts w:ascii="Arial" w:hAnsi="Arial" w:cs="Arial"/>
          <w:i/>
          <w:iCs/>
          <w:sz w:val="24"/>
          <w:szCs w:val="24"/>
        </w:rPr>
        <w:t>NPGS</w:t>
      </w:r>
      <w:r w:rsidR="00CD4F34" w:rsidRPr="0042336E">
        <w:rPr>
          <w:rFonts w:ascii="Arial" w:hAnsi="Arial" w:cs="Arial"/>
          <w:sz w:val="24"/>
          <w:szCs w:val="24"/>
        </w:rPr>
        <w:t xml:space="preserve"> is </w:t>
      </w:r>
      <w:r w:rsidR="00F35489" w:rsidRPr="0042336E">
        <w:rPr>
          <w:rFonts w:ascii="Arial" w:hAnsi="Arial" w:cs="Arial"/>
          <w:sz w:val="24"/>
          <w:szCs w:val="24"/>
        </w:rPr>
        <w:t>cited in full:</w:t>
      </w:r>
    </w:p>
    <w:p w14:paraId="6D3E96BA" w14:textId="633E946A" w:rsidR="00F35489" w:rsidRDefault="001950F3" w:rsidP="00051EAD">
      <w:pPr>
        <w:pStyle w:val="ListParagraph"/>
        <w:tabs>
          <w:tab w:val="right" w:pos="8208"/>
        </w:tabs>
        <w:spacing w:before="60" w:afterLines="60" w:after="144" w:line="360" w:lineRule="auto"/>
        <w:ind w:left="425"/>
        <w:contextualSpacing w:val="0"/>
        <w:jc w:val="both"/>
        <w:rPr>
          <w:rFonts w:ascii="Arial" w:hAnsi="Arial" w:cs="Arial"/>
          <w:sz w:val="24"/>
          <w:szCs w:val="24"/>
        </w:rPr>
      </w:pPr>
      <w:r w:rsidRPr="001950F3">
        <w:rPr>
          <w:rFonts w:ascii="Arial" w:hAnsi="Arial" w:cs="Arial"/>
          <w:i/>
          <w:iCs/>
          <w:sz w:val="24"/>
          <w:szCs w:val="24"/>
        </w:rPr>
        <w:t>“</w:t>
      </w:r>
      <w:r w:rsidR="00F35489" w:rsidRPr="001950F3">
        <w:rPr>
          <w:rFonts w:ascii="Arial" w:hAnsi="Arial" w:cs="Arial"/>
          <w:i/>
          <w:iCs/>
          <w:sz w:val="24"/>
          <w:szCs w:val="24"/>
        </w:rPr>
        <w:t xml:space="preserve">[67] </w:t>
      </w:r>
      <w:r w:rsidR="00F35489" w:rsidRPr="001950F3">
        <w:rPr>
          <w:rFonts w:ascii="Arial" w:hAnsi="Arial" w:cs="Arial"/>
          <w:i/>
          <w:iCs/>
          <w:sz w:val="24"/>
          <w:szCs w:val="24"/>
          <w:u w:val="single"/>
        </w:rPr>
        <w:t>On the facts of this case, the complete failure by the second appellant to avail himself of rights which were expressly drawn to his attention in the summons issued by the respondent dictates to the contrary. It bears repeating that there was a specific prayer in the summons requesting an order of execution</w:t>
      </w:r>
      <w:r w:rsidR="00F35489" w:rsidRPr="001950F3">
        <w:rPr>
          <w:rFonts w:ascii="Arial" w:hAnsi="Arial" w:cs="Arial"/>
          <w:i/>
          <w:iCs/>
          <w:sz w:val="24"/>
          <w:szCs w:val="24"/>
        </w:rPr>
        <w:t xml:space="preserve">. In imposing an obligation upon a court in </w:t>
      </w:r>
      <w:r w:rsidR="00F35489" w:rsidRPr="009D1F3B">
        <w:rPr>
          <w:rFonts w:ascii="Arial" w:hAnsi="Arial" w:cs="Arial"/>
          <w:i/>
          <w:iCs/>
          <w:sz w:val="24"/>
          <w:szCs w:val="24"/>
          <w:u w:val="single"/>
        </w:rPr>
        <w:t>this case</w:t>
      </w:r>
      <w:r w:rsidR="00F35489" w:rsidRPr="001950F3">
        <w:rPr>
          <w:rFonts w:ascii="Arial" w:hAnsi="Arial" w:cs="Arial"/>
          <w:i/>
          <w:iCs/>
          <w:sz w:val="24"/>
          <w:szCs w:val="24"/>
        </w:rPr>
        <w:t xml:space="preserve"> when one vague and unspecified mention of a personal residence without more suffices as a defence or even a justification for remitting a case back to the court a quo, would in my view, cause significant uncertainty, and arguably serious damage to the efficient provision of credit in the economy</w:t>
      </w:r>
      <w:r w:rsidR="00F35489" w:rsidRPr="00F35489">
        <w:rPr>
          <w:rFonts w:ascii="Arial" w:hAnsi="Arial" w:cs="Arial"/>
          <w:sz w:val="24"/>
          <w:szCs w:val="24"/>
        </w:rPr>
        <w:t>.</w:t>
      </w:r>
      <w:r>
        <w:rPr>
          <w:rFonts w:ascii="Arial" w:hAnsi="Arial" w:cs="Arial"/>
          <w:sz w:val="24"/>
          <w:szCs w:val="24"/>
        </w:rPr>
        <w:t>” [Underlining my own]</w:t>
      </w:r>
    </w:p>
    <w:p w14:paraId="66CC93BA" w14:textId="155D469B" w:rsidR="0022184B"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30.</w:t>
      </w:r>
      <w:r>
        <w:rPr>
          <w:rFonts w:ascii="Arial" w:hAnsi="Arial" w:cs="Arial"/>
          <w:sz w:val="24"/>
          <w:szCs w:val="24"/>
        </w:rPr>
        <w:tab/>
      </w:r>
      <w:r w:rsidR="0022184B" w:rsidRPr="0042336E">
        <w:rPr>
          <w:rFonts w:ascii="Arial" w:hAnsi="Arial" w:cs="Arial"/>
          <w:sz w:val="24"/>
          <w:szCs w:val="24"/>
        </w:rPr>
        <w:t xml:space="preserve">The </w:t>
      </w:r>
      <w:r w:rsidR="00050861" w:rsidRPr="0042336E">
        <w:rPr>
          <w:rFonts w:ascii="Arial" w:hAnsi="Arial" w:cs="Arial"/>
          <w:sz w:val="24"/>
          <w:szCs w:val="24"/>
        </w:rPr>
        <w:t xml:space="preserve">aforementioned was stated as explanation for the majority’s </w:t>
      </w:r>
      <w:r w:rsidR="009302CC" w:rsidRPr="0042336E">
        <w:rPr>
          <w:rFonts w:ascii="Arial" w:hAnsi="Arial" w:cs="Arial"/>
          <w:sz w:val="24"/>
          <w:szCs w:val="24"/>
        </w:rPr>
        <w:t xml:space="preserve">disagreement with the minority’s finding that, whilst </w:t>
      </w:r>
      <w:r w:rsidR="003737F0" w:rsidRPr="0042336E">
        <w:rPr>
          <w:rFonts w:ascii="Arial" w:hAnsi="Arial" w:cs="Arial"/>
          <w:sz w:val="24"/>
          <w:szCs w:val="24"/>
        </w:rPr>
        <w:t xml:space="preserve">the appeal against the granting of summary judgment was </w:t>
      </w:r>
      <w:r w:rsidR="00296BBB" w:rsidRPr="0042336E">
        <w:rPr>
          <w:rFonts w:ascii="Arial" w:hAnsi="Arial" w:cs="Arial"/>
          <w:sz w:val="24"/>
          <w:szCs w:val="24"/>
        </w:rPr>
        <w:t>dismissed, the</w:t>
      </w:r>
      <w:r w:rsidR="009302CC" w:rsidRPr="0042336E">
        <w:rPr>
          <w:rFonts w:ascii="Arial" w:hAnsi="Arial" w:cs="Arial"/>
          <w:sz w:val="24"/>
          <w:szCs w:val="24"/>
        </w:rPr>
        <w:t xml:space="preserve"> prayer for execution against the second appellant’s immovable property</w:t>
      </w:r>
      <w:r w:rsidR="001A7FE3" w:rsidRPr="0042336E">
        <w:rPr>
          <w:rFonts w:ascii="Arial" w:hAnsi="Arial" w:cs="Arial"/>
          <w:sz w:val="24"/>
          <w:szCs w:val="24"/>
        </w:rPr>
        <w:t xml:space="preserve"> should be remitted</w:t>
      </w:r>
      <w:r w:rsidR="009302CC" w:rsidRPr="0042336E">
        <w:rPr>
          <w:rFonts w:ascii="Arial" w:hAnsi="Arial" w:cs="Arial"/>
          <w:sz w:val="24"/>
          <w:szCs w:val="24"/>
        </w:rPr>
        <w:t xml:space="preserve"> to the court </w:t>
      </w:r>
      <w:r w:rsidR="009302CC" w:rsidRPr="0042336E">
        <w:rPr>
          <w:rFonts w:ascii="Arial" w:hAnsi="Arial" w:cs="Arial"/>
          <w:i/>
          <w:iCs/>
          <w:sz w:val="24"/>
          <w:szCs w:val="24"/>
        </w:rPr>
        <w:t>a quo</w:t>
      </w:r>
      <w:r w:rsidR="009302CC" w:rsidRPr="0042336E">
        <w:rPr>
          <w:rFonts w:ascii="Arial" w:hAnsi="Arial" w:cs="Arial"/>
          <w:sz w:val="24"/>
          <w:szCs w:val="24"/>
        </w:rPr>
        <w:t xml:space="preserve">, </w:t>
      </w:r>
      <w:r w:rsidR="001A7FE3" w:rsidRPr="0042336E">
        <w:rPr>
          <w:rFonts w:ascii="Arial" w:hAnsi="Arial" w:cs="Arial"/>
          <w:i/>
          <w:iCs/>
          <w:sz w:val="24"/>
          <w:szCs w:val="24"/>
        </w:rPr>
        <w:t>“…</w:t>
      </w:r>
      <w:r w:rsidR="009302CC" w:rsidRPr="0042336E">
        <w:rPr>
          <w:rFonts w:ascii="Arial" w:hAnsi="Arial" w:cs="Arial"/>
          <w:i/>
          <w:iCs/>
          <w:sz w:val="24"/>
          <w:szCs w:val="24"/>
        </w:rPr>
        <w:t>for it to conduct an enquiry envisaged in s 26(3) of the Constitution</w:t>
      </w:r>
      <w:r w:rsidR="00E3210F" w:rsidRPr="0042336E">
        <w:rPr>
          <w:rFonts w:ascii="Arial" w:hAnsi="Arial" w:cs="Arial"/>
          <w:i/>
          <w:iCs/>
          <w:sz w:val="24"/>
          <w:szCs w:val="24"/>
        </w:rPr>
        <w:t>…</w:t>
      </w:r>
      <w:r w:rsidR="009302CC" w:rsidRPr="0042336E">
        <w:rPr>
          <w:rFonts w:ascii="Arial" w:hAnsi="Arial" w:cs="Arial"/>
          <w:sz w:val="24"/>
          <w:szCs w:val="24"/>
        </w:rPr>
        <w:t xml:space="preserve"> </w:t>
      </w:r>
      <w:r w:rsidR="001A7FE3" w:rsidRPr="0042336E">
        <w:rPr>
          <w:rFonts w:ascii="Arial" w:hAnsi="Arial" w:cs="Arial"/>
          <w:sz w:val="24"/>
          <w:szCs w:val="24"/>
        </w:rPr>
        <w:t>“</w:t>
      </w:r>
      <w:r w:rsidR="009302CC" w:rsidRPr="0042336E">
        <w:rPr>
          <w:rFonts w:ascii="Arial" w:hAnsi="Arial" w:cs="Arial"/>
          <w:sz w:val="24"/>
          <w:szCs w:val="24"/>
        </w:rPr>
        <w:t xml:space="preserve"> </w:t>
      </w:r>
      <w:r w:rsidR="001A7FE3">
        <w:rPr>
          <w:rStyle w:val="FootnoteReference"/>
          <w:rFonts w:ascii="Arial" w:hAnsi="Arial" w:cs="Arial"/>
          <w:sz w:val="24"/>
          <w:szCs w:val="24"/>
        </w:rPr>
        <w:footnoteReference w:id="9"/>
      </w:r>
    </w:p>
    <w:p w14:paraId="6087D567" w14:textId="7CA7D63E" w:rsidR="00E543C5" w:rsidRPr="0042336E" w:rsidRDefault="0042336E" w:rsidP="0042336E">
      <w:pPr>
        <w:tabs>
          <w:tab w:val="right" w:pos="8208"/>
        </w:tabs>
        <w:spacing w:before="60" w:afterLines="60" w:after="144" w:line="480" w:lineRule="auto"/>
        <w:ind w:left="426" w:hanging="426"/>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26A61" w:rsidRPr="0042336E">
        <w:rPr>
          <w:rFonts w:ascii="Arial" w:hAnsi="Arial" w:cs="Arial"/>
          <w:i/>
          <w:iCs/>
          <w:sz w:val="24"/>
          <w:szCs w:val="24"/>
        </w:rPr>
        <w:t>NPGS</w:t>
      </w:r>
      <w:r w:rsidR="00326A61" w:rsidRPr="0042336E">
        <w:rPr>
          <w:rFonts w:ascii="Arial" w:hAnsi="Arial" w:cs="Arial"/>
          <w:sz w:val="24"/>
          <w:szCs w:val="24"/>
        </w:rPr>
        <w:t xml:space="preserve"> was therefore primarily concerned with whether a case had been made out </w:t>
      </w:r>
      <w:r w:rsidR="001D078F" w:rsidRPr="0042336E">
        <w:rPr>
          <w:rFonts w:ascii="Arial" w:hAnsi="Arial" w:cs="Arial"/>
          <w:sz w:val="24"/>
          <w:szCs w:val="24"/>
        </w:rPr>
        <w:t>which would necessitate an enquiry as envisaged by S26(3) and, by implication, Rule 46A</w:t>
      </w:r>
      <w:r w:rsidR="0040336C" w:rsidRPr="0042336E">
        <w:rPr>
          <w:rFonts w:ascii="Arial" w:hAnsi="Arial" w:cs="Arial"/>
          <w:sz w:val="24"/>
          <w:szCs w:val="24"/>
        </w:rPr>
        <w:t>.</w:t>
      </w:r>
    </w:p>
    <w:p w14:paraId="5B30E393" w14:textId="566D8F52" w:rsidR="00CB6D39" w:rsidRPr="0042336E" w:rsidRDefault="0042336E" w:rsidP="0042336E">
      <w:pPr>
        <w:tabs>
          <w:tab w:val="right" w:pos="8208"/>
        </w:tabs>
        <w:spacing w:before="60" w:afterLines="60" w:after="144" w:line="480" w:lineRule="auto"/>
        <w:ind w:left="425" w:hanging="425"/>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50893" w:rsidRPr="0042336E">
        <w:rPr>
          <w:rFonts w:ascii="Arial" w:hAnsi="Arial" w:cs="Arial"/>
          <w:i/>
          <w:iCs/>
          <w:sz w:val="24"/>
          <w:szCs w:val="24"/>
        </w:rPr>
        <w:t>In casu</w:t>
      </w:r>
      <w:r w:rsidR="002933FC" w:rsidRPr="0042336E">
        <w:rPr>
          <w:rFonts w:ascii="Arial" w:hAnsi="Arial" w:cs="Arial"/>
          <w:sz w:val="24"/>
          <w:szCs w:val="24"/>
        </w:rPr>
        <w:t>, the Respondents have on each occasion presented</w:t>
      </w:r>
      <w:r w:rsidR="00375A6D" w:rsidRPr="0042336E">
        <w:rPr>
          <w:rFonts w:ascii="Arial" w:hAnsi="Arial" w:cs="Arial"/>
          <w:sz w:val="24"/>
          <w:szCs w:val="24"/>
        </w:rPr>
        <w:t>,</w:t>
      </w:r>
      <w:r w:rsidR="002933FC" w:rsidRPr="0042336E">
        <w:rPr>
          <w:rFonts w:ascii="Arial" w:hAnsi="Arial" w:cs="Arial"/>
          <w:sz w:val="24"/>
          <w:szCs w:val="24"/>
        </w:rPr>
        <w:t xml:space="preserve"> availed themselves of their rights per S26. </w:t>
      </w:r>
      <w:r w:rsidR="00BA2F7E" w:rsidRPr="0042336E">
        <w:rPr>
          <w:rFonts w:ascii="Arial" w:hAnsi="Arial" w:cs="Arial"/>
          <w:sz w:val="24"/>
          <w:szCs w:val="24"/>
        </w:rPr>
        <w:t>In</w:t>
      </w:r>
      <w:r w:rsidR="0017417A" w:rsidRPr="0042336E">
        <w:rPr>
          <w:rFonts w:ascii="Arial" w:hAnsi="Arial" w:cs="Arial"/>
          <w:sz w:val="24"/>
          <w:szCs w:val="24"/>
        </w:rPr>
        <w:t xml:space="preserve"> their</w:t>
      </w:r>
      <w:r w:rsidR="00BA2F7E" w:rsidRPr="0042336E">
        <w:rPr>
          <w:rFonts w:ascii="Arial" w:hAnsi="Arial" w:cs="Arial"/>
          <w:sz w:val="24"/>
          <w:szCs w:val="24"/>
        </w:rPr>
        <w:t xml:space="preserve"> affidavit opposing summary judgment they have </w:t>
      </w:r>
      <w:r w:rsidR="00553EEC" w:rsidRPr="0042336E">
        <w:rPr>
          <w:rFonts w:ascii="Arial" w:hAnsi="Arial" w:cs="Arial"/>
          <w:sz w:val="24"/>
          <w:szCs w:val="24"/>
        </w:rPr>
        <w:t>under oath stated</w:t>
      </w:r>
      <w:r w:rsidR="00BA2F7E" w:rsidRPr="0042336E">
        <w:rPr>
          <w:rFonts w:ascii="Arial" w:hAnsi="Arial" w:cs="Arial"/>
          <w:sz w:val="24"/>
          <w:szCs w:val="24"/>
        </w:rPr>
        <w:t xml:space="preserve"> </w:t>
      </w:r>
      <w:r w:rsidR="008502BF" w:rsidRPr="0042336E">
        <w:rPr>
          <w:rFonts w:ascii="Arial" w:hAnsi="Arial" w:cs="Arial"/>
          <w:sz w:val="24"/>
          <w:szCs w:val="24"/>
        </w:rPr>
        <w:t>that the property</w:t>
      </w:r>
      <w:r w:rsidR="00643EA5" w:rsidRPr="0042336E">
        <w:rPr>
          <w:rFonts w:ascii="Arial" w:hAnsi="Arial" w:cs="Arial"/>
          <w:sz w:val="24"/>
          <w:szCs w:val="24"/>
        </w:rPr>
        <w:t xml:space="preserve"> is their primary residence. In </w:t>
      </w:r>
      <w:r w:rsidR="00B516AF" w:rsidRPr="0042336E">
        <w:rPr>
          <w:rFonts w:ascii="Arial" w:hAnsi="Arial" w:cs="Arial"/>
          <w:sz w:val="24"/>
          <w:szCs w:val="24"/>
        </w:rPr>
        <w:t>their</w:t>
      </w:r>
      <w:r w:rsidR="00643EA5" w:rsidRPr="0042336E">
        <w:rPr>
          <w:rFonts w:ascii="Arial" w:hAnsi="Arial" w:cs="Arial"/>
          <w:sz w:val="24"/>
          <w:szCs w:val="24"/>
        </w:rPr>
        <w:t xml:space="preserve"> supplementary affidavit,</w:t>
      </w:r>
      <w:r w:rsidR="00553EEC">
        <w:rPr>
          <w:rStyle w:val="FootnoteReference"/>
          <w:rFonts w:ascii="Arial" w:hAnsi="Arial" w:cs="Arial"/>
          <w:sz w:val="24"/>
          <w:szCs w:val="24"/>
        </w:rPr>
        <w:footnoteReference w:id="10"/>
      </w:r>
      <w:r w:rsidR="00643EA5" w:rsidRPr="0042336E">
        <w:rPr>
          <w:rFonts w:ascii="Arial" w:hAnsi="Arial" w:cs="Arial"/>
          <w:sz w:val="24"/>
          <w:szCs w:val="24"/>
        </w:rPr>
        <w:t xml:space="preserve"> they also confir</w:t>
      </w:r>
      <w:r w:rsidR="00A47B0F" w:rsidRPr="0042336E">
        <w:rPr>
          <w:rFonts w:ascii="Arial" w:hAnsi="Arial" w:cs="Arial"/>
          <w:sz w:val="24"/>
          <w:szCs w:val="24"/>
        </w:rPr>
        <w:t>m</w:t>
      </w:r>
      <w:r w:rsidR="00643EA5" w:rsidRPr="0042336E">
        <w:rPr>
          <w:rFonts w:ascii="Arial" w:hAnsi="Arial" w:cs="Arial"/>
          <w:sz w:val="24"/>
          <w:szCs w:val="24"/>
        </w:rPr>
        <w:t xml:space="preserve">ed that </w:t>
      </w:r>
      <w:r w:rsidR="00B36ECB" w:rsidRPr="0042336E">
        <w:rPr>
          <w:rFonts w:ascii="Arial" w:hAnsi="Arial" w:cs="Arial"/>
          <w:sz w:val="24"/>
          <w:szCs w:val="24"/>
        </w:rPr>
        <w:t>they are in the process of ra</w:t>
      </w:r>
      <w:r w:rsidR="00A47B0F" w:rsidRPr="0042336E">
        <w:rPr>
          <w:rFonts w:ascii="Arial" w:hAnsi="Arial" w:cs="Arial"/>
          <w:sz w:val="24"/>
          <w:szCs w:val="24"/>
        </w:rPr>
        <w:t>is</w:t>
      </w:r>
      <w:r w:rsidR="00B36ECB" w:rsidRPr="0042336E">
        <w:rPr>
          <w:rFonts w:ascii="Arial" w:hAnsi="Arial" w:cs="Arial"/>
          <w:sz w:val="24"/>
          <w:szCs w:val="24"/>
        </w:rPr>
        <w:t>ing funds through an investor, in or</w:t>
      </w:r>
      <w:r w:rsidR="00A47B0F" w:rsidRPr="0042336E">
        <w:rPr>
          <w:rFonts w:ascii="Arial" w:hAnsi="Arial" w:cs="Arial"/>
          <w:sz w:val="24"/>
          <w:szCs w:val="24"/>
        </w:rPr>
        <w:t>d</w:t>
      </w:r>
      <w:r w:rsidR="00B36ECB" w:rsidRPr="0042336E">
        <w:rPr>
          <w:rFonts w:ascii="Arial" w:hAnsi="Arial" w:cs="Arial"/>
          <w:sz w:val="24"/>
          <w:szCs w:val="24"/>
        </w:rPr>
        <w:t xml:space="preserve">er to satisfy the </w:t>
      </w:r>
      <w:r w:rsidR="00A47B0F" w:rsidRPr="0042336E">
        <w:rPr>
          <w:rFonts w:ascii="Arial" w:hAnsi="Arial" w:cs="Arial"/>
          <w:sz w:val="24"/>
          <w:szCs w:val="24"/>
        </w:rPr>
        <w:t>indebtedness of the First Respondent to the Applicant</w:t>
      </w:r>
      <w:r w:rsidR="00EE647E" w:rsidRPr="0042336E">
        <w:rPr>
          <w:rFonts w:ascii="Arial" w:hAnsi="Arial" w:cs="Arial"/>
          <w:sz w:val="24"/>
          <w:szCs w:val="24"/>
        </w:rPr>
        <w:t xml:space="preserve">, but that, due to the illness of the investor, they have </w:t>
      </w:r>
      <w:r w:rsidR="00EE647E" w:rsidRPr="0042336E">
        <w:rPr>
          <w:rFonts w:ascii="Arial" w:hAnsi="Arial" w:cs="Arial"/>
          <w:sz w:val="24"/>
          <w:szCs w:val="24"/>
        </w:rPr>
        <w:lastRenderedPageBreak/>
        <w:t>been unable to raise same before the application</w:t>
      </w:r>
      <w:r w:rsidR="00D94F4E" w:rsidRPr="0042336E">
        <w:rPr>
          <w:rFonts w:ascii="Arial" w:hAnsi="Arial" w:cs="Arial"/>
          <w:sz w:val="24"/>
          <w:szCs w:val="24"/>
        </w:rPr>
        <w:t xml:space="preserve"> was heard.</w:t>
      </w:r>
      <w:r w:rsidR="00B516AF" w:rsidRPr="0042336E">
        <w:rPr>
          <w:rFonts w:ascii="Arial" w:hAnsi="Arial" w:cs="Arial"/>
          <w:sz w:val="24"/>
          <w:szCs w:val="24"/>
        </w:rPr>
        <w:t xml:space="preserve"> </w:t>
      </w:r>
      <w:r w:rsidR="008D3714" w:rsidRPr="0042336E">
        <w:rPr>
          <w:rFonts w:ascii="Arial" w:hAnsi="Arial" w:cs="Arial"/>
          <w:sz w:val="24"/>
          <w:szCs w:val="24"/>
        </w:rPr>
        <w:t xml:space="preserve">Admittedly, the </w:t>
      </w:r>
      <w:r w:rsidR="006D7B2C" w:rsidRPr="0042336E">
        <w:rPr>
          <w:rFonts w:ascii="Arial" w:hAnsi="Arial" w:cs="Arial"/>
          <w:sz w:val="24"/>
          <w:szCs w:val="24"/>
        </w:rPr>
        <w:t xml:space="preserve">supplementary affidavit does not state when the funds would </w:t>
      </w:r>
      <w:r w:rsidR="00EE647E" w:rsidRPr="0042336E">
        <w:rPr>
          <w:rFonts w:ascii="Arial" w:hAnsi="Arial" w:cs="Arial"/>
          <w:sz w:val="24"/>
          <w:szCs w:val="24"/>
        </w:rPr>
        <w:t>be obtained</w:t>
      </w:r>
      <w:r w:rsidR="004A2B81" w:rsidRPr="0042336E">
        <w:rPr>
          <w:rFonts w:ascii="Arial" w:hAnsi="Arial" w:cs="Arial"/>
          <w:sz w:val="24"/>
          <w:szCs w:val="24"/>
        </w:rPr>
        <w:t xml:space="preserve"> or the exact amount to be raised</w:t>
      </w:r>
      <w:r w:rsidR="008014D0" w:rsidRPr="0042336E">
        <w:rPr>
          <w:rFonts w:ascii="Arial" w:hAnsi="Arial" w:cs="Arial"/>
          <w:sz w:val="24"/>
          <w:szCs w:val="24"/>
        </w:rPr>
        <w:t>.</w:t>
      </w:r>
      <w:r w:rsidR="004A2B81" w:rsidRPr="0042336E">
        <w:rPr>
          <w:rFonts w:ascii="Arial" w:hAnsi="Arial" w:cs="Arial"/>
          <w:sz w:val="24"/>
          <w:szCs w:val="24"/>
        </w:rPr>
        <w:t xml:space="preserve"> </w:t>
      </w:r>
      <w:r w:rsidR="008014D0" w:rsidRPr="0042336E">
        <w:rPr>
          <w:rFonts w:ascii="Arial" w:hAnsi="Arial" w:cs="Arial"/>
          <w:sz w:val="24"/>
          <w:szCs w:val="24"/>
        </w:rPr>
        <w:t>H</w:t>
      </w:r>
      <w:r w:rsidR="004A2B81" w:rsidRPr="0042336E">
        <w:rPr>
          <w:rFonts w:ascii="Arial" w:hAnsi="Arial" w:cs="Arial"/>
          <w:sz w:val="24"/>
          <w:szCs w:val="24"/>
        </w:rPr>
        <w:t>owever</w:t>
      </w:r>
      <w:r w:rsidR="008014D0" w:rsidRPr="0042336E">
        <w:rPr>
          <w:rFonts w:ascii="Arial" w:hAnsi="Arial" w:cs="Arial"/>
          <w:sz w:val="24"/>
          <w:szCs w:val="24"/>
        </w:rPr>
        <w:t>, at summary judgment stage</w:t>
      </w:r>
      <w:r w:rsidR="00080955" w:rsidRPr="0042336E">
        <w:rPr>
          <w:rFonts w:ascii="Arial" w:hAnsi="Arial" w:cs="Arial"/>
          <w:sz w:val="24"/>
          <w:szCs w:val="24"/>
        </w:rPr>
        <w:t>:</w:t>
      </w:r>
    </w:p>
    <w:p w14:paraId="3F7A726C" w14:textId="68E603E9" w:rsidR="00564D95" w:rsidRPr="00E543C5" w:rsidRDefault="0043571C" w:rsidP="00080955">
      <w:pPr>
        <w:pStyle w:val="ListParagraph"/>
        <w:tabs>
          <w:tab w:val="right" w:pos="8208"/>
        </w:tabs>
        <w:spacing w:before="60" w:afterLines="60" w:after="144" w:line="360" w:lineRule="auto"/>
        <w:ind w:left="425"/>
        <w:jc w:val="both"/>
        <w:rPr>
          <w:rFonts w:ascii="Arial" w:hAnsi="Arial" w:cs="Arial"/>
          <w:sz w:val="24"/>
          <w:szCs w:val="24"/>
        </w:rPr>
      </w:pPr>
      <w:r w:rsidRPr="00E543C5">
        <w:rPr>
          <w:rFonts w:ascii="Arial" w:hAnsi="Arial" w:cs="Arial"/>
          <w:sz w:val="24"/>
          <w:szCs w:val="24"/>
        </w:rPr>
        <w:t>“…</w:t>
      </w:r>
      <w:r w:rsidR="00581681" w:rsidRPr="00E543C5">
        <w:rPr>
          <w:rFonts w:ascii="Arial" w:hAnsi="Arial" w:cs="Arial"/>
          <w:i/>
          <w:iCs/>
          <w:sz w:val="24"/>
          <w:szCs w:val="24"/>
        </w:rPr>
        <w:t>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bona fide and good in law. If satisfied on these matters the Court must refuse summary judgment, either wholly or in part, as the case may be</w:t>
      </w:r>
      <w:r w:rsidR="00564D95" w:rsidRPr="00E543C5">
        <w:rPr>
          <w:rFonts w:ascii="Arial" w:hAnsi="Arial" w:cs="Arial"/>
          <w:sz w:val="24"/>
          <w:szCs w:val="24"/>
        </w:rPr>
        <w:t>:</w:t>
      </w:r>
      <w:r w:rsidR="00871132" w:rsidRPr="00E543C5">
        <w:rPr>
          <w:rFonts w:ascii="Arial" w:hAnsi="Arial" w:cs="Arial"/>
          <w:sz w:val="24"/>
          <w:szCs w:val="24"/>
        </w:rPr>
        <w:t>”</w:t>
      </w:r>
      <w:r w:rsidR="00564D95">
        <w:rPr>
          <w:rStyle w:val="FootnoteReference"/>
          <w:rFonts w:ascii="Arial" w:hAnsi="Arial" w:cs="Arial"/>
          <w:sz w:val="24"/>
          <w:szCs w:val="24"/>
        </w:rPr>
        <w:footnoteReference w:id="11"/>
      </w:r>
    </w:p>
    <w:p w14:paraId="009D8B18" w14:textId="76CE89D8" w:rsidR="00581681" w:rsidRPr="0042336E" w:rsidRDefault="0042336E" w:rsidP="0042336E">
      <w:pPr>
        <w:spacing w:before="360" w:after="60" w:line="480" w:lineRule="auto"/>
        <w:ind w:left="425" w:hanging="357"/>
        <w:jc w:val="both"/>
        <w:rPr>
          <w:rFonts w:ascii="Arial" w:hAnsi="Arial" w:cs="Arial"/>
          <w:i/>
          <w:iCs/>
          <w:sz w:val="24"/>
          <w:szCs w:val="24"/>
        </w:rPr>
      </w:pPr>
      <w:r w:rsidRPr="0055506C">
        <w:rPr>
          <w:rFonts w:ascii="Arial" w:hAnsi="Arial" w:cs="Arial"/>
          <w:sz w:val="24"/>
          <w:szCs w:val="24"/>
        </w:rPr>
        <w:t>33.</w:t>
      </w:r>
      <w:r w:rsidRPr="0055506C">
        <w:rPr>
          <w:rFonts w:ascii="Arial" w:hAnsi="Arial" w:cs="Arial"/>
          <w:sz w:val="24"/>
          <w:szCs w:val="24"/>
        </w:rPr>
        <w:tab/>
      </w:r>
      <w:r w:rsidR="00E543C5" w:rsidRPr="0042336E">
        <w:rPr>
          <w:rFonts w:ascii="Arial" w:hAnsi="Arial" w:cs="Arial"/>
          <w:sz w:val="24"/>
          <w:szCs w:val="24"/>
        </w:rPr>
        <w:t xml:space="preserve"> </w:t>
      </w:r>
      <w:r w:rsidR="005767E1" w:rsidRPr="0042336E">
        <w:rPr>
          <w:rFonts w:ascii="Arial" w:hAnsi="Arial" w:cs="Arial"/>
          <w:sz w:val="24"/>
          <w:szCs w:val="24"/>
        </w:rPr>
        <w:t>The facts raised by the Respondents are, in my view, sufficient to engage the Court’s judicial oversight function</w:t>
      </w:r>
      <w:r w:rsidR="005862DE" w:rsidRPr="0042336E">
        <w:rPr>
          <w:rFonts w:ascii="Arial" w:hAnsi="Arial" w:cs="Arial"/>
          <w:sz w:val="24"/>
          <w:szCs w:val="24"/>
        </w:rPr>
        <w:t xml:space="preserve"> </w:t>
      </w:r>
      <w:r w:rsidR="00645EEF" w:rsidRPr="0042336E">
        <w:rPr>
          <w:rFonts w:ascii="Arial" w:hAnsi="Arial" w:cs="Arial"/>
          <w:sz w:val="24"/>
          <w:szCs w:val="24"/>
        </w:rPr>
        <w:t xml:space="preserve">and to </w:t>
      </w:r>
      <w:r w:rsidR="00A030E7" w:rsidRPr="0042336E">
        <w:rPr>
          <w:rFonts w:ascii="Arial" w:hAnsi="Arial" w:cs="Arial"/>
          <w:sz w:val="24"/>
          <w:szCs w:val="24"/>
        </w:rPr>
        <w:t xml:space="preserve">necessitate </w:t>
      </w:r>
      <w:r w:rsidR="006843F6" w:rsidRPr="0042336E">
        <w:rPr>
          <w:rFonts w:ascii="Arial" w:hAnsi="Arial" w:cs="Arial"/>
          <w:sz w:val="24"/>
          <w:szCs w:val="24"/>
        </w:rPr>
        <w:t xml:space="preserve">an enquiry as envisaged by Rule 46A. </w:t>
      </w:r>
      <w:r w:rsidR="005D764D" w:rsidRPr="0042336E">
        <w:rPr>
          <w:rFonts w:ascii="Arial" w:hAnsi="Arial" w:cs="Arial"/>
          <w:sz w:val="24"/>
          <w:szCs w:val="24"/>
        </w:rPr>
        <w:t xml:space="preserve"> </w:t>
      </w:r>
      <w:r w:rsidR="0010752A" w:rsidRPr="0042336E">
        <w:rPr>
          <w:rFonts w:ascii="Arial" w:hAnsi="Arial" w:cs="Arial"/>
          <w:sz w:val="24"/>
          <w:szCs w:val="24"/>
        </w:rPr>
        <w:t>In view of this determination</w:t>
      </w:r>
      <w:r w:rsidR="00A55E98" w:rsidRPr="0042336E">
        <w:rPr>
          <w:rFonts w:ascii="Arial" w:hAnsi="Arial" w:cs="Arial"/>
          <w:sz w:val="24"/>
          <w:szCs w:val="24"/>
        </w:rPr>
        <w:t xml:space="preserve"> and</w:t>
      </w:r>
      <w:r w:rsidR="0010752A" w:rsidRPr="0042336E">
        <w:rPr>
          <w:rFonts w:ascii="Arial" w:hAnsi="Arial" w:cs="Arial"/>
          <w:sz w:val="24"/>
          <w:szCs w:val="24"/>
        </w:rPr>
        <w:t xml:space="preserve"> a</w:t>
      </w:r>
      <w:r w:rsidR="005D764D" w:rsidRPr="0042336E">
        <w:rPr>
          <w:rFonts w:ascii="Arial" w:hAnsi="Arial" w:cs="Arial"/>
          <w:sz w:val="24"/>
          <w:szCs w:val="24"/>
        </w:rPr>
        <w:t xml:space="preserve">s, in this division, </w:t>
      </w:r>
      <w:r w:rsidR="00616254" w:rsidRPr="0042336E">
        <w:rPr>
          <w:rFonts w:ascii="Arial" w:hAnsi="Arial" w:cs="Arial"/>
          <w:sz w:val="24"/>
          <w:szCs w:val="24"/>
        </w:rPr>
        <w:t xml:space="preserve">so-called “money orders” and executability orders under R46A are not </w:t>
      </w:r>
      <w:r w:rsidR="006C5F07" w:rsidRPr="0042336E">
        <w:rPr>
          <w:rFonts w:ascii="Arial" w:hAnsi="Arial" w:cs="Arial"/>
          <w:sz w:val="24"/>
          <w:szCs w:val="24"/>
        </w:rPr>
        <w:t>to be decided separately,</w:t>
      </w:r>
      <w:r w:rsidR="006C5F07">
        <w:rPr>
          <w:rStyle w:val="FootnoteReference"/>
          <w:rFonts w:ascii="Arial" w:hAnsi="Arial" w:cs="Arial"/>
          <w:sz w:val="24"/>
          <w:szCs w:val="24"/>
        </w:rPr>
        <w:footnoteReference w:id="12"/>
      </w:r>
      <w:r w:rsidR="000024C8" w:rsidRPr="0042336E">
        <w:rPr>
          <w:rFonts w:ascii="Arial" w:hAnsi="Arial" w:cs="Arial"/>
          <w:sz w:val="24"/>
          <w:szCs w:val="24"/>
        </w:rPr>
        <w:t xml:space="preserve"> </w:t>
      </w:r>
      <w:r w:rsidR="0010752A" w:rsidRPr="0042336E">
        <w:rPr>
          <w:rFonts w:ascii="Arial" w:hAnsi="Arial" w:cs="Arial"/>
          <w:sz w:val="24"/>
          <w:szCs w:val="24"/>
        </w:rPr>
        <w:t>I would in any event have been disinclined to</w:t>
      </w:r>
      <w:r w:rsidR="00525005" w:rsidRPr="0042336E">
        <w:rPr>
          <w:rFonts w:ascii="Arial" w:hAnsi="Arial" w:cs="Arial"/>
          <w:sz w:val="24"/>
          <w:szCs w:val="24"/>
        </w:rPr>
        <w:t xml:space="preserve"> have granted </w:t>
      </w:r>
      <w:r w:rsidR="00AC65EC" w:rsidRPr="0042336E">
        <w:rPr>
          <w:rFonts w:ascii="Arial" w:hAnsi="Arial" w:cs="Arial"/>
          <w:sz w:val="24"/>
          <w:szCs w:val="24"/>
        </w:rPr>
        <w:t>summary judgment</w:t>
      </w:r>
      <w:r w:rsidR="00525005" w:rsidRPr="0042336E">
        <w:rPr>
          <w:rFonts w:ascii="Arial" w:hAnsi="Arial" w:cs="Arial"/>
          <w:sz w:val="24"/>
          <w:szCs w:val="24"/>
        </w:rPr>
        <w:t>.</w:t>
      </w:r>
    </w:p>
    <w:p w14:paraId="2A198486" w14:textId="0E48679A" w:rsidR="0055506C" w:rsidRPr="0042336E" w:rsidRDefault="0042336E" w:rsidP="0042336E">
      <w:pPr>
        <w:spacing w:before="60" w:after="60" w:line="480" w:lineRule="auto"/>
        <w:ind w:left="425" w:hanging="357"/>
        <w:jc w:val="both"/>
        <w:rPr>
          <w:rFonts w:ascii="Arial" w:hAnsi="Arial" w:cs="Arial"/>
          <w:i/>
          <w:iCs/>
          <w:sz w:val="24"/>
          <w:szCs w:val="24"/>
        </w:rPr>
      </w:pPr>
      <w:r w:rsidRPr="00C91492">
        <w:rPr>
          <w:rFonts w:ascii="Arial" w:hAnsi="Arial" w:cs="Arial"/>
          <w:sz w:val="24"/>
          <w:szCs w:val="24"/>
        </w:rPr>
        <w:t>34.</w:t>
      </w:r>
      <w:r w:rsidRPr="00C91492">
        <w:rPr>
          <w:rFonts w:ascii="Arial" w:hAnsi="Arial" w:cs="Arial"/>
          <w:sz w:val="24"/>
          <w:szCs w:val="24"/>
        </w:rPr>
        <w:tab/>
      </w:r>
      <w:r w:rsidR="0055506C" w:rsidRPr="0042336E">
        <w:rPr>
          <w:rFonts w:ascii="Arial" w:hAnsi="Arial" w:cs="Arial"/>
          <w:sz w:val="24"/>
          <w:szCs w:val="24"/>
        </w:rPr>
        <w:t>As a result, the following order is made:</w:t>
      </w:r>
    </w:p>
    <w:p w14:paraId="34707DBF" w14:textId="77777777" w:rsidR="00C91492" w:rsidRPr="00154433" w:rsidRDefault="00C91492" w:rsidP="00C91492">
      <w:pPr>
        <w:pStyle w:val="ListParagraph"/>
        <w:spacing w:before="60" w:after="60" w:line="480" w:lineRule="auto"/>
        <w:ind w:left="425"/>
        <w:contextualSpacing w:val="0"/>
        <w:jc w:val="both"/>
        <w:rPr>
          <w:rFonts w:ascii="Arial" w:hAnsi="Arial" w:cs="Arial"/>
          <w:i/>
          <w:iCs/>
          <w:sz w:val="24"/>
          <w:szCs w:val="24"/>
        </w:rPr>
      </w:pPr>
    </w:p>
    <w:p w14:paraId="498C0E4A" w14:textId="3321B015" w:rsidR="00154433" w:rsidRPr="00154433" w:rsidRDefault="00154433" w:rsidP="00154433">
      <w:pPr>
        <w:spacing w:before="60" w:after="60" w:line="480" w:lineRule="auto"/>
        <w:jc w:val="both"/>
        <w:rPr>
          <w:rFonts w:ascii="Arial" w:hAnsi="Arial" w:cs="Arial"/>
          <w:b/>
          <w:bCs/>
          <w:sz w:val="24"/>
          <w:szCs w:val="24"/>
        </w:rPr>
      </w:pPr>
      <w:r>
        <w:rPr>
          <w:rFonts w:ascii="Arial" w:hAnsi="Arial" w:cs="Arial"/>
          <w:b/>
          <w:bCs/>
          <w:sz w:val="24"/>
          <w:szCs w:val="24"/>
        </w:rPr>
        <w:t>ORDER</w:t>
      </w:r>
    </w:p>
    <w:p w14:paraId="2DB98D48" w14:textId="30B6FD2B" w:rsidR="00D16053" w:rsidRPr="0042336E" w:rsidRDefault="0042336E" w:rsidP="0042336E">
      <w:pPr>
        <w:tabs>
          <w:tab w:val="right" w:pos="8208"/>
        </w:tabs>
        <w:spacing w:before="60" w:afterLines="60" w:after="144" w:line="480" w:lineRule="auto"/>
        <w:ind w:left="714" w:hanging="357"/>
        <w:jc w:val="both"/>
        <w:rPr>
          <w:rFonts w:ascii="Arial" w:hAnsi="Arial" w:cs="Arial"/>
          <w:sz w:val="24"/>
          <w:szCs w:val="24"/>
        </w:rPr>
      </w:pPr>
      <w:r w:rsidRPr="00E66D11">
        <w:rPr>
          <w:rFonts w:ascii="Arial" w:hAnsi="Arial" w:cs="Arial"/>
          <w:sz w:val="24"/>
          <w:szCs w:val="24"/>
        </w:rPr>
        <w:t>1.</w:t>
      </w:r>
      <w:r w:rsidRPr="00E66D11">
        <w:rPr>
          <w:rFonts w:ascii="Arial" w:hAnsi="Arial" w:cs="Arial"/>
          <w:sz w:val="24"/>
          <w:szCs w:val="24"/>
        </w:rPr>
        <w:tab/>
      </w:r>
      <w:r w:rsidR="0049371F" w:rsidRPr="0042336E">
        <w:rPr>
          <w:rFonts w:ascii="Arial" w:hAnsi="Arial" w:cs="Arial"/>
          <w:sz w:val="24"/>
          <w:szCs w:val="24"/>
        </w:rPr>
        <w:t xml:space="preserve">The application </w:t>
      </w:r>
      <w:r w:rsidR="0005752F" w:rsidRPr="0042336E">
        <w:rPr>
          <w:rFonts w:ascii="Arial" w:hAnsi="Arial" w:cs="Arial"/>
          <w:sz w:val="24"/>
          <w:szCs w:val="24"/>
        </w:rPr>
        <w:t>for summary judgment is dismissed.</w:t>
      </w:r>
    </w:p>
    <w:p w14:paraId="6EAF2FF5" w14:textId="390F831F" w:rsidR="0005752F" w:rsidRPr="0042336E" w:rsidRDefault="0042336E" w:rsidP="0042336E">
      <w:pPr>
        <w:tabs>
          <w:tab w:val="right" w:pos="8208"/>
        </w:tabs>
        <w:spacing w:before="60" w:afterLines="60" w:after="144" w:line="480" w:lineRule="auto"/>
        <w:ind w:left="714" w:hanging="357"/>
        <w:jc w:val="both"/>
        <w:rPr>
          <w:rFonts w:ascii="Arial" w:hAnsi="Arial" w:cs="Arial"/>
          <w:sz w:val="24"/>
          <w:szCs w:val="24"/>
        </w:rPr>
      </w:pPr>
      <w:r w:rsidRPr="00E66D11">
        <w:rPr>
          <w:rFonts w:ascii="Arial" w:hAnsi="Arial" w:cs="Arial"/>
          <w:sz w:val="24"/>
          <w:szCs w:val="24"/>
        </w:rPr>
        <w:t>2.</w:t>
      </w:r>
      <w:r w:rsidRPr="00E66D11">
        <w:rPr>
          <w:rFonts w:ascii="Arial" w:hAnsi="Arial" w:cs="Arial"/>
          <w:sz w:val="24"/>
          <w:szCs w:val="24"/>
        </w:rPr>
        <w:tab/>
      </w:r>
      <w:r w:rsidR="00D070EC" w:rsidRPr="0042336E">
        <w:rPr>
          <w:rFonts w:ascii="Arial" w:hAnsi="Arial" w:cs="Arial"/>
          <w:sz w:val="24"/>
          <w:szCs w:val="24"/>
        </w:rPr>
        <w:t>Costs of the application shall be costs in the main action</w:t>
      </w:r>
    </w:p>
    <w:p w14:paraId="64277C15" w14:textId="24202799" w:rsidR="000A66AF" w:rsidRPr="00294709" w:rsidRDefault="000A66AF" w:rsidP="00242F02">
      <w:pPr>
        <w:pStyle w:val="ListParagraph"/>
        <w:tabs>
          <w:tab w:val="right" w:pos="8208"/>
        </w:tabs>
        <w:spacing w:before="60" w:afterLines="60" w:after="144" w:line="480" w:lineRule="auto"/>
        <w:contextualSpacing w:val="0"/>
        <w:jc w:val="both"/>
        <w:rPr>
          <w:rFonts w:ascii="Arial" w:hAnsi="Arial" w:cs="Arial"/>
          <w:sz w:val="24"/>
          <w:szCs w:val="24"/>
        </w:rPr>
      </w:pPr>
    </w:p>
    <w:p w14:paraId="59D01FFF" w14:textId="2202EAB7" w:rsidR="000A66AF" w:rsidRPr="00294709" w:rsidRDefault="0042336E" w:rsidP="00242F02">
      <w:pPr>
        <w:tabs>
          <w:tab w:val="right" w:pos="8208"/>
        </w:tabs>
        <w:spacing w:before="60" w:afterLines="60" w:after="144" w:line="480" w:lineRule="auto"/>
        <w:ind w:left="720"/>
        <w:jc w:val="right"/>
        <w:rPr>
          <w:rFonts w:ascii="Arial" w:hAnsi="Arial" w:cs="Arial"/>
          <w:sz w:val="24"/>
          <w:szCs w:val="24"/>
        </w:rPr>
      </w:pPr>
      <w:r>
        <w:rPr>
          <w:rFonts w:ascii="Arial" w:hAnsi="Arial" w:cs="Arial"/>
          <w:sz w:val="24"/>
          <w:szCs w:val="24"/>
        </w:rPr>
        <w:t>[…]</w:t>
      </w:r>
    </w:p>
    <w:p w14:paraId="206868D5" w14:textId="3438A097" w:rsidR="000A66AF" w:rsidRPr="00294709" w:rsidRDefault="000A66AF" w:rsidP="002162D7">
      <w:pPr>
        <w:tabs>
          <w:tab w:val="right" w:pos="8208"/>
        </w:tabs>
        <w:spacing w:before="60" w:afterLines="60" w:after="144" w:line="240" w:lineRule="auto"/>
        <w:ind w:left="720"/>
        <w:jc w:val="right"/>
        <w:rPr>
          <w:rFonts w:ascii="Arial" w:hAnsi="Arial" w:cs="Arial"/>
          <w:sz w:val="24"/>
          <w:szCs w:val="24"/>
        </w:rPr>
      </w:pPr>
      <w:r w:rsidRPr="00294709">
        <w:rPr>
          <w:rFonts w:ascii="Arial" w:hAnsi="Arial" w:cs="Arial"/>
          <w:sz w:val="24"/>
          <w:szCs w:val="24"/>
        </w:rPr>
        <w:t>________________________</w:t>
      </w:r>
    </w:p>
    <w:p w14:paraId="608A7C22" w14:textId="2EDAA070" w:rsidR="000A66AF" w:rsidRPr="00294709" w:rsidRDefault="002C41EF" w:rsidP="002162D7">
      <w:pPr>
        <w:tabs>
          <w:tab w:val="right" w:pos="8208"/>
        </w:tabs>
        <w:spacing w:before="60" w:afterLines="60" w:after="144" w:line="240" w:lineRule="auto"/>
        <w:ind w:left="720"/>
        <w:jc w:val="right"/>
        <w:rPr>
          <w:rFonts w:ascii="Arial" w:hAnsi="Arial" w:cs="Arial"/>
          <w:b/>
          <w:sz w:val="24"/>
          <w:szCs w:val="24"/>
        </w:rPr>
      </w:pPr>
      <w:r>
        <w:rPr>
          <w:rFonts w:ascii="Arial" w:hAnsi="Arial" w:cs="Arial"/>
          <w:b/>
          <w:sz w:val="24"/>
          <w:szCs w:val="24"/>
        </w:rPr>
        <w:t>K STRYDOM</w:t>
      </w:r>
    </w:p>
    <w:p w14:paraId="3BC90C81" w14:textId="77777777" w:rsidR="000A66AF" w:rsidRPr="00294709"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t>ACTING JUDGE OF THE HIGH COURT</w:t>
      </w:r>
    </w:p>
    <w:p w14:paraId="2AF176C6" w14:textId="77777777" w:rsidR="000A66AF" w:rsidRPr="00294709"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lastRenderedPageBreak/>
        <w:t>OF SOUTH AFRICA GAUTENG</w:t>
      </w:r>
    </w:p>
    <w:p w14:paraId="36523B2E" w14:textId="567E1AA7" w:rsidR="000A66AF" w:rsidRPr="002162D7" w:rsidRDefault="000A66AF" w:rsidP="002162D7">
      <w:pPr>
        <w:tabs>
          <w:tab w:val="right" w:pos="8208"/>
        </w:tabs>
        <w:spacing w:before="60" w:afterLines="60" w:after="144" w:line="240" w:lineRule="auto"/>
        <w:ind w:left="720"/>
        <w:jc w:val="right"/>
        <w:rPr>
          <w:rFonts w:ascii="Arial" w:hAnsi="Arial" w:cs="Arial"/>
          <w:b/>
          <w:sz w:val="24"/>
          <w:szCs w:val="24"/>
        </w:rPr>
      </w:pPr>
      <w:r w:rsidRPr="00294709">
        <w:rPr>
          <w:rFonts w:ascii="Arial" w:hAnsi="Arial" w:cs="Arial"/>
          <w:b/>
          <w:sz w:val="24"/>
          <w:szCs w:val="24"/>
        </w:rPr>
        <w:t>DIVISION, PRETORIA</w:t>
      </w:r>
    </w:p>
    <w:p w14:paraId="673877E6"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07267D7C"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666F9F2D"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521C42D9"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4B4B7B77" w14:textId="77777777" w:rsidR="00DC1CF0" w:rsidRDefault="00DC1CF0" w:rsidP="00242F02">
      <w:pPr>
        <w:tabs>
          <w:tab w:val="right" w:pos="8208"/>
        </w:tabs>
        <w:spacing w:before="60" w:afterLines="60" w:after="144" w:line="480" w:lineRule="auto"/>
        <w:ind w:left="720"/>
        <w:jc w:val="both"/>
        <w:rPr>
          <w:rFonts w:ascii="Arial" w:hAnsi="Arial" w:cs="Arial"/>
          <w:sz w:val="24"/>
          <w:szCs w:val="24"/>
        </w:rPr>
      </w:pPr>
    </w:p>
    <w:p w14:paraId="1DD70FD0" w14:textId="77777777" w:rsidR="00C91492" w:rsidRDefault="00C91492" w:rsidP="00242F02">
      <w:pPr>
        <w:tabs>
          <w:tab w:val="right" w:pos="8208"/>
        </w:tabs>
        <w:spacing w:before="60" w:afterLines="60" w:after="144" w:line="480" w:lineRule="auto"/>
        <w:ind w:left="720"/>
        <w:jc w:val="both"/>
        <w:rPr>
          <w:rFonts w:ascii="Arial" w:hAnsi="Arial" w:cs="Arial"/>
          <w:sz w:val="24"/>
          <w:szCs w:val="24"/>
        </w:rPr>
      </w:pPr>
    </w:p>
    <w:p w14:paraId="63704B02" w14:textId="77777777" w:rsidR="00C91492" w:rsidRDefault="00C91492" w:rsidP="00242F02">
      <w:pPr>
        <w:tabs>
          <w:tab w:val="right" w:pos="8208"/>
        </w:tabs>
        <w:spacing w:before="60" w:afterLines="60" w:after="144" w:line="480" w:lineRule="auto"/>
        <w:ind w:left="720"/>
        <w:jc w:val="both"/>
        <w:rPr>
          <w:rFonts w:ascii="Arial" w:hAnsi="Arial" w:cs="Arial"/>
          <w:sz w:val="24"/>
          <w:szCs w:val="24"/>
        </w:rPr>
      </w:pPr>
    </w:p>
    <w:p w14:paraId="7BA21621" w14:textId="6E0227D9" w:rsidR="00DC1CF0" w:rsidRPr="00762A86" w:rsidRDefault="00BB344F" w:rsidP="00BB344F">
      <w:pPr>
        <w:tabs>
          <w:tab w:val="right" w:pos="8208"/>
        </w:tabs>
        <w:spacing w:before="60" w:afterLines="60" w:after="144" w:line="480" w:lineRule="auto"/>
        <w:jc w:val="both"/>
        <w:rPr>
          <w:rFonts w:ascii="Arial" w:hAnsi="Arial" w:cs="Arial"/>
          <w:b/>
          <w:bCs/>
          <w:sz w:val="24"/>
          <w:szCs w:val="24"/>
        </w:rPr>
      </w:pPr>
      <w:r>
        <w:rPr>
          <w:rFonts w:ascii="Arial" w:hAnsi="Arial" w:cs="Arial"/>
          <w:sz w:val="24"/>
          <w:szCs w:val="24"/>
        </w:rPr>
        <w:t xml:space="preserve">           </w:t>
      </w:r>
      <w:r w:rsidR="00DC1CF0" w:rsidRPr="00762A86">
        <w:rPr>
          <w:rFonts w:ascii="Arial" w:hAnsi="Arial" w:cs="Arial"/>
          <w:b/>
          <w:bCs/>
          <w:sz w:val="24"/>
          <w:szCs w:val="24"/>
        </w:rPr>
        <w:t>Judgment reserved: 14 May 2024</w:t>
      </w:r>
    </w:p>
    <w:p w14:paraId="0BB52F80" w14:textId="32B63FFE" w:rsidR="000A66AF" w:rsidRPr="00762A86" w:rsidRDefault="000A66AF" w:rsidP="00242F02">
      <w:pPr>
        <w:tabs>
          <w:tab w:val="right" w:pos="8208"/>
        </w:tabs>
        <w:spacing w:before="60" w:afterLines="60" w:after="144" w:line="480" w:lineRule="auto"/>
        <w:ind w:left="720"/>
        <w:jc w:val="both"/>
        <w:rPr>
          <w:rFonts w:ascii="Arial" w:hAnsi="Arial" w:cs="Arial"/>
          <w:b/>
          <w:bCs/>
          <w:sz w:val="24"/>
          <w:szCs w:val="24"/>
        </w:rPr>
      </w:pPr>
      <w:r w:rsidRPr="00762A86">
        <w:rPr>
          <w:rFonts w:ascii="Arial" w:hAnsi="Arial" w:cs="Arial"/>
          <w:b/>
          <w:bCs/>
          <w:sz w:val="24"/>
          <w:szCs w:val="24"/>
        </w:rPr>
        <w:t xml:space="preserve">Judgment delivered:  </w:t>
      </w:r>
      <w:r w:rsidR="009C0DEF" w:rsidRPr="00762A86">
        <w:rPr>
          <w:rFonts w:ascii="Arial" w:hAnsi="Arial" w:cs="Arial"/>
          <w:b/>
          <w:bCs/>
          <w:sz w:val="24"/>
          <w:szCs w:val="24"/>
        </w:rPr>
        <w:t>1</w:t>
      </w:r>
      <w:r w:rsidR="00E41DEF">
        <w:rPr>
          <w:rFonts w:ascii="Arial" w:hAnsi="Arial" w:cs="Arial"/>
          <w:b/>
          <w:bCs/>
          <w:sz w:val="24"/>
          <w:szCs w:val="24"/>
        </w:rPr>
        <w:t>8</w:t>
      </w:r>
      <w:r w:rsidR="009C0DEF" w:rsidRPr="00762A86">
        <w:rPr>
          <w:rFonts w:ascii="Arial" w:hAnsi="Arial" w:cs="Arial"/>
          <w:b/>
          <w:bCs/>
          <w:sz w:val="24"/>
          <w:szCs w:val="24"/>
        </w:rPr>
        <w:t xml:space="preserve"> June 2024</w:t>
      </w:r>
    </w:p>
    <w:p w14:paraId="40EC0888" w14:textId="77777777" w:rsidR="000A66AF" w:rsidRPr="00294709" w:rsidRDefault="000A66AF" w:rsidP="00242F02">
      <w:pPr>
        <w:tabs>
          <w:tab w:val="right" w:pos="8208"/>
        </w:tabs>
        <w:spacing w:before="60" w:afterLines="60" w:after="144" w:line="480" w:lineRule="auto"/>
        <w:ind w:left="720"/>
        <w:jc w:val="both"/>
        <w:rPr>
          <w:rFonts w:ascii="Arial" w:hAnsi="Arial" w:cs="Arial"/>
          <w:sz w:val="24"/>
          <w:szCs w:val="24"/>
        </w:rPr>
      </w:pPr>
    </w:p>
    <w:p w14:paraId="19446CA1" w14:textId="70D07805" w:rsidR="000A66AF" w:rsidRPr="0079500D" w:rsidRDefault="000A66AF" w:rsidP="0079500D">
      <w:pPr>
        <w:tabs>
          <w:tab w:val="right" w:pos="8208"/>
        </w:tabs>
        <w:spacing w:before="60" w:afterLines="60" w:after="144" w:line="480" w:lineRule="auto"/>
        <w:ind w:left="720"/>
        <w:jc w:val="both"/>
        <w:rPr>
          <w:rFonts w:ascii="Arial" w:hAnsi="Arial" w:cs="Arial"/>
          <w:b/>
          <w:bCs/>
          <w:sz w:val="24"/>
          <w:szCs w:val="24"/>
        </w:rPr>
      </w:pPr>
      <w:r w:rsidRPr="0079500D">
        <w:rPr>
          <w:rFonts w:ascii="Arial" w:hAnsi="Arial" w:cs="Arial"/>
          <w:b/>
          <w:bCs/>
          <w:sz w:val="24"/>
          <w:szCs w:val="24"/>
        </w:rPr>
        <w:t>Appearances:</w:t>
      </w:r>
    </w:p>
    <w:p w14:paraId="71081967" w14:textId="0665B676" w:rsidR="000A66AF" w:rsidRPr="0079500D" w:rsidRDefault="000A66AF" w:rsidP="0079500D">
      <w:pPr>
        <w:tabs>
          <w:tab w:val="right" w:pos="8208"/>
        </w:tabs>
        <w:spacing w:before="60" w:afterLines="60" w:after="144" w:line="360" w:lineRule="auto"/>
        <w:ind w:left="720"/>
        <w:jc w:val="both"/>
        <w:rPr>
          <w:rFonts w:ascii="Arial" w:hAnsi="Arial" w:cs="Arial"/>
          <w:sz w:val="24"/>
          <w:szCs w:val="24"/>
          <w:u w:val="single"/>
        </w:rPr>
      </w:pPr>
      <w:r w:rsidRPr="0079500D">
        <w:rPr>
          <w:rFonts w:ascii="Arial" w:hAnsi="Arial" w:cs="Arial"/>
          <w:sz w:val="24"/>
          <w:szCs w:val="24"/>
          <w:u w:val="single"/>
        </w:rPr>
        <w:t xml:space="preserve">For the </w:t>
      </w:r>
      <w:r w:rsidR="00C04991" w:rsidRPr="0079500D">
        <w:rPr>
          <w:rFonts w:ascii="Arial" w:hAnsi="Arial" w:cs="Arial"/>
          <w:sz w:val="24"/>
          <w:szCs w:val="24"/>
          <w:u w:val="single"/>
        </w:rPr>
        <w:t>Applicant</w:t>
      </w:r>
      <w:r w:rsidRPr="0079500D">
        <w:rPr>
          <w:rFonts w:ascii="Arial" w:hAnsi="Arial" w:cs="Arial"/>
          <w:sz w:val="24"/>
          <w:szCs w:val="24"/>
          <w:u w:val="single"/>
        </w:rPr>
        <w:t xml:space="preserve">:   </w:t>
      </w:r>
    </w:p>
    <w:p w14:paraId="79D8F757" w14:textId="3C226620" w:rsidR="0079500D" w:rsidRDefault="0079500D" w:rsidP="0079500D">
      <w:pPr>
        <w:tabs>
          <w:tab w:val="right" w:pos="8208"/>
        </w:tabs>
        <w:spacing w:before="60" w:afterLines="60" w:after="144" w:line="360" w:lineRule="auto"/>
        <w:ind w:left="720"/>
        <w:jc w:val="both"/>
        <w:rPr>
          <w:rFonts w:ascii="Arial" w:hAnsi="Arial" w:cs="Arial"/>
          <w:sz w:val="24"/>
          <w:szCs w:val="24"/>
        </w:rPr>
      </w:pPr>
      <w:r>
        <w:rPr>
          <w:rFonts w:ascii="Arial" w:hAnsi="Arial" w:cs="Arial"/>
          <w:sz w:val="24"/>
          <w:szCs w:val="24"/>
        </w:rPr>
        <w:t xml:space="preserve">Adv </w:t>
      </w:r>
      <w:r w:rsidRPr="0079500D">
        <w:rPr>
          <w:rFonts w:ascii="Arial" w:hAnsi="Arial" w:cs="Arial"/>
          <w:sz w:val="24"/>
          <w:szCs w:val="24"/>
        </w:rPr>
        <w:t>JH Jooste</w:t>
      </w:r>
    </w:p>
    <w:p w14:paraId="5EC3781B" w14:textId="474A0CE8" w:rsidR="000A66AF" w:rsidRDefault="0079500D" w:rsidP="0079500D">
      <w:pPr>
        <w:tabs>
          <w:tab w:val="right" w:pos="8208"/>
        </w:tabs>
        <w:spacing w:before="60" w:afterLines="60" w:after="144" w:line="480" w:lineRule="auto"/>
        <w:ind w:left="720"/>
        <w:jc w:val="both"/>
        <w:rPr>
          <w:rFonts w:ascii="Arial" w:hAnsi="Arial" w:cs="Arial"/>
          <w:sz w:val="24"/>
          <w:szCs w:val="24"/>
        </w:rPr>
      </w:pPr>
      <w:r>
        <w:rPr>
          <w:rFonts w:ascii="Arial" w:hAnsi="Arial" w:cs="Arial"/>
          <w:sz w:val="24"/>
          <w:szCs w:val="24"/>
        </w:rPr>
        <w:t xml:space="preserve">Instructed by: </w:t>
      </w:r>
      <w:r w:rsidRPr="0079500D">
        <w:rPr>
          <w:rFonts w:ascii="Arial" w:hAnsi="Arial" w:cs="Arial"/>
          <w:sz w:val="24"/>
          <w:szCs w:val="24"/>
        </w:rPr>
        <w:t>Hack Stupel &amp; Ross</w:t>
      </w:r>
    </w:p>
    <w:p w14:paraId="01EAB067" w14:textId="77777777" w:rsidR="000E74AF" w:rsidRPr="00294709" w:rsidRDefault="000E74AF" w:rsidP="0079500D">
      <w:pPr>
        <w:tabs>
          <w:tab w:val="right" w:pos="8208"/>
        </w:tabs>
        <w:spacing w:before="60" w:afterLines="60" w:after="144" w:line="480" w:lineRule="auto"/>
        <w:ind w:left="720"/>
        <w:jc w:val="both"/>
        <w:rPr>
          <w:rFonts w:ascii="Arial" w:hAnsi="Arial" w:cs="Arial"/>
          <w:sz w:val="24"/>
          <w:szCs w:val="24"/>
        </w:rPr>
      </w:pPr>
    </w:p>
    <w:p w14:paraId="16884A7D" w14:textId="5791C523" w:rsidR="0015798B" w:rsidRPr="00D17E14" w:rsidRDefault="000A66AF" w:rsidP="007E4113">
      <w:pPr>
        <w:tabs>
          <w:tab w:val="right" w:pos="8208"/>
        </w:tabs>
        <w:spacing w:before="60" w:afterLines="60" w:after="144" w:line="360" w:lineRule="auto"/>
        <w:ind w:left="720"/>
        <w:jc w:val="both"/>
        <w:rPr>
          <w:rFonts w:ascii="Arial" w:hAnsi="Arial" w:cs="Arial"/>
          <w:sz w:val="24"/>
          <w:szCs w:val="24"/>
          <w:u w:val="single"/>
        </w:rPr>
      </w:pPr>
      <w:r w:rsidRPr="00D17E14">
        <w:rPr>
          <w:rFonts w:ascii="Arial" w:hAnsi="Arial" w:cs="Arial"/>
          <w:sz w:val="24"/>
          <w:szCs w:val="24"/>
          <w:u w:val="single"/>
        </w:rPr>
        <w:t>For the</w:t>
      </w:r>
      <w:r w:rsidR="00C91492" w:rsidRPr="00D17E14">
        <w:rPr>
          <w:rFonts w:ascii="Arial" w:hAnsi="Arial" w:cs="Arial"/>
          <w:sz w:val="24"/>
          <w:szCs w:val="24"/>
          <w:u w:val="single"/>
        </w:rPr>
        <w:t xml:space="preserve"> Respondents:</w:t>
      </w:r>
      <w:r w:rsidRPr="00D17E14">
        <w:rPr>
          <w:rFonts w:ascii="Arial" w:hAnsi="Arial" w:cs="Arial"/>
          <w:sz w:val="24"/>
          <w:szCs w:val="24"/>
          <w:u w:val="single"/>
        </w:rPr>
        <w:t xml:space="preserve">  </w:t>
      </w:r>
    </w:p>
    <w:p w14:paraId="2A270759" w14:textId="11B52766" w:rsidR="00DE4390" w:rsidRDefault="00DE4390" w:rsidP="007E4113">
      <w:pPr>
        <w:tabs>
          <w:tab w:val="right" w:pos="8208"/>
        </w:tabs>
        <w:spacing w:before="60" w:afterLines="60" w:after="144" w:line="360" w:lineRule="auto"/>
        <w:ind w:left="720"/>
        <w:jc w:val="both"/>
        <w:rPr>
          <w:rFonts w:ascii="Arial" w:eastAsia="Arial" w:hAnsi="Arial" w:cs="Arial"/>
          <w:color w:val="000000"/>
          <w:sz w:val="24"/>
          <w:szCs w:val="24"/>
        </w:rPr>
      </w:pPr>
      <w:r w:rsidRPr="00DE4390">
        <w:rPr>
          <w:rFonts w:ascii="Arial" w:eastAsia="Arial" w:hAnsi="Arial" w:cs="Arial"/>
          <w:color w:val="000000"/>
          <w:sz w:val="24"/>
          <w:szCs w:val="24"/>
        </w:rPr>
        <w:t>Adv R Botha</w:t>
      </w:r>
    </w:p>
    <w:p w14:paraId="1C72869F" w14:textId="347922E7" w:rsidR="007E4113" w:rsidRPr="00294709" w:rsidRDefault="007E4113" w:rsidP="00DE4390">
      <w:pPr>
        <w:tabs>
          <w:tab w:val="right" w:pos="8208"/>
        </w:tabs>
        <w:spacing w:before="60" w:afterLines="60" w:after="144"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Instructed by: </w:t>
      </w:r>
      <w:r w:rsidRPr="007E4113">
        <w:rPr>
          <w:rFonts w:ascii="Arial" w:eastAsia="Arial" w:hAnsi="Arial" w:cs="Arial"/>
          <w:color w:val="000000"/>
          <w:sz w:val="24"/>
          <w:szCs w:val="24"/>
        </w:rPr>
        <w:t xml:space="preserve">Johan Victor Attorneys </w:t>
      </w:r>
    </w:p>
    <w:sectPr w:rsidR="007E4113" w:rsidRPr="00294709" w:rsidSect="00D15C19">
      <w:headerReference w:type="default" r:id="rId10"/>
      <w:footerReference w:type="default" r:id="rId11"/>
      <w:pgSz w:w="11906" w:h="16838"/>
      <w:pgMar w:top="720" w:right="720" w:bottom="426" w:left="72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B96A4" w14:textId="77777777" w:rsidR="00F70755" w:rsidRDefault="00F70755">
      <w:pPr>
        <w:spacing w:after="0" w:line="240" w:lineRule="auto"/>
      </w:pPr>
      <w:r>
        <w:separator/>
      </w:r>
    </w:p>
  </w:endnote>
  <w:endnote w:type="continuationSeparator" w:id="0">
    <w:p w14:paraId="3E7B8792" w14:textId="77777777" w:rsidR="00F70755" w:rsidRDefault="00F7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E1464" w14:textId="77777777" w:rsidR="00F70755" w:rsidRDefault="00F70755">
      <w:pPr>
        <w:spacing w:after="0" w:line="240" w:lineRule="auto"/>
      </w:pPr>
      <w:r>
        <w:separator/>
      </w:r>
    </w:p>
  </w:footnote>
  <w:footnote w:type="continuationSeparator" w:id="0">
    <w:p w14:paraId="766EF6A4" w14:textId="77777777" w:rsidR="00F70755" w:rsidRDefault="00F70755">
      <w:pPr>
        <w:spacing w:after="0" w:line="240" w:lineRule="auto"/>
      </w:pPr>
      <w:r>
        <w:continuationSeparator/>
      </w:r>
    </w:p>
  </w:footnote>
  <w:footnote w:id="1">
    <w:p w14:paraId="6B882986" w14:textId="3E463B48" w:rsidR="00AA4208" w:rsidRDefault="00AA4208" w:rsidP="00D57E34">
      <w:pPr>
        <w:pStyle w:val="FootnoteText"/>
      </w:pPr>
      <w:r>
        <w:rPr>
          <w:rStyle w:val="FootnoteReference"/>
        </w:rPr>
        <w:footnoteRef/>
      </w:r>
      <w:r>
        <w:t xml:space="preserve"> </w:t>
      </w:r>
      <w:r w:rsidR="00CF040C" w:rsidRPr="00CF040C">
        <w:rPr>
          <w:i/>
          <w:iCs/>
        </w:rPr>
        <w:t>Firstrand Bank Limited v Briedenhann</w:t>
      </w:r>
      <w:r w:rsidR="00CF040C" w:rsidRPr="00CF040C">
        <w:t xml:space="preserve"> (3690/2021) [2022</w:t>
      </w:r>
      <w:r w:rsidR="00605243">
        <w:t>]</w:t>
      </w:r>
      <w:r w:rsidR="00CF040C" w:rsidRPr="00CF040C">
        <w:t xml:space="preserve"> ZAECQBHC 6; 2022 (5) SA 215 (ECG) (5 May 2022)</w:t>
      </w:r>
      <w:r w:rsidR="00CF040C">
        <w:t xml:space="preserve"> “</w:t>
      </w:r>
      <w:r w:rsidR="00CF040C" w:rsidRPr="00CF040C">
        <w:rPr>
          <w:i/>
          <w:iCs/>
        </w:rPr>
        <w:t>Briedenhann</w:t>
      </w:r>
      <w:r w:rsidR="00CF040C">
        <w:t>”</w:t>
      </w:r>
    </w:p>
  </w:footnote>
  <w:footnote w:id="2">
    <w:p w14:paraId="523CC4AC" w14:textId="1813F2F4" w:rsidR="00683B37" w:rsidRDefault="00683B37">
      <w:pPr>
        <w:pStyle w:val="FootnoteText"/>
      </w:pPr>
      <w:r>
        <w:rPr>
          <w:rStyle w:val="FootnoteReference"/>
        </w:rPr>
        <w:footnoteRef/>
      </w:r>
      <w:r>
        <w:t xml:space="preserve"> </w:t>
      </w:r>
      <w:r w:rsidR="00362532">
        <w:t xml:space="preserve">Regulations </w:t>
      </w:r>
      <w:r w:rsidR="00362532" w:rsidRPr="00362532">
        <w:t>Governing the Administering of an Oath or Affirmation, published under Government GN 1258 in GG 3619 dated 21 July 1972</w:t>
      </w:r>
    </w:p>
  </w:footnote>
  <w:footnote w:id="3">
    <w:p w14:paraId="2D2B50DF" w14:textId="04731FD8" w:rsidR="00881B2A" w:rsidRDefault="00881B2A">
      <w:pPr>
        <w:pStyle w:val="FootnoteText"/>
      </w:pPr>
      <w:r>
        <w:rPr>
          <w:rStyle w:val="FootnoteReference"/>
        </w:rPr>
        <w:footnoteRef/>
      </w:r>
      <w:r>
        <w:t xml:space="preserve"> </w:t>
      </w:r>
      <w:r w:rsidRPr="00881B2A">
        <w:rPr>
          <w:i/>
          <w:iCs/>
        </w:rPr>
        <w:t>LexisNexis South Africa (Pty) Ltd v Minister of Justice and Correctional Services</w:t>
      </w:r>
      <w:r w:rsidRPr="00881B2A">
        <w:t xml:space="preserve"> (2023-010096) [2024] ZAGPPHC 446 (29 April 2024)</w:t>
      </w:r>
    </w:p>
  </w:footnote>
  <w:footnote w:id="4">
    <w:p w14:paraId="1F7537A3" w14:textId="38DEBD37" w:rsidR="002C5F57" w:rsidRDefault="002C5F57" w:rsidP="00D57E34">
      <w:pPr>
        <w:pStyle w:val="FootnoteText"/>
      </w:pPr>
      <w:r>
        <w:rPr>
          <w:rStyle w:val="FootnoteReference"/>
        </w:rPr>
        <w:footnoteRef/>
      </w:r>
      <w:r>
        <w:t xml:space="preserve"> </w:t>
      </w:r>
      <w:r w:rsidR="008B666A" w:rsidRPr="008B666A">
        <w:rPr>
          <w:i/>
          <w:iCs/>
        </w:rPr>
        <w:t>Sonap Petroleum (SA) (Pty) Ltd (formerly known as Sonarep (SA) (Pty) Ltd) v Pappadogianis</w:t>
      </w:r>
      <w:r w:rsidR="008B666A" w:rsidRPr="008B666A">
        <w:t xml:space="preserve"> 1992 (3) SA 234 (A) at 119.</w:t>
      </w:r>
    </w:p>
  </w:footnote>
  <w:footnote w:id="5">
    <w:p w14:paraId="4BD8281C" w14:textId="5BEDE425" w:rsidR="004C7594" w:rsidRDefault="004C7594" w:rsidP="00D57E34">
      <w:pPr>
        <w:pStyle w:val="FootnoteText"/>
      </w:pPr>
      <w:r>
        <w:rPr>
          <w:rStyle w:val="FootnoteReference"/>
        </w:rPr>
        <w:footnoteRef/>
      </w:r>
      <w:r>
        <w:t xml:space="preserve"> </w:t>
      </w:r>
      <w:r w:rsidR="001859F9" w:rsidRPr="001859F9">
        <w:rPr>
          <w:i/>
          <w:iCs/>
        </w:rPr>
        <w:t>Slip Knot Investments 777 (Pty) Ltd v Du Toit</w:t>
      </w:r>
      <w:r w:rsidR="001859F9" w:rsidRPr="001859F9">
        <w:t xml:space="preserve"> [2011] ZASCA 34; 2011 (4) SA 72 (SCA) para 12.</w:t>
      </w:r>
    </w:p>
  </w:footnote>
  <w:footnote w:id="6">
    <w:p w14:paraId="254139AE" w14:textId="67A7E558" w:rsidR="002E1DC2" w:rsidRDefault="002E1DC2" w:rsidP="00D57E34">
      <w:pPr>
        <w:pStyle w:val="FootnoteText"/>
      </w:pPr>
      <w:r>
        <w:rPr>
          <w:rStyle w:val="FootnoteReference"/>
        </w:rPr>
        <w:footnoteRef/>
      </w:r>
      <w:r>
        <w:t xml:space="preserve"> </w:t>
      </w:r>
      <w:r w:rsidRPr="002E1DC2">
        <w:rPr>
          <w:i/>
          <w:iCs/>
        </w:rPr>
        <w:t>Joob Joob Investments (Pty) Ltd v Stocks Mavundla Zek Joint Venture</w:t>
      </w:r>
      <w:r w:rsidRPr="002E1DC2">
        <w:t xml:space="preserve"> 2009 (5) SA 1 (SCA), para. 32</w:t>
      </w:r>
    </w:p>
  </w:footnote>
  <w:footnote w:id="7">
    <w:p w14:paraId="5356040E" w14:textId="459ABF8C" w:rsidR="0019270F" w:rsidRDefault="0019270F" w:rsidP="00D57E34">
      <w:pPr>
        <w:pStyle w:val="FootnoteText"/>
      </w:pPr>
      <w:r>
        <w:rPr>
          <w:rStyle w:val="FootnoteReference"/>
        </w:rPr>
        <w:footnoteRef/>
      </w:r>
      <w:r>
        <w:t xml:space="preserve"> </w:t>
      </w:r>
      <w:r w:rsidRPr="0019270F">
        <w:rPr>
          <w:i/>
          <w:iCs/>
        </w:rPr>
        <w:t>NPGS Protection and Security Services CC and Another v FirstRand Bank Ltd</w:t>
      </w:r>
      <w:r w:rsidRPr="0019270F">
        <w:t xml:space="preserve"> (314/2018) [2019] ZASCA 94; [2019] 3 All SA 391 (SCA); 2020 (1) SA 494 (SCA) (6 June 2019)</w:t>
      </w:r>
    </w:p>
  </w:footnote>
  <w:footnote w:id="8">
    <w:p w14:paraId="7CD380B7" w14:textId="642BF857" w:rsidR="005470C7" w:rsidRPr="001D5DCC" w:rsidRDefault="005470C7" w:rsidP="00D57E34">
      <w:pPr>
        <w:pStyle w:val="FootnoteText"/>
      </w:pPr>
      <w:r>
        <w:rPr>
          <w:rStyle w:val="FootnoteReference"/>
        </w:rPr>
        <w:footnoteRef/>
      </w:r>
      <w:r>
        <w:t xml:space="preserve"> </w:t>
      </w:r>
      <w:r w:rsidR="001D5DCC">
        <w:rPr>
          <w:i/>
          <w:iCs/>
        </w:rPr>
        <w:t xml:space="preserve">NPGS </w:t>
      </w:r>
      <w:r w:rsidR="001D5DCC">
        <w:t>at para 67</w:t>
      </w:r>
    </w:p>
  </w:footnote>
  <w:footnote w:id="9">
    <w:p w14:paraId="561D393D" w14:textId="1EC4AC5F" w:rsidR="001A7FE3" w:rsidRPr="001A7FE3" w:rsidRDefault="001A7FE3" w:rsidP="00D57E34">
      <w:pPr>
        <w:pStyle w:val="FootnoteText"/>
      </w:pPr>
      <w:r>
        <w:rPr>
          <w:rStyle w:val="FootnoteReference"/>
        </w:rPr>
        <w:footnoteRef/>
      </w:r>
      <w:r>
        <w:t xml:space="preserve"> </w:t>
      </w:r>
      <w:r>
        <w:rPr>
          <w:i/>
          <w:iCs/>
        </w:rPr>
        <w:t xml:space="preserve">NPGS </w:t>
      </w:r>
      <w:r>
        <w:t>at para 44</w:t>
      </w:r>
    </w:p>
  </w:footnote>
  <w:footnote w:id="10">
    <w:p w14:paraId="3DC95124" w14:textId="040253DE" w:rsidR="00553EEC" w:rsidRDefault="00553EEC" w:rsidP="00D57E34">
      <w:pPr>
        <w:pStyle w:val="FootnoteText"/>
      </w:pPr>
      <w:r>
        <w:rPr>
          <w:rStyle w:val="FootnoteReference"/>
        </w:rPr>
        <w:footnoteRef/>
      </w:r>
      <w:r>
        <w:t xml:space="preserve"> Admitted by virtue of the discretion </w:t>
      </w:r>
      <w:r w:rsidR="00F1562D">
        <w:t>as contained in R46A</w:t>
      </w:r>
      <w:r w:rsidR="005F7C69">
        <w:t>(8)(</w:t>
      </w:r>
      <w:r w:rsidR="00E543C5">
        <w:t>c</w:t>
      </w:r>
      <w:r w:rsidR="005F7C69">
        <w:t>)</w:t>
      </w:r>
    </w:p>
  </w:footnote>
  <w:footnote w:id="11">
    <w:p w14:paraId="110B5CE3" w14:textId="77777777" w:rsidR="00564D95" w:rsidRDefault="00564D95" w:rsidP="007F50EE">
      <w:pPr>
        <w:spacing w:line="240" w:lineRule="auto"/>
        <w:contextualSpacing/>
      </w:pPr>
      <w:r>
        <w:rPr>
          <w:rStyle w:val="FootnoteReference"/>
        </w:rPr>
        <w:footnoteRef/>
      </w:r>
      <w:r>
        <w:t xml:space="preserve"> </w:t>
      </w:r>
      <w:r>
        <w:rPr>
          <w:i/>
          <w:iCs/>
        </w:rPr>
        <w:t>Maharaj v Barclays National Bank Ltd</w:t>
      </w:r>
      <w:r>
        <w:t xml:space="preserve"> 1976 (1) SA 418 (A) at 426A-C</w:t>
      </w:r>
    </w:p>
  </w:footnote>
  <w:footnote w:id="12">
    <w:p w14:paraId="734347D3" w14:textId="783C9715" w:rsidR="006C5F07" w:rsidRDefault="006C5F07" w:rsidP="007F50EE">
      <w:pPr>
        <w:pStyle w:val="FootnoteText"/>
        <w:contextualSpacing/>
      </w:pPr>
      <w:r>
        <w:rPr>
          <w:rStyle w:val="FootnoteReference"/>
        </w:rPr>
        <w:footnoteRef/>
      </w:r>
      <w:r>
        <w:t xml:space="preserve"> </w:t>
      </w:r>
      <w:r w:rsidR="000024C8">
        <w:t xml:space="preserve">See: </w:t>
      </w:r>
      <w:r>
        <w:t xml:space="preserve">Practice Manual </w:t>
      </w:r>
      <w:r w:rsidR="00C211C4">
        <w:t xml:space="preserve">of the </w:t>
      </w:r>
      <w:r>
        <w:t>Gauteng</w:t>
      </w:r>
      <w:r w:rsidR="00C211C4">
        <w:t xml:space="preserve"> Local Division </w:t>
      </w:r>
      <w:r>
        <w:t>paragraph 10.17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924340"/>
      <w:docPartObj>
        <w:docPartGallery w:val="Page Numbers (Top of Page)"/>
        <w:docPartUnique/>
      </w:docPartObj>
    </w:sdtPr>
    <w:sdtContent>
      <w:p w14:paraId="375173BF" w14:textId="77777777" w:rsidR="007F50EE" w:rsidRDefault="007F50E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B61E181" w14:textId="77777777" w:rsidR="007F50EE" w:rsidRDefault="007F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033D9"/>
    <w:multiLevelType w:val="hybridMultilevel"/>
    <w:tmpl w:val="6FB62A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A0D8D"/>
    <w:multiLevelType w:val="multilevel"/>
    <w:tmpl w:val="64F0E29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15:restartNumberingAfterBreak="0">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EF5ABC"/>
    <w:multiLevelType w:val="multilevel"/>
    <w:tmpl w:val="315E477A"/>
    <w:lvl w:ilvl="0">
      <w:start w:val="23"/>
      <w:numFmt w:val="decimal"/>
      <w:lvlText w:val="%1"/>
      <w:lvlJc w:val="left"/>
      <w:pPr>
        <w:ind w:left="46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15:restartNumberingAfterBreak="0">
    <w:nsid w:val="2FFA44E7"/>
    <w:multiLevelType w:val="hybridMultilevel"/>
    <w:tmpl w:val="FCBA2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2456CE"/>
    <w:multiLevelType w:val="hybridMultilevel"/>
    <w:tmpl w:val="C6C03EDA"/>
    <w:lvl w:ilvl="0" w:tplc="6416082C">
      <w:start w:val="1"/>
      <w:numFmt w:val="decimal"/>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B083D82"/>
    <w:multiLevelType w:val="multilevel"/>
    <w:tmpl w:val="B9348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9" w15:restartNumberingAfterBreak="0">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15:restartNumberingAfterBreak="0">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4" w15:restartNumberingAfterBreak="0">
    <w:nsid w:val="6E4C2870"/>
    <w:multiLevelType w:val="multilevel"/>
    <w:tmpl w:val="332A4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74A133D"/>
    <w:multiLevelType w:val="multilevel"/>
    <w:tmpl w:val="367231D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885251">
    <w:abstractNumId w:val="4"/>
  </w:num>
  <w:num w:numId="2" w16cid:durableId="183328772">
    <w:abstractNumId w:val="22"/>
  </w:num>
  <w:num w:numId="3" w16cid:durableId="1141927354">
    <w:abstractNumId w:val="21"/>
  </w:num>
  <w:num w:numId="4" w16cid:durableId="1364861594">
    <w:abstractNumId w:val="25"/>
  </w:num>
  <w:num w:numId="5" w16cid:durableId="722757212">
    <w:abstractNumId w:val="7"/>
  </w:num>
  <w:num w:numId="6" w16cid:durableId="1531185539">
    <w:abstractNumId w:val="16"/>
  </w:num>
  <w:num w:numId="7" w16cid:durableId="2117291705">
    <w:abstractNumId w:val="20"/>
  </w:num>
  <w:num w:numId="8" w16cid:durableId="893809896">
    <w:abstractNumId w:val="18"/>
  </w:num>
  <w:num w:numId="9" w16cid:durableId="242378568">
    <w:abstractNumId w:val="9"/>
  </w:num>
  <w:num w:numId="10" w16cid:durableId="1244532833">
    <w:abstractNumId w:val="3"/>
  </w:num>
  <w:num w:numId="11" w16cid:durableId="430860992">
    <w:abstractNumId w:val="17"/>
  </w:num>
  <w:num w:numId="12" w16cid:durableId="1091966922">
    <w:abstractNumId w:val="8"/>
  </w:num>
  <w:num w:numId="13" w16cid:durableId="1267033912">
    <w:abstractNumId w:val="11"/>
  </w:num>
  <w:num w:numId="14" w16cid:durableId="925726989">
    <w:abstractNumId w:val="13"/>
  </w:num>
  <w:num w:numId="15" w16cid:durableId="642462471">
    <w:abstractNumId w:val="1"/>
  </w:num>
  <w:num w:numId="16" w16cid:durableId="347831674">
    <w:abstractNumId w:val="23"/>
  </w:num>
  <w:num w:numId="17" w16cid:durableId="1001277145">
    <w:abstractNumId w:val="26"/>
  </w:num>
  <w:num w:numId="18" w16cid:durableId="657733722">
    <w:abstractNumId w:val="19"/>
  </w:num>
  <w:num w:numId="19" w16cid:durableId="411466094">
    <w:abstractNumId w:val="14"/>
  </w:num>
  <w:num w:numId="20" w16cid:durableId="862019413">
    <w:abstractNumId w:val="5"/>
  </w:num>
  <w:num w:numId="21" w16cid:durableId="1026760477">
    <w:abstractNumId w:val="6"/>
  </w:num>
  <w:num w:numId="22" w16cid:durableId="2071688486">
    <w:abstractNumId w:val="10"/>
  </w:num>
  <w:num w:numId="23" w16cid:durableId="1209223959">
    <w:abstractNumId w:val="15"/>
  </w:num>
  <w:num w:numId="24" w16cid:durableId="613441734">
    <w:abstractNumId w:val="24"/>
  </w:num>
  <w:num w:numId="25" w16cid:durableId="1320841654">
    <w:abstractNumId w:val="12"/>
  </w:num>
  <w:num w:numId="26" w16cid:durableId="997999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0963937">
    <w:abstractNumId w:val="2"/>
  </w:num>
  <w:num w:numId="28" w16cid:durableId="98436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CB"/>
    <w:rsid w:val="00000002"/>
    <w:rsid w:val="000024C8"/>
    <w:rsid w:val="00005505"/>
    <w:rsid w:val="00022EB4"/>
    <w:rsid w:val="0002520F"/>
    <w:rsid w:val="00027141"/>
    <w:rsid w:val="00040048"/>
    <w:rsid w:val="00040983"/>
    <w:rsid w:val="000412C6"/>
    <w:rsid w:val="00042F61"/>
    <w:rsid w:val="00042FAD"/>
    <w:rsid w:val="00045035"/>
    <w:rsid w:val="0004619A"/>
    <w:rsid w:val="00050861"/>
    <w:rsid w:val="00050893"/>
    <w:rsid w:val="00051EAD"/>
    <w:rsid w:val="00055BEE"/>
    <w:rsid w:val="0005752F"/>
    <w:rsid w:val="00073637"/>
    <w:rsid w:val="0007685B"/>
    <w:rsid w:val="00080955"/>
    <w:rsid w:val="0008637D"/>
    <w:rsid w:val="00087175"/>
    <w:rsid w:val="000919A5"/>
    <w:rsid w:val="00092104"/>
    <w:rsid w:val="000928BF"/>
    <w:rsid w:val="000937EE"/>
    <w:rsid w:val="000947D5"/>
    <w:rsid w:val="00095843"/>
    <w:rsid w:val="000A0DE2"/>
    <w:rsid w:val="000A266F"/>
    <w:rsid w:val="000A66AF"/>
    <w:rsid w:val="000A674B"/>
    <w:rsid w:val="000C107D"/>
    <w:rsid w:val="000C1743"/>
    <w:rsid w:val="000C2183"/>
    <w:rsid w:val="000C28BA"/>
    <w:rsid w:val="000C3EAE"/>
    <w:rsid w:val="000D4DDB"/>
    <w:rsid w:val="000D5D5E"/>
    <w:rsid w:val="000E1369"/>
    <w:rsid w:val="000E287E"/>
    <w:rsid w:val="000E3247"/>
    <w:rsid w:val="000E74AF"/>
    <w:rsid w:val="000F24E8"/>
    <w:rsid w:val="001003FF"/>
    <w:rsid w:val="0010110D"/>
    <w:rsid w:val="001040D6"/>
    <w:rsid w:val="00104827"/>
    <w:rsid w:val="0010534A"/>
    <w:rsid w:val="0010752A"/>
    <w:rsid w:val="00114414"/>
    <w:rsid w:val="00115931"/>
    <w:rsid w:val="0012170E"/>
    <w:rsid w:val="00121EE2"/>
    <w:rsid w:val="001239A5"/>
    <w:rsid w:val="001249E8"/>
    <w:rsid w:val="001330A3"/>
    <w:rsid w:val="001334FD"/>
    <w:rsid w:val="00144EA8"/>
    <w:rsid w:val="00146031"/>
    <w:rsid w:val="00150C83"/>
    <w:rsid w:val="00154433"/>
    <w:rsid w:val="0015798B"/>
    <w:rsid w:val="00157F81"/>
    <w:rsid w:val="001616A7"/>
    <w:rsid w:val="00167B6E"/>
    <w:rsid w:val="00171BBB"/>
    <w:rsid w:val="00172468"/>
    <w:rsid w:val="00172F37"/>
    <w:rsid w:val="0017417A"/>
    <w:rsid w:val="00177040"/>
    <w:rsid w:val="00182F92"/>
    <w:rsid w:val="001859F9"/>
    <w:rsid w:val="00186236"/>
    <w:rsid w:val="00186B07"/>
    <w:rsid w:val="00187A31"/>
    <w:rsid w:val="0019270F"/>
    <w:rsid w:val="001950F3"/>
    <w:rsid w:val="00195FC1"/>
    <w:rsid w:val="001A188E"/>
    <w:rsid w:val="001A7FE3"/>
    <w:rsid w:val="001B263C"/>
    <w:rsid w:val="001C7105"/>
    <w:rsid w:val="001D078F"/>
    <w:rsid w:val="001D5DCC"/>
    <w:rsid w:val="001D613B"/>
    <w:rsid w:val="001D7C65"/>
    <w:rsid w:val="001E0269"/>
    <w:rsid w:val="001E23A1"/>
    <w:rsid w:val="001E2961"/>
    <w:rsid w:val="001F356C"/>
    <w:rsid w:val="00201D4A"/>
    <w:rsid w:val="0020647E"/>
    <w:rsid w:val="002141CF"/>
    <w:rsid w:val="002148D7"/>
    <w:rsid w:val="002162D7"/>
    <w:rsid w:val="00217FF8"/>
    <w:rsid w:val="0022184B"/>
    <w:rsid w:val="00222979"/>
    <w:rsid w:val="0022640F"/>
    <w:rsid w:val="00230C40"/>
    <w:rsid w:val="00234934"/>
    <w:rsid w:val="00240650"/>
    <w:rsid w:val="00240E3D"/>
    <w:rsid w:val="002413B5"/>
    <w:rsid w:val="00242F02"/>
    <w:rsid w:val="002448CD"/>
    <w:rsid w:val="002513EE"/>
    <w:rsid w:val="002519C9"/>
    <w:rsid w:val="0026094C"/>
    <w:rsid w:val="00282E5E"/>
    <w:rsid w:val="00283EFD"/>
    <w:rsid w:val="00286358"/>
    <w:rsid w:val="00286F7E"/>
    <w:rsid w:val="00290C35"/>
    <w:rsid w:val="00293205"/>
    <w:rsid w:val="002933FC"/>
    <w:rsid w:val="00294709"/>
    <w:rsid w:val="00294867"/>
    <w:rsid w:val="00296BBB"/>
    <w:rsid w:val="002A4CF5"/>
    <w:rsid w:val="002B09EA"/>
    <w:rsid w:val="002C0081"/>
    <w:rsid w:val="002C1E12"/>
    <w:rsid w:val="002C3BCE"/>
    <w:rsid w:val="002C41EF"/>
    <w:rsid w:val="002C5F57"/>
    <w:rsid w:val="002C6452"/>
    <w:rsid w:val="002C6D51"/>
    <w:rsid w:val="002D4185"/>
    <w:rsid w:val="002D74C3"/>
    <w:rsid w:val="002E1DC2"/>
    <w:rsid w:val="002F4257"/>
    <w:rsid w:val="002F69C1"/>
    <w:rsid w:val="00301F61"/>
    <w:rsid w:val="00302A59"/>
    <w:rsid w:val="00304CA1"/>
    <w:rsid w:val="00305ADD"/>
    <w:rsid w:val="00306F6C"/>
    <w:rsid w:val="00307937"/>
    <w:rsid w:val="00310334"/>
    <w:rsid w:val="00314FD5"/>
    <w:rsid w:val="003150F9"/>
    <w:rsid w:val="00320D93"/>
    <w:rsid w:val="00324C74"/>
    <w:rsid w:val="00326A61"/>
    <w:rsid w:val="00327BE3"/>
    <w:rsid w:val="00333A52"/>
    <w:rsid w:val="003361D8"/>
    <w:rsid w:val="00350646"/>
    <w:rsid w:val="003548D6"/>
    <w:rsid w:val="003557E5"/>
    <w:rsid w:val="00357FD7"/>
    <w:rsid w:val="00360AE7"/>
    <w:rsid w:val="00361F80"/>
    <w:rsid w:val="00362532"/>
    <w:rsid w:val="0036512E"/>
    <w:rsid w:val="00365555"/>
    <w:rsid w:val="003737F0"/>
    <w:rsid w:val="00374696"/>
    <w:rsid w:val="00375A6D"/>
    <w:rsid w:val="00375C80"/>
    <w:rsid w:val="003810B9"/>
    <w:rsid w:val="00383899"/>
    <w:rsid w:val="00386EDA"/>
    <w:rsid w:val="00387DE5"/>
    <w:rsid w:val="0039223E"/>
    <w:rsid w:val="003A0B18"/>
    <w:rsid w:val="003A40E0"/>
    <w:rsid w:val="003B5666"/>
    <w:rsid w:val="003B64B7"/>
    <w:rsid w:val="003B7D1C"/>
    <w:rsid w:val="003D75CC"/>
    <w:rsid w:val="003E3191"/>
    <w:rsid w:val="00400412"/>
    <w:rsid w:val="00401238"/>
    <w:rsid w:val="00401F5A"/>
    <w:rsid w:val="0040336C"/>
    <w:rsid w:val="00404A85"/>
    <w:rsid w:val="00414E09"/>
    <w:rsid w:val="00415959"/>
    <w:rsid w:val="004216E7"/>
    <w:rsid w:val="0042336E"/>
    <w:rsid w:val="004302F1"/>
    <w:rsid w:val="00431311"/>
    <w:rsid w:val="004315C0"/>
    <w:rsid w:val="004340A0"/>
    <w:rsid w:val="0043571C"/>
    <w:rsid w:val="00440E66"/>
    <w:rsid w:val="00441924"/>
    <w:rsid w:val="00453E7B"/>
    <w:rsid w:val="00457257"/>
    <w:rsid w:val="00475E77"/>
    <w:rsid w:val="004765F0"/>
    <w:rsid w:val="00476D98"/>
    <w:rsid w:val="004807DF"/>
    <w:rsid w:val="00482845"/>
    <w:rsid w:val="00485A19"/>
    <w:rsid w:val="00486A91"/>
    <w:rsid w:val="004907D6"/>
    <w:rsid w:val="0049371F"/>
    <w:rsid w:val="004944B0"/>
    <w:rsid w:val="00496209"/>
    <w:rsid w:val="004A28AF"/>
    <w:rsid w:val="004A2B81"/>
    <w:rsid w:val="004B10EA"/>
    <w:rsid w:val="004C3806"/>
    <w:rsid w:val="004C7594"/>
    <w:rsid w:val="004D3DD3"/>
    <w:rsid w:val="004D7BA7"/>
    <w:rsid w:val="004E0021"/>
    <w:rsid w:val="004E26EB"/>
    <w:rsid w:val="004F2936"/>
    <w:rsid w:val="004F450B"/>
    <w:rsid w:val="004F65B6"/>
    <w:rsid w:val="004F6D31"/>
    <w:rsid w:val="00502B75"/>
    <w:rsid w:val="005100BC"/>
    <w:rsid w:val="00524704"/>
    <w:rsid w:val="00525005"/>
    <w:rsid w:val="00526395"/>
    <w:rsid w:val="00526AF2"/>
    <w:rsid w:val="00527698"/>
    <w:rsid w:val="00527A24"/>
    <w:rsid w:val="00535BF8"/>
    <w:rsid w:val="00535E83"/>
    <w:rsid w:val="0053700E"/>
    <w:rsid w:val="00540D10"/>
    <w:rsid w:val="005415B0"/>
    <w:rsid w:val="005470C7"/>
    <w:rsid w:val="005522EE"/>
    <w:rsid w:val="0055390B"/>
    <w:rsid w:val="00553EEC"/>
    <w:rsid w:val="00554438"/>
    <w:rsid w:val="00554B8D"/>
    <w:rsid w:val="0055506C"/>
    <w:rsid w:val="005555F2"/>
    <w:rsid w:val="00562A1A"/>
    <w:rsid w:val="00564D95"/>
    <w:rsid w:val="00566D71"/>
    <w:rsid w:val="00566E64"/>
    <w:rsid w:val="0057048F"/>
    <w:rsid w:val="005713CA"/>
    <w:rsid w:val="00574336"/>
    <w:rsid w:val="00574D57"/>
    <w:rsid w:val="005762E3"/>
    <w:rsid w:val="005767E1"/>
    <w:rsid w:val="00576CBC"/>
    <w:rsid w:val="00577E5D"/>
    <w:rsid w:val="00577F12"/>
    <w:rsid w:val="00581681"/>
    <w:rsid w:val="0058269C"/>
    <w:rsid w:val="005830D6"/>
    <w:rsid w:val="00584CAF"/>
    <w:rsid w:val="005862DE"/>
    <w:rsid w:val="00590E8A"/>
    <w:rsid w:val="00592854"/>
    <w:rsid w:val="00592862"/>
    <w:rsid w:val="00592D9F"/>
    <w:rsid w:val="00595824"/>
    <w:rsid w:val="005A15CE"/>
    <w:rsid w:val="005A2444"/>
    <w:rsid w:val="005A2D5E"/>
    <w:rsid w:val="005A4D1F"/>
    <w:rsid w:val="005A7988"/>
    <w:rsid w:val="005B377C"/>
    <w:rsid w:val="005B6754"/>
    <w:rsid w:val="005B716D"/>
    <w:rsid w:val="005D5E6F"/>
    <w:rsid w:val="005D6361"/>
    <w:rsid w:val="005D764D"/>
    <w:rsid w:val="005E1E6A"/>
    <w:rsid w:val="005E4A04"/>
    <w:rsid w:val="005F0F65"/>
    <w:rsid w:val="005F1D2A"/>
    <w:rsid w:val="005F2494"/>
    <w:rsid w:val="005F2E57"/>
    <w:rsid w:val="005F3C10"/>
    <w:rsid w:val="005F45F5"/>
    <w:rsid w:val="005F5974"/>
    <w:rsid w:val="005F77B7"/>
    <w:rsid w:val="005F7C69"/>
    <w:rsid w:val="00600A94"/>
    <w:rsid w:val="00600CAE"/>
    <w:rsid w:val="00605243"/>
    <w:rsid w:val="00610162"/>
    <w:rsid w:val="00616254"/>
    <w:rsid w:val="00616A4A"/>
    <w:rsid w:val="006234B9"/>
    <w:rsid w:val="0062490D"/>
    <w:rsid w:val="0062737A"/>
    <w:rsid w:val="006301DE"/>
    <w:rsid w:val="00631517"/>
    <w:rsid w:val="006319C7"/>
    <w:rsid w:val="00632AE1"/>
    <w:rsid w:val="00632BA6"/>
    <w:rsid w:val="00636F79"/>
    <w:rsid w:val="00641676"/>
    <w:rsid w:val="00643ADB"/>
    <w:rsid w:val="00643EA5"/>
    <w:rsid w:val="00645871"/>
    <w:rsid w:val="00645EEF"/>
    <w:rsid w:val="00647DA5"/>
    <w:rsid w:val="00652FDD"/>
    <w:rsid w:val="006545A8"/>
    <w:rsid w:val="0065685C"/>
    <w:rsid w:val="00663304"/>
    <w:rsid w:val="006731EB"/>
    <w:rsid w:val="00674F35"/>
    <w:rsid w:val="00683B37"/>
    <w:rsid w:val="006843F6"/>
    <w:rsid w:val="00691484"/>
    <w:rsid w:val="00696446"/>
    <w:rsid w:val="00696D30"/>
    <w:rsid w:val="006A1060"/>
    <w:rsid w:val="006A12DB"/>
    <w:rsid w:val="006A449D"/>
    <w:rsid w:val="006C043F"/>
    <w:rsid w:val="006C1CAF"/>
    <w:rsid w:val="006C5F07"/>
    <w:rsid w:val="006C738D"/>
    <w:rsid w:val="006D00C9"/>
    <w:rsid w:val="006D1118"/>
    <w:rsid w:val="006D437F"/>
    <w:rsid w:val="006D63F7"/>
    <w:rsid w:val="006D7B2C"/>
    <w:rsid w:val="006E2DC7"/>
    <w:rsid w:val="006E471B"/>
    <w:rsid w:val="006F1193"/>
    <w:rsid w:val="006F2A5F"/>
    <w:rsid w:val="006F4ED6"/>
    <w:rsid w:val="006F4FAC"/>
    <w:rsid w:val="006F52DF"/>
    <w:rsid w:val="006F563A"/>
    <w:rsid w:val="006F5E25"/>
    <w:rsid w:val="00704A5B"/>
    <w:rsid w:val="00714305"/>
    <w:rsid w:val="00714AC9"/>
    <w:rsid w:val="007329F1"/>
    <w:rsid w:val="00733BD7"/>
    <w:rsid w:val="0073531C"/>
    <w:rsid w:val="007438DA"/>
    <w:rsid w:val="007517A3"/>
    <w:rsid w:val="00753494"/>
    <w:rsid w:val="007537D5"/>
    <w:rsid w:val="00755202"/>
    <w:rsid w:val="00762A86"/>
    <w:rsid w:val="00766D3E"/>
    <w:rsid w:val="00767D47"/>
    <w:rsid w:val="00774297"/>
    <w:rsid w:val="00782016"/>
    <w:rsid w:val="007821DB"/>
    <w:rsid w:val="00790619"/>
    <w:rsid w:val="007919C0"/>
    <w:rsid w:val="007939EE"/>
    <w:rsid w:val="0079500D"/>
    <w:rsid w:val="0079510A"/>
    <w:rsid w:val="007A5311"/>
    <w:rsid w:val="007B5F23"/>
    <w:rsid w:val="007C1BE5"/>
    <w:rsid w:val="007C2AF0"/>
    <w:rsid w:val="007D32D9"/>
    <w:rsid w:val="007E2CA4"/>
    <w:rsid w:val="007E4113"/>
    <w:rsid w:val="007E4B24"/>
    <w:rsid w:val="007E508F"/>
    <w:rsid w:val="007E5CD8"/>
    <w:rsid w:val="007F50EE"/>
    <w:rsid w:val="007F59C5"/>
    <w:rsid w:val="007F6A37"/>
    <w:rsid w:val="00800E15"/>
    <w:rsid w:val="008014D0"/>
    <w:rsid w:val="00804E15"/>
    <w:rsid w:val="00807255"/>
    <w:rsid w:val="00811D2E"/>
    <w:rsid w:val="008120BD"/>
    <w:rsid w:val="00812693"/>
    <w:rsid w:val="00822A39"/>
    <w:rsid w:val="00830B45"/>
    <w:rsid w:val="0084520E"/>
    <w:rsid w:val="008502BF"/>
    <w:rsid w:val="00851C50"/>
    <w:rsid w:val="00851F64"/>
    <w:rsid w:val="00855AB2"/>
    <w:rsid w:val="0086539B"/>
    <w:rsid w:val="00866BC2"/>
    <w:rsid w:val="00871132"/>
    <w:rsid w:val="00871DB0"/>
    <w:rsid w:val="008739C4"/>
    <w:rsid w:val="008739F3"/>
    <w:rsid w:val="00881B2A"/>
    <w:rsid w:val="0088211D"/>
    <w:rsid w:val="00884451"/>
    <w:rsid w:val="00891256"/>
    <w:rsid w:val="0089491F"/>
    <w:rsid w:val="00897CD1"/>
    <w:rsid w:val="008A3CBB"/>
    <w:rsid w:val="008A574E"/>
    <w:rsid w:val="008A6BB2"/>
    <w:rsid w:val="008B0A7F"/>
    <w:rsid w:val="008B37B3"/>
    <w:rsid w:val="008B4233"/>
    <w:rsid w:val="008B666A"/>
    <w:rsid w:val="008B6EE7"/>
    <w:rsid w:val="008C51C8"/>
    <w:rsid w:val="008D11A4"/>
    <w:rsid w:val="008D3714"/>
    <w:rsid w:val="008D6C5E"/>
    <w:rsid w:val="00900F8D"/>
    <w:rsid w:val="009059BD"/>
    <w:rsid w:val="00910496"/>
    <w:rsid w:val="00913328"/>
    <w:rsid w:val="00915B81"/>
    <w:rsid w:val="00920C22"/>
    <w:rsid w:val="0092311C"/>
    <w:rsid w:val="00925989"/>
    <w:rsid w:val="009265DE"/>
    <w:rsid w:val="00926EB3"/>
    <w:rsid w:val="00926FC8"/>
    <w:rsid w:val="009302CC"/>
    <w:rsid w:val="00931E8F"/>
    <w:rsid w:val="00937D04"/>
    <w:rsid w:val="00945568"/>
    <w:rsid w:val="00946C19"/>
    <w:rsid w:val="00947F90"/>
    <w:rsid w:val="00957E3E"/>
    <w:rsid w:val="0096353F"/>
    <w:rsid w:val="009650E1"/>
    <w:rsid w:val="0097289E"/>
    <w:rsid w:val="00973209"/>
    <w:rsid w:val="00974FD1"/>
    <w:rsid w:val="00983168"/>
    <w:rsid w:val="009871CD"/>
    <w:rsid w:val="00987ED5"/>
    <w:rsid w:val="009962EC"/>
    <w:rsid w:val="009A2AA7"/>
    <w:rsid w:val="009B46AF"/>
    <w:rsid w:val="009C0DD8"/>
    <w:rsid w:val="009C0DEF"/>
    <w:rsid w:val="009C76CD"/>
    <w:rsid w:val="009D0B34"/>
    <w:rsid w:val="009D1F3B"/>
    <w:rsid w:val="009E09BC"/>
    <w:rsid w:val="009E3DDC"/>
    <w:rsid w:val="009E69BF"/>
    <w:rsid w:val="00A030E7"/>
    <w:rsid w:val="00A047CE"/>
    <w:rsid w:val="00A0766F"/>
    <w:rsid w:val="00A12143"/>
    <w:rsid w:val="00A13B46"/>
    <w:rsid w:val="00A155D0"/>
    <w:rsid w:val="00A15B42"/>
    <w:rsid w:val="00A16617"/>
    <w:rsid w:val="00A209B3"/>
    <w:rsid w:val="00A220F3"/>
    <w:rsid w:val="00A245CB"/>
    <w:rsid w:val="00A24DF7"/>
    <w:rsid w:val="00A275C5"/>
    <w:rsid w:val="00A30265"/>
    <w:rsid w:val="00A32729"/>
    <w:rsid w:val="00A340E9"/>
    <w:rsid w:val="00A35570"/>
    <w:rsid w:val="00A3794A"/>
    <w:rsid w:val="00A404A9"/>
    <w:rsid w:val="00A40B79"/>
    <w:rsid w:val="00A41C27"/>
    <w:rsid w:val="00A42E00"/>
    <w:rsid w:val="00A45144"/>
    <w:rsid w:val="00A45CF8"/>
    <w:rsid w:val="00A47B0F"/>
    <w:rsid w:val="00A552D7"/>
    <w:rsid w:val="00A554B9"/>
    <w:rsid w:val="00A55E98"/>
    <w:rsid w:val="00A60581"/>
    <w:rsid w:val="00A71515"/>
    <w:rsid w:val="00A74247"/>
    <w:rsid w:val="00A743BD"/>
    <w:rsid w:val="00A75B4E"/>
    <w:rsid w:val="00A81330"/>
    <w:rsid w:val="00A82DE6"/>
    <w:rsid w:val="00A87E05"/>
    <w:rsid w:val="00AA0116"/>
    <w:rsid w:val="00AA2216"/>
    <w:rsid w:val="00AA22BF"/>
    <w:rsid w:val="00AA257E"/>
    <w:rsid w:val="00AA2CB5"/>
    <w:rsid w:val="00AA4208"/>
    <w:rsid w:val="00AA69CA"/>
    <w:rsid w:val="00AA7D19"/>
    <w:rsid w:val="00AB2D23"/>
    <w:rsid w:val="00AB3B4A"/>
    <w:rsid w:val="00AB5890"/>
    <w:rsid w:val="00AC4117"/>
    <w:rsid w:val="00AC490D"/>
    <w:rsid w:val="00AC65EC"/>
    <w:rsid w:val="00AD38B8"/>
    <w:rsid w:val="00AD59B8"/>
    <w:rsid w:val="00AE2B18"/>
    <w:rsid w:val="00AF0E83"/>
    <w:rsid w:val="00AF1E26"/>
    <w:rsid w:val="00AF6989"/>
    <w:rsid w:val="00AF7077"/>
    <w:rsid w:val="00B010A5"/>
    <w:rsid w:val="00B04880"/>
    <w:rsid w:val="00B10050"/>
    <w:rsid w:val="00B13E79"/>
    <w:rsid w:val="00B16BEB"/>
    <w:rsid w:val="00B2037A"/>
    <w:rsid w:val="00B30134"/>
    <w:rsid w:val="00B308BB"/>
    <w:rsid w:val="00B34CA5"/>
    <w:rsid w:val="00B36B01"/>
    <w:rsid w:val="00B36ECB"/>
    <w:rsid w:val="00B4198F"/>
    <w:rsid w:val="00B440BE"/>
    <w:rsid w:val="00B447AA"/>
    <w:rsid w:val="00B4516B"/>
    <w:rsid w:val="00B45856"/>
    <w:rsid w:val="00B47C2D"/>
    <w:rsid w:val="00B5137A"/>
    <w:rsid w:val="00B516AF"/>
    <w:rsid w:val="00B52C99"/>
    <w:rsid w:val="00B60D75"/>
    <w:rsid w:val="00B64768"/>
    <w:rsid w:val="00B720F3"/>
    <w:rsid w:val="00B750C1"/>
    <w:rsid w:val="00B75925"/>
    <w:rsid w:val="00B82EF2"/>
    <w:rsid w:val="00B83CE6"/>
    <w:rsid w:val="00B901AA"/>
    <w:rsid w:val="00B922CB"/>
    <w:rsid w:val="00B922D2"/>
    <w:rsid w:val="00B93253"/>
    <w:rsid w:val="00BA044A"/>
    <w:rsid w:val="00BA2F7E"/>
    <w:rsid w:val="00BA310F"/>
    <w:rsid w:val="00BA53D8"/>
    <w:rsid w:val="00BB06E5"/>
    <w:rsid w:val="00BB111D"/>
    <w:rsid w:val="00BB344F"/>
    <w:rsid w:val="00BB73B7"/>
    <w:rsid w:val="00BC2363"/>
    <w:rsid w:val="00BC3DC7"/>
    <w:rsid w:val="00BC445E"/>
    <w:rsid w:val="00BC6140"/>
    <w:rsid w:val="00BD0249"/>
    <w:rsid w:val="00BE5B82"/>
    <w:rsid w:val="00BE64C2"/>
    <w:rsid w:val="00BF0F0A"/>
    <w:rsid w:val="00BF2733"/>
    <w:rsid w:val="00BF3812"/>
    <w:rsid w:val="00BF60FE"/>
    <w:rsid w:val="00C04991"/>
    <w:rsid w:val="00C10D31"/>
    <w:rsid w:val="00C1416E"/>
    <w:rsid w:val="00C14BE5"/>
    <w:rsid w:val="00C211C4"/>
    <w:rsid w:val="00C2340D"/>
    <w:rsid w:val="00C41FEA"/>
    <w:rsid w:val="00C467C9"/>
    <w:rsid w:val="00C46BF1"/>
    <w:rsid w:val="00C541A1"/>
    <w:rsid w:val="00C60272"/>
    <w:rsid w:val="00C6312A"/>
    <w:rsid w:val="00C71D1F"/>
    <w:rsid w:val="00C75928"/>
    <w:rsid w:val="00C82F20"/>
    <w:rsid w:val="00C854E6"/>
    <w:rsid w:val="00C861FD"/>
    <w:rsid w:val="00C91492"/>
    <w:rsid w:val="00CA60D9"/>
    <w:rsid w:val="00CB3F57"/>
    <w:rsid w:val="00CB47DF"/>
    <w:rsid w:val="00CB6D39"/>
    <w:rsid w:val="00CC47DD"/>
    <w:rsid w:val="00CC4D44"/>
    <w:rsid w:val="00CD4F34"/>
    <w:rsid w:val="00CE48B5"/>
    <w:rsid w:val="00CF040C"/>
    <w:rsid w:val="00CF1583"/>
    <w:rsid w:val="00CF20F7"/>
    <w:rsid w:val="00CF2748"/>
    <w:rsid w:val="00D041FE"/>
    <w:rsid w:val="00D04B81"/>
    <w:rsid w:val="00D06F64"/>
    <w:rsid w:val="00D070EC"/>
    <w:rsid w:val="00D1056E"/>
    <w:rsid w:val="00D13EC3"/>
    <w:rsid w:val="00D15C19"/>
    <w:rsid w:val="00D16053"/>
    <w:rsid w:val="00D17AC7"/>
    <w:rsid w:val="00D17E14"/>
    <w:rsid w:val="00D240AF"/>
    <w:rsid w:val="00D24277"/>
    <w:rsid w:val="00D255E8"/>
    <w:rsid w:val="00D25D92"/>
    <w:rsid w:val="00D27361"/>
    <w:rsid w:val="00D4557D"/>
    <w:rsid w:val="00D46CA1"/>
    <w:rsid w:val="00D4744C"/>
    <w:rsid w:val="00D51CA0"/>
    <w:rsid w:val="00D5610D"/>
    <w:rsid w:val="00D57E34"/>
    <w:rsid w:val="00D70CA5"/>
    <w:rsid w:val="00D716EB"/>
    <w:rsid w:val="00D7381D"/>
    <w:rsid w:val="00D84617"/>
    <w:rsid w:val="00D8469E"/>
    <w:rsid w:val="00D85882"/>
    <w:rsid w:val="00D86543"/>
    <w:rsid w:val="00D94F4E"/>
    <w:rsid w:val="00D973D5"/>
    <w:rsid w:val="00DA116A"/>
    <w:rsid w:val="00DA3B9F"/>
    <w:rsid w:val="00DA7AAE"/>
    <w:rsid w:val="00DB0457"/>
    <w:rsid w:val="00DB0C92"/>
    <w:rsid w:val="00DB39AB"/>
    <w:rsid w:val="00DB5C80"/>
    <w:rsid w:val="00DB7DC4"/>
    <w:rsid w:val="00DC1CF0"/>
    <w:rsid w:val="00DC33CD"/>
    <w:rsid w:val="00DD618C"/>
    <w:rsid w:val="00DE4390"/>
    <w:rsid w:val="00DE5624"/>
    <w:rsid w:val="00DE6A60"/>
    <w:rsid w:val="00DF0D95"/>
    <w:rsid w:val="00DF512F"/>
    <w:rsid w:val="00E01D1A"/>
    <w:rsid w:val="00E029D5"/>
    <w:rsid w:val="00E048D7"/>
    <w:rsid w:val="00E073C0"/>
    <w:rsid w:val="00E07E1E"/>
    <w:rsid w:val="00E1051E"/>
    <w:rsid w:val="00E147A3"/>
    <w:rsid w:val="00E212CD"/>
    <w:rsid w:val="00E2709D"/>
    <w:rsid w:val="00E31F2C"/>
    <w:rsid w:val="00E3210F"/>
    <w:rsid w:val="00E3314A"/>
    <w:rsid w:val="00E336E1"/>
    <w:rsid w:val="00E41DEF"/>
    <w:rsid w:val="00E421A6"/>
    <w:rsid w:val="00E462B4"/>
    <w:rsid w:val="00E543C5"/>
    <w:rsid w:val="00E61790"/>
    <w:rsid w:val="00E66D11"/>
    <w:rsid w:val="00E7101C"/>
    <w:rsid w:val="00E72E65"/>
    <w:rsid w:val="00E76A6D"/>
    <w:rsid w:val="00E8219B"/>
    <w:rsid w:val="00E8576B"/>
    <w:rsid w:val="00E8662E"/>
    <w:rsid w:val="00E90D79"/>
    <w:rsid w:val="00EA3B69"/>
    <w:rsid w:val="00EC4B42"/>
    <w:rsid w:val="00ED7B4C"/>
    <w:rsid w:val="00EE15EF"/>
    <w:rsid w:val="00EE1E4C"/>
    <w:rsid w:val="00EE4C0F"/>
    <w:rsid w:val="00EE647E"/>
    <w:rsid w:val="00EE775A"/>
    <w:rsid w:val="00EF0536"/>
    <w:rsid w:val="00EF3F1C"/>
    <w:rsid w:val="00EF43E0"/>
    <w:rsid w:val="00EF4992"/>
    <w:rsid w:val="00EF5882"/>
    <w:rsid w:val="00F02C73"/>
    <w:rsid w:val="00F1562D"/>
    <w:rsid w:val="00F21C87"/>
    <w:rsid w:val="00F2253E"/>
    <w:rsid w:val="00F236D1"/>
    <w:rsid w:val="00F27DB9"/>
    <w:rsid w:val="00F32040"/>
    <w:rsid w:val="00F35489"/>
    <w:rsid w:val="00F36F8A"/>
    <w:rsid w:val="00F447C5"/>
    <w:rsid w:val="00F46B1A"/>
    <w:rsid w:val="00F4709B"/>
    <w:rsid w:val="00F50325"/>
    <w:rsid w:val="00F52C4E"/>
    <w:rsid w:val="00F70755"/>
    <w:rsid w:val="00F70F37"/>
    <w:rsid w:val="00F7317F"/>
    <w:rsid w:val="00F7434B"/>
    <w:rsid w:val="00F749C6"/>
    <w:rsid w:val="00F75D78"/>
    <w:rsid w:val="00F775BE"/>
    <w:rsid w:val="00F828BD"/>
    <w:rsid w:val="00F82B13"/>
    <w:rsid w:val="00F856E7"/>
    <w:rsid w:val="00F9276F"/>
    <w:rsid w:val="00F92ADB"/>
    <w:rsid w:val="00F92AE3"/>
    <w:rsid w:val="00FA6B2F"/>
    <w:rsid w:val="00FC0EF6"/>
    <w:rsid w:val="00FD0255"/>
    <w:rsid w:val="00FD08C8"/>
    <w:rsid w:val="00FD16AE"/>
    <w:rsid w:val="00FD4BC4"/>
    <w:rsid w:val="00FD6251"/>
    <w:rsid w:val="00FE08F1"/>
    <w:rsid w:val="00FE1F95"/>
    <w:rsid w:val="00FE33DA"/>
    <w:rsid w:val="00FE3BD4"/>
    <w:rsid w:val="00FF58F0"/>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Header">
    <w:name w:val="header"/>
    <w:basedOn w:val="Normal"/>
    <w:link w:val="HeaderChar"/>
    <w:uiPriority w:val="99"/>
    <w:unhideWhenUsed/>
    <w:rsid w:val="007F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EE"/>
  </w:style>
  <w:style w:type="paragraph" w:styleId="Footer">
    <w:name w:val="footer"/>
    <w:basedOn w:val="Normal"/>
    <w:link w:val="FooterChar"/>
    <w:uiPriority w:val="99"/>
    <w:unhideWhenUsed/>
    <w:rsid w:val="007F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EE"/>
  </w:style>
  <w:style w:type="paragraph" w:styleId="NoSpacing">
    <w:name w:val="No Spacing"/>
    <w:uiPriority w:val="1"/>
    <w:qFormat/>
    <w:rsid w:val="00F7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994756">
      <w:bodyDiv w:val="1"/>
      <w:marLeft w:val="0"/>
      <w:marRight w:val="0"/>
      <w:marTop w:val="0"/>
      <w:marBottom w:val="0"/>
      <w:divBdr>
        <w:top w:val="none" w:sz="0" w:space="0" w:color="auto"/>
        <w:left w:val="none" w:sz="0" w:space="0" w:color="auto"/>
        <w:bottom w:val="none" w:sz="0" w:space="0" w:color="auto"/>
        <w:right w:val="none" w:sz="0" w:space="0" w:color="auto"/>
      </w:divBdr>
    </w:div>
    <w:div w:id="792675379">
      <w:bodyDiv w:val="1"/>
      <w:marLeft w:val="0"/>
      <w:marRight w:val="0"/>
      <w:marTop w:val="0"/>
      <w:marBottom w:val="0"/>
      <w:divBdr>
        <w:top w:val="none" w:sz="0" w:space="0" w:color="auto"/>
        <w:left w:val="none" w:sz="0" w:space="0" w:color="auto"/>
        <w:bottom w:val="none" w:sz="0" w:space="0" w:color="auto"/>
        <w:right w:val="none" w:sz="0" w:space="0" w:color="auto"/>
      </w:divBdr>
    </w:div>
    <w:div w:id="1174220276">
      <w:bodyDiv w:val="1"/>
      <w:marLeft w:val="0"/>
      <w:marRight w:val="0"/>
      <w:marTop w:val="0"/>
      <w:marBottom w:val="0"/>
      <w:divBdr>
        <w:top w:val="none" w:sz="0" w:space="0" w:color="auto"/>
        <w:left w:val="none" w:sz="0" w:space="0" w:color="auto"/>
        <w:bottom w:val="none" w:sz="0" w:space="0" w:color="auto"/>
        <w:right w:val="none" w:sz="0" w:space="0" w:color="auto"/>
      </w:divBdr>
    </w:div>
    <w:div w:id="1186749007">
      <w:bodyDiv w:val="1"/>
      <w:marLeft w:val="0"/>
      <w:marRight w:val="0"/>
      <w:marTop w:val="0"/>
      <w:marBottom w:val="0"/>
      <w:divBdr>
        <w:top w:val="none" w:sz="0" w:space="0" w:color="auto"/>
        <w:left w:val="none" w:sz="0" w:space="0" w:color="auto"/>
        <w:bottom w:val="none" w:sz="0" w:space="0" w:color="auto"/>
        <w:right w:val="none" w:sz="0" w:space="0" w:color="auto"/>
      </w:divBdr>
    </w:div>
    <w:div w:id="1266963202">
      <w:bodyDiv w:val="1"/>
      <w:marLeft w:val="0"/>
      <w:marRight w:val="0"/>
      <w:marTop w:val="0"/>
      <w:marBottom w:val="0"/>
      <w:divBdr>
        <w:top w:val="none" w:sz="0" w:space="0" w:color="auto"/>
        <w:left w:val="none" w:sz="0" w:space="0" w:color="auto"/>
        <w:bottom w:val="none" w:sz="0" w:space="0" w:color="auto"/>
        <w:right w:val="none" w:sz="0" w:space="0" w:color="auto"/>
      </w:divBdr>
    </w:div>
    <w:div w:id="1335373594">
      <w:bodyDiv w:val="1"/>
      <w:marLeft w:val="0"/>
      <w:marRight w:val="0"/>
      <w:marTop w:val="0"/>
      <w:marBottom w:val="0"/>
      <w:divBdr>
        <w:top w:val="none" w:sz="0" w:space="0" w:color="auto"/>
        <w:left w:val="none" w:sz="0" w:space="0" w:color="auto"/>
        <w:bottom w:val="none" w:sz="0" w:space="0" w:color="auto"/>
        <w:right w:val="none" w:sz="0" w:space="0" w:color="auto"/>
      </w:divBdr>
    </w:div>
    <w:div w:id="1432359560">
      <w:bodyDiv w:val="1"/>
      <w:marLeft w:val="0"/>
      <w:marRight w:val="0"/>
      <w:marTop w:val="0"/>
      <w:marBottom w:val="0"/>
      <w:divBdr>
        <w:top w:val="none" w:sz="0" w:space="0" w:color="auto"/>
        <w:left w:val="none" w:sz="0" w:space="0" w:color="auto"/>
        <w:bottom w:val="none" w:sz="0" w:space="0" w:color="auto"/>
        <w:right w:val="none" w:sz="0" w:space="0" w:color="auto"/>
      </w:divBdr>
    </w:div>
    <w:div w:id="1591892509">
      <w:bodyDiv w:val="1"/>
      <w:marLeft w:val="0"/>
      <w:marRight w:val="0"/>
      <w:marTop w:val="0"/>
      <w:marBottom w:val="0"/>
      <w:divBdr>
        <w:top w:val="none" w:sz="0" w:space="0" w:color="auto"/>
        <w:left w:val="none" w:sz="0" w:space="0" w:color="auto"/>
        <w:bottom w:val="none" w:sz="0" w:space="0" w:color="auto"/>
        <w:right w:val="none" w:sz="0" w:space="0" w:color="auto"/>
      </w:divBdr>
    </w:div>
    <w:div w:id="1770000292">
      <w:bodyDiv w:val="1"/>
      <w:marLeft w:val="0"/>
      <w:marRight w:val="0"/>
      <w:marTop w:val="0"/>
      <w:marBottom w:val="0"/>
      <w:divBdr>
        <w:top w:val="none" w:sz="0" w:space="0" w:color="auto"/>
        <w:left w:val="none" w:sz="0" w:space="0" w:color="auto"/>
        <w:bottom w:val="none" w:sz="0" w:space="0" w:color="auto"/>
        <w:right w:val="none" w:sz="0" w:space="0" w:color="auto"/>
      </w:divBdr>
    </w:div>
    <w:div w:id="2050639075">
      <w:bodyDiv w:val="1"/>
      <w:marLeft w:val="0"/>
      <w:marRight w:val="0"/>
      <w:marTop w:val="0"/>
      <w:marBottom w:val="0"/>
      <w:divBdr>
        <w:top w:val="none" w:sz="0" w:space="0" w:color="auto"/>
        <w:left w:val="none" w:sz="0" w:space="0" w:color="auto"/>
        <w:bottom w:val="none" w:sz="0" w:space="0" w:color="auto"/>
        <w:right w:val="none" w:sz="0" w:space="0" w:color="auto"/>
      </w:divBdr>
    </w:div>
    <w:div w:id="210934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075-B44C-4A62-947D-1E4EA59F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sathish sarshan  mohan</cp:lastModifiedBy>
  <cp:revision>5</cp:revision>
  <cp:lastPrinted>2024-06-18T10:51:00Z</cp:lastPrinted>
  <dcterms:created xsi:type="dcterms:W3CDTF">2024-06-18T17:24:00Z</dcterms:created>
  <dcterms:modified xsi:type="dcterms:W3CDTF">2024-06-22T11:38:00Z</dcterms:modified>
</cp:coreProperties>
</file>