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D1EDB" w14:textId="5872056F" w:rsidR="00EB6786" w:rsidRDefault="00EB6786" w:rsidP="00EB6786">
      <w:pPr>
        <w:spacing w:after="0" w:line="360" w:lineRule="auto"/>
        <w:rPr>
          <w:rFonts w:ascii="Arial" w:eastAsia="Arial" w:hAnsi="Arial" w:cs="Arial"/>
          <w:b/>
          <w:sz w:val="24"/>
          <w:szCs w:val="24"/>
        </w:rPr>
      </w:pPr>
      <w:r>
        <w:rPr>
          <w:noProof/>
        </w:rPr>
        <w:drawing>
          <wp:inline distT="0" distB="0" distL="0" distR="0" wp14:anchorId="6387EC7E" wp14:editId="0EE092F2">
            <wp:extent cx="4286250" cy="466725"/>
            <wp:effectExtent l="0" t="0" r="0" b="9525"/>
            <wp:docPr id="1196238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C4A742C" w14:textId="5E659BF6"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b/>
          <w:sz w:val="24"/>
          <w:szCs w:val="24"/>
        </w:rPr>
        <w:t>REPUBLIC OF SOUTH AFRICA</w:t>
      </w:r>
    </w:p>
    <w:p w14:paraId="3F57997F"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1409700" cy="1371600"/>
                    </a:xfrm>
                    <a:prstGeom prst="rect">
                      <a:avLst/>
                    </a:prstGeom>
                    <a:ln/>
                  </pic:spPr>
                </pic:pic>
              </a:graphicData>
            </a:graphic>
          </wp:inline>
        </w:drawing>
      </w:r>
    </w:p>
    <w:p w14:paraId="1EA86AFD"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b/>
          <w:sz w:val="24"/>
          <w:szCs w:val="24"/>
        </w:rPr>
        <w:t>IN THE HIGH COURT OF SOUTH AFRICA</w:t>
      </w:r>
    </w:p>
    <w:p w14:paraId="3E1D3B2F" w14:textId="41C54EEB" w:rsidR="00A245CB" w:rsidRPr="00294709" w:rsidRDefault="0062737A">
      <w:pPr>
        <w:spacing w:after="0" w:line="360" w:lineRule="auto"/>
        <w:jc w:val="center"/>
        <w:rPr>
          <w:rFonts w:ascii="Arial" w:eastAsia="Arial" w:hAnsi="Arial" w:cs="Arial"/>
          <w:b/>
          <w:sz w:val="24"/>
          <w:szCs w:val="24"/>
        </w:rPr>
      </w:pPr>
      <w:r w:rsidRPr="00294709">
        <w:rPr>
          <w:rFonts w:ascii="Arial" w:eastAsia="Arial" w:hAnsi="Arial" w:cs="Arial"/>
          <w:b/>
          <w:sz w:val="24"/>
          <w:szCs w:val="24"/>
        </w:rPr>
        <w:t>GAUTENG DIVISION, PRETORIA</w:t>
      </w:r>
    </w:p>
    <w:p w14:paraId="02745AA9" w14:textId="77777777" w:rsidR="00A245CB" w:rsidRPr="00294709" w:rsidRDefault="00A245CB">
      <w:pPr>
        <w:spacing w:after="0" w:line="360" w:lineRule="auto"/>
        <w:ind w:left="5040" w:firstLine="720"/>
        <w:jc w:val="both"/>
        <w:rPr>
          <w:rFonts w:ascii="Arial" w:eastAsia="Arial" w:hAnsi="Arial" w:cs="Arial"/>
          <w:b/>
          <w:sz w:val="24"/>
          <w:szCs w:val="24"/>
        </w:rPr>
      </w:pPr>
    </w:p>
    <w:p w14:paraId="17756BC4" w14:textId="432EAD26" w:rsidR="00A245CB" w:rsidRPr="00294709" w:rsidRDefault="0062737A" w:rsidP="00401238">
      <w:pPr>
        <w:spacing w:after="0" w:line="360" w:lineRule="auto"/>
        <w:ind w:left="6480" w:firstLine="720"/>
        <w:jc w:val="both"/>
        <w:rPr>
          <w:rFonts w:ascii="Arial" w:eastAsia="Arial" w:hAnsi="Arial" w:cs="Arial"/>
          <w:b/>
          <w:sz w:val="24"/>
          <w:szCs w:val="24"/>
        </w:rPr>
      </w:pPr>
      <w:r w:rsidRPr="00294709">
        <w:rPr>
          <w:rFonts w:ascii="Arial" w:eastAsia="Arial" w:hAnsi="Arial" w:cs="Arial"/>
          <w:b/>
          <w:sz w:val="24"/>
          <w:szCs w:val="24"/>
        </w:rPr>
        <w:t xml:space="preserve">CASE NO: </w:t>
      </w:r>
      <w:r w:rsidR="00425B04">
        <w:rPr>
          <w:rFonts w:ascii="Arial" w:eastAsia="Arial" w:hAnsi="Arial" w:cs="Arial"/>
          <w:b/>
          <w:sz w:val="24"/>
          <w:szCs w:val="24"/>
        </w:rPr>
        <w:t>42653/2021</w:t>
      </w:r>
    </w:p>
    <w:tbl>
      <w:tblPr>
        <w:tblStyle w:val="a"/>
        <w:tblW w:w="3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tblGrid>
      <w:tr w:rsidR="00A245CB" w:rsidRPr="00294709" w14:paraId="29475CA9" w14:textId="77777777" w:rsidTr="00957E3E">
        <w:trPr>
          <w:trHeight w:val="1359"/>
        </w:trPr>
        <w:tc>
          <w:tcPr>
            <w:tcW w:w="3681" w:type="dxa"/>
            <w:tcBorders>
              <w:top w:val="single" w:sz="4" w:space="0" w:color="000000"/>
              <w:left w:val="single" w:sz="4" w:space="0" w:color="000000"/>
              <w:bottom w:val="single" w:sz="4" w:space="0" w:color="000000"/>
              <w:right w:val="single" w:sz="4" w:space="0" w:color="000000"/>
            </w:tcBorders>
          </w:tcPr>
          <w:p w14:paraId="7B92168A" w14:textId="73B82AFE" w:rsidR="00BA310F" w:rsidRPr="001E23FF" w:rsidRDefault="001E23FF" w:rsidP="001E23FF">
            <w:pPr>
              <w:pBdr>
                <w:top w:val="nil"/>
                <w:left w:val="nil"/>
                <w:bottom w:val="nil"/>
                <w:right w:val="nil"/>
                <w:between w:val="nil"/>
              </w:pBdr>
              <w:spacing w:after="0" w:line="240" w:lineRule="auto"/>
              <w:ind w:left="306" w:hanging="360"/>
              <w:jc w:val="both"/>
              <w:rPr>
                <w:rFonts w:ascii="Arial" w:hAnsi="Arial" w:cs="Arial"/>
                <w:color w:val="000000"/>
                <w:sz w:val="16"/>
                <w:szCs w:val="16"/>
              </w:rPr>
            </w:pPr>
            <w:r w:rsidRPr="00BA310F">
              <w:rPr>
                <w:rFonts w:ascii="Arial" w:eastAsia="Arial" w:hAnsi="Arial" w:cs="Arial"/>
                <w:color w:val="000000"/>
                <w:sz w:val="16"/>
                <w:szCs w:val="16"/>
              </w:rPr>
              <w:t>1.</w:t>
            </w:r>
            <w:r w:rsidRPr="00BA310F">
              <w:rPr>
                <w:rFonts w:ascii="Arial" w:eastAsia="Arial" w:hAnsi="Arial" w:cs="Arial"/>
                <w:color w:val="000000"/>
                <w:sz w:val="16"/>
                <w:szCs w:val="16"/>
              </w:rPr>
              <w:tab/>
            </w:r>
            <w:r w:rsidR="0062737A" w:rsidRPr="001E23FF">
              <w:rPr>
                <w:rFonts w:ascii="Arial" w:eastAsia="Arial" w:hAnsi="Arial" w:cs="Arial"/>
                <w:color w:val="000000"/>
                <w:sz w:val="16"/>
                <w:szCs w:val="16"/>
              </w:rPr>
              <w:t>REPORTABLE: NO</w:t>
            </w:r>
          </w:p>
          <w:p w14:paraId="451A023D" w14:textId="0013F4F3" w:rsidR="00BA310F" w:rsidRPr="001E23FF" w:rsidRDefault="001E23FF" w:rsidP="001E23FF">
            <w:pPr>
              <w:pBdr>
                <w:top w:val="nil"/>
                <w:left w:val="nil"/>
                <w:bottom w:val="nil"/>
                <w:right w:val="nil"/>
                <w:between w:val="nil"/>
              </w:pBdr>
              <w:spacing w:after="0" w:line="240" w:lineRule="auto"/>
              <w:ind w:left="306" w:hanging="360"/>
              <w:jc w:val="both"/>
              <w:rPr>
                <w:rFonts w:ascii="Arial" w:hAnsi="Arial" w:cs="Arial"/>
                <w:color w:val="000000"/>
                <w:sz w:val="16"/>
                <w:szCs w:val="16"/>
              </w:rPr>
            </w:pPr>
            <w:r w:rsidRPr="00BA310F">
              <w:rPr>
                <w:rFonts w:ascii="Arial" w:eastAsia="Arial" w:hAnsi="Arial" w:cs="Arial"/>
                <w:color w:val="000000"/>
                <w:sz w:val="16"/>
                <w:szCs w:val="16"/>
              </w:rPr>
              <w:t>2.</w:t>
            </w:r>
            <w:r w:rsidRPr="00BA310F">
              <w:rPr>
                <w:rFonts w:ascii="Arial" w:eastAsia="Arial" w:hAnsi="Arial" w:cs="Arial"/>
                <w:color w:val="000000"/>
                <w:sz w:val="16"/>
                <w:szCs w:val="16"/>
              </w:rPr>
              <w:tab/>
            </w:r>
            <w:r w:rsidR="0062737A" w:rsidRPr="001E23FF">
              <w:rPr>
                <w:rFonts w:ascii="Arial" w:eastAsia="Arial" w:hAnsi="Arial" w:cs="Arial"/>
                <w:color w:val="000000"/>
                <w:sz w:val="16"/>
                <w:szCs w:val="16"/>
              </w:rPr>
              <w:t>OF INTEREST TO OTHER JUDGES: NO</w:t>
            </w:r>
          </w:p>
          <w:p w14:paraId="38C556F6" w14:textId="06E1F54F" w:rsidR="00A245CB" w:rsidRPr="001E23FF" w:rsidRDefault="001E23FF" w:rsidP="001E23FF">
            <w:pPr>
              <w:pBdr>
                <w:top w:val="nil"/>
                <w:left w:val="nil"/>
                <w:bottom w:val="nil"/>
                <w:right w:val="nil"/>
                <w:between w:val="nil"/>
              </w:pBdr>
              <w:spacing w:after="0" w:line="240" w:lineRule="auto"/>
              <w:ind w:left="306" w:hanging="360"/>
              <w:jc w:val="both"/>
              <w:rPr>
                <w:rFonts w:ascii="Arial" w:hAnsi="Arial" w:cs="Arial"/>
                <w:color w:val="000000"/>
                <w:sz w:val="16"/>
                <w:szCs w:val="16"/>
              </w:rPr>
            </w:pPr>
            <w:r w:rsidRPr="00BA310F">
              <w:rPr>
                <w:rFonts w:ascii="Arial" w:eastAsia="Arial" w:hAnsi="Arial" w:cs="Arial"/>
                <w:color w:val="000000"/>
                <w:sz w:val="16"/>
                <w:szCs w:val="16"/>
              </w:rPr>
              <w:t>3.</w:t>
            </w:r>
            <w:r w:rsidRPr="00BA310F">
              <w:rPr>
                <w:rFonts w:ascii="Arial" w:eastAsia="Arial" w:hAnsi="Arial" w:cs="Arial"/>
                <w:color w:val="000000"/>
                <w:sz w:val="16"/>
                <w:szCs w:val="16"/>
              </w:rPr>
              <w:tab/>
            </w:r>
            <w:r w:rsidR="0062737A" w:rsidRPr="001E23FF">
              <w:rPr>
                <w:rFonts w:ascii="Arial" w:eastAsia="Arial" w:hAnsi="Arial" w:cs="Arial"/>
                <w:color w:val="000000"/>
                <w:sz w:val="16"/>
                <w:szCs w:val="16"/>
              </w:rPr>
              <w:t>REVISED:  NO</w:t>
            </w:r>
          </w:p>
          <w:p w14:paraId="2708B32C" w14:textId="77777777" w:rsidR="00BA310F" w:rsidRPr="00BA310F" w:rsidRDefault="00BA310F" w:rsidP="00BA310F">
            <w:pPr>
              <w:pStyle w:val="ListParagraph"/>
              <w:pBdr>
                <w:top w:val="nil"/>
                <w:left w:val="nil"/>
                <w:bottom w:val="nil"/>
                <w:right w:val="nil"/>
                <w:between w:val="nil"/>
              </w:pBdr>
              <w:spacing w:after="0" w:line="240" w:lineRule="auto"/>
              <w:ind w:left="306"/>
              <w:jc w:val="both"/>
              <w:rPr>
                <w:rFonts w:ascii="Arial" w:hAnsi="Arial" w:cs="Arial"/>
                <w:color w:val="000000"/>
                <w:sz w:val="16"/>
                <w:szCs w:val="16"/>
              </w:rPr>
            </w:pPr>
          </w:p>
          <w:p w14:paraId="05A600AD" w14:textId="22216C5D" w:rsidR="00A245CB" w:rsidRDefault="006A12DB" w:rsidP="00BA310F">
            <w:pPr>
              <w:spacing w:after="0" w:line="240" w:lineRule="auto"/>
              <w:contextualSpacing/>
              <w:jc w:val="both"/>
              <w:rPr>
                <w:rFonts w:ascii="Arial" w:eastAsia="Arial" w:hAnsi="Arial" w:cs="Arial"/>
                <w:sz w:val="16"/>
                <w:szCs w:val="16"/>
              </w:rPr>
            </w:pPr>
            <w:r w:rsidRPr="00294709">
              <w:rPr>
                <w:rFonts w:ascii="Arial" w:eastAsia="Arial" w:hAnsi="Arial" w:cs="Arial"/>
                <w:sz w:val="16"/>
                <w:szCs w:val="16"/>
              </w:rPr>
              <w:t xml:space="preserve">DATE: </w:t>
            </w:r>
            <w:r w:rsidR="00467DDC">
              <w:rPr>
                <w:rFonts w:ascii="Arial" w:eastAsia="Arial" w:hAnsi="Arial" w:cs="Arial"/>
                <w:sz w:val="16"/>
                <w:szCs w:val="16"/>
              </w:rPr>
              <w:t>19</w:t>
            </w:r>
            <w:r w:rsidR="00454A25">
              <w:rPr>
                <w:rFonts w:ascii="Arial" w:eastAsia="Arial" w:hAnsi="Arial" w:cs="Arial"/>
                <w:sz w:val="16"/>
                <w:szCs w:val="16"/>
              </w:rPr>
              <w:t xml:space="preserve"> </w:t>
            </w:r>
            <w:r w:rsidR="00BA310F">
              <w:rPr>
                <w:rFonts w:ascii="Arial" w:eastAsia="Arial" w:hAnsi="Arial" w:cs="Arial"/>
                <w:sz w:val="16"/>
                <w:szCs w:val="16"/>
              </w:rPr>
              <w:t xml:space="preserve">JUNE </w:t>
            </w:r>
            <w:r w:rsidR="0062737A" w:rsidRPr="00294709">
              <w:rPr>
                <w:rFonts w:ascii="Arial" w:eastAsia="Arial" w:hAnsi="Arial" w:cs="Arial"/>
                <w:sz w:val="16"/>
                <w:szCs w:val="16"/>
              </w:rPr>
              <w:t>202</w:t>
            </w:r>
            <w:r w:rsidR="001334FD">
              <w:rPr>
                <w:rFonts w:ascii="Arial" w:eastAsia="Arial" w:hAnsi="Arial" w:cs="Arial"/>
                <w:sz w:val="16"/>
                <w:szCs w:val="16"/>
              </w:rPr>
              <w:t>4</w:t>
            </w:r>
          </w:p>
          <w:p w14:paraId="6DE50309" w14:textId="77777777" w:rsidR="00BA310F" w:rsidRDefault="00BA310F" w:rsidP="00BA310F">
            <w:pPr>
              <w:spacing w:after="0" w:line="240" w:lineRule="auto"/>
              <w:contextualSpacing/>
              <w:jc w:val="both"/>
              <w:rPr>
                <w:rFonts w:ascii="Arial" w:eastAsia="Arial" w:hAnsi="Arial" w:cs="Arial"/>
                <w:sz w:val="16"/>
                <w:szCs w:val="16"/>
              </w:rPr>
            </w:pPr>
          </w:p>
          <w:p w14:paraId="78714470" w14:textId="78B5D3A5" w:rsidR="00BA310F" w:rsidRDefault="001E23FF">
            <w:r>
              <w:t>[…]</w:t>
            </w:r>
          </w:p>
          <w:p w14:paraId="282D33BE" w14:textId="4845D774" w:rsidR="00BA310F" w:rsidRPr="00294709" w:rsidRDefault="00BA310F" w:rsidP="00BA310F">
            <w:pPr>
              <w:spacing w:after="0" w:line="240" w:lineRule="auto"/>
              <w:contextualSpacing/>
              <w:jc w:val="both"/>
              <w:rPr>
                <w:rFonts w:ascii="Arial" w:eastAsia="Arial" w:hAnsi="Arial" w:cs="Arial"/>
                <w:sz w:val="16"/>
                <w:szCs w:val="16"/>
              </w:rPr>
            </w:pPr>
            <w:r>
              <w:rPr>
                <w:rFonts w:ascii="Arial" w:eastAsia="Arial" w:hAnsi="Arial" w:cs="Arial"/>
                <w:sz w:val="16"/>
                <w:szCs w:val="16"/>
              </w:rPr>
              <w:t>_________________</w:t>
            </w:r>
          </w:p>
          <w:p w14:paraId="2F01664D" w14:textId="0F42BA3C" w:rsidR="00A245CB" w:rsidRDefault="006A12DB" w:rsidP="00957E3E">
            <w:pPr>
              <w:spacing w:after="0" w:line="240" w:lineRule="auto"/>
              <w:contextualSpacing/>
              <w:jc w:val="both"/>
              <w:rPr>
                <w:rFonts w:ascii="Arial" w:eastAsia="Arial" w:hAnsi="Arial" w:cs="Arial"/>
                <w:sz w:val="16"/>
                <w:szCs w:val="16"/>
              </w:rPr>
            </w:pPr>
            <w:r w:rsidRPr="00294709">
              <w:rPr>
                <w:rFonts w:ascii="Arial" w:eastAsia="Arial" w:hAnsi="Arial" w:cs="Arial"/>
                <w:sz w:val="16"/>
                <w:szCs w:val="16"/>
              </w:rPr>
              <w:t>SIGNATURE OF JUDGE:</w:t>
            </w:r>
          </w:p>
          <w:p w14:paraId="2ECA7DC3" w14:textId="58D8B9F4" w:rsidR="00957E3E" w:rsidRPr="00957E3E" w:rsidRDefault="00957E3E" w:rsidP="00957E3E">
            <w:pPr>
              <w:spacing w:after="0" w:line="240" w:lineRule="auto"/>
              <w:contextualSpacing/>
              <w:jc w:val="both"/>
              <w:rPr>
                <w:rFonts w:ascii="Arial" w:eastAsia="Arial" w:hAnsi="Arial" w:cs="Arial"/>
                <w:sz w:val="16"/>
                <w:szCs w:val="16"/>
              </w:rPr>
            </w:pPr>
          </w:p>
        </w:tc>
      </w:tr>
    </w:tbl>
    <w:p w14:paraId="31BA896D" w14:textId="77777777" w:rsidR="00A245CB" w:rsidRPr="00294709" w:rsidRDefault="00A245CB">
      <w:pPr>
        <w:spacing w:after="0" w:line="360" w:lineRule="auto"/>
        <w:jc w:val="both"/>
        <w:rPr>
          <w:rFonts w:ascii="Arial" w:eastAsia="Arial" w:hAnsi="Arial" w:cs="Arial"/>
          <w:b/>
          <w:sz w:val="24"/>
          <w:szCs w:val="24"/>
        </w:rPr>
      </w:pPr>
    </w:p>
    <w:p w14:paraId="4032E20E" w14:textId="77777777" w:rsidR="00A245CB" w:rsidRPr="00294709" w:rsidRDefault="006A12DB">
      <w:pPr>
        <w:spacing w:after="0" w:line="240" w:lineRule="auto"/>
        <w:jc w:val="both"/>
        <w:rPr>
          <w:rFonts w:ascii="Arial" w:eastAsia="Arial" w:hAnsi="Arial" w:cs="Arial"/>
          <w:sz w:val="24"/>
          <w:szCs w:val="24"/>
        </w:rPr>
      </w:pPr>
      <w:r w:rsidRPr="00294709">
        <w:rPr>
          <w:rFonts w:ascii="Arial" w:eastAsia="Arial" w:hAnsi="Arial" w:cs="Arial"/>
          <w:sz w:val="24"/>
          <w:szCs w:val="24"/>
        </w:rPr>
        <w:t>In the matter between:</w:t>
      </w:r>
    </w:p>
    <w:p w14:paraId="3C4109D3" w14:textId="36FEF158" w:rsidR="00A245CB" w:rsidRPr="00F749C6" w:rsidRDefault="003E3191" w:rsidP="00F749C6">
      <w:pPr>
        <w:pStyle w:val="NoSpacing"/>
        <w:spacing w:before="240"/>
        <w:rPr>
          <w:rFonts w:ascii="Arial" w:hAnsi="Arial" w:cs="Arial"/>
          <w:b/>
          <w:sz w:val="24"/>
          <w:szCs w:val="24"/>
        </w:rPr>
      </w:pPr>
      <w:r w:rsidRPr="00F749C6">
        <w:rPr>
          <w:rFonts w:ascii="Arial" w:hAnsi="Arial" w:cs="Arial"/>
          <w:b/>
          <w:sz w:val="24"/>
          <w:szCs w:val="24"/>
        </w:rPr>
        <w:t xml:space="preserve">NEDBANK  </w:t>
      </w:r>
      <w:r w:rsidR="00F749C6" w:rsidRPr="00F749C6">
        <w:rPr>
          <w:rFonts w:ascii="Arial" w:hAnsi="Arial" w:cs="Arial"/>
          <w:b/>
          <w:sz w:val="24"/>
          <w:szCs w:val="24"/>
        </w:rPr>
        <w:t>LIMITED</w:t>
      </w:r>
      <w:r w:rsidR="00F749C6" w:rsidRPr="00F749C6">
        <w:rPr>
          <w:rFonts w:ascii="Arial" w:hAnsi="Arial" w:cs="Arial"/>
          <w:b/>
          <w:sz w:val="24"/>
          <w:szCs w:val="24"/>
        </w:rPr>
        <w:tab/>
      </w:r>
      <w:r w:rsidR="00F749C6" w:rsidRPr="00F749C6">
        <w:rPr>
          <w:rFonts w:ascii="Arial" w:hAnsi="Arial" w:cs="Arial"/>
          <w:b/>
          <w:sz w:val="24"/>
          <w:szCs w:val="24"/>
        </w:rPr>
        <w:tab/>
      </w:r>
      <w:r w:rsidR="00F749C6" w:rsidRPr="00F749C6">
        <w:rPr>
          <w:rFonts w:ascii="Arial" w:hAnsi="Arial" w:cs="Arial"/>
          <w:b/>
          <w:sz w:val="24"/>
          <w:szCs w:val="24"/>
        </w:rPr>
        <w:tab/>
      </w:r>
      <w:r w:rsidR="006A12DB" w:rsidRPr="00F749C6">
        <w:rPr>
          <w:rFonts w:ascii="Arial" w:hAnsi="Arial" w:cs="Arial"/>
          <w:sz w:val="24"/>
          <w:szCs w:val="24"/>
        </w:rPr>
        <w:tab/>
      </w:r>
      <w:r w:rsidR="006A12DB" w:rsidRPr="00F749C6">
        <w:rPr>
          <w:rFonts w:ascii="Arial" w:hAnsi="Arial" w:cs="Arial"/>
          <w:sz w:val="24"/>
          <w:szCs w:val="24"/>
        </w:rPr>
        <w:tab/>
      </w:r>
      <w:r w:rsidR="003557E5" w:rsidRPr="00F749C6">
        <w:rPr>
          <w:rFonts w:ascii="Arial" w:hAnsi="Arial" w:cs="Arial"/>
          <w:sz w:val="24"/>
          <w:szCs w:val="24"/>
        </w:rPr>
        <w:tab/>
        <w:t xml:space="preserve"> </w:t>
      </w:r>
      <w:r w:rsidR="003557E5" w:rsidRPr="00F749C6">
        <w:rPr>
          <w:rFonts w:ascii="Arial" w:hAnsi="Arial" w:cs="Arial"/>
          <w:sz w:val="24"/>
          <w:szCs w:val="24"/>
        </w:rPr>
        <w:tab/>
      </w:r>
      <w:r w:rsidR="00937D04" w:rsidRPr="00F749C6">
        <w:rPr>
          <w:rFonts w:ascii="Arial" w:hAnsi="Arial" w:cs="Arial"/>
          <w:sz w:val="24"/>
          <w:szCs w:val="24"/>
        </w:rPr>
        <w:tab/>
        <w:t xml:space="preserve">      </w:t>
      </w:r>
      <w:r w:rsidR="003557E5" w:rsidRPr="00F749C6">
        <w:rPr>
          <w:rFonts w:ascii="Arial" w:hAnsi="Arial" w:cs="Arial"/>
          <w:sz w:val="24"/>
          <w:szCs w:val="24"/>
        </w:rPr>
        <w:t>Applicant</w:t>
      </w:r>
    </w:p>
    <w:p w14:paraId="2622BC4B" w14:textId="77777777" w:rsidR="00A245CB" w:rsidRPr="00294709" w:rsidRDefault="00A245CB">
      <w:pPr>
        <w:spacing w:after="0" w:line="240" w:lineRule="auto"/>
        <w:jc w:val="both"/>
        <w:rPr>
          <w:rFonts w:ascii="Arial" w:eastAsia="Arial" w:hAnsi="Arial" w:cs="Arial"/>
          <w:sz w:val="24"/>
          <w:szCs w:val="24"/>
        </w:rPr>
      </w:pPr>
    </w:p>
    <w:p w14:paraId="1D9E5E84" w14:textId="77777777" w:rsidR="00A245CB" w:rsidRPr="00294709" w:rsidRDefault="006A12DB">
      <w:pPr>
        <w:spacing w:after="0" w:line="240" w:lineRule="auto"/>
        <w:jc w:val="both"/>
        <w:rPr>
          <w:rFonts w:ascii="Arial" w:eastAsia="Arial" w:hAnsi="Arial" w:cs="Arial"/>
          <w:sz w:val="24"/>
          <w:szCs w:val="24"/>
        </w:rPr>
      </w:pPr>
      <w:r w:rsidRPr="00294709">
        <w:rPr>
          <w:rFonts w:ascii="Arial" w:eastAsia="Arial" w:hAnsi="Arial" w:cs="Arial"/>
          <w:sz w:val="24"/>
          <w:szCs w:val="24"/>
        </w:rPr>
        <w:t xml:space="preserve">and </w:t>
      </w:r>
    </w:p>
    <w:p w14:paraId="5F9CBC8D" w14:textId="77777777" w:rsidR="00A245CB" w:rsidRPr="00294709" w:rsidRDefault="00A245CB">
      <w:pPr>
        <w:spacing w:after="0" w:line="240" w:lineRule="auto"/>
        <w:jc w:val="both"/>
        <w:rPr>
          <w:rFonts w:ascii="Arial" w:eastAsia="Arial" w:hAnsi="Arial" w:cs="Arial"/>
          <w:sz w:val="24"/>
          <w:szCs w:val="24"/>
        </w:rPr>
      </w:pPr>
    </w:p>
    <w:p w14:paraId="31DC19F4" w14:textId="54B8E542" w:rsidR="00144EA8" w:rsidRDefault="00425B04" w:rsidP="00D57E34">
      <w:pPr>
        <w:spacing w:after="0" w:line="360" w:lineRule="auto"/>
        <w:jc w:val="both"/>
        <w:rPr>
          <w:rFonts w:ascii="Arial" w:eastAsia="Arial" w:hAnsi="Arial" w:cs="Arial"/>
          <w:bCs/>
          <w:sz w:val="24"/>
          <w:szCs w:val="24"/>
          <w:lang w:val="en-GB"/>
        </w:rPr>
      </w:pPr>
      <w:r>
        <w:rPr>
          <w:rFonts w:ascii="Arial" w:eastAsia="Arial" w:hAnsi="Arial" w:cs="Arial"/>
          <w:b/>
          <w:sz w:val="24"/>
          <w:szCs w:val="24"/>
          <w:lang w:val="en-GB"/>
        </w:rPr>
        <w:t>IVAN MARX</w:t>
      </w:r>
      <w:r>
        <w:rPr>
          <w:rFonts w:ascii="Arial" w:eastAsia="Arial" w:hAnsi="Arial" w:cs="Arial"/>
          <w:b/>
          <w:sz w:val="24"/>
          <w:szCs w:val="24"/>
          <w:lang w:val="en-GB"/>
        </w:rPr>
        <w:tab/>
      </w:r>
      <w:r>
        <w:rPr>
          <w:rFonts w:ascii="Arial" w:eastAsia="Arial" w:hAnsi="Arial" w:cs="Arial"/>
          <w:b/>
          <w:sz w:val="24"/>
          <w:szCs w:val="24"/>
          <w:lang w:val="en-GB"/>
        </w:rPr>
        <w:tab/>
      </w:r>
      <w:r w:rsidR="0062737A" w:rsidRPr="00294709">
        <w:rPr>
          <w:rFonts w:ascii="Arial" w:eastAsia="Arial" w:hAnsi="Arial" w:cs="Arial"/>
          <w:b/>
          <w:sz w:val="24"/>
          <w:szCs w:val="24"/>
          <w:lang w:val="en-GB"/>
        </w:rPr>
        <w:tab/>
      </w:r>
      <w:r w:rsidR="003557E5" w:rsidRPr="00294709">
        <w:rPr>
          <w:rFonts w:ascii="Arial" w:eastAsia="Arial" w:hAnsi="Arial" w:cs="Arial"/>
          <w:bCs/>
          <w:sz w:val="24"/>
          <w:szCs w:val="24"/>
          <w:lang w:val="en-GB"/>
        </w:rPr>
        <w:tab/>
      </w:r>
      <w:r w:rsidR="003557E5" w:rsidRPr="00294709">
        <w:rPr>
          <w:rFonts w:ascii="Arial" w:eastAsia="Arial" w:hAnsi="Arial" w:cs="Arial"/>
          <w:bCs/>
          <w:sz w:val="24"/>
          <w:szCs w:val="24"/>
          <w:lang w:val="en-GB"/>
        </w:rPr>
        <w:tab/>
      </w:r>
      <w:r w:rsidR="003557E5" w:rsidRPr="00294709">
        <w:rPr>
          <w:rFonts w:ascii="Arial" w:eastAsia="Arial" w:hAnsi="Arial" w:cs="Arial"/>
          <w:bCs/>
          <w:sz w:val="24"/>
          <w:szCs w:val="24"/>
          <w:lang w:val="en-GB"/>
        </w:rPr>
        <w:tab/>
      </w:r>
      <w:r w:rsidR="003557E5" w:rsidRPr="00294709">
        <w:rPr>
          <w:rFonts w:ascii="Arial" w:eastAsia="Arial" w:hAnsi="Arial" w:cs="Arial"/>
          <w:bCs/>
          <w:sz w:val="24"/>
          <w:szCs w:val="24"/>
          <w:lang w:val="en-GB"/>
        </w:rPr>
        <w:tab/>
      </w:r>
      <w:r w:rsidR="003557E5" w:rsidRPr="00294709">
        <w:rPr>
          <w:rFonts w:ascii="Arial" w:eastAsia="Arial" w:hAnsi="Arial" w:cs="Arial"/>
          <w:bCs/>
          <w:sz w:val="24"/>
          <w:szCs w:val="24"/>
          <w:lang w:val="en-GB"/>
        </w:rPr>
        <w:tab/>
      </w:r>
      <w:r w:rsidR="005D6361">
        <w:rPr>
          <w:rFonts w:ascii="Arial" w:eastAsia="Arial" w:hAnsi="Arial" w:cs="Arial"/>
          <w:bCs/>
          <w:sz w:val="24"/>
          <w:szCs w:val="24"/>
          <w:lang w:val="en-GB"/>
        </w:rPr>
        <w:t xml:space="preserve">  </w:t>
      </w:r>
      <w:r w:rsidR="00937D04">
        <w:rPr>
          <w:rFonts w:ascii="Arial" w:eastAsia="Arial" w:hAnsi="Arial" w:cs="Arial"/>
          <w:bCs/>
          <w:sz w:val="24"/>
          <w:szCs w:val="24"/>
          <w:lang w:val="en-GB"/>
        </w:rPr>
        <w:tab/>
      </w:r>
      <w:r w:rsidR="00807255">
        <w:rPr>
          <w:rFonts w:ascii="Arial" w:eastAsia="Arial" w:hAnsi="Arial" w:cs="Arial"/>
          <w:bCs/>
          <w:sz w:val="24"/>
          <w:szCs w:val="24"/>
          <w:lang w:val="en-GB"/>
        </w:rPr>
        <w:tab/>
        <w:t xml:space="preserve">     </w:t>
      </w:r>
      <w:r w:rsidR="0062737A" w:rsidRPr="00294709">
        <w:rPr>
          <w:rFonts w:ascii="Arial" w:eastAsia="Arial" w:hAnsi="Arial" w:cs="Arial"/>
          <w:bCs/>
          <w:sz w:val="24"/>
          <w:szCs w:val="24"/>
          <w:lang w:val="en-GB"/>
        </w:rPr>
        <w:t>Respondent</w:t>
      </w:r>
    </w:p>
    <w:p w14:paraId="1F396F34" w14:textId="77777777" w:rsidR="00164A2B" w:rsidRPr="00144EA8" w:rsidRDefault="00164A2B" w:rsidP="00D57E34">
      <w:pPr>
        <w:spacing w:after="0" w:line="360" w:lineRule="auto"/>
        <w:jc w:val="both"/>
        <w:rPr>
          <w:rFonts w:ascii="Arial" w:eastAsia="Arial" w:hAnsi="Arial" w:cs="Arial"/>
          <w:bCs/>
          <w:sz w:val="24"/>
          <w:szCs w:val="24"/>
          <w:lang w:val="en-GB"/>
        </w:rPr>
      </w:pPr>
    </w:p>
    <w:p w14:paraId="283F8F33" w14:textId="398E0E42" w:rsidR="00AE2B18" w:rsidRPr="00941923" w:rsidRDefault="00164A2B" w:rsidP="00164A2B">
      <w:pPr>
        <w:tabs>
          <w:tab w:val="left" w:pos="1215"/>
        </w:tabs>
        <w:rPr>
          <w:rFonts w:ascii="Arial" w:hAnsi="Arial" w:cs="Arial"/>
          <w:bCs/>
          <w:i/>
          <w:sz w:val="22"/>
          <w:szCs w:val="22"/>
        </w:rPr>
      </w:pPr>
      <w:r w:rsidRPr="00941923">
        <w:rPr>
          <w:rFonts w:ascii="Arial" w:hAnsi="Arial" w:cs="Arial"/>
          <w:b/>
          <w:i/>
          <w:sz w:val="22"/>
          <w:szCs w:val="22"/>
        </w:rPr>
        <w:t xml:space="preserve">Delivered: </w:t>
      </w:r>
      <w:r w:rsidRPr="00941923">
        <w:rPr>
          <w:rFonts w:ascii="Arial" w:hAnsi="Arial" w:cs="Arial"/>
          <w:bCs/>
          <w:i/>
          <w:sz w:val="22"/>
          <w:szCs w:val="22"/>
        </w:rPr>
        <w:t>This judgment was prepared and authored by the Judge whose name is reflected and is handed down electronically by circulation to the parties/their legal representatives by e-mail and by uploading it to the electronic file of this matter on Caselines. The date and for hand-down is deemed to be</w:t>
      </w:r>
      <w:r w:rsidR="00454A25" w:rsidRPr="00941923">
        <w:rPr>
          <w:rFonts w:ascii="Arial" w:hAnsi="Arial" w:cs="Arial"/>
          <w:bCs/>
          <w:i/>
          <w:sz w:val="22"/>
          <w:szCs w:val="22"/>
        </w:rPr>
        <w:t xml:space="preserve"> </w:t>
      </w:r>
      <w:r w:rsidR="00467DDC" w:rsidRPr="00941923">
        <w:rPr>
          <w:rFonts w:ascii="Arial" w:hAnsi="Arial" w:cs="Arial"/>
          <w:bCs/>
          <w:i/>
          <w:sz w:val="22"/>
          <w:szCs w:val="22"/>
        </w:rPr>
        <w:t>19</w:t>
      </w:r>
      <w:r w:rsidRPr="00941923">
        <w:rPr>
          <w:rFonts w:ascii="Arial" w:hAnsi="Arial" w:cs="Arial"/>
          <w:bCs/>
          <w:i/>
          <w:sz w:val="22"/>
          <w:szCs w:val="22"/>
        </w:rPr>
        <w:t xml:space="preserve"> June</w:t>
      </w:r>
      <w:r w:rsidRPr="00941923">
        <w:rPr>
          <w:rFonts w:ascii="Arial" w:hAnsi="Arial" w:cs="Arial"/>
          <w:bCs/>
          <w:i/>
          <w:color w:val="FF0000"/>
          <w:sz w:val="22"/>
          <w:szCs w:val="22"/>
        </w:rPr>
        <w:t xml:space="preserve"> </w:t>
      </w:r>
      <w:r w:rsidRPr="00941923">
        <w:rPr>
          <w:rFonts w:ascii="Arial" w:hAnsi="Arial" w:cs="Arial"/>
          <w:bCs/>
          <w:i/>
          <w:sz w:val="22"/>
          <w:szCs w:val="22"/>
        </w:rPr>
        <w:t>2024.</w:t>
      </w:r>
    </w:p>
    <w:p w14:paraId="0A595072" w14:textId="79865557" w:rsidR="00941923" w:rsidRPr="00941923" w:rsidRDefault="00941923" w:rsidP="00164A2B">
      <w:pPr>
        <w:tabs>
          <w:tab w:val="left" w:pos="1215"/>
        </w:tabs>
        <w:rPr>
          <w:rFonts w:ascii="Arial" w:hAnsi="Arial" w:cs="Arial"/>
          <w:b/>
          <w:sz w:val="22"/>
          <w:szCs w:val="22"/>
        </w:rPr>
      </w:pPr>
      <w:r w:rsidRPr="00941923">
        <w:rPr>
          <w:rFonts w:ascii="Arial" w:hAnsi="Arial" w:cs="Arial"/>
          <w:b/>
          <w:i/>
          <w:sz w:val="22"/>
          <w:szCs w:val="22"/>
        </w:rPr>
        <w:t xml:space="preserve">Summary: </w:t>
      </w:r>
    </w:p>
    <w:p w14:paraId="40D1D1CA" w14:textId="57B7B849" w:rsidR="00AE2B18" w:rsidRPr="00294709" w:rsidRDefault="00AE2B18" w:rsidP="00540D10">
      <w:pPr>
        <w:spacing w:after="0" w:line="240" w:lineRule="auto"/>
        <w:jc w:val="both"/>
        <w:rPr>
          <w:rFonts w:ascii="Arial" w:hAnsi="Arial" w:cs="Arial"/>
          <w:b/>
        </w:rPr>
      </w:pPr>
      <w:r w:rsidRPr="00294709">
        <w:rPr>
          <w:rFonts w:ascii="Arial" w:hAnsi="Arial" w:cs="Arial"/>
          <w:b/>
        </w:rPr>
        <w:t>____________________________________________________________________________</w:t>
      </w:r>
      <w:r w:rsidR="00937D04">
        <w:rPr>
          <w:rFonts w:ascii="Arial" w:hAnsi="Arial" w:cs="Arial"/>
          <w:b/>
        </w:rPr>
        <w:t>___________</w:t>
      </w:r>
      <w:r w:rsidRPr="00294709">
        <w:rPr>
          <w:rFonts w:ascii="Arial" w:hAnsi="Arial" w:cs="Arial"/>
          <w:b/>
        </w:rPr>
        <w:t>____</w:t>
      </w:r>
    </w:p>
    <w:p w14:paraId="4C6A16DC" w14:textId="77777777" w:rsidR="00AE2B18" w:rsidRPr="00F7317F" w:rsidRDefault="00AE2B18" w:rsidP="00FE08F1">
      <w:pPr>
        <w:spacing w:before="120" w:after="0" w:line="240" w:lineRule="auto"/>
        <w:contextualSpacing/>
        <w:jc w:val="center"/>
        <w:rPr>
          <w:rFonts w:ascii="Arial" w:hAnsi="Arial" w:cs="Arial"/>
          <w:b/>
          <w:sz w:val="24"/>
          <w:szCs w:val="24"/>
        </w:rPr>
      </w:pPr>
      <w:r w:rsidRPr="00F7317F">
        <w:rPr>
          <w:rFonts w:ascii="Arial" w:hAnsi="Arial" w:cs="Arial"/>
          <w:b/>
          <w:sz w:val="24"/>
          <w:szCs w:val="24"/>
        </w:rPr>
        <w:t>ORDER</w:t>
      </w:r>
    </w:p>
    <w:p w14:paraId="1CFBE604" w14:textId="3DD3411D" w:rsidR="00AE2B18" w:rsidRPr="00294709" w:rsidRDefault="00AE2B18" w:rsidP="00375C80">
      <w:pPr>
        <w:spacing w:after="0" w:line="240" w:lineRule="auto"/>
        <w:contextualSpacing/>
        <w:jc w:val="both"/>
        <w:rPr>
          <w:rFonts w:ascii="Arial" w:hAnsi="Arial" w:cs="Arial"/>
          <w:b/>
        </w:rPr>
      </w:pPr>
      <w:r w:rsidRPr="00294709">
        <w:rPr>
          <w:rFonts w:ascii="Arial" w:hAnsi="Arial" w:cs="Arial"/>
          <w:b/>
        </w:rPr>
        <w:t>_____________________________________________________________________________</w:t>
      </w:r>
      <w:r w:rsidR="00937D04">
        <w:rPr>
          <w:rFonts w:ascii="Arial" w:hAnsi="Arial" w:cs="Arial"/>
          <w:b/>
        </w:rPr>
        <w:t>___________</w:t>
      </w:r>
      <w:r w:rsidRPr="00294709">
        <w:rPr>
          <w:rFonts w:ascii="Arial" w:hAnsi="Arial" w:cs="Arial"/>
          <w:b/>
        </w:rPr>
        <w:t>____</w:t>
      </w:r>
    </w:p>
    <w:p w14:paraId="06B3F71B" w14:textId="77777777" w:rsidR="00AE2B18" w:rsidRPr="00294709" w:rsidRDefault="00AE2B18" w:rsidP="00375C80">
      <w:pPr>
        <w:spacing w:line="240" w:lineRule="auto"/>
        <w:contextualSpacing/>
        <w:jc w:val="both"/>
        <w:rPr>
          <w:rFonts w:ascii="Arial" w:hAnsi="Arial" w:cs="Arial"/>
          <w:b/>
        </w:rPr>
      </w:pPr>
    </w:p>
    <w:p w14:paraId="4C09889D" w14:textId="07AA7C69" w:rsidR="00C10D31" w:rsidRPr="001E23FF" w:rsidRDefault="001E23FF" w:rsidP="001E23FF">
      <w:pPr>
        <w:tabs>
          <w:tab w:val="right" w:pos="8208"/>
        </w:tabs>
        <w:spacing w:before="60" w:afterLines="60" w:after="144" w:line="240" w:lineRule="auto"/>
        <w:ind w:left="360" w:hanging="360"/>
        <w:jc w:val="both"/>
        <w:rPr>
          <w:rFonts w:ascii="Arial" w:hAnsi="Arial" w:cs="Arial"/>
          <w:sz w:val="24"/>
          <w:szCs w:val="24"/>
        </w:rPr>
      </w:pPr>
      <w:r w:rsidRPr="000505F2">
        <w:rPr>
          <w:rFonts w:ascii="Arial" w:hAnsi="Arial" w:cs="Arial"/>
          <w:sz w:val="24"/>
          <w:szCs w:val="24"/>
        </w:rPr>
        <w:t>1.</w:t>
      </w:r>
      <w:r w:rsidRPr="000505F2">
        <w:rPr>
          <w:rFonts w:ascii="Arial" w:hAnsi="Arial" w:cs="Arial"/>
          <w:sz w:val="24"/>
          <w:szCs w:val="24"/>
        </w:rPr>
        <w:tab/>
      </w:r>
      <w:r w:rsidR="00C10D31" w:rsidRPr="001E23FF">
        <w:rPr>
          <w:rFonts w:ascii="Arial" w:hAnsi="Arial" w:cs="Arial"/>
          <w:sz w:val="24"/>
          <w:szCs w:val="24"/>
        </w:rPr>
        <w:t>The application for summary judgment is dismissed.</w:t>
      </w:r>
    </w:p>
    <w:p w14:paraId="6F48CC0B" w14:textId="22BD89EA" w:rsidR="00A245CB" w:rsidRPr="001E23FF" w:rsidRDefault="001E23FF" w:rsidP="001E23FF">
      <w:pPr>
        <w:tabs>
          <w:tab w:val="right" w:pos="8208"/>
        </w:tabs>
        <w:spacing w:before="60" w:afterLines="60" w:after="144" w:line="240" w:lineRule="auto"/>
        <w:ind w:left="360" w:hanging="360"/>
        <w:jc w:val="both"/>
        <w:rPr>
          <w:rFonts w:ascii="Arial" w:hAnsi="Arial" w:cs="Arial"/>
          <w:sz w:val="24"/>
          <w:szCs w:val="24"/>
        </w:rPr>
      </w:pPr>
      <w:r w:rsidRPr="00C10D31">
        <w:rPr>
          <w:rFonts w:ascii="Arial" w:hAnsi="Arial" w:cs="Arial"/>
          <w:sz w:val="24"/>
          <w:szCs w:val="24"/>
        </w:rPr>
        <w:t>2.</w:t>
      </w:r>
      <w:r w:rsidRPr="00C10D31">
        <w:rPr>
          <w:rFonts w:ascii="Arial" w:hAnsi="Arial" w:cs="Arial"/>
          <w:sz w:val="24"/>
          <w:szCs w:val="24"/>
        </w:rPr>
        <w:tab/>
      </w:r>
      <w:r w:rsidR="00C10D31" w:rsidRPr="001E23FF">
        <w:rPr>
          <w:rFonts w:ascii="Arial" w:hAnsi="Arial" w:cs="Arial"/>
          <w:sz w:val="24"/>
          <w:szCs w:val="24"/>
        </w:rPr>
        <w:t>Costs of the application shall be costs in the main action</w:t>
      </w:r>
    </w:p>
    <w:p w14:paraId="56C8C3C5" w14:textId="532AB62B" w:rsidR="00A245CB" w:rsidRPr="00294709" w:rsidRDefault="006A12DB" w:rsidP="00F61D6D">
      <w:pPr>
        <w:pBdr>
          <w:bottom w:val="single" w:sz="12" w:space="1" w:color="000000"/>
        </w:pBdr>
        <w:spacing w:after="0" w:line="240" w:lineRule="auto"/>
        <w:contextualSpacing/>
        <w:jc w:val="both"/>
        <w:rPr>
          <w:rFonts w:ascii="Arial" w:eastAsia="Arial" w:hAnsi="Arial" w:cs="Arial"/>
          <w:b/>
          <w:sz w:val="24"/>
          <w:szCs w:val="24"/>
        </w:rPr>
      </w:pPr>
      <w:r w:rsidRPr="00294709">
        <w:rPr>
          <w:rFonts w:ascii="Arial" w:eastAsia="Arial" w:hAnsi="Arial" w:cs="Arial"/>
          <w:b/>
          <w:sz w:val="24"/>
          <w:szCs w:val="24"/>
        </w:rPr>
        <w:t>_________________________________________________________________</w:t>
      </w:r>
      <w:r w:rsidR="00937D04">
        <w:rPr>
          <w:rFonts w:ascii="Arial" w:eastAsia="Arial" w:hAnsi="Arial" w:cs="Arial"/>
          <w:b/>
          <w:sz w:val="24"/>
          <w:szCs w:val="24"/>
        </w:rPr>
        <w:t>___________</w:t>
      </w:r>
      <w:r w:rsidRPr="00294709">
        <w:rPr>
          <w:rFonts w:ascii="Arial" w:eastAsia="Arial" w:hAnsi="Arial" w:cs="Arial"/>
          <w:b/>
          <w:sz w:val="24"/>
          <w:szCs w:val="24"/>
        </w:rPr>
        <w:t>__</w:t>
      </w:r>
    </w:p>
    <w:p w14:paraId="6F0B4D7B" w14:textId="77777777" w:rsidR="00A245CB" w:rsidRPr="00294709" w:rsidRDefault="00A245CB" w:rsidP="00C052F5">
      <w:pPr>
        <w:pBdr>
          <w:bottom w:val="single" w:sz="12" w:space="1" w:color="000000"/>
        </w:pBdr>
        <w:spacing w:before="100" w:beforeAutospacing="1" w:after="100" w:afterAutospacing="1" w:line="240" w:lineRule="auto"/>
        <w:contextualSpacing/>
        <w:jc w:val="both"/>
        <w:rPr>
          <w:rFonts w:ascii="Arial" w:eastAsia="Arial" w:hAnsi="Arial" w:cs="Arial"/>
          <w:b/>
          <w:sz w:val="24"/>
          <w:szCs w:val="24"/>
        </w:rPr>
      </w:pPr>
    </w:p>
    <w:p w14:paraId="191C7302" w14:textId="68A6AAB7" w:rsidR="00A245CB" w:rsidRDefault="006A12DB" w:rsidP="00C052F5">
      <w:pPr>
        <w:pBdr>
          <w:bottom w:val="single" w:sz="12" w:space="1" w:color="000000"/>
        </w:pBdr>
        <w:spacing w:before="100" w:beforeAutospacing="1" w:after="100" w:afterAutospacing="1" w:line="240" w:lineRule="auto"/>
        <w:contextualSpacing/>
        <w:jc w:val="center"/>
        <w:rPr>
          <w:rFonts w:ascii="Arial" w:eastAsia="Arial" w:hAnsi="Arial" w:cs="Arial"/>
          <w:b/>
          <w:sz w:val="24"/>
          <w:szCs w:val="24"/>
        </w:rPr>
      </w:pPr>
      <w:r w:rsidRPr="00294709">
        <w:rPr>
          <w:rFonts w:ascii="Arial" w:eastAsia="Arial" w:hAnsi="Arial" w:cs="Arial"/>
          <w:b/>
          <w:sz w:val="24"/>
          <w:szCs w:val="24"/>
        </w:rPr>
        <w:t>JUDGMENT</w:t>
      </w:r>
    </w:p>
    <w:p w14:paraId="5F057E94" w14:textId="77777777" w:rsidR="00937D04" w:rsidRPr="00294709" w:rsidRDefault="00937D04" w:rsidP="00C052F5">
      <w:pPr>
        <w:pBdr>
          <w:bottom w:val="single" w:sz="12" w:space="1" w:color="000000"/>
        </w:pBdr>
        <w:spacing w:before="100" w:beforeAutospacing="1" w:after="100" w:afterAutospacing="1" w:line="240" w:lineRule="auto"/>
        <w:contextualSpacing/>
        <w:jc w:val="center"/>
        <w:rPr>
          <w:rFonts w:ascii="Arial" w:eastAsia="Arial" w:hAnsi="Arial" w:cs="Arial"/>
          <w:b/>
          <w:sz w:val="24"/>
          <w:szCs w:val="24"/>
        </w:rPr>
      </w:pPr>
    </w:p>
    <w:p w14:paraId="7374C9D2" w14:textId="77777777" w:rsidR="00A245CB" w:rsidRPr="00294709" w:rsidRDefault="00A245CB" w:rsidP="00C052F5">
      <w:pPr>
        <w:spacing w:before="100" w:beforeAutospacing="1" w:after="100" w:afterAutospacing="1" w:line="240" w:lineRule="auto"/>
        <w:contextualSpacing/>
        <w:jc w:val="both"/>
        <w:rPr>
          <w:rFonts w:ascii="Arial" w:eastAsia="Arial" w:hAnsi="Arial" w:cs="Arial"/>
          <w:b/>
          <w:sz w:val="24"/>
          <w:szCs w:val="24"/>
        </w:rPr>
      </w:pPr>
    </w:p>
    <w:p w14:paraId="3C317E0B" w14:textId="21FE8644" w:rsidR="007F50EE" w:rsidRDefault="00375C80" w:rsidP="007F50EE">
      <w:pPr>
        <w:spacing w:before="60" w:afterLines="60" w:after="144" w:line="480" w:lineRule="auto"/>
        <w:jc w:val="both"/>
        <w:rPr>
          <w:rFonts w:ascii="Arial" w:eastAsia="Arial" w:hAnsi="Arial" w:cs="Arial"/>
          <w:b/>
          <w:sz w:val="24"/>
          <w:szCs w:val="24"/>
        </w:rPr>
      </w:pPr>
      <w:r>
        <w:rPr>
          <w:rFonts w:ascii="Arial" w:eastAsia="Arial" w:hAnsi="Arial" w:cs="Arial"/>
          <w:b/>
          <w:sz w:val="24"/>
          <w:szCs w:val="24"/>
        </w:rPr>
        <w:t xml:space="preserve">K. </w:t>
      </w:r>
      <w:r w:rsidR="003557E5" w:rsidRPr="00294709">
        <w:rPr>
          <w:rFonts w:ascii="Arial" w:eastAsia="Arial" w:hAnsi="Arial" w:cs="Arial"/>
          <w:b/>
          <w:sz w:val="24"/>
          <w:szCs w:val="24"/>
        </w:rPr>
        <w:t>STRYDOM</w:t>
      </w:r>
      <w:r w:rsidR="0062737A" w:rsidRPr="00294709">
        <w:rPr>
          <w:rFonts w:ascii="Arial" w:eastAsia="Arial" w:hAnsi="Arial" w:cs="Arial"/>
          <w:b/>
          <w:sz w:val="24"/>
          <w:szCs w:val="24"/>
        </w:rPr>
        <w:t>, A</w:t>
      </w:r>
      <w:r w:rsidR="006A12DB" w:rsidRPr="00294709">
        <w:rPr>
          <w:rFonts w:ascii="Arial" w:eastAsia="Arial" w:hAnsi="Arial" w:cs="Arial"/>
          <w:b/>
          <w:sz w:val="24"/>
          <w:szCs w:val="24"/>
        </w:rPr>
        <w:t>J</w:t>
      </w:r>
    </w:p>
    <w:p w14:paraId="10E76EF5" w14:textId="49A5C1D2" w:rsidR="002C3EA5" w:rsidRPr="00911C4B" w:rsidRDefault="00E073C0" w:rsidP="00911C4B">
      <w:pPr>
        <w:tabs>
          <w:tab w:val="right" w:pos="8208"/>
        </w:tabs>
        <w:spacing w:before="60" w:afterLines="60" w:after="144" w:line="480" w:lineRule="auto"/>
        <w:jc w:val="both"/>
        <w:rPr>
          <w:rFonts w:ascii="Arial" w:hAnsi="Arial" w:cs="Arial"/>
          <w:b/>
          <w:bCs/>
          <w:sz w:val="24"/>
          <w:szCs w:val="24"/>
        </w:rPr>
      </w:pPr>
      <w:r>
        <w:rPr>
          <w:rFonts w:ascii="Arial" w:hAnsi="Arial" w:cs="Arial"/>
          <w:b/>
          <w:bCs/>
          <w:sz w:val="24"/>
          <w:szCs w:val="24"/>
        </w:rPr>
        <w:t>INTRODUCTION</w:t>
      </w:r>
    </w:p>
    <w:p w14:paraId="2CF8097D" w14:textId="01D259FD" w:rsidR="00F77C0E"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806305">
        <w:rPr>
          <w:rFonts w:ascii="Arial" w:hAnsi="Arial" w:cs="Arial"/>
          <w:sz w:val="24"/>
          <w:szCs w:val="24"/>
        </w:rPr>
        <w:t>1.</w:t>
      </w:r>
      <w:r w:rsidRPr="00806305">
        <w:rPr>
          <w:rFonts w:ascii="Arial" w:hAnsi="Arial" w:cs="Arial"/>
          <w:sz w:val="24"/>
          <w:szCs w:val="24"/>
        </w:rPr>
        <w:tab/>
      </w:r>
      <w:r w:rsidR="00B666AA" w:rsidRPr="001E23FF">
        <w:rPr>
          <w:rFonts w:ascii="Arial" w:hAnsi="Arial" w:cs="Arial"/>
          <w:sz w:val="24"/>
          <w:szCs w:val="24"/>
        </w:rPr>
        <w:t xml:space="preserve">This opposed summary judgment application raised </w:t>
      </w:r>
      <w:r w:rsidR="000873E5" w:rsidRPr="001E23FF">
        <w:rPr>
          <w:rFonts w:ascii="Arial" w:hAnsi="Arial" w:cs="Arial"/>
          <w:sz w:val="24"/>
          <w:szCs w:val="24"/>
        </w:rPr>
        <w:t xml:space="preserve">interesting </w:t>
      </w:r>
      <w:r w:rsidR="00267E62" w:rsidRPr="001E23FF">
        <w:rPr>
          <w:rFonts w:ascii="Arial" w:hAnsi="Arial" w:cs="Arial"/>
          <w:sz w:val="24"/>
          <w:szCs w:val="24"/>
        </w:rPr>
        <w:t xml:space="preserve">legal arguments relating to </w:t>
      </w:r>
      <w:r w:rsidR="00982EB4" w:rsidRPr="001E23FF">
        <w:rPr>
          <w:rFonts w:ascii="Arial" w:hAnsi="Arial" w:cs="Arial"/>
          <w:sz w:val="24"/>
          <w:szCs w:val="24"/>
        </w:rPr>
        <w:t xml:space="preserve">laudable </w:t>
      </w:r>
      <w:r w:rsidR="007A4308" w:rsidRPr="001E23FF">
        <w:rPr>
          <w:rFonts w:ascii="Arial" w:hAnsi="Arial" w:cs="Arial"/>
          <w:sz w:val="24"/>
          <w:szCs w:val="24"/>
        </w:rPr>
        <w:t xml:space="preserve">measures taken </w:t>
      </w:r>
      <w:r w:rsidR="00757CE1" w:rsidRPr="001E23FF">
        <w:rPr>
          <w:rFonts w:ascii="Arial" w:hAnsi="Arial" w:cs="Arial"/>
          <w:sz w:val="24"/>
          <w:szCs w:val="24"/>
        </w:rPr>
        <w:t>collectively by Government and banks during the Covid-19 pandemic to</w:t>
      </w:r>
      <w:r w:rsidR="00730435" w:rsidRPr="001E23FF">
        <w:rPr>
          <w:rFonts w:ascii="Arial" w:hAnsi="Arial" w:cs="Arial"/>
          <w:sz w:val="24"/>
          <w:szCs w:val="24"/>
        </w:rPr>
        <w:t xml:space="preserve"> assist small to medium size businesses. </w:t>
      </w:r>
      <w:r w:rsidR="00FE7247" w:rsidRPr="001E23FF">
        <w:rPr>
          <w:rFonts w:ascii="Arial" w:hAnsi="Arial" w:cs="Arial"/>
          <w:sz w:val="24"/>
          <w:szCs w:val="24"/>
        </w:rPr>
        <w:t>The Covid 1</w:t>
      </w:r>
      <w:r w:rsidR="00A531F7" w:rsidRPr="001E23FF">
        <w:rPr>
          <w:rFonts w:ascii="Arial" w:hAnsi="Arial" w:cs="Arial"/>
          <w:sz w:val="24"/>
          <w:szCs w:val="24"/>
        </w:rPr>
        <w:t>9</w:t>
      </w:r>
      <w:r w:rsidR="00FE7247" w:rsidRPr="001E23FF">
        <w:rPr>
          <w:rFonts w:ascii="Arial" w:hAnsi="Arial" w:cs="Arial"/>
          <w:sz w:val="24"/>
          <w:szCs w:val="24"/>
        </w:rPr>
        <w:t xml:space="preserve"> loan scheme demonstrated how, during periods of immense adversity, </w:t>
      </w:r>
      <w:r w:rsidR="00C01DF1" w:rsidRPr="001E23FF">
        <w:rPr>
          <w:rFonts w:ascii="Arial" w:hAnsi="Arial" w:cs="Arial"/>
          <w:sz w:val="24"/>
          <w:szCs w:val="24"/>
        </w:rPr>
        <w:t>public and private enterprises in South Africa could work together to</w:t>
      </w:r>
      <w:r w:rsidR="00A531F7" w:rsidRPr="001E23FF">
        <w:rPr>
          <w:rFonts w:ascii="Arial" w:hAnsi="Arial" w:cs="Arial"/>
          <w:sz w:val="24"/>
          <w:szCs w:val="24"/>
        </w:rPr>
        <w:t>wards</w:t>
      </w:r>
      <w:r w:rsidR="00C01DF1" w:rsidRPr="001E23FF">
        <w:rPr>
          <w:rFonts w:ascii="Arial" w:hAnsi="Arial" w:cs="Arial"/>
          <w:sz w:val="24"/>
          <w:szCs w:val="24"/>
        </w:rPr>
        <w:t xml:space="preserve"> the common good. </w:t>
      </w:r>
    </w:p>
    <w:p w14:paraId="5AC3BB73" w14:textId="229A7902" w:rsidR="00806305"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BE753B">
        <w:rPr>
          <w:rFonts w:ascii="Arial" w:hAnsi="Arial" w:cs="Arial"/>
          <w:sz w:val="24"/>
          <w:szCs w:val="24"/>
        </w:rPr>
        <w:t>2.</w:t>
      </w:r>
      <w:r w:rsidRPr="00BE753B">
        <w:rPr>
          <w:rFonts w:ascii="Arial" w:hAnsi="Arial" w:cs="Arial"/>
          <w:sz w:val="24"/>
          <w:szCs w:val="24"/>
        </w:rPr>
        <w:tab/>
      </w:r>
      <w:r w:rsidR="00BE753B" w:rsidRPr="001E23FF">
        <w:rPr>
          <w:rFonts w:ascii="Arial" w:hAnsi="Arial" w:cs="Arial"/>
          <w:sz w:val="24"/>
          <w:szCs w:val="24"/>
        </w:rPr>
        <w:t>W</w:t>
      </w:r>
      <w:r w:rsidR="00534EA2" w:rsidRPr="001E23FF">
        <w:rPr>
          <w:rFonts w:ascii="Arial" w:hAnsi="Arial" w:cs="Arial"/>
          <w:sz w:val="24"/>
          <w:szCs w:val="24"/>
        </w:rPr>
        <w:t xml:space="preserve">ith the pandemic now in the </w:t>
      </w:r>
      <w:r w:rsidR="003A0771" w:rsidRPr="001E23FF">
        <w:rPr>
          <w:rFonts w:ascii="Arial" w:hAnsi="Arial" w:cs="Arial"/>
          <w:sz w:val="24"/>
          <w:szCs w:val="24"/>
        </w:rPr>
        <w:t>rear-view</w:t>
      </w:r>
      <w:r w:rsidR="00534EA2" w:rsidRPr="001E23FF">
        <w:rPr>
          <w:rFonts w:ascii="Arial" w:hAnsi="Arial" w:cs="Arial"/>
          <w:sz w:val="24"/>
          <w:szCs w:val="24"/>
        </w:rPr>
        <w:t xml:space="preserve"> mirror, the proverbial chickens have come to roost for those who made use of the</w:t>
      </w:r>
      <w:r w:rsidR="00BE753B" w:rsidRPr="001E23FF">
        <w:rPr>
          <w:rFonts w:ascii="Arial" w:hAnsi="Arial" w:cs="Arial"/>
          <w:sz w:val="24"/>
          <w:szCs w:val="24"/>
        </w:rPr>
        <w:t xml:space="preserve"> erstwhile altruism</w:t>
      </w:r>
      <w:r w:rsidR="00D80136" w:rsidRPr="001E23FF">
        <w:rPr>
          <w:rFonts w:ascii="Arial" w:hAnsi="Arial" w:cs="Arial"/>
          <w:sz w:val="24"/>
          <w:szCs w:val="24"/>
        </w:rPr>
        <w:t xml:space="preserve"> of th</w:t>
      </w:r>
      <w:r w:rsidR="006B484C" w:rsidRPr="001E23FF">
        <w:rPr>
          <w:rFonts w:ascii="Arial" w:hAnsi="Arial" w:cs="Arial"/>
          <w:sz w:val="24"/>
          <w:szCs w:val="24"/>
        </w:rPr>
        <w:t>o</w:t>
      </w:r>
      <w:r w:rsidR="00D80136" w:rsidRPr="001E23FF">
        <w:rPr>
          <w:rFonts w:ascii="Arial" w:hAnsi="Arial" w:cs="Arial"/>
          <w:sz w:val="24"/>
          <w:szCs w:val="24"/>
        </w:rPr>
        <w:t>s</w:t>
      </w:r>
      <w:r w:rsidR="006B484C" w:rsidRPr="001E23FF">
        <w:rPr>
          <w:rFonts w:ascii="Arial" w:hAnsi="Arial" w:cs="Arial"/>
          <w:sz w:val="24"/>
          <w:szCs w:val="24"/>
        </w:rPr>
        <w:t>e</w:t>
      </w:r>
      <w:r w:rsidR="00D80136" w:rsidRPr="001E23FF">
        <w:rPr>
          <w:rFonts w:ascii="Arial" w:hAnsi="Arial" w:cs="Arial"/>
          <w:sz w:val="24"/>
          <w:szCs w:val="24"/>
        </w:rPr>
        <w:t xml:space="preserve"> private profit driven </w:t>
      </w:r>
      <w:r w:rsidR="006B484C" w:rsidRPr="001E23FF">
        <w:rPr>
          <w:rFonts w:ascii="Arial" w:hAnsi="Arial" w:cs="Arial"/>
          <w:sz w:val="24"/>
          <w:szCs w:val="24"/>
        </w:rPr>
        <w:t>institutions.</w:t>
      </w:r>
      <w:r w:rsidR="00141A74" w:rsidRPr="001E23FF">
        <w:rPr>
          <w:rFonts w:ascii="Arial" w:hAnsi="Arial" w:cs="Arial"/>
          <w:sz w:val="24"/>
          <w:szCs w:val="24"/>
        </w:rPr>
        <w:t xml:space="preserve"> The Respondent,</w:t>
      </w:r>
      <w:r w:rsidR="003564EA" w:rsidRPr="001E23FF">
        <w:rPr>
          <w:rFonts w:ascii="Arial" w:hAnsi="Arial" w:cs="Arial"/>
          <w:sz w:val="24"/>
          <w:szCs w:val="24"/>
        </w:rPr>
        <w:t xml:space="preserve"> </w:t>
      </w:r>
      <w:r w:rsidR="00141A74" w:rsidRPr="001E23FF">
        <w:rPr>
          <w:rFonts w:ascii="Arial" w:hAnsi="Arial" w:cs="Arial"/>
          <w:sz w:val="24"/>
          <w:szCs w:val="24"/>
        </w:rPr>
        <w:t>h</w:t>
      </w:r>
      <w:r w:rsidR="003564EA" w:rsidRPr="001E23FF">
        <w:rPr>
          <w:rFonts w:ascii="Arial" w:hAnsi="Arial" w:cs="Arial"/>
          <w:sz w:val="24"/>
          <w:szCs w:val="24"/>
        </w:rPr>
        <w:t>aving signed surety for</w:t>
      </w:r>
      <w:r w:rsidR="0074346A" w:rsidRPr="001E23FF">
        <w:rPr>
          <w:rFonts w:ascii="Arial" w:hAnsi="Arial" w:cs="Arial"/>
          <w:sz w:val="24"/>
          <w:szCs w:val="24"/>
        </w:rPr>
        <w:t xml:space="preserve"> such a loan </w:t>
      </w:r>
      <w:r w:rsidR="000D01E3" w:rsidRPr="001E23FF">
        <w:rPr>
          <w:rFonts w:ascii="Arial" w:hAnsi="Arial" w:cs="Arial"/>
          <w:sz w:val="24"/>
          <w:szCs w:val="24"/>
        </w:rPr>
        <w:t>obtained by the principal debtor</w:t>
      </w:r>
      <w:r w:rsidR="00233F54" w:rsidRPr="001E23FF">
        <w:rPr>
          <w:rFonts w:ascii="Arial" w:hAnsi="Arial" w:cs="Arial"/>
          <w:sz w:val="24"/>
          <w:szCs w:val="24"/>
        </w:rPr>
        <w:t xml:space="preserve"> (a closed corporation now in liquidation)</w:t>
      </w:r>
      <w:r w:rsidR="000D01E3" w:rsidRPr="001E23FF">
        <w:rPr>
          <w:rFonts w:ascii="Arial" w:hAnsi="Arial" w:cs="Arial"/>
          <w:sz w:val="24"/>
          <w:szCs w:val="24"/>
        </w:rPr>
        <w:t xml:space="preserve"> </w:t>
      </w:r>
      <w:r w:rsidR="00141A74" w:rsidRPr="001E23FF">
        <w:rPr>
          <w:rFonts w:ascii="Arial" w:hAnsi="Arial" w:cs="Arial"/>
          <w:sz w:val="24"/>
          <w:szCs w:val="24"/>
        </w:rPr>
        <w:t xml:space="preserve">is now held liable for the </w:t>
      </w:r>
      <w:r w:rsidR="00233F54" w:rsidRPr="001E23FF">
        <w:rPr>
          <w:rFonts w:ascii="Arial" w:hAnsi="Arial" w:cs="Arial"/>
          <w:sz w:val="24"/>
          <w:szCs w:val="24"/>
        </w:rPr>
        <w:t xml:space="preserve">debt by the Applicant. </w:t>
      </w:r>
    </w:p>
    <w:p w14:paraId="2D0E96B7" w14:textId="017788FB" w:rsidR="00BE753B"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9A6E2A">
        <w:rPr>
          <w:rFonts w:ascii="Arial" w:hAnsi="Arial" w:cs="Arial"/>
          <w:sz w:val="24"/>
          <w:szCs w:val="24"/>
        </w:rPr>
        <w:t>3.</w:t>
      </w:r>
      <w:r w:rsidRPr="009A6E2A">
        <w:rPr>
          <w:rFonts w:ascii="Arial" w:hAnsi="Arial" w:cs="Arial"/>
          <w:sz w:val="24"/>
          <w:szCs w:val="24"/>
        </w:rPr>
        <w:tab/>
      </w:r>
      <w:r w:rsidR="00BE753B" w:rsidRPr="001E23FF">
        <w:rPr>
          <w:rFonts w:ascii="Arial" w:hAnsi="Arial" w:cs="Arial"/>
          <w:sz w:val="24"/>
          <w:szCs w:val="24"/>
        </w:rPr>
        <w:t>However,</w:t>
      </w:r>
      <w:r w:rsidR="001A69C1" w:rsidRPr="001E23FF">
        <w:rPr>
          <w:rFonts w:ascii="Arial" w:hAnsi="Arial" w:cs="Arial"/>
          <w:sz w:val="24"/>
          <w:szCs w:val="24"/>
        </w:rPr>
        <w:t xml:space="preserve"> these being motion proceedings, true to form, </w:t>
      </w:r>
      <w:r w:rsidR="00192A13" w:rsidRPr="001E23FF">
        <w:rPr>
          <w:rFonts w:ascii="Arial" w:hAnsi="Arial" w:cs="Arial"/>
          <w:sz w:val="24"/>
          <w:szCs w:val="24"/>
        </w:rPr>
        <w:t>the</w:t>
      </w:r>
      <w:r w:rsidR="009A6E2A" w:rsidRPr="001E23FF">
        <w:rPr>
          <w:rFonts w:ascii="Arial" w:hAnsi="Arial" w:cs="Arial"/>
          <w:sz w:val="24"/>
          <w:szCs w:val="24"/>
        </w:rPr>
        <w:t>re are</w:t>
      </w:r>
      <w:r w:rsidR="00192A13" w:rsidRPr="001E23FF">
        <w:rPr>
          <w:rFonts w:ascii="Arial" w:hAnsi="Arial" w:cs="Arial"/>
          <w:sz w:val="24"/>
          <w:szCs w:val="24"/>
        </w:rPr>
        <w:t xml:space="preserve"> points in limine raised </w:t>
      </w:r>
      <w:r w:rsidR="00621E09" w:rsidRPr="001E23FF">
        <w:rPr>
          <w:rFonts w:ascii="Arial" w:hAnsi="Arial" w:cs="Arial"/>
          <w:sz w:val="24"/>
          <w:szCs w:val="24"/>
        </w:rPr>
        <w:t xml:space="preserve">that </w:t>
      </w:r>
      <w:r w:rsidR="00192A13" w:rsidRPr="001E23FF">
        <w:rPr>
          <w:rFonts w:ascii="Arial" w:hAnsi="Arial" w:cs="Arial"/>
          <w:sz w:val="24"/>
          <w:szCs w:val="24"/>
        </w:rPr>
        <w:t>need to be disposed of</w:t>
      </w:r>
      <w:r w:rsidR="00BE753B" w:rsidRPr="001E23FF">
        <w:rPr>
          <w:rFonts w:ascii="Arial" w:hAnsi="Arial" w:cs="Arial"/>
          <w:sz w:val="24"/>
          <w:szCs w:val="24"/>
        </w:rPr>
        <w:t xml:space="preserve"> </w:t>
      </w:r>
      <w:r w:rsidR="00F7404B" w:rsidRPr="001E23FF">
        <w:rPr>
          <w:rFonts w:ascii="Arial" w:hAnsi="Arial" w:cs="Arial"/>
          <w:sz w:val="24"/>
          <w:szCs w:val="24"/>
        </w:rPr>
        <w:t>before the Court is called upon to</w:t>
      </w:r>
      <w:r w:rsidR="00012C40" w:rsidRPr="001E23FF">
        <w:rPr>
          <w:rFonts w:ascii="Arial" w:hAnsi="Arial" w:cs="Arial"/>
          <w:sz w:val="24"/>
          <w:szCs w:val="24"/>
        </w:rPr>
        <w:t xml:space="preserve"> delve into the substantial arguments of this matter</w:t>
      </w:r>
      <w:r w:rsidR="00192A13" w:rsidRPr="001E23FF">
        <w:rPr>
          <w:rFonts w:ascii="Arial" w:hAnsi="Arial" w:cs="Arial"/>
          <w:sz w:val="24"/>
          <w:szCs w:val="24"/>
        </w:rPr>
        <w:t>.</w:t>
      </w:r>
      <w:r w:rsidR="00F419AA" w:rsidRPr="001E23FF">
        <w:rPr>
          <w:rFonts w:ascii="Arial" w:hAnsi="Arial" w:cs="Arial"/>
          <w:sz w:val="24"/>
          <w:szCs w:val="24"/>
        </w:rPr>
        <w:t xml:space="preserve"> </w:t>
      </w:r>
    </w:p>
    <w:p w14:paraId="7DEBDC4C" w14:textId="26253B71" w:rsidR="009A6E2A" w:rsidRPr="009A6E2A" w:rsidRDefault="009A6E2A" w:rsidP="009A6E2A">
      <w:pPr>
        <w:tabs>
          <w:tab w:val="right" w:pos="8208"/>
        </w:tabs>
        <w:spacing w:before="60" w:afterLines="60" w:after="144" w:line="480" w:lineRule="auto"/>
        <w:jc w:val="both"/>
        <w:rPr>
          <w:rFonts w:ascii="Arial" w:hAnsi="Arial" w:cs="Arial"/>
          <w:b/>
          <w:bCs/>
          <w:sz w:val="24"/>
          <w:szCs w:val="24"/>
        </w:rPr>
      </w:pPr>
      <w:r>
        <w:rPr>
          <w:rFonts w:ascii="Arial" w:hAnsi="Arial" w:cs="Arial"/>
          <w:b/>
          <w:bCs/>
          <w:sz w:val="24"/>
          <w:szCs w:val="24"/>
        </w:rPr>
        <w:t>POINT IN LIMINE</w:t>
      </w:r>
    </w:p>
    <w:p w14:paraId="4286105E" w14:textId="78D85514" w:rsidR="003564EA"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C41254">
        <w:rPr>
          <w:rFonts w:ascii="Arial" w:hAnsi="Arial" w:cs="Arial"/>
          <w:sz w:val="24"/>
          <w:szCs w:val="24"/>
        </w:rPr>
        <w:t>4.</w:t>
      </w:r>
      <w:r w:rsidRPr="00C41254">
        <w:rPr>
          <w:rFonts w:ascii="Arial" w:hAnsi="Arial" w:cs="Arial"/>
          <w:sz w:val="24"/>
          <w:szCs w:val="24"/>
        </w:rPr>
        <w:tab/>
      </w:r>
      <w:r w:rsidR="00AD2E81" w:rsidRPr="001E23FF">
        <w:rPr>
          <w:rFonts w:ascii="Arial" w:hAnsi="Arial" w:cs="Arial"/>
          <w:sz w:val="24"/>
          <w:szCs w:val="24"/>
        </w:rPr>
        <w:t xml:space="preserve">The Respondent has taken issue with </w:t>
      </w:r>
      <w:r w:rsidR="006A1D2A" w:rsidRPr="001E23FF">
        <w:rPr>
          <w:rFonts w:ascii="Arial" w:hAnsi="Arial" w:cs="Arial"/>
          <w:sz w:val="24"/>
          <w:szCs w:val="24"/>
        </w:rPr>
        <w:t>the virtual commissioning of the affidavit in support of summary judgment, as well as the assertion that the deponent had “personal knowledge” of the facts contained therein.</w:t>
      </w:r>
    </w:p>
    <w:p w14:paraId="5BC9C150" w14:textId="1B4FA026" w:rsidR="00C41254"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4757D4">
        <w:rPr>
          <w:rFonts w:ascii="Arial" w:hAnsi="Arial" w:cs="Arial"/>
          <w:sz w:val="24"/>
          <w:szCs w:val="24"/>
        </w:rPr>
        <w:t>5.</w:t>
      </w:r>
      <w:r w:rsidRPr="004757D4">
        <w:rPr>
          <w:rFonts w:ascii="Arial" w:hAnsi="Arial" w:cs="Arial"/>
          <w:sz w:val="24"/>
          <w:szCs w:val="24"/>
        </w:rPr>
        <w:tab/>
      </w:r>
      <w:r w:rsidR="000B2643" w:rsidRPr="001E23FF">
        <w:rPr>
          <w:rFonts w:ascii="Arial" w:hAnsi="Arial" w:cs="Arial"/>
          <w:sz w:val="24"/>
          <w:szCs w:val="24"/>
        </w:rPr>
        <w:t xml:space="preserve">As to the latter, the </w:t>
      </w:r>
      <w:r w:rsidR="009236EE" w:rsidRPr="001E23FF">
        <w:rPr>
          <w:rFonts w:ascii="Arial" w:hAnsi="Arial" w:cs="Arial"/>
          <w:sz w:val="24"/>
          <w:szCs w:val="24"/>
        </w:rPr>
        <w:t xml:space="preserve">Respondent impugns the </w:t>
      </w:r>
      <w:r w:rsidR="00EA29CD" w:rsidRPr="001E23FF">
        <w:rPr>
          <w:rFonts w:ascii="Arial" w:hAnsi="Arial" w:cs="Arial"/>
          <w:sz w:val="24"/>
          <w:szCs w:val="24"/>
        </w:rPr>
        <w:t xml:space="preserve">assertion that the deponent has personal knowledge of the facts stated on the basis </w:t>
      </w:r>
      <w:r w:rsidR="00A6775D" w:rsidRPr="001E23FF">
        <w:rPr>
          <w:rFonts w:ascii="Arial" w:hAnsi="Arial" w:cs="Arial"/>
          <w:sz w:val="24"/>
          <w:szCs w:val="24"/>
        </w:rPr>
        <w:t xml:space="preserve">that </w:t>
      </w:r>
      <w:r w:rsidR="00EA29CD" w:rsidRPr="001E23FF">
        <w:rPr>
          <w:rFonts w:ascii="Arial" w:hAnsi="Arial" w:cs="Arial"/>
          <w:sz w:val="24"/>
          <w:szCs w:val="24"/>
        </w:rPr>
        <w:t>the</w:t>
      </w:r>
      <w:r w:rsidR="003B363D" w:rsidRPr="001E23FF">
        <w:rPr>
          <w:rFonts w:ascii="Arial" w:hAnsi="Arial" w:cs="Arial"/>
          <w:sz w:val="24"/>
          <w:szCs w:val="24"/>
        </w:rPr>
        <w:t xml:space="preserve"> due</w:t>
      </w:r>
      <w:r w:rsidR="00EA29CD" w:rsidRPr="001E23FF">
        <w:rPr>
          <w:rFonts w:ascii="Arial" w:hAnsi="Arial" w:cs="Arial"/>
          <w:sz w:val="24"/>
          <w:szCs w:val="24"/>
        </w:rPr>
        <w:t xml:space="preserve"> amount</w:t>
      </w:r>
      <w:r w:rsidR="003B363D" w:rsidRPr="001E23FF">
        <w:rPr>
          <w:rFonts w:ascii="Arial" w:hAnsi="Arial" w:cs="Arial"/>
          <w:sz w:val="24"/>
          <w:szCs w:val="24"/>
        </w:rPr>
        <w:t xml:space="preserve"> and the interest rate </w:t>
      </w:r>
      <w:r w:rsidR="00A6775D" w:rsidRPr="001E23FF">
        <w:rPr>
          <w:rFonts w:ascii="Arial" w:hAnsi="Arial" w:cs="Arial"/>
          <w:sz w:val="24"/>
          <w:szCs w:val="24"/>
        </w:rPr>
        <w:t>applicable differs between the particulars of claim and th</w:t>
      </w:r>
      <w:r w:rsidR="00AD396E" w:rsidRPr="001E23FF">
        <w:rPr>
          <w:rFonts w:ascii="Arial" w:hAnsi="Arial" w:cs="Arial"/>
          <w:sz w:val="24"/>
          <w:szCs w:val="24"/>
        </w:rPr>
        <w:t xml:space="preserve">ose stated in the summary judgment application. </w:t>
      </w:r>
      <w:r w:rsidR="00CE2EEB" w:rsidRPr="001E23FF">
        <w:rPr>
          <w:rFonts w:ascii="Arial" w:hAnsi="Arial" w:cs="Arial"/>
          <w:sz w:val="24"/>
          <w:szCs w:val="24"/>
        </w:rPr>
        <w:t xml:space="preserve">I am satisfied that </w:t>
      </w:r>
      <w:r w:rsidR="001C3CFC" w:rsidRPr="001E23FF">
        <w:rPr>
          <w:rFonts w:ascii="Arial" w:hAnsi="Arial" w:cs="Arial"/>
          <w:sz w:val="24"/>
          <w:szCs w:val="24"/>
        </w:rPr>
        <w:t xml:space="preserve">these differences are not </w:t>
      </w:r>
      <w:r w:rsidR="008008C3" w:rsidRPr="001E23FF">
        <w:rPr>
          <w:rFonts w:ascii="Arial" w:hAnsi="Arial" w:cs="Arial"/>
          <w:sz w:val="24"/>
          <w:szCs w:val="24"/>
        </w:rPr>
        <w:t xml:space="preserve">material. The amount claimed in the particulars of claim is the total amount due by the principal debtor, whilst </w:t>
      </w:r>
      <w:r w:rsidR="00B6211C" w:rsidRPr="001E23FF">
        <w:rPr>
          <w:rFonts w:ascii="Arial" w:hAnsi="Arial" w:cs="Arial"/>
          <w:sz w:val="24"/>
          <w:szCs w:val="24"/>
        </w:rPr>
        <w:t>that in the summary judgment application constitutes the upper limit of liability of the Respondent in terms</w:t>
      </w:r>
      <w:r w:rsidR="00A8583C" w:rsidRPr="001E23FF">
        <w:rPr>
          <w:rFonts w:ascii="Arial" w:hAnsi="Arial" w:cs="Arial"/>
          <w:sz w:val="24"/>
          <w:szCs w:val="24"/>
        </w:rPr>
        <w:t xml:space="preserve"> </w:t>
      </w:r>
      <w:r w:rsidR="00B6211C" w:rsidRPr="001E23FF">
        <w:rPr>
          <w:rFonts w:ascii="Arial" w:hAnsi="Arial" w:cs="Arial"/>
          <w:sz w:val="24"/>
          <w:szCs w:val="24"/>
        </w:rPr>
        <w:t xml:space="preserve">of the suretyship </w:t>
      </w:r>
      <w:r w:rsidR="00B6211C" w:rsidRPr="001E23FF">
        <w:rPr>
          <w:rFonts w:ascii="Arial" w:hAnsi="Arial" w:cs="Arial"/>
          <w:sz w:val="24"/>
          <w:szCs w:val="24"/>
        </w:rPr>
        <w:lastRenderedPageBreak/>
        <w:t>agreement. Similarly</w:t>
      </w:r>
      <w:r w:rsidR="00B3547B" w:rsidRPr="001E23FF">
        <w:rPr>
          <w:rFonts w:ascii="Arial" w:hAnsi="Arial" w:cs="Arial"/>
          <w:sz w:val="24"/>
          <w:szCs w:val="24"/>
        </w:rPr>
        <w:t>,</w:t>
      </w:r>
      <w:r w:rsidR="00B6211C" w:rsidRPr="001E23FF">
        <w:rPr>
          <w:rFonts w:ascii="Arial" w:hAnsi="Arial" w:cs="Arial"/>
          <w:sz w:val="24"/>
          <w:szCs w:val="24"/>
        </w:rPr>
        <w:t xml:space="preserve"> the</w:t>
      </w:r>
      <w:r w:rsidR="00A8583C" w:rsidRPr="001E23FF">
        <w:rPr>
          <w:rFonts w:ascii="Arial" w:hAnsi="Arial" w:cs="Arial"/>
          <w:sz w:val="24"/>
          <w:szCs w:val="24"/>
        </w:rPr>
        <w:t xml:space="preserve"> differences in</w:t>
      </w:r>
      <w:r w:rsidR="00B6211C" w:rsidRPr="001E23FF">
        <w:rPr>
          <w:rFonts w:ascii="Arial" w:hAnsi="Arial" w:cs="Arial"/>
          <w:sz w:val="24"/>
          <w:szCs w:val="24"/>
        </w:rPr>
        <w:t xml:space="preserve"> interest </w:t>
      </w:r>
      <w:r w:rsidR="00A8583C" w:rsidRPr="001E23FF">
        <w:rPr>
          <w:rFonts w:ascii="Arial" w:hAnsi="Arial" w:cs="Arial"/>
          <w:sz w:val="24"/>
          <w:szCs w:val="24"/>
        </w:rPr>
        <w:t xml:space="preserve">rate are due to the </w:t>
      </w:r>
      <w:r w:rsidR="00826F87" w:rsidRPr="001E23FF">
        <w:rPr>
          <w:rFonts w:ascii="Arial" w:hAnsi="Arial" w:cs="Arial"/>
          <w:sz w:val="24"/>
          <w:szCs w:val="24"/>
        </w:rPr>
        <w:t xml:space="preserve">lapse of time between the issuing of summons and the </w:t>
      </w:r>
      <w:r w:rsidR="0004673F" w:rsidRPr="001E23FF">
        <w:rPr>
          <w:rFonts w:ascii="Arial" w:hAnsi="Arial" w:cs="Arial"/>
          <w:sz w:val="24"/>
          <w:szCs w:val="24"/>
        </w:rPr>
        <w:t xml:space="preserve">application for summary judgment. None of these issues are material, nor do they </w:t>
      </w:r>
      <w:r w:rsidR="002D6705" w:rsidRPr="001E23FF">
        <w:rPr>
          <w:rFonts w:ascii="Arial" w:hAnsi="Arial" w:cs="Arial"/>
          <w:sz w:val="24"/>
          <w:szCs w:val="24"/>
        </w:rPr>
        <w:t>affect the underlying causa of the claim.</w:t>
      </w:r>
      <w:r w:rsidR="002C34E3" w:rsidRPr="001E23FF">
        <w:rPr>
          <w:rFonts w:ascii="Arial" w:hAnsi="Arial" w:cs="Arial"/>
          <w:sz w:val="24"/>
          <w:szCs w:val="24"/>
        </w:rPr>
        <w:t xml:space="preserve"> Th</w:t>
      </w:r>
      <w:r w:rsidR="00924814" w:rsidRPr="001E23FF">
        <w:rPr>
          <w:rFonts w:ascii="Arial" w:hAnsi="Arial" w:cs="Arial"/>
          <w:sz w:val="24"/>
          <w:szCs w:val="24"/>
        </w:rPr>
        <w:t>is objection is meritless and stands to be dismissed.</w:t>
      </w:r>
    </w:p>
    <w:p w14:paraId="2DE60927" w14:textId="0B4F1AF3" w:rsidR="00F64CEC"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452A51">
        <w:rPr>
          <w:rFonts w:ascii="Arial" w:hAnsi="Arial" w:cs="Arial"/>
          <w:sz w:val="24"/>
          <w:szCs w:val="24"/>
        </w:rPr>
        <w:t>6.</w:t>
      </w:r>
      <w:r w:rsidRPr="00452A51">
        <w:rPr>
          <w:rFonts w:ascii="Arial" w:hAnsi="Arial" w:cs="Arial"/>
          <w:sz w:val="24"/>
          <w:szCs w:val="24"/>
        </w:rPr>
        <w:tab/>
      </w:r>
      <w:r w:rsidR="002A4FEA" w:rsidRPr="001E23FF">
        <w:rPr>
          <w:rFonts w:ascii="Arial" w:hAnsi="Arial" w:cs="Arial"/>
          <w:sz w:val="24"/>
          <w:szCs w:val="24"/>
        </w:rPr>
        <w:t>The objection to the virtual commissioning of the affidavit</w:t>
      </w:r>
      <w:r w:rsidR="002E25C5" w:rsidRPr="001E23FF">
        <w:rPr>
          <w:rFonts w:ascii="Arial" w:hAnsi="Arial" w:cs="Arial"/>
          <w:sz w:val="24"/>
          <w:szCs w:val="24"/>
        </w:rPr>
        <w:t xml:space="preserve">, on the other hand, requires </w:t>
      </w:r>
      <w:r w:rsidR="00F64CEC" w:rsidRPr="001E23FF">
        <w:rPr>
          <w:rFonts w:ascii="Arial" w:hAnsi="Arial" w:cs="Arial"/>
          <w:sz w:val="24"/>
          <w:szCs w:val="24"/>
        </w:rPr>
        <w:t xml:space="preserve">a more </w:t>
      </w:r>
      <w:r w:rsidR="008B49EE" w:rsidRPr="001E23FF">
        <w:rPr>
          <w:rFonts w:ascii="Arial" w:hAnsi="Arial" w:cs="Arial"/>
          <w:sz w:val="24"/>
          <w:szCs w:val="24"/>
        </w:rPr>
        <w:t>in-depth</w:t>
      </w:r>
      <w:r w:rsidR="00F64CEC" w:rsidRPr="001E23FF">
        <w:rPr>
          <w:rFonts w:ascii="Arial" w:hAnsi="Arial" w:cs="Arial"/>
          <w:sz w:val="24"/>
          <w:szCs w:val="24"/>
        </w:rPr>
        <w:t xml:space="preserve"> analysis.</w:t>
      </w:r>
    </w:p>
    <w:p w14:paraId="5CF90B40" w14:textId="400EDB62" w:rsidR="004757D4"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B011E6">
        <w:rPr>
          <w:rFonts w:ascii="Arial" w:hAnsi="Arial" w:cs="Arial"/>
          <w:sz w:val="24"/>
          <w:szCs w:val="24"/>
        </w:rPr>
        <w:t>7.</w:t>
      </w:r>
      <w:r w:rsidRPr="00B011E6">
        <w:rPr>
          <w:rFonts w:ascii="Arial" w:hAnsi="Arial" w:cs="Arial"/>
          <w:sz w:val="24"/>
          <w:szCs w:val="24"/>
        </w:rPr>
        <w:tab/>
      </w:r>
      <w:r w:rsidR="005E7BA3" w:rsidRPr="001E23FF">
        <w:rPr>
          <w:rFonts w:ascii="Arial" w:hAnsi="Arial" w:cs="Arial"/>
          <w:sz w:val="24"/>
          <w:szCs w:val="24"/>
        </w:rPr>
        <w:t>It is common cause that the affidavit was commissioned virtually or “remotely”</w:t>
      </w:r>
      <w:r w:rsidR="00912EEF" w:rsidRPr="001E23FF">
        <w:rPr>
          <w:rFonts w:ascii="Arial" w:hAnsi="Arial" w:cs="Arial"/>
          <w:sz w:val="24"/>
          <w:szCs w:val="24"/>
        </w:rPr>
        <w:t xml:space="preserve">; i.e the Commissioner of Oaths and the deponent were not physically in </w:t>
      </w:r>
      <w:r w:rsidR="008B49EE" w:rsidRPr="001E23FF">
        <w:rPr>
          <w:rFonts w:ascii="Arial" w:hAnsi="Arial" w:cs="Arial"/>
          <w:sz w:val="24"/>
          <w:szCs w:val="24"/>
        </w:rPr>
        <w:t>each other’s</w:t>
      </w:r>
      <w:r w:rsidR="00912EEF" w:rsidRPr="001E23FF">
        <w:rPr>
          <w:rFonts w:ascii="Arial" w:hAnsi="Arial" w:cs="Arial"/>
          <w:sz w:val="24"/>
          <w:szCs w:val="24"/>
        </w:rPr>
        <w:t xml:space="preserve"> presence</w:t>
      </w:r>
      <w:r w:rsidR="006266EC" w:rsidRPr="001E23FF">
        <w:rPr>
          <w:rFonts w:ascii="Arial" w:hAnsi="Arial" w:cs="Arial"/>
          <w:sz w:val="24"/>
          <w:szCs w:val="24"/>
        </w:rPr>
        <w:t xml:space="preserve">, but were </w:t>
      </w:r>
      <w:r w:rsidR="009C0976" w:rsidRPr="001E23FF">
        <w:rPr>
          <w:rFonts w:ascii="Arial" w:hAnsi="Arial" w:cs="Arial"/>
          <w:sz w:val="24"/>
          <w:szCs w:val="24"/>
        </w:rPr>
        <w:t xml:space="preserve">“face to face” </w:t>
      </w:r>
      <w:r w:rsidR="00FC20E6" w:rsidRPr="001E23FF">
        <w:rPr>
          <w:rFonts w:ascii="Arial" w:hAnsi="Arial" w:cs="Arial"/>
          <w:sz w:val="24"/>
          <w:szCs w:val="24"/>
        </w:rPr>
        <w:t xml:space="preserve">via an on-line </w:t>
      </w:r>
      <w:r w:rsidR="00EE1266" w:rsidRPr="001E23FF">
        <w:rPr>
          <w:rFonts w:ascii="Arial" w:hAnsi="Arial" w:cs="Arial"/>
          <w:sz w:val="24"/>
          <w:szCs w:val="24"/>
        </w:rPr>
        <w:t>platform</w:t>
      </w:r>
      <w:r w:rsidR="009C0976" w:rsidRPr="001E23FF">
        <w:rPr>
          <w:rFonts w:ascii="Arial" w:hAnsi="Arial" w:cs="Arial"/>
          <w:sz w:val="24"/>
          <w:szCs w:val="24"/>
        </w:rPr>
        <w:t xml:space="preserve"> when the oath was taken and the commissioning was done. </w:t>
      </w:r>
    </w:p>
    <w:p w14:paraId="40F50305" w14:textId="70C64E94" w:rsidR="00B011E6"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C009DB">
        <w:rPr>
          <w:rFonts w:ascii="Arial" w:hAnsi="Arial" w:cs="Arial"/>
          <w:sz w:val="24"/>
          <w:szCs w:val="24"/>
        </w:rPr>
        <w:t>8.</w:t>
      </w:r>
      <w:r w:rsidRPr="00C009DB">
        <w:rPr>
          <w:rFonts w:ascii="Arial" w:hAnsi="Arial" w:cs="Arial"/>
          <w:sz w:val="24"/>
          <w:szCs w:val="24"/>
        </w:rPr>
        <w:tab/>
      </w:r>
      <w:r w:rsidR="00C75A07" w:rsidRPr="001E23FF">
        <w:rPr>
          <w:rFonts w:ascii="Arial" w:hAnsi="Arial" w:cs="Arial"/>
          <w:sz w:val="24"/>
          <w:szCs w:val="24"/>
        </w:rPr>
        <w:t>Regulation 3</w:t>
      </w:r>
      <w:r w:rsidR="00283E3A" w:rsidRPr="001E23FF">
        <w:rPr>
          <w:rFonts w:ascii="Arial" w:hAnsi="Arial" w:cs="Arial"/>
          <w:sz w:val="24"/>
          <w:szCs w:val="24"/>
        </w:rPr>
        <w:t>(1)</w:t>
      </w:r>
      <w:r w:rsidR="00C75A07" w:rsidRPr="001E23FF">
        <w:rPr>
          <w:rFonts w:ascii="Arial" w:hAnsi="Arial" w:cs="Arial"/>
          <w:sz w:val="24"/>
          <w:szCs w:val="24"/>
        </w:rPr>
        <w:t xml:space="preserve"> of the </w:t>
      </w:r>
      <w:r w:rsidR="00C75A07" w:rsidRPr="001E23FF">
        <w:rPr>
          <w:rFonts w:ascii="Arial" w:hAnsi="Arial" w:cs="Arial"/>
          <w:i/>
          <w:iCs/>
          <w:sz w:val="24"/>
          <w:szCs w:val="24"/>
        </w:rPr>
        <w:t>Regulations Governing the Administering of an Oath or Affirmation</w:t>
      </w:r>
      <w:r w:rsidR="00283E3A" w:rsidRPr="001E23FF">
        <w:rPr>
          <w:rFonts w:ascii="Arial" w:hAnsi="Arial" w:cs="Arial"/>
          <w:i/>
          <w:iCs/>
          <w:sz w:val="24"/>
          <w:szCs w:val="24"/>
        </w:rPr>
        <w:t xml:space="preserve">, </w:t>
      </w:r>
      <w:r w:rsidR="002D0091" w:rsidRPr="001E23FF">
        <w:rPr>
          <w:rFonts w:ascii="Arial" w:hAnsi="Arial" w:cs="Arial"/>
          <w:sz w:val="24"/>
          <w:szCs w:val="24"/>
        </w:rPr>
        <w:t xml:space="preserve">requires that the deponent sign the affidavit in the presence of the commissioner. Having last been updated in 1982, it is no wonder that it </w:t>
      </w:r>
      <w:r w:rsidR="00283E3A" w:rsidRPr="001E23FF">
        <w:rPr>
          <w:rFonts w:ascii="Arial" w:hAnsi="Arial" w:cs="Arial"/>
          <w:sz w:val="24"/>
          <w:szCs w:val="24"/>
        </w:rPr>
        <w:t xml:space="preserve">does not </w:t>
      </w:r>
      <w:r w:rsidR="00852BA9" w:rsidRPr="001E23FF">
        <w:rPr>
          <w:rFonts w:ascii="Arial" w:hAnsi="Arial" w:cs="Arial"/>
          <w:sz w:val="24"/>
          <w:szCs w:val="24"/>
        </w:rPr>
        <w:t xml:space="preserve">contemplate </w:t>
      </w:r>
      <w:r w:rsidR="00C6530E" w:rsidRPr="001E23FF">
        <w:rPr>
          <w:rFonts w:ascii="Arial" w:hAnsi="Arial" w:cs="Arial"/>
          <w:sz w:val="24"/>
          <w:szCs w:val="24"/>
        </w:rPr>
        <w:t>virtual platforms as being “in the presence of”.</w:t>
      </w:r>
    </w:p>
    <w:p w14:paraId="59DCBA4C" w14:textId="6C00CB6E" w:rsidR="00C009DB"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A40EA2">
        <w:rPr>
          <w:rFonts w:ascii="Arial" w:hAnsi="Arial" w:cs="Arial"/>
          <w:sz w:val="24"/>
          <w:szCs w:val="24"/>
        </w:rPr>
        <w:t>9.</w:t>
      </w:r>
      <w:r w:rsidRPr="00A40EA2">
        <w:rPr>
          <w:rFonts w:ascii="Arial" w:hAnsi="Arial" w:cs="Arial"/>
          <w:sz w:val="24"/>
          <w:szCs w:val="24"/>
        </w:rPr>
        <w:tab/>
      </w:r>
      <w:r w:rsidR="00C009DB" w:rsidRPr="001E23FF">
        <w:rPr>
          <w:rFonts w:ascii="Arial" w:hAnsi="Arial" w:cs="Arial"/>
          <w:sz w:val="24"/>
          <w:szCs w:val="24"/>
        </w:rPr>
        <w:t xml:space="preserve">It was, in fact the Covid-19 pandemic that brought </w:t>
      </w:r>
      <w:r w:rsidR="001C24DF" w:rsidRPr="001E23FF">
        <w:rPr>
          <w:rFonts w:ascii="Arial" w:hAnsi="Arial" w:cs="Arial"/>
          <w:sz w:val="24"/>
          <w:szCs w:val="24"/>
        </w:rPr>
        <w:t>the</w:t>
      </w:r>
      <w:r w:rsidR="006C6693" w:rsidRPr="001E23FF">
        <w:rPr>
          <w:rFonts w:ascii="Arial" w:hAnsi="Arial" w:cs="Arial"/>
          <w:sz w:val="24"/>
          <w:szCs w:val="24"/>
        </w:rPr>
        <w:t xml:space="preserve"> utility o</w:t>
      </w:r>
      <w:r w:rsidR="004B00B5" w:rsidRPr="001E23FF">
        <w:rPr>
          <w:rFonts w:ascii="Arial" w:hAnsi="Arial" w:cs="Arial"/>
          <w:sz w:val="24"/>
          <w:szCs w:val="24"/>
        </w:rPr>
        <w:t xml:space="preserve">f virtual platforms to </w:t>
      </w:r>
      <w:r w:rsidR="001C24DF" w:rsidRPr="001E23FF">
        <w:rPr>
          <w:rFonts w:ascii="Arial" w:hAnsi="Arial" w:cs="Arial"/>
          <w:sz w:val="24"/>
          <w:szCs w:val="24"/>
        </w:rPr>
        <w:t>conduct business</w:t>
      </w:r>
      <w:r w:rsidR="001C5F9A" w:rsidRPr="001E23FF">
        <w:rPr>
          <w:rFonts w:ascii="Arial" w:hAnsi="Arial" w:cs="Arial"/>
          <w:sz w:val="24"/>
          <w:szCs w:val="24"/>
        </w:rPr>
        <w:t xml:space="preserve">, social </w:t>
      </w:r>
      <w:r w:rsidR="001C24DF" w:rsidRPr="001E23FF">
        <w:rPr>
          <w:rFonts w:ascii="Arial" w:hAnsi="Arial" w:cs="Arial"/>
          <w:sz w:val="24"/>
          <w:szCs w:val="24"/>
        </w:rPr>
        <w:t>communication</w:t>
      </w:r>
      <w:r w:rsidR="001C5F9A" w:rsidRPr="001E23FF">
        <w:rPr>
          <w:rFonts w:ascii="Arial" w:hAnsi="Arial" w:cs="Arial"/>
          <w:sz w:val="24"/>
          <w:szCs w:val="24"/>
        </w:rPr>
        <w:t xml:space="preserve"> and even, court proceedings, firmly within the sphere of universal </w:t>
      </w:r>
      <w:r w:rsidR="0076099E" w:rsidRPr="001E23FF">
        <w:rPr>
          <w:rFonts w:ascii="Arial" w:hAnsi="Arial" w:cs="Arial"/>
          <w:sz w:val="24"/>
          <w:szCs w:val="24"/>
        </w:rPr>
        <w:t>experience</w:t>
      </w:r>
      <w:r w:rsidR="005C28AE" w:rsidRPr="001E23FF">
        <w:rPr>
          <w:rFonts w:ascii="Arial" w:hAnsi="Arial" w:cs="Arial"/>
          <w:sz w:val="24"/>
          <w:szCs w:val="24"/>
        </w:rPr>
        <w:t xml:space="preserve">. </w:t>
      </w:r>
      <w:r w:rsidR="00655CBB" w:rsidRPr="001E23FF">
        <w:rPr>
          <w:rFonts w:ascii="Arial" w:hAnsi="Arial" w:cs="Arial"/>
          <w:sz w:val="24"/>
          <w:szCs w:val="24"/>
        </w:rPr>
        <w:t xml:space="preserve"> It is within the context of that pandemic that Goossen AJ </w:t>
      </w:r>
      <w:r w:rsidR="000D7014" w:rsidRPr="001E23FF">
        <w:rPr>
          <w:rFonts w:ascii="Arial" w:hAnsi="Arial" w:cs="Arial"/>
          <w:sz w:val="24"/>
          <w:szCs w:val="24"/>
        </w:rPr>
        <w:t>wrote the judgment in the</w:t>
      </w:r>
      <w:r w:rsidR="00A40EA2" w:rsidRPr="001E23FF">
        <w:rPr>
          <w:rFonts w:ascii="Arial" w:hAnsi="Arial" w:cs="Arial"/>
          <w:sz w:val="24"/>
          <w:szCs w:val="24"/>
        </w:rPr>
        <w:t>,</w:t>
      </w:r>
      <w:r w:rsidR="000D7014" w:rsidRPr="001E23FF">
        <w:rPr>
          <w:rFonts w:ascii="Arial" w:hAnsi="Arial" w:cs="Arial"/>
          <w:sz w:val="24"/>
          <w:szCs w:val="24"/>
        </w:rPr>
        <w:t xml:space="preserve"> </w:t>
      </w:r>
      <w:r w:rsidR="00A40EA2" w:rsidRPr="001E23FF">
        <w:rPr>
          <w:rFonts w:ascii="Arial" w:hAnsi="Arial" w:cs="Arial"/>
          <w:sz w:val="24"/>
          <w:szCs w:val="24"/>
        </w:rPr>
        <w:t xml:space="preserve">now much abused, matter of </w:t>
      </w:r>
      <w:r w:rsidR="00AC1073" w:rsidRPr="001E23FF">
        <w:rPr>
          <w:rFonts w:ascii="Arial" w:hAnsi="Arial" w:cs="Arial"/>
          <w:i/>
          <w:iCs/>
          <w:sz w:val="24"/>
          <w:szCs w:val="24"/>
        </w:rPr>
        <w:t>Firstrand Bank Limited v Briedenhann</w:t>
      </w:r>
      <w:r w:rsidR="00AC1073">
        <w:rPr>
          <w:rStyle w:val="FootnoteReference"/>
          <w:rFonts w:ascii="Arial" w:hAnsi="Arial" w:cs="Arial"/>
          <w:i/>
          <w:iCs/>
          <w:sz w:val="24"/>
          <w:szCs w:val="24"/>
        </w:rPr>
        <w:footnoteReference w:id="1"/>
      </w:r>
      <w:r w:rsidR="00AC1073" w:rsidRPr="001E23FF">
        <w:rPr>
          <w:rFonts w:ascii="Arial" w:hAnsi="Arial" w:cs="Arial"/>
          <w:sz w:val="24"/>
          <w:szCs w:val="24"/>
        </w:rPr>
        <w:t xml:space="preserve"> (“</w:t>
      </w:r>
      <w:r w:rsidR="00AC1073" w:rsidRPr="001E23FF">
        <w:rPr>
          <w:rFonts w:ascii="Arial" w:hAnsi="Arial" w:cs="Arial"/>
          <w:i/>
          <w:iCs/>
          <w:sz w:val="24"/>
          <w:szCs w:val="24"/>
        </w:rPr>
        <w:t>Briedenhann</w:t>
      </w:r>
      <w:r w:rsidR="00AC1073" w:rsidRPr="001E23FF">
        <w:rPr>
          <w:rFonts w:ascii="Arial" w:hAnsi="Arial" w:cs="Arial"/>
          <w:sz w:val="24"/>
          <w:szCs w:val="24"/>
        </w:rPr>
        <w:t>”)</w:t>
      </w:r>
      <w:r w:rsidR="000D7014" w:rsidRPr="001E23FF">
        <w:rPr>
          <w:rFonts w:ascii="Arial" w:hAnsi="Arial" w:cs="Arial"/>
          <w:sz w:val="24"/>
          <w:szCs w:val="24"/>
        </w:rPr>
        <w:t xml:space="preserve">. </w:t>
      </w:r>
    </w:p>
    <w:p w14:paraId="0FFE00C5" w14:textId="793988E9" w:rsidR="00A40EA2"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D4481B">
        <w:rPr>
          <w:rFonts w:ascii="Arial" w:hAnsi="Arial" w:cs="Arial"/>
          <w:sz w:val="24"/>
          <w:szCs w:val="24"/>
        </w:rPr>
        <w:t>10.</w:t>
      </w:r>
      <w:r w:rsidRPr="00D4481B">
        <w:rPr>
          <w:rFonts w:ascii="Arial" w:hAnsi="Arial" w:cs="Arial"/>
          <w:sz w:val="24"/>
          <w:szCs w:val="24"/>
        </w:rPr>
        <w:tab/>
      </w:r>
      <w:r w:rsidR="001B1C3D" w:rsidRPr="001E23FF">
        <w:rPr>
          <w:rFonts w:ascii="Arial" w:hAnsi="Arial" w:cs="Arial"/>
          <w:sz w:val="24"/>
          <w:szCs w:val="24"/>
        </w:rPr>
        <w:t xml:space="preserve">The Applicant </w:t>
      </w:r>
      <w:r w:rsidR="007963B2" w:rsidRPr="001E23FF">
        <w:rPr>
          <w:rFonts w:ascii="Arial" w:hAnsi="Arial" w:cs="Arial"/>
          <w:sz w:val="24"/>
          <w:szCs w:val="24"/>
        </w:rPr>
        <w:t xml:space="preserve">referred to the following passage in </w:t>
      </w:r>
      <w:r w:rsidR="007963B2" w:rsidRPr="001E23FF">
        <w:rPr>
          <w:rFonts w:ascii="Arial" w:hAnsi="Arial" w:cs="Arial"/>
          <w:i/>
          <w:iCs/>
          <w:sz w:val="24"/>
          <w:szCs w:val="24"/>
        </w:rPr>
        <w:t>Briedenhann</w:t>
      </w:r>
      <w:r w:rsidR="007963B2" w:rsidRPr="001E23FF">
        <w:rPr>
          <w:rFonts w:ascii="Arial" w:hAnsi="Arial" w:cs="Arial"/>
          <w:sz w:val="24"/>
          <w:szCs w:val="24"/>
        </w:rPr>
        <w:t>:</w:t>
      </w:r>
    </w:p>
    <w:p w14:paraId="66A3E795" w14:textId="781BEA5C" w:rsidR="00D4481B" w:rsidRPr="001032E9" w:rsidRDefault="00D4481B" w:rsidP="00D4481B">
      <w:pPr>
        <w:pStyle w:val="ListParagraph"/>
        <w:tabs>
          <w:tab w:val="right" w:pos="8208"/>
        </w:tabs>
        <w:spacing w:before="60" w:afterLines="60" w:after="144" w:line="360" w:lineRule="auto"/>
        <w:ind w:left="357"/>
        <w:jc w:val="both"/>
        <w:rPr>
          <w:rFonts w:ascii="Arial" w:hAnsi="Arial" w:cs="Arial"/>
          <w:sz w:val="24"/>
          <w:szCs w:val="24"/>
        </w:rPr>
      </w:pPr>
      <w:r>
        <w:rPr>
          <w:rFonts w:ascii="Arial" w:hAnsi="Arial" w:cs="Arial"/>
          <w:i/>
          <w:iCs/>
          <w:sz w:val="24"/>
          <w:szCs w:val="24"/>
        </w:rPr>
        <w:t>[</w:t>
      </w:r>
      <w:r w:rsidRPr="00D4481B">
        <w:rPr>
          <w:rFonts w:ascii="Arial" w:hAnsi="Arial" w:cs="Arial"/>
          <w:i/>
          <w:iCs/>
          <w:sz w:val="24"/>
          <w:szCs w:val="24"/>
        </w:rPr>
        <w:t>57</w:t>
      </w:r>
      <w:r>
        <w:rPr>
          <w:rFonts w:ascii="Arial" w:hAnsi="Arial" w:cs="Arial"/>
          <w:i/>
          <w:iCs/>
          <w:sz w:val="24"/>
          <w:szCs w:val="24"/>
        </w:rPr>
        <w:t>]</w:t>
      </w:r>
      <w:r w:rsidRPr="00D4481B">
        <w:rPr>
          <w:rFonts w:ascii="Arial" w:hAnsi="Arial" w:cs="Arial"/>
          <w:i/>
          <w:iCs/>
          <w:sz w:val="24"/>
          <w:szCs w:val="24"/>
        </w:rPr>
        <w:t xml:space="preserve"> There can be no doubt that the </w:t>
      </w:r>
      <w:r w:rsidRPr="002A3176">
        <w:rPr>
          <w:rFonts w:ascii="Arial" w:hAnsi="Arial" w:cs="Arial"/>
          <w:i/>
          <w:iCs/>
          <w:sz w:val="24"/>
          <w:szCs w:val="24"/>
          <w:u w:val="single"/>
        </w:rPr>
        <w:t>evidence placed before me</w:t>
      </w:r>
      <w:r w:rsidRPr="00D4481B">
        <w:rPr>
          <w:rFonts w:ascii="Arial" w:hAnsi="Arial" w:cs="Arial"/>
          <w:i/>
          <w:iCs/>
          <w:sz w:val="24"/>
          <w:szCs w:val="24"/>
        </w:rPr>
        <w:t xml:space="preserve"> establishes that the purposes of Regulation 3(1) have been met. </w:t>
      </w:r>
      <w:r w:rsidRPr="002A3176">
        <w:rPr>
          <w:rFonts w:ascii="Arial" w:hAnsi="Arial" w:cs="Arial"/>
          <w:i/>
          <w:iCs/>
          <w:sz w:val="24"/>
          <w:szCs w:val="24"/>
          <w:u w:val="single"/>
        </w:rPr>
        <w:t>To refuse to admit the affidavits would, of course, highlight the importance of adhering to the principle of the rule of law</w:t>
      </w:r>
      <w:r w:rsidRPr="00D4481B">
        <w:rPr>
          <w:rFonts w:ascii="Arial" w:hAnsi="Arial" w:cs="Arial"/>
          <w:i/>
          <w:iCs/>
          <w:sz w:val="24"/>
          <w:szCs w:val="24"/>
        </w:rPr>
        <w:t xml:space="preserve">. </w:t>
      </w:r>
      <w:r w:rsidRPr="002A3176">
        <w:rPr>
          <w:rFonts w:ascii="Arial" w:hAnsi="Arial" w:cs="Arial"/>
          <w:i/>
          <w:iCs/>
          <w:sz w:val="24"/>
          <w:szCs w:val="24"/>
          <w:u w:val="single"/>
        </w:rPr>
        <w:t>That point is, I believe, made plain in this judgment.</w:t>
      </w:r>
      <w:r w:rsidRPr="00D4481B">
        <w:rPr>
          <w:rFonts w:ascii="Arial" w:hAnsi="Arial" w:cs="Arial"/>
          <w:i/>
          <w:iCs/>
          <w:sz w:val="24"/>
          <w:szCs w:val="24"/>
        </w:rPr>
        <w:t xml:space="preserve"> To require the plaintiff to commence its application for </w:t>
      </w:r>
      <w:r w:rsidR="00284C2B" w:rsidRPr="00D4481B">
        <w:rPr>
          <w:rFonts w:ascii="Arial" w:hAnsi="Arial" w:cs="Arial"/>
          <w:i/>
          <w:iCs/>
          <w:sz w:val="24"/>
          <w:szCs w:val="24"/>
        </w:rPr>
        <w:t>default judgment</w:t>
      </w:r>
      <w:r w:rsidRPr="00D4481B">
        <w:rPr>
          <w:rFonts w:ascii="Arial" w:hAnsi="Arial" w:cs="Arial"/>
          <w:i/>
          <w:iCs/>
          <w:sz w:val="24"/>
          <w:szCs w:val="24"/>
        </w:rPr>
        <w:t xml:space="preserve"> afresh upon affidavits which would contain the same allegations but which are signed in the presence of a commissioner of oaths would </w:t>
      </w:r>
      <w:r w:rsidR="00284C2B" w:rsidRPr="00D4481B">
        <w:rPr>
          <w:rFonts w:ascii="Arial" w:hAnsi="Arial" w:cs="Arial"/>
          <w:i/>
          <w:iCs/>
          <w:sz w:val="24"/>
          <w:szCs w:val="24"/>
        </w:rPr>
        <w:t>not, in</w:t>
      </w:r>
      <w:r w:rsidRPr="00D4481B">
        <w:rPr>
          <w:rFonts w:ascii="Arial" w:hAnsi="Arial" w:cs="Arial"/>
          <w:i/>
          <w:iCs/>
          <w:sz w:val="24"/>
          <w:szCs w:val="24"/>
        </w:rPr>
        <w:t xml:space="preserve"> my view, </w:t>
      </w:r>
      <w:r w:rsidR="00284C2B" w:rsidRPr="00D4481B">
        <w:rPr>
          <w:rFonts w:ascii="Arial" w:hAnsi="Arial" w:cs="Arial"/>
          <w:i/>
          <w:iCs/>
          <w:sz w:val="24"/>
          <w:szCs w:val="24"/>
        </w:rPr>
        <w:t>be in</w:t>
      </w:r>
      <w:r w:rsidRPr="00D4481B">
        <w:rPr>
          <w:rFonts w:ascii="Arial" w:hAnsi="Arial" w:cs="Arial"/>
          <w:i/>
          <w:iCs/>
          <w:sz w:val="24"/>
          <w:szCs w:val="24"/>
        </w:rPr>
        <w:t xml:space="preserve"> </w:t>
      </w:r>
      <w:r w:rsidR="00284C2B" w:rsidRPr="00D4481B">
        <w:rPr>
          <w:rFonts w:ascii="Arial" w:hAnsi="Arial" w:cs="Arial"/>
          <w:i/>
          <w:iCs/>
          <w:sz w:val="24"/>
          <w:szCs w:val="24"/>
        </w:rPr>
        <w:t>the interests</w:t>
      </w:r>
      <w:r w:rsidRPr="00D4481B">
        <w:rPr>
          <w:rFonts w:ascii="Arial" w:hAnsi="Arial" w:cs="Arial"/>
          <w:i/>
          <w:iCs/>
          <w:sz w:val="24"/>
          <w:szCs w:val="24"/>
        </w:rPr>
        <w:t xml:space="preserve"> </w:t>
      </w:r>
      <w:r w:rsidR="00284C2B" w:rsidRPr="00D4481B">
        <w:rPr>
          <w:rFonts w:ascii="Arial" w:hAnsi="Arial" w:cs="Arial"/>
          <w:i/>
          <w:iCs/>
          <w:sz w:val="24"/>
          <w:szCs w:val="24"/>
        </w:rPr>
        <w:t>of justice</w:t>
      </w:r>
      <w:r w:rsidRPr="00D4481B">
        <w:rPr>
          <w:rFonts w:ascii="Arial" w:hAnsi="Arial" w:cs="Arial"/>
          <w:i/>
          <w:iCs/>
          <w:sz w:val="24"/>
          <w:szCs w:val="24"/>
        </w:rPr>
        <w:t xml:space="preserve">. </w:t>
      </w:r>
      <w:r w:rsidR="00284C2B" w:rsidRPr="00D4481B">
        <w:rPr>
          <w:rFonts w:ascii="Arial" w:hAnsi="Arial" w:cs="Arial"/>
          <w:i/>
          <w:iCs/>
          <w:sz w:val="24"/>
          <w:szCs w:val="24"/>
        </w:rPr>
        <w:t>There is</w:t>
      </w:r>
      <w:r w:rsidRPr="00D4481B">
        <w:rPr>
          <w:rFonts w:ascii="Arial" w:hAnsi="Arial" w:cs="Arial"/>
          <w:i/>
          <w:iCs/>
          <w:sz w:val="24"/>
          <w:szCs w:val="24"/>
        </w:rPr>
        <w:t xml:space="preserve"> after all </w:t>
      </w:r>
      <w:r w:rsidRPr="00D4481B">
        <w:rPr>
          <w:rFonts w:ascii="Arial" w:hAnsi="Arial" w:cs="Arial"/>
          <w:i/>
          <w:iCs/>
          <w:sz w:val="24"/>
          <w:szCs w:val="24"/>
        </w:rPr>
        <w:lastRenderedPageBreak/>
        <w:t>no doubt that the deponents did take the prescribed oath and that they affirmed doing so. It would therefore serve no purpose other than to delay the finalisation of this matter with an inevitable escalation of costs, not to receive the affidavits. In the circumstances, I accept the affidavits deposed to in the manner described in this judgment as complying in substance with the provisions of the Regulations."</w:t>
      </w:r>
      <w:r w:rsidR="001032E9">
        <w:rPr>
          <w:rFonts w:ascii="Arial" w:hAnsi="Arial" w:cs="Arial"/>
          <w:i/>
          <w:iCs/>
          <w:sz w:val="24"/>
          <w:szCs w:val="24"/>
        </w:rPr>
        <w:t xml:space="preserve"> </w:t>
      </w:r>
      <w:r w:rsidR="001032E9">
        <w:rPr>
          <w:rFonts w:ascii="Arial" w:hAnsi="Arial" w:cs="Arial"/>
          <w:sz w:val="24"/>
          <w:szCs w:val="24"/>
        </w:rPr>
        <w:t>[Underlining my own]</w:t>
      </w:r>
    </w:p>
    <w:p w14:paraId="6F6DDF88" w14:textId="4828B909" w:rsidR="007963B2"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253733">
        <w:rPr>
          <w:rFonts w:ascii="Arial" w:hAnsi="Arial" w:cs="Arial"/>
          <w:sz w:val="24"/>
          <w:szCs w:val="24"/>
        </w:rPr>
        <w:t>11.</w:t>
      </w:r>
      <w:r w:rsidRPr="00253733">
        <w:rPr>
          <w:rFonts w:ascii="Arial" w:hAnsi="Arial" w:cs="Arial"/>
          <w:sz w:val="24"/>
          <w:szCs w:val="24"/>
        </w:rPr>
        <w:tab/>
      </w:r>
      <w:r w:rsidR="007963B2" w:rsidRPr="001E23FF">
        <w:rPr>
          <w:rFonts w:ascii="Arial" w:hAnsi="Arial" w:cs="Arial"/>
          <w:sz w:val="24"/>
          <w:szCs w:val="24"/>
        </w:rPr>
        <w:t>On the strength of this passage</w:t>
      </w:r>
      <w:r w:rsidR="001A5B8A" w:rsidRPr="001E23FF">
        <w:rPr>
          <w:rFonts w:ascii="Arial" w:hAnsi="Arial" w:cs="Arial"/>
          <w:sz w:val="24"/>
          <w:szCs w:val="24"/>
        </w:rPr>
        <w:t xml:space="preserve"> this Court </w:t>
      </w:r>
      <w:r w:rsidR="007963B2" w:rsidRPr="001E23FF">
        <w:rPr>
          <w:rFonts w:ascii="Arial" w:hAnsi="Arial" w:cs="Arial"/>
          <w:sz w:val="24"/>
          <w:szCs w:val="24"/>
        </w:rPr>
        <w:t xml:space="preserve">was </w:t>
      </w:r>
      <w:r w:rsidR="00486B80" w:rsidRPr="001E23FF">
        <w:rPr>
          <w:rFonts w:ascii="Arial" w:hAnsi="Arial" w:cs="Arial"/>
          <w:sz w:val="24"/>
          <w:szCs w:val="24"/>
        </w:rPr>
        <w:t>“…</w:t>
      </w:r>
      <w:r w:rsidR="007963B2" w:rsidRPr="001E23FF">
        <w:rPr>
          <w:rFonts w:ascii="Arial" w:hAnsi="Arial" w:cs="Arial"/>
          <w:i/>
          <w:iCs/>
          <w:sz w:val="24"/>
          <w:szCs w:val="24"/>
        </w:rPr>
        <w:t>urged to similarly exercise its discretion to accept the affidavit which was commissioned correctly in all respect, save for the fact that the deponent and commissioner had contact with each other virtually</w:t>
      </w:r>
      <w:r w:rsidR="00824F50" w:rsidRPr="001E23FF">
        <w:rPr>
          <w:rFonts w:ascii="Arial" w:hAnsi="Arial" w:cs="Arial"/>
          <w:i/>
          <w:iCs/>
          <w:sz w:val="24"/>
          <w:szCs w:val="24"/>
        </w:rPr>
        <w:t>,</w:t>
      </w:r>
      <w:r w:rsidR="007963B2" w:rsidRPr="001E23FF">
        <w:rPr>
          <w:rFonts w:ascii="Arial" w:hAnsi="Arial" w:cs="Arial"/>
          <w:i/>
          <w:iCs/>
          <w:sz w:val="24"/>
          <w:szCs w:val="24"/>
        </w:rPr>
        <w:t xml:space="preserve"> rather than physically</w:t>
      </w:r>
      <w:r w:rsidR="007963B2" w:rsidRPr="001E23FF">
        <w:rPr>
          <w:rFonts w:ascii="Arial" w:hAnsi="Arial" w:cs="Arial"/>
          <w:sz w:val="24"/>
          <w:szCs w:val="24"/>
        </w:rPr>
        <w:t>.</w:t>
      </w:r>
      <w:r w:rsidR="00486B80" w:rsidRPr="001E23FF">
        <w:rPr>
          <w:rFonts w:ascii="Arial" w:hAnsi="Arial" w:cs="Arial"/>
          <w:sz w:val="24"/>
          <w:szCs w:val="24"/>
        </w:rPr>
        <w:t>”</w:t>
      </w:r>
      <w:r w:rsidR="00486B80">
        <w:rPr>
          <w:rStyle w:val="FootnoteReference"/>
          <w:rFonts w:ascii="Arial" w:hAnsi="Arial" w:cs="Arial"/>
          <w:sz w:val="24"/>
          <w:szCs w:val="24"/>
        </w:rPr>
        <w:footnoteReference w:id="2"/>
      </w:r>
    </w:p>
    <w:p w14:paraId="6463756F" w14:textId="6103C86B" w:rsidR="00253733"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9A0730">
        <w:rPr>
          <w:rFonts w:ascii="Arial" w:hAnsi="Arial" w:cs="Arial"/>
          <w:sz w:val="24"/>
          <w:szCs w:val="24"/>
        </w:rPr>
        <w:t>12.</w:t>
      </w:r>
      <w:r w:rsidRPr="009A0730">
        <w:rPr>
          <w:rFonts w:ascii="Arial" w:hAnsi="Arial" w:cs="Arial"/>
          <w:sz w:val="24"/>
          <w:szCs w:val="24"/>
        </w:rPr>
        <w:tab/>
      </w:r>
      <w:r w:rsidR="001032E9" w:rsidRPr="001E23FF">
        <w:rPr>
          <w:rFonts w:ascii="Arial" w:hAnsi="Arial" w:cs="Arial"/>
          <w:sz w:val="24"/>
          <w:szCs w:val="24"/>
        </w:rPr>
        <w:t xml:space="preserve">I have underlined the </w:t>
      </w:r>
      <w:r w:rsidR="00A216ED" w:rsidRPr="001E23FF">
        <w:rPr>
          <w:rFonts w:ascii="Arial" w:hAnsi="Arial" w:cs="Arial"/>
          <w:sz w:val="24"/>
          <w:szCs w:val="24"/>
        </w:rPr>
        <w:t xml:space="preserve">aspects of the passage that would have to be ignored </w:t>
      </w:r>
      <w:r w:rsidR="009A0730" w:rsidRPr="001E23FF">
        <w:rPr>
          <w:rFonts w:ascii="Arial" w:hAnsi="Arial" w:cs="Arial"/>
          <w:sz w:val="24"/>
          <w:szCs w:val="24"/>
        </w:rPr>
        <w:t>in order to accede to the Applicant’s request.</w:t>
      </w:r>
      <w:r w:rsidR="00B172D0" w:rsidRPr="001E23FF">
        <w:rPr>
          <w:rFonts w:ascii="Arial" w:hAnsi="Arial" w:cs="Arial"/>
          <w:sz w:val="24"/>
          <w:szCs w:val="24"/>
        </w:rPr>
        <w:t xml:space="preserve"> </w:t>
      </w:r>
    </w:p>
    <w:p w14:paraId="64553F36" w14:textId="3A84C857" w:rsidR="009A0730"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15003D">
        <w:rPr>
          <w:rFonts w:ascii="Arial" w:hAnsi="Arial" w:cs="Arial"/>
          <w:sz w:val="24"/>
          <w:szCs w:val="24"/>
        </w:rPr>
        <w:t>13.</w:t>
      </w:r>
      <w:r w:rsidRPr="0015003D">
        <w:rPr>
          <w:rFonts w:ascii="Arial" w:hAnsi="Arial" w:cs="Arial"/>
          <w:sz w:val="24"/>
          <w:szCs w:val="24"/>
        </w:rPr>
        <w:tab/>
      </w:r>
      <w:r w:rsidR="00450088" w:rsidRPr="001E23FF">
        <w:rPr>
          <w:rFonts w:ascii="Arial" w:hAnsi="Arial" w:cs="Arial"/>
          <w:sz w:val="24"/>
          <w:szCs w:val="24"/>
        </w:rPr>
        <w:t xml:space="preserve">This is the second judgment, emanating from the same opposed motion roll, </w:t>
      </w:r>
      <w:r w:rsidR="006161FA" w:rsidRPr="001E23FF">
        <w:rPr>
          <w:rFonts w:ascii="Arial" w:hAnsi="Arial" w:cs="Arial"/>
          <w:sz w:val="24"/>
          <w:szCs w:val="24"/>
        </w:rPr>
        <w:t xml:space="preserve">where I have been called upon to </w:t>
      </w:r>
      <w:r w:rsidR="00DB0625" w:rsidRPr="001E23FF">
        <w:rPr>
          <w:rFonts w:ascii="Arial" w:hAnsi="Arial" w:cs="Arial"/>
          <w:sz w:val="24"/>
          <w:szCs w:val="24"/>
        </w:rPr>
        <w:t xml:space="preserve">address the Applicant’s </w:t>
      </w:r>
      <w:r w:rsidR="00544427" w:rsidRPr="001E23FF">
        <w:rPr>
          <w:rFonts w:ascii="Arial" w:hAnsi="Arial" w:cs="Arial"/>
          <w:sz w:val="24"/>
          <w:szCs w:val="24"/>
        </w:rPr>
        <w:t xml:space="preserve">mis-conceived selective reliance on </w:t>
      </w:r>
      <w:r w:rsidR="00115251" w:rsidRPr="001E23FF">
        <w:rPr>
          <w:rFonts w:ascii="Arial" w:hAnsi="Arial" w:cs="Arial"/>
          <w:i/>
          <w:iCs/>
          <w:sz w:val="24"/>
          <w:szCs w:val="24"/>
        </w:rPr>
        <w:t>Briedenhann</w:t>
      </w:r>
      <w:r w:rsidR="00420114" w:rsidRPr="001E23FF">
        <w:rPr>
          <w:rFonts w:ascii="Arial" w:hAnsi="Arial" w:cs="Arial"/>
          <w:sz w:val="24"/>
          <w:szCs w:val="24"/>
        </w:rPr>
        <w:t xml:space="preserve"> as authority for accepting</w:t>
      </w:r>
      <w:r w:rsidR="0093234E" w:rsidRPr="001E23FF">
        <w:rPr>
          <w:rFonts w:ascii="Arial" w:hAnsi="Arial" w:cs="Arial"/>
          <w:sz w:val="24"/>
          <w:szCs w:val="24"/>
        </w:rPr>
        <w:t xml:space="preserve"> their failure to comply with a </w:t>
      </w:r>
      <w:r w:rsidR="00910BD1" w:rsidRPr="001E23FF">
        <w:rPr>
          <w:rFonts w:ascii="Arial" w:hAnsi="Arial" w:cs="Arial"/>
          <w:i/>
          <w:iCs/>
          <w:sz w:val="24"/>
          <w:szCs w:val="24"/>
        </w:rPr>
        <w:t>legislative</w:t>
      </w:r>
      <w:r w:rsidR="0093234E" w:rsidRPr="001E23FF">
        <w:rPr>
          <w:rFonts w:ascii="Arial" w:hAnsi="Arial" w:cs="Arial"/>
          <w:sz w:val="24"/>
          <w:szCs w:val="24"/>
        </w:rPr>
        <w:t xml:space="preserve"> provision</w:t>
      </w:r>
      <w:r w:rsidR="00C641AA" w:rsidRPr="001E23FF">
        <w:rPr>
          <w:rFonts w:ascii="Arial" w:hAnsi="Arial" w:cs="Arial"/>
          <w:sz w:val="24"/>
          <w:szCs w:val="24"/>
        </w:rPr>
        <w:t xml:space="preserve">, by </w:t>
      </w:r>
      <w:r w:rsidR="00A026E1" w:rsidRPr="001E23FF">
        <w:rPr>
          <w:rFonts w:ascii="Arial" w:hAnsi="Arial" w:cs="Arial"/>
          <w:sz w:val="24"/>
          <w:szCs w:val="24"/>
        </w:rPr>
        <w:t xml:space="preserve">employing my </w:t>
      </w:r>
      <w:r w:rsidR="00A026E1" w:rsidRPr="001E23FF">
        <w:rPr>
          <w:rFonts w:ascii="Arial" w:hAnsi="Arial" w:cs="Arial"/>
          <w:i/>
          <w:iCs/>
          <w:sz w:val="24"/>
          <w:szCs w:val="24"/>
        </w:rPr>
        <w:t xml:space="preserve">judicial </w:t>
      </w:r>
      <w:r w:rsidR="00A026E1" w:rsidRPr="001E23FF">
        <w:rPr>
          <w:rFonts w:ascii="Arial" w:hAnsi="Arial" w:cs="Arial"/>
          <w:sz w:val="24"/>
          <w:szCs w:val="24"/>
        </w:rPr>
        <w:t xml:space="preserve">discretion. </w:t>
      </w:r>
      <w:r w:rsidR="00531AB0" w:rsidRPr="001E23FF">
        <w:rPr>
          <w:rFonts w:ascii="Arial" w:hAnsi="Arial" w:cs="Arial"/>
          <w:sz w:val="24"/>
          <w:szCs w:val="24"/>
        </w:rPr>
        <w:t xml:space="preserve"> Goossen AJ was at great pains to point out that </w:t>
      </w:r>
      <w:r w:rsidR="00021BFC" w:rsidRPr="001E23FF">
        <w:rPr>
          <w:rFonts w:ascii="Arial" w:hAnsi="Arial" w:cs="Arial"/>
          <w:sz w:val="24"/>
          <w:szCs w:val="24"/>
        </w:rPr>
        <w:t xml:space="preserve">it is not open for </w:t>
      </w:r>
      <w:r w:rsidR="00996EE2" w:rsidRPr="001E23FF">
        <w:rPr>
          <w:rFonts w:ascii="Arial" w:hAnsi="Arial" w:cs="Arial"/>
          <w:sz w:val="24"/>
          <w:szCs w:val="24"/>
        </w:rPr>
        <w:t xml:space="preserve">litigants to choose to not comply with </w:t>
      </w:r>
      <w:r w:rsidR="00A1331D" w:rsidRPr="001E23FF">
        <w:rPr>
          <w:rFonts w:ascii="Arial" w:hAnsi="Arial" w:cs="Arial"/>
          <w:sz w:val="24"/>
          <w:szCs w:val="24"/>
        </w:rPr>
        <w:t xml:space="preserve">legislation and neither should </w:t>
      </w:r>
      <w:r w:rsidR="007723B8" w:rsidRPr="001E23FF">
        <w:rPr>
          <w:rFonts w:ascii="Arial" w:hAnsi="Arial" w:cs="Arial"/>
          <w:sz w:val="24"/>
          <w:szCs w:val="24"/>
        </w:rPr>
        <w:t>Courts encroach the sphere of the legislative branch</w:t>
      </w:r>
      <w:r w:rsidR="0015003D" w:rsidRPr="001E23FF">
        <w:rPr>
          <w:rFonts w:ascii="Arial" w:hAnsi="Arial" w:cs="Arial"/>
          <w:sz w:val="24"/>
          <w:szCs w:val="24"/>
        </w:rPr>
        <w:t>:</w:t>
      </w:r>
    </w:p>
    <w:p w14:paraId="574401FD" w14:textId="1FD10A3F" w:rsidR="00A1331D" w:rsidRDefault="00A42640" w:rsidP="00F40AD0">
      <w:pPr>
        <w:pStyle w:val="ListParagraph"/>
        <w:tabs>
          <w:tab w:val="right" w:pos="8208"/>
        </w:tabs>
        <w:spacing w:before="60" w:afterLines="60" w:after="144" w:line="360" w:lineRule="auto"/>
        <w:ind w:left="357"/>
        <w:jc w:val="both"/>
        <w:rPr>
          <w:rFonts w:ascii="Arial" w:hAnsi="Arial" w:cs="Arial"/>
          <w:i/>
          <w:iCs/>
          <w:sz w:val="24"/>
          <w:szCs w:val="24"/>
        </w:rPr>
      </w:pPr>
      <w:r>
        <w:rPr>
          <w:rFonts w:ascii="Arial" w:hAnsi="Arial" w:cs="Arial"/>
          <w:i/>
          <w:iCs/>
          <w:sz w:val="24"/>
          <w:szCs w:val="24"/>
        </w:rPr>
        <w:t>“</w:t>
      </w:r>
      <w:r w:rsidR="00A1331D" w:rsidRPr="00A1331D">
        <w:rPr>
          <w:rFonts w:ascii="Arial" w:hAnsi="Arial" w:cs="Arial"/>
          <w:i/>
          <w:iCs/>
          <w:sz w:val="24"/>
          <w:szCs w:val="24"/>
        </w:rPr>
        <w:t xml:space="preserve">[51] The advantages of the system used by the plaintiff are, however, not a basis upon which an existing Regulation may be ignored. </w:t>
      </w:r>
      <w:r w:rsidR="00A1331D" w:rsidRPr="00594DEF">
        <w:rPr>
          <w:rFonts w:ascii="Arial" w:hAnsi="Arial" w:cs="Arial"/>
          <w:i/>
          <w:iCs/>
          <w:sz w:val="24"/>
          <w:szCs w:val="24"/>
          <w:u w:val="single"/>
        </w:rPr>
        <w:t>It is, in my view, not open to a person to elect to follow a different mode of oath administration to that which is statutorily regulated. That is true even if in doing so every effort is made to substantially comply</w:t>
      </w:r>
      <w:r w:rsidR="00A1331D" w:rsidRPr="00A1331D">
        <w:rPr>
          <w:rFonts w:ascii="Arial" w:hAnsi="Arial" w:cs="Arial"/>
          <w:i/>
          <w:iCs/>
          <w:sz w:val="24"/>
          <w:szCs w:val="24"/>
        </w:rPr>
        <w:t>. The regulations stipulate that the declaration is to be signed in the presence of the commissioner. Unless that cannot be achieved, the Regulations must be followed. The fact that the Regulation is directory does not mean that a party can set out to achieve substantial compliance with such regulation rather than to comply with its requirements.</w:t>
      </w:r>
    </w:p>
    <w:p w14:paraId="1BD5C37C" w14:textId="606E563D" w:rsidR="00F40AD0" w:rsidRDefault="00F40AD0" w:rsidP="00F40AD0">
      <w:pPr>
        <w:pStyle w:val="ListParagraph"/>
        <w:tabs>
          <w:tab w:val="right" w:pos="8208"/>
        </w:tabs>
        <w:spacing w:before="60" w:afterLines="60" w:after="144" w:line="360" w:lineRule="auto"/>
        <w:ind w:left="357"/>
        <w:jc w:val="both"/>
        <w:rPr>
          <w:rFonts w:ascii="Arial" w:hAnsi="Arial" w:cs="Arial"/>
          <w:i/>
          <w:iCs/>
          <w:sz w:val="24"/>
          <w:szCs w:val="24"/>
        </w:rPr>
      </w:pPr>
      <w:r>
        <w:rPr>
          <w:rFonts w:ascii="Arial" w:hAnsi="Arial" w:cs="Arial"/>
          <w:i/>
          <w:iCs/>
          <w:sz w:val="24"/>
          <w:szCs w:val="24"/>
        </w:rPr>
        <w:t>……</w:t>
      </w:r>
    </w:p>
    <w:p w14:paraId="2C874B95" w14:textId="0A610B32" w:rsidR="00CD3D90" w:rsidRPr="00594DEF" w:rsidRDefault="0015003D" w:rsidP="00F40AD0">
      <w:pPr>
        <w:pStyle w:val="ListParagraph"/>
        <w:tabs>
          <w:tab w:val="right" w:pos="8208"/>
        </w:tabs>
        <w:spacing w:before="60" w:afterLines="60" w:after="144" w:line="360" w:lineRule="auto"/>
        <w:ind w:left="357"/>
        <w:jc w:val="both"/>
        <w:rPr>
          <w:rFonts w:ascii="Arial" w:hAnsi="Arial" w:cs="Arial"/>
          <w:sz w:val="24"/>
          <w:szCs w:val="24"/>
        </w:rPr>
      </w:pPr>
      <w:r w:rsidRPr="0015003D">
        <w:rPr>
          <w:rFonts w:ascii="Arial" w:hAnsi="Arial" w:cs="Arial"/>
          <w:i/>
          <w:iCs/>
          <w:sz w:val="24"/>
          <w:szCs w:val="24"/>
        </w:rPr>
        <w:t xml:space="preserve">[55] I have no doubt that, in the present case, regulations can be framed to bring them in line with the broader objects of ECTA and to facilitate the use of technologies such as LexisSign. </w:t>
      </w:r>
      <w:r w:rsidR="00CD3D90">
        <w:rPr>
          <w:rFonts w:ascii="Arial" w:hAnsi="Arial" w:cs="Arial"/>
          <w:i/>
          <w:iCs/>
          <w:sz w:val="24"/>
          <w:szCs w:val="24"/>
        </w:rPr>
        <w:t>…..</w:t>
      </w:r>
      <w:r w:rsidRPr="0015003D">
        <w:rPr>
          <w:rFonts w:ascii="Arial" w:hAnsi="Arial" w:cs="Arial"/>
          <w:i/>
          <w:iCs/>
          <w:sz w:val="24"/>
          <w:szCs w:val="24"/>
        </w:rPr>
        <w:t>These are matters well beyond the province of a court and are best left to the legislature.</w:t>
      </w:r>
      <w:r w:rsidR="00594DEF">
        <w:rPr>
          <w:rFonts w:ascii="Arial" w:hAnsi="Arial" w:cs="Arial"/>
          <w:i/>
          <w:iCs/>
          <w:sz w:val="24"/>
          <w:szCs w:val="24"/>
        </w:rPr>
        <w:t xml:space="preserve">’ </w:t>
      </w:r>
      <w:r w:rsidR="00594DEF">
        <w:rPr>
          <w:rFonts w:ascii="Arial" w:hAnsi="Arial" w:cs="Arial"/>
          <w:sz w:val="24"/>
          <w:szCs w:val="24"/>
        </w:rPr>
        <w:t>[Underlining my own]</w:t>
      </w:r>
    </w:p>
    <w:p w14:paraId="1E8E73DA" w14:textId="77777777" w:rsidR="000C5267" w:rsidRDefault="000C5267" w:rsidP="000C5267">
      <w:pPr>
        <w:pStyle w:val="ListParagraph"/>
        <w:tabs>
          <w:tab w:val="right" w:pos="8208"/>
        </w:tabs>
        <w:spacing w:before="60" w:afterLines="60" w:after="144" w:line="240" w:lineRule="auto"/>
        <w:ind w:left="357"/>
        <w:jc w:val="both"/>
        <w:rPr>
          <w:rFonts w:ascii="Arial" w:hAnsi="Arial" w:cs="Arial"/>
          <w:i/>
          <w:iCs/>
          <w:sz w:val="24"/>
          <w:szCs w:val="24"/>
        </w:rPr>
      </w:pPr>
    </w:p>
    <w:p w14:paraId="29349193" w14:textId="7AE486F7" w:rsidR="005650FB" w:rsidRPr="001E23FF" w:rsidRDefault="001E23FF" w:rsidP="001E23FF">
      <w:pPr>
        <w:tabs>
          <w:tab w:val="right" w:pos="8208"/>
        </w:tabs>
        <w:spacing w:before="120" w:after="0" w:line="480" w:lineRule="auto"/>
        <w:ind w:left="357" w:hanging="357"/>
        <w:jc w:val="both"/>
        <w:rPr>
          <w:rFonts w:ascii="Arial" w:hAnsi="Arial" w:cs="Arial"/>
          <w:i/>
          <w:iCs/>
          <w:sz w:val="24"/>
          <w:szCs w:val="24"/>
        </w:rPr>
      </w:pPr>
      <w:r w:rsidRPr="005650FB">
        <w:rPr>
          <w:rFonts w:ascii="Arial" w:hAnsi="Arial" w:cs="Arial"/>
          <w:sz w:val="24"/>
          <w:szCs w:val="24"/>
        </w:rPr>
        <w:t>14.</w:t>
      </w:r>
      <w:r w:rsidRPr="005650FB">
        <w:rPr>
          <w:rFonts w:ascii="Arial" w:hAnsi="Arial" w:cs="Arial"/>
          <w:sz w:val="24"/>
          <w:szCs w:val="24"/>
        </w:rPr>
        <w:tab/>
      </w:r>
      <w:r w:rsidR="00EC500B" w:rsidRPr="001E23FF">
        <w:rPr>
          <w:rFonts w:ascii="Arial" w:hAnsi="Arial" w:cs="Arial"/>
          <w:sz w:val="24"/>
          <w:szCs w:val="24"/>
        </w:rPr>
        <w:t xml:space="preserve">On what basis then did Goossen AJ exercise his discretion in favour of accepting such a non-compliant affidavit? </w:t>
      </w:r>
      <w:r w:rsidR="005E1D8C" w:rsidRPr="001E23FF">
        <w:rPr>
          <w:rFonts w:ascii="Arial" w:hAnsi="Arial" w:cs="Arial"/>
          <w:sz w:val="24"/>
          <w:szCs w:val="24"/>
        </w:rPr>
        <w:t xml:space="preserve">The judgment </w:t>
      </w:r>
      <w:r w:rsidR="00A04AD2" w:rsidRPr="001E23FF">
        <w:rPr>
          <w:rFonts w:ascii="Arial" w:hAnsi="Arial" w:cs="Arial"/>
          <w:sz w:val="24"/>
          <w:szCs w:val="24"/>
        </w:rPr>
        <w:t xml:space="preserve">very clearly explains that, as will all discretions, it was exercised judicially based on </w:t>
      </w:r>
      <w:r w:rsidR="00481A7C" w:rsidRPr="001E23FF">
        <w:rPr>
          <w:rFonts w:ascii="Arial" w:hAnsi="Arial" w:cs="Arial"/>
          <w:sz w:val="24"/>
          <w:szCs w:val="24"/>
        </w:rPr>
        <w:t>evidence and particulars facts before him</w:t>
      </w:r>
      <w:r w:rsidR="005650FB" w:rsidRPr="001E23FF">
        <w:rPr>
          <w:rFonts w:ascii="Arial" w:hAnsi="Arial" w:cs="Arial"/>
          <w:sz w:val="24"/>
          <w:szCs w:val="24"/>
        </w:rPr>
        <w:t>:</w:t>
      </w:r>
    </w:p>
    <w:p w14:paraId="60F96780" w14:textId="782DC818" w:rsidR="005650FB" w:rsidRPr="001C42EA" w:rsidRDefault="001C42EA" w:rsidP="005650FB">
      <w:pPr>
        <w:pStyle w:val="ListParagraph"/>
        <w:tabs>
          <w:tab w:val="right" w:pos="8208"/>
        </w:tabs>
        <w:spacing w:before="120" w:after="0" w:line="480" w:lineRule="auto"/>
        <w:ind w:left="357"/>
        <w:contextualSpacing w:val="0"/>
        <w:jc w:val="both"/>
        <w:rPr>
          <w:rFonts w:ascii="Arial" w:hAnsi="Arial" w:cs="Arial"/>
          <w:i/>
          <w:iCs/>
          <w:sz w:val="24"/>
          <w:szCs w:val="24"/>
        </w:rPr>
      </w:pPr>
      <w:r>
        <w:rPr>
          <w:rFonts w:ascii="Arial" w:hAnsi="Arial" w:cs="Arial"/>
          <w:i/>
          <w:iCs/>
          <w:sz w:val="24"/>
          <w:szCs w:val="24"/>
        </w:rPr>
        <w:t>“</w:t>
      </w:r>
      <w:r w:rsidRPr="001C42EA">
        <w:rPr>
          <w:rFonts w:ascii="Arial" w:hAnsi="Arial" w:cs="Arial"/>
          <w:i/>
          <w:iCs/>
          <w:sz w:val="24"/>
          <w:szCs w:val="24"/>
        </w:rPr>
        <w:t>[52]….</w:t>
      </w:r>
      <w:r w:rsidR="005650FB" w:rsidRPr="001C42EA">
        <w:rPr>
          <w:rFonts w:ascii="Arial" w:hAnsi="Arial" w:cs="Arial"/>
          <w:i/>
          <w:iCs/>
          <w:sz w:val="24"/>
          <w:szCs w:val="24"/>
        </w:rPr>
        <w:t>When a court is asked to exercise its discretion to condone non-compliance, the reasons advanced for such non-compliance are plainly relevant. I doubt that a court would readily accept that an affidavit substantially complies with regulated formalities in circumstances where the non-compliance is as a result of a deliberate choice. In my view, to do so would countenance a situation of self-help”</w:t>
      </w:r>
      <w:r w:rsidR="00481A7C" w:rsidRPr="001C42EA">
        <w:rPr>
          <w:rFonts w:ascii="Arial" w:hAnsi="Arial" w:cs="Arial"/>
          <w:i/>
          <w:iCs/>
          <w:sz w:val="24"/>
          <w:szCs w:val="24"/>
        </w:rPr>
        <w:t xml:space="preserve"> </w:t>
      </w:r>
    </w:p>
    <w:p w14:paraId="6B6939A2" w14:textId="1B0DBBCB" w:rsidR="00C86FF4" w:rsidRPr="001E23FF" w:rsidRDefault="001E23FF" w:rsidP="001E23FF">
      <w:pPr>
        <w:tabs>
          <w:tab w:val="right" w:pos="8208"/>
        </w:tabs>
        <w:spacing w:before="120" w:after="0" w:line="480" w:lineRule="auto"/>
        <w:ind w:left="357" w:hanging="357"/>
        <w:jc w:val="both"/>
        <w:rPr>
          <w:rFonts w:ascii="Arial" w:hAnsi="Arial" w:cs="Arial"/>
          <w:i/>
          <w:iCs/>
          <w:sz w:val="24"/>
          <w:szCs w:val="24"/>
        </w:rPr>
      </w:pPr>
      <w:r w:rsidRPr="00C86FF4">
        <w:rPr>
          <w:rFonts w:ascii="Arial" w:hAnsi="Arial" w:cs="Arial"/>
          <w:sz w:val="24"/>
          <w:szCs w:val="24"/>
        </w:rPr>
        <w:t>15.</w:t>
      </w:r>
      <w:r w:rsidRPr="00C86FF4">
        <w:rPr>
          <w:rFonts w:ascii="Arial" w:hAnsi="Arial" w:cs="Arial"/>
          <w:sz w:val="24"/>
          <w:szCs w:val="24"/>
        </w:rPr>
        <w:tab/>
      </w:r>
      <w:r w:rsidR="007A0340" w:rsidRPr="001E23FF">
        <w:rPr>
          <w:rFonts w:ascii="Arial" w:hAnsi="Arial" w:cs="Arial"/>
          <w:sz w:val="24"/>
          <w:szCs w:val="24"/>
        </w:rPr>
        <w:t xml:space="preserve">In </w:t>
      </w:r>
      <w:r w:rsidR="007A0340" w:rsidRPr="001E23FF">
        <w:rPr>
          <w:rFonts w:ascii="Arial" w:hAnsi="Arial" w:cs="Arial"/>
          <w:i/>
          <w:iCs/>
          <w:sz w:val="24"/>
          <w:szCs w:val="24"/>
        </w:rPr>
        <w:t>Briedenhann,</w:t>
      </w:r>
      <w:r w:rsidR="007A0340" w:rsidRPr="001E23FF">
        <w:rPr>
          <w:rFonts w:ascii="Arial" w:hAnsi="Arial" w:cs="Arial"/>
          <w:sz w:val="24"/>
          <w:szCs w:val="24"/>
        </w:rPr>
        <w:t xml:space="preserve"> the Applicant had </w:t>
      </w:r>
      <w:r w:rsidR="00B86CBF" w:rsidRPr="001E23FF">
        <w:rPr>
          <w:rFonts w:ascii="Arial" w:hAnsi="Arial" w:cs="Arial"/>
          <w:sz w:val="24"/>
          <w:szCs w:val="24"/>
        </w:rPr>
        <w:t>deposed to an affidavit explaining the</w:t>
      </w:r>
      <w:r w:rsidR="00C22DD2" w:rsidRPr="001E23FF">
        <w:rPr>
          <w:rFonts w:ascii="Arial" w:hAnsi="Arial" w:cs="Arial"/>
          <w:sz w:val="24"/>
          <w:szCs w:val="24"/>
        </w:rPr>
        <w:t xml:space="preserve"> decision to employ a virtual platform to commission the affidavit</w:t>
      </w:r>
      <w:r w:rsidR="00D95521" w:rsidRPr="001E23FF">
        <w:rPr>
          <w:rFonts w:ascii="Arial" w:hAnsi="Arial" w:cs="Arial"/>
          <w:sz w:val="24"/>
          <w:szCs w:val="24"/>
        </w:rPr>
        <w:t>, as well as the</w:t>
      </w:r>
      <w:r w:rsidR="00F3676E" w:rsidRPr="001E23FF">
        <w:rPr>
          <w:rFonts w:ascii="Arial" w:hAnsi="Arial" w:cs="Arial"/>
          <w:sz w:val="24"/>
          <w:szCs w:val="24"/>
        </w:rPr>
        <w:t xml:space="preserve"> method and reliability of the virtual</w:t>
      </w:r>
      <w:r w:rsidR="00D95521" w:rsidRPr="001E23FF">
        <w:rPr>
          <w:rFonts w:ascii="Arial" w:hAnsi="Arial" w:cs="Arial"/>
          <w:sz w:val="24"/>
          <w:szCs w:val="24"/>
        </w:rPr>
        <w:t xml:space="preserve"> thereof</w:t>
      </w:r>
      <w:r w:rsidR="001C42EA" w:rsidRPr="001E23FF">
        <w:rPr>
          <w:rFonts w:ascii="Arial" w:hAnsi="Arial" w:cs="Arial"/>
          <w:sz w:val="24"/>
          <w:szCs w:val="24"/>
        </w:rPr>
        <w:t xml:space="preserve">. </w:t>
      </w:r>
      <w:r w:rsidR="00F808F9" w:rsidRPr="001E23FF">
        <w:rPr>
          <w:rFonts w:ascii="Arial" w:hAnsi="Arial" w:cs="Arial"/>
          <w:sz w:val="24"/>
          <w:szCs w:val="24"/>
        </w:rPr>
        <w:t xml:space="preserve">The Court </w:t>
      </w:r>
      <w:r w:rsidR="001C42EA" w:rsidRPr="001E23FF">
        <w:rPr>
          <w:rFonts w:ascii="Arial" w:hAnsi="Arial" w:cs="Arial"/>
          <w:sz w:val="24"/>
          <w:szCs w:val="24"/>
        </w:rPr>
        <w:t xml:space="preserve">accepted that the decision to employ virtual </w:t>
      </w:r>
      <w:r w:rsidR="00D84AB5" w:rsidRPr="001E23FF">
        <w:rPr>
          <w:rFonts w:ascii="Arial" w:hAnsi="Arial" w:cs="Arial"/>
          <w:sz w:val="24"/>
          <w:szCs w:val="24"/>
        </w:rPr>
        <w:t>commissioning</w:t>
      </w:r>
      <w:r w:rsidR="001C42EA" w:rsidRPr="001E23FF">
        <w:rPr>
          <w:rFonts w:ascii="Arial" w:hAnsi="Arial" w:cs="Arial"/>
          <w:sz w:val="24"/>
          <w:szCs w:val="24"/>
        </w:rPr>
        <w:t xml:space="preserve"> was </w:t>
      </w:r>
      <w:r w:rsidR="001C42EA" w:rsidRPr="001E23FF">
        <w:rPr>
          <w:rFonts w:ascii="Arial" w:hAnsi="Arial" w:cs="Arial"/>
          <w:i/>
          <w:iCs/>
          <w:sz w:val="24"/>
          <w:szCs w:val="24"/>
        </w:rPr>
        <w:t>bona fide</w:t>
      </w:r>
      <w:r w:rsidR="00D84AB5" w:rsidRPr="001E23FF">
        <w:rPr>
          <w:rFonts w:ascii="Arial" w:hAnsi="Arial" w:cs="Arial"/>
          <w:sz w:val="24"/>
          <w:szCs w:val="24"/>
        </w:rPr>
        <w:t xml:space="preserve"> and “…</w:t>
      </w:r>
      <w:r w:rsidR="00D84AB5" w:rsidRPr="001E23FF">
        <w:rPr>
          <w:rFonts w:ascii="Arial" w:hAnsi="Arial" w:cs="Arial"/>
          <w:i/>
          <w:iCs/>
          <w:sz w:val="24"/>
          <w:szCs w:val="24"/>
        </w:rPr>
        <w:t>motivated by a desire to support broader efforts at digitalisation and in the interests of combatting the spread of the Covid 19 virus</w:t>
      </w:r>
      <w:r w:rsidR="00D84AB5" w:rsidRPr="001E23FF">
        <w:rPr>
          <w:rFonts w:ascii="Arial" w:hAnsi="Arial" w:cs="Arial"/>
          <w:sz w:val="24"/>
          <w:szCs w:val="24"/>
        </w:rPr>
        <w:t>.”</w:t>
      </w:r>
      <w:r w:rsidR="00D84AB5">
        <w:rPr>
          <w:rStyle w:val="FootnoteReference"/>
          <w:rFonts w:ascii="Arial" w:hAnsi="Arial" w:cs="Arial"/>
          <w:sz w:val="24"/>
          <w:szCs w:val="24"/>
        </w:rPr>
        <w:footnoteReference w:id="3"/>
      </w:r>
    </w:p>
    <w:p w14:paraId="6E1142B3" w14:textId="0783A80D" w:rsidR="000678AF"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8B284F">
        <w:rPr>
          <w:rFonts w:ascii="Arial" w:hAnsi="Arial" w:cs="Arial"/>
          <w:sz w:val="24"/>
          <w:szCs w:val="24"/>
        </w:rPr>
        <w:t>16.</w:t>
      </w:r>
      <w:r w:rsidRPr="008B284F">
        <w:rPr>
          <w:rFonts w:ascii="Arial" w:hAnsi="Arial" w:cs="Arial"/>
          <w:sz w:val="24"/>
          <w:szCs w:val="24"/>
        </w:rPr>
        <w:tab/>
      </w:r>
      <w:r w:rsidR="00F808F9" w:rsidRPr="001E23FF">
        <w:rPr>
          <w:rFonts w:ascii="Arial" w:hAnsi="Arial" w:cs="Arial"/>
          <w:sz w:val="24"/>
          <w:szCs w:val="24"/>
        </w:rPr>
        <w:t>That was in 2022.</w:t>
      </w:r>
      <w:r w:rsidR="00FE1D02" w:rsidRPr="001E23FF">
        <w:rPr>
          <w:rFonts w:ascii="Arial" w:hAnsi="Arial" w:cs="Arial"/>
          <w:sz w:val="24"/>
          <w:szCs w:val="24"/>
        </w:rPr>
        <w:t xml:space="preserve"> </w:t>
      </w:r>
      <w:r w:rsidR="00467B64" w:rsidRPr="001E23FF">
        <w:rPr>
          <w:rFonts w:ascii="Arial" w:hAnsi="Arial" w:cs="Arial"/>
          <w:sz w:val="24"/>
          <w:szCs w:val="24"/>
        </w:rPr>
        <w:t xml:space="preserve"> In the interceding two years, litigants have cherry-picked from the </w:t>
      </w:r>
      <w:r w:rsidR="00467B64" w:rsidRPr="001E23FF">
        <w:rPr>
          <w:rFonts w:ascii="Arial" w:hAnsi="Arial" w:cs="Arial"/>
          <w:i/>
          <w:iCs/>
          <w:sz w:val="24"/>
          <w:szCs w:val="24"/>
        </w:rPr>
        <w:t>Briedenhann</w:t>
      </w:r>
      <w:r w:rsidR="00467B64" w:rsidRPr="001E23FF">
        <w:rPr>
          <w:rFonts w:ascii="Arial" w:hAnsi="Arial" w:cs="Arial"/>
          <w:sz w:val="24"/>
          <w:szCs w:val="24"/>
        </w:rPr>
        <w:t xml:space="preserve"> judgment </w:t>
      </w:r>
      <w:r w:rsidR="0044216D" w:rsidRPr="001E23FF">
        <w:rPr>
          <w:rFonts w:ascii="Arial" w:hAnsi="Arial" w:cs="Arial"/>
          <w:sz w:val="24"/>
          <w:szCs w:val="24"/>
        </w:rPr>
        <w:t xml:space="preserve">those portions that support their election to disregard </w:t>
      </w:r>
      <w:r w:rsidR="0094685C" w:rsidRPr="001E23FF">
        <w:rPr>
          <w:rFonts w:ascii="Arial" w:hAnsi="Arial" w:cs="Arial"/>
          <w:sz w:val="24"/>
          <w:szCs w:val="24"/>
        </w:rPr>
        <w:t xml:space="preserve">legislation, whilst ignoring the various </w:t>
      </w:r>
      <w:r w:rsidR="00364315" w:rsidRPr="001E23FF">
        <w:rPr>
          <w:rFonts w:ascii="Arial" w:hAnsi="Arial" w:cs="Arial"/>
          <w:sz w:val="24"/>
          <w:szCs w:val="24"/>
        </w:rPr>
        <w:t xml:space="preserve">injunctions by Goossen AJ that this is impermissible. </w:t>
      </w:r>
      <w:r w:rsidR="006D572E" w:rsidRPr="001E23FF">
        <w:rPr>
          <w:rFonts w:ascii="Arial" w:hAnsi="Arial" w:cs="Arial"/>
          <w:sz w:val="24"/>
          <w:szCs w:val="24"/>
        </w:rPr>
        <w:t xml:space="preserve"> To, two years later</w:t>
      </w:r>
      <w:r w:rsidR="0037462C" w:rsidRPr="001E23FF">
        <w:rPr>
          <w:rFonts w:ascii="Arial" w:hAnsi="Arial" w:cs="Arial"/>
          <w:sz w:val="24"/>
          <w:szCs w:val="24"/>
        </w:rPr>
        <w:t>,</w:t>
      </w:r>
      <w:r w:rsidR="006D572E" w:rsidRPr="001E23FF">
        <w:rPr>
          <w:rFonts w:ascii="Arial" w:hAnsi="Arial" w:cs="Arial"/>
          <w:sz w:val="24"/>
          <w:szCs w:val="24"/>
        </w:rPr>
        <w:t xml:space="preserve"> still rely on a business model that </w:t>
      </w:r>
      <w:r w:rsidR="00363019" w:rsidRPr="001E23FF">
        <w:rPr>
          <w:rFonts w:ascii="Arial" w:hAnsi="Arial" w:cs="Arial"/>
          <w:sz w:val="24"/>
          <w:szCs w:val="24"/>
        </w:rPr>
        <w:t xml:space="preserve">was held to be impermissible, can hardly be considered to be bona fide. </w:t>
      </w:r>
      <w:r w:rsidR="00D76D48" w:rsidRPr="001E23FF">
        <w:rPr>
          <w:rFonts w:ascii="Arial" w:hAnsi="Arial" w:cs="Arial"/>
          <w:sz w:val="24"/>
          <w:szCs w:val="24"/>
        </w:rPr>
        <w:t xml:space="preserve">To add insult to injury, </w:t>
      </w:r>
      <w:r w:rsidR="00E31ECA" w:rsidRPr="001E23FF">
        <w:rPr>
          <w:rFonts w:ascii="Arial" w:hAnsi="Arial" w:cs="Arial"/>
          <w:sz w:val="24"/>
          <w:szCs w:val="24"/>
        </w:rPr>
        <w:t xml:space="preserve">no </w:t>
      </w:r>
      <w:r w:rsidR="00B45CC7" w:rsidRPr="001E23FF">
        <w:rPr>
          <w:rFonts w:ascii="Arial" w:hAnsi="Arial" w:cs="Arial"/>
          <w:sz w:val="24"/>
          <w:szCs w:val="24"/>
        </w:rPr>
        <w:t>explanations are proffered as to why there was non-compliance and Courts are</w:t>
      </w:r>
      <w:r w:rsidR="00272D51" w:rsidRPr="001E23FF">
        <w:rPr>
          <w:rFonts w:ascii="Arial" w:hAnsi="Arial" w:cs="Arial"/>
          <w:sz w:val="24"/>
          <w:szCs w:val="24"/>
        </w:rPr>
        <w:t xml:space="preserve"> simply, during argument</w:t>
      </w:r>
      <w:r w:rsidR="00881CDA" w:rsidRPr="001E23FF">
        <w:rPr>
          <w:rFonts w:ascii="Arial" w:hAnsi="Arial" w:cs="Arial"/>
          <w:sz w:val="24"/>
          <w:szCs w:val="24"/>
        </w:rPr>
        <w:t>, requested to rubber stamp a party’s election to disregard</w:t>
      </w:r>
      <w:r w:rsidR="009049FA" w:rsidRPr="001E23FF">
        <w:rPr>
          <w:rFonts w:ascii="Arial" w:hAnsi="Arial" w:cs="Arial"/>
          <w:sz w:val="24"/>
          <w:szCs w:val="24"/>
        </w:rPr>
        <w:t xml:space="preserve"> legislation. </w:t>
      </w:r>
      <w:r w:rsidR="002252D7" w:rsidRPr="001E23FF">
        <w:rPr>
          <w:rFonts w:ascii="Arial" w:hAnsi="Arial" w:cs="Arial"/>
          <w:sz w:val="24"/>
          <w:szCs w:val="24"/>
        </w:rPr>
        <w:t xml:space="preserve"> </w:t>
      </w:r>
      <w:r w:rsidR="00143A91" w:rsidRPr="001E23FF">
        <w:rPr>
          <w:rFonts w:ascii="Arial" w:hAnsi="Arial" w:cs="Arial"/>
          <w:sz w:val="24"/>
          <w:szCs w:val="24"/>
        </w:rPr>
        <w:t xml:space="preserve">Without placing facts and evidence </w:t>
      </w:r>
      <w:r w:rsidR="009371CA" w:rsidRPr="001E23FF">
        <w:rPr>
          <w:rFonts w:ascii="Arial" w:hAnsi="Arial" w:cs="Arial"/>
          <w:sz w:val="24"/>
          <w:szCs w:val="24"/>
        </w:rPr>
        <w:t>before Court upon which it could exercise its discretion, t</w:t>
      </w:r>
      <w:r w:rsidR="00B60BAE" w:rsidRPr="001E23FF">
        <w:rPr>
          <w:rFonts w:ascii="Arial" w:hAnsi="Arial" w:cs="Arial"/>
          <w:sz w:val="24"/>
          <w:szCs w:val="24"/>
        </w:rPr>
        <w:t xml:space="preserve">he Court is </w:t>
      </w:r>
      <w:r w:rsidR="009371CA" w:rsidRPr="001E23FF">
        <w:rPr>
          <w:rFonts w:ascii="Arial" w:hAnsi="Arial" w:cs="Arial"/>
          <w:sz w:val="24"/>
          <w:szCs w:val="24"/>
        </w:rPr>
        <w:t xml:space="preserve">essentially </w:t>
      </w:r>
      <w:r w:rsidR="00B60BAE" w:rsidRPr="001E23FF">
        <w:rPr>
          <w:rFonts w:ascii="Arial" w:hAnsi="Arial" w:cs="Arial"/>
          <w:sz w:val="24"/>
          <w:szCs w:val="24"/>
        </w:rPr>
        <w:t>asked to usurp the functions of the legislature under the guise of judicial discretion.</w:t>
      </w:r>
    </w:p>
    <w:p w14:paraId="759A9554" w14:textId="25AB14E2" w:rsidR="008B284F"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3C415E">
        <w:rPr>
          <w:rFonts w:ascii="Arial" w:hAnsi="Arial" w:cs="Arial"/>
          <w:sz w:val="24"/>
          <w:szCs w:val="24"/>
        </w:rPr>
        <w:t>17.</w:t>
      </w:r>
      <w:r w:rsidRPr="003C415E">
        <w:rPr>
          <w:rFonts w:ascii="Arial" w:hAnsi="Arial" w:cs="Arial"/>
          <w:sz w:val="24"/>
          <w:szCs w:val="24"/>
        </w:rPr>
        <w:tab/>
      </w:r>
      <w:r w:rsidR="007C672A" w:rsidRPr="001E23FF">
        <w:rPr>
          <w:rFonts w:ascii="Arial" w:hAnsi="Arial" w:cs="Arial"/>
          <w:sz w:val="24"/>
          <w:szCs w:val="24"/>
        </w:rPr>
        <w:t xml:space="preserve">It </w:t>
      </w:r>
      <w:r w:rsidR="00E934D7" w:rsidRPr="001E23FF">
        <w:rPr>
          <w:rFonts w:ascii="Arial" w:hAnsi="Arial" w:cs="Arial"/>
          <w:sz w:val="24"/>
          <w:szCs w:val="24"/>
        </w:rPr>
        <w:t xml:space="preserve">is worthwhile to note that </w:t>
      </w:r>
      <w:r w:rsidR="0002635F" w:rsidRPr="001E23FF">
        <w:rPr>
          <w:rFonts w:ascii="Arial" w:hAnsi="Arial" w:cs="Arial"/>
          <w:sz w:val="24"/>
          <w:szCs w:val="24"/>
        </w:rPr>
        <w:t xml:space="preserve">earlier this year, the </w:t>
      </w:r>
      <w:r w:rsidR="00EB278F" w:rsidRPr="001E23FF">
        <w:rPr>
          <w:rFonts w:ascii="Arial" w:hAnsi="Arial" w:cs="Arial"/>
          <w:sz w:val="24"/>
          <w:szCs w:val="24"/>
        </w:rPr>
        <w:t xml:space="preserve">company who had hosted the virtual commissioning platform used in </w:t>
      </w:r>
      <w:r w:rsidR="00EB278F" w:rsidRPr="001E23FF">
        <w:rPr>
          <w:rFonts w:ascii="Arial" w:hAnsi="Arial" w:cs="Arial"/>
          <w:i/>
          <w:iCs/>
          <w:sz w:val="24"/>
          <w:szCs w:val="24"/>
        </w:rPr>
        <w:t>Briedenhann,</w:t>
      </w:r>
      <w:r w:rsidR="00EB278F" w:rsidRPr="001E23FF">
        <w:rPr>
          <w:rFonts w:ascii="Arial" w:hAnsi="Arial" w:cs="Arial"/>
          <w:sz w:val="24"/>
          <w:szCs w:val="24"/>
        </w:rPr>
        <w:t xml:space="preserve"> LexisNexis, had brought an application in this </w:t>
      </w:r>
      <w:r w:rsidR="00EB278F" w:rsidRPr="001E23FF">
        <w:rPr>
          <w:rFonts w:ascii="Arial" w:hAnsi="Arial" w:cs="Arial"/>
          <w:sz w:val="24"/>
          <w:szCs w:val="24"/>
        </w:rPr>
        <w:lastRenderedPageBreak/>
        <w:t xml:space="preserve">division </w:t>
      </w:r>
      <w:r w:rsidR="009004E1" w:rsidRPr="001E23FF">
        <w:rPr>
          <w:rFonts w:ascii="Arial" w:hAnsi="Arial" w:cs="Arial"/>
          <w:sz w:val="24"/>
          <w:szCs w:val="24"/>
        </w:rPr>
        <w:t xml:space="preserve">for a declaration that the </w:t>
      </w:r>
      <w:r w:rsidR="00750A50" w:rsidRPr="001E23FF">
        <w:rPr>
          <w:rFonts w:ascii="Arial" w:hAnsi="Arial" w:cs="Arial"/>
          <w:sz w:val="24"/>
          <w:szCs w:val="24"/>
        </w:rPr>
        <w:t>Act and Regulations mu</w:t>
      </w:r>
      <w:r w:rsidR="009004E1" w:rsidRPr="001E23FF">
        <w:rPr>
          <w:rFonts w:ascii="Arial" w:hAnsi="Arial" w:cs="Arial"/>
          <w:sz w:val="24"/>
          <w:szCs w:val="24"/>
        </w:rPr>
        <w:t>st</w:t>
      </w:r>
      <w:r w:rsidR="00750A50" w:rsidRPr="001E23FF">
        <w:rPr>
          <w:rFonts w:ascii="Arial" w:hAnsi="Arial" w:cs="Arial"/>
          <w:sz w:val="24"/>
          <w:szCs w:val="24"/>
        </w:rPr>
        <w:t xml:space="preserve"> be broadly interpreted, and that that the administration of oaths by a virtual platform </w:t>
      </w:r>
      <w:r w:rsidR="009004E1" w:rsidRPr="001E23FF">
        <w:rPr>
          <w:rFonts w:ascii="Arial" w:hAnsi="Arial" w:cs="Arial"/>
          <w:sz w:val="24"/>
          <w:szCs w:val="24"/>
        </w:rPr>
        <w:t xml:space="preserve">therefore </w:t>
      </w:r>
      <w:r w:rsidR="00750A50" w:rsidRPr="001E23FF">
        <w:rPr>
          <w:rFonts w:ascii="Arial" w:hAnsi="Arial" w:cs="Arial"/>
          <w:sz w:val="24"/>
          <w:szCs w:val="24"/>
        </w:rPr>
        <w:t>accords with the provisions of Regulation</w:t>
      </w:r>
      <w:r w:rsidR="009004E1" w:rsidRPr="001E23FF">
        <w:rPr>
          <w:rFonts w:ascii="Arial" w:hAnsi="Arial" w:cs="Arial"/>
          <w:sz w:val="24"/>
          <w:szCs w:val="24"/>
        </w:rPr>
        <w:t>.</w:t>
      </w:r>
      <w:r w:rsidR="009004E1">
        <w:rPr>
          <w:rStyle w:val="FootnoteReference"/>
          <w:rFonts w:ascii="Arial" w:hAnsi="Arial" w:cs="Arial"/>
          <w:sz w:val="24"/>
          <w:szCs w:val="24"/>
        </w:rPr>
        <w:footnoteReference w:id="4"/>
      </w:r>
      <w:r w:rsidR="002C2DA2" w:rsidRPr="001E23FF">
        <w:rPr>
          <w:rFonts w:ascii="Arial" w:hAnsi="Arial" w:cs="Arial"/>
          <w:sz w:val="24"/>
          <w:szCs w:val="24"/>
        </w:rPr>
        <w:t xml:space="preserve"> </w:t>
      </w:r>
      <w:r w:rsidR="009C1480" w:rsidRPr="001E23FF">
        <w:rPr>
          <w:rFonts w:ascii="Arial" w:hAnsi="Arial" w:cs="Arial"/>
          <w:sz w:val="24"/>
          <w:szCs w:val="24"/>
        </w:rPr>
        <w:t xml:space="preserve">Having also considered </w:t>
      </w:r>
      <w:r w:rsidR="009C1480" w:rsidRPr="001E23FF">
        <w:rPr>
          <w:rFonts w:ascii="Arial" w:hAnsi="Arial" w:cs="Arial"/>
          <w:i/>
          <w:iCs/>
          <w:sz w:val="24"/>
          <w:szCs w:val="24"/>
        </w:rPr>
        <w:t>Briedenhann,</w:t>
      </w:r>
      <w:r w:rsidR="009C1480" w:rsidRPr="001E23FF">
        <w:rPr>
          <w:rFonts w:ascii="Arial" w:hAnsi="Arial" w:cs="Arial"/>
          <w:sz w:val="24"/>
          <w:szCs w:val="24"/>
        </w:rPr>
        <w:t xml:space="preserve"> i</w:t>
      </w:r>
      <w:r w:rsidR="002C2DA2" w:rsidRPr="001E23FF">
        <w:rPr>
          <w:rFonts w:ascii="Arial" w:hAnsi="Arial" w:cs="Arial"/>
          <w:sz w:val="24"/>
          <w:szCs w:val="24"/>
        </w:rPr>
        <w:t>n dismissing the application, Swanepoel J held that:</w:t>
      </w:r>
    </w:p>
    <w:p w14:paraId="01B33B87" w14:textId="56275757" w:rsidR="003C415E" w:rsidRPr="003C415E" w:rsidRDefault="003C415E" w:rsidP="003C415E">
      <w:pPr>
        <w:pStyle w:val="ListParagraph"/>
        <w:tabs>
          <w:tab w:val="right" w:pos="8208"/>
        </w:tabs>
        <w:spacing w:before="60" w:afterLines="60" w:after="144" w:line="480" w:lineRule="auto"/>
        <w:ind w:left="360"/>
        <w:jc w:val="both"/>
        <w:rPr>
          <w:rFonts w:ascii="Arial" w:hAnsi="Arial" w:cs="Arial"/>
          <w:i/>
          <w:iCs/>
          <w:sz w:val="24"/>
          <w:szCs w:val="24"/>
        </w:rPr>
      </w:pPr>
      <w:r w:rsidRPr="003C415E">
        <w:rPr>
          <w:rFonts w:ascii="Arial" w:hAnsi="Arial" w:cs="Arial"/>
          <w:i/>
          <w:iCs/>
          <w:sz w:val="24"/>
          <w:szCs w:val="24"/>
        </w:rPr>
        <w:t>[19]</w:t>
      </w:r>
      <w:r w:rsidRPr="003C415E">
        <w:rPr>
          <w:rFonts w:ascii="Arial" w:hAnsi="Arial" w:cs="Arial"/>
          <w:i/>
          <w:iCs/>
          <w:sz w:val="24"/>
          <w:szCs w:val="24"/>
        </w:rPr>
        <w:tab/>
        <w:t>….. to find for applicant would require me to ignore the clear meaning of the words in the Regulations. In so doing I would be 'crossing the divide between interpretation and legislation', as Wallis JA warned of in Endumeni. It is not for a Court to impose its view of what would be sensible or businesslike where the wording of the document is clear.”</w:t>
      </w:r>
    </w:p>
    <w:p w14:paraId="10ECA4BC" w14:textId="2A59EF53" w:rsidR="00CB20D6"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123FFE">
        <w:rPr>
          <w:rFonts w:ascii="Arial" w:hAnsi="Arial" w:cs="Arial"/>
          <w:sz w:val="24"/>
          <w:szCs w:val="24"/>
        </w:rPr>
        <w:t>18.</w:t>
      </w:r>
      <w:r w:rsidRPr="00123FFE">
        <w:rPr>
          <w:rFonts w:ascii="Arial" w:hAnsi="Arial" w:cs="Arial"/>
          <w:sz w:val="24"/>
          <w:szCs w:val="24"/>
        </w:rPr>
        <w:tab/>
      </w:r>
      <w:r w:rsidR="00123FFE" w:rsidRPr="001E23FF">
        <w:rPr>
          <w:rFonts w:ascii="Arial" w:hAnsi="Arial" w:cs="Arial"/>
          <w:sz w:val="24"/>
          <w:szCs w:val="24"/>
        </w:rPr>
        <w:t>The current position regarding v</w:t>
      </w:r>
      <w:r w:rsidR="00C84120" w:rsidRPr="001E23FF">
        <w:rPr>
          <w:rFonts w:ascii="Arial" w:hAnsi="Arial" w:cs="Arial"/>
          <w:sz w:val="24"/>
          <w:szCs w:val="24"/>
        </w:rPr>
        <w:t>i</w:t>
      </w:r>
      <w:r w:rsidR="00123FFE" w:rsidRPr="001E23FF">
        <w:rPr>
          <w:rFonts w:ascii="Arial" w:hAnsi="Arial" w:cs="Arial"/>
          <w:sz w:val="24"/>
          <w:szCs w:val="24"/>
        </w:rPr>
        <w:t xml:space="preserve">rtual </w:t>
      </w:r>
      <w:r w:rsidR="00C84120" w:rsidRPr="001E23FF">
        <w:rPr>
          <w:rFonts w:ascii="Arial" w:hAnsi="Arial" w:cs="Arial"/>
          <w:sz w:val="24"/>
          <w:szCs w:val="24"/>
        </w:rPr>
        <w:t>commissioning</w:t>
      </w:r>
      <w:r w:rsidR="00123FFE" w:rsidRPr="001E23FF">
        <w:rPr>
          <w:rFonts w:ascii="Arial" w:hAnsi="Arial" w:cs="Arial"/>
          <w:sz w:val="24"/>
          <w:szCs w:val="24"/>
        </w:rPr>
        <w:t xml:space="preserve"> is therefore:</w:t>
      </w:r>
    </w:p>
    <w:p w14:paraId="3FF563D4" w14:textId="00390314" w:rsidR="00123FFE" w:rsidRPr="001E23FF" w:rsidRDefault="001E23FF" w:rsidP="001E23FF">
      <w:pPr>
        <w:spacing w:before="60" w:afterLines="60" w:after="144" w:line="480" w:lineRule="auto"/>
        <w:ind w:left="1134" w:hanging="774"/>
        <w:jc w:val="both"/>
        <w:rPr>
          <w:rFonts w:ascii="Arial" w:hAnsi="Arial" w:cs="Arial"/>
          <w:sz w:val="24"/>
          <w:szCs w:val="24"/>
        </w:rPr>
      </w:pPr>
      <w:r>
        <w:rPr>
          <w:rFonts w:ascii="Arial" w:hAnsi="Arial" w:cs="Arial"/>
          <w:sz w:val="24"/>
          <w:szCs w:val="24"/>
        </w:rPr>
        <w:t>18.1.</w:t>
      </w:r>
      <w:r>
        <w:rPr>
          <w:rFonts w:ascii="Arial" w:hAnsi="Arial" w:cs="Arial"/>
          <w:sz w:val="24"/>
          <w:szCs w:val="24"/>
        </w:rPr>
        <w:tab/>
      </w:r>
      <w:r w:rsidR="00463EF9" w:rsidRPr="001E23FF">
        <w:rPr>
          <w:rFonts w:ascii="Arial" w:hAnsi="Arial" w:cs="Arial"/>
          <w:sz w:val="24"/>
          <w:szCs w:val="24"/>
        </w:rPr>
        <w:t xml:space="preserve">Virtual </w:t>
      </w:r>
      <w:r w:rsidR="00C84120" w:rsidRPr="001E23FF">
        <w:rPr>
          <w:rFonts w:ascii="Arial" w:hAnsi="Arial" w:cs="Arial"/>
          <w:sz w:val="24"/>
          <w:szCs w:val="24"/>
        </w:rPr>
        <w:t>commissioning</w:t>
      </w:r>
      <w:r w:rsidR="00463EF9" w:rsidRPr="001E23FF">
        <w:rPr>
          <w:rFonts w:ascii="Arial" w:hAnsi="Arial" w:cs="Arial"/>
          <w:sz w:val="24"/>
          <w:szCs w:val="24"/>
        </w:rPr>
        <w:t xml:space="preserve"> of affidavits is impermissible</w:t>
      </w:r>
      <w:r w:rsidR="00C84120" w:rsidRPr="001E23FF">
        <w:rPr>
          <w:rFonts w:ascii="Arial" w:hAnsi="Arial" w:cs="Arial"/>
          <w:sz w:val="24"/>
          <w:szCs w:val="24"/>
        </w:rPr>
        <w:t xml:space="preserve"> and not sanctioned in term of legislation.</w:t>
      </w:r>
    </w:p>
    <w:p w14:paraId="082E6B19" w14:textId="7E2A1D78" w:rsidR="00C84120" w:rsidRPr="001E23FF" w:rsidRDefault="001E23FF" w:rsidP="001E23FF">
      <w:pPr>
        <w:spacing w:before="60" w:afterLines="60" w:after="144" w:line="480" w:lineRule="auto"/>
        <w:ind w:left="1134" w:hanging="774"/>
        <w:jc w:val="both"/>
        <w:rPr>
          <w:rFonts w:ascii="Arial" w:hAnsi="Arial" w:cs="Arial"/>
          <w:sz w:val="24"/>
          <w:szCs w:val="24"/>
        </w:rPr>
      </w:pPr>
      <w:r>
        <w:rPr>
          <w:rFonts w:ascii="Arial" w:hAnsi="Arial" w:cs="Arial"/>
          <w:sz w:val="24"/>
          <w:szCs w:val="24"/>
        </w:rPr>
        <w:t>18.2.</w:t>
      </w:r>
      <w:r>
        <w:rPr>
          <w:rFonts w:ascii="Arial" w:hAnsi="Arial" w:cs="Arial"/>
          <w:sz w:val="24"/>
          <w:szCs w:val="24"/>
        </w:rPr>
        <w:tab/>
      </w:r>
      <w:r w:rsidR="00AC7749" w:rsidRPr="001E23FF">
        <w:rPr>
          <w:rFonts w:ascii="Arial" w:hAnsi="Arial" w:cs="Arial"/>
          <w:sz w:val="24"/>
          <w:szCs w:val="24"/>
        </w:rPr>
        <w:t xml:space="preserve">Courts have a discretion to accept </w:t>
      </w:r>
      <w:r w:rsidR="009531B9" w:rsidRPr="001E23FF">
        <w:rPr>
          <w:rFonts w:ascii="Arial" w:hAnsi="Arial" w:cs="Arial"/>
          <w:sz w:val="24"/>
          <w:szCs w:val="24"/>
        </w:rPr>
        <w:t>non-compliant</w:t>
      </w:r>
      <w:r w:rsidR="00AC7749" w:rsidRPr="001E23FF">
        <w:rPr>
          <w:rFonts w:ascii="Arial" w:hAnsi="Arial" w:cs="Arial"/>
          <w:sz w:val="24"/>
          <w:szCs w:val="24"/>
        </w:rPr>
        <w:t xml:space="preserve"> affidavits, but su</w:t>
      </w:r>
      <w:r w:rsidR="001D36BE" w:rsidRPr="001E23FF">
        <w:rPr>
          <w:rFonts w:ascii="Arial" w:hAnsi="Arial" w:cs="Arial"/>
          <w:sz w:val="24"/>
          <w:szCs w:val="24"/>
        </w:rPr>
        <w:t>c</w:t>
      </w:r>
      <w:r w:rsidR="00AC7749" w:rsidRPr="001E23FF">
        <w:rPr>
          <w:rFonts w:ascii="Arial" w:hAnsi="Arial" w:cs="Arial"/>
          <w:sz w:val="24"/>
          <w:szCs w:val="24"/>
        </w:rPr>
        <w:t xml:space="preserve">h discretion must be exercised judicially </w:t>
      </w:r>
      <w:r w:rsidR="001D36BE" w:rsidRPr="001E23FF">
        <w:rPr>
          <w:rFonts w:ascii="Arial" w:hAnsi="Arial" w:cs="Arial"/>
          <w:sz w:val="24"/>
          <w:szCs w:val="24"/>
        </w:rPr>
        <w:t>based on the facts particular to each case</w:t>
      </w:r>
      <w:r w:rsidR="00F15730" w:rsidRPr="001E23FF">
        <w:rPr>
          <w:rFonts w:ascii="Arial" w:hAnsi="Arial" w:cs="Arial"/>
          <w:sz w:val="24"/>
          <w:szCs w:val="24"/>
        </w:rPr>
        <w:t xml:space="preserve"> as presented.</w:t>
      </w:r>
    </w:p>
    <w:p w14:paraId="58E3374F" w14:textId="464A5873" w:rsidR="00963142" w:rsidRPr="001E23FF" w:rsidRDefault="001E23FF" w:rsidP="001E23FF">
      <w:pPr>
        <w:spacing w:before="60" w:afterLines="60" w:after="144" w:line="480" w:lineRule="auto"/>
        <w:ind w:left="1134" w:hanging="774"/>
        <w:jc w:val="both"/>
        <w:rPr>
          <w:rFonts w:ascii="Arial" w:hAnsi="Arial" w:cs="Arial"/>
          <w:sz w:val="24"/>
          <w:szCs w:val="24"/>
        </w:rPr>
      </w:pPr>
      <w:r>
        <w:rPr>
          <w:rFonts w:ascii="Arial" w:hAnsi="Arial" w:cs="Arial"/>
          <w:sz w:val="24"/>
          <w:szCs w:val="24"/>
        </w:rPr>
        <w:t>18.3.</w:t>
      </w:r>
      <w:r>
        <w:rPr>
          <w:rFonts w:ascii="Arial" w:hAnsi="Arial" w:cs="Arial"/>
          <w:sz w:val="24"/>
          <w:szCs w:val="24"/>
        </w:rPr>
        <w:tab/>
      </w:r>
      <w:r w:rsidR="00963142" w:rsidRPr="001E23FF">
        <w:rPr>
          <w:rFonts w:ascii="Arial" w:hAnsi="Arial" w:cs="Arial"/>
          <w:sz w:val="24"/>
          <w:szCs w:val="24"/>
        </w:rPr>
        <w:t xml:space="preserve">Once the facts </w:t>
      </w:r>
      <w:r w:rsidR="007A5FD4" w:rsidRPr="001E23FF">
        <w:rPr>
          <w:rFonts w:ascii="Arial" w:hAnsi="Arial" w:cs="Arial"/>
          <w:sz w:val="24"/>
          <w:szCs w:val="24"/>
        </w:rPr>
        <w:t>of each case justify the exercise of such a discretion,</w:t>
      </w:r>
      <w:r w:rsidR="0001520B" w:rsidRPr="001E23FF">
        <w:rPr>
          <w:rFonts w:ascii="Arial" w:hAnsi="Arial" w:cs="Arial"/>
          <w:sz w:val="24"/>
          <w:szCs w:val="24"/>
        </w:rPr>
        <w:t xml:space="preserve"> </w:t>
      </w:r>
      <w:r w:rsidR="00302A0B" w:rsidRPr="001E23FF">
        <w:rPr>
          <w:rFonts w:ascii="Arial" w:hAnsi="Arial" w:cs="Arial"/>
          <w:sz w:val="24"/>
          <w:szCs w:val="24"/>
        </w:rPr>
        <w:t xml:space="preserve">whether or not there was </w:t>
      </w:r>
      <w:r w:rsidR="00C43BA3" w:rsidRPr="001E23FF">
        <w:rPr>
          <w:rFonts w:ascii="Arial" w:hAnsi="Arial" w:cs="Arial"/>
          <w:sz w:val="24"/>
          <w:szCs w:val="24"/>
        </w:rPr>
        <w:t>substantial compliance with Regulation 3(1)</w:t>
      </w:r>
      <w:r w:rsidR="00302A0B" w:rsidRPr="001E23FF">
        <w:rPr>
          <w:rFonts w:ascii="Arial" w:hAnsi="Arial" w:cs="Arial"/>
          <w:sz w:val="24"/>
          <w:szCs w:val="24"/>
        </w:rPr>
        <w:t xml:space="preserve"> is but one of the factors that a Court may consider</w:t>
      </w:r>
      <w:r w:rsidR="003E6B30" w:rsidRPr="001E23FF">
        <w:rPr>
          <w:rFonts w:ascii="Arial" w:hAnsi="Arial" w:cs="Arial"/>
          <w:sz w:val="24"/>
          <w:szCs w:val="24"/>
        </w:rPr>
        <w:t xml:space="preserve"> in deciding </w:t>
      </w:r>
      <w:r w:rsidR="0041091A" w:rsidRPr="001E23FF">
        <w:rPr>
          <w:rFonts w:ascii="Arial" w:hAnsi="Arial" w:cs="Arial"/>
          <w:sz w:val="24"/>
          <w:szCs w:val="24"/>
        </w:rPr>
        <w:t xml:space="preserve">whether to exercise its discretion in favour of a </w:t>
      </w:r>
      <w:r w:rsidR="00BD3966" w:rsidRPr="001E23FF">
        <w:rPr>
          <w:rFonts w:ascii="Arial" w:hAnsi="Arial" w:cs="Arial"/>
          <w:sz w:val="24"/>
          <w:szCs w:val="24"/>
        </w:rPr>
        <w:t>non-compliant</w:t>
      </w:r>
      <w:r w:rsidR="0041091A" w:rsidRPr="001E23FF">
        <w:rPr>
          <w:rFonts w:ascii="Arial" w:hAnsi="Arial" w:cs="Arial"/>
          <w:sz w:val="24"/>
          <w:szCs w:val="24"/>
        </w:rPr>
        <w:t xml:space="preserve"> party</w:t>
      </w:r>
      <w:r w:rsidR="00C43BA3" w:rsidRPr="001E23FF">
        <w:rPr>
          <w:rFonts w:ascii="Arial" w:hAnsi="Arial" w:cs="Arial"/>
          <w:sz w:val="24"/>
          <w:szCs w:val="24"/>
        </w:rPr>
        <w:t>.</w:t>
      </w:r>
      <w:r w:rsidR="006F4EAE" w:rsidRPr="001E23FF">
        <w:rPr>
          <w:rFonts w:ascii="Arial" w:hAnsi="Arial" w:cs="Arial"/>
          <w:sz w:val="24"/>
          <w:szCs w:val="24"/>
        </w:rPr>
        <w:t xml:space="preserve"> </w:t>
      </w:r>
      <w:r w:rsidR="00BD3966" w:rsidRPr="001E23FF">
        <w:rPr>
          <w:rFonts w:ascii="Arial" w:hAnsi="Arial" w:cs="Arial"/>
          <w:sz w:val="24"/>
          <w:szCs w:val="24"/>
        </w:rPr>
        <w:t>On the other hand, a</w:t>
      </w:r>
      <w:r w:rsidR="006F4EAE" w:rsidRPr="001E23FF">
        <w:rPr>
          <w:rFonts w:ascii="Arial" w:hAnsi="Arial" w:cs="Arial"/>
          <w:sz w:val="24"/>
          <w:szCs w:val="24"/>
        </w:rPr>
        <w:t xml:space="preserve"> party’s election to disregard legislation</w:t>
      </w:r>
      <w:r w:rsidR="002563C1" w:rsidRPr="001E23FF">
        <w:rPr>
          <w:rFonts w:ascii="Arial" w:hAnsi="Arial" w:cs="Arial"/>
          <w:sz w:val="24"/>
          <w:szCs w:val="24"/>
        </w:rPr>
        <w:t xml:space="preserve"> (“self help”)</w:t>
      </w:r>
      <w:r w:rsidR="006F4EAE" w:rsidRPr="001E23FF">
        <w:rPr>
          <w:rFonts w:ascii="Arial" w:hAnsi="Arial" w:cs="Arial"/>
          <w:sz w:val="24"/>
          <w:szCs w:val="24"/>
        </w:rPr>
        <w:t xml:space="preserve"> or lack of </w:t>
      </w:r>
      <w:r w:rsidR="006F4EAE" w:rsidRPr="001E23FF">
        <w:rPr>
          <w:rFonts w:ascii="Arial" w:hAnsi="Arial" w:cs="Arial"/>
          <w:i/>
          <w:iCs/>
          <w:sz w:val="24"/>
          <w:szCs w:val="24"/>
        </w:rPr>
        <w:t>bona fi</w:t>
      </w:r>
      <w:r w:rsidR="002563C1" w:rsidRPr="001E23FF">
        <w:rPr>
          <w:rFonts w:ascii="Arial" w:hAnsi="Arial" w:cs="Arial"/>
          <w:i/>
          <w:iCs/>
          <w:sz w:val="24"/>
          <w:szCs w:val="24"/>
        </w:rPr>
        <w:t>d</w:t>
      </w:r>
      <w:r w:rsidR="006F4EAE" w:rsidRPr="001E23FF">
        <w:rPr>
          <w:rFonts w:ascii="Arial" w:hAnsi="Arial" w:cs="Arial"/>
          <w:i/>
          <w:iCs/>
          <w:sz w:val="24"/>
          <w:szCs w:val="24"/>
        </w:rPr>
        <w:t>es</w:t>
      </w:r>
      <w:r w:rsidR="006F4EAE" w:rsidRPr="001E23FF">
        <w:rPr>
          <w:rFonts w:ascii="Arial" w:hAnsi="Arial" w:cs="Arial"/>
          <w:sz w:val="24"/>
          <w:szCs w:val="24"/>
        </w:rPr>
        <w:t xml:space="preserve"> </w:t>
      </w:r>
      <w:r w:rsidR="00BD3966" w:rsidRPr="001E23FF">
        <w:rPr>
          <w:rFonts w:ascii="Arial" w:hAnsi="Arial" w:cs="Arial"/>
          <w:sz w:val="24"/>
          <w:szCs w:val="24"/>
        </w:rPr>
        <w:t xml:space="preserve">in doing so </w:t>
      </w:r>
      <w:r w:rsidR="006F4EAE" w:rsidRPr="001E23FF">
        <w:rPr>
          <w:rFonts w:ascii="Arial" w:hAnsi="Arial" w:cs="Arial"/>
          <w:sz w:val="24"/>
          <w:szCs w:val="24"/>
        </w:rPr>
        <w:t xml:space="preserve">are examples of factors </w:t>
      </w:r>
      <w:r w:rsidR="002563C1" w:rsidRPr="001E23FF">
        <w:rPr>
          <w:rFonts w:ascii="Arial" w:hAnsi="Arial" w:cs="Arial"/>
          <w:sz w:val="24"/>
          <w:szCs w:val="24"/>
        </w:rPr>
        <w:t>that would count against favourably exercising such a discretion.</w:t>
      </w:r>
    </w:p>
    <w:p w14:paraId="7775DB35" w14:textId="1944E74B" w:rsidR="00616277" w:rsidRPr="001E23FF" w:rsidRDefault="001E23FF" w:rsidP="001E23FF">
      <w:pPr>
        <w:spacing w:before="60" w:afterLines="60" w:after="144" w:line="480" w:lineRule="auto"/>
        <w:ind w:left="360" w:hanging="36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16277" w:rsidRPr="001E23FF">
        <w:rPr>
          <w:rFonts w:ascii="Arial" w:hAnsi="Arial" w:cs="Arial"/>
          <w:i/>
          <w:iCs/>
          <w:sz w:val="24"/>
          <w:szCs w:val="24"/>
        </w:rPr>
        <w:t>In casu</w:t>
      </w:r>
      <w:r w:rsidR="00616277" w:rsidRPr="001E23FF">
        <w:rPr>
          <w:rFonts w:ascii="Arial" w:hAnsi="Arial" w:cs="Arial"/>
          <w:sz w:val="24"/>
          <w:szCs w:val="24"/>
        </w:rPr>
        <w:t>, no evidence was presented as to</w:t>
      </w:r>
      <w:r w:rsidR="009C7E5B" w:rsidRPr="001E23FF">
        <w:rPr>
          <w:rFonts w:ascii="Arial" w:hAnsi="Arial" w:cs="Arial"/>
          <w:sz w:val="24"/>
          <w:szCs w:val="24"/>
        </w:rPr>
        <w:t xml:space="preserve"> the</w:t>
      </w:r>
      <w:r w:rsidR="00616277" w:rsidRPr="001E23FF">
        <w:rPr>
          <w:rFonts w:ascii="Arial" w:hAnsi="Arial" w:cs="Arial"/>
          <w:sz w:val="24"/>
          <w:szCs w:val="24"/>
        </w:rPr>
        <w:t xml:space="preserve"> reasons for, methodology used or the reliability of the </w:t>
      </w:r>
      <w:r w:rsidR="003005E4" w:rsidRPr="001E23FF">
        <w:rPr>
          <w:rFonts w:ascii="Arial" w:hAnsi="Arial" w:cs="Arial"/>
          <w:sz w:val="24"/>
          <w:szCs w:val="24"/>
        </w:rPr>
        <w:t>virtual commissioning. Ther</w:t>
      </w:r>
      <w:r w:rsidR="00B25639" w:rsidRPr="001E23FF">
        <w:rPr>
          <w:rFonts w:ascii="Arial" w:hAnsi="Arial" w:cs="Arial"/>
          <w:sz w:val="24"/>
          <w:szCs w:val="24"/>
        </w:rPr>
        <w:t>e</w:t>
      </w:r>
      <w:r w:rsidR="003005E4" w:rsidRPr="001E23FF">
        <w:rPr>
          <w:rFonts w:ascii="Arial" w:hAnsi="Arial" w:cs="Arial"/>
          <w:sz w:val="24"/>
          <w:szCs w:val="24"/>
        </w:rPr>
        <w:t xml:space="preserve"> are simply no facts before me upon which to exercise </w:t>
      </w:r>
      <w:r w:rsidR="00B25639" w:rsidRPr="001E23FF">
        <w:rPr>
          <w:rFonts w:ascii="Arial" w:hAnsi="Arial" w:cs="Arial"/>
          <w:sz w:val="24"/>
          <w:szCs w:val="24"/>
        </w:rPr>
        <w:t xml:space="preserve">my discretion. As a result, the non-compliant affidavit </w:t>
      </w:r>
      <w:r w:rsidR="0044461A" w:rsidRPr="001E23FF">
        <w:rPr>
          <w:rFonts w:ascii="Arial" w:hAnsi="Arial" w:cs="Arial"/>
          <w:sz w:val="24"/>
          <w:szCs w:val="24"/>
        </w:rPr>
        <w:t xml:space="preserve">is not </w:t>
      </w:r>
      <w:r w:rsidR="00B25639" w:rsidRPr="001E23FF">
        <w:rPr>
          <w:rFonts w:ascii="Arial" w:hAnsi="Arial" w:cs="Arial"/>
          <w:sz w:val="24"/>
          <w:szCs w:val="24"/>
        </w:rPr>
        <w:t>accepted</w:t>
      </w:r>
      <w:r w:rsidR="00E91524" w:rsidRPr="001E23FF">
        <w:rPr>
          <w:rFonts w:ascii="Arial" w:hAnsi="Arial" w:cs="Arial"/>
          <w:sz w:val="24"/>
          <w:szCs w:val="24"/>
        </w:rPr>
        <w:t xml:space="preserve"> and the application itself is therefore not properly before Court</w:t>
      </w:r>
      <w:r w:rsidR="00B83798" w:rsidRPr="001E23FF">
        <w:rPr>
          <w:rFonts w:ascii="Arial" w:hAnsi="Arial" w:cs="Arial"/>
          <w:sz w:val="24"/>
          <w:szCs w:val="24"/>
        </w:rPr>
        <w:t xml:space="preserve"> in terms of </w:t>
      </w:r>
      <w:r w:rsidR="004C560B" w:rsidRPr="001E23FF">
        <w:rPr>
          <w:rFonts w:ascii="Arial" w:hAnsi="Arial" w:cs="Arial"/>
          <w:sz w:val="24"/>
          <w:szCs w:val="24"/>
        </w:rPr>
        <w:t xml:space="preserve">Uniform </w:t>
      </w:r>
      <w:r w:rsidR="00B83798" w:rsidRPr="001E23FF">
        <w:rPr>
          <w:rFonts w:ascii="Arial" w:hAnsi="Arial" w:cs="Arial"/>
          <w:sz w:val="24"/>
          <w:szCs w:val="24"/>
        </w:rPr>
        <w:t>Rule</w:t>
      </w:r>
      <w:r w:rsidR="004C560B" w:rsidRPr="001E23FF">
        <w:rPr>
          <w:rFonts w:ascii="Arial" w:hAnsi="Arial" w:cs="Arial"/>
          <w:sz w:val="24"/>
          <w:szCs w:val="24"/>
        </w:rPr>
        <w:t xml:space="preserve"> 32</w:t>
      </w:r>
      <w:r w:rsidR="00AD3192" w:rsidRPr="001E23FF">
        <w:rPr>
          <w:rFonts w:ascii="Arial" w:hAnsi="Arial" w:cs="Arial"/>
          <w:sz w:val="24"/>
          <w:szCs w:val="24"/>
        </w:rPr>
        <w:t>.</w:t>
      </w:r>
    </w:p>
    <w:p w14:paraId="4C509961" w14:textId="41A61971" w:rsidR="00AD3192" w:rsidRPr="001E23FF" w:rsidRDefault="001E23FF" w:rsidP="001E23FF">
      <w:pPr>
        <w:spacing w:before="60" w:afterLines="60" w:after="144" w:line="480" w:lineRule="auto"/>
        <w:ind w:left="360" w:hanging="360"/>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AD3192" w:rsidRPr="001E23FF">
        <w:rPr>
          <w:rFonts w:ascii="Arial" w:hAnsi="Arial" w:cs="Arial"/>
          <w:sz w:val="24"/>
          <w:szCs w:val="24"/>
        </w:rPr>
        <w:t>The application stands to be dismissed on this basis alone</w:t>
      </w:r>
      <w:r w:rsidR="00D43F80" w:rsidRPr="001E23FF">
        <w:rPr>
          <w:rFonts w:ascii="Arial" w:hAnsi="Arial" w:cs="Arial"/>
          <w:sz w:val="24"/>
          <w:szCs w:val="24"/>
        </w:rPr>
        <w:t xml:space="preserve">. I </w:t>
      </w:r>
      <w:r w:rsidR="00AA202D" w:rsidRPr="001E23FF">
        <w:rPr>
          <w:rFonts w:ascii="Arial" w:hAnsi="Arial" w:cs="Arial"/>
          <w:sz w:val="24"/>
          <w:szCs w:val="24"/>
        </w:rPr>
        <w:t>will,</w:t>
      </w:r>
      <w:r w:rsidR="00D43F80" w:rsidRPr="001E23FF">
        <w:rPr>
          <w:rFonts w:ascii="Arial" w:hAnsi="Arial" w:cs="Arial"/>
          <w:sz w:val="24"/>
          <w:szCs w:val="24"/>
        </w:rPr>
        <w:t xml:space="preserve"> however, briefly address</w:t>
      </w:r>
      <w:r w:rsidR="00077043" w:rsidRPr="001E23FF">
        <w:rPr>
          <w:rFonts w:ascii="Arial" w:hAnsi="Arial" w:cs="Arial"/>
          <w:sz w:val="24"/>
          <w:szCs w:val="24"/>
        </w:rPr>
        <w:t xml:space="preserve"> some of the salient arguments</w:t>
      </w:r>
      <w:r w:rsidR="00071B5C" w:rsidRPr="001E23FF">
        <w:rPr>
          <w:rFonts w:ascii="Arial" w:hAnsi="Arial" w:cs="Arial"/>
          <w:sz w:val="24"/>
          <w:szCs w:val="24"/>
        </w:rPr>
        <w:t xml:space="preserve"> raised relating to</w:t>
      </w:r>
      <w:r w:rsidR="00D43F80" w:rsidRPr="001E23FF">
        <w:rPr>
          <w:rFonts w:ascii="Arial" w:hAnsi="Arial" w:cs="Arial"/>
          <w:sz w:val="24"/>
          <w:szCs w:val="24"/>
        </w:rPr>
        <w:t xml:space="preserve"> </w:t>
      </w:r>
      <w:r w:rsidR="005B14C8" w:rsidRPr="001E23FF">
        <w:rPr>
          <w:rFonts w:ascii="Arial" w:hAnsi="Arial" w:cs="Arial"/>
          <w:sz w:val="24"/>
          <w:szCs w:val="24"/>
        </w:rPr>
        <w:t>the defence raised by the Respondent.</w:t>
      </w:r>
    </w:p>
    <w:p w14:paraId="585FA45B" w14:textId="77777777" w:rsidR="009C7E5B" w:rsidRDefault="009C7E5B" w:rsidP="009C7E5B">
      <w:pPr>
        <w:pStyle w:val="ListParagraph"/>
        <w:spacing w:before="60" w:afterLines="60" w:after="144" w:line="480" w:lineRule="auto"/>
        <w:ind w:left="360"/>
        <w:jc w:val="both"/>
        <w:rPr>
          <w:rFonts w:ascii="Arial" w:hAnsi="Arial" w:cs="Arial"/>
          <w:sz w:val="24"/>
          <w:szCs w:val="24"/>
        </w:rPr>
      </w:pPr>
    </w:p>
    <w:p w14:paraId="71610E2D" w14:textId="3ED591D1" w:rsidR="00E91524" w:rsidRPr="00CE0E0A" w:rsidRDefault="007A52FA" w:rsidP="005B14C8">
      <w:pPr>
        <w:spacing w:before="60" w:afterLines="60" w:after="144" w:line="480" w:lineRule="auto"/>
        <w:jc w:val="both"/>
        <w:rPr>
          <w:rFonts w:ascii="Arial" w:hAnsi="Arial" w:cs="Arial"/>
          <w:b/>
          <w:bCs/>
          <w:sz w:val="24"/>
          <w:szCs w:val="24"/>
        </w:rPr>
      </w:pPr>
      <w:r w:rsidRPr="00CE0E0A">
        <w:rPr>
          <w:rFonts w:ascii="Arial" w:hAnsi="Arial" w:cs="Arial"/>
          <w:b/>
          <w:bCs/>
          <w:sz w:val="24"/>
          <w:szCs w:val="24"/>
        </w:rPr>
        <w:t xml:space="preserve">RESPONDENT’S DEFENCE TO THE </w:t>
      </w:r>
      <w:r w:rsidR="00CE0E0A" w:rsidRPr="00CE0E0A">
        <w:rPr>
          <w:rFonts w:ascii="Arial" w:hAnsi="Arial" w:cs="Arial"/>
          <w:b/>
          <w:bCs/>
          <w:sz w:val="24"/>
          <w:szCs w:val="24"/>
        </w:rPr>
        <w:t>MAIN ACTION</w:t>
      </w:r>
    </w:p>
    <w:p w14:paraId="0F6FC9BF" w14:textId="0C97AC61" w:rsidR="005C1EE9" w:rsidRPr="001E23FF" w:rsidRDefault="001E23FF" w:rsidP="001E23FF">
      <w:pPr>
        <w:tabs>
          <w:tab w:val="right" w:pos="8208"/>
        </w:tabs>
        <w:spacing w:before="60" w:afterLines="60" w:after="144" w:line="480" w:lineRule="auto"/>
        <w:ind w:left="360" w:hanging="360"/>
        <w:jc w:val="both"/>
        <w:rPr>
          <w:rFonts w:ascii="Arial" w:hAnsi="Arial" w:cs="Arial"/>
          <w:i/>
          <w:iCs/>
          <w:sz w:val="24"/>
          <w:szCs w:val="24"/>
        </w:rPr>
      </w:pPr>
      <w:r w:rsidRPr="00CC5AB3">
        <w:rPr>
          <w:rFonts w:ascii="Arial" w:hAnsi="Arial" w:cs="Arial"/>
          <w:sz w:val="24"/>
          <w:szCs w:val="24"/>
        </w:rPr>
        <w:t>21.</w:t>
      </w:r>
      <w:r w:rsidRPr="00CC5AB3">
        <w:rPr>
          <w:rFonts w:ascii="Arial" w:hAnsi="Arial" w:cs="Arial"/>
          <w:sz w:val="24"/>
          <w:szCs w:val="24"/>
        </w:rPr>
        <w:tab/>
      </w:r>
      <w:r w:rsidR="005C1EE9" w:rsidRPr="001E23FF">
        <w:rPr>
          <w:rFonts w:ascii="Arial" w:hAnsi="Arial" w:cs="Arial"/>
          <w:sz w:val="24"/>
          <w:szCs w:val="24"/>
        </w:rPr>
        <w:t xml:space="preserve">On the </w:t>
      </w:r>
      <w:r w:rsidR="004433FC" w:rsidRPr="001E23FF">
        <w:rPr>
          <w:rFonts w:ascii="Arial" w:hAnsi="Arial" w:cs="Arial"/>
          <w:sz w:val="24"/>
          <w:szCs w:val="24"/>
        </w:rPr>
        <w:t>12</w:t>
      </w:r>
      <w:r w:rsidR="004433FC" w:rsidRPr="001E23FF">
        <w:rPr>
          <w:rFonts w:ascii="Arial" w:hAnsi="Arial" w:cs="Arial"/>
          <w:sz w:val="24"/>
          <w:szCs w:val="24"/>
          <w:vertAlign w:val="superscript"/>
        </w:rPr>
        <w:t xml:space="preserve">th </w:t>
      </w:r>
      <w:r w:rsidR="004433FC" w:rsidRPr="001E23FF">
        <w:rPr>
          <w:rFonts w:ascii="Arial" w:hAnsi="Arial" w:cs="Arial"/>
          <w:sz w:val="24"/>
          <w:szCs w:val="24"/>
        </w:rPr>
        <w:t>of May 2020</w:t>
      </w:r>
      <w:r w:rsidR="005C1EE9" w:rsidRPr="001E23FF">
        <w:rPr>
          <w:rFonts w:ascii="Arial" w:hAnsi="Arial" w:cs="Arial"/>
          <w:sz w:val="24"/>
          <w:szCs w:val="24"/>
        </w:rPr>
        <w:t>, i</w:t>
      </w:r>
      <w:r w:rsidR="00127661" w:rsidRPr="001E23FF">
        <w:rPr>
          <w:rFonts w:ascii="Arial" w:hAnsi="Arial" w:cs="Arial"/>
          <w:sz w:val="24"/>
          <w:szCs w:val="24"/>
        </w:rPr>
        <w:t xml:space="preserve">n </w:t>
      </w:r>
      <w:r w:rsidR="00147F75" w:rsidRPr="001E23FF">
        <w:rPr>
          <w:rFonts w:ascii="Arial" w:hAnsi="Arial" w:cs="Arial"/>
          <w:sz w:val="24"/>
          <w:szCs w:val="24"/>
        </w:rPr>
        <w:t>midst of the devastating COVID 19 pandemic, the Banking Association of South Africa</w:t>
      </w:r>
      <w:r w:rsidR="00BA08C1" w:rsidRPr="001E23FF">
        <w:rPr>
          <w:rFonts w:ascii="Arial" w:hAnsi="Arial" w:cs="Arial"/>
          <w:sz w:val="24"/>
          <w:szCs w:val="24"/>
        </w:rPr>
        <w:t xml:space="preserve"> (“BASA”)</w:t>
      </w:r>
      <w:r w:rsidR="004433FC" w:rsidRPr="001E23FF">
        <w:rPr>
          <w:rFonts w:ascii="Arial" w:hAnsi="Arial" w:cs="Arial"/>
          <w:sz w:val="24"/>
          <w:szCs w:val="24"/>
        </w:rPr>
        <w:t>, National Treasury</w:t>
      </w:r>
      <w:r w:rsidR="00BA08C1" w:rsidRPr="001E23FF">
        <w:rPr>
          <w:rFonts w:ascii="Arial" w:hAnsi="Arial" w:cs="Arial"/>
          <w:sz w:val="24"/>
          <w:szCs w:val="24"/>
        </w:rPr>
        <w:t xml:space="preserve"> (“Treasury”)</w:t>
      </w:r>
      <w:r w:rsidR="004433FC" w:rsidRPr="001E23FF">
        <w:rPr>
          <w:rFonts w:ascii="Arial" w:hAnsi="Arial" w:cs="Arial"/>
          <w:sz w:val="24"/>
          <w:szCs w:val="24"/>
        </w:rPr>
        <w:t xml:space="preserve"> and the South African Reserve Bank</w:t>
      </w:r>
      <w:r w:rsidR="00BA08C1" w:rsidRPr="001E23FF">
        <w:rPr>
          <w:rFonts w:ascii="Arial" w:hAnsi="Arial" w:cs="Arial"/>
          <w:sz w:val="24"/>
          <w:szCs w:val="24"/>
        </w:rPr>
        <w:t xml:space="preserve"> (“SARB”)</w:t>
      </w:r>
      <w:r w:rsidR="004433FC" w:rsidRPr="001E23FF">
        <w:rPr>
          <w:rFonts w:ascii="Arial" w:hAnsi="Arial" w:cs="Arial"/>
          <w:sz w:val="24"/>
          <w:szCs w:val="24"/>
        </w:rPr>
        <w:t xml:space="preserve"> made the following joint </w:t>
      </w:r>
      <w:r w:rsidR="005C1EE9" w:rsidRPr="001E23FF">
        <w:rPr>
          <w:rFonts w:ascii="Arial" w:hAnsi="Arial" w:cs="Arial"/>
          <w:sz w:val="24"/>
          <w:szCs w:val="24"/>
        </w:rPr>
        <w:t>announcement:</w:t>
      </w:r>
    </w:p>
    <w:p w14:paraId="329FE37A" w14:textId="4E1B1B92" w:rsidR="00CD5E29" w:rsidRPr="006F5F99" w:rsidRDefault="004433FC" w:rsidP="006F5F99">
      <w:pPr>
        <w:pStyle w:val="ListParagraph"/>
        <w:tabs>
          <w:tab w:val="right" w:pos="8208"/>
        </w:tabs>
        <w:spacing w:afterLines="100" w:after="240" w:line="360" w:lineRule="auto"/>
        <w:ind w:left="357"/>
        <w:contextualSpacing w:val="0"/>
        <w:jc w:val="both"/>
        <w:rPr>
          <w:rFonts w:ascii="Arial" w:hAnsi="Arial" w:cs="Arial"/>
          <w:i/>
          <w:iCs/>
          <w:sz w:val="24"/>
          <w:szCs w:val="24"/>
        </w:rPr>
      </w:pPr>
      <w:r>
        <w:rPr>
          <w:rFonts w:ascii="Arial" w:hAnsi="Arial" w:cs="Arial"/>
          <w:i/>
          <w:iCs/>
          <w:sz w:val="24"/>
          <w:szCs w:val="24"/>
        </w:rPr>
        <w:t>“</w:t>
      </w:r>
      <w:r w:rsidR="00CC5AB3" w:rsidRPr="00CC5AB3">
        <w:rPr>
          <w:rFonts w:ascii="Arial" w:hAnsi="Arial" w:cs="Arial"/>
          <w:i/>
          <w:iCs/>
          <w:sz w:val="24"/>
          <w:szCs w:val="24"/>
        </w:rPr>
        <w:t>The Covid-19 loan guarantee scheme announced by President Cyril Ramaphosa in April will operate from today, 12 May 2020. The initial set of participating banks (Absa, First National Bank, Investec, Mercantile Bank, Nedbank and Standard Bank) are ready to accept loan applications from eligible businesses which bank with them. The activation of the loan guarantee scheme follows the finalisation of legal details by National Treasury, the South African Reserve Bank and the Banking Association South Africa. The loan guarantee scheme is an initiative to provide loans, guaranteed by government, to eligible businesses with an annual turnover of less than R300 million to meet some of their operational expenses. Funds borrowed through this scheme can be used for operational expenses such as salaries, rent and lease agreements, contracts with suppliers, etc. Government and commercial banks are sharing the risks of these loans. Initially, the National Treasury has provided a guarantee of R100 billion to this scheme, with the option to increase the guarantee to R200 billion if necessary and if the scheme is deemed successful. Eligible businesses should contact their primary or main banker.</w:t>
      </w:r>
      <w:r w:rsidR="00710E16">
        <w:rPr>
          <w:rFonts w:ascii="Arial" w:hAnsi="Arial" w:cs="Arial"/>
          <w:i/>
          <w:iCs/>
          <w:sz w:val="24"/>
          <w:szCs w:val="24"/>
        </w:rPr>
        <w:t>”</w:t>
      </w:r>
    </w:p>
    <w:p w14:paraId="16DC9B27" w14:textId="0127293D" w:rsidR="00C408E6" w:rsidRPr="001E23FF" w:rsidRDefault="001E23FF" w:rsidP="001E23FF">
      <w:pPr>
        <w:tabs>
          <w:tab w:val="right" w:pos="8208"/>
        </w:tabs>
        <w:spacing w:before="240" w:afterLines="60" w:after="144" w:line="480" w:lineRule="auto"/>
        <w:ind w:left="357" w:hanging="35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614FBC" w:rsidRPr="001E23FF">
        <w:rPr>
          <w:rFonts w:ascii="Arial" w:hAnsi="Arial" w:cs="Arial"/>
          <w:sz w:val="24"/>
          <w:szCs w:val="24"/>
        </w:rPr>
        <w:t>Laziways Travels CC (“the principal debtor”)</w:t>
      </w:r>
      <w:r w:rsidR="00C87E38" w:rsidRPr="001E23FF">
        <w:rPr>
          <w:rFonts w:ascii="Arial" w:hAnsi="Arial" w:cs="Arial"/>
          <w:sz w:val="24"/>
          <w:szCs w:val="24"/>
        </w:rPr>
        <w:t>, represented by the Respondent</w:t>
      </w:r>
      <w:r w:rsidR="00610613" w:rsidRPr="001E23FF">
        <w:rPr>
          <w:rFonts w:ascii="Arial" w:hAnsi="Arial" w:cs="Arial"/>
          <w:sz w:val="24"/>
          <w:szCs w:val="24"/>
        </w:rPr>
        <w:t xml:space="preserve">, took advantage </w:t>
      </w:r>
      <w:r w:rsidR="00761FFF" w:rsidRPr="001E23FF">
        <w:rPr>
          <w:rFonts w:ascii="Arial" w:hAnsi="Arial" w:cs="Arial"/>
          <w:sz w:val="24"/>
          <w:szCs w:val="24"/>
        </w:rPr>
        <w:t xml:space="preserve">of the offer and obtained a loan from the Applicant to the value of </w:t>
      </w:r>
      <w:r w:rsidR="007B5B89" w:rsidRPr="001E23FF">
        <w:rPr>
          <w:rFonts w:ascii="Arial" w:hAnsi="Arial" w:cs="Arial"/>
          <w:sz w:val="24"/>
          <w:szCs w:val="24"/>
        </w:rPr>
        <w:t xml:space="preserve">R352 905,00. </w:t>
      </w:r>
      <w:r w:rsidR="00D82BA1" w:rsidRPr="001E23FF">
        <w:rPr>
          <w:rFonts w:ascii="Arial" w:hAnsi="Arial" w:cs="Arial"/>
          <w:sz w:val="24"/>
          <w:szCs w:val="24"/>
        </w:rPr>
        <w:t>The Respondent also signed a surety agreement</w:t>
      </w:r>
      <w:r w:rsidR="005E7789" w:rsidRPr="001E23FF">
        <w:rPr>
          <w:rFonts w:ascii="Arial" w:hAnsi="Arial" w:cs="Arial"/>
          <w:sz w:val="24"/>
          <w:szCs w:val="24"/>
        </w:rPr>
        <w:t xml:space="preserve"> in his personal capacity.</w:t>
      </w:r>
    </w:p>
    <w:p w14:paraId="464397B2" w14:textId="03B48DBE" w:rsidR="005E7789" w:rsidRPr="001E23FF" w:rsidRDefault="001E23FF" w:rsidP="001E23FF">
      <w:pPr>
        <w:tabs>
          <w:tab w:val="right" w:pos="8208"/>
        </w:tabs>
        <w:spacing w:before="120" w:afterLines="60" w:after="144" w:line="480" w:lineRule="auto"/>
        <w:ind w:left="357" w:hanging="357"/>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42D9C" w:rsidRPr="001E23FF">
        <w:rPr>
          <w:rFonts w:ascii="Arial" w:hAnsi="Arial" w:cs="Arial"/>
          <w:sz w:val="24"/>
          <w:szCs w:val="24"/>
        </w:rPr>
        <w:t>On the 25</w:t>
      </w:r>
      <w:r w:rsidR="00942D9C" w:rsidRPr="001E23FF">
        <w:rPr>
          <w:rFonts w:ascii="Arial" w:hAnsi="Arial" w:cs="Arial"/>
          <w:sz w:val="24"/>
          <w:szCs w:val="24"/>
          <w:vertAlign w:val="superscript"/>
        </w:rPr>
        <w:t>th</w:t>
      </w:r>
      <w:r w:rsidR="00942D9C" w:rsidRPr="001E23FF">
        <w:rPr>
          <w:rFonts w:ascii="Arial" w:hAnsi="Arial" w:cs="Arial"/>
          <w:sz w:val="24"/>
          <w:szCs w:val="24"/>
        </w:rPr>
        <w:t xml:space="preserve"> of February 2021 the principal debtor was voluntarily liquidated</w:t>
      </w:r>
      <w:r w:rsidR="00EF2B32" w:rsidRPr="001E23FF">
        <w:rPr>
          <w:rFonts w:ascii="Arial" w:hAnsi="Arial" w:cs="Arial"/>
          <w:sz w:val="24"/>
          <w:szCs w:val="24"/>
        </w:rPr>
        <w:t xml:space="preserve">. The Applicant instituted action for recovery of the </w:t>
      </w:r>
      <w:r w:rsidR="00104DE9" w:rsidRPr="001E23FF">
        <w:rPr>
          <w:rFonts w:ascii="Arial" w:hAnsi="Arial" w:cs="Arial"/>
          <w:sz w:val="24"/>
          <w:szCs w:val="24"/>
        </w:rPr>
        <w:t xml:space="preserve">loan amount due against the Respondent on the basis of the suretyship he provided. </w:t>
      </w:r>
      <w:r w:rsidR="001B14C5" w:rsidRPr="001E23FF">
        <w:rPr>
          <w:rFonts w:ascii="Arial" w:hAnsi="Arial" w:cs="Arial"/>
          <w:sz w:val="24"/>
          <w:szCs w:val="24"/>
        </w:rPr>
        <w:t>In alleging misrepresentation, the Respondent avers that</w:t>
      </w:r>
      <w:r w:rsidR="006A00EE" w:rsidRPr="001E23FF">
        <w:rPr>
          <w:rFonts w:ascii="Arial" w:hAnsi="Arial" w:cs="Arial"/>
          <w:sz w:val="24"/>
          <w:szCs w:val="24"/>
        </w:rPr>
        <w:t xml:space="preserve"> he was </w:t>
      </w:r>
      <w:r w:rsidR="00AD3192" w:rsidRPr="001E23FF">
        <w:rPr>
          <w:rFonts w:ascii="Arial" w:hAnsi="Arial" w:cs="Arial"/>
          <w:sz w:val="24"/>
          <w:szCs w:val="24"/>
        </w:rPr>
        <w:t>led</w:t>
      </w:r>
      <w:r w:rsidR="006A00EE" w:rsidRPr="001E23FF">
        <w:rPr>
          <w:rFonts w:ascii="Arial" w:hAnsi="Arial" w:cs="Arial"/>
          <w:sz w:val="24"/>
          <w:szCs w:val="24"/>
        </w:rPr>
        <w:t xml:space="preserve"> to believe that </w:t>
      </w:r>
      <w:r w:rsidR="002C0EC8" w:rsidRPr="001E23FF">
        <w:rPr>
          <w:rFonts w:ascii="Arial" w:hAnsi="Arial" w:cs="Arial"/>
          <w:sz w:val="24"/>
          <w:szCs w:val="24"/>
        </w:rPr>
        <w:t xml:space="preserve">the loan was guaranteed by Treasury and </w:t>
      </w:r>
      <w:r w:rsidR="006A00EE" w:rsidRPr="001E23FF">
        <w:rPr>
          <w:rFonts w:ascii="Arial" w:hAnsi="Arial" w:cs="Arial"/>
          <w:sz w:val="24"/>
          <w:szCs w:val="24"/>
        </w:rPr>
        <w:t xml:space="preserve">that </w:t>
      </w:r>
      <w:r w:rsidR="002C0EC8" w:rsidRPr="001E23FF">
        <w:rPr>
          <w:rFonts w:ascii="Arial" w:hAnsi="Arial" w:cs="Arial"/>
          <w:sz w:val="24"/>
          <w:szCs w:val="24"/>
        </w:rPr>
        <w:t xml:space="preserve">the Applicant </w:t>
      </w:r>
      <w:r w:rsidR="000B6877" w:rsidRPr="001E23FF">
        <w:rPr>
          <w:rFonts w:ascii="Arial" w:hAnsi="Arial" w:cs="Arial"/>
          <w:sz w:val="24"/>
          <w:szCs w:val="24"/>
        </w:rPr>
        <w:t xml:space="preserve">had to look to Treasury first in the event of default. </w:t>
      </w:r>
      <w:r w:rsidR="003837CC" w:rsidRPr="001E23FF">
        <w:rPr>
          <w:rFonts w:ascii="Arial" w:hAnsi="Arial" w:cs="Arial"/>
          <w:sz w:val="24"/>
          <w:szCs w:val="24"/>
        </w:rPr>
        <w:t xml:space="preserve">Naturally, the Applicant alleges that it has not made the </w:t>
      </w:r>
      <w:r w:rsidR="003837CC" w:rsidRPr="001E23FF">
        <w:rPr>
          <w:rFonts w:ascii="Arial" w:hAnsi="Arial" w:cs="Arial"/>
          <w:sz w:val="24"/>
          <w:szCs w:val="24"/>
        </w:rPr>
        <w:lastRenderedPageBreak/>
        <w:t>misrepresentation and that it was</w:t>
      </w:r>
      <w:r w:rsidR="005C1BBA" w:rsidRPr="001E23FF">
        <w:rPr>
          <w:rFonts w:ascii="Arial" w:hAnsi="Arial" w:cs="Arial"/>
          <w:sz w:val="24"/>
          <w:szCs w:val="24"/>
        </w:rPr>
        <w:t>,</w:t>
      </w:r>
      <w:r w:rsidR="003837CC" w:rsidRPr="001E23FF">
        <w:rPr>
          <w:rFonts w:ascii="Arial" w:hAnsi="Arial" w:cs="Arial"/>
          <w:sz w:val="24"/>
          <w:szCs w:val="24"/>
        </w:rPr>
        <w:t xml:space="preserve"> in terms of the Covid 19 loan scheme</w:t>
      </w:r>
      <w:r w:rsidR="005C1BBA" w:rsidRPr="001E23FF">
        <w:rPr>
          <w:rFonts w:ascii="Arial" w:hAnsi="Arial" w:cs="Arial"/>
          <w:sz w:val="24"/>
          <w:szCs w:val="24"/>
        </w:rPr>
        <w:t>,</w:t>
      </w:r>
      <w:r w:rsidR="003837CC" w:rsidRPr="001E23FF">
        <w:rPr>
          <w:rFonts w:ascii="Arial" w:hAnsi="Arial" w:cs="Arial"/>
          <w:sz w:val="24"/>
          <w:szCs w:val="24"/>
        </w:rPr>
        <w:t xml:space="preserve"> not obliged to </w:t>
      </w:r>
      <w:r w:rsidR="005C1BBA" w:rsidRPr="001E23FF">
        <w:rPr>
          <w:rFonts w:ascii="Arial" w:hAnsi="Arial" w:cs="Arial"/>
          <w:sz w:val="24"/>
          <w:szCs w:val="24"/>
        </w:rPr>
        <w:t xml:space="preserve">recoup losses from Treasury only, but could opt to rely on the suretyship agreement </w:t>
      </w:r>
      <w:r w:rsidR="001B223F" w:rsidRPr="001E23FF">
        <w:rPr>
          <w:rFonts w:ascii="Arial" w:hAnsi="Arial" w:cs="Arial"/>
          <w:sz w:val="24"/>
          <w:szCs w:val="24"/>
        </w:rPr>
        <w:t xml:space="preserve">alone. </w:t>
      </w:r>
    </w:p>
    <w:p w14:paraId="3658E484" w14:textId="23F89895" w:rsidR="00635B7C" w:rsidRPr="001E23FF" w:rsidRDefault="001E23FF" w:rsidP="001E23FF">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24.</w:t>
      </w:r>
      <w:r>
        <w:rPr>
          <w:rFonts w:ascii="Arial" w:hAnsi="Arial" w:cs="Arial"/>
          <w:sz w:val="24"/>
          <w:szCs w:val="24"/>
        </w:rPr>
        <w:tab/>
      </w:r>
      <w:r w:rsidR="00866680" w:rsidRPr="001E23FF">
        <w:rPr>
          <w:rFonts w:ascii="Arial" w:hAnsi="Arial" w:cs="Arial"/>
          <w:sz w:val="24"/>
          <w:szCs w:val="24"/>
        </w:rPr>
        <w:t xml:space="preserve">In support of </w:t>
      </w:r>
      <w:r w:rsidR="007E71E6" w:rsidRPr="001E23FF">
        <w:rPr>
          <w:rFonts w:ascii="Arial" w:hAnsi="Arial" w:cs="Arial"/>
          <w:sz w:val="24"/>
          <w:szCs w:val="24"/>
        </w:rPr>
        <w:t>his argument regarding misrepresentation, the Respondent attached to his</w:t>
      </w:r>
      <w:r w:rsidR="00F45078" w:rsidRPr="001E23FF">
        <w:rPr>
          <w:rFonts w:ascii="Arial" w:hAnsi="Arial" w:cs="Arial"/>
          <w:sz w:val="24"/>
          <w:szCs w:val="24"/>
        </w:rPr>
        <w:t xml:space="preserve"> plea</w:t>
      </w:r>
      <w:r w:rsidR="007E71E6" w:rsidRPr="001E23FF">
        <w:rPr>
          <w:rFonts w:ascii="Arial" w:hAnsi="Arial" w:cs="Arial"/>
          <w:sz w:val="24"/>
          <w:szCs w:val="24"/>
        </w:rPr>
        <w:t xml:space="preserve">, the </w:t>
      </w:r>
      <w:r w:rsidR="00F45078" w:rsidRPr="001E23FF">
        <w:rPr>
          <w:rFonts w:ascii="Arial" w:hAnsi="Arial" w:cs="Arial"/>
          <w:sz w:val="24"/>
          <w:szCs w:val="24"/>
        </w:rPr>
        <w:t>aforementioned</w:t>
      </w:r>
      <w:r w:rsidR="007E71E6" w:rsidRPr="001E23FF">
        <w:rPr>
          <w:rFonts w:ascii="Arial" w:hAnsi="Arial" w:cs="Arial"/>
          <w:sz w:val="24"/>
          <w:szCs w:val="24"/>
        </w:rPr>
        <w:t xml:space="preserve"> </w:t>
      </w:r>
      <w:r w:rsidR="00286BE4" w:rsidRPr="001E23FF">
        <w:rPr>
          <w:rFonts w:ascii="Arial" w:hAnsi="Arial" w:cs="Arial"/>
          <w:sz w:val="24"/>
          <w:szCs w:val="24"/>
        </w:rPr>
        <w:t xml:space="preserve">announcement </w:t>
      </w:r>
      <w:r w:rsidR="00F45078" w:rsidRPr="001E23FF">
        <w:rPr>
          <w:rFonts w:ascii="Arial" w:hAnsi="Arial" w:cs="Arial"/>
          <w:sz w:val="24"/>
          <w:szCs w:val="24"/>
        </w:rPr>
        <w:t>and a document entitled “</w:t>
      </w:r>
      <w:r w:rsidR="00F45078" w:rsidRPr="001E23FF">
        <w:rPr>
          <w:rFonts w:ascii="Arial" w:hAnsi="Arial" w:cs="Arial"/>
          <w:i/>
          <w:iCs/>
          <w:sz w:val="24"/>
          <w:szCs w:val="24"/>
        </w:rPr>
        <w:t>Answering your questions about the Covid 19 loan guarantee</w:t>
      </w:r>
      <w:r w:rsidR="00352E09" w:rsidRPr="001E23FF">
        <w:rPr>
          <w:rFonts w:ascii="Arial" w:hAnsi="Arial" w:cs="Arial"/>
          <w:i/>
          <w:iCs/>
          <w:sz w:val="24"/>
          <w:szCs w:val="24"/>
        </w:rPr>
        <w:t xml:space="preserve"> scheme</w:t>
      </w:r>
      <w:r w:rsidR="00352E09" w:rsidRPr="001E23FF">
        <w:rPr>
          <w:rFonts w:ascii="Arial" w:hAnsi="Arial" w:cs="Arial"/>
          <w:sz w:val="24"/>
          <w:szCs w:val="24"/>
        </w:rPr>
        <w:t xml:space="preserve">” which had accompanied the joint media statement and was authored by </w:t>
      </w:r>
      <w:r w:rsidR="007A47A4" w:rsidRPr="001E23FF">
        <w:rPr>
          <w:rFonts w:ascii="Arial" w:hAnsi="Arial" w:cs="Arial"/>
          <w:sz w:val="24"/>
          <w:szCs w:val="24"/>
        </w:rPr>
        <w:t>BASA, Treasury and SARB.</w:t>
      </w:r>
      <w:r w:rsidR="000906EB" w:rsidRPr="001E23FF">
        <w:rPr>
          <w:rFonts w:ascii="Arial" w:hAnsi="Arial" w:cs="Arial"/>
          <w:sz w:val="24"/>
          <w:szCs w:val="24"/>
        </w:rPr>
        <w:t xml:space="preserve"> </w:t>
      </w:r>
      <w:r w:rsidR="00AC31AF" w:rsidRPr="001E23FF">
        <w:rPr>
          <w:rFonts w:ascii="Arial" w:hAnsi="Arial" w:cs="Arial"/>
          <w:sz w:val="24"/>
          <w:szCs w:val="24"/>
        </w:rPr>
        <w:t>In terms thereof, losses would be dealt with as follows:</w:t>
      </w:r>
    </w:p>
    <w:p w14:paraId="517AC560" w14:textId="2794EC9E" w:rsidR="00AC31AF" w:rsidRPr="008D4C38" w:rsidRDefault="004E499B" w:rsidP="00644443">
      <w:pPr>
        <w:pStyle w:val="ListParagraph"/>
        <w:tabs>
          <w:tab w:val="right" w:pos="8208"/>
        </w:tabs>
        <w:spacing w:before="60" w:afterLines="60" w:after="144" w:line="360" w:lineRule="auto"/>
        <w:ind w:left="425"/>
        <w:jc w:val="both"/>
        <w:rPr>
          <w:rFonts w:ascii="Arial" w:hAnsi="Arial" w:cs="Arial"/>
          <w:i/>
          <w:iCs/>
          <w:sz w:val="24"/>
          <w:szCs w:val="24"/>
        </w:rPr>
      </w:pPr>
      <w:r w:rsidRPr="008D4C38">
        <w:rPr>
          <w:rFonts w:ascii="Arial" w:hAnsi="Arial" w:cs="Arial"/>
          <w:i/>
          <w:iCs/>
          <w:sz w:val="24"/>
          <w:szCs w:val="24"/>
        </w:rPr>
        <w:t>“</w:t>
      </w:r>
      <w:r w:rsidR="00AC31AF" w:rsidRPr="008D4C38">
        <w:rPr>
          <w:rFonts w:ascii="Arial" w:hAnsi="Arial" w:cs="Arial"/>
          <w:i/>
          <w:iCs/>
          <w:sz w:val="24"/>
          <w:szCs w:val="24"/>
        </w:rPr>
        <w:t xml:space="preserve">Commercial banks and the National Treasury share the risks of the scheme. The South African Reserve Bank takes no financial risk in the scheme as its loans to banks are guaranteed by the National Treasury. Losses will be allocated as follows: </w:t>
      </w:r>
    </w:p>
    <w:p w14:paraId="174091DA" w14:textId="77777777" w:rsidR="00AC31AF" w:rsidRPr="008D4C38" w:rsidRDefault="00AC31AF" w:rsidP="004E499B">
      <w:pPr>
        <w:pStyle w:val="ListParagraph"/>
        <w:tabs>
          <w:tab w:val="right" w:pos="8208"/>
        </w:tabs>
        <w:spacing w:before="60" w:afterLines="60" w:after="144" w:line="360" w:lineRule="auto"/>
        <w:ind w:left="851"/>
        <w:jc w:val="both"/>
        <w:rPr>
          <w:rFonts w:ascii="Arial" w:hAnsi="Arial" w:cs="Arial"/>
          <w:i/>
          <w:iCs/>
          <w:sz w:val="24"/>
          <w:szCs w:val="24"/>
        </w:rPr>
      </w:pPr>
      <w:r w:rsidRPr="008D4C38">
        <w:rPr>
          <w:rFonts w:ascii="Arial" w:hAnsi="Arial" w:cs="Arial"/>
          <w:i/>
          <w:iCs/>
          <w:sz w:val="24"/>
          <w:szCs w:val="24"/>
        </w:rPr>
        <w:t xml:space="preserve">a. The net margin on the loan portfolio (approximately 2 percentage points) is pooled as the first loss buffer. </w:t>
      </w:r>
    </w:p>
    <w:p w14:paraId="55B2F05C" w14:textId="569BF09F" w:rsidR="00AC31AF" w:rsidRPr="008D4C38" w:rsidRDefault="00AC31AF" w:rsidP="004E499B">
      <w:pPr>
        <w:pStyle w:val="ListParagraph"/>
        <w:tabs>
          <w:tab w:val="right" w:pos="8208"/>
        </w:tabs>
        <w:spacing w:before="60" w:afterLines="60" w:after="144" w:line="360" w:lineRule="auto"/>
        <w:ind w:left="851"/>
        <w:jc w:val="both"/>
        <w:rPr>
          <w:rFonts w:ascii="Arial" w:hAnsi="Arial" w:cs="Arial"/>
          <w:i/>
          <w:iCs/>
          <w:sz w:val="24"/>
          <w:szCs w:val="24"/>
        </w:rPr>
      </w:pPr>
      <w:r w:rsidRPr="008D4C38">
        <w:rPr>
          <w:rFonts w:ascii="Arial" w:hAnsi="Arial" w:cs="Arial"/>
          <w:i/>
          <w:iCs/>
          <w:sz w:val="24"/>
          <w:szCs w:val="24"/>
        </w:rPr>
        <w:t>b. The 0 5 percentage point credit premium charged by the National</w:t>
      </w:r>
      <w:r w:rsidR="00893491">
        <w:rPr>
          <w:rFonts w:ascii="Arial" w:hAnsi="Arial" w:cs="Arial"/>
          <w:i/>
          <w:iCs/>
          <w:sz w:val="24"/>
          <w:szCs w:val="24"/>
        </w:rPr>
        <w:t xml:space="preserve"> </w:t>
      </w:r>
      <w:r w:rsidRPr="008D4C38">
        <w:rPr>
          <w:rFonts w:ascii="Arial" w:hAnsi="Arial" w:cs="Arial"/>
          <w:i/>
          <w:iCs/>
          <w:sz w:val="24"/>
          <w:szCs w:val="24"/>
        </w:rPr>
        <w:t xml:space="preserve">Treasury is the second loss buffer. </w:t>
      </w:r>
    </w:p>
    <w:p w14:paraId="5B45D2CA" w14:textId="77777777" w:rsidR="00AC31AF" w:rsidRPr="008D4C38" w:rsidRDefault="00AC31AF" w:rsidP="004E499B">
      <w:pPr>
        <w:pStyle w:val="ListParagraph"/>
        <w:tabs>
          <w:tab w:val="right" w:pos="8208"/>
        </w:tabs>
        <w:spacing w:before="60" w:afterLines="60" w:after="144" w:line="360" w:lineRule="auto"/>
        <w:ind w:left="851"/>
        <w:jc w:val="both"/>
        <w:rPr>
          <w:rFonts w:ascii="Arial" w:hAnsi="Arial" w:cs="Arial"/>
          <w:i/>
          <w:iCs/>
          <w:sz w:val="24"/>
          <w:szCs w:val="24"/>
        </w:rPr>
      </w:pPr>
      <w:r w:rsidRPr="008D4C38">
        <w:rPr>
          <w:rFonts w:ascii="Arial" w:hAnsi="Arial" w:cs="Arial"/>
          <w:i/>
          <w:iCs/>
          <w:sz w:val="24"/>
          <w:szCs w:val="24"/>
        </w:rPr>
        <w:t xml:space="preserve">c. Banks will take the third loss, up to 6 percentage points of the amount loaned by that particular bank in terms of the scheme. </w:t>
      </w:r>
    </w:p>
    <w:p w14:paraId="761593A3" w14:textId="4CBBCA1F" w:rsidR="00AC31AF" w:rsidRPr="008D4C38" w:rsidRDefault="00AC31AF" w:rsidP="004E499B">
      <w:pPr>
        <w:pStyle w:val="ListParagraph"/>
        <w:tabs>
          <w:tab w:val="right" w:pos="8208"/>
        </w:tabs>
        <w:spacing w:before="60" w:afterLines="60" w:after="144" w:line="360" w:lineRule="auto"/>
        <w:ind w:left="851"/>
        <w:jc w:val="both"/>
        <w:rPr>
          <w:rFonts w:ascii="Arial" w:hAnsi="Arial" w:cs="Arial"/>
          <w:i/>
          <w:iCs/>
          <w:sz w:val="24"/>
          <w:szCs w:val="24"/>
        </w:rPr>
      </w:pPr>
      <w:r w:rsidRPr="008D4C38">
        <w:rPr>
          <w:rFonts w:ascii="Arial" w:hAnsi="Arial" w:cs="Arial"/>
          <w:i/>
          <w:iCs/>
          <w:sz w:val="24"/>
          <w:szCs w:val="24"/>
        </w:rPr>
        <w:t>d. After that, losses will be borne by the National Treasury.</w:t>
      </w:r>
    </w:p>
    <w:p w14:paraId="27210E9B" w14:textId="3B459ADC" w:rsidR="0063556B" w:rsidRDefault="004E499B" w:rsidP="00071B5C">
      <w:pPr>
        <w:pStyle w:val="ListParagraph"/>
        <w:tabs>
          <w:tab w:val="right" w:pos="8208"/>
        </w:tabs>
        <w:spacing w:before="60" w:afterLines="60" w:after="144" w:line="360" w:lineRule="auto"/>
        <w:ind w:left="425"/>
        <w:jc w:val="both"/>
        <w:rPr>
          <w:rFonts w:ascii="Arial" w:hAnsi="Arial" w:cs="Arial"/>
          <w:i/>
          <w:iCs/>
          <w:sz w:val="24"/>
          <w:szCs w:val="24"/>
        </w:rPr>
      </w:pPr>
      <w:r w:rsidRPr="008D4C38">
        <w:rPr>
          <w:rFonts w:ascii="Arial" w:hAnsi="Arial" w:cs="Arial"/>
          <w:i/>
          <w:iCs/>
          <w:sz w:val="24"/>
          <w:szCs w:val="24"/>
        </w:rPr>
        <w:t>If a customer defaults on the loan, banks can claim on the guarantee from the Reserve Bank, which will in turn claim the funds from the National Treasury, but only after banks have followed the allocations outlined above and their standard recovery processes. If a bank initiates such a claim, the Reserve Bank will require an independent audit to ensure that sound lending practices were applied</w:t>
      </w:r>
      <w:r w:rsidR="0063556B" w:rsidRPr="008D4C38">
        <w:rPr>
          <w:rFonts w:ascii="Arial" w:hAnsi="Arial" w:cs="Arial"/>
          <w:i/>
          <w:iCs/>
          <w:sz w:val="24"/>
          <w:szCs w:val="24"/>
        </w:rPr>
        <w:t>….</w:t>
      </w:r>
      <w:r w:rsidR="008D4C38">
        <w:rPr>
          <w:rFonts w:ascii="Arial" w:hAnsi="Arial" w:cs="Arial"/>
          <w:i/>
          <w:iCs/>
          <w:sz w:val="24"/>
          <w:szCs w:val="24"/>
        </w:rPr>
        <w:t>”</w:t>
      </w:r>
    </w:p>
    <w:p w14:paraId="1A1022CF" w14:textId="77777777" w:rsidR="00071B5C" w:rsidRPr="00071B5C" w:rsidRDefault="00071B5C" w:rsidP="009C7E5B">
      <w:pPr>
        <w:pStyle w:val="ListParagraph"/>
        <w:tabs>
          <w:tab w:val="right" w:pos="8208"/>
        </w:tabs>
        <w:spacing w:before="60" w:afterLines="60" w:after="144" w:line="240" w:lineRule="auto"/>
        <w:ind w:left="425"/>
        <w:jc w:val="both"/>
        <w:rPr>
          <w:rFonts w:ascii="Arial" w:hAnsi="Arial" w:cs="Arial"/>
          <w:i/>
          <w:iCs/>
          <w:sz w:val="24"/>
          <w:szCs w:val="24"/>
        </w:rPr>
      </w:pPr>
    </w:p>
    <w:p w14:paraId="6081EE0A" w14:textId="5B871166" w:rsidR="002A3073" w:rsidRPr="001E23FF" w:rsidRDefault="001E23FF" w:rsidP="001E23FF">
      <w:pPr>
        <w:tabs>
          <w:tab w:val="right" w:pos="8208"/>
        </w:tabs>
        <w:spacing w:before="60" w:afterLines="60" w:after="144" w:line="360" w:lineRule="auto"/>
        <w:ind w:left="426" w:hanging="426"/>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80AA1" w:rsidRPr="001E23FF">
        <w:rPr>
          <w:rFonts w:ascii="Arial" w:hAnsi="Arial" w:cs="Arial"/>
          <w:sz w:val="24"/>
          <w:szCs w:val="24"/>
        </w:rPr>
        <w:t>In the affidavit opposing summary judgment, t</w:t>
      </w:r>
      <w:r w:rsidR="002A3073" w:rsidRPr="001E23FF">
        <w:rPr>
          <w:rFonts w:ascii="Arial" w:hAnsi="Arial" w:cs="Arial"/>
          <w:sz w:val="24"/>
          <w:szCs w:val="24"/>
        </w:rPr>
        <w:t>he Respondent states that:</w:t>
      </w:r>
    </w:p>
    <w:p w14:paraId="49D92497" w14:textId="0C29A446" w:rsidR="00BF2A3A" w:rsidRPr="00F80AA1" w:rsidRDefault="001D70C1" w:rsidP="0053129C">
      <w:pPr>
        <w:pStyle w:val="ListParagraph"/>
        <w:tabs>
          <w:tab w:val="right" w:pos="8208"/>
        </w:tabs>
        <w:spacing w:afterLines="60" w:after="144" w:line="360" w:lineRule="auto"/>
        <w:ind w:left="425"/>
        <w:jc w:val="both"/>
        <w:rPr>
          <w:rFonts w:ascii="Arial" w:hAnsi="Arial" w:cs="Arial"/>
          <w:i/>
          <w:iCs/>
          <w:sz w:val="24"/>
          <w:szCs w:val="24"/>
        </w:rPr>
      </w:pPr>
      <w:r>
        <w:rPr>
          <w:rFonts w:ascii="Arial" w:hAnsi="Arial" w:cs="Arial"/>
          <w:i/>
          <w:iCs/>
          <w:sz w:val="24"/>
          <w:szCs w:val="24"/>
        </w:rPr>
        <w:t>“</w:t>
      </w:r>
      <w:r w:rsidR="00D41144" w:rsidRPr="00F80AA1">
        <w:rPr>
          <w:rFonts w:ascii="Arial" w:hAnsi="Arial" w:cs="Arial"/>
          <w:i/>
          <w:iCs/>
          <w:sz w:val="24"/>
          <w:szCs w:val="24"/>
        </w:rPr>
        <w:t>23. As</w:t>
      </w:r>
      <w:r w:rsidR="002A3073" w:rsidRPr="00F80AA1">
        <w:rPr>
          <w:rFonts w:ascii="Arial" w:hAnsi="Arial" w:cs="Arial"/>
          <w:i/>
          <w:iCs/>
          <w:sz w:val="24"/>
          <w:szCs w:val="24"/>
        </w:rPr>
        <w:t xml:space="preserve"> a result of this media statement, I approached the Applicant to apply for a loan. </w:t>
      </w:r>
    </w:p>
    <w:p w14:paraId="60D0C480" w14:textId="51E7F9E3" w:rsidR="00BF2A3A" w:rsidRPr="00F80AA1" w:rsidRDefault="002A3073" w:rsidP="00D42DC4">
      <w:pPr>
        <w:pStyle w:val="ListParagraph"/>
        <w:tabs>
          <w:tab w:val="right" w:pos="8208"/>
        </w:tabs>
        <w:spacing w:before="60" w:afterLines="60" w:after="144" w:line="360" w:lineRule="auto"/>
        <w:ind w:left="425"/>
        <w:jc w:val="both"/>
        <w:rPr>
          <w:rFonts w:ascii="Arial" w:hAnsi="Arial" w:cs="Arial"/>
          <w:i/>
          <w:iCs/>
          <w:sz w:val="24"/>
          <w:szCs w:val="24"/>
        </w:rPr>
      </w:pPr>
      <w:r w:rsidRPr="00F80AA1">
        <w:rPr>
          <w:rFonts w:ascii="Arial" w:hAnsi="Arial" w:cs="Arial"/>
          <w:i/>
          <w:iCs/>
          <w:sz w:val="24"/>
          <w:szCs w:val="24"/>
        </w:rPr>
        <w:t>24.</w:t>
      </w:r>
      <w:r w:rsidR="00BF2A3A" w:rsidRPr="00F80AA1">
        <w:rPr>
          <w:rFonts w:ascii="Arial" w:hAnsi="Arial" w:cs="Arial"/>
          <w:i/>
          <w:iCs/>
          <w:sz w:val="24"/>
          <w:szCs w:val="24"/>
        </w:rPr>
        <w:t xml:space="preserve">I </w:t>
      </w:r>
      <w:r w:rsidRPr="00F80AA1">
        <w:rPr>
          <w:rFonts w:ascii="Arial" w:hAnsi="Arial" w:cs="Arial"/>
          <w:i/>
          <w:iCs/>
          <w:sz w:val="24"/>
          <w:szCs w:val="24"/>
        </w:rPr>
        <w:t xml:space="preserve">informed the Applicant of the fact that I am applying for this loan solely because of the understanding that the Applicant reached an agreement with the Government and that I would not be liable for repayment in the event that Laziwayz Travels CC defaulted on the loan. </w:t>
      </w:r>
    </w:p>
    <w:p w14:paraId="6CA43080" w14:textId="2A5D8555" w:rsidR="002A3073" w:rsidRPr="00F80AA1" w:rsidRDefault="002A3073" w:rsidP="00D42DC4">
      <w:pPr>
        <w:pStyle w:val="ListParagraph"/>
        <w:tabs>
          <w:tab w:val="right" w:pos="8208"/>
        </w:tabs>
        <w:spacing w:before="60" w:afterLines="60" w:after="144" w:line="360" w:lineRule="auto"/>
        <w:ind w:left="425"/>
        <w:jc w:val="both"/>
        <w:rPr>
          <w:rFonts w:ascii="Arial" w:hAnsi="Arial" w:cs="Arial"/>
          <w:i/>
          <w:iCs/>
          <w:sz w:val="24"/>
          <w:szCs w:val="24"/>
        </w:rPr>
      </w:pPr>
      <w:r w:rsidRPr="00F80AA1">
        <w:rPr>
          <w:rFonts w:ascii="Arial" w:hAnsi="Arial" w:cs="Arial"/>
          <w:i/>
          <w:iCs/>
          <w:sz w:val="24"/>
          <w:szCs w:val="24"/>
        </w:rPr>
        <w:t>25.The representative for the Applicant did not correct me and indicated that it was indeed the position with this specific scheme. I was never informed that the Applicant would come after me when a guarantee was provided for billions of rands by the Government.</w:t>
      </w:r>
    </w:p>
    <w:p w14:paraId="26031316" w14:textId="77777777" w:rsidR="00F80AA1" w:rsidRPr="00F80AA1" w:rsidRDefault="00F80AA1" w:rsidP="00D42DC4">
      <w:pPr>
        <w:pStyle w:val="ListParagraph"/>
        <w:tabs>
          <w:tab w:val="right" w:pos="8208"/>
        </w:tabs>
        <w:spacing w:before="60" w:afterLines="60" w:after="144" w:line="360" w:lineRule="auto"/>
        <w:ind w:left="425"/>
        <w:jc w:val="both"/>
        <w:rPr>
          <w:rFonts w:ascii="Arial" w:hAnsi="Arial" w:cs="Arial"/>
          <w:i/>
          <w:iCs/>
          <w:sz w:val="24"/>
          <w:szCs w:val="24"/>
        </w:rPr>
      </w:pPr>
      <w:r w:rsidRPr="00F80AA1">
        <w:rPr>
          <w:rFonts w:ascii="Arial" w:hAnsi="Arial" w:cs="Arial"/>
          <w:i/>
          <w:iCs/>
          <w:sz w:val="24"/>
          <w:szCs w:val="24"/>
        </w:rPr>
        <w:lastRenderedPageBreak/>
        <w:t xml:space="preserve">26. If the Applicant explained to me that I could in any way be held liable for a debt effectively enticed and guaranteed by the Government, I would never have signed the documentation. </w:t>
      </w:r>
    </w:p>
    <w:p w14:paraId="7EC19FF1" w14:textId="2C6F17D1" w:rsidR="00F80AA1" w:rsidRPr="00F80AA1" w:rsidRDefault="00F80AA1" w:rsidP="00D42DC4">
      <w:pPr>
        <w:pStyle w:val="ListParagraph"/>
        <w:tabs>
          <w:tab w:val="right" w:pos="8208"/>
        </w:tabs>
        <w:spacing w:before="60" w:afterLines="60" w:after="144" w:line="360" w:lineRule="auto"/>
        <w:ind w:left="425"/>
        <w:jc w:val="both"/>
        <w:rPr>
          <w:rFonts w:ascii="Arial" w:hAnsi="Arial" w:cs="Arial"/>
          <w:i/>
          <w:iCs/>
          <w:sz w:val="24"/>
          <w:szCs w:val="24"/>
        </w:rPr>
      </w:pPr>
      <w:r w:rsidRPr="00F80AA1">
        <w:rPr>
          <w:rFonts w:ascii="Arial" w:hAnsi="Arial" w:cs="Arial"/>
          <w:i/>
          <w:iCs/>
          <w:sz w:val="24"/>
          <w:szCs w:val="24"/>
        </w:rPr>
        <w:t>27. My understanding of a guarantee is that it is a primary obligation to perform in the circumstances, and accordingly the obligation of the business that actually loaned the money, as well as my personal obligation in terms of the surety would be secondary.”</w:t>
      </w:r>
    </w:p>
    <w:p w14:paraId="59C571C6" w14:textId="2F146C3C" w:rsidR="00D42DC4" w:rsidRPr="001E23FF" w:rsidRDefault="001E23FF" w:rsidP="001E23FF">
      <w:pPr>
        <w:spacing w:before="240" w:after="60" w:line="480" w:lineRule="auto"/>
        <w:ind w:left="425" w:hanging="357"/>
        <w:jc w:val="both"/>
        <w:rPr>
          <w:rFonts w:ascii="Arial" w:hAnsi="Arial" w:cs="Arial"/>
          <w:i/>
          <w:iCs/>
          <w:sz w:val="24"/>
          <w:szCs w:val="24"/>
        </w:rPr>
      </w:pPr>
      <w:r w:rsidRPr="004F2A0E">
        <w:rPr>
          <w:rFonts w:ascii="Arial" w:hAnsi="Arial" w:cs="Arial"/>
          <w:sz w:val="24"/>
          <w:szCs w:val="24"/>
        </w:rPr>
        <w:t>26.</w:t>
      </w:r>
      <w:r w:rsidRPr="004F2A0E">
        <w:rPr>
          <w:rFonts w:ascii="Arial" w:hAnsi="Arial" w:cs="Arial"/>
          <w:sz w:val="24"/>
          <w:szCs w:val="24"/>
        </w:rPr>
        <w:tab/>
      </w:r>
      <w:r w:rsidR="001D40A7" w:rsidRPr="001E23FF">
        <w:rPr>
          <w:rFonts w:ascii="Arial" w:hAnsi="Arial" w:cs="Arial"/>
          <w:sz w:val="24"/>
          <w:szCs w:val="24"/>
        </w:rPr>
        <w:t xml:space="preserve"> </w:t>
      </w:r>
      <w:r w:rsidR="003F4F51" w:rsidRPr="001E23FF">
        <w:rPr>
          <w:rFonts w:ascii="Arial" w:hAnsi="Arial" w:cs="Arial"/>
          <w:sz w:val="24"/>
          <w:szCs w:val="24"/>
        </w:rPr>
        <w:t xml:space="preserve">The </w:t>
      </w:r>
      <w:r w:rsidR="00B229DC" w:rsidRPr="001E23FF">
        <w:rPr>
          <w:rFonts w:ascii="Arial" w:hAnsi="Arial" w:cs="Arial"/>
          <w:sz w:val="24"/>
          <w:szCs w:val="24"/>
        </w:rPr>
        <w:t>loan</w:t>
      </w:r>
      <w:r w:rsidR="003F4F51" w:rsidRPr="001E23FF">
        <w:rPr>
          <w:rFonts w:ascii="Arial" w:hAnsi="Arial" w:cs="Arial"/>
          <w:sz w:val="24"/>
          <w:szCs w:val="24"/>
        </w:rPr>
        <w:t xml:space="preserve"> agreement </w:t>
      </w:r>
      <w:r w:rsidR="004E5E37" w:rsidRPr="001E23FF">
        <w:rPr>
          <w:rFonts w:ascii="Arial" w:hAnsi="Arial" w:cs="Arial"/>
          <w:sz w:val="24"/>
          <w:szCs w:val="24"/>
        </w:rPr>
        <w:t xml:space="preserve">is entitled </w:t>
      </w:r>
      <w:r w:rsidR="00B229DC" w:rsidRPr="001E23FF">
        <w:rPr>
          <w:rFonts w:ascii="Arial" w:hAnsi="Arial" w:cs="Arial"/>
          <w:sz w:val="24"/>
          <w:szCs w:val="24"/>
        </w:rPr>
        <w:t>“</w:t>
      </w:r>
      <w:r w:rsidR="004E5E37" w:rsidRPr="001E23FF">
        <w:rPr>
          <w:rFonts w:ascii="Arial" w:hAnsi="Arial" w:cs="Arial"/>
          <w:sz w:val="24"/>
          <w:szCs w:val="24"/>
        </w:rPr>
        <w:t xml:space="preserve">Covid 19 </w:t>
      </w:r>
      <w:r w:rsidR="00783CB4" w:rsidRPr="001E23FF">
        <w:rPr>
          <w:rFonts w:ascii="Arial" w:hAnsi="Arial" w:cs="Arial"/>
          <w:sz w:val="24"/>
          <w:szCs w:val="24"/>
        </w:rPr>
        <w:t xml:space="preserve">term </w:t>
      </w:r>
      <w:r w:rsidR="004E5E37" w:rsidRPr="001E23FF">
        <w:rPr>
          <w:rFonts w:ascii="Arial" w:hAnsi="Arial" w:cs="Arial"/>
          <w:sz w:val="24"/>
          <w:szCs w:val="24"/>
        </w:rPr>
        <w:t>loan</w:t>
      </w:r>
      <w:r w:rsidR="00B229DC" w:rsidRPr="001E23FF">
        <w:rPr>
          <w:rFonts w:ascii="Arial" w:hAnsi="Arial" w:cs="Arial"/>
          <w:sz w:val="24"/>
          <w:szCs w:val="24"/>
        </w:rPr>
        <w:t>” and confirmed</w:t>
      </w:r>
      <w:r w:rsidR="00EC5595" w:rsidRPr="001E23FF">
        <w:rPr>
          <w:rFonts w:ascii="Arial" w:hAnsi="Arial" w:cs="Arial"/>
          <w:sz w:val="24"/>
          <w:szCs w:val="24"/>
        </w:rPr>
        <w:t xml:space="preserve"> that “</w:t>
      </w:r>
      <w:r w:rsidR="00EC5595" w:rsidRPr="001E23FF">
        <w:rPr>
          <w:rFonts w:ascii="Arial" w:hAnsi="Arial" w:cs="Arial"/>
          <w:i/>
          <w:iCs/>
          <w:sz w:val="24"/>
          <w:szCs w:val="24"/>
        </w:rPr>
        <w:t xml:space="preserve">the context in which the facility is made available </w:t>
      </w:r>
      <w:r w:rsidR="00EA539E" w:rsidRPr="001E23FF">
        <w:rPr>
          <w:rFonts w:ascii="Arial" w:hAnsi="Arial" w:cs="Arial"/>
          <w:i/>
          <w:iCs/>
          <w:sz w:val="24"/>
          <w:szCs w:val="24"/>
        </w:rPr>
        <w:t xml:space="preserve">is pursuant to the implementation of a funding scheme </w:t>
      </w:r>
      <w:r w:rsidR="00CE5270" w:rsidRPr="001E23FF">
        <w:rPr>
          <w:rFonts w:ascii="Arial" w:hAnsi="Arial" w:cs="Arial"/>
          <w:i/>
          <w:iCs/>
          <w:sz w:val="24"/>
          <w:szCs w:val="24"/>
        </w:rPr>
        <w:t>between National Treasury, SARB and certain commercial banks, including Nedbank</w:t>
      </w:r>
      <w:r w:rsidR="00CE5270" w:rsidRPr="001E23FF">
        <w:rPr>
          <w:rFonts w:ascii="Arial" w:hAnsi="Arial" w:cs="Arial"/>
          <w:sz w:val="24"/>
          <w:szCs w:val="24"/>
        </w:rPr>
        <w:t>..”</w:t>
      </w:r>
      <w:r w:rsidR="004E5E37" w:rsidRPr="001E23FF">
        <w:rPr>
          <w:rFonts w:ascii="Arial" w:hAnsi="Arial" w:cs="Arial"/>
          <w:sz w:val="24"/>
          <w:szCs w:val="24"/>
        </w:rPr>
        <w:t xml:space="preserve"> </w:t>
      </w:r>
      <w:r w:rsidR="00AD085A" w:rsidRPr="001E23FF">
        <w:rPr>
          <w:rFonts w:ascii="Arial" w:hAnsi="Arial" w:cs="Arial"/>
          <w:sz w:val="24"/>
          <w:szCs w:val="24"/>
        </w:rPr>
        <w:t>However, save for that reference to the Covid 19 loan guarantee scheme, the remainder of the agreement gives no indicati</w:t>
      </w:r>
      <w:r w:rsidR="00C01C0C" w:rsidRPr="001E23FF">
        <w:rPr>
          <w:rFonts w:ascii="Arial" w:hAnsi="Arial" w:cs="Arial"/>
          <w:sz w:val="24"/>
          <w:szCs w:val="24"/>
        </w:rPr>
        <w:t xml:space="preserve">on regarding the guarantee by Treasury, nor </w:t>
      </w:r>
      <w:r w:rsidR="00B16213" w:rsidRPr="001E23FF">
        <w:rPr>
          <w:rFonts w:ascii="Arial" w:hAnsi="Arial" w:cs="Arial"/>
          <w:sz w:val="24"/>
          <w:szCs w:val="24"/>
        </w:rPr>
        <w:t xml:space="preserve">what the </w:t>
      </w:r>
      <w:r w:rsidR="002B55D7" w:rsidRPr="001E23FF">
        <w:rPr>
          <w:rFonts w:ascii="Arial" w:hAnsi="Arial" w:cs="Arial"/>
          <w:sz w:val="24"/>
          <w:szCs w:val="24"/>
        </w:rPr>
        <w:t xml:space="preserve">exact terms of the </w:t>
      </w:r>
      <w:r w:rsidR="00B16213" w:rsidRPr="001E23FF">
        <w:rPr>
          <w:rFonts w:ascii="Arial" w:hAnsi="Arial" w:cs="Arial"/>
          <w:sz w:val="24"/>
          <w:szCs w:val="24"/>
        </w:rPr>
        <w:t>agreement between Nedbank</w:t>
      </w:r>
      <w:r w:rsidR="002B55D7" w:rsidRPr="001E23FF">
        <w:rPr>
          <w:rFonts w:ascii="Arial" w:hAnsi="Arial" w:cs="Arial"/>
          <w:sz w:val="24"/>
          <w:szCs w:val="24"/>
        </w:rPr>
        <w:t xml:space="preserve">, SARB or Treasury were regarding the </w:t>
      </w:r>
      <w:r w:rsidR="004F2A0E" w:rsidRPr="001E23FF">
        <w:rPr>
          <w:rFonts w:ascii="Arial" w:hAnsi="Arial" w:cs="Arial"/>
          <w:sz w:val="24"/>
          <w:szCs w:val="24"/>
        </w:rPr>
        <w:t>methodology for the recoup of losses in the event of default.</w:t>
      </w:r>
      <w:r w:rsidR="00784B26" w:rsidRPr="001E23FF">
        <w:rPr>
          <w:rFonts w:ascii="Arial" w:hAnsi="Arial" w:cs="Arial"/>
          <w:sz w:val="24"/>
          <w:szCs w:val="24"/>
        </w:rPr>
        <w:t xml:space="preserve"> </w:t>
      </w:r>
    </w:p>
    <w:p w14:paraId="5BF9DDE5" w14:textId="4A03BB8B" w:rsidR="00974FE2" w:rsidRPr="001E23FF" w:rsidRDefault="001E23FF" w:rsidP="001E23FF">
      <w:pPr>
        <w:spacing w:before="240" w:after="60" w:line="480" w:lineRule="auto"/>
        <w:ind w:left="425" w:hanging="357"/>
        <w:jc w:val="both"/>
        <w:rPr>
          <w:rFonts w:ascii="Arial" w:hAnsi="Arial" w:cs="Arial"/>
          <w:i/>
          <w:iCs/>
          <w:sz w:val="24"/>
          <w:szCs w:val="24"/>
        </w:rPr>
      </w:pPr>
      <w:r w:rsidRPr="009C7E5B">
        <w:rPr>
          <w:rFonts w:ascii="Arial" w:hAnsi="Arial" w:cs="Arial"/>
          <w:sz w:val="24"/>
          <w:szCs w:val="24"/>
        </w:rPr>
        <w:t>27.</w:t>
      </w:r>
      <w:r w:rsidRPr="009C7E5B">
        <w:rPr>
          <w:rFonts w:ascii="Arial" w:hAnsi="Arial" w:cs="Arial"/>
          <w:sz w:val="24"/>
          <w:szCs w:val="24"/>
        </w:rPr>
        <w:tab/>
      </w:r>
      <w:r w:rsidR="004F2A0E" w:rsidRPr="001E23FF">
        <w:rPr>
          <w:rFonts w:ascii="Arial" w:hAnsi="Arial" w:cs="Arial"/>
          <w:sz w:val="24"/>
          <w:szCs w:val="24"/>
        </w:rPr>
        <w:t xml:space="preserve">Counsel for the Applicant argued that the Applicant </w:t>
      </w:r>
      <w:r w:rsidR="009736EA" w:rsidRPr="001E23FF">
        <w:rPr>
          <w:rFonts w:ascii="Arial" w:hAnsi="Arial" w:cs="Arial"/>
          <w:sz w:val="24"/>
          <w:szCs w:val="24"/>
        </w:rPr>
        <w:t>had a choice whether to</w:t>
      </w:r>
      <w:r w:rsidR="00391944" w:rsidRPr="001E23FF">
        <w:rPr>
          <w:rFonts w:ascii="Arial" w:hAnsi="Arial" w:cs="Arial"/>
          <w:sz w:val="24"/>
          <w:szCs w:val="24"/>
        </w:rPr>
        <w:t xml:space="preserve">, upon the principal debtor’s default, it would </w:t>
      </w:r>
      <w:r w:rsidR="003F44D5" w:rsidRPr="001E23FF">
        <w:rPr>
          <w:rFonts w:ascii="Arial" w:hAnsi="Arial" w:cs="Arial"/>
          <w:sz w:val="24"/>
          <w:szCs w:val="24"/>
        </w:rPr>
        <w:t xml:space="preserve">recoup its losses on the basis of </w:t>
      </w:r>
      <w:r w:rsidR="00523F52" w:rsidRPr="001E23FF">
        <w:rPr>
          <w:rFonts w:ascii="Arial" w:hAnsi="Arial" w:cs="Arial"/>
          <w:sz w:val="24"/>
          <w:szCs w:val="24"/>
        </w:rPr>
        <w:t>Treasury’s</w:t>
      </w:r>
      <w:r w:rsidR="003F44D5" w:rsidRPr="001E23FF">
        <w:rPr>
          <w:rFonts w:ascii="Arial" w:hAnsi="Arial" w:cs="Arial"/>
          <w:sz w:val="24"/>
          <w:szCs w:val="24"/>
        </w:rPr>
        <w:t xml:space="preserve"> guarantee or on the basis of the Respondent’s suretyship. It elected to pursue the suretyship route. </w:t>
      </w:r>
      <w:r w:rsidR="00591204" w:rsidRPr="001E23FF">
        <w:rPr>
          <w:rFonts w:ascii="Arial" w:hAnsi="Arial" w:cs="Arial"/>
          <w:sz w:val="24"/>
          <w:szCs w:val="24"/>
        </w:rPr>
        <w:t>Whether, within the context of the Covid 19 Scheme</w:t>
      </w:r>
      <w:r w:rsidR="002B73A3" w:rsidRPr="001E23FF">
        <w:rPr>
          <w:rFonts w:ascii="Arial" w:hAnsi="Arial" w:cs="Arial"/>
          <w:sz w:val="24"/>
          <w:szCs w:val="24"/>
        </w:rPr>
        <w:t xml:space="preserve"> this is the correct route for debt enforcement, is not borne out of the </w:t>
      </w:r>
      <w:r w:rsidR="00D13AB0" w:rsidRPr="001E23FF">
        <w:rPr>
          <w:rFonts w:ascii="Arial" w:hAnsi="Arial" w:cs="Arial"/>
          <w:sz w:val="24"/>
          <w:szCs w:val="24"/>
        </w:rPr>
        <w:t xml:space="preserve">wording of the </w:t>
      </w:r>
      <w:r w:rsidR="002B73A3" w:rsidRPr="001E23FF">
        <w:rPr>
          <w:rFonts w:ascii="Arial" w:hAnsi="Arial" w:cs="Arial"/>
          <w:sz w:val="24"/>
          <w:szCs w:val="24"/>
        </w:rPr>
        <w:t>contracts</w:t>
      </w:r>
      <w:r w:rsidR="00CE71CE" w:rsidRPr="001E23FF">
        <w:rPr>
          <w:rFonts w:ascii="Arial" w:hAnsi="Arial" w:cs="Arial"/>
          <w:sz w:val="24"/>
          <w:szCs w:val="24"/>
        </w:rPr>
        <w:t xml:space="preserve">, nor per the particulars of claim or the </w:t>
      </w:r>
      <w:r w:rsidR="00A3554F" w:rsidRPr="001E23FF">
        <w:rPr>
          <w:rFonts w:ascii="Arial" w:hAnsi="Arial" w:cs="Arial"/>
          <w:sz w:val="24"/>
          <w:szCs w:val="24"/>
        </w:rPr>
        <w:t>affidavit in support of summary judgment</w:t>
      </w:r>
      <w:r w:rsidR="002B73A3" w:rsidRPr="001E23FF">
        <w:rPr>
          <w:rFonts w:ascii="Arial" w:hAnsi="Arial" w:cs="Arial"/>
          <w:sz w:val="24"/>
          <w:szCs w:val="24"/>
        </w:rPr>
        <w:t xml:space="preserve">. </w:t>
      </w:r>
      <w:r w:rsidR="00A3554F" w:rsidRPr="001E23FF">
        <w:rPr>
          <w:rFonts w:ascii="Arial" w:hAnsi="Arial" w:cs="Arial"/>
          <w:sz w:val="24"/>
          <w:szCs w:val="24"/>
        </w:rPr>
        <w:t xml:space="preserve">During argument, </w:t>
      </w:r>
      <w:r w:rsidR="001C56E7" w:rsidRPr="001E23FF">
        <w:rPr>
          <w:rFonts w:ascii="Arial" w:hAnsi="Arial" w:cs="Arial"/>
          <w:sz w:val="24"/>
          <w:szCs w:val="24"/>
        </w:rPr>
        <w:t xml:space="preserve">Counsel for the applicant </w:t>
      </w:r>
      <w:r w:rsidR="00A3554F" w:rsidRPr="001E23FF">
        <w:rPr>
          <w:rFonts w:ascii="Arial" w:hAnsi="Arial" w:cs="Arial"/>
          <w:sz w:val="24"/>
          <w:szCs w:val="24"/>
        </w:rPr>
        <w:t xml:space="preserve">submitted </w:t>
      </w:r>
      <w:r w:rsidR="001C56E7" w:rsidRPr="001E23FF">
        <w:rPr>
          <w:rFonts w:ascii="Arial" w:hAnsi="Arial" w:cs="Arial"/>
          <w:sz w:val="24"/>
          <w:szCs w:val="24"/>
        </w:rPr>
        <w:t>that the media statement relied on</w:t>
      </w:r>
      <w:r w:rsidR="00397AD6" w:rsidRPr="001E23FF">
        <w:rPr>
          <w:rFonts w:ascii="Arial" w:hAnsi="Arial" w:cs="Arial"/>
          <w:sz w:val="24"/>
          <w:szCs w:val="24"/>
        </w:rPr>
        <w:t xml:space="preserve"> by the Respondent</w:t>
      </w:r>
      <w:r w:rsidR="001C56E7" w:rsidRPr="001E23FF">
        <w:rPr>
          <w:rFonts w:ascii="Arial" w:hAnsi="Arial" w:cs="Arial"/>
          <w:sz w:val="24"/>
          <w:szCs w:val="24"/>
        </w:rPr>
        <w:t xml:space="preserve"> used the wording </w:t>
      </w:r>
      <w:r w:rsidR="00DC6920" w:rsidRPr="001E23FF">
        <w:rPr>
          <w:rFonts w:ascii="Arial" w:hAnsi="Arial" w:cs="Arial"/>
          <w:sz w:val="24"/>
          <w:szCs w:val="24"/>
        </w:rPr>
        <w:t>“..</w:t>
      </w:r>
      <w:r w:rsidR="00DC6920" w:rsidRPr="001E23FF">
        <w:rPr>
          <w:rFonts w:ascii="Arial" w:hAnsi="Arial" w:cs="Arial"/>
          <w:i/>
          <w:iCs/>
          <w:sz w:val="24"/>
          <w:szCs w:val="24"/>
        </w:rPr>
        <w:t xml:space="preserve">if a customer defaults on the loan, banks </w:t>
      </w:r>
      <w:r w:rsidR="00DC6920" w:rsidRPr="001E23FF">
        <w:rPr>
          <w:rFonts w:ascii="Arial" w:hAnsi="Arial" w:cs="Arial"/>
          <w:i/>
          <w:iCs/>
          <w:sz w:val="24"/>
          <w:szCs w:val="24"/>
          <w:u w:val="single"/>
        </w:rPr>
        <w:t>can</w:t>
      </w:r>
      <w:r w:rsidR="00DC6920" w:rsidRPr="001E23FF">
        <w:rPr>
          <w:rFonts w:ascii="Arial" w:hAnsi="Arial" w:cs="Arial"/>
          <w:i/>
          <w:iCs/>
          <w:sz w:val="24"/>
          <w:szCs w:val="24"/>
        </w:rPr>
        <w:t xml:space="preserve"> claim on the guarantee…” </w:t>
      </w:r>
      <w:r w:rsidR="00DC6920" w:rsidRPr="001E23FF">
        <w:rPr>
          <w:rFonts w:ascii="Arial" w:hAnsi="Arial" w:cs="Arial"/>
          <w:sz w:val="24"/>
          <w:szCs w:val="24"/>
        </w:rPr>
        <w:t>as indicative of th</w:t>
      </w:r>
      <w:r w:rsidR="00397AD6" w:rsidRPr="001E23FF">
        <w:rPr>
          <w:rFonts w:ascii="Arial" w:hAnsi="Arial" w:cs="Arial"/>
          <w:sz w:val="24"/>
          <w:szCs w:val="24"/>
        </w:rPr>
        <w:t xml:space="preserve">is choice. </w:t>
      </w:r>
      <w:r w:rsidR="00AE1554" w:rsidRPr="001E23FF">
        <w:rPr>
          <w:rFonts w:ascii="Arial" w:hAnsi="Arial" w:cs="Arial"/>
          <w:sz w:val="24"/>
          <w:szCs w:val="24"/>
        </w:rPr>
        <w:t xml:space="preserve">However, this statement is made in a document </w:t>
      </w:r>
      <w:r w:rsidR="00AA4005" w:rsidRPr="001E23FF">
        <w:rPr>
          <w:rFonts w:ascii="Arial" w:hAnsi="Arial" w:cs="Arial"/>
          <w:sz w:val="24"/>
          <w:szCs w:val="24"/>
        </w:rPr>
        <w:t>aimed a</w:t>
      </w:r>
      <w:r w:rsidR="00EA3EB6" w:rsidRPr="001E23FF">
        <w:rPr>
          <w:rFonts w:ascii="Arial" w:hAnsi="Arial" w:cs="Arial"/>
          <w:sz w:val="24"/>
          <w:szCs w:val="24"/>
        </w:rPr>
        <w:t>t</w:t>
      </w:r>
      <w:r w:rsidR="00AA4005" w:rsidRPr="001E23FF">
        <w:rPr>
          <w:rFonts w:ascii="Arial" w:hAnsi="Arial" w:cs="Arial"/>
          <w:sz w:val="24"/>
          <w:szCs w:val="24"/>
        </w:rPr>
        <w:t xml:space="preserve"> generally informing the public as to how the scheme would work. Within the context of the entire paragraph, I am unable to discern whether </w:t>
      </w:r>
      <w:r w:rsidR="00D804E5" w:rsidRPr="001E23FF">
        <w:rPr>
          <w:rFonts w:ascii="Arial" w:hAnsi="Arial" w:cs="Arial"/>
          <w:sz w:val="24"/>
          <w:szCs w:val="24"/>
        </w:rPr>
        <w:t xml:space="preserve">exact legal consequences should </w:t>
      </w:r>
      <w:r w:rsidR="00640A6F" w:rsidRPr="001E23FF">
        <w:rPr>
          <w:rFonts w:ascii="Arial" w:hAnsi="Arial" w:cs="Arial"/>
          <w:sz w:val="24"/>
          <w:szCs w:val="24"/>
        </w:rPr>
        <w:t>arise</w:t>
      </w:r>
      <w:r w:rsidR="00D804E5" w:rsidRPr="001E23FF">
        <w:rPr>
          <w:rFonts w:ascii="Arial" w:hAnsi="Arial" w:cs="Arial"/>
          <w:sz w:val="24"/>
          <w:szCs w:val="24"/>
        </w:rPr>
        <w:t xml:space="preserve"> from the use of the word “can” as would have from the word “should” in a legal contract.</w:t>
      </w:r>
      <w:r w:rsidR="00237065" w:rsidRPr="001E23FF">
        <w:rPr>
          <w:rFonts w:ascii="Arial" w:hAnsi="Arial" w:cs="Arial"/>
          <w:sz w:val="24"/>
          <w:szCs w:val="24"/>
        </w:rPr>
        <w:t xml:space="preserve">  </w:t>
      </w:r>
      <w:r w:rsidR="009C7E5B" w:rsidRPr="001E23FF">
        <w:rPr>
          <w:rFonts w:ascii="Arial" w:hAnsi="Arial" w:cs="Arial"/>
          <w:sz w:val="24"/>
          <w:szCs w:val="24"/>
        </w:rPr>
        <w:t xml:space="preserve">Furthermore, the media statement refers to three so-called “loss buffers” before National treasury would bear the losses. </w:t>
      </w:r>
    </w:p>
    <w:p w14:paraId="4F8AAB5E" w14:textId="77A81A0F" w:rsidR="009C7E5B" w:rsidRPr="001E23FF" w:rsidRDefault="001E23FF" w:rsidP="001E23FF">
      <w:pPr>
        <w:spacing w:before="240" w:after="60" w:line="480" w:lineRule="auto"/>
        <w:ind w:left="425" w:hanging="357"/>
        <w:jc w:val="both"/>
        <w:rPr>
          <w:rFonts w:ascii="Arial" w:hAnsi="Arial" w:cs="Arial"/>
          <w:i/>
          <w:iCs/>
          <w:sz w:val="24"/>
          <w:szCs w:val="24"/>
        </w:rPr>
      </w:pPr>
      <w:r w:rsidRPr="0010567D">
        <w:rPr>
          <w:rFonts w:ascii="Arial" w:hAnsi="Arial" w:cs="Arial"/>
          <w:sz w:val="24"/>
          <w:szCs w:val="24"/>
        </w:rPr>
        <w:t>28.</w:t>
      </w:r>
      <w:r w:rsidRPr="0010567D">
        <w:rPr>
          <w:rFonts w:ascii="Arial" w:hAnsi="Arial" w:cs="Arial"/>
          <w:sz w:val="24"/>
          <w:szCs w:val="24"/>
        </w:rPr>
        <w:tab/>
      </w:r>
      <w:r w:rsidR="009C7E5B" w:rsidRPr="001E23FF">
        <w:rPr>
          <w:rFonts w:ascii="Arial" w:hAnsi="Arial" w:cs="Arial"/>
          <w:sz w:val="24"/>
          <w:szCs w:val="24"/>
        </w:rPr>
        <w:t>To add further confusion, the complete sentence in the statement reads: “</w:t>
      </w:r>
      <w:r w:rsidR="009C7E5B" w:rsidRPr="001E23FF">
        <w:rPr>
          <w:rFonts w:ascii="Arial" w:hAnsi="Arial" w:cs="Arial"/>
          <w:i/>
          <w:iCs/>
          <w:sz w:val="24"/>
          <w:szCs w:val="24"/>
        </w:rPr>
        <w:t xml:space="preserve">If a customer defaults on the loan, banks can claim on the guarantee from the Reserve Bank, which will in turn claim </w:t>
      </w:r>
      <w:r w:rsidR="009C7E5B" w:rsidRPr="001E23FF">
        <w:rPr>
          <w:rFonts w:ascii="Arial" w:hAnsi="Arial" w:cs="Arial"/>
          <w:i/>
          <w:iCs/>
          <w:sz w:val="24"/>
          <w:szCs w:val="24"/>
        </w:rPr>
        <w:lastRenderedPageBreak/>
        <w:t xml:space="preserve">the funds from the National Treasury, </w:t>
      </w:r>
      <w:r w:rsidR="009C7E5B" w:rsidRPr="001E23FF">
        <w:rPr>
          <w:rFonts w:ascii="Arial" w:hAnsi="Arial" w:cs="Arial"/>
          <w:i/>
          <w:iCs/>
          <w:sz w:val="24"/>
          <w:szCs w:val="24"/>
          <w:u w:val="single"/>
        </w:rPr>
        <w:t xml:space="preserve">but only after banks have followed the allocations outlined above </w:t>
      </w:r>
      <w:r w:rsidR="009C7E5B" w:rsidRPr="001E23FF">
        <w:rPr>
          <w:rFonts w:ascii="Arial" w:hAnsi="Arial" w:cs="Arial"/>
          <w:b/>
          <w:bCs/>
          <w:i/>
          <w:iCs/>
          <w:sz w:val="24"/>
          <w:szCs w:val="24"/>
          <w:u w:val="single"/>
        </w:rPr>
        <w:t>and</w:t>
      </w:r>
      <w:r w:rsidR="009C7E5B" w:rsidRPr="001E23FF">
        <w:rPr>
          <w:rFonts w:ascii="Arial" w:hAnsi="Arial" w:cs="Arial"/>
          <w:i/>
          <w:iCs/>
          <w:sz w:val="24"/>
          <w:szCs w:val="24"/>
          <w:u w:val="single"/>
        </w:rPr>
        <w:t xml:space="preserve"> their standard recovery processes</w:t>
      </w:r>
      <w:r w:rsidR="009C7E5B" w:rsidRPr="001E23FF">
        <w:rPr>
          <w:rFonts w:ascii="Arial" w:hAnsi="Arial" w:cs="Arial"/>
          <w:i/>
          <w:iCs/>
          <w:sz w:val="24"/>
          <w:szCs w:val="24"/>
        </w:rPr>
        <w:t xml:space="preserve">.” </w:t>
      </w:r>
      <w:r w:rsidR="009C7E5B" w:rsidRPr="001E23FF">
        <w:rPr>
          <w:rFonts w:ascii="Arial" w:hAnsi="Arial" w:cs="Arial"/>
          <w:sz w:val="24"/>
          <w:szCs w:val="24"/>
        </w:rPr>
        <w:t>[Underlining and emphasis my own</w:t>
      </w:r>
      <w:r w:rsidR="0010567D" w:rsidRPr="001E23FF">
        <w:rPr>
          <w:rFonts w:ascii="Arial" w:hAnsi="Arial" w:cs="Arial"/>
          <w:sz w:val="24"/>
          <w:szCs w:val="24"/>
        </w:rPr>
        <w:t>]. This could either be understood to mean that the banks have a exclusive option to elect their methodology for debt collection or that the three loss buffers must be applied in conjunction with the standard debt recovery processes.</w:t>
      </w:r>
    </w:p>
    <w:p w14:paraId="44C92E56" w14:textId="4116D5E1" w:rsidR="0010567D" w:rsidRPr="001E23FF" w:rsidRDefault="001E23FF" w:rsidP="001E23FF">
      <w:pPr>
        <w:spacing w:before="240" w:after="60" w:line="480" w:lineRule="auto"/>
        <w:ind w:left="425" w:hanging="357"/>
        <w:jc w:val="both"/>
        <w:rPr>
          <w:rFonts w:ascii="Arial" w:hAnsi="Arial" w:cs="Arial"/>
          <w:i/>
          <w:iCs/>
          <w:sz w:val="24"/>
          <w:szCs w:val="24"/>
        </w:rPr>
      </w:pPr>
      <w:r w:rsidRPr="00684930">
        <w:rPr>
          <w:rFonts w:ascii="Arial" w:hAnsi="Arial" w:cs="Arial"/>
          <w:sz w:val="24"/>
          <w:szCs w:val="24"/>
        </w:rPr>
        <w:t>29.</w:t>
      </w:r>
      <w:r w:rsidRPr="00684930">
        <w:rPr>
          <w:rFonts w:ascii="Arial" w:hAnsi="Arial" w:cs="Arial"/>
          <w:sz w:val="24"/>
          <w:szCs w:val="24"/>
        </w:rPr>
        <w:tab/>
      </w:r>
      <w:r w:rsidR="0010567D" w:rsidRPr="001E23FF">
        <w:rPr>
          <w:rFonts w:ascii="Arial" w:hAnsi="Arial" w:cs="Arial"/>
          <w:sz w:val="24"/>
          <w:szCs w:val="24"/>
        </w:rPr>
        <w:t>It is therefore unfortunate that the Applicant, who would be in possession of the legal instruments underlying the Covid 19 loan scheme, did not make use of the opportunity to clarify the correct legal position in either the particulars of claim or the affidavit in support of the summary judgment. On personal perusal of the loan agreement as well as the suretyship agreement, these documents also provided no clarification</w:t>
      </w:r>
    </w:p>
    <w:p w14:paraId="342AD2A3" w14:textId="3C35A453" w:rsidR="004F2A0E" w:rsidRPr="001E23FF" w:rsidRDefault="001E23FF" w:rsidP="001E23FF">
      <w:pPr>
        <w:spacing w:before="240" w:after="60" w:line="480" w:lineRule="auto"/>
        <w:ind w:left="425" w:hanging="357"/>
        <w:jc w:val="both"/>
        <w:rPr>
          <w:rFonts w:ascii="Arial" w:hAnsi="Arial" w:cs="Arial"/>
          <w:i/>
          <w:iCs/>
          <w:sz w:val="24"/>
          <w:szCs w:val="24"/>
        </w:rPr>
      </w:pPr>
      <w:r w:rsidRPr="001C370C">
        <w:rPr>
          <w:rFonts w:ascii="Arial" w:hAnsi="Arial" w:cs="Arial"/>
          <w:sz w:val="24"/>
          <w:szCs w:val="24"/>
        </w:rPr>
        <w:t>30.</w:t>
      </w:r>
      <w:r w:rsidRPr="001C370C">
        <w:rPr>
          <w:rFonts w:ascii="Arial" w:hAnsi="Arial" w:cs="Arial"/>
          <w:sz w:val="24"/>
          <w:szCs w:val="24"/>
        </w:rPr>
        <w:tab/>
      </w:r>
      <w:r w:rsidR="0010567D" w:rsidRPr="001E23FF">
        <w:rPr>
          <w:rFonts w:ascii="Arial" w:hAnsi="Arial" w:cs="Arial"/>
          <w:sz w:val="24"/>
          <w:szCs w:val="24"/>
        </w:rPr>
        <w:t xml:space="preserve">That being said, however, </w:t>
      </w:r>
      <w:r w:rsidR="00A74CAF" w:rsidRPr="001E23FF">
        <w:rPr>
          <w:rFonts w:ascii="Arial" w:hAnsi="Arial" w:cs="Arial"/>
          <w:sz w:val="24"/>
          <w:szCs w:val="24"/>
        </w:rPr>
        <w:t xml:space="preserve">the </w:t>
      </w:r>
      <w:r w:rsidR="0010567D" w:rsidRPr="001E23FF">
        <w:rPr>
          <w:rFonts w:ascii="Arial" w:hAnsi="Arial" w:cs="Arial"/>
          <w:sz w:val="24"/>
          <w:szCs w:val="24"/>
        </w:rPr>
        <w:t xml:space="preserve">definitive application of the </w:t>
      </w:r>
      <w:r w:rsidR="00A74CAF" w:rsidRPr="001E23FF">
        <w:rPr>
          <w:rFonts w:ascii="Arial" w:hAnsi="Arial" w:cs="Arial"/>
          <w:sz w:val="24"/>
          <w:szCs w:val="24"/>
        </w:rPr>
        <w:t xml:space="preserve">Covid 19 loan scheme, in terms </w:t>
      </w:r>
      <w:r w:rsidR="00C83E52" w:rsidRPr="001E23FF">
        <w:rPr>
          <w:rFonts w:ascii="Arial" w:hAnsi="Arial" w:cs="Arial"/>
          <w:sz w:val="24"/>
          <w:szCs w:val="24"/>
        </w:rPr>
        <w:t xml:space="preserve">of the </w:t>
      </w:r>
      <w:r w:rsidR="00B21DEE" w:rsidRPr="001E23FF">
        <w:rPr>
          <w:rFonts w:ascii="Arial" w:hAnsi="Arial" w:cs="Arial"/>
          <w:sz w:val="24"/>
          <w:szCs w:val="24"/>
        </w:rPr>
        <w:t>legislative</w:t>
      </w:r>
      <w:r w:rsidR="00A60C13" w:rsidRPr="001E23FF">
        <w:rPr>
          <w:rFonts w:ascii="Arial" w:hAnsi="Arial" w:cs="Arial"/>
          <w:sz w:val="24"/>
          <w:szCs w:val="24"/>
        </w:rPr>
        <w:t xml:space="preserve"> context thereof</w:t>
      </w:r>
      <w:r w:rsidR="00B21DEE" w:rsidRPr="001E23FF">
        <w:rPr>
          <w:rFonts w:ascii="Arial" w:hAnsi="Arial" w:cs="Arial"/>
          <w:sz w:val="24"/>
          <w:szCs w:val="24"/>
        </w:rPr>
        <w:t xml:space="preserve"> or</w:t>
      </w:r>
      <w:r w:rsidR="00C83E52" w:rsidRPr="001E23FF">
        <w:rPr>
          <w:rFonts w:ascii="Arial" w:hAnsi="Arial" w:cs="Arial"/>
          <w:sz w:val="24"/>
          <w:szCs w:val="24"/>
        </w:rPr>
        <w:t xml:space="preserve"> legal </w:t>
      </w:r>
      <w:r w:rsidR="00B60580" w:rsidRPr="001E23FF">
        <w:rPr>
          <w:rFonts w:ascii="Arial" w:hAnsi="Arial" w:cs="Arial"/>
          <w:sz w:val="24"/>
          <w:szCs w:val="24"/>
        </w:rPr>
        <w:t xml:space="preserve">agreements between SARB, Treasury and Nedbank, </w:t>
      </w:r>
      <w:r w:rsidR="00A74CAF" w:rsidRPr="001E23FF">
        <w:rPr>
          <w:rFonts w:ascii="Arial" w:hAnsi="Arial" w:cs="Arial"/>
          <w:sz w:val="24"/>
          <w:szCs w:val="24"/>
        </w:rPr>
        <w:t xml:space="preserve">is </w:t>
      </w:r>
      <w:r w:rsidR="004A0D6A" w:rsidRPr="001E23FF">
        <w:rPr>
          <w:rFonts w:ascii="Arial" w:hAnsi="Arial" w:cs="Arial"/>
          <w:sz w:val="24"/>
          <w:szCs w:val="24"/>
        </w:rPr>
        <w:t xml:space="preserve">not </w:t>
      </w:r>
      <w:r w:rsidR="0010567D" w:rsidRPr="001E23FF">
        <w:rPr>
          <w:rFonts w:ascii="Arial" w:hAnsi="Arial" w:cs="Arial"/>
          <w:sz w:val="24"/>
          <w:szCs w:val="24"/>
        </w:rPr>
        <w:t xml:space="preserve">germane to the </w:t>
      </w:r>
      <w:r w:rsidR="004A0D6A" w:rsidRPr="001E23FF">
        <w:rPr>
          <w:rFonts w:ascii="Arial" w:hAnsi="Arial" w:cs="Arial"/>
          <w:sz w:val="24"/>
          <w:szCs w:val="24"/>
        </w:rPr>
        <w:t>nature of the defence raised by the Respondent.</w:t>
      </w:r>
      <w:r w:rsidR="00AA399D" w:rsidRPr="001E23FF">
        <w:rPr>
          <w:rFonts w:ascii="Arial" w:hAnsi="Arial" w:cs="Arial"/>
          <w:sz w:val="24"/>
          <w:szCs w:val="24"/>
        </w:rPr>
        <w:t xml:space="preserve"> He alleges he understood differently and informed the Applicant’s representative of his understanding when he signed the suretyship agreement. </w:t>
      </w:r>
      <w:r w:rsidR="004A3FB5" w:rsidRPr="001E23FF">
        <w:rPr>
          <w:rFonts w:ascii="Arial" w:hAnsi="Arial" w:cs="Arial"/>
          <w:sz w:val="24"/>
          <w:szCs w:val="24"/>
        </w:rPr>
        <w:t xml:space="preserve">The representative, so being made aware </w:t>
      </w:r>
      <w:r w:rsidR="005F551E" w:rsidRPr="001E23FF">
        <w:rPr>
          <w:rFonts w:ascii="Arial" w:hAnsi="Arial" w:cs="Arial"/>
          <w:sz w:val="24"/>
          <w:szCs w:val="24"/>
        </w:rPr>
        <w:t>of his misperception, then failed to correct hi</w:t>
      </w:r>
      <w:r w:rsidR="00E73F88" w:rsidRPr="001E23FF">
        <w:rPr>
          <w:rFonts w:ascii="Arial" w:hAnsi="Arial" w:cs="Arial"/>
          <w:sz w:val="24"/>
          <w:szCs w:val="24"/>
        </w:rPr>
        <w:t>m</w:t>
      </w:r>
      <w:r w:rsidR="000963D0" w:rsidRPr="001E23FF">
        <w:rPr>
          <w:rFonts w:ascii="Arial" w:hAnsi="Arial" w:cs="Arial"/>
          <w:sz w:val="24"/>
          <w:szCs w:val="24"/>
        </w:rPr>
        <w:t xml:space="preserve"> before he bound himself as surety. </w:t>
      </w:r>
    </w:p>
    <w:p w14:paraId="36E4DC90" w14:textId="23E48431" w:rsidR="008670D6" w:rsidRPr="001E23FF" w:rsidRDefault="001E23FF" w:rsidP="001E23FF">
      <w:pPr>
        <w:spacing w:before="240" w:after="60" w:line="480" w:lineRule="auto"/>
        <w:ind w:left="425" w:hanging="357"/>
        <w:jc w:val="both"/>
        <w:rPr>
          <w:rFonts w:ascii="Arial" w:hAnsi="Arial" w:cs="Arial"/>
          <w:i/>
          <w:iCs/>
          <w:sz w:val="24"/>
          <w:szCs w:val="24"/>
        </w:rPr>
      </w:pPr>
      <w:r w:rsidRPr="008670D6">
        <w:rPr>
          <w:rFonts w:ascii="Arial" w:hAnsi="Arial" w:cs="Arial"/>
          <w:sz w:val="24"/>
          <w:szCs w:val="24"/>
        </w:rPr>
        <w:t>31.</w:t>
      </w:r>
      <w:r w:rsidRPr="008670D6">
        <w:rPr>
          <w:rFonts w:ascii="Arial" w:hAnsi="Arial" w:cs="Arial"/>
          <w:sz w:val="24"/>
          <w:szCs w:val="24"/>
        </w:rPr>
        <w:tab/>
      </w:r>
      <w:r w:rsidR="00556D24" w:rsidRPr="001E23FF">
        <w:rPr>
          <w:rFonts w:ascii="Arial" w:hAnsi="Arial" w:cs="Arial"/>
          <w:i/>
          <w:iCs/>
          <w:sz w:val="24"/>
          <w:szCs w:val="24"/>
        </w:rPr>
        <w:t xml:space="preserve"> </w:t>
      </w:r>
      <w:r w:rsidR="00ED5144" w:rsidRPr="001E23FF">
        <w:rPr>
          <w:rFonts w:ascii="Arial" w:hAnsi="Arial" w:cs="Arial"/>
          <w:sz w:val="24"/>
          <w:szCs w:val="24"/>
        </w:rPr>
        <w:t xml:space="preserve">The Applicant </w:t>
      </w:r>
      <w:r w:rsidR="008B7260" w:rsidRPr="001E23FF">
        <w:rPr>
          <w:rFonts w:ascii="Arial" w:hAnsi="Arial" w:cs="Arial"/>
          <w:sz w:val="24"/>
          <w:szCs w:val="24"/>
        </w:rPr>
        <w:t>refers to</w:t>
      </w:r>
      <w:r w:rsidR="00ED5144" w:rsidRPr="001E23FF">
        <w:rPr>
          <w:rFonts w:ascii="Arial" w:hAnsi="Arial" w:cs="Arial"/>
          <w:sz w:val="24"/>
          <w:szCs w:val="24"/>
        </w:rPr>
        <w:t xml:space="preserve"> the</w:t>
      </w:r>
      <w:r w:rsidR="00651A14" w:rsidRPr="001E23FF">
        <w:rPr>
          <w:rFonts w:ascii="Arial" w:hAnsi="Arial" w:cs="Arial"/>
          <w:sz w:val="24"/>
          <w:szCs w:val="24"/>
        </w:rPr>
        <w:t xml:space="preserve"> elements</w:t>
      </w:r>
      <w:r w:rsidR="0081317B" w:rsidRPr="001E23FF">
        <w:rPr>
          <w:rFonts w:ascii="Arial" w:hAnsi="Arial" w:cs="Arial"/>
          <w:sz w:val="24"/>
          <w:szCs w:val="24"/>
        </w:rPr>
        <w:t xml:space="preserve"> </w:t>
      </w:r>
      <w:r w:rsidR="008670D6" w:rsidRPr="001E23FF">
        <w:rPr>
          <w:rFonts w:ascii="Arial" w:hAnsi="Arial" w:cs="Arial"/>
          <w:sz w:val="24"/>
          <w:szCs w:val="24"/>
        </w:rPr>
        <w:t xml:space="preserve">required for a valid </w:t>
      </w:r>
      <w:r w:rsidR="0081317B" w:rsidRPr="001E23FF">
        <w:rPr>
          <w:rFonts w:ascii="Arial" w:hAnsi="Arial" w:cs="Arial"/>
          <w:sz w:val="24"/>
          <w:szCs w:val="24"/>
        </w:rPr>
        <w:t>defence premised on misrepresentation</w:t>
      </w:r>
      <w:r w:rsidR="00651A14" w:rsidRPr="001E23FF">
        <w:rPr>
          <w:rFonts w:ascii="Arial" w:hAnsi="Arial" w:cs="Arial"/>
          <w:sz w:val="24"/>
          <w:szCs w:val="24"/>
        </w:rPr>
        <w:t xml:space="preserve"> </w:t>
      </w:r>
      <w:r w:rsidR="008670D6" w:rsidRPr="001E23FF">
        <w:rPr>
          <w:rFonts w:ascii="Arial" w:hAnsi="Arial" w:cs="Arial"/>
          <w:sz w:val="24"/>
          <w:szCs w:val="24"/>
        </w:rPr>
        <w:t xml:space="preserve">as </w:t>
      </w:r>
      <w:r w:rsidR="00E75B79" w:rsidRPr="001E23FF">
        <w:rPr>
          <w:rFonts w:ascii="Arial" w:hAnsi="Arial" w:cs="Arial"/>
          <w:sz w:val="24"/>
          <w:szCs w:val="24"/>
        </w:rPr>
        <w:t xml:space="preserve">set out in </w:t>
      </w:r>
      <w:r w:rsidR="00E75B79" w:rsidRPr="001E23FF">
        <w:rPr>
          <w:rFonts w:ascii="Arial" w:hAnsi="Arial" w:cs="Arial"/>
          <w:i/>
          <w:iCs/>
          <w:sz w:val="24"/>
          <w:szCs w:val="24"/>
        </w:rPr>
        <w:t>Nov</w:t>
      </w:r>
      <w:r w:rsidR="00651A14" w:rsidRPr="001E23FF">
        <w:rPr>
          <w:rFonts w:ascii="Arial" w:hAnsi="Arial" w:cs="Arial"/>
          <w:i/>
          <w:iCs/>
          <w:sz w:val="24"/>
          <w:szCs w:val="24"/>
        </w:rPr>
        <w:t>a</w:t>
      </w:r>
      <w:r w:rsidR="00E75B79" w:rsidRPr="001E23FF">
        <w:rPr>
          <w:rFonts w:ascii="Arial" w:hAnsi="Arial" w:cs="Arial"/>
          <w:i/>
          <w:iCs/>
          <w:sz w:val="24"/>
          <w:szCs w:val="24"/>
        </w:rPr>
        <w:t>ck v Comair Holdings Ltc</w:t>
      </w:r>
      <w:r w:rsidR="00E75B79" w:rsidRPr="001E23FF">
        <w:rPr>
          <w:rFonts w:ascii="Arial" w:hAnsi="Arial" w:cs="Arial"/>
          <w:sz w:val="24"/>
          <w:szCs w:val="24"/>
        </w:rPr>
        <w:t xml:space="preserve"> </w:t>
      </w:r>
      <w:r w:rsidR="0081317B" w:rsidRPr="001E23FF">
        <w:rPr>
          <w:rFonts w:ascii="Arial" w:hAnsi="Arial" w:cs="Arial"/>
          <w:sz w:val="24"/>
          <w:szCs w:val="24"/>
        </w:rPr>
        <w:t xml:space="preserve">, </w:t>
      </w:r>
      <w:r w:rsidR="0010567D" w:rsidRPr="001E23FF">
        <w:rPr>
          <w:rFonts w:ascii="Arial" w:hAnsi="Arial" w:cs="Arial"/>
          <w:sz w:val="24"/>
          <w:szCs w:val="24"/>
        </w:rPr>
        <w:t>namely</w:t>
      </w:r>
      <w:r w:rsidR="0081317B" w:rsidRPr="001E23FF">
        <w:rPr>
          <w:rFonts w:ascii="Arial" w:hAnsi="Arial" w:cs="Arial"/>
          <w:sz w:val="24"/>
          <w:szCs w:val="24"/>
        </w:rPr>
        <w:t xml:space="preserve"> </w:t>
      </w:r>
      <w:r w:rsidR="00E75B79" w:rsidRPr="001E23FF">
        <w:rPr>
          <w:rFonts w:ascii="Arial" w:hAnsi="Arial" w:cs="Arial"/>
          <w:sz w:val="24"/>
          <w:szCs w:val="24"/>
        </w:rPr>
        <w:t>(1) a representation; (2) which was false; (3) which was made b</w:t>
      </w:r>
      <w:r w:rsidR="008B7260" w:rsidRPr="001E23FF">
        <w:rPr>
          <w:rFonts w:ascii="Arial" w:hAnsi="Arial" w:cs="Arial"/>
          <w:sz w:val="24"/>
          <w:szCs w:val="24"/>
        </w:rPr>
        <w:t>y</w:t>
      </w:r>
      <w:r w:rsidR="00E75B79" w:rsidRPr="001E23FF">
        <w:rPr>
          <w:rFonts w:ascii="Arial" w:hAnsi="Arial" w:cs="Arial"/>
          <w:sz w:val="24"/>
          <w:szCs w:val="24"/>
        </w:rPr>
        <w:t xml:space="preserve"> the defendant or the defendant's a</w:t>
      </w:r>
      <w:r w:rsidR="008B7260" w:rsidRPr="001E23FF">
        <w:rPr>
          <w:rFonts w:ascii="Arial" w:hAnsi="Arial" w:cs="Arial"/>
          <w:sz w:val="24"/>
          <w:szCs w:val="24"/>
        </w:rPr>
        <w:t>g</w:t>
      </w:r>
      <w:r w:rsidR="00E75B79" w:rsidRPr="001E23FF">
        <w:rPr>
          <w:rFonts w:ascii="Arial" w:hAnsi="Arial" w:cs="Arial"/>
          <w:sz w:val="24"/>
          <w:szCs w:val="24"/>
        </w:rPr>
        <w:t>ent; (4) which is material; (5) which was intended to induce the claimant to enter into the transaction; and (6) did induce the contract (causation).</w:t>
      </w:r>
    </w:p>
    <w:p w14:paraId="6D97D45F" w14:textId="466F8BD3" w:rsidR="006A7C6F" w:rsidRPr="001E23FF" w:rsidRDefault="001E23FF" w:rsidP="001E23FF">
      <w:pPr>
        <w:spacing w:before="240" w:after="60" w:line="480" w:lineRule="auto"/>
        <w:ind w:left="360" w:hanging="36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8670D6" w:rsidRPr="001E23FF">
        <w:rPr>
          <w:rFonts w:ascii="Arial" w:hAnsi="Arial" w:cs="Arial"/>
          <w:sz w:val="24"/>
          <w:szCs w:val="24"/>
        </w:rPr>
        <w:t>It argues that as it did not author the media statement, the th</w:t>
      </w:r>
      <w:r w:rsidR="00AE21D1" w:rsidRPr="001E23FF">
        <w:rPr>
          <w:rFonts w:ascii="Arial" w:hAnsi="Arial" w:cs="Arial"/>
          <w:sz w:val="24"/>
          <w:szCs w:val="24"/>
        </w:rPr>
        <w:t>i</w:t>
      </w:r>
      <w:r w:rsidR="008670D6" w:rsidRPr="001E23FF">
        <w:rPr>
          <w:rFonts w:ascii="Arial" w:hAnsi="Arial" w:cs="Arial"/>
          <w:sz w:val="24"/>
          <w:szCs w:val="24"/>
        </w:rPr>
        <w:t>rd requireme</w:t>
      </w:r>
      <w:r w:rsidR="00AE21D1" w:rsidRPr="001E23FF">
        <w:rPr>
          <w:rFonts w:ascii="Arial" w:hAnsi="Arial" w:cs="Arial"/>
          <w:sz w:val="24"/>
          <w:szCs w:val="24"/>
        </w:rPr>
        <w:t>nt has not been met</w:t>
      </w:r>
      <w:r w:rsidR="002B4F00" w:rsidRPr="001E23FF">
        <w:rPr>
          <w:rFonts w:ascii="Arial" w:hAnsi="Arial" w:cs="Arial"/>
          <w:sz w:val="24"/>
          <w:szCs w:val="24"/>
        </w:rPr>
        <w:t xml:space="preserve">, as it was not its agents that made the representation. </w:t>
      </w:r>
      <w:r w:rsidR="00756404" w:rsidRPr="001E23FF">
        <w:rPr>
          <w:rFonts w:ascii="Arial" w:hAnsi="Arial" w:cs="Arial"/>
          <w:sz w:val="24"/>
          <w:szCs w:val="24"/>
        </w:rPr>
        <w:t>The Respondent’s defence however is that on the basis of the media statement (which lists the Applicant as a participating bank) it approached the Applicant’s agents</w:t>
      </w:r>
      <w:r w:rsidR="00401EB6" w:rsidRPr="001E23FF">
        <w:rPr>
          <w:rFonts w:ascii="Arial" w:hAnsi="Arial" w:cs="Arial"/>
          <w:sz w:val="24"/>
          <w:szCs w:val="24"/>
        </w:rPr>
        <w:t>, who then failed to correct his mis</w:t>
      </w:r>
      <w:r w:rsidR="0010567D" w:rsidRPr="001E23FF">
        <w:rPr>
          <w:rFonts w:ascii="Arial" w:hAnsi="Arial" w:cs="Arial"/>
          <w:sz w:val="24"/>
          <w:szCs w:val="24"/>
        </w:rPr>
        <w:t>perception</w:t>
      </w:r>
      <w:r w:rsidR="00BC1A4A" w:rsidRPr="001E23FF">
        <w:rPr>
          <w:rFonts w:ascii="Arial" w:hAnsi="Arial" w:cs="Arial"/>
          <w:sz w:val="24"/>
          <w:szCs w:val="24"/>
        </w:rPr>
        <w:t xml:space="preserve">. </w:t>
      </w:r>
      <w:r w:rsidR="00067908" w:rsidRPr="001E23FF">
        <w:rPr>
          <w:rFonts w:ascii="Arial" w:hAnsi="Arial" w:cs="Arial"/>
          <w:sz w:val="24"/>
          <w:szCs w:val="24"/>
        </w:rPr>
        <w:t xml:space="preserve">The question </w:t>
      </w:r>
      <w:r w:rsidR="00067908" w:rsidRPr="001E23FF">
        <w:rPr>
          <w:rFonts w:ascii="Arial" w:hAnsi="Arial" w:cs="Arial"/>
          <w:sz w:val="24"/>
          <w:szCs w:val="24"/>
        </w:rPr>
        <w:lastRenderedPageBreak/>
        <w:t>of who authored the media statement is</w:t>
      </w:r>
      <w:r w:rsidR="00C05D38" w:rsidRPr="001E23FF">
        <w:rPr>
          <w:rFonts w:ascii="Arial" w:hAnsi="Arial" w:cs="Arial"/>
          <w:sz w:val="24"/>
          <w:szCs w:val="24"/>
        </w:rPr>
        <w:t xml:space="preserve"> therefore irrelevant.</w:t>
      </w:r>
      <w:r w:rsidR="0010567D" w:rsidRPr="001E23FF">
        <w:rPr>
          <w:rFonts w:ascii="Arial" w:hAnsi="Arial" w:cs="Arial"/>
          <w:sz w:val="24"/>
          <w:szCs w:val="24"/>
        </w:rPr>
        <w:t xml:space="preserve"> I do however note that the Applicant does not disavow the statement</w:t>
      </w:r>
      <w:r w:rsidR="006F5F99" w:rsidRPr="001E23FF">
        <w:rPr>
          <w:rFonts w:ascii="Arial" w:hAnsi="Arial" w:cs="Arial"/>
          <w:sz w:val="24"/>
          <w:szCs w:val="24"/>
        </w:rPr>
        <w:t>,</w:t>
      </w:r>
      <w:r w:rsidR="0010567D" w:rsidRPr="001E23FF">
        <w:rPr>
          <w:rFonts w:ascii="Arial" w:hAnsi="Arial" w:cs="Arial"/>
          <w:sz w:val="24"/>
          <w:szCs w:val="24"/>
        </w:rPr>
        <w:t xml:space="preserve"> its content</w:t>
      </w:r>
      <w:r w:rsidR="006F5F99" w:rsidRPr="001E23FF">
        <w:rPr>
          <w:rFonts w:ascii="Arial" w:hAnsi="Arial" w:cs="Arial"/>
          <w:sz w:val="24"/>
          <w:szCs w:val="24"/>
        </w:rPr>
        <w:t xml:space="preserve"> or that it was a participating bank</w:t>
      </w:r>
      <w:r w:rsidR="0010567D" w:rsidRPr="001E23FF">
        <w:rPr>
          <w:rFonts w:ascii="Arial" w:hAnsi="Arial" w:cs="Arial"/>
          <w:sz w:val="24"/>
          <w:szCs w:val="24"/>
        </w:rPr>
        <w:t>.</w:t>
      </w:r>
    </w:p>
    <w:p w14:paraId="6C634F4D" w14:textId="622BC764" w:rsidR="00C05D38" w:rsidRPr="001E23FF" w:rsidRDefault="001E23FF" w:rsidP="001E23FF">
      <w:pPr>
        <w:spacing w:before="240" w:after="60" w:line="480" w:lineRule="auto"/>
        <w:ind w:left="360" w:hanging="360"/>
        <w:jc w:val="both"/>
        <w:rPr>
          <w:rFonts w:ascii="Arial" w:hAnsi="Arial" w:cs="Arial"/>
          <w:sz w:val="24"/>
          <w:szCs w:val="24"/>
        </w:rPr>
      </w:pPr>
      <w:r w:rsidRPr="00D65533">
        <w:rPr>
          <w:rFonts w:ascii="Arial" w:hAnsi="Arial" w:cs="Arial"/>
          <w:sz w:val="24"/>
          <w:szCs w:val="24"/>
        </w:rPr>
        <w:t>33.</w:t>
      </w:r>
      <w:r w:rsidRPr="00D65533">
        <w:rPr>
          <w:rFonts w:ascii="Arial" w:hAnsi="Arial" w:cs="Arial"/>
          <w:sz w:val="24"/>
          <w:szCs w:val="24"/>
        </w:rPr>
        <w:tab/>
      </w:r>
      <w:r w:rsidR="00187689" w:rsidRPr="001E23FF">
        <w:rPr>
          <w:rFonts w:ascii="Arial" w:hAnsi="Arial" w:cs="Arial"/>
          <w:sz w:val="24"/>
          <w:szCs w:val="24"/>
        </w:rPr>
        <w:t xml:space="preserve">Insofar as the alleged failure by the Applicant’s agents to correct the </w:t>
      </w:r>
      <w:r w:rsidR="006345FF" w:rsidRPr="001E23FF">
        <w:rPr>
          <w:rFonts w:ascii="Arial" w:hAnsi="Arial" w:cs="Arial"/>
          <w:sz w:val="24"/>
          <w:szCs w:val="24"/>
        </w:rPr>
        <w:t>Respondent’s</w:t>
      </w:r>
      <w:r w:rsidR="0075721C" w:rsidRPr="001E23FF">
        <w:rPr>
          <w:rFonts w:ascii="Arial" w:hAnsi="Arial" w:cs="Arial"/>
          <w:sz w:val="24"/>
          <w:szCs w:val="24"/>
        </w:rPr>
        <w:t xml:space="preserve"> unilateral misdirection is concerned</w:t>
      </w:r>
      <w:r w:rsidR="006345FF" w:rsidRPr="001E23FF">
        <w:rPr>
          <w:rFonts w:ascii="Arial" w:hAnsi="Arial" w:cs="Arial"/>
          <w:sz w:val="24"/>
          <w:szCs w:val="24"/>
        </w:rPr>
        <w:t>, I am of the view that th</w:t>
      </w:r>
      <w:r w:rsidR="00AF49E5" w:rsidRPr="001E23FF">
        <w:rPr>
          <w:rFonts w:ascii="Arial" w:hAnsi="Arial" w:cs="Arial"/>
          <w:sz w:val="24"/>
          <w:szCs w:val="24"/>
        </w:rPr>
        <w:t>e</w:t>
      </w:r>
      <w:r w:rsidR="006345FF" w:rsidRPr="001E23FF">
        <w:rPr>
          <w:rFonts w:ascii="Arial" w:hAnsi="Arial" w:cs="Arial"/>
          <w:sz w:val="24"/>
          <w:szCs w:val="24"/>
        </w:rPr>
        <w:t xml:space="preserve"> context and uncertainties</w:t>
      </w:r>
      <w:r w:rsidR="00AF49E5" w:rsidRPr="001E23FF">
        <w:rPr>
          <w:rFonts w:ascii="Arial" w:hAnsi="Arial" w:cs="Arial"/>
          <w:sz w:val="24"/>
          <w:szCs w:val="24"/>
        </w:rPr>
        <w:t xml:space="preserve"> relating to the exact nature of the Covid 19 loan guarantee scheme,</w:t>
      </w:r>
      <w:r w:rsidR="00786B21" w:rsidRPr="001E23FF">
        <w:rPr>
          <w:rFonts w:ascii="Arial" w:hAnsi="Arial" w:cs="Arial"/>
          <w:sz w:val="24"/>
          <w:szCs w:val="24"/>
        </w:rPr>
        <w:t xml:space="preserve"> the defence raise</w:t>
      </w:r>
      <w:r w:rsidR="00C92A3F" w:rsidRPr="001E23FF">
        <w:rPr>
          <w:rFonts w:ascii="Arial" w:hAnsi="Arial" w:cs="Arial"/>
          <w:sz w:val="24"/>
          <w:szCs w:val="24"/>
        </w:rPr>
        <w:t xml:space="preserve">d </w:t>
      </w:r>
      <w:r w:rsidR="006F5F99" w:rsidRPr="001E23FF">
        <w:rPr>
          <w:rFonts w:ascii="Arial" w:hAnsi="Arial" w:cs="Arial"/>
          <w:sz w:val="24"/>
          <w:szCs w:val="24"/>
        </w:rPr>
        <w:t xml:space="preserve">may well fall within the </w:t>
      </w:r>
      <w:r w:rsidR="00C92A3F" w:rsidRPr="001E23FF">
        <w:rPr>
          <w:rFonts w:ascii="Arial" w:hAnsi="Arial" w:cs="Arial"/>
          <w:sz w:val="24"/>
          <w:szCs w:val="24"/>
        </w:rPr>
        <w:t xml:space="preserve">narrow scope of unilateral mistakes that </w:t>
      </w:r>
      <w:r w:rsidR="00E7754C" w:rsidRPr="001E23FF">
        <w:rPr>
          <w:rFonts w:ascii="Arial" w:hAnsi="Arial" w:cs="Arial"/>
          <w:sz w:val="24"/>
          <w:szCs w:val="24"/>
        </w:rPr>
        <w:t>c</w:t>
      </w:r>
      <w:r w:rsidR="00C92A3F" w:rsidRPr="001E23FF">
        <w:rPr>
          <w:rFonts w:ascii="Arial" w:hAnsi="Arial" w:cs="Arial"/>
          <w:sz w:val="24"/>
          <w:szCs w:val="24"/>
        </w:rPr>
        <w:t>ould</w:t>
      </w:r>
      <w:r w:rsidR="00E7754C" w:rsidRPr="001E23FF">
        <w:rPr>
          <w:rFonts w:ascii="Arial" w:hAnsi="Arial" w:cs="Arial"/>
          <w:sz w:val="24"/>
          <w:szCs w:val="24"/>
        </w:rPr>
        <w:t>, if proven,</w:t>
      </w:r>
      <w:r w:rsidR="00C92A3F" w:rsidRPr="001E23FF">
        <w:rPr>
          <w:rFonts w:ascii="Arial" w:hAnsi="Arial" w:cs="Arial"/>
          <w:sz w:val="24"/>
          <w:szCs w:val="24"/>
        </w:rPr>
        <w:t xml:space="preserve"> vitiate </w:t>
      </w:r>
      <w:r w:rsidR="00EC7D39" w:rsidRPr="001E23FF">
        <w:rPr>
          <w:rFonts w:ascii="Arial" w:hAnsi="Arial" w:cs="Arial"/>
          <w:sz w:val="24"/>
          <w:szCs w:val="24"/>
        </w:rPr>
        <w:t>an agreement reached:</w:t>
      </w:r>
      <w:r w:rsidR="006345FF" w:rsidRPr="001E23FF">
        <w:rPr>
          <w:rFonts w:ascii="Arial" w:hAnsi="Arial" w:cs="Arial"/>
          <w:sz w:val="24"/>
          <w:szCs w:val="24"/>
        </w:rPr>
        <w:t xml:space="preserve"> </w:t>
      </w:r>
    </w:p>
    <w:p w14:paraId="4F916DEA" w14:textId="7F2EE630" w:rsidR="00A74256" w:rsidRPr="001E23FF" w:rsidRDefault="001E23FF" w:rsidP="001E23FF">
      <w:pPr>
        <w:spacing w:before="240" w:after="60" w:line="480" w:lineRule="auto"/>
        <w:ind w:left="360" w:hanging="360"/>
        <w:jc w:val="both"/>
        <w:rPr>
          <w:rFonts w:ascii="Arial" w:hAnsi="Arial" w:cs="Arial"/>
          <w:sz w:val="24"/>
          <w:szCs w:val="24"/>
        </w:rPr>
      </w:pPr>
      <w:r w:rsidRPr="00A74256">
        <w:rPr>
          <w:rFonts w:ascii="Arial" w:hAnsi="Arial" w:cs="Arial"/>
          <w:sz w:val="24"/>
          <w:szCs w:val="24"/>
        </w:rPr>
        <w:t>34.</w:t>
      </w:r>
      <w:r w:rsidRPr="00A74256">
        <w:rPr>
          <w:rFonts w:ascii="Arial" w:hAnsi="Arial" w:cs="Arial"/>
          <w:sz w:val="24"/>
          <w:szCs w:val="24"/>
        </w:rPr>
        <w:tab/>
      </w:r>
      <w:r w:rsidR="00A74256" w:rsidRPr="001E23FF">
        <w:rPr>
          <w:rFonts w:ascii="Arial" w:hAnsi="Arial" w:cs="Arial"/>
          <w:sz w:val="24"/>
          <w:szCs w:val="24"/>
        </w:rPr>
        <w:t>I</w:t>
      </w:r>
      <w:r w:rsidR="00D65533" w:rsidRPr="001E23FF">
        <w:rPr>
          <w:rFonts w:ascii="Arial" w:hAnsi="Arial" w:cs="Arial"/>
          <w:sz w:val="24"/>
          <w:szCs w:val="24"/>
        </w:rPr>
        <w:t xml:space="preserve">n </w:t>
      </w:r>
      <w:r w:rsidR="00A74256" w:rsidRPr="001E23FF">
        <w:rPr>
          <w:rFonts w:ascii="Arial" w:hAnsi="Arial" w:cs="Arial"/>
          <w:sz w:val="24"/>
          <w:szCs w:val="24"/>
        </w:rPr>
        <w:t xml:space="preserve">the matter of </w:t>
      </w:r>
      <w:r w:rsidR="00A74256" w:rsidRPr="001E23FF">
        <w:rPr>
          <w:rFonts w:ascii="Arial" w:hAnsi="Arial" w:cs="Arial"/>
          <w:i/>
          <w:iCs/>
          <w:sz w:val="24"/>
          <w:szCs w:val="24"/>
        </w:rPr>
        <w:t>Slip Knot Investments 777 (Pty) Ltd v Du Toit</w:t>
      </w:r>
      <w:r w:rsidR="00A74256" w:rsidRPr="001E23FF">
        <w:rPr>
          <w:rFonts w:ascii="Arial" w:hAnsi="Arial" w:cs="Arial"/>
          <w:sz w:val="24"/>
          <w:szCs w:val="24"/>
        </w:rPr>
        <w:t xml:space="preserve"> 2011 (4) SA 72 (SCA) at paragraph [9], the SCA held:</w:t>
      </w:r>
    </w:p>
    <w:p w14:paraId="402FE211" w14:textId="20FAE34C" w:rsidR="00A74256" w:rsidRPr="00E00C51" w:rsidRDefault="00A74256" w:rsidP="006F5F99">
      <w:pPr>
        <w:pStyle w:val="ListParagraph"/>
        <w:spacing w:before="240" w:after="60" w:line="360" w:lineRule="auto"/>
        <w:ind w:left="360"/>
        <w:jc w:val="both"/>
        <w:rPr>
          <w:rFonts w:ascii="Arial" w:hAnsi="Arial" w:cs="Arial"/>
          <w:i/>
          <w:iCs/>
          <w:sz w:val="24"/>
          <w:szCs w:val="24"/>
        </w:rPr>
      </w:pPr>
      <w:r w:rsidRPr="00E00C51">
        <w:rPr>
          <w:rFonts w:ascii="Arial" w:hAnsi="Arial" w:cs="Arial"/>
          <w:i/>
          <w:iCs/>
          <w:sz w:val="24"/>
          <w:szCs w:val="24"/>
        </w:rPr>
        <w:t>"</w:t>
      </w:r>
      <w:r w:rsidR="00EC7D39" w:rsidRPr="00E00C51">
        <w:rPr>
          <w:rFonts w:ascii="Arial" w:hAnsi="Arial" w:cs="Arial"/>
          <w:i/>
          <w:iCs/>
          <w:sz w:val="24"/>
          <w:szCs w:val="24"/>
        </w:rPr>
        <w:t>….</w:t>
      </w:r>
      <w:r w:rsidRPr="00E00C51">
        <w:rPr>
          <w:rFonts w:ascii="Arial" w:hAnsi="Arial" w:cs="Arial"/>
          <w:i/>
          <w:iCs/>
          <w:sz w:val="24"/>
          <w:szCs w:val="24"/>
        </w:rPr>
        <w:t xml:space="preserve"> The respondent's mistake is a unilateral one. Referring to the mistake of the kind the respondent laboured under, it was said in National and Overseas Distributors Corporation (Pty) Ltd v Potato Board:</w:t>
      </w:r>
    </w:p>
    <w:p w14:paraId="16A0869A" w14:textId="0160ACA5" w:rsidR="00A74256" w:rsidRPr="006F5F99" w:rsidRDefault="00A74256" w:rsidP="006F5F99">
      <w:pPr>
        <w:pStyle w:val="ListParagraph"/>
        <w:spacing w:before="240" w:after="60" w:line="360" w:lineRule="auto"/>
        <w:ind w:left="851"/>
        <w:jc w:val="both"/>
        <w:rPr>
          <w:rFonts w:ascii="Arial" w:hAnsi="Arial" w:cs="Arial"/>
          <w:sz w:val="24"/>
          <w:szCs w:val="24"/>
        </w:rPr>
      </w:pPr>
      <w:r w:rsidRPr="00E00C51">
        <w:rPr>
          <w:rFonts w:ascii="Arial" w:hAnsi="Arial" w:cs="Arial"/>
          <w:i/>
          <w:iCs/>
          <w:sz w:val="24"/>
          <w:szCs w:val="24"/>
        </w:rPr>
        <w:t xml:space="preserve">‘Our law allows a party to set up his own mistake in certain circumstances in order to escape liability under a contract into which he has entered but where the other party has not made any misrepresentation and has not appreciated at the time of acceptance that his offer was being accepted under a misapprehension, the scope for a defence of unilateral mistake is very narrow, if it exists at all. </w:t>
      </w:r>
      <w:r w:rsidRPr="006F5F99">
        <w:rPr>
          <w:rFonts w:ascii="Arial" w:hAnsi="Arial" w:cs="Arial"/>
          <w:i/>
          <w:iCs/>
          <w:sz w:val="24"/>
          <w:szCs w:val="24"/>
          <w:u w:val="single"/>
        </w:rPr>
        <w:t>At least the mistake (error) would have to be reasonable (justus)</w:t>
      </w:r>
      <w:r w:rsidRPr="00E00C51">
        <w:rPr>
          <w:rFonts w:ascii="Arial" w:hAnsi="Arial" w:cs="Arial"/>
          <w:i/>
          <w:iCs/>
          <w:sz w:val="24"/>
          <w:szCs w:val="24"/>
        </w:rPr>
        <w:t xml:space="preserve"> and it would have to be pleaded.’</w:t>
      </w:r>
      <w:r w:rsidR="00E00C51">
        <w:rPr>
          <w:rFonts w:ascii="Arial" w:hAnsi="Arial" w:cs="Arial"/>
          <w:i/>
          <w:iCs/>
          <w:sz w:val="24"/>
          <w:szCs w:val="24"/>
        </w:rPr>
        <w:t>”</w:t>
      </w:r>
      <w:r w:rsidR="006F5F99">
        <w:rPr>
          <w:rFonts w:ascii="Arial" w:hAnsi="Arial" w:cs="Arial"/>
          <w:i/>
          <w:iCs/>
          <w:sz w:val="24"/>
          <w:szCs w:val="24"/>
        </w:rPr>
        <w:t xml:space="preserve"> </w:t>
      </w:r>
      <w:r w:rsidR="006F5F99">
        <w:rPr>
          <w:rFonts w:ascii="Arial" w:hAnsi="Arial" w:cs="Arial"/>
          <w:sz w:val="24"/>
          <w:szCs w:val="24"/>
        </w:rPr>
        <w:t>[Underlining my own]</w:t>
      </w:r>
    </w:p>
    <w:p w14:paraId="1AB50916" w14:textId="0B2AD784" w:rsidR="00E00C51" w:rsidRPr="001E23FF" w:rsidRDefault="001E23FF" w:rsidP="001E23FF">
      <w:pPr>
        <w:spacing w:before="120" w:after="0" w:line="480" w:lineRule="auto"/>
        <w:ind w:left="357" w:hanging="357"/>
        <w:jc w:val="both"/>
        <w:rPr>
          <w:rFonts w:ascii="Arial" w:hAnsi="Arial" w:cs="Arial"/>
          <w:sz w:val="24"/>
          <w:szCs w:val="24"/>
        </w:rPr>
      </w:pPr>
      <w:r>
        <w:rPr>
          <w:rFonts w:ascii="Arial" w:hAnsi="Arial" w:cs="Arial"/>
          <w:sz w:val="24"/>
          <w:szCs w:val="24"/>
        </w:rPr>
        <w:t>35.</w:t>
      </w:r>
      <w:r>
        <w:rPr>
          <w:rFonts w:ascii="Arial" w:hAnsi="Arial" w:cs="Arial"/>
          <w:sz w:val="24"/>
          <w:szCs w:val="24"/>
        </w:rPr>
        <w:tab/>
      </w:r>
      <w:r w:rsidR="0015456A" w:rsidRPr="001E23FF">
        <w:rPr>
          <w:rFonts w:ascii="Arial" w:hAnsi="Arial" w:cs="Arial"/>
          <w:sz w:val="24"/>
          <w:szCs w:val="24"/>
        </w:rPr>
        <w:t xml:space="preserve">In </w:t>
      </w:r>
      <w:r w:rsidR="00E00C51" w:rsidRPr="001E23FF">
        <w:rPr>
          <w:rFonts w:ascii="Arial" w:hAnsi="Arial" w:cs="Arial"/>
          <w:i/>
          <w:iCs/>
          <w:sz w:val="24"/>
          <w:szCs w:val="24"/>
        </w:rPr>
        <w:t>Tesoriero v Bhyjo Investments Share Block (Pty)Ltd</w:t>
      </w:r>
      <w:r w:rsidR="0015456A" w:rsidRPr="001E23FF">
        <w:rPr>
          <w:rFonts w:ascii="Arial" w:hAnsi="Arial" w:cs="Arial"/>
          <w:i/>
          <w:iCs/>
          <w:sz w:val="24"/>
          <w:szCs w:val="24"/>
        </w:rPr>
        <w:t xml:space="preserve">  </w:t>
      </w:r>
      <w:r w:rsidR="0015456A" w:rsidRPr="001E23FF">
        <w:rPr>
          <w:rFonts w:ascii="Arial" w:hAnsi="Arial" w:cs="Arial"/>
          <w:sz w:val="24"/>
          <w:szCs w:val="24"/>
        </w:rPr>
        <w:t>(2000 (1) SA 167 (W) at 175</w:t>
      </w:r>
      <w:r w:rsidR="00204119" w:rsidRPr="001E23FF">
        <w:rPr>
          <w:rFonts w:ascii="Arial" w:hAnsi="Arial" w:cs="Arial"/>
          <w:sz w:val="24"/>
          <w:szCs w:val="24"/>
        </w:rPr>
        <w:t xml:space="preserve">, </w:t>
      </w:r>
      <w:r w:rsidR="0015456A" w:rsidRPr="001E23FF">
        <w:rPr>
          <w:rFonts w:ascii="Arial" w:hAnsi="Arial" w:cs="Arial"/>
          <w:sz w:val="24"/>
          <w:szCs w:val="24"/>
        </w:rPr>
        <w:t xml:space="preserve">the Court </w:t>
      </w:r>
      <w:r w:rsidR="00204119" w:rsidRPr="001E23FF">
        <w:rPr>
          <w:rFonts w:ascii="Arial" w:hAnsi="Arial" w:cs="Arial"/>
          <w:sz w:val="24"/>
          <w:szCs w:val="24"/>
        </w:rPr>
        <w:t xml:space="preserve">also confirmed the </w:t>
      </w:r>
      <w:r w:rsidR="0042596D" w:rsidRPr="001E23FF">
        <w:rPr>
          <w:rFonts w:ascii="Arial" w:hAnsi="Arial" w:cs="Arial"/>
          <w:sz w:val="24"/>
          <w:szCs w:val="24"/>
        </w:rPr>
        <w:t xml:space="preserve">existence </w:t>
      </w:r>
      <w:r w:rsidR="00204119" w:rsidRPr="001E23FF">
        <w:rPr>
          <w:rFonts w:ascii="Arial" w:hAnsi="Arial" w:cs="Arial"/>
          <w:sz w:val="24"/>
          <w:szCs w:val="24"/>
        </w:rPr>
        <w:t>of a defence based on unilateral mistake:</w:t>
      </w:r>
    </w:p>
    <w:p w14:paraId="611F85B2" w14:textId="15888AFB" w:rsidR="004F1ECE" w:rsidRPr="006F5F99" w:rsidRDefault="004F1ECE" w:rsidP="006F5F99">
      <w:pPr>
        <w:pStyle w:val="ListParagraph"/>
        <w:spacing w:before="240" w:after="60" w:line="360" w:lineRule="auto"/>
        <w:ind w:left="357"/>
        <w:jc w:val="both"/>
        <w:rPr>
          <w:rFonts w:ascii="Arial" w:hAnsi="Arial" w:cs="Arial"/>
          <w:sz w:val="24"/>
          <w:szCs w:val="24"/>
        </w:rPr>
      </w:pPr>
      <w:r w:rsidRPr="00453205">
        <w:rPr>
          <w:rFonts w:ascii="Arial" w:hAnsi="Arial" w:cs="Arial"/>
          <w:i/>
          <w:iCs/>
          <w:sz w:val="24"/>
          <w:szCs w:val="24"/>
        </w:rPr>
        <w:t xml:space="preserve">"The furthest the courts will go on a principle approach is to identify the issue as one of iustus error. See Sonap Petroleum (SA) (Pty) v Pappadogianis . For the rest the approach is casuistic. It involves a consideration of the document itself and the nature of the transaction between the parties. By nature of the transaction, I do not mean its legal classification. </w:t>
      </w:r>
      <w:r w:rsidRPr="00CB3079">
        <w:rPr>
          <w:rFonts w:ascii="Arial" w:hAnsi="Arial" w:cs="Arial"/>
          <w:i/>
          <w:iCs/>
          <w:sz w:val="24"/>
          <w:szCs w:val="24"/>
          <w:u w:val="single"/>
        </w:rPr>
        <w:t>I mean what transpired between the parties which led to the signing of the document and other relevant admissible evidence which assists in explaining the basis upon which the signature was placed.</w:t>
      </w:r>
      <w:r w:rsidRPr="00453205">
        <w:rPr>
          <w:rFonts w:ascii="Arial" w:hAnsi="Arial" w:cs="Arial"/>
          <w:i/>
          <w:iCs/>
          <w:sz w:val="24"/>
          <w:szCs w:val="24"/>
        </w:rPr>
        <w:t xml:space="preserve"> It would embrace instances where the party who presented the form was aware that the other party was illiterate. It would include misrepresentations made by the </w:t>
      </w:r>
      <w:r w:rsidRPr="006F5F99">
        <w:rPr>
          <w:rFonts w:ascii="Arial" w:hAnsi="Arial" w:cs="Arial"/>
          <w:i/>
          <w:iCs/>
          <w:sz w:val="24"/>
          <w:szCs w:val="24"/>
          <w:u w:val="single"/>
        </w:rPr>
        <w:t>creditor or other conduct which a court considers sufficiently blameworthy so as to relieve a party from some, or all, of the ordinary consequences of his signature</w:t>
      </w:r>
      <w:r w:rsidRPr="00453205">
        <w:rPr>
          <w:rFonts w:ascii="Arial" w:hAnsi="Arial" w:cs="Arial"/>
          <w:i/>
          <w:iCs/>
          <w:sz w:val="24"/>
          <w:szCs w:val="24"/>
        </w:rPr>
        <w:t>"</w:t>
      </w:r>
      <w:r w:rsidR="006F5F99">
        <w:rPr>
          <w:rFonts w:ascii="Arial" w:hAnsi="Arial" w:cs="Arial"/>
          <w:i/>
          <w:iCs/>
          <w:sz w:val="24"/>
          <w:szCs w:val="24"/>
        </w:rPr>
        <w:t xml:space="preserve"> </w:t>
      </w:r>
      <w:r w:rsidR="006F5F99">
        <w:rPr>
          <w:rFonts w:ascii="Arial" w:hAnsi="Arial" w:cs="Arial"/>
          <w:sz w:val="24"/>
          <w:szCs w:val="24"/>
        </w:rPr>
        <w:t>[Underlining my own]</w:t>
      </w:r>
    </w:p>
    <w:p w14:paraId="72E7D001" w14:textId="0074501E" w:rsidR="00E7754C" w:rsidRPr="001E23FF" w:rsidRDefault="001E23FF" w:rsidP="001E23FF">
      <w:pPr>
        <w:spacing w:before="240" w:after="60" w:line="480" w:lineRule="auto"/>
        <w:ind w:left="357" w:hanging="357"/>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3D1C81" w:rsidRPr="001E23FF">
        <w:rPr>
          <w:rFonts w:ascii="Arial" w:hAnsi="Arial" w:cs="Arial"/>
          <w:sz w:val="24"/>
          <w:szCs w:val="24"/>
        </w:rPr>
        <w:t>The Covid 19 loan guarantee scheme</w:t>
      </w:r>
      <w:r w:rsidR="00ED0010" w:rsidRPr="001E23FF">
        <w:rPr>
          <w:rFonts w:ascii="Arial" w:hAnsi="Arial" w:cs="Arial"/>
          <w:sz w:val="24"/>
          <w:szCs w:val="24"/>
        </w:rPr>
        <w:t>,</w:t>
      </w:r>
      <w:r w:rsidR="00874FCB" w:rsidRPr="001E23FF">
        <w:rPr>
          <w:rFonts w:ascii="Arial" w:hAnsi="Arial" w:cs="Arial"/>
          <w:sz w:val="24"/>
          <w:szCs w:val="24"/>
        </w:rPr>
        <w:t xml:space="preserve"> when introduced was novel. Loan agreements (and  suretyship agreements) </w:t>
      </w:r>
      <w:r w:rsidR="00C80CEB" w:rsidRPr="001E23FF">
        <w:rPr>
          <w:rFonts w:ascii="Arial" w:hAnsi="Arial" w:cs="Arial"/>
          <w:sz w:val="24"/>
          <w:szCs w:val="24"/>
        </w:rPr>
        <w:t>concluded pursuant to the scheme</w:t>
      </w:r>
      <w:r w:rsidR="000D6172" w:rsidRPr="001E23FF">
        <w:rPr>
          <w:rFonts w:ascii="Arial" w:hAnsi="Arial" w:cs="Arial"/>
          <w:sz w:val="24"/>
          <w:szCs w:val="24"/>
        </w:rPr>
        <w:t>,</w:t>
      </w:r>
      <w:r w:rsidR="00C80CEB" w:rsidRPr="001E23FF">
        <w:rPr>
          <w:rFonts w:ascii="Arial" w:hAnsi="Arial" w:cs="Arial"/>
          <w:sz w:val="24"/>
          <w:szCs w:val="24"/>
        </w:rPr>
        <w:t xml:space="preserve"> were</w:t>
      </w:r>
      <w:r w:rsidR="002E3E47" w:rsidRPr="001E23FF">
        <w:rPr>
          <w:rFonts w:ascii="Arial" w:hAnsi="Arial" w:cs="Arial"/>
          <w:sz w:val="24"/>
          <w:szCs w:val="24"/>
        </w:rPr>
        <w:t xml:space="preserve"> concluded</w:t>
      </w:r>
      <w:r w:rsidR="00734754" w:rsidRPr="001E23FF">
        <w:rPr>
          <w:rFonts w:ascii="Arial" w:hAnsi="Arial" w:cs="Arial"/>
          <w:sz w:val="24"/>
          <w:szCs w:val="24"/>
        </w:rPr>
        <w:t xml:space="preserve"> for the first time</w:t>
      </w:r>
      <w:r w:rsidR="002E3E47" w:rsidRPr="001E23FF">
        <w:rPr>
          <w:rFonts w:ascii="Arial" w:hAnsi="Arial" w:cs="Arial"/>
          <w:sz w:val="24"/>
          <w:szCs w:val="24"/>
        </w:rPr>
        <w:t xml:space="preserve"> from 2020. </w:t>
      </w:r>
      <w:r w:rsidR="003A0E68" w:rsidRPr="001E23FF">
        <w:rPr>
          <w:rFonts w:ascii="Arial" w:hAnsi="Arial" w:cs="Arial"/>
          <w:i/>
          <w:iCs/>
          <w:sz w:val="24"/>
          <w:szCs w:val="24"/>
        </w:rPr>
        <w:t>I</w:t>
      </w:r>
      <w:r w:rsidR="002E3E47" w:rsidRPr="001E23FF">
        <w:rPr>
          <w:rFonts w:ascii="Arial" w:hAnsi="Arial" w:cs="Arial"/>
          <w:i/>
          <w:iCs/>
          <w:sz w:val="24"/>
          <w:szCs w:val="24"/>
        </w:rPr>
        <w:t>n casu</w:t>
      </w:r>
      <w:r w:rsidR="002E3E47" w:rsidRPr="001E23FF">
        <w:rPr>
          <w:rFonts w:ascii="Arial" w:hAnsi="Arial" w:cs="Arial"/>
          <w:sz w:val="24"/>
          <w:szCs w:val="24"/>
        </w:rPr>
        <w:t xml:space="preserve">, the </w:t>
      </w:r>
      <w:r w:rsidR="00B07FF5" w:rsidRPr="001E23FF">
        <w:rPr>
          <w:rFonts w:ascii="Arial" w:hAnsi="Arial" w:cs="Arial"/>
          <w:sz w:val="24"/>
          <w:szCs w:val="24"/>
        </w:rPr>
        <w:t>exact working of the scheme, still remains shrouded in mystery. Save for a terse reference to the scheme in the loan agreement and the particulars of claim, the only information as to the nature thereof presented was the media statement</w:t>
      </w:r>
      <w:r w:rsidR="00E706CA" w:rsidRPr="001E23FF">
        <w:rPr>
          <w:rFonts w:ascii="Arial" w:hAnsi="Arial" w:cs="Arial"/>
          <w:sz w:val="24"/>
          <w:szCs w:val="24"/>
        </w:rPr>
        <w:t xml:space="preserve"> attached to the plea. </w:t>
      </w:r>
      <w:r w:rsidR="00C334DE" w:rsidRPr="001E23FF">
        <w:rPr>
          <w:rFonts w:ascii="Arial" w:hAnsi="Arial" w:cs="Arial"/>
          <w:sz w:val="24"/>
          <w:szCs w:val="24"/>
        </w:rPr>
        <w:t>There is no</w:t>
      </w:r>
      <w:r w:rsidR="00925EDA" w:rsidRPr="001E23FF">
        <w:rPr>
          <w:rFonts w:ascii="Arial" w:hAnsi="Arial" w:cs="Arial"/>
          <w:sz w:val="24"/>
          <w:szCs w:val="24"/>
        </w:rPr>
        <w:t xml:space="preserve"> positive </w:t>
      </w:r>
      <w:r w:rsidR="00C334DE" w:rsidRPr="001E23FF">
        <w:rPr>
          <w:rFonts w:ascii="Arial" w:hAnsi="Arial" w:cs="Arial"/>
          <w:sz w:val="24"/>
          <w:szCs w:val="24"/>
        </w:rPr>
        <w:t xml:space="preserve">indication from the side of the Applicant as to </w:t>
      </w:r>
      <w:r w:rsidR="00D03061" w:rsidRPr="001E23FF">
        <w:rPr>
          <w:rFonts w:ascii="Arial" w:hAnsi="Arial" w:cs="Arial"/>
          <w:sz w:val="24"/>
          <w:szCs w:val="24"/>
        </w:rPr>
        <w:t>the correct methodology for debt collection in terms</w:t>
      </w:r>
      <w:r w:rsidR="00925EDA" w:rsidRPr="001E23FF">
        <w:rPr>
          <w:rFonts w:ascii="Arial" w:hAnsi="Arial" w:cs="Arial"/>
          <w:sz w:val="24"/>
          <w:szCs w:val="24"/>
        </w:rPr>
        <w:t xml:space="preserve"> of its agreements with SARB and Treasury. I</w:t>
      </w:r>
      <w:r w:rsidR="009E713D" w:rsidRPr="001E23FF">
        <w:rPr>
          <w:rFonts w:ascii="Arial" w:hAnsi="Arial" w:cs="Arial"/>
          <w:sz w:val="24"/>
          <w:szCs w:val="24"/>
        </w:rPr>
        <w:t xml:space="preserve">nstead, it </w:t>
      </w:r>
      <w:r w:rsidR="002D623F" w:rsidRPr="001E23FF">
        <w:rPr>
          <w:rFonts w:ascii="Arial" w:hAnsi="Arial" w:cs="Arial"/>
          <w:sz w:val="24"/>
          <w:szCs w:val="24"/>
        </w:rPr>
        <w:t xml:space="preserve">regards the suretyship agreement as one </w:t>
      </w:r>
      <w:r w:rsidR="00335397" w:rsidRPr="001E23FF">
        <w:rPr>
          <w:rFonts w:ascii="Arial" w:hAnsi="Arial" w:cs="Arial"/>
          <w:sz w:val="24"/>
          <w:szCs w:val="24"/>
        </w:rPr>
        <w:t xml:space="preserve">which would have been concluded within the context of a </w:t>
      </w:r>
      <w:r w:rsidR="009F4E1E" w:rsidRPr="001E23FF">
        <w:rPr>
          <w:rFonts w:ascii="Arial" w:hAnsi="Arial" w:cs="Arial"/>
          <w:sz w:val="24"/>
          <w:szCs w:val="24"/>
        </w:rPr>
        <w:t xml:space="preserve">loan obtained in the normal course. Whether or not there is a legislative </w:t>
      </w:r>
      <w:r w:rsidR="0061068E" w:rsidRPr="001E23FF">
        <w:rPr>
          <w:rFonts w:ascii="Arial" w:hAnsi="Arial" w:cs="Arial"/>
          <w:sz w:val="24"/>
          <w:szCs w:val="24"/>
        </w:rPr>
        <w:t xml:space="preserve">or contractual </w:t>
      </w:r>
      <w:r w:rsidR="009F4E1E" w:rsidRPr="001E23FF">
        <w:rPr>
          <w:rFonts w:ascii="Arial" w:hAnsi="Arial" w:cs="Arial"/>
          <w:sz w:val="24"/>
          <w:szCs w:val="24"/>
        </w:rPr>
        <w:t xml:space="preserve">scheme governing Covid 19 </w:t>
      </w:r>
      <w:r w:rsidR="007C3406" w:rsidRPr="001E23FF">
        <w:rPr>
          <w:rFonts w:ascii="Arial" w:hAnsi="Arial" w:cs="Arial"/>
          <w:sz w:val="24"/>
          <w:szCs w:val="24"/>
        </w:rPr>
        <w:t>loans</w:t>
      </w:r>
      <w:r w:rsidR="00FF3E71" w:rsidRPr="001E23FF">
        <w:rPr>
          <w:rFonts w:ascii="Arial" w:hAnsi="Arial" w:cs="Arial"/>
          <w:sz w:val="24"/>
          <w:szCs w:val="24"/>
        </w:rPr>
        <w:t>,</w:t>
      </w:r>
      <w:r w:rsidR="00D03061" w:rsidRPr="001E23FF">
        <w:rPr>
          <w:rFonts w:ascii="Arial" w:hAnsi="Arial" w:cs="Arial"/>
          <w:sz w:val="24"/>
          <w:szCs w:val="24"/>
        </w:rPr>
        <w:t xml:space="preserve"> </w:t>
      </w:r>
      <w:r w:rsidR="007C3406" w:rsidRPr="001E23FF">
        <w:rPr>
          <w:rFonts w:ascii="Arial" w:hAnsi="Arial" w:cs="Arial"/>
          <w:sz w:val="24"/>
          <w:szCs w:val="24"/>
        </w:rPr>
        <w:t>that could affect the standard methodology for debt collection pursuant to a suretyship agreement, is unknown</w:t>
      </w:r>
      <w:r w:rsidR="0061068E" w:rsidRPr="001E23FF">
        <w:rPr>
          <w:rFonts w:ascii="Arial" w:hAnsi="Arial" w:cs="Arial"/>
          <w:sz w:val="24"/>
          <w:szCs w:val="24"/>
        </w:rPr>
        <w:t xml:space="preserve"> to this Court. Herein lies the reasonableness of the defence raised</w:t>
      </w:r>
      <w:r w:rsidR="0045718E" w:rsidRPr="001E23FF">
        <w:rPr>
          <w:rFonts w:ascii="Arial" w:hAnsi="Arial" w:cs="Arial"/>
          <w:sz w:val="24"/>
          <w:szCs w:val="24"/>
        </w:rPr>
        <w:t xml:space="preserve"> by the Respondent: On the strength of the media pronouncement (the content of which the Applicant</w:t>
      </w:r>
      <w:r w:rsidR="00F9267F" w:rsidRPr="001E23FF">
        <w:rPr>
          <w:rFonts w:ascii="Arial" w:hAnsi="Arial" w:cs="Arial"/>
          <w:sz w:val="24"/>
          <w:szCs w:val="24"/>
        </w:rPr>
        <w:t xml:space="preserve"> does not disavow) there certainly is scope f</w:t>
      </w:r>
      <w:r w:rsidR="00D6014E" w:rsidRPr="001E23FF">
        <w:rPr>
          <w:rFonts w:ascii="Arial" w:hAnsi="Arial" w:cs="Arial"/>
          <w:sz w:val="24"/>
          <w:szCs w:val="24"/>
        </w:rPr>
        <w:t>or arguing that the Respondent could reasonably have believed that debt collection would first commence against Treasury, before it would against him as surety.</w:t>
      </w:r>
      <w:r w:rsidR="00583B52" w:rsidRPr="001E23FF">
        <w:rPr>
          <w:rFonts w:ascii="Arial" w:hAnsi="Arial" w:cs="Arial"/>
          <w:sz w:val="24"/>
          <w:szCs w:val="24"/>
        </w:rPr>
        <w:t xml:space="preserve"> If he succeeds in proving at trial that </w:t>
      </w:r>
      <w:r w:rsidR="00475018" w:rsidRPr="001E23FF">
        <w:rPr>
          <w:rFonts w:ascii="Arial" w:hAnsi="Arial" w:cs="Arial"/>
          <w:sz w:val="24"/>
          <w:szCs w:val="24"/>
        </w:rPr>
        <w:t>he relayed this belief to the agent of the Applicant</w:t>
      </w:r>
      <w:r w:rsidR="00707342" w:rsidRPr="001E23FF">
        <w:rPr>
          <w:rFonts w:ascii="Arial" w:hAnsi="Arial" w:cs="Arial"/>
          <w:sz w:val="24"/>
          <w:szCs w:val="24"/>
        </w:rPr>
        <w:t xml:space="preserve"> and that said agent </w:t>
      </w:r>
      <w:r w:rsidR="006F5F99" w:rsidRPr="001E23FF">
        <w:rPr>
          <w:rFonts w:ascii="Arial" w:hAnsi="Arial" w:cs="Arial"/>
          <w:sz w:val="24"/>
          <w:szCs w:val="24"/>
        </w:rPr>
        <w:t xml:space="preserve">should have, but </w:t>
      </w:r>
      <w:r w:rsidR="00707342" w:rsidRPr="001E23FF">
        <w:rPr>
          <w:rFonts w:ascii="Arial" w:hAnsi="Arial" w:cs="Arial"/>
          <w:sz w:val="24"/>
          <w:szCs w:val="24"/>
        </w:rPr>
        <w:t>failed to</w:t>
      </w:r>
      <w:r w:rsidR="006F5F99" w:rsidRPr="001E23FF">
        <w:rPr>
          <w:rFonts w:ascii="Arial" w:hAnsi="Arial" w:cs="Arial"/>
          <w:sz w:val="24"/>
          <w:szCs w:val="24"/>
        </w:rPr>
        <w:t>,</w:t>
      </w:r>
      <w:r w:rsidR="00707342" w:rsidRPr="001E23FF">
        <w:rPr>
          <w:rFonts w:ascii="Arial" w:hAnsi="Arial" w:cs="Arial"/>
          <w:sz w:val="24"/>
          <w:szCs w:val="24"/>
        </w:rPr>
        <w:t xml:space="preserve"> correct him, </w:t>
      </w:r>
      <w:r w:rsidR="00564F76" w:rsidRPr="001E23FF">
        <w:rPr>
          <w:rFonts w:ascii="Arial" w:hAnsi="Arial" w:cs="Arial"/>
          <w:sz w:val="24"/>
          <w:szCs w:val="24"/>
        </w:rPr>
        <w:t xml:space="preserve">he could succeed in his defence based on </w:t>
      </w:r>
      <w:r w:rsidR="00564F76" w:rsidRPr="001E23FF">
        <w:rPr>
          <w:rFonts w:ascii="Arial" w:hAnsi="Arial" w:cs="Arial"/>
          <w:i/>
          <w:iCs/>
          <w:sz w:val="24"/>
          <w:szCs w:val="24"/>
        </w:rPr>
        <w:t>iustus error</w:t>
      </w:r>
      <w:r w:rsidR="006F5F99" w:rsidRPr="001E23FF">
        <w:rPr>
          <w:rFonts w:ascii="Arial" w:hAnsi="Arial" w:cs="Arial"/>
          <w:sz w:val="24"/>
          <w:szCs w:val="24"/>
        </w:rPr>
        <w:t>.</w:t>
      </w:r>
      <w:r w:rsidR="00D6014E" w:rsidRPr="001E23FF">
        <w:rPr>
          <w:rFonts w:ascii="Arial" w:hAnsi="Arial" w:cs="Arial"/>
          <w:sz w:val="24"/>
          <w:szCs w:val="24"/>
        </w:rPr>
        <w:t xml:space="preserve"> </w:t>
      </w:r>
    </w:p>
    <w:p w14:paraId="2A6BFA3D" w14:textId="01367736" w:rsidR="001C04C6" w:rsidRPr="001E23FF" w:rsidRDefault="001E23FF" w:rsidP="001E23FF">
      <w:pPr>
        <w:spacing w:before="240" w:after="60" w:line="480" w:lineRule="auto"/>
        <w:ind w:left="360" w:hanging="360"/>
        <w:jc w:val="both"/>
        <w:rPr>
          <w:rFonts w:ascii="Arial" w:hAnsi="Arial" w:cs="Arial"/>
          <w:sz w:val="24"/>
          <w:szCs w:val="24"/>
        </w:rPr>
      </w:pPr>
      <w:r w:rsidRPr="00D77E17">
        <w:rPr>
          <w:rFonts w:ascii="Arial" w:hAnsi="Arial" w:cs="Arial"/>
          <w:sz w:val="24"/>
          <w:szCs w:val="24"/>
        </w:rPr>
        <w:t>37.</w:t>
      </w:r>
      <w:r w:rsidRPr="00D77E17">
        <w:rPr>
          <w:rFonts w:ascii="Arial" w:hAnsi="Arial" w:cs="Arial"/>
          <w:sz w:val="24"/>
          <w:szCs w:val="24"/>
        </w:rPr>
        <w:tab/>
      </w:r>
      <w:r w:rsidR="00CB3079" w:rsidRPr="001E23FF">
        <w:rPr>
          <w:rFonts w:ascii="Arial" w:hAnsi="Arial" w:cs="Arial"/>
          <w:sz w:val="24"/>
          <w:szCs w:val="24"/>
        </w:rPr>
        <w:t xml:space="preserve">I am therefore satisfied that </w:t>
      </w:r>
      <w:r w:rsidR="00105D64" w:rsidRPr="001E23FF">
        <w:rPr>
          <w:rFonts w:ascii="Arial" w:hAnsi="Arial" w:cs="Arial"/>
          <w:sz w:val="24"/>
          <w:szCs w:val="24"/>
        </w:rPr>
        <w:t xml:space="preserve">the defence brought is </w:t>
      </w:r>
      <w:r w:rsidR="00105D64" w:rsidRPr="001E23FF">
        <w:rPr>
          <w:rFonts w:ascii="Arial" w:hAnsi="Arial" w:cs="Arial"/>
          <w:i/>
          <w:iCs/>
          <w:sz w:val="24"/>
          <w:szCs w:val="24"/>
        </w:rPr>
        <w:t>bona fide</w:t>
      </w:r>
      <w:r w:rsidR="00105D64" w:rsidRPr="001E23FF">
        <w:rPr>
          <w:rFonts w:ascii="Arial" w:hAnsi="Arial" w:cs="Arial"/>
          <w:sz w:val="24"/>
          <w:szCs w:val="24"/>
        </w:rPr>
        <w:t xml:space="preserve"> and</w:t>
      </w:r>
      <w:r w:rsidR="00077043" w:rsidRPr="001E23FF">
        <w:rPr>
          <w:rFonts w:ascii="Arial" w:hAnsi="Arial" w:cs="Arial"/>
          <w:sz w:val="24"/>
          <w:szCs w:val="24"/>
        </w:rPr>
        <w:t>, if proven,</w:t>
      </w:r>
      <w:r w:rsidR="00105D64" w:rsidRPr="001E23FF">
        <w:rPr>
          <w:rFonts w:ascii="Arial" w:hAnsi="Arial" w:cs="Arial"/>
          <w:sz w:val="24"/>
          <w:szCs w:val="24"/>
        </w:rPr>
        <w:t xml:space="preserve"> valid in law.</w:t>
      </w:r>
      <w:r w:rsidR="006F175A">
        <w:rPr>
          <w:rStyle w:val="FootnoteReference"/>
          <w:rFonts w:ascii="Arial" w:hAnsi="Arial" w:cs="Arial"/>
          <w:sz w:val="24"/>
          <w:szCs w:val="24"/>
        </w:rPr>
        <w:footnoteReference w:id="5"/>
      </w:r>
    </w:p>
    <w:p w14:paraId="34707DBF" w14:textId="3C3AB1A4" w:rsidR="00C91492" w:rsidRPr="001E23FF" w:rsidRDefault="001E23FF" w:rsidP="001E23FF">
      <w:pPr>
        <w:spacing w:before="60" w:after="60" w:line="480" w:lineRule="auto"/>
        <w:ind w:left="425" w:hanging="357"/>
        <w:jc w:val="both"/>
        <w:rPr>
          <w:rFonts w:ascii="Arial" w:hAnsi="Arial" w:cs="Arial"/>
          <w:i/>
          <w:iCs/>
          <w:sz w:val="24"/>
          <w:szCs w:val="24"/>
        </w:rPr>
      </w:pPr>
      <w:r w:rsidRPr="00DF11BB">
        <w:rPr>
          <w:rFonts w:ascii="Arial" w:hAnsi="Arial" w:cs="Arial"/>
          <w:sz w:val="24"/>
          <w:szCs w:val="24"/>
        </w:rPr>
        <w:t>38.</w:t>
      </w:r>
      <w:r w:rsidRPr="00DF11BB">
        <w:rPr>
          <w:rFonts w:ascii="Arial" w:hAnsi="Arial" w:cs="Arial"/>
          <w:sz w:val="24"/>
          <w:szCs w:val="24"/>
        </w:rPr>
        <w:tab/>
      </w:r>
      <w:r w:rsidR="0055506C" w:rsidRPr="001E23FF">
        <w:rPr>
          <w:rFonts w:ascii="Arial" w:hAnsi="Arial" w:cs="Arial"/>
          <w:sz w:val="24"/>
          <w:szCs w:val="24"/>
        </w:rPr>
        <w:t>As a result, the following order is made:</w:t>
      </w:r>
    </w:p>
    <w:p w14:paraId="498C0E4A" w14:textId="3321B015" w:rsidR="00154433" w:rsidRPr="00154433" w:rsidRDefault="00154433" w:rsidP="00154433">
      <w:pPr>
        <w:spacing w:before="60" w:after="60" w:line="480" w:lineRule="auto"/>
        <w:jc w:val="both"/>
        <w:rPr>
          <w:rFonts w:ascii="Arial" w:hAnsi="Arial" w:cs="Arial"/>
          <w:b/>
          <w:bCs/>
          <w:sz w:val="24"/>
          <w:szCs w:val="24"/>
        </w:rPr>
      </w:pPr>
      <w:r>
        <w:rPr>
          <w:rFonts w:ascii="Arial" w:hAnsi="Arial" w:cs="Arial"/>
          <w:b/>
          <w:bCs/>
          <w:sz w:val="24"/>
          <w:szCs w:val="24"/>
        </w:rPr>
        <w:t>ORDER</w:t>
      </w:r>
    </w:p>
    <w:p w14:paraId="2DB98D48" w14:textId="34668A05" w:rsidR="00D16053" w:rsidRPr="001E23FF" w:rsidRDefault="001E23FF" w:rsidP="001E23FF">
      <w:pPr>
        <w:tabs>
          <w:tab w:val="right" w:pos="8208"/>
        </w:tabs>
        <w:spacing w:before="60" w:afterLines="60" w:after="144" w:line="480" w:lineRule="auto"/>
        <w:ind w:left="714" w:hanging="357"/>
        <w:jc w:val="both"/>
        <w:rPr>
          <w:rFonts w:ascii="Arial" w:hAnsi="Arial" w:cs="Arial"/>
          <w:sz w:val="24"/>
          <w:szCs w:val="24"/>
        </w:rPr>
      </w:pPr>
      <w:r w:rsidRPr="00E66D11">
        <w:rPr>
          <w:rFonts w:ascii="Arial" w:hAnsi="Arial" w:cs="Arial"/>
          <w:sz w:val="24"/>
          <w:szCs w:val="24"/>
        </w:rPr>
        <w:t>1.</w:t>
      </w:r>
      <w:r w:rsidRPr="00E66D11">
        <w:rPr>
          <w:rFonts w:ascii="Arial" w:hAnsi="Arial" w:cs="Arial"/>
          <w:sz w:val="24"/>
          <w:szCs w:val="24"/>
        </w:rPr>
        <w:tab/>
      </w:r>
      <w:r w:rsidR="0049371F" w:rsidRPr="001E23FF">
        <w:rPr>
          <w:rFonts w:ascii="Arial" w:hAnsi="Arial" w:cs="Arial"/>
          <w:sz w:val="24"/>
          <w:szCs w:val="24"/>
        </w:rPr>
        <w:t xml:space="preserve">The application </w:t>
      </w:r>
      <w:r w:rsidR="0005752F" w:rsidRPr="001E23FF">
        <w:rPr>
          <w:rFonts w:ascii="Arial" w:hAnsi="Arial" w:cs="Arial"/>
          <w:sz w:val="24"/>
          <w:szCs w:val="24"/>
        </w:rPr>
        <w:t>for summary judgment is dismissed.</w:t>
      </w:r>
    </w:p>
    <w:p w14:paraId="6EAF2FF5" w14:textId="12C167F0" w:rsidR="0005752F" w:rsidRPr="001E23FF" w:rsidRDefault="001E23FF" w:rsidP="001E23FF">
      <w:pPr>
        <w:tabs>
          <w:tab w:val="right" w:pos="8208"/>
        </w:tabs>
        <w:spacing w:before="60" w:afterLines="60" w:after="144" w:line="480" w:lineRule="auto"/>
        <w:ind w:left="714" w:hanging="357"/>
        <w:jc w:val="both"/>
        <w:rPr>
          <w:rFonts w:ascii="Arial" w:hAnsi="Arial" w:cs="Arial"/>
          <w:sz w:val="24"/>
          <w:szCs w:val="24"/>
        </w:rPr>
      </w:pPr>
      <w:r w:rsidRPr="00E66D11">
        <w:rPr>
          <w:rFonts w:ascii="Arial" w:hAnsi="Arial" w:cs="Arial"/>
          <w:sz w:val="24"/>
          <w:szCs w:val="24"/>
        </w:rPr>
        <w:t>2.</w:t>
      </w:r>
      <w:r w:rsidRPr="00E66D11">
        <w:rPr>
          <w:rFonts w:ascii="Arial" w:hAnsi="Arial" w:cs="Arial"/>
          <w:sz w:val="24"/>
          <w:szCs w:val="24"/>
        </w:rPr>
        <w:tab/>
      </w:r>
      <w:r w:rsidR="00D070EC" w:rsidRPr="001E23FF">
        <w:rPr>
          <w:rFonts w:ascii="Arial" w:hAnsi="Arial" w:cs="Arial"/>
          <w:sz w:val="24"/>
          <w:szCs w:val="24"/>
        </w:rPr>
        <w:t>Costs of the application shall be costs in the main action</w:t>
      </w:r>
    </w:p>
    <w:p w14:paraId="64277C15" w14:textId="24202799" w:rsidR="000A66AF" w:rsidRPr="00294709" w:rsidRDefault="000A66AF" w:rsidP="00242F02">
      <w:pPr>
        <w:pStyle w:val="ListParagraph"/>
        <w:tabs>
          <w:tab w:val="right" w:pos="8208"/>
        </w:tabs>
        <w:spacing w:before="60" w:afterLines="60" w:after="144" w:line="480" w:lineRule="auto"/>
        <w:contextualSpacing w:val="0"/>
        <w:jc w:val="both"/>
        <w:rPr>
          <w:rFonts w:ascii="Arial" w:hAnsi="Arial" w:cs="Arial"/>
          <w:sz w:val="24"/>
          <w:szCs w:val="24"/>
        </w:rPr>
      </w:pPr>
    </w:p>
    <w:p w14:paraId="59D01FFF" w14:textId="675FF340" w:rsidR="000A66AF" w:rsidRPr="00294709" w:rsidRDefault="001E23FF" w:rsidP="00242F02">
      <w:pPr>
        <w:tabs>
          <w:tab w:val="right" w:pos="8208"/>
        </w:tabs>
        <w:spacing w:before="60" w:afterLines="60" w:after="144" w:line="480" w:lineRule="auto"/>
        <w:ind w:left="720"/>
        <w:jc w:val="right"/>
        <w:rPr>
          <w:rFonts w:ascii="Arial" w:hAnsi="Arial" w:cs="Arial"/>
          <w:sz w:val="24"/>
          <w:szCs w:val="24"/>
        </w:rPr>
      </w:pPr>
      <w:r>
        <w:rPr>
          <w:rFonts w:ascii="Arial" w:hAnsi="Arial" w:cs="Arial"/>
          <w:sz w:val="24"/>
          <w:szCs w:val="24"/>
        </w:rPr>
        <w:lastRenderedPageBreak/>
        <w:t>[…]</w:t>
      </w:r>
    </w:p>
    <w:p w14:paraId="206868D5" w14:textId="3438A097" w:rsidR="000A66AF" w:rsidRPr="00294709" w:rsidRDefault="000A66AF" w:rsidP="002162D7">
      <w:pPr>
        <w:tabs>
          <w:tab w:val="right" w:pos="8208"/>
        </w:tabs>
        <w:spacing w:before="60" w:afterLines="60" w:after="144" w:line="240" w:lineRule="auto"/>
        <w:ind w:left="720"/>
        <w:jc w:val="right"/>
        <w:rPr>
          <w:rFonts w:ascii="Arial" w:hAnsi="Arial" w:cs="Arial"/>
          <w:sz w:val="24"/>
          <w:szCs w:val="24"/>
        </w:rPr>
      </w:pPr>
      <w:r w:rsidRPr="00294709">
        <w:rPr>
          <w:rFonts w:ascii="Arial" w:hAnsi="Arial" w:cs="Arial"/>
          <w:sz w:val="24"/>
          <w:szCs w:val="24"/>
        </w:rPr>
        <w:t>________________________</w:t>
      </w:r>
    </w:p>
    <w:p w14:paraId="608A7C22" w14:textId="2EDAA070" w:rsidR="000A66AF" w:rsidRPr="00294709" w:rsidRDefault="002C41EF" w:rsidP="002162D7">
      <w:pPr>
        <w:tabs>
          <w:tab w:val="right" w:pos="8208"/>
        </w:tabs>
        <w:spacing w:before="60" w:afterLines="60" w:after="144" w:line="240" w:lineRule="auto"/>
        <w:ind w:left="720"/>
        <w:jc w:val="right"/>
        <w:rPr>
          <w:rFonts w:ascii="Arial" w:hAnsi="Arial" w:cs="Arial"/>
          <w:b/>
          <w:sz w:val="24"/>
          <w:szCs w:val="24"/>
        </w:rPr>
      </w:pPr>
      <w:r>
        <w:rPr>
          <w:rFonts w:ascii="Arial" w:hAnsi="Arial" w:cs="Arial"/>
          <w:b/>
          <w:sz w:val="24"/>
          <w:szCs w:val="24"/>
        </w:rPr>
        <w:t>K STRYDOM</w:t>
      </w:r>
    </w:p>
    <w:p w14:paraId="3BC90C81" w14:textId="77777777" w:rsidR="000A66AF" w:rsidRPr="00294709" w:rsidRDefault="000A66AF" w:rsidP="002162D7">
      <w:pPr>
        <w:tabs>
          <w:tab w:val="right" w:pos="8208"/>
        </w:tabs>
        <w:spacing w:before="60" w:afterLines="60" w:after="144" w:line="240" w:lineRule="auto"/>
        <w:ind w:left="720"/>
        <w:jc w:val="right"/>
        <w:rPr>
          <w:rFonts w:ascii="Arial" w:hAnsi="Arial" w:cs="Arial"/>
          <w:b/>
          <w:sz w:val="24"/>
          <w:szCs w:val="24"/>
        </w:rPr>
      </w:pPr>
      <w:r w:rsidRPr="00294709">
        <w:rPr>
          <w:rFonts w:ascii="Arial" w:hAnsi="Arial" w:cs="Arial"/>
          <w:b/>
          <w:sz w:val="24"/>
          <w:szCs w:val="24"/>
        </w:rPr>
        <w:t>ACTING JUDGE OF THE HIGH COURT</w:t>
      </w:r>
    </w:p>
    <w:p w14:paraId="2AF176C6" w14:textId="77777777" w:rsidR="000A66AF" w:rsidRPr="00294709" w:rsidRDefault="000A66AF" w:rsidP="002162D7">
      <w:pPr>
        <w:tabs>
          <w:tab w:val="right" w:pos="8208"/>
        </w:tabs>
        <w:spacing w:before="60" w:afterLines="60" w:after="144" w:line="240" w:lineRule="auto"/>
        <w:ind w:left="720"/>
        <w:jc w:val="right"/>
        <w:rPr>
          <w:rFonts w:ascii="Arial" w:hAnsi="Arial" w:cs="Arial"/>
          <w:b/>
          <w:sz w:val="24"/>
          <w:szCs w:val="24"/>
        </w:rPr>
      </w:pPr>
      <w:r w:rsidRPr="00294709">
        <w:rPr>
          <w:rFonts w:ascii="Arial" w:hAnsi="Arial" w:cs="Arial"/>
          <w:b/>
          <w:sz w:val="24"/>
          <w:szCs w:val="24"/>
        </w:rPr>
        <w:t>OF SOUTH AFRICA GAUTENG</w:t>
      </w:r>
    </w:p>
    <w:p w14:paraId="36523B2E" w14:textId="567E1AA7" w:rsidR="000A66AF" w:rsidRPr="002162D7" w:rsidRDefault="000A66AF" w:rsidP="002162D7">
      <w:pPr>
        <w:tabs>
          <w:tab w:val="right" w:pos="8208"/>
        </w:tabs>
        <w:spacing w:before="60" w:afterLines="60" w:after="144" w:line="240" w:lineRule="auto"/>
        <w:ind w:left="720"/>
        <w:jc w:val="right"/>
        <w:rPr>
          <w:rFonts w:ascii="Arial" w:hAnsi="Arial" w:cs="Arial"/>
          <w:b/>
          <w:sz w:val="24"/>
          <w:szCs w:val="24"/>
        </w:rPr>
      </w:pPr>
      <w:r w:rsidRPr="00294709">
        <w:rPr>
          <w:rFonts w:ascii="Arial" w:hAnsi="Arial" w:cs="Arial"/>
          <w:b/>
          <w:sz w:val="24"/>
          <w:szCs w:val="24"/>
        </w:rPr>
        <w:t>DIVISION, PRETORIA</w:t>
      </w:r>
    </w:p>
    <w:p w14:paraId="673877E6" w14:textId="77777777" w:rsidR="00DC1CF0" w:rsidRDefault="00DC1CF0" w:rsidP="00242F02">
      <w:pPr>
        <w:tabs>
          <w:tab w:val="right" w:pos="8208"/>
        </w:tabs>
        <w:spacing w:before="60" w:afterLines="60" w:after="144" w:line="480" w:lineRule="auto"/>
        <w:ind w:left="720"/>
        <w:jc w:val="both"/>
        <w:rPr>
          <w:rFonts w:ascii="Arial" w:hAnsi="Arial" w:cs="Arial"/>
          <w:sz w:val="24"/>
          <w:szCs w:val="24"/>
        </w:rPr>
      </w:pPr>
    </w:p>
    <w:p w14:paraId="07267D7C" w14:textId="77777777" w:rsidR="00DC1CF0" w:rsidRDefault="00DC1CF0" w:rsidP="00242F02">
      <w:pPr>
        <w:tabs>
          <w:tab w:val="right" w:pos="8208"/>
        </w:tabs>
        <w:spacing w:before="60" w:afterLines="60" w:after="144" w:line="480" w:lineRule="auto"/>
        <w:ind w:left="720"/>
        <w:jc w:val="both"/>
        <w:rPr>
          <w:rFonts w:ascii="Arial" w:hAnsi="Arial" w:cs="Arial"/>
          <w:sz w:val="24"/>
          <w:szCs w:val="24"/>
        </w:rPr>
      </w:pPr>
    </w:p>
    <w:p w14:paraId="666F9F2D" w14:textId="77777777" w:rsidR="00DC1CF0" w:rsidRDefault="00DC1CF0" w:rsidP="00242F02">
      <w:pPr>
        <w:tabs>
          <w:tab w:val="right" w:pos="8208"/>
        </w:tabs>
        <w:spacing w:before="60" w:afterLines="60" w:after="144" w:line="480" w:lineRule="auto"/>
        <w:ind w:left="720"/>
        <w:jc w:val="both"/>
        <w:rPr>
          <w:rFonts w:ascii="Arial" w:hAnsi="Arial" w:cs="Arial"/>
          <w:sz w:val="24"/>
          <w:szCs w:val="24"/>
        </w:rPr>
      </w:pPr>
    </w:p>
    <w:p w14:paraId="521C42D9" w14:textId="77777777" w:rsidR="00DC1CF0" w:rsidRDefault="00DC1CF0" w:rsidP="00242F02">
      <w:pPr>
        <w:tabs>
          <w:tab w:val="right" w:pos="8208"/>
        </w:tabs>
        <w:spacing w:before="60" w:afterLines="60" w:after="144" w:line="480" w:lineRule="auto"/>
        <w:ind w:left="720"/>
        <w:jc w:val="both"/>
        <w:rPr>
          <w:rFonts w:ascii="Arial" w:hAnsi="Arial" w:cs="Arial"/>
          <w:sz w:val="24"/>
          <w:szCs w:val="24"/>
        </w:rPr>
      </w:pPr>
    </w:p>
    <w:p w14:paraId="4B4B7B77" w14:textId="77777777" w:rsidR="00DC1CF0" w:rsidRDefault="00DC1CF0" w:rsidP="00242F02">
      <w:pPr>
        <w:tabs>
          <w:tab w:val="right" w:pos="8208"/>
        </w:tabs>
        <w:spacing w:before="60" w:afterLines="60" w:after="144" w:line="480" w:lineRule="auto"/>
        <w:ind w:left="720"/>
        <w:jc w:val="both"/>
        <w:rPr>
          <w:rFonts w:ascii="Arial" w:hAnsi="Arial" w:cs="Arial"/>
          <w:sz w:val="24"/>
          <w:szCs w:val="24"/>
        </w:rPr>
      </w:pPr>
    </w:p>
    <w:p w14:paraId="76DE5DC1" w14:textId="77777777" w:rsidR="001C3727" w:rsidRDefault="001C3727" w:rsidP="006F5F99">
      <w:pPr>
        <w:tabs>
          <w:tab w:val="right" w:pos="8208"/>
        </w:tabs>
        <w:spacing w:before="60" w:afterLines="60" w:after="144" w:line="480" w:lineRule="auto"/>
        <w:jc w:val="both"/>
        <w:rPr>
          <w:rFonts w:ascii="Arial" w:hAnsi="Arial" w:cs="Arial"/>
          <w:sz w:val="24"/>
          <w:szCs w:val="24"/>
        </w:rPr>
      </w:pPr>
    </w:p>
    <w:p w14:paraId="7BA21621" w14:textId="00C1487E" w:rsidR="00DC1CF0" w:rsidRPr="00762A86" w:rsidRDefault="00BB344F" w:rsidP="00BB344F">
      <w:pPr>
        <w:tabs>
          <w:tab w:val="right" w:pos="8208"/>
        </w:tabs>
        <w:spacing w:before="60" w:afterLines="60" w:after="144" w:line="480" w:lineRule="auto"/>
        <w:jc w:val="both"/>
        <w:rPr>
          <w:rFonts w:ascii="Arial" w:hAnsi="Arial" w:cs="Arial"/>
          <w:b/>
          <w:bCs/>
          <w:sz w:val="24"/>
          <w:szCs w:val="24"/>
        </w:rPr>
      </w:pPr>
      <w:r>
        <w:rPr>
          <w:rFonts w:ascii="Arial" w:hAnsi="Arial" w:cs="Arial"/>
          <w:sz w:val="24"/>
          <w:szCs w:val="24"/>
        </w:rPr>
        <w:t xml:space="preserve">           </w:t>
      </w:r>
      <w:r w:rsidR="00DC1CF0" w:rsidRPr="00762A86">
        <w:rPr>
          <w:rFonts w:ascii="Arial" w:hAnsi="Arial" w:cs="Arial"/>
          <w:b/>
          <w:bCs/>
          <w:sz w:val="24"/>
          <w:szCs w:val="24"/>
        </w:rPr>
        <w:t xml:space="preserve">Judgment reserved: </w:t>
      </w:r>
      <w:r w:rsidR="00AE183F">
        <w:rPr>
          <w:rFonts w:ascii="Arial" w:hAnsi="Arial" w:cs="Arial"/>
          <w:b/>
          <w:bCs/>
          <w:sz w:val="24"/>
          <w:szCs w:val="24"/>
        </w:rPr>
        <w:t>7 May 2024</w:t>
      </w:r>
    </w:p>
    <w:p w14:paraId="0BB52F80" w14:textId="62F49EED" w:rsidR="000A66AF" w:rsidRPr="00762A86" w:rsidRDefault="000A66AF" w:rsidP="00242F02">
      <w:pPr>
        <w:tabs>
          <w:tab w:val="right" w:pos="8208"/>
        </w:tabs>
        <w:spacing w:before="60" w:afterLines="60" w:after="144" w:line="480" w:lineRule="auto"/>
        <w:ind w:left="720"/>
        <w:jc w:val="both"/>
        <w:rPr>
          <w:rFonts w:ascii="Arial" w:hAnsi="Arial" w:cs="Arial"/>
          <w:b/>
          <w:bCs/>
          <w:sz w:val="24"/>
          <w:szCs w:val="24"/>
        </w:rPr>
      </w:pPr>
      <w:r w:rsidRPr="00762A86">
        <w:rPr>
          <w:rFonts w:ascii="Arial" w:hAnsi="Arial" w:cs="Arial"/>
          <w:b/>
          <w:bCs/>
          <w:sz w:val="24"/>
          <w:szCs w:val="24"/>
        </w:rPr>
        <w:t xml:space="preserve">Judgment delivered:  </w:t>
      </w:r>
      <w:r w:rsidR="009D55CE">
        <w:rPr>
          <w:rFonts w:ascii="Arial" w:hAnsi="Arial" w:cs="Arial"/>
          <w:b/>
          <w:bCs/>
          <w:sz w:val="24"/>
          <w:szCs w:val="24"/>
        </w:rPr>
        <w:t>19</w:t>
      </w:r>
      <w:r w:rsidR="009C0DEF" w:rsidRPr="00762A86">
        <w:rPr>
          <w:rFonts w:ascii="Arial" w:hAnsi="Arial" w:cs="Arial"/>
          <w:b/>
          <w:bCs/>
          <w:sz w:val="24"/>
          <w:szCs w:val="24"/>
        </w:rPr>
        <w:t xml:space="preserve"> June 2024</w:t>
      </w:r>
    </w:p>
    <w:p w14:paraId="40EC0888" w14:textId="77777777" w:rsidR="000A66AF" w:rsidRPr="00294709" w:rsidRDefault="000A66AF" w:rsidP="00242F02">
      <w:pPr>
        <w:tabs>
          <w:tab w:val="right" w:pos="8208"/>
        </w:tabs>
        <w:spacing w:before="60" w:afterLines="60" w:after="144" w:line="480" w:lineRule="auto"/>
        <w:ind w:left="720"/>
        <w:jc w:val="both"/>
        <w:rPr>
          <w:rFonts w:ascii="Arial" w:hAnsi="Arial" w:cs="Arial"/>
          <w:sz w:val="24"/>
          <w:szCs w:val="24"/>
        </w:rPr>
      </w:pPr>
    </w:p>
    <w:p w14:paraId="19446CA1" w14:textId="70D07805" w:rsidR="000A66AF" w:rsidRPr="0079500D" w:rsidRDefault="000A66AF" w:rsidP="0079500D">
      <w:pPr>
        <w:tabs>
          <w:tab w:val="right" w:pos="8208"/>
        </w:tabs>
        <w:spacing w:before="60" w:afterLines="60" w:after="144" w:line="480" w:lineRule="auto"/>
        <w:ind w:left="720"/>
        <w:jc w:val="both"/>
        <w:rPr>
          <w:rFonts w:ascii="Arial" w:hAnsi="Arial" w:cs="Arial"/>
          <w:b/>
          <w:bCs/>
          <w:sz w:val="24"/>
          <w:szCs w:val="24"/>
        </w:rPr>
      </w:pPr>
      <w:r w:rsidRPr="0079500D">
        <w:rPr>
          <w:rFonts w:ascii="Arial" w:hAnsi="Arial" w:cs="Arial"/>
          <w:b/>
          <w:bCs/>
          <w:sz w:val="24"/>
          <w:szCs w:val="24"/>
        </w:rPr>
        <w:t>Appearances:</w:t>
      </w:r>
    </w:p>
    <w:p w14:paraId="71081967" w14:textId="0665B676" w:rsidR="000A66AF" w:rsidRPr="0079500D" w:rsidRDefault="000A66AF" w:rsidP="0079500D">
      <w:pPr>
        <w:tabs>
          <w:tab w:val="right" w:pos="8208"/>
        </w:tabs>
        <w:spacing w:before="60" w:afterLines="60" w:after="144" w:line="360" w:lineRule="auto"/>
        <w:ind w:left="720"/>
        <w:jc w:val="both"/>
        <w:rPr>
          <w:rFonts w:ascii="Arial" w:hAnsi="Arial" w:cs="Arial"/>
          <w:sz w:val="24"/>
          <w:szCs w:val="24"/>
          <w:u w:val="single"/>
        </w:rPr>
      </w:pPr>
      <w:r w:rsidRPr="0079500D">
        <w:rPr>
          <w:rFonts w:ascii="Arial" w:hAnsi="Arial" w:cs="Arial"/>
          <w:sz w:val="24"/>
          <w:szCs w:val="24"/>
          <w:u w:val="single"/>
        </w:rPr>
        <w:t xml:space="preserve">For the </w:t>
      </w:r>
      <w:r w:rsidR="00C04991" w:rsidRPr="0079500D">
        <w:rPr>
          <w:rFonts w:ascii="Arial" w:hAnsi="Arial" w:cs="Arial"/>
          <w:sz w:val="24"/>
          <w:szCs w:val="24"/>
          <w:u w:val="single"/>
        </w:rPr>
        <w:t>Applicant</w:t>
      </w:r>
      <w:r w:rsidRPr="0079500D">
        <w:rPr>
          <w:rFonts w:ascii="Arial" w:hAnsi="Arial" w:cs="Arial"/>
          <w:sz w:val="24"/>
          <w:szCs w:val="24"/>
          <w:u w:val="single"/>
        </w:rPr>
        <w:t xml:space="preserve">:   </w:t>
      </w:r>
    </w:p>
    <w:p w14:paraId="79D8F757" w14:textId="6732D937" w:rsidR="0079500D" w:rsidRDefault="0079500D" w:rsidP="0079500D">
      <w:pPr>
        <w:tabs>
          <w:tab w:val="right" w:pos="8208"/>
        </w:tabs>
        <w:spacing w:before="60" w:afterLines="60" w:after="144" w:line="360" w:lineRule="auto"/>
        <w:ind w:left="720"/>
        <w:jc w:val="both"/>
        <w:rPr>
          <w:rFonts w:ascii="Arial" w:hAnsi="Arial" w:cs="Arial"/>
          <w:sz w:val="24"/>
          <w:szCs w:val="24"/>
        </w:rPr>
      </w:pPr>
      <w:r>
        <w:rPr>
          <w:rFonts w:ascii="Arial" w:hAnsi="Arial" w:cs="Arial"/>
          <w:sz w:val="24"/>
          <w:szCs w:val="24"/>
        </w:rPr>
        <w:t xml:space="preserve">Adv </w:t>
      </w:r>
      <w:r w:rsidR="00F26E5E">
        <w:rPr>
          <w:rFonts w:ascii="Arial" w:hAnsi="Arial" w:cs="Arial"/>
          <w:sz w:val="24"/>
          <w:szCs w:val="24"/>
        </w:rPr>
        <w:t>CL Markram-</w:t>
      </w:r>
      <w:r w:rsidRPr="0079500D">
        <w:rPr>
          <w:rFonts w:ascii="Arial" w:hAnsi="Arial" w:cs="Arial"/>
          <w:sz w:val="24"/>
          <w:szCs w:val="24"/>
        </w:rPr>
        <w:t>Jooste</w:t>
      </w:r>
    </w:p>
    <w:p w14:paraId="5EC3781B" w14:textId="474A0CE8" w:rsidR="000A66AF" w:rsidRDefault="0079500D" w:rsidP="0079500D">
      <w:pPr>
        <w:tabs>
          <w:tab w:val="right" w:pos="8208"/>
        </w:tabs>
        <w:spacing w:before="60" w:afterLines="60" w:after="144" w:line="480" w:lineRule="auto"/>
        <w:ind w:left="720"/>
        <w:jc w:val="both"/>
        <w:rPr>
          <w:rFonts w:ascii="Arial" w:hAnsi="Arial" w:cs="Arial"/>
          <w:sz w:val="24"/>
          <w:szCs w:val="24"/>
        </w:rPr>
      </w:pPr>
      <w:r>
        <w:rPr>
          <w:rFonts w:ascii="Arial" w:hAnsi="Arial" w:cs="Arial"/>
          <w:sz w:val="24"/>
          <w:szCs w:val="24"/>
        </w:rPr>
        <w:t xml:space="preserve">Instructed by: </w:t>
      </w:r>
      <w:r w:rsidRPr="0079500D">
        <w:rPr>
          <w:rFonts w:ascii="Arial" w:hAnsi="Arial" w:cs="Arial"/>
          <w:sz w:val="24"/>
          <w:szCs w:val="24"/>
        </w:rPr>
        <w:t>Hack Stupel &amp; Ross</w:t>
      </w:r>
    </w:p>
    <w:p w14:paraId="01EAB067" w14:textId="77777777" w:rsidR="000E74AF" w:rsidRPr="00294709" w:rsidRDefault="000E74AF" w:rsidP="0079500D">
      <w:pPr>
        <w:tabs>
          <w:tab w:val="right" w:pos="8208"/>
        </w:tabs>
        <w:spacing w:before="60" w:afterLines="60" w:after="144" w:line="480" w:lineRule="auto"/>
        <w:ind w:left="720"/>
        <w:jc w:val="both"/>
        <w:rPr>
          <w:rFonts w:ascii="Arial" w:hAnsi="Arial" w:cs="Arial"/>
          <w:sz w:val="24"/>
          <w:szCs w:val="24"/>
        </w:rPr>
      </w:pPr>
    </w:p>
    <w:p w14:paraId="16884A7D" w14:textId="5791C523" w:rsidR="0015798B" w:rsidRPr="00D17E14" w:rsidRDefault="000A66AF" w:rsidP="007E4113">
      <w:pPr>
        <w:tabs>
          <w:tab w:val="right" w:pos="8208"/>
        </w:tabs>
        <w:spacing w:before="60" w:afterLines="60" w:after="144" w:line="360" w:lineRule="auto"/>
        <w:ind w:left="720"/>
        <w:jc w:val="both"/>
        <w:rPr>
          <w:rFonts w:ascii="Arial" w:hAnsi="Arial" w:cs="Arial"/>
          <w:sz w:val="24"/>
          <w:szCs w:val="24"/>
          <w:u w:val="single"/>
        </w:rPr>
      </w:pPr>
      <w:r w:rsidRPr="00D17E14">
        <w:rPr>
          <w:rFonts w:ascii="Arial" w:hAnsi="Arial" w:cs="Arial"/>
          <w:sz w:val="24"/>
          <w:szCs w:val="24"/>
          <w:u w:val="single"/>
        </w:rPr>
        <w:t>For the</w:t>
      </w:r>
      <w:r w:rsidR="00C91492" w:rsidRPr="00D17E14">
        <w:rPr>
          <w:rFonts w:ascii="Arial" w:hAnsi="Arial" w:cs="Arial"/>
          <w:sz w:val="24"/>
          <w:szCs w:val="24"/>
          <w:u w:val="single"/>
        </w:rPr>
        <w:t xml:space="preserve"> Respondents:</w:t>
      </w:r>
      <w:r w:rsidRPr="00D17E14">
        <w:rPr>
          <w:rFonts w:ascii="Arial" w:hAnsi="Arial" w:cs="Arial"/>
          <w:sz w:val="24"/>
          <w:szCs w:val="24"/>
          <w:u w:val="single"/>
        </w:rPr>
        <w:t xml:space="preserve">  </w:t>
      </w:r>
    </w:p>
    <w:p w14:paraId="2A270759" w14:textId="221C6A8B" w:rsidR="00DE4390" w:rsidRDefault="005B58DC" w:rsidP="007E4113">
      <w:pPr>
        <w:tabs>
          <w:tab w:val="right" w:pos="8208"/>
        </w:tabs>
        <w:spacing w:before="60" w:afterLines="60" w:after="144" w:line="360" w:lineRule="auto"/>
        <w:ind w:left="720"/>
        <w:jc w:val="both"/>
        <w:rPr>
          <w:rFonts w:ascii="Arial" w:eastAsia="Arial" w:hAnsi="Arial" w:cs="Arial"/>
          <w:color w:val="000000"/>
          <w:sz w:val="24"/>
          <w:szCs w:val="24"/>
        </w:rPr>
      </w:pPr>
      <w:r w:rsidRPr="005B58DC">
        <w:rPr>
          <w:rFonts w:ascii="Arial" w:eastAsia="Arial" w:hAnsi="Arial" w:cs="Arial"/>
          <w:color w:val="000000"/>
          <w:sz w:val="24"/>
          <w:szCs w:val="24"/>
        </w:rPr>
        <w:t xml:space="preserve">Adv R </w:t>
      </w:r>
      <w:r>
        <w:rPr>
          <w:rFonts w:ascii="Arial" w:eastAsia="Arial" w:hAnsi="Arial" w:cs="Arial"/>
          <w:color w:val="000000"/>
          <w:sz w:val="24"/>
          <w:szCs w:val="24"/>
        </w:rPr>
        <w:t>v</w:t>
      </w:r>
      <w:r w:rsidRPr="005B58DC">
        <w:rPr>
          <w:rFonts w:ascii="Arial" w:eastAsia="Arial" w:hAnsi="Arial" w:cs="Arial"/>
          <w:color w:val="000000"/>
          <w:sz w:val="24"/>
          <w:szCs w:val="24"/>
        </w:rPr>
        <w:t>an Dyk</w:t>
      </w:r>
    </w:p>
    <w:p w14:paraId="1C72869F" w14:textId="31B04A92" w:rsidR="007E4113" w:rsidRPr="00294709" w:rsidRDefault="007E4113" w:rsidP="00DE4390">
      <w:pPr>
        <w:tabs>
          <w:tab w:val="right" w:pos="8208"/>
        </w:tabs>
        <w:spacing w:before="60" w:afterLines="60" w:after="144"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Instructed by: </w:t>
      </w:r>
      <w:r w:rsidR="005B58DC" w:rsidRPr="005B58DC">
        <w:rPr>
          <w:rFonts w:ascii="Arial" w:eastAsia="Arial" w:hAnsi="Arial" w:cs="Arial"/>
          <w:color w:val="000000"/>
          <w:sz w:val="24"/>
          <w:szCs w:val="24"/>
        </w:rPr>
        <w:t xml:space="preserve">Eddie </w:t>
      </w:r>
      <w:r w:rsidR="005B58DC">
        <w:rPr>
          <w:rFonts w:ascii="Arial" w:eastAsia="Arial" w:hAnsi="Arial" w:cs="Arial"/>
          <w:color w:val="000000"/>
          <w:sz w:val="24"/>
          <w:szCs w:val="24"/>
        </w:rPr>
        <w:t>d</w:t>
      </w:r>
      <w:r w:rsidR="005B58DC" w:rsidRPr="005B58DC">
        <w:rPr>
          <w:rFonts w:ascii="Arial" w:eastAsia="Arial" w:hAnsi="Arial" w:cs="Arial"/>
          <w:color w:val="000000"/>
          <w:sz w:val="24"/>
          <w:szCs w:val="24"/>
        </w:rPr>
        <w:t>u Toit Attorneys Inc</w:t>
      </w:r>
    </w:p>
    <w:sectPr w:rsidR="007E4113" w:rsidRPr="00294709" w:rsidSect="00D15C19">
      <w:headerReference w:type="default" r:id="rId10"/>
      <w:footerReference w:type="default" r:id="rId11"/>
      <w:pgSz w:w="11906" w:h="16838"/>
      <w:pgMar w:top="720" w:right="720" w:bottom="426" w:left="72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0B3C2" w14:textId="77777777" w:rsidR="00C71A75" w:rsidRDefault="00C71A75">
      <w:pPr>
        <w:spacing w:after="0" w:line="240" w:lineRule="auto"/>
      </w:pPr>
      <w:r>
        <w:separator/>
      </w:r>
    </w:p>
  </w:endnote>
  <w:endnote w:type="continuationSeparator" w:id="0">
    <w:p w14:paraId="69D72344" w14:textId="77777777" w:rsidR="00C71A75" w:rsidRDefault="00C7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A2040" w14:textId="77777777" w:rsidR="00B64768" w:rsidRDefault="00B647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07760" w14:textId="77777777" w:rsidR="00C71A75" w:rsidRDefault="00C71A75">
      <w:pPr>
        <w:spacing w:after="0" w:line="240" w:lineRule="auto"/>
      </w:pPr>
      <w:r>
        <w:separator/>
      </w:r>
    </w:p>
  </w:footnote>
  <w:footnote w:type="continuationSeparator" w:id="0">
    <w:p w14:paraId="13745D2A" w14:textId="77777777" w:rsidR="00C71A75" w:rsidRDefault="00C71A75">
      <w:pPr>
        <w:spacing w:after="0" w:line="240" w:lineRule="auto"/>
      </w:pPr>
      <w:r>
        <w:continuationSeparator/>
      </w:r>
    </w:p>
  </w:footnote>
  <w:footnote w:id="1">
    <w:p w14:paraId="152A7527" w14:textId="0AABBAE2" w:rsidR="00AC1073" w:rsidRDefault="00AC1073">
      <w:pPr>
        <w:pStyle w:val="FootnoteText"/>
      </w:pPr>
      <w:r>
        <w:rPr>
          <w:rStyle w:val="FootnoteReference"/>
        </w:rPr>
        <w:footnoteRef/>
      </w:r>
      <w:r>
        <w:t xml:space="preserve"> </w:t>
      </w:r>
      <w:r w:rsidRPr="00CF040C">
        <w:rPr>
          <w:i/>
          <w:iCs/>
        </w:rPr>
        <w:t>Firstrand Bank Limited v Briedenhann</w:t>
      </w:r>
      <w:r w:rsidRPr="00CF040C">
        <w:t xml:space="preserve"> (3690/2021) [2022</w:t>
      </w:r>
      <w:r>
        <w:t>]</w:t>
      </w:r>
      <w:r w:rsidRPr="00CF040C">
        <w:t xml:space="preserve"> ZAECQBHC 6; 2022 (5) SA 215 (ECG) (5 May 2022)</w:t>
      </w:r>
    </w:p>
  </w:footnote>
  <w:footnote w:id="2">
    <w:p w14:paraId="200CAF01" w14:textId="47C93F05" w:rsidR="00486B80" w:rsidRDefault="00486B80">
      <w:pPr>
        <w:pStyle w:val="FootnoteText"/>
      </w:pPr>
      <w:r>
        <w:rPr>
          <w:rStyle w:val="FootnoteReference"/>
        </w:rPr>
        <w:footnoteRef/>
      </w:r>
      <w:r>
        <w:t xml:space="preserve"> Applicant’s Heads of Argument </w:t>
      </w:r>
      <w:r w:rsidR="00253733">
        <w:t>para 7.12 CL000-13</w:t>
      </w:r>
    </w:p>
  </w:footnote>
  <w:footnote w:id="3">
    <w:p w14:paraId="672C5B04" w14:textId="51B4F907" w:rsidR="00D84AB5" w:rsidRDefault="00D84AB5">
      <w:pPr>
        <w:pStyle w:val="FootnoteText"/>
      </w:pPr>
      <w:r>
        <w:rPr>
          <w:rStyle w:val="FootnoteReference"/>
        </w:rPr>
        <w:footnoteRef/>
      </w:r>
      <w:r>
        <w:t xml:space="preserve"> </w:t>
      </w:r>
      <w:r w:rsidRPr="00D84AB5">
        <w:rPr>
          <w:i/>
          <w:iCs/>
        </w:rPr>
        <w:t xml:space="preserve">Briedenhann </w:t>
      </w:r>
      <w:r>
        <w:t>para 53</w:t>
      </w:r>
    </w:p>
  </w:footnote>
  <w:footnote w:id="4">
    <w:p w14:paraId="45D8D0CF" w14:textId="26FF18F8" w:rsidR="009004E1" w:rsidRDefault="009004E1">
      <w:pPr>
        <w:pStyle w:val="FootnoteText"/>
      </w:pPr>
      <w:r>
        <w:rPr>
          <w:rStyle w:val="FootnoteReference"/>
        </w:rPr>
        <w:footnoteRef/>
      </w:r>
      <w:r>
        <w:t xml:space="preserve"> </w:t>
      </w:r>
      <w:r w:rsidR="002C2DA2" w:rsidRPr="002C2DA2">
        <w:rPr>
          <w:i/>
          <w:iCs/>
        </w:rPr>
        <w:t xml:space="preserve">LexisNexis South Africa (Pty) Ltd v Minister of Justice and Correctional Services </w:t>
      </w:r>
      <w:r w:rsidR="002C2DA2" w:rsidRPr="002C2DA2">
        <w:t>(2023-010096) [2024] ZAGPPHC 446 (29 April 2024)</w:t>
      </w:r>
    </w:p>
  </w:footnote>
  <w:footnote w:id="5">
    <w:p w14:paraId="3AFF26D3" w14:textId="22256DCD" w:rsidR="006F175A" w:rsidRDefault="006F175A">
      <w:pPr>
        <w:pStyle w:val="FootnoteText"/>
      </w:pPr>
      <w:r>
        <w:rPr>
          <w:rStyle w:val="FootnoteReference"/>
        </w:rPr>
        <w:footnoteRef/>
      </w:r>
      <w:r>
        <w:t xml:space="preserve"> </w:t>
      </w:r>
      <w:r w:rsidRPr="006F175A">
        <w:rPr>
          <w:i/>
          <w:iCs/>
        </w:rPr>
        <w:t>Tumileng Trading CC V National Security and Fire (Pty) Ltd</w:t>
      </w:r>
      <w:r w:rsidRPr="006F175A">
        <w:t xml:space="preserve"> [2020] ZAWCHC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3924340"/>
      <w:docPartObj>
        <w:docPartGallery w:val="Page Numbers (Top of Page)"/>
        <w:docPartUnique/>
      </w:docPartObj>
    </w:sdtPr>
    <w:sdtContent>
      <w:p w14:paraId="375173BF" w14:textId="77777777" w:rsidR="007F50EE" w:rsidRDefault="007F50EE">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B61E181" w14:textId="77777777" w:rsidR="007F50EE" w:rsidRDefault="007F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033D9"/>
    <w:multiLevelType w:val="hybridMultilevel"/>
    <w:tmpl w:val="6FB62A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A0D8D"/>
    <w:multiLevelType w:val="multilevel"/>
    <w:tmpl w:val="E6C24452"/>
    <w:lvl w:ilvl="0">
      <w:start w:val="1"/>
      <w:numFmt w:val="decimal"/>
      <w:lvlText w:val="%1."/>
      <w:lvlJc w:val="left"/>
      <w:pPr>
        <w:ind w:left="360" w:hanging="360"/>
      </w:pPr>
      <w:rPr>
        <w:rFonts w:ascii="Arial" w:eastAsia="Calibri" w:hAnsi="Arial" w:cs="Arial"/>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15:restartNumberingAfterBreak="0">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526F19"/>
    <w:multiLevelType w:val="hybridMultilevel"/>
    <w:tmpl w:val="36D85A18"/>
    <w:lvl w:ilvl="0" w:tplc="C1FC5B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EF5ABC"/>
    <w:multiLevelType w:val="multilevel"/>
    <w:tmpl w:val="315E477A"/>
    <w:lvl w:ilvl="0">
      <w:start w:val="23"/>
      <w:numFmt w:val="decimal"/>
      <w:lvlText w:val="%1"/>
      <w:lvlJc w:val="left"/>
      <w:pPr>
        <w:ind w:left="465" w:hanging="465"/>
      </w:pPr>
      <w:rPr>
        <w:rFonts w:hint="default"/>
      </w:rPr>
    </w:lvl>
    <w:lvl w:ilvl="1">
      <w:start w:val="1"/>
      <w:numFmt w:val="decimal"/>
      <w:lvlText w:val="%1.%2"/>
      <w:lvlJc w:val="left"/>
      <w:pPr>
        <w:ind w:left="136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15:restartNumberingAfterBreak="0">
    <w:nsid w:val="2FFA44E7"/>
    <w:multiLevelType w:val="hybridMultilevel"/>
    <w:tmpl w:val="FCBA2C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12456CE"/>
    <w:multiLevelType w:val="hybridMultilevel"/>
    <w:tmpl w:val="C6C03EDA"/>
    <w:lvl w:ilvl="0" w:tplc="6416082C">
      <w:start w:val="1"/>
      <w:numFmt w:val="decimal"/>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83151B0"/>
    <w:multiLevelType w:val="hybridMultilevel"/>
    <w:tmpl w:val="41A0F302"/>
    <w:lvl w:ilvl="0" w:tplc="319C87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B083D82"/>
    <w:multiLevelType w:val="multilevel"/>
    <w:tmpl w:val="B93484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9" w15:restartNumberingAfterBreak="0">
    <w:nsid w:val="5EAA5736"/>
    <w:multiLevelType w:val="hybridMultilevel"/>
    <w:tmpl w:val="F5E4C824"/>
    <w:lvl w:ilvl="0" w:tplc="C87E46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26ADF"/>
    <w:multiLevelType w:val="multilevel"/>
    <w:tmpl w:val="84926122"/>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3" w15:restartNumberingAfterBreak="0">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24" w15:restartNumberingAfterBreak="0">
    <w:nsid w:val="6E4C2870"/>
    <w:multiLevelType w:val="multilevel"/>
    <w:tmpl w:val="332A4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74A133D"/>
    <w:multiLevelType w:val="multilevel"/>
    <w:tmpl w:val="367231D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2885251">
    <w:abstractNumId w:val="4"/>
  </w:num>
  <w:num w:numId="2" w16cid:durableId="183328772">
    <w:abstractNumId w:val="22"/>
  </w:num>
  <w:num w:numId="3" w16cid:durableId="1141927354">
    <w:abstractNumId w:val="21"/>
  </w:num>
  <w:num w:numId="4" w16cid:durableId="1364861594">
    <w:abstractNumId w:val="25"/>
  </w:num>
  <w:num w:numId="5" w16cid:durableId="722757212">
    <w:abstractNumId w:val="7"/>
  </w:num>
  <w:num w:numId="6" w16cid:durableId="1531185539">
    <w:abstractNumId w:val="16"/>
  </w:num>
  <w:num w:numId="7" w16cid:durableId="2117291705">
    <w:abstractNumId w:val="20"/>
  </w:num>
  <w:num w:numId="8" w16cid:durableId="893809896">
    <w:abstractNumId w:val="18"/>
  </w:num>
  <w:num w:numId="9" w16cid:durableId="242378568">
    <w:abstractNumId w:val="9"/>
  </w:num>
  <w:num w:numId="10" w16cid:durableId="1244532833">
    <w:abstractNumId w:val="3"/>
  </w:num>
  <w:num w:numId="11" w16cid:durableId="430860992">
    <w:abstractNumId w:val="17"/>
  </w:num>
  <w:num w:numId="12" w16cid:durableId="1091966922">
    <w:abstractNumId w:val="8"/>
  </w:num>
  <w:num w:numId="13" w16cid:durableId="1267033912">
    <w:abstractNumId w:val="11"/>
  </w:num>
  <w:num w:numId="14" w16cid:durableId="925726989">
    <w:abstractNumId w:val="13"/>
  </w:num>
  <w:num w:numId="15" w16cid:durableId="642462471">
    <w:abstractNumId w:val="1"/>
  </w:num>
  <w:num w:numId="16" w16cid:durableId="347831674">
    <w:abstractNumId w:val="23"/>
  </w:num>
  <w:num w:numId="17" w16cid:durableId="1001277145">
    <w:abstractNumId w:val="26"/>
  </w:num>
  <w:num w:numId="18" w16cid:durableId="657733722">
    <w:abstractNumId w:val="19"/>
  </w:num>
  <w:num w:numId="19" w16cid:durableId="411466094">
    <w:abstractNumId w:val="14"/>
  </w:num>
  <w:num w:numId="20" w16cid:durableId="862019413">
    <w:abstractNumId w:val="5"/>
  </w:num>
  <w:num w:numId="21" w16cid:durableId="1026760477">
    <w:abstractNumId w:val="6"/>
  </w:num>
  <w:num w:numId="22" w16cid:durableId="2071688486">
    <w:abstractNumId w:val="10"/>
  </w:num>
  <w:num w:numId="23" w16cid:durableId="1209223959">
    <w:abstractNumId w:val="15"/>
  </w:num>
  <w:num w:numId="24" w16cid:durableId="613441734">
    <w:abstractNumId w:val="24"/>
  </w:num>
  <w:num w:numId="25" w16cid:durableId="1320841654">
    <w:abstractNumId w:val="12"/>
  </w:num>
  <w:num w:numId="26" w16cid:durableId="9979997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0963937">
    <w:abstractNumId w:val="2"/>
  </w:num>
  <w:num w:numId="28" w16cid:durableId="98436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8229C7-BD0F-4C93-A677-75B23BC36697}"/>
    <w:docVar w:name="dgnword-eventsink" w:val="2227145803632"/>
  </w:docVars>
  <w:rsids>
    <w:rsidRoot w:val="00A245CB"/>
    <w:rsid w:val="00000002"/>
    <w:rsid w:val="000024C8"/>
    <w:rsid w:val="0000401E"/>
    <w:rsid w:val="00005505"/>
    <w:rsid w:val="00012C40"/>
    <w:rsid w:val="0001520B"/>
    <w:rsid w:val="00021BFC"/>
    <w:rsid w:val="00022EB4"/>
    <w:rsid w:val="0002520F"/>
    <w:rsid w:val="0002635F"/>
    <w:rsid w:val="00027141"/>
    <w:rsid w:val="000349E4"/>
    <w:rsid w:val="00040048"/>
    <w:rsid w:val="00040983"/>
    <w:rsid w:val="000412C6"/>
    <w:rsid w:val="00042F61"/>
    <w:rsid w:val="00042FAD"/>
    <w:rsid w:val="00044405"/>
    <w:rsid w:val="00045035"/>
    <w:rsid w:val="0004619A"/>
    <w:rsid w:val="0004673F"/>
    <w:rsid w:val="000505F2"/>
    <w:rsid w:val="00050861"/>
    <w:rsid w:val="00050893"/>
    <w:rsid w:val="00051EAD"/>
    <w:rsid w:val="00055BEE"/>
    <w:rsid w:val="0005752F"/>
    <w:rsid w:val="00062951"/>
    <w:rsid w:val="00064AA3"/>
    <w:rsid w:val="000678AF"/>
    <w:rsid w:val="00067908"/>
    <w:rsid w:val="00071B5C"/>
    <w:rsid w:val="00073637"/>
    <w:rsid w:val="0007685B"/>
    <w:rsid w:val="00077043"/>
    <w:rsid w:val="00080955"/>
    <w:rsid w:val="0008637D"/>
    <w:rsid w:val="00087175"/>
    <w:rsid w:val="000873E5"/>
    <w:rsid w:val="000906EB"/>
    <w:rsid w:val="000919A5"/>
    <w:rsid w:val="00092104"/>
    <w:rsid w:val="000928BF"/>
    <w:rsid w:val="000937EE"/>
    <w:rsid w:val="000947D5"/>
    <w:rsid w:val="00095843"/>
    <w:rsid w:val="000963D0"/>
    <w:rsid w:val="000A0DE2"/>
    <w:rsid w:val="000A266F"/>
    <w:rsid w:val="000A3F2C"/>
    <w:rsid w:val="000A66AF"/>
    <w:rsid w:val="000A674B"/>
    <w:rsid w:val="000B2643"/>
    <w:rsid w:val="000B6877"/>
    <w:rsid w:val="000C107D"/>
    <w:rsid w:val="000C1743"/>
    <w:rsid w:val="000C2183"/>
    <w:rsid w:val="000C28BA"/>
    <w:rsid w:val="000C3EAE"/>
    <w:rsid w:val="000C5267"/>
    <w:rsid w:val="000D01E3"/>
    <w:rsid w:val="000D4DDB"/>
    <w:rsid w:val="000D55F8"/>
    <w:rsid w:val="000D5D5E"/>
    <w:rsid w:val="000D6172"/>
    <w:rsid w:val="000D7014"/>
    <w:rsid w:val="000E1369"/>
    <w:rsid w:val="000E287E"/>
    <w:rsid w:val="000E2F19"/>
    <w:rsid w:val="000E3247"/>
    <w:rsid w:val="000E3CA2"/>
    <w:rsid w:val="000E5310"/>
    <w:rsid w:val="000E74AF"/>
    <w:rsid w:val="000F24E8"/>
    <w:rsid w:val="001003FF"/>
    <w:rsid w:val="0010110D"/>
    <w:rsid w:val="001032E9"/>
    <w:rsid w:val="001040D6"/>
    <w:rsid w:val="00104827"/>
    <w:rsid w:val="00104DE9"/>
    <w:rsid w:val="0010534A"/>
    <w:rsid w:val="0010567D"/>
    <w:rsid w:val="00105D64"/>
    <w:rsid w:val="0010752A"/>
    <w:rsid w:val="00112737"/>
    <w:rsid w:val="00114414"/>
    <w:rsid w:val="00115251"/>
    <w:rsid w:val="00115931"/>
    <w:rsid w:val="0012167C"/>
    <w:rsid w:val="0012170E"/>
    <w:rsid w:val="00121EE2"/>
    <w:rsid w:val="001239A5"/>
    <w:rsid w:val="00123FFE"/>
    <w:rsid w:val="001249E8"/>
    <w:rsid w:val="00127661"/>
    <w:rsid w:val="001330A3"/>
    <w:rsid w:val="001334FD"/>
    <w:rsid w:val="00141A74"/>
    <w:rsid w:val="001438DD"/>
    <w:rsid w:val="00143A91"/>
    <w:rsid w:val="00144EA8"/>
    <w:rsid w:val="00146031"/>
    <w:rsid w:val="00147F75"/>
    <w:rsid w:val="0015003D"/>
    <w:rsid w:val="00150C83"/>
    <w:rsid w:val="00154433"/>
    <w:rsid w:val="0015456A"/>
    <w:rsid w:val="0015798B"/>
    <w:rsid w:val="00157F81"/>
    <w:rsid w:val="001616A7"/>
    <w:rsid w:val="00161C3F"/>
    <w:rsid w:val="00164A2B"/>
    <w:rsid w:val="00164EBE"/>
    <w:rsid w:val="00167B6E"/>
    <w:rsid w:val="00171BBB"/>
    <w:rsid w:val="00172468"/>
    <w:rsid w:val="00172ED7"/>
    <w:rsid w:val="00172F37"/>
    <w:rsid w:val="0017417A"/>
    <w:rsid w:val="00177040"/>
    <w:rsid w:val="0018214B"/>
    <w:rsid w:val="00182F92"/>
    <w:rsid w:val="001859F9"/>
    <w:rsid w:val="00186236"/>
    <w:rsid w:val="00186B07"/>
    <w:rsid w:val="00187689"/>
    <w:rsid w:val="00187A31"/>
    <w:rsid w:val="00190349"/>
    <w:rsid w:val="0019270F"/>
    <w:rsid w:val="001929BE"/>
    <w:rsid w:val="00192A13"/>
    <w:rsid w:val="001950F3"/>
    <w:rsid w:val="00195FC1"/>
    <w:rsid w:val="001A188E"/>
    <w:rsid w:val="001A5B8A"/>
    <w:rsid w:val="001A69C1"/>
    <w:rsid w:val="001A7FE3"/>
    <w:rsid w:val="001B14C5"/>
    <w:rsid w:val="001B1C3D"/>
    <w:rsid w:val="001B223F"/>
    <w:rsid w:val="001B263C"/>
    <w:rsid w:val="001C04C6"/>
    <w:rsid w:val="001C24DF"/>
    <w:rsid w:val="001C370C"/>
    <w:rsid w:val="001C3727"/>
    <w:rsid w:val="001C3CFC"/>
    <w:rsid w:val="001C41B0"/>
    <w:rsid w:val="001C42EA"/>
    <w:rsid w:val="001C56E7"/>
    <w:rsid w:val="001C5F9A"/>
    <w:rsid w:val="001C7105"/>
    <w:rsid w:val="001D078F"/>
    <w:rsid w:val="001D36BE"/>
    <w:rsid w:val="001D40A7"/>
    <w:rsid w:val="001D5DCC"/>
    <w:rsid w:val="001D613B"/>
    <w:rsid w:val="001D70C1"/>
    <w:rsid w:val="001D7C65"/>
    <w:rsid w:val="001E0269"/>
    <w:rsid w:val="001E1C88"/>
    <w:rsid w:val="001E23A1"/>
    <w:rsid w:val="001E23FF"/>
    <w:rsid w:val="001E2961"/>
    <w:rsid w:val="001F356C"/>
    <w:rsid w:val="001F697E"/>
    <w:rsid w:val="001F6BB0"/>
    <w:rsid w:val="00201D4A"/>
    <w:rsid w:val="00204119"/>
    <w:rsid w:val="0020647E"/>
    <w:rsid w:val="00207193"/>
    <w:rsid w:val="002141CF"/>
    <w:rsid w:val="002148D7"/>
    <w:rsid w:val="002162D7"/>
    <w:rsid w:val="0021680E"/>
    <w:rsid w:val="00217FF8"/>
    <w:rsid w:val="00220746"/>
    <w:rsid w:val="0022184B"/>
    <w:rsid w:val="00222979"/>
    <w:rsid w:val="002252D7"/>
    <w:rsid w:val="0022640F"/>
    <w:rsid w:val="00230C40"/>
    <w:rsid w:val="00233F54"/>
    <w:rsid w:val="00234934"/>
    <w:rsid w:val="00237065"/>
    <w:rsid w:val="00240650"/>
    <w:rsid w:val="00240E3D"/>
    <w:rsid w:val="002413B5"/>
    <w:rsid w:val="00242F02"/>
    <w:rsid w:val="002448CD"/>
    <w:rsid w:val="002513EE"/>
    <w:rsid w:val="002519C9"/>
    <w:rsid w:val="00253733"/>
    <w:rsid w:val="002563C1"/>
    <w:rsid w:val="00257C3B"/>
    <w:rsid w:val="0026094C"/>
    <w:rsid w:val="00267E62"/>
    <w:rsid w:val="00272D51"/>
    <w:rsid w:val="00282E5E"/>
    <w:rsid w:val="00283E3A"/>
    <w:rsid w:val="00283EFD"/>
    <w:rsid w:val="00284C2B"/>
    <w:rsid w:val="00286358"/>
    <w:rsid w:val="00286BE4"/>
    <w:rsid w:val="00287C17"/>
    <w:rsid w:val="00290C35"/>
    <w:rsid w:val="00293205"/>
    <w:rsid w:val="002933FC"/>
    <w:rsid w:val="00294709"/>
    <w:rsid w:val="00294867"/>
    <w:rsid w:val="00294EC9"/>
    <w:rsid w:val="00296BBB"/>
    <w:rsid w:val="002A1A93"/>
    <w:rsid w:val="002A3073"/>
    <w:rsid w:val="002A3176"/>
    <w:rsid w:val="002A4CF5"/>
    <w:rsid w:val="002A4FEA"/>
    <w:rsid w:val="002B052B"/>
    <w:rsid w:val="002B09EA"/>
    <w:rsid w:val="002B1C87"/>
    <w:rsid w:val="002B4F00"/>
    <w:rsid w:val="002B55D7"/>
    <w:rsid w:val="002B6258"/>
    <w:rsid w:val="002B73A3"/>
    <w:rsid w:val="002C0081"/>
    <w:rsid w:val="002C0EC8"/>
    <w:rsid w:val="002C1E12"/>
    <w:rsid w:val="002C2DA2"/>
    <w:rsid w:val="002C34E3"/>
    <w:rsid w:val="002C3BCE"/>
    <w:rsid w:val="002C3EA5"/>
    <w:rsid w:val="002C41EF"/>
    <w:rsid w:val="002C5F57"/>
    <w:rsid w:val="002C6452"/>
    <w:rsid w:val="002C6D51"/>
    <w:rsid w:val="002D0091"/>
    <w:rsid w:val="002D4185"/>
    <w:rsid w:val="002D623F"/>
    <w:rsid w:val="002D6705"/>
    <w:rsid w:val="002D74C3"/>
    <w:rsid w:val="002E0730"/>
    <w:rsid w:val="002E1DC2"/>
    <w:rsid w:val="002E25C5"/>
    <w:rsid w:val="002E2E9C"/>
    <w:rsid w:val="002E3E47"/>
    <w:rsid w:val="002F4257"/>
    <w:rsid w:val="002F69C1"/>
    <w:rsid w:val="003005E4"/>
    <w:rsid w:val="00301F61"/>
    <w:rsid w:val="00302A0B"/>
    <w:rsid w:val="00304CA1"/>
    <w:rsid w:val="00305ADD"/>
    <w:rsid w:val="00306F6C"/>
    <w:rsid w:val="00307937"/>
    <w:rsid w:val="00310334"/>
    <w:rsid w:val="00314FD5"/>
    <w:rsid w:val="003150F9"/>
    <w:rsid w:val="00320D93"/>
    <w:rsid w:val="00324519"/>
    <w:rsid w:val="00324C74"/>
    <w:rsid w:val="00326A61"/>
    <w:rsid w:val="00327BE3"/>
    <w:rsid w:val="00333A52"/>
    <w:rsid w:val="00335397"/>
    <w:rsid w:val="003361D8"/>
    <w:rsid w:val="00350646"/>
    <w:rsid w:val="00352E09"/>
    <w:rsid w:val="003548D6"/>
    <w:rsid w:val="003557E5"/>
    <w:rsid w:val="003564EA"/>
    <w:rsid w:val="00357FD7"/>
    <w:rsid w:val="00360AE7"/>
    <w:rsid w:val="00361F80"/>
    <w:rsid w:val="00362532"/>
    <w:rsid w:val="00363019"/>
    <w:rsid w:val="00364315"/>
    <w:rsid w:val="0036512E"/>
    <w:rsid w:val="00365555"/>
    <w:rsid w:val="00367E58"/>
    <w:rsid w:val="00370B1A"/>
    <w:rsid w:val="003737F0"/>
    <w:rsid w:val="0037462C"/>
    <w:rsid w:val="00374696"/>
    <w:rsid w:val="00375A6D"/>
    <w:rsid w:val="00375C80"/>
    <w:rsid w:val="00376D98"/>
    <w:rsid w:val="003810B9"/>
    <w:rsid w:val="003837CC"/>
    <w:rsid w:val="00383899"/>
    <w:rsid w:val="00386EDA"/>
    <w:rsid w:val="00387DE5"/>
    <w:rsid w:val="00391944"/>
    <w:rsid w:val="0039223E"/>
    <w:rsid w:val="00397AD6"/>
    <w:rsid w:val="003A0771"/>
    <w:rsid w:val="003A0B18"/>
    <w:rsid w:val="003A0E68"/>
    <w:rsid w:val="003A40E0"/>
    <w:rsid w:val="003A47D5"/>
    <w:rsid w:val="003B363D"/>
    <w:rsid w:val="003B5666"/>
    <w:rsid w:val="003B64B7"/>
    <w:rsid w:val="003B7D1C"/>
    <w:rsid w:val="003C415E"/>
    <w:rsid w:val="003D17A4"/>
    <w:rsid w:val="003D1C81"/>
    <w:rsid w:val="003D75CC"/>
    <w:rsid w:val="003E0144"/>
    <w:rsid w:val="003E3191"/>
    <w:rsid w:val="003E6B30"/>
    <w:rsid w:val="003F2A17"/>
    <w:rsid w:val="003F44D5"/>
    <w:rsid w:val="003F4F51"/>
    <w:rsid w:val="00400412"/>
    <w:rsid w:val="00401238"/>
    <w:rsid w:val="00401EB6"/>
    <w:rsid w:val="00401F5A"/>
    <w:rsid w:val="0040336C"/>
    <w:rsid w:val="00403B3E"/>
    <w:rsid w:val="00404A85"/>
    <w:rsid w:val="0041091A"/>
    <w:rsid w:val="00414E09"/>
    <w:rsid w:val="00415959"/>
    <w:rsid w:val="00420114"/>
    <w:rsid w:val="0042070E"/>
    <w:rsid w:val="004216E7"/>
    <w:rsid w:val="0042596D"/>
    <w:rsid w:val="00425B04"/>
    <w:rsid w:val="004302F1"/>
    <w:rsid w:val="00431311"/>
    <w:rsid w:val="004315C0"/>
    <w:rsid w:val="004340A0"/>
    <w:rsid w:val="0043571C"/>
    <w:rsid w:val="00440E66"/>
    <w:rsid w:val="00441924"/>
    <w:rsid w:val="0044216D"/>
    <w:rsid w:val="004433FC"/>
    <w:rsid w:val="0044461A"/>
    <w:rsid w:val="00450088"/>
    <w:rsid w:val="00450E28"/>
    <w:rsid w:val="00452A51"/>
    <w:rsid w:val="00453205"/>
    <w:rsid w:val="00453E7B"/>
    <w:rsid w:val="004546D1"/>
    <w:rsid w:val="00454A25"/>
    <w:rsid w:val="0045718E"/>
    <w:rsid w:val="00457257"/>
    <w:rsid w:val="00463EF9"/>
    <w:rsid w:val="00467B64"/>
    <w:rsid w:val="00467DDC"/>
    <w:rsid w:val="00475018"/>
    <w:rsid w:val="004757D4"/>
    <w:rsid w:val="00475E77"/>
    <w:rsid w:val="004765F0"/>
    <w:rsid w:val="00476D98"/>
    <w:rsid w:val="004807DF"/>
    <w:rsid w:val="00481A7C"/>
    <w:rsid w:val="00481B11"/>
    <w:rsid w:val="00482845"/>
    <w:rsid w:val="00485A19"/>
    <w:rsid w:val="00486A91"/>
    <w:rsid w:val="00486B80"/>
    <w:rsid w:val="004907D6"/>
    <w:rsid w:val="0049371F"/>
    <w:rsid w:val="004944B0"/>
    <w:rsid w:val="004951A5"/>
    <w:rsid w:val="00496209"/>
    <w:rsid w:val="004A0D6A"/>
    <w:rsid w:val="004A159D"/>
    <w:rsid w:val="004A28AF"/>
    <w:rsid w:val="004A2B81"/>
    <w:rsid w:val="004A3FB5"/>
    <w:rsid w:val="004B00B5"/>
    <w:rsid w:val="004B03EA"/>
    <w:rsid w:val="004B10EA"/>
    <w:rsid w:val="004C32A2"/>
    <w:rsid w:val="004C3806"/>
    <w:rsid w:val="004C560B"/>
    <w:rsid w:val="004C745B"/>
    <w:rsid w:val="004C7594"/>
    <w:rsid w:val="004D3DD3"/>
    <w:rsid w:val="004D7BA7"/>
    <w:rsid w:val="004E0021"/>
    <w:rsid w:val="004E26EB"/>
    <w:rsid w:val="004E499B"/>
    <w:rsid w:val="004E5E37"/>
    <w:rsid w:val="004F1ECE"/>
    <w:rsid w:val="004F2122"/>
    <w:rsid w:val="004F2936"/>
    <w:rsid w:val="004F2A0E"/>
    <w:rsid w:val="004F450B"/>
    <w:rsid w:val="004F65B6"/>
    <w:rsid w:val="004F6D31"/>
    <w:rsid w:val="004F7342"/>
    <w:rsid w:val="00500EE8"/>
    <w:rsid w:val="00502B75"/>
    <w:rsid w:val="00503D53"/>
    <w:rsid w:val="005100BC"/>
    <w:rsid w:val="005129C5"/>
    <w:rsid w:val="00522846"/>
    <w:rsid w:val="00523F52"/>
    <w:rsid w:val="00524704"/>
    <w:rsid w:val="00525005"/>
    <w:rsid w:val="00526395"/>
    <w:rsid w:val="00526AF2"/>
    <w:rsid w:val="00527698"/>
    <w:rsid w:val="00527A24"/>
    <w:rsid w:val="005309AE"/>
    <w:rsid w:val="0053129C"/>
    <w:rsid w:val="00531AB0"/>
    <w:rsid w:val="00534EA2"/>
    <w:rsid w:val="00535BF8"/>
    <w:rsid w:val="00535E83"/>
    <w:rsid w:val="0053700E"/>
    <w:rsid w:val="00540D10"/>
    <w:rsid w:val="005415B0"/>
    <w:rsid w:val="00544427"/>
    <w:rsid w:val="005459E2"/>
    <w:rsid w:val="005470C7"/>
    <w:rsid w:val="005522EE"/>
    <w:rsid w:val="0055390B"/>
    <w:rsid w:val="00553EEC"/>
    <w:rsid w:val="00554438"/>
    <w:rsid w:val="00554B8D"/>
    <w:rsid w:val="0055506C"/>
    <w:rsid w:val="005555F2"/>
    <w:rsid w:val="00556D24"/>
    <w:rsid w:val="00562A1A"/>
    <w:rsid w:val="00564D95"/>
    <w:rsid w:val="00564F76"/>
    <w:rsid w:val="005650FB"/>
    <w:rsid w:val="00566D71"/>
    <w:rsid w:val="00566E64"/>
    <w:rsid w:val="0057048F"/>
    <w:rsid w:val="005713CA"/>
    <w:rsid w:val="00574336"/>
    <w:rsid w:val="00574D57"/>
    <w:rsid w:val="005762E3"/>
    <w:rsid w:val="005767E1"/>
    <w:rsid w:val="00577E5D"/>
    <w:rsid w:val="00577F12"/>
    <w:rsid w:val="00581681"/>
    <w:rsid w:val="0058269C"/>
    <w:rsid w:val="005830D6"/>
    <w:rsid w:val="00583B52"/>
    <w:rsid w:val="00584CAF"/>
    <w:rsid w:val="005862DE"/>
    <w:rsid w:val="00590E8A"/>
    <w:rsid w:val="00591204"/>
    <w:rsid w:val="00592854"/>
    <w:rsid w:val="00592862"/>
    <w:rsid w:val="00592D9F"/>
    <w:rsid w:val="0059305C"/>
    <w:rsid w:val="00594DEF"/>
    <w:rsid w:val="00595824"/>
    <w:rsid w:val="005A15CE"/>
    <w:rsid w:val="005A23BB"/>
    <w:rsid w:val="005A2444"/>
    <w:rsid w:val="005A2D5E"/>
    <w:rsid w:val="005A4D1F"/>
    <w:rsid w:val="005A7988"/>
    <w:rsid w:val="005B14C8"/>
    <w:rsid w:val="005B377C"/>
    <w:rsid w:val="005B58DC"/>
    <w:rsid w:val="005B6754"/>
    <w:rsid w:val="005B716D"/>
    <w:rsid w:val="005C1BBA"/>
    <w:rsid w:val="005C1EE9"/>
    <w:rsid w:val="005C28AE"/>
    <w:rsid w:val="005C3CBC"/>
    <w:rsid w:val="005D5E6F"/>
    <w:rsid w:val="005D6361"/>
    <w:rsid w:val="005D764D"/>
    <w:rsid w:val="005E1D8C"/>
    <w:rsid w:val="005E1E6A"/>
    <w:rsid w:val="005E4A04"/>
    <w:rsid w:val="005E7789"/>
    <w:rsid w:val="005E7BA3"/>
    <w:rsid w:val="005F00A3"/>
    <w:rsid w:val="005F0F65"/>
    <w:rsid w:val="005F1D2A"/>
    <w:rsid w:val="005F2494"/>
    <w:rsid w:val="005F2E57"/>
    <w:rsid w:val="005F3C10"/>
    <w:rsid w:val="005F45F5"/>
    <w:rsid w:val="005F551E"/>
    <w:rsid w:val="005F5974"/>
    <w:rsid w:val="005F77B7"/>
    <w:rsid w:val="005F7C69"/>
    <w:rsid w:val="00605243"/>
    <w:rsid w:val="00606C1C"/>
    <w:rsid w:val="00610162"/>
    <w:rsid w:val="00610613"/>
    <w:rsid w:val="0061068E"/>
    <w:rsid w:val="00614FBC"/>
    <w:rsid w:val="006161FA"/>
    <w:rsid w:val="00616254"/>
    <w:rsid w:val="00616277"/>
    <w:rsid w:val="00616A4A"/>
    <w:rsid w:val="00621E09"/>
    <w:rsid w:val="006234B9"/>
    <w:rsid w:val="00624143"/>
    <w:rsid w:val="0062490D"/>
    <w:rsid w:val="006266EC"/>
    <w:rsid w:val="0062737A"/>
    <w:rsid w:val="006301DE"/>
    <w:rsid w:val="00631517"/>
    <w:rsid w:val="006319C7"/>
    <w:rsid w:val="00632AE1"/>
    <w:rsid w:val="00632BA6"/>
    <w:rsid w:val="006345FF"/>
    <w:rsid w:val="0063556B"/>
    <w:rsid w:val="00635B7C"/>
    <w:rsid w:val="00636F79"/>
    <w:rsid w:val="00640A6F"/>
    <w:rsid w:val="00641676"/>
    <w:rsid w:val="00643ADB"/>
    <w:rsid w:val="00643EA5"/>
    <w:rsid w:val="00644443"/>
    <w:rsid w:val="00645871"/>
    <w:rsid w:val="00645EEF"/>
    <w:rsid w:val="00647DA5"/>
    <w:rsid w:val="00651A14"/>
    <w:rsid w:val="00652FDD"/>
    <w:rsid w:val="006545A8"/>
    <w:rsid w:val="00655CBB"/>
    <w:rsid w:val="0065685C"/>
    <w:rsid w:val="00663304"/>
    <w:rsid w:val="006731EB"/>
    <w:rsid w:val="00674F35"/>
    <w:rsid w:val="00676C0F"/>
    <w:rsid w:val="00683B37"/>
    <w:rsid w:val="006843F6"/>
    <w:rsid w:val="00684930"/>
    <w:rsid w:val="00690767"/>
    <w:rsid w:val="00690919"/>
    <w:rsid w:val="00691484"/>
    <w:rsid w:val="00696446"/>
    <w:rsid w:val="00696D30"/>
    <w:rsid w:val="006A00EE"/>
    <w:rsid w:val="006A1060"/>
    <w:rsid w:val="006A12DB"/>
    <w:rsid w:val="006A1D2A"/>
    <w:rsid w:val="006A449D"/>
    <w:rsid w:val="006A7990"/>
    <w:rsid w:val="006A7C6F"/>
    <w:rsid w:val="006B484C"/>
    <w:rsid w:val="006C043F"/>
    <w:rsid w:val="006C1CAF"/>
    <w:rsid w:val="006C5F07"/>
    <w:rsid w:val="006C6693"/>
    <w:rsid w:val="006C738D"/>
    <w:rsid w:val="006D00C9"/>
    <w:rsid w:val="006D1118"/>
    <w:rsid w:val="006D437F"/>
    <w:rsid w:val="006D572E"/>
    <w:rsid w:val="006D63F7"/>
    <w:rsid w:val="006D7B2C"/>
    <w:rsid w:val="006E23AF"/>
    <w:rsid w:val="006E2DC7"/>
    <w:rsid w:val="006E471B"/>
    <w:rsid w:val="006F1193"/>
    <w:rsid w:val="006F175A"/>
    <w:rsid w:val="006F2A5F"/>
    <w:rsid w:val="006F4EAE"/>
    <w:rsid w:val="006F4ED6"/>
    <w:rsid w:val="006F4FAC"/>
    <w:rsid w:val="006F563A"/>
    <w:rsid w:val="006F5E25"/>
    <w:rsid w:val="006F5F99"/>
    <w:rsid w:val="00704A5B"/>
    <w:rsid w:val="00707342"/>
    <w:rsid w:val="00710E16"/>
    <w:rsid w:val="00711977"/>
    <w:rsid w:val="00711D99"/>
    <w:rsid w:val="00714305"/>
    <w:rsid w:val="00714AC9"/>
    <w:rsid w:val="00730435"/>
    <w:rsid w:val="007329F1"/>
    <w:rsid w:val="00733BD7"/>
    <w:rsid w:val="00734754"/>
    <w:rsid w:val="0073531C"/>
    <w:rsid w:val="0074346A"/>
    <w:rsid w:val="007438DA"/>
    <w:rsid w:val="00750A50"/>
    <w:rsid w:val="007517A3"/>
    <w:rsid w:val="00753494"/>
    <w:rsid w:val="007537D5"/>
    <w:rsid w:val="00755202"/>
    <w:rsid w:val="00756404"/>
    <w:rsid w:val="0075721C"/>
    <w:rsid w:val="00757CE1"/>
    <w:rsid w:val="0076099E"/>
    <w:rsid w:val="00761FFF"/>
    <w:rsid w:val="00762A86"/>
    <w:rsid w:val="00766D3E"/>
    <w:rsid w:val="00767D47"/>
    <w:rsid w:val="007723B8"/>
    <w:rsid w:val="00774297"/>
    <w:rsid w:val="00782016"/>
    <w:rsid w:val="007821DB"/>
    <w:rsid w:val="00783CB4"/>
    <w:rsid w:val="00784B26"/>
    <w:rsid w:val="00786B21"/>
    <w:rsid w:val="00790619"/>
    <w:rsid w:val="007919C0"/>
    <w:rsid w:val="007939EE"/>
    <w:rsid w:val="0079500D"/>
    <w:rsid w:val="0079510A"/>
    <w:rsid w:val="007963B2"/>
    <w:rsid w:val="007A0340"/>
    <w:rsid w:val="007A4308"/>
    <w:rsid w:val="007A47A4"/>
    <w:rsid w:val="007A52FA"/>
    <w:rsid w:val="007A5311"/>
    <w:rsid w:val="007A5FD4"/>
    <w:rsid w:val="007A71CA"/>
    <w:rsid w:val="007A7F2B"/>
    <w:rsid w:val="007B5B89"/>
    <w:rsid w:val="007B5F23"/>
    <w:rsid w:val="007C1BE5"/>
    <w:rsid w:val="007C2AF0"/>
    <w:rsid w:val="007C3406"/>
    <w:rsid w:val="007C672A"/>
    <w:rsid w:val="007C7565"/>
    <w:rsid w:val="007D1DF2"/>
    <w:rsid w:val="007D32D9"/>
    <w:rsid w:val="007D5100"/>
    <w:rsid w:val="007E04B6"/>
    <w:rsid w:val="007E2CA4"/>
    <w:rsid w:val="007E4113"/>
    <w:rsid w:val="007E4B24"/>
    <w:rsid w:val="007E508F"/>
    <w:rsid w:val="007E5CD8"/>
    <w:rsid w:val="007E623C"/>
    <w:rsid w:val="007E71E6"/>
    <w:rsid w:val="007F50EE"/>
    <w:rsid w:val="007F59C5"/>
    <w:rsid w:val="007F6A37"/>
    <w:rsid w:val="008008C3"/>
    <w:rsid w:val="00800E15"/>
    <w:rsid w:val="008014D0"/>
    <w:rsid w:val="00804E15"/>
    <w:rsid w:val="00806305"/>
    <w:rsid w:val="00807255"/>
    <w:rsid w:val="00811D2E"/>
    <w:rsid w:val="008120BD"/>
    <w:rsid w:val="00812693"/>
    <w:rsid w:val="0081317B"/>
    <w:rsid w:val="00822464"/>
    <w:rsid w:val="00822A39"/>
    <w:rsid w:val="00824F50"/>
    <w:rsid w:val="00826F87"/>
    <w:rsid w:val="00830B45"/>
    <w:rsid w:val="0084520E"/>
    <w:rsid w:val="008502BF"/>
    <w:rsid w:val="00850451"/>
    <w:rsid w:val="00851C50"/>
    <w:rsid w:val="00851F64"/>
    <w:rsid w:val="00852BA9"/>
    <w:rsid w:val="00855AB2"/>
    <w:rsid w:val="0086539B"/>
    <w:rsid w:val="00866680"/>
    <w:rsid w:val="00866BC2"/>
    <w:rsid w:val="008670D6"/>
    <w:rsid w:val="00871132"/>
    <w:rsid w:val="00871DB0"/>
    <w:rsid w:val="008739C4"/>
    <w:rsid w:val="008739F3"/>
    <w:rsid w:val="00874FCB"/>
    <w:rsid w:val="00881B2A"/>
    <w:rsid w:val="00881CDA"/>
    <w:rsid w:val="0088211D"/>
    <w:rsid w:val="00884451"/>
    <w:rsid w:val="008849CE"/>
    <w:rsid w:val="00891256"/>
    <w:rsid w:val="00893491"/>
    <w:rsid w:val="0089491F"/>
    <w:rsid w:val="00897CD1"/>
    <w:rsid w:val="008A3CBB"/>
    <w:rsid w:val="008A574E"/>
    <w:rsid w:val="008A6BB2"/>
    <w:rsid w:val="008B0877"/>
    <w:rsid w:val="008B0A7F"/>
    <w:rsid w:val="008B284F"/>
    <w:rsid w:val="008B37B3"/>
    <w:rsid w:val="008B4233"/>
    <w:rsid w:val="008B49EE"/>
    <w:rsid w:val="008B666A"/>
    <w:rsid w:val="008B6EE7"/>
    <w:rsid w:val="008B7260"/>
    <w:rsid w:val="008C1DC8"/>
    <w:rsid w:val="008C51C8"/>
    <w:rsid w:val="008D11A4"/>
    <w:rsid w:val="008D3714"/>
    <w:rsid w:val="008D4C38"/>
    <w:rsid w:val="008D6C5E"/>
    <w:rsid w:val="008E5BF7"/>
    <w:rsid w:val="008F08CC"/>
    <w:rsid w:val="008F0B1A"/>
    <w:rsid w:val="009004E1"/>
    <w:rsid w:val="00900F8D"/>
    <w:rsid w:val="009049FA"/>
    <w:rsid w:val="009059BD"/>
    <w:rsid w:val="00910496"/>
    <w:rsid w:val="00910BD1"/>
    <w:rsid w:val="00911C4B"/>
    <w:rsid w:val="00912EEF"/>
    <w:rsid w:val="00913328"/>
    <w:rsid w:val="00915B81"/>
    <w:rsid w:val="00920C22"/>
    <w:rsid w:val="0092311C"/>
    <w:rsid w:val="009236EE"/>
    <w:rsid w:val="00924814"/>
    <w:rsid w:val="00925989"/>
    <w:rsid w:val="00925EDA"/>
    <w:rsid w:val="009265DE"/>
    <w:rsid w:val="00926EB3"/>
    <w:rsid w:val="00926FC8"/>
    <w:rsid w:val="009302CC"/>
    <w:rsid w:val="00931E8F"/>
    <w:rsid w:val="0093234E"/>
    <w:rsid w:val="009371CA"/>
    <w:rsid w:val="00937D04"/>
    <w:rsid w:val="00941923"/>
    <w:rsid w:val="00942D9C"/>
    <w:rsid w:val="00945568"/>
    <w:rsid w:val="0094685C"/>
    <w:rsid w:val="00946C19"/>
    <w:rsid w:val="00947F90"/>
    <w:rsid w:val="009531B9"/>
    <w:rsid w:val="00957E3E"/>
    <w:rsid w:val="00963142"/>
    <w:rsid w:val="0096353F"/>
    <w:rsid w:val="009650E1"/>
    <w:rsid w:val="009706F5"/>
    <w:rsid w:val="0097289E"/>
    <w:rsid w:val="00973209"/>
    <w:rsid w:val="009736EA"/>
    <w:rsid w:val="00974FD1"/>
    <w:rsid w:val="00974FE2"/>
    <w:rsid w:val="00982EB4"/>
    <w:rsid w:val="00983168"/>
    <w:rsid w:val="009871CD"/>
    <w:rsid w:val="00987ED5"/>
    <w:rsid w:val="009962EC"/>
    <w:rsid w:val="00996EE2"/>
    <w:rsid w:val="009A0730"/>
    <w:rsid w:val="009A2AA7"/>
    <w:rsid w:val="009A6E2A"/>
    <w:rsid w:val="009B46AF"/>
    <w:rsid w:val="009C0976"/>
    <w:rsid w:val="009C0C80"/>
    <w:rsid w:val="009C0DD8"/>
    <w:rsid w:val="009C0DEF"/>
    <w:rsid w:val="009C1480"/>
    <w:rsid w:val="009C76CD"/>
    <w:rsid w:val="009C7E5B"/>
    <w:rsid w:val="009D0B34"/>
    <w:rsid w:val="009D1F3B"/>
    <w:rsid w:val="009D55CE"/>
    <w:rsid w:val="009E09BC"/>
    <w:rsid w:val="009E3DDC"/>
    <w:rsid w:val="009E69BF"/>
    <w:rsid w:val="009E713D"/>
    <w:rsid w:val="009F4E1E"/>
    <w:rsid w:val="00A026E1"/>
    <w:rsid w:val="00A02E7C"/>
    <w:rsid w:val="00A030E7"/>
    <w:rsid w:val="00A047CE"/>
    <w:rsid w:val="00A04AD2"/>
    <w:rsid w:val="00A0766F"/>
    <w:rsid w:val="00A11C17"/>
    <w:rsid w:val="00A12143"/>
    <w:rsid w:val="00A124CE"/>
    <w:rsid w:val="00A1331D"/>
    <w:rsid w:val="00A13B46"/>
    <w:rsid w:val="00A155D0"/>
    <w:rsid w:val="00A15B42"/>
    <w:rsid w:val="00A16617"/>
    <w:rsid w:val="00A209B3"/>
    <w:rsid w:val="00A216ED"/>
    <w:rsid w:val="00A220F3"/>
    <w:rsid w:val="00A245CB"/>
    <w:rsid w:val="00A24DF7"/>
    <w:rsid w:val="00A275C5"/>
    <w:rsid w:val="00A30265"/>
    <w:rsid w:val="00A32729"/>
    <w:rsid w:val="00A3278D"/>
    <w:rsid w:val="00A340E9"/>
    <w:rsid w:val="00A3554F"/>
    <w:rsid w:val="00A35570"/>
    <w:rsid w:val="00A3794A"/>
    <w:rsid w:val="00A404A9"/>
    <w:rsid w:val="00A40B79"/>
    <w:rsid w:val="00A40EA2"/>
    <w:rsid w:val="00A41C27"/>
    <w:rsid w:val="00A42640"/>
    <w:rsid w:val="00A42E00"/>
    <w:rsid w:val="00A45144"/>
    <w:rsid w:val="00A45CF8"/>
    <w:rsid w:val="00A47B0F"/>
    <w:rsid w:val="00A531F7"/>
    <w:rsid w:val="00A552D7"/>
    <w:rsid w:val="00A554B9"/>
    <w:rsid w:val="00A55E98"/>
    <w:rsid w:val="00A60581"/>
    <w:rsid w:val="00A60C13"/>
    <w:rsid w:val="00A6775D"/>
    <w:rsid w:val="00A71515"/>
    <w:rsid w:val="00A74247"/>
    <w:rsid w:val="00A74256"/>
    <w:rsid w:val="00A743BD"/>
    <w:rsid w:val="00A74CAF"/>
    <w:rsid w:val="00A75B4E"/>
    <w:rsid w:val="00A81330"/>
    <w:rsid w:val="00A82DE6"/>
    <w:rsid w:val="00A8583C"/>
    <w:rsid w:val="00A87E05"/>
    <w:rsid w:val="00AA0116"/>
    <w:rsid w:val="00AA202D"/>
    <w:rsid w:val="00AA2216"/>
    <w:rsid w:val="00AA22BF"/>
    <w:rsid w:val="00AA257E"/>
    <w:rsid w:val="00AA2CB5"/>
    <w:rsid w:val="00AA399D"/>
    <w:rsid w:val="00AA4005"/>
    <w:rsid w:val="00AA4208"/>
    <w:rsid w:val="00AA69CA"/>
    <w:rsid w:val="00AA7D19"/>
    <w:rsid w:val="00AB2D23"/>
    <w:rsid w:val="00AB3B4A"/>
    <w:rsid w:val="00AB5890"/>
    <w:rsid w:val="00AC1073"/>
    <w:rsid w:val="00AC1EFF"/>
    <w:rsid w:val="00AC31AF"/>
    <w:rsid w:val="00AC4117"/>
    <w:rsid w:val="00AC490D"/>
    <w:rsid w:val="00AC65EC"/>
    <w:rsid w:val="00AC7749"/>
    <w:rsid w:val="00AD085A"/>
    <w:rsid w:val="00AD2E81"/>
    <w:rsid w:val="00AD3192"/>
    <w:rsid w:val="00AD38B8"/>
    <w:rsid w:val="00AD396E"/>
    <w:rsid w:val="00AD5255"/>
    <w:rsid w:val="00AD59B8"/>
    <w:rsid w:val="00AD6FE0"/>
    <w:rsid w:val="00AE1554"/>
    <w:rsid w:val="00AE183F"/>
    <w:rsid w:val="00AE21D1"/>
    <w:rsid w:val="00AE2B18"/>
    <w:rsid w:val="00AE6D10"/>
    <w:rsid w:val="00AF0E83"/>
    <w:rsid w:val="00AF1E26"/>
    <w:rsid w:val="00AF49E5"/>
    <w:rsid w:val="00AF6989"/>
    <w:rsid w:val="00AF7077"/>
    <w:rsid w:val="00B010A5"/>
    <w:rsid w:val="00B011E6"/>
    <w:rsid w:val="00B04880"/>
    <w:rsid w:val="00B07FF5"/>
    <w:rsid w:val="00B10050"/>
    <w:rsid w:val="00B13E79"/>
    <w:rsid w:val="00B16213"/>
    <w:rsid w:val="00B16BEB"/>
    <w:rsid w:val="00B172D0"/>
    <w:rsid w:val="00B2037A"/>
    <w:rsid w:val="00B21DEE"/>
    <w:rsid w:val="00B229DC"/>
    <w:rsid w:val="00B25639"/>
    <w:rsid w:val="00B26D5A"/>
    <w:rsid w:val="00B30134"/>
    <w:rsid w:val="00B308BB"/>
    <w:rsid w:val="00B31FF6"/>
    <w:rsid w:val="00B34CA5"/>
    <w:rsid w:val="00B3524F"/>
    <w:rsid w:val="00B3547B"/>
    <w:rsid w:val="00B36B01"/>
    <w:rsid w:val="00B36ECB"/>
    <w:rsid w:val="00B4198F"/>
    <w:rsid w:val="00B440BE"/>
    <w:rsid w:val="00B447AA"/>
    <w:rsid w:val="00B4516B"/>
    <w:rsid w:val="00B45856"/>
    <w:rsid w:val="00B45CC7"/>
    <w:rsid w:val="00B47C2D"/>
    <w:rsid w:val="00B5137A"/>
    <w:rsid w:val="00B516AF"/>
    <w:rsid w:val="00B52C99"/>
    <w:rsid w:val="00B60580"/>
    <w:rsid w:val="00B60BAE"/>
    <w:rsid w:val="00B60D75"/>
    <w:rsid w:val="00B6211C"/>
    <w:rsid w:val="00B64768"/>
    <w:rsid w:val="00B666AA"/>
    <w:rsid w:val="00B720F3"/>
    <w:rsid w:val="00B750C1"/>
    <w:rsid w:val="00B75925"/>
    <w:rsid w:val="00B7604A"/>
    <w:rsid w:val="00B777AF"/>
    <w:rsid w:val="00B82EF2"/>
    <w:rsid w:val="00B8375C"/>
    <w:rsid w:val="00B83798"/>
    <w:rsid w:val="00B83CE6"/>
    <w:rsid w:val="00B83D0C"/>
    <w:rsid w:val="00B86CBF"/>
    <w:rsid w:val="00B86F0D"/>
    <w:rsid w:val="00B901AA"/>
    <w:rsid w:val="00B922CB"/>
    <w:rsid w:val="00B922D2"/>
    <w:rsid w:val="00B93253"/>
    <w:rsid w:val="00BA044A"/>
    <w:rsid w:val="00BA08C1"/>
    <w:rsid w:val="00BA2F7E"/>
    <w:rsid w:val="00BA310F"/>
    <w:rsid w:val="00BA3EDA"/>
    <w:rsid w:val="00BA53D8"/>
    <w:rsid w:val="00BB06E5"/>
    <w:rsid w:val="00BB111D"/>
    <w:rsid w:val="00BB344F"/>
    <w:rsid w:val="00BB73B7"/>
    <w:rsid w:val="00BC1A4A"/>
    <w:rsid w:val="00BC2363"/>
    <w:rsid w:val="00BC3DC7"/>
    <w:rsid w:val="00BC445E"/>
    <w:rsid w:val="00BC6140"/>
    <w:rsid w:val="00BD0249"/>
    <w:rsid w:val="00BD3966"/>
    <w:rsid w:val="00BE5B82"/>
    <w:rsid w:val="00BE64C2"/>
    <w:rsid w:val="00BE753B"/>
    <w:rsid w:val="00BF0F0A"/>
    <w:rsid w:val="00BF2733"/>
    <w:rsid w:val="00BF2A3A"/>
    <w:rsid w:val="00BF3812"/>
    <w:rsid w:val="00BF60FE"/>
    <w:rsid w:val="00C009DB"/>
    <w:rsid w:val="00C01C0C"/>
    <w:rsid w:val="00C01DF1"/>
    <w:rsid w:val="00C04991"/>
    <w:rsid w:val="00C052F5"/>
    <w:rsid w:val="00C05D38"/>
    <w:rsid w:val="00C10D31"/>
    <w:rsid w:val="00C1416E"/>
    <w:rsid w:val="00C14BE5"/>
    <w:rsid w:val="00C211C4"/>
    <w:rsid w:val="00C22161"/>
    <w:rsid w:val="00C22DD2"/>
    <w:rsid w:val="00C2340D"/>
    <w:rsid w:val="00C334DE"/>
    <w:rsid w:val="00C408E6"/>
    <w:rsid w:val="00C41254"/>
    <w:rsid w:val="00C41FEA"/>
    <w:rsid w:val="00C43BA3"/>
    <w:rsid w:val="00C467C9"/>
    <w:rsid w:val="00C46BF1"/>
    <w:rsid w:val="00C541A1"/>
    <w:rsid w:val="00C60272"/>
    <w:rsid w:val="00C62E85"/>
    <w:rsid w:val="00C6312A"/>
    <w:rsid w:val="00C641AA"/>
    <w:rsid w:val="00C6530E"/>
    <w:rsid w:val="00C71A75"/>
    <w:rsid w:val="00C71D1F"/>
    <w:rsid w:val="00C75928"/>
    <w:rsid w:val="00C75A07"/>
    <w:rsid w:val="00C80CEB"/>
    <w:rsid w:val="00C82F20"/>
    <w:rsid w:val="00C83039"/>
    <w:rsid w:val="00C83E52"/>
    <w:rsid w:val="00C84120"/>
    <w:rsid w:val="00C854E6"/>
    <w:rsid w:val="00C861FD"/>
    <w:rsid w:val="00C86FF4"/>
    <w:rsid w:val="00C87E38"/>
    <w:rsid w:val="00C91492"/>
    <w:rsid w:val="00C92A3F"/>
    <w:rsid w:val="00CA60D9"/>
    <w:rsid w:val="00CB20D6"/>
    <w:rsid w:val="00CB3079"/>
    <w:rsid w:val="00CB3F57"/>
    <w:rsid w:val="00CB47DF"/>
    <w:rsid w:val="00CB65CB"/>
    <w:rsid w:val="00CB6D39"/>
    <w:rsid w:val="00CC47DD"/>
    <w:rsid w:val="00CC4D44"/>
    <w:rsid w:val="00CC5AB3"/>
    <w:rsid w:val="00CD3D90"/>
    <w:rsid w:val="00CD4F34"/>
    <w:rsid w:val="00CD5E29"/>
    <w:rsid w:val="00CD630C"/>
    <w:rsid w:val="00CE0E0A"/>
    <w:rsid w:val="00CE1020"/>
    <w:rsid w:val="00CE2EEB"/>
    <w:rsid w:val="00CE48B5"/>
    <w:rsid w:val="00CE5270"/>
    <w:rsid w:val="00CE71CE"/>
    <w:rsid w:val="00CF040C"/>
    <w:rsid w:val="00CF1583"/>
    <w:rsid w:val="00CF20F7"/>
    <w:rsid w:val="00CF2323"/>
    <w:rsid w:val="00CF2748"/>
    <w:rsid w:val="00D03061"/>
    <w:rsid w:val="00D041FE"/>
    <w:rsid w:val="00D04B81"/>
    <w:rsid w:val="00D06F64"/>
    <w:rsid w:val="00D070EC"/>
    <w:rsid w:val="00D1056E"/>
    <w:rsid w:val="00D11AE7"/>
    <w:rsid w:val="00D13AB0"/>
    <w:rsid w:val="00D13EC3"/>
    <w:rsid w:val="00D15C19"/>
    <w:rsid w:val="00D16053"/>
    <w:rsid w:val="00D17AC7"/>
    <w:rsid w:val="00D17E14"/>
    <w:rsid w:val="00D240AF"/>
    <w:rsid w:val="00D24277"/>
    <w:rsid w:val="00D255E8"/>
    <w:rsid w:val="00D25D92"/>
    <w:rsid w:val="00D27361"/>
    <w:rsid w:val="00D3222E"/>
    <w:rsid w:val="00D36A49"/>
    <w:rsid w:val="00D41144"/>
    <w:rsid w:val="00D42DC4"/>
    <w:rsid w:val="00D43F80"/>
    <w:rsid w:val="00D4481B"/>
    <w:rsid w:val="00D4557D"/>
    <w:rsid w:val="00D46CA1"/>
    <w:rsid w:val="00D4744C"/>
    <w:rsid w:val="00D51CA0"/>
    <w:rsid w:val="00D5610D"/>
    <w:rsid w:val="00D57E34"/>
    <w:rsid w:val="00D6014E"/>
    <w:rsid w:val="00D6261E"/>
    <w:rsid w:val="00D65533"/>
    <w:rsid w:val="00D70CA5"/>
    <w:rsid w:val="00D716EB"/>
    <w:rsid w:val="00D7381D"/>
    <w:rsid w:val="00D76D48"/>
    <w:rsid w:val="00D77E17"/>
    <w:rsid w:val="00D80136"/>
    <w:rsid w:val="00D804E5"/>
    <w:rsid w:val="00D81DF9"/>
    <w:rsid w:val="00D82BA1"/>
    <w:rsid w:val="00D84617"/>
    <w:rsid w:val="00D8469E"/>
    <w:rsid w:val="00D84AB5"/>
    <w:rsid w:val="00D85882"/>
    <w:rsid w:val="00D86543"/>
    <w:rsid w:val="00D94F4E"/>
    <w:rsid w:val="00D95521"/>
    <w:rsid w:val="00D973D5"/>
    <w:rsid w:val="00DA116A"/>
    <w:rsid w:val="00DA3B9F"/>
    <w:rsid w:val="00DA7AAE"/>
    <w:rsid w:val="00DB0457"/>
    <w:rsid w:val="00DB0625"/>
    <w:rsid w:val="00DB0C92"/>
    <w:rsid w:val="00DB39AB"/>
    <w:rsid w:val="00DB42A0"/>
    <w:rsid w:val="00DB5C80"/>
    <w:rsid w:val="00DB7DC4"/>
    <w:rsid w:val="00DB7E7C"/>
    <w:rsid w:val="00DC1CF0"/>
    <w:rsid w:val="00DC33CD"/>
    <w:rsid w:val="00DC6920"/>
    <w:rsid w:val="00DD618C"/>
    <w:rsid w:val="00DD6B81"/>
    <w:rsid w:val="00DD6D38"/>
    <w:rsid w:val="00DE4390"/>
    <w:rsid w:val="00DE5624"/>
    <w:rsid w:val="00DE6A60"/>
    <w:rsid w:val="00DF0D95"/>
    <w:rsid w:val="00DF11BB"/>
    <w:rsid w:val="00DF512F"/>
    <w:rsid w:val="00E00C51"/>
    <w:rsid w:val="00E01D1A"/>
    <w:rsid w:val="00E029D5"/>
    <w:rsid w:val="00E048D7"/>
    <w:rsid w:val="00E073C0"/>
    <w:rsid w:val="00E07E1E"/>
    <w:rsid w:val="00E1051E"/>
    <w:rsid w:val="00E147A3"/>
    <w:rsid w:val="00E212CD"/>
    <w:rsid w:val="00E2709D"/>
    <w:rsid w:val="00E31ECA"/>
    <w:rsid w:val="00E31F2C"/>
    <w:rsid w:val="00E3210F"/>
    <w:rsid w:val="00E3314A"/>
    <w:rsid w:val="00E336E1"/>
    <w:rsid w:val="00E3707C"/>
    <w:rsid w:val="00E378CC"/>
    <w:rsid w:val="00E421A6"/>
    <w:rsid w:val="00E462B4"/>
    <w:rsid w:val="00E543C5"/>
    <w:rsid w:val="00E61790"/>
    <w:rsid w:val="00E65ED7"/>
    <w:rsid w:val="00E66D11"/>
    <w:rsid w:val="00E706CA"/>
    <w:rsid w:val="00E7101C"/>
    <w:rsid w:val="00E72E65"/>
    <w:rsid w:val="00E73F88"/>
    <w:rsid w:val="00E75B79"/>
    <w:rsid w:val="00E76A6D"/>
    <w:rsid w:val="00E7754C"/>
    <w:rsid w:val="00E8219B"/>
    <w:rsid w:val="00E84936"/>
    <w:rsid w:val="00E8576B"/>
    <w:rsid w:val="00E8662E"/>
    <w:rsid w:val="00E90D79"/>
    <w:rsid w:val="00E91524"/>
    <w:rsid w:val="00E934D7"/>
    <w:rsid w:val="00EA29CD"/>
    <w:rsid w:val="00EA3B69"/>
    <w:rsid w:val="00EA3EB6"/>
    <w:rsid w:val="00EA539E"/>
    <w:rsid w:val="00EB278F"/>
    <w:rsid w:val="00EB6786"/>
    <w:rsid w:val="00EB7554"/>
    <w:rsid w:val="00EC4B42"/>
    <w:rsid w:val="00EC500B"/>
    <w:rsid w:val="00EC5595"/>
    <w:rsid w:val="00EC7D39"/>
    <w:rsid w:val="00ED0010"/>
    <w:rsid w:val="00ED5144"/>
    <w:rsid w:val="00ED7B4C"/>
    <w:rsid w:val="00EE0343"/>
    <w:rsid w:val="00EE1266"/>
    <w:rsid w:val="00EE15EF"/>
    <w:rsid w:val="00EE1E4C"/>
    <w:rsid w:val="00EE4C0F"/>
    <w:rsid w:val="00EE647E"/>
    <w:rsid w:val="00EE775A"/>
    <w:rsid w:val="00EF0536"/>
    <w:rsid w:val="00EF2B32"/>
    <w:rsid w:val="00EF3F1C"/>
    <w:rsid w:val="00EF43E0"/>
    <w:rsid w:val="00EF4992"/>
    <w:rsid w:val="00EF5882"/>
    <w:rsid w:val="00F02C73"/>
    <w:rsid w:val="00F136F3"/>
    <w:rsid w:val="00F1413C"/>
    <w:rsid w:val="00F1562D"/>
    <w:rsid w:val="00F15730"/>
    <w:rsid w:val="00F172CD"/>
    <w:rsid w:val="00F21C87"/>
    <w:rsid w:val="00F2253E"/>
    <w:rsid w:val="00F236D1"/>
    <w:rsid w:val="00F26E5E"/>
    <w:rsid w:val="00F27DB9"/>
    <w:rsid w:val="00F32040"/>
    <w:rsid w:val="00F35489"/>
    <w:rsid w:val="00F3676E"/>
    <w:rsid w:val="00F36F8A"/>
    <w:rsid w:val="00F40AD0"/>
    <w:rsid w:val="00F419AA"/>
    <w:rsid w:val="00F447C5"/>
    <w:rsid w:val="00F45078"/>
    <w:rsid w:val="00F46B1A"/>
    <w:rsid w:val="00F4709B"/>
    <w:rsid w:val="00F50325"/>
    <w:rsid w:val="00F52C4E"/>
    <w:rsid w:val="00F61D6D"/>
    <w:rsid w:val="00F64CEC"/>
    <w:rsid w:val="00F7317F"/>
    <w:rsid w:val="00F7404B"/>
    <w:rsid w:val="00F7434B"/>
    <w:rsid w:val="00F749C6"/>
    <w:rsid w:val="00F75D78"/>
    <w:rsid w:val="00F775BE"/>
    <w:rsid w:val="00F77C0E"/>
    <w:rsid w:val="00F808F9"/>
    <w:rsid w:val="00F80AA1"/>
    <w:rsid w:val="00F81F80"/>
    <w:rsid w:val="00F828BD"/>
    <w:rsid w:val="00F82B13"/>
    <w:rsid w:val="00F856E7"/>
    <w:rsid w:val="00F9267F"/>
    <w:rsid w:val="00F9276F"/>
    <w:rsid w:val="00F92ADB"/>
    <w:rsid w:val="00F92AE3"/>
    <w:rsid w:val="00FA6B2F"/>
    <w:rsid w:val="00FC0EF6"/>
    <w:rsid w:val="00FC20E6"/>
    <w:rsid w:val="00FD0255"/>
    <w:rsid w:val="00FD08C8"/>
    <w:rsid w:val="00FD16AE"/>
    <w:rsid w:val="00FD4BC4"/>
    <w:rsid w:val="00FD6251"/>
    <w:rsid w:val="00FE08F1"/>
    <w:rsid w:val="00FE1D02"/>
    <w:rsid w:val="00FE1F95"/>
    <w:rsid w:val="00FE33DA"/>
    <w:rsid w:val="00FE3BD4"/>
    <w:rsid w:val="00FE7247"/>
    <w:rsid w:val="00FF3E71"/>
    <w:rsid w:val="00FF58F0"/>
    <w:rsid w:val="00FF5F22"/>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23B5E0F7-52BF-4688-A49E-15FD4F75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paragraph" w:styleId="Header">
    <w:name w:val="header"/>
    <w:basedOn w:val="Normal"/>
    <w:link w:val="HeaderChar"/>
    <w:uiPriority w:val="99"/>
    <w:unhideWhenUsed/>
    <w:rsid w:val="007F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EE"/>
  </w:style>
  <w:style w:type="paragraph" w:styleId="Footer">
    <w:name w:val="footer"/>
    <w:basedOn w:val="Normal"/>
    <w:link w:val="FooterChar"/>
    <w:uiPriority w:val="99"/>
    <w:unhideWhenUsed/>
    <w:rsid w:val="007F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EE"/>
  </w:style>
  <w:style w:type="paragraph" w:styleId="NoSpacing">
    <w:name w:val="No Spacing"/>
    <w:uiPriority w:val="1"/>
    <w:qFormat/>
    <w:rsid w:val="00F74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56209">
      <w:bodyDiv w:val="1"/>
      <w:marLeft w:val="0"/>
      <w:marRight w:val="0"/>
      <w:marTop w:val="0"/>
      <w:marBottom w:val="0"/>
      <w:divBdr>
        <w:top w:val="none" w:sz="0" w:space="0" w:color="auto"/>
        <w:left w:val="none" w:sz="0" w:space="0" w:color="auto"/>
        <w:bottom w:val="none" w:sz="0" w:space="0" w:color="auto"/>
        <w:right w:val="none" w:sz="0" w:space="0" w:color="auto"/>
      </w:divBdr>
    </w:div>
    <w:div w:id="128130874">
      <w:bodyDiv w:val="1"/>
      <w:marLeft w:val="0"/>
      <w:marRight w:val="0"/>
      <w:marTop w:val="0"/>
      <w:marBottom w:val="0"/>
      <w:divBdr>
        <w:top w:val="none" w:sz="0" w:space="0" w:color="auto"/>
        <w:left w:val="none" w:sz="0" w:space="0" w:color="auto"/>
        <w:bottom w:val="none" w:sz="0" w:space="0" w:color="auto"/>
        <w:right w:val="none" w:sz="0" w:space="0" w:color="auto"/>
      </w:divBdr>
    </w:div>
    <w:div w:id="146285876">
      <w:bodyDiv w:val="1"/>
      <w:marLeft w:val="0"/>
      <w:marRight w:val="0"/>
      <w:marTop w:val="0"/>
      <w:marBottom w:val="0"/>
      <w:divBdr>
        <w:top w:val="none" w:sz="0" w:space="0" w:color="auto"/>
        <w:left w:val="none" w:sz="0" w:space="0" w:color="auto"/>
        <w:bottom w:val="none" w:sz="0" w:space="0" w:color="auto"/>
        <w:right w:val="none" w:sz="0" w:space="0" w:color="auto"/>
      </w:divBdr>
    </w:div>
    <w:div w:id="584994756">
      <w:bodyDiv w:val="1"/>
      <w:marLeft w:val="0"/>
      <w:marRight w:val="0"/>
      <w:marTop w:val="0"/>
      <w:marBottom w:val="0"/>
      <w:divBdr>
        <w:top w:val="none" w:sz="0" w:space="0" w:color="auto"/>
        <w:left w:val="none" w:sz="0" w:space="0" w:color="auto"/>
        <w:bottom w:val="none" w:sz="0" w:space="0" w:color="auto"/>
        <w:right w:val="none" w:sz="0" w:space="0" w:color="auto"/>
      </w:divBdr>
    </w:div>
    <w:div w:id="657877975">
      <w:bodyDiv w:val="1"/>
      <w:marLeft w:val="0"/>
      <w:marRight w:val="0"/>
      <w:marTop w:val="0"/>
      <w:marBottom w:val="0"/>
      <w:divBdr>
        <w:top w:val="none" w:sz="0" w:space="0" w:color="auto"/>
        <w:left w:val="none" w:sz="0" w:space="0" w:color="auto"/>
        <w:bottom w:val="none" w:sz="0" w:space="0" w:color="auto"/>
        <w:right w:val="none" w:sz="0" w:space="0" w:color="auto"/>
      </w:divBdr>
    </w:div>
    <w:div w:id="792675379">
      <w:bodyDiv w:val="1"/>
      <w:marLeft w:val="0"/>
      <w:marRight w:val="0"/>
      <w:marTop w:val="0"/>
      <w:marBottom w:val="0"/>
      <w:divBdr>
        <w:top w:val="none" w:sz="0" w:space="0" w:color="auto"/>
        <w:left w:val="none" w:sz="0" w:space="0" w:color="auto"/>
        <w:bottom w:val="none" w:sz="0" w:space="0" w:color="auto"/>
        <w:right w:val="none" w:sz="0" w:space="0" w:color="auto"/>
      </w:divBdr>
    </w:div>
    <w:div w:id="1174220276">
      <w:bodyDiv w:val="1"/>
      <w:marLeft w:val="0"/>
      <w:marRight w:val="0"/>
      <w:marTop w:val="0"/>
      <w:marBottom w:val="0"/>
      <w:divBdr>
        <w:top w:val="none" w:sz="0" w:space="0" w:color="auto"/>
        <w:left w:val="none" w:sz="0" w:space="0" w:color="auto"/>
        <w:bottom w:val="none" w:sz="0" w:space="0" w:color="auto"/>
        <w:right w:val="none" w:sz="0" w:space="0" w:color="auto"/>
      </w:divBdr>
    </w:div>
    <w:div w:id="1186749007">
      <w:bodyDiv w:val="1"/>
      <w:marLeft w:val="0"/>
      <w:marRight w:val="0"/>
      <w:marTop w:val="0"/>
      <w:marBottom w:val="0"/>
      <w:divBdr>
        <w:top w:val="none" w:sz="0" w:space="0" w:color="auto"/>
        <w:left w:val="none" w:sz="0" w:space="0" w:color="auto"/>
        <w:bottom w:val="none" w:sz="0" w:space="0" w:color="auto"/>
        <w:right w:val="none" w:sz="0" w:space="0" w:color="auto"/>
      </w:divBdr>
    </w:div>
    <w:div w:id="1227885346">
      <w:bodyDiv w:val="1"/>
      <w:marLeft w:val="0"/>
      <w:marRight w:val="0"/>
      <w:marTop w:val="0"/>
      <w:marBottom w:val="0"/>
      <w:divBdr>
        <w:top w:val="none" w:sz="0" w:space="0" w:color="auto"/>
        <w:left w:val="none" w:sz="0" w:space="0" w:color="auto"/>
        <w:bottom w:val="none" w:sz="0" w:space="0" w:color="auto"/>
        <w:right w:val="none" w:sz="0" w:space="0" w:color="auto"/>
      </w:divBdr>
    </w:div>
    <w:div w:id="1266963202">
      <w:bodyDiv w:val="1"/>
      <w:marLeft w:val="0"/>
      <w:marRight w:val="0"/>
      <w:marTop w:val="0"/>
      <w:marBottom w:val="0"/>
      <w:divBdr>
        <w:top w:val="none" w:sz="0" w:space="0" w:color="auto"/>
        <w:left w:val="none" w:sz="0" w:space="0" w:color="auto"/>
        <w:bottom w:val="none" w:sz="0" w:space="0" w:color="auto"/>
        <w:right w:val="none" w:sz="0" w:space="0" w:color="auto"/>
      </w:divBdr>
    </w:div>
    <w:div w:id="1335373594">
      <w:bodyDiv w:val="1"/>
      <w:marLeft w:val="0"/>
      <w:marRight w:val="0"/>
      <w:marTop w:val="0"/>
      <w:marBottom w:val="0"/>
      <w:divBdr>
        <w:top w:val="none" w:sz="0" w:space="0" w:color="auto"/>
        <w:left w:val="none" w:sz="0" w:space="0" w:color="auto"/>
        <w:bottom w:val="none" w:sz="0" w:space="0" w:color="auto"/>
        <w:right w:val="none" w:sz="0" w:space="0" w:color="auto"/>
      </w:divBdr>
    </w:div>
    <w:div w:id="1432359560">
      <w:bodyDiv w:val="1"/>
      <w:marLeft w:val="0"/>
      <w:marRight w:val="0"/>
      <w:marTop w:val="0"/>
      <w:marBottom w:val="0"/>
      <w:divBdr>
        <w:top w:val="none" w:sz="0" w:space="0" w:color="auto"/>
        <w:left w:val="none" w:sz="0" w:space="0" w:color="auto"/>
        <w:bottom w:val="none" w:sz="0" w:space="0" w:color="auto"/>
        <w:right w:val="none" w:sz="0" w:space="0" w:color="auto"/>
      </w:divBdr>
    </w:div>
    <w:div w:id="1591892509">
      <w:bodyDiv w:val="1"/>
      <w:marLeft w:val="0"/>
      <w:marRight w:val="0"/>
      <w:marTop w:val="0"/>
      <w:marBottom w:val="0"/>
      <w:divBdr>
        <w:top w:val="none" w:sz="0" w:space="0" w:color="auto"/>
        <w:left w:val="none" w:sz="0" w:space="0" w:color="auto"/>
        <w:bottom w:val="none" w:sz="0" w:space="0" w:color="auto"/>
        <w:right w:val="none" w:sz="0" w:space="0" w:color="auto"/>
      </w:divBdr>
    </w:div>
    <w:div w:id="1770000292">
      <w:bodyDiv w:val="1"/>
      <w:marLeft w:val="0"/>
      <w:marRight w:val="0"/>
      <w:marTop w:val="0"/>
      <w:marBottom w:val="0"/>
      <w:divBdr>
        <w:top w:val="none" w:sz="0" w:space="0" w:color="auto"/>
        <w:left w:val="none" w:sz="0" w:space="0" w:color="auto"/>
        <w:bottom w:val="none" w:sz="0" w:space="0" w:color="auto"/>
        <w:right w:val="none" w:sz="0" w:space="0" w:color="auto"/>
      </w:divBdr>
    </w:div>
    <w:div w:id="2050639075">
      <w:bodyDiv w:val="1"/>
      <w:marLeft w:val="0"/>
      <w:marRight w:val="0"/>
      <w:marTop w:val="0"/>
      <w:marBottom w:val="0"/>
      <w:divBdr>
        <w:top w:val="none" w:sz="0" w:space="0" w:color="auto"/>
        <w:left w:val="none" w:sz="0" w:space="0" w:color="auto"/>
        <w:bottom w:val="none" w:sz="0" w:space="0" w:color="auto"/>
        <w:right w:val="none" w:sz="0" w:space="0" w:color="auto"/>
      </w:divBdr>
    </w:div>
    <w:div w:id="2109349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4075-B44C-4A62-947D-1E4EA59F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Judge-Luleka Flatela</dc:creator>
  <cp:lastModifiedBy>sathish sarshan  mohan</cp:lastModifiedBy>
  <cp:revision>4</cp:revision>
  <cp:lastPrinted>2024-06-18T08:03:00Z</cp:lastPrinted>
  <dcterms:created xsi:type="dcterms:W3CDTF">2024-06-19T17:22:00Z</dcterms:created>
  <dcterms:modified xsi:type="dcterms:W3CDTF">2024-06-22T11:46:00Z</dcterms:modified>
</cp:coreProperties>
</file>