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AE0DD" w14:textId="5631362B" w:rsidR="00071BFD" w:rsidRDefault="00071BFD" w:rsidP="00071BFD">
      <w:pPr>
        <w:pStyle w:val="LegalNormal"/>
        <w:spacing w:after="0" w:line="360" w:lineRule="auto"/>
        <w:rPr>
          <w:rFonts w:cs="Arial"/>
        </w:rPr>
      </w:pPr>
      <w:r>
        <w:rPr>
          <w:noProof/>
        </w:rPr>
        <w:drawing>
          <wp:inline distT="0" distB="0" distL="0" distR="0" wp14:anchorId="732C254D" wp14:editId="07CF2310">
            <wp:extent cx="4286250" cy="466725"/>
            <wp:effectExtent l="0" t="0" r="0" b="9525"/>
            <wp:docPr id="525725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8725F30" w14:textId="14063062" w:rsidR="00F0781E" w:rsidRPr="006875A9" w:rsidRDefault="00581DDF" w:rsidP="00F0781E">
      <w:pPr>
        <w:pStyle w:val="LegalNormal"/>
        <w:spacing w:after="0" w:line="360" w:lineRule="auto"/>
        <w:jc w:val="center"/>
        <w:rPr>
          <w:rFonts w:cs="Arial"/>
        </w:rPr>
      </w:pPr>
      <w:r w:rsidRPr="006875A9">
        <w:rPr>
          <w:rFonts w:cs="Arial"/>
        </w:rPr>
        <w:t xml:space="preserve">       </w:t>
      </w:r>
      <w:r w:rsidR="00F0781E" w:rsidRPr="006875A9">
        <w:rPr>
          <w:rFonts w:cs="Arial"/>
          <w:noProof/>
          <w:color w:val="1F497D"/>
          <w:lang w:val="en-US" w:eastAsia="en-US"/>
        </w:rPr>
        <w:drawing>
          <wp:inline distT="0" distB="0" distL="0" distR="0" wp14:anchorId="11E52551" wp14:editId="1ED55DC8">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46BA8609" w14:textId="77777777" w:rsidR="00F0781E" w:rsidRPr="00A429BA" w:rsidRDefault="00F0781E" w:rsidP="00F0781E">
      <w:pPr>
        <w:keepNext/>
        <w:suppressAutoHyphens/>
        <w:spacing w:after="0" w:line="360" w:lineRule="auto"/>
        <w:jc w:val="center"/>
        <w:rPr>
          <w:rFonts w:ascii="Arial" w:eastAsia="Times New Roman" w:hAnsi="Arial" w:cs="Arial"/>
          <w:b/>
          <w:caps/>
          <w:sz w:val="24"/>
          <w:szCs w:val="24"/>
          <w:lang w:val="en-GB" w:eastAsia="en-GB"/>
        </w:rPr>
      </w:pPr>
      <w:r w:rsidRPr="00A429BA">
        <w:rPr>
          <w:rFonts w:ascii="Arial" w:eastAsia="Times New Roman" w:hAnsi="Arial" w:cs="Arial"/>
          <w:b/>
          <w:caps/>
          <w:sz w:val="24"/>
          <w:szCs w:val="24"/>
          <w:lang w:val="en-GB" w:eastAsia="en-GB"/>
        </w:rPr>
        <w:t>IN THE HIGH COURT of south africa</w:t>
      </w:r>
    </w:p>
    <w:p w14:paraId="7CB4D9B0" w14:textId="76E7F901" w:rsidR="00F0781E" w:rsidRPr="00A429BA" w:rsidRDefault="00F0781E" w:rsidP="00F0781E">
      <w:pPr>
        <w:keepNext/>
        <w:suppressAutoHyphens/>
        <w:spacing w:after="0" w:line="360" w:lineRule="auto"/>
        <w:jc w:val="center"/>
        <w:rPr>
          <w:rFonts w:ascii="Arial" w:eastAsia="Times New Roman" w:hAnsi="Arial" w:cs="Arial"/>
          <w:b/>
          <w:caps/>
          <w:sz w:val="24"/>
          <w:szCs w:val="24"/>
          <w:lang w:val="en-GB" w:eastAsia="en-GB"/>
        </w:rPr>
      </w:pPr>
      <w:r w:rsidRPr="00A429BA">
        <w:rPr>
          <w:rFonts w:ascii="Arial" w:eastAsia="Times New Roman" w:hAnsi="Arial" w:cs="Arial"/>
          <w:b/>
          <w:caps/>
          <w:sz w:val="24"/>
          <w:szCs w:val="24"/>
          <w:lang w:val="en-GB" w:eastAsia="en-GB"/>
        </w:rPr>
        <w:t>GAUTENG DIVISION, pretoria</w:t>
      </w:r>
      <w:r w:rsidR="00C83D2F" w:rsidRPr="00A429BA">
        <w:rPr>
          <w:rFonts w:ascii="Arial" w:eastAsia="Times New Roman" w:hAnsi="Arial" w:cs="Arial"/>
          <w:b/>
          <w:caps/>
          <w:sz w:val="24"/>
          <w:szCs w:val="24"/>
          <w:lang w:val="en-GB" w:eastAsia="en-GB"/>
        </w:rPr>
        <w:t xml:space="preserve"> </w:t>
      </w:r>
    </w:p>
    <w:p w14:paraId="41102DA6" w14:textId="77777777" w:rsidR="00C83D2F" w:rsidRPr="00F0781E" w:rsidRDefault="00C83D2F" w:rsidP="00F0781E">
      <w:pPr>
        <w:keepNext/>
        <w:suppressAutoHyphens/>
        <w:spacing w:after="0" w:line="360" w:lineRule="auto"/>
        <w:jc w:val="center"/>
        <w:rPr>
          <w:rFonts w:ascii="Arial" w:eastAsia="Times New Roman" w:hAnsi="Arial" w:cs="Arial"/>
          <w:b/>
          <w:caps/>
          <w:sz w:val="24"/>
          <w:szCs w:val="24"/>
          <w:u w:val="single"/>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tblGrid>
      <w:tr w:rsidR="00CE1CEA" w:rsidRPr="004164F3" w14:paraId="7346BC0C" w14:textId="77777777" w:rsidTr="006F2D02">
        <w:trPr>
          <w:trHeight w:val="1902"/>
        </w:trPr>
        <w:tc>
          <w:tcPr>
            <w:tcW w:w="4657" w:type="dxa"/>
          </w:tcPr>
          <w:p w14:paraId="613E39E7" w14:textId="77777777" w:rsidR="00CE1CEA" w:rsidRPr="00A429BA" w:rsidRDefault="00CE1CEA" w:rsidP="00827C8E">
            <w:pPr>
              <w:spacing w:after="0" w:line="240" w:lineRule="auto"/>
              <w:rPr>
                <w:rFonts w:ascii="Arial Unicode MS" w:eastAsia="Arial Unicode MS" w:hAnsi="Arial Unicode MS" w:cs="Arial Unicode MS"/>
                <w:b/>
                <w:sz w:val="20"/>
                <w:szCs w:val="20"/>
              </w:rPr>
            </w:pPr>
            <w:r w:rsidRPr="00A429BA">
              <w:rPr>
                <w:rFonts w:ascii="Arial Unicode MS" w:eastAsia="Arial Unicode MS" w:hAnsi="Arial Unicode MS" w:cs="Arial Unicode MS"/>
                <w:b/>
                <w:sz w:val="20"/>
                <w:szCs w:val="20"/>
              </w:rPr>
              <w:t>DELETE WHICHEVER IS NOT APPLICABLE</w:t>
            </w:r>
          </w:p>
          <w:p w14:paraId="2B403214" w14:textId="77777777" w:rsidR="00CE1CEA" w:rsidRPr="00A429BA" w:rsidRDefault="00CE1CEA" w:rsidP="00827C8E">
            <w:pPr>
              <w:spacing w:after="0" w:line="240" w:lineRule="auto"/>
              <w:rPr>
                <w:rFonts w:ascii="Arial Unicode MS" w:eastAsia="Arial Unicode MS" w:hAnsi="Arial Unicode MS" w:cs="Arial Unicode MS"/>
                <w:sz w:val="20"/>
                <w:szCs w:val="20"/>
              </w:rPr>
            </w:pPr>
            <w:r w:rsidRPr="00A429BA">
              <w:rPr>
                <w:rFonts w:ascii="Arial Unicode MS" w:eastAsia="Arial Unicode MS" w:hAnsi="Arial Unicode MS" w:cs="Arial Unicode MS"/>
                <w:sz w:val="20"/>
                <w:szCs w:val="20"/>
              </w:rPr>
              <w:t>(1)  REPORTABLE:</w:t>
            </w:r>
            <w:r w:rsidRPr="00A429BA">
              <w:rPr>
                <w:rFonts w:ascii="Arial Unicode MS" w:eastAsia="Arial Unicode MS" w:hAnsi="Arial Unicode MS" w:cs="Arial Unicode MS"/>
                <w:sz w:val="20"/>
                <w:szCs w:val="20"/>
              </w:rPr>
              <w:tab/>
            </w:r>
            <w:r w:rsidRPr="00A429BA">
              <w:rPr>
                <w:rFonts w:ascii="Arial Unicode MS" w:eastAsia="Arial Unicode MS" w:hAnsi="Arial Unicode MS" w:cs="Arial Unicode MS"/>
                <w:strike/>
                <w:sz w:val="20"/>
                <w:szCs w:val="20"/>
              </w:rPr>
              <w:t>YES</w:t>
            </w:r>
            <w:r w:rsidRPr="00A429BA">
              <w:rPr>
                <w:rFonts w:ascii="Arial Unicode MS" w:eastAsia="Arial Unicode MS" w:hAnsi="Arial Unicode MS" w:cs="Arial Unicode MS"/>
                <w:sz w:val="20"/>
                <w:szCs w:val="20"/>
              </w:rPr>
              <w:t>/</w:t>
            </w:r>
            <w:r w:rsidRPr="00A429BA">
              <w:rPr>
                <w:rFonts w:ascii="Arial Unicode MS" w:eastAsia="Arial Unicode MS" w:hAnsi="Arial Unicode MS" w:cs="Arial Unicode MS"/>
                <w:b/>
                <w:bCs/>
                <w:sz w:val="20"/>
                <w:szCs w:val="20"/>
              </w:rPr>
              <w:t>NO</w:t>
            </w:r>
          </w:p>
          <w:p w14:paraId="58CDF6F7" w14:textId="77777777" w:rsidR="00CE1CEA" w:rsidRPr="00A429BA" w:rsidRDefault="00CE1CEA" w:rsidP="00827C8E">
            <w:pPr>
              <w:spacing w:after="0" w:line="240" w:lineRule="auto"/>
              <w:rPr>
                <w:rFonts w:ascii="Arial Unicode MS" w:eastAsia="Arial Unicode MS" w:hAnsi="Arial Unicode MS" w:cs="Arial Unicode MS"/>
                <w:sz w:val="20"/>
                <w:szCs w:val="20"/>
              </w:rPr>
            </w:pPr>
            <w:r w:rsidRPr="00A429BA">
              <w:rPr>
                <w:rFonts w:ascii="Arial Unicode MS" w:eastAsia="Arial Unicode MS" w:hAnsi="Arial Unicode MS" w:cs="Arial Unicode MS"/>
                <w:sz w:val="20"/>
                <w:szCs w:val="20"/>
              </w:rPr>
              <w:t xml:space="preserve">(2)  OF INTEREST TO OTHER JUDGES: </w:t>
            </w:r>
            <w:r w:rsidRPr="00A429BA">
              <w:rPr>
                <w:rFonts w:ascii="Arial Unicode MS" w:eastAsia="Arial Unicode MS" w:hAnsi="Arial Unicode MS" w:cs="Arial Unicode MS"/>
                <w:strike/>
                <w:sz w:val="20"/>
                <w:szCs w:val="20"/>
              </w:rPr>
              <w:t>YES</w:t>
            </w:r>
            <w:r w:rsidRPr="00A429BA">
              <w:rPr>
                <w:rFonts w:ascii="Arial Unicode MS" w:eastAsia="Arial Unicode MS" w:hAnsi="Arial Unicode MS" w:cs="Arial Unicode MS"/>
                <w:sz w:val="20"/>
                <w:szCs w:val="20"/>
              </w:rPr>
              <w:t>/</w:t>
            </w:r>
            <w:r w:rsidRPr="00A429BA">
              <w:rPr>
                <w:rFonts w:ascii="Arial Unicode MS" w:eastAsia="Arial Unicode MS" w:hAnsi="Arial Unicode MS" w:cs="Arial Unicode MS"/>
                <w:b/>
                <w:bCs/>
                <w:sz w:val="20"/>
                <w:szCs w:val="20"/>
              </w:rPr>
              <w:t>NO</w:t>
            </w:r>
          </w:p>
          <w:p w14:paraId="7088496E" w14:textId="77777777" w:rsidR="00CE1CEA" w:rsidRPr="00A429BA" w:rsidRDefault="00CE1CEA" w:rsidP="00827C8E">
            <w:pPr>
              <w:spacing w:after="0" w:line="240" w:lineRule="auto"/>
              <w:rPr>
                <w:rFonts w:ascii="Arial Unicode MS" w:eastAsia="Arial Unicode MS" w:hAnsi="Arial Unicode MS" w:cs="Arial Unicode MS"/>
                <w:sz w:val="20"/>
                <w:szCs w:val="20"/>
              </w:rPr>
            </w:pPr>
            <w:r w:rsidRPr="00A429BA">
              <w:rPr>
                <w:rFonts w:ascii="Arial Unicode MS" w:eastAsia="Arial Unicode MS" w:hAnsi="Arial Unicode MS" w:cs="Arial Unicode MS"/>
                <w:sz w:val="20"/>
                <w:szCs w:val="20"/>
              </w:rPr>
              <w:t>(3)  REVISED</w:t>
            </w:r>
          </w:p>
          <w:p w14:paraId="3775E9C9" w14:textId="697A8156" w:rsidR="00CE1CEA" w:rsidRPr="00A429BA" w:rsidRDefault="00CE1CEA" w:rsidP="00827C8E">
            <w:pPr>
              <w:spacing w:before="120" w:after="0" w:line="240" w:lineRule="auto"/>
              <w:rPr>
                <w:rFonts w:ascii="Arial Unicode MS" w:eastAsia="Arial Unicode MS" w:hAnsi="Arial Unicode MS" w:cs="Arial Unicode MS"/>
                <w:sz w:val="20"/>
                <w:szCs w:val="20"/>
              </w:rPr>
            </w:pPr>
            <w:r w:rsidRPr="00A429BA">
              <w:rPr>
                <w:rFonts w:ascii="Arial Unicode MS" w:eastAsia="Arial Unicode MS" w:hAnsi="Arial Unicode MS" w:cs="Arial Unicode MS"/>
                <w:sz w:val="20"/>
                <w:szCs w:val="20"/>
              </w:rPr>
              <w:t>DATE</w:t>
            </w:r>
            <w:r w:rsidR="00A429BA" w:rsidRPr="00A429BA">
              <w:rPr>
                <w:rFonts w:ascii="Arial Unicode MS" w:eastAsia="Arial Unicode MS" w:hAnsi="Arial Unicode MS" w:cs="Arial Unicode MS"/>
                <w:bCs/>
                <w:sz w:val="20"/>
                <w:szCs w:val="20"/>
              </w:rPr>
              <w:t xml:space="preserve">:  </w:t>
            </w:r>
            <w:r w:rsidR="00794B5E">
              <w:rPr>
                <w:rFonts w:ascii="Arial Unicode MS" w:eastAsia="Arial Unicode MS" w:hAnsi="Arial Unicode MS" w:cs="Arial Unicode MS"/>
                <w:bCs/>
                <w:sz w:val="20"/>
                <w:szCs w:val="20"/>
              </w:rPr>
              <w:t>18 June 2024</w:t>
            </w:r>
            <w:r w:rsidRPr="00A429BA">
              <w:rPr>
                <w:rFonts w:ascii="Arial Unicode MS" w:eastAsia="Arial Unicode MS" w:hAnsi="Arial Unicode MS" w:cs="Arial Unicode MS"/>
                <w:b/>
                <w:bCs/>
                <w:sz w:val="20"/>
                <w:szCs w:val="20"/>
                <w:u w:val="single"/>
              </w:rPr>
              <w:t xml:space="preserve">    </w:t>
            </w:r>
          </w:p>
          <w:p w14:paraId="4196A25B" w14:textId="77777777" w:rsidR="00CE1CEA" w:rsidRPr="00A429BA" w:rsidRDefault="00CE1CEA" w:rsidP="00827C8E">
            <w:pPr>
              <w:spacing w:after="0" w:line="240" w:lineRule="auto"/>
              <w:rPr>
                <w:rFonts w:ascii="Arial Unicode MS" w:eastAsia="Arial Unicode MS" w:hAnsi="Arial Unicode MS" w:cs="Arial Unicode MS"/>
                <w:sz w:val="20"/>
                <w:szCs w:val="20"/>
              </w:rPr>
            </w:pPr>
          </w:p>
          <w:p w14:paraId="4ADF4AD5" w14:textId="786728E1" w:rsidR="00CE1CEA" w:rsidRPr="004164F3" w:rsidRDefault="001E4D70" w:rsidP="00827C8E">
            <w:pPr>
              <w:spacing w:after="0" w:line="240" w:lineRule="auto"/>
              <w:rPr>
                <w:rFonts w:ascii="Arial Unicode MS" w:eastAsia="Arial Unicode MS" w:hAnsi="Arial Unicode MS" w:cs="Arial Unicode MS"/>
                <w:sz w:val="16"/>
                <w:szCs w:val="16"/>
              </w:rPr>
            </w:pPr>
            <w:r w:rsidRPr="00A429BA">
              <w:rPr>
                <w:rFonts w:ascii="Arial Unicode MS" w:eastAsia="Arial Unicode MS" w:hAnsi="Arial Unicode MS" w:cs="Arial Unicode MS"/>
                <w:sz w:val="20"/>
                <w:szCs w:val="20"/>
              </w:rPr>
              <w:t xml:space="preserve">SIGNATURE: </w:t>
            </w:r>
            <w:proofErr w:type="gramStart"/>
            <w:r w:rsidR="007553B6">
              <w:rPr>
                <w:rFonts w:ascii="Arial Unicode MS" w:eastAsia="Arial Unicode MS" w:hAnsi="Arial Unicode MS" w:cs="Arial Unicode MS"/>
                <w:sz w:val="20"/>
                <w:szCs w:val="20"/>
              </w:rPr>
              <w:t xml:space="preserve">   </w:t>
            </w:r>
            <w:r w:rsidR="0027279E">
              <w:rPr>
                <w:noProof/>
                <w:lang w:val="en-US"/>
              </w:rPr>
              <w:t>[</w:t>
            </w:r>
            <w:proofErr w:type="gramEnd"/>
            <w:r w:rsidR="0027279E">
              <w:rPr>
                <w:noProof/>
                <w:lang w:val="en-US"/>
              </w:rPr>
              <w:t>…]</w:t>
            </w:r>
          </w:p>
        </w:tc>
      </w:tr>
    </w:tbl>
    <w:p w14:paraId="3194AC39" w14:textId="77777777" w:rsidR="000E4B11" w:rsidRDefault="000E4B11" w:rsidP="009F3C97">
      <w:pPr>
        <w:keepNext/>
        <w:suppressAutoHyphens/>
        <w:spacing w:after="0" w:line="360" w:lineRule="auto"/>
        <w:rPr>
          <w:rFonts w:ascii="Arial" w:eastAsia="Times New Roman" w:hAnsi="Arial" w:cs="Arial"/>
          <w:b/>
          <w:caps/>
          <w:sz w:val="24"/>
          <w:szCs w:val="24"/>
          <w:u w:val="single"/>
          <w:lang w:val="en-GB" w:eastAsia="en-GB"/>
        </w:rPr>
      </w:pPr>
    </w:p>
    <w:p w14:paraId="2F9FD935" w14:textId="61A30BDE" w:rsidR="00F0781E" w:rsidRPr="00CE1CEA" w:rsidRDefault="002F737B" w:rsidP="00CE1CEA">
      <w:pPr>
        <w:keepNext/>
        <w:suppressAutoHyphens/>
        <w:spacing w:after="0" w:line="360" w:lineRule="auto"/>
        <w:jc w:val="right"/>
        <w:rPr>
          <w:rFonts w:ascii="Arial" w:eastAsia="Times New Roman" w:hAnsi="Arial" w:cs="Arial"/>
          <w:b/>
          <w:caps/>
          <w:sz w:val="24"/>
          <w:szCs w:val="24"/>
          <w:lang w:val="en-GB" w:eastAsia="en-GB"/>
        </w:rPr>
      </w:pPr>
      <w:bookmarkStart w:id="0" w:name="_Hlk168495021"/>
      <w:r w:rsidRPr="00CE1CEA">
        <w:rPr>
          <w:rFonts w:ascii="Arial" w:eastAsia="Times New Roman" w:hAnsi="Arial" w:cs="Arial"/>
          <w:b/>
          <w:caps/>
          <w:sz w:val="24"/>
          <w:szCs w:val="24"/>
          <w:lang w:val="en-GB" w:eastAsia="en-GB"/>
        </w:rPr>
        <w:t>C</w:t>
      </w:r>
      <w:r w:rsidR="00CE1CEA" w:rsidRPr="00CE1CEA">
        <w:rPr>
          <w:rFonts w:ascii="Arial" w:eastAsia="Times New Roman" w:hAnsi="Arial" w:cs="Arial"/>
          <w:b/>
          <w:sz w:val="24"/>
          <w:szCs w:val="24"/>
          <w:lang w:val="en-GB" w:eastAsia="en-GB"/>
        </w:rPr>
        <w:t>ase</w:t>
      </w:r>
      <w:r w:rsidRPr="00CE1CEA">
        <w:rPr>
          <w:rFonts w:ascii="Arial" w:eastAsia="Times New Roman" w:hAnsi="Arial" w:cs="Arial"/>
          <w:b/>
          <w:caps/>
          <w:sz w:val="24"/>
          <w:szCs w:val="24"/>
          <w:lang w:val="en-GB" w:eastAsia="en-GB"/>
        </w:rPr>
        <w:t xml:space="preserve"> N</w:t>
      </w:r>
      <w:r w:rsidR="00CE1CEA" w:rsidRPr="00CE1CEA">
        <w:rPr>
          <w:rFonts w:ascii="Arial" w:eastAsia="Times New Roman" w:hAnsi="Arial" w:cs="Arial"/>
          <w:b/>
          <w:sz w:val="24"/>
          <w:szCs w:val="24"/>
          <w:lang w:val="en-GB" w:eastAsia="en-GB"/>
        </w:rPr>
        <w:t>o</w:t>
      </w:r>
      <w:r w:rsidR="0092000B">
        <w:rPr>
          <w:rFonts w:ascii="Arial" w:eastAsia="Times New Roman" w:hAnsi="Arial" w:cs="Arial"/>
          <w:b/>
          <w:sz w:val="24"/>
          <w:szCs w:val="24"/>
          <w:lang w:val="en-GB" w:eastAsia="en-GB"/>
        </w:rPr>
        <w:t xml:space="preserve"> </w:t>
      </w:r>
      <w:r w:rsidR="00D913E5">
        <w:rPr>
          <w:rFonts w:ascii="Arial" w:eastAsia="Times New Roman" w:hAnsi="Arial" w:cs="Arial"/>
          <w:b/>
          <w:sz w:val="24"/>
          <w:szCs w:val="24"/>
          <w:lang w:val="en-GB" w:eastAsia="en-GB"/>
        </w:rPr>
        <w:t>A</w:t>
      </w:r>
      <w:r w:rsidR="0092000B">
        <w:rPr>
          <w:rFonts w:ascii="Arial" w:eastAsia="Times New Roman" w:hAnsi="Arial" w:cs="Arial"/>
          <w:b/>
          <w:sz w:val="24"/>
          <w:szCs w:val="24"/>
          <w:lang w:val="en-GB" w:eastAsia="en-GB"/>
        </w:rPr>
        <w:t>47/23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E1CEA" w14:paraId="1E5B1B0C" w14:textId="77777777" w:rsidTr="009F3C97">
        <w:tc>
          <w:tcPr>
            <w:tcW w:w="4508" w:type="dxa"/>
          </w:tcPr>
          <w:p w14:paraId="3D7A6C5B" w14:textId="77777777" w:rsidR="00CE1CEA" w:rsidRPr="00F0781E" w:rsidRDefault="00CE1CEA" w:rsidP="00CE1CEA">
            <w:pPr>
              <w:suppressAutoHyphens/>
              <w:spacing w:after="240"/>
              <w:jc w:val="both"/>
              <w:rPr>
                <w:rFonts w:ascii="Arial" w:eastAsia="Times New Roman" w:hAnsi="Arial" w:cs="Arial"/>
                <w:sz w:val="24"/>
                <w:szCs w:val="24"/>
                <w:lang w:val="en-GB" w:eastAsia="en-GB"/>
              </w:rPr>
            </w:pPr>
            <w:r w:rsidRPr="00F0781E">
              <w:rPr>
                <w:rFonts w:ascii="Arial" w:eastAsia="Times New Roman" w:hAnsi="Arial" w:cs="Arial"/>
                <w:sz w:val="24"/>
                <w:szCs w:val="24"/>
                <w:lang w:val="en-GB" w:eastAsia="en-GB"/>
              </w:rPr>
              <w:t>In the matter between:</w:t>
            </w:r>
          </w:p>
          <w:p w14:paraId="731406CF" w14:textId="77777777" w:rsidR="00CE1CEA" w:rsidRDefault="00CE1CEA" w:rsidP="00F0781E">
            <w:pPr>
              <w:suppressAutoHyphens/>
              <w:spacing w:after="240"/>
              <w:jc w:val="both"/>
              <w:rPr>
                <w:rFonts w:ascii="Arial" w:eastAsia="Times New Roman" w:hAnsi="Arial" w:cs="Arial"/>
                <w:sz w:val="24"/>
                <w:szCs w:val="24"/>
                <w:lang w:val="en-GB" w:eastAsia="en-GB"/>
              </w:rPr>
            </w:pPr>
          </w:p>
        </w:tc>
        <w:tc>
          <w:tcPr>
            <w:tcW w:w="4508" w:type="dxa"/>
          </w:tcPr>
          <w:p w14:paraId="62562876" w14:textId="77777777" w:rsidR="00CE1CEA" w:rsidRDefault="00CE1CEA" w:rsidP="00F0781E">
            <w:pPr>
              <w:suppressAutoHyphens/>
              <w:spacing w:after="240"/>
              <w:jc w:val="both"/>
              <w:rPr>
                <w:rFonts w:ascii="Arial" w:eastAsia="Times New Roman" w:hAnsi="Arial" w:cs="Arial"/>
                <w:sz w:val="24"/>
                <w:szCs w:val="24"/>
                <w:lang w:val="en-GB" w:eastAsia="en-GB"/>
              </w:rPr>
            </w:pPr>
          </w:p>
        </w:tc>
      </w:tr>
      <w:tr w:rsidR="00CE1CEA" w14:paraId="1B54331F" w14:textId="77777777" w:rsidTr="009F3C97">
        <w:tc>
          <w:tcPr>
            <w:tcW w:w="4508" w:type="dxa"/>
          </w:tcPr>
          <w:p w14:paraId="447CD908" w14:textId="77777777" w:rsidR="00CF45F8" w:rsidRDefault="00CF45F8" w:rsidP="00A429BA">
            <w:pPr>
              <w:suppressAutoHyphens/>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PROGRESSIEWE PRIVAAT</w:t>
            </w:r>
          </w:p>
          <w:p w14:paraId="276C3265" w14:textId="77777777" w:rsidR="00CF45F8" w:rsidRDefault="00CF45F8" w:rsidP="00A429BA">
            <w:pPr>
              <w:suppressAutoHyphens/>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SEKURITEIT MONITERING</w:t>
            </w:r>
          </w:p>
          <w:p w14:paraId="68668B9D" w14:textId="10B068BE" w:rsidR="00CF45F8" w:rsidRDefault="00CF45F8" w:rsidP="00A429BA">
            <w:pPr>
              <w:suppressAutoHyphens/>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 xml:space="preserve">EN REAKSIE </w:t>
            </w:r>
            <w:r w:rsidR="00BA6CFF">
              <w:rPr>
                <w:rFonts w:ascii="Arial" w:eastAsia="Times New Roman" w:hAnsi="Arial" w:cs="Arial"/>
                <w:b/>
                <w:bCs/>
                <w:sz w:val="24"/>
                <w:szCs w:val="24"/>
                <w:lang w:val="en-GB" w:eastAsia="en-GB"/>
              </w:rPr>
              <w:t>(PTY) LIMITED</w:t>
            </w:r>
          </w:p>
          <w:p w14:paraId="28296F95" w14:textId="706E411C" w:rsidR="00CF45F8" w:rsidRPr="00CE1CEA" w:rsidRDefault="00CF45F8" w:rsidP="00F0781E">
            <w:pPr>
              <w:suppressAutoHyphens/>
              <w:spacing w:after="240"/>
              <w:jc w:val="both"/>
              <w:rPr>
                <w:rFonts w:ascii="Arial" w:eastAsia="Times New Roman" w:hAnsi="Arial" w:cs="Arial"/>
                <w:b/>
                <w:bCs/>
                <w:sz w:val="24"/>
                <w:szCs w:val="24"/>
                <w:lang w:val="en-GB" w:eastAsia="en-GB"/>
              </w:rPr>
            </w:pPr>
          </w:p>
        </w:tc>
        <w:tc>
          <w:tcPr>
            <w:tcW w:w="4508" w:type="dxa"/>
          </w:tcPr>
          <w:p w14:paraId="2A097F8D" w14:textId="1138FE9C" w:rsidR="00CE1CEA" w:rsidRDefault="00CE1CEA" w:rsidP="00CE1CEA">
            <w:pPr>
              <w:suppressAutoHyphens/>
              <w:spacing w:after="240"/>
              <w:jc w:val="right"/>
              <w:rPr>
                <w:rFonts w:ascii="Arial" w:eastAsia="Times New Roman" w:hAnsi="Arial" w:cs="Arial"/>
                <w:b/>
                <w:bCs/>
                <w:sz w:val="24"/>
                <w:szCs w:val="24"/>
                <w:lang w:val="en-GB" w:eastAsia="en-GB"/>
              </w:rPr>
            </w:pPr>
            <w:r w:rsidRPr="00CE1CEA">
              <w:rPr>
                <w:rFonts w:ascii="Arial" w:eastAsia="Times New Roman" w:hAnsi="Arial" w:cs="Arial"/>
                <w:b/>
                <w:bCs/>
                <w:sz w:val="24"/>
                <w:szCs w:val="24"/>
                <w:lang w:val="en-GB" w:eastAsia="en-GB"/>
              </w:rPr>
              <w:t>AP</w:t>
            </w:r>
            <w:r w:rsidR="00053003">
              <w:rPr>
                <w:rFonts w:ascii="Arial" w:eastAsia="Times New Roman" w:hAnsi="Arial" w:cs="Arial"/>
                <w:b/>
                <w:bCs/>
                <w:sz w:val="24"/>
                <w:szCs w:val="24"/>
                <w:lang w:val="en-GB" w:eastAsia="en-GB"/>
              </w:rPr>
              <w:t>P</w:t>
            </w:r>
            <w:r w:rsidR="0092000B">
              <w:rPr>
                <w:rFonts w:ascii="Arial" w:eastAsia="Times New Roman" w:hAnsi="Arial" w:cs="Arial"/>
                <w:b/>
                <w:bCs/>
                <w:sz w:val="24"/>
                <w:szCs w:val="24"/>
                <w:lang w:val="en-GB" w:eastAsia="en-GB"/>
              </w:rPr>
              <w:t>ELLANT</w:t>
            </w:r>
          </w:p>
          <w:p w14:paraId="58AA60E6" w14:textId="50C4D418" w:rsidR="00CF45F8" w:rsidRPr="00CE1CEA" w:rsidRDefault="00CF45F8" w:rsidP="00CE1CEA">
            <w:pPr>
              <w:suppressAutoHyphens/>
              <w:spacing w:after="240"/>
              <w:jc w:val="right"/>
              <w:rPr>
                <w:rFonts w:ascii="Arial" w:eastAsia="Times New Roman" w:hAnsi="Arial" w:cs="Arial"/>
                <w:b/>
                <w:bCs/>
                <w:sz w:val="24"/>
                <w:szCs w:val="24"/>
                <w:lang w:val="en-GB" w:eastAsia="en-GB"/>
              </w:rPr>
            </w:pPr>
          </w:p>
        </w:tc>
      </w:tr>
      <w:tr w:rsidR="00CE1CEA" w14:paraId="63834F3C" w14:textId="77777777" w:rsidTr="009F3C97">
        <w:tc>
          <w:tcPr>
            <w:tcW w:w="4508" w:type="dxa"/>
          </w:tcPr>
          <w:p w14:paraId="0FA9A728" w14:textId="77777777" w:rsidR="00CE1CEA" w:rsidRDefault="00CE1CEA" w:rsidP="00CE1CEA">
            <w:pPr>
              <w:suppressAutoHyphens/>
              <w:rPr>
                <w:rFonts w:ascii="Arial" w:eastAsia="Times New Roman" w:hAnsi="Arial" w:cs="Arial"/>
                <w:b/>
                <w:bCs/>
                <w:sz w:val="24"/>
                <w:szCs w:val="24"/>
                <w:lang w:val="en-GB" w:eastAsia="en-GB"/>
              </w:rPr>
            </w:pPr>
          </w:p>
          <w:p w14:paraId="12D57691" w14:textId="721E4E2A" w:rsidR="00CE1CEA" w:rsidRPr="00CE1CEA" w:rsidRDefault="00CE1CEA" w:rsidP="00CE1CEA">
            <w:pPr>
              <w:suppressAutoHyphens/>
              <w:rPr>
                <w:rFonts w:ascii="Arial" w:eastAsia="Times New Roman" w:hAnsi="Arial" w:cs="Arial"/>
                <w:b/>
                <w:bCs/>
                <w:sz w:val="24"/>
                <w:szCs w:val="24"/>
                <w:lang w:val="en-GB" w:eastAsia="en-GB"/>
              </w:rPr>
            </w:pPr>
            <w:r w:rsidRPr="00CE1CEA">
              <w:rPr>
                <w:rFonts w:ascii="Arial" w:eastAsia="Times New Roman" w:hAnsi="Arial" w:cs="Arial"/>
                <w:b/>
                <w:bCs/>
                <w:sz w:val="24"/>
                <w:szCs w:val="24"/>
                <w:lang w:val="en-GB" w:eastAsia="en-GB"/>
              </w:rPr>
              <w:t xml:space="preserve">and </w:t>
            </w:r>
          </w:p>
          <w:p w14:paraId="0839DE64" w14:textId="77777777" w:rsidR="00CE1CEA" w:rsidRPr="00CE1CEA" w:rsidRDefault="00CE1CEA" w:rsidP="00F0781E">
            <w:pPr>
              <w:suppressAutoHyphens/>
              <w:spacing w:after="240"/>
              <w:jc w:val="both"/>
              <w:rPr>
                <w:rFonts w:ascii="Arial" w:eastAsia="Times New Roman" w:hAnsi="Arial" w:cs="Arial"/>
                <w:b/>
                <w:bCs/>
                <w:sz w:val="24"/>
                <w:szCs w:val="24"/>
                <w:lang w:val="en-GB" w:eastAsia="en-GB"/>
              </w:rPr>
            </w:pPr>
          </w:p>
        </w:tc>
        <w:tc>
          <w:tcPr>
            <w:tcW w:w="4508" w:type="dxa"/>
          </w:tcPr>
          <w:p w14:paraId="2F1569A9" w14:textId="77777777" w:rsidR="00CE1CEA" w:rsidRPr="00CE1CEA" w:rsidRDefault="00CE1CEA" w:rsidP="00CE1CEA">
            <w:pPr>
              <w:suppressAutoHyphens/>
              <w:spacing w:after="240"/>
              <w:jc w:val="right"/>
              <w:rPr>
                <w:rFonts w:ascii="Arial" w:eastAsia="Times New Roman" w:hAnsi="Arial" w:cs="Arial"/>
                <w:b/>
                <w:bCs/>
                <w:sz w:val="24"/>
                <w:szCs w:val="24"/>
                <w:lang w:val="en-GB" w:eastAsia="en-GB"/>
              </w:rPr>
            </w:pPr>
          </w:p>
        </w:tc>
      </w:tr>
      <w:tr w:rsidR="00CE1CEA" w14:paraId="73842EA9" w14:textId="77777777" w:rsidTr="009F3C97">
        <w:tc>
          <w:tcPr>
            <w:tcW w:w="4508" w:type="dxa"/>
          </w:tcPr>
          <w:p w14:paraId="4902D7A1" w14:textId="2863AB4A" w:rsidR="00CE1CEA" w:rsidRDefault="00CF45F8" w:rsidP="00CE1CEA">
            <w:pPr>
              <w:suppressAutoHyphens/>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THE NATIONAL COMMISSIONER</w:t>
            </w:r>
            <w:r w:rsidR="00BA6CFF">
              <w:rPr>
                <w:rFonts w:ascii="Arial" w:eastAsia="Times New Roman" w:hAnsi="Arial" w:cs="Arial"/>
                <w:b/>
                <w:bCs/>
                <w:sz w:val="24"/>
                <w:szCs w:val="24"/>
                <w:lang w:val="en-GB" w:eastAsia="en-GB"/>
              </w:rPr>
              <w:t xml:space="preserve"> OF </w:t>
            </w:r>
          </w:p>
          <w:p w14:paraId="7189FD83" w14:textId="77777777" w:rsidR="00BA6CFF" w:rsidRDefault="00BA6CFF" w:rsidP="00CE1CEA">
            <w:pPr>
              <w:suppressAutoHyphens/>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THE SOUTH AFRICAN</w:t>
            </w:r>
            <w:r w:rsidR="00CF45F8">
              <w:rPr>
                <w:rFonts w:ascii="Arial" w:eastAsia="Times New Roman" w:hAnsi="Arial" w:cs="Arial"/>
                <w:b/>
                <w:bCs/>
                <w:sz w:val="24"/>
                <w:szCs w:val="24"/>
                <w:lang w:val="en-GB" w:eastAsia="en-GB"/>
              </w:rPr>
              <w:t xml:space="preserve"> POLICE</w:t>
            </w:r>
            <w:r>
              <w:rPr>
                <w:rFonts w:ascii="Arial" w:eastAsia="Times New Roman" w:hAnsi="Arial" w:cs="Arial"/>
                <w:b/>
                <w:bCs/>
                <w:sz w:val="24"/>
                <w:szCs w:val="24"/>
                <w:lang w:val="en-GB" w:eastAsia="en-GB"/>
              </w:rPr>
              <w:t xml:space="preserve"> SERVICES</w:t>
            </w:r>
          </w:p>
          <w:p w14:paraId="3F6779CD" w14:textId="0089D04F" w:rsidR="00CF45F8" w:rsidRDefault="00BA6CFF" w:rsidP="00CE1CEA">
            <w:pPr>
              <w:suppressAutoHyphens/>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GENERAL KJ SITHOLE N.O.</w:t>
            </w:r>
          </w:p>
          <w:p w14:paraId="42091501" w14:textId="77777777" w:rsidR="00BA6CFF" w:rsidRDefault="00BA6CFF" w:rsidP="00CE1CEA">
            <w:pPr>
              <w:suppressAutoHyphens/>
              <w:rPr>
                <w:rFonts w:ascii="Arial" w:eastAsia="Times New Roman" w:hAnsi="Arial" w:cs="Arial"/>
                <w:b/>
                <w:bCs/>
                <w:sz w:val="24"/>
                <w:szCs w:val="24"/>
                <w:lang w:val="en-GB" w:eastAsia="en-GB"/>
              </w:rPr>
            </w:pPr>
          </w:p>
          <w:p w14:paraId="16EA579E" w14:textId="37300C0F" w:rsidR="00BA6CFF" w:rsidRDefault="00BA6CFF" w:rsidP="00CE1CEA">
            <w:pPr>
              <w:suppressAutoHyphens/>
              <w:rPr>
                <w:rFonts w:ascii="Arial" w:eastAsia="Times New Roman" w:hAnsi="Arial" w:cs="Arial"/>
                <w:b/>
                <w:bCs/>
                <w:sz w:val="24"/>
                <w:szCs w:val="24"/>
                <w:lang w:val="en-GB" w:eastAsia="en-GB"/>
              </w:rPr>
            </w:pPr>
          </w:p>
          <w:p w14:paraId="494B761D" w14:textId="7177AAF1" w:rsidR="00BA6CFF" w:rsidRDefault="00BA6CFF" w:rsidP="00CE1CEA">
            <w:pPr>
              <w:suppressAutoHyphens/>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COLONEL PN SIKHAKHANE</w:t>
            </w:r>
          </w:p>
          <w:p w14:paraId="16E5D438" w14:textId="12DEAA93" w:rsidR="00BA6CFF" w:rsidRPr="00CE1CEA" w:rsidRDefault="00BA6CFF" w:rsidP="00CE1CEA">
            <w:pPr>
              <w:suppressAutoHyphens/>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lastRenderedPageBreak/>
              <w:t>(in her capacity as acting Section                 Head, Central Firearms Registry)</w:t>
            </w:r>
          </w:p>
          <w:p w14:paraId="28F15316" w14:textId="77777777" w:rsidR="00CE1CEA" w:rsidRDefault="00CE1CEA" w:rsidP="00F0781E">
            <w:pPr>
              <w:suppressAutoHyphens/>
              <w:spacing w:after="240"/>
              <w:jc w:val="both"/>
              <w:rPr>
                <w:rFonts w:ascii="Arial" w:eastAsia="Times New Roman" w:hAnsi="Arial" w:cs="Arial"/>
                <w:b/>
                <w:bCs/>
                <w:sz w:val="24"/>
                <w:szCs w:val="24"/>
                <w:lang w:val="en-GB" w:eastAsia="en-GB"/>
              </w:rPr>
            </w:pPr>
          </w:p>
          <w:p w14:paraId="15A3BB73" w14:textId="77777777" w:rsidR="00BA6CFF" w:rsidRDefault="00BA6CFF" w:rsidP="00F0781E">
            <w:pPr>
              <w:suppressAutoHyphens/>
              <w:spacing w:after="240"/>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THE FIREARMS APPEAL BOARD</w:t>
            </w:r>
          </w:p>
          <w:p w14:paraId="4D714E3A" w14:textId="77777777" w:rsidR="00BA6CFF" w:rsidRDefault="00BA6CFF" w:rsidP="00F0781E">
            <w:pPr>
              <w:suppressAutoHyphens/>
              <w:spacing w:after="240"/>
              <w:jc w:val="both"/>
              <w:rPr>
                <w:rFonts w:ascii="Arial" w:eastAsia="Times New Roman" w:hAnsi="Arial" w:cs="Arial"/>
                <w:b/>
                <w:bCs/>
                <w:sz w:val="24"/>
                <w:szCs w:val="24"/>
                <w:lang w:val="en-GB" w:eastAsia="en-GB"/>
              </w:rPr>
            </w:pPr>
          </w:p>
          <w:p w14:paraId="3F24AF7C" w14:textId="5BB0B088" w:rsidR="00BA6CFF" w:rsidRDefault="000F4919" w:rsidP="00F0781E">
            <w:pPr>
              <w:suppressAutoHyphens/>
              <w:spacing w:after="240"/>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ADV. LUNGELWA CAROL SHANDU N.O. (CHAIR OF THE APPEAL BOARD</w:t>
            </w:r>
            <w:r w:rsidR="00F81FFD">
              <w:rPr>
                <w:rFonts w:ascii="Arial" w:eastAsia="Times New Roman" w:hAnsi="Arial" w:cs="Arial"/>
                <w:b/>
                <w:bCs/>
                <w:sz w:val="24"/>
                <w:szCs w:val="24"/>
                <w:lang w:val="en-GB" w:eastAsia="en-GB"/>
              </w:rPr>
              <w:t>)</w:t>
            </w:r>
          </w:p>
          <w:p w14:paraId="5AF0E77F" w14:textId="77777777" w:rsidR="000F4919" w:rsidRDefault="000F4919" w:rsidP="00F0781E">
            <w:pPr>
              <w:suppressAutoHyphens/>
              <w:spacing w:after="240"/>
              <w:jc w:val="both"/>
              <w:rPr>
                <w:rFonts w:ascii="Arial" w:eastAsia="Times New Roman" w:hAnsi="Arial" w:cs="Arial"/>
                <w:b/>
                <w:bCs/>
                <w:sz w:val="24"/>
                <w:szCs w:val="24"/>
                <w:lang w:val="en-GB" w:eastAsia="en-GB"/>
              </w:rPr>
            </w:pPr>
          </w:p>
          <w:p w14:paraId="3F839EA4" w14:textId="38AF0164" w:rsidR="000F4919" w:rsidRPr="00CE1CEA" w:rsidRDefault="000F4919" w:rsidP="00F0781E">
            <w:pPr>
              <w:suppressAutoHyphens/>
              <w:spacing w:after="240"/>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THE MINISTER of POLICE</w:t>
            </w:r>
            <w:r w:rsidR="006569F8">
              <w:rPr>
                <w:rFonts w:ascii="Arial" w:eastAsia="Times New Roman" w:hAnsi="Arial" w:cs="Arial"/>
                <w:b/>
                <w:bCs/>
                <w:sz w:val="24"/>
                <w:szCs w:val="24"/>
                <w:lang w:val="en-GB" w:eastAsia="en-GB"/>
              </w:rPr>
              <w:t xml:space="preserve">                                    </w:t>
            </w:r>
          </w:p>
        </w:tc>
        <w:tc>
          <w:tcPr>
            <w:tcW w:w="4508" w:type="dxa"/>
          </w:tcPr>
          <w:p w14:paraId="3002A3E0" w14:textId="77777777" w:rsidR="00CE1CEA" w:rsidRDefault="00A429BA" w:rsidP="00CE1CEA">
            <w:pPr>
              <w:suppressAutoHyphens/>
              <w:spacing w:after="240"/>
              <w:jc w:val="right"/>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lastRenderedPageBreak/>
              <w:t>FIRST</w:t>
            </w:r>
            <w:r w:rsidR="00BA6CFF">
              <w:rPr>
                <w:rFonts w:ascii="Arial" w:eastAsia="Times New Roman" w:hAnsi="Arial" w:cs="Arial"/>
                <w:b/>
                <w:bCs/>
                <w:sz w:val="24"/>
                <w:szCs w:val="24"/>
                <w:lang w:val="en-GB" w:eastAsia="en-GB"/>
              </w:rPr>
              <w:t xml:space="preserve"> </w:t>
            </w:r>
            <w:r w:rsidR="00CE1CEA" w:rsidRPr="00CE1CEA">
              <w:rPr>
                <w:rFonts w:ascii="Arial" w:eastAsia="Times New Roman" w:hAnsi="Arial" w:cs="Arial"/>
                <w:b/>
                <w:bCs/>
                <w:sz w:val="24"/>
                <w:szCs w:val="24"/>
                <w:lang w:val="en-GB" w:eastAsia="en-GB"/>
              </w:rPr>
              <w:t>RESPONDENT</w:t>
            </w:r>
          </w:p>
          <w:p w14:paraId="4C2422FD" w14:textId="77777777" w:rsidR="00A429BA" w:rsidRDefault="00A429BA" w:rsidP="00CE1CEA">
            <w:pPr>
              <w:suppressAutoHyphens/>
              <w:spacing w:after="240"/>
              <w:jc w:val="right"/>
              <w:rPr>
                <w:rFonts w:ascii="Arial" w:eastAsia="Times New Roman" w:hAnsi="Arial" w:cs="Arial"/>
                <w:b/>
                <w:bCs/>
                <w:sz w:val="24"/>
                <w:szCs w:val="24"/>
                <w:lang w:val="en-GB" w:eastAsia="en-GB"/>
              </w:rPr>
            </w:pPr>
          </w:p>
          <w:p w14:paraId="3C4029DB" w14:textId="1BAED74C" w:rsidR="00A429BA" w:rsidRDefault="00A429BA" w:rsidP="00CE1CEA">
            <w:pPr>
              <w:suppressAutoHyphens/>
              <w:spacing w:after="240"/>
              <w:jc w:val="right"/>
              <w:rPr>
                <w:rFonts w:ascii="Arial" w:eastAsia="Times New Roman" w:hAnsi="Arial" w:cs="Arial"/>
                <w:b/>
                <w:bCs/>
                <w:sz w:val="8"/>
                <w:szCs w:val="8"/>
                <w:lang w:val="en-GB" w:eastAsia="en-GB"/>
              </w:rPr>
            </w:pPr>
          </w:p>
          <w:p w14:paraId="1D862C8B" w14:textId="77777777" w:rsidR="00A429BA" w:rsidRPr="00A429BA" w:rsidRDefault="00A429BA" w:rsidP="00CE1CEA">
            <w:pPr>
              <w:suppressAutoHyphens/>
              <w:spacing w:after="240"/>
              <w:jc w:val="right"/>
              <w:rPr>
                <w:rFonts w:ascii="Arial" w:eastAsia="Times New Roman" w:hAnsi="Arial" w:cs="Arial"/>
                <w:b/>
                <w:bCs/>
                <w:sz w:val="8"/>
                <w:szCs w:val="8"/>
                <w:lang w:val="en-GB" w:eastAsia="en-GB"/>
              </w:rPr>
            </w:pPr>
          </w:p>
          <w:p w14:paraId="39822D7B" w14:textId="77777777" w:rsidR="00A429BA" w:rsidRDefault="00A429BA" w:rsidP="00CE1CEA">
            <w:pPr>
              <w:suppressAutoHyphens/>
              <w:spacing w:after="240"/>
              <w:jc w:val="right"/>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lastRenderedPageBreak/>
              <w:t>SECOND RESPONDENT</w:t>
            </w:r>
          </w:p>
          <w:p w14:paraId="1251FD2A" w14:textId="42D15FB8" w:rsidR="00A429BA" w:rsidRPr="00A429BA" w:rsidRDefault="00A429BA" w:rsidP="00CE1CEA">
            <w:pPr>
              <w:suppressAutoHyphens/>
              <w:spacing w:after="240"/>
              <w:jc w:val="right"/>
              <w:rPr>
                <w:rFonts w:ascii="Arial" w:eastAsia="Times New Roman" w:hAnsi="Arial" w:cs="Arial"/>
                <w:b/>
                <w:bCs/>
                <w:sz w:val="16"/>
                <w:szCs w:val="16"/>
                <w:lang w:val="en-GB" w:eastAsia="en-GB"/>
              </w:rPr>
            </w:pPr>
          </w:p>
          <w:p w14:paraId="7551EAF6" w14:textId="4B507011" w:rsidR="00A429BA" w:rsidRDefault="00A429BA" w:rsidP="00CE1CEA">
            <w:pPr>
              <w:suppressAutoHyphens/>
              <w:spacing w:after="240"/>
              <w:jc w:val="right"/>
              <w:rPr>
                <w:rFonts w:ascii="Arial" w:eastAsia="Times New Roman" w:hAnsi="Arial" w:cs="Arial"/>
                <w:b/>
                <w:bCs/>
                <w:sz w:val="8"/>
                <w:szCs w:val="8"/>
                <w:lang w:val="en-GB" w:eastAsia="en-GB"/>
              </w:rPr>
            </w:pPr>
          </w:p>
          <w:p w14:paraId="043D3A2C" w14:textId="31CE4D5B" w:rsidR="00A429BA" w:rsidRDefault="00A429BA" w:rsidP="00CE1CEA">
            <w:pPr>
              <w:suppressAutoHyphens/>
              <w:spacing w:after="240"/>
              <w:jc w:val="right"/>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THIRD RESPONDENT</w:t>
            </w:r>
          </w:p>
          <w:p w14:paraId="527A7A18" w14:textId="5354EE7C" w:rsidR="00A429BA" w:rsidRDefault="00A429BA" w:rsidP="00CE1CEA">
            <w:pPr>
              <w:suppressAutoHyphens/>
              <w:spacing w:after="240"/>
              <w:jc w:val="right"/>
              <w:rPr>
                <w:rFonts w:ascii="Arial" w:eastAsia="Times New Roman" w:hAnsi="Arial" w:cs="Arial"/>
                <w:b/>
                <w:bCs/>
                <w:sz w:val="24"/>
                <w:szCs w:val="24"/>
                <w:lang w:val="en-GB" w:eastAsia="en-GB"/>
              </w:rPr>
            </w:pPr>
          </w:p>
          <w:p w14:paraId="4478A6A8" w14:textId="77777777" w:rsidR="00A429BA" w:rsidRDefault="00A429BA" w:rsidP="00CE1CEA">
            <w:pPr>
              <w:suppressAutoHyphens/>
              <w:spacing w:after="240"/>
              <w:jc w:val="right"/>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FOURTH RESPONDENT</w:t>
            </w:r>
          </w:p>
          <w:p w14:paraId="304E9486" w14:textId="77777777" w:rsidR="00A429BA" w:rsidRDefault="00A429BA" w:rsidP="00CE1CEA">
            <w:pPr>
              <w:suppressAutoHyphens/>
              <w:spacing w:after="240"/>
              <w:jc w:val="right"/>
              <w:rPr>
                <w:rFonts w:ascii="Arial" w:eastAsia="Times New Roman" w:hAnsi="Arial" w:cs="Arial"/>
                <w:b/>
                <w:bCs/>
                <w:sz w:val="24"/>
                <w:szCs w:val="24"/>
                <w:lang w:val="en-GB" w:eastAsia="en-GB"/>
              </w:rPr>
            </w:pPr>
          </w:p>
          <w:p w14:paraId="3EFD3EB0" w14:textId="77777777" w:rsidR="00A429BA" w:rsidRDefault="00A429BA" w:rsidP="00CE1CEA">
            <w:pPr>
              <w:suppressAutoHyphens/>
              <w:spacing w:after="240"/>
              <w:jc w:val="right"/>
              <w:rPr>
                <w:rFonts w:ascii="Arial" w:eastAsia="Times New Roman" w:hAnsi="Arial" w:cs="Arial"/>
                <w:b/>
                <w:bCs/>
                <w:sz w:val="24"/>
                <w:szCs w:val="24"/>
                <w:lang w:val="en-GB" w:eastAsia="en-GB"/>
              </w:rPr>
            </w:pPr>
          </w:p>
          <w:p w14:paraId="3769DE5C" w14:textId="68A5DDA1" w:rsidR="00A429BA" w:rsidRPr="00CE1CEA" w:rsidRDefault="00A429BA" w:rsidP="00CE1CEA">
            <w:pPr>
              <w:suppressAutoHyphens/>
              <w:spacing w:after="240"/>
              <w:jc w:val="right"/>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FIFTH RESPONDENT</w:t>
            </w:r>
          </w:p>
        </w:tc>
      </w:tr>
      <w:bookmarkEnd w:id="0"/>
      <w:tr w:rsidR="00BA6CFF" w14:paraId="353B1400" w14:textId="77777777" w:rsidTr="009F3C97">
        <w:tc>
          <w:tcPr>
            <w:tcW w:w="4508" w:type="dxa"/>
          </w:tcPr>
          <w:p w14:paraId="2C2ED30A" w14:textId="77777777" w:rsidR="00BA6CFF" w:rsidRDefault="00BA6CFF" w:rsidP="00CE1CEA">
            <w:pPr>
              <w:suppressAutoHyphens/>
              <w:rPr>
                <w:rFonts w:ascii="Arial" w:eastAsia="Times New Roman" w:hAnsi="Arial" w:cs="Arial"/>
                <w:b/>
                <w:bCs/>
                <w:sz w:val="24"/>
                <w:szCs w:val="24"/>
                <w:lang w:val="en-GB" w:eastAsia="en-GB"/>
              </w:rPr>
            </w:pPr>
          </w:p>
          <w:p w14:paraId="30635C54" w14:textId="1B62E1E7" w:rsidR="00BA6CFF" w:rsidRDefault="00BA6CFF" w:rsidP="00CE1CEA">
            <w:pPr>
              <w:suppressAutoHyphens/>
              <w:rPr>
                <w:rFonts w:ascii="Arial" w:eastAsia="Times New Roman" w:hAnsi="Arial" w:cs="Arial"/>
                <w:b/>
                <w:bCs/>
                <w:sz w:val="24"/>
                <w:szCs w:val="24"/>
                <w:lang w:val="en-GB" w:eastAsia="en-GB"/>
              </w:rPr>
            </w:pPr>
          </w:p>
        </w:tc>
        <w:tc>
          <w:tcPr>
            <w:tcW w:w="4508" w:type="dxa"/>
          </w:tcPr>
          <w:p w14:paraId="6ED9D130" w14:textId="77777777" w:rsidR="00BA6CFF" w:rsidRDefault="00BA6CFF" w:rsidP="00CE1CEA">
            <w:pPr>
              <w:suppressAutoHyphens/>
              <w:spacing w:after="240"/>
              <w:jc w:val="right"/>
              <w:rPr>
                <w:rFonts w:ascii="Arial" w:eastAsia="Times New Roman" w:hAnsi="Arial" w:cs="Arial"/>
                <w:b/>
                <w:bCs/>
                <w:sz w:val="24"/>
                <w:szCs w:val="24"/>
                <w:lang w:val="en-GB" w:eastAsia="en-GB"/>
              </w:rPr>
            </w:pPr>
          </w:p>
        </w:tc>
      </w:tr>
    </w:tbl>
    <w:p w14:paraId="2B1FC8AF" w14:textId="77777777" w:rsidR="00F0781E" w:rsidRPr="00F0781E" w:rsidRDefault="00F0781E" w:rsidP="00F0781E">
      <w:pPr>
        <w:suppressAutoHyphens/>
        <w:spacing w:after="0" w:line="240" w:lineRule="auto"/>
        <w:rPr>
          <w:rFonts w:ascii="Arial" w:eastAsia="Times New Roman" w:hAnsi="Arial" w:cs="Arial"/>
          <w:sz w:val="24"/>
          <w:szCs w:val="24"/>
          <w:lang w:val="en-GB" w:eastAsia="en-GB"/>
        </w:rPr>
      </w:pPr>
    </w:p>
    <w:tbl>
      <w:tblPr>
        <w:tblStyle w:val="TableGrid"/>
        <w:tblW w:w="9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7"/>
      </w:tblGrid>
      <w:tr w:rsidR="00CE1CEA" w:rsidRPr="00217B1F" w14:paraId="0907D9AA" w14:textId="77777777" w:rsidTr="004E094F">
        <w:trPr>
          <w:trHeight w:val="1028"/>
        </w:trPr>
        <w:tc>
          <w:tcPr>
            <w:tcW w:w="9397" w:type="dxa"/>
          </w:tcPr>
          <w:p w14:paraId="44C38BDE" w14:textId="77777777" w:rsidR="00CE1CEA" w:rsidRDefault="00CE1CEA" w:rsidP="00827C8E">
            <w:pPr>
              <w:pStyle w:val="Body"/>
              <w:pBdr>
                <w:top w:val="none" w:sz="0" w:space="0" w:color="auto"/>
                <w:left w:val="none" w:sz="0" w:space="0" w:color="auto"/>
                <w:bottom w:val="single" w:sz="12" w:space="1" w:color="auto"/>
                <w:right w:val="none" w:sz="0" w:space="0" w:color="auto"/>
                <w:between w:val="none" w:sz="0" w:space="0" w:color="auto"/>
                <w:bar w:val="none" w:sz="0" w:color="auto"/>
              </w:pBdr>
              <w:spacing w:line="360" w:lineRule="auto"/>
              <w:rPr>
                <w:rFonts w:cs="Arial"/>
                <w:b/>
                <w:bCs/>
                <w:sz w:val="24"/>
                <w:szCs w:val="24"/>
              </w:rPr>
            </w:pPr>
          </w:p>
          <w:p w14:paraId="1CD99459" w14:textId="77777777" w:rsidR="00CE1CEA" w:rsidRPr="00217B1F" w:rsidRDefault="00CE1CEA" w:rsidP="00827C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7331"/>
            </w:tblGrid>
            <w:tr w:rsidR="00CE1CEA" w14:paraId="39D489BB" w14:textId="77777777" w:rsidTr="004E094F">
              <w:trPr>
                <w:trHeight w:val="930"/>
              </w:trPr>
              <w:tc>
                <w:tcPr>
                  <w:tcW w:w="1691" w:type="dxa"/>
                </w:tcPr>
                <w:p w14:paraId="621CE5DC" w14:textId="77777777" w:rsidR="00CE1CEA" w:rsidRPr="008A1016" w:rsidRDefault="00CE1CEA" w:rsidP="00827C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
                    <w:rPr>
                      <w:rFonts w:ascii="Times" w:hAnsi="Times" w:cs="Arial"/>
                      <w:b/>
                      <w:bCs/>
                      <w:i/>
                      <w:iCs/>
                      <w:sz w:val="24"/>
                      <w:szCs w:val="24"/>
                    </w:rPr>
                  </w:pPr>
                  <w:r w:rsidRPr="008A1016">
                    <w:rPr>
                      <w:rFonts w:ascii="Times" w:eastAsia="Times New Roman" w:hAnsi="Times" w:cs="Arial"/>
                      <w:b/>
                      <w:bCs/>
                      <w:i/>
                      <w:iCs/>
                      <w:sz w:val="24"/>
                      <w:szCs w:val="24"/>
                      <w:lang w:val="en-ZA"/>
                    </w:rPr>
                    <w:t xml:space="preserve"> Coram:          </w:t>
                  </w:r>
                </w:p>
              </w:tc>
              <w:tc>
                <w:tcPr>
                  <w:tcW w:w="7331" w:type="dxa"/>
                </w:tcPr>
                <w:p w14:paraId="09AB065C" w14:textId="745BA37D" w:rsidR="00CE1CEA" w:rsidRPr="00C56A0B" w:rsidRDefault="00B56381" w:rsidP="00827C8E">
                  <w:pPr>
                    <w:tabs>
                      <w:tab w:val="left" w:pos="1417"/>
                    </w:tabs>
                    <w:spacing w:after="120" w:line="360" w:lineRule="auto"/>
                    <w:ind w:left="2268" w:hanging="2268"/>
                    <w:rPr>
                      <w:rFonts w:ascii="Arial" w:eastAsia="Times New Roman" w:hAnsi="Arial" w:cs="Arial"/>
                      <w:b/>
                      <w:bCs/>
                      <w:color w:val="000000"/>
                      <w:sz w:val="24"/>
                      <w:szCs w:val="24"/>
                    </w:rPr>
                  </w:pPr>
                  <w:r>
                    <w:rPr>
                      <w:rFonts w:ascii="Arial" w:eastAsia="Times New Roman" w:hAnsi="Arial" w:cs="Arial"/>
                      <w:b/>
                      <w:bCs/>
                      <w:color w:val="000000"/>
                      <w:sz w:val="24"/>
                      <w:szCs w:val="24"/>
                    </w:rPr>
                    <w:t>KOOVERJIE</w:t>
                  </w:r>
                  <w:r w:rsidR="00E74CCB">
                    <w:rPr>
                      <w:rFonts w:ascii="Arial" w:eastAsia="Times New Roman" w:hAnsi="Arial" w:cs="Arial"/>
                      <w:b/>
                      <w:bCs/>
                      <w:color w:val="000000"/>
                      <w:sz w:val="24"/>
                      <w:szCs w:val="24"/>
                    </w:rPr>
                    <w:t xml:space="preserve"> J</w:t>
                  </w:r>
                  <w:r w:rsidR="0003548A">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COX</w:t>
                  </w:r>
                  <w:r w:rsidR="00CE1CEA" w:rsidRPr="00C56A0B">
                    <w:rPr>
                      <w:rFonts w:ascii="Arial" w:eastAsia="Times New Roman" w:hAnsi="Arial" w:cs="Arial"/>
                      <w:b/>
                      <w:bCs/>
                      <w:color w:val="000000"/>
                      <w:sz w:val="24"/>
                      <w:szCs w:val="24"/>
                    </w:rPr>
                    <w:t xml:space="preserve"> </w:t>
                  </w:r>
                  <w:r w:rsidR="0003548A">
                    <w:rPr>
                      <w:rFonts w:ascii="Arial" w:eastAsia="Times New Roman" w:hAnsi="Arial" w:cs="Arial"/>
                      <w:b/>
                      <w:bCs/>
                      <w:color w:val="000000"/>
                      <w:sz w:val="24"/>
                      <w:szCs w:val="24"/>
                    </w:rPr>
                    <w:t xml:space="preserve">AJ </w:t>
                  </w:r>
                  <w:r w:rsidR="00CE1CEA" w:rsidRPr="002B3637">
                    <w:rPr>
                      <w:rFonts w:ascii="Arial" w:eastAsia="Times New Roman" w:hAnsi="Arial" w:cs="Arial"/>
                      <w:b/>
                      <w:bCs/>
                      <w:i/>
                      <w:iCs/>
                      <w:color w:val="000000"/>
                      <w:sz w:val="24"/>
                      <w:szCs w:val="24"/>
                    </w:rPr>
                    <w:t>e</w:t>
                  </w:r>
                  <w:r w:rsidR="00CE1CEA">
                    <w:rPr>
                      <w:rFonts w:ascii="Arial" w:eastAsia="Times New Roman" w:hAnsi="Arial" w:cs="Arial"/>
                      <w:b/>
                      <w:bCs/>
                      <w:i/>
                      <w:iCs/>
                      <w:color w:val="000000"/>
                      <w:sz w:val="24"/>
                      <w:szCs w:val="24"/>
                    </w:rPr>
                    <w:t xml:space="preserve">t </w:t>
                  </w:r>
                  <w:r w:rsidRPr="00B56381">
                    <w:rPr>
                      <w:rFonts w:ascii="Arial" w:eastAsia="Times New Roman" w:hAnsi="Arial" w:cs="Arial"/>
                      <w:b/>
                      <w:bCs/>
                      <w:color w:val="000000"/>
                      <w:sz w:val="24"/>
                      <w:szCs w:val="24"/>
                    </w:rPr>
                    <w:t>MOGOTSI</w:t>
                  </w:r>
                  <w:r w:rsidR="00CE1CEA" w:rsidRPr="00B56381">
                    <w:rPr>
                      <w:rFonts w:ascii="Arial" w:eastAsia="Times New Roman" w:hAnsi="Arial" w:cs="Arial"/>
                      <w:b/>
                      <w:bCs/>
                      <w:color w:val="000000"/>
                      <w:sz w:val="24"/>
                      <w:szCs w:val="24"/>
                    </w:rPr>
                    <w:t xml:space="preserve"> </w:t>
                  </w:r>
                  <w:r w:rsidR="00CE1CEA" w:rsidRPr="00C56A0B">
                    <w:rPr>
                      <w:rFonts w:ascii="Arial" w:eastAsia="Times New Roman" w:hAnsi="Arial" w:cs="Arial"/>
                      <w:b/>
                      <w:bCs/>
                      <w:color w:val="000000"/>
                      <w:sz w:val="24"/>
                      <w:szCs w:val="24"/>
                    </w:rPr>
                    <w:t>AJ</w:t>
                  </w:r>
                </w:p>
                <w:p w14:paraId="011FBE4F" w14:textId="77777777" w:rsidR="00CE1CEA" w:rsidRDefault="00CE1CEA" w:rsidP="00827C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CE1CEA" w14:paraId="5F0D0DF9" w14:textId="77777777" w:rsidTr="004E094F">
              <w:trPr>
                <w:trHeight w:val="930"/>
              </w:trPr>
              <w:tc>
                <w:tcPr>
                  <w:tcW w:w="1691" w:type="dxa"/>
                </w:tcPr>
                <w:p w14:paraId="29B4AB25" w14:textId="77777777" w:rsidR="00CE1CEA" w:rsidRPr="008A1016" w:rsidRDefault="00CE1CEA" w:rsidP="00827C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8A1016">
                    <w:rPr>
                      <w:rFonts w:ascii="Times" w:eastAsia="Times New Roman" w:hAnsi="Times" w:cs="Arial"/>
                      <w:b/>
                      <w:bCs/>
                      <w:i/>
                      <w:iCs/>
                      <w:sz w:val="24"/>
                      <w:szCs w:val="24"/>
                      <w:lang w:val="en-ZA"/>
                    </w:rPr>
                    <w:t>Heard on:      </w:t>
                  </w:r>
                </w:p>
              </w:tc>
              <w:tc>
                <w:tcPr>
                  <w:tcW w:w="7331" w:type="dxa"/>
                </w:tcPr>
                <w:p w14:paraId="13167213" w14:textId="49BA79BF" w:rsidR="00CE1CEA" w:rsidRPr="00217B1F" w:rsidRDefault="003350BC" w:rsidP="00827C8E">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rPr>
                    <w:t>1</w:t>
                  </w:r>
                  <w:r w:rsidR="00B56381">
                    <w:rPr>
                      <w:rFonts w:ascii="Arial" w:eastAsia="Times New Roman" w:hAnsi="Arial" w:cs="Arial"/>
                      <w:color w:val="000000"/>
                      <w:sz w:val="24"/>
                      <w:szCs w:val="24"/>
                    </w:rPr>
                    <w:t>5</w:t>
                  </w:r>
                  <w:r>
                    <w:rPr>
                      <w:rFonts w:ascii="Arial" w:eastAsia="Times New Roman" w:hAnsi="Arial" w:cs="Arial"/>
                      <w:color w:val="000000"/>
                      <w:sz w:val="24"/>
                      <w:szCs w:val="24"/>
                    </w:rPr>
                    <w:t xml:space="preserve"> MAY </w:t>
                  </w:r>
                  <w:r w:rsidR="00CE1CEA" w:rsidRPr="00217B1F">
                    <w:rPr>
                      <w:rFonts w:ascii="Arial" w:eastAsia="Times New Roman" w:hAnsi="Arial" w:cs="Arial"/>
                      <w:color w:val="000000"/>
                      <w:sz w:val="24"/>
                      <w:szCs w:val="24"/>
                    </w:rPr>
                    <w:t>202</w:t>
                  </w:r>
                  <w:r w:rsidR="00CE1CEA">
                    <w:rPr>
                      <w:rFonts w:ascii="Arial" w:eastAsia="Times New Roman" w:hAnsi="Arial" w:cs="Arial"/>
                      <w:color w:val="000000"/>
                      <w:sz w:val="24"/>
                      <w:szCs w:val="24"/>
                    </w:rPr>
                    <w:t>4</w:t>
                  </w:r>
                  <w:r w:rsidR="00CE1CEA" w:rsidRPr="00217B1F">
                    <w:rPr>
                      <w:rFonts w:ascii="Arial" w:eastAsia="Times New Roman" w:hAnsi="Arial" w:cs="Arial"/>
                      <w:color w:val="000000"/>
                      <w:sz w:val="24"/>
                      <w:szCs w:val="24"/>
                    </w:rPr>
                    <w:t xml:space="preserve"> </w:t>
                  </w:r>
                </w:p>
                <w:p w14:paraId="5F230F41" w14:textId="77777777" w:rsidR="00CE1CEA" w:rsidRDefault="00CE1CEA" w:rsidP="00827C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CE1CEA" w14:paraId="19360DBF" w14:textId="77777777" w:rsidTr="004E094F">
              <w:trPr>
                <w:trHeight w:val="1750"/>
              </w:trPr>
              <w:tc>
                <w:tcPr>
                  <w:tcW w:w="1691" w:type="dxa"/>
                </w:tcPr>
                <w:p w14:paraId="12DDEFBD" w14:textId="77777777" w:rsidR="00CE1CEA" w:rsidRPr="008A1016" w:rsidRDefault="00CE1CEA" w:rsidP="00827C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8A1016">
                    <w:rPr>
                      <w:rFonts w:ascii="Times" w:eastAsia="Times New Roman" w:hAnsi="Times" w:cs="Arial"/>
                      <w:b/>
                      <w:bCs/>
                      <w:i/>
                      <w:iCs/>
                      <w:sz w:val="24"/>
                      <w:szCs w:val="24"/>
                      <w:lang w:val="en-ZA"/>
                    </w:rPr>
                    <w:t xml:space="preserve">Delivered:   </w:t>
                  </w:r>
                </w:p>
              </w:tc>
              <w:tc>
                <w:tcPr>
                  <w:tcW w:w="7331" w:type="dxa"/>
                </w:tcPr>
                <w:p w14:paraId="6742D6D0" w14:textId="692988F4" w:rsidR="00CE1CEA" w:rsidRPr="00217B1F" w:rsidRDefault="00794B5E" w:rsidP="00827C8E">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rPr>
                    <w:t>18 June 2024</w:t>
                  </w:r>
                  <w:r w:rsidR="00CE1CEA">
                    <w:rPr>
                      <w:rFonts w:ascii="Arial" w:eastAsia="Times New Roman" w:hAnsi="Arial" w:cs="Arial"/>
                      <w:color w:val="000000"/>
                      <w:sz w:val="24"/>
                      <w:szCs w:val="24"/>
                    </w:rPr>
                    <w:t xml:space="preserve"> - T</w:t>
                  </w:r>
                  <w:r w:rsidR="00CE1CEA" w:rsidRPr="00217B1F">
                    <w:rPr>
                      <w:rFonts w:ascii="Arial" w:eastAsia="Times New Roman" w:hAnsi="Arial" w:cs="Arial"/>
                      <w:color w:val="000000"/>
                      <w:sz w:val="24"/>
                      <w:szCs w:val="24"/>
                    </w:rPr>
                    <w:t>his judgment was handed down electronically by</w:t>
                  </w:r>
                  <w:r w:rsidR="00CE1CEA">
                    <w:rPr>
                      <w:rFonts w:ascii="Arial" w:eastAsia="Times New Roman" w:hAnsi="Arial" w:cs="Arial"/>
                      <w:color w:val="000000"/>
                      <w:sz w:val="24"/>
                      <w:szCs w:val="24"/>
                    </w:rPr>
                    <w:t xml:space="preserve"> </w:t>
                  </w:r>
                  <w:r w:rsidR="00CE1CEA" w:rsidRPr="00217B1F">
                    <w:rPr>
                      <w:rFonts w:ascii="Arial" w:eastAsia="Times New Roman" w:hAnsi="Arial" w:cs="Arial"/>
                      <w:color w:val="000000"/>
                      <w:sz w:val="24"/>
                      <w:szCs w:val="24"/>
                    </w:rPr>
                    <w:t>circulation to the</w:t>
                  </w:r>
                  <w:r w:rsidR="00CE1CEA">
                    <w:rPr>
                      <w:rFonts w:ascii="Arial" w:eastAsia="Times New Roman" w:hAnsi="Arial" w:cs="Arial"/>
                      <w:color w:val="000000"/>
                      <w:sz w:val="24"/>
                      <w:szCs w:val="24"/>
                    </w:rPr>
                    <w:t xml:space="preserve"> </w:t>
                  </w:r>
                  <w:r w:rsidR="00CE1CEA" w:rsidRPr="00217B1F">
                    <w:rPr>
                      <w:rFonts w:ascii="Arial" w:eastAsia="Times New Roman" w:hAnsi="Arial" w:cs="Arial"/>
                      <w:color w:val="000000"/>
                      <w:sz w:val="24"/>
                      <w:szCs w:val="24"/>
                    </w:rPr>
                    <w:t>parties' representatives by email, by being uploaded to the </w:t>
                  </w:r>
                  <w:proofErr w:type="spellStart"/>
                  <w:r w:rsidR="00CE1CEA" w:rsidRPr="00217B1F">
                    <w:rPr>
                      <w:rFonts w:ascii="Arial" w:eastAsia="Times New Roman" w:hAnsi="Arial" w:cs="Arial"/>
                      <w:i/>
                      <w:iCs/>
                      <w:color w:val="000000"/>
                      <w:sz w:val="24"/>
                      <w:szCs w:val="24"/>
                    </w:rPr>
                    <w:t>CaseLines</w:t>
                  </w:r>
                  <w:proofErr w:type="spellEnd"/>
                  <w:r w:rsidR="00CE1CEA" w:rsidRPr="00217B1F">
                    <w:rPr>
                      <w:rFonts w:ascii="Arial" w:eastAsia="Times New Roman" w:hAnsi="Arial" w:cs="Arial"/>
                      <w:color w:val="000000"/>
                      <w:sz w:val="24"/>
                      <w:szCs w:val="24"/>
                    </w:rPr>
                    <w:t xml:space="preserve"> system of the GD and by release to SAFLII. The date and time for hand-down is deemed to be </w:t>
                  </w:r>
                  <w:r>
                    <w:rPr>
                      <w:rFonts w:ascii="Arial" w:eastAsia="Times New Roman" w:hAnsi="Arial" w:cs="Arial"/>
                      <w:color w:val="000000"/>
                      <w:sz w:val="24"/>
                      <w:szCs w:val="24"/>
                    </w:rPr>
                    <w:t>16</w:t>
                  </w:r>
                  <w:r w:rsidR="00CE1CEA" w:rsidRPr="00217B1F">
                    <w:rPr>
                      <w:rFonts w:ascii="Arial" w:eastAsia="Times New Roman" w:hAnsi="Arial" w:cs="Arial"/>
                      <w:color w:val="000000"/>
                      <w:sz w:val="24"/>
                      <w:szCs w:val="24"/>
                    </w:rPr>
                    <w:t xml:space="preserve">H00 on </w:t>
                  </w:r>
                  <w:r>
                    <w:rPr>
                      <w:rFonts w:ascii="Arial" w:eastAsia="Times New Roman" w:hAnsi="Arial" w:cs="Arial"/>
                      <w:color w:val="000000"/>
                      <w:sz w:val="24"/>
                      <w:szCs w:val="24"/>
                    </w:rPr>
                    <w:t xml:space="preserve">18 June </w:t>
                  </w:r>
                  <w:r w:rsidR="00CE1CEA" w:rsidRPr="00217B1F">
                    <w:rPr>
                      <w:rFonts w:ascii="Arial" w:eastAsia="Times New Roman" w:hAnsi="Arial" w:cs="Arial"/>
                      <w:color w:val="000000"/>
                      <w:sz w:val="24"/>
                      <w:szCs w:val="24"/>
                    </w:rPr>
                    <w:t>202</w:t>
                  </w:r>
                  <w:r w:rsidR="00CE1CEA">
                    <w:rPr>
                      <w:rFonts w:ascii="Arial" w:eastAsia="Times New Roman" w:hAnsi="Arial" w:cs="Arial"/>
                      <w:color w:val="000000"/>
                      <w:sz w:val="24"/>
                      <w:szCs w:val="24"/>
                    </w:rPr>
                    <w:t>4</w:t>
                  </w:r>
                  <w:r w:rsidR="00CE1CEA" w:rsidRPr="00217B1F">
                    <w:rPr>
                      <w:rFonts w:ascii="Arial" w:eastAsia="Times New Roman" w:hAnsi="Arial" w:cs="Arial"/>
                      <w:color w:val="000000"/>
                      <w:sz w:val="24"/>
                      <w:szCs w:val="24"/>
                    </w:rPr>
                    <w:t>.</w:t>
                  </w:r>
                </w:p>
                <w:p w14:paraId="0A37C966" w14:textId="77777777" w:rsidR="00CE1CEA" w:rsidRDefault="00CE1CEA" w:rsidP="00827C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5D7267E0" w14:textId="77777777" w:rsidR="00CE1CEA" w:rsidRPr="00217B1F" w:rsidRDefault="00CE1CEA" w:rsidP="00827C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391772" w:rsidRPr="002A29B3" w14:paraId="0CC28B57" w14:textId="77777777" w:rsidTr="004E094F">
        <w:trPr>
          <w:trHeight w:val="467"/>
        </w:trPr>
        <w:tc>
          <w:tcPr>
            <w:tcW w:w="9397" w:type="dxa"/>
          </w:tcPr>
          <w:p w14:paraId="14102AD6" w14:textId="77777777" w:rsidR="000B75CF" w:rsidRPr="00217B1F" w:rsidRDefault="000B75CF" w:rsidP="000B75CF">
            <w:pPr>
              <w:spacing w:after="120" w:line="360" w:lineRule="atLeast"/>
              <w:jc w:val="both"/>
              <w:rPr>
                <w:rFonts w:ascii="Arial" w:eastAsia="Times New Roman" w:hAnsi="Arial" w:cs="Arial"/>
                <w:color w:val="000000"/>
                <w:sz w:val="24"/>
                <w:szCs w:val="24"/>
              </w:rPr>
            </w:pPr>
          </w:p>
          <w:p w14:paraId="4B47FFCD" w14:textId="77777777" w:rsidR="000B75CF" w:rsidRPr="00217B1F" w:rsidRDefault="000B75CF" w:rsidP="000B75CF">
            <w:pPr>
              <w:pStyle w:val="LegalTramLines"/>
              <w:pBdr>
                <w:top w:val="single" w:sz="12" w:space="18" w:color="auto"/>
                <w:bottom w:val="single" w:sz="12" w:space="18" w:color="auto"/>
              </w:pBdr>
              <w:spacing w:after="240"/>
              <w:rPr>
                <w:rFonts w:ascii="Arial" w:hAnsi="Arial" w:cs="Arial"/>
              </w:rPr>
            </w:pPr>
            <w:r w:rsidRPr="00217B1F">
              <w:rPr>
                <w:rFonts w:ascii="Arial" w:hAnsi="Arial" w:cs="Arial"/>
              </w:rPr>
              <w:t>ORDER</w:t>
            </w:r>
          </w:p>
          <w:p w14:paraId="242D2DD2" w14:textId="77777777" w:rsidR="000B75CF" w:rsidRPr="005D79B5" w:rsidRDefault="000B75CF" w:rsidP="000B75CF">
            <w:pPr>
              <w:pStyle w:val="LegalMAINHEADING"/>
              <w:spacing w:before="0" w:after="120" w:line="360" w:lineRule="auto"/>
              <w:rPr>
                <w:rFonts w:cs="Arial"/>
                <w:b w:val="0"/>
                <w:caps w:val="0"/>
                <w:lang w:eastAsia="en-US"/>
              </w:rPr>
            </w:pPr>
            <w:r w:rsidRPr="005D79B5">
              <w:rPr>
                <w:rFonts w:cs="Arial"/>
                <w:caps w:val="0"/>
                <w:lang w:eastAsia="en-US"/>
              </w:rPr>
              <w:t xml:space="preserve">It is </w:t>
            </w:r>
            <w:r>
              <w:rPr>
                <w:rFonts w:cs="Arial"/>
                <w:caps w:val="0"/>
                <w:lang w:eastAsia="en-US"/>
              </w:rPr>
              <w:t>o</w:t>
            </w:r>
            <w:r w:rsidRPr="005D79B5">
              <w:rPr>
                <w:rFonts w:cs="Arial"/>
                <w:caps w:val="0"/>
                <w:lang w:eastAsia="en-US"/>
              </w:rPr>
              <w:t>rdered</w:t>
            </w:r>
            <w:r>
              <w:rPr>
                <w:rFonts w:cs="Arial"/>
                <w:caps w:val="0"/>
                <w:lang w:eastAsia="en-US"/>
              </w:rPr>
              <w:t xml:space="preserve"> that:</w:t>
            </w:r>
          </w:p>
          <w:p w14:paraId="74439CAA" w14:textId="77777777" w:rsidR="000B75CF" w:rsidRDefault="000B75CF" w:rsidP="000B75CF">
            <w:pPr>
              <w:pStyle w:val="ListParagraph"/>
              <w:spacing w:line="360" w:lineRule="auto"/>
              <w:ind w:left="887" w:hanging="887"/>
              <w:jc w:val="both"/>
              <w:rPr>
                <w:rFonts w:ascii="Arial" w:hAnsi="Arial" w:cs="Arial"/>
                <w:bCs/>
                <w:sz w:val="24"/>
                <w:szCs w:val="24"/>
              </w:rPr>
            </w:pPr>
            <w:r>
              <w:rPr>
                <w:rFonts w:ascii="Arial" w:hAnsi="Arial" w:cs="Arial"/>
                <w:bCs/>
                <w:sz w:val="24"/>
                <w:szCs w:val="24"/>
              </w:rPr>
              <w:t>[1]         T</w:t>
            </w:r>
            <w:r w:rsidRPr="00391772">
              <w:rPr>
                <w:rFonts w:ascii="Arial" w:hAnsi="Arial" w:cs="Arial"/>
                <w:bCs/>
                <w:sz w:val="24"/>
                <w:szCs w:val="24"/>
              </w:rPr>
              <w:t xml:space="preserve">he appeal </w:t>
            </w:r>
            <w:r>
              <w:rPr>
                <w:rFonts w:ascii="Arial" w:hAnsi="Arial" w:cs="Arial"/>
                <w:bCs/>
                <w:sz w:val="24"/>
                <w:szCs w:val="24"/>
              </w:rPr>
              <w:t>is removed from the roll;</w:t>
            </w:r>
          </w:p>
          <w:p w14:paraId="60DE1B9E" w14:textId="77777777" w:rsidR="000B75CF" w:rsidRDefault="000B75CF" w:rsidP="000B75CF">
            <w:pPr>
              <w:pStyle w:val="ListParagraph"/>
              <w:spacing w:line="360" w:lineRule="auto"/>
              <w:ind w:left="887" w:hanging="887"/>
              <w:jc w:val="both"/>
              <w:rPr>
                <w:rFonts w:ascii="Arial" w:hAnsi="Arial" w:cs="Arial"/>
                <w:bCs/>
                <w:sz w:val="24"/>
                <w:szCs w:val="24"/>
              </w:rPr>
            </w:pPr>
            <w:r>
              <w:rPr>
                <w:rFonts w:ascii="Arial" w:hAnsi="Arial" w:cs="Arial"/>
                <w:bCs/>
                <w:sz w:val="24"/>
                <w:szCs w:val="24"/>
              </w:rPr>
              <w:lastRenderedPageBreak/>
              <w:t>[2]         The appellant is to pay the respondent’s wasted costs on a party – party scale, including the costs of senior counsel;</w:t>
            </w:r>
          </w:p>
          <w:p w14:paraId="43D671F6" w14:textId="77777777" w:rsidR="000B75CF" w:rsidRPr="00391772" w:rsidRDefault="000B75CF" w:rsidP="000B75CF">
            <w:pPr>
              <w:pStyle w:val="ListParagraph"/>
              <w:spacing w:line="360" w:lineRule="auto"/>
              <w:ind w:left="887" w:hanging="887"/>
              <w:jc w:val="both"/>
              <w:rPr>
                <w:rFonts w:ascii="Arial" w:hAnsi="Arial" w:cs="Arial"/>
                <w:bCs/>
                <w:sz w:val="24"/>
                <w:szCs w:val="24"/>
              </w:rPr>
            </w:pPr>
            <w:r>
              <w:rPr>
                <w:rFonts w:ascii="Arial" w:hAnsi="Arial" w:cs="Arial"/>
                <w:bCs/>
                <w:sz w:val="24"/>
                <w:szCs w:val="24"/>
              </w:rPr>
              <w:t xml:space="preserve">[3]         The scale of costs to be in terms of Uniform Rule 69(7), scale C </w:t>
            </w:r>
          </w:p>
          <w:p w14:paraId="19BD4310" w14:textId="36E95C8A" w:rsidR="006F2D02" w:rsidRPr="005F258F" w:rsidRDefault="006F2D02" w:rsidP="00827C8E">
            <w:pPr>
              <w:spacing w:after="120" w:line="360" w:lineRule="atLeast"/>
              <w:jc w:val="both"/>
              <w:rPr>
                <w:rFonts w:ascii="Arial" w:eastAsia="Times New Roman" w:hAnsi="Arial" w:cs="Arial"/>
                <w:color w:val="000000"/>
                <w:sz w:val="16"/>
                <w:szCs w:val="16"/>
              </w:rPr>
            </w:pPr>
          </w:p>
        </w:tc>
      </w:tr>
    </w:tbl>
    <w:p w14:paraId="1634C7ED" w14:textId="722A98E8" w:rsidR="00F0781E" w:rsidRPr="00F0781E" w:rsidRDefault="00F0781E" w:rsidP="00A429BA">
      <w:pPr>
        <w:pBdr>
          <w:top w:val="single" w:sz="4" w:space="18" w:color="auto"/>
          <w:bottom w:val="single" w:sz="4" w:space="18" w:color="auto"/>
        </w:pBdr>
        <w:suppressAutoHyphens/>
        <w:spacing w:after="240" w:line="240" w:lineRule="auto"/>
        <w:jc w:val="center"/>
        <w:rPr>
          <w:rFonts w:ascii="Arial" w:eastAsia="Times New Roman" w:hAnsi="Arial" w:cs="Arial"/>
          <w:b/>
          <w:sz w:val="24"/>
          <w:szCs w:val="24"/>
          <w:lang w:val="en-GB" w:eastAsia="en-GB"/>
        </w:rPr>
      </w:pPr>
      <w:r w:rsidRPr="00F0781E">
        <w:rPr>
          <w:rFonts w:ascii="Arial" w:eastAsia="Times New Roman" w:hAnsi="Arial" w:cs="Arial"/>
          <w:b/>
          <w:sz w:val="24"/>
          <w:szCs w:val="24"/>
          <w:lang w:val="en-GB" w:eastAsia="en-GB"/>
        </w:rPr>
        <w:lastRenderedPageBreak/>
        <w:t>JUDGMENT</w:t>
      </w:r>
    </w:p>
    <w:p w14:paraId="2E1C8B60" w14:textId="54C9E570" w:rsidR="00196154" w:rsidRPr="004C4058" w:rsidRDefault="00B2616A" w:rsidP="004C4058">
      <w:pPr>
        <w:tabs>
          <w:tab w:val="left" w:pos="1417"/>
        </w:tabs>
        <w:spacing w:after="120" w:line="360" w:lineRule="auto"/>
        <w:ind w:left="2268" w:hanging="2268"/>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COX AJ </w:t>
      </w:r>
      <w:r w:rsidR="0003548A">
        <w:rPr>
          <w:rFonts w:ascii="Arial" w:eastAsia="Times New Roman" w:hAnsi="Arial" w:cs="Arial"/>
          <w:b/>
          <w:bCs/>
          <w:color w:val="000000"/>
          <w:sz w:val="24"/>
          <w:szCs w:val="24"/>
        </w:rPr>
        <w:t>(</w:t>
      </w:r>
      <w:r w:rsidR="00B56381">
        <w:rPr>
          <w:rFonts w:ascii="Arial" w:eastAsia="Times New Roman" w:hAnsi="Arial" w:cs="Arial"/>
          <w:b/>
          <w:bCs/>
          <w:color w:val="000000"/>
          <w:sz w:val="24"/>
          <w:szCs w:val="24"/>
        </w:rPr>
        <w:t>KOOVERJIE</w:t>
      </w:r>
      <w:r w:rsidR="0003548A" w:rsidRPr="0003548A">
        <w:rPr>
          <w:rFonts w:ascii="Arial" w:eastAsia="Times New Roman" w:hAnsi="Arial" w:cs="Arial"/>
          <w:b/>
          <w:bCs/>
          <w:color w:val="000000"/>
          <w:sz w:val="24"/>
          <w:szCs w:val="24"/>
        </w:rPr>
        <w:t xml:space="preserve"> J, MOGOTSI AJ </w:t>
      </w:r>
      <w:r w:rsidRPr="00C56A0B">
        <w:rPr>
          <w:rFonts w:ascii="Arial" w:eastAsia="Times New Roman" w:hAnsi="Arial" w:cs="Arial"/>
          <w:b/>
          <w:bCs/>
          <w:color w:val="000000"/>
          <w:sz w:val="24"/>
          <w:szCs w:val="24"/>
        </w:rPr>
        <w:t>CONCURRING)</w:t>
      </w:r>
    </w:p>
    <w:p w14:paraId="4CE286C9" w14:textId="340918AD" w:rsidR="00276467" w:rsidRDefault="00196154"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sidRPr="00B2616A">
        <w:rPr>
          <w:rFonts w:ascii="Arial" w:hAnsi="Arial" w:cs="Arial"/>
          <w:bCs/>
          <w:sz w:val="24"/>
          <w:szCs w:val="24"/>
        </w:rPr>
        <w:t>[</w:t>
      </w:r>
      <w:r w:rsidR="0057396B" w:rsidRPr="00B2616A">
        <w:rPr>
          <w:rFonts w:ascii="Arial" w:hAnsi="Arial" w:cs="Arial"/>
          <w:bCs/>
          <w:sz w:val="24"/>
          <w:szCs w:val="24"/>
        </w:rPr>
        <w:t>1</w:t>
      </w:r>
      <w:r w:rsidRPr="00B2616A">
        <w:rPr>
          <w:rFonts w:ascii="Arial" w:hAnsi="Arial" w:cs="Arial"/>
          <w:bCs/>
          <w:sz w:val="24"/>
          <w:szCs w:val="24"/>
        </w:rPr>
        <w:t>]</w:t>
      </w:r>
      <w:r w:rsidRPr="00B2616A">
        <w:rPr>
          <w:rFonts w:ascii="Arial" w:hAnsi="Arial" w:cs="Arial"/>
          <w:bCs/>
          <w:sz w:val="24"/>
          <w:szCs w:val="24"/>
        </w:rPr>
        <w:tab/>
      </w:r>
      <w:r w:rsidR="00276467">
        <w:rPr>
          <w:rFonts w:ascii="Arial" w:hAnsi="Arial" w:cs="Arial"/>
          <w:bCs/>
          <w:sz w:val="24"/>
          <w:szCs w:val="24"/>
        </w:rPr>
        <w:t xml:space="preserve">On 6 June 2022 Khumalo J dismissed </w:t>
      </w:r>
      <w:r w:rsidR="00D228FF">
        <w:rPr>
          <w:rFonts w:ascii="Arial" w:hAnsi="Arial" w:cs="Arial"/>
          <w:bCs/>
          <w:sz w:val="24"/>
          <w:szCs w:val="24"/>
        </w:rPr>
        <w:t xml:space="preserve">the </w:t>
      </w:r>
      <w:r w:rsidR="00276467">
        <w:rPr>
          <w:rFonts w:ascii="Arial" w:hAnsi="Arial" w:cs="Arial"/>
          <w:bCs/>
          <w:sz w:val="24"/>
          <w:szCs w:val="24"/>
        </w:rPr>
        <w:t xml:space="preserve">urgent application of the appellant against the respondents which </w:t>
      </w:r>
      <w:r w:rsidR="00A429BA">
        <w:rPr>
          <w:rFonts w:ascii="Arial" w:hAnsi="Arial" w:cs="Arial"/>
          <w:bCs/>
          <w:sz w:val="24"/>
          <w:szCs w:val="24"/>
        </w:rPr>
        <w:t xml:space="preserve">concerned </w:t>
      </w:r>
      <w:r w:rsidR="00276467">
        <w:rPr>
          <w:rFonts w:ascii="Arial" w:hAnsi="Arial" w:cs="Arial"/>
          <w:bCs/>
          <w:sz w:val="24"/>
          <w:szCs w:val="24"/>
        </w:rPr>
        <w:t>the second and third respondents</w:t>
      </w:r>
      <w:r w:rsidR="006569F8">
        <w:rPr>
          <w:rFonts w:ascii="Arial" w:hAnsi="Arial" w:cs="Arial"/>
          <w:bCs/>
          <w:sz w:val="24"/>
          <w:szCs w:val="24"/>
        </w:rPr>
        <w:t>’</w:t>
      </w:r>
      <w:r w:rsidR="00276467">
        <w:rPr>
          <w:rFonts w:ascii="Arial" w:hAnsi="Arial" w:cs="Arial"/>
          <w:bCs/>
          <w:sz w:val="24"/>
          <w:szCs w:val="24"/>
        </w:rPr>
        <w:t xml:space="preserve"> refusal to renew the appellant</w:t>
      </w:r>
      <w:r w:rsidR="006569F8">
        <w:rPr>
          <w:rFonts w:ascii="Arial" w:hAnsi="Arial" w:cs="Arial"/>
          <w:bCs/>
          <w:sz w:val="24"/>
          <w:szCs w:val="24"/>
        </w:rPr>
        <w:t>’</w:t>
      </w:r>
      <w:r w:rsidR="00276467">
        <w:rPr>
          <w:rFonts w:ascii="Arial" w:hAnsi="Arial" w:cs="Arial"/>
          <w:bCs/>
          <w:sz w:val="24"/>
          <w:szCs w:val="24"/>
        </w:rPr>
        <w:t xml:space="preserve">s application of </w:t>
      </w:r>
      <w:r w:rsidR="006D5C10">
        <w:rPr>
          <w:rFonts w:ascii="Arial" w:hAnsi="Arial" w:cs="Arial"/>
          <w:bCs/>
          <w:sz w:val="24"/>
          <w:szCs w:val="24"/>
        </w:rPr>
        <w:t xml:space="preserve">further </w:t>
      </w:r>
      <w:r w:rsidR="00276467">
        <w:rPr>
          <w:rFonts w:ascii="Arial" w:hAnsi="Arial" w:cs="Arial"/>
          <w:bCs/>
          <w:sz w:val="24"/>
          <w:szCs w:val="24"/>
        </w:rPr>
        <w:t xml:space="preserve">firearm licences </w:t>
      </w:r>
      <w:r w:rsidR="00A429BA">
        <w:rPr>
          <w:rFonts w:ascii="Arial" w:hAnsi="Arial" w:cs="Arial"/>
          <w:bCs/>
          <w:sz w:val="24"/>
          <w:szCs w:val="24"/>
        </w:rPr>
        <w:t>in terms of S</w:t>
      </w:r>
      <w:r w:rsidR="00276467">
        <w:rPr>
          <w:rFonts w:ascii="Arial" w:hAnsi="Arial" w:cs="Arial"/>
          <w:bCs/>
          <w:sz w:val="24"/>
          <w:szCs w:val="24"/>
        </w:rPr>
        <w:t xml:space="preserve">ection 24 of the Firearms Control Act, 60 of 2000. The appellant was granted leave to appeal </w:t>
      </w:r>
      <w:r w:rsidR="00A429BA">
        <w:rPr>
          <w:rFonts w:ascii="Arial" w:hAnsi="Arial" w:cs="Arial"/>
          <w:bCs/>
          <w:sz w:val="24"/>
          <w:szCs w:val="24"/>
        </w:rPr>
        <w:t xml:space="preserve">before </w:t>
      </w:r>
      <w:r w:rsidR="00276467">
        <w:rPr>
          <w:rFonts w:ascii="Arial" w:hAnsi="Arial" w:cs="Arial"/>
          <w:bCs/>
          <w:sz w:val="24"/>
          <w:szCs w:val="24"/>
        </w:rPr>
        <w:t>the full court on 6 October of the same year.</w:t>
      </w:r>
    </w:p>
    <w:p w14:paraId="5C0470E6" w14:textId="310AE0B6" w:rsidR="00D228FF" w:rsidRPr="00006101" w:rsidRDefault="00D228FF" w:rsidP="003A197C">
      <w:pPr>
        <w:tabs>
          <w:tab w:val="left" w:pos="0"/>
          <w:tab w:val="left" w:pos="720"/>
          <w:tab w:val="left" w:pos="957"/>
          <w:tab w:val="left" w:pos="1448"/>
        </w:tabs>
        <w:spacing w:after="0" w:line="480" w:lineRule="auto"/>
        <w:ind w:left="720" w:hanging="720"/>
        <w:jc w:val="both"/>
        <w:rPr>
          <w:rFonts w:ascii="Arial" w:hAnsi="Arial" w:cs="Arial"/>
          <w:bCs/>
          <w:sz w:val="16"/>
          <w:szCs w:val="16"/>
        </w:rPr>
      </w:pPr>
    </w:p>
    <w:p w14:paraId="184DE246" w14:textId="432B3818" w:rsidR="00276467" w:rsidRDefault="00276467"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Pr>
          <w:rFonts w:ascii="Arial" w:hAnsi="Arial" w:cs="Arial"/>
          <w:bCs/>
          <w:sz w:val="24"/>
          <w:szCs w:val="24"/>
        </w:rPr>
        <w:t>[</w:t>
      </w:r>
      <w:r w:rsidR="0039039B">
        <w:rPr>
          <w:rFonts w:ascii="Arial" w:hAnsi="Arial" w:cs="Arial"/>
          <w:bCs/>
          <w:sz w:val="24"/>
          <w:szCs w:val="24"/>
        </w:rPr>
        <w:t>2</w:t>
      </w:r>
      <w:r>
        <w:rPr>
          <w:rFonts w:ascii="Arial" w:hAnsi="Arial" w:cs="Arial"/>
          <w:bCs/>
          <w:sz w:val="24"/>
          <w:szCs w:val="24"/>
        </w:rPr>
        <w:t>]</w:t>
      </w:r>
      <w:r>
        <w:rPr>
          <w:rFonts w:ascii="Arial" w:hAnsi="Arial" w:cs="Arial"/>
          <w:bCs/>
          <w:sz w:val="24"/>
          <w:szCs w:val="24"/>
        </w:rPr>
        <w:tab/>
        <w:t>The Director of the appellant is also the director and shareholder of Magena Trading (Pty Limited t/a Magena Security Services (</w:t>
      </w:r>
      <w:r w:rsidR="00657930">
        <w:rPr>
          <w:rFonts w:ascii="Arial" w:hAnsi="Arial" w:cs="Arial"/>
          <w:bCs/>
          <w:sz w:val="24"/>
          <w:szCs w:val="24"/>
        </w:rPr>
        <w:t xml:space="preserve">herein after referred to as </w:t>
      </w:r>
      <w:r>
        <w:rPr>
          <w:rFonts w:ascii="Arial" w:hAnsi="Arial" w:cs="Arial"/>
          <w:bCs/>
          <w:sz w:val="24"/>
          <w:szCs w:val="24"/>
        </w:rPr>
        <w:t xml:space="preserve">Magena Trading). </w:t>
      </w:r>
      <w:r w:rsidR="003A197C">
        <w:rPr>
          <w:rFonts w:ascii="Arial" w:hAnsi="Arial" w:cs="Arial"/>
          <w:bCs/>
          <w:sz w:val="24"/>
          <w:szCs w:val="24"/>
        </w:rPr>
        <w:t xml:space="preserve"> </w:t>
      </w:r>
      <w:r w:rsidR="006D5C10">
        <w:rPr>
          <w:rFonts w:ascii="Arial" w:hAnsi="Arial" w:cs="Arial"/>
          <w:bCs/>
          <w:sz w:val="24"/>
          <w:szCs w:val="24"/>
        </w:rPr>
        <w:t xml:space="preserve">Magena Trading also </w:t>
      </w:r>
      <w:r>
        <w:rPr>
          <w:rFonts w:ascii="Arial" w:hAnsi="Arial" w:cs="Arial"/>
          <w:bCs/>
          <w:sz w:val="24"/>
          <w:szCs w:val="24"/>
        </w:rPr>
        <w:t>lodged a similar application against the same respondents</w:t>
      </w:r>
      <w:r w:rsidR="006569F8">
        <w:rPr>
          <w:rFonts w:ascii="Arial" w:hAnsi="Arial" w:cs="Arial"/>
          <w:bCs/>
          <w:sz w:val="24"/>
          <w:szCs w:val="24"/>
        </w:rPr>
        <w:t xml:space="preserve"> </w:t>
      </w:r>
      <w:r>
        <w:rPr>
          <w:rFonts w:ascii="Arial" w:hAnsi="Arial" w:cs="Arial"/>
          <w:bCs/>
          <w:sz w:val="24"/>
          <w:szCs w:val="24"/>
        </w:rPr>
        <w:t xml:space="preserve">on the same date. </w:t>
      </w:r>
      <w:r w:rsidR="00D228FF">
        <w:rPr>
          <w:rFonts w:ascii="Arial" w:hAnsi="Arial" w:cs="Arial"/>
          <w:bCs/>
          <w:sz w:val="24"/>
          <w:szCs w:val="24"/>
        </w:rPr>
        <w:t xml:space="preserve"> The remaining aspect in contention was the costs dispute.</w:t>
      </w:r>
    </w:p>
    <w:p w14:paraId="3B0EA128" w14:textId="77777777" w:rsidR="00F73216" w:rsidRPr="00006101" w:rsidRDefault="00F73216" w:rsidP="003A197C">
      <w:pPr>
        <w:tabs>
          <w:tab w:val="left" w:pos="0"/>
          <w:tab w:val="left" w:pos="720"/>
          <w:tab w:val="left" w:pos="957"/>
          <w:tab w:val="left" w:pos="1448"/>
        </w:tabs>
        <w:spacing w:after="0" w:line="480" w:lineRule="auto"/>
        <w:ind w:left="720" w:hanging="720"/>
        <w:jc w:val="both"/>
        <w:rPr>
          <w:rFonts w:cs="Arial"/>
          <w:bCs/>
          <w:sz w:val="16"/>
          <w:szCs w:val="16"/>
        </w:rPr>
      </w:pPr>
    </w:p>
    <w:p w14:paraId="2487EBC7" w14:textId="7C3E9E64" w:rsidR="00276467" w:rsidRDefault="00A429BA"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Pr>
          <w:rFonts w:ascii="Arial" w:hAnsi="Arial" w:cs="Arial"/>
          <w:bCs/>
          <w:sz w:val="24"/>
          <w:szCs w:val="24"/>
        </w:rPr>
        <w:t>[</w:t>
      </w:r>
      <w:r w:rsidR="0039039B">
        <w:rPr>
          <w:rFonts w:ascii="Arial" w:hAnsi="Arial" w:cs="Arial"/>
          <w:bCs/>
          <w:sz w:val="24"/>
          <w:szCs w:val="24"/>
        </w:rPr>
        <w:t>3</w:t>
      </w:r>
      <w:r>
        <w:rPr>
          <w:rFonts w:ascii="Arial" w:hAnsi="Arial" w:cs="Arial"/>
          <w:bCs/>
          <w:sz w:val="24"/>
          <w:szCs w:val="24"/>
        </w:rPr>
        <w:t>]</w:t>
      </w:r>
      <w:r>
        <w:rPr>
          <w:rFonts w:ascii="Arial" w:hAnsi="Arial" w:cs="Arial"/>
          <w:bCs/>
          <w:sz w:val="24"/>
          <w:szCs w:val="24"/>
        </w:rPr>
        <w:tab/>
      </w:r>
      <w:r w:rsidR="00276467">
        <w:rPr>
          <w:rFonts w:ascii="Arial" w:hAnsi="Arial" w:cs="Arial"/>
          <w:bCs/>
          <w:sz w:val="24"/>
          <w:szCs w:val="24"/>
        </w:rPr>
        <w:t xml:space="preserve">For the sake of convenience, the court </w:t>
      </w:r>
      <w:r w:rsidR="00276467">
        <w:rPr>
          <w:rFonts w:ascii="Arial" w:hAnsi="Arial" w:cs="Arial"/>
          <w:bCs/>
          <w:i/>
          <w:iCs/>
          <w:sz w:val="24"/>
          <w:szCs w:val="24"/>
        </w:rPr>
        <w:t xml:space="preserve">a quo </w:t>
      </w:r>
      <w:r w:rsidR="00276467">
        <w:rPr>
          <w:rFonts w:ascii="Arial" w:hAnsi="Arial" w:cs="Arial"/>
          <w:bCs/>
          <w:sz w:val="24"/>
          <w:szCs w:val="24"/>
        </w:rPr>
        <w:t xml:space="preserve">heard both applications simultaneously and </w:t>
      </w:r>
      <w:r>
        <w:rPr>
          <w:rFonts w:ascii="Arial" w:hAnsi="Arial" w:cs="Arial"/>
          <w:bCs/>
          <w:sz w:val="24"/>
          <w:szCs w:val="24"/>
        </w:rPr>
        <w:t xml:space="preserve">delivered a </w:t>
      </w:r>
      <w:r w:rsidR="006D5C10">
        <w:rPr>
          <w:rFonts w:ascii="Arial" w:hAnsi="Arial" w:cs="Arial"/>
          <w:bCs/>
          <w:sz w:val="24"/>
          <w:szCs w:val="24"/>
        </w:rPr>
        <w:t>judgment i</w:t>
      </w:r>
      <w:r w:rsidR="00276467">
        <w:rPr>
          <w:rFonts w:ascii="Arial" w:hAnsi="Arial" w:cs="Arial"/>
          <w:bCs/>
          <w:sz w:val="24"/>
          <w:szCs w:val="24"/>
        </w:rPr>
        <w:t xml:space="preserve">n both applications. The same process was </w:t>
      </w:r>
      <w:r w:rsidR="006569F8">
        <w:rPr>
          <w:rFonts w:ascii="Arial" w:hAnsi="Arial" w:cs="Arial"/>
          <w:bCs/>
          <w:sz w:val="24"/>
          <w:szCs w:val="24"/>
        </w:rPr>
        <w:t>followed</w:t>
      </w:r>
      <w:r w:rsidR="00276467">
        <w:rPr>
          <w:rFonts w:ascii="Arial" w:hAnsi="Arial" w:cs="Arial"/>
          <w:bCs/>
          <w:sz w:val="24"/>
          <w:szCs w:val="24"/>
        </w:rPr>
        <w:t xml:space="preserve"> in the application(s) for leave to appeal.</w:t>
      </w:r>
      <w:r>
        <w:rPr>
          <w:rFonts w:ascii="Arial" w:hAnsi="Arial" w:cs="Arial"/>
          <w:bCs/>
          <w:sz w:val="24"/>
          <w:szCs w:val="24"/>
        </w:rPr>
        <w:t xml:space="preserve">  </w:t>
      </w:r>
      <w:r w:rsidR="00276467">
        <w:rPr>
          <w:rFonts w:ascii="Arial" w:hAnsi="Arial" w:cs="Arial"/>
          <w:bCs/>
          <w:sz w:val="24"/>
          <w:szCs w:val="24"/>
        </w:rPr>
        <w:t>The two applications were however never consolidated. Each application was allocated with its own case</w:t>
      </w:r>
      <w:r w:rsidR="006569F8">
        <w:rPr>
          <w:rFonts w:ascii="Arial" w:hAnsi="Arial" w:cs="Arial"/>
          <w:bCs/>
          <w:sz w:val="24"/>
          <w:szCs w:val="24"/>
        </w:rPr>
        <w:t xml:space="preserve"> and appeal </w:t>
      </w:r>
      <w:r w:rsidR="00276467">
        <w:rPr>
          <w:rFonts w:ascii="Arial" w:hAnsi="Arial" w:cs="Arial"/>
          <w:bCs/>
          <w:sz w:val="24"/>
          <w:szCs w:val="24"/>
        </w:rPr>
        <w:t>number</w:t>
      </w:r>
      <w:r w:rsidR="006569F8">
        <w:rPr>
          <w:rFonts w:ascii="Arial" w:hAnsi="Arial" w:cs="Arial"/>
          <w:bCs/>
          <w:sz w:val="24"/>
          <w:szCs w:val="24"/>
        </w:rPr>
        <w:t>,</w:t>
      </w:r>
      <w:r w:rsidR="00636E98">
        <w:rPr>
          <w:rFonts w:ascii="Arial" w:hAnsi="Arial" w:cs="Arial"/>
          <w:bCs/>
          <w:sz w:val="24"/>
          <w:szCs w:val="24"/>
        </w:rPr>
        <w:t xml:space="preserve"> and the attorney</w:t>
      </w:r>
      <w:r w:rsidR="00276467">
        <w:rPr>
          <w:rFonts w:ascii="Arial" w:hAnsi="Arial" w:cs="Arial"/>
          <w:bCs/>
          <w:sz w:val="24"/>
          <w:szCs w:val="24"/>
        </w:rPr>
        <w:t xml:space="preserve"> for the appellant </w:t>
      </w:r>
      <w:r w:rsidR="006569F8">
        <w:rPr>
          <w:rFonts w:ascii="Arial" w:hAnsi="Arial" w:cs="Arial"/>
          <w:bCs/>
          <w:sz w:val="24"/>
          <w:szCs w:val="24"/>
        </w:rPr>
        <w:t>su</w:t>
      </w:r>
      <w:r w:rsidR="00F44CF7">
        <w:rPr>
          <w:rFonts w:ascii="Arial" w:hAnsi="Arial" w:cs="Arial"/>
          <w:bCs/>
          <w:sz w:val="24"/>
          <w:szCs w:val="24"/>
        </w:rPr>
        <w:t>b</w:t>
      </w:r>
      <w:r w:rsidR="006569F8">
        <w:rPr>
          <w:rFonts w:ascii="Arial" w:hAnsi="Arial" w:cs="Arial"/>
          <w:bCs/>
          <w:sz w:val="24"/>
          <w:szCs w:val="24"/>
        </w:rPr>
        <w:t>sequently</w:t>
      </w:r>
      <w:r w:rsidR="00276467">
        <w:rPr>
          <w:rFonts w:ascii="Arial" w:hAnsi="Arial" w:cs="Arial"/>
          <w:bCs/>
          <w:sz w:val="24"/>
          <w:szCs w:val="24"/>
        </w:rPr>
        <w:t xml:space="preserve"> applied for </w:t>
      </w:r>
      <w:r>
        <w:rPr>
          <w:rFonts w:ascii="Arial" w:hAnsi="Arial" w:cs="Arial"/>
          <w:bCs/>
          <w:sz w:val="24"/>
          <w:szCs w:val="24"/>
        </w:rPr>
        <w:t xml:space="preserve">separate </w:t>
      </w:r>
      <w:r w:rsidR="00276467">
        <w:rPr>
          <w:rFonts w:ascii="Arial" w:hAnsi="Arial" w:cs="Arial"/>
          <w:bCs/>
          <w:sz w:val="24"/>
          <w:szCs w:val="24"/>
        </w:rPr>
        <w:t>dates f</w:t>
      </w:r>
      <w:r>
        <w:rPr>
          <w:rFonts w:ascii="Arial" w:hAnsi="Arial" w:cs="Arial"/>
          <w:bCs/>
          <w:sz w:val="24"/>
          <w:szCs w:val="24"/>
        </w:rPr>
        <w:t>or the</w:t>
      </w:r>
      <w:r w:rsidR="00276467">
        <w:rPr>
          <w:rFonts w:ascii="Arial" w:hAnsi="Arial" w:cs="Arial"/>
          <w:bCs/>
          <w:sz w:val="24"/>
          <w:szCs w:val="24"/>
        </w:rPr>
        <w:t xml:space="preserve"> appeal</w:t>
      </w:r>
      <w:r>
        <w:rPr>
          <w:rFonts w:ascii="Arial" w:hAnsi="Arial" w:cs="Arial"/>
          <w:bCs/>
          <w:sz w:val="24"/>
          <w:szCs w:val="24"/>
        </w:rPr>
        <w:t>s</w:t>
      </w:r>
      <w:r w:rsidR="00276467">
        <w:rPr>
          <w:rFonts w:ascii="Arial" w:hAnsi="Arial" w:cs="Arial"/>
          <w:bCs/>
          <w:sz w:val="24"/>
          <w:szCs w:val="24"/>
        </w:rPr>
        <w:t>.</w:t>
      </w:r>
      <w:r>
        <w:rPr>
          <w:rFonts w:ascii="Arial" w:hAnsi="Arial" w:cs="Arial"/>
          <w:bCs/>
          <w:sz w:val="24"/>
          <w:szCs w:val="24"/>
        </w:rPr>
        <w:t xml:space="preserve">  </w:t>
      </w:r>
      <w:r w:rsidR="00276467">
        <w:rPr>
          <w:rFonts w:ascii="Arial" w:hAnsi="Arial" w:cs="Arial"/>
          <w:bCs/>
          <w:sz w:val="24"/>
          <w:szCs w:val="24"/>
        </w:rPr>
        <w:t>The registrar provided the appellant with the date of 15 May 2024 whil</w:t>
      </w:r>
      <w:r w:rsidR="006D5C10">
        <w:rPr>
          <w:rFonts w:ascii="Arial" w:hAnsi="Arial" w:cs="Arial"/>
          <w:bCs/>
          <w:sz w:val="24"/>
          <w:szCs w:val="24"/>
        </w:rPr>
        <w:t>st</w:t>
      </w:r>
      <w:r w:rsidR="00276467">
        <w:rPr>
          <w:rFonts w:ascii="Arial" w:hAnsi="Arial" w:cs="Arial"/>
          <w:bCs/>
          <w:sz w:val="24"/>
          <w:szCs w:val="24"/>
        </w:rPr>
        <w:t xml:space="preserve"> no date </w:t>
      </w:r>
      <w:r w:rsidR="006D5C10">
        <w:rPr>
          <w:rFonts w:ascii="Arial" w:hAnsi="Arial" w:cs="Arial"/>
          <w:bCs/>
          <w:sz w:val="24"/>
          <w:szCs w:val="24"/>
        </w:rPr>
        <w:t xml:space="preserve">for an appeal hearing was </w:t>
      </w:r>
      <w:r w:rsidR="00276467">
        <w:rPr>
          <w:rFonts w:ascii="Arial" w:hAnsi="Arial" w:cs="Arial"/>
          <w:bCs/>
          <w:sz w:val="24"/>
          <w:szCs w:val="24"/>
        </w:rPr>
        <w:t>allocated</w:t>
      </w:r>
      <w:r w:rsidR="006D5C10">
        <w:rPr>
          <w:rFonts w:ascii="Arial" w:hAnsi="Arial" w:cs="Arial"/>
          <w:bCs/>
          <w:sz w:val="24"/>
          <w:szCs w:val="24"/>
        </w:rPr>
        <w:t xml:space="preserve"> in respect of</w:t>
      </w:r>
      <w:r w:rsidR="00276467">
        <w:rPr>
          <w:rFonts w:ascii="Arial" w:hAnsi="Arial" w:cs="Arial"/>
          <w:bCs/>
          <w:sz w:val="24"/>
          <w:szCs w:val="24"/>
        </w:rPr>
        <w:t xml:space="preserve"> Magena Trading.</w:t>
      </w:r>
    </w:p>
    <w:p w14:paraId="561CE108" w14:textId="77777777" w:rsidR="00F73216" w:rsidRPr="00006101" w:rsidRDefault="00F73216" w:rsidP="003A197C">
      <w:pPr>
        <w:tabs>
          <w:tab w:val="left" w:pos="0"/>
          <w:tab w:val="left" w:pos="720"/>
          <w:tab w:val="left" w:pos="957"/>
          <w:tab w:val="left" w:pos="1448"/>
        </w:tabs>
        <w:spacing w:after="0" w:line="480" w:lineRule="auto"/>
        <w:ind w:left="720" w:hanging="720"/>
        <w:jc w:val="both"/>
        <w:rPr>
          <w:rFonts w:cs="Arial"/>
          <w:bCs/>
          <w:sz w:val="16"/>
          <w:szCs w:val="16"/>
        </w:rPr>
      </w:pPr>
    </w:p>
    <w:p w14:paraId="03FDE43E" w14:textId="1B0C97FD" w:rsidR="00636E98" w:rsidRDefault="00A429BA"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Pr>
          <w:rFonts w:ascii="Arial" w:hAnsi="Arial" w:cs="Arial"/>
          <w:bCs/>
          <w:sz w:val="24"/>
          <w:szCs w:val="24"/>
        </w:rPr>
        <w:t>[</w:t>
      </w:r>
      <w:r w:rsidR="0039039B">
        <w:rPr>
          <w:rFonts w:ascii="Arial" w:hAnsi="Arial" w:cs="Arial"/>
          <w:bCs/>
          <w:sz w:val="24"/>
          <w:szCs w:val="24"/>
        </w:rPr>
        <w:t>4</w:t>
      </w:r>
      <w:r>
        <w:rPr>
          <w:rFonts w:ascii="Arial" w:hAnsi="Arial" w:cs="Arial"/>
          <w:bCs/>
          <w:sz w:val="24"/>
          <w:szCs w:val="24"/>
        </w:rPr>
        <w:t>]</w:t>
      </w:r>
      <w:r>
        <w:rPr>
          <w:rFonts w:ascii="Arial" w:hAnsi="Arial" w:cs="Arial"/>
          <w:bCs/>
          <w:sz w:val="24"/>
          <w:szCs w:val="24"/>
        </w:rPr>
        <w:tab/>
      </w:r>
      <w:r w:rsidR="006569F8">
        <w:rPr>
          <w:rFonts w:ascii="Arial" w:hAnsi="Arial" w:cs="Arial"/>
          <w:bCs/>
          <w:sz w:val="24"/>
          <w:szCs w:val="24"/>
        </w:rPr>
        <w:t>The a</w:t>
      </w:r>
      <w:r w:rsidR="00276467">
        <w:rPr>
          <w:rFonts w:ascii="Arial" w:hAnsi="Arial" w:cs="Arial"/>
          <w:bCs/>
          <w:sz w:val="24"/>
          <w:szCs w:val="24"/>
        </w:rPr>
        <w:t xml:space="preserve">ppellant’s </w:t>
      </w:r>
      <w:r>
        <w:rPr>
          <w:rFonts w:ascii="Arial" w:hAnsi="Arial" w:cs="Arial"/>
          <w:bCs/>
          <w:sz w:val="24"/>
          <w:szCs w:val="24"/>
        </w:rPr>
        <w:t xml:space="preserve">understanding that </w:t>
      </w:r>
      <w:r w:rsidR="006569F8">
        <w:rPr>
          <w:rFonts w:ascii="Arial" w:hAnsi="Arial" w:cs="Arial"/>
          <w:bCs/>
          <w:sz w:val="24"/>
          <w:szCs w:val="24"/>
        </w:rPr>
        <w:t>both appeals were to be heard on the same date</w:t>
      </w:r>
      <w:r w:rsidR="00276467">
        <w:rPr>
          <w:rFonts w:ascii="Arial" w:hAnsi="Arial" w:cs="Arial"/>
          <w:bCs/>
          <w:sz w:val="24"/>
          <w:szCs w:val="24"/>
        </w:rPr>
        <w:t xml:space="preserve"> </w:t>
      </w:r>
      <w:r>
        <w:rPr>
          <w:rFonts w:ascii="Arial" w:hAnsi="Arial" w:cs="Arial"/>
          <w:bCs/>
          <w:sz w:val="24"/>
          <w:szCs w:val="24"/>
        </w:rPr>
        <w:t>is misconceived.  It</w:t>
      </w:r>
      <w:r w:rsidR="006D5C10">
        <w:rPr>
          <w:rFonts w:ascii="Arial" w:hAnsi="Arial" w:cs="Arial"/>
          <w:bCs/>
          <w:sz w:val="24"/>
          <w:szCs w:val="24"/>
        </w:rPr>
        <w:t xml:space="preserve"> cannot be disputed that </w:t>
      </w:r>
      <w:r w:rsidR="006569F8">
        <w:rPr>
          <w:rFonts w:ascii="Arial" w:hAnsi="Arial" w:cs="Arial"/>
          <w:bCs/>
          <w:sz w:val="24"/>
          <w:szCs w:val="24"/>
        </w:rPr>
        <w:t>no date was allocated for the appeal of Magena Trading</w:t>
      </w:r>
      <w:r>
        <w:rPr>
          <w:rFonts w:ascii="Arial" w:hAnsi="Arial" w:cs="Arial"/>
          <w:bCs/>
          <w:sz w:val="24"/>
          <w:szCs w:val="24"/>
        </w:rPr>
        <w:t xml:space="preserve">.  </w:t>
      </w:r>
      <w:r w:rsidR="00333317">
        <w:rPr>
          <w:rFonts w:ascii="Arial" w:hAnsi="Arial" w:cs="Arial"/>
          <w:bCs/>
          <w:sz w:val="24"/>
          <w:szCs w:val="24"/>
        </w:rPr>
        <w:t>Consequently,</w:t>
      </w:r>
      <w:r w:rsidR="00276467">
        <w:rPr>
          <w:rFonts w:ascii="Arial" w:hAnsi="Arial" w:cs="Arial"/>
          <w:bCs/>
          <w:sz w:val="24"/>
          <w:szCs w:val="24"/>
        </w:rPr>
        <w:t xml:space="preserve"> th</w:t>
      </w:r>
      <w:r w:rsidR="006569F8">
        <w:rPr>
          <w:rFonts w:ascii="Arial" w:hAnsi="Arial" w:cs="Arial"/>
          <w:bCs/>
          <w:sz w:val="24"/>
          <w:szCs w:val="24"/>
        </w:rPr>
        <w:t>is</w:t>
      </w:r>
      <w:r>
        <w:rPr>
          <w:rFonts w:ascii="Arial" w:hAnsi="Arial" w:cs="Arial"/>
          <w:bCs/>
          <w:sz w:val="24"/>
          <w:szCs w:val="24"/>
        </w:rPr>
        <w:t xml:space="preserve"> court was seized only with the appeal of the </w:t>
      </w:r>
      <w:r w:rsidR="00276467">
        <w:rPr>
          <w:rFonts w:ascii="Arial" w:hAnsi="Arial" w:cs="Arial"/>
          <w:bCs/>
          <w:sz w:val="24"/>
          <w:szCs w:val="24"/>
        </w:rPr>
        <w:t>appellant</w:t>
      </w:r>
      <w:r w:rsidR="006569F8">
        <w:rPr>
          <w:rFonts w:ascii="Arial" w:hAnsi="Arial" w:cs="Arial"/>
          <w:bCs/>
          <w:sz w:val="24"/>
          <w:szCs w:val="24"/>
        </w:rPr>
        <w:t>.</w:t>
      </w:r>
      <w:r w:rsidR="0039039B">
        <w:rPr>
          <w:rFonts w:ascii="Arial" w:hAnsi="Arial" w:cs="Arial"/>
          <w:bCs/>
          <w:sz w:val="24"/>
          <w:szCs w:val="24"/>
        </w:rPr>
        <w:t xml:space="preserve">  </w:t>
      </w:r>
    </w:p>
    <w:p w14:paraId="0AF74E37" w14:textId="77777777" w:rsidR="00636E98" w:rsidRPr="00006101" w:rsidRDefault="00636E98" w:rsidP="003A197C">
      <w:pPr>
        <w:tabs>
          <w:tab w:val="left" w:pos="0"/>
          <w:tab w:val="left" w:pos="720"/>
          <w:tab w:val="left" w:pos="957"/>
          <w:tab w:val="left" w:pos="1448"/>
        </w:tabs>
        <w:spacing w:after="0" w:line="480" w:lineRule="auto"/>
        <w:ind w:left="720" w:hanging="720"/>
        <w:jc w:val="both"/>
        <w:rPr>
          <w:rFonts w:ascii="Arial" w:hAnsi="Arial" w:cs="Arial"/>
          <w:bCs/>
          <w:sz w:val="16"/>
          <w:szCs w:val="16"/>
        </w:rPr>
      </w:pPr>
    </w:p>
    <w:p w14:paraId="3010D99F" w14:textId="4A8CEB92" w:rsidR="00276467" w:rsidRDefault="00636E98"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0039039B">
        <w:rPr>
          <w:rFonts w:ascii="Arial" w:hAnsi="Arial" w:cs="Arial"/>
          <w:bCs/>
          <w:sz w:val="24"/>
          <w:szCs w:val="24"/>
        </w:rPr>
        <w:t>It is necessary to emphasize that when the matter was heard</w:t>
      </w:r>
      <w:r>
        <w:rPr>
          <w:rFonts w:ascii="Arial" w:hAnsi="Arial" w:cs="Arial"/>
          <w:bCs/>
          <w:sz w:val="24"/>
          <w:szCs w:val="24"/>
        </w:rPr>
        <w:t xml:space="preserve"> before us</w:t>
      </w:r>
      <w:r w:rsidR="0039039B">
        <w:rPr>
          <w:rFonts w:ascii="Arial" w:hAnsi="Arial" w:cs="Arial"/>
          <w:bCs/>
          <w:sz w:val="24"/>
          <w:szCs w:val="24"/>
        </w:rPr>
        <w:t xml:space="preserve">, the parties were in agreement that the appeal had lapsed.  The remaining issue in dispute pertains to the costs.  </w:t>
      </w:r>
    </w:p>
    <w:p w14:paraId="04DF12D3" w14:textId="77777777" w:rsidR="00BD55C2" w:rsidRPr="00006101" w:rsidRDefault="00BD55C2" w:rsidP="003A197C">
      <w:pPr>
        <w:tabs>
          <w:tab w:val="left" w:pos="0"/>
          <w:tab w:val="left" w:pos="720"/>
          <w:tab w:val="left" w:pos="957"/>
          <w:tab w:val="left" w:pos="1448"/>
        </w:tabs>
        <w:spacing w:after="0" w:line="480" w:lineRule="auto"/>
        <w:ind w:left="720" w:hanging="720"/>
        <w:jc w:val="both"/>
        <w:rPr>
          <w:rFonts w:cs="Arial"/>
          <w:bCs/>
          <w:sz w:val="16"/>
          <w:szCs w:val="16"/>
        </w:rPr>
      </w:pPr>
    </w:p>
    <w:p w14:paraId="62D1D22C" w14:textId="0303D368" w:rsidR="00276467" w:rsidRDefault="00276467"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Pr>
          <w:rFonts w:ascii="Arial" w:hAnsi="Arial" w:cs="Arial"/>
          <w:bCs/>
          <w:sz w:val="24"/>
          <w:szCs w:val="24"/>
        </w:rPr>
        <w:t>[</w:t>
      </w:r>
      <w:r w:rsidR="006106B4">
        <w:rPr>
          <w:rFonts w:ascii="Arial" w:hAnsi="Arial" w:cs="Arial"/>
          <w:bCs/>
          <w:sz w:val="24"/>
          <w:szCs w:val="24"/>
        </w:rPr>
        <w:t>6</w:t>
      </w:r>
      <w:r>
        <w:rPr>
          <w:rFonts w:ascii="Arial" w:hAnsi="Arial" w:cs="Arial"/>
          <w:bCs/>
          <w:sz w:val="24"/>
          <w:szCs w:val="24"/>
        </w:rPr>
        <w:t>]</w:t>
      </w:r>
      <w:r>
        <w:rPr>
          <w:rFonts w:ascii="Arial" w:hAnsi="Arial" w:cs="Arial"/>
          <w:bCs/>
          <w:sz w:val="24"/>
          <w:szCs w:val="24"/>
        </w:rPr>
        <w:tab/>
      </w:r>
      <w:r w:rsidR="0039039B">
        <w:rPr>
          <w:rFonts w:ascii="Arial" w:hAnsi="Arial" w:cs="Arial"/>
          <w:bCs/>
          <w:sz w:val="24"/>
          <w:szCs w:val="24"/>
        </w:rPr>
        <w:t>T</w:t>
      </w:r>
      <w:r>
        <w:rPr>
          <w:rFonts w:ascii="Arial" w:hAnsi="Arial" w:cs="Arial"/>
          <w:bCs/>
          <w:sz w:val="24"/>
          <w:szCs w:val="24"/>
        </w:rPr>
        <w:t xml:space="preserve">he respondents </w:t>
      </w:r>
      <w:r w:rsidR="00BE389E">
        <w:rPr>
          <w:rFonts w:ascii="Arial" w:hAnsi="Arial" w:cs="Arial"/>
          <w:bCs/>
          <w:sz w:val="24"/>
          <w:szCs w:val="24"/>
        </w:rPr>
        <w:t xml:space="preserve">persist in their view </w:t>
      </w:r>
      <w:r>
        <w:rPr>
          <w:rFonts w:ascii="Arial" w:hAnsi="Arial" w:cs="Arial"/>
          <w:bCs/>
          <w:sz w:val="24"/>
          <w:szCs w:val="24"/>
        </w:rPr>
        <w:t>that the</w:t>
      </w:r>
      <w:r w:rsidR="00B22B7C">
        <w:rPr>
          <w:rFonts w:ascii="Arial" w:hAnsi="Arial" w:cs="Arial"/>
          <w:bCs/>
          <w:sz w:val="24"/>
          <w:szCs w:val="24"/>
        </w:rPr>
        <w:t xml:space="preserve"> appellant failed to fully comply with Rules 49(6)(a) and </w:t>
      </w:r>
      <w:r w:rsidR="003930A9">
        <w:rPr>
          <w:rFonts w:ascii="Arial" w:hAnsi="Arial" w:cs="Arial"/>
          <w:bCs/>
          <w:sz w:val="24"/>
          <w:szCs w:val="24"/>
        </w:rPr>
        <w:t>(13)</w:t>
      </w:r>
      <w:r w:rsidR="003930A9">
        <w:rPr>
          <w:rStyle w:val="FootnoteReference"/>
          <w:rFonts w:ascii="Arial" w:hAnsi="Arial" w:cs="Arial"/>
          <w:bCs/>
          <w:sz w:val="24"/>
          <w:szCs w:val="24"/>
        </w:rPr>
        <w:footnoteReference w:id="1"/>
      </w:r>
      <w:r w:rsidR="00BE389E">
        <w:rPr>
          <w:rFonts w:ascii="Arial" w:hAnsi="Arial" w:cs="Arial"/>
          <w:bCs/>
          <w:sz w:val="24"/>
          <w:szCs w:val="24"/>
        </w:rPr>
        <w:t xml:space="preserve">.  </w:t>
      </w:r>
      <w:r w:rsidR="00333317">
        <w:rPr>
          <w:rFonts w:ascii="Arial" w:hAnsi="Arial" w:cs="Arial"/>
          <w:bCs/>
          <w:sz w:val="24"/>
          <w:szCs w:val="24"/>
        </w:rPr>
        <w:t>Moreover,</w:t>
      </w:r>
      <w:r w:rsidR="00BE389E">
        <w:rPr>
          <w:rFonts w:ascii="Arial" w:hAnsi="Arial" w:cs="Arial"/>
          <w:bCs/>
          <w:sz w:val="24"/>
          <w:szCs w:val="24"/>
        </w:rPr>
        <w:t xml:space="preserve"> </w:t>
      </w:r>
      <w:r w:rsidR="006569F8">
        <w:rPr>
          <w:rFonts w:ascii="Arial" w:hAnsi="Arial" w:cs="Arial"/>
          <w:bCs/>
          <w:sz w:val="24"/>
          <w:szCs w:val="24"/>
        </w:rPr>
        <w:t>in terms of Rule 49(6)(a)</w:t>
      </w:r>
      <w:r w:rsidR="003930A9">
        <w:rPr>
          <w:rFonts w:ascii="Arial" w:hAnsi="Arial" w:cs="Arial"/>
          <w:bCs/>
          <w:sz w:val="24"/>
          <w:szCs w:val="24"/>
        </w:rPr>
        <w:t xml:space="preserve"> the</w:t>
      </w:r>
      <w:r>
        <w:rPr>
          <w:rFonts w:ascii="Arial" w:hAnsi="Arial" w:cs="Arial"/>
          <w:bCs/>
          <w:sz w:val="24"/>
          <w:szCs w:val="24"/>
        </w:rPr>
        <w:t xml:space="preserve"> appeal ha</w:t>
      </w:r>
      <w:r w:rsidR="006F2D02">
        <w:rPr>
          <w:rFonts w:ascii="Arial" w:hAnsi="Arial" w:cs="Arial"/>
          <w:bCs/>
          <w:sz w:val="24"/>
          <w:szCs w:val="24"/>
        </w:rPr>
        <w:t>d</w:t>
      </w:r>
      <w:r>
        <w:rPr>
          <w:rFonts w:ascii="Arial" w:hAnsi="Arial" w:cs="Arial"/>
          <w:bCs/>
          <w:sz w:val="24"/>
          <w:szCs w:val="24"/>
        </w:rPr>
        <w:t xml:space="preserve"> lapsed</w:t>
      </w:r>
      <w:r w:rsidR="007B0BBB">
        <w:rPr>
          <w:rFonts w:ascii="Arial" w:hAnsi="Arial" w:cs="Arial"/>
          <w:bCs/>
          <w:sz w:val="24"/>
          <w:szCs w:val="24"/>
        </w:rPr>
        <w:t xml:space="preserve"> </w:t>
      </w:r>
      <w:r w:rsidR="00BE389E">
        <w:rPr>
          <w:rFonts w:ascii="Arial" w:hAnsi="Arial" w:cs="Arial"/>
          <w:bCs/>
          <w:sz w:val="24"/>
          <w:szCs w:val="24"/>
        </w:rPr>
        <w:t xml:space="preserve">since </w:t>
      </w:r>
      <w:r w:rsidR="007B0BBB">
        <w:rPr>
          <w:rFonts w:ascii="Arial" w:hAnsi="Arial" w:cs="Arial"/>
          <w:bCs/>
          <w:sz w:val="24"/>
          <w:szCs w:val="24"/>
        </w:rPr>
        <w:t xml:space="preserve">the appellant failed to apply for a date of hearing </w:t>
      </w:r>
      <w:r w:rsidR="00BE389E">
        <w:rPr>
          <w:rFonts w:ascii="Arial" w:hAnsi="Arial" w:cs="Arial"/>
          <w:bCs/>
          <w:sz w:val="24"/>
          <w:szCs w:val="24"/>
        </w:rPr>
        <w:t xml:space="preserve">when it filed the appeal record.  This entails </w:t>
      </w:r>
      <w:r>
        <w:rPr>
          <w:rFonts w:ascii="Arial" w:hAnsi="Arial" w:cs="Arial"/>
          <w:bCs/>
          <w:sz w:val="24"/>
          <w:szCs w:val="24"/>
        </w:rPr>
        <w:t>that the appellant would have to launch a substantive application</w:t>
      </w:r>
      <w:r w:rsidR="006569F8">
        <w:rPr>
          <w:rFonts w:ascii="Arial" w:hAnsi="Arial" w:cs="Arial"/>
          <w:bCs/>
          <w:sz w:val="24"/>
          <w:szCs w:val="24"/>
        </w:rPr>
        <w:t xml:space="preserve"> in accordance with Rule 49(6)(b)</w:t>
      </w:r>
      <w:r>
        <w:rPr>
          <w:rFonts w:ascii="Arial" w:hAnsi="Arial" w:cs="Arial"/>
          <w:bCs/>
          <w:sz w:val="24"/>
          <w:szCs w:val="24"/>
        </w:rPr>
        <w:t xml:space="preserve"> for its reinstatement</w:t>
      </w:r>
      <w:r w:rsidR="00E65D04">
        <w:rPr>
          <w:rFonts w:ascii="Arial" w:hAnsi="Arial" w:cs="Arial"/>
          <w:bCs/>
          <w:sz w:val="24"/>
          <w:szCs w:val="24"/>
        </w:rPr>
        <w:t>.</w:t>
      </w:r>
    </w:p>
    <w:p w14:paraId="02107C4E" w14:textId="77777777" w:rsidR="00F73216" w:rsidRPr="00006101" w:rsidRDefault="00F73216" w:rsidP="003A197C">
      <w:pPr>
        <w:tabs>
          <w:tab w:val="left" w:pos="0"/>
          <w:tab w:val="left" w:pos="720"/>
          <w:tab w:val="left" w:pos="957"/>
          <w:tab w:val="left" w:pos="1448"/>
        </w:tabs>
        <w:spacing w:after="0" w:line="480" w:lineRule="auto"/>
        <w:ind w:left="720" w:hanging="720"/>
        <w:jc w:val="both"/>
        <w:rPr>
          <w:rFonts w:cs="Arial"/>
          <w:bCs/>
          <w:sz w:val="16"/>
          <w:szCs w:val="16"/>
        </w:rPr>
      </w:pPr>
    </w:p>
    <w:p w14:paraId="431AF98E" w14:textId="471E8D81" w:rsidR="00F73216" w:rsidRDefault="00BE389E"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Pr>
          <w:rFonts w:ascii="Arial" w:hAnsi="Arial" w:cs="Arial"/>
          <w:bCs/>
          <w:sz w:val="24"/>
          <w:szCs w:val="24"/>
        </w:rPr>
        <w:t>[</w:t>
      </w:r>
      <w:r w:rsidR="006106B4">
        <w:rPr>
          <w:rFonts w:ascii="Arial" w:hAnsi="Arial" w:cs="Arial"/>
          <w:bCs/>
          <w:sz w:val="24"/>
          <w:szCs w:val="24"/>
        </w:rPr>
        <w:t>7</w:t>
      </w:r>
      <w:r>
        <w:rPr>
          <w:rFonts w:ascii="Arial" w:hAnsi="Arial" w:cs="Arial"/>
          <w:bCs/>
          <w:sz w:val="24"/>
          <w:szCs w:val="24"/>
        </w:rPr>
        <w:t>]</w:t>
      </w:r>
      <w:r>
        <w:rPr>
          <w:rFonts w:ascii="Arial" w:hAnsi="Arial" w:cs="Arial"/>
          <w:bCs/>
          <w:sz w:val="24"/>
          <w:szCs w:val="24"/>
        </w:rPr>
        <w:tab/>
      </w:r>
      <w:r w:rsidR="006D5C10">
        <w:rPr>
          <w:rFonts w:ascii="Arial" w:hAnsi="Arial" w:cs="Arial"/>
          <w:bCs/>
          <w:sz w:val="24"/>
          <w:szCs w:val="24"/>
        </w:rPr>
        <w:t xml:space="preserve">It was further argued that the appellant failed to do so timeously, namely </w:t>
      </w:r>
      <w:r w:rsidR="007B0BBB">
        <w:rPr>
          <w:rFonts w:ascii="Arial" w:hAnsi="Arial" w:cs="Arial"/>
          <w:bCs/>
          <w:sz w:val="24"/>
          <w:szCs w:val="24"/>
        </w:rPr>
        <w:t xml:space="preserve">within 60 days of its </w:t>
      </w:r>
      <w:r w:rsidR="00F44CF7">
        <w:rPr>
          <w:rFonts w:ascii="Arial" w:hAnsi="Arial" w:cs="Arial"/>
          <w:bCs/>
          <w:sz w:val="24"/>
          <w:szCs w:val="24"/>
        </w:rPr>
        <w:t>delivery</w:t>
      </w:r>
      <w:r w:rsidR="007B0BBB">
        <w:rPr>
          <w:rFonts w:ascii="Arial" w:hAnsi="Arial" w:cs="Arial"/>
          <w:bCs/>
          <w:sz w:val="24"/>
          <w:szCs w:val="24"/>
        </w:rPr>
        <w:t xml:space="preserve"> of its notice of appeal as required by Rule 49(6)(a)</w:t>
      </w:r>
      <w:r w:rsidR="00F44CF7">
        <w:rPr>
          <w:rFonts w:ascii="Arial" w:hAnsi="Arial" w:cs="Arial"/>
          <w:bCs/>
          <w:sz w:val="24"/>
          <w:szCs w:val="24"/>
        </w:rPr>
        <w:t>.</w:t>
      </w:r>
      <w:r>
        <w:rPr>
          <w:rFonts w:ascii="Arial" w:hAnsi="Arial" w:cs="Arial"/>
          <w:bCs/>
          <w:sz w:val="24"/>
          <w:szCs w:val="24"/>
        </w:rPr>
        <w:t xml:space="preserve">  </w:t>
      </w:r>
      <w:r w:rsidR="00276467">
        <w:rPr>
          <w:rFonts w:ascii="Arial" w:hAnsi="Arial" w:cs="Arial"/>
          <w:bCs/>
          <w:sz w:val="24"/>
          <w:szCs w:val="24"/>
        </w:rPr>
        <w:t>As early as 20 February 2023 the</w:t>
      </w:r>
      <w:r w:rsidR="00E65D04">
        <w:rPr>
          <w:rFonts w:ascii="Arial" w:hAnsi="Arial" w:cs="Arial"/>
          <w:bCs/>
          <w:sz w:val="24"/>
          <w:szCs w:val="24"/>
        </w:rPr>
        <w:t xml:space="preserve"> respondents</w:t>
      </w:r>
      <w:r w:rsidR="006569F8">
        <w:rPr>
          <w:rFonts w:ascii="Arial" w:hAnsi="Arial" w:cs="Arial"/>
          <w:bCs/>
          <w:sz w:val="24"/>
          <w:szCs w:val="24"/>
        </w:rPr>
        <w:t>’</w:t>
      </w:r>
      <w:r w:rsidR="00E65D04">
        <w:rPr>
          <w:rFonts w:ascii="Arial" w:hAnsi="Arial" w:cs="Arial"/>
          <w:bCs/>
          <w:sz w:val="24"/>
          <w:szCs w:val="24"/>
        </w:rPr>
        <w:t xml:space="preserve"> attorney </w:t>
      </w:r>
      <w:r w:rsidR="006D5C10">
        <w:rPr>
          <w:rFonts w:ascii="Arial" w:hAnsi="Arial" w:cs="Arial"/>
          <w:bCs/>
          <w:sz w:val="24"/>
          <w:szCs w:val="24"/>
        </w:rPr>
        <w:t xml:space="preserve">informed </w:t>
      </w:r>
      <w:r w:rsidR="00E65D04">
        <w:rPr>
          <w:rFonts w:ascii="Arial" w:hAnsi="Arial" w:cs="Arial"/>
          <w:bCs/>
          <w:sz w:val="24"/>
          <w:szCs w:val="24"/>
        </w:rPr>
        <w:t>the appellant</w:t>
      </w:r>
      <w:r w:rsidR="006D5C10">
        <w:rPr>
          <w:rFonts w:ascii="Arial" w:hAnsi="Arial" w:cs="Arial"/>
          <w:bCs/>
          <w:sz w:val="24"/>
          <w:szCs w:val="24"/>
        </w:rPr>
        <w:t xml:space="preserve"> of the lapsing of the appeal</w:t>
      </w:r>
      <w:r w:rsidR="00E65D04">
        <w:rPr>
          <w:rFonts w:ascii="Arial" w:hAnsi="Arial" w:cs="Arial"/>
          <w:bCs/>
          <w:sz w:val="24"/>
          <w:szCs w:val="24"/>
        </w:rPr>
        <w:t xml:space="preserve">. </w:t>
      </w:r>
    </w:p>
    <w:p w14:paraId="297C563C" w14:textId="04C6363A" w:rsidR="00BE389E" w:rsidRDefault="00BE389E"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Pr>
          <w:rFonts w:ascii="Arial" w:hAnsi="Arial" w:cs="Arial"/>
          <w:bCs/>
          <w:sz w:val="24"/>
          <w:szCs w:val="24"/>
        </w:rPr>
        <w:t xml:space="preserve"> </w:t>
      </w:r>
    </w:p>
    <w:p w14:paraId="6A4B6744" w14:textId="5277A65E" w:rsidR="00E65D04" w:rsidRDefault="00BE389E" w:rsidP="003A197C">
      <w:pPr>
        <w:tabs>
          <w:tab w:val="left" w:pos="0"/>
          <w:tab w:val="left" w:pos="720"/>
          <w:tab w:val="left" w:pos="957"/>
          <w:tab w:val="left" w:pos="1448"/>
        </w:tabs>
        <w:spacing w:after="0" w:line="480" w:lineRule="auto"/>
        <w:ind w:left="720" w:hanging="720"/>
        <w:jc w:val="both"/>
        <w:rPr>
          <w:rFonts w:cs="Arial"/>
          <w:bCs/>
        </w:rPr>
      </w:pPr>
      <w:r>
        <w:rPr>
          <w:rFonts w:ascii="Arial" w:hAnsi="Arial" w:cs="Arial"/>
          <w:bCs/>
          <w:sz w:val="24"/>
          <w:szCs w:val="24"/>
        </w:rPr>
        <w:t>[</w:t>
      </w:r>
      <w:r w:rsidR="006106B4">
        <w:rPr>
          <w:rFonts w:ascii="Arial" w:hAnsi="Arial" w:cs="Arial"/>
          <w:bCs/>
          <w:sz w:val="24"/>
          <w:szCs w:val="24"/>
        </w:rPr>
        <w:t>8</w:t>
      </w:r>
      <w:r>
        <w:rPr>
          <w:rFonts w:ascii="Arial" w:hAnsi="Arial" w:cs="Arial"/>
          <w:bCs/>
          <w:sz w:val="24"/>
          <w:szCs w:val="24"/>
        </w:rPr>
        <w:t>]</w:t>
      </w:r>
      <w:r>
        <w:rPr>
          <w:rFonts w:ascii="Arial" w:hAnsi="Arial" w:cs="Arial"/>
          <w:bCs/>
          <w:sz w:val="24"/>
          <w:szCs w:val="24"/>
        </w:rPr>
        <w:tab/>
        <w:t xml:space="preserve">The appellant concedes that it did not apply for a hearing date within 60 days of its delivery of its notice of appeal.  </w:t>
      </w:r>
      <w:r w:rsidR="00F44CF7" w:rsidRPr="00F44CF7">
        <w:rPr>
          <w:rFonts w:ascii="Arial" w:hAnsi="Arial" w:cs="Arial"/>
          <w:bCs/>
          <w:sz w:val="24"/>
          <w:szCs w:val="24"/>
        </w:rPr>
        <w:t>In</w:t>
      </w:r>
      <w:r w:rsidR="00F44CF7">
        <w:rPr>
          <w:rFonts w:ascii="Arial" w:hAnsi="Arial" w:cs="Arial"/>
          <w:bCs/>
          <w:sz w:val="24"/>
          <w:szCs w:val="24"/>
        </w:rPr>
        <w:t xml:space="preserve"> </w:t>
      </w:r>
      <w:r w:rsidR="00F44CF7" w:rsidRPr="00F44CF7">
        <w:rPr>
          <w:rFonts w:ascii="Arial" w:hAnsi="Arial" w:cs="Arial"/>
          <w:bCs/>
          <w:i/>
          <w:iCs/>
          <w:sz w:val="24"/>
          <w:szCs w:val="24"/>
        </w:rPr>
        <w:t>Genesis</w:t>
      </w:r>
      <w:r w:rsidR="00F44CF7" w:rsidRPr="00F44CF7">
        <w:rPr>
          <w:rFonts w:ascii="Arial" w:hAnsi="Arial" w:cs="Arial"/>
          <w:bCs/>
          <w:i/>
          <w:iCs/>
          <w:sz w:val="24"/>
          <w:szCs w:val="24"/>
          <w:vertAlign w:val="superscript"/>
        </w:rPr>
        <w:footnoteReference w:id="2"/>
      </w:r>
      <w:r w:rsidR="00F44CF7" w:rsidRPr="00F44CF7">
        <w:rPr>
          <w:rFonts w:ascii="Arial" w:hAnsi="Arial" w:cs="Arial"/>
          <w:bCs/>
          <w:i/>
          <w:iCs/>
          <w:sz w:val="24"/>
          <w:szCs w:val="24"/>
        </w:rPr>
        <w:t xml:space="preserve"> </w:t>
      </w:r>
      <w:r w:rsidR="00F44CF7" w:rsidRPr="00F44CF7">
        <w:rPr>
          <w:rFonts w:ascii="Arial" w:hAnsi="Arial" w:cs="Arial"/>
          <w:bCs/>
          <w:sz w:val="24"/>
          <w:szCs w:val="24"/>
        </w:rPr>
        <w:t xml:space="preserve">it was held that if a written application for a date of hearing an appeal is not timeously made to the registrar </w:t>
      </w:r>
      <w:r>
        <w:rPr>
          <w:rFonts w:ascii="Arial" w:hAnsi="Arial" w:cs="Arial"/>
          <w:bCs/>
          <w:sz w:val="24"/>
          <w:szCs w:val="24"/>
        </w:rPr>
        <w:t xml:space="preserve">then </w:t>
      </w:r>
      <w:r w:rsidR="00F44CF7" w:rsidRPr="00F44CF7">
        <w:rPr>
          <w:rFonts w:ascii="Arial" w:hAnsi="Arial" w:cs="Arial"/>
          <w:bCs/>
          <w:sz w:val="24"/>
          <w:szCs w:val="24"/>
        </w:rPr>
        <w:t xml:space="preserve">the appeal is deemed to have lapsed. </w:t>
      </w:r>
      <w:r>
        <w:rPr>
          <w:rFonts w:ascii="Arial" w:hAnsi="Arial" w:cs="Arial"/>
          <w:bCs/>
          <w:sz w:val="24"/>
          <w:szCs w:val="24"/>
        </w:rPr>
        <w:t xml:space="preserve"> On the facts and c</w:t>
      </w:r>
      <w:r w:rsidR="00F44CF7">
        <w:rPr>
          <w:rFonts w:ascii="Arial" w:hAnsi="Arial" w:cs="Arial"/>
          <w:bCs/>
          <w:sz w:val="24"/>
          <w:szCs w:val="24"/>
        </w:rPr>
        <w:t xml:space="preserve">ontrary to the </w:t>
      </w:r>
      <w:r w:rsidR="00F44CF7">
        <w:rPr>
          <w:rFonts w:ascii="Arial" w:hAnsi="Arial" w:cs="Arial"/>
          <w:bCs/>
          <w:sz w:val="24"/>
          <w:szCs w:val="24"/>
        </w:rPr>
        <w:lastRenderedPageBreak/>
        <w:t>Rule</w:t>
      </w:r>
      <w:r>
        <w:rPr>
          <w:rFonts w:ascii="Arial" w:hAnsi="Arial" w:cs="Arial"/>
          <w:bCs/>
          <w:sz w:val="24"/>
          <w:szCs w:val="24"/>
        </w:rPr>
        <w:t>s,</w:t>
      </w:r>
      <w:r w:rsidR="00F44CF7">
        <w:rPr>
          <w:rFonts w:ascii="Arial" w:hAnsi="Arial" w:cs="Arial"/>
          <w:bCs/>
          <w:sz w:val="24"/>
          <w:szCs w:val="24"/>
        </w:rPr>
        <w:t xml:space="preserve"> t</w:t>
      </w:r>
      <w:r w:rsidR="00F44CF7" w:rsidRPr="00F44CF7">
        <w:rPr>
          <w:rFonts w:ascii="Arial" w:hAnsi="Arial" w:cs="Arial"/>
          <w:bCs/>
          <w:sz w:val="24"/>
          <w:szCs w:val="24"/>
        </w:rPr>
        <w:t>he appellant applied for a date long after the expiry of 60 days.</w:t>
      </w:r>
      <w:r>
        <w:rPr>
          <w:rFonts w:ascii="Arial" w:hAnsi="Arial" w:cs="Arial"/>
          <w:bCs/>
          <w:sz w:val="24"/>
          <w:szCs w:val="24"/>
        </w:rPr>
        <w:t xml:space="preserve">  </w:t>
      </w:r>
      <w:r w:rsidR="00E65D04">
        <w:rPr>
          <w:rFonts w:ascii="Arial" w:hAnsi="Arial" w:cs="Arial"/>
          <w:bCs/>
          <w:sz w:val="24"/>
          <w:szCs w:val="24"/>
        </w:rPr>
        <w:t>Rule</w:t>
      </w:r>
      <w:r w:rsidR="00F44CF7">
        <w:rPr>
          <w:rFonts w:ascii="Arial" w:hAnsi="Arial" w:cs="Arial"/>
          <w:bCs/>
          <w:sz w:val="24"/>
          <w:szCs w:val="24"/>
        </w:rPr>
        <w:t xml:space="preserve"> 49(6)(a)</w:t>
      </w:r>
      <w:r w:rsidR="00E65D04">
        <w:rPr>
          <w:rFonts w:ascii="Arial" w:hAnsi="Arial" w:cs="Arial"/>
          <w:bCs/>
          <w:sz w:val="24"/>
          <w:szCs w:val="24"/>
        </w:rPr>
        <w:t xml:space="preserve"> reads</w:t>
      </w:r>
      <w:r w:rsidR="00B22B7C">
        <w:rPr>
          <w:rFonts w:ascii="Arial" w:hAnsi="Arial" w:cs="Arial"/>
          <w:bCs/>
          <w:sz w:val="24"/>
          <w:szCs w:val="24"/>
        </w:rPr>
        <w:t>:</w:t>
      </w:r>
    </w:p>
    <w:p w14:paraId="4F8FA6AB" w14:textId="17B21901" w:rsidR="00B22B7C" w:rsidRPr="00BE389E" w:rsidRDefault="00B22B7C" w:rsidP="003A197C">
      <w:pPr>
        <w:tabs>
          <w:tab w:val="left" w:pos="0"/>
          <w:tab w:val="left" w:pos="720"/>
          <w:tab w:val="left" w:pos="957"/>
          <w:tab w:val="left" w:pos="1448"/>
        </w:tabs>
        <w:spacing w:after="0" w:line="480" w:lineRule="auto"/>
        <w:ind w:left="720" w:hanging="720"/>
        <w:jc w:val="both"/>
        <w:rPr>
          <w:rFonts w:cs="Arial"/>
          <w:bCs/>
          <w:i/>
          <w:iCs/>
        </w:rPr>
      </w:pPr>
      <w:r>
        <w:rPr>
          <w:rFonts w:ascii="Arial" w:hAnsi="Arial" w:cs="Arial"/>
          <w:bCs/>
          <w:sz w:val="24"/>
          <w:szCs w:val="24"/>
        </w:rPr>
        <w:tab/>
      </w:r>
      <w:r w:rsidR="00BE389E" w:rsidRPr="00BE389E">
        <w:rPr>
          <w:rFonts w:ascii="Arial" w:hAnsi="Arial" w:cs="Arial"/>
          <w:bCs/>
          <w:i/>
          <w:sz w:val="24"/>
          <w:szCs w:val="24"/>
        </w:rPr>
        <w:t>“</w:t>
      </w:r>
      <w:r w:rsidRPr="00BE389E">
        <w:rPr>
          <w:rFonts w:ascii="Arial" w:hAnsi="Arial" w:cs="Arial"/>
          <w:bCs/>
          <w:i/>
          <w:iCs/>
          <w:sz w:val="24"/>
          <w:szCs w:val="24"/>
        </w:rPr>
        <w:t xml:space="preserve">Within 60 days after delivery of a notice of appeal, an appellant shall make written application to the registrar of the division where the appeal is to be heard for a date for the hearing of such appeal and shall at the same time furnish him with his full residential address and the name and address of every other party to the appeal and if the appellant fails to do so a respondent may within 10 days after the expiry of the said period of 60 days, as in the case of the appellant, apply for the set down of the appeal or cross-appeal which he may have noted. If no such application is made by either party the appeal </w:t>
      </w:r>
      <w:proofErr w:type="gramStart"/>
      <w:r w:rsidRPr="00BE389E">
        <w:rPr>
          <w:rFonts w:ascii="Arial" w:hAnsi="Arial" w:cs="Arial"/>
          <w:bCs/>
          <w:i/>
          <w:iCs/>
          <w:sz w:val="24"/>
          <w:szCs w:val="24"/>
        </w:rPr>
        <w:t>and</w:t>
      </w:r>
      <w:proofErr w:type="gramEnd"/>
      <w:r w:rsidRPr="00BE389E">
        <w:rPr>
          <w:rFonts w:ascii="Arial" w:hAnsi="Arial" w:cs="Arial"/>
          <w:bCs/>
          <w:i/>
          <w:iCs/>
          <w:sz w:val="24"/>
          <w:szCs w:val="24"/>
        </w:rPr>
        <w:t xml:space="preserve"> cross-appeal shall be deemed to have lapsed: Provided that a respondent shall have the right to apply for an order for his wasted costs.</w:t>
      </w:r>
      <w:r w:rsidR="00BE389E" w:rsidRPr="00BE389E">
        <w:rPr>
          <w:rFonts w:ascii="Arial" w:hAnsi="Arial" w:cs="Arial"/>
          <w:bCs/>
          <w:i/>
          <w:iCs/>
          <w:sz w:val="24"/>
          <w:szCs w:val="24"/>
        </w:rPr>
        <w:t>”</w:t>
      </w:r>
    </w:p>
    <w:p w14:paraId="4EF0BEA5" w14:textId="77777777" w:rsidR="00D228FF" w:rsidRDefault="00E900FA" w:rsidP="003A197C">
      <w:pPr>
        <w:tabs>
          <w:tab w:val="left" w:pos="0"/>
          <w:tab w:val="left" w:pos="720"/>
          <w:tab w:val="left" w:pos="957"/>
          <w:tab w:val="left" w:pos="1448"/>
        </w:tabs>
        <w:spacing w:after="0" w:line="480" w:lineRule="auto"/>
        <w:ind w:left="720" w:hanging="720"/>
        <w:jc w:val="both"/>
        <w:rPr>
          <w:rFonts w:ascii="Arial" w:hAnsi="Arial" w:cs="Arial"/>
          <w:bCs/>
          <w:iCs/>
          <w:sz w:val="24"/>
          <w:szCs w:val="24"/>
        </w:rPr>
      </w:pPr>
      <w:r>
        <w:rPr>
          <w:rFonts w:ascii="Arial" w:hAnsi="Arial" w:cs="Arial"/>
          <w:bCs/>
          <w:i/>
          <w:iCs/>
          <w:sz w:val="24"/>
          <w:szCs w:val="24"/>
        </w:rPr>
        <w:tab/>
      </w:r>
    </w:p>
    <w:p w14:paraId="7D15F716" w14:textId="629D553D" w:rsidR="007B0BBB" w:rsidRPr="00C44FDF" w:rsidRDefault="00D228FF"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Pr>
          <w:rFonts w:ascii="Arial" w:hAnsi="Arial" w:cs="Arial"/>
          <w:bCs/>
          <w:iCs/>
          <w:sz w:val="24"/>
          <w:szCs w:val="24"/>
        </w:rPr>
        <w:t>[</w:t>
      </w:r>
      <w:r w:rsidR="006106B4">
        <w:rPr>
          <w:rFonts w:ascii="Arial" w:hAnsi="Arial" w:cs="Arial"/>
          <w:bCs/>
          <w:iCs/>
          <w:sz w:val="24"/>
          <w:szCs w:val="24"/>
        </w:rPr>
        <w:t>9</w:t>
      </w:r>
      <w:r>
        <w:rPr>
          <w:rFonts w:ascii="Arial" w:hAnsi="Arial" w:cs="Arial"/>
          <w:bCs/>
          <w:iCs/>
          <w:sz w:val="24"/>
          <w:szCs w:val="24"/>
        </w:rPr>
        <w:t>]</w:t>
      </w:r>
      <w:r>
        <w:rPr>
          <w:rFonts w:ascii="Arial" w:hAnsi="Arial" w:cs="Arial"/>
          <w:bCs/>
          <w:iCs/>
          <w:sz w:val="24"/>
          <w:szCs w:val="24"/>
        </w:rPr>
        <w:tab/>
      </w:r>
      <w:r w:rsidR="006F2D02">
        <w:rPr>
          <w:rFonts w:ascii="Arial" w:hAnsi="Arial" w:cs="Arial"/>
          <w:bCs/>
          <w:iCs/>
          <w:sz w:val="24"/>
          <w:szCs w:val="24"/>
        </w:rPr>
        <w:t xml:space="preserve">It was argued on behalf of the respondents that such </w:t>
      </w:r>
      <w:r w:rsidR="00BE389E">
        <w:rPr>
          <w:rFonts w:ascii="Arial" w:hAnsi="Arial" w:cs="Arial"/>
          <w:bCs/>
          <w:sz w:val="24"/>
          <w:szCs w:val="24"/>
        </w:rPr>
        <w:t>non-</w:t>
      </w:r>
      <w:r w:rsidR="00E900FA">
        <w:rPr>
          <w:rFonts w:ascii="Arial" w:hAnsi="Arial" w:cs="Arial"/>
          <w:bCs/>
          <w:sz w:val="24"/>
          <w:szCs w:val="24"/>
        </w:rPr>
        <w:t xml:space="preserve">compliance with the </w:t>
      </w:r>
      <w:r w:rsidR="00C44FDF">
        <w:rPr>
          <w:rFonts w:ascii="Arial" w:hAnsi="Arial" w:cs="Arial"/>
          <w:bCs/>
          <w:sz w:val="24"/>
          <w:szCs w:val="24"/>
        </w:rPr>
        <w:t>R</w:t>
      </w:r>
      <w:r w:rsidR="00E900FA">
        <w:rPr>
          <w:rFonts w:ascii="Arial" w:hAnsi="Arial" w:cs="Arial"/>
          <w:bCs/>
          <w:sz w:val="24"/>
          <w:szCs w:val="24"/>
        </w:rPr>
        <w:t>ule forms the basis of the respondents’ argument that they are entitled to their wasted costs as provided for.</w:t>
      </w:r>
      <w:r w:rsidR="00B56381">
        <w:rPr>
          <w:rFonts w:cs="Arial"/>
          <w:bCs/>
        </w:rPr>
        <w:t xml:space="preserve"> </w:t>
      </w:r>
      <w:r w:rsidR="00BE389E">
        <w:rPr>
          <w:rFonts w:cs="Arial"/>
          <w:bCs/>
        </w:rPr>
        <w:t xml:space="preserve">  </w:t>
      </w:r>
      <w:r w:rsidR="00BE389E" w:rsidRPr="00BE389E">
        <w:rPr>
          <w:rFonts w:ascii="Arial" w:hAnsi="Arial" w:cs="Arial"/>
          <w:bCs/>
          <w:sz w:val="24"/>
          <w:szCs w:val="24"/>
        </w:rPr>
        <w:t>T</w:t>
      </w:r>
      <w:r w:rsidR="00B56381" w:rsidRPr="00C44FDF">
        <w:rPr>
          <w:rFonts w:ascii="Arial" w:hAnsi="Arial" w:cs="Arial"/>
          <w:bCs/>
          <w:sz w:val="24"/>
          <w:szCs w:val="24"/>
        </w:rPr>
        <w:t>he appellant</w:t>
      </w:r>
      <w:r w:rsidR="006F2D02">
        <w:rPr>
          <w:rFonts w:ascii="Arial" w:hAnsi="Arial" w:cs="Arial"/>
          <w:bCs/>
          <w:sz w:val="24"/>
          <w:szCs w:val="24"/>
        </w:rPr>
        <w:t>, on the other hand,</w:t>
      </w:r>
      <w:r w:rsidR="00B56381" w:rsidRPr="00C44FDF">
        <w:rPr>
          <w:rFonts w:ascii="Arial" w:hAnsi="Arial" w:cs="Arial"/>
          <w:bCs/>
          <w:sz w:val="24"/>
          <w:szCs w:val="24"/>
        </w:rPr>
        <w:t xml:space="preserve"> </w:t>
      </w:r>
      <w:r w:rsidR="00BE389E">
        <w:rPr>
          <w:rFonts w:ascii="Arial" w:hAnsi="Arial" w:cs="Arial"/>
          <w:bCs/>
          <w:sz w:val="24"/>
          <w:szCs w:val="24"/>
        </w:rPr>
        <w:t xml:space="preserve">argued </w:t>
      </w:r>
      <w:r w:rsidR="00B56381" w:rsidRPr="00C44FDF">
        <w:rPr>
          <w:rFonts w:ascii="Arial" w:hAnsi="Arial" w:cs="Arial"/>
          <w:bCs/>
          <w:sz w:val="24"/>
          <w:szCs w:val="24"/>
        </w:rPr>
        <w:t xml:space="preserve">that the </w:t>
      </w:r>
      <w:r w:rsidR="006569F8" w:rsidRPr="00C44FDF">
        <w:rPr>
          <w:rFonts w:ascii="Arial" w:hAnsi="Arial" w:cs="Arial"/>
          <w:bCs/>
          <w:sz w:val="24"/>
          <w:szCs w:val="24"/>
        </w:rPr>
        <w:t>question of costs</w:t>
      </w:r>
      <w:r w:rsidR="00B56381" w:rsidRPr="00C44FDF">
        <w:rPr>
          <w:rFonts w:ascii="Arial" w:hAnsi="Arial" w:cs="Arial"/>
          <w:bCs/>
          <w:sz w:val="24"/>
          <w:szCs w:val="24"/>
        </w:rPr>
        <w:t xml:space="preserve"> should be reserved for the appeal</w:t>
      </w:r>
      <w:r w:rsidR="00F44CF7" w:rsidRPr="00C44FDF">
        <w:rPr>
          <w:rFonts w:ascii="Arial" w:hAnsi="Arial" w:cs="Arial"/>
          <w:bCs/>
          <w:sz w:val="24"/>
          <w:szCs w:val="24"/>
        </w:rPr>
        <w:t xml:space="preserve"> </w:t>
      </w:r>
      <w:r w:rsidR="00BE389E">
        <w:rPr>
          <w:rFonts w:ascii="Arial" w:hAnsi="Arial" w:cs="Arial"/>
          <w:bCs/>
          <w:sz w:val="24"/>
          <w:szCs w:val="24"/>
        </w:rPr>
        <w:t xml:space="preserve">court to decide.  It </w:t>
      </w:r>
      <w:r>
        <w:rPr>
          <w:rFonts w:ascii="Arial" w:hAnsi="Arial" w:cs="Arial"/>
          <w:bCs/>
          <w:sz w:val="24"/>
          <w:szCs w:val="24"/>
        </w:rPr>
        <w:t>contende</w:t>
      </w:r>
      <w:r w:rsidR="00BE389E">
        <w:rPr>
          <w:rFonts w:ascii="Arial" w:hAnsi="Arial" w:cs="Arial"/>
          <w:bCs/>
          <w:sz w:val="24"/>
          <w:szCs w:val="24"/>
        </w:rPr>
        <w:t xml:space="preserve">d that </w:t>
      </w:r>
      <w:r w:rsidR="00F44CF7" w:rsidRPr="00C44FDF">
        <w:rPr>
          <w:rFonts w:ascii="Arial" w:hAnsi="Arial" w:cs="Arial"/>
          <w:bCs/>
          <w:sz w:val="24"/>
          <w:szCs w:val="24"/>
        </w:rPr>
        <w:t xml:space="preserve">prior to making a costs order it would be necessary to establish whether the appeal has indeed lapsed and which party was to blame for the fact that </w:t>
      </w:r>
      <w:r w:rsidR="006D5C10">
        <w:rPr>
          <w:rFonts w:ascii="Arial" w:hAnsi="Arial" w:cs="Arial"/>
          <w:bCs/>
          <w:sz w:val="24"/>
          <w:szCs w:val="24"/>
        </w:rPr>
        <w:t xml:space="preserve">the provision in </w:t>
      </w:r>
      <w:r w:rsidR="00F44CF7" w:rsidRPr="00C44FDF">
        <w:rPr>
          <w:rFonts w:ascii="Arial" w:hAnsi="Arial" w:cs="Arial"/>
          <w:bCs/>
          <w:sz w:val="24"/>
          <w:szCs w:val="24"/>
        </w:rPr>
        <w:t>Rule 49(13) had not been complied with</w:t>
      </w:r>
      <w:r w:rsidR="006D5C10">
        <w:rPr>
          <w:rFonts w:ascii="Arial" w:hAnsi="Arial" w:cs="Arial"/>
          <w:bCs/>
          <w:sz w:val="24"/>
          <w:szCs w:val="24"/>
        </w:rPr>
        <w:t>, namely the furnishing of security</w:t>
      </w:r>
      <w:r w:rsidR="00F44CF7" w:rsidRPr="00C44FDF">
        <w:rPr>
          <w:rFonts w:ascii="Arial" w:hAnsi="Arial" w:cs="Arial"/>
          <w:bCs/>
          <w:sz w:val="24"/>
          <w:szCs w:val="24"/>
        </w:rPr>
        <w:t>.</w:t>
      </w:r>
    </w:p>
    <w:p w14:paraId="77484CCF" w14:textId="2ABB6A57" w:rsidR="00B56381" w:rsidRDefault="00B56381" w:rsidP="003A197C">
      <w:pPr>
        <w:tabs>
          <w:tab w:val="left" w:pos="0"/>
          <w:tab w:val="left" w:pos="720"/>
          <w:tab w:val="left" w:pos="957"/>
          <w:tab w:val="left" w:pos="1448"/>
        </w:tabs>
        <w:spacing w:after="0" w:line="480" w:lineRule="auto"/>
        <w:ind w:left="720" w:hanging="720"/>
        <w:jc w:val="both"/>
        <w:rPr>
          <w:rFonts w:cs="Arial"/>
          <w:bCs/>
        </w:rPr>
      </w:pPr>
      <w:r>
        <w:rPr>
          <w:rFonts w:cs="Arial"/>
          <w:bCs/>
        </w:rPr>
        <w:tab/>
        <w:t xml:space="preserve"> </w:t>
      </w:r>
    </w:p>
    <w:p w14:paraId="04E9356E" w14:textId="46B513C4" w:rsidR="00E900FA" w:rsidRDefault="00E900FA" w:rsidP="003A197C">
      <w:pPr>
        <w:tabs>
          <w:tab w:val="left" w:pos="0"/>
          <w:tab w:val="left" w:pos="720"/>
          <w:tab w:val="left" w:pos="957"/>
          <w:tab w:val="left" w:pos="1448"/>
        </w:tabs>
        <w:spacing w:after="0" w:line="480" w:lineRule="auto"/>
        <w:ind w:left="720" w:hanging="720"/>
        <w:jc w:val="both"/>
        <w:rPr>
          <w:rFonts w:cs="Arial"/>
          <w:bCs/>
        </w:rPr>
      </w:pPr>
      <w:r>
        <w:rPr>
          <w:rFonts w:ascii="Arial" w:hAnsi="Arial" w:cs="Arial"/>
          <w:bCs/>
          <w:sz w:val="24"/>
          <w:szCs w:val="24"/>
        </w:rPr>
        <w:t>[</w:t>
      </w:r>
      <w:r w:rsidR="006106B4">
        <w:rPr>
          <w:rFonts w:ascii="Arial" w:hAnsi="Arial" w:cs="Arial"/>
          <w:bCs/>
          <w:sz w:val="24"/>
          <w:szCs w:val="24"/>
        </w:rPr>
        <w:t>10</w:t>
      </w:r>
      <w:r>
        <w:rPr>
          <w:rFonts w:ascii="Arial" w:hAnsi="Arial" w:cs="Arial"/>
          <w:bCs/>
          <w:sz w:val="24"/>
          <w:szCs w:val="24"/>
        </w:rPr>
        <w:t>]</w:t>
      </w:r>
      <w:r>
        <w:rPr>
          <w:rFonts w:ascii="Arial" w:hAnsi="Arial" w:cs="Arial"/>
          <w:bCs/>
          <w:sz w:val="24"/>
          <w:szCs w:val="24"/>
        </w:rPr>
        <w:tab/>
      </w:r>
      <w:r w:rsidR="006D5C10">
        <w:rPr>
          <w:rFonts w:ascii="Arial" w:hAnsi="Arial" w:cs="Arial"/>
          <w:bCs/>
          <w:sz w:val="24"/>
          <w:szCs w:val="24"/>
        </w:rPr>
        <w:t>The appellant’s argument is untenable</w:t>
      </w:r>
      <w:r w:rsidR="00BE389E">
        <w:rPr>
          <w:rFonts w:ascii="Arial" w:hAnsi="Arial" w:cs="Arial"/>
          <w:bCs/>
          <w:sz w:val="24"/>
          <w:szCs w:val="24"/>
        </w:rPr>
        <w:t xml:space="preserve">.  </w:t>
      </w:r>
      <w:r w:rsidR="00B56381">
        <w:rPr>
          <w:rFonts w:ascii="Arial" w:hAnsi="Arial" w:cs="Arial"/>
          <w:bCs/>
          <w:sz w:val="24"/>
          <w:szCs w:val="24"/>
        </w:rPr>
        <w:t xml:space="preserve">On 7 May 2024 the appellant filed its application for reinstatement of its appeal. That is </w:t>
      </w:r>
      <w:r w:rsidR="00BE389E">
        <w:rPr>
          <w:rFonts w:ascii="Arial" w:hAnsi="Arial" w:cs="Arial"/>
          <w:bCs/>
          <w:sz w:val="24"/>
          <w:szCs w:val="24"/>
        </w:rPr>
        <w:t xml:space="preserve">clearly </w:t>
      </w:r>
      <w:r w:rsidR="00B56381">
        <w:rPr>
          <w:rFonts w:ascii="Arial" w:hAnsi="Arial" w:cs="Arial"/>
          <w:bCs/>
          <w:sz w:val="24"/>
          <w:szCs w:val="24"/>
        </w:rPr>
        <w:t xml:space="preserve">indicative of an </w:t>
      </w:r>
      <w:r w:rsidR="00B56381">
        <w:rPr>
          <w:rFonts w:ascii="Arial" w:hAnsi="Arial" w:cs="Arial"/>
          <w:bCs/>
          <w:sz w:val="24"/>
          <w:szCs w:val="24"/>
        </w:rPr>
        <w:lastRenderedPageBreak/>
        <w:t>acceptance</w:t>
      </w:r>
      <w:r w:rsidR="006569F8">
        <w:rPr>
          <w:rFonts w:ascii="Arial" w:hAnsi="Arial" w:cs="Arial"/>
          <w:bCs/>
          <w:sz w:val="24"/>
          <w:szCs w:val="24"/>
        </w:rPr>
        <w:t xml:space="preserve"> by the appellant</w:t>
      </w:r>
      <w:r w:rsidR="006F2D02">
        <w:rPr>
          <w:rFonts w:ascii="Arial" w:hAnsi="Arial" w:cs="Arial"/>
          <w:bCs/>
          <w:sz w:val="24"/>
          <w:szCs w:val="24"/>
        </w:rPr>
        <w:t xml:space="preserve"> that the appeal had</w:t>
      </w:r>
      <w:r w:rsidR="00B56381">
        <w:rPr>
          <w:rFonts w:ascii="Arial" w:hAnsi="Arial" w:cs="Arial"/>
          <w:bCs/>
          <w:sz w:val="24"/>
          <w:szCs w:val="24"/>
        </w:rPr>
        <w:t xml:space="preserve"> lapsed and</w:t>
      </w:r>
      <w:r w:rsidR="006F2D02">
        <w:rPr>
          <w:rFonts w:ascii="Arial" w:hAnsi="Arial" w:cs="Arial"/>
          <w:bCs/>
          <w:sz w:val="24"/>
          <w:szCs w:val="24"/>
        </w:rPr>
        <w:t xml:space="preserve"> further on c</w:t>
      </w:r>
      <w:r w:rsidR="00B56381">
        <w:rPr>
          <w:rFonts w:ascii="Arial" w:hAnsi="Arial" w:cs="Arial"/>
          <w:bCs/>
          <w:sz w:val="24"/>
          <w:szCs w:val="24"/>
        </w:rPr>
        <w:t>ounsel’s concession in court that ‘technically’ it did.</w:t>
      </w:r>
    </w:p>
    <w:p w14:paraId="7C34C36D" w14:textId="77777777" w:rsidR="00074A1C" w:rsidRPr="00006101" w:rsidRDefault="00074A1C" w:rsidP="003A197C">
      <w:pPr>
        <w:tabs>
          <w:tab w:val="left" w:pos="0"/>
          <w:tab w:val="left" w:pos="720"/>
          <w:tab w:val="left" w:pos="957"/>
          <w:tab w:val="left" w:pos="1448"/>
        </w:tabs>
        <w:spacing w:after="0" w:line="480" w:lineRule="auto"/>
        <w:ind w:left="720" w:hanging="720"/>
        <w:jc w:val="both"/>
        <w:rPr>
          <w:rFonts w:cs="Arial"/>
          <w:bCs/>
          <w:sz w:val="16"/>
          <w:szCs w:val="16"/>
        </w:rPr>
      </w:pPr>
    </w:p>
    <w:p w14:paraId="06857814" w14:textId="0E7AAEE7" w:rsidR="00F44CF7" w:rsidRDefault="003930A9" w:rsidP="003A197C">
      <w:pPr>
        <w:tabs>
          <w:tab w:val="left" w:pos="0"/>
          <w:tab w:val="left" w:pos="720"/>
          <w:tab w:val="left" w:pos="957"/>
          <w:tab w:val="left" w:pos="1448"/>
        </w:tabs>
        <w:spacing w:after="0" w:line="480" w:lineRule="auto"/>
        <w:ind w:left="720" w:hanging="720"/>
        <w:jc w:val="both"/>
        <w:rPr>
          <w:rFonts w:cs="Arial"/>
          <w:bCs/>
        </w:rPr>
      </w:pPr>
      <w:r>
        <w:rPr>
          <w:rFonts w:ascii="Arial" w:hAnsi="Arial" w:cs="Arial"/>
          <w:bCs/>
          <w:sz w:val="24"/>
          <w:szCs w:val="24"/>
        </w:rPr>
        <w:t>[</w:t>
      </w:r>
      <w:r w:rsidR="00D228FF">
        <w:rPr>
          <w:rFonts w:ascii="Arial" w:hAnsi="Arial" w:cs="Arial"/>
          <w:bCs/>
          <w:sz w:val="24"/>
          <w:szCs w:val="24"/>
        </w:rPr>
        <w:t>1</w:t>
      </w:r>
      <w:r w:rsidR="006106B4">
        <w:rPr>
          <w:rFonts w:ascii="Arial" w:hAnsi="Arial" w:cs="Arial"/>
          <w:bCs/>
          <w:sz w:val="24"/>
          <w:szCs w:val="24"/>
        </w:rPr>
        <w:t>1</w:t>
      </w:r>
      <w:r>
        <w:rPr>
          <w:rFonts w:ascii="Arial" w:hAnsi="Arial" w:cs="Arial"/>
          <w:bCs/>
          <w:sz w:val="24"/>
          <w:szCs w:val="24"/>
        </w:rPr>
        <w:t>]</w:t>
      </w:r>
      <w:r>
        <w:rPr>
          <w:rFonts w:ascii="Arial" w:hAnsi="Arial" w:cs="Arial"/>
          <w:bCs/>
          <w:sz w:val="24"/>
          <w:szCs w:val="24"/>
        </w:rPr>
        <w:tab/>
        <w:t>Rule 49(13)</w:t>
      </w:r>
      <w:r w:rsidR="00020CAA">
        <w:rPr>
          <w:rFonts w:ascii="Arial" w:hAnsi="Arial" w:cs="Arial"/>
          <w:bCs/>
          <w:sz w:val="24"/>
          <w:szCs w:val="24"/>
        </w:rPr>
        <w:t>(a)</w:t>
      </w:r>
      <w:r>
        <w:rPr>
          <w:rFonts w:ascii="Arial" w:hAnsi="Arial" w:cs="Arial"/>
          <w:bCs/>
          <w:sz w:val="24"/>
          <w:szCs w:val="24"/>
        </w:rPr>
        <w:t xml:space="preserve"> </w:t>
      </w:r>
      <w:r w:rsidR="006D5C10">
        <w:rPr>
          <w:rFonts w:ascii="Arial" w:hAnsi="Arial" w:cs="Arial"/>
          <w:bCs/>
          <w:sz w:val="24"/>
          <w:szCs w:val="24"/>
        </w:rPr>
        <w:t xml:space="preserve">is prescriptive and </w:t>
      </w:r>
      <w:r w:rsidR="00BE389E">
        <w:rPr>
          <w:rFonts w:ascii="Arial" w:hAnsi="Arial" w:cs="Arial"/>
          <w:bCs/>
          <w:sz w:val="24"/>
          <w:szCs w:val="24"/>
        </w:rPr>
        <w:t>stipulates</w:t>
      </w:r>
      <w:r>
        <w:rPr>
          <w:rFonts w:ascii="Arial" w:hAnsi="Arial" w:cs="Arial"/>
          <w:bCs/>
          <w:sz w:val="24"/>
          <w:szCs w:val="24"/>
        </w:rPr>
        <w:t xml:space="preserve"> that an appellant is</w:t>
      </w:r>
      <w:r w:rsidR="00B56381">
        <w:rPr>
          <w:rFonts w:ascii="Arial" w:hAnsi="Arial" w:cs="Arial"/>
          <w:bCs/>
          <w:sz w:val="24"/>
          <w:szCs w:val="24"/>
        </w:rPr>
        <w:t xml:space="preserve"> </w:t>
      </w:r>
      <w:r w:rsidR="006F2D02">
        <w:rPr>
          <w:rFonts w:ascii="Arial" w:hAnsi="Arial" w:cs="Arial"/>
          <w:bCs/>
          <w:sz w:val="24"/>
          <w:szCs w:val="24"/>
        </w:rPr>
        <w:t>required</w:t>
      </w:r>
      <w:r>
        <w:rPr>
          <w:rFonts w:ascii="Arial" w:hAnsi="Arial" w:cs="Arial"/>
          <w:bCs/>
          <w:sz w:val="24"/>
          <w:szCs w:val="24"/>
        </w:rPr>
        <w:t xml:space="preserve"> to </w:t>
      </w:r>
      <w:r w:rsidR="00B56381">
        <w:rPr>
          <w:rFonts w:ascii="Arial" w:hAnsi="Arial" w:cs="Arial"/>
          <w:bCs/>
          <w:sz w:val="24"/>
          <w:szCs w:val="24"/>
        </w:rPr>
        <w:t>furnish</w:t>
      </w:r>
      <w:r>
        <w:rPr>
          <w:rFonts w:ascii="Arial" w:hAnsi="Arial" w:cs="Arial"/>
          <w:bCs/>
          <w:sz w:val="24"/>
          <w:szCs w:val="24"/>
        </w:rPr>
        <w:t xml:space="preserve"> security for the respondents’ costs of appeal.</w:t>
      </w:r>
      <w:r w:rsidR="00BE389E">
        <w:rPr>
          <w:rFonts w:ascii="Arial" w:hAnsi="Arial" w:cs="Arial"/>
          <w:bCs/>
          <w:sz w:val="24"/>
          <w:szCs w:val="24"/>
        </w:rPr>
        <w:t xml:space="preserve">  </w:t>
      </w:r>
      <w:r w:rsidR="00D228FF">
        <w:rPr>
          <w:rFonts w:ascii="Arial" w:hAnsi="Arial" w:cs="Arial"/>
          <w:bCs/>
          <w:sz w:val="24"/>
          <w:szCs w:val="24"/>
        </w:rPr>
        <w:t>It wa</w:t>
      </w:r>
      <w:r>
        <w:rPr>
          <w:rFonts w:ascii="Arial" w:hAnsi="Arial" w:cs="Arial"/>
          <w:bCs/>
          <w:sz w:val="24"/>
          <w:szCs w:val="24"/>
        </w:rPr>
        <w:t>s common cause that the</w:t>
      </w:r>
      <w:r w:rsidR="00020CAA">
        <w:rPr>
          <w:rFonts w:ascii="Arial" w:hAnsi="Arial" w:cs="Arial"/>
          <w:bCs/>
          <w:sz w:val="24"/>
          <w:szCs w:val="24"/>
        </w:rPr>
        <w:t xml:space="preserve">re was a dispute </w:t>
      </w:r>
      <w:r w:rsidR="006569F8">
        <w:rPr>
          <w:rFonts w:ascii="Arial" w:hAnsi="Arial" w:cs="Arial"/>
          <w:bCs/>
          <w:sz w:val="24"/>
          <w:szCs w:val="24"/>
        </w:rPr>
        <w:t xml:space="preserve">between the parties </w:t>
      </w:r>
      <w:r w:rsidR="00BE389E">
        <w:rPr>
          <w:rFonts w:ascii="Arial" w:hAnsi="Arial" w:cs="Arial"/>
          <w:bCs/>
          <w:sz w:val="24"/>
          <w:szCs w:val="24"/>
        </w:rPr>
        <w:t>regarding</w:t>
      </w:r>
      <w:r w:rsidR="00020CAA">
        <w:rPr>
          <w:rFonts w:ascii="Arial" w:hAnsi="Arial" w:cs="Arial"/>
          <w:bCs/>
          <w:sz w:val="24"/>
          <w:szCs w:val="24"/>
        </w:rPr>
        <w:t xml:space="preserve"> the amount </w:t>
      </w:r>
      <w:r w:rsidR="006569F8">
        <w:rPr>
          <w:rFonts w:ascii="Arial" w:hAnsi="Arial" w:cs="Arial"/>
          <w:bCs/>
          <w:sz w:val="24"/>
          <w:szCs w:val="24"/>
        </w:rPr>
        <w:t>of security</w:t>
      </w:r>
      <w:r w:rsidR="006F2D02">
        <w:rPr>
          <w:rFonts w:ascii="Arial" w:hAnsi="Arial" w:cs="Arial"/>
          <w:bCs/>
          <w:sz w:val="24"/>
          <w:szCs w:val="24"/>
        </w:rPr>
        <w:t xml:space="preserve">.  </w:t>
      </w:r>
      <w:r w:rsidR="00333317">
        <w:rPr>
          <w:rFonts w:ascii="Arial" w:hAnsi="Arial" w:cs="Arial"/>
          <w:bCs/>
          <w:sz w:val="24"/>
          <w:szCs w:val="24"/>
        </w:rPr>
        <w:t>Consequently,</w:t>
      </w:r>
      <w:r w:rsidR="006D5C10">
        <w:rPr>
          <w:rFonts w:ascii="Arial" w:hAnsi="Arial" w:cs="Arial"/>
          <w:bCs/>
          <w:sz w:val="24"/>
          <w:szCs w:val="24"/>
        </w:rPr>
        <w:t xml:space="preserve"> t</w:t>
      </w:r>
      <w:r w:rsidR="006569F8">
        <w:rPr>
          <w:rFonts w:ascii="Arial" w:hAnsi="Arial" w:cs="Arial"/>
          <w:bCs/>
          <w:sz w:val="24"/>
          <w:szCs w:val="24"/>
        </w:rPr>
        <w:t>he provisions of</w:t>
      </w:r>
      <w:r w:rsidR="00020CAA">
        <w:rPr>
          <w:rFonts w:ascii="Arial" w:hAnsi="Arial" w:cs="Arial"/>
          <w:bCs/>
          <w:sz w:val="24"/>
          <w:szCs w:val="24"/>
        </w:rPr>
        <w:t xml:space="preserve"> Rule 49(13)(b) should </w:t>
      </w:r>
      <w:r w:rsidR="006D5C10">
        <w:rPr>
          <w:rFonts w:ascii="Arial" w:hAnsi="Arial" w:cs="Arial"/>
          <w:bCs/>
          <w:sz w:val="24"/>
          <w:szCs w:val="24"/>
        </w:rPr>
        <w:t>ha</w:t>
      </w:r>
      <w:r w:rsidR="00333317">
        <w:rPr>
          <w:rFonts w:ascii="Arial" w:hAnsi="Arial" w:cs="Arial"/>
          <w:bCs/>
          <w:sz w:val="24"/>
          <w:szCs w:val="24"/>
        </w:rPr>
        <w:t>ve</w:t>
      </w:r>
      <w:r w:rsidR="006D5C10">
        <w:rPr>
          <w:rFonts w:ascii="Arial" w:hAnsi="Arial" w:cs="Arial"/>
          <w:bCs/>
          <w:sz w:val="24"/>
          <w:szCs w:val="24"/>
        </w:rPr>
        <w:t xml:space="preserve"> </w:t>
      </w:r>
      <w:r w:rsidR="00020CAA">
        <w:rPr>
          <w:rFonts w:ascii="Arial" w:hAnsi="Arial" w:cs="Arial"/>
          <w:bCs/>
          <w:sz w:val="24"/>
          <w:szCs w:val="24"/>
        </w:rPr>
        <w:t xml:space="preserve">been invoked </w:t>
      </w:r>
      <w:r w:rsidR="006D5C10">
        <w:rPr>
          <w:rFonts w:ascii="Arial" w:hAnsi="Arial" w:cs="Arial"/>
          <w:bCs/>
          <w:sz w:val="24"/>
          <w:szCs w:val="24"/>
        </w:rPr>
        <w:t>since</w:t>
      </w:r>
      <w:r w:rsidR="00D466DF">
        <w:rPr>
          <w:rFonts w:ascii="Arial" w:hAnsi="Arial" w:cs="Arial"/>
          <w:bCs/>
          <w:sz w:val="24"/>
          <w:szCs w:val="24"/>
        </w:rPr>
        <w:t xml:space="preserve"> it </w:t>
      </w:r>
      <w:r w:rsidR="006D5C10">
        <w:rPr>
          <w:rFonts w:ascii="Arial" w:hAnsi="Arial" w:cs="Arial"/>
          <w:bCs/>
          <w:sz w:val="24"/>
          <w:szCs w:val="24"/>
        </w:rPr>
        <w:t xml:space="preserve">provides for the way forward </w:t>
      </w:r>
      <w:r w:rsidR="00020CAA">
        <w:rPr>
          <w:rFonts w:ascii="Arial" w:hAnsi="Arial" w:cs="Arial"/>
          <w:bCs/>
          <w:sz w:val="24"/>
          <w:szCs w:val="24"/>
        </w:rPr>
        <w:t>if the parties are unable to agree on the amount of security</w:t>
      </w:r>
      <w:r w:rsidR="006D5C10">
        <w:rPr>
          <w:rFonts w:ascii="Arial" w:hAnsi="Arial" w:cs="Arial"/>
          <w:bCs/>
          <w:sz w:val="24"/>
          <w:szCs w:val="24"/>
        </w:rPr>
        <w:t xml:space="preserve">.  In such a case, </w:t>
      </w:r>
      <w:r w:rsidR="00020CAA">
        <w:rPr>
          <w:rFonts w:ascii="Arial" w:hAnsi="Arial" w:cs="Arial"/>
          <w:bCs/>
          <w:sz w:val="24"/>
          <w:szCs w:val="24"/>
        </w:rPr>
        <w:t>the registrar sh</w:t>
      </w:r>
      <w:r w:rsidR="00D466DF">
        <w:rPr>
          <w:rFonts w:ascii="Arial" w:hAnsi="Arial" w:cs="Arial"/>
          <w:bCs/>
          <w:sz w:val="24"/>
          <w:szCs w:val="24"/>
        </w:rPr>
        <w:t>ou</w:t>
      </w:r>
      <w:r w:rsidR="00020CAA">
        <w:rPr>
          <w:rFonts w:ascii="Arial" w:hAnsi="Arial" w:cs="Arial"/>
          <w:bCs/>
          <w:sz w:val="24"/>
          <w:szCs w:val="24"/>
        </w:rPr>
        <w:t>l</w:t>
      </w:r>
      <w:r w:rsidR="00D466DF">
        <w:rPr>
          <w:rFonts w:ascii="Arial" w:hAnsi="Arial" w:cs="Arial"/>
          <w:bCs/>
          <w:sz w:val="24"/>
          <w:szCs w:val="24"/>
        </w:rPr>
        <w:t>d</w:t>
      </w:r>
      <w:r w:rsidR="00020CAA">
        <w:rPr>
          <w:rFonts w:ascii="Arial" w:hAnsi="Arial" w:cs="Arial"/>
          <w:bCs/>
          <w:sz w:val="24"/>
          <w:szCs w:val="24"/>
        </w:rPr>
        <w:t xml:space="preserve"> fix the amount.</w:t>
      </w:r>
      <w:r w:rsidR="00BE389E">
        <w:rPr>
          <w:rFonts w:ascii="Arial" w:hAnsi="Arial" w:cs="Arial"/>
          <w:bCs/>
          <w:sz w:val="24"/>
          <w:szCs w:val="24"/>
        </w:rPr>
        <w:t xml:space="preserve">  </w:t>
      </w:r>
      <w:r w:rsidR="00B56381">
        <w:rPr>
          <w:rFonts w:ascii="Arial" w:hAnsi="Arial" w:cs="Arial"/>
          <w:bCs/>
          <w:sz w:val="24"/>
          <w:szCs w:val="24"/>
        </w:rPr>
        <w:t>The</w:t>
      </w:r>
      <w:r w:rsidR="006D5C10">
        <w:rPr>
          <w:rFonts w:ascii="Arial" w:hAnsi="Arial" w:cs="Arial"/>
          <w:bCs/>
          <w:sz w:val="24"/>
          <w:szCs w:val="24"/>
        </w:rPr>
        <w:t xml:space="preserve"> rules are clear.  The</w:t>
      </w:r>
      <w:r w:rsidR="00B56381">
        <w:rPr>
          <w:rFonts w:ascii="Arial" w:hAnsi="Arial" w:cs="Arial"/>
          <w:bCs/>
          <w:sz w:val="24"/>
          <w:szCs w:val="24"/>
        </w:rPr>
        <w:t xml:space="preserve"> issue of security was to be finalised prior to filing of the appeal record with the registrar. </w:t>
      </w:r>
      <w:r w:rsidR="006D5C10">
        <w:rPr>
          <w:rFonts w:ascii="Arial" w:hAnsi="Arial" w:cs="Arial"/>
          <w:bCs/>
          <w:sz w:val="24"/>
          <w:szCs w:val="24"/>
        </w:rPr>
        <w:t xml:space="preserve">This </w:t>
      </w:r>
      <w:r w:rsidR="00F44CF7">
        <w:rPr>
          <w:rFonts w:ascii="Arial" w:hAnsi="Arial" w:cs="Arial"/>
          <w:bCs/>
          <w:sz w:val="24"/>
          <w:szCs w:val="24"/>
        </w:rPr>
        <w:t>essentially means that the appeal record should not h</w:t>
      </w:r>
      <w:r w:rsidR="00D466DF">
        <w:rPr>
          <w:rFonts w:ascii="Arial" w:hAnsi="Arial" w:cs="Arial"/>
          <w:bCs/>
          <w:sz w:val="24"/>
          <w:szCs w:val="24"/>
        </w:rPr>
        <w:t>ave been filed before security was</w:t>
      </w:r>
      <w:r w:rsidR="00F44CF7">
        <w:rPr>
          <w:rFonts w:ascii="Arial" w:hAnsi="Arial" w:cs="Arial"/>
          <w:bCs/>
          <w:sz w:val="24"/>
          <w:szCs w:val="24"/>
        </w:rPr>
        <w:t xml:space="preserve"> furnished. </w:t>
      </w:r>
    </w:p>
    <w:p w14:paraId="43E43CAB" w14:textId="77777777" w:rsidR="00074A1C" w:rsidRPr="00006101" w:rsidRDefault="00074A1C" w:rsidP="003A197C">
      <w:pPr>
        <w:tabs>
          <w:tab w:val="left" w:pos="0"/>
          <w:tab w:val="left" w:pos="720"/>
          <w:tab w:val="left" w:pos="957"/>
          <w:tab w:val="left" w:pos="1448"/>
        </w:tabs>
        <w:spacing w:after="0" w:line="480" w:lineRule="auto"/>
        <w:ind w:left="720" w:hanging="720"/>
        <w:jc w:val="both"/>
        <w:rPr>
          <w:rFonts w:cs="Arial"/>
          <w:bCs/>
          <w:sz w:val="16"/>
          <w:szCs w:val="16"/>
        </w:rPr>
      </w:pPr>
    </w:p>
    <w:p w14:paraId="1AC1F1AE" w14:textId="66522CEE" w:rsidR="00E917AD" w:rsidRDefault="00C44FDF"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Pr>
          <w:rFonts w:ascii="Arial" w:hAnsi="Arial" w:cs="Arial"/>
          <w:bCs/>
          <w:sz w:val="24"/>
          <w:szCs w:val="24"/>
        </w:rPr>
        <w:t>[</w:t>
      </w:r>
      <w:r w:rsidR="00F73216">
        <w:rPr>
          <w:rFonts w:ascii="Arial" w:hAnsi="Arial" w:cs="Arial"/>
          <w:bCs/>
          <w:sz w:val="24"/>
          <w:szCs w:val="24"/>
        </w:rPr>
        <w:t>1</w:t>
      </w:r>
      <w:r w:rsidR="006106B4">
        <w:rPr>
          <w:rFonts w:ascii="Arial" w:hAnsi="Arial" w:cs="Arial"/>
          <w:bCs/>
          <w:sz w:val="24"/>
          <w:szCs w:val="24"/>
        </w:rPr>
        <w:t>2</w:t>
      </w:r>
      <w:r>
        <w:rPr>
          <w:rFonts w:ascii="Arial" w:hAnsi="Arial" w:cs="Arial"/>
          <w:bCs/>
          <w:sz w:val="24"/>
          <w:szCs w:val="24"/>
        </w:rPr>
        <w:t>]</w:t>
      </w:r>
      <w:r>
        <w:rPr>
          <w:rFonts w:ascii="Arial" w:hAnsi="Arial" w:cs="Arial"/>
          <w:bCs/>
          <w:sz w:val="24"/>
          <w:szCs w:val="24"/>
        </w:rPr>
        <w:tab/>
      </w:r>
      <w:r w:rsidR="00F44CF7">
        <w:rPr>
          <w:rFonts w:ascii="Arial" w:hAnsi="Arial" w:cs="Arial"/>
          <w:bCs/>
          <w:sz w:val="24"/>
          <w:szCs w:val="24"/>
        </w:rPr>
        <w:t xml:space="preserve">The appellant </w:t>
      </w:r>
      <w:r w:rsidR="00D466DF">
        <w:rPr>
          <w:rFonts w:ascii="Arial" w:hAnsi="Arial" w:cs="Arial"/>
          <w:bCs/>
          <w:sz w:val="24"/>
          <w:szCs w:val="24"/>
        </w:rPr>
        <w:t xml:space="preserve">argued that </w:t>
      </w:r>
      <w:r w:rsidR="00F44CF7">
        <w:rPr>
          <w:rFonts w:ascii="Arial" w:hAnsi="Arial" w:cs="Arial"/>
          <w:bCs/>
          <w:sz w:val="24"/>
          <w:szCs w:val="24"/>
        </w:rPr>
        <w:t xml:space="preserve">the responsibility </w:t>
      </w:r>
      <w:r w:rsidR="00D466DF">
        <w:rPr>
          <w:rFonts w:ascii="Arial" w:hAnsi="Arial" w:cs="Arial"/>
          <w:bCs/>
          <w:sz w:val="24"/>
          <w:szCs w:val="24"/>
        </w:rPr>
        <w:t xml:space="preserve">was </w:t>
      </w:r>
      <w:r w:rsidR="00F44CF7">
        <w:rPr>
          <w:rFonts w:ascii="Arial" w:hAnsi="Arial" w:cs="Arial"/>
          <w:bCs/>
          <w:sz w:val="24"/>
          <w:szCs w:val="24"/>
        </w:rPr>
        <w:t xml:space="preserve">on the respondents to </w:t>
      </w:r>
      <w:r w:rsidR="00D466DF">
        <w:rPr>
          <w:rFonts w:ascii="Arial" w:hAnsi="Arial" w:cs="Arial"/>
          <w:bCs/>
          <w:sz w:val="24"/>
          <w:szCs w:val="24"/>
        </w:rPr>
        <w:t>approach</w:t>
      </w:r>
      <w:r w:rsidR="00F44CF7">
        <w:rPr>
          <w:rFonts w:ascii="Arial" w:hAnsi="Arial" w:cs="Arial"/>
          <w:bCs/>
          <w:sz w:val="24"/>
          <w:szCs w:val="24"/>
        </w:rPr>
        <w:t xml:space="preserve"> the registrar to fix a suitable amount. </w:t>
      </w:r>
      <w:r w:rsidR="006F2D02">
        <w:rPr>
          <w:rFonts w:ascii="Arial" w:hAnsi="Arial" w:cs="Arial"/>
          <w:bCs/>
          <w:sz w:val="24"/>
          <w:szCs w:val="24"/>
        </w:rPr>
        <w:t xml:space="preserve"> </w:t>
      </w:r>
      <w:r w:rsidR="006D5C10">
        <w:rPr>
          <w:rFonts w:ascii="Arial" w:hAnsi="Arial" w:cs="Arial"/>
          <w:bCs/>
          <w:sz w:val="24"/>
          <w:szCs w:val="24"/>
        </w:rPr>
        <w:t xml:space="preserve">The appellant </w:t>
      </w:r>
      <w:r w:rsidR="00D228FF">
        <w:rPr>
          <w:rFonts w:ascii="Arial" w:hAnsi="Arial" w:cs="Arial"/>
          <w:bCs/>
          <w:sz w:val="24"/>
          <w:szCs w:val="24"/>
        </w:rPr>
        <w:t xml:space="preserve">was further unhappy with </w:t>
      </w:r>
      <w:r w:rsidR="006F2D02">
        <w:rPr>
          <w:rFonts w:ascii="Arial" w:hAnsi="Arial" w:cs="Arial"/>
          <w:bCs/>
          <w:sz w:val="24"/>
          <w:szCs w:val="24"/>
        </w:rPr>
        <w:t xml:space="preserve">the security amount suggested </w:t>
      </w:r>
      <w:r w:rsidR="00D228FF">
        <w:rPr>
          <w:rFonts w:ascii="Arial" w:hAnsi="Arial" w:cs="Arial"/>
          <w:bCs/>
          <w:sz w:val="24"/>
          <w:szCs w:val="24"/>
        </w:rPr>
        <w:t xml:space="preserve">by the respondent which it found to be </w:t>
      </w:r>
      <w:r w:rsidR="0039039B">
        <w:rPr>
          <w:rFonts w:ascii="Arial" w:hAnsi="Arial" w:cs="Arial"/>
          <w:bCs/>
          <w:sz w:val="24"/>
          <w:szCs w:val="24"/>
        </w:rPr>
        <w:t>exorbitant</w:t>
      </w:r>
      <w:r w:rsidR="006F2D02">
        <w:rPr>
          <w:rFonts w:ascii="Arial" w:hAnsi="Arial" w:cs="Arial"/>
          <w:bCs/>
          <w:sz w:val="24"/>
          <w:szCs w:val="24"/>
        </w:rPr>
        <w:t xml:space="preserve">.  </w:t>
      </w:r>
      <w:r w:rsidR="00D466DF">
        <w:rPr>
          <w:rFonts w:ascii="Arial" w:hAnsi="Arial" w:cs="Arial"/>
          <w:bCs/>
          <w:sz w:val="24"/>
          <w:szCs w:val="24"/>
        </w:rPr>
        <w:t>The appellant</w:t>
      </w:r>
      <w:r w:rsidR="006D5C10">
        <w:rPr>
          <w:rFonts w:ascii="Arial" w:hAnsi="Arial" w:cs="Arial"/>
          <w:bCs/>
          <w:sz w:val="24"/>
          <w:szCs w:val="24"/>
        </w:rPr>
        <w:t xml:space="preserve">’s view was that at that point </w:t>
      </w:r>
      <w:r w:rsidR="00D466DF">
        <w:rPr>
          <w:rFonts w:ascii="Arial" w:hAnsi="Arial" w:cs="Arial"/>
          <w:bCs/>
          <w:sz w:val="24"/>
          <w:szCs w:val="24"/>
        </w:rPr>
        <w:t>its hands were tied</w:t>
      </w:r>
      <w:r w:rsidR="00333317">
        <w:rPr>
          <w:rFonts w:ascii="Arial" w:hAnsi="Arial" w:cs="Arial"/>
          <w:bCs/>
          <w:sz w:val="24"/>
          <w:szCs w:val="24"/>
        </w:rPr>
        <w:t xml:space="preserve"> and that it was t</w:t>
      </w:r>
      <w:r w:rsidR="006F2D02">
        <w:rPr>
          <w:rFonts w:ascii="Arial" w:hAnsi="Arial" w:cs="Arial"/>
          <w:bCs/>
          <w:sz w:val="24"/>
          <w:szCs w:val="24"/>
        </w:rPr>
        <w:t xml:space="preserve">he responsibility was on </w:t>
      </w:r>
      <w:r w:rsidR="00D466DF">
        <w:rPr>
          <w:rFonts w:ascii="Arial" w:hAnsi="Arial" w:cs="Arial"/>
          <w:bCs/>
          <w:sz w:val="24"/>
          <w:szCs w:val="24"/>
        </w:rPr>
        <w:t xml:space="preserve">the respondents </w:t>
      </w:r>
      <w:r w:rsidR="006F2D02">
        <w:rPr>
          <w:rFonts w:ascii="Arial" w:hAnsi="Arial" w:cs="Arial"/>
          <w:bCs/>
          <w:sz w:val="24"/>
          <w:szCs w:val="24"/>
        </w:rPr>
        <w:t>to finalise the security amount with the registrar</w:t>
      </w:r>
      <w:r w:rsidR="00D466DF">
        <w:rPr>
          <w:rFonts w:ascii="Arial" w:hAnsi="Arial" w:cs="Arial"/>
          <w:bCs/>
          <w:sz w:val="24"/>
          <w:szCs w:val="24"/>
        </w:rPr>
        <w:t>.</w:t>
      </w:r>
      <w:r w:rsidR="00E917AD">
        <w:rPr>
          <w:rFonts w:ascii="Arial" w:hAnsi="Arial" w:cs="Arial"/>
          <w:bCs/>
          <w:sz w:val="24"/>
          <w:szCs w:val="24"/>
        </w:rPr>
        <w:t xml:space="preserve">  </w:t>
      </w:r>
      <w:r w:rsidR="00F44CF7">
        <w:rPr>
          <w:rFonts w:ascii="Arial" w:hAnsi="Arial" w:cs="Arial"/>
          <w:bCs/>
          <w:sz w:val="24"/>
          <w:szCs w:val="24"/>
        </w:rPr>
        <w:t xml:space="preserve">I </w:t>
      </w:r>
      <w:r w:rsidR="00E917AD">
        <w:rPr>
          <w:rFonts w:ascii="Arial" w:hAnsi="Arial" w:cs="Arial"/>
          <w:bCs/>
          <w:sz w:val="24"/>
          <w:szCs w:val="24"/>
        </w:rPr>
        <w:t xml:space="preserve">do </w:t>
      </w:r>
      <w:r w:rsidR="00F44CF7">
        <w:rPr>
          <w:rFonts w:ascii="Arial" w:hAnsi="Arial" w:cs="Arial"/>
          <w:bCs/>
          <w:sz w:val="24"/>
          <w:szCs w:val="24"/>
        </w:rPr>
        <w:t xml:space="preserve">not agree with the contention that it was </w:t>
      </w:r>
      <w:r w:rsidR="00D466DF">
        <w:rPr>
          <w:rFonts w:ascii="Arial" w:hAnsi="Arial" w:cs="Arial"/>
          <w:bCs/>
          <w:sz w:val="24"/>
          <w:szCs w:val="24"/>
        </w:rPr>
        <w:t xml:space="preserve">only </w:t>
      </w:r>
      <w:r w:rsidR="00F44CF7">
        <w:rPr>
          <w:rFonts w:ascii="Arial" w:hAnsi="Arial" w:cs="Arial"/>
          <w:bCs/>
          <w:sz w:val="24"/>
          <w:szCs w:val="24"/>
        </w:rPr>
        <w:t>the responsibility</w:t>
      </w:r>
      <w:r>
        <w:rPr>
          <w:rFonts w:ascii="Arial" w:hAnsi="Arial" w:cs="Arial"/>
          <w:bCs/>
          <w:sz w:val="24"/>
          <w:szCs w:val="24"/>
        </w:rPr>
        <w:t xml:space="preserve"> of the respondents</w:t>
      </w:r>
      <w:r w:rsidR="00F44CF7">
        <w:rPr>
          <w:rFonts w:ascii="Arial" w:hAnsi="Arial" w:cs="Arial"/>
          <w:bCs/>
          <w:sz w:val="24"/>
          <w:szCs w:val="24"/>
        </w:rPr>
        <w:t xml:space="preserve"> to approach the registrar. </w:t>
      </w:r>
      <w:r w:rsidR="006F2D02">
        <w:rPr>
          <w:rFonts w:ascii="Arial" w:hAnsi="Arial" w:cs="Arial"/>
          <w:bCs/>
          <w:sz w:val="24"/>
          <w:szCs w:val="24"/>
        </w:rPr>
        <w:t xml:space="preserve"> </w:t>
      </w:r>
      <w:r w:rsidR="00F44CF7">
        <w:rPr>
          <w:rFonts w:ascii="Arial" w:hAnsi="Arial" w:cs="Arial"/>
          <w:bCs/>
          <w:sz w:val="24"/>
          <w:szCs w:val="24"/>
        </w:rPr>
        <w:t xml:space="preserve">Nothing barred the appellant from </w:t>
      </w:r>
      <w:r w:rsidR="00635761">
        <w:rPr>
          <w:rFonts w:ascii="Arial" w:hAnsi="Arial" w:cs="Arial"/>
          <w:bCs/>
          <w:sz w:val="24"/>
          <w:szCs w:val="24"/>
        </w:rPr>
        <w:t>persisting with the security issue</w:t>
      </w:r>
      <w:r w:rsidR="00E917AD">
        <w:rPr>
          <w:rFonts w:ascii="Arial" w:hAnsi="Arial" w:cs="Arial"/>
          <w:bCs/>
          <w:sz w:val="24"/>
          <w:szCs w:val="24"/>
        </w:rPr>
        <w:t xml:space="preserve"> and cause the registrar to fix an amount.</w:t>
      </w:r>
      <w:r w:rsidR="00F44CF7">
        <w:rPr>
          <w:rFonts w:ascii="Arial" w:hAnsi="Arial" w:cs="Arial"/>
          <w:bCs/>
          <w:sz w:val="24"/>
          <w:szCs w:val="24"/>
        </w:rPr>
        <w:t xml:space="preserve"> </w:t>
      </w:r>
    </w:p>
    <w:p w14:paraId="02A3D573" w14:textId="77777777" w:rsidR="00E917AD" w:rsidRPr="00006101" w:rsidRDefault="00E917AD" w:rsidP="003A197C">
      <w:pPr>
        <w:tabs>
          <w:tab w:val="left" w:pos="0"/>
          <w:tab w:val="left" w:pos="720"/>
          <w:tab w:val="left" w:pos="957"/>
          <w:tab w:val="left" w:pos="1448"/>
        </w:tabs>
        <w:spacing w:after="0" w:line="480" w:lineRule="auto"/>
        <w:ind w:left="720" w:hanging="720"/>
        <w:jc w:val="both"/>
        <w:rPr>
          <w:rFonts w:ascii="Arial" w:hAnsi="Arial" w:cs="Arial"/>
          <w:bCs/>
          <w:sz w:val="16"/>
          <w:szCs w:val="16"/>
        </w:rPr>
      </w:pPr>
    </w:p>
    <w:p w14:paraId="689211FF" w14:textId="236E96CD" w:rsidR="00F44CF7" w:rsidRDefault="00E917AD" w:rsidP="003A197C">
      <w:pPr>
        <w:tabs>
          <w:tab w:val="left" w:pos="0"/>
          <w:tab w:val="left" w:pos="720"/>
          <w:tab w:val="left" w:pos="957"/>
          <w:tab w:val="left" w:pos="1448"/>
        </w:tabs>
        <w:spacing w:after="0" w:line="480" w:lineRule="auto"/>
        <w:ind w:left="720" w:hanging="720"/>
        <w:jc w:val="both"/>
        <w:rPr>
          <w:rFonts w:cs="Arial"/>
          <w:bCs/>
        </w:rPr>
      </w:pPr>
      <w:r>
        <w:rPr>
          <w:rFonts w:ascii="Arial" w:hAnsi="Arial" w:cs="Arial"/>
          <w:bCs/>
          <w:sz w:val="24"/>
          <w:szCs w:val="24"/>
        </w:rPr>
        <w:lastRenderedPageBreak/>
        <w:t>[1</w:t>
      </w:r>
      <w:r w:rsidR="006106B4">
        <w:rPr>
          <w:rFonts w:ascii="Arial" w:hAnsi="Arial" w:cs="Arial"/>
          <w:bCs/>
          <w:sz w:val="24"/>
          <w:szCs w:val="24"/>
        </w:rPr>
        <w:t>3</w:t>
      </w:r>
      <w:r>
        <w:rPr>
          <w:rFonts w:ascii="Arial" w:hAnsi="Arial" w:cs="Arial"/>
          <w:bCs/>
          <w:sz w:val="24"/>
          <w:szCs w:val="24"/>
        </w:rPr>
        <w:t>]</w:t>
      </w:r>
      <w:r>
        <w:rPr>
          <w:rFonts w:ascii="Arial" w:hAnsi="Arial" w:cs="Arial"/>
          <w:bCs/>
          <w:sz w:val="24"/>
          <w:szCs w:val="24"/>
        </w:rPr>
        <w:tab/>
        <w:t xml:space="preserve">When </w:t>
      </w:r>
      <w:r w:rsidR="00E900FA">
        <w:rPr>
          <w:rFonts w:ascii="Arial" w:hAnsi="Arial" w:cs="Arial"/>
          <w:bCs/>
          <w:sz w:val="24"/>
          <w:szCs w:val="24"/>
        </w:rPr>
        <w:t>the</w:t>
      </w:r>
      <w:r w:rsidR="00F44CF7">
        <w:rPr>
          <w:rFonts w:ascii="Arial" w:hAnsi="Arial" w:cs="Arial"/>
          <w:bCs/>
          <w:sz w:val="24"/>
          <w:szCs w:val="24"/>
        </w:rPr>
        <w:t xml:space="preserve"> appellant applied for </w:t>
      </w:r>
      <w:r w:rsidR="00635761">
        <w:rPr>
          <w:rFonts w:ascii="Arial" w:hAnsi="Arial" w:cs="Arial"/>
          <w:bCs/>
          <w:sz w:val="24"/>
          <w:szCs w:val="24"/>
        </w:rPr>
        <w:t>the</w:t>
      </w:r>
      <w:r w:rsidR="00F44CF7">
        <w:rPr>
          <w:rFonts w:ascii="Arial" w:hAnsi="Arial" w:cs="Arial"/>
          <w:bCs/>
          <w:sz w:val="24"/>
          <w:szCs w:val="24"/>
        </w:rPr>
        <w:t xml:space="preserve"> </w:t>
      </w:r>
      <w:r w:rsidR="00635761">
        <w:rPr>
          <w:rFonts w:ascii="Arial" w:hAnsi="Arial" w:cs="Arial"/>
          <w:bCs/>
          <w:sz w:val="24"/>
          <w:szCs w:val="24"/>
        </w:rPr>
        <w:t xml:space="preserve">hearing date, </w:t>
      </w:r>
      <w:r w:rsidR="006F2D02">
        <w:rPr>
          <w:rFonts w:ascii="Arial" w:hAnsi="Arial" w:cs="Arial"/>
          <w:bCs/>
          <w:sz w:val="24"/>
          <w:szCs w:val="24"/>
        </w:rPr>
        <w:t xml:space="preserve">it </w:t>
      </w:r>
      <w:r w:rsidR="00F44CF7">
        <w:rPr>
          <w:rFonts w:ascii="Arial" w:hAnsi="Arial" w:cs="Arial"/>
          <w:bCs/>
          <w:sz w:val="24"/>
          <w:szCs w:val="24"/>
        </w:rPr>
        <w:t xml:space="preserve">was </w:t>
      </w:r>
      <w:r>
        <w:rPr>
          <w:rFonts w:ascii="Arial" w:hAnsi="Arial" w:cs="Arial"/>
          <w:bCs/>
          <w:sz w:val="24"/>
          <w:szCs w:val="24"/>
        </w:rPr>
        <w:t xml:space="preserve">well </w:t>
      </w:r>
      <w:r w:rsidR="00F44CF7">
        <w:rPr>
          <w:rFonts w:ascii="Arial" w:hAnsi="Arial" w:cs="Arial"/>
          <w:bCs/>
          <w:sz w:val="24"/>
          <w:szCs w:val="24"/>
        </w:rPr>
        <w:t>aware that the</w:t>
      </w:r>
      <w:r w:rsidR="00635761">
        <w:rPr>
          <w:rFonts w:ascii="Arial" w:hAnsi="Arial" w:cs="Arial"/>
          <w:bCs/>
          <w:sz w:val="24"/>
          <w:szCs w:val="24"/>
        </w:rPr>
        <w:t xml:space="preserve"> issue of security w</w:t>
      </w:r>
      <w:r w:rsidR="00E900FA">
        <w:rPr>
          <w:rFonts w:ascii="Arial" w:hAnsi="Arial" w:cs="Arial"/>
          <w:bCs/>
          <w:sz w:val="24"/>
          <w:szCs w:val="24"/>
        </w:rPr>
        <w:t>as not settled</w:t>
      </w:r>
      <w:r>
        <w:rPr>
          <w:rFonts w:ascii="Arial" w:hAnsi="Arial" w:cs="Arial"/>
          <w:bCs/>
          <w:sz w:val="24"/>
          <w:szCs w:val="24"/>
        </w:rPr>
        <w:t xml:space="preserve">.  </w:t>
      </w:r>
      <w:r w:rsidR="00333317">
        <w:rPr>
          <w:rFonts w:ascii="Arial" w:hAnsi="Arial" w:cs="Arial"/>
          <w:bCs/>
          <w:sz w:val="24"/>
          <w:szCs w:val="24"/>
        </w:rPr>
        <w:t>Nevertheless,</w:t>
      </w:r>
      <w:r w:rsidR="00635761">
        <w:rPr>
          <w:rFonts w:ascii="Arial" w:hAnsi="Arial" w:cs="Arial"/>
          <w:bCs/>
          <w:sz w:val="24"/>
          <w:szCs w:val="24"/>
        </w:rPr>
        <w:t xml:space="preserve"> </w:t>
      </w:r>
      <w:r>
        <w:rPr>
          <w:rFonts w:ascii="Arial" w:hAnsi="Arial" w:cs="Arial"/>
          <w:bCs/>
          <w:sz w:val="24"/>
          <w:szCs w:val="24"/>
        </w:rPr>
        <w:t xml:space="preserve">it </w:t>
      </w:r>
      <w:r w:rsidR="00635761">
        <w:rPr>
          <w:rFonts w:ascii="Arial" w:hAnsi="Arial" w:cs="Arial"/>
          <w:bCs/>
          <w:sz w:val="24"/>
          <w:szCs w:val="24"/>
        </w:rPr>
        <w:t xml:space="preserve">proceeded to </w:t>
      </w:r>
      <w:r>
        <w:rPr>
          <w:rFonts w:ascii="Arial" w:hAnsi="Arial" w:cs="Arial"/>
          <w:bCs/>
          <w:sz w:val="24"/>
          <w:szCs w:val="24"/>
        </w:rPr>
        <w:t>obtain a hearing date</w:t>
      </w:r>
      <w:r w:rsidR="00E900FA">
        <w:rPr>
          <w:rFonts w:ascii="Arial" w:hAnsi="Arial" w:cs="Arial"/>
          <w:bCs/>
          <w:sz w:val="24"/>
          <w:szCs w:val="24"/>
        </w:rPr>
        <w:t>.</w:t>
      </w:r>
      <w:r w:rsidR="00635761">
        <w:rPr>
          <w:rFonts w:ascii="Arial" w:hAnsi="Arial" w:cs="Arial"/>
          <w:bCs/>
          <w:sz w:val="24"/>
          <w:szCs w:val="24"/>
        </w:rPr>
        <w:t xml:space="preserve">  </w:t>
      </w:r>
      <w:r w:rsidR="00F44CF7">
        <w:rPr>
          <w:rFonts w:ascii="Arial" w:hAnsi="Arial" w:cs="Arial"/>
          <w:bCs/>
          <w:sz w:val="24"/>
          <w:szCs w:val="24"/>
        </w:rPr>
        <w:t xml:space="preserve">In </w:t>
      </w:r>
      <w:r w:rsidR="00F44CF7" w:rsidRPr="00635761">
        <w:rPr>
          <w:rFonts w:ascii="Arial" w:hAnsi="Arial" w:cs="Arial"/>
          <w:bCs/>
          <w:i/>
          <w:sz w:val="24"/>
          <w:szCs w:val="24"/>
        </w:rPr>
        <w:t>LG v JG</w:t>
      </w:r>
      <w:r w:rsidR="00F44CF7">
        <w:rPr>
          <w:rStyle w:val="FootnoteReference"/>
          <w:rFonts w:ascii="Arial" w:hAnsi="Arial" w:cs="Arial"/>
          <w:bCs/>
          <w:sz w:val="24"/>
          <w:szCs w:val="24"/>
        </w:rPr>
        <w:footnoteReference w:id="3"/>
      </w:r>
      <w:r w:rsidR="00F44CF7">
        <w:rPr>
          <w:rFonts w:ascii="Arial" w:hAnsi="Arial" w:cs="Arial"/>
          <w:bCs/>
          <w:sz w:val="24"/>
          <w:szCs w:val="24"/>
        </w:rPr>
        <w:t xml:space="preserve"> </w:t>
      </w:r>
      <w:r w:rsidR="00F44CF7" w:rsidRPr="00635761">
        <w:rPr>
          <w:rFonts w:ascii="Arial" w:hAnsi="Arial" w:cs="Arial"/>
          <w:bCs/>
          <w:i/>
          <w:sz w:val="24"/>
          <w:szCs w:val="24"/>
        </w:rPr>
        <w:t>at para 13</w:t>
      </w:r>
      <w:r w:rsidR="00F44CF7">
        <w:rPr>
          <w:rFonts w:ascii="Arial" w:hAnsi="Arial" w:cs="Arial"/>
          <w:bCs/>
          <w:sz w:val="24"/>
          <w:szCs w:val="24"/>
        </w:rPr>
        <w:t xml:space="preserve"> Windell J stated as follows:</w:t>
      </w:r>
    </w:p>
    <w:p w14:paraId="612AEB76" w14:textId="4B567F5D" w:rsidR="00F44CF7" w:rsidRDefault="00F44CF7" w:rsidP="003A197C">
      <w:pPr>
        <w:tabs>
          <w:tab w:val="left" w:pos="0"/>
          <w:tab w:val="left" w:pos="720"/>
          <w:tab w:val="left" w:pos="957"/>
          <w:tab w:val="left" w:pos="1448"/>
        </w:tabs>
        <w:spacing w:after="0" w:line="480" w:lineRule="auto"/>
        <w:ind w:left="720" w:hanging="720"/>
        <w:jc w:val="both"/>
        <w:rPr>
          <w:rFonts w:ascii="Arial" w:hAnsi="Arial" w:cs="Arial"/>
          <w:bCs/>
          <w:i/>
          <w:iCs/>
          <w:sz w:val="24"/>
          <w:szCs w:val="24"/>
        </w:rPr>
      </w:pPr>
      <w:r>
        <w:rPr>
          <w:rFonts w:ascii="Arial" w:hAnsi="Arial" w:cs="Arial"/>
          <w:bCs/>
          <w:sz w:val="24"/>
          <w:szCs w:val="24"/>
        </w:rPr>
        <w:tab/>
      </w:r>
      <w:r w:rsidRPr="00F44CF7">
        <w:rPr>
          <w:rFonts w:ascii="Arial" w:hAnsi="Arial" w:cs="Arial"/>
          <w:bCs/>
          <w:i/>
          <w:iCs/>
          <w:sz w:val="24"/>
          <w:szCs w:val="24"/>
        </w:rPr>
        <w:t>Therefore</w:t>
      </w:r>
      <w:r>
        <w:rPr>
          <w:rFonts w:ascii="Arial" w:hAnsi="Arial" w:cs="Arial"/>
          <w:bCs/>
          <w:sz w:val="24"/>
          <w:szCs w:val="24"/>
        </w:rPr>
        <w:t>,</w:t>
      </w:r>
      <w:r w:rsidRPr="00F44CF7">
        <w:rPr>
          <w:rFonts w:ascii="Arial" w:hAnsi="Arial" w:cs="Arial"/>
          <w:bCs/>
          <w:i/>
          <w:iCs/>
          <w:sz w:val="24"/>
          <w:szCs w:val="24"/>
        </w:rPr>
        <w:t xml:space="preserve"> if when applying for leave to appeal in terms of rule 49(1), no application is launched as envisaged by rule 49(13)(a) to release the appellant wholly or partially from the obligation to give security, and leave is granted to the Full Court (as contemplated in rule 49(2),then the remainder of rule 49 is triggered, which sets out the procedure to be followed by the parties in the prosecution of their appeal before the Full Court.</w:t>
      </w:r>
    </w:p>
    <w:p w14:paraId="5060F3E5" w14:textId="77777777" w:rsidR="00F73216" w:rsidRPr="00006101" w:rsidRDefault="00F73216" w:rsidP="003A197C">
      <w:pPr>
        <w:tabs>
          <w:tab w:val="left" w:pos="0"/>
          <w:tab w:val="left" w:pos="720"/>
          <w:tab w:val="left" w:pos="957"/>
          <w:tab w:val="left" w:pos="1448"/>
        </w:tabs>
        <w:spacing w:after="0" w:line="480" w:lineRule="auto"/>
        <w:ind w:left="720" w:hanging="720"/>
        <w:jc w:val="both"/>
        <w:rPr>
          <w:rFonts w:cs="Arial"/>
          <w:bCs/>
          <w:i/>
          <w:iCs/>
          <w:sz w:val="16"/>
          <w:szCs w:val="16"/>
        </w:rPr>
      </w:pPr>
    </w:p>
    <w:p w14:paraId="66835D77" w14:textId="7E7806B7" w:rsidR="00F44CF7" w:rsidRDefault="00635761" w:rsidP="003A197C">
      <w:pPr>
        <w:tabs>
          <w:tab w:val="left" w:pos="0"/>
          <w:tab w:val="left" w:pos="720"/>
          <w:tab w:val="left" w:pos="957"/>
          <w:tab w:val="left" w:pos="1448"/>
        </w:tabs>
        <w:spacing w:after="0" w:line="480" w:lineRule="auto"/>
        <w:ind w:left="720" w:hanging="720"/>
        <w:jc w:val="both"/>
        <w:rPr>
          <w:rFonts w:cs="Arial"/>
          <w:bCs/>
        </w:rPr>
      </w:pPr>
      <w:r w:rsidRPr="00635761">
        <w:rPr>
          <w:rFonts w:ascii="Arial" w:hAnsi="Arial" w:cs="Arial"/>
          <w:bCs/>
          <w:iCs/>
          <w:sz w:val="24"/>
          <w:szCs w:val="24"/>
        </w:rPr>
        <w:t>[</w:t>
      </w:r>
      <w:r w:rsidR="00F73216">
        <w:rPr>
          <w:rFonts w:ascii="Arial" w:hAnsi="Arial" w:cs="Arial"/>
          <w:bCs/>
          <w:iCs/>
          <w:sz w:val="24"/>
          <w:szCs w:val="24"/>
        </w:rPr>
        <w:t>1</w:t>
      </w:r>
      <w:r w:rsidR="006106B4">
        <w:rPr>
          <w:rFonts w:ascii="Arial" w:hAnsi="Arial" w:cs="Arial"/>
          <w:bCs/>
          <w:iCs/>
          <w:sz w:val="24"/>
          <w:szCs w:val="24"/>
        </w:rPr>
        <w:t>4</w:t>
      </w:r>
      <w:r w:rsidRPr="00635761">
        <w:rPr>
          <w:rFonts w:ascii="Arial" w:hAnsi="Arial" w:cs="Arial"/>
          <w:bCs/>
          <w:iCs/>
          <w:sz w:val="24"/>
          <w:szCs w:val="24"/>
        </w:rPr>
        <w:t>]</w:t>
      </w:r>
      <w:r>
        <w:rPr>
          <w:rFonts w:ascii="Arial" w:hAnsi="Arial" w:cs="Arial"/>
          <w:bCs/>
          <w:i/>
          <w:iCs/>
          <w:sz w:val="24"/>
          <w:szCs w:val="24"/>
        </w:rPr>
        <w:tab/>
      </w:r>
      <w:r w:rsidR="006F2D02">
        <w:rPr>
          <w:rFonts w:ascii="Arial" w:hAnsi="Arial" w:cs="Arial"/>
          <w:bCs/>
          <w:iCs/>
          <w:sz w:val="24"/>
          <w:szCs w:val="24"/>
        </w:rPr>
        <w:t>T</w:t>
      </w:r>
      <w:r>
        <w:rPr>
          <w:rFonts w:ascii="Arial" w:hAnsi="Arial" w:cs="Arial"/>
          <w:bCs/>
          <w:iCs/>
          <w:sz w:val="24"/>
          <w:szCs w:val="24"/>
        </w:rPr>
        <w:t xml:space="preserve">he rules are unambiguous.  If security has not been furnished, the appeal record </w:t>
      </w:r>
      <w:r w:rsidR="006D5C10">
        <w:rPr>
          <w:rFonts w:ascii="Arial" w:hAnsi="Arial" w:cs="Arial"/>
          <w:bCs/>
          <w:iCs/>
          <w:sz w:val="24"/>
          <w:szCs w:val="24"/>
        </w:rPr>
        <w:t xml:space="preserve">cannot be </w:t>
      </w:r>
      <w:r>
        <w:rPr>
          <w:rFonts w:ascii="Arial" w:hAnsi="Arial" w:cs="Arial"/>
          <w:bCs/>
          <w:iCs/>
          <w:sz w:val="24"/>
          <w:szCs w:val="24"/>
        </w:rPr>
        <w:t xml:space="preserve">lodged.  </w:t>
      </w:r>
      <w:r w:rsidR="00F44CF7">
        <w:rPr>
          <w:rFonts w:ascii="Arial" w:hAnsi="Arial" w:cs="Arial"/>
          <w:bCs/>
          <w:sz w:val="24"/>
          <w:szCs w:val="24"/>
        </w:rPr>
        <w:t>Rule 49(13) is peremptory and in this regard</w:t>
      </w:r>
      <w:r w:rsidR="00C44FDF">
        <w:rPr>
          <w:rFonts w:ascii="Arial" w:hAnsi="Arial" w:cs="Arial"/>
          <w:bCs/>
          <w:sz w:val="24"/>
          <w:szCs w:val="24"/>
        </w:rPr>
        <w:t xml:space="preserve"> it was</w:t>
      </w:r>
      <w:r w:rsidR="00F44CF7">
        <w:rPr>
          <w:rFonts w:ascii="Arial" w:hAnsi="Arial" w:cs="Arial"/>
          <w:bCs/>
          <w:sz w:val="24"/>
          <w:szCs w:val="24"/>
        </w:rPr>
        <w:t xml:space="preserve"> stated at para 25</w:t>
      </w:r>
      <w:r w:rsidR="00636E98">
        <w:rPr>
          <w:rFonts w:ascii="Arial" w:hAnsi="Arial" w:cs="Arial"/>
          <w:bCs/>
          <w:sz w:val="24"/>
          <w:szCs w:val="24"/>
        </w:rPr>
        <w:t xml:space="preserve"> of the said authority</w:t>
      </w:r>
      <w:r w:rsidR="00F44CF7">
        <w:rPr>
          <w:rFonts w:ascii="Arial" w:hAnsi="Arial" w:cs="Arial"/>
          <w:bCs/>
          <w:sz w:val="24"/>
          <w:szCs w:val="24"/>
        </w:rPr>
        <w:t>:</w:t>
      </w:r>
    </w:p>
    <w:p w14:paraId="77846A73" w14:textId="38E34F71" w:rsidR="00F44CF7" w:rsidRPr="00F44CF7" w:rsidRDefault="00F44CF7" w:rsidP="003A197C">
      <w:pPr>
        <w:tabs>
          <w:tab w:val="left" w:pos="0"/>
          <w:tab w:val="left" w:pos="720"/>
          <w:tab w:val="left" w:pos="957"/>
          <w:tab w:val="left" w:pos="1448"/>
        </w:tabs>
        <w:spacing w:after="0" w:line="480" w:lineRule="auto"/>
        <w:ind w:left="720" w:hanging="720"/>
        <w:jc w:val="both"/>
        <w:rPr>
          <w:rFonts w:cs="Arial"/>
          <w:bCs/>
          <w:i/>
          <w:iCs/>
        </w:rPr>
      </w:pPr>
      <w:r>
        <w:rPr>
          <w:rFonts w:ascii="Arial" w:hAnsi="Arial" w:cs="Arial"/>
          <w:bCs/>
          <w:sz w:val="24"/>
          <w:szCs w:val="24"/>
        </w:rPr>
        <w:tab/>
      </w:r>
      <w:r w:rsidRPr="00F44CF7">
        <w:rPr>
          <w:rFonts w:ascii="Arial" w:hAnsi="Arial" w:cs="Arial"/>
          <w:bCs/>
          <w:i/>
          <w:iCs/>
          <w:sz w:val="24"/>
          <w:szCs w:val="24"/>
        </w:rPr>
        <w:t>If security is not furnished, the appeal record may not be lodged. Without an appeal record, no date can be assigned for the hearing of the appeal (rule 49(7)(c)), and rule 49(7)(d) may apply.</w:t>
      </w:r>
    </w:p>
    <w:p w14:paraId="187FF579" w14:textId="0437C5D5" w:rsidR="00B56381" w:rsidRDefault="00E917AD" w:rsidP="003A197C">
      <w:pPr>
        <w:tabs>
          <w:tab w:val="left" w:pos="0"/>
          <w:tab w:val="left" w:pos="720"/>
          <w:tab w:val="left" w:pos="957"/>
          <w:tab w:val="left" w:pos="1448"/>
        </w:tabs>
        <w:spacing w:after="0" w:line="480" w:lineRule="auto"/>
        <w:ind w:left="720" w:hanging="720"/>
        <w:jc w:val="both"/>
        <w:rPr>
          <w:rFonts w:cs="Arial"/>
          <w:bCs/>
        </w:rPr>
      </w:pPr>
      <w:r>
        <w:rPr>
          <w:rFonts w:ascii="Arial" w:hAnsi="Arial" w:cs="Arial"/>
          <w:bCs/>
          <w:sz w:val="24"/>
          <w:szCs w:val="24"/>
        </w:rPr>
        <w:tab/>
        <w:t xml:space="preserve">The aforesaid provisions are prescriptive and </w:t>
      </w:r>
      <w:r w:rsidR="00B56381">
        <w:rPr>
          <w:rFonts w:ascii="Arial" w:hAnsi="Arial" w:cs="Arial"/>
          <w:bCs/>
          <w:sz w:val="24"/>
          <w:szCs w:val="24"/>
        </w:rPr>
        <w:t xml:space="preserve">demonstrate that due to non – compliance with the Uniform Rules of Court the appeal was not ripe for hearing. </w:t>
      </w:r>
      <w:r w:rsidR="00635761">
        <w:rPr>
          <w:rFonts w:ascii="Arial" w:hAnsi="Arial" w:cs="Arial"/>
          <w:bCs/>
          <w:sz w:val="24"/>
          <w:szCs w:val="24"/>
        </w:rPr>
        <w:t xml:space="preserve"> </w:t>
      </w:r>
    </w:p>
    <w:p w14:paraId="0BAD24B6" w14:textId="0C660E58" w:rsidR="00B56381" w:rsidRDefault="00B56381" w:rsidP="003A197C">
      <w:pPr>
        <w:tabs>
          <w:tab w:val="left" w:pos="0"/>
          <w:tab w:val="left" w:pos="720"/>
          <w:tab w:val="left" w:pos="957"/>
          <w:tab w:val="left" w:pos="1448"/>
        </w:tabs>
        <w:spacing w:after="0" w:line="480" w:lineRule="auto"/>
        <w:ind w:left="720" w:hanging="720"/>
        <w:jc w:val="both"/>
        <w:rPr>
          <w:rFonts w:cs="Arial"/>
          <w:bCs/>
        </w:rPr>
      </w:pPr>
      <w:r>
        <w:rPr>
          <w:rFonts w:ascii="Arial" w:hAnsi="Arial" w:cs="Arial"/>
          <w:bCs/>
          <w:sz w:val="24"/>
          <w:szCs w:val="24"/>
        </w:rPr>
        <w:tab/>
      </w:r>
    </w:p>
    <w:p w14:paraId="40616E3B" w14:textId="439716FA" w:rsidR="00C44FDF" w:rsidRDefault="00E900FA"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Pr>
          <w:rFonts w:ascii="Arial" w:hAnsi="Arial" w:cs="Arial"/>
          <w:bCs/>
          <w:sz w:val="24"/>
          <w:szCs w:val="24"/>
        </w:rPr>
        <w:t>[</w:t>
      </w:r>
      <w:r w:rsidR="00F73216">
        <w:rPr>
          <w:rFonts w:ascii="Arial" w:hAnsi="Arial" w:cs="Arial"/>
          <w:bCs/>
          <w:sz w:val="24"/>
          <w:szCs w:val="24"/>
        </w:rPr>
        <w:t>1</w:t>
      </w:r>
      <w:r w:rsidR="006106B4">
        <w:rPr>
          <w:rFonts w:ascii="Arial" w:hAnsi="Arial" w:cs="Arial"/>
          <w:bCs/>
          <w:sz w:val="24"/>
          <w:szCs w:val="24"/>
        </w:rPr>
        <w:t>5</w:t>
      </w:r>
      <w:r>
        <w:rPr>
          <w:rFonts w:ascii="Arial" w:hAnsi="Arial" w:cs="Arial"/>
          <w:bCs/>
          <w:sz w:val="24"/>
          <w:szCs w:val="24"/>
        </w:rPr>
        <w:t>]</w:t>
      </w:r>
      <w:r>
        <w:rPr>
          <w:rFonts w:ascii="Arial" w:hAnsi="Arial" w:cs="Arial"/>
          <w:bCs/>
          <w:sz w:val="24"/>
          <w:szCs w:val="24"/>
        </w:rPr>
        <w:tab/>
      </w:r>
      <w:r w:rsidR="00635761">
        <w:rPr>
          <w:rFonts w:ascii="Arial" w:hAnsi="Arial" w:cs="Arial"/>
          <w:bCs/>
          <w:sz w:val="24"/>
          <w:szCs w:val="24"/>
        </w:rPr>
        <w:t>It is reiterated that t</w:t>
      </w:r>
      <w:r w:rsidR="00B56381">
        <w:rPr>
          <w:rFonts w:ascii="Arial" w:hAnsi="Arial" w:cs="Arial"/>
          <w:bCs/>
          <w:sz w:val="24"/>
          <w:szCs w:val="24"/>
        </w:rPr>
        <w:t xml:space="preserve">he appellant proceeded </w:t>
      </w:r>
      <w:r w:rsidR="00E917AD">
        <w:rPr>
          <w:rFonts w:ascii="Arial" w:hAnsi="Arial" w:cs="Arial"/>
          <w:bCs/>
          <w:sz w:val="24"/>
          <w:szCs w:val="24"/>
        </w:rPr>
        <w:t xml:space="preserve">in obtaining </w:t>
      </w:r>
      <w:r w:rsidR="00B56381">
        <w:rPr>
          <w:rFonts w:ascii="Arial" w:hAnsi="Arial" w:cs="Arial"/>
          <w:bCs/>
          <w:sz w:val="24"/>
          <w:szCs w:val="24"/>
        </w:rPr>
        <w:t xml:space="preserve">a date for </w:t>
      </w:r>
      <w:r w:rsidR="00E917AD">
        <w:rPr>
          <w:rFonts w:ascii="Arial" w:hAnsi="Arial" w:cs="Arial"/>
          <w:bCs/>
          <w:sz w:val="24"/>
          <w:szCs w:val="24"/>
        </w:rPr>
        <w:t xml:space="preserve">the </w:t>
      </w:r>
      <w:r w:rsidR="00B56381">
        <w:rPr>
          <w:rFonts w:ascii="Arial" w:hAnsi="Arial" w:cs="Arial"/>
          <w:bCs/>
          <w:sz w:val="24"/>
          <w:szCs w:val="24"/>
        </w:rPr>
        <w:t xml:space="preserve">hearing of the appeal despite its knowledge of the shortcomings referred to. Counsel for the appellant was hard pressed to explain why the appeal was enrolled for hearing when it was obviously not ripe </w:t>
      </w:r>
      <w:r w:rsidR="00635761">
        <w:rPr>
          <w:rFonts w:ascii="Arial" w:hAnsi="Arial" w:cs="Arial"/>
          <w:bCs/>
          <w:sz w:val="24"/>
          <w:szCs w:val="24"/>
        </w:rPr>
        <w:t xml:space="preserve">for hearing.  The response that it did so, </w:t>
      </w:r>
      <w:r w:rsidR="00635761">
        <w:rPr>
          <w:rFonts w:ascii="Arial" w:hAnsi="Arial" w:cs="Arial"/>
          <w:bCs/>
          <w:sz w:val="24"/>
          <w:szCs w:val="24"/>
        </w:rPr>
        <w:lastRenderedPageBreak/>
        <w:t>a</w:t>
      </w:r>
      <w:r w:rsidR="00B56381">
        <w:rPr>
          <w:rFonts w:ascii="Arial" w:hAnsi="Arial" w:cs="Arial"/>
          <w:bCs/>
          <w:sz w:val="24"/>
          <w:szCs w:val="24"/>
        </w:rPr>
        <w:t>s ‘the respondents did nothing’</w:t>
      </w:r>
      <w:r w:rsidR="00635761">
        <w:rPr>
          <w:rFonts w:ascii="Arial" w:hAnsi="Arial" w:cs="Arial"/>
          <w:bCs/>
          <w:sz w:val="24"/>
          <w:szCs w:val="24"/>
        </w:rPr>
        <w:t>, is not plausible</w:t>
      </w:r>
      <w:r w:rsidR="00B56381">
        <w:rPr>
          <w:rFonts w:ascii="Arial" w:hAnsi="Arial" w:cs="Arial"/>
          <w:bCs/>
          <w:sz w:val="24"/>
          <w:szCs w:val="24"/>
        </w:rPr>
        <w:t xml:space="preserve">. </w:t>
      </w:r>
      <w:r w:rsidR="00F44CF7" w:rsidRPr="00F44CF7">
        <w:rPr>
          <w:rFonts w:ascii="Arial" w:hAnsi="Arial" w:cs="Arial"/>
          <w:bCs/>
          <w:sz w:val="24"/>
          <w:szCs w:val="24"/>
        </w:rPr>
        <w:t>That is hardly a reason to enrol a matter for hearing that was obviously not ready to be heard.</w:t>
      </w:r>
      <w:r w:rsidR="00F44CF7">
        <w:rPr>
          <w:rFonts w:ascii="Arial" w:hAnsi="Arial" w:cs="Arial"/>
          <w:bCs/>
          <w:sz w:val="24"/>
          <w:szCs w:val="24"/>
        </w:rPr>
        <w:t xml:space="preserve"> </w:t>
      </w:r>
    </w:p>
    <w:p w14:paraId="415EFCFD" w14:textId="77777777" w:rsidR="00F73216" w:rsidRPr="00006101" w:rsidRDefault="00F73216" w:rsidP="003A197C">
      <w:pPr>
        <w:tabs>
          <w:tab w:val="left" w:pos="0"/>
          <w:tab w:val="left" w:pos="720"/>
          <w:tab w:val="left" w:pos="957"/>
          <w:tab w:val="left" w:pos="1448"/>
        </w:tabs>
        <w:spacing w:after="0" w:line="480" w:lineRule="auto"/>
        <w:ind w:left="720" w:hanging="720"/>
        <w:jc w:val="both"/>
        <w:rPr>
          <w:rFonts w:cs="Arial"/>
          <w:bCs/>
          <w:sz w:val="16"/>
          <w:szCs w:val="16"/>
        </w:rPr>
      </w:pPr>
    </w:p>
    <w:p w14:paraId="6B2147B7" w14:textId="1C63DA8E" w:rsidR="00B56381" w:rsidRDefault="00635761" w:rsidP="003A197C">
      <w:pPr>
        <w:tabs>
          <w:tab w:val="left" w:pos="0"/>
          <w:tab w:val="left" w:pos="720"/>
          <w:tab w:val="left" w:pos="957"/>
          <w:tab w:val="left" w:pos="1448"/>
        </w:tabs>
        <w:spacing w:after="0" w:line="480" w:lineRule="auto"/>
        <w:ind w:left="720" w:hanging="720"/>
        <w:jc w:val="both"/>
        <w:rPr>
          <w:rFonts w:cs="Arial"/>
          <w:bCs/>
        </w:rPr>
      </w:pPr>
      <w:r>
        <w:rPr>
          <w:rFonts w:ascii="Arial" w:hAnsi="Arial" w:cs="Arial"/>
          <w:bCs/>
          <w:sz w:val="24"/>
          <w:szCs w:val="24"/>
        </w:rPr>
        <w:t>[1</w:t>
      </w:r>
      <w:r w:rsidR="006106B4">
        <w:rPr>
          <w:rFonts w:ascii="Arial" w:hAnsi="Arial" w:cs="Arial"/>
          <w:bCs/>
          <w:sz w:val="24"/>
          <w:szCs w:val="24"/>
        </w:rPr>
        <w:t>6</w:t>
      </w:r>
      <w:r>
        <w:rPr>
          <w:rFonts w:ascii="Arial" w:hAnsi="Arial" w:cs="Arial"/>
          <w:bCs/>
          <w:sz w:val="24"/>
          <w:szCs w:val="24"/>
        </w:rPr>
        <w:t>]</w:t>
      </w:r>
      <w:r>
        <w:rPr>
          <w:rFonts w:ascii="Arial" w:hAnsi="Arial" w:cs="Arial"/>
          <w:bCs/>
          <w:sz w:val="24"/>
          <w:szCs w:val="24"/>
        </w:rPr>
        <w:tab/>
        <w:t xml:space="preserve">Notably </w:t>
      </w:r>
      <w:r w:rsidR="00F44CF7">
        <w:rPr>
          <w:rFonts w:ascii="Arial" w:hAnsi="Arial" w:cs="Arial"/>
          <w:bCs/>
          <w:sz w:val="24"/>
          <w:szCs w:val="24"/>
        </w:rPr>
        <w:t xml:space="preserve">the appellant </w:t>
      </w:r>
      <w:r>
        <w:rPr>
          <w:rFonts w:ascii="Arial" w:hAnsi="Arial" w:cs="Arial"/>
          <w:bCs/>
          <w:sz w:val="24"/>
          <w:szCs w:val="24"/>
        </w:rPr>
        <w:t xml:space="preserve">submitted </w:t>
      </w:r>
      <w:r w:rsidR="00F44CF7">
        <w:rPr>
          <w:rFonts w:ascii="Arial" w:hAnsi="Arial" w:cs="Arial"/>
          <w:bCs/>
          <w:sz w:val="24"/>
          <w:szCs w:val="24"/>
        </w:rPr>
        <w:t xml:space="preserve">in his supplementary heads of argument that it had applied for a date </w:t>
      </w:r>
      <w:r w:rsidR="00C44FDF">
        <w:rPr>
          <w:rFonts w:ascii="Arial" w:hAnsi="Arial" w:cs="Arial"/>
          <w:bCs/>
          <w:sz w:val="24"/>
          <w:szCs w:val="24"/>
        </w:rPr>
        <w:t>at</w:t>
      </w:r>
      <w:r w:rsidR="00F44CF7">
        <w:rPr>
          <w:rFonts w:ascii="Arial" w:hAnsi="Arial" w:cs="Arial"/>
          <w:bCs/>
          <w:sz w:val="24"/>
          <w:szCs w:val="24"/>
        </w:rPr>
        <w:t xml:space="preserve"> the insistence of the respondents. </w:t>
      </w:r>
      <w:r>
        <w:rPr>
          <w:rFonts w:ascii="Arial" w:hAnsi="Arial" w:cs="Arial"/>
          <w:bCs/>
          <w:sz w:val="24"/>
          <w:szCs w:val="24"/>
        </w:rPr>
        <w:t xml:space="preserve"> Even if that was the case, it remained irregular to have applied for a hearing date if the jurisdictional requirements aforesaid were not met.  In my view, t</w:t>
      </w:r>
      <w:r w:rsidR="00B56381">
        <w:rPr>
          <w:rFonts w:ascii="Arial" w:hAnsi="Arial" w:cs="Arial"/>
          <w:bCs/>
          <w:sz w:val="24"/>
          <w:szCs w:val="24"/>
        </w:rPr>
        <w:t xml:space="preserve">he respondents </w:t>
      </w:r>
      <w:r>
        <w:rPr>
          <w:rFonts w:ascii="Arial" w:hAnsi="Arial" w:cs="Arial"/>
          <w:bCs/>
          <w:sz w:val="24"/>
          <w:szCs w:val="24"/>
        </w:rPr>
        <w:t xml:space="preserve">are thus </w:t>
      </w:r>
      <w:r w:rsidR="00B56381">
        <w:rPr>
          <w:rFonts w:ascii="Arial" w:hAnsi="Arial" w:cs="Arial"/>
          <w:bCs/>
          <w:sz w:val="24"/>
          <w:szCs w:val="24"/>
        </w:rPr>
        <w:t>entitled to</w:t>
      </w:r>
      <w:r>
        <w:rPr>
          <w:rFonts w:ascii="Arial" w:hAnsi="Arial" w:cs="Arial"/>
          <w:bCs/>
          <w:sz w:val="24"/>
          <w:szCs w:val="24"/>
        </w:rPr>
        <w:t xml:space="preserve"> their wasted</w:t>
      </w:r>
      <w:r w:rsidR="00B56381">
        <w:rPr>
          <w:rFonts w:ascii="Arial" w:hAnsi="Arial" w:cs="Arial"/>
          <w:bCs/>
          <w:sz w:val="24"/>
          <w:szCs w:val="24"/>
        </w:rPr>
        <w:t xml:space="preserve"> costs on that basis alone</w:t>
      </w:r>
      <w:r>
        <w:rPr>
          <w:rFonts w:ascii="Arial" w:hAnsi="Arial" w:cs="Arial"/>
          <w:bCs/>
          <w:sz w:val="24"/>
          <w:szCs w:val="24"/>
        </w:rPr>
        <w:t xml:space="preserve">.  </w:t>
      </w:r>
      <w:r w:rsidR="00B56381">
        <w:rPr>
          <w:rFonts w:ascii="Arial" w:hAnsi="Arial" w:cs="Arial"/>
          <w:bCs/>
          <w:sz w:val="24"/>
          <w:szCs w:val="24"/>
        </w:rPr>
        <w:t xml:space="preserve">There </w:t>
      </w:r>
      <w:r w:rsidR="006569F8">
        <w:rPr>
          <w:rFonts w:ascii="Arial" w:hAnsi="Arial" w:cs="Arial"/>
          <w:bCs/>
          <w:sz w:val="24"/>
          <w:szCs w:val="24"/>
        </w:rPr>
        <w:t>is</w:t>
      </w:r>
      <w:r w:rsidR="00B56381">
        <w:rPr>
          <w:rFonts w:ascii="Arial" w:hAnsi="Arial" w:cs="Arial"/>
          <w:bCs/>
          <w:sz w:val="24"/>
          <w:szCs w:val="24"/>
        </w:rPr>
        <w:t xml:space="preserve"> no substantive reason before us to saddle the appeal court with a decision on the costs of the proceedings before us.</w:t>
      </w:r>
    </w:p>
    <w:p w14:paraId="4041E44F" w14:textId="77777777" w:rsidR="00074A1C" w:rsidRPr="00006101" w:rsidRDefault="00074A1C" w:rsidP="003A197C">
      <w:pPr>
        <w:tabs>
          <w:tab w:val="left" w:pos="0"/>
          <w:tab w:val="left" w:pos="720"/>
          <w:tab w:val="left" w:pos="957"/>
          <w:tab w:val="left" w:pos="1448"/>
        </w:tabs>
        <w:spacing w:after="0" w:line="480" w:lineRule="auto"/>
        <w:ind w:left="720" w:hanging="720"/>
        <w:jc w:val="both"/>
        <w:rPr>
          <w:rFonts w:cs="Arial"/>
          <w:bCs/>
          <w:sz w:val="16"/>
          <w:szCs w:val="16"/>
        </w:rPr>
      </w:pPr>
    </w:p>
    <w:p w14:paraId="2210721A" w14:textId="73080024" w:rsidR="00B56381" w:rsidRDefault="00B56381" w:rsidP="003A197C">
      <w:pPr>
        <w:tabs>
          <w:tab w:val="left" w:pos="0"/>
          <w:tab w:val="left" w:pos="720"/>
          <w:tab w:val="left" w:pos="957"/>
          <w:tab w:val="left" w:pos="1448"/>
        </w:tabs>
        <w:spacing w:after="0" w:line="480" w:lineRule="auto"/>
        <w:ind w:left="720" w:hanging="720"/>
        <w:jc w:val="both"/>
        <w:rPr>
          <w:rFonts w:cs="Arial"/>
          <w:bCs/>
          <w:lang w:val="en-US"/>
        </w:rPr>
      </w:pPr>
      <w:r>
        <w:rPr>
          <w:rFonts w:ascii="Arial" w:hAnsi="Arial" w:cs="Arial"/>
          <w:bCs/>
          <w:sz w:val="24"/>
          <w:szCs w:val="24"/>
        </w:rPr>
        <w:t>[</w:t>
      </w:r>
      <w:r w:rsidR="00F73216">
        <w:rPr>
          <w:rFonts w:ascii="Arial" w:hAnsi="Arial" w:cs="Arial"/>
          <w:bCs/>
          <w:sz w:val="24"/>
          <w:szCs w:val="24"/>
        </w:rPr>
        <w:t>1</w:t>
      </w:r>
      <w:r w:rsidR="006106B4">
        <w:rPr>
          <w:rFonts w:ascii="Arial" w:hAnsi="Arial" w:cs="Arial"/>
          <w:bCs/>
          <w:sz w:val="24"/>
          <w:szCs w:val="24"/>
        </w:rPr>
        <w:t>7</w:t>
      </w:r>
      <w:r>
        <w:rPr>
          <w:rFonts w:ascii="Arial" w:hAnsi="Arial" w:cs="Arial"/>
          <w:bCs/>
          <w:sz w:val="24"/>
          <w:szCs w:val="24"/>
        </w:rPr>
        <w:t>]</w:t>
      </w:r>
      <w:r>
        <w:rPr>
          <w:rFonts w:ascii="Arial" w:hAnsi="Arial" w:cs="Arial"/>
          <w:bCs/>
          <w:sz w:val="24"/>
          <w:szCs w:val="24"/>
        </w:rPr>
        <w:tab/>
      </w:r>
      <w:r w:rsidR="00635761">
        <w:rPr>
          <w:rFonts w:ascii="Arial" w:hAnsi="Arial" w:cs="Arial"/>
          <w:bCs/>
          <w:sz w:val="24"/>
          <w:szCs w:val="24"/>
        </w:rPr>
        <w:t>The r</w:t>
      </w:r>
      <w:r>
        <w:rPr>
          <w:rFonts w:ascii="Arial" w:hAnsi="Arial" w:cs="Arial"/>
          <w:bCs/>
          <w:sz w:val="24"/>
          <w:szCs w:val="24"/>
        </w:rPr>
        <w:t>espondents</w:t>
      </w:r>
      <w:r w:rsidR="00635761">
        <w:rPr>
          <w:rFonts w:ascii="Arial" w:hAnsi="Arial" w:cs="Arial"/>
          <w:bCs/>
          <w:sz w:val="24"/>
          <w:szCs w:val="24"/>
        </w:rPr>
        <w:t xml:space="preserve"> persisted in their argument that </w:t>
      </w:r>
      <w:r>
        <w:rPr>
          <w:rFonts w:ascii="Arial" w:hAnsi="Arial" w:cs="Arial"/>
          <w:bCs/>
          <w:sz w:val="24"/>
          <w:szCs w:val="24"/>
        </w:rPr>
        <w:t>a punitive costs order against the appellant on the attorney and client scale</w:t>
      </w:r>
      <w:r w:rsidR="00635761">
        <w:rPr>
          <w:rFonts w:ascii="Arial" w:hAnsi="Arial" w:cs="Arial"/>
          <w:bCs/>
          <w:sz w:val="24"/>
          <w:szCs w:val="24"/>
        </w:rPr>
        <w:t xml:space="preserve"> is justified</w:t>
      </w:r>
      <w:r>
        <w:rPr>
          <w:rFonts w:ascii="Arial" w:hAnsi="Arial" w:cs="Arial"/>
          <w:bCs/>
          <w:sz w:val="24"/>
          <w:szCs w:val="24"/>
        </w:rPr>
        <w:t>.</w:t>
      </w:r>
      <w:r w:rsidR="00635761">
        <w:rPr>
          <w:rFonts w:ascii="Arial" w:hAnsi="Arial" w:cs="Arial"/>
          <w:bCs/>
          <w:sz w:val="24"/>
          <w:szCs w:val="24"/>
        </w:rPr>
        <w:t xml:space="preserve">  Ultimately t</w:t>
      </w:r>
      <w:r>
        <w:rPr>
          <w:rFonts w:ascii="Arial" w:hAnsi="Arial" w:cs="Arial"/>
          <w:bCs/>
          <w:sz w:val="24"/>
          <w:szCs w:val="24"/>
        </w:rPr>
        <w:t xml:space="preserve">he question of costs is within the discretion of the court. </w:t>
      </w:r>
      <w:r w:rsidR="00635761">
        <w:rPr>
          <w:rFonts w:ascii="Arial" w:hAnsi="Arial" w:cs="Arial"/>
          <w:bCs/>
          <w:sz w:val="24"/>
          <w:szCs w:val="24"/>
        </w:rPr>
        <w:t xml:space="preserve">Such </w:t>
      </w:r>
      <w:r>
        <w:rPr>
          <w:rFonts w:ascii="Arial" w:hAnsi="Arial" w:cs="Arial"/>
          <w:bCs/>
          <w:sz w:val="24"/>
          <w:szCs w:val="24"/>
        </w:rPr>
        <w:t>discretion must be exercised judicially,</w:t>
      </w:r>
      <w:r w:rsidR="00635761">
        <w:rPr>
          <w:rFonts w:ascii="Arial" w:hAnsi="Arial" w:cs="Arial"/>
          <w:bCs/>
          <w:sz w:val="24"/>
          <w:szCs w:val="24"/>
        </w:rPr>
        <w:t xml:space="preserve"> and </w:t>
      </w:r>
      <w:r>
        <w:rPr>
          <w:rFonts w:ascii="Arial" w:hAnsi="Arial" w:cs="Arial"/>
          <w:bCs/>
          <w:sz w:val="24"/>
          <w:szCs w:val="24"/>
        </w:rPr>
        <w:t>all relevant factors</w:t>
      </w:r>
      <w:r w:rsidR="00635761">
        <w:rPr>
          <w:rFonts w:ascii="Arial" w:hAnsi="Arial" w:cs="Arial"/>
          <w:bCs/>
          <w:sz w:val="24"/>
          <w:szCs w:val="24"/>
        </w:rPr>
        <w:t xml:space="preserve"> have to be considered</w:t>
      </w:r>
      <w:r>
        <w:rPr>
          <w:rFonts w:ascii="Arial" w:hAnsi="Arial" w:cs="Arial"/>
          <w:bCs/>
          <w:sz w:val="24"/>
          <w:szCs w:val="24"/>
        </w:rPr>
        <w:t xml:space="preserve">. </w:t>
      </w:r>
      <w:r w:rsidR="00635761">
        <w:rPr>
          <w:rFonts w:ascii="Arial" w:hAnsi="Arial" w:cs="Arial"/>
          <w:bCs/>
          <w:sz w:val="24"/>
          <w:szCs w:val="24"/>
        </w:rPr>
        <w:t xml:space="preserve"> </w:t>
      </w:r>
      <w:r w:rsidRPr="00B56381">
        <w:rPr>
          <w:rFonts w:ascii="Arial" w:hAnsi="Arial" w:cs="Arial"/>
          <w:bCs/>
          <w:sz w:val="24"/>
          <w:szCs w:val="24"/>
          <w:lang w:val="en-US"/>
        </w:rPr>
        <w:t>The</w:t>
      </w:r>
      <w:r w:rsidR="006F2D02">
        <w:rPr>
          <w:rFonts w:ascii="Arial" w:hAnsi="Arial" w:cs="Arial"/>
          <w:bCs/>
          <w:sz w:val="24"/>
          <w:szCs w:val="24"/>
          <w:lang w:val="en-US"/>
        </w:rPr>
        <w:t xml:space="preserve"> objective</w:t>
      </w:r>
      <w:r w:rsidRPr="00B56381">
        <w:rPr>
          <w:rFonts w:ascii="Arial" w:hAnsi="Arial" w:cs="Arial"/>
          <w:bCs/>
          <w:sz w:val="24"/>
          <w:szCs w:val="24"/>
          <w:lang w:val="en-US"/>
        </w:rPr>
        <w:t xml:space="preserve"> test</w:t>
      </w:r>
      <w:r w:rsidR="006F2D02">
        <w:rPr>
          <w:rFonts w:ascii="Arial" w:hAnsi="Arial" w:cs="Arial"/>
          <w:bCs/>
          <w:sz w:val="24"/>
          <w:szCs w:val="24"/>
          <w:lang w:val="en-US"/>
        </w:rPr>
        <w:t xml:space="preserve"> regarding </w:t>
      </w:r>
      <w:r w:rsidRPr="00B56381">
        <w:rPr>
          <w:rFonts w:ascii="Arial" w:hAnsi="Arial" w:cs="Arial"/>
          <w:bCs/>
          <w:sz w:val="24"/>
          <w:szCs w:val="24"/>
          <w:lang w:val="en-US"/>
        </w:rPr>
        <w:t xml:space="preserve">costs is always to enquire what is just </w:t>
      </w:r>
      <w:r>
        <w:rPr>
          <w:rFonts w:ascii="Arial" w:hAnsi="Arial" w:cs="Arial"/>
          <w:bCs/>
          <w:sz w:val="24"/>
          <w:szCs w:val="24"/>
          <w:lang w:val="en-US"/>
        </w:rPr>
        <w:t xml:space="preserve">and fair </w:t>
      </w:r>
      <w:r w:rsidRPr="00B56381">
        <w:rPr>
          <w:rFonts w:ascii="Arial" w:hAnsi="Arial" w:cs="Arial"/>
          <w:bCs/>
          <w:sz w:val="24"/>
          <w:szCs w:val="24"/>
          <w:lang w:val="en-US"/>
        </w:rPr>
        <w:t xml:space="preserve">in the circumstances. </w:t>
      </w:r>
    </w:p>
    <w:p w14:paraId="059AC1D7" w14:textId="77777777" w:rsidR="00074A1C" w:rsidRPr="00006101" w:rsidRDefault="00074A1C" w:rsidP="003A197C">
      <w:pPr>
        <w:tabs>
          <w:tab w:val="left" w:pos="0"/>
          <w:tab w:val="left" w:pos="720"/>
          <w:tab w:val="left" w:pos="957"/>
          <w:tab w:val="left" w:pos="1448"/>
        </w:tabs>
        <w:spacing w:after="0" w:line="480" w:lineRule="auto"/>
        <w:ind w:left="720" w:hanging="720"/>
        <w:jc w:val="both"/>
        <w:rPr>
          <w:rFonts w:cs="Arial"/>
          <w:bCs/>
          <w:sz w:val="16"/>
          <w:szCs w:val="16"/>
          <w:lang w:val="en-US"/>
        </w:rPr>
      </w:pPr>
    </w:p>
    <w:p w14:paraId="00470ED7" w14:textId="610D9F0A" w:rsidR="006F2D02" w:rsidRDefault="00B56381" w:rsidP="003A197C">
      <w:pPr>
        <w:tabs>
          <w:tab w:val="left" w:pos="0"/>
          <w:tab w:val="left" w:pos="720"/>
          <w:tab w:val="left" w:pos="957"/>
          <w:tab w:val="left" w:pos="1448"/>
        </w:tabs>
        <w:spacing w:after="0" w:line="480" w:lineRule="auto"/>
        <w:ind w:left="720" w:hanging="720"/>
        <w:jc w:val="both"/>
        <w:rPr>
          <w:rFonts w:ascii="Arial" w:hAnsi="Arial" w:cs="Arial"/>
          <w:bCs/>
          <w:sz w:val="24"/>
          <w:szCs w:val="24"/>
        </w:rPr>
      </w:pPr>
      <w:r>
        <w:rPr>
          <w:rFonts w:ascii="Arial" w:hAnsi="Arial" w:cs="Arial"/>
          <w:bCs/>
          <w:sz w:val="24"/>
          <w:szCs w:val="24"/>
          <w:lang w:val="en-US"/>
        </w:rPr>
        <w:t>[</w:t>
      </w:r>
      <w:r w:rsidR="002C2576">
        <w:rPr>
          <w:rFonts w:ascii="Arial" w:hAnsi="Arial" w:cs="Arial"/>
          <w:bCs/>
          <w:sz w:val="24"/>
          <w:szCs w:val="24"/>
          <w:lang w:val="en-US"/>
        </w:rPr>
        <w:t>1</w:t>
      </w:r>
      <w:r w:rsidR="006106B4">
        <w:rPr>
          <w:rFonts w:ascii="Arial" w:hAnsi="Arial" w:cs="Arial"/>
          <w:bCs/>
          <w:sz w:val="24"/>
          <w:szCs w:val="24"/>
          <w:lang w:val="en-US"/>
        </w:rPr>
        <w:t>8</w:t>
      </w:r>
      <w:r>
        <w:rPr>
          <w:rFonts w:ascii="Arial" w:hAnsi="Arial" w:cs="Arial"/>
          <w:bCs/>
          <w:sz w:val="24"/>
          <w:szCs w:val="24"/>
          <w:lang w:val="en-US"/>
        </w:rPr>
        <w:t>]</w:t>
      </w:r>
      <w:r>
        <w:rPr>
          <w:rFonts w:ascii="Arial" w:hAnsi="Arial" w:cs="Arial"/>
          <w:bCs/>
          <w:sz w:val="24"/>
          <w:szCs w:val="24"/>
          <w:lang w:val="en-US"/>
        </w:rPr>
        <w:tab/>
        <w:t xml:space="preserve">I accept that the respondents were </w:t>
      </w:r>
      <w:r w:rsidRPr="00B56381">
        <w:rPr>
          <w:rFonts w:ascii="Arial" w:hAnsi="Arial" w:cs="Arial"/>
          <w:bCs/>
          <w:sz w:val="24"/>
          <w:szCs w:val="24"/>
        </w:rPr>
        <w:t>put t</w:t>
      </w:r>
      <w:r w:rsidR="00635761">
        <w:rPr>
          <w:rFonts w:ascii="Arial" w:hAnsi="Arial" w:cs="Arial"/>
          <w:bCs/>
          <w:sz w:val="24"/>
          <w:szCs w:val="24"/>
        </w:rPr>
        <w:t>hrough</w:t>
      </w:r>
      <w:r w:rsidRPr="00B56381">
        <w:rPr>
          <w:rFonts w:ascii="Arial" w:hAnsi="Arial" w:cs="Arial"/>
          <w:bCs/>
          <w:sz w:val="24"/>
          <w:szCs w:val="24"/>
        </w:rPr>
        <w:t xml:space="preserve"> unnecessary expense as a result of the</w:t>
      </w:r>
      <w:r>
        <w:rPr>
          <w:rFonts w:ascii="Arial" w:hAnsi="Arial" w:cs="Arial"/>
          <w:bCs/>
          <w:sz w:val="24"/>
          <w:szCs w:val="24"/>
        </w:rPr>
        <w:t xml:space="preserve"> </w:t>
      </w:r>
      <w:r w:rsidRPr="00B56381">
        <w:rPr>
          <w:rFonts w:ascii="Arial" w:hAnsi="Arial" w:cs="Arial"/>
          <w:bCs/>
          <w:sz w:val="24"/>
          <w:szCs w:val="24"/>
        </w:rPr>
        <w:t>conduct of the app</w:t>
      </w:r>
      <w:r w:rsidR="00C44FDF">
        <w:rPr>
          <w:rFonts w:ascii="Arial" w:hAnsi="Arial" w:cs="Arial"/>
          <w:bCs/>
          <w:sz w:val="24"/>
          <w:szCs w:val="24"/>
        </w:rPr>
        <w:t>ellant</w:t>
      </w:r>
      <w:r>
        <w:rPr>
          <w:rFonts w:ascii="Arial" w:hAnsi="Arial" w:cs="Arial"/>
          <w:bCs/>
          <w:sz w:val="24"/>
          <w:szCs w:val="24"/>
        </w:rPr>
        <w:t xml:space="preserve">. </w:t>
      </w:r>
      <w:r w:rsidR="00E917AD">
        <w:rPr>
          <w:rFonts w:ascii="Arial" w:hAnsi="Arial" w:cs="Arial"/>
          <w:bCs/>
          <w:sz w:val="24"/>
          <w:szCs w:val="24"/>
        </w:rPr>
        <w:t xml:space="preserve"> Our courts have pronounced that i</w:t>
      </w:r>
      <w:r w:rsidR="00635761">
        <w:rPr>
          <w:rFonts w:ascii="Arial" w:hAnsi="Arial" w:cs="Arial"/>
          <w:bCs/>
          <w:sz w:val="24"/>
          <w:szCs w:val="24"/>
        </w:rPr>
        <w:t xml:space="preserve">n order to justify a punitive costs order, exceptional circumstances must exist.  The list is not exhaustive.  </w:t>
      </w:r>
      <w:r w:rsidR="00E917AD">
        <w:rPr>
          <w:rFonts w:ascii="Arial" w:hAnsi="Arial" w:cs="Arial"/>
          <w:bCs/>
          <w:sz w:val="24"/>
          <w:szCs w:val="24"/>
        </w:rPr>
        <w:t>The</w:t>
      </w:r>
      <w:r w:rsidR="00635761">
        <w:rPr>
          <w:rFonts w:ascii="Arial" w:hAnsi="Arial" w:cs="Arial"/>
          <w:bCs/>
          <w:sz w:val="24"/>
          <w:szCs w:val="24"/>
        </w:rPr>
        <w:t xml:space="preserve"> courts have granted punitive costs under various circumstances.  </w:t>
      </w:r>
      <w:r w:rsidR="00E917AD">
        <w:rPr>
          <w:rFonts w:ascii="Arial" w:hAnsi="Arial" w:cs="Arial"/>
          <w:bCs/>
          <w:sz w:val="24"/>
          <w:szCs w:val="24"/>
        </w:rPr>
        <w:t>Hence t</w:t>
      </w:r>
      <w:r w:rsidR="00635761">
        <w:rPr>
          <w:rFonts w:ascii="Arial" w:hAnsi="Arial" w:cs="Arial"/>
          <w:bCs/>
          <w:sz w:val="24"/>
          <w:szCs w:val="24"/>
        </w:rPr>
        <w:t xml:space="preserve">here are </w:t>
      </w:r>
      <w:r w:rsidR="0039039B">
        <w:rPr>
          <w:rFonts w:ascii="Arial" w:hAnsi="Arial" w:cs="Arial"/>
          <w:bCs/>
          <w:sz w:val="24"/>
          <w:szCs w:val="24"/>
        </w:rPr>
        <w:t>no set of rules that prescribe</w:t>
      </w:r>
      <w:r w:rsidR="00E917AD">
        <w:rPr>
          <w:rFonts w:ascii="Arial" w:hAnsi="Arial" w:cs="Arial"/>
          <w:bCs/>
          <w:sz w:val="24"/>
          <w:szCs w:val="24"/>
        </w:rPr>
        <w:t xml:space="preserve"> when punitive costs orders ar</w:t>
      </w:r>
      <w:r w:rsidR="00636E98">
        <w:rPr>
          <w:rFonts w:ascii="Arial" w:hAnsi="Arial" w:cs="Arial"/>
          <w:bCs/>
          <w:sz w:val="24"/>
          <w:szCs w:val="24"/>
        </w:rPr>
        <w:t xml:space="preserve">e justified.  </w:t>
      </w:r>
      <w:r w:rsidR="00635761">
        <w:rPr>
          <w:rFonts w:ascii="Arial" w:hAnsi="Arial" w:cs="Arial"/>
          <w:bCs/>
          <w:sz w:val="24"/>
          <w:szCs w:val="24"/>
        </w:rPr>
        <w:t xml:space="preserve">Ultimately this court is required to exercise its discretion judicially.  </w:t>
      </w:r>
    </w:p>
    <w:p w14:paraId="63EFE535" w14:textId="77777777" w:rsidR="006F2D02" w:rsidRPr="00006101" w:rsidRDefault="006F2D02" w:rsidP="003A197C">
      <w:pPr>
        <w:tabs>
          <w:tab w:val="left" w:pos="0"/>
          <w:tab w:val="left" w:pos="720"/>
          <w:tab w:val="left" w:pos="957"/>
          <w:tab w:val="left" w:pos="1448"/>
        </w:tabs>
        <w:spacing w:after="0" w:line="480" w:lineRule="auto"/>
        <w:ind w:left="720" w:hanging="720"/>
        <w:jc w:val="both"/>
        <w:rPr>
          <w:rFonts w:ascii="Arial" w:hAnsi="Arial" w:cs="Arial"/>
          <w:bCs/>
          <w:sz w:val="16"/>
          <w:szCs w:val="16"/>
        </w:rPr>
      </w:pPr>
    </w:p>
    <w:p w14:paraId="036A5776" w14:textId="097AC830" w:rsidR="00B56381" w:rsidRDefault="006F2D02" w:rsidP="003A197C">
      <w:pPr>
        <w:tabs>
          <w:tab w:val="left" w:pos="0"/>
          <w:tab w:val="left" w:pos="720"/>
          <w:tab w:val="left" w:pos="957"/>
          <w:tab w:val="left" w:pos="1448"/>
        </w:tabs>
        <w:spacing w:after="0" w:line="480" w:lineRule="auto"/>
        <w:ind w:left="720" w:hanging="720"/>
        <w:jc w:val="both"/>
        <w:rPr>
          <w:rFonts w:cs="Arial"/>
          <w:bCs/>
        </w:rPr>
      </w:pPr>
      <w:r>
        <w:rPr>
          <w:rFonts w:ascii="Arial" w:hAnsi="Arial" w:cs="Arial"/>
          <w:bCs/>
          <w:sz w:val="24"/>
          <w:szCs w:val="24"/>
        </w:rPr>
        <w:lastRenderedPageBreak/>
        <w:t>[1</w:t>
      </w:r>
      <w:r w:rsidR="006106B4">
        <w:rPr>
          <w:rFonts w:ascii="Arial" w:hAnsi="Arial" w:cs="Arial"/>
          <w:bCs/>
          <w:sz w:val="24"/>
          <w:szCs w:val="24"/>
        </w:rPr>
        <w:t>9</w:t>
      </w:r>
      <w:r>
        <w:rPr>
          <w:rFonts w:ascii="Arial" w:hAnsi="Arial" w:cs="Arial"/>
          <w:bCs/>
          <w:sz w:val="24"/>
          <w:szCs w:val="24"/>
        </w:rPr>
        <w:t>]</w:t>
      </w:r>
      <w:r>
        <w:rPr>
          <w:rFonts w:ascii="Arial" w:hAnsi="Arial" w:cs="Arial"/>
          <w:bCs/>
          <w:sz w:val="24"/>
          <w:szCs w:val="24"/>
        </w:rPr>
        <w:tab/>
      </w:r>
      <w:r w:rsidR="00B56381">
        <w:rPr>
          <w:rFonts w:ascii="Arial" w:hAnsi="Arial" w:cs="Arial"/>
          <w:bCs/>
          <w:sz w:val="24"/>
          <w:szCs w:val="24"/>
        </w:rPr>
        <w:t xml:space="preserve">When considering the </w:t>
      </w:r>
      <w:r>
        <w:rPr>
          <w:rFonts w:ascii="Arial" w:hAnsi="Arial" w:cs="Arial"/>
          <w:bCs/>
          <w:sz w:val="24"/>
          <w:szCs w:val="24"/>
        </w:rPr>
        <w:t xml:space="preserve">punitive costs orders, </w:t>
      </w:r>
      <w:r w:rsidR="0039039B">
        <w:rPr>
          <w:rFonts w:ascii="Arial" w:hAnsi="Arial" w:cs="Arial"/>
          <w:bCs/>
          <w:sz w:val="24"/>
          <w:szCs w:val="24"/>
        </w:rPr>
        <w:t xml:space="preserve">one of the factors taken into consideration is whether a party conducted itself in bad faith.  In my view, </w:t>
      </w:r>
      <w:r w:rsidR="00636E98">
        <w:rPr>
          <w:rFonts w:ascii="Arial" w:hAnsi="Arial" w:cs="Arial"/>
          <w:bCs/>
          <w:sz w:val="24"/>
          <w:szCs w:val="24"/>
        </w:rPr>
        <w:t>th</w:t>
      </w:r>
      <w:r w:rsidR="00506E04">
        <w:rPr>
          <w:rFonts w:ascii="Arial" w:hAnsi="Arial" w:cs="Arial"/>
          <w:bCs/>
          <w:sz w:val="24"/>
          <w:szCs w:val="24"/>
        </w:rPr>
        <w:t>e</w:t>
      </w:r>
      <w:r w:rsidR="00636E98">
        <w:rPr>
          <w:rFonts w:ascii="Arial" w:hAnsi="Arial" w:cs="Arial"/>
          <w:bCs/>
          <w:sz w:val="24"/>
          <w:szCs w:val="24"/>
        </w:rPr>
        <w:t xml:space="preserve">re was no element of </w:t>
      </w:r>
      <w:r w:rsidR="00B56381" w:rsidRPr="00E917AD">
        <w:rPr>
          <w:rFonts w:ascii="Arial" w:hAnsi="Arial" w:cs="Arial"/>
          <w:bCs/>
          <w:i/>
          <w:sz w:val="24"/>
          <w:szCs w:val="24"/>
        </w:rPr>
        <w:t>mala fides</w:t>
      </w:r>
      <w:r w:rsidR="0039039B">
        <w:rPr>
          <w:rFonts w:ascii="Arial" w:hAnsi="Arial" w:cs="Arial"/>
          <w:bCs/>
          <w:i/>
          <w:sz w:val="24"/>
          <w:szCs w:val="24"/>
        </w:rPr>
        <w:t xml:space="preserve"> </w:t>
      </w:r>
      <w:r w:rsidR="00B56381">
        <w:rPr>
          <w:rFonts w:ascii="Arial" w:hAnsi="Arial" w:cs="Arial"/>
          <w:bCs/>
          <w:sz w:val="24"/>
          <w:szCs w:val="24"/>
        </w:rPr>
        <w:t xml:space="preserve">on the </w:t>
      </w:r>
      <w:r w:rsidR="00E917AD">
        <w:rPr>
          <w:rFonts w:ascii="Arial" w:hAnsi="Arial" w:cs="Arial"/>
          <w:bCs/>
          <w:sz w:val="24"/>
          <w:szCs w:val="24"/>
        </w:rPr>
        <w:t xml:space="preserve">part </w:t>
      </w:r>
      <w:r w:rsidR="00B56381">
        <w:rPr>
          <w:rFonts w:ascii="Arial" w:hAnsi="Arial" w:cs="Arial"/>
          <w:bCs/>
          <w:sz w:val="24"/>
          <w:szCs w:val="24"/>
        </w:rPr>
        <w:t>of the appellant when it enrolled the appeal for hearing.</w:t>
      </w:r>
      <w:r w:rsidR="00E917AD">
        <w:rPr>
          <w:rFonts w:ascii="Arial" w:hAnsi="Arial" w:cs="Arial"/>
          <w:bCs/>
          <w:sz w:val="24"/>
          <w:szCs w:val="24"/>
        </w:rPr>
        <w:t xml:space="preserve">  </w:t>
      </w:r>
      <w:r w:rsidR="00506E04">
        <w:rPr>
          <w:rFonts w:ascii="Arial" w:hAnsi="Arial" w:cs="Arial"/>
          <w:bCs/>
          <w:sz w:val="24"/>
          <w:szCs w:val="24"/>
        </w:rPr>
        <w:t>Consequently,</w:t>
      </w:r>
      <w:r w:rsidR="00E917AD">
        <w:rPr>
          <w:rFonts w:ascii="Arial" w:hAnsi="Arial" w:cs="Arial"/>
          <w:bCs/>
          <w:sz w:val="24"/>
          <w:szCs w:val="24"/>
        </w:rPr>
        <w:t xml:space="preserve"> a punitive cost order is not justified in these circumstances.  </w:t>
      </w:r>
    </w:p>
    <w:p w14:paraId="08D3935D" w14:textId="73FB8EF9" w:rsidR="00B56381" w:rsidRDefault="00B56381" w:rsidP="00B56381">
      <w:pPr>
        <w:tabs>
          <w:tab w:val="left" w:pos="0"/>
          <w:tab w:val="left" w:pos="720"/>
          <w:tab w:val="left" w:pos="957"/>
          <w:tab w:val="left" w:pos="1448"/>
        </w:tabs>
        <w:spacing w:after="200" w:line="360" w:lineRule="auto"/>
        <w:ind w:left="720" w:hanging="720"/>
        <w:rPr>
          <w:rFonts w:ascii="Arial" w:hAnsi="Arial" w:cs="Arial"/>
          <w:bCs/>
          <w:sz w:val="24"/>
          <w:szCs w:val="24"/>
        </w:rPr>
      </w:pPr>
      <w:r>
        <w:rPr>
          <w:rFonts w:ascii="Arial" w:hAnsi="Arial" w:cs="Arial"/>
          <w:bCs/>
          <w:sz w:val="24"/>
          <w:szCs w:val="24"/>
        </w:rPr>
        <w:tab/>
      </w:r>
    </w:p>
    <w:p w14:paraId="14A8ECE2" w14:textId="7C947B1D" w:rsidR="00BD55C2" w:rsidRDefault="00BD55C2" w:rsidP="00B56381">
      <w:pPr>
        <w:tabs>
          <w:tab w:val="left" w:pos="0"/>
          <w:tab w:val="left" w:pos="720"/>
          <w:tab w:val="left" w:pos="957"/>
          <w:tab w:val="left" w:pos="1448"/>
        </w:tabs>
        <w:spacing w:after="200" w:line="360" w:lineRule="auto"/>
        <w:ind w:left="720" w:hanging="720"/>
        <w:rPr>
          <w:rFonts w:ascii="Arial" w:hAnsi="Arial" w:cs="Arial"/>
          <w:bCs/>
          <w:sz w:val="24"/>
          <w:szCs w:val="24"/>
        </w:rPr>
      </w:pPr>
    </w:p>
    <w:p w14:paraId="030B2923" w14:textId="4D777039" w:rsidR="004C4058" w:rsidRPr="007553B6" w:rsidRDefault="007553B6" w:rsidP="007553B6">
      <w:pPr>
        <w:tabs>
          <w:tab w:val="left" w:pos="0"/>
          <w:tab w:val="left" w:pos="720"/>
          <w:tab w:val="left" w:pos="957"/>
          <w:tab w:val="left" w:pos="1448"/>
        </w:tabs>
        <w:spacing w:after="200" w:line="360" w:lineRule="auto"/>
        <w:ind w:left="5040" w:hanging="720"/>
        <w:rPr>
          <w:rFonts w:ascii="Arial" w:hAnsi="Arial" w:cs="Arial"/>
          <w:bCs/>
          <w:sz w:val="24"/>
          <w:szCs w:val="24"/>
        </w:rPr>
      </w:pPr>
      <w:r>
        <w:rPr>
          <w:rFonts w:ascii="Arial" w:hAnsi="Arial" w:cs="Arial"/>
          <w:bCs/>
          <w:sz w:val="24"/>
          <w:szCs w:val="24"/>
        </w:rPr>
        <w:t xml:space="preserve">                                    </w:t>
      </w:r>
      <w:r w:rsidR="0027279E">
        <w:rPr>
          <w:noProof/>
          <w:lang w:val="en-US"/>
        </w:rPr>
        <w:t>[…]</w:t>
      </w:r>
      <w:r>
        <w:rPr>
          <w:rFonts w:ascii="Arial" w:hAnsi="Arial" w:cs="Arial"/>
          <w:bCs/>
          <w:sz w:val="24"/>
          <w:szCs w:val="24"/>
        </w:rPr>
        <w:t xml:space="preserve">                                                                </w:t>
      </w:r>
      <w:r w:rsidR="00C44FDF">
        <w:rPr>
          <w:rFonts w:ascii="Arial" w:hAnsi="Arial" w:cs="Arial"/>
          <w:b/>
          <w:bCs/>
          <w:sz w:val="24"/>
          <w:szCs w:val="24"/>
        </w:rPr>
        <w:t xml:space="preserve"> </w:t>
      </w:r>
      <w:r>
        <w:rPr>
          <w:rFonts w:ascii="Arial" w:hAnsi="Arial" w:cs="Arial"/>
          <w:b/>
          <w:bCs/>
          <w:sz w:val="24"/>
          <w:szCs w:val="24"/>
        </w:rPr>
        <w:t xml:space="preserve">                    </w:t>
      </w:r>
      <w:r w:rsidR="004C4058" w:rsidRPr="008A1016">
        <w:rPr>
          <w:rFonts w:cs="Arial"/>
          <w:b/>
          <w:bCs/>
          <w:sz w:val="24"/>
          <w:szCs w:val="24"/>
        </w:rPr>
        <w:t>_____________________________</w:t>
      </w:r>
    </w:p>
    <w:p w14:paraId="5E35CD26" w14:textId="5475599D" w:rsidR="004C4058" w:rsidRPr="008A1016" w:rsidRDefault="00043340" w:rsidP="00043340">
      <w:pPr>
        <w:pStyle w:val="BodyA"/>
        <w:spacing w:line="360" w:lineRule="auto"/>
        <w:jc w:val="right"/>
        <w:rPr>
          <w:rFonts w:ascii="Arial" w:hAnsi="Arial" w:cs="Arial"/>
          <w:b/>
          <w:bCs/>
          <w:sz w:val="24"/>
          <w:szCs w:val="24"/>
        </w:rPr>
      </w:pPr>
      <w:r>
        <w:rPr>
          <w:rFonts w:ascii="Arial" w:hAnsi="Arial" w:cs="Arial"/>
          <w:b/>
          <w:bCs/>
          <w:sz w:val="24"/>
          <w:szCs w:val="24"/>
        </w:rPr>
        <w:t>I COX</w:t>
      </w:r>
    </w:p>
    <w:p w14:paraId="510C15CE" w14:textId="77777777" w:rsidR="004C4058" w:rsidRPr="000524D9" w:rsidRDefault="004C4058" w:rsidP="004C4058">
      <w:pPr>
        <w:pStyle w:val="BodyA"/>
        <w:spacing w:before="120"/>
        <w:ind w:left="720"/>
        <w:jc w:val="right"/>
        <w:rPr>
          <w:rFonts w:ascii="Arial" w:hAnsi="Arial" w:cs="Arial"/>
          <w:b/>
          <w:bCs/>
          <w:sz w:val="24"/>
          <w:szCs w:val="24"/>
        </w:rPr>
      </w:pPr>
      <w:r w:rsidRPr="000524D9">
        <w:rPr>
          <w:rFonts w:ascii="Arial" w:hAnsi="Arial" w:cs="Arial"/>
          <w:b/>
          <w:bCs/>
          <w:sz w:val="24"/>
          <w:szCs w:val="24"/>
        </w:rPr>
        <w:t xml:space="preserve"> ACTING JUDGE OF THE HIGH COURT</w:t>
      </w:r>
    </w:p>
    <w:p w14:paraId="57AD5900" w14:textId="77777777" w:rsidR="004C4058" w:rsidRPr="000524D9" w:rsidRDefault="004C4058" w:rsidP="004C4058">
      <w:pPr>
        <w:spacing w:before="120" w:line="240" w:lineRule="auto"/>
        <w:ind w:left="720"/>
        <w:jc w:val="right"/>
        <w:rPr>
          <w:rFonts w:ascii="Arial" w:eastAsia="Arial Unicode MS" w:hAnsi="Arial" w:cs="Arial"/>
          <w:b/>
          <w:sz w:val="24"/>
          <w:szCs w:val="24"/>
        </w:rPr>
      </w:pPr>
      <w:r w:rsidRPr="000524D9">
        <w:rPr>
          <w:rFonts w:ascii="Arial" w:eastAsia="Arial Unicode MS" w:hAnsi="Arial" w:cs="Arial"/>
          <w:b/>
          <w:sz w:val="24"/>
          <w:szCs w:val="24"/>
        </w:rPr>
        <w:t>GAUTENG DIVISION, PRETORIA</w:t>
      </w:r>
    </w:p>
    <w:p w14:paraId="1701C6E4" w14:textId="77777777" w:rsidR="00740881" w:rsidRDefault="00740881" w:rsidP="004C4058">
      <w:pPr>
        <w:pStyle w:val="Body"/>
        <w:spacing w:line="360" w:lineRule="auto"/>
        <w:rPr>
          <w:rFonts w:cs="Arial"/>
          <w:b/>
          <w:bCs/>
        </w:rPr>
      </w:pPr>
    </w:p>
    <w:p w14:paraId="07C5F255" w14:textId="1AF3FC81" w:rsidR="00043340" w:rsidRPr="00BD55C2" w:rsidRDefault="004C4058" w:rsidP="004C4058">
      <w:pPr>
        <w:pStyle w:val="Body"/>
        <w:spacing w:line="360" w:lineRule="auto"/>
        <w:rPr>
          <w:rFonts w:cs="Arial"/>
        </w:rPr>
      </w:pPr>
      <w:r w:rsidRPr="00BD55C2">
        <w:rPr>
          <w:rFonts w:cs="Arial"/>
          <w:bCs/>
        </w:rPr>
        <w:t xml:space="preserve">I </w:t>
      </w:r>
      <w:r w:rsidR="00BD55C2">
        <w:rPr>
          <w:rFonts w:cs="Arial"/>
          <w:bCs/>
        </w:rPr>
        <w:t>agree and it is so ordered</w:t>
      </w:r>
      <w:r w:rsidRPr="00BD55C2">
        <w:rPr>
          <w:rFonts w:cs="Arial"/>
        </w:rPr>
        <w:tab/>
      </w:r>
    </w:p>
    <w:p w14:paraId="0504B2A2" w14:textId="5320A260" w:rsidR="00043340" w:rsidRDefault="00043340" w:rsidP="004C4058">
      <w:pPr>
        <w:pStyle w:val="Body"/>
        <w:spacing w:line="360" w:lineRule="auto"/>
        <w:rPr>
          <w:rFonts w:cs="Arial"/>
        </w:rPr>
      </w:pPr>
    </w:p>
    <w:p w14:paraId="260212D2" w14:textId="1463357B" w:rsidR="00F73216" w:rsidRDefault="00F73216" w:rsidP="004C4058">
      <w:pPr>
        <w:pStyle w:val="Body"/>
        <w:spacing w:line="360" w:lineRule="auto"/>
        <w:rPr>
          <w:rFonts w:cs="Arial"/>
        </w:rPr>
      </w:pPr>
    </w:p>
    <w:p w14:paraId="3D0770F2" w14:textId="77777777" w:rsidR="00F73216" w:rsidRDefault="00F73216" w:rsidP="004C4058">
      <w:pPr>
        <w:pStyle w:val="Body"/>
        <w:spacing w:line="360" w:lineRule="auto"/>
        <w:rPr>
          <w:rFonts w:cs="Arial"/>
        </w:rPr>
      </w:pPr>
    </w:p>
    <w:p w14:paraId="2BB0AC02" w14:textId="4FEE5376" w:rsidR="004C4058" w:rsidRPr="008E492A" w:rsidRDefault="004C4058" w:rsidP="00043340">
      <w:pPr>
        <w:pStyle w:val="Body"/>
        <w:spacing w:line="360" w:lineRule="auto"/>
        <w:jc w:val="right"/>
        <w:rPr>
          <w:rFonts w:cs="Arial"/>
          <w:sz w:val="24"/>
          <w:szCs w:val="24"/>
        </w:rPr>
      </w:pPr>
      <w:r w:rsidRPr="008A1016">
        <w:rPr>
          <w:rFonts w:cs="Arial"/>
          <w:b/>
          <w:bCs/>
          <w:sz w:val="24"/>
          <w:szCs w:val="24"/>
        </w:rPr>
        <w:t>____________________________</w:t>
      </w:r>
      <w:r>
        <w:rPr>
          <w:rFonts w:cs="Arial"/>
          <w:b/>
          <w:bCs/>
          <w:sz w:val="24"/>
          <w:szCs w:val="24"/>
        </w:rPr>
        <w:t>___</w:t>
      </w:r>
      <w:r w:rsidRPr="008A1016">
        <w:rPr>
          <w:rFonts w:cs="Arial"/>
          <w:b/>
          <w:bCs/>
          <w:sz w:val="24"/>
          <w:szCs w:val="24"/>
        </w:rPr>
        <w:t>_</w:t>
      </w:r>
    </w:p>
    <w:p w14:paraId="33C398D3" w14:textId="55B1B25F" w:rsidR="004C4058" w:rsidRPr="008A1016" w:rsidRDefault="00C44FDF" w:rsidP="00043340">
      <w:pPr>
        <w:pStyle w:val="BodyA"/>
        <w:spacing w:line="360" w:lineRule="auto"/>
        <w:jc w:val="right"/>
        <w:rPr>
          <w:rFonts w:ascii="Arial" w:hAnsi="Arial" w:cs="Arial"/>
          <w:b/>
          <w:bCs/>
          <w:sz w:val="24"/>
          <w:szCs w:val="24"/>
        </w:rPr>
      </w:pPr>
      <w:r>
        <w:rPr>
          <w:rFonts w:ascii="Arial" w:hAnsi="Arial" w:cs="Arial"/>
          <w:b/>
          <w:bCs/>
          <w:sz w:val="24"/>
          <w:szCs w:val="24"/>
        </w:rPr>
        <w:t>H KOOVERJIE</w:t>
      </w:r>
    </w:p>
    <w:p w14:paraId="71CAB728" w14:textId="77777777" w:rsidR="004C4058" w:rsidRPr="000524D9" w:rsidRDefault="004C4058" w:rsidP="004C4058">
      <w:pPr>
        <w:pStyle w:val="BodyA"/>
        <w:spacing w:before="120"/>
        <w:ind w:left="720"/>
        <w:jc w:val="right"/>
        <w:rPr>
          <w:rFonts w:ascii="Arial" w:hAnsi="Arial" w:cs="Arial"/>
          <w:b/>
          <w:bCs/>
          <w:sz w:val="24"/>
          <w:szCs w:val="24"/>
        </w:rPr>
      </w:pPr>
      <w:r w:rsidRPr="000524D9">
        <w:rPr>
          <w:rFonts w:ascii="Arial" w:hAnsi="Arial" w:cs="Arial"/>
          <w:b/>
          <w:bCs/>
          <w:sz w:val="24"/>
          <w:szCs w:val="24"/>
        </w:rPr>
        <w:t xml:space="preserve"> JUDGE OF THE HIGH COURT</w:t>
      </w:r>
    </w:p>
    <w:p w14:paraId="08E177F0" w14:textId="77777777" w:rsidR="004C4058" w:rsidRPr="000524D9" w:rsidRDefault="004C4058" w:rsidP="004C4058">
      <w:pPr>
        <w:spacing w:before="120" w:line="240" w:lineRule="auto"/>
        <w:ind w:left="720"/>
        <w:jc w:val="right"/>
        <w:rPr>
          <w:rFonts w:ascii="Arial" w:eastAsia="Arial Unicode MS" w:hAnsi="Arial" w:cs="Arial"/>
          <w:b/>
          <w:sz w:val="24"/>
          <w:szCs w:val="24"/>
        </w:rPr>
      </w:pPr>
      <w:r w:rsidRPr="000524D9">
        <w:rPr>
          <w:rFonts w:ascii="Arial" w:eastAsia="Arial Unicode MS" w:hAnsi="Arial" w:cs="Arial"/>
          <w:b/>
          <w:sz w:val="24"/>
          <w:szCs w:val="24"/>
        </w:rPr>
        <w:t>GAUTENG DIVISION, PRETORIA</w:t>
      </w:r>
    </w:p>
    <w:p w14:paraId="6255299C" w14:textId="64287B7A" w:rsidR="004C4058" w:rsidRDefault="004C4058" w:rsidP="00043340">
      <w:pPr>
        <w:spacing w:line="360" w:lineRule="auto"/>
        <w:ind w:left="567" w:hanging="567"/>
        <w:jc w:val="both"/>
        <w:rPr>
          <w:rFonts w:ascii="Arial" w:hAnsi="Arial" w:cs="Arial"/>
        </w:rPr>
      </w:pPr>
      <w:r>
        <w:rPr>
          <w:rFonts w:ascii="Arial" w:hAnsi="Arial" w:cs="Arial"/>
        </w:rPr>
        <w:tab/>
      </w:r>
    </w:p>
    <w:p w14:paraId="50A39525" w14:textId="3CC261A2" w:rsidR="00F73216" w:rsidRPr="00BD55C2" w:rsidRDefault="004C4058" w:rsidP="004C4058">
      <w:pPr>
        <w:pStyle w:val="Body"/>
        <w:spacing w:line="360" w:lineRule="auto"/>
        <w:rPr>
          <w:rFonts w:cs="Arial"/>
        </w:rPr>
      </w:pPr>
      <w:r w:rsidRPr="00BD55C2">
        <w:rPr>
          <w:rFonts w:cs="Arial"/>
          <w:bCs/>
        </w:rPr>
        <w:t xml:space="preserve">I </w:t>
      </w:r>
      <w:r w:rsidR="00BD55C2">
        <w:rPr>
          <w:rFonts w:cs="Arial"/>
          <w:bCs/>
        </w:rPr>
        <w:t>agree</w:t>
      </w:r>
      <w:r w:rsidRPr="00BD55C2">
        <w:rPr>
          <w:rFonts w:cs="Arial"/>
        </w:rPr>
        <w:t xml:space="preserve"> </w:t>
      </w:r>
      <w:r w:rsidRPr="00BD55C2">
        <w:rPr>
          <w:rFonts w:cs="Arial"/>
        </w:rPr>
        <w:tab/>
      </w:r>
    </w:p>
    <w:p w14:paraId="36718F7B" w14:textId="77777777" w:rsidR="00F73216" w:rsidRDefault="00F73216" w:rsidP="004C4058">
      <w:pPr>
        <w:pStyle w:val="Body"/>
        <w:spacing w:line="360" w:lineRule="auto"/>
        <w:rPr>
          <w:rFonts w:cs="Arial"/>
        </w:rPr>
      </w:pPr>
    </w:p>
    <w:p w14:paraId="4804EAD9" w14:textId="77777777" w:rsidR="00BD55C2" w:rsidRDefault="004C4058" w:rsidP="004C4058">
      <w:pPr>
        <w:pStyle w:val="Body"/>
        <w:spacing w:line="360" w:lineRule="auto"/>
        <w:rPr>
          <w:rFonts w:cs="Arial"/>
        </w:rPr>
      </w:pPr>
      <w:r>
        <w:rPr>
          <w:rFonts w:cs="Arial"/>
        </w:rPr>
        <w:tab/>
      </w:r>
      <w:r>
        <w:rPr>
          <w:rFonts w:cs="Arial"/>
        </w:rPr>
        <w:tab/>
      </w:r>
    </w:p>
    <w:p w14:paraId="6BF0F15D" w14:textId="22CA5AAA" w:rsidR="00043340" w:rsidRDefault="004C4058" w:rsidP="004C4058">
      <w:pPr>
        <w:pStyle w:val="Body"/>
        <w:spacing w:line="360" w:lineRule="auto"/>
        <w:rPr>
          <w:rFonts w:cs="Arial"/>
        </w:rPr>
      </w:pPr>
      <w:r>
        <w:rPr>
          <w:rFonts w:cs="Arial"/>
        </w:rPr>
        <w:tab/>
      </w:r>
      <w:r>
        <w:rPr>
          <w:rFonts w:cs="Arial"/>
        </w:rPr>
        <w:tab/>
      </w:r>
    </w:p>
    <w:p w14:paraId="782A3490" w14:textId="64B76D82" w:rsidR="004C4058" w:rsidRPr="008E492A" w:rsidRDefault="004C4058" w:rsidP="00043340">
      <w:pPr>
        <w:pStyle w:val="Body"/>
        <w:spacing w:line="360" w:lineRule="auto"/>
        <w:jc w:val="right"/>
        <w:rPr>
          <w:rFonts w:cs="Arial"/>
          <w:sz w:val="24"/>
          <w:szCs w:val="24"/>
        </w:rPr>
      </w:pPr>
      <w:r>
        <w:rPr>
          <w:rFonts w:cs="Arial"/>
        </w:rPr>
        <w:t>__</w:t>
      </w:r>
      <w:r w:rsidRPr="008A1016">
        <w:rPr>
          <w:rFonts w:cs="Arial"/>
          <w:b/>
          <w:bCs/>
          <w:sz w:val="24"/>
          <w:szCs w:val="24"/>
        </w:rPr>
        <w:t>_____________________________</w:t>
      </w:r>
      <w:r>
        <w:rPr>
          <w:rFonts w:cs="Arial"/>
          <w:b/>
          <w:bCs/>
          <w:sz w:val="24"/>
          <w:szCs w:val="24"/>
        </w:rPr>
        <w:t>_</w:t>
      </w:r>
    </w:p>
    <w:p w14:paraId="062F71ED" w14:textId="1D00B5E3" w:rsidR="004C4058" w:rsidRPr="008A1016" w:rsidRDefault="00740881" w:rsidP="00043340">
      <w:pPr>
        <w:pStyle w:val="BodyA"/>
        <w:spacing w:line="360" w:lineRule="auto"/>
        <w:jc w:val="right"/>
        <w:rPr>
          <w:rFonts w:ascii="Arial" w:hAnsi="Arial" w:cs="Arial"/>
          <w:b/>
          <w:bCs/>
          <w:sz w:val="24"/>
          <w:szCs w:val="24"/>
        </w:rPr>
      </w:pPr>
      <w:r>
        <w:rPr>
          <w:rFonts w:ascii="Arial" w:hAnsi="Arial" w:cs="Arial"/>
          <w:b/>
          <w:bCs/>
          <w:sz w:val="24"/>
          <w:szCs w:val="24"/>
        </w:rPr>
        <w:t>J MOGOTSI</w:t>
      </w:r>
    </w:p>
    <w:p w14:paraId="65323D14" w14:textId="34C38198" w:rsidR="004C4058" w:rsidRPr="000524D9" w:rsidRDefault="00740881" w:rsidP="004C4058">
      <w:pPr>
        <w:pStyle w:val="BodyA"/>
        <w:spacing w:before="120"/>
        <w:ind w:left="720"/>
        <w:jc w:val="right"/>
        <w:rPr>
          <w:rFonts w:ascii="Arial" w:hAnsi="Arial" w:cs="Arial"/>
          <w:b/>
          <w:bCs/>
          <w:sz w:val="24"/>
          <w:szCs w:val="24"/>
        </w:rPr>
      </w:pPr>
      <w:r>
        <w:rPr>
          <w:rFonts w:ascii="Arial" w:hAnsi="Arial" w:cs="Arial"/>
          <w:b/>
          <w:bCs/>
          <w:sz w:val="24"/>
          <w:szCs w:val="24"/>
        </w:rPr>
        <w:lastRenderedPageBreak/>
        <w:t xml:space="preserve">ACTING </w:t>
      </w:r>
      <w:r w:rsidR="004C4058" w:rsidRPr="000524D9">
        <w:rPr>
          <w:rFonts w:ascii="Arial" w:hAnsi="Arial" w:cs="Arial"/>
          <w:b/>
          <w:bCs/>
          <w:sz w:val="24"/>
          <w:szCs w:val="24"/>
        </w:rPr>
        <w:t>JUDGE OF THE HIGH COURT</w:t>
      </w:r>
    </w:p>
    <w:p w14:paraId="535E1A02" w14:textId="6B8B0218" w:rsidR="004C4058" w:rsidRDefault="004C4058" w:rsidP="004C4058">
      <w:pPr>
        <w:spacing w:before="120" w:line="240" w:lineRule="auto"/>
        <w:ind w:left="720"/>
        <w:jc w:val="right"/>
        <w:rPr>
          <w:rFonts w:ascii="Arial" w:eastAsia="Arial Unicode MS" w:hAnsi="Arial" w:cs="Arial"/>
          <w:b/>
          <w:sz w:val="24"/>
          <w:szCs w:val="24"/>
        </w:rPr>
      </w:pPr>
      <w:r w:rsidRPr="000524D9">
        <w:rPr>
          <w:rFonts w:ascii="Arial" w:eastAsia="Arial Unicode MS" w:hAnsi="Arial" w:cs="Arial"/>
          <w:b/>
          <w:sz w:val="24"/>
          <w:szCs w:val="24"/>
        </w:rPr>
        <w:t>GAUTENG DIVISION, PRETORIA</w:t>
      </w:r>
    </w:p>
    <w:p w14:paraId="4EDC38B2" w14:textId="5FEE4976" w:rsidR="00E917AD" w:rsidRDefault="00E917AD" w:rsidP="004C4058">
      <w:pPr>
        <w:spacing w:before="120" w:line="240" w:lineRule="auto"/>
        <w:ind w:left="720"/>
        <w:jc w:val="right"/>
        <w:rPr>
          <w:rFonts w:ascii="Arial" w:eastAsia="Arial Unicode MS" w:hAnsi="Arial" w:cs="Arial"/>
          <w:b/>
          <w:sz w:val="24"/>
          <w:szCs w:val="24"/>
        </w:rPr>
      </w:pPr>
    </w:p>
    <w:p w14:paraId="53852DB3" w14:textId="01C29442" w:rsidR="00E917AD" w:rsidRDefault="00E917AD" w:rsidP="004C4058">
      <w:pPr>
        <w:spacing w:before="120" w:line="240" w:lineRule="auto"/>
        <w:ind w:left="720"/>
        <w:jc w:val="right"/>
        <w:rPr>
          <w:rFonts w:ascii="Arial" w:eastAsia="Arial Unicode MS" w:hAnsi="Arial" w:cs="Arial"/>
          <w:b/>
          <w:sz w:val="24"/>
          <w:szCs w:val="24"/>
        </w:rPr>
      </w:pPr>
    </w:p>
    <w:p w14:paraId="20BE58D5" w14:textId="77777777" w:rsidR="00E917AD" w:rsidRPr="000524D9" w:rsidRDefault="00E917AD" w:rsidP="004C4058">
      <w:pPr>
        <w:spacing w:before="120" w:line="240" w:lineRule="auto"/>
        <w:ind w:left="720"/>
        <w:jc w:val="right"/>
        <w:rPr>
          <w:rFonts w:ascii="Arial" w:eastAsia="Arial Unicode MS" w:hAnsi="Arial" w:cs="Arial"/>
          <w:b/>
          <w:sz w:val="24"/>
          <w:szCs w:val="24"/>
        </w:rPr>
      </w:pPr>
    </w:p>
    <w:p w14:paraId="5C188E39" w14:textId="77777777" w:rsidR="004C4058" w:rsidRDefault="004C4058" w:rsidP="004C4058">
      <w:pPr>
        <w:spacing w:line="360" w:lineRule="auto"/>
        <w:jc w:val="both"/>
        <w:rPr>
          <w:rFonts w:ascii="Arial" w:hAnsi="Arial" w:cs="Arial"/>
          <w:sz w:val="24"/>
          <w:szCs w:val="24"/>
        </w:rPr>
      </w:pPr>
    </w:p>
    <w:p w14:paraId="35151632" w14:textId="77777777" w:rsidR="004C4058" w:rsidRPr="008A1016" w:rsidRDefault="004C4058" w:rsidP="004C4058">
      <w:pPr>
        <w:spacing w:line="360" w:lineRule="auto"/>
        <w:jc w:val="both"/>
        <w:rPr>
          <w:rFonts w:ascii="Arial" w:hAnsi="Arial" w:cs="Arial"/>
        </w:rPr>
      </w:pPr>
    </w:p>
    <w:p w14:paraId="05014ED0" w14:textId="5C21630F" w:rsidR="004C4058" w:rsidRPr="008E492A" w:rsidRDefault="004C4058" w:rsidP="004C4058">
      <w:pPr>
        <w:spacing w:line="360" w:lineRule="auto"/>
        <w:ind w:left="567" w:hanging="567"/>
        <w:jc w:val="both"/>
        <w:rPr>
          <w:rFonts w:ascii="Arial" w:hAnsi="Arial" w:cs="Arial"/>
          <w:sz w:val="24"/>
          <w:szCs w:val="24"/>
        </w:rPr>
      </w:pPr>
      <w:r w:rsidRPr="008E492A">
        <w:rPr>
          <w:rFonts w:ascii="Arial" w:hAnsi="Arial" w:cs="Arial"/>
          <w:sz w:val="24"/>
          <w:szCs w:val="24"/>
        </w:rPr>
        <w:t>HEARD ON:</w:t>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00740881">
        <w:rPr>
          <w:rFonts w:ascii="Arial" w:hAnsi="Arial" w:cs="Arial"/>
          <w:sz w:val="24"/>
          <w:szCs w:val="24"/>
        </w:rPr>
        <w:t>1</w:t>
      </w:r>
      <w:r w:rsidR="00C44FDF">
        <w:rPr>
          <w:rFonts w:ascii="Arial" w:hAnsi="Arial" w:cs="Arial"/>
          <w:sz w:val="24"/>
          <w:szCs w:val="24"/>
        </w:rPr>
        <w:t>5</w:t>
      </w:r>
      <w:r w:rsidR="00740881">
        <w:rPr>
          <w:rFonts w:ascii="Arial" w:hAnsi="Arial" w:cs="Arial"/>
          <w:sz w:val="24"/>
          <w:szCs w:val="24"/>
        </w:rPr>
        <w:t xml:space="preserve"> MAY</w:t>
      </w:r>
      <w:r w:rsidR="00043340">
        <w:rPr>
          <w:rFonts w:ascii="Arial" w:hAnsi="Arial" w:cs="Arial"/>
          <w:sz w:val="24"/>
          <w:szCs w:val="24"/>
        </w:rPr>
        <w:t xml:space="preserve"> </w:t>
      </w:r>
      <w:r w:rsidRPr="008E492A">
        <w:rPr>
          <w:rFonts w:ascii="Arial" w:hAnsi="Arial" w:cs="Arial"/>
          <w:sz w:val="24"/>
          <w:szCs w:val="24"/>
        </w:rPr>
        <w:t>2024</w:t>
      </w:r>
    </w:p>
    <w:p w14:paraId="1E394274" w14:textId="3C945CED" w:rsidR="004C4058" w:rsidRPr="008E492A" w:rsidRDefault="00794B5E" w:rsidP="004C4058">
      <w:pPr>
        <w:spacing w:line="360" w:lineRule="auto"/>
        <w:ind w:left="567" w:hanging="567"/>
        <w:jc w:val="both"/>
        <w:rPr>
          <w:rFonts w:ascii="Arial" w:hAnsi="Arial" w:cs="Arial"/>
          <w:sz w:val="24"/>
          <w:szCs w:val="24"/>
        </w:rPr>
      </w:pPr>
      <w:r>
        <w:rPr>
          <w:rFonts w:ascii="Arial" w:hAnsi="Arial" w:cs="Arial"/>
          <w:sz w:val="24"/>
          <w:szCs w:val="24"/>
        </w:rPr>
        <w:t>JUDGMENT DELIVERED 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18 JUNE </w:t>
      </w:r>
      <w:r w:rsidR="004C4058" w:rsidRPr="008E492A">
        <w:rPr>
          <w:rFonts w:ascii="Arial" w:hAnsi="Arial" w:cs="Arial"/>
          <w:sz w:val="24"/>
          <w:szCs w:val="24"/>
        </w:rPr>
        <w:t>2024</w:t>
      </w:r>
    </w:p>
    <w:p w14:paraId="15B71B29" w14:textId="77777777" w:rsidR="004C4058" w:rsidRPr="008E492A" w:rsidRDefault="004C4058" w:rsidP="004C4058">
      <w:pPr>
        <w:spacing w:line="360" w:lineRule="auto"/>
        <w:jc w:val="both"/>
        <w:rPr>
          <w:rFonts w:ascii="Arial" w:hAnsi="Arial" w:cs="Arial"/>
          <w:sz w:val="24"/>
          <w:szCs w:val="24"/>
        </w:rPr>
      </w:pPr>
    </w:p>
    <w:p w14:paraId="1C552918" w14:textId="622BFAA6" w:rsidR="004C4058" w:rsidRPr="008E492A" w:rsidRDefault="004C4058" w:rsidP="00043340">
      <w:pPr>
        <w:spacing w:line="360" w:lineRule="auto"/>
        <w:ind w:left="567" w:hanging="567"/>
        <w:jc w:val="both"/>
        <w:rPr>
          <w:rFonts w:ascii="Arial" w:hAnsi="Arial" w:cs="Arial"/>
          <w:sz w:val="24"/>
          <w:szCs w:val="24"/>
        </w:rPr>
      </w:pPr>
      <w:r w:rsidRPr="008E492A">
        <w:rPr>
          <w:rFonts w:ascii="Arial" w:hAnsi="Arial" w:cs="Arial"/>
          <w:sz w:val="24"/>
          <w:szCs w:val="24"/>
        </w:rPr>
        <w:t>COUNSEL FOR THE APPELLANT:</w:t>
      </w:r>
      <w:r w:rsidRPr="008E492A">
        <w:rPr>
          <w:rFonts w:ascii="Arial" w:hAnsi="Arial" w:cs="Arial"/>
          <w:sz w:val="24"/>
          <w:szCs w:val="24"/>
        </w:rPr>
        <w:tab/>
      </w:r>
      <w:r w:rsidRPr="008E492A">
        <w:rPr>
          <w:rFonts w:ascii="Arial" w:hAnsi="Arial" w:cs="Arial"/>
          <w:sz w:val="24"/>
          <w:szCs w:val="24"/>
        </w:rPr>
        <w:tab/>
        <w:t xml:space="preserve">ADV. </w:t>
      </w:r>
      <w:r w:rsidR="00C44FDF">
        <w:rPr>
          <w:rFonts w:ascii="Arial" w:hAnsi="Arial" w:cs="Arial"/>
          <w:sz w:val="24"/>
          <w:szCs w:val="24"/>
        </w:rPr>
        <w:t>M SNYMAN SC</w:t>
      </w:r>
    </w:p>
    <w:p w14:paraId="00CE7983" w14:textId="72C10C28" w:rsidR="003350BC" w:rsidRPr="008E492A" w:rsidRDefault="004C4058" w:rsidP="00C44FDF">
      <w:pPr>
        <w:spacing w:line="360" w:lineRule="auto"/>
        <w:ind w:left="5040" w:hanging="5040"/>
        <w:jc w:val="both"/>
        <w:rPr>
          <w:rFonts w:ascii="Arial" w:hAnsi="Arial" w:cs="Arial"/>
          <w:sz w:val="24"/>
          <w:szCs w:val="24"/>
        </w:rPr>
      </w:pPr>
      <w:r w:rsidRPr="008E492A">
        <w:rPr>
          <w:rFonts w:ascii="Arial" w:hAnsi="Arial" w:cs="Arial"/>
          <w:sz w:val="24"/>
          <w:szCs w:val="24"/>
        </w:rPr>
        <w:t>INSTRUCTED BY:</w:t>
      </w:r>
      <w:r w:rsidRPr="008E492A">
        <w:rPr>
          <w:rFonts w:ascii="Arial" w:hAnsi="Arial" w:cs="Arial"/>
          <w:sz w:val="24"/>
          <w:szCs w:val="24"/>
        </w:rPr>
        <w:tab/>
      </w:r>
      <w:r w:rsidR="00C44FDF">
        <w:rPr>
          <w:rFonts w:ascii="Arial" w:hAnsi="Arial" w:cs="Arial"/>
          <w:sz w:val="24"/>
          <w:szCs w:val="24"/>
        </w:rPr>
        <w:t>M J HOOD &amp; ASSOCIATES ATTORNEYS, SANDTON</w:t>
      </w:r>
    </w:p>
    <w:p w14:paraId="11922F85" w14:textId="1BB8D110" w:rsidR="004C4058" w:rsidRPr="008E492A" w:rsidRDefault="004C4058" w:rsidP="00C44FDF">
      <w:pPr>
        <w:spacing w:line="360" w:lineRule="auto"/>
        <w:jc w:val="both"/>
        <w:rPr>
          <w:rFonts w:ascii="Arial" w:hAnsi="Arial" w:cs="Arial"/>
          <w:sz w:val="24"/>
          <w:szCs w:val="24"/>
        </w:rPr>
      </w:pP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p>
    <w:p w14:paraId="3035B1DF" w14:textId="77777777" w:rsidR="004C4058" w:rsidRPr="008E492A" w:rsidRDefault="004C4058" w:rsidP="004C4058">
      <w:pPr>
        <w:spacing w:line="360" w:lineRule="auto"/>
        <w:ind w:left="567" w:hanging="567"/>
        <w:jc w:val="both"/>
        <w:rPr>
          <w:rFonts w:ascii="Arial" w:hAnsi="Arial" w:cs="Arial"/>
          <w:sz w:val="24"/>
          <w:szCs w:val="24"/>
        </w:rPr>
      </w:pP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r w:rsidRPr="008E492A">
        <w:rPr>
          <w:rFonts w:ascii="Arial" w:hAnsi="Arial" w:cs="Arial"/>
          <w:sz w:val="24"/>
          <w:szCs w:val="24"/>
        </w:rPr>
        <w:tab/>
      </w:r>
    </w:p>
    <w:p w14:paraId="16F58677" w14:textId="04719204" w:rsidR="004C4058" w:rsidRPr="008E492A" w:rsidRDefault="004C4058" w:rsidP="004C4058">
      <w:pPr>
        <w:spacing w:line="360" w:lineRule="auto"/>
        <w:ind w:left="567" w:hanging="567"/>
        <w:jc w:val="both"/>
        <w:rPr>
          <w:rFonts w:ascii="Arial" w:hAnsi="Arial" w:cs="Arial"/>
          <w:sz w:val="24"/>
          <w:szCs w:val="24"/>
        </w:rPr>
      </w:pPr>
      <w:r w:rsidRPr="008E492A">
        <w:rPr>
          <w:rFonts w:ascii="Arial" w:hAnsi="Arial" w:cs="Arial"/>
          <w:sz w:val="24"/>
          <w:szCs w:val="24"/>
        </w:rPr>
        <w:t>COUNSEL FOR THE RESPONDENT:</w:t>
      </w:r>
      <w:r w:rsidRPr="008E492A">
        <w:rPr>
          <w:rFonts w:ascii="Arial" w:hAnsi="Arial" w:cs="Arial"/>
          <w:sz w:val="24"/>
          <w:szCs w:val="24"/>
        </w:rPr>
        <w:tab/>
      </w:r>
      <w:r w:rsidRPr="008E492A">
        <w:rPr>
          <w:rFonts w:ascii="Arial" w:hAnsi="Arial" w:cs="Arial"/>
          <w:sz w:val="24"/>
          <w:szCs w:val="24"/>
        </w:rPr>
        <w:tab/>
        <w:t xml:space="preserve">ADV. </w:t>
      </w:r>
      <w:r w:rsidR="00C44FDF">
        <w:rPr>
          <w:rFonts w:ascii="Arial" w:hAnsi="Arial" w:cs="Arial"/>
          <w:sz w:val="24"/>
          <w:szCs w:val="24"/>
        </w:rPr>
        <w:t>I ELLIS</w:t>
      </w:r>
      <w:r w:rsidR="002C2576">
        <w:rPr>
          <w:rFonts w:ascii="Arial" w:hAnsi="Arial" w:cs="Arial"/>
          <w:sz w:val="24"/>
          <w:szCs w:val="24"/>
        </w:rPr>
        <w:t xml:space="preserve"> SC</w:t>
      </w:r>
    </w:p>
    <w:p w14:paraId="64343D86" w14:textId="2D1CEC70" w:rsidR="004C4058" w:rsidRPr="008E492A" w:rsidRDefault="004C4058" w:rsidP="004C4058">
      <w:pPr>
        <w:spacing w:line="360" w:lineRule="auto"/>
        <w:ind w:left="5040" w:hanging="5040"/>
        <w:rPr>
          <w:rFonts w:ascii="Arial" w:hAnsi="Arial" w:cs="Arial"/>
          <w:sz w:val="24"/>
          <w:szCs w:val="24"/>
        </w:rPr>
      </w:pPr>
      <w:r w:rsidRPr="008E492A">
        <w:rPr>
          <w:rFonts w:ascii="Arial" w:hAnsi="Arial" w:cs="Arial"/>
          <w:sz w:val="24"/>
          <w:szCs w:val="24"/>
        </w:rPr>
        <w:t>INSTRUCTED BY:</w:t>
      </w:r>
      <w:r w:rsidRPr="008E492A">
        <w:rPr>
          <w:rFonts w:ascii="Arial" w:hAnsi="Arial" w:cs="Arial"/>
          <w:sz w:val="24"/>
          <w:szCs w:val="24"/>
        </w:rPr>
        <w:tab/>
      </w:r>
      <w:r w:rsidR="00C44FDF">
        <w:rPr>
          <w:rFonts w:ascii="Arial" w:hAnsi="Arial" w:cs="Arial"/>
          <w:sz w:val="24"/>
          <w:szCs w:val="24"/>
        </w:rPr>
        <w:t>STATE ATTORNEY</w:t>
      </w:r>
      <w:r w:rsidR="00DC6550">
        <w:rPr>
          <w:rFonts w:ascii="Arial" w:hAnsi="Arial" w:cs="Arial"/>
          <w:sz w:val="24"/>
          <w:szCs w:val="24"/>
        </w:rPr>
        <w:t>, PRETORIA</w:t>
      </w:r>
    </w:p>
    <w:sectPr w:rsidR="004C4058" w:rsidRPr="008E492A" w:rsidSect="006F2D02">
      <w:headerReference w:type="even" r:id="rId10"/>
      <w:headerReference w:type="default" r:id="rId11"/>
      <w:footerReference w:type="default" r:id="rId12"/>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AB071" w14:textId="77777777" w:rsidR="005C397F" w:rsidRDefault="005C397F" w:rsidP="00F62173">
      <w:pPr>
        <w:spacing w:after="0" w:line="240" w:lineRule="auto"/>
      </w:pPr>
      <w:r>
        <w:separator/>
      </w:r>
    </w:p>
  </w:endnote>
  <w:endnote w:type="continuationSeparator" w:id="0">
    <w:p w14:paraId="12639547" w14:textId="77777777" w:rsidR="005C397F" w:rsidRDefault="005C397F" w:rsidP="00F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Bold">
    <w:altName w:val="Arial"/>
    <w:panose1 w:val="020B07040202020202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1760D" w14:textId="057A9CDB" w:rsidR="007B0BBB" w:rsidRDefault="007B0BBB">
    <w:pPr>
      <w:pStyle w:val="Footer"/>
      <w:jc w:val="center"/>
    </w:pPr>
  </w:p>
  <w:p w14:paraId="2110D6A2" w14:textId="77777777" w:rsidR="007B0BBB" w:rsidRDefault="007B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30CEB" w14:textId="77777777" w:rsidR="005C397F" w:rsidRDefault="005C397F" w:rsidP="00F62173">
      <w:pPr>
        <w:spacing w:after="0" w:line="240" w:lineRule="auto"/>
      </w:pPr>
      <w:r>
        <w:separator/>
      </w:r>
    </w:p>
  </w:footnote>
  <w:footnote w:type="continuationSeparator" w:id="0">
    <w:p w14:paraId="4C7BD15A" w14:textId="77777777" w:rsidR="005C397F" w:rsidRDefault="005C397F" w:rsidP="00F62173">
      <w:pPr>
        <w:spacing w:after="0" w:line="240" w:lineRule="auto"/>
      </w:pPr>
      <w:r>
        <w:continuationSeparator/>
      </w:r>
    </w:p>
  </w:footnote>
  <w:footnote w:id="1">
    <w:p w14:paraId="5BD78694" w14:textId="706047B9" w:rsidR="007B0BBB" w:rsidRDefault="007B0BBB">
      <w:pPr>
        <w:pStyle w:val="FootnoteText"/>
      </w:pPr>
      <w:r>
        <w:rPr>
          <w:rStyle w:val="FootnoteReference"/>
        </w:rPr>
        <w:footnoteRef/>
      </w:r>
      <w:r>
        <w:t xml:space="preserve"> The Uniform Rules of Cour</w:t>
      </w:r>
      <w:r w:rsidR="00F44CF7">
        <w:t>t</w:t>
      </w:r>
    </w:p>
  </w:footnote>
  <w:footnote w:id="2">
    <w:p w14:paraId="608F7F8D" w14:textId="77777777" w:rsidR="00F44CF7" w:rsidRPr="007B0BBB" w:rsidRDefault="00F44CF7" w:rsidP="00F44CF7">
      <w:pPr>
        <w:pStyle w:val="FootnoteText"/>
      </w:pPr>
      <w:r>
        <w:rPr>
          <w:rStyle w:val="FootnoteReference"/>
        </w:rPr>
        <w:footnoteRef/>
      </w:r>
      <w:r>
        <w:t xml:space="preserve"> </w:t>
      </w:r>
      <w:r>
        <w:rPr>
          <w:i/>
          <w:iCs/>
        </w:rPr>
        <w:t xml:space="preserve">Genesis v Jamieson and Others </w:t>
      </w:r>
      <w:r>
        <w:t>(Unreported) (3212/2019) [2021] ZAGPJHC 862 923 July 2021 para 33</w:t>
      </w:r>
    </w:p>
  </w:footnote>
  <w:footnote w:id="3">
    <w:p w14:paraId="128CBEE4" w14:textId="2B885F59" w:rsidR="00F44CF7" w:rsidRDefault="00F44CF7">
      <w:pPr>
        <w:pStyle w:val="FootnoteText"/>
      </w:pPr>
      <w:r w:rsidRPr="00F44CF7">
        <w:rPr>
          <w:rStyle w:val="FootnoteReference"/>
          <w:i/>
          <w:iCs/>
        </w:rPr>
        <w:footnoteRef/>
      </w:r>
      <w:r w:rsidRPr="00F44CF7">
        <w:rPr>
          <w:i/>
          <w:iCs/>
        </w:rPr>
        <w:t xml:space="preserve"> LG v JG</w:t>
      </w:r>
      <w:r>
        <w:t xml:space="preserve"> </w:t>
      </w:r>
      <w:r w:rsidRPr="00F44CF7">
        <w:t>(32377/2012) [2023] ZAGPJHC 450 (28 April 2023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551283"/>
      <w:docPartObj>
        <w:docPartGallery w:val="Page Numbers (Top of Page)"/>
        <w:docPartUnique/>
      </w:docPartObj>
    </w:sdtPr>
    <w:sdtContent>
      <w:p w14:paraId="19AF3BBD" w14:textId="21BBE674" w:rsidR="007B0BBB" w:rsidRDefault="007B0BBB" w:rsidP="00827C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F6CD7" w14:textId="77777777" w:rsidR="007B0BBB" w:rsidRDefault="007B0BBB" w:rsidP="00041F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26136094"/>
      <w:docPartObj>
        <w:docPartGallery w:val="Page Numbers (Top of Page)"/>
        <w:docPartUnique/>
      </w:docPartObj>
    </w:sdtPr>
    <w:sdtContent>
      <w:p w14:paraId="3DF62F32" w14:textId="0DBF7DDE" w:rsidR="007B0BBB" w:rsidRDefault="007B0BBB" w:rsidP="00827C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258F">
          <w:rPr>
            <w:rStyle w:val="PageNumber"/>
            <w:noProof/>
          </w:rPr>
          <w:t>3</w:t>
        </w:r>
        <w:r>
          <w:rPr>
            <w:rStyle w:val="PageNumber"/>
          </w:rPr>
          <w:fldChar w:fldCharType="end"/>
        </w:r>
      </w:p>
    </w:sdtContent>
  </w:sdt>
  <w:p w14:paraId="1491F1CE" w14:textId="77777777" w:rsidR="007B0BBB" w:rsidRDefault="007B0BBB" w:rsidP="00041F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83533"/>
    <w:multiLevelType w:val="multilevel"/>
    <w:tmpl w:val="ECBEBC50"/>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8A5384B"/>
    <w:multiLevelType w:val="multilevel"/>
    <w:tmpl w:val="BC12B32E"/>
    <w:lvl w:ilvl="0">
      <w:start w:val="6"/>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463ADF"/>
    <w:multiLevelType w:val="hybridMultilevel"/>
    <w:tmpl w:val="DF9E715E"/>
    <w:lvl w:ilvl="0" w:tplc="AF54B090">
      <w:start w:val="7"/>
      <w:numFmt w:val="decimal"/>
      <w:lvlText w:val="[%1]"/>
      <w:lvlJc w:val="left"/>
      <w:pPr>
        <w:ind w:left="720" w:hanging="360"/>
      </w:pPr>
      <w:rPr>
        <w:rFonts w:hint="default"/>
        <w:strike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E16A4"/>
    <w:multiLevelType w:val="hybridMultilevel"/>
    <w:tmpl w:val="654208BC"/>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04042"/>
    <w:multiLevelType w:val="hybridMultilevel"/>
    <w:tmpl w:val="14020B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BD4637"/>
    <w:multiLevelType w:val="multilevel"/>
    <w:tmpl w:val="C4209040"/>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1205E42"/>
    <w:multiLevelType w:val="hybridMultilevel"/>
    <w:tmpl w:val="F710EBD0"/>
    <w:lvl w:ilvl="0" w:tplc="72AC9120">
      <w:start w:val="1"/>
      <w:numFmt w:val="decimal"/>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9609E0"/>
    <w:multiLevelType w:val="multilevel"/>
    <w:tmpl w:val="ECBEBC5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72C4A97"/>
    <w:multiLevelType w:val="hybridMultilevel"/>
    <w:tmpl w:val="921A643C"/>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F64AA"/>
    <w:multiLevelType w:val="hybridMultilevel"/>
    <w:tmpl w:val="47EA53E0"/>
    <w:lvl w:ilvl="0" w:tplc="B68C97BC">
      <w:start w:val="37"/>
      <w:numFmt w:val="decimal"/>
      <w:lvlText w:val="[%1]"/>
      <w:lvlJc w:val="left"/>
      <w:pPr>
        <w:ind w:left="720" w:hanging="360"/>
      </w:pPr>
      <w:rPr>
        <w:rFonts w:hint="default"/>
        <w:strike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16E02"/>
    <w:multiLevelType w:val="hybridMultilevel"/>
    <w:tmpl w:val="321A80F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5E4052"/>
    <w:multiLevelType w:val="hybridMultilevel"/>
    <w:tmpl w:val="36D4D874"/>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C0287"/>
    <w:multiLevelType w:val="multilevel"/>
    <w:tmpl w:val="AB960878"/>
    <w:lvl w:ilvl="0">
      <w:start w:val="1"/>
      <w:numFmt w:val="decimal"/>
      <w:lvlText w:val="[%1]."/>
      <w:lvlJc w:val="left"/>
      <w:pPr>
        <w:tabs>
          <w:tab w:val="num" w:pos="1277"/>
        </w:tabs>
        <w:ind w:left="1277" w:hanging="567"/>
      </w:pPr>
      <w:rPr>
        <w:rFonts w:cs="Times New Roman"/>
        <w:b w:val="0"/>
        <w:i w:val="0"/>
        <w:sz w:val="24"/>
        <w:szCs w:val="24"/>
      </w:rPr>
    </w:lvl>
    <w:lvl w:ilvl="1">
      <w:start w:val="1"/>
      <w:numFmt w:val="decimal"/>
      <w:pStyle w:val="LegalHeading2"/>
      <w:lvlText w:val="%1.%2"/>
      <w:lvlJc w:val="left"/>
      <w:pPr>
        <w:tabs>
          <w:tab w:val="num" w:pos="1134"/>
        </w:tabs>
        <w:ind w:left="1134" w:hanging="1134"/>
      </w:pPr>
      <w:rPr>
        <w:rFonts w:cs="Times New Roman"/>
        <w:b w:val="0"/>
        <w:i w:val="0"/>
      </w:rPr>
    </w:lvl>
    <w:lvl w:ilvl="2">
      <w:start w:val="1"/>
      <w:numFmt w:val="decimal"/>
      <w:pStyle w:val="LegalHeading3"/>
      <w:lvlText w:val="%1.%2.%3"/>
      <w:lvlJc w:val="left"/>
      <w:pPr>
        <w:tabs>
          <w:tab w:val="num" w:pos="1701"/>
        </w:tabs>
        <w:ind w:left="1701" w:hanging="1701"/>
      </w:pPr>
      <w:rPr>
        <w:rFonts w:cs="Times New Roman"/>
        <w:b w:val="0"/>
        <w:i w:val="0"/>
      </w:rPr>
    </w:lvl>
    <w:lvl w:ilvl="3">
      <w:start w:val="1"/>
      <w:numFmt w:val="decimal"/>
      <w:pStyle w:val="LegalHeading4"/>
      <w:lvlText w:val="%1.%2.%3.%4"/>
      <w:lvlJc w:val="left"/>
      <w:pPr>
        <w:tabs>
          <w:tab w:val="num" w:pos="2268"/>
        </w:tabs>
        <w:ind w:left="2268" w:hanging="2268"/>
      </w:pPr>
      <w:rPr>
        <w:rFonts w:cs="Times New Roman"/>
        <w:b w:val="0"/>
        <w:i w:val="0"/>
      </w:rPr>
    </w:lvl>
    <w:lvl w:ilvl="4">
      <w:start w:val="1"/>
      <w:numFmt w:val="decimal"/>
      <w:pStyle w:val="LegalHeading5"/>
      <w:lvlText w:val="%1.%2.%3.%4.%5"/>
      <w:lvlJc w:val="left"/>
      <w:pPr>
        <w:tabs>
          <w:tab w:val="num" w:pos="2835"/>
        </w:tabs>
        <w:ind w:left="2835" w:hanging="2835"/>
      </w:pPr>
      <w:rPr>
        <w:rFonts w:cs="Times New Roman"/>
        <w:b w:val="0"/>
        <w:i w:val="0"/>
      </w:rPr>
    </w:lvl>
    <w:lvl w:ilvl="5">
      <w:start w:val="1"/>
      <w:numFmt w:val="decimal"/>
      <w:lvlText w:val="%1.%2.%3.%4.%5.%6"/>
      <w:lvlJc w:val="left"/>
      <w:pPr>
        <w:tabs>
          <w:tab w:val="num" w:pos="3402"/>
        </w:tabs>
        <w:ind w:left="3402" w:hanging="3402"/>
      </w:pPr>
      <w:rPr>
        <w:rFonts w:cs="Times New Roman"/>
        <w:b w:val="0"/>
        <w:i w:val="0"/>
      </w:rPr>
    </w:lvl>
    <w:lvl w:ilvl="6">
      <w:start w:val="1"/>
      <w:numFmt w:val="decimal"/>
      <w:lvlText w:val="%1.%2.%3.%4.%5.%6.%7"/>
      <w:lvlJc w:val="left"/>
      <w:pPr>
        <w:tabs>
          <w:tab w:val="num" w:pos="3572"/>
        </w:tabs>
        <w:ind w:left="3572" w:hanging="3572"/>
      </w:pPr>
      <w:rPr>
        <w:rFonts w:cs="Times New Roman"/>
        <w:b w:val="0"/>
        <w:i w:val="0"/>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DA4407F"/>
    <w:multiLevelType w:val="hybridMultilevel"/>
    <w:tmpl w:val="21065D5C"/>
    <w:lvl w:ilvl="0" w:tplc="37B8125C">
      <w:start w:val="37"/>
      <w:numFmt w:val="decimal"/>
      <w:lvlText w:val="[%1]"/>
      <w:lvlJc w:val="left"/>
      <w:pPr>
        <w:ind w:left="720" w:hanging="360"/>
      </w:pPr>
      <w:rPr>
        <w:rFonts w:hint="default"/>
        <w:strike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F3C14"/>
    <w:multiLevelType w:val="hybridMultilevel"/>
    <w:tmpl w:val="C17EB06E"/>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E2D3D"/>
    <w:multiLevelType w:val="multilevel"/>
    <w:tmpl w:val="ECBEBC5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1495725"/>
    <w:multiLevelType w:val="multilevel"/>
    <w:tmpl w:val="ECBEBC50"/>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95636C0"/>
    <w:multiLevelType w:val="hybridMultilevel"/>
    <w:tmpl w:val="E2103206"/>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A1902"/>
    <w:multiLevelType w:val="hybridMultilevel"/>
    <w:tmpl w:val="854E8530"/>
    <w:lvl w:ilvl="0" w:tplc="31C852D8">
      <w:start w:val="1"/>
      <w:numFmt w:val="lowerLetter"/>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72518375">
    <w:abstractNumId w:val="5"/>
  </w:num>
  <w:num w:numId="2" w16cid:durableId="891503768">
    <w:abstractNumId w:val="7"/>
  </w:num>
  <w:num w:numId="3" w16cid:durableId="1674331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62264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540906">
    <w:abstractNumId w:val="8"/>
  </w:num>
  <w:num w:numId="6" w16cid:durableId="123818633">
    <w:abstractNumId w:val="16"/>
  </w:num>
  <w:num w:numId="7" w16cid:durableId="433479373">
    <w:abstractNumId w:val="17"/>
  </w:num>
  <w:num w:numId="8" w16cid:durableId="649332642">
    <w:abstractNumId w:val="2"/>
  </w:num>
  <w:num w:numId="9" w16cid:durableId="278070625">
    <w:abstractNumId w:val="6"/>
  </w:num>
  <w:num w:numId="10" w16cid:durableId="1379234114">
    <w:abstractNumId w:val="0"/>
  </w:num>
  <w:num w:numId="11" w16cid:durableId="1744597412">
    <w:abstractNumId w:val="19"/>
  </w:num>
  <w:num w:numId="12" w16cid:durableId="429543505">
    <w:abstractNumId w:val="4"/>
  </w:num>
  <w:num w:numId="13" w16cid:durableId="1512644041">
    <w:abstractNumId w:val="9"/>
  </w:num>
  <w:num w:numId="14" w16cid:durableId="1433472082">
    <w:abstractNumId w:val="15"/>
  </w:num>
  <w:num w:numId="15" w16cid:durableId="1361663929">
    <w:abstractNumId w:val="12"/>
  </w:num>
  <w:num w:numId="16" w16cid:durableId="942029098">
    <w:abstractNumId w:val="18"/>
  </w:num>
  <w:num w:numId="17" w16cid:durableId="1839079820">
    <w:abstractNumId w:val="11"/>
  </w:num>
  <w:num w:numId="18" w16cid:durableId="216208906">
    <w:abstractNumId w:val="3"/>
  </w:num>
  <w:num w:numId="19" w16cid:durableId="570114349">
    <w:abstractNumId w:val="10"/>
  </w:num>
  <w:num w:numId="20" w16cid:durableId="16879460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C7"/>
    <w:rsid w:val="00002612"/>
    <w:rsid w:val="00006101"/>
    <w:rsid w:val="00007F77"/>
    <w:rsid w:val="00012ABD"/>
    <w:rsid w:val="00020CAA"/>
    <w:rsid w:val="00026119"/>
    <w:rsid w:val="00026D40"/>
    <w:rsid w:val="00031C86"/>
    <w:rsid w:val="00033B0E"/>
    <w:rsid w:val="0003548A"/>
    <w:rsid w:val="00040092"/>
    <w:rsid w:val="00040B79"/>
    <w:rsid w:val="00041F10"/>
    <w:rsid w:val="00042FA8"/>
    <w:rsid w:val="00043340"/>
    <w:rsid w:val="00053003"/>
    <w:rsid w:val="000551FE"/>
    <w:rsid w:val="00071BFD"/>
    <w:rsid w:val="0007308A"/>
    <w:rsid w:val="0007485A"/>
    <w:rsid w:val="00074A1C"/>
    <w:rsid w:val="000816C7"/>
    <w:rsid w:val="00090E39"/>
    <w:rsid w:val="00097007"/>
    <w:rsid w:val="000A55DB"/>
    <w:rsid w:val="000B444D"/>
    <w:rsid w:val="000B5395"/>
    <w:rsid w:val="000B75CF"/>
    <w:rsid w:val="000C26A0"/>
    <w:rsid w:val="000E0A1B"/>
    <w:rsid w:val="000E4B11"/>
    <w:rsid w:val="000E53A0"/>
    <w:rsid w:val="000E5F66"/>
    <w:rsid w:val="000F4919"/>
    <w:rsid w:val="0010531B"/>
    <w:rsid w:val="001240B4"/>
    <w:rsid w:val="00151615"/>
    <w:rsid w:val="00153CEF"/>
    <w:rsid w:val="001828D1"/>
    <w:rsid w:val="00183887"/>
    <w:rsid w:val="00183FC5"/>
    <w:rsid w:val="00196154"/>
    <w:rsid w:val="001A0440"/>
    <w:rsid w:val="001B56D4"/>
    <w:rsid w:val="001D34D3"/>
    <w:rsid w:val="001E4D70"/>
    <w:rsid w:val="001F195D"/>
    <w:rsid w:val="001F3D11"/>
    <w:rsid w:val="001F49E5"/>
    <w:rsid w:val="001F7E75"/>
    <w:rsid w:val="002001A8"/>
    <w:rsid w:val="002232F6"/>
    <w:rsid w:val="00241634"/>
    <w:rsid w:val="002609B3"/>
    <w:rsid w:val="002702D7"/>
    <w:rsid w:val="0027279E"/>
    <w:rsid w:val="002738EA"/>
    <w:rsid w:val="00274209"/>
    <w:rsid w:val="00276467"/>
    <w:rsid w:val="00281A7E"/>
    <w:rsid w:val="002930AF"/>
    <w:rsid w:val="002A19D3"/>
    <w:rsid w:val="002C2576"/>
    <w:rsid w:val="002C2F29"/>
    <w:rsid w:val="002D282F"/>
    <w:rsid w:val="002F737B"/>
    <w:rsid w:val="00320B4C"/>
    <w:rsid w:val="00332586"/>
    <w:rsid w:val="00333317"/>
    <w:rsid w:val="003350BC"/>
    <w:rsid w:val="00341E74"/>
    <w:rsid w:val="00343713"/>
    <w:rsid w:val="00344544"/>
    <w:rsid w:val="00347D89"/>
    <w:rsid w:val="00354869"/>
    <w:rsid w:val="0035790F"/>
    <w:rsid w:val="003640BD"/>
    <w:rsid w:val="003817B3"/>
    <w:rsid w:val="0038558C"/>
    <w:rsid w:val="0039039B"/>
    <w:rsid w:val="00391772"/>
    <w:rsid w:val="0039223A"/>
    <w:rsid w:val="003930A9"/>
    <w:rsid w:val="003A0533"/>
    <w:rsid w:val="003A197C"/>
    <w:rsid w:val="003B5B7E"/>
    <w:rsid w:val="003B7531"/>
    <w:rsid w:val="003C11EB"/>
    <w:rsid w:val="003F6B0F"/>
    <w:rsid w:val="00415FF1"/>
    <w:rsid w:val="00417392"/>
    <w:rsid w:val="0042014C"/>
    <w:rsid w:val="00436E3D"/>
    <w:rsid w:val="00440013"/>
    <w:rsid w:val="0044104F"/>
    <w:rsid w:val="0045205D"/>
    <w:rsid w:val="0045512F"/>
    <w:rsid w:val="00462D67"/>
    <w:rsid w:val="004A21CD"/>
    <w:rsid w:val="004B3D65"/>
    <w:rsid w:val="004B67DE"/>
    <w:rsid w:val="004C4058"/>
    <w:rsid w:val="004C6BCE"/>
    <w:rsid w:val="004D1EF5"/>
    <w:rsid w:val="004E094F"/>
    <w:rsid w:val="004E683D"/>
    <w:rsid w:val="00501C90"/>
    <w:rsid w:val="00506E04"/>
    <w:rsid w:val="005148AD"/>
    <w:rsid w:val="00520BAC"/>
    <w:rsid w:val="00537A7B"/>
    <w:rsid w:val="0055074D"/>
    <w:rsid w:val="0056028C"/>
    <w:rsid w:val="005725CE"/>
    <w:rsid w:val="0057396B"/>
    <w:rsid w:val="00581DDF"/>
    <w:rsid w:val="005830B0"/>
    <w:rsid w:val="005B2C11"/>
    <w:rsid w:val="005C397F"/>
    <w:rsid w:val="005C3B01"/>
    <w:rsid w:val="005D08F5"/>
    <w:rsid w:val="005D5572"/>
    <w:rsid w:val="005E1FC0"/>
    <w:rsid w:val="005E70E2"/>
    <w:rsid w:val="005F1EFE"/>
    <w:rsid w:val="005F258F"/>
    <w:rsid w:val="005F4EC2"/>
    <w:rsid w:val="005F64F8"/>
    <w:rsid w:val="006106B4"/>
    <w:rsid w:val="00612DD5"/>
    <w:rsid w:val="00617B6E"/>
    <w:rsid w:val="00630431"/>
    <w:rsid w:val="00635761"/>
    <w:rsid w:val="00636E98"/>
    <w:rsid w:val="006419C0"/>
    <w:rsid w:val="0065357B"/>
    <w:rsid w:val="006569F8"/>
    <w:rsid w:val="00657930"/>
    <w:rsid w:val="00662B56"/>
    <w:rsid w:val="00665EFD"/>
    <w:rsid w:val="00680A1E"/>
    <w:rsid w:val="00683B62"/>
    <w:rsid w:val="00684AB2"/>
    <w:rsid w:val="006875A9"/>
    <w:rsid w:val="00695A58"/>
    <w:rsid w:val="006D5C10"/>
    <w:rsid w:val="006F0C69"/>
    <w:rsid w:val="006F2D02"/>
    <w:rsid w:val="00700052"/>
    <w:rsid w:val="007022C1"/>
    <w:rsid w:val="00704AF8"/>
    <w:rsid w:val="00710DA6"/>
    <w:rsid w:val="007166FF"/>
    <w:rsid w:val="0072704C"/>
    <w:rsid w:val="00733FF1"/>
    <w:rsid w:val="00740881"/>
    <w:rsid w:val="00744993"/>
    <w:rsid w:val="00752DB5"/>
    <w:rsid w:val="007553B6"/>
    <w:rsid w:val="00760C86"/>
    <w:rsid w:val="007655DC"/>
    <w:rsid w:val="00794B5E"/>
    <w:rsid w:val="007A544D"/>
    <w:rsid w:val="007B0BBB"/>
    <w:rsid w:val="007B16DB"/>
    <w:rsid w:val="007B1985"/>
    <w:rsid w:val="007D6447"/>
    <w:rsid w:val="007F2FB4"/>
    <w:rsid w:val="00822EAF"/>
    <w:rsid w:val="008238EE"/>
    <w:rsid w:val="00825B6F"/>
    <w:rsid w:val="00827543"/>
    <w:rsid w:val="00827AD9"/>
    <w:rsid w:val="00827C8E"/>
    <w:rsid w:val="00831E7E"/>
    <w:rsid w:val="00837E42"/>
    <w:rsid w:val="00850778"/>
    <w:rsid w:val="0085200E"/>
    <w:rsid w:val="008526B9"/>
    <w:rsid w:val="008718AC"/>
    <w:rsid w:val="008817E9"/>
    <w:rsid w:val="00882B57"/>
    <w:rsid w:val="00894EB9"/>
    <w:rsid w:val="008C3EFA"/>
    <w:rsid w:val="008E7C40"/>
    <w:rsid w:val="008F118A"/>
    <w:rsid w:val="00903504"/>
    <w:rsid w:val="0092000B"/>
    <w:rsid w:val="00920C21"/>
    <w:rsid w:val="00925C5B"/>
    <w:rsid w:val="00931036"/>
    <w:rsid w:val="00934796"/>
    <w:rsid w:val="00944F6D"/>
    <w:rsid w:val="009532D0"/>
    <w:rsid w:val="00976237"/>
    <w:rsid w:val="009A4288"/>
    <w:rsid w:val="009B23E1"/>
    <w:rsid w:val="009C1175"/>
    <w:rsid w:val="009C59FC"/>
    <w:rsid w:val="009C7C93"/>
    <w:rsid w:val="009D2A5F"/>
    <w:rsid w:val="009D3D26"/>
    <w:rsid w:val="009E2C67"/>
    <w:rsid w:val="009F0FA7"/>
    <w:rsid w:val="009F3C97"/>
    <w:rsid w:val="00A02190"/>
    <w:rsid w:val="00A05933"/>
    <w:rsid w:val="00A11237"/>
    <w:rsid w:val="00A11626"/>
    <w:rsid w:val="00A132B6"/>
    <w:rsid w:val="00A26FB1"/>
    <w:rsid w:val="00A33974"/>
    <w:rsid w:val="00A41F36"/>
    <w:rsid w:val="00A429BA"/>
    <w:rsid w:val="00A440FC"/>
    <w:rsid w:val="00A53380"/>
    <w:rsid w:val="00A600B5"/>
    <w:rsid w:val="00A63B7F"/>
    <w:rsid w:val="00A65ED5"/>
    <w:rsid w:val="00A70986"/>
    <w:rsid w:val="00A7163C"/>
    <w:rsid w:val="00A81284"/>
    <w:rsid w:val="00A82346"/>
    <w:rsid w:val="00AA17EF"/>
    <w:rsid w:val="00AA19B0"/>
    <w:rsid w:val="00AB3F8E"/>
    <w:rsid w:val="00AC0636"/>
    <w:rsid w:val="00AC457D"/>
    <w:rsid w:val="00AF3EDC"/>
    <w:rsid w:val="00AF7AEB"/>
    <w:rsid w:val="00B0098D"/>
    <w:rsid w:val="00B22B7C"/>
    <w:rsid w:val="00B2616A"/>
    <w:rsid w:val="00B278BC"/>
    <w:rsid w:val="00B35FFF"/>
    <w:rsid w:val="00B374EA"/>
    <w:rsid w:val="00B4665E"/>
    <w:rsid w:val="00B50378"/>
    <w:rsid w:val="00B53703"/>
    <w:rsid w:val="00B53E26"/>
    <w:rsid w:val="00B56381"/>
    <w:rsid w:val="00B73F29"/>
    <w:rsid w:val="00B80494"/>
    <w:rsid w:val="00B81D04"/>
    <w:rsid w:val="00B970C9"/>
    <w:rsid w:val="00BA5B6E"/>
    <w:rsid w:val="00BA6CFF"/>
    <w:rsid w:val="00BB3584"/>
    <w:rsid w:val="00BC0570"/>
    <w:rsid w:val="00BC77B0"/>
    <w:rsid w:val="00BD55C2"/>
    <w:rsid w:val="00BE389E"/>
    <w:rsid w:val="00BE7BC4"/>
    <w:rsid w:val="00BF03FA"/>
    <w:rsid w:val="00BF6FEA"/>
    <w:rsid w:val="00C10993"/>
    <w:rsid w:val="00C30179"/>
    <w:rsid w:val="00C36D9A"/>
    <w:rsid w:val="00C41747"/>
    <w:rsid w:val="00C44FDF"/>
    <w:rsid w:val="00C47634"/>
    <w:rsid w:val="00C572CB"/>
    <w:rsid w:val="00C57390"/>
    <w:rsid w:val="00C62D3B"/>
    <w:rsid w:val="00C83D2F"/>
    <w:rsid w:val="00C925BC"/>
    <w:rsid w:val="00C93D31"/>
    <w:rsid w:val="00CA46A4"/>
    <w:rsid w:val="00CA75E3"/>
    <w:rsid w:val="00CB6479"/>
    <w:rsid w:val="00CB7B4E"/>
    <w:rsid w:val="00CC4E15"/>
    <w:rsid w:val="00CE1CEA"/>
    <w:rsid w:val="00CF39E3"/>
    <w:rsid w:val="00CF45F8"/>
    <w:rsid w:val="00D0597F"/>
    <w:rsid w:val="00D228FF"/>
    <w:rsid w:val="00D3112B"/>
    <w:rsid w:val="00D4134E"/>
    <w:rsid w:val="00D426BA"/>
    <w:rsid w:val="00D466DF"/>
    <w:rsid w:val="00D53CC6"/>
    <w:rsid w:val="00D56D94"/>
    <w:rsid w:val="00D70273"/>
    <w:rsid w:val="00D74D79"/>
    <w:rsid w:val="00D752EA"/>
    <w:rsid w:val="00D75E12"/>
    <w:rsid w:val="00D913E5"/>
    <w:rsid w:val="00D955F7"/>
    <w:rsid w:val="00D970AC"/>
    <w:rsid w:val="00DB0A3D"/>
    <w:rsid w:val="00DC6550"/>
    <w:rsid w:val="00DC7527"/>
    <w:rsid w:val="00DF19A0"/>
    <w:rsid w:val="00E16A18"/>
    <w:rsid w:val="00E25786"/>
    <w:rsid w:val="00E32085"/>
    <w:rsid w:val="00E42792"/>
    <w:rsid w:val="00E448C9"/>
    <w:rsid w:val="00E459B1"/>
    <w:rsid w:val="00E46688"/>
    <w:rsid w:val="00E510E7"/>
    <w:rsid w:val="00E5295D"/>
    <w:rsid w:val="00E571AF"/>
    <w:rsid w:val="00E65D04"/>
    <w:rsid w:val="00E66ABB"/>
    <w:rsid w:val="00E6716B"/>
    <w:rsid w:val="00E74CCB"/>
    <w:rsid w:val="00E774F0"/>
    <w:rsid w:val="00E778A4"/>
    <w:rsid w:val="00E900FA"/>
    <w:rsid w:val="00E917AD"/>
    <w:rsid w:val="00EA2E16"/>
    <w:rsid w:val="00EA34CD"/>
    <w:rsid w:val="00EA3647"/>
    <w:rsid w:val="00EB1B4E"/>
    <w:rsid w:val="00EB1D74"/>
    <w:rsid w:val="00EB6237"/>
    <w:rsid w:val="00EB7037"/>
    <w:rsid w:val="00EB7FD5"/>
    <w:rsid w:val="00EC2947"/>
    <w:rsid w:val="00F06ABF"/>
    <w:rsid w:val="00F07460"/>
    <w:rsid w:val="00F0781E"/>
    <w:rsid w:val="00F1195D"/>
    <w:rsid w:val="00F14824"/>
    <w:rsid w:val="00F2267C"/>
    <w:rsid w:val="00F2292E"/>
    <w:rsid w:val="00F32141"/>
    <w:rsid w:val="00F3568F"/>
    <w:rsid w:val="00F4481F"/>
    <w:rsid w:val="00F44CF7"/>
    <w:rsid w:val="00F56A24"/>
    <w:rsid w:val="00F62173"/>
    <w:rsid w:val="00F62689"/>
    <w:rsid w:val="00F71A92"/>
    <w:rsid w:val="00F71BA8"/>
    <w:rsid w:val="00F73216"/>
    <w:rsid w:val="00F81FFD"/>
    <w:rsid w:val="00F82CA5"/>
    <w:rsid w:val="00F86F97"/>
    <w:rsid w:val="00F92842"/>
    <w:rsid w:val="00FA2A18"/>
    <w:rsid w:val="00FB38E6"/>
    <w:rsid w:val="00FE15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EDBD"/>
  <w15:chartTrackingRefBased/>
  <w15:docId w15:val="{5D8879B5-067A-4927-914E-B56BE76D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68F"/>
    <w:pPr>
      <w:ind w:left="720"/>
      <w:contextualSpacing/>
    </w:pPr>
  </w:style>
  <w:style w:type="paragraph" w:customStyle="1" w:styleId="LegalNormal">
    <w:name w:val="Legal_Normal"/>
    <w:basedOn w:val="Normal"/>
    <w:rsid w:val="00F0781E"/>
    <w:pPr>
      <w:suppressAutoHyphens/>
      <w:spacing w:after="360" w:line="480" w:lineRule="auto"/>
      <w:jc w:val="both"/>
    </w:pPr>
    <w:rPr>
      <w:rFonts w:ascii="Arial" w:eastAsia="Times New Roman" w:hAnsi="Arial" w:cs="Times New Roman"/>
      <w:sz w:val="24"/>
      <w:szCs w:val="24"/>
      <w:lang w:val="en-GB" w:eastAsia="en-GB"/>
    </w:rPr>
  </w:style>
  <w:style w:type="paragraph" w:customStyle="1" w:styleId="LegalHeading5">
    <w:name w:val="Legal_Heading5"/>
    <w:basedOn w:val="LegalNormal"/>
    <w:next w:val="Normal"/>
    <w:semiHidden/>
    <w:rsid w:val="00F0781E"/>
    <w:pPr>
      <w:keepNext/>
      <w:numPr>
        <w:ilvl w:val="4"/>
        <w:numId w:val="4"/>
      </w:numPr>
      <w:spacing w:after="240"/>
      <w:outlineLvl w:val="4"/>
    </w:pPr>
    <w:rPr>
      <w:b/>
    </w:rPr>
  </w:style>
  <w:style w:type="paragraph" w:customStyle="1" w:styleId="LegalHeading4">
    <w:name w:val="Legal_Heading4"/>
    <w:basedOn w:val="LegalNormal"/>
    <w:next w:val="Normal"/>
    <w:semiHidden/>
    <w:rsid w:val="00F0781E"/>
    <w:pPr>
      <w:keepNext/>
      <w:numPr>
        <w:ilvl w:val="3"/>
        <w:numId w:val="4"/>
      </w:numPr>
      <w:spacing w:after="240"/>
      <w:outlineLvl w:val="3"/>
    </w:pPr>
    <w:rPr>
      <w:b/>
    </w:rPr>
  </w:style>
  <w:style w:type="paragraph" w:customStyle="1" w:styleId="LegalHeading3">
    <w:name w:val="Legal_Heading3"/>
    <w:basedOn w:val="LegalNormal"/>
    <w:next w:val="Normal"/>
    <w:semiHidden/>
    <w:rsid w:val="00F0781E"/>
    <w:pPr>
      <w:keepNext/>
      <w:numPr>
        <w:ilvl w:val="2"/>
        <w:numId w:val="4"/>
      </w:numPr>
      <w:tabs>
        <w:tab w:val="left" w:pos="3969"/>
        <w:tab w:val="left" w:pos="4536"/>
      </w:tabs>
      <w:outlineLvl w:val="2"/>
    </w:pPr>
    <w:rPr>
      <w:b/>
    </w:rPr>
  </w:style>
  <w:style w:type="paragraph" w:customStyle="1" w:styleId="LegalHeading2">
    <w:name w:val="Legal_Heading2"/>
    <w:basedOn w:val="LegalNormal"/>
    <w:next w:val="Normal"/>
    <w:semiHidden/>
    <w:rsid w:val="00F0781E"/>
    <w:pPr>
      <w:keepNext/>
      <w:numPr>
        <w:ilvl w:val="1"/>
        <w:numId w:val="4"/>
      </w:numPr>
      <w:tabs>
        <w:tab w:val="left" w:pos="3402"/>
        <w:tab w:val="left" w:pos="3969"/>
      </w:tabs>
      <w:outlineLvl w:val="1"/>
    </w:pPr>
    <w:rPr>
      <w:b/>
    </w:rPr>
  </w:style>
  <w:style w:type="paragraph" w:styleId="BalloonText">
    <w:name w:val="Balloon Text"/>
    <w:basedOn w:val="Normal"/>
    <w:link w:val="BalloonTextChar"/>
    <w:uiPriority w:val="99"/>
    <w:semiHidden/>
    <w:unhideWhenUsed/>
    <w:rsid w:val="005E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E2"/>
    <w:rPr>
      <w:rFonts w:ascii="Segoe UI" w:hAnsi="Segoe UI" w:cs="Segoe UI"/>
      <w:sz w:val="18"/>
      <w:szCs w:val="18"/>
    </w:rPr>
  </w:style>
  <w:style w:type="paragraph" w:styleId="FootnoteText">
    <w:name w:val="footnote text"/>
    <w:basedOn w:val="Normal"/>
    <w:link w:val="FootnoteTextChar"/>
    <w:uiPriority w:val="99"/>
    <w:semiHidden/>
    <w:unhideWhenUsed/>
    <w:rsid w:val="00F62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173"/>
    <w:rPr>
      <w:sz w:val="20"/>
      <w:szCs w:val="20"/>
    </w:rPr>
  </w:style>
  <w:style w:type="character" w:styleId="FootnoteReference">
    <w:name w:val="footnote reference"/>
    <w:basedOn w:val="DefaultParagraphFont"/>
    <w:uiPriority w:val="99"/>
    <w:semiHidden/>
    <w:unhideWhenUsed/>
    <w:rsid w:val="00F62173"/>
    <w:rPr>
      <w:vertAlign w:val="superscript"/>
    </w:rPr>
  </w:style>
  <w:style w:type="paragraph" w:styleId="Revision">
    <w:name w:val="Revision"/>
    <w:hidden/>
    <w:uiPriority w:val="99"/>
    <w:semiHidden/>
    <w:rsid w:val="00AF7AEB"/>
    <w:pPr>
      <w:spacing w:after="0" w:line="240" w:lineRule="auto"/>
    </w:pPr>
  </w:style>
  <w:style w:type="paragraph" w:styleId="Header">
    <w:name w:val="header"/>
    <w:basedOn w:val="Normal"/>
    <w:link w:val="HeaderChar"/>
    <w:uiPriority w:val="99"/>
    <w:unhideWhenUsed/>
    <w:rsid w:val="00AA1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EF"/>
  </w:style>
  <w:style w:type="paragraph" w:styleId="Footer">
    <w:name w:val="footer"/>
    <w:basedOn w:val="Normal"/>
    <w:link w:val="FooterChar"/>
    <w:uiPriority w:val="99"/>
    <w:unhideWhenUsed/>
    <w:rsid w:val="00AA1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EF"/>
  </w:style>
  <w:style w:type="table" w:styleId="TableGrid">
    <w:name w:val="Table Grid"/>
    <w:basedOn w:val="TableNormal"/>
    <w:rsid w:val="00CE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E1CEA"/>
    <w:pPr>
      <w:pBdr>
        <w:top w:val="nil"/>
        <w:left w:val="nil"/>
        <w:bottom w:val="nil"/>
        <w:right w:val="nil"/>
        <w:between w:val="nil"/>
        <w:bar w:val="nil"/>
      </w:pBdr>
      <w:spacing w:after="0" w:line="480" w:lineRule="auto"/>
    </w:pPr>
    <w:rPr>
      <w:rFonts w:ascii="Arial" w:eastAsia="Arial Unicode MS" w:hAnsi="Arial" w:cs="Arial Unicode MS"/>
      <w:color w:val="000000"/>
      <w:sz w:val="26"/>
      <w:szCs w:val="26"/>
      <w:bdr w:val="nil"/>
      <w:lang w:val="en-US"/>
    </w:rPr>
  </w:style>
  <w:style w:type="paragraph" w:customStyle="1" w:styleId="LegalMAINHEADING">
    <w:name w:val="Legal_MAINHEADING"/>
    <w:basedOn w:val="Normal"/>
    <w:next w:val="Normal"/>
    <w:semiHidden/>
    <w:rsid w:val="00CE1CEA"/>
    <w:pPr>
      <w:keepNext/>
      <w:suppressAutoHyphens/>
      <w:spacing w:before="480" w:after="360" w:line="480" w:lineRule="auto"/>
      <w:jc w:val="both"/>
    </w:pPr>
    <w:rPr>
      <w:rFonts w:ascii="Arial" w:eastAsia="Times New Roman" w:hAnsi="Arial" w:cs="Times New Roman"/>
      <w:b/>
      <w:caps/>
      <w:sz w:val="24"/>
      <w:szCs w:val="24"/>
      <w:lang w:val="en-GB" w:eastAsia="en-GB"/>
    </w:rPr>
  </w:style>
  <w:style w:type="paragraph" w:customStyle="1" w:styleId="LegalTramLines">
    <w:name w:val="Legal_TramLines"/>
    <w:basedOn w:val="Normal"/>
    <w:next w:val="Normal"/>
    <w:semiHidden/>
    <w:rsid w:val="00CE1CEA"/>
    <w:pPr>
      <w:pBdr>
        <w:top w:val="single" w:sz="4" w:space="18" w:color="auto"/>
        <w:bottom w:val="single" w:sz="4" w:space="18" w:color="auto"/>
      </w:pBdr>
      <w:suppressAutoHyphens/>
      <w:spacing w:after="480" w:line="240" w:lineRule="auto"/>
      <w:jc w:val="center"/>
    </w:pPr>
    <w:rPr>
      <w:rFonts w:ascii="Arial Bold" w:eastAsia="Times New Roman" w:hAnsi="Arial Bold" w:cs="Times New Roman"/>
      <w:b/>
      <w:sz w:val="24"/>
      <w:szCs w:val="24"/>
      <w:lang w:val="en-GB" w:eastAsia="en-GB"/>
    </w:rPr>
  </w:style>
  <w:style w:type="character" w:styleId="PageNumber">
    <w:name w:val="page number"/>
    <w:basedOn w:val="DefaultParagraphFont"/>
    <w:uiPriority w:val="99"/>
    <w:semiHidden/>
    <w:unhideWhenUsed/>
    <w:rsid w:val="00041F10"/>
  </w:style>
  <w:style w:type="paragraph" w:customStyle="1" w:styleId="BodyA">
    <w:name w:val="Body A"/>
    <w:rsid w:val="004C405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7D59-F992-4EE8-A827-9AD8FB2E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Rasigie Bhika</dc:creator>
  <cp:keywords/>
  <dc:description/>
  <cp:lastModifiedBy>sathish sarshan  mohan</cp:lastModifiedBy>
  <cp:revision>8</cp:revision>
  <cp:lastPrinted>2024-06-13T07:36:00Z</cp:lastPrinted>
  <dcterms:created xsi:type="dcterms:W3CDTF">2024-06-13T07:36:00Z</dcterms:created>
  <dcterms:modified xsi:type="dcterms:W3CDTF">2024-06-22T14:31:00Z</dcterms:modified>
</cp:coreProperties>
</file>