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0F021" w14:textId="77777777" w:rsidR="001820F2" w:rsidRPr="006875A9" w:rsidRDefault="001820F2" w:rsidP="001820F2">
      <w:pPr>
        <w:pStyle w:val="LegalNormal"/>
        <w:spacing w:after="0" w:line="360" w:lineRule="auto"/>
        <w:jc w:val="center"/>
        <w:rPr>
          <w:rFonts w:cs="Arial"/>
        </w:rPr>
      </w:pPr>
      <w:r w:rsidRPr="006875A9">
        <w:rPr>
          <w:rFonts w:cs="Arial"/>
        </w:rPr>
        <w:t xml:space="preserve">       </w:t>
      </w:r>
      <w:r w:rsidRPr="006875A9">
        <w:rPr>
          <w:rFonts w:cs="Arial"/>
          <w:noProof/>
          <w:color w:val="1F497D"/>
          <w:lang w:val="en-US" w:eastAsia="en-US"/>
        </w:rPr>
        <w:drawing>
          <wp:inline distT="0" distB="0" distL="0" distR="0" wp14:anchorId="23741630" wp14:editId="3783E649">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8C90BDE" w14:textId="77777777" w:rsidR="001820F2" w:rsidRPr="00F0781E" w:rsidRDefault="001820F2" w:rsidP="001820F2">
      <w:pPr>
        <w:keepNext/>
        <w:suppressAutoHyphens/>
        <w:spacing w:after="0" w:line="360" w:lineRule="auto"/>
        <w:jc w:val="center"/>
        <w:rPr>
          <w:rFonts w:ascii="Arial" w:eastAsia="Times New Roman" w:hAnsi="Arial" w:cs="Arial"/>
          <w:b/>
          <w:caps/>
          <w:sz w:val="24"/>
          <w:szCs w:val="24"/>
          <w:u w:val="single"/>
          <w:lang w:val="en-GB" w:eastAsia="en-GB"/>
        </w:rPr>
      </w:pPr>
      <w:r w:rsidRPr="00F0781E">
        <w:rPr>
          <w:rFonts w:ascii="Arial" w:eastAsia="Times New Roman" w:hAnsi="Arial" w:cs="Arial"/>
          <w:b/>
          <w:caps/>
          <w:sz w:val="24"/>
          <w:szCs w:val="24"/>
          <w:u w:val="single"/>
          <w:lang w:val="en-GB" w:eastAsia="en-GB"/>
        </w:rPr>
        <w:t>IN THE HIGH COURT of south africa</w:t>
      </w:r>
    </w:p>
    <w:p w14:paraId="23D8EA04" w14:textId="77777777" w:rsidR="001820F2" w:rsidRDefault="001820F2" w:rsidP="001820F2">
      <w:pPr>
        <w:keepNext/>
        <w:suppressAutoHyphens/>
        <w:spacing w:after="0" w:line="360" w:lineRule="auto"/>
        <w:jc w:val="center"/>
        <w:rPr>
          <w:rFonts w:ascii="Arial" w:eastAsia="Times New Roman" w:hAnsi="Arial" w:cs="Arial"/>
          <w:b/>
          <w:caps/>
          <w:sz w:val="24"/>
          <w:szCs w:val="24"/>
          <w:u w:val="single"/>
          <w:lang w:val="en-GB" w:eastAsia="en-GB"/>
        </w:rPr>
      </w:pPr>
      <w:r w:rsidRPr="005E70E2">
        <w:rPr>
          <w:rFonts w:ascii="Arial" w:eastAsia="Times New Roman" w:hAnsi="Arial" w:cs="Times New Roman"/>
          <w:noProof/>
          <w:sz w:val="24"/>
          <w:szCs w:val="24"/>
          <w:lang w:val="en-US"/>
        </w:rPr>
        <mc:AlternateContent>
          <mc:Choice Requires="wps">
            <w:drawing>
              <wp:anchor distT="0" distB="0" distL="114300" distR="114300" simplePos="0" relativeHeight="251659264" behindDoc="0" locked="0" layoutInCell="1" allowOverlap="1" wp14:anchorId="5A2656DC" wp14:editId="0BDF15AF">
                <wp:simplePos x="0" y="0"/>
                <wp:positionH relativeFrom="column">
                  <wp:posOffset>-548640</wp:posOffset>
                </wp:positionH>
                <wp:positionV relativeFrom="paragraph">
                  <wp:posOffset>320040</wp:posOffset>
                </wp:positionV>
                <wp:extent cx="3977640" cy="17526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752600"/>
                        </a:xfrm>
                        <a:prstGeom prst="rect">
                          <a:avLst/>
                        </a:prstGeom>
                        <a:solidFill>
                          <a:srgbClr val="FFFFFF"/>
                        </a:solidFill>
                        <a:ln w="9525">
                          <a:solidFill>
                            <a:srgbClr val="000000"/>
                          </a:solidFill>
                          <a:miter lim="800000"/>
                          <a:headEnd/>
                          <a:tailEnd/>
                        </a:ln>
                      </wps:spPr>
                      <wps:txbx>
                        <w:txbxContent>
                          <w:p w14:paraId="08744D8E" w14:textId="51C443EE" w:rsidR="001820F2" w:rsidRPr="000475CE" w:rsidRDefault="00D87EDD" w:rsidP="00D87EDD">
                            <w:pPr>
                              <w:tabs>
                                <w:tab w:val="left" w:pos="900"/>
                              </w:tabs>
                              <w:spacing w:after="0" w:line="240" w:lineRule="auto"/>
                              <w:ind w:left="900" w:hanging="720"/>
                              <w:rPr>
                                <w:rFonts w:ascii="Century Gothic" w:hAnsi="Century Gothic"/>
                                <w:sz w:val="20"/>
                                <w:szCs w:val="20"/>
                              </w:rPr>
                            </w:pPr>
                            <w:r w:rsidRPr="000475CE">
                              <w:rPr>
                                <w:rFonts w:ascii="Century Gothic" w:hAnsi="Century Gothic" w:cs="Times New Roman"/>
                                <w:sz w:val="20"/>
                                <w:szCs w:val="20"/>
                              </w:rPr>
                              <w:t>(1)</w:t>
                            </w:r>
                            <w:r w:rsidRPr="000475CE">
                              <w:rPr>
                                <w:rFonts w:ascii="Century Gothic" w:hAnsi="Century Gothic" w:cs="Times New Roman"/>
                                <w:sz w:val="20"/>
                                <w:szCs w:val="20"/>
                              </w:rPr>
                              <w:tab/>
                            </w:r>
                            <w:r w:rsidR="001820F2" w:rsidRPr="000475CE">
                              <w:rPr>
                                <w:rFonts w:ascii="Century Gothic" w:hAnsi="Century Gothic"/>
                                <w:caps/>
                                <w:sz w:val="20"/>
                                <w:szCs w:val="20"/>
                              </w:rPr>
                              <w:t xml:space="preserve">REPORTABLE: </w:t>
                            </w:r>
                            <w:r w:rsidR="001820F2">
                              <w:rPr>
                                <w:rFonts w:ascii="Century Gothic" w:hAnsi="Century Gothic"/>
                                <w:caps/>
                                <w:sz w:val="20"/>
                                <w:szCs w:val="20"/>
                              </w:rPr>
                              <w:t>No</w:t>
                            </w:r>
                          </w:p>
                          <w:p w14:paraId="70CFFE79" w14:textId="77777777" w:rsidR="001820F2" w:rsidRDefault="001820F2" w:rsidP="001820F2">
                            <w:pPr>
                              <w:ind w:left="900"/>
                              <w:rPr>
                                <w:rFonts w:ascii="Century Gothic" w:hAnsi="Century Gothic"/>
                                <w:sz w:val="20"/>
                                <w:szCs w:val="20"/>
                              </w:rPr>
                            </w:pPr>
                          </w:p>
                          <w:p w14:paraId="76626981" w14:textId="1002AD6F" w:rsidR="001820F2" w:rsidRDefault="00D87EDD" w:rsidP="00D87ED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820F2">
                              <w:rPr>
                                <w:rFonts w:ascii="Century Gothic" w:hAnsi="Century Gothic"/>
                                <w:sz w:val="20"/>
                                <w:szCs w:val="20"/>
                              </w:rPr>
                              <w:t>OF INTEREST TO OTHER JUDGES: NO</w:t>
                            </w:r>
                          </w:p>
                          <w:p w14:paraId="38767C50" w14:textId="77777777" w:rsidR="001820F2" w:rsidRDefault="001820F2" w:rsidP="001820F2">
                            <w:pPr>
                              <w:rPr>
                                <w:rFonts w:ascii="Century Gothic" w:hAnsi="Century Gothic"/>
                                <w:sz w:val="20"/>
                                <w:szCs w:val="20"/>
                              </w:rPr>
                            </w:pPr>
                          </w:p>
                          <w:p w14:paraId="348BEC0B" w14:textId="48B2D784"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820F2">
                              <w:rPr>
                                <w:rFonts w:ascii="Century Gothic" w:hAnsi="Century Gothic"/>
                                <w:sz w:val="20"/>
                                <w:szCs w:val="20"/>
                              </w:rPr>
                              <w:t>REVISED: YES</w:t>
                            </w:r>
                          </w:p>
                          <w:p w14:paraId="76EB39CF" w14:textId="77777777" w:rsidR="001820F2" w:rsidRDefault="001820F2" w:rsidP="001820F2">
                            <w:pPr>
                              <w:pStyle w:val="ListParagraph"/>
                              <w:rPr>
                                <w:rFonts w:ascii="Century Gothic" w:hAnsi="Century Gothic"/>
                                <w:sz w:val="20"/>
                                <w:szCs w:val="20"/>
                              </w:rPr>
                            </w:pPr>
                          </w:p>
                          <w:p w14:paraId="3915B5E8" w14:textId="582CC5F3"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1820F2">
                              <w:rPr>
                                <w:rFonts w:ascii="Century Gothic" w:hAnsi="Century Gothic"/>
                                <w:sz w:val="20"/>
                                <w:szCs w:val="20"/>
                              </w:rPr>
                              <w:t xml:space="preserve">Signature: ______________Date: </w:t>
                            </w:r>
                            <w:r w:rsidR="006D18F9">
                              <w:rPr>
                                <w:rFonts w:ascii="Century Gothic" w:hAnsi="Century Gothic"/>
                                <w:sz w:val="20"/>
                                <w:szCs w:val="20"/>
                              </w:rPr>
                              <w:t>10</w:t>
                            </w:r>
                            <w:r w:rsidR="001820F2">
                              <w:rPr>
                                <w:rFonts w:ascii="Century Gothic" w:hAnsi="Century Gothic"/>
                                <w:sz w:val="20"/>
                                <w:szCs w:val="20"/>
                              </w:rPr>
                              <w:t xml:space="preserve"> June 2024</w:t>
                            </w:r>
                          </w:p>
                          <w:p w14:paraId="10F05AED" w14:textId="77777777" w:rsidR="001820F2" w:rsidRDefault="001820F2" w:rsidP="001820F2">
                            <w:pPr>
                              <w:pStyle w:val="ListParagraph"/>
                              <w:rPr>
                                <w:rFonts w:ascii="Century Gothic" w:hAnsi="Century Gothic"/>
                                <w:sz w:val="20"/>
                                <w:szCs w:val="20"/>
                              </w:rPr>
                            </w:pPr>
                          </w:p>
                          <w:p w14:paraId="6FDD012C" w14:textId="0516D66D"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0C82F557" w14:textId="77777777" w:rsidR="001820F2" w:rsidRDefault="001820F2" w:rsidP="001820F2">
                            <w:pPr>
                              <w:pStyle w:val="ListParagraph"/>
                              <w:rPr>
                                <w:rFonts w:ascii="Century Gothic" w:hAnsi="Century Gothic"/>
                                <w:sz w:val="20"/>
                                <w:szCs w:val="20"/>
                              </w:rPr>
                            </w:pPr>
                          </w:p>
                          <w:p w14:paraId="170AC3EE" w14:textId="51F6D359"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(6)</w:t>
                            </w:r>
                            <w:r>
                              <w:rPr>
                                <w:rFonts w:ascii="Century Gothic" w:hAnsi="Century Gothic" w:cs="Times New Roman"/>
                                <w:sz w:val="20"/>
                                <w:szCs w:val="20"/>
                              </w:rPr>
                              <w:tab/>
                            </w:r>
                            <w:r w:rsidR="001820F2">
                              <w:rPr>
                                <w:rFonts w:ascii="Century Gothic" w:hAnsi="Century Gothic"/>
                                <w:sz w:val="20"/>
                                <w:szCs w:val="20"/>
                              </w:rPr>
                              <w:t>Signature: ________________ Date: ____________</w:t>
                            </w:r>
                          </w:p>
                          <w:p w14:paraId="130B3337" w14:textId="77777777" w:rsidR="001820F2" w:rsidRDefault="001820F2" w:rsidP="001820F2">
                            <w:pPr>
                              <w:pStyle w:val="ListParagraph"/>
                              <w:rPr>
                                <w:rFonts w:ascii="Century Gothic" w:hAnsi="Century Gothic"/>
                                <w:sz w:val="20"/>
                                <w:szCs w:val="20"/>
                              </w:rPr>
                            </w:pPr>
                          </w:p>
                          <w:p w14:paraId="2FB88FD6" w14:textId="77777777" w:rsidR="001820F2" w:rsidRDefault="001820F2" w:rsidP="001820F2">
                            <w:pPr>
                              <w:spacing w:after="120"/>
                              <w:rPr>
                                <w:rFonts w:ascii="Century Gothic" w:hAnsi="Century Gothic"/>
                                <w:sz w:val="20"/>
                                <w:szCs w:val="20"/>
                              </w:rPr>
                            </w:pPr>
                          </w:p>
                          <w:p w14:paraId="5672C9D3" w14:textId="77777777" w:rsidR="001820F2" w:rsidRDefault="001820F2" w:rsidP="001820F2">
                            <w:pPr>
                              <w:pStyle w:val="ListParagraph"/>
                              <w:rPr>
                                <w:rFonts w:ascii="Century Gothic" w:hAnsi="Century Gothic"/>
                                <w:sz w:val="20"/>
                                <w:szCs w:val="20"/>
                              </w:rPr>
                            </w:pPr>
                          </w:p>
                          <w:p w14:paraId="0CB58FA1" w14:textId="14CB2FD6"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(7)</w:t>
                            </w:r>
                            <w:r>
                              <w:rPr>
                                <w:rFonts w:ascii="Century Gothic" w:hAnsi="Century Gothic" w:cs="Times New Roman"/>
                                <w:sz w:val="20"/>
                                <w:szCs w:val="20"/>
                              </w:rPr>
                              <w:tab/>
                            </w:r>
                          </w:p>
                          <w:p w14:paraId="2C53BD26" w14:textId="77777777" w:rsidR="001820F2" w:rsidRDefault="001820F2" w:rsidP="001820F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656DC" id="_x0000_t202" coordsize="21600,21600" o:spt="202" path="m,l,21600r21600,l21600,xe">
                <v:stroke joinstyle="miter"/>
                <v:path gradientshapeok="t" o:connecttype="rect"/>
              </v:shapetype>
              <v:shape id="Text Box 2" o:spid="_x0000_s1026" type="#_x0000_t202" style="position:absolute;left:0;text-align:left;margin-left:-43.2pt;margin-top:25.2pt;width:313.2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">
                <v:textbox>
                  <w:txbxContent>
                    <w:p w14:paraId="08744D8E" w14:textId="51C443EE" w:rsidR="001820F2" w:rsidRPr="000475CE" w:rsidRDefault="00D87EDD" w:rsidP="00D87EDD">
                      <w:pPr>
                        <w:tabs>
                          <w:tab w:val="left" w:pos="900"/>
                        </w:tabs>
                        <w:spacing w:after="0" w:line="240" w:lineRule="auto"/>
                        <w:ind w:left="900" w:hanging="720"/>
                        <w:rPr>
                          <w:rFonts w:ascii="Century Gothic" w:hAnsi="Century Gothic"/>
                          <w:sz w:val="20"/>
                          <w:szCs w:val="20"/>
                        </w:rPr>
                      </w:pPr>
                      <w:r w:rsidRPr="000475CE">
                        <w:rPr>
                          <w:rFonts w:ascii="Century Gothic" w:hAnsi="Century Gothic" w:cs="Times New Roman"/>
                          <w:sz w:val="20"/>
                          <w:szCs w:val="20"/>
                        </w:rPr>
                        <w:t>(1)</w:t>
                      </w:r>
                      <w:r w:rsidRPr="000475CE">
                        <w:rPr>
                          <w:rFonts w:ascii="Century Gothic" w:hAnsi="Century Gothic" w:cs="Times New Roman"/>
                          <w:sz w:val="20"/>
                          <w:szCs w:val="20"/>
                        </w:rPr>
                        <w:tab/>
                      </w:r>
                      <w:r w:rsidR="001820F2" w:rsidRPr="000475CE">
                        <w:rPr>
                          <w:rFonts w:ascii="Century Gothic" w:hAnsi="Century Gothic"/>
                          <w:caps/>
                          <w:sz w:val="20"/>
                          <w:szCs w:val="20"/>
                        </w:rPr>
                        <w:t xml:space="preserve">REPORTABLE: </w:t>
                      </w:r>
                      <w:r w:rsidR="001820F2">
                        <w:rPr>
                          <w:rFonts w:ascii="Century Gothic" w:hAnsi="Century Gothic"/>
                          <w:caps/>
                          <w:sz w:val="20"/>
                          <w:szCs w:val="20"/>
                        </w:rPr>
                        <w:t>No</w:t>
                      </w:r>
                    </w:p>
                    <w:p w14:paraId="70CFFE79" w14:textId="77777777" w:rsidR="001820F2" w:rsidRDefault="001820F2" w:rsidP="001820F2">
                      <w:pPr>
                        <w:ind w:left="900"/>
                        <w:rPr>
                          <w:rFonts w:ascii="Century Gothic" w:hAnsi="Century Gothic"/>
                          <w:sz w:val="20"/>
                          <w:szCs w:val="20"/>
                        </w:rPr>
                      </w:pPr>
                    </w:p>
                    <w:p w14:paraId="76626981" w14:textId="1002AD6F" w:rsidR="001820F2" w:rsidRDefault="00D87EDD" w:rsidP="00D87ED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820F2">
                        <w:rPr>
                          <w:rFonts w:ascii="Century Gothic" w:hAnsi="Century Gothic"/>
                          <w:sz w:val="20"/>
                          <w:szCs w:val="20"/>
                        </w:rPr>
                        <w:t>OF INTEREST TO OTHER JUDGES: NO</w:t>
                      </w:r>
                    </w:p>
                    <w:p w14:paraId="38767C50" w14:textId="77777777" w:rsidR="001820F2" w:rsidRDefault="001820F2" w:rsidP="001820F2">
                      <w:pPr>
                        <w:rPr>
                          <w:rFonts w:ascii="Century Gothic" w:hAnsi="Century Gothic"/>
                          <w:sz w:val="20"/>
                          <w:szCs w:val="20"/>
                        </w:rPr>
                      </w:pPr>
                    </w:p>
                    <w:p w14:paraId="348BEC0B" w14:textId="48B2D784"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820F2">
                        <w:rPr>
                          <w:rFonts w:ascii="Century Gothic" w:hAnsi="Century Gothic"/>
                          <w:sz w:val="20"/>
                          <w:szCs w:val="20"/>
                        </w:rPr>
                        <w:t>REVISED: YES</w:t>
                      </w:r>
                    </w:p>
                    <w:p w14:paraId="76EB39CF" w14:textId="77777777" w:rsidR="001820F2" w:rsidRDefault="001820F2" w:rsidP="001820F2">
                      <w:pPr>
                        <w:pStyle w:val="ListParagraph"/>
                        <w:rPr>
                          <w:rFonts w:ascii="Century Gothic" w:hAnsi="Century Gothic"/>
                          <w:sz w:val="20"/>
                          <w:szCs w:val="20"/>
                        </w:rPr>
                      </w:pPr>
                    </w:p>
                    <w:p w14:paraId="3915B5E8" w14:textId="582CC5F3"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1820F2">
                        <w:rPr>
                          <w:rFonts w:ascii="Century Gothic" w:hAnsi="Century Gothic"/>
                          <w:sz w:val="20"/>
                          <w:szCs w:val="20"/>
                        </w:rPr>
                        <w:t xml:space="preserve">Signature: ______________Date: </w:t>
                      </w:r>
                      <w:r w:rsidR="006D18F9">
                        <w:rPr>
                          <w:rFonts w:ascii="Century Gothic" w:hAnsi="Century Gothic"/>
                          <w:sz w:val="20"/>
                          <w:szCs w:val="20"/>
                        </w:rPr>
                        <w:t>10</w:t>
                      </w:r>
                      <w:r w:rsidR="001820F2">
                        <w:rPr>
                          <w:rFonts w:ascii="Century Gothic" w:hAnsi="Century Gothic"/>
                          <w:sz w:val="20"/>
                          <w:szCs w:val="20"/>
                        </w:rPr>
                        <w:t xml:space="preserve"> June 2024</w:t>
                      </w:r>
                    </w:p>
                    <w:p w14:paraId="10F05AED" w14:textId="77777777" w:rsidR="001820F2" w:rsidRDefault="001820F2" w:rsidP="001820F2">
                      <w:pPr>
                        <w:pStyle w:val="ListParagraph"/>
                        <w:rPr>
                          <w:rFonts w:ascii="Century Gothic" w:hAnsi="Century Gothic"/>
                          <w:sz w:val="20"/>
                          <w:szCs w:val="20"/>
                        </w:rPr>
                      </w:pPr>
                    </w:p>
                    <w:p w14:paraId="6FDD012C" w14:textId="0516D66D"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0C82F557" w14:textId="77777777" w:rsidR="001820F2" w:rsidRDefault="001820F2" w:rsidP="001820F2">
                      <w:pPr>
                        <w:pStyle w:val="ListParagraph"/>
                        <w:rPr>
                          <w:rFonts w:ascii="Century Gothic" w:hAnsi="Century Gothic"/>
                          <w:sz w:val="20"/>
                          <w:szCs w:val="20"/>
                        </w:rPr>
                      </w:pPr>
                    </w:p>
                    <w:p w14:paraId="170AC3EE" w14:textId="51F6D359"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(6)</w:t>
                      </w:r>
                      <w:r>
                        <w:rPr>
                          <w:rFonts w:ascii="Century Gothic" w:hAnsi="Century Gothic" w:cs="Times New Roman"/>
                          <w:sz w:val="20"/>
                          <w:szCs w:val="20"/>
                        </w:rPr>
                        <w:tab/>
                      </w:r>
                      <w:r w:rsidR="001820F2">
                        <w:rPr>
                          <w:rFonts w:ascii="Century Gothic" w:hAnsi="Century Gothic"/>
                          <w:sz w:val="20"/>
                          <w:szCs w:val="20"/>
                        </w:rPr>
                        <w:t>Signature: ________________ Date: ____________</w:t>
                      </w:r>
                    </w:p>
                    <w:p w14:paraId="130B3337" w14:textId="77777777" w:rsidR="001820F2" w:rsidRDefault="001820F2" w:rsidP="001820F2">
                      <w:pPr>
                        <w:pStyle w:val="ListParagraph"/>
                        <w:rPr>
                          <w:rFonts w:ascii="Century Gothic" w:hAnsi="Century Gothic"/>
                          <w:sz w:val="20"/>
                          <w:szCs w:val="20"/>
                        </w:rPr>
                      </w:pPr>
                    </w:p>
                    <w:p w14:paraId="2FB88FD6" w14:textId="77777777" w:rsidR="001820F2" w:rsidRDefault="001820F2" w:rsidP="001820F2">
                      <w:pPr>
                        <w:spacing w:after="120"/>
                        <w:rPr>
                          <w:rFonts w:ascii="Century Gothic" w:hAnsi="Century Gothic"/>
                          <w:sz w:val="20"/>
                          <w:szCs w:val="20"/>
                        </w:rPr>
                      </w:pPr>
                    </w:p>
                    <w:p w14:paraId="5672C9D3" w14:textId="77777777" w:rsidR="001820F2" w:rsidRDefault="001820F2" w:rsidP="001820F2">
                      <w:pPr>
                        <w:pStyle w:val="ListParagraph"/>
                        <w:rPr>
                          <w:rFonts w:ascii="Century Gothic" w:hAnsi="Century Gothic"/>
                          <w:sz w:val="20"/>
                          <w:szCs w:val="20"/>
                        </w:rPr>
                      </w:pPr>
                    </w:p>
                    <w:p w14:paraId="0CB58FA1" w14:textId="14CB2FD6" w:rsidR="001820F2" w:rsidRDefault="00D87EDD" w:rsidP="00D87EDD">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(7)</w:t>
                      </w:r>
                      <w:r>
                        <w:rPr>
                          <w:rFonts w:ascii="Century Gothic" w:hAnsi="Century Gothic" w:cs="Times New Roman"/>
                          <w:sz w:val="20"/>
                          <w:szCs w:val="20"/>
                        </w:rPr>
                        <w:tab/>
                      </w:r>
                    </w:p>
                    <w:p w14:paraId="2C53BD26" w14:textId="77777777" w:rsidR="001820F2" w:rsidRDefault="001820F2" w:rsidP="001820F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v:shape>
            </w:pict>
          </mc:Fallback>
        </mc:AlternateContent>
      </w:r>
      <w:r w:rsidRPr="00F0781E">
        <w:rPr>
          <w:rFonts w:ascii="Arial" w:eastAsia="Times New Roman" w:hAnsi="Arial" w:cs="Arial"/>
          <w:b/>
          <w:caps/>
          <w:sz w:val="24"/>
          <w:szCs w:val="24"/>
          <w:u w:val="single"/>
          <w:lang w:val="en-GB" w:eastAsia="en-GB"/>
        </w:rPr>
        <w:t>GAUTENG DIVISION, pretoria</w:t>
      </w:r>
      <w:r>
        <w:rPr>
          <w:rFonts w:ascii="Arial" w:eastAsia="Times New Roman" w:hAnsi="Arial" w:cs="Arial"/>
          <w:b/>
          <w:caps/>
          <w:sz w:val="24"/>
          <w:szCs w:val="24"/>
          <w:u w:val="single"/>
          <w:lang w:val="en-GB" w:eastAsia="en-GB"/>
        </w:rPr>
        <w:t xml:space="preserve"> </w:t>
      </w:r>
    </w:p>
    <w:p w14:paraId="53964EEE" w14:textId="77777777" w:rsidR="001820F2" w:rsidRPr="00F0781E" w:rsidRDefault="001820F2" w:rsidP="001820F2">
      <w:pPr>
        <w:keepNext/>
        <w:suppressAutoHyphens/>
        <w:spacing w:after="0" w:line="360" w:lineRule="auto"/>
        <w:jc w:val="center"/>
        <w:rPr>
          <w:rFonts w:ascii="Arial" w:eastAsia="Times New Roman" w:hAnsi="Arial" w:cs="Arial"/>
          <w:b/>
          <w:caps/>
          <w:sz w:val="24"/>
          <w:szCs w:val="24"/>
          <w:u w:val="single"/>
          <w:lang w:val="en-GB" w:eastAsia="en-GB"/>
        </w:rPr>
      </w:pPr>
    </w:p>
    <w:p w14:paraId="485ED222" w14:textId="77777777" w:rsidR="001820F2" w:rsidRPr="00F0781E" w:rsidRDefault="001820F2" w:rsidP="001820F2">
      <w:pPr>
        <w:keepNext/>
        <w:suppressAutoHyphens/>
        <w:spacing w:after="0" w:line="360" w:lineRule="auto"/>
        <w:jc w:val="right"/>
        <w:rPr>
          <w:rFonts w:ascii="Arial" w:eastAsia="Times New Roman" w:hAnsi="Arial" w:cs="Arial"/>
          <w:b/>
          <w:caps/>
          <w:sz w:val="24"/>
          <w:szCs w:val="24"/>
          <w:lang w:val="en-GB" w:eastAsia="en-GB"/>
        </w:rPr>
      </w:pPr>
    </w:p>
    <w:p w14:paraId="78B03BBD" w14:textId="77777777" w:rsidR="001820F2" w:rsidRPr="00F0781E" w:rsidRDefault="001820F2" w:rsidP="001820F2">
      <w:pPr>
        <w:keepNext/>
        <w:suppressAutoHyphens/>
        <w:spacing w:after="0" w:line="360" w:lineRule="auto"/>
        <w:jc w:val="right"/>
        <w:rPr>
          <w:rFonts w:ascii="Arial" w:eastAsia="Times New Roman" w:hAnsi="Arial" w:cs="Arial"/>
          <w:b/>
          <w:caps/>
          <w:sz w:val="24"/>
          <w:szCs w:val="24"/>
          <w:u w:val="single"/>
          <w:lang w:val="en-GB" w:eastAsia="en-GB"/>
        </w:rPr>
      </w:pPr>
    </w:p>
    <w:p w14:paraId="1BF0B640" w14:textId="77777777" w:rsidR="001820F2" w:rsidRPr="00F0781E" w:rsidRDefault="001820F2" w:rsidP="001820F2">
      <w:pPr>
        <w:suppressAutoHyphens/>
        <w:spacing w:after="360" w:line="480" w:lineRule="auto"/>
        <w:jc w:val="both"/>
        <w:rPr>
          <w:rFonts w:ascii="Arial" w:eastAsia="Times New Roman" w:hAnsi="Arial" w:cs="Arial"/>
          <w:sz w:val="24"/>
          <w:szCs w:val="24"/>
          <w:lang w:val="en-GB" w:eastAsia="en-GB"/>
        </w:rPr>
      </w:pPr>
    </w:p>
    <w:p w14:paraId="7C8C8100" w14:textId="77777777" w:rsidR="001820F2" w:rsidRDefault="001820F2" w:rsidP="001820F2">
      <w:pPr>
        <w:keepNext/>
        <w:suppressAutoHyphens/>
        <w:spacing w:after="0" w:line="360" w:lineRule="auto"/>
        <w:jc w:val="right"/>
        <w:rPr>
          <w:rFonts w:ascii="Arial" w:eastAsia="Times New Roman" w:hAnsi="Arial" w:cs="Arial"/>
          <w:b/>
          <w:caps/>
          <w:sz w:val="24"/>
          <w:szCs w:val="24"/>
          <w:u w:val="single"/>
          <w:lang w:val="en-GB" w:eastAsia="en-GB"/>
        </w:rPr>
      </w:pPr>
    </w:p>
    <w:p w14:paraId="353DCF57" w14:textId="77777777" w:rsidR="001820F2" w:rsidRDefault="001820F2" w:rsidP="001820F2">
      <w:pPr>
        <w:keepNext/>
        <w:suppressAutoHyphens/>
        <w:spacing w:after="0" w:line="360" w:lineRule="auto"/>
        <w:jc w:val="right"/>
        <w:rPr>
          <w:rFonts w:ascii="Arial" w:eastAsia="Times New Roman" w:hAnsi="Arial" w:cs="Arial"/>
          <w:b/>
          <w:caps/>
          <w:sz w:val="24"/>
          <w:szCs w:val="24"/>
          <w:u w:val="single"/>
          <w:lang w:val="en-GB" w:eastAsia="en-GB"/>
        </w:rPr>
      </w:pPr>
    </w:p>
    <w:p w14:paraId="1F481DA4" w14:textId="77777777" w:rsidR="001820F2" w:rsidRDefault="001820F2" w:rsidP="001820F2">
      <w:pPr>
        <w:keepNext/>
        <w:suppressAutoHyphens/>
        <w:spacing w:after="0" w:line="360" w:lineRule="auto"/>
        <w:jc w:val="right"/>
        <w:rPr>
          <w:rFonts w:ascii="Arial" w:eastAsia="Times New Roman" w:hAnsi="Arial" w:cs="Arial"/>
          <w:b/>
          <w:caps/>
          <w:sz w:val="24"/>
          <w:szCs w:val="24"/>
          <w:u w:val="single"/>
          <w:lang w:val="en-GB" w:eastAsia="en-GB"/>
        </w:rPr>
      </w:pPr>
    </w:p>
    <w:p w14:paraId="2CA5D8AC" w14:textId="3D0747C4" w:rsidR="001820F2" w:rsidRPr="00F0781E" w:rsidRDefault="001820F2" w:rsidP="001820F2">
      <w:pPr>
        <w:keepNext/>
        <w:suppressAutoHyphens/>
        <w:spacing w:after="0" w:line="360" w:lineRule="auto"/>
        <w:jc w:val="right"/>
        <w:rPr>
          <w:rFonts w:ascii="Arial" w:eastAsia="Times New Roman" w:hAnsi="Arial" w:cs="Arial"/>
          <w:sz w:val="24"/>
          <w:szCs w:val="24"/>
          <w:lang w:val="en-GB" w:eastAsia="en-GB"/>
        </w:rPr>
      </w:pPr>
      <w:r>
        <w:rPr>
          <w:rFonts w:ascii="Arial" w:eastAsia="Times New Roman" w:hAnsi="Arial" w:cs="Arial"/>
          <w:b/>
          <w:caps/>
          <w:sz w:val="24"/>
          <w:szCs w:val="24"/>
          <w:u w:val="single"/>
          <w:lang w:val="en-GB" w:eastAsia="en-GB"/>
        </w:rPr>
        <w:t>CASE NO :</w:t>
      </w:r>
      <w:r w:rsidR="00A90572">
        <w:rPr>
          <w:rFonts w:ascii="Arial" w:eastAsia="Times New Roman" w:hAnsi="Arial" w:cs="Arial"/>
          <w:b/>
          <w:caps/>
          <w:sz w:val="24"/>
          <w:szCs w:val="24"/>
          <w:lang w:val="en-GB" w:eastAsia="en-GB"/>
        </w:rPr>
        <w:t xml:space="preserve"> </w:t>
      </w:r>
      <w:r>
        <w:rPr>
          <w:rFonts w:ascii="Arial" w:eastAsia="Times New Roman" w:hAnsi="Arial" w:cs="Arial"/>
          <w:b/>
          <w:caps/>
          <w:sz w:val="24"/>
          <w:szCs w:val="24"/>
          <w:lang w:val="en-GB" w:eastAsia="en-GB"/>
        </w:rPr>
        <w:t>30326/2018</w:t>
      </w:r>
    </w:p>
    <w:p w14:paraId="71760BE2" w14:textId="77777777" w:rsidR="001820F2" w:rsidRPr="00F0781E" w:rsidRDefault="001820F2" w:rsidP="001820F2">
      <w:pPr>
        <w:suppressAutoHyphens/>
        <w:spacing w:after="240" w:line="240" w:lineRule="auto"/>
        <w:jc w:val="both"/>
        <w:rPr>
          <w:rFonts w:ascii="Arial" w:eastAsia="Times New Roman" w:hAnsi="Arial" w:cs="Arial"/>
          <w:sz w:val="24"/>
          <w:szCs w:val="24"/>
          <w:lang w:val="en-GB" w:eastAsia="en-GB"/>
        </w:rPr>
      </w:pPr>
    </w:p>
    <w:p w14:paraId="58B2CF4B" w14:textId="77777777" w:rsidR="001820F2" w:rsidRDefault="001820F2" w:rsidP="001820F2">
      <w:pPr>
        <w:suppressAutoHyphens/>
        <w:spacing w:after="240" w:line="240" w:lineRule="auto"/>
        <w:jc w:val="both"/>
        <w:rPr>
          <w:rFonts w:ascii="Arial" w:eastAsia="Times New Roman" w:hAnsi="Arial" w:cs="Arial"/>
          <w:sz w:val="24"/>
          <w:szCs w:val="24"/>
          <w:lang w:val="en-GB" w:eastAsia="en-GB"/>
        </w:rPr>
      </w:pPr>
      <w:r w:rsidRPr="00F0781E">
        <w:rPr>
          <w:rFonts w:ascii="Arial" w:eastAsia="Times New Roman" w:hAnsi="Arial" w:cs="Arial"/>
          <w:sz w:val="24"/>
          <w:szCs w:val="24"/>
          <w:lang w:val="en-GB" w:eastAsia="en-GB"/>
        </w:rPr>
        <w:t>In the matter between:</w:t>
      </w:r>
    </w:p>
    <w:p w14:paraId="5EC74331" w14:textId="77777777" w:rsidR="001820F2" w:rsidRDefault="001820F2" w:rsidP="001820F2">
      <w:pPr>
        <w:suppressAutoHyphens/>
        <w:spacing w:after="240" w:line="240" w:lineRule="auto"/>
        <w:jc w:val="both"/>
        <w:rPr>
          <w:rFonts w:ascii="Arial" w:eastAsia="Times New Roman" w:hAnsi="Arial" w:cs="Arial"/>
          <w:sz w:val="24"/>
          <w:szCs w:val="24"/>
          <w:lang w:val="en-GB" w:eastAsia="en-GB"/>
        </w:rPr>
      </w:pPr>
    </w:p>
    <w:p w14:paraId="1D698B90" w14:textId="1A2366D2" w:rsidR="001820F2" w:rsidRDefault="001820F2" w:rsidP="001820F2">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u w:val="single"/>
          <w:lang w:val="en-GB" w:eastAsia="en-GB"/>
        </w:rPr>
        <w:t>SEAL A DEAL CC t/a MAKHAFOLA KHAFLINS TRANSPORT</w:t>
      </w:r>
      <w:r>
        <w:rPr>
          <w:rFonts w:ascii="Arial" w:eastAsia="Times New Roman" w:hAnsi="Arial" w:cs="Arial"/>
          <w:b/>
          <w:bCs/>
          <w:sz w:val="24"/>
          <w:szCs w:val="24"/>
          <w:lang w:val="en-GB" w:eastAsia="en-GB"/>
        </w:rPr>
        <w:tab/>
        <w:t xml:space="preserve">     1</w:t>
      </w:r>
      <w:r w:rsidRPr="001820F2">
        <w:rPr>
          <w:rFonts w:ascii="Arial" w:eastAsia="Times New Roman" w:hAnsi="Arial" w:cs="Arial"/>
          <w:b/>
          <w:bCs/>
          <w:sz w:val="24"/>
          <w:szCs w:val="24"/>
          <w:vertAlign w:val="superscript"/>
          <w:lang w:val="en-GB" w:eastAsia="en-GB"/>
        </w:rPr>
        <w:t>st</w:t>
      </w:r>
      <w:r>
        <w:rPr>
          <w:rFonts w:ascii="Arial" w:eastAsia="Times New Roman" w:hAnsi="Arial" w:cs="Arial"/>
          <w:b/>
          <w:bCs/>
          <w:sz w:val="24"/>
          <w:szCs w:val="24"/>
          <w:lang w:val="en-GB" w:eastAsia="en-GB"/>
        </w:rPr>
        <w:t xml:space="preserve"> Applicant</w:t>
      </w:r>
    </w:p>
    <w:p w14:paraId="4A748897" w14:textId="77777777" w:rsidR="001820F2" w:rsidRDefault="001820F2" w:rsidP="001820F2">
      <w:pPr>
        <w:suppressAutoHyphens/>
        <w:spacing w:after="240" w:line="240" w:lineRule="auto"/>
        <w:jc w:val="both"/>
        <w:rPr>
          <w:rFonts w:ascii="Arial" w:eastAsia="Times New Roman" w:hAnsi="Arial" w:cs="Arial"/>
          <w:b/>
          <w:bCs/>
          <w:sz w:val="24"/>
          <w:szCs w:val="24"/>
          <w:lang w:val="en-GB" w:eastAsia="en-GB"/>
        </w:rPr>
      </w:pPr>
    </w:p>
    <w:p w14:paraId="3274E82C" w14:textId="51996414" w:rsidR="001820F2" w:rsidRPr="001820F2" w:rsidRDefault="001820F2" w:rsidP="001820F2">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u w:val="single"/>
          <w:lang w:val="en-GB" w:eastAsia="en-GB"/>
        </w:rPr>
        <w:t>TAU DANIEL MAKHAFOLA</w:t>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t xml:space="preserve">     2</w:t>
      </w:r>
      <w:r w:rsidRPr="001820F2">
        <w:rPr>
          <w:rFonts w:ascii="Arial" w:eastAsia="Times New Roman" w:hAnsi="Arial" w:cs="Arial"/>
          <w:b/>
          <w:bCs/>
          <w:sz w:val="24"/>
          <w:szCs w:val="24"/>
          <w:vertAlign w:val="superscript"/>
          <w:lang w:val="en-GB" w:eastAsia="en-GB"/>
        </w:rPr>
        <w:t>nd</w:t>
      </w:r>
      <w:r>
        <w:rPr>
          <w:rFonts w:ascii="Arial" w:eastAsia="Times New Roman" w:hAnsi="Arial" w:cs="Arial"/>
          <w:b/>
          <w:bCs/>
          <w:sz w:val="24"/>
          <w:szCs w:val="24"/>
          <w:lang w:val="en-GB" w:eastAsia="en-GB"/>
        </w:rPr>
        <w:t xml:space="preserve"> Applicant</w:t>
      </w:r>
    </w:p>
    <w:p w14:paraId="751BE834" w14:textId="77777777" w:rsidR="001820F2" w:rsidRDefault="001820F2" w:rsidP="001820F2">
      <w:pPr>
        <w:suppressAutoHyphens/>
        <w:spacing w:after="240" w:line="240" w:lineRule="auto"/>
        <w:jc w:val="both"/>
        <w:rPr>
          <w:rFonts w:ascii="Arial" w:eastAsia="Times New Roman" w:hAnsi="Arial" w:cs="Arial"/>
          <w:b/>
          <w:bCs/>
          <w:sz w:val="24"/>
          <w:szCs w:val="24"/>
          <w:lang w:val="en-GB" w:eastAsia="en-GB"/>
        </w:rPr>
      </w:pPr>
    </w:p>
    <w:p w14:paraId="4AA80B60" w14:textId="77777777" w:rsidR="001820F2" w:rsidRDefault="001820F2" w:rsidP="001820F2">
      <w:pPr>
        <w:suppressAutoHyphens/>
        <w:spacing w:after="240" w:line="240" w:lineRule="auto"/>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AND</w:t>
      </w:r>
    </w:p>
    <w:p w14:paraId="2BC93EB6" w14:textId="77777777" w:rsidR="001820F2" w:rsidRDefault="001820F2" w:rsidP="001820F2">
      <w:pPr>
        <w:suppressAutoHyphens/>
        <w:spacing w:after="240" w:line="240" w:lineRule="auto"/>
        <w:jc w:val="both"/>
        <w:rPr>
          <w:rFonts w:ascii="Arial" w:eastAsia="Times New Roman" w:hAnsi="Arial" w:cs="Arial"/>
          <w:b/>
          <w:bCs/>
          <w:sz w:val="24"/>
          <w:szCs w:val="24"/>
          <w:lang w:val="en-GB" w:eastAsia="en-GB"/>
        </w:rPr>
      </w:pPr>
    </w:p>
    <w:p w14:paraId="6277A7FA" w14:textId="52652A5F" w:rsidR="001820F2" w:rsidRPr="00686AE1" w:rsidRDefault="001820F2" w:rsidP="001820F2">
      <w:pPr>
        <w:suppressAutoHyphens/>
        <w:spacing w:after="240" w:line="240" w:lineRule="auto"/>
        <w:jc w:val="both"/>
        <w:rPr>
          <w:rFonts w:ascii="Arial" w:eastAsia="Times New Roman" w:hAnsi="Arial" w:cs="Arial"/>
          <w:b/>
          <w:bCs/>
          <w:sz w:val="24"/>
          <w:szCs w:val="24"/>
          <w:lang w:val="en-GB" w:eastAsia="en-GB"/>
        </w:rPr>
      </w:pPr>
      <w:r w:rsidRPr="00686AE1">
        <w:rPr>
          <w:rFonts w:ascii="Arial" w:eastAsia="Times New Roman" w:hAnsi="Arial" w:cs="Arial"/>
          <w:b/>
          <w:bCs/>
          <w:sz w:val="24"/>
          <w:szCs w:val="24"/>
          <w:u w:val="single"/>
          <w:lang w:val="en-GB" w:eastAsia="en-GB"/>
        </w:rPr>
        <w:t>ATTORNEY FIDELITY FUND BOARD</w:t>
      </w:r>
      <w:r w:rsidRPr="00686AE1">
        <w:rPr>
          <w:rFonts w:ascii="Arial" w:eastAsia="Times New Roman" w:hAnsi="Arial" w:cs="Arial"/>
          <w:b/>
          <w:bCs/>
          <w:sz w:val="24"/>
          <w:szCs w:val="24"/>
          <w:lang w:val="en-GB" w:eastAsia="en-GB"/>
        </w:rPr>
        <w:tab/>
      </w:r>
      <w:r w:rsidRPr="00686AE1">
        <w:rPr>
          <w:rFonts w:ascii="Arial" w:eastAsia="Times New Roman" w:hAnsi="Arial" w:cs="Arial"/>
          <w:b/>
          <w:bCs/>
          <w:sz w:val="24"/>
          <w:szCs w:val="24"/>
          <w:lang w:val="en-GB" w:eastAsia="en-GB"/>
        </w:rPr>
        <w:tab/>
      </w:r>
      <w:r w:rsidRPr="00686AE1">
        <w:rPr>
          <w:rFonts w:ascii="Arial" w:eastAsia="Times New Roman" w:hAnsi="Arial" w:cs="Arial"/>
          <w:b/>
          <w:bCs/>
          <w:sz w:val="24"/>
          <w:szCs w:val="24"/>
          <w:lang w:val="en-GB" w:eastAsia="en-GB"/>
        </w:rPr>
        <w:tab/>
      </w:r>
      <w:r w:rsidRPr="00686AE1">
        <w:rPr>
          <w:rFonts w:ascii="Arial" w:eastAsia="Times New Roman" w:hAnsi="Arial" w:cs="Arial"/>
          <w:b/>
          <w:bCs/>
          <w:sz w:val="24"/>
          <w:szCs w:val="24"/>
          <w:lang w:val="en-GB" w:eastAsia="en-GB"/>
        </w:rPr>
        <w:tab/>
      </w:r>
      <w:r w:rsidRPr="00686AE1">
        <w:rPr>
          <w:rFonts w:ascii="Arial" w:eastAsia="Times New Roman" w:hAnsi="Arial" w:cs="Arial"/>
          <w:b/>
          <w:bCs/>
          <w:sz w:val="24"/>
          <w:szCs w:val="24"/>
          <w:lang w:val="en-GB" w:eastAsia="en-GB"/>
        </w:rPr>
        <w:tab/>
        <w:t>1</w:t>
      </w:r>
      <w:r w:rsidRPr="00686AE1">
        <w:rPr>
          <w:rFonts w:ascii="Arial" w:eastAsia="Times New Roman" w:hAnsi="Arial" w:cs="Arial"/>
          <w:b/>
          <w:bCs/>
          <w:sz w:val="24"/>
          <w:szCs w:val="24"/>
          <w:vertAlign w:val="superscript"/>
          <w:lang w:val="en-GB" w:eastAsia="en-GB"/>
        </w:rPr>
        <w:t>st</w:t>
      </w:r>
      <w:r w:rsidRPr="00686AE1">
        <w:rPr>
          <w:rFonts w:ascii="Arial" w:eastAsia="Times New Roman" w:hAnsi="Arial" w:cs="Arial"/>
          <w:b/>
          <w:bCs/>
          <w:sz w:val="24"/>
          <w:szCs w:val="24"/>
          <w:lang w:val="en-GB" w:eastAsia="en-GB"/>
        </w:rPr>
        <w:t xml:space="preserve">   Respondent</w:t>
      </w:r>
    </w:p>
    <w:p w14:paraId="30324B8B" w14:textId="77777777" w:rsidR="001820F2" w:rsidRPr="00686AE1" w:rsidRDefault="001820F2" w:rsidP="001820F2">
      <w:pPr>
        <w:suppressAutoHyphens/>
        <w:spacing w:after="240" w:line="240" w:lineRule="auto"/>
        <w:jc w:val="both"/>
        <w:rPr>
          <w:rFonts w:ascii="Arial" w:eastAsia="Times New Roman" w:hAnsi="Arial" w:cs="Arial"/>
          <w:b/>
          <w:bCs/>
          <w:sz w:val="24"/>
          <w:szCs w:val="24"/>
          <w:lang w:val="en-GB" w:eastAsia="en-GB"/>
        </w:rPr>
      </w:pPr>
    </w:p>
    <w:p w14:paraId="5FE9BD3F" w14:textId="28253E43" w:rsidR="001820F2" w:rsidRPr="00686AE1" w:rsidRDefault="001820F2" w:rsidP="001820F2">
      <w:pPr>
        <w:suppressAutoHyphens/>
        <w:spacing w:after="240" w:line="240" w:lineRule="auto"/>
        <w:jc w:val="both"/>
        <w:rPr>
          <w:rFonts w:ascii="Arial" w:eastAsia="Times New Roman" w:hAnsi="Arial" w:cs="Arial"/>
          <w:b/>
          <w:bCs/>
          <w:sz w:val="24"/>
          <w:szCs w:val="24"/>
          <w:lang w:val="en-GB" w:eastAsia="en-GB"/>
        </w:rPr>
      </w:pPr>
      <w:r w:rsidRPr="00686AE1">
        <w:rPr>
          <w:rFonts w:ascii="Arial" w:eastAsia="Times New Roman" w:hAnsi="Arial" w:cs="Arial"/>
          <w:b/>
          <w:bCs/>
          <w:sz w:val="24"/>
          <w:szCs w:val="24"/>
          <w:u w:val="single"/>
          <w:lang w:val="en-GB" w:eastAsia="en-GB"/>
        </w:rPr>
        <w:t>LEGAL PRACTICE COUNCIL</w:t>
      </w:r>
      <w:r w:rsidRPr="00686AE1">
        <w:rPr>
          <w:rFonts w:ascii="Arial" w:eastAsia="Times New Roman" w:hAnsi="Arial" w:cs="Arial"/>
          <w:b/>
          <w:bCs/>
          <w:sz w:val="24"/>
          <w:szCs w:val="24"/>
          <w:lang w:val="en-GB" w:eastAsia="en-GB"/>
        </w:rPr>
        <w:tab/>
      </w:r>
      <w:r w:rsidRPr="00686AE1">
        <w:rPr>
          <w:rFonts w:ascii="Arial" w:eastAsia="Times New Roman" w:hAnsi="Arial" w:cs="Arial"/>
          <w:b/>
          <w:bCs/>
          <w:sz w:val="24"/>
          <w:szCs w:val="24"/>
          <w:lang w:val="en-GB" w:eastAsia="en-GB"/>
        </w:rPr>
        <w:tab/>
      </w:r>
      <w:r w:rsidRPr="00686AE1">
        <w:rPr>
          <w:rFonts w:ascii="Arial" w:eastAsia="Times New Roman" w:hAnsi="Arial" w:cs="Arial"/>
          <w:b/>
          <w:bCs/>
          <w:sz w:val="24"/>
          <w:szCs w:val="24"/>
          <w:lang w:val="en-GB" w:eastAsia="en-GB"/>
        </w:rPr>
        <w:tab/>
      </w:r>
      <w:r w:rsidRPr="00686AE1">
        <w:rPr>
          <w:rFonts w:ascii="Arial" w:eastAsia="Times New Roman" w:hAnsi="Arial" w:cs="Arial"/>
          <w:b/>
          <w:bCs/>
          <w:sz w:val="24"/>
          <w:szCs w:val="24"/>
          <w:lang w:val="en-GB" w:eastAsia="en-GB"/>
        </w:rPr>
        <w:tab/>
      </w:r>
      <w:r w:rsidRPr="00686AE1">
        <w:rPr>
          <w:rFonts w:ascii="Arial" w:eastAsia="Times New Roman" w:hAnsi="Arial" w:cs="Arial"/>
          <w:b/>
          <w:bCs/>
          <w:sz w:val="24"/>
          <w:szCs w:val="24"/>
          <w:lang w:val="en-GB" w:eastAsia="en-GB"/>
        </w:rPr>
        <w:tab/>
      </w:r>
      <w:r w:rsidRPr="00686AE1">
        <w:rPr>
          <w:rFonts w:ascii="Arial" w:eastAsia="Times New Roman" w:hAnsi="Arial" w:cs="Arial"/>
          <w:b/>
          <w:bCs/>
          <w:sz w:val="24"/>
          <w:szCs w:val="24"/>
          <w:lang w:val="en-GB" w:eastAsia="en-GB"/>
        </w:rPr>
        <w:tab/>
        <w:t xml:space="preserve"> 2</w:t>
      </w:r>
      <w:r w:rsidRPr="00686AE1">
        <w:rPr>
          <w:rFonts w:ascii="Arial" w:eastAsia="Times New Roman" w:hAnsi="Arial" w:cs="Arial"/>
          <w:b/>
          <w:bCs/>
          <w:sz w:val="24"/>
          <w:szCs w:val="24"/>
          <w:vertAlign w:val="superscript"/>
          <w:lang w:val="en-GB" w:eastAsia="en-GB"/>
        </w:rPr>
        <w:t xml:space="preserve">nd </w:t>
      </w:r>
      <w:r w:rsidRPr="00686AE1">
        <w:rPr>
          <w:rFonts w:ascii="Arial" w:eastAsia="Times New Roman" w:hAnsi="Arial" w:cs="Arial"/>
          <w:b/>
          <w:bCs/>
          <w:sz w:val="24"/>
          <w:szCs w:val="24"/>
          <w:lang w:val="en-GB" w:eastAsia="en-GB"/>
        </w:rPr>
        <w:t>Respondent</w:t>
      </w:r>
    </w:p>
    <w:p w14:paraId="2E8F2AD1" w14:textId="6862BDB0" w:rsidR="00722320" w:rsidRDefault="00777E4D" w:rsidP="0016016C">
      <w:pPr>
        <w:spacing w:line="276" w:lineRule="auto"/>
        <w:rPr>
          <w:rFonts w:ascii="Arial" w:hAnsi="Arial" w:cs="Arial"/>
          <w:sz w:val="24"/>
          <w:szCs w:val="24"/>
          <w:lang w:val="en-GB"/>
        </w:rPr>
      </w:pPr>
      <w:r>
        <w:rPr>
          <w:rFonts w:ascii="Arial" w:hAnsi="Arial" w:cs="Arial"/>
          <w:sz w:val="24"/>
          <w:szCs w:val="24"/>
          <w:lang w:val="en-GB"/>
        </w:rPr>
        <w:t xml:space="preserve"> </w:t>
      </w:r>
    </w:p>
    <w:p w14:paraId="2C091A46" w14:textId="6912FBE7" w:rsidR="00777E4D" w:rsidRPr="0081243C" w:rsidRDefault="00777E4D" w:rsidP="00777E4D">
      <w:pPr>
        <w:spacing w:line="276" w:lineRule="auto"/>
        <w:jc w:val="both"/>
        <w:rPr>
          <w:rFonts w:ascii="Arial" w:hAnsi="Arial" w:cs="Arial"/>
          <w:i/>
          <w:iCs/>
          <w:lang w:val="en-GB"/>
        </w:rPr>
      </w:pPr>
      <w:r w:rsidRPr="0081243C">
        <w:rPr>
          <w:rFonts w:ascii="Arial" w:hAnsi="Arial" w:cs="Arial"/>
          <w:i/>
          <w:iCs/>
          <w:lang w:val="en-GB"/>
        </w:rPr>
        <w:lastRenderedPageBreak/>
        <w:t xml:space="preserve">This judgment is handed down electronically by circulation  to the parties’ representatives by email, publication on the CaseLines System and release to SAFLII.  The date for hand down is </w:t>
      </w:r>
      <w:r w:rsidR="006D18F9" w:rsidRPr="0081243C">
        <w:rPr>
          <w:rFonts w:ascii="Arial" w:hAnsi="Arial" w:cs="Arial"/>
          <w:i/>
          <w:iCs/>
          <w:lang w:val="en-GB"/>
        </w:rPr>
        <w:t>10</w:t>
      </w:r>
      <w:r w:rsidRPr="0081243C">
        <w:rPr>
          <w:rFonts w:ascii="Arial" w:hAnsi="Arial" w:cs="Arial"/>
          <w:i/>
          <w:iCs/>
          <w:lang w:val="en-GB"/>
        </w:rPr>
        <w:t xml:space="preserve"> June 2024.</w:t>
      </w:r>
    </w:p>
    <w:p w14:paraId="77663E7C" w14:textId="77777777" w:rsidR="00777E4D" w:rsidRPr="0081243C" w:rsidRDefault="00777E4D" w:rsidP="00777E4D">
      <w:pPr>
        <w:spacing w:line="276" w:lineRule="auto"/>
        <w:jc w:val="both"/>
        <w:rPr>
          <w:rFonts w:ascii="Arial" w:hAnsi="Arial" w:cs="Arial"/>
          <w:sz w:val="24"/>
          <w:szCs w:val="24"/>
          <w:lang w:val="en-GB"/>
        </w:rPr>
      </w:pPr>
    </w:p>
    <w:p w14:paraId="46A77A47" w14:textId="77777777" w:rsidR="00722320" w:rsidRPr="0081243C" w:rsidRDefault="00722320" w:rsidP="0016016C">
      <w:pPr>
        <w:pBdr>
          <w:top w:val="single" w:sz="12" w:space="1" w:color="auto"/>
          <w:bottom w:val="single" w:sz="12" w:space="1" w:color="auto"/>
        </w:pBdr>
        <w:spacing w:line="276" w:lineRule="auto"/>
        <w:rPr>
          <w:rFonts w:ascii="Arial" w:hAnsi="Arial" w:cs="Arial"/>
          <w:sz w:val="24"/>
          <w:szCs w:val="24"/>
          <w:lang w:val="en-GB"/>
        </w:rPr>
      </w:pPr>
    </w:p>
    <w:p w14:paraId="67C9CB5F" w14:textId="3D3EFFAB" w:rsidR="006D3E7A" w:rsidRPr="0081243C" w:rsidRDefault="006D3E7A" w:rsidP="0016016C">
      <w:pPr>
        <w:pBdr>
          <w:top w:val="single" w:sz="12" w:space="1" w:color="auto"/>
          <w:bottom w:val="single" w:sz="12" w:space="1" w:color="auto"/>
        </w:pBdr>
        <w:spacing w:line="276" w:lineRule="auto"/>
        <w:jc w:val="center"/>
        <w:rPr>
          <w:rFonts w:ascii="Arial" w:hAnsi="Arial" w:cs="Arial"/>
          <w:b/>
          <w:bCs/>
          <w:sz w:val="24"/>
          <w:szCs w:val="24"/>
          <w:lang w:val="en-GB"/>
        </w:rPr>
      </w:pPr>
      <w:r w:rsidRPr="0081243C">
        <w:rPr>
          <w:rFonts w:ascii="Arial" w:hAnsi="Arial" w:cs="Arial"/>
          <w:b/>
          <w:bCs/>
          <w:sz w:val="24"/>
          <w:szCs w:val="24"/>
          <w:lang w:val="en-GB"/>
        </w:rPr>
        <w:t>JUDGMENT</w:t>
      </w:r>
    </w:p>
    <w:p w14:paraId="062E99C7" w14:textId="77777777" w:rsidR="0016016C" w:rsidRPr="0081243C" w:rsidRDefault="0016016C" w:rsidP="0016016C">
      <w:pPr>
        <w:pBdr>
          <w:top w:val="single" w:sz="12" w:space="1" w:color="auto"/>
          <w:bottom w:val="single" w:sz="12" w:space="1" w:color="auto"/>
        </w:pBdr>
        <w:spacing w:line="276" w:lineRule="auto"/>
        <w:jc w:val="center"/>
        <w:rPr>
          <w:rFonts w:ascii="Arial" w:hAnsi="Arial" w:cs="Arial"/>
          <w:b/>
          <w:bCs/>
          <w:sz w:val="24"/>
          <w:szCs w:val="24"/>
          <w:lang w:val="en-GB"/>
        </w:rPr>
      </w:pPr>
    </w:p>
    <w:p w14:paraId="35B2ACD6" w14:textId="77777777" w:rsidR="00722320" w:rsidRPr="0081243C" w:rsidRDefault="00722320" w:rsidP="0016016C">
      <w:pPr>
        <w:spacing w:line="276" w:lineRule="auto"/>
        <w:jc w:val="both"/>
        <w:rPr>
          <w:rFonts w:ascii="Arial" w:hAnsi="Arial" w:cs="Arial"/>
          <w:sz w:val="24"/>
          <w:szCs w:val="24"/>
          <w:lang w:val="en-GB"/>
        </w:rPr>
      </w:pPr>
    </w:p>
    <w:p w14:paraId="6B3C8120" w14:textId="23313A61" w:rsidR="006D3E7A" w:rsidRPr="0081243C" w:rsidRDefault="006D3E7A" w:rsidP="005E0FB1">
      <w:pPr>
        <w:spacing w:line="480" w:lineRule="auto"/>
        <w:jc w:val="both"/>
        <w:rPr>
          <w:rFonts w:ascii="Arial" w:hAnsi="Arial" w:cs="Arial"/>
          <w:sz w:val="24"/>
          <w:szCs w:val="24"/>
          <w:lang w:val="en-GB"/>
        </w:rPr>
      </w:pPr>
      <w:r w:rsidRPr="0081243C">
        <w:rPr>
          <w:rFonts w:ascii="Arial" w:hAnsi="Arial" w:cs="Arial"/>
          <w:sz w:val="24"/>
          <w:szCs w:val="24"/>
          <w:lang w:val="en-GB"/>
        </w:rPr>
        <w:t>ERASMUS AJ</w:t>
      </w:r>
    </w:p>
    <w:p w14:paraId="0B313597" w14:textId="64D42A0C" w:rsidR="00722320" w:rsidRPr="0081243C" w:rsidRDefault="00722320" w:rsidP="005E0FB1">
      <w:pPr>
        <w:spacing w:line="480" w:lineRule="auto"/>
        <w:jc w:val="both"/>
        <w:rPr>
          <w:rFonts w:ascii="Arial" w:hAnsi="Arial" w:cs="Arial"/>
          <w:sz w:val="24"/>
          <w:szCs w:val="24"/>
          <w:lang w:val="en-GB"/>
        </w:rPr>
      </w:pPr>
      <w:r w:rsidRPr="0081243C">
        <w:rPr>
          <w:rFonts w:ascii="Arial" w:hAnsi="Arial" w:cs="Arial"/>
          <w:b/>
          <w:bCs/>
          <w:sz w:val="24"/>
          <w:szCs w:val="24"/>
          <w:u w:val="single"/>
          <w:lang w:val="en-GB"/>
        </w:rPr>
        <w:t>INTRODUCTION</w:t>
      </w:r>
    </w:p>
    <w:p w14:paraId="41736940" w14:textId="77777777" w:rsidR="00722320" w:rsidRPr="0081243C" w:rsidRDefault="00722320" w:rsidP="005E0FB1">
      <w:pPr>
        <w:spacing w:line="480" w:lineRule="auto"/>
        <w:jc w:val="both"/>
        <w:rPr>
          <w:rFonts w:ascii="Arial" w:hAnsi="Arial" w:cs="Arial"/>
          <w:sz w:val="24"/>
          <w:szCs w:val="24"/>
          <w:lang w:val="en-GB"/>
        </w:rPr>
      </w:pPr>
    </w:p>
    <w:p w14:paraId="73FDE12A" w14:textId="4CD7FB29" w:rsidR="005A215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w:t>
      </w:r>
      <w:r w:rsidRPr="0081243C">
        <w:rPr>
          <w:rFonts w:ascii="Arial" w:hAnsi="Arial" w:cs="Arial"/>
          <w:sz w:val="24"/>
          <w:szCs w:val="24"/>
          <w:lang w:val="en-GB"/>
        </w:rPr>
        <w:tab/>
      </w:r>
      <w:r w:rsidR="00986F09" w:rsidRPr="00D87EDD">
        <w:rPr>
          <w:rFonts w:ascii="Arial" w:hAnsi="Arial" w:cs="Arial"/>
          <w:sz w:val="24"/>
          <w:szCs w:val="24"/>
          <w:lang w:val="en-GB"/>
        </w:rPr>
        <w:t>At</w:t>
      </w:r>
      <w:r w:rsidR="00356F41" w:rsidRPr="00D87EDD">
        <w:rPr>
          <w:rFonts w:ascii="Arial" w:hAnsi="Arial" w:cs="Arial"/>
          <w:sz w:val="24"/>
          <w:szCs w:val="24"/>
          <w:lang w:val="en-GB"/>
        </w:rPr>
        <w:t xml:space="preserve"> first glance of the matter, it seems as if the </w:t>
      </w:r>
      <w:r w:rsidR="006D3E7A" w:rsidRPr="00D87EDD">
        <w:rPr>
          <w:rFonts w:ascii="Arial" w:hAnsi="Arial" w:cs="Arial"/>
          <w:sz w:val="24"/>
          <w:szCs w:val="24"/>
          <w:lang w:val="en-GB"/>
        </w:rPr>
        <w:t xml:space="preserve">matter turns on a narrow issue of whether the first and/or second Respondents </w:t>
      </w:r>
      <w:r w:rsidR="00FA6A4D" w:rsidRPr="00D87EDD">
        <w:rPr>
          <w:rFonts w:ascii="Arial" w:hAnsi="Arial" w:cs="Arial"/>
          <w:sz w:val="24"/>
          <w:szCs w:val="24"/>
          <w:lang w:val="en-GB"/>
        </w:rPr>
        <w:t>are</w:t>
      </w:r>
      <w:r w:rsidR="006D3E7A" w:rsidRPr="00D87EDD">
        <w:rPr>
          <w:rFonts w:ascii="Arial" w:hAnsi="Arial" w:cs="Arial"/>
          <w:sz w:val="24"/>
          <w:szCs w:val="24"/>
          <w:lang w:val="en-GB"/>
        </w:rPr>
        <w:t xml:space="preserve"> liable for the amount claimed by the</w:t>
      </w:r>
      <w:r w:rsidR="00356F41" w:rsidRPr="00D87EDD">
        <w:rPr>
          <w:rFonts w:ascii="Arial" w:hAnsi="Arial" w:cs="Arial"/>
          <w:sz w:val="24"/>
          <w:szCs w:val="24"/>
          <w:lang w:val="en-GB"/>
        </w:rPr>
        <w:t xml:space="preserve"> first and second</w:t>
      </w:r>
      <w:r w:rsidR="006D3E7A" w:rsidRPr="00D87EDD">
        <w:rPr>
          <w:rFonts w:ascii="Arial" w:hAnsi="Arial" w:cs="Arial"/>
          <w:sz w:val="24"/>
          <w:szCs w:val="24"/>
          <w:lang w:val="en-GB"/>
        </w:rPr>
        <w:t xml:space="preserve"> Applicant</w:t>
      </w:r>
      <w:r w:rsidR="00FB3AA9" w:rsidRPr="00D87EDD">
        <w:rPr>
          <w:rFonts w:ascii="Arial" w:hAnsi="Arial" w:cs="Arial"/>
          <w:sz w:val="24"/>
          <w:szCs w:val="24"/>
          <w:lang w:val="en-GB"/>
        </w:rPr>
        <w:t>s</w:t>
      </w:r>
      <w:r w:rsidR="00C66761" w:rsidRPr="00D87EDD">
        <w:rPr>
          <w:rFonts w:ascii="Arial" w:hAnsi="Arial" w:cs="Arial"/>
          <w:sz w:val="24"/>
          <w:szCs w:val="24"/>
          <w:lang w:val="en-GB"/>
        </w:rPr>
        <w:t>.</w:t>
      </w:r>
      <w:r w:rsidR="005A2155" w:rsidRPr="00D87EDD">
        <w:rPr>
          <w:rFonts w:ascii="Arial" w:hAnsi="Arial" w:cs="Arial"/>
          <w:sz w:val="24"/>
          <w:szCs w:val="24"/>
          <w:lang w:val="en-GB"/>
        </w:rPr>
        <w:t xml:space="preserve">  </w:t>
      </w:r>
    </w:p>
    <w:p w14:paraId="5376109D" w14:textId="77777777" w:rsidR="005A2155" w:rsidRPr="0081243C" w:rsidRDefault="005A2155" w:rsidP="005A2155">
      <w:pPr>
        <w:pStyle w:val="ListParagraph"/>
        <w:spacing w:line="480" w:lineRule="auto"/>
        <w:jc w:val="both"/>
        <w:rPr>
          <w:rFonts w:ascii="Arial" w:hAnsi="Arial" w:cs="Arial"/>
          <w:sz w:val="24"/>
          <w:szCs w:val="24"/>
          <w:lang w:val="en-GB"/>
        </w:rPr>
      </w:pPr>
    </w:p>
    <w:p w14:paraId="73684B3F" w14:textId="656236CE" w:rsidR="005A215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2.</w:t>
      </w:r>
      <w:r w:rsidRPr="0081243C">
        <w:rPr>
          <w:rFonts w:ascii="Arial" w:hAnsi="Arial" w:cs="Arial"/>
          <w:sz w:val="24"/>
          <w:szCs w:val="24"/>
          <w:lang w:val="en-GB"/>
        </w:rPr>
        <w:tab/>
      </w:r>
      <w:r w:rsidR="005A2155" w:rsidRPr="00D87EDD">
        <w:rPr>
          <w:rFonts w:ascii="Arial" w:hAnsi="Arial" w:cs="Arial"/>
          <w:sz w:val="24"/>
          <w:szCs w:val="24"/>
          <w:lang w:val="en-GB"/>
        </w:rPr>
        <w:t>During March 2021 the first and second Applicants approached the Court for relief in terms of which they, in summary, are seeking an order that: -</w:t>
      </w:r>
    </w:p>
    <w:p w14:paraId="031BA587" w14:textId="77777777" w:rsidR="005A2155" w:rsidRPr="0081243C" w:rsidRDefault="005A2155" w:rsidP="005A2155">
      <w:pPr>
        <w:pStyle w:val="ListParagraph"/>
        <w:spacing w:line="480" w:lineRule="auto"/>
        <w:jc w:val="both"/>
        <w:rPr>
          <w:rFonts w:ascii="Arial" w:hAnsi="Arial" w:cs="Arial"/>
          <w:sz w:val="24"/>
          <w:szCs w:val="24"/>
          <w:lang w:val="en-GB"/>
        </w:rPr>
      </w:pPr>
    </w:p>
    <w:p w14:paraId="56A9E669" w14:textId="71B099D5" w:rsidR="005A2155"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2.1</w:t>
      </w:r>
      <w:r w:rsidRPr="0081243C">
        <w:rPr>
          <w:rFonts w:ascii="Arial" w:hAnsi="Arial" w:cs="Arial"/>
          <w:sz w:val="24"/>
          <w:szCs w:val="24"/>
          <w:lang w:val="en-GB"/>
        </w:rPr>
        <w:tab/>
      </w:r>
      <w:r w:rsidR="005A2155" w:rsidRPr="00D87EDD">
        <w:rPr>
          <w:rFonts w:ascii="Arial" w:hAnsi="Arial" w:cs="Arial"/>
          <w:sz w:val="24"/>
          <w:szCs w:val="24"/>
          <w:lang w:val="en-GB"/>
        </w:rPr>
        <w:t>The first and second Respondents are ordered to make payment in the amount of R1 126 401.27;</w:t>
      </w:r>
    </w:p>
    <w:p w14:paraId="4EF93718" w14:textId="77777777" w:rsidR="005A2155" w:rsidRPr="0081243C" w:rsidRDefault="005A2155" w:rsidP="005A2155">
      <w:pPr>
        <w:pStyle w:val="ListParagraph"/>
        <w:spacing w:line="480" w:lineRule="auto"/>
        <w:ind w:left="1440"/>
        <w:jc w:val="both"/>
        <w:rPr>
          <w:rFonts w:ascii="Arial" w:hAnsi="Arial" w:cs="Arial"/>
          <w:sz w:val="24"/>
          <w:szCs w:val="24"/>
          <w:lang w:val="en-GB"/>
        </w:rPr>
      </w:pPr>
    </w:p>
    <w:p w14:paraId="49C3623E" w14:textId="1981AB4E" w:rsidR="005A2155"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2.2</w:t>
      </w:r>
      <w:r w:rsidRPr="0081243C">
        <w:rPr>
          <w:rFonts w:ascii="Arial" w:hAnsi="Arial" w:cs="Arial"/>
          <w:sz w:val="24"/>
          <w:szCs w:val="24"/>
          <w:lang w:val="en-GB"/>
        </w:rPr>
        <w:tab/>
      </w:r>
      <w:r w:rsidR="005A2155" w:rsidRPr="00D87EDD">
        <w:rPr>
          <w:rFonts w:ascii="Arial" w:hAnsi="Arial" w:cs="Arial"/>
          <w:sz w:val="24"/>
          <w:szCs w:val="24"/>
          <w:lang w:val="en-GB"/>
        </w:rPr>
        <w:t>Interest on the said amount at the rate of 11.27% from 30 September 1999 to date of payment; and</w:t>
      </w:r>
    </w:p>
    <w:p w14:paraId="679CCC26" w14:textId="77777777" w:rsidR="005A2155" w:rsidRPr="0081243C" w:rsidRDefault="005A2155" w:rsidP="005A2155">
      <w:pPr>
        <w:pStyle w:val="ListParagraph"/>
        <w:jc w:val="both"/>
        <w:rPr>
          <w:rFonts w:ascii="Arial" w:hAnsi="Arial" w:cs="Arial"/>
          <w:sz w:val="24"/>
          <w:szCs w:val="24"/>
          <w:lang w:val="en-GB"/>
        </w:rPr>
      </w:pPr>
    </w:p>
    <w:p w14:paraId="6024A97E" w14:textId="5770693B" w:rsidR="005A2155"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lastRenderedPageBreak/>
        <w:t>2.3</w:t>
      </w:r>
      <w:r w:rsidRPr="0081243C">
        <w:rPr>
          <w:rFonts w:ascii="Arial" w:hAnsi="Arial" w:cs="Arial"/>
          <w:sz w:val="24"/>
          <w:szCs w:val="24"/>
          <w:lang w:val="en-GB"/>
        </w:rPr>
        <w:tab/>
      </w:r>
      <w:r w:rsidR="005A2155" w:rsidRPr="00D87EDD">
        <w:rPr>
          <w:rFonts w:ascii="Arial" w:hAnsi="Arial" w:cs="Arial"/>
          <w:sz w:val="24"/>
          <w:szCs w:val="24"/>
          <w:lang w:val="en-GB"/>
        </w:rPr>
        <w:t>That the first and second Respondents be ordered to pay the costs of this application on the scale as between attorney and own client.</w:t>
      </w:r>
    </w:p>
    <w:p w14:paraId="2E568CF5" w14:textId="77777777" w:rsidR="005A2155" w:rsidRPr="0081243C" w:rsidRDefault="005A2155" w:rsidP="005A2155">
      <w:pPr>
        <w:pStyle w:val="ListParagraph"/>
        <w:spacing w:line="480" w:lineRule="auto"/>
        <w:jc w:val="both"/>
        <w:rPr>
          <w:rFonts w:ascii="Arial" w:hAnsi="Arial" w:cs="Arial"/>
          <w:sz w:val="24"/>
          <w:szCs w:val="24"/>
          <w:lang w:val="en-GB"/>
        </w:rPr>
      </w:pPr>
    </w:p>
    <w:p w14:paraId="61F587F8" w14:textId="2B236B8C" w:rsidR="006D3E7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w:t>
      </w:r>
      <w:r w:rsidRPr="0081243C">
        <w:rPr>
          <w:rFonts w:ascii="Arial" w:hAnsi="Arial" w:cs="Arial"/>
          <w:sz w:val="24"/>
          <w:szCs w:val="24"/>
          <w:lang w:val="en-GB"/>
        </w:rPr>
        <w:tab/>
      </w:r>
      <w:r w:rsidR="005A2155" w:rsidRPr="00D87EDD">
        <w:rPr>
          <w:rFonts w:ascii="Arial" w:hAnsi="Arial" w:cs="Arial"/>
          <w:sz w:val="24"/>
          <w:szCs w:val="24"/>
          <w:lang w:val="en-GB"/>
        </w:rPr>
        <w:t xml:space="preserve">The claim by the Applicants pertains to the alleged entrustment of monies which the Applicants allege where entrusted and paid into the trust account of Snijman and Mullen Attorneys over the span of three payments during </w:t>
      </w:r>
      <w:r w:rsidR="00774561" w:rsidRPr="00D87EDD">
        <w:rPr>
          <w:rFonts w:ascii="Arial" w:hAnsi="Arial" w:cs="Arial"/>
          <w:sz w:val="24"/>
          <w:szCs w:val="24"/>
          <w:lang w:val="en-GB"/>
        </w:rPr>
        <w:t>199</w:t>
      </w:r>
      <w:r w:rsidR="005A2155" w:rsidRPr="00D87EDD">
        <w:rPr>
          <w:rFonts w:ascii="Arial" w:hAnsi="Arial" w:cs="Arial"/>
          <w:sz w:val="24"/>
          <w:szCs w:val="24"/>
          <w:lang w:val="en-GB"/>
        </w:rPr>
        <w:t>9.  Attorney Martin Louis Barnard (“</w:t>
      </w:r>
      <w:r w:rsidR="005A2155" w:rsidRPr="00D87EDD">
        <w:rPr>
          <w:rFonts w:ascii="Arial" w:hAnsi="Arial" w:cs="Arial"/>
          <w:i/>
          <w:iCs/>
          <w:sz w:val="24"/>
          <w:szCs w:val="24"/>
          <w:lang w:val="en-GB"/>
        </w:rPr>
        <w:t>Barnard</w:t>
      </w:r>
      <w:r w:rsidR="005A2155" w:rsidRPr="00D87EDD">
        <w:rPr>
          <w:rFonts w:ascii="Arial" w:hAnsi="Arial" w:cs="Arial"/>
          <w:i/>
          <w:iCs/>
          <w:sz w:val="24"/>
          <w:szCs w:val="24"/>
          <w:lang w:val="en-GB"/>
        </w:rPr>
        <w:softHyphen/>
        <w:t>”)</w:t>
      </w:r>
      <w:r w:rsidR="005A2155" w:rsidRPr="00D87EDD">
        <w:rPr>
          <w:rFonts w:ascii="Arial" w:hAnsi="Arial" w:cs="Arial"/>
          <w:sz w:val="24"/>
          <w:szCs w:val="24"/>
          <w:lang w:val="en-GB"/>
        </w:rPr>
        <w:t xml:space="preserve"> was the sole practitioner of the firm at the time in question.</w:t>
      </w:r>
      <w:r w:rsidR="00EE2E92" w:rsidRPr="00D87EDD">
        <w:rPr>
          <w:rFonts w:ascii="Arial" w:hAnsi="Arial" w:cs="Arial"/>
          <w:sz w:val="24"/>
          <w:szCs w:val="24"/>
          <w:lang w:val="en-GB"/>
        </w:rPr>
        <w:t xml:space="preserve">  The monies were allegedly kept in a trust bearing account for the purposes of a sale agreement.  The sale agreement did not materialise.  They are now reclaiming the amount that was allegedly entrusted to Barnard.  </w:t>
      </w:r>
    </w:p>
    <w:p w14:paraId="09078E88" w14:textId="77777777" w:rsidR="00C66761" w:rsidRPr="0081243C" w:rsidRDefault="00C66761" w:rsidP="00C66761">
      <w:pPr>
        <w:pStyle w:val="ListParagraph"/>
        <w:spacing w:line="480" w:lineRule="auto"/>
        <w:jc w:val="both"/>
        <w:rPr>
          <w:rFonts w:ascii="Arial" w:hAnsi="Arial" w:cs="Arial"/>
          <w:sz w:val="24"/>
          <w:szCs w:val="24"/>
          <w:lang w:val="en-GB"/>
        </w:rPr>
      </w:pPr>
    </w:p>
    <w:p w14:paraId="1246BA58" w14:textId="055FE99E" w:rsidR="005A215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w:t>
      </w:r>
      <w:r w:rsidRPr="0081243C">
        <w:rPr>
          <w:rFonts w:ascii="Arial" w:hAnsi="Arial" w:cs="Arial"/>
          <w:sz w:val="24"/>
          <w:szCs w:val="24"/>
          <w:lang w:val="en-GB"/>
        </w:rPr>
        <w:tab/>
      </w:r>
      <w:r w:rsidR="00C66761" w:rsidRPr="00D87EDD">
        <w:rPr>
          <w:rFonts w:ascii="Arial" w:hAnsi="Arial" w:cs="Arial"/>
          <w:sz w:val="24"/>
          <w:szCs w:val="24"/>
          <w:lang w:val="en-GB"/>
        </w:rPr>
        <w:t>The claim in this case</w:t>
      </w:r>
      <w:r w:rsidR="00F52DD8" w:rsidRPr="00D87EDD">
        <w:rPr>
          <w:rFonts w:ascii="Arial" w:hAnsi="Arial" w:cs="Arial"/>
          <w:sz w:val="24"/>
          <w:szCs w:val="24"/>
          <w:lang w:val="en-GB"/>
        </w:rPr>
        <w:t xml:space="preserve"> therefore</w:t>
      </w:r>
      <w:r w:rsidR="00C66761" w:rsidRPr="00D87EDD">
        <w:rPr>
          <w:rFonts w:ascii="Arial" w:hAnsi="Arial" w:cs="Arial"/>
          <w:sz w:val="24"/>
          <w:szCs w:val="24"/>
          <w:lang w:val="en-GB"/>
        </w:rPr>
        <w:t xml:space="preserve"> arose prior to the commencement of the Legal Practice Act  </w:t>
      </w:r>
      <w:r w:rsidR="006C3C41" w:rsidRPr="0081243C">
        <w:rPr>
          <w:rStyle w:val="EndnoteReference"/>
          <w:rFonts w:ascii="Arial" w:hAnsi="Arial" w:cs="Arial"/>
          <w:sz w:val="24"/>
          <w:szCs w:val="24"/>
          <w:lang w:val="en-GB"/>
        </w:rPr>
        <w:endnoteReference w:id="1"/>
      </w:r>
      <w:r w:rsidR="006C3C41" w:rsidRPr="00D87EDD">
        <w:rPr>
          <w:rFonts w:ascii="Arial" w:hAnsi="Arial" w:cs="Arial"/>
          <w:sz w:val="24"/>
          <w:szCs w:val="24"/>
          <w:lang w:val="en-GB"/>
        </w:rPr>
        <w:t xml:space="preserve"> (“</w:t>
      </w:r>
      <w:r w:rsidR="006C3C41" w:rsidRPr="00D87EDD">
        <w:rPr>
          <w:rFonts w:ascii="Arial" w:hAnsi="Arial" w:cs="Arial"/>
          <w:i/>
          <w:iCs/>
          <w:sz w:val="24"/>
          <w:szCs w:val="24"/>
          <w:lang w:val="en-GB"/>
        </w:rPr>
        <w:t>the Legal Practice Act</w:t>
      </w:r>
      <w:r w:rsidR="006C3C41" w:rsidRPr="00D87EDD">
        <w:rPr>
          <w:rFonts w:ascii="Arial" w:hAnsi="Arial" w:cs="Arial"/>
          <w:sz w:val="24"/>
          <w:szCs w:val="24"/>
          <w:lang w:val="en-GB"/>
        </w:rPr>
        <w:t>”).</w:t>
      </w:r>
    </w:p>
    <w:p w14:paraId="20ED699C" w14:textId="77777777" w:rsidR="00F20D59" w:rsidRPr="0081243C" w:rsidRDefault="00F20D59" w:rsidP="005E0FB1">
      <w:pPr>
        <w:pStyle w:val="ListParagraph"/>
        <w:spacing w:line="480" w:lineRule="auto"/>
        <w:jc w:val="both"/>
        <w:rPr>
          <w:rFonts w:ascii="Arial" w:hAnsi="Arial" w:cs="Arial"/>
          <w:sz w:val="24"/>
          <w:szCs w:val="24"/>
          <w:lang w:val="en-GB"/>
        </w:rPr>
      </w:pPr>
    </w:p>
    <w:p w14:paraId="7998830D" w14:textId="0CC40353" w:rsidR="003B4A2E"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w:t>
      </w:r>
      <w:r w:rsidRPr="0081243C">
        <w:rPr>
          <w:rFonts w:ascii="Arial" w:hAnsi="Arial" w:cs="Arial"/>
          <w:sz w:val="24"/>
          <w:szCs w:val="24"/>
          <w:lang w:val="en-GB"/>
        </w:rPr>
        <w:tab/>
      </w:r>
      <w:r w:rsidR="00C442A5" w:rsidRPr="00D87EDD">
        <w:rPr>
          <w:rFonts w:ascii="Arial" w:hAnsi="Arial" w:cs="Arial"/>
          <w:sz w:val="24"/>
          <w:szCs w:val="24"/>
          <w:lang w:val="en-GB"/>
        </w:rPr>
        <w:t>The</w:t>
      </w:r>
      <w:r w:rsidR="00F95038" w:rsidRPr="00D87EDD">
        <w:rPr>
          <w:rFonts w:ascii="Arial" w:hAnsi="Arial" w:cs="Arial"/>
          <w:sz w:val="24"/>
          <w:szCs w:val="24"/>
          <w:lang w:val="en-GB"/>
        </w:rPr>
        <w:t xml:space="preserve"> first and second</w:t>
      </w:r>
      <w:r w:rsidR="00C442A5" w:rsidRPr="00D87EDD">
        <w:rPr>
          <w:rFonts w:ascii="Arial" w:hAnsi="Arial" w:cs="Arial"/>
          <w:sz w:val="24"/>
          <w:szCs w:val="24"/>
          <w:lang w:val="en-GB"/>
        </w:rPr>
        <w:t xml:space="preserve"> Applicants indicated that the matter should be decided under the provisions of the Attorneys Act</w:t>
      </w:r>
      <w:r w:rsidR="00321E59" w:rsidRPr="00D87EDD">
        <w:rPr>
          <w:rFonts w:ascii="Arial" w:hAnsi="Arial" w:cs="Arial"/>
          <w:sz w:val="24"/>
          <w:szCs w:val="24"/>
          <w:lang w:val="en-GB"/>
        </w:rPr>
        <w:t xml:space="preserve"> </w:t>
      </w:r>
      <w:r w:rsidR="00356F41" w:rsidRPr="0081243C">
        <w:rPr>
          <w:rStyle w:val="EndnoteReference"/>
          <w:rFonts w:ascii="Arial" w:hAnsi="Arial" w:cs="Arial"/>
          <w:sz w:val="24"/>
          <w:szCs w:val="24"/>
          <w:lang w:val="en-GB"/>
        </w:rPr>
        <w:endnoteReference w:id="2"/>
      </w:r>
      <w:r w:rsidR="00321E59" w:rsidRPr="00D87EDD">
        <w:rPr>
          <w:rFonts w:ascii="Arial" w:hAnsi="Arial" w:cs="Arial"/>
          <w:sz w:val="24"/>
          <w:szCs w:val="24"/>
          <w:lang w:val="en-GB"/>
        </w:rPr>
        <w:t xml:space="preserve"> (“</w:t>
      </w:r>
      <w:r w:rsidR="00321E59" w:rsidRPr="00D87EDD">
        <w:rPr>
          <w:rFonts w:ascii="Arial" w:hAnsi="Arial" w:cs="Arial"/>
          <w:i/>
          <w:iCs/>
          <w:sz w:val="24"/>
          <w:szCs w:val="24"/>
          <w:lang w:val="en-GB"/>
        </w:rPr>
        <w:t>the Attorneys Act</w:t>
      </w:r>
      <w:r w:rsidR="00321E59" w:rsidRPr="00D87EDD">
        <w:rPr>
          <w:rFonts w:ascii="Arial" w:hAnsi="Arial" w:cs="Arial"/>
          <w:sz w:val="24"/>
          <w:szCs w:val="24"/>
          <w:lang w:val="en-GB"/>
        </w:rPr>
        <w:t>”),</w:t>
      </w:r>
      <w:r w:rsidR="00356F41" w:rsidRPr="00D87EDD">
        <w:rPr>
          <w:rFonts w:ascii="Arial" w:hAnsi="Arial" w:cs="Arial"/>
          <w:sz w:val="24"/>
          <w:szCs w:val="24"/>
          <w:lang w:val="en-GB"/>
        </w:rPr>
        <w:t xml:space="preserve"> </w:t>
      </w:r>
      <w:r w:rsidR="00C442A5" w:rsidRPr="00D87EDD">
        <w:rPr>
          <w:rFonts w:ascii="Arial" w:hAnsi="Arial" w:cs="Arial"/>
          <w:sz w:val="24"/>
          <w:szCs w:val="24"/>
          <w:lang w:val="en-GB"/>
        </w:rPr>
        <w:t>read together with the provisions of section 39 (2) of the Constitution, 1996</w:t>
      </w:r>
      <w:r w:rsidR="003B4A2E" w:rsidRPr="00D87EDD">
        <w:rPr>
          <w:rFonts w:ascii="Arial" w:hAnsi="Arial" w:cs="Arial"/>
          <w:sz w:val="24"/>
          <w:szCs w:val="24"/>
          <w:lang w:val="en-GB"/>
        </w:rPr>
        <w:t xml:space="preserve"> (“</w:t>
      </w:r>
      <w:r w:rsidR="003B4A2E" w:rsidRPr="00D87EDD">
        <w:rPr>
          <w:rFonts w:ascii="Arial" w:hAnsi="Arial" w:cs="Arial"/>
          <w:i/>
          <w:iCs/>
          <w:sz w:val="24"/>
          <w:szCs w:val="24"/>
          <w:lang w:val="en-GB"/>
        </w:rPr>
        <w:t>the Constitution</w:t>
      </w:r>
      <w:r w:rsidR="003B4A2E" w:rsidRPr="00D87EDD">
        <w:rPr>
          <w:rFonts w:ascii="Arial" w:hAnsi="Arial" w:cs="Arial"/>
          <w:sz w:val="24"/>
          <w:szCs w:val="24"/>
          <w:lang w:val="en-GB"/>
        </w:rPr>
        <w:t>”)</w:t>
      </w:r>
      <w:r w:rsidR="00C442A5" w:rsidRPr="00D87EDD">
        <w:rPr>
          <w:rFonts w:ascii="Arial" w:hAnsi="Arial" w:cs="Arial"/>
          <w:sz w:val="24"/>
          <w:szCs w:val="24"/>
          <w:lang w:val="en-GB"/>
        </w:rPr>
        <w:t xml:space="preserve">. The </w:t>
      </w:r>
      <w:r w:rsidR="00356F41" w:rsidRPr="00D87EDD">
        <w:rPr>
          <w:rFonts w:ascii="Arial" w:hAnsi="Arial" w:cs="Arial"/>
          <w:sz w:val="24"/>
          <w:szCs w:val="24"/>
          <w:lang w:val="en-GB"/>
        </w:rPr>
        <w:t>Attorney’s</w:t>
      </w:r>
      <w:r w:rsidR="00C442A5" w:rsidRPr="00D87EDD">
        <w:rPr>
          <w:rFonts w:ascii="Arial" w:hAnsi="Arial" w:cs="Arial"/>
          <w:sz w:val="24"/>
          <w:szCs w:val="24"/>
          <w:lang w:val="en-GB"/>
        </w:rPr>
        <w:t xml:space="preserve"> Act has been repealed by the Legal Practice Act</w:t>
      </w:r>
      <w:r w:rsidR="003E6D4A" w:rsidRPr="00D87EDD">
        <w:rPr>
          <w:rFonts w:ascii="Arial" w:hAnsi="Arial" w:cs="Arial"/>
          <w:sz w:val="24"/>
          <w:szCs w:val="24"/>
          <w:lang w:val="en-GB"/>
        </w:rPr>
        <w:t>,</w:t>
      </w:r>
      <w:r w:rsidR="00F95038" w:rsidRPr="00D87EDD">
        <w:rPr>
          <w:rFonts w:ascii="Arial" w:hAnsi="Arial" w:cs="Arial"/>
          <w:sz w:val="24"/>
          <w:szCs w:val="24"/>
          <w:lang w:val="en-GB"/>
        </w:rPr>
        <w:t xml:space="preserve"> </w:t>
      </w:r>
      <w:r w:rsidR="00C442A5" w:rsidRPr="00D87EDD">
        <w:rPr>
          <w:rFonts w:ascii="Arial" w:hAnsi="Arial" w:cs="Arial"/>
          <w:sz w:val="24"/>
          <w:szCs w:val="24"/>
          <w:lang w:val="en-GB"/>
        </w:rPr>
        <w:t xml:space="preserve">which came into operation on 1 November 2018.  </w:t>
      </w:r>
    </w:p>
    <w:p w14:paraId="6AE890D1" w14:textId="77777777" w:rsidR="003B4A2E" w:rsidRPr="0081243C" w:rsidRDefault="003B4A2E" w:rsidP="005E0FB1">
      <w:pPr>
        <w:pStyle w:val="ListParagraph"/>
        <w:jc w:val="both"/>
        <w:rPr>
          <w:rFonts w:ascii="Arial" w:hAnsi="Arial" w:cs="Arial"/>
          <w:sz w:val="24"/>
          <w:szCs w:val="24"/>
          <w:lang w:val="en-GB"/>
        </w:rPr>
      </w:pPr>
    </w:p>
    <w:p w14:paraId="06946F46" w14:textId="3EA1C5CD" w:rsidR="00DB4F2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w:t>
      </w:r>
      <w:r w:rsidRPr="0081243C">
        <w:rPr>
          <w:rFonts w:ascii="Arial" w:hAnsi="Arial" w:cs="Arial"/>
          <w:sz w:val="24"/>
          <w:szCs w:val="24"/>
          <w:lang w:val="en-GB"/>
        </w:rPr>
        <w:tab/>
      </w:r>
      <w:r w:rsidR="00C442A5" w:rsidRPr="00D87EDD">
        <w:rPr>
          <w:rFonts w:ascii="Arial" w:hAnsi="Arial" w:cs="Arial"/>
          <w:sz w:val="24"/>
          <w:szCs w:val="24"/>
          <w:lang w:val="en-GB"/>
        </w:rPr>
        <w:t xml:space="preserve">The </w:t>
      </w:r>
      <w:r w:rsidR="003B4A2E" w:rsidRPr="00D87EDD">
        <w:rPr>
          <w:rFonts w:ascii="Arial" w:hAnsi="Arial" w:cs="Arial"/>
          <w:sz w:val="24"/>
          <w:szCs w:val="24"/>
          <w:lang w:val="en-GB"/>
        </w:rPr>
        <w:t xml:space="preserve">Legal Practice Act </w:t>
      </w:r>
      <w:r w:rsidR="00C442A5" w:rsidRPr="00D87EDD">
        <w:rPr>
          <w:rFonts w:ascii="Arial" w:hAnsi="Arial" w:cs="Arial"/>
          <w:sz w:val="24"/>
          <w:szCs w:val="24"/>
          <w:lang w:val="en-GB"/>
        </w:rPr>
        <w:t>does not have retroactive effect, and claims</w:t>
      </w:r>
      <w:r w:rsidR="006C3C41" w:rsidRPr="00D87EDD">
        <w:rPr>
          <w:rFonts w:ascii="Arial" w:hAnsi="Arial" w:cs="Arial"/>
          <w:sz w:val="24"/>
          <w:szCs w:val="24"/>
          <w:lang w:val="en-GB"/>
        </w:rPr>
        <w:t xml:space="preserve"> against</w:t>
      </w:r>
      <w:r w:rsidR="00C442A5" w:rsidRPr="00D87EDD">
        <w:rPr>
          <w:rFonts w:ascii="Arial" w:hAnsi="Arial" w:cs="Arial"/>
          <w:sz w:val="24"/>
          <w:szCs w:val="24"/>
          <w:lang w:val="en-GB"/>
        </w:rPr>
        <w:t xml:space="preserve"> the Legal Practitioner’s Fidelity Fund (“</w:t>
      </w:r>
      <w:r w:rsidR="00C442A5" w:rsidRPr="00D87EDD">
        <w:rPr>
          <w:rFonts w:ascii="Arial" w:hAnsi="Arial" w:cs="Arial"/>
          <w:i/>
          <w:iCs/>
          <w:sz w:val="24"/>
          <w:szCs w:val="24"/>
          <w:lang w:val="en-GB"/>
        </w:rPr>
        <w:t>the LPFF</w:t>
      </w:r>
      <w:r w:rsidR="00C442A5" w:rsidRPr="00D87EDD">
        <w:rPr>
          <w:rFonts w:ascii="Arial" w:hAnsi="Arial" w:cs="Arial"/>
          <w:sz w:val="24"/>
          <w:szCs w:val="24"/>
          <w:lang w:val="en-GB"/>
        </w:rPr>
        <w:t xml:space="preserve">”) arising before 1 November 2018, </w:t>
      </w:r>
      <w:r w:rsidR="00C442A5" w:rsidRPr="00D87EDD">
        <w:rPr>
          <w:rFonts w:ascii="Arial" w:hAnsi="Arial" w:cs="Arial"/>
          <w:sz w:val="24"/>
          <w:szCs w:val="24"/>
          <w:lang w:val="en-GB"/>
        </w:rPr>
        <w:lastRenderedPageBreak/>
        <w:t>are to be determined in terms of the Attorneys Act.</w:t>
      </w:r>
      <w:r w:rsidR="001077D6" w:rsidRPr="00D87EDD">
        <w:rPr>
          <w:rFonts w:ascii="Arial" w:hAnsi="Arial" w:cs="Arial"/>
          <w:sz w:val="24"/>
          <w:szCs w:val="24"/>
          <w:lang w:val="en-GB"/>
        </w:rPr>
        <w:t xml:space="preserve"> </w:t>
      </w:r>
      <w:r w:rsidR="00F95038" w:rsidRPr="00D87EDD">
        <w:rPr>
          <w:rFonts w:ascii="Arial" w:hAnsi="Arial" w:cs="Arial"/>
          <w:sz w:val="24"/>
          <w:szCs w:val="24"/>
          <w:lang w:val="en-GB"/>
        </w:rPr>
        <w:t xml:space="preserve">  This is not a contentious issue.  </w:t>
      </w:r>
    </w:p>
    <w:p w14:paraId="4AF76303" w14:textId="77777777" w:rsidR="005A2155" w:rsidRPr="0081243C" w:rsidRDefault="005A2155" w:rsidP="005A2155">
      <w:pPr>
        <w:pStyle w:val="ListParagraph"/>
        <w:rPr>
          <w:rFonts w:ascii="Arial" w:hAnsi="Arial" w:cs="Arial"/>
          <w:sz w:val="24"/>
          <w:szCs w:val="24"/>
          <w:lang w:val="en-GB"/>
        </w:rPr>
      </w:pPr>
    </w:p>
    <w:p w14:paraId="7A9F43C2" w14:textId="2C9ED6B4" w:rsidR="005A215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7.</w:t>
      </w:r>
      <w:r w:rsidRPr="0081243C">
        <w:rPr>
          <w:rFonts w:ascii="Arial" w:hAnsi="Arial" w:cs="Arial"/>
          <w:sz w:val="24"/>
          <w:szCs w:val="24"/>
          <w:lang w:val="en-GB"/>
        </w:rPr>
        <w:tab/>
      </w:r>
      <w:r w:rsidR="005A2155" w:rsidRPr="00D87EDD">
        <w:rPr>
          <w:rFonts w:ascii="Arial" w:hAnsi="Arial" w:cs="Arial"/>
          <w:sz w:val="24"/>
          <w:szCs w:val="24"/>
          <w:lang w:val="en-GB"/>
        </w:rPr>
        <w:t>Therefore, since the claim by the first and second Applicants arose prior to the commencement of the Legal Practice Act, the claim is to be de</w:t>
      </w:r>
      <w:r w:rsidR="008E48D0" w:rsidRPr="00D87EDD">
        <w:rPr>
          <w:rFonts w:ascii="Arial" w:hAnsi="Arial" w:cs="Arial"/>
          <w:sz w:val="24"/>
          <w:szCs w:val="24"/>
          <w:lang w:val="en-GB"/>
        </w:rPr>
        <w:t>a</w:t>
      </w:r>
      <w:r w:rsidR="005A2155" w:rsidRPr="00D87EDD">
        <w:rPr>
          <w:rFonts w:ascii="Arial" w:hAnsi="Arial" w:cs="Arial"/>
          <w:sz w:val="24"/>
          <w:szCs w:val="24"/>
          <w:lang w:val="en-GB"/>
        </w:rPr>
        <w:t xml:space="preserve">lt with substantively in terms of the provisions of the Attorneys Act.  This, again, is not disputed by the first and/or second Respondents.  </w:t>
      </w:r>
    </w:p>
    <w:p w14:paraId="372816D6" w14:textId="77777777" w:rsidR="00F20D59" w:rsidRPr="0081243C" w:rsidRDefault="00F20D59" w:rsidP="005E0FB1">
      <w:pPr>
        <w:pStyle w:val="ListParagraph"/>
        <w:jc w:val="both"/>
        <w:rPr>
          <w:rFonts w:ascii="Arial" w:hAnsi="Arial" w:cs="Arial"/>
          <w:sz w:val="24"/>
          <w:szCs w:val="24"/>
          <w:lang w:val="en-GB"/>
        </w:rPr>
      </w:pPr>
    </w:p>
    <w:p w14:paraId="69EF68CE" w14:textId="77777777" w:rsidR="00F20D59" w:rsidRPr="0081243C" w:rsidRDefault="00F20D59" w:rsidP="005E0FB1">
      <w:pPr>
        <w:pStyle w:val="ListParagraph"/>
        <w:jc w:val="both"/>
        <w:rPr>
          <w:rFonts w:ascii="Arial" w:hAnsi="Arial" w:cs="Arial"/>
          <w:sz w:val="24"/>
          <w:szCs w:val="24"/>
          <w:lang w:val="en-GB"/>
        </w:rPr>
      </w:pPr>
    </w:p>
    <w:p w14:paraId="06958F12" w14:textId="77777777" w:rsidR="00AD776D" w:rsidRPr="0081243C" w:rsidRDefault="00AD776D" w:rsidP="005E0FB1">
      <w:pPr>
        <w:pStyle w:val="ListParagraph"/>
        <w:spacing w:line="480" w:lineRule="auto"/>
        <w:jc w:val="both"/>
        <w:rPr>
          <w:rFonts w:ascii="Arial" w:hAnsi="Arial" w:cs="Arial"/>
          <w:sz w:val="24"/>
          <w:szCs w:val="24"/>
          <w:lang w:val="en-GB"/>
        </w:rPr>
      </w:pPr>
    </w:p>
    <w:p w14:paraId="6AD890EE" w14:textId="4BAB8DCD" w:rsidR="00AF56E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w:t>
      </w:r>
      <w:r w:rsidRPr="0081243C">
        <w:rPr>
          <w:rFonts w:ascii="Arial" w:hAnsi="Arial" w:cs="Arial"/>
          <w:sz w:val="24"/>
          <w:szCs w:val="24"/>
          <w:lang w:val="en-GB"/>
        </w:rPr>
        <w:tab/>
      </w:r>
      <w:r w:rsidR="00AD776D" w:rsidRPr="00D87EDD">
        <w:rPr>
          <w:rFonts w:ascii="Arial" w:hAnsi="Arial" w:cs="Arial"/>
          <w:sz w:val="24"/>
          <w:szCs w:val="24"/>
          <w:lang w:val="en-GB"/>
        </w:rPr>
        <w:t>Both the Attorney Fidelity Fund Board</w:t>
      </w:r>
      <w:r w:rsidR="00454784" w:rsidRPr="00D87EDD">
        <w:rPr>
          <w:rFonts w:ascii="Arial" w:hAnsi="Arial" w:cs="Arial"/>
          <w:sz w:val="24"/>
          <w:szCs w:val="24"/>
          <w:lang w:val="en-GB"/>
        </w:rPr>
        <w:t xml:space="preserve"> (the first Respondent)</w:t>
      </w:r>
      <w:r w:rsidR="00AD776D" w:rsidRPr="00D87EDD">
        <w:rPr>
          <w:rFonts w:ascii="Arial" w:hAnsi="Arial" w:cs="Arial"/>
          <w:sz w:val="24"/>
          <w:szCs w:val="24"/>
          <w:lang w:val="en-GB"/>
        </w:rPr>
        <w:t xml:space="preserve"> </w:t>
      </w:r>
      <w:r w:rsidR="003E6D4A" w:rsidRPr="00D87EDD">
        <w:rPr>
          <w:rFonts w:ascii="Arial" w:hAnsi="Arial" w:cs="Arial"/>
          <w:sz w:val="24"/>
          <w:szCs w:val="24"/>
          <w:lang w:val="en-GB"/>
        </w:rPr>
        <w:t>and</w:t>
      </w:r>
      <w:r w:rsidR="00AD776D" w:rsidRPr="00D87EDD">
        <w:rPr>
          <w:rFonts w:ascii="Arial" w:hAnsi="Arial" w:cs="Arial"/>
          <w:sz w:val="24"/>
          <w:szCs w:val="24"/>
          <w:lang w:val="en-GB"/>
        </w:rPr>
        <w:t xml:space="preserve"> the South African Legal Practice Council</w:t>
      </w:r>
      <w:r w:rsidR="00454784" w:rsidRPr="00D87EDD">
        <w:rPr>
          <w:rFonts w:ascii="Arial" w:hAnsi="Arial" w:cs="Arial"/>
          <w:sz w:val="24"/>
          <w:szCs w:val="24"/>
          <w:lang w:val="en-GB"/>
        </w:rPr>
        <w:t xml:space="preserve"> (the second Respondent)</w:t>
      </w:r>
      <w:r w:rsidR="00AD776D" w:rsidRPr="00D87EDD">
        <w:rPr>
          <w:rFonts w:ascii="Arial" w:hAnsi="Arial" w:cs="Arial"/>
          <w:sz w:val="24"/>
          <w:szCs w:val="24"/>
          <w:lang w:val="en-GB"/>
        </w:rPr>
        <w:t xml:space="preserve"> opposed the claim.</w:t>
      </w:r>
      <w:r w:rsidR="001846B5" w:rsidRPr="00D87EDD">
        <w:rPr>
          <w:rFonts w:ascii="Arial" w:hAnsi="Arial" w:cs="Arial"/>
          <w:sz w:val="24"/>
          <w:szCs w:val="24"/>
          <w:lang w:val="en-GB"/>
        </w:rPr>
        <w:t xml:space="preserve">  The first and second Respondents dispute the factual and legal premises underpinning the relief sough</w:t>
      </w:r>
      <w:r w:rsidR="00774561" w:rsidRPr="00D87EDD">
        <w:rPr>
          <w:rFonts w:ascii="Arial" w:hAnsi="Arial" w:cs="Arial"/>
          <w:sz w:val="24"/>
          <w:szCs w:val="24"/>
          <w:lang w:val="en-GB"/>
        </w:rPr>
        <w:t>t</w:t>
      </w:r>
      <w:r w:rsidR="001846B5" w:rsidRPr="00D87EDD">
        <w:rPr>
          <w:rFonts w:ascii="Arial" w:hAnsi="Arial" w:cs="Arial"/>
          <w:sz w:val="24"/>
          <w:szCs w:val="24"/>
          <w:lang w:val="en-GB"/>
        </w:rPr>
        <w:t xml:space="preserve"> by the first and second Applicants.</w:t>
      </w:r>
      <w:r w:rsidR="00AD776D" w:rsidRPr="00D87EDD">
        <w:rPr>
          <w:rFonts w:ascii="Arial" w:hAnsi="Arial" w:cs="Arial"/>
          <w:sz w:val="24"/>
          <w:szCs w:val="24"/>
          <w:lang w:val="en-GB"/>
        </w:rPr>
        <w:t xml:space="preserve"> </w:t>
      </w:r>
      <w:r w:rsidR="001846B5" w:rsidRPr="00D87EDD">
        <w:rPr>
          <w:rFonts w:ascii="Arial" w:hAnsi="Arial" w:cs="Arial"/>
          <w:sz w:val="24"/>
          <w:szCs w:val="24"/>
          <w:lang w:val="en-GB"/>
        </w:rPr>
        <w:t xml:space="preserve">  I will later herein deal with the basis of opposition by the respective Respondents.  </w:t>
      </w:r>
      <w:r w:rsidR="00AD776D" w:rsidRPr="00D87EDD">
        <w:rPr>
          <w:rFonts w:ascii="Arial" w:hAnsi="Arial" w:cs="Arial"/>
          <w:sz w:val="24"/>
          <w:szCs w:val="24"/>
          <w:lang w:val="en-GB"/>
        </w:rPr>
        <w:t xml:space="preserve"> </w:t>
      </w:r>
    </w:p>
    <w:p w14:paraId="113CDBA5" w14:textId="77777777" w:rsidR="00AF56E5" w:rsidRPr="0081243C" w:rsidRDefault="00AF56E5" w:rsidP="00AF56E5">
      <w:pPr>
        <w:pStyle w:val="ListParagraph"/>
        <w:rPr>
          <w:rFonts w:ascii="Arial" w:hAnsi="Arial" w:cs="Arial"/>
          <w:sz w:val="24"/>
          <w:szCs w:val="24"/>
          <w:lang w:val="en-GB"/>
        </w:rPr>
      </w:pPr>
    </w:p>
    <w:p w14:paraId="2C124FD9" w14:textId="2189CE73" w:rsidR="0076662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w:t>
      </w:r>
      <w:r w:rsidRPr="0081243C">
        <w:rPr>
          <w:rFonts w:ascii="Arial" w:hAnsi="Arial" w:cs="Arial"/>
          <w:sz w:val="24"/>
          <w:szCs w:val="24"/>
          <w:lang w:val="en-GB"/>
        </w:rPr>
        <w:tab/>
      </w:r>
      <w:r w:rsidR="00AF56E5" w:rsidRPr="00D87EDD">
        <w:rPr>
          <w:rFonts w:ascii="Arial" w:hAnsi="Arial" w:cs="Arial"/>
          <w:sz w:val="24"/>
          <w:szCs w:val="24"/>
          <w:lang w:val="en-GB"/>
        </w:rPr>
        <w:t xml:space="preserve">This is in a nutshell the case before me.  </w:t>
      </w:r>
      <w:r w:rsidR="00874E3D" w:rsidRPr="00D87EDD">
        <w:rPr>
          <w:rFonts w:ascii="Arial" w:hAnsi="Arial" w:cs="Arial"/>
          <w:sz w:val="24"/>
          <w:szCs w:val="24"/>
          <w:lang w:val="en-GB"/>
        </w:rPr>
        <w:t>As stated, it</w:t>
      </w:r>
      <w:r w:rsidR="00AF56E5" w:rsidRPr="00D87EDD">
        <w:rPr>
          <w:rFonts w:ascii="Arial" w:hAnsi="Arial" w:cs="Arial"/>
          <w:sz w:val="24"/>
          <w:szCs w:val="24"/>
          <w:lang w:val="en-GB"/>
        </w:rPr>
        <w:t xml:space="preserve"> seems like a crisp issue.</w:t>
      </w:r>
      <w:r w:rsidR="00AD776D" w:rsidRPr="00D87EDD">
        <w:rPr>
          <w:rFonts w:ascii="Arial" w:hAnsi="Arial" w:cs="Arial"/>
          <w:sz w:val="24"/>
          <w:szCs w:val="24"/>
          <w:lang w:val="en-GB"/>
        </w:rPr>
        <w:t xml:space="preserve"> </w:t>
      </w:r>
    </w:p>
    <w:p w14:paraId="7AEA2F4D" w14:textId="77777777" w:rsidR="00AF56E5" w:rsidRPr="0081243C" w:rsidRDefault="00AF56E5" w:rsidP="00AF56E5">
      <w:pPr>
        <w:pStyle w:val="ListParagraph"/>
        <w:rPr>
          <w:rFonts w:ascii="Arial" w:hAnsi="Arial" w:cs="Arial"/>
          <w:sz w:val="24"/>
          <w:szCs w:val="24"/>
          <w:lang w:val="en-GB"/>
        </w:rPr>
      </w:pPr>
    </w:p>
    <w:p w14:paraId="21C0C249" w14:textId="1CAB006F" w:rsidR="00AF56E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w:t>
      </w:r>
      <w:r w:rsidRPr="0081243C">
        <w:rPr>
          <w:rFonts w:ascii="Arial" w:hAnsi="Arial" w:cs="Arial"/>
          <w:sz w:val="24"/>
          <w:szCs w:val="24"/>
          <w:lang w:val="en-GB"/>
        </w:rPr>
        <w:tab/>
      </w:r>
      <w:r w:rsidR="00AF56E5" w:rsidRPr="00D87EDD">
        <w:rPr>
          <w:rFonts w:ascii="Arial" w:hAnsi="Arial" w:cs="Arial"/>
          <w:sz w:val="24"/>
          <w:szCs w:val="24"/>
          <w:lang w:val="en-GB"/>
        </w:rPr>
        <w:t xml:space="preserve">There are, however, several point </w:t>
      </w:r>
      <w:r w:rsidR="00AF56E5" w:rsidRPr="00D87EDD">
        <w:rPr>
          <w:rFonts w:ascii="Arial" w:hAnsi="Arial" w:cs="Arial"/>
          <w:i/>
          <w:iCs/>
          <w:sz w:val="24"/>
          <w:szCs w:val="24"/>
          <w:lang w:val="en-GB"/>
        </w:rPr>
        <w:t xml:space="preserve">in limine </w:t>
      </w:r>
      <w:r w:rsidR="00AF56E5" w:rsidRPr="00D87EDD">
        <w:rPr>
          <w:rFonts w:ascii="Arial" w:hAnsi="Arial" w:cs="Arial"/>
          <w:sz w:val="24"/>
          <w:szCs w:val="24"/>
          <w:lang w:val="en-GB"/>
        </w:rPr>
        <w:t>arguments raised by the first and/or second Respondents that first need to be addressed.</w:t>
      </w:r>
      <w:r w:rsidR="00A96224" w:rsidRPr="00D87EDD">
        <w:rPr>
          <w:rFonts w:ascii="Arial" w:hAnsi="Arial" w:cs="Arial"/>
          <w:sz w:val="24"/>
          <w:szCs w:val="24"/>
          <w:lang w:val="en-GB"/>
        </w:rPr>
        <w:t xml:space="preserve">  In consideration of these issues, it is clear that the questions before me are not crisp.</w:t>
      </w:r>
      <w:r w:rsidR="00AF56E5" w:rsidRPr="00D87EDD">
        <w:rPr>
          <w:rFonts w:ascii="Arial" w:hAnsi="Arial" w:cs="Arial"/>
          <w:sz w:val="24"/>
          <w:szCs w:val="24"/>
          <w:lang w:val="en-GB"/>
        </w:rPr>
        <w:t xml:space="preserve">  I intend to deal with these point</w:t>
      </w:r>
      <w:r w:rsidR="00930853" w:rsidRPr="00D87EDD">
        <w:rPr>
          <w:rFonts w:ascii="Arial" w:hAnsi="Arial" w:cs="Arial"/>
          <w:sz w:val="24"/>
          <w:szCs w:val="24"/>
          <w:lang w:val="en-GB"/>
        </w:rPr>
        <w:t>s</w:t>
      </w:r>
      <w:r w:rsidR="00A96224" w:rsidRPr="00D87EDD">
        <w:rPr>
          <w:rFonts w:ascii="Arial" w:hAnsi="Arial" w:cs="Arial"/>
          <w:sz w:val="24"/>
          <w:szCs w:val="24"/>
          <w:lang w:val="en-GB"/>
        </w:rPr>
        <w:t xml:space="preserve"> </w:t>
      </w:r>
      <w:r w:rsidR="00A96224" w:rsidRPr="00D87EDD">
        <w:rPr>
          <w:rFonts w:ascii="Arial" w:hAnsi="Arial" w:cs="Arial"/>
          <w:i/>
          <w:iCs/>
          <w:sz w:val="24"/>
          <w:szCs w:val="24"/>
          <w:lang w:val="en-GB"/>
        </w:rPr>
        <w:t>in limine</w:t>
      </w:r>
      <w:r w:rsidR="00AF56E5" w:rsidRPr="00D87EDD">
        <w:rPr>
          <w:rFonts w:ascii="Arial" w:hAnsi="Arial" w:cs="Arial"/>
          <w:sz w:val="24"/>
          <w:szCs w:val="24"/>
          <w:lang w:val="en-GB"/>
        </w:rPr>
        <w:t xml:space="preserve"> first.  </w:t>
      </w:r>
    </w:p>
    <w:p w14:paraId="46D2BEF3" w14:textId="77777777" w:rsidR="00766629" w:rsidRPr="0081243C" w:rsidRDefault="00766629" w:rsidP="005E0FB1">
      <w:pPr>
        <w:spacing w:line="480" w:lineRule="auto"/>
        <w:jc w:val="both"/>
        <w:rPr>
          <w:rFonts w:ascii="Arial" w:hAnsi="Arial" w:cs="Arial"/>
          <w:sz w:val="24"/>
          <w:szCs w:val="24"/>
          <w:lang w:val="en-GB"/>
        </w:rPr>
      </w:pPr>
    </w:p>
    <w:p w14:paraId="39F26BB1" w14:textId="77777777" w:rsidR="00116660" w:rsidRPr="0081243C" w:rsidRDefault="00116660" w:rsidP="005E0FB1">
      <w:pPr>
        <w:spacing w:line="480" w:lineRule="auto"/>
        <w:jc w:val="both"/>
        <w:rPr>
          <w:rFonts w:ascii="Arial" w:hAnsi="Arial" w:cs="Arial"/>
          <w:sz w:val="24"/>
          <w:szCs w:val="24"/>
          <w:lang w:val="en-GB"/>
        </w:rPr>
      </w:pPr>
      <w:r w:rsidRPr="0081243C">
        <w:rPr>
          <w:rFonts w:ascii="Arial" w:hAnsi="Arial" w:cs="Arial"/>
          <w:b/>
          <w:bCs/>
          <w:sz w:val="24"/>
          <w:szCs w:val="24"/>
          <w:u w:val="single"/>
          <w:lang w:val="en-GB"/>
        </w:rPr>
        <w:t>ISSUES TO BE DETERMINED</w:t>
      </w:r>
    </w:p>
    <w:p w14:paraId="241A3B19" w14:textId="77777777" w:rsidR="00116660" w:rsidRPr="0081243C" w:rsidRDefault="00116660" w:rsidP="005E0FB1">
      <w:pPr>
        <w:spacing w:line="480" w:lineRule="auto"/>
        <w:jc w:val="both"/>
        <w:rPr>
          <w:rFonts w:ascii="Arial" w:hAnsi="Arial" w:cs="Arial"/>
          <w:sz w:val="24"/>
          <w:szCs w:val="24"/>
          <w:lang w:val="en-GB"/>
        </w:rPr>
      </w:pPr>
    </w:p>
    <w:p w14:paraId="0DDEE368" w14:textId="30CF8C17" w:rsidR="00016598"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w:t>
      </w:r>
      <w:r w:rsidRPr="0081243C">
        <w:rPr>
          <w:rFonts w:ascii="Arial" w:hAnsi="Arial" w:cs="Arial"/>
          <w:sz w:val="24"/>
          <w:szCs w:val="24"/>
          <w:lang w:val="en-GB"/>
        </w:rPr>
        <w:tab/>
      </w:r>
      <w:r w:rsidR="00116660" w:rsidRPr="00D87EDD">
        <w:rPr>
          <w:rFonts w:ascii="Arial" w:hAnsi="Arial" w:cs="Arial"/>
          <w:sz w:val="24"/>
          <w:szCs w:val="24"/>
          <w:lang w:val="en-GB"/>
        </w:rPr>
        <w:t xml:space="preserve">The </w:t>
      </w:r>
      <w:r w:rsidR="006C3C41" w:rsidRPr="00D87EDD">
        <w:rPr>
          <w:rFonts w:ascii="Arial" w:hAnsi="Arial" w:cs="Arial"/>
          <w:sz w:val="24"/>
          <w:szCs w:val="24"/>
          <w:lang w:val="en-GB"/>
        </w:rPr>
        <w:t xml:space="preserve">first question that needs consideration and determination is </w:t>
      </w:r>
      <w:r w:rsidR="00016598" w:rsidRPr="00D87EDD">
        <w:rPr>
          <w:rFonts w:ascii="Arial" w:hAnsi="Arial" w:cs="Arial"/>
          <w:sz w:val="24"/>
          <w:szCs w:val="24"/>
          <w:lang w:val="en-GB"/>
        </w:rPr>
        <w:t>the nature and form in which this application is brought as</w:t>
      </w:r>
      <w:r w:rsidR="005A62A1" w:rsidRPr="00D87EDD">
        <w:rPr>
          <w:rFonts w:ascii="Arial" w:hAnsi="Arial" w:cs="Arial"/>
          <w:sz w:val="24"/>
          <w:szCs w:val="24"/>
          <w:lang w:val="en-GB"/>
        </w:rPr>
        <w:t>.  The second Respondent,</w:t>
      </w:r>
      <w:r w:rsidR="00016598" w:rsidRPr="00D87EDD">
        <w:rPr>
          <w:rFonts w:ascii="Arial" w:hAnsi="Arial" w:cs="Arial"/>
          <w:sz w:val="24"/>
          <w:szCs w:val="24"/>
          <w:lang w:val="en-GB"/>
        </w:rPr>
        <w:t xml:space="preserve"> relying on the case number, this seems to be an interim application.</w:t>
      </w:r>
    </w:p>
    <w:p w14:paraId="0C79B13B" w14:textId="77777777" w:rsidR="00016598" w:rsidRPr="0081243C" w:rsidRDefault="00016598" w:rsidP="00016598">
      <w:pPr>
        <w:pStyle w:val="ListParagraph"/>
        <w:spacing w:line="480" w:lineRule="auto"/>
        <w:jc w:val="both"/>
        <w:rPr>
          <w:rFonts w:ascii="Arial" w:hAnsi="Arial" w:cs="Arial"/>
          <w:sz w:val="24"/>
          <w:szCs w:val="24"/>
          <w:lang w:val="en-GB"/>
        </w:rPr>
      </w:pPr>
    </w:p>
    <w:p w14:paraId="2B0F4799" w14:textId="2DB564F2" w:rsidR="00476D67"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12.</w:t>
      </w:r>
      <w:r w:rsidRPr="0081243C">
        <w:rPr>
          <w:rFonts w:ascii="Arial" w:hAnsi="Arial" w:cs="Arial"/>
          <w:sz w:val="24"/>
          <w:szCs w:val="24"/>
          <w:lang w:val="en-GB"/>
        </w:rPr>
        <w:tab/>
      </w:r>
      <w:r w:rsidR="00016598" w:rsidRPr="00D87EDD">
        <w:rPr>
          <w:rFonts w:ascii="Arial" w:hAnsi="Arial" w:cs="Arial"/>
          <w:sz w:val="24"/>
          <w:szCs w:val="24"/>
          <w:lang w:val="en-GB"/>
        </w:rPr>
        <w:t xml:space="preserve">The second point </w:t>
      </w:r>
      <w:r w:rsidR="00016598" w:rsidRPr="00D87EDD">
        <w:rPr>
          <w:rFonts w:ascii="Arial" w:hAnsi="Arial" w:cs="Arial"/>
          <w:i/>
          <w:iCs/>
          <w:sz w:val="24"/>
          <w:szCs w:val="24"/>
          <w:lang w:val="en-GB"/>
        </w:rPr>
        <w:t>in limine</w:t>
      </w:r>
      <w:r w:rsidR="00016598" w:rsidRPr="00D87EDD">
        <w:rPr>
          <w:rFonts w:ascii="Arial" w:hAnsi="Arial" w:cs="Arial"/>
          <w:sz w:val="24"/>
          <w:szCs w:val="24"/>
          <w:lang w:val="en-GB"/>
        </w:rPr>
        <w:t xml:space="preserve"> that needs consideration is the</w:t>
      </w:r>
      <w:r w:rsidR="00476D67" w:rsidRPr="00D87EDD">
        <w:rPr>
          <w:rFonts w:ascii="Arial" w:hAnsi="Arial" w:cs="Arial"/>
          <w:sz w:val="24"/>
          <w:szCs w:val="24"/>
          <w:lang w:val="en-GB"/>
        </w:rPr>
        <w:t xml:space="preserve"> juristic personality of the first Applicant.  Does the fist Applicant still exist and can it proceed with the claim.</w:t>
      </w:r>
    </w:p>
    <w:p w14:paraId="043A9187" w14:textId="77777777" w:rsidR="00476D67" w:rsidRPr="0081243C" w:rsidRDefault="00476D67" w:rsidP="00476D67">
      <w:pPr>
        <w:pStyle w:val="ListParagraph"/>
        <w:rPr>
          <w:rFonts w:ascii="Arial" w:hAnsi="Arial" w:cs="Arial"/>
          <w:sz w:val="24"/>
          <w:szCs w:val="24"/>
          <w:lang w:val="en-GB"/>
        </w:rPr>
      </w:pPr>
    </w:p>
    <w:p w14:paraId="1D59E0BC" w14:textId="3FF0AADE" w:rsidR="00116660"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13.</w:t>
      </w:r>
      <w:r w:rsidRPr="0081243C">
        <w:rPr>
          <w:rFonts w:ascii="Arial" w:hAnsi="Arial" w:cs="Arial"/>
          <w:sz w:val="24"/>
          <w:szCs w:val="24"/>
          <w:lang w:val="en-GB"/>
        </w:rPr>
        <w:tab/>
      </w:r>
      <w:r w:rsidR="00476D67" w:rsidRPr="00D87EDD">
        <w:rPr>
          <w:rFonts w:ascii="Arial" w:hAnsi="Arial" w:cs="Arial"/>
          <w:sz w:val="24"/>
          <w:szCs w:val="24"/>
          <w:lang w:val="en-GB"/>
        </w:rPr>
        <w:t xml:space="preserve">The third point </w:t>
      </w:r>
      <w:r w:rsidR="00476D67" w:rsidRPr="00D87EDD">
        <w:rPr>
          <w:rFonts w:ascii="Arial" w:hAnsi="Arial" w:cs="Arial"/>
          <w:i/>
          <w:iCs/>
          <w:sz w:val="24"/>
          <w:szCs w:val="24"/>
          <w:lang w:val="en-GB"/>
        </w:rPr>
        <w:t>in limine</w:t>
      </w:r>
      <w:r w:rsidR="00476D67" w:rsidRPr="00D87EDD">
        <w:rPr>
          <w:rFonts w:ascii="Arial" w:hAnsi="Arial" w:cs="Arial"/>
          <w:sz w:val="24"/>
          <w:szCs w:val="24"/>
          <w:lang w:val="en-GB"/>
        </w:rPr>
        <w:t xml:space="preserve"> that needs to be determined, which argument is closely knitted to the second point </w:t>
      </w:r>
      <w:r w:rsidR="00476D67" w:rsidRPr="00D87EDD">
        <w:rPr>
          <w:rFonts w:ascii="Arial" w:hAnsi="Arial" w:cs="Arial"/>
          <w:i/>
          <w:iCs/>
          <w:sz w:val="24"/>
          <w:szCs w:val="24"/>
          <w:lang w:val="en-GB"/>
        </w:rPr>
        <w:t>in limine</w:t>
      </w:r>
      <w:r w:rsidR="00476D67" w:rsidRPr="00D87EDD">
        <w:rPr>
          <w:rFonts w:ascii="Arial" w:hAnsi="Arial" w:cs="Arial"/>
          <w:sz w:val="24"/>
          <w:szCs w:val="24"/>
          <w:lang w:val="en-GB"/>
        </w:rPr>
        <w:t xml:space="preserve"> is the question of the first and second Applicants</w:t>
      </w:r>
      <w:r w:rsidR="00016598" w:rsidRPr="00D87EDD">
        <w:rPr>
          <w:rFonts w:ascii="Arial" w:hAnsi="Arial" w:cs="Arial"/>
          <w:sz w:val="24"/>
          <w:szCs w:val="24"/>
          <w:lang w:val="en-GB"/>
        </w:rPr>
        <w:t xml:space="preserve"> </w:t>
      </w:r>
      <w:r w:rsidR="006C3C41" w:rsidRPr="00D87EDD">
        <w:rPr>
          <w:rFonts w:ascii="Arial" w:hAnsi="Arial" w:cs="Arial"/>
          <w:i/>
          <w:iCs/>
          <w:sz w:val="24"/>
          <w:szCs w:val="24"/>
          <w:lang w:val="en-GB"/>
        </w:rPr>
        <w:t>locus standi</w:t>
      </w:r>
      <w:r w:rsidR="00476D67" w:rsidRPr="00D87EDD">
        <w:rPr>
          <w:rFonts w:ascii="Arial" w:hAnsi="Arial" w:cs="Arial"/>
          <w:sz w:val="24"/>
          <w:szCs w:val="24"/>
          <w:lang w:val="en-GB"/>
        </w:rPr>
        <w:t>.</w:t>
      </w:r>
    </w:p>
    <w:p w14:paraId="42D540E2" w14:textId="77777777" w:rsidR="006C3C41" w:rsidRPr="0081243C" w:rsidRDefault="006C3C41" w:rsidP="006C3C41">
      <w:pPr>
        <w:pStyle w:val="ListParagraph"/>
        <w:spacing w:line="480" w:lineRule="auto"/>
        <w:jc w:val="both"/>
        <w:rPr>
          <w:rFonts w:ascii="Arial" w:hAnsi="Arial" w:cs="Arial"/>
          <w:sz w:val="24"/>
          <w:szCs w:val="24"/>
          <w:lang w:val="en-GB"/>
        </w:rPr>
      </w:pPr>
    </w:p>
    <w:p w14:paraId="2B5EC5AF" w14:textId="539F59BC" w:rsidR="006C3C41"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14.</w:t>
      </w:r>
      <w:r w:rsidRPr="0081243C">
        <w:rPr>
          <w:rFonts w:ascii="Arial" w:hAnsi="Arial" w:cs="Arial"/>
          <w:sz w:val="24"/>
          <w:szCs w:val="24"/>
          <w:lang w:val="en-GB"/>
        </w:rPr>
        <w:tab/>
      </w:r>
      <w:r w:rsidR="006C3C41" w:rsidRPr="00D87EDD">
        <w:rPr>
          <w:rFonts w:ascii="Arial" w:hAnsi="Arial" w:cs="Arial"/>
          <w:sz w:val="24"/>
          <w:szCs w:val="24"/>
          <w:lang w:val="en-GB"/>
        </w:rPr>
        <w:t xml:space="preserve">The </w:t>
      </w:r>
      <w:r w:rsidR="006C2F2A" w:rsidRPr="00D87EDD">
        <w:rPr>
          <w:rFonts w:ascii="Arial" w:hAnsi="Arial" w:cs="Arial"/>
          <w:sz w:val="24"/>
          <w:szCs w:val="24"/>
          <w:lang w:val="en-GB"/>
        </w:rPr>
        <w:t>fourth</w:t>
      </w:r>
      <w:r w:rsidR="006C3C41" w:rsidRPr="00D87EDD">
        <w:rPr>
          <w:rFonts w:ascii="Arial" w:hAnsi="Arial" w:cs="Arial"/>
          <w:sz w:val="24"/>
          <w:szCs w:val="24"/>
          <w:lang w:val="en-GB"/>
        </w:rPr>
        <w:t xml:space="preserve"> point </w:t>
      </w:r>
      <w:r w:rsidR="006C3C41" w:rsidRPr="00D87EDD">
        <w:rPr>
          <w:rFonts w:ascii="Arial" w:hAnsi="Arial" w:cs="Arial"/>
          <w:i/>
          <w:iCs/>
          <w:sz w:val="24"/>
          <w:szCs w:val="24"/>
          <w:lang w:val="en-GB"/>
        </w:rPr>
        <w:t>in limine</w:t>
      </w:r>
      <w:r w:rsidR="006C3C41" w:rsidRPr="00D87EDD">
        <w:rPr>
          <w:rFonts w:ascii="Arial" w:hAnsi="Arial" w:cs="Arial"/>
          <w:sz w:val="24"/>
          <w:szCs w:val="24"/>
          <w:lang w:val="en-GB"/>
        </w:rPr>
        <w:t xml:space="preserve"> that needs determination is the claim by the </w:t>
      </w:r>
      <w:r w:rsidR="001A6BAA" w:rsidRPr="00D87EDD">
        <w:rPr>
          <w:rFonts w:ascii="Arial" w:hAnsi="Arial" w:cs="Arial"/>
          <w:sz w:val="24"/>
          <w:szCs w:val="24"/>
          <w:lang w:val="en-GB"/>
        </w:rPr>
        <w:t>first</w:t>
      </w:r>
      <w:r w:rsidR="006C3C41" w:rsidRPr="00D87EDD">
        <w:rPr>
          <w:rFonts w:ascii="Arial" w:hAnsi="Arial" w:cs="Arial"/>
          <w:sz w:val="24"/>
          <w:szCs w:val="24"/>
          <w:lang w:val="en-GB"/>
        </w:rPr>
        <w:t xml:space="preserve"> Respondent that the claim by the first and second Applicants prescribed.</w:t>
      </w:r>
    </w:p>
    <w:p w14:paraId="0AD790FC" w14:textId="77777777" w:rsidR="006C3C41" w:rsidRPr="0081243C" w:rsidRDefault="006C3C41" w:rsidP="006C3C41">
      <w:pPr>
        <w:pStyle w:val="ListParagraph"/>
        <w:rPr>
          <w:rFonts w:ascii="Arial" w:hAnsi="Arial" w:cs="Arial"/>
          <w:sz w:val="24"/>
          <w:szCs w:val="24"/>
          <w:lang w:val="en-GB"/>
        </w:rPr>
      </w:pPr>
    </w:p>
    <w:p w14:paraId="50BD57A1" w14:textId="3A343CB9" w:rsidR="006C3C41"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15.</w:t>
      </w:r>
      <w:r w:rsidRPr="0081243C">
        <w:rPr>
          <w:rFonts w:ascii="Arial" w:hAnsi="Arial" w:cs="Arial"/>
          <w:sz w:val="24"/>
          <w:szCs w:val="24"/>
          <w:lang w:val="en-GB"/>
        </w:rPr>
        <w:tab/>
      </w:r>
      <w:r w:rsidR="006C2F2A" w:rsidRPr="00D87EDD">
        <w:rPr>
          <w:rFonts w:ascii="Arial" w:hAnsi="Arial" w:cs="Arial"/>
          <w:sz w:val="24"/>
          <w:szCs w:val="24"/>
          <w:lang w:val="en-GB"/>
        </w:rPr>
        <w:t>The fifth aspect that needs attention</w:t>
      </w:r>
      <w:r w:rsidR="0049579C" w:rsidRPr="00D87EDD">
        <w:rPr>
          <w:rFonts w:ascii="Arial" w:hAnsi="Arial" w:cs="Arial"/>
          <w:sz w:val="24"/>
          <w:szCs w:val="24"/>
          <w:lang w:val="en-GB"/>
        </w:rPr>
        <w:t>, it needs to be determined whether the Applicant has established all the requirements of section 26 (a) of the Attorneys Act.</w:t>
      </w:r>
    </w:p>
    <w:p w14:paraId="1C0F5E0C" w14:textId="77777777" w:rsidR="00116660" w:rsidRPr="0093435B" w:rsidRDefault="00116660" w:rsidP="0093435B">
      <w:pPr>
        <w:spacing w:line="480" w:lineRule="auto"/>
        <w:jc w:val="both"/>
        <w:rPr>
          <w:rFonts w:ascii="Arial" w:hAnsi="Arial" w:cs="Arial"/>
          <w:sz w:val="24"/>
          <w:szCs w:val="24"/>
          <w:lang w:val="en-GB"/>
        </w:rPr>
      </w:pPr>
    </w:p>
    <w:p w14:paraId="182C4212" w14:textId="0965D7D6" w:rsidR="008051AA" w:rsidRPr="0081243C" w:rsidRDefault="008051AA" w:rsidP="005E0FB1">
      <w:pPr>
        <w:spacing w:line="480" w:lineRule="auto"/>
        <w:jc w:val="both"/>
        <w:rPr>
          <w:rFonts w:ascii="Arial" w:hAnsi="Arial" w:cs="Arial"/>
          <w:b/>
          <w:bCs/>
          <w:sz w:val="24"/>
          <w:szCs w:val="24"/>
          <w:u w:val="single"/>
          <w:lang w:val="en-GB"/>
        </w:rPr>
      </w:pPr>
      <w:r w:rsidRPr="0081243C">
        <w:rPr>
          <w:rFonts w:ascii="Arial" w:hAnsi="Arial" w:cs="Arial"/>
          <w:b/>
          <w:bCs/>
          <w:sz w:val="24"/>
          <w:szCs w:val="24"/>
          <w:u w:val="single"/>
          <w:lang w:val="en-GB"/>
        </w:rPr>
        <w:t>FACTUAL MATRIX</w:t>
      </w:r>
      <w:r w:rsidR="00A352AB" w:rsidRPr="0081243C">
        <w:rPr>
          <w:rFonts w:ascii="Arial" w:hAnsi="Arial" w:cs="Arial"/>
          <w:b/>
          <w:bCs/>
          <w:sz w:val="24"/>
          <w:szCs w:val="24"/>
          <w:u w:val="single"/>
          <w:lang w:val="en-GB"/>
        </w:rPr>
        <w:t xml:space="preserve"> ON WHICH THE FIRST AND SECOND APPLICANTS APPROACH THE COURT</w:t>
      </w:r>
    </w:p>
    <w:p w14:paraId="74EF5DFD" w14:textId="77777777" w:rsidR="008051AA" w:rsidRPr="0081243C" w:rsidRDefault="008051AA" w:rsidP="005E0FB1">
      <w:pPr>
        <w:spacing w:line="480" w:lineRule="auto"/>
        <w:jc w:val="both"/>
        <w:rPr>
          <w:rFonts w:ascii="Arial" w:hAnsi="Arial" w:cs="Arial"/>
          <w:sz w:val="24"/>
          <w:szCs w:val="24"/>
          <w:lang w:val="en-GB"/>
        </w:rPr>
      </w:pPr>
    </w:p>
    <w:p w14:paraId="0533010C" w14:textId="3C01834A" w:rsidR="008051A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lastRenderedPageBreak/>
        <w:t>16.</w:t>
      </w:r>
      <w:r w:rsidRPr="0081243C">
        <w:rPr>
          <w:rFonts w:ascii="Arial" w:hAnsi="Arial" w:cs="Arial"/>
          <w:sz w:val="24"/>
          <w:szCs w:val="24"/>
          <w:lang w:val="en-GB"/>
        </w:rPr>
        <w:tab/>
      </w:r>
      <w:r w:rsidR="008051AA" w:rsidRPr="00D87EDD">
        <w:rPr>
          <w:rFonts w:ascii="Arial" w:hAnsi="Arial" w:cs="Arial"/>
          <w:sz w:val="24"/>
          <w:szCs w:val="24"/>
          <w:lang w:val="en-GB"/>
        </w:rPr>
        <w:t>Attorney Martin Louis Barnard (“</w:t>
      </w:r>
      <w:r w:rsidR="008051AA" w:rsidRPr="00D87EDD">
        <w:rPr>
          <w:rFonts w:ascii="Arial" w:hAnsi="Arial" w:cs="Arial"/>
          <w:i/>
          <w:iCs/>
          <w:sz w:val="24"/>
          <w:szCs w:val="24"/>
          <w:lang w:val="en-GB"/>
        </w:rPr>
        <w:t>Barnard</w:t>
      </w:r>
      <w:r w:rsidR="008051AA" w:rsidRPr="00D87EDD">
        <w:rPr>
          <w:rFonts w:ascii="Arial" w:hAnsi="Arial" w:cs="Arial"/>
          <w:i/>
          <w:iCs/>
          <w:sz w:val="24"/>
          <w:szCs w:val="24"/>
          <w:lang w:val="en-GB"/>
        </w:rPr>
        <w:softHyphen/>
        <w:t xml:space="preserve">”) </w:t>
      </w:r>
      <w:r w:rsidR="008051AA" w:rsidRPr="00D87EDD">
        <w:rPr>
          <w:rFonts w:ascii="Arial" w:hAnsi="Arial" w:cs="Arial"/>
          <w:sz w:val="24"/>
          <w:szCs w:val="24"/>
          <w:lang w:val="en-GB"/>
        </w:rPr>
        <w:t>practised as a single attorney under the name and style of Snijman and Mullen Attorneys.  This firm was situated in Vereeniging.</w:t>
      </w:r>
    </w:p>
    <w:p w14:paraId="5B4F3EC0" w14:textId="77777777" w:rsidR="00027D22" w:rsidRPr="0081243C" w:rsidRDefault="00027D22" w:rsidP="005E0FB1">
      <w:pPr>
        <w:pStyle w:val="ListParagraph"/>
        <w:spacing w:line="480" w:lineRule="auto"/>
        <w:jc w:val="both"/>
        <w:rPr>
          <w:rFonts w:ascii="Arial" w:hAnsi="Arial" w:cs="Arial"/>
          <w:sz w:val="24"/>
          <w:szCs w:val="24"/>
          <w:lang w:val="en-GB"/>
        </w:rPr>
      </w:pPr>
    </w:p>
    <w:p w14:paraId="39DE2393" w14:textId="75E43CB7" w:rsidR="00F71E3C" w:rsidRPr="00D87EDD" w:rsidRDefault="00D87EDD" w:rsidP="00D87EDD">
      <w:pPr>
        <w:spacing w:before="240" w:line="480" w:lineRule="auto"/>
        <w:ind w:left="720" w:hanging="720"/>
        <w:jc w:val="both"/>
        <w:rPr>
          <w:rFonts w:ascii="Arial" w:hAnsi="Arial" w:cs="Arial"/>
          <w:sz w:val="24"/>
          <w:szCs w:val="24"/>
          <w:lang w:val="en-GB"/>
        </w:rPr>
      </w:pPr>
      <w:r w:rsidRPr="0081243C">
        <w:rPr>
          <w:rFonts w:ascii="Arial" w:hAnsi="Arial" w:cs="Arial"/>
          <w:sz w:val="24"/>
          <w:szCs w:val="24"/>
          <w:lang w:val="en-GB"/>
        </w:rPr>
        <w:t>17.</w:t>
      </w:r>
      <w:r w:rsidRPr="0081243C">
        <w:rPr>
          <w:rFonts w:ascii="Arial" w:hAnsi="Arial" w:cs="Arial"/>
          <w:sz w:val="24"/>
          <w:szCs w:val="24"/>
          <w:lang w:val="en-GB"/>
        </w:rPr>
        <w:tab/>
      </w:r>
      <w:r w:rsidR="008051AA" w:rsidRPr="00D87EDD">
        <w:rPr>
          <w:rFonts w:ascii="Arial" w:hAnsi="Arial" w:cs="Arial"/>
          <w:sz w:val="24"/>
          <w:szCs w:val="24"/>
          <w:lang w:val="en-GB"/>
        </w:rPr>
        <w:t>According to the Applicant</w:t>
      </w:r>
      <w:r w:rsidR="001846B5" w:rsidRPr="00D87EDD">
        <w:rPr>
          <w:rFonts w:ascii="Arial" w:hAnsi="Arial" w:cs="Arial"/>
          <w:sz w:val="24"/>
          <w:szCs w:val="24"/>
          <w:lang w:val="en-GB"/>
        </w:rPr>
        <w:t>s</w:t>
      </w:r>
      <w:r w:rsidR="008051AA" w:rsidRPr="00D87EDD">
        <w:rPr>
          <w:rFonts w:ascii="Arial" w:hAnsi="Arial" w:cs="Arial"/>
          <w:sz w:val="24"/>
          <w:szCs w:val="24"/>
          <w:lang w:val="en-GB"/>
        </w:rPr>
        <w:t>,</w:t>
      </w:r>
      <w:r w:rsidR="00F71E3C" w:rsidRPr="00D87EDD">
        <w:rPr>
          <w:rFonts w:ascii="Arial" w:hAnsi="Arial" w:cs="Arial"/>
          <w:sz w:val="24"/>
          <w:szCs w:val="24"/>
          <w:lang w:val="en-GB"/>
        </w:rPr>
        <w:t xml:space="preserve"> a</w:t>
      </w:r>
      <w:r w:rsidR="00027D22" w:rsidRPr="00D87EDD">
        <w:rPr>
          <w:rFonts w:ascii="Arial" w:hAnsi="Arial" w:cs="Arial"/>
          <w:sz w:val="24"/>
          <w:szCs w:val="24"/>
          <w:lang w:val="en-GB"/>
        </w:rPr>
        <w:t xml:space="preserve">n amount </w:t>
      </w:r>
      <w:r w:rsidR="00F71E3C" w:rsidRPr="00D87EDD">
        <w:rPr>
          <w:rFonts w:ascii="Arial" w:hAnsi="Arial" w:cs="Arial"/>
          <w:sz w:val="24"/>
          <w:szCs w:val="24"/>
          <w:lang w:val="en-GB"/>
        </w:rPr>
        <w:t>of R1 000.00 was paid into the trust account of Snijman and Mullen Attorneys</w:t>
      </w:r>
      <w:r w:rsidR="00027D22" w:rsidRPr="00D87EDD">
        <w:rPr>
          <w:rFonts w:ascii="Arial" w:hAnsi="Arial" w:cs="Arial"/>
          <w:sz w:val="24"/>
          <w:szCs w:val="24"/>
          <w:lang w:val="en-GB"/>
        </w:rPr>
        <w:t xml:space="preserve"> on 22</w:t>
      </w:r>
      <w:r w:rsidR="008051AA" w:rsidRPr="00D87EDD">
        <w:rPr>
          <w:rFonts w:ascii="Arial" w:hAnsi="Arial" w:cs="Arial"/>
          <w:sz w:val="24"/>
          <w:szCs w:val="24"/>
          <w:lang w:val="en-GB"/>
        </w:rPr>
        <w:t xml:space="preserve"> June 1999</w:t>
      </w:r>
      <w:r w:rsidR="00027D22" w:rsidRPr="00D87EDD">
        <w:rPr>
          <w:rFonts w:ascii="Arial" w:hAnsi="Arial" w:cs="Arial"/>
          <w:sz w:val="24"/>
          <w:szCs w:val="24"/>
          <w:lang w:val="en-GB"/>
        </w:rPr>
        <w:t>.</w:t>
      </w:r>
      <w:r w:rsidR="00F71E3C" w:rsidRPr="00D87EDD">
        <w:rPr>
          <w:rFonts w:ascii="Arial" w:hAnsi="Arial" w:cs="Arial"/>
          <w:sz w:val="24"/>
          <w:szCs w:val="24"/>
          <w:lang w:val="en-GB"/>
        </w:rPr>
        <w:t xml:space="preserve">  In an attempt to proof that the payment </w:t>
      </w:r>
      <w:r w:rsidR="006C3C41" w:rsidRPr="00D87EDD">
        <w:rPr>
          <w:rFonts w:ascii="Arial" w:hAnsi="Arial" w:cs="Arial"/>
          <w:sz w:val="24"/>
          <w:szCs w:val="24"/>
          <w:lang w:val="en-GB"/>
        </w:rPr>
        <w:t>was</w:t>
      </w:r>
      <w:r w:rsidR="00F71E3C" w:rsidRPr="00D87EDD">
        <w:rPr>
          <w:rFonts w:ascii="Arial" w:hAnsi="Arial" w:cs="Arial"/>
          <w:sz w:val="24"/>
          <w:szCs w:val="24"/>
          <w:lang w:val="en-GB"/>
        </w:rPr>
        <w:t xml:space="preserve"> indeed made,</w:t>
      </w:r>
      <w:r w:rsidR="00027D22" w:rsidRPr="00D87EDD">
        <w:rPr>
          <w:rFonts w:ascii="Arial" w:hAnsi="Arial" w:cs="Arial"/>
          <w:sz w:val="24"/>
          <w:szCs w:val="24"/>
          <w:lang w:val="en-GB"/>
        </w:rPr>
        <w:t xml:space="preserve"> a</w:t>
      </w:r>
      <w:r w:rsidR="00F71E3C" w:rsidRPr="00D87EDD">
        <w:rPr>
          <w:rFonts w:ascii="Arial" w:hAnsi="Arial" w:cs="Arial"/>
          <w:sz w:val="24"/>
          <w:szCs w:val="24"/>
          <w:lang w:val="en-GB"/>
        </w:rPr>
        <w:t xml:space="preserve"> receipt</w:t>
      </w:r>
      <w:r w:rsidR="006C3C41" w:rsidRPr="00D87EDD">
        <w:rPr>
          <w:rFonts w:ascii="Arial" w:hAnsi="Arial" w:cs="Arial"/>
          <w:sz w:val="24"/>
          <w:szCs w:val="24"/>
          <w:lang w:val="en-GB"/>
        </w:rPr>
        <w:t xml:space="preserve"> dated 22 June 1999</w:t>
      </w:r>
      <w:r w:rsidR="00F71E3C" w:rsidRPr="00D87EDD">
        <w:rPr>
          <w:rFonts w:ascii="Arial" w:hAnsi="Arial" w:cs="Arial"/>
          <w:sz w:val="24"/>
          <w:szCs w:val="24"/>
          <w:lang w:val="en-GB"/>
        </w:rPr>
        <w:t xml:space="preserve"> </w:t>
      </w:r>
      <w:r w:rsidR="00027D22" w:rsidRPr="00D87EDD">
        <w:rPr>
          <w:rFonts w:ascii="Arial" w:hAnsi="Arial" w:cs="Arial"/>
          <w:sz w:val="24"/>
          <w:szCs w:val="24"/>
          <w:lang w:val="en-GB"/>
        </w:rPr>
        <w:t>was</w:t>
      </w:r>
      <w:r w:rsidR="00F71E3C" w:rsidRPr="00D87EDD">
        <w:rPr>
          <w:rFonts w:ascii="Arial" w:hAnsi="Arial" w:cs="Arial"/>
          <w:sz w:val="24"/>
          <w:szCs w:val="24"/>
          <w:lang w:val="en-GB"/>
        </w:rPr>
        <w:t xml:space="preserve"> attached</w:t>
      </w:r>
      <w:r w:rsidR="00027D22" w:rsidRPr="00D87EDD">
        <w:rPr>
          <w:rFonts w:ascii="Arial" w:hAnsi="Arial" w:cs="Arial"/>
          <w:sz w:val="24"/>
          <w:szCs w:val="24"/>
          <w:lang w:val="en-GB"/>
        </w:rPr>
        <w:t xml:space="preserve"> to the founding affidavit</w:t>
      </w:r>
      <w:r w:rsidR="006C3C41" w:rsidRPr="00D87EDD">
        <w:rPr>
          <w:rFonts w:ascii="Arial" w:hAnsi="Arial" w:cs="Arial"/>
          <w:sz w:val="24"/>
          <w:szCs w:val="24"/>
          <w:lang w:val="en-GB"/>
        </w:rPr>
        <w:t xml:space="preserve"> (“</w:t>
      </w:r>
      <w:r w:rsidR="006C3C41" w:rsidRPr="00D87EDD">
        <w:rPr>
          <w:rFonts w:ascii="Arial" w:hAnsi="Arial" w:cs="Arial"/>
          <w:i/>
          <w:iCs/>
          <w:sz w:val="24"/>
          <w:szCs w:val="24"/>
          <w:lang w:val="en-GB"/>
        </w:rPr>
        <w:t>the 22 June 1999 receipt”</w:t>
      </w:r>
      <w:r w:rsidR="006C3C41" w:rsidRPr="00D87EDD">
        <w:rPr>
          <w:rFonts w:ascii="Arial" w:hAnsi="Arial" w:cs="Arial"/>
          <w:sz w:val="24"/>
          <w:szCs w:val="24"/>
          <w:lang w:val="en-GB"/>
        </w:rPr>
        <w:t>)</w:t>
      </w:r>
      <w:r w:rsidR="00F71E3C" w:rsidRPr="00D87EDD">
        <w:rPr>
          <w:rFonts w:ascii="Arial" w:hAnsi="Arial" w:cs="Arial"/>
          <w:sz w:val="24"/>
          <w:szCs w:val="24"/>
          <w:lang w:val="en-GB"/>
        </w:rPr>
        <w:t>.  The detail</w:t>
      </w:r>
      <w:r w:rsidR="00027D22" w:rsidRPr="00D87EDD">
        <w:rPr>
          <w:rFonts w:ascii="Arial" w:hAnsi="Arial" w:cs="Arial"/>
          <w:sz w:val="24"/>
          <w:szCs w:val="24"/>
          <w:lang w:val="en-GB"/>
        </w:rPr>
        <w:t>s</w:t>
      </w:r>
      <w:r w:rsidR="00F71E3C" w:rsidRPr="00D87EDD">
        <w:rPr>
          <w:rFonts w:ascii="Arial" w:hAnsi="Arial" w:cs="Arial"/>
          <w:sz w:val="24"/>
          <w:szCs w:val="24"/>
          <w:lang w:val="en-GB"/>
        </w:rPr>
        <w:t xml:space="preserve"> on the</w:t>
      </w:r>
      <w:r w:rsidR="006C3C41" w:rsidRPr="00D87EDD">
        <w:rPr>
          <w:rFonts w:ascii="Arial" w:hAnsi="Arial" w:cs="Arial"/>
          <w:sz w:val="24"/>
          <w:szCs w:val="24"/>
          <w:lang w:val="en-GB"/>
        </w:rPr>
        <w:t xml:space="preserve"> 22 June 1999</w:t>
      </w:r>
      <w:r w:rsidR="00F71E3C" w:rsidRPr="00D87EDD">
        <w:rPr>
          <w:rFonts w:ascii="Arial" w:hAnsi="Arial" w:cs="Arial"/>
          <w:sz w:val="24"/>
          <w:szCs w:val="24"/>
          <w:lang w:val="en-GB"/>
        </w:rPr>
        <w:t xml:space="preserve"> receipt, in summary, are as follows:</w:t>
      </w:r>
      <w:r w:rsidR="006C3C41" w:rsidRPr="00D87EDD">
        <w:rPr>
          <w:rFonts w:ascii="Arial" w:hAnsi="Arial" w:cs="Arial"/>
          <w:sz w:val="24"/>
          <w:szCs w:val="24"/>
          <w:lang w:val="en-GB"/>
        </w:rPr>
        <w:t xml:space="preserve">  The receipt number of the </w:t>
      </w:r>
      <w:r w:rsidR="00F71E3C" w:rsidRPr="00D87EDD">
        <w:rPr>
          <w:rFonts w:ascii="Arial" w:hAnsi="Arial" w:cs="Arial"/>
          <w:sz w:val="24"/>
          <w:szCs w:val="24"/>
          <w:lang w:val="en-GB"/>
        </w:rPr>
        <w:t>22 June 1999</w:t>
      </w:r>
      <w:r w:rsidR="006C3C41" w:rsidRPr="00D87EDD">
        <w:rPr>
          <w:rFonts w:ascii="Arial" w:hAnsi="Arial" w:cs="Arial"/>
          <w:sz w:val="24"/>
          <w:szCs w:val="24"/>
          <w:lang w:val="en-GB"/>
        </w:rPr>
        <w:t xml:space="preserve"> receipt is</w:t>
      </w:r>
      <w:r w:rsidR="00F71E3C" w:rsidRPr="00D87EDD">
        <w:rPr>
          <w:rFonts w:ascii="Arial" w:hAnsi="Arial" w:cs="Arial"/>
          <w:sz w:val="24"/>
          <w:szCs w:val="24"/>
          <w:lang w:val="en-GB"/>
        </w:rPr>
        <w:t xml:space="preserve"> 037016</w:t>
      </w:r>
      <w:r w:rsidR="006C3C41" w:rsidRPr="00D87EDD">
        <w:rPr>
          <w:rFonts w:ascii="Arial" w:hAnsi="Arial" w:cs="Arial"/>
          <w:sz w:val="24"/>
          <w:szCs w:val="24"/>
          <w:lang w:val="en-GB"/>
        </w:rPr>
        <w:t xml:space="preserve">.  An amount of R1 000.00 was received from </w:t>
      </w:r>
      <w:r w:rsidR="00F71E3C" w:rsidRPr="00D87EDD">
        <w:rPr>
          <w:rFonts w:ascii="Arial" w:hAnsi="Arial" w:cs="Arial"/>
          <w:sz w:val="24"/>
          <w:szCs w:val="24"/>
          <w:lang w:val="en-GB"/>
        </w:rPr>
        <w:t>Makhafola Kaflins Transport in re “</w:t>
      </w:r>
      <w:r w:rsidR="00F71E3C" w:rsidRPr="00D87EDD">
        <w:rPr>
          <w:rFonts w:ascii="Arial" w:hAnsi="Arial" w:cs="Arial"/>
          <w:i/>
          <w:iCs/>
          <w:sz w:val="24"/>
          <w:szCs w:val="24"/>
          <w:lang w:val="en-GB"/>
        </w:rPr>
        <w:t>Makhafola Khaflins A3 Seal A Deal CC”</w:t>
      </w:r>
      <w:r w:rsidR="00027D22" w:rsidRPr="00D87EDD">
        <w:rPr>
          <w:rFonts w:ascii="Arial" w:hAnsi="Arial" w:cs="Arial"/>
          <w:i/>
          <w:iCs/>
          <w:sz w:val="24"/>
          <w:szCs w:val="24"/>
          <w:lang w:val="en-GB"/>
        </w:rPr>
        <w:t>.</w:t>
      </w:r>
    </w:p>
    <w:p w14:paraId="03DCBCEA" w14:textId="77777777" w:rsidR="00027D22" w:rsidRPr="0081243C" w:rsidRDefault="00027D22" w:rsidP="005E0FB1">
      <w:pPr>
        <w:pStyle w:val="ListParagraph"/>
        <w:jc w:val="both"/>
        <w:rPr>
          <w:rFonts w:ascii="Arial" w:hAnsi="Arial" w:cs="Arial"/>
          <w:sz w:val="24"/>
          <w:szCs w:val="24"/>
          <w:lang w:val="en-GB"/>
        </w:rPr>
      </w:pPr>
    </w:p>
    <w:p w14:paraId="2225167F" w14:textId="46B548C3" w:rsidR="00027D2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18.</w:t>
      </w:r>
      <w:r w:rsidRPr="0081243C">
        <w:rPr>
          <w:rFonts w:ascii="Arial" w:hAnsi="Arial" w:cs="Arial"/>
          <w:sz w:val="24"/>
          <w:szCs w:val="24"/>
          <w:lang w:val="en-GB"/>
        </w:rPr>
        <w:tab/>
      </w:r>
      <w:r w:rsidR="00027D22" w:rsidRPr="00D87EDD">
        <w:rPr>
          <w:rFonts w:ascii="Arial" w:hAnsi="Arial" w:cs="Arial"/>
          <w:sz w:val="24"/>
          <w:szCs w:val="24"/>
          <w:lang w:val="en-GB"/>
        </w:rPr>
        <w:t>The Applicants further stat</w:t>
      </w:r>
      <w:r w:rsidR="00AE218D" w:rsidRPr="00D87EDD">
        <w:rPr>
          <w:rFonts w:ascii="Arial" w:hAnsi="Arial" w:cs="Arial"/>
          <w:sz w:val="24"/>
          <w:szCs w:val="24"/>
          <w:lang w:val="en-GB"/>
        </w:rPr>
        <w:t xml:space="preserve">ed </w:t>
      </w:r>
      <w:r w:rsidR="00027D22" w:rsidRPr="00D87EDD">
        <w:rPr>
          <w:rFonts w:ascii="Arial" w:hAnsi="Arial" w:cs="Arial"/>
          <w:sz w:val="24"/>
          <w:szCs w:val="24"/>
          <w:lang w:val="en-GB"/>
        </w:rPr>
        <w:t xml:space="preserve">that on 23 June 1999 a further amount of R500 000.00 was paid into the trust account of Snijman and Mullen Attorneys.  The Applicants attached </w:t>
      </w:r>
      <w:r w:rsidR="00CD4324" w:rsidRPr="00D87EDD">
        <w:rPr>
          <w:rFonts w:ascii="Arial" w:hAnsi="Arial" w:cs="Arial"/>
          <w:sz w:val="24"/>
          <w:szCs w:val="24"/>
          <w:lang w:val="en-GB"/>
        </w:rPr>
        <w:t>a further</w:t>
      </w:r>
      <w:r w:rsidR="00027D22" w:rsidRPr="00D87EDD">
        <w:rPr>
          <w:rFonts w:ascii="Arial" w:hAnsi="Arial" w:cs="Arial"/>
          <w:sz w:val="24"/>
          <w:szCs w:val="24"/>
          <w:lang w:val="en-GB"/>
        </w:rPr>
        <w:t xml:space="preserve"> receipt</w:t>
      </w:r>
      <w:r w:rsidR="006C3C41" w:rsidRPr="00D87EDD">
        <w:rPr>
          <w:rFonts w:ascii="Arial" w:hAnsi="Arial" w:cs="Arial"/>
          <w:sz w:val="24"/>
          <w:szCs w:val="24"/>
          <w:lang w:val="en-GB"/>
        </w:rPr>
        <w:t xml:space="preserve"> (“</w:t>
      </w:r>
      <w:r w:rsidR="006C3C41" w:rsidRPr="00D87EDD">
        <w:rPr>
          <w:rFonts w:ascii="Arial" w:hAnsi="Arial" w:cs="Arial"/>
          <w:i/>
          <w:iCs/>
          <w:sz w:val="24"/>
          <w:szCs w:val="24"/>
          <w:lang w:val="en-GB"/>
        </w:rPr>
        <w:t>the 23 June 1999 receipt</w:t>
      </w:r>
      <w:r w:rsidR="006C3C41" w:rsidRPr="00D87EDD">
        <w:rPr>
          <w:rFonts w:ascii="Arial" w:hAnsi="Arial" w:cs="Arial"/>
          <w:sz w:val="24"/>
          <w:szCs w:val="24"/>
          <w:lang w:val="en-GB"/>
        </w:rPr>
        <w:t>”)</w:t>
      </w:r>
      <w:r w:rsidR="00027D22" w:rsidRPr="00D87EDD">
        <w:rPr>
          <w:rFonts w:ascii="Arial" w:hAnsi="Arial" w:cs="Arial"/>
          <w:sz w:val="24"/>
          <w:szCs w:val="24"/>
          <w:lang w:val="en-GB"/>
        </w:rPr>
        <w:t xml:space="preserve"> and the  23 June 1999</w:t>
      </w:r>
      <w:r w:rsidR="006C3C41" w:rsidRPr="00D87EDD">
        <w:rPr>
          <w:rFonts w:ascii="Arial" w:hAnsi="Arial" w:cs="Arial"/>
          <w:sz w:val="24"/>
          <w:szCs w:val="24"/>
          <w:lang w:val="en-GB"/>
        </w:rPr>
        <w:t xml:space="preserve"> receipt</w:t>
      </w:r>
      <w:r w:rsidR="00027D22" w:rsidRPr="00D87EDD">
        <w:rPr>
          <w:rFonts w:ascii="Arial" w:hAnsi="Arial" w:cs="Arial"/>
          <w:sz w:val="24"/>
          <w:szCs w:val="24"/>
          <w:lang w:val="en-GB"/>
        </w:rPr>
        <w:t xml:space="preserve"> (Receipt Number 037062) reflects that monies were received from FNB VNG in re </w:t>
      </w:r>
      <w:r w:rsidR="00027D22" w:rsidRPr="00D87EDD">
        <w:rPr>
          <w:rFonts w:ascii="Arial" w:hAnsi="Arial" w:cs="Arial"/>
          <w:i/>
          <w:iCs/>
          <w:sz w:val="24"/>
          <w:szCs w:val="24"/>
          <w:lang w:val="en-GB"/>
        </w:rPr>
        <w:t>“FNB A3 Seal A Deal CC”.</w:t>
      </w:r>
      <w:r w:rsidR="00027D22" w:rsidRPr="00D87EDD">
        <w:rPr>
          <w:rFonts w:ascii="Arial" w:hAnsi="Arial" w:cs="Arial"/>
          <w:sz w:val="24"/>
          <w:szCs w:val="24"/>
          <w:lang w:val="en-GB"/>
        </w:rPr>
        <w:t xml:space="preserve">  </w:t>
      </w:r>
    </w:p>
    <w:p w14:paraId="609D4964" w14:textId="77777777" w:rsidR="00F71E3C" w:rsidRPr="0081243C" w:rsidRDefault="00F71E3C" w:rsidP="005E0FB1">
      <w:pPr>
        <w:pStyle w:val="ListParagraph"/>
        <w:jc w:val="both"/>
        <w:rPr>
          <w:rFonts w:ascii="Arial" w:hAnsi="Arial" w:cs="Arial"/>
          <w:sz w:val="24"/>
          <w:szCs w:val="24"/>
          <w:lang w:val="en-GB"/>
        </w:rPr>
      </w:pPr>
    </w:p>
    <w:p w14:paraId="3BDE778E" w14:textId="092930B2" w:rsidR="00F71E3C"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19.</w:t>
      </w:r>
      <w:r w:rsidRPr="0081243C">
        <w:rPr>
          <w:rFonts w:ascii="Arial" w:hAnsi="Arial" w:cs="Arial"/>
          <w:sz w:val="24"/>
          <w:szCs w:val="24"/>
          <w:lang w:val="en-GB"/>
        </w:rPr>
        <w:tab/>
      </w:r>
      <w:r w:rsidR="00F71E3C" w:rsidRPr="00D87EDD">
        <w:rPr>
          <w:rFonts w:ascii="Arial" w:hAnsi="Arial" w:cs="Arial"/>
          <w:sz w:val="24"/>
          <w:szCs w:val="24"/>
          <w:lang w:val="en-GB"/>
        </w:rPr>
        <w:t xml:space="preserve">The instruction to the attorney was that the money should be invested in terms of Rule 78 of the Attorneys Act.  </w:t>
      </w:r>
    </w:p>
    <w:p w14:paraId="1E321640" w14:textId="77777777" w:rsidR="00F71E3C" w:rsidRPr="0081243C" w:rsidRDefault="00F71E3C" w:rsidP="005E0FB1">
      <w:pPr>
        <w:pStyle w:val="ListParagraph"/>
        <w:jc w:val="both"/>
        <w:rPr>
          <w:rFonts w:ascii="Arial" w:hAnsi="Arial" w:cs="Arial"/>
          <w:sz w:val="24"/>
          <w:szCs w:val="24"/>
          <w:lang w:val="en-GB"/>
        </w:rPr>
      </w:pPr>
    </w:p>
    <w:p w14:paraId="5647DE90" w14:textId="18040EEB" w:rsidR="00F71E3C"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20.</w:t>
      </w:r>
      <w:r w:rsidRPr="0081243C">
        <w:rPr>
          <w:rFonts w:ascii="Arial" w:hAnsi="Arial" w:cs="Arial"/>
          <w:sz w:val="24"/>
          <w:szCs w:val="24"/>
          <w:lang w:val="en-GB"/>
        </w:rPr>
        <w:tab/>
      </w:r>
      <w:r w:rsidR="00F71E3C" w:rsidRPr="00D87EDD">
        <w:rPr>
          <w:rFonts w:ascii="Arial" w:hAnsi="Arial" w:cs="Arial"/>
          <w:sz w:val="24"/>
          <w:szCs w:val="24"/>
          <w:lang w:val="en-GB"/>
        </w:rPr>
        <w:t>On 31 July 1999 a statement was issued, and the total invested amount was R908 476.67, with the balance brough</w:t>
      </w:r>
      <w:r w:rsidR="00E25D31" w:rsidRPr="00D87EDD">
        <w:rPr>
          <w:rFonts w:ascii="Arial" w:hAnsi="Arial" w:cs="Arial"/>
          <w:sz w:val="24"/>
          <w:szCs w:val="24"/>
          <w:lang w:val="en-GB"/>
        </w:rPr>
        <w:t>t</w:t>
      </w:r>
      <w:r w:rsidR="00F71E3C" w:rsidRPr="00D87EDD">
        <w:rPr>
          <w:rFonts w:ascii="Arial" w:hAnsi="Arial" w:cs="Arial"/>
          <w:sz w:val="24"/>
          <w:szCs w:val="24"/>
          <w:lang w:val="en-GB"/>
        </w:rPr>
        <w:t xml:space="preserve"> forward of R501 288.72.  Reliance is placed on a NBS Statement dated 31 July 1999</w:t>
      </w:r>
      <w:r w:rsidR="00E25D31" w:rsidRPr="00D87EDD">
        <w:rPr>
          <w:rFonts w:ascii="Arial" w:hAnsi="Arial" w:cs="Arial"/>
          <w:sz w:val="24"/>
          <w:szCs w:val="24"/>
          <w:lang w:val="en-GB"/>
        </w:rPr>
        <w:t xml:space="preserve"> (“</w:t>
      </w:r>
      <w:r w:rsidR="00E25D31" w:rsidRPr="00D87EDD">
        <w:rPr>
          <w:rFonts w:ascii="Arial" w:hAnsi="Arial" w:cs="Arial"/>
          <w:i/>
          <w:iCs/>
          <w:sz w:val="24"/>
          <w:szCs w:val="24"/>
          <w:lang w:val="en-GB"/>
        </w:rPr>
        <w:t>the 31 July 1999 statement”</w:t>
      </w:r>
      <w:r w:rsidR="00E25D31" w:rsidRPr="00D87EDD">
        <w:rPr>
          <w:rFonts w:ascii="Arial" w:hAnsi="Arial" w:cs="Arial"/>
          <w:sz w:val="24"/>
          <w:szCs w:val="24"/>
          <w:lang w:val="en-GB"/>
        </w:rPr>
        <w:t>)</w:t>
      </w:r>
      <w:r w:rsidR="00D54E35" w:rsidRPr="00D87EDD">
        <w:rPr>
          <w:rFonts w:ascii="Arial" w:hAnsi="Arial" w:cs="Arial"/>
          <w:sz w:val="24"/>
          <w:szCs w:val="24"/>
          <w:lang w:val="en-GB"/>
        </w:rPr>
        <w:t xml:space="preserve"> </w:t>
      </w:r>
      <w:r w:rsidR="00D54E35" w:rsidRPr="00D87EDD">
        <w:rPr>
          <w:rFonts w:ascii="Arial" w:hAnsi="Arial" w:cs="Arial"/>
          <w:sz w:val="24"/>
          <w:szCs w:val="24"/>
          <w:lang w:val="en-GB"/>
        </w:rPr>
        <w:lastRenderedPageBreak/>
        <w:t>in order to proof that the amount was indeed paid to Snijman and Mullen Attorneys</w:t>
      </w:r>
      <w:r w:rsidR="00F71E3C" w:rsidRPr="00D87EDD">
        <w:rPr>
          <w:rFonts w:ascii="Arial" w:hAnsi="Arial" w:cs="Arial"/>
          <w:sz w:val="24"/>
          <w:szCs w:val="24"/>
          <w:lang w:val="en-GB"/>
        </w:rPr>
        <w:t>.</w:t>
      </w:r>
      <w:r w:rsidR="00E12426" w:rsidRPr="00D87EDD">
        <w:rPr>
          <w:rFonts w:ascii="Arial" w:hAnsi="Arial" w:cs="Arial"/>
          <w:sz w:val="24"/>
          <w:szCs w:val="24"/>
          <w:lang w:val="en-GB"/>
        </w:rPr>
        <w:t xml:space="preserve">  </w:t>
      </w:r>
      <w:r w:rsidR="00D54E35" w:rsidRPr="00D87EDD">
        <w:rPr>
          <w:rFonts w:ascii="Arial" w:hAnsi="Arial" w:cs="Arial"/>
          <w:sz w:val="24"/>
          <w:szCs w:val="24"/>
          <w:lang w:val="en-GB"/>
        </w:rPr>
        <w:t xml:space="preserve">On the proper consideration of </w:t>
      </w:r>
      <w:r w:rsidR="00EE002D" w:rsidRPr="00D87EDD">
        <w:rPr>
          <w:rFonts w:ascii="Arial" w:hAnsi="Arial" w:cs="Arial"/>
          <w:sz w:val="24"/>
          <w:szCs w:val="24"/>
          <w:lang w:val="en-GB"/>
        </w:rPr>
        <w:t xml:space="preserve">the 31 July 1999 </w:t>
      </w:r>
      <w:r w:rsidR="00D54E35" w:rsidRPr="00D87EDD">
        <w:rPr>
          <w:rFonts w:ascii="Arial" w:hAnsi="Arial" w:cs="Arial"/>
          <w:sz w:val="24"/>
          <w:szCs w:val="24"/>
          <w:lang w:val="en-GB"/>
        </w:rPr>
        <w:t xml:space="preserve"> statement it is clear that t</w:t>
      </w:r>
      <w:r w:rsidR="00E12426" w:rsidRPr="00D87EDD">
        <w:rPr>
          <w:rFonts w:ascii="Arial" w:hAnsi="Arial" w:cs="Arial"/>
          <w:sz w:val="24"/>
          <w:szCs w:val="24"/>
          <w:lang w:val="en-GB"/>
        </w:rPr>
        <w:t>he Account Number reflected on this statement is 9001662324.</w:t>
      </w:r>
      <w:r w:rsidR="00F71E3C" w:rsidRPr="00D87EDD">
        <w:rPr>
          <w:rFonts w:ascii="Arial" w:hAnsi="Arial" w:cs="Arial"/>
          <w:sz w:val="24"/>
          <w:szCs w:val="24"/>
          <w:lang w:val="en-GB"/>
        </w:rPr>
        <w:t xml:space="preserve">  The statement reflects </w:t>
      </w:r>
      <w:r w:rsidR="00F71E3C" w:rsidRPr="00D87EDD">
        <w:rPr>
          <w:rFonts w:ascii="Arial" w:hAnsi="Arial" w:cs="Arial"/>
          <w:i/>
          <w:iCs/>
          <w:sz w:val="24"/>
          <w:szCs w:val="24"/>
          <w:lang w:val="en-GB"/>
        </w:rPr>
        <w:t>“Mnr K M Makhafola KM – Rule 78 c/o HELEEN VAN BILJON”</w:t>
      </w:r>
      <w:r w:rsidR="00F71E3C" w:rsidRPr="00D87EDD">
        <w:rPr>
          <w:rFonts w:ascii="Arial" w:hAnsi="Arial" w:cs="Arial"/>
          <w:sz w:val="24"/>
          <w:szCs w:val="24"/>
          <w:lang w:val="en-GB"/>
        </w:rPr>
        <w:t xml:space="preserve"> as the client.  On further consideration of the 31 July 1999 statement, it was clear that the balance brough</w:t>
      </w:r>
      <w:r w:rsidR="00CD4324" w:rsidRPr="00D87EDD">
        <w:rPr>
          <w:rFonts w:ascii="Arial" w:hAnsi="Arial" w:cs="Arial"/>
          <w:sz w:val="24"/>
          <w:szCs w:val="24"/>
          <w:lang w:val="en-GB"/>
        </w:rPr>
        <w:t>t</w:t>
      </w:r>
      <w:r w:rsidR="00F71E3C" w:rsidRPr="00D87EDD">
        <w:rPr>
          <w:rFonts w:ascii="Arial" w:hAnsi="Arial" w:cs="Arial"/>
          <w:sz w:val="24"/>
          <w:szCs w:val="24"/>
          <w:lang w:val="en-GB"/>
        </w:rPr>
        <w:t xml:space="preserve"> forward was an amount of R501 288.72 and on 31 July 1999 a deposit was made by Snijman &amp; Smullen in the amount of R400 000.00.  The Call Interest is reflected as R7 187.95 and the closing balance was an amount of R908 476.67.</w:t>
      </w:r>
      <w:r w:rsidR="00E12426" w:rsidRPr="00D87EDD">
        <w:rPr>
          <w:rFonts w:ascii="Arial" w:hAnsi="Arial" w:cs="Arial"/>
          <w:sz w:val="24"/>
          <w:szCs w:val="24"/>
          <w:lang w:val="en-GB"/>
        </w:rPr>
        <w:t xml:space="preserve">  </w:t>
      </w:r>
    </w:p>
    <w:p w14:paraId="609DDA4B" w14:textId="77777777" w:rsidR="00F71E3C" w:rsidRPr="0081243C" w:rsidRDefault="00F71E3C" w:rsidP="005E0FB1">
      <w:pPr>
        <w:jc w:val="both"/>
        <w:rPr>
          <w:rFonts w:ascii="Arial" w:hAnsi="Arial" w:cs="Arial"/>
          <w:sz w:val="24"/>
          <w:szCs w:val="24"/>
          <w:lang w:val="en-GB"/>
        </w:rPr>
      </w:pPr>
    </w:p>
    <w:p w14:paraId="10BBCA2E" w14:textId="1C5A6BDA" w:rsidR="008051A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21.</w:t>
      </w:r>
      <w:r w:rsidRPr="0081243C">
        <w:rPr>
          <w:rFonts w:ascii="Arial" w:hAnsi="Arial" w:cs="Arial"/>
          <w:sz w:val="24"/>
          <w:szCs w:val="24"/>
          <w:lang w:val="en-GB"/>
        </w:rPr>
        <w:tab/>
      </w:r>
      <w:r w:rsidR="00F71E3C" w:rsidRPr="00D87EDD">
        <w:rPr>
          <w:rFonts w:ascii="Arial" w:hAnsi="Arial" w:cs="Arial"/>
          <w:sz w:val="24"/>
          <w:szCs w:val="24"/>
          <w:lang w:val="en-GB"/>
        </w:rPr>
        <w:t>The first and second Applicants in their founding affidavit then state</w:t>
      </w:r>
      <w:r w:rsidR="00AE218D" w:rsidRPr="00D87EDD">
        <w:rPr>
          <w:rFonts w:ascii="Arial" w:hAnsi="Arial" w:cs="Arial"/>
          <w:sz w:val="24"/>
          <w:szCs w:val="24"/>
          <w:lang w:val="en-GB"/>
        </w:rPr>
        <w:t>d</w:t>
      </w:r>
      <w:r w:rsidR="00F71E3C" w:rsidRPr="00D87EDD">
        <w:rPr>
          <w:rFonts w:ascii="Arial" w:hAnsi="Arial" w:cs="Arial"/>
          <w:sz w:val="24"/>
          <w:szCs w:val="24"/>
          <w:lang w:val="en-GB"/>
        </w:rPr>
        <w:t xml:space="preserve"> that a</w:t>
      </w:r>
      <w:r w:rsidR="008051AA" w:rsidRPr="00D87EDD">
        <w:rPr>
          <w:rFonts w:ascii="Arial" w:hAnsi="Arial" w:cs="Arial"/>
          <w:sz w:val="24"/>
          <w:szCs w:val="24"/>
          <w:lang w:val="en-GB"/>
        </w:rPr>
        <w:t xml:space="preserve"> further deposit in the amount of R400 000.00</w:t>
      </w:r>
      <w:r w:rsidR="00F71E3C" w:rsidRPr="00D87EDD">
        <w:rPr>
          <w:rFonts w:ascii="Arial" w:hAnsi="Arial" w:cs="Arial"/>
          <w:sz w:val="24"/>
          <w:szCs w:val="24"/>
          <w:lang w:val="en-GB"/>
        </w:rPr>
        <w:t xml:space="preserve"> was made</w:t>
      </w:r>
      <w:r w:rsidR="008051AA" w:rsidRPr="00D87EDD">
        <w:rPr>
          <w:rFonts w:ascii="Arial" w:hAnsi="Arial" w:cs="Arial"/>
          <w:sz w:val="24"/>
          <w:szCs w:val="24"/>
          <w:lang w:val="en-GB"/>
        </w:rPr>
        <w:t xml:space="preserve"> on 15 September 1999.</w:t>
      </w:r>
      <w:r w:rsidR="00F71E3C" w:rsidRPr="00D87EDD">
        <w:rPr>
          <w:rFonts w:ascii="Arial" w:hAnsi="Arial" w:cs="Arial"/>
          <w:sz w:val="24"/>
          <w:szCs w:val="24"/>
          <w:lang w:val="en-GB"/>
        </w:rPr>
        <w:t xml:space="preserve">  In substantiation of this </w:t>
      </w:r>
      <w:r w:rsidR="00EE002D" w:rsidRPr="00D87EDD">
        <w:rPr>
          <w:rFonts w:ascii="Arial" w:hAnsi="Arial" w:cs="Arial"/>
          <w:sz w:val="24"/>
          <w:szCs w:val="24"/>
          <w:lang w:val="en-GB"/>
        </w:rPr>
        <w:t xml:space="preserve">allegation, </w:t>
      </w:r>
      <w:r w:rsidR="00F71E3C" w:rsidRPr="00D87EDD">
        <w:rPr>
          <w:rFonts w:ascii="Arial" w:hAnsi="Arial" w:cs="Arial"/>
          <w:sz w:val="24"/>
          <w:szCs w:val="24"/>
          <w:lang w:val="en-GB"/>
        </w:rPr>
        <w:t>reliance is placed on a</w:t>
      </w:r>
      <w:r w:rsidR="00B01049" w:rsidRPr="00D87EDD">
        <w:rPr>
          <w:rFonts w:ascii="Arial" w:hAnsi="Arial" w:cs="Arial"/>
          <w:sz w:val="24"/>
          <w:szCs w:val="24"/>
          <w:lang w:val="en-GB"/>
        </w:rPr>
        <w:t xml:space="preserve"> receipt of 15 September 1999</w:t>
      </w:r>
      <w:r w:rsidR="00EE002D" w:rsidRPr="00D87EDD">
        <w:rPr>
          <w:rFonts w:ascii="Arial" w:hAnsi="Arial" w:cs="Arial"/>
          <w:sz w:val="24"/>
          <w:szCs w:val="24"/>
          <w:lang w:val="en-GB"/>
        </w:rPr>
        <w:t xml:space="preserve"> (</w:t>
      </w:r>
      <w:r w:rsidR="00EE002D" w:rsidRPr="00D87EDD">
        <w:rPr>
          <w:rFonts w:ascii="Arial" w:hAnsi="Arial" w:cs="Arial"/>
          <w:i/>
          <w:iCs/>
          <w:sz w:val="24"/>
          <w:szCs w:val="24"/>
          <w:lang w:val="en-GB"/>
        </w:rPr>
        <w:t>“the 15 September 1999 receipt</w:t>
      </w:r>
      <w:r w:rsidR="00EE002D" w:rsidRPr="00D87EDD">
        <w:rPr>
          <w:rFonts w:ascii="Arial" w:hAnsi="Arial" w:cs="Arial"/>
          <w:sz w:val="24"/>
          <w:szCs w:val="24"/>
          <w:lang w:val="en-GB"/>
        </w:rPr>
        <w:t>”)</w:t>
      </w:r>
      <w:r w:rsidR="003F335C" w:rsidRPr="00D87EDD">
        <w:rPr>
          <w:rFonts w:ascii="Arial" w:hAnsi="Arial" w:cs="Arial"/>
          <w:sz w:val="24"/>
          <w:szCs w:val="24"/>
          <w:lang w:val="en-GB"/>
        </w:rPr>
        <w:t xml:space="preserve">.  On consideration of the </w:t>
      </w:r>
      <w:r w:rsidR="00AC3628" w:rsidRPr="00D87EDD">
        <w:rPr>
          <w:rFonts w:ascii="Arial" w:hAnsi="Arial" w:cs="Arial"/>
          <w:sz w:val="24"/>
          <w:szCs w:val="24"/>
          <w:lang w:val="en-GB"/>
        </w:rPr>
        <w:t>receipt,</w:t>
      </w:r>
      <w:r w:rsidR="003F335C" w:rsidRPr="00D87EDD">
        <w:rPr>
          <w:rFonts w:ascii="Arial" w:hAnsi="Arial" w:cs="Arial"/>
          <w:sz w:val="24"/>
          <w:szCs w:val="24"/>
          <w:lang w:val="en-GB"/>
        </w:rPr>
        <w:t xml:space="preserve"> it is indicated that</w:t>
      </w:r>
      <w:r w:rsidR="00B01049" w:rsidRPr="00D87EDD">
        <w:rPr>
          <w:rFonts w:ascii="Arial" w:hAnsi="Arial" w:cs="Arial"/>
          <w:sz w:val="24"/>
          <w:szCs w:val="24"/>
          <w:lang w:val="en-GB"/>
        </w:rPr>
        <w:t xml:space="preserve"> the </w:t>
      </w:r>
      <w:r w:rsidR="00EE002D" w:rsidRPr="00D87EDD">
        <w:rPr>
          <w:rFonts w:ascii="Arial" w:hAnsi="Arial" w:cs="Arial"/>
          <w:sz w:val="24"/>
          <w:szCs w:val="24"/>
          <w:lang w:val="en-GB"/>
        </w:rPr>
        <w:t>amount of R400 000.00</w:t>
      </w:r>
      <w:r w:rsidR="00B01049" w:rsidRPr="00D87EDD">
        <w:rPr>
          <w:rFonts w:ascii="Arial" w:hAnsi="Arial" w:cs="Arial"/>
          <w:sz w:val="24"/>
          <w:szCs w:val="24"/>
          <w:lang w:val="en-GB"/>
        </w:rPr>
        <w:t xml:space="preserve"> were receive</w:t>
      </w:r>
      <w:r w:rsidR="00CD4324" w:rsidRPr="00D87EDD">
        <w:rPr>
          <w:rFonts w:ascii="Arial" w:hAnsi="Arial" w:cs="Arial"/>
          <w:sz w:val="24"/>
          <w:szCs w:val="24"/>
          <w:lang w:val="en-GB"/>
        </w:rPr>
        <w:t>d</w:t>
      </w:r>
      <w:r w:rsidR="00B01049" w:rsidRPr="00D87EDD">
        <w:rPr>
          <w:rFonts w:ascii="Arial" w:hAnsi="Arial" w:cs="Arial"/>
          <w:sz w:val="24"/>
          <w:szCs w:val="24"/>
          <w:lang w:val="en-GB"/>
        </w:rPr>
        <w:t xml:space="preserve"> from FNB VNG (Receipt Number 040423) in re “</w:t>
      </w:r>
      <w:r w:rsidR="00B01049" w:rsidRPr="00D87EDD">
        <w:rPr>
          <w:rFonts w:ascii="Arial" w:hAnsi="Arial" w:cs="Arial"/>
          <w:i/>
          <w:iCs/>
          <w:sz w:val="24"/>
          <w:szCs w:val="24"/>
          <w:lang w:val="en-GB"/>
        </w:rPr>
        <w:t>FNB A3 Seal a Deal CC</w:t>
      </w:r>
      <w:r w:rsidR="00B01049" w:rsidRPr="00D87EDD">
        <w:rPr>
          <w:rFonts w:ascii="Arial" w:hAnsi="Arial" w:cs="Arial"/>
          <w:sz w:val="24"/>
          <w:szCs w:val="24"/>
          <w:lang w:val="en-GB"/>
        </w:rPr>
        <w:t>”.</w:t>
      </w:r>
      <w:r w:rsidR="003F335C" w:rsidRPr="00D87EDD">
        <w:rPr>
          <w:rFonts w:ascii="Arial" w:hAnsi="Arial" w:cs="Arial"/>
          <w:sz w:val="24"/>
          <w:szCs w:val="24"/>
          <w:lang w:val="en-GB"/>
        </w:rPr>
        <w:t xml:space="preserve">  </w:t>
      </w:r>
    </w:p>
    <w:p w14:paraId="770D2A07" w14:textId="77777777" w:rsidR="00A352AB" w:rsidRPr="0081243C" w:rsidRDefault="00A352AB" w:rsidP="005E0FB1">
      <w:pPr>
        <w:pStyle w:val="ListParagraph"/>
        <w:jc w:val="both"/>
        <w:rPr>
          <w:rFonts w:ascii="Arial" w:hAnsi="Arial" w:cs="Arial"/>
          <w:sz w:val="24"/>
          <w:szCs w:val="24"/>
          <w:lang w:val="en-GB"/>
        </w:rPr>
      </w:pPr>
    </w:p>
    <w:p w14:paraId="2873A1A6" w14:textId="1886C396" w:rsidR="00A352AB" w:rsidRPr="00D87EDD" w:rsidRDefault="00D87EDD" w:rsidP="00D87EDD">
      <w:pPr>
        <w:spacing w:before="240" w:line="480" w:lineRule="auto"/>
        <w:ind w:left="720" w:hanging="720"/>
        <w:jc w:val="both"/>
        <w:rPr>
          <w:rFonts w:ascii="Arial" w:hAnsi="Arial" w:cs="Arial"/>
          <w:sz w:val="24"/>
          <w:szCs w:val="24"/>
          <w:lang w:val="en-GB"/>
        </w:rPr>
      </w:pPr>
      <w:r w:rsidRPr="0081243C">
        <w:rPr>
          <w:rFonts w:ascii="Arial" w:hAnsi="Arial" w:cs="Arial"/>
          <w:sz w:val="24"/>
          <w:szCs w:val="24"/>
          <w:lang w:val="en-GB"/>
        </w:rPr>
        <w:t>22.</w:t>
      </w:r>
      <w:r w:rsidRPr="0081243C">
        <w:rPr>
          <w:rFonts w:ascii="Arial" w:hAnsi="Arial" w:cs="Arial"/>
          <w:sz w:val="24"/>
          <w:szCs w:val="24"/>
          <w:lang w:val="en-GB"/>
        </w:rPr>
        <w:tab/>
      </w:r>
      <w:r w:rsidR="00A352AB" w:rsidRPr="00D87EDD">
        <w:rPr>
          <w:rFonts w:ascii="Arial" w:hAnsi="Arial" w:cs="Arial"/>
          <w:sz w:val="24"/>
          <w:szCs w:val="24"/>
          <w:lang w:val="en-GB"/>
        </w:rPr>
        <w:t>In substantiation of the allegation of the total amount that was</w:t>
      </w:r>
      <w:r w:rsidR="002C093E" w:rsidRPr="00D87EDD">
        <w:rPr>
          <w:rFonts w:ascii="Arial" w:hAnsi="Arial" w:cs="Arial"/>
          <w:sz w:val="24"/>
          <w:szCs w:val="24"/>
          <w:lang w:val="en-GB"/>
        </w:rPr>
        <w:t xml:space="preserve"> allegedly</w:t>
      </w:r>
      <w:r w:rsidR="00A352AB" w:rsidRPr="00D87EDD">
        <w:rPr>
          <w:rFonts w:ascii="Arial" w:hAnsi="Arial" w:cs="Arial"/>
          <w:sz w:val="24"/>
          <w:szCs w:val="24"/>
          <w:lang w:val="en-GB"/>
        </w:rPr>
        <w:t xml:space="preserve"> entrusted to Snijman and Mullen Attorneys by 30 September 1999 by the Applicants, reliance is placed on a statement dated 30 September 1999</w:t>
      </w:r>
      <w:r w:rsidR="002E4E97" w:rsidRPr="00D87EDD">
        <w:rPr>
          <w:rFonts w:ascii="Arial" w:hAnsi="Arial" w:cs="Arial"/>
          <w:sz w:val="24"/>
          <w:szCs w:val="24"/>
          <w:lang w:val="en-GB"/>
        </w:rPr>
        <w:t xml:space="preserve"> (“</w:t>
      </w:r>
      <w:r w:rsidR="002E4E97" w:rsidRPr="00D87EDD">
        <w:rPr>
          <w:rFonts w:ascii="Arial" w:hAnsi="Arial" w:cs="Arial"/>
          <w:i/>
          <w:iCs/>
          <w:sz w:val="24"/>
          <w:szCs w:val="24"/>
          <w:lang w:val="en-GB"/>
        </w:rPr>
        <w:t>the 30 September 1999 statement”)</w:t>
      </w:r>
      <w:r w:rsidR="00A352AB" w:rsidRPr="00D87EDD">
        <w:rPr>
          <w:rFonts w:ascii="Arial" w:hAnsi="Arial" w:cs="Arial"/>
          <w:sz w:val="24"/>
          <w:szCs w:val="24"/>
          <w:lang w:val="en-GB"/>
        </w:rPr>
        <w:t xml:space="preserve">.  The total amount that is reflected on the statement is an amount of R1 126 401.27.  </w:t>
      </w:r>
      <w:r w:rsidR="0000027D" w:rsidRPr="00D87EDD">
        <w:rPr>
          <w:rFonts w:ascii="Arial" w:hAnsi="Arial" w:cs="Arial"/>
          <w:sz w:val="24"/>
          <w:szCs w:val="24"/>
          <w:lang w:val="en-GB"/>
        </w:rPr>
        <w:t xml:space="preserve">This again is a NBS statement.  On </w:t>
      </w:r>
      <w:r w:rsidR="002E4E97" w:rsidRPr="00D87EDD">
        <w:rPr>
          <w:rFonts w:ascii="Arial" w:hAnsi="Arial" w:cs="Arial"/>
          <w:sz w:val="24"/>
          <w:szCs w:val="24"/>
          <w:lang w:val="en-GB"/>
        </w:rPr>
        <w:t xml:space="preserve">the 30 September 1999 </w:t>
      </w:r>
      <w:r w:rsidR="0000027D" w:rsidRPr="00D87EDD">
        <w:rPr>
          <w:rFonts w:ascii="Arial" w:hAnsi="Arial" w:cs="Arial"/>
          <w:sz w:val="24"/>
          <w:szCs w:val="24"/>
          <w:lang w:val="en-GB"/>
        </w:rPr>
        <w:t xml:space="preserve">statement the account number is reflected as 455001117 00001000 and the account is in the name of Snijman and Mullen </w:t>
      </w:r>
      <w:r w:rsidR="0000027D" w:rsidRPr="00D87EDD">
        <w:rPr>
          <w:rFonts w:ascii="Arial" w:hAnsi="Arial" w:cs="Arial"/>
          <w:sz w:val="24"/>
          <w:szCs w:val="24"/>
          <w:lang w:val="en-GB"/>
        </w:rPr>
        <w:lastRenderedPageBreak/>
        <w:t>Attorneys.  The date of</w:t>
      </w:r>
      <w:r w:rsidR="00CD4324" w:rsidRPr="00D87EDD">
        <w:rPr>
          <w:rFonts w:ascii="Arial" w:hAnsi="Arial" w:cs="Arial"/>
          <w:sz w:val="24"/>
          <w:szCs w:val="24"/>
          <w:lang w:val="en-GB"/>
        </w:rPr>
        <w:t xml:space="preserve"> the</w:t>
      </w:r>
      <w:r w:rsidR="0000027D" w:rsidRPr="00D87EDD">
        <w:rPr>
          <w:rFonts w:ascii="Arial" w:hAnsi="Arial" w:cs="Arial"/>
          <w:sz w:val="24"/>
          <w:szCs w:val="24"/>
          <w:lang w:val="en-GB"/>
        </w:rPr>
        <w:t xml:space="preserve"> investment is further reflected as 28 September 1999.  </w:t>
      </w:r>
    </w:p>
    <w:p w14:paraId="0C85052F" w14:textId="77777777" w:rsidR="0000027D" w:rsidRPr="0081243C" w:rsidRDefault="0000027D" w:rsidP="005E0FB1">
      <w:pPr>
        <w:pStyle w:val="ListParagraph"/>
        <w:jc w:val="both"/>
        <w:rPr>
          <w:rFonts w:ascii="Arial" w:hAnsi="Arial" w:cs="Arial"/>
          <w:sz w:val="24"/>
          <w:szCs w:val="24"/>
          <w:lang w:val="en-GB"/>
        </w:rPr>
      </w:pPr>
    </w:p>
    <w:p w14:paraId="4382D07C" w14:textId="5C20E4DA" w:rsidR="0000027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23.</w:t>
      </w:r>
      <w:r w:rsidRPr="0081243C">
        <w:rPr>
          <w:rFonts w:ascii="Arial" w:hAnsi="Arial" w:cs="Arial"/>
          <w:sz w:val="24"/>
          <w:szCs w:val="24"/>
          <w:lang w:val="en-GB"/>
        </w:rPr>
        <w:tab/>
      </w:r>
      <w:r w:rsidR="0000027D" w:rsidRPr="00D87EDD">
        <w:rPr>
          <w:rFonts w:ascii="Arial" w:hAnsi="Arial" w:cs="Arial"/>
          <w:sz w:val="24"/>
          <w:szCs w:val="24"/>
          <w:lang w:val="en-GB"/>
        </w:rPr>
        <w:t xml:space="preserve">The first and second Applicants indicate that an amount of R80 000.00 was withdrawn from this account as per the handwritten note of 19 November 1999.  This note is indeed reflected in the statement of 30 September 1999.  No further evidence is provided as to the purpose of this withdrawal.  </w:t>
      </w:r>
    </w:p>
    <w:p w14:paraId="0F480F9F" w14:textId="77777777" w:rsidR="008051AA" w:rsidRPr="0081243C" w:rsidRDefault="008051AA" w:rsidP="005E0FB1">
      <w:pPr>
        <w:pStyle w:val="ListParagraph"/>
        <w:spacing w:line="480" w:lineRule="auto"/>
        <w:jc w:val="both"/>
        <w:rPr>
          <w:rFonts w:ascii="Arial" w:hAnsi="Arial" w:cs="Arial"/>
          <w:sz w:val="24"/>
          <w:szCs w:val="24"/>
          <w:lang w:val="en-GB"/>
        </w:rPr>
      </w:pPr>
    </w:p>
    <w:p w14:paraId="5A8BF01F" w14:textId="14A41132" w:rsidR="008051A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24.</w:t>
      </w:r>
      <w:r w:rsidRPr="0081243C">
        <w:rPr>
          <w:rFonts w:ascii="Arial" w:hAnsi="Arial" w:cs="Arial"/>
          <w:sz w:val="24"/>
          <w:szCs w:val="24"/>
          <w:lang w:val="en-GB"/>
        </w:rPr>
        <w:tab/>
      </w:r>
      <w:r w:rsidR="008051AA" w:rsidRPr="00D87EDD">
        <w:rPr>
          <w:rFonts w:ascii="Arial" w:hAnsi="Arial" w:cs="Arial"/>
          <w:sz w:val="24"/>
          <w:szCs w:val="24"/>
          <w:lang w:val="en-GB"/>
        </w:rPr>
        <w:t>It is alleged by the</w:t>
      </w:r>
      <w:r w:rsidR="00E66DE8" w:rsidRPr="00D87EDD">
        <w:rPr>
          <w:rFonts w:ascii="Arial" w:hAnsi="Arial" w:cs="Arial"/>
          <w:sz w:val="24"/>
          <w:szCs w:val="24"/>
          <w:lang w:val="en-GB"/>
        </w:rPr>
        <w:t xml:space="preserve"> first and second</w:t>
      </w:r>
      <w:r w:rsidR="008051AA" w:rsidRPr="00D87EDD">
        <w:rPr>
          <w:rFonts w:ascii="Arial" w:hAnsi="Arial" w:cs="Arial"/>
          <w:sz w:val="24"/>
          <w:szCs w:val="24"/>
          <w:lang w:val="en-GB"/>
        </w:rPr>
        <w:t xml:space="preserve"> Applicants that these amounts were entrusted to Snijman and Mullen Attorneys for purposes of purchasing an immovable property that was rented</w:t>
      </w:r>
      <w:r w:rsidR="00D46A3D" w:rsidRPr="00D87EDD">
        <w:rPr>
          <w:rFonts w:ascii="Arial" w:hAnsi="Arial" w:cs="Arial"/>
          <w:sz w:val="24"/>
          <w:szCs w:val="24"/>
          <w:lang w:val="en-GB"/>
        </w:rPr>
        <w:t xml:space="preserve"> by the Applicants at the time</w:t>
      </w:r>
      <w:r w:rsidR="004F52A3" w:rsidRPr="00D87EDD">
        <w:rPr>
          <w:rFonts w:ascii="Arial" w:hAnsi="Arial" w:cs="Arial"/>
          <w:sz w:val="24"/>
          <w:szCs w:val="24"/>
          <w:lang w:val="en-GB"/>
        </w:rPr>
        <w:t xml:space="preserve"> (1999)</w:t>
      </w:r>
      <w:r w:rsidR="008051AA" w:rsidRPr="00D87EDD">
        <w:rPr>
          <w:rFonts w:ascii="Arial" w:hAnsi="Arial" w:cs="Arial"/>
          <w:sz w:val="24"/>
          <w:szCs w:val="24"/>
          <w:lang w:val="en-GB"/>
        </w:rPr>
        <w:t xml:space="preserve">.  </w:t>
      </w:r>
      <w:r w:rsidR="004F52A3" w:rsidRPr="00D87EDD">
        <w:rPr>
          <w:rFonts w:ascii="Arial" w:hAnsi="Arial" w:cs="Arial"/>
          <w:sz w:val="24"/>
          <w:szCs w:val="24"/>
          <w:lang w:val="en-GB"/>
        </w:rPr>
        <w:t>As it is already stated above, i</w:t>
      </w:r>
      <w:r w:rsidR="008051AA" w:rsidRPr="00D87EDD">
        <w:rPr>
          <w:rFonts w:ascii="Arial" w:hAnsi="Arial" w:cs="Arial"/>
          <w:sz w:val="24"/>
          <w:szCs w:val="24"/>
          <w:lang w:val="en-GB"/>
        </w:rPr>
        <w:t>t is alleged that the attorney, Barnard, was instructed to invest the whole amount in terms of Rule 78 of the Attorneys Act</w:t>
      </w:r>
      <w:r w:rsidR="00D46A3D" w:rsidRPr="00D87EDD">
        <w:rPr>
          <w:rFonts w:ascii="Arial" w:hAnsi="Arial" w:cs="Arial"/>
          <w:sz w:val="24"/>
          <w:szCs w:val="24"/>
          <w:lang w:val="en-GB"/>
        </w:rPr>
        <w:t>.  The first and second Applicants failed to attach a copy of</w:t>
      </w:r>
      <w:r w:rsidR="004F52A3" w:rsidRPr="00D87EDD">
        <w:rPr>
          <w:rFonts w:ascii="Arial" w:hAnsi="Arial" w:cs="Arial"/>
          <w:sz w:val="24"/>
          <w:szCs w:val="24"/>
          <w:lang w:val="en-GB"/>
        </w:rPr>
        <w:t xml:space="preserve"> the lease agreement and the sale agreement</w:t>
      </w:r>
      <w:r w:rsidR="00D46A3D" w:rsidRPr="00D87EDD">
        <w:rPr>
          <w:rFonts w:ascii="Arial" w:hAnsi="Arial" w:cs="Arial"/>
          <w:sz w:val="24"/>
          <w:szCs w:val="24"/>
          <w:lang w:val="en-GB"/>
        </w:rPr>
        <w:t xml:space="preserve"> to the founding papers.  </w:t>
      </w:r>
      <w:r w:rsidR="00E66DE8" w:rsidRPr="00D87EDD">
        <w:rPr>
          <w:rFonts w:ascii="Arial" w:hAnsi="Arial" w:cs="Arial"/>
          <w:sz w:val="24"/>
          <w:szCs w:val="24"/>
          <w:lang w:val="en-GB"/>
        </w:rPr>
        <w:t xml:space="preserve">No evidence is placed before me regarding these two contracts save for what I have already stated.  </w:t>
      </w:r>
    </w:p>
    <w:p w14:paraId="55717B6B" w14:textId="77777777" w:rsidR="008051AA" w:rsidRPr="0081243C" w:rsidRDefault="008051AA" w:rsidP="005E0FB1">
      <w:pPr>
        <w:spacing w:line="480" w:lineRule="auto"/>
        <w:jc w:val="both"/>
        <w:rPr>
          <w:rFonts w:ascii="Arial" w:hAnsi="Arial" w:cs="Arial"/>
          <w:sz w:val="24"/>
          <w:szCs w:val="24"/>
          <w:lang w:val="en-GB"/>
        </w:rPr>
      </w:pPr>
    </w:p>
    <w:p w14:paraId="7D9892AF" w14:textId="6730C4B6" w:rsidR="008051AA" w:rsidRPr="00D87EDD" w:rsidRDefault="00D87EDD" w:rsidP="00D87EDD">
      <w:pPr>
        <w:spacing w:before="240" w:line="480" w:lineRule="auto"/>
        <w:ind w:left="720" w:hanging="720"/>
        <w:jc w:val="both"/>
        <w:rPr>
          <w:rFonts w:ascii="Arial" w:hAnsi="Arial" w:cs="Arial"/>
          <w:sz w:val="24"/>
          <w:szCs w:val="24"/>
          <w:lang w:val="en-GB"/>
        </w:rPr>
      </w:pPr>
      <w:r w:rsidRPr="0081243C">
        <w:rPr>
          <w:rFonts w:ascii="Arial" w:hAnsi="Arial" w:cs="Arial"/>
          <w:sz w:val="24"/>
          <w:szCs w:val="24"/>
          <w:lang w:val="en-GB"/>
        </w:rPr>
        <w:t>25.</w:t>
      </w:r>
      <w:r w:rsidRPr="0081243C">
        <w:rPr>
          <w:rFonts w:ascii="Arial" w:hAnsi="Arial" w:cs="Arial"/>
          <w:sz w:val="24"/>
          <w:szCs w:val="24"/>
          <w:lang w:val="en-GB"/>
        </w:rPr>
        <w:tab/>
      </w:r>
      <w:r w:rsidR="008051AA" w:rsidRPr="00D87EDD">
        <w:rPr>
          <w:rFonts w:ascii="Arial" w:hAnsi="Arial" w:cs="Arial"/>
          <w:sz w:val="24"/>
          <w:szCs w:val="24"/>
          <w:lang w:val="en-GB"/>
        </w:rPr>
        <w:t>Barnard passed away on 2 September 2006.  The</w:t>
      </w:r>
      <w:r w:rsidR="007151EE" w:rsidRPr="00D87EDD">
        <w:rPr>
          <w:rFonts w:ascii="Arial" w:hAnsi="Arial" w:cs="Arial"/>
          <w:sz w:val="24"/>
          <w:szCs w:val="24"/>
          <w:lang w:val="en-GB"/>
        </w:rPr>
        <w:t xml:space="preserve"> first and second</w:t>
      </w:r>
      <w:r w:rsidR="008051AA" w:rsidRPr="00D87EDD">
        <w:rPr>
          <w:rFonts w:ascii="Arial" w:hAnsi="Arial" w:cs="Arial"/>
          <w:sz w:val="24"/>
          <w:szCs w:val="24"/>
          <w:lang w:val="en-GB"/>
        </w:rPr>
        <w:t xml:space="preserve"> Applicants indicated that the passing of Barnard was on a date prior to the immovable property being purchased.</w:t>
      </w:r>
    </w:p>
    <w:p w14:paraId="61403A1C" w14:textId="77777777" w:rsidR="008051AA" w:rsidRPr="0081243C" w:rsidRDefault="008051AA" w:rsidP="005E0FB1">
      <w:pPr>
        <w:pStyle w:val="ListParagraph"/>
        <w:spacing w:line="480" w:lineRule="auto"/>
        <w:jc w:val="both"/>
        <w:rPr>
          <w:rFonts w:ascii="Arial" w:hAnsi="Arial" w:cs="Arial"/>
          <w:sz w:val="24"/>
          <w:szCs w:val="24"/>
          <w:lang w:val="en-GB"/>
        </w:rPr>
      </w:pPr>
    </w:p>
    <w:p w14:paraId="78022BCB" w14:textId="3AE50265" w:rsidR="008051AA" w:rsidRPr="00D87EDD" w:rsidRDefault="00D87EDD" w:rsidP="00D87EDD">
      <w:pPr>
        <w:spacing w:before="240" w:line="480" w:lineRule="auto"/>
        <w:ind w:left="720" w:hanging="720"/>
        <w:jc w:val="both"/>
        <w:rPr>
          <w:rFonts w:ascii="Arial" w:hAnsi="Arial" w:cs="Arial"/>
          <w:sz w:val="24"/>
          <w:szCs w:val="24"/>
          <w:lang w:val="en-GB"/>
        </w:rPr>
      </w:pPr>
      <w:r w:rsidRPr="0081243C">
        <w:rPr>
          <w:rFonts w:ascii="Arial" w:hAnsi="Arial" w:cs="Arial"/>
          <w:sz w:val="24"/>
          <w:szCs w:val="24"/>
          <w:lang w:val="en-GB"/>
        </w:rPr>
        <w:t>26.</w:t>
      </w:r>
      <w:r w:rsidRPr="0081243C">
        <w:rPr>
          <w:rFonts w:ascii="Arial" w:hAnsi="Arial" w:cs="Arial"/>
          <w:sz w:val="24"/>
          <w:szCs w:val="24"/>
          <w:lang w:val="en-GB"/>
        </w:rPr>
        <w:tab/>
      </w:r>
      <w:r w:rsidR="008051AA" w:rsidRPr="00D87EDD">
        <w:rPr>
          <w:rFonts w:ascii="Arial" w:hAnsi="Arial" w:cs="Arial"/>
          <w:sz w:val="24"/>
          <w:szCs w:val="24"/>
          <w:lang w:val="en-GB"/>
        </w:rPr>
        <w:t>On 27 September 2006</w:t>
      </w:r>
      <w:r w:rsidR="00D46A3D" w:rsidRPr="00D87EDD">
        <w:rPr>
          <w:rFonts w:ascii="Arial" w:hAnsi="Arial" w:cs="Arial"/>
          <w:sz w:val="24"/>
          <w:szCs w:val="24"/>
          <w:lang w:val="en-GB"/>
        </w:rPr>
        <w:t xml:space="preserve"> (“</w:t>
      </w:r>
      <w:r w:rsidR="00D46A3D" w:rsidRPr="00D87EDD">
        <w:rPr>
          <w:rFonts w:ascii="Arial" w:hAnsi="Arial" w:cs="Arial"/>
          <w:i/>
          <w:iCs/>
          <w:sz w:val="24"/>
          <w:szCs w:val="24"/>
          <w:lang w:val="en-GB"/>
        </w:rPr>
        <w:t xml:space="preserve">the </w:t>
      </w:r>
      <w:r w:rsidR="007151EE" w:rsidRPr="00D87EDD">
        <w:rPr>
          <w:rFonts w:ascii="Arial" w:hAnsi="Arial" w:cs="Arial"/>
          <w:i/>
          <w:iCs/>
          <w:sz w:val="24"/>
          <w:szCs w:val="24"/>
          <w:lang w:val="en-GB"/>
        </w:rPr>
        <w:t xml:space="preserve">27 </w:t>
      </w:r>
      <w:r w:rsidR="00D46A3D" w:rsidRPr="00D87EDD">
        <w:rPr>
          <w:rFonts w:ascii="Arial" w:hAnsi="Arial" w:cs="Arial"/>
          <w:i/>
          <w:iCs/>
          <w:sz w:val="24"/>
          <w:szCs w:val="24"/>
          <w:lang w:val="en-GB"/>
        </w:rPr>
        <w:t>September 2006 court order”)</w:t>
      </w:r>
      <w:r w:rsidR="008051AA" w:rsidRPr="00D87EDD">
        <w:rPr>
          <w:rFonts w:ascii="Arial" w:hAnsi="Arial" w:cs="Arial"/>
          <w:sz w:val="24"/>
          <w:szCs w:val="24"/>
          <w:lang w:val="en-GB"/>
        </w:rPr>
        <w:t xml:space="preserve"> the Court appointed Johan van Staden</w:t>
      </w:r>
      <w:r w:rsidR="00D46A3D" w:rsidRPr="00D87EDD">
        <w:rPr>
          <w:rFonts w:ascii="Arial" w:hAnsi="Arial" w:cs="Arial"/>
          <w:sz w:val="24"/>
          <w:szCs w:val="24"/>
          <w:lang w:val="en-GB"/>
        </w:rPr>
        <w:t xml:space="preserve"> (“</w:t>
      </w:r>
      <w:r w:rsidR="00D46A3D" w:rsidRPr="00D87EDD">
        <w:rPr>
          <w:rFonts w:ascii="Arial" w:hAnsi="Arial" w:cs="Arial"/>
          <w:i/>
          <w:iCs/>
          <w:sz w:val="24"/>
          <w:szCs w:val="24"/>
          <w:lang w:val="en-GB"/>
        </w:rPr>
        <w:t xml:space="preserve">Van Staden” </w:t>
      </w:r>
      <w:r w:rsidR="00D46A3D" w:rsidRPr="00D87EDD">
        <w:rPr>
          <w:rFonts w:ascii="Arial" w:hAnsi="Arial" w:cs="Arial"/>
          <w:sz w:val="24"/>
          <w:szCs w:val="24"/>
          <w:lang w:val="en-GB"/>
        </w:rPr>
        <w:t xml:space="preserve">or </w:t>
      </w:r>
      <w:r w:rsidR="00D46A3D" w:rsidRPr="00D87EDD">
        <w:rPr>
          <w:rFonts w:ascii="Arial" w:hAnsi="Arial" w:cs="Arial"/>
          <w:i/>
          <w:iCs/>
          <w:sz w:val="24"/>
          <w:szCs w:val="24"/>
          <w:lang w:val="en-GB"/>
        </w:rPr>
        <w:t>“the curator bonis”)</w:t>
      </w:r>
      <w:r w:rsidR="008051AA" w:rsidRPr="00D87EDD">
        <w:rPr>
          <w:rFonts w:ascii="Arial" w:hAnsi="Arial" w:cs="Arial"/>
          <w:sz w:val="24"/>
          <w:szCs w:val="24"/>
          <w:lang w:val="en-GB"/>
        </w:rPr>
        <w:t xml:space="preserve"> as the </w:t>
      </w:r>
      <w:r w:rsidR="008051AA" w:rsidRPr="00D87EDD">
        <w:rPr>
          <w:rFonts w:ascii="Arial" w:hAnsi="Arial" w:cs="Arial"/>
          <w:sz w:val="24"/>
          <w:szCs w:val="24"/>
          <w:lang w:val="en-GB"/>
        </w:rPr>
        <w:lastRenderedPageBreak/>
        <w:t>curator</w:t>
      </w:r>
      <w:r w:rsidR="008051AA" w:rsidRPr="00D87EDD">
        <w:rPr>
          <w:rFonts w:ascii="Arial" w:hAnsi="Arial" w:cs="Arial"/>
          <w:i/>
          <w:iCs/>
          <w:sz w:val="24"/>
          <w:szCs w:val="24"/>
          <w:lang w:val="en-GB"/>
        </w:rPr>
        <w:t xml:space="preserve"> bonis</w:t>
      </w:r>
      <w:r w:rsidR="008051AA" w:rsidRPr="00D87EDD">
        <w:rPr>
          <w:rFonts w:ascii="Arial" w:hAnsi="Arial" w:cs="Arial"/>
          <w:sz w:val="24"/>
          <w:szCs w:val="24"/>
          <w:lang w:val="en-GB"/>
        </w:rPr>
        <w:t xml:space="preserve"> for Barnard’s practice and trust banking account.  </w:t>
      </w:r>
      <w:r w:rsidR="00D46A3D" w:rsidRPr="00D87EDD">
        <w:rPr>
          <w:rFonts w:ascii="Arial" w:hAnsi="Arial" w:cs="Arial"/>
          <w:sz w:val="24"/>
          <w:szCs w:val="24"/>
          <w:lang w:val="en-GB"/>
        </w:rPr>
        <w:t xml:space="preserve">The curator </w:t>
      </w:r>
      <w:r w:rsidR="00D46A3D" w:rsidRPr="00D87EDD">
        <w:rPr>
          <w:rFonts w:ascii="Arial" w:hAnsi="Arial" w:cs="Arial"/>
          <w:i/>
          <w:iCs/>
          <w:sz w:val="24"/>
          <w:szCs w:val="24"/>
          <w:lang w:val="en-GB"/>
        </w:rPr>
        <w:t>bonis</w:t>
      </w:r>
      <w:r w:rsidR="00D46A3D" w:rsidRPr="00D87EDD">
        <w:rPr>
          <w:rFonts w:ascii="Arial" w:hAnsi="Arial" w:cs="Arial"/>
          <w:sz w:val="24"/>
          <w:szCs w:val="24"/>
          <w:lang w:val="en-GB"/>
        </w:rPr>
        <w:t xml:space="preserve"> executed his duties in terms of the</w:t>
      </w:r>
      <w:r w:rsidR="007151EE" w:rsidRPr="00D87EDD">
        <w:rPr>
          <w:rFonts w:ascii="Arial" w:hAnsi="Arial" w:cs="Arial"/>
          <w:sz w:val="24"/>
          <w:szCs w:val="24"/>
          <w:lang w:val="en-GB"/>
        </w:rPr>
        <w:t xml:space="preserve"> 27</w:t>
      </w:r>
      <w:r w:rsidR="00D46A3D" w:rsidRPr="00D87EDD">
        <w:rPr>
          <w:rFonts w:ascii="Arial" w:hAnsi="Arial" w:cs="Arial"/>
          <w:sz w:val="24"/>
          <w:szCs w:val="24"/>
          <w:lang w:val="en-GB"/>
        </w:rPr>
        <w:t xml:space="preserve"> September 2006 Court order</w:t>
      </w:r>
      <w:r w:rsidR="007151EE" w:rsidRPr="00D87EDD">
        <w:rPr>
          <w:rFonts w:ascii="Arial" w:hAnsi="Arial" w:cs="Arial"/>
          <w:sz w:val="24"/>
          <w:szCs w:val="24"/>
          <w:lang w:val="en-GB"/>
        </w:rPr>
        <w:t>.</w:t>
      </w:r>
    </w:p>
    <w:p w14:paraId="065712F8" w14:textId="77777777" w:rsidR="008051AA" w:rsidRPr="0081243C" w:rsidRDefault="008051AA" w:rsidP="005E0FB1">
      <w:pPr>
        <w:pStyle w:val="ListParagraph"/>
        <w:spacing w:line="480" w:lineRule="auto"/>
        <w:jc w:val="both"/>
        <w:rPr>
          <w:rFonts w:ascii="Arial" w:hAnsi="Arial" w:cs="Arial"/>
          <w:sz w:val="24"/>
          <w:szCs w:val="24"/>
          <w:lang w:val="en-GB"/>
        </w:rPr>
      </w:pPr>
    </w:p>
    <w:p w14:paraId="557F7043" w14:textId="6F85963A" w:rsidR="008051AA" w:rsidRPr="00D87EDD" w:rsidRDefault="00D87EDD" w:rsidP="00D87EDD">
      <w:pPr>
        <w:spacing w:before="240" w:line="480" w:lineRule="auto"/>
        <w:ind w:left="720" w:hanging="720"/>
        <w:jc w:val="both"/>
        <w:rPr>
          <w:rFonts w:ascii="Arial" w:hAnsi="Arial" w:cs="Arial"/>
          <w:sz w:val="24"/>
          <w:szCs w:val="24"/>
          <w:lang w:val="en-GB"/>
        </w:rPr>
      </w:pPr>
      <w:r w:rsidRPr="0081243C">
        <w:rPr>
          <w:rFonts w:ascii="Arial" w:hAnsi="Arial" w:cs="Arial"/>
          <w:sz w:val="24"/>
          <w:szCs w:val="24"/>
          <w:lang w:val="en-GB"/>
        </w:rPr>
        <w:t>27.</w:t>
      </w:r>
      <w:r w:rsidRPr="0081243C">
        <w:rPr>
          <w:rFonts w:ascii="Arial" w:hAnsi="Arial" w:cs="Arial"/>
          <w:sz w:val="24"/>
          <w:szCs w:val="24"/>
          <w:lang w:val="en-GB"/>
        </w:rPr>
        <w:tab/>
      </w:r>
      <w:r w:rsidR="008051AA" w:rsidRPr="00D87EDD">
        <w:rPr>
          <w:rFonts w:ascii="Arial" w:hAnsi="Arial" w:cs="Arial"/>
          <w:sz w:val="24"/>
          <w:szCs w:val="24"/>
          <w:lang w:val="en-GB"/>
        </w:rPr>
        <w:t>Several claims were received by the curator</w:t>
      </w:r>
      <w:r w:rsidR="00CD53ED" w:rsidRPr="00D87EDD">
        <w:rPr>
          <w:rFonts w:ascii="Arial" w:hAnsi="Arial" w:cs="Arial"/>
          <w:sz w:val="24"/>
          <w:szCs w:val="24"/>
          <w:lang w:val="en-GB"/>
        </w:rPr>
        <w:t xml:space="preserve"> </w:t>
      </w:r>
      <w:r w:rsidR="00CD53ED" w:rsidRPr="00D87EDD">
        <w:rPr>
          <w:rFonts w:ascii="Arial" w:hAnsi="Arial" w:cs="Arial"/>
          <w:i/>
          <w:iCs/>
          <w:sz w:val="24"/>
          <w:szCs w:val="24"/>
          <w:lang w:val="en-GB"/>
        </w:rPr>
        <w:t>bonis</w:t>
      </w:r>
      <w:r w:rsidR="008051AA" w:rsidRPr="00D87EDD">
        <w:rPr>
          <w:rFonts w:ascii="Arial" w:hAnsi="Arial" w:cs="Arial"/>
          <w:sz w:val="24"/>
          <w:szCs w:val="24"/>
          <w:lang w:val="en-GB"/>
        </w:rPr>
        <w:t xml:space="preserve"> against Barnard’s trust ba</w:t>
      </w:r>
      <w:r w:rsidR="00E642F8" w:rsidRPr="00D87EDD">
        <w:rPr>
          <w:rFonts w:ascii="Arial" w:hAnsi="Arial" w:cs="Arial"/>
          <w:sz w:val="24"/>
          <w:szCs w:val="24"/>
          <w:lang w:val="en-GB"/>
        </w:rPr>
        <w:t>n</w:t>
      </w:r>
      <w:r w:rsidR="008051AA" w:rsidRPr="00D87EDD">
        <w:rPr>
          <w:rFonts w:ascii="Arial" w:hAnsi="Arial" w:cs="Arial"/>
          <w:sz w:val="24"/>
          <w:szCs w:val="24"/>
          <w:lang w:val="en-GB"/>
        </w:rPr>
        <w:t>king account and the amount available in trust was not enough to satisfy the trust creditor’s claims.  In this process, the curator</w:t>
      </w:r>
      <w:r w:rsidR="00CD53ED" w:rsidRPr="00D87EDD">
        <w:rPr>
          <w:rFonts w:ascii="Arial" w:hAnsi="Arial" w:cs="Arial"/>
          <w:sz w:val="24"/>
          <w:szCs w:val="24"/>
          <w:lang w:val="en-GB"/>
        </w:rPr>
        <w:t xml:space="preserve"> </w:t>
      </w:r>
      <w:r w:rsidR="00CD53ED" w:rsidRPr="00D87EDD">
        <w:rPr>
          <w:rFonts w:ascii="Arial" w:hAnsi="Arial" w:cs="Arial"/>
          <w:i/>
          <w:iCs/>
          <w:sz w:val="24"/>
          <w:szCs w:val="24"/>
          <w:lang w:val="en-GB"/>
        </w:rPr>
        <w:t>bonis</w:t>
      </w:r>
      <w:r w:rsidR="008051AA" w:rsidRPr="00D87EDD">
        <w:rPr>
          <w:rFonts w:ascii="Arial" w:hAnsi="Arial" w:cs="Arial"/>
          <w:sz w:val="24"/>
          <w:szCs w:val="24"/>
          <w:lang w:val="en-GB"/>
        </w:rPr>
        <w:t xml:space="preserve"> established that at the time of Barnard’s death a substantial trust deficit existed in his bookkeeping.</w:t>
      </w:r>
    </w:p>
    <w:p w14:paraId="301760E3" w14:textId="77777777" w:rsidR="00CD4324" w:rsidRPr="0081243C" w:rsidRDefault="00CD4324" w:rsidP="00CD4324">
      <w:pPr>
        <w:pStyle w:val="ListParagraph"/>
        <w:rPr>
          <w:rFonts w:ascii="Arial" w:hAnsi="Arial" w:cs="Arial"/>
          <w:sz w:val="24"/>
          <w:szCs w:val="24"/>
          <w:lang w:val="en-GB"/>
        </w:rPr>
      </w:pPr>
    </w:p>
    <w:p w14:paraId="2C22049A" w14:textId="657F238E" w:rsidR="00CD4324" w:rsidRPr="00D87EDD" w:rsidRDefault="00D87EDD" w:rsidP="00D87EDD">
      <w:pPr>
        <w:spacing w:before="240" w:line="480" w:lineRule="auto"/>
        <w:ind w:left="720" w:hanging="720"/>
        <w:jc w:val="both"/>
        <w:rPr>
          <w:rFonts w:ascii="Arial" w:hAnsi="Arial" w:cs="Arial"/>
          <w:sz w:val="24"/>
          <w:szCs w:val="24"/>
          <w:lang w:val="en-GB"/>
        </w:rPr>
      </w:pPr>
      <w:r w:rsidRPr="0081243C">
        <w:rPr>
          <w:rFonts w:ascii="Arial" w:hAnsi="Arial" w:cs="Arial"/>
          <w:sz w:val="24"/>
          <w:szCs w:val="24"/>
          <w:lang w:val="en-GB"/>
        </w:rPr>
        <w:t>28.</w:t>
      </w:r>
      <w:r w:rsidRPr="0081243C">
        <w:rPr>
          <w:rFonts w:ascii="Arial" w:hAnsi="Arial" w:cs="Arial"/>
          <w:sz w:val="24"/>
          <w:szCs w:val="24"/>
          <w:lang w:val="en-GB"/>
        </w:rPr>
        <w:tab/>
      </w:r>
      <w:r w:rsidR="00CD4324" w:rsidRPr="00D87EDD">
        <w:rPr>
          <w:rFonts w:ascii="Arial" w:hAnsi="Arial" w:cs="Arial"/>
          <w:sz w:val="24"/>
          <w:szCs w:val="24"/>
          <w:lang w:val="en-GB"/>
        </w:rPr>
        <w:t xml:space="preserve">At the time, the curator </w:t>
      </w:r>
      <w:r w:rsidR="00CD4324" w:rsidRPr="00D87EDD">
        <w:rPr>
          <w:rFonts w:ascii="Arial" w:hAnsi="Arial" w:cs="Arial"/>
          <w:i/>
          <w:iCs/>
          <w:sz w:val="24"/>
          <w:szCs w:val="24"/>
          <w:lang w:val="en-GB"/>
        </w:rPr>
        <w:t>bonis</w:t>
      </w:r>
      <w:r w:rsidR="00CD4324" w:rsidRPr="00D87EDD">
        <w:rPr>
          <w:rFonts w:ascii="Arial" w:hAnsi="Arial" w:cs="Arial"/>
          <w:sz w:val="24"/>
          <w:szCs w:val="24"/>
          <w:lang w:val="en-GB"/>
        </w:rPr>
        <w:t xml:space="preserve"> did not receive a claim from the</w:t>
      </w:r>
      <w:r w:rsidR="001A647B" w:rsidRPr="00D87EDD">
        <w:rPr>
          <w:rFonts w:ascii="Arial" w:hAnsi="Arial" w:cs="Arial"/>
          <w:sz w:val="24"/>
          <w:szCs w:val="24"/>
          <w:lang w:val="en-GB"/>
        </w:rPr>
        <w:t xml:space="preserve"> first and/or second</w:t>
      </w:r>
      <w:r w:rsidR="00CD4324" w:rsidRPr="00D87EDD">
        <w:rPr>
          <w:rFonts w:ascii="Arial" w:hAnsi="Arial" w:cs="Arial"/>
          <w:sz w:val="24"/>
          <w:szCs w:val="24"/>
          <w:lang w:val="en-GB"/>
        </w:rPr>
        <w:t xml:space="preserve"> Applicants.</w:t>
      </w:r>
    </w:p>
    <w:p w14:paraId="15028EB6" w14:textId="77777777" w:rsidR="008051AA" w:rsidRPr="0081243C" w:rsidRDefault="008051AA" w:rsidP="005E0FB1">
      <w:pPr>
        <w:pStyle w:val="ListParagraph"/>
        <w:jc w:val="both"/>
        <w:rPr>
          <w:rFonts w:ascii="Arial" w:hAnsi="Arial" w:cs="Arial"/>
          <w:sz w:val="24"/>
          <w:szCs w:val="24"/>
          <w:lang w:val="en-GB"/>
        </w:rPr>
      </w:pPr>
    </w:p>
    <w:p w14:paraId="1E29A3D3" w14:textId="36641C65" w:rsidR="008051AA" w:rsidRPr="00D87EDD" w:rsidRDefault="00D87EDD" w:rsidP="00D87EDD">
      <w:pPr>
        <w:spacing w:before="240" w:line="480" w:lineRule="auto"/>
        <w:ind w:left="720" w:hanging="720"/>
        <w:jc w:val="both"/>
        <w:rPr>
          <w:rFonts w:ascii="Arial" w:hAnsi="Arial" w:cs="Arial"/>
          <w:sz w:val="24"/>
          <w:szCs w:val="24"/>
          <w:lang w:val="en-GB"/>
        </w:rPr>
      </w:pPr>
      <w:r w:rsidRPr="0081243C">
        <w:rPr>
          <w:rFonts w:ascii="Arial" w:hAnsi="Arial" w:cs="Arial"/>
          <w:sz w:val="24"/>
          <w:szCs w:val="24"/>
          <w:lang w:val="en-GB"/>
        </w:rPr>
        <w:t>29.</w:t>
      </w:r>
      <w:r w:rsidRPr="0081243C">
        <w:rPr>
          <w:rFonts w:ascii="Arial" w:hAnsi="Arial" w:cs="Arial"/>
          <w:sz w:val="24"/>
          <w:szCs w:val="24"/>
          <w:lang w:val="en-GB"/>
        </w:rPr>
        <w:tab/>
      </w:r>
      <w:r w:rsidR="008051AA" w:rsidRPr="00D87EDD">
        <w:rPr>
          <w:rFonts w:ascii="Arial" w:hAnsi="Arial" w:cs="Arial"/>
          <w:sz w:val="24"/>
          <w:szCs w:val="24"/>
          <w:lang w:val="en-GB"/>
        </w:rPr>
        <w:t xml:space="preserve">As a result of the obvious trust deficit in Barnard’s trust banking account, and on 15 May 2013, the amount </w:t>
      </w:r>
      <w:r w:rsidR="00752558" w:rsidRPr="00D87EDD">
        <w:rPr>
          <w:rFonts w:ascii="Arial" w:hAnsi="Arial" w:cs="Arial"/>
          <w:sz w:val="24"/>
          <w:szCs w:val="24"/>
          <w:lang w:val="en-GB"/>
        </w:rPr>
        <w:t xml:space="preserve">that was available in the trust account, the amount </w:t>
      </w:r>
      <w:r w:rsidR="008051AA" w:rsidRPr="00D87EDD">
        <w:rPr>
          <w:rFonts w:ascii="Arial" w:hAnsi="Arial" w:cs="Arial"/>
          <w:sz w:val="24"/>
          <w:szCs w:val="24"/>
          <w:lang w:val="en-GB"/>
        </w:rPr>
        <w:t>of R1 104 902.53</w:t>
      </w:r>
      <w:r w:rsidR="00752558" w:rsidRPr="00D87EDD">
        <w:rPr>
          <w:rFonts w:ascii="Arial" w:hAnsi="Arial" w:cs="Arial"/>
          <w:sz w:val="24"/>
          <w:szCs w:val="24"/>
          <w:lang w:val="en-GB"/>
        </w:rPr>
        <w:t>,</w:t>
      </w:r>
      <w:r w:rsidR="008051AA" w:rsidRPr="00D87EDD">
        <w:rPr>
          <w:rFonts w:ascii="Arial" w:hAnsi="Arial" w:cs="Arial"/>
          <w:sz w:val="24"/>
          <w:szCs w:val="24"/>
          <w:lang w:val="en-GB"/>
        </w:rPr>
        <w:t xml:space="preserve"> was paid to the L</w:t>
      </w:r>
      <w:r w:rsidR="00CD53ED" w:rsidRPr="00D87EDD">
        <w:rPr>
          <w:rFonts w:ascii="Arial" w:hAnsi="Arial" w:cs="Arial"/>
          <w:sz w:val="24"/>
          <w:szCs w:val="24"/>
          <w:lang w:val="en-GB"/>
        </w:rPr>
        <w:t>PFF.</w:t>
      </w:r>
    </w:p>
    <w:p w14:paraId="3E7EA8F9" w14:textId="77777777" w:rsidR="008051AA" w:rsidRPr="0081243C" w:rsidRDefault="008051AA" w:rsidP="005E0FB1">
      <w:pPr>
        <w:spacing w:line="480" w:lineRule="auto"/>
        <w:jc w:val="both"/>
        <w:rPr>
          <w:rFonts w:ascii="Arial" w:hAnsi="Arial" w:cs="Arial"/>
          <w:sz w:val="24"/>
          <w:szCs w:val="24"/>
          <w:lang w:val="en-GB"/>
        </w:rPr>
      </w:pPr>
    </w:p>
    <w:p w14:paraId="76AE1DDF" w14:textId="397AE189" w:rsidR="002A004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30.</w:t>
      </w:r>
      <w:r w:rsidRPr="0081243C">
        <w:rPr>
          <w:rFonts w:ascii="Arial" w:hAnsi="Arial" w:cs="Arial"/>
          <w:sz w:val="24"/>
          <w:szCs w:val="24"/>
          <w:lang w:val="en-GB"/>
        </w:rPr>
        <w:tab/>
      </w:r>
      <w:r w:rsidR="002405EE" w:rsidRPr="00D87EDD">
        <w:rPr>
          <w:rFonts w:ascii="Arial" w:hAnsi="Arial" w:cs="Arial"/>
          <w:sz w:val="24"/>
          <w:szCs w:val="24"/>
          <w:lang w:val="en-GB"/>
        </w:rPr>
        <w:t xml:space="preserve">According to the Applicants they were never contacted by the curator </w:t>
      </w:r>
      <w:r w:rsidR="001B3742" w:rsidRPr="00D87EDD">
        <w:rPr>
          <w:rFonts w:ascii="Arial" w:hAnsi="Arial" w:cs="Arial"/>
          <w:i/>
          <w:iCs/>
          <w:sz w:val="24"/>
          <w:szCs w:val="24"/>
          <w:lang w:val="en-GB"/>
        </w:rPr>
        <w:t>bonis</w:t>
      </w:r>
      <w:r w:rsidR="001B3742" w:rsidRPr="00D87EDD">
        <w:rPr>
          <w:rFonts w:ascii="Arial" w:hAnsi="Arial" w:cs="Arial"/>
          <w:sz w:val="24"/>
          <w:szCs w:val="24"/>
          <w:lang w:val="en-GB"/>
        </w:rPr>
        <w:t xml:space="preserve">.  It was left to the attorney of the Applicants to </w:t>
      </w:r>
      <w:r w:rsidR="00AC3628" w:rsidRPr="00D87EDD">
        <w:rPr>
          <w:rFonts w:ascii="Arial" w:hAnsi="Arial" w:cs="Arial"/>
          <w:sz w:val="24"/>
          <w:szCs w:val="24"/>
          <w:lang w:val="en-GB"/>
        </w:rPr>
        <w:t>contact</w:t>
      </w:r>
      <w:r w:rsidR="001B3742" w:rsidRPr="00D87EDD">
        <w:rPr>
          <w:rFonts w:ascii="Arial" w:hAnsi="Arial" w:cs="Arial"/>
          <w:sz w:val="24"/>
          <w:szCs w:val="24"/>
          <w:lang w:val="en-GB"/>
        </w:rPr>
        <w:t xml:space="preserve"> the first and second Respondents.  </w:t>
      </w:r>
      <w:r w:rsidR="002A0049" w:rsidRPr="00D87EDD">
        <w:rPr>
          <w:rFonts w:ascii="Arial" w:hAnsi="Arial" w:cs="Arial"/>
          <w:sz w:val="24"/>
          <w:szCs w:val="24"/>
          <w:lang w:val="en-GB"/>
        </w:rPr>
        <w:t xml:space="preserve">On 14 January 2013 a letter was send to the Law Society of Northern Provinces indicating that an amount of R900 000.00 was invested in terms of Rule 78 of the Rules of the Law Society and an enquiry was made if the money is still in trust.  </w:t>
      </w:r>
    </w:p>
    <w:p w14:paraId="10BCDAD1" w14:textId="77777777" w:rsidR="002A0049" w:rsidRPr="0081243C" w:rsidRDefault="002A0049" w:rsidP="005E0FB1">
      <w:pPr>
        <w:pStyle w:val="ListParagraph"/>
        <w:jc w:val="both"/>
        <w:rPr>
          <w:rFonts w:ascii="Arial" w:hAnsi="Arial" w:cs="Arial"/>
          <w:sz w:val="24"/>
          <w:szCs w:val="24"/>
          <w:lang w:val="en-GB"/>
        </w:rPr>
      </w:pPr>
    </w:p>
    <w:p w14:paraId="773C7EB3" w14:textId="146C091A" w:rsidR="002A004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lastRenderedPageBreak/>
        <w:t>31.</w:t>
      </w:r>
      <w:r w:rsidRPr="0081243C">
        <w:rPr>
          <w:rFonts w:ascii="Arial" w:hAnsi="Arial" w:cs="Arial"/>
          <w:sz w:val="24"/>
          <w:szCs w:val="24"/>
          <w:lang w:val="en-GB"/>
        </w:rPr>
        <w:tab/>
      </w:r>
      <w:r w:rsidR="002A0049" w:rsidRPr="00D87EDD">
        <w:rPr>
          <w:rFonts w:ascii="Arial" w:hAnsi="Arial" w:cs="Arial"/>
          <w:sz w:val="24"/>
          <w:szCs w:val="24"/>
          <w:lang w:val="en-GB"/>
        </w:rPr>
        <w:t>Subsequent to</w:t>
      </w:r>
      <w:r w:rsidR="001B3742" w:rsidRPr="00D87EDD">
        <w:rPr>
          <w:rFonts w:ascii="Arial" w:hAnsi="Arial" w:cs="Arial"/>
          <w:sz w:val="24"/>
          <w:szCs w:val="24"/>
          <w:lang w:val="en-GB"/>
        </w:rPr>
        <w:t xml:space="preserve"> the</w:t>
      </w:r>
      <w:r w:rsidR="002A0049" w:rsidRPr="00D87EDD">
        <w:rPr>
          <w:rFonts w:ascii="Arial" w:hAnsi="Arial" w:cs="Arial"/>
          <w:sz w:val="24"/>
          <w:szCs w:val="24"/>
          <w:lang w:val="en-GB"/>
        </w:rPr>
        <w:t xml:space="preserve"> aforementioned</w:t>
      </w:r>
      <w:r w:rsidR="001B3742" w:rsidRPr="00D87EDD">
        <w:rPr>
          <w:rFonts w:ascii="Arial" w:hAnsi="Arial" w:cs="Arial"/>
          <w:sz w:val="24"/>
          <w:szCs w:val="24"/>
          <w:lang w:val="en-GB"/>
        </w:rPr>
        <w:t xml:space="preserve"> enquiry,</w:t>
      </w:r>
      <w:r w:rsidR="009F6009" w:rsidRPr="00D87EDD">
        <w:rPr>
          <w:rFonts w:ascii="Arial" w:hAnsi="Arial" w:cs="Arial"/>
          <w:sz w:val="24"/>
          <w:szCs w:val="24"/>
          <w:lang w:val="en-GB"/>
        </w:rPr>
        <w:t xml:space="preserve"> and on 25 January 2013,</w:t>
      </w:r>
      <w:r w:rsidR="001B3742" w:rsidRPr="00D87EDD">
        <w:rPr>
          <w:rFonts w:ascii="Arial" w:hAnsi="Arial" w:cs="Arial"/>
          <w:sz w:val="24"/>
          <w:szCs w:val="24"/>
          <w:lang w:val="en-GB"/>
        </w:rPr>
        <w:t xml:space="preserve"> the </w:t>
      </w:r>
      <w:r w:rsidR="002A0049" w:rsidRPr="00D87EDD">
        <w:rPr>
          <w:rFonts w:ascii="Arial" w:hAnsi="Arial" w:cs="Arial"/>
          <w:sz w:val="24"/>
          <w:szCs w:val="24"/>
          <w:lang w:val="en-GB"/>
        </w:rPr>
        <w:t>Law Society of Northern Provinces, and under the hand of Mrs E Veldsman,</w:t>
      </w:r>
      <w:r w:rsidR="001B3742" w:rsidRPr="00D87EDD">
        <w:rPr>
          <w:rFonts w:ascii="Arial" w:hAnsi="Arial" w:cs="Arial"/>
          <w:sz w:val="24"/>
          <w:szCs w:val="24"/>
          <w:lang w:val="en-GB"/>
        </w:rPr>
        <w:t xml:space="preserve"> </w:t>
      </w:r>
      <w:r w:rsidR="002A0049" w:rsidRPr="00D87EDD">
        <w:rPr>
          <w:rFonts w:ascii="Arial" w:hAnsi="Arial" w:cs="Arial"/>
          <w:sz w:val="24"/>
          <w:szCs w:val="24"/>
          <w:lang w:val="en-GB"/>
        </w:rPr>
        <w:t xml:space="preserve">informed the attorneys of the Applicants that a curator </w:t>
      </w:r>
      <w:r w:rsidR="002A0049" w:rsidRPr="00D87EDD">
        <w:rPr>
          <w:rFonts w:ascii="Arial" w:hAnsi="Arial" w:cs="Arial"/>
          <w:i/>
          <w:iCs/>
          <w:sz w:val="24"/>
          <w:szCs w:val="24"/>
          <w:lang w:val="en-GB"/>
        </w:rPr>
        <w:t xml:space="preserve">bonis </w:t>
      </w:r>
      <w:r w:rsidR="002A0049" w:rsidRPr="00D87EDD">
        <w:rPr>
          <w:rFonts w:ascii="Arial" w:hAnsi="Arial" w:cs="Arial"/>
          <w:sz w:val="24"/>
          <w:szCs w:val="24"/>
          <w:lang w:val="en-GB"/>
        </w:rPr>
        <w:t>was appointed.  They were also advised that a claim need to be submitted against the Attorneys Fidelity Fund.  The process was set out in the correspondence and proof of the payment was requested.</w:t>
      </w:r>
    </w:p>
    <w:p w14:paraId="66D59B1A" w14:textId="77777777" w:rsidR="002A0049" w:rsidRPr="0081243C" w:rsidRDefault="002A0049" w:rsidP="005E0FB1">
      <w:pPr>
        <w:pStyle w:val="ListParagraph"/>
        <w:jc w:val="both"/>
        <w:rPr>
          <w:rFonts w:ascii="Arial" w:hAnsi="Arial" w:cs="Arial"/>
          <w:sz w:val="24"/>
          <w:szCs w:val="24"/>
          <w:lang w:val="en-GB"/>
        </w:rPr>
      </w:pPr>
    </w:p>
    <w:p w14:paraId="4A0C72CB" w14:textId="4E09161A" w:rsidR="009F600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32.</w:t>
      </w:r>
      <w:r w:rsidRPr="0081243C">
        <w:rPr>
          <w:rFonts w:ascii="Arial" w:hAnsi="Arial" w:cs="Arial"/>
          <w:sz w:val="24"/>
          <w:szCs w:val="24"/>
          <w:lang w:val="en-GB"/>
        </w:rPr>
        <w:tab/>
      </w:r>
      <w:r w:rsidR="009F6009" w:rsidRPr="00D87EDD">
        <w:rPr>
          <w:rFonts w:ascii="Arial" w:hAnsi="Arial" w:cs="Arial"/>
          <w:sz w:val="24"/>
          <w:szCs w:val="24"/>
          <w:lang w:val="en-GB"/>
        </w:rPr>
        <w:t xml:space="preserve">The second Applicant proceeded to take the necessary steps to claim the amount from the Attorneys Fidelity Fund.  The affidavit that was provided in substantiation of the claim is attached to the founding affidavit.  The annexures to this affidavit, however, is omitted from the application.  </w:t>
      </w:r>
    </w:p>
    <w:p w14:paraId="5A9CAFF5" w14:textId="77777777" w:rsidR="009F6009" w:rsidRPr="0081243C" w:rsidRDefault="009F6009" w:rsidP="005E0FB1">
      <w:pPr>
        <w:pStyle w:val="ListParagraph"/>
        <w:jc w:val="both"/>
        <w:rPr>
          <w:rFonts w:ascii="Arial" w:hAnsi="Arial" w:cs="Arial"/>
          <w:sz w:val="24"/>
          <w:szCs w:val="24"/>
          <w:lang w:val="en-GB"/>
        </w:rPr>
      </w:pPr>
    </w:p>
    <w:p w14:paraId="633E999F" w14:textId="3DEABF6E" w:rsidR="00DB7F7E"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33.</w:t>
      </w:r>
      <w:r w:rsidRPr="0081243C">
        <w:rPr>
          <w:rFonts w:ascii="Arial" w:hAnsi="Arial" w:cs="Arial"/>
          <w:sz w:val="24"/>
          <w:szCs w:val="24"/>
          <w:lang w:val="en-GB"/>
        </w:rPr>
        <w:tab/>
      </w:r>
      <w:r w:rsidR="009F6009" w:rsidRPr="00D87EDD">
        <w:rPr>
          <w:rFonts w:ascii="Arial" w:hAnsi="Arial" w:cs="Arial"/>
          <w:sz w:val="24"/>
          <w:szCs w:val="24"/>
          <w:lang w:val="en-GB"/>
        </w:rPr>
        <w:t xml:space="preserve">This application for the payment was </w:t>
      </w:r>
      <w:r w:rsidR="00DB7F7E" w:rsidRPr="00D87EDD">
        <w:rPr>
          <w:rFonts w:ascii="Arial" w:hAnsi="Arial" w:cs="Arial"/>
          <w:sz w:val="24"/>
          <w:szCs w:val="24"/>
          <w:lang w:val="en-GB"/>
        </w:rPr>
        <w:t>faxed</w:t>
      </w:r>
      <w:r w:rsidR="009F6009" w:rsidRPr="00D87EDD">
        <w:rPr>
          <w:rFonts w:ascii="Arial" w:hAnsi="Arial" w:cs="Arial"/>
          <w:sz w:val="24"/>
          <w:szCs w:val="24"/>
          <w:lang w:val="en-GB"/>
        </w:rPr>
        <w:t xml:space="preserve"> to the first Respondent on 1 February 2013</w:t>
      </w:r>
      <w:r w:rsidR="00DB7F7E" w:rsidRPr="00D87EDD">
        <w:rPr>
          <w:rFonts w:ascii="Arial" w:hAnsi="Arial" w:cs="Arial"/>
          <w:sz w:val="24"/>
          <w:szCs w:val="24"/>
          <w:lang w:val="en-GB"/>
        </w:rPr>
        <w:t>.</w:t>
      </w:r>
    </w:p>
    <w:p w14:paraId="0DEF2EDD" w14:textId="77777777" w:rsidR="00BB5303" w:rsidRPr="0081243C" w:rsidRDefault="00BB5303" w:rsidP="006B0CBD">
      <w:pPr>
        <w:jc w:val="both"/>
        <w:rPr>
          <w:rFonts w:ascii="Arial" w:hAnsi="Arial" w:cs="Arial"/>
          <w:sz w:val="24"/>
          <w:szCs w:val="24"/>
          <w:lang w:val="en-GB"/>
        </w:rPr>
      </w:pPr>
    </w:p>
    <w:p w14:paraId="201CDA4B" w14:textId="4C4A2B5A" w:rsidR="00BB5303"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34.</w:t>
      </w:r>
      <w:r w:rsidRPr="0081243C">
        <w:rPr>
          <w:rFonts w:ascii="Arial" w:hAnsi="Arial" w:cs="Arial"/>
          <w:sz w:val="24"/>
          <w:szCs w:val="24"/>
          <w:lang w:val="en-GB"/>
        </w:rPr>
        <w:tab/>
      </w:r>
      <w:r w:rsidR="00BB5303" w:rsidRPr="00D87EDD">
        <w:rPr>
          <w:rFonts w:ascii="Arial" w:hAnsi="Arial" w:cs="Arial"/>
          <w:sz w:val="24"/>
          <w:szCs w:val="24"/>
          <w:lang w:val="en-GB"/>
        </w:rPr>
        <w:t>On 21 February 2013 it was communicated to the attorneys</w:t>
      </w:r>
      <w:r w:rsidR="006B0CBD" w:rsidRPr="00D87EDD">
        <w:rPr>
          <w:rFonts w:ascii="Arial" w:hAnsi="Arial" w:cs="Arial"/>
          <w:sz w:val="24"/>
          <w:szCs w:val="24"/>
          <w:lang w:val="en-GB"/>
        </w:rPr>
        <w:t xml:space="preserve"> for the Applicants</w:t>
      </w:r>
      <w:r w:rsidR="00BB5303" w:rsidRPr="00D87EDD">
        <w:rPr>
          <w:rFonts w:ascii="Arial" w:hAnsi="Arial" w:cs="Arial"/>
          <w:sz w:val="24"/>
          <w:szCs w:val="24"/>
          <w:lang w:val="en-GB"/>
        </w:rPr>
        <w:t xml:space="preserve"> that the claim is rejected.  The basis for the rejection is recorded as follows in the correspondence dated 8 February 2013: “</w:t>
      </w:r>
      <w:r w:rsidR="00BB5303" w:rsidRPr="00D87EDD">
        <w:rPr>
          <w:rFonts w:ascii="Arial" w:hAnsi="Arial" w:cs="Arial"/>
          <w:i/>
          <w:iCs/>
          <w:sz w:val="24"/>
          <w:szCs w:val="24"/>
          <w:lang w:val="en-GB"/>
        </w:rPr>
        <w:t>Kindly be advised that your client’s claim cannot be sustained by the Fund as it is excluded by virtue of the provisions of Section 47(1)(g) of the Attorneys Act 53 of 1979.”</w:t>
      </w:r>
    </w:p>
    <w:p w14:paraId="447F11E1" w14:textId="77777777" w:rsidR="00BB5303" w:rsidRPr="0081243C" w:rsidRDefault="00BB5303" w:rsidP="005E0FB1">
      <w:pPr>
        <w:pStyle w:val="ListParagraph"/>
        <w:jc w:val="both"/>
        <w:rPr>
          <w:rFonts w:ascii="Arial" w:hAnsi="Arial" w:cs="Arial"/>
          <w:sz w:val="24"/>
          <w:szCs w:val="24"/>
          <w:lang w:val="en-GB"/>
        </w:rPr>
      </w:pPr>
    </w:p>
    <w:p w14:paraId="0C9B7FB6" w14:textId="15F166AD" w:rsidR="00BB5303"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35.</w:t>
      </w:r>
      <w:r w:rsidRPr="0081243C">
        <w:rPr>
          <w:rFonts w:ascii="Arial" w:hAnsi="Arial" w:cs="Arial"/>
          <w:sz w:val="24"/>
          <w:szCs w:val="24"/>
          <w:lang w:val="en-GB"/>
        </w:rPr>
        <w:tab/>
      </w:r>
      <w:r w:rsidR="00BB5303" w:rsidRPr="00D87EDD">
        <w:rPr>
          <w:rFonts w:ascii="Arial" w:hAnsi="Arial" w:cs="Arial"/>
          <w:sz w:val="24"/>
          <w:szCs w:val="24"/>
          <w:lang w:val="en-GB"/>
        </w:rPr>
        <w:t xml:space="preserve">On 27 February 2013 the Law Society of Northern Provinces also informed the attorney for the Applicants as follows: </w:t>
      </w:r>
      <w:r w:rsidR="00BB5303" w:rsidRPr="00D87EDD">
        <w:rPr>
          <w:rFonts w:ascii="Arial" w:hAnsi="Arial" w:cs="Arial"/>
          <w:i/>
          <w:iCs/>
          <w:sz w:val="24"/>
          <w:szCs w:val="24"/>
          <w:lang w:val="en-GB"/>
        </w:rPr>
        <w:t>“We could not f</w:t>
      </w:r>
      <w:r w:rsidR="00477E8C" w:rsidRPr="00D87EDD">
        <w:rPr>
          <w:rFonts w:ascii="Arial" w:hAnsi="Arial" w:cs="Arial"/>
          <w:i/>
          <w:iCs/>
          <w:sz w:val="24"/>
          <w:szCs w:val="24"/>
          <w:lang w:val="en-GB"/>
        </w:rPr>
        <w:t>i</w:t>
      </w:r>
      <w:r w:rsidR="00BB5303" w:rsidRPr="00D87EDD">
        <w:rPr>
          <w:rFonts w:ascii="Arial" w:hAnsi="Arial" w:cs="Arial"/>
          <w:i/>
          <w:iCs/>
          <w:sz w:val="24"/>
          <w:szCs w:val="24"/>
          <w:lang w:val="en-GB"/>
        </w:rPr>
        <w:t>nd record of a Section 78(2A) account held for your client, and will suggest that you consider your clients remedies herein.”</w:t>
      </w:r>
    </w:p>
    <w:p w14:paraId="291AC142" w14:textId="77777777" w:rsidR="00BB5303" w:rsidRPr="0081243C" w:rsidRDefault="00BB5303" w:rsidP="005E0FB1">
      <w:pPr>
        <w:pStyle w:val="ListParagraph"/>
        <w:jc w:val="both"/>
        <w:rPr>
          <w:rFonts w:ascii="Arial" w:hAnsi="Arial" w:cs="Arial"/>
          <w:sz w:val="24"/>
          <w:szCs w:val="24"/>
          <w:lang w:val="en-GB"/>
        </w:rPr>
      </w:pPr>
    </w:p>
    <w:p w14:paraId="722C508A" w14:textId="50399060" w:rsidR="00BB5303"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36.</w:t>
      </w:r>
      <w:r w:rsidRPr="0081243C">
        <w:rPr>
          <w:rFonts w:ascii="Arial" w:hAnsi="Arial" w:cs="Arial"/>
          <w:sz w:val="24"/>
          <w:szCs w:val="24"/>
          <w:lang w:val="en-GB"/>
        </w:rPr>
        <w:tab/>
      </w:r>
      <w:r w:rsidR="00BB5303" w:rsidRPr="00D87EDD">
        <w:rPr>
          <w:rFonts w:ascii="Arial" w:hAnsi="Arial" w:cs="Arial"/>
          <w:sz w:val="24"/>
          <w:szCs w:val="24"/>
          <w:lang w:val="en-GB"/>
        </w:rPr>
        <w:t xml:space="preserve">Various further correspondence was exchanged between the parties.  For the purposes of </w:t>
      </w:r>
      <w:r w:rsidR="00570D83" w:rsidRPr="00D87EDD">
        <w:rPr>
          <w:rFonts w:ascii="Arial" w:hAnsi="Arial" w:cs="Arial"/>
          <w:sz w:val="24"/>
          <w:szCs w:val="24"/>
          <w:lang w:val="en-GB"/>
        </w:rPr>
        <w:t>this</w:t>
      </w:r>
      <w:r w:rsidR="00BB5303" w:rsidRPr="00D87EDD">
        <w:rPr>
          <w:rFonts w:ascii="Arial" w:hAnsi="Arial" w:cs="Arial"/>
          <w:sz w:val="24"/>
          <w:szCs w:val="24"/>
          <w:lang w:val="en-GB"/>
        </w:rPr>
        <w:t xml:space="preserve"> claim it is not necessary that I deal with the contents of these letters in this judgment.  It does not really take the matter any further and does not assist the Applicants in proving their alleged claim against the Respondents.  </w:t>
      </w:r>
    </w:p>
    <w:p w14:paraId="0871FE0F" w14:textId="77777777" w:rsidR="008051AA" w:rsidRPr="0081243C" w:rsidRDefault="008051AA" w:rsidP="005E0FB1">
      <w:pPr>
        <w:spacing w:line="480" w:lineRule="auto"/>
        <w:jc w:val="both"/>
        <w:rPr>
          <w:rFonts w:ascii="Arial" w:hAnsi="Arial" w:cs="Arial"/>
          <w:sz w:val="24"/>
          <w:szCs w:val="24"/>
          <w:lang w:val="en-GB"/>
        </w:rPr>
      </w:pPr>
    </w:p>
    <w:p w14:paraId="1C004758" w14:textId="3243D968" w:rsidR="00D92FED" w:rsidRPr="0081243C" w:rsidRDefault="00E642F8" w:rsidP="005E0FB1">
      <w:pPr>
        <w:spacing w:line="480" w:lineRule="auto"/>
        <w:jc w:val="both"/>
        <w:rPr>
          <w:rFonts w:ascii="Arial" w:hAnsi="Arial" w:cs="Arial"/>
          <w:i/>
          <w:iCs/>
          <w:sz w:val="24"/>
          <w:szCs w:val="24"/>
          <w:lang w:val="en-GB"/>
        </w:rPr>
      </w:pPr>
      <w:r w:rsidRPr="0081243C">
        <w:rPr>
          <w:rFonts w:ascii="Arial" w:hAnsi="Arial" w:cs="Arial"/>
          <w:b/>
          <w:bCs/>
          <w:sz w:val="24"/>
          <w:szCs w:val="24"/>
          <w:u w:val="single"/>
          <w:lang w:val="en-GB"/>
        </w:rPr>
        <w:t xml:space="preserve">FIRST POINT </w:t>
      </w:r>
      <w:r w:rsidRPr="0081243C">
        <w:rPr>
          <w:rFonts w:ascii="Arial" w:hAnsi="Arial" w:cs="Arial"/>
          <w:b/>
          <w:bCs/>
          <w:i/>
          <w:iCs/>
          <w:sz w:val="24"/>
          <w:szCs w:val="24"/>
          <w:u w:val="single"/>
          <w:lang w:val="en-GB"/>
        </w:rPr>
        <w:t xml:space="preserve">IN LIMINE - </w:t>
      </w:r>
      <w:r w:rsidR="00D92FED" w:rsidRPr="0081243C">
        <w:rPr>
          <w:rFonts w:ascii="Arial" w:hAnsi="Arial" w:cs="Arial"/>
          <w:b/>
          <w:bCs/>
          <w:sz w:val="24"/>
          <w:szCs w:val="24"/>
          <w:u w:val="single"/>
          <w:lang w:val="en-GB"/>
        </w:rPr>
        <w:t>INTERLOCUTORY APPLICATION BEFORE COURT</w:t>
      </w:r>
    </w:p>
    <w:p w14:paraId="74DA1D15" w14:textId="77777777" w:rsidR="00D92FED" w:rsidRPr="0081243C" w:rsidRDefault="00D92FED" w:rsidP="005E0FB1">
      <w:pPr>
        <w:spacing w:line="480" w:lineRule="auto"/>
        <w:jc w:val="both"/>
        <w:rPr>
          <w:rFonts w:ascii="Arial" w:hAnsi="Arial" w:cs="Arial"/>
          <w:sz w:val="24"/>
          <w:szCs w:val="24"/>
          <w:lang w:val="en-GB"/>
        </w:rPr>
      </w:pPr>
    </w:p>
    <w:p w14:paraId="4440A279" w14:textId="4E9CD9A9" w:rsidR="00D92FE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37.</w:t>
      </w:r>
      <w:r w:rsidRPr="0081243C">
        <w:rPr>
          <w:rFonts w:ascii="Arial" w:hAnsi="Arial" w:cs="Arial"/>
          <w:sz w:val="24"/>
          <w:szCs w:val="24"/>
          <w:lang w:val="en-GB"/>
        </w:rPr>
        <w:tab/>
      </w:r>
      <w:r w:rsidR="00D92FED" w:rsidRPr="00D87EDD">
        <w:rPr>
          <w:rFonts w:ascii="Arial" w:hAnsi="Arial" w:cs="Arial"/>
          <w:sz w:val="24"/>
          <w:szCs w:val="24"/>
          <w:lang w:val="en-GB"/>
        </w:rPr>
        <w:t xml:space="preserve">The first point </w:t>
      </w:r>
      <w:r w:rsidR="00D92FED" w:rsidRPr="00D87EDD">
        <w:rPr>
          <w:rFonts w:ascii="Arial" w:hAnsi="Arial" w:cs="Arial"/>
          <w:i/>
          <w:iCs/>
          <w:sz w:val="24"/>
          <w:szCs w:val="24"/>
          <w:lang w:val="en-GB"/>
        </w:rPr>
        <w:t>in limine</w:t>
      </w:r>
      <w:r w:rsidR="00D92FED" w:rsidRPr="00D87EDD">
        <w:rPr>
          <w:rFonts w:ascii="Arial" w:hAnsi="Arial" w:cs="Arial"/>
          <w:sz w:val="24"/>
          <w:szCs w:val="24"/>
          <w:lang w:val="en-GB"/>
        </w:rPr>
        <w:t xml:space="preserve"> raised by the second Applicant is that the application seems to be as an application that is brought at an intermediate stage, setting or giving directions with regard to some preliminary or procedural question that has arisen in the main dispute between the parties.  </w:t>
      </w:r>
    </w:p>
    <w:p w14:paraId="7B57BECD" w14:textId="77777777" w:rsidR="00D92FED" w:rsidRPr="0081243C" w:rsidRDefault="00D92FED" w:rsidP="00D92FED">
      <w:pPr>
        <w:pStyle w:val="ListParagraph"/>
        <w:spacing w:line="480" w:lineRule="auto"/>
        <w:jc w:val="both"/>
        <w:rPr>
          <w:rFonts w:ascii="Arial" w:hAnsi="Arial" w:cs="Arial"/>
          <w:sz w:val="24"/>
          <w:szCs w:val="24"/>
          <w:lang w:val="en-GB"/>
        </w:rPr>
      </w:pPr>
    </w:p>
    <w:p w14:paraId="1609498D" w14:textId="4AC2D37F" w:rsidR="0042553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38.</w:t>
      </w:r>
      <w:r w:rsidRPr="0081243C">
        <w:rPr>
          <w:rFonts w:ascii="Arial" w:hAnsi="Arial" w:cs="Arial"/>
          <w:sz w:val="24"/>
          <w:szCs w:val="24"/>
          <w:lang w:val="en-GB"/>
        </w:rPr>
        <w:tab/>
      </w:r>
      <w:r w:rsidR="00D92FED" w:rsidRPr="00D87EDD">
        <w:rPr>
          <w:rFonts w:ascii="Arial" w:hAnsi="Arial" w:cs="Arial"/>
          <w:sz w:val="24"/>
          <w:szCs w:val="24"/>
          <w:lang w:val="en-GB"/>
        </w:rPr>
        <w:t>This point does not really take the matter any further and it does not assist the parties in resolving the dispute that exist between them.</w:t>
      </w:r>
      <w:r w:rsidR="0042553D" w:rsidRPr="00D87EDD">
        <w:rPr>
          <w:rFonts w:ascii="Arial" w:hAnsi="Arial" w:cs="Arial"/>
          <w:sz w:val="24"/>
          <w:szCs w:val="24"/>
          <w:lang w:val="en-GB"/>
        </w:rPr>
        <w:t xml:space="preserve">  If the application is determined on this point </w:t>
      </w:r>
      <w:r w:rsidR="0042553D" w:rsidRPr="00D87EDD">
        <w:rPr>
          <w:rFonts w:ascii="Arial" w:hAnsi="Arial" w:cs="Arial"/>
          <w:i/>
          <w:iCs/>
          <w:sz w:val="24"/>
          <w:szCs w:val="24"/>
          <w:lang w:val="en-GB"/>
        </w:rPr>
        <w:t>in limine</w:t>
      </w:r>
      <w:r w:rsidR="0042553D" w:rsidRPr="00D87EDD">
        <w:rPr>
          <w:rFonts w:ascii="Arial" w:hAnsi="Arial" w:cs="Arial"/>
          <w:sz w:val="24"/>
          <w:szCs w:val="24"/>
          <w:lang w:val="en-GB"/>
        </w:rPr>
        <w:t>, the Applicants may approach the Court on the same papers only with a new case number.  The matter will therefore only be dragged out.</w:t>
      </w:r>
      <w:r w:rsidR="00D92FED" w:rsidRPr="00D87EDD">
        <w:rPr>
          <w:rFonts w:ascii="Arial" w:hAnsi="Arial" w:cs="Arial"/>
          <w:sz w:val="24"/>
          <w:szCs w:val="24"/>
          <w:lang w:val="en-GB"/>
        </w:rPr>
        <w:t xml:space="preserve">  </w:t>
      </w:r>
    </w:p>
    <w:p w14:paraId="7D57514E" w14:textId="77777777" w:rsidR="0042553D" w:rsidRPr="0081243C" w:rsidRDefault="0042553D" w:rsidP="0042553D">
      <w:pPr>
        <w:pStyle w:val="ListParagraph"/>
        <w:rPr>
          <w:rFonts w:ascii="Arial" w:hAnsi="Arial" w:cs="Arial"/>
          <w:sz w:val="24"/>
          <w:szCs w:val="24"/>
          <w:lang w:val="en-GB"/>
        </w:rPr>
      </w:pPr>
    </w:p>
    <w:p w14:paraId="6CEFC03C" w14:textId="026716CE" w:rsidR="00D92FE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39.</w:t>
      </w:r>
      <w:r w:rsidRPr="0081243C">
        <w:rPr>
          <w:rFonts w:ascii="Arial" w:hAnsi="Arial" w:cs="Arial"/>
          <w:sz w:val="24"/>
          <w:szCs w:val="24"/>
          <w:lang w:val="en-GB"/>
        </w:rPr>
        <w:tab/>
      </w:r>
      <w:r w:rsidR="00D92FED" w:rsidRPr="00D87EDD">
        <w:rPr>
          <w:rFonts w:ascii="Arial" w:hAnsi="Arial" w:cs="Arial"/>
          <w:sz w:val="24"/>
          <w:szCs w:val="24"/>
          <w:lang w:val="en-GB"/>
        </w:rPr>
        <w:t>The rule of law rests on the principle of finality.</w:t>
      </w:r>
      <w:r w:rsidR="00016598" w:rsidRPr="00D87EDD">
        <w:rPr>
          <w:rFonts w:ascii="Arial" w:hAnsi="Arial" w:cs="Arial"/>
          <w:sz w:val="24"/>
          <w:szCs w:val="24"/>
          <w:lang w:val="en-GB"/>
        </w:rPr>
        <w:t xml:space="preserve">  This point will not bring any finality to the litigation.</w:t>
      </w:r>
      <w:r w:rsidR="0042553D" w:rsidRPr="00D87EDD">
        <w:rPr>
          <w:rFonts w:ascii="Arial" w:hAnsi="Arial" w:cs="Arial"/>
          <w:sz w:val="24"/>
          <w:szCs w:val="24"/>
          <w:lang w:val="en-GB"/>
        </w:rPr>
        <w:t xml:space="preserve">  </w:t>
      </w:r>
    </w:p>
    <w:p w14:paraId="535DB17B" w14:textId="77777777" w:rsidR="00016598" w:rsidRPr="0081243C" w:rsidRDefault="00016598" w:rsidP="00016598">
      <w:pPr>
        <w:pStyle w:val="ListParagraph"/>
        <w:rPr>
          <w:rFonts w:ascii="Arial" w:hAnsi="Arial" w:cs="Arial"/>
          <w:sz w:val="24"/>
          <w:szCs w:val="24"/>
          <w:lang w:val="en-GB"/>
        </w:rPr>
      </w:pPr>
    </w:p>
    <w:p w14:paraId="2A427A61" w14:textId="25F3909F" w:rsidR="00016598"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40.</w:t>
      </w:r>
      <w:r w:rsidRPr="0081243C">
        <w:rPr>
          <w:rFonts w:ascii="Arial" w:hAnsi="Arial" w:cs="Arial"/>
          <w:sz w:val="24"/>
          <w:szCs w:val="24"/>
          <w:lang w:val="en-GB"/>
        </w:rPr>
        <w:tab/>
      </w:r>
      <w:r w:rsidR="00016598" w:rsidRPr="00D87EDD">
        <w:rPr>
          <w:rFonts w:ascii="Arial" w:hAnsi="Arial" w:cs="Arial"/>
          <w:sz w:val="24"/>
          <w:szCs w:val="24"/>
          <w:lang w:val="en-GB"/>
        </w:rPr>
        <w:t>In order to rather bring finality in the litigation</w:t>
      </w:r>
      <w:r w:rsidR="0042553D" w:rsidRPr="00D87EDD">
        <w:rPr>
          <w:rFonts w:ascii="Arial" w:hAnsi="Arial" w:cs="Arial"/>
          <w:sz w:val="24"/>
          <w:szCs w:val="24"/>
          <w:lang w:val="en-GB"/>
        </w:rPr>
        <w:t xml:space="preserve"> in this Court</w:t>
      </w:r>
      <w:r w:rsidR="00016598" w:rsidRPr="00D87EDD">
        <w:rPr>
          <w:rFonts w:ascii="Arial" w:hAnsi="Arial" w:cs="Arial"/>
          <w:sz w:val="24"/>
          <w:szCs w:val="24"/>
          <w:lang w:val="en-GB"/>
        </w:rPr>
        <w:t xml:space="preserve">, I will entertain the application on the other points </w:t>
      </w:r>
      <w:r w:rsidR="00016598" w:rsidRPr="00D87EDD">
        <w:rPr>
          <w:rFonts w:ascii="Arial" w:hAnsi="Arial" w:cs="Arial"/>
          <w:i/>
          <w:iCs/>
          <w:sz w:val="24"/>
          <w:szCs w:val="24"/>
          <w:lang w:val="en-GB"/>
        </w:rPr>
        <w:t>in limine</w:t>
      </w:r>
      <w:r w:rsidR="00016598" w:rsidRPr="00D87EDD">
        <w:rPr>
          <w:rFonts w:ascii="Arial" w:hAnsi="Arial" w:cs="Arial"/>
          <w:sz w:val="24"/>
          <w:szCs w:val="24"/>
          <w:lang w:val="en-GB"/>
        </w:rPr>
        <w:t xml:space="preserve"> and merits</w:t>
      </w:r>
      <w:r w:rsidR="0042553D" w:rsidRPr="00D87EDD">
        <w:rPr>
          <w:rFonts w:ascii="Arial" w:hAnsi="Arial" w:cs="Arial"/>
          <w:sz w:val="24"/>
          <w:szCs w:val="24"/>
          <w:lang w:val="en-GB"/>
        </w:rPr>
        <w:t xml:space="preserve">.  These aspects will bring finality to the matter in this Court.  </w:t>
      </w:r>
      <w:r w:rsidR="00016598" w:rsidRPr="00D87EDD">
        <w:rPr>
          <w:rFonts w:ascii="Arial" w:hAnsi="Arial" w:cs="Arial"/>
          <w:sz w:val="24"/>
          <w:szCs w:val="24"/>
          <w:lang w:val="en-GB"/>
        </w:rPr>
        <w:t xml:space="preserve">With this I do not find that the point was incorrectly brought.  </w:t>
      </w:r>
      <w:r w:rsidR="0042553D" w:rsidRPr="00D87EDD">
        <w:rPr>
          <w:rFonts w:ascii="Arial" w:hAnsi="Arial" w:cs="Arial"/>
          <w:sz w:val="24"/>
          <w:szCs w:val="24"/>
          <w:lang w:val="en-GB"/>
        </w:rPr>
        <w:t>It will only delay the</w:t>
      </w:r>
      <w:r w:rsidR="00720DF6" w:rsidRPr="00D87EDD">
        <w:rPr>
          <w:rFonts w:ascii="Arial" w:hAnsi="Arial" w:cs="Arial"/>
          <w:sz w:val="24"/>
          <w:szCs w:val="24"/>
          <w:lang w:val="en-GB"/>
        </w:rPr>
        <w:t xml:space="preserve"> finalisation of the</w:t>
      </w:r>
      <w:r w:rsidR="0042553D" w:rsidRPr="00D87EDD">
        <w:rPr>
          <w:rFonts w:ascii="Arial" w:hAnsi="Arial" w:cs="Arial"/>
          <w:sz w:val="24"/>
          <w:szCs w:val="24"/>
          <w:lang w:val="en-GB"/>
        </w:rPr>
        <w:t xml:space="preserve"> application.  </w:t>
      </w:r>
    </w:p>
    <w:p w14:paraId="3D0D2D81" w14:textId="77777777" w:rsidR="00D92FED" w:rsidRPr="0081243C" w:rsidRDefault="00D92FED" w:rsidP="005E0FB1">
      <w:pPr>
        <w:spacing w:line="480" w:lineRule="auto"/>
        <w:jc w:val="both"/>
        <w:rPr>
          <w:rFonts w:ascii="Arial" w:hAnsi="Arial" w:cs="Arial"/>
          <w:sz w:val="24"/>
          <w:szCs w:val="24"/>
          <w:lang w:val="en-GB"/>
        </w:rPr>
      </w:pPr>
    </w:p>
    <w:p w14:paraId="4EDE0FCB" w14:textId="0899A1C1" w:rsidR="009B737E" w:rsidRPr="0081243C" w:rsidRDefault="008F5026" w:rsidP="005E0FB1">
      <w:pPr>
        <w:spacing w:line="480" w:lineRule="auto"/>
        <w:jc w:val="both"/>
        <w:rPr>
          <w:rFonts w:ascii="Arial" w:hAnsi="Arial" w:cs="Arial"/>
          <w:sz w:val="24"/>
          <w:szCs w:val="24"/>
          <w:lang w:val="en-GB"/>
        </w:rPr>
      </w:pPr>
      <w:r w:rsidRPr="0081243C">
        <w:rPr>
          <w:rFonts w:ascii="Arial" w:hAnsi="Arial" w:cs="Arial"/>
          <w:b/>
          <w:bCs/>
          <w:sz w:val="24"/>
          <w:szCs w:val="24"/>
          <w:u w:val="single"/>
          <w:lang w:val="en-GB"/>
        </w:rPr>
        <w:t xml:space="preserve">SECOND POINT </w:t>
      </w:r>
      <w:r w:rsidRPr="0081243C">
        <w:rPr>
          <w:rFonts w:ascii="Arial" w:hAnsi="Arial" w:cs="Arial"/>
          <w:b/>
          <w:bCs/>
          <w:i/>
          <w:iCs/>
          <w:sz w:val="24"/>
          <w:szCs w:val="24"/>
          <w:u w:val="single"/>
          <w:lang w:val="en-GB"/>
        </w:rPr>
        <w:t>IN LIMINE</w:t>
      </w:r>
      <w:r w:rsidRPr="0081243C">
        <w:rPr>
          <w:rFonts w:ascii="Arial" w:hAnsi="Arial" w:cs="Arial"/>
          <w:b/>
          <w:bCs/>
          <w:sz w:val="24"/>
          <w:szCs w:val="24"/>
          <w:u w:val="single"/>
          <w:lang w:val="en-GB"/>
        </w:rPr>
        <w:t xml:space="preserve"> </w:t>
      </w:r>
      <w:r w:rsidR="009B737E" w:rsidRPr="0081243C">
        <w:rPr>
          <w:rFonts w:ascii="Arial" w:hAnsi="Arial" w:cs="Arial"/>
          <w:b/>
          <w:bCs/>
          <w:sz w:val="24"/>
          <w:szCs w:val="24"/>
          <w:u w:val="single"/>
          <w:lang w:val="en-GB"/>
        </w:rPr>
        <w:t>–</w:t>
      </w:r>
      <w:r w:rsidRPr="0081243C">
        <w:rPr>
          <w:rFonts w:ascii="Arial" w:hAnsi="Arial" w:cs="Arial"/>
          <w:b/>
          <w:bCs/>
          <w:sz w:val="24"/>
          <w:szCs w:val="24"/>
          <w:u w:val="single"/>
          <w:lang w:val="en-GB"/>
        </w:rPr>
        <w:t xml:space="preserve"> </w:t>
      </w:r>
      <w:r w:rsidR="009B737E" w:rsidRPr="0081243C">
        <w:rPr>
          <w:rFonts w:ascii="Arial" w:hAnsi="Arial" w:cs="Arial"/>
          <w:b/>
          <w:bCs/>
          <w:sz w:val="24"/>
          <w:szCs w:val="24"/>
          <w:u w:val="single"/>
          <w:lang w:val="en-GB"/>
        </w:rPr>
        <w:t>THE JURISTIC PERSONALITY OF THE FIRST APPLICANT</w:t>
      </w:r>
    </w:p>
    <w:p w14:paraId="7127EC3C" w14:textId="77777777" w:rsidR="009B737E" w:rsidRPr="0081243C" w:rsidRDefault="009B737E" w:rsidP="005E0FB1">
      <w:pPr>
        <w:spacing w:line="480" w:lineRule="auto"/>
        <w:jc w:val="both"/>
        <w:rPr>
          <w:rFonts w:ascii="Arial" w:hAnsi="Arial" w:cs="Arial"/>
          <w:sz w:val="24"/>
          <w:szCs w:val="24"/>
          <w:lang w:val="en-GB"/>
        </w:rPr>
      </w:pPr>
    </w:p>
    <w:p w14:paraId="2430C85C" w14:textId="159F6E15" w:rsidR="00C64E6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41.</w:t>
      </w:r>
      <w:r w:rsidRPr="0081243C">
        <w:rPr>
          <w:rFonts w:ascii="Arial" w:hAnsi="Arial" w:cs="Arial"/>
          <w:sz w:val="24"/>
          <w:szCs w:val="24"/>
          <w:lang w:val="en-GB"/>
        </w:rPr>
        <w:tab/>
      </w:r>
      <w:r w:rsidR="00C64E69" w:rsidRPr="00D87EDD">
        <w:rPr>
          <w:rFonts w:ascii="Arial" w:hAnsi="Arial" w:cs="Arial"/>
          <w:sz w:val="24"/>
          <w:szCs w:val="24"/>
          <w:lang w:val="en-GB"/>
        </w:rPr>
        <w:t>The first point taken by the first Respondent is that the first Applicant lacks juristic personality in light of the fact that it is liquidated.</w:t>
      </w:r>
      <w:r w:rsidR="00507C4E" w:rsidRPr="00D87EDD">
        <w:rPr>
          <w:rFonts w:ascii="Arial" w:hAnsi="Arial" w:cs="Arial"/>
          <w:sz w:val="24"/>
          <w:szCs w:val="24"/>
          <w:lang w:val="en-GB"/>
        </w:rPr>
        <w:t xml:space="preserve">  It therefore follows that the first Applicant cannot bring this application.</w:t>
      </w:r>
    </w:p>
    <w:p w14:paraId="37161314" w14:textId="77777777" w:rsidR="00C64E69" w:rsidRPr="0081243C" w:rsidRDefault="00C64E69" w:rsidP="00C64E69">
      <w:pPr>
        <w:pStyle w:val="ListParagraph"/>
        <w:spacing w:line="480" w:lineRule="auto"/>
        <w:jc w:val="both"/>
        <w:rPr>
          <w:rFonts w:ascii="Arial" w:hAnsi="Arial" w:cs="Arial"/>
          <w:sz w:val="24"/>
          <w:szCs w:val="24"/>
          <w:lang w:val="en-GB"/>
        </w:rPr>
      </w:pPr>
    </w:p>
    <w:p w14:paraId="7F156BF3" w14:textId="35AD03F9" w:rsidR="00CB20DF"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42.</w:t>
      </w:r>
      <w:r w:rsidRPr="0081243C">
        <w:rPr>
          <w:rFonts w:ascii="Arial" w:hAnsi="Arial" w:cs="Arial"/>
          <w:sz w:val="24"/>
          <w:szCs w:val="24"/>
          <w:lang w:val="en-GB"/>
        </w:rPr>
        <w:tab/>
      </w:r>
      <w:r w:rsidR="00CB20DF" w:rsidRPr="00D87EDD">
        <w:rPr>
          <w:rFonts w:ascii="Arial" w:hAnsi="Arial" w:cs="Arial"/>
          <w:sz w:val="24"/>
          <w:szCs w:val="24"/>
          <w:lang w:val="en-GB"/>
        </w:rPr>
        <w:t>The founding affidavit is silent in the status or any further detail of the first Applicant.</w:t>
      </w:r>
    </w:p>
    <w:p w14:paraId="4EBD1ED4" w14:textId="77777777" w:rsidR="001010B2" w:rsidRPr="0081243C" w:rsidRDefault="001010B2" w:rsidP="001010B2">
      <w:pPr>
        <w:pStyle w:val="ListParagraph"/>
        <w:jc w:val="both"/>
        <w:rPr>
          <w:rFonts w:ascii="Arial" w:hAnsi="Arial" w:cs="Arial"/>
          <w:sz w:val="24"/>
          <w:szCs w:val="24"/>
          <w:lang w:val="en-GB"/>
        </w:rPr>
      </w:pPr>
    </w:p>
    <w:p w14:paraId="48547C50" w14:textId="39660DF0" w:rsidR="001010B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43.</w:t>
      </w:r>
      <w:r w:rsidRPr="0081243C">
        <w:rPr>
          <w:rFonts w:ascii="Arial" w:hAnsi="Arial" w:cs="Arial"/>
          <w:sz w:val="24"/>
          <w:szCs w:val="24"/>
          <w:lang w:val="en-GB"/>
        </w:rPr>
        <w:tab/>
      </w:r>
      <w:r w:rsidR="001010B2" w:rsidRPr="00D87EDD">
        <w:rPr>
          <w:rFonts w:ascii="Arial" w:hAnsi="Arial" w:cs="Arial"/>
          <w:sz w:val="24"/>
          <w:szCs w:val="24"/>
          <w:lang w:val="en-GB"/>
        </w:rPr>
        <w:t>In its answering affidavit, the second Respondent raises the question of the juristic personality of the first Applicant.  The first Respondent states that:</w:t>
      </w:r>
    </w:p>
    <w:p w14:paraId="6C31E5F9" w14:textId="77777777" w:rsidR="001010B2" w:rsidRPr="0081243C" w:rsidRDefault="001010B2" w:rsidP="001010B2">
      <w:pPr>
        <w:pStyle w:val="ListParagraph"/>
        <w:jc w:val="both"/>
        <w:rPr>
          <w:rFonts w:ascii="Arial" w:hAnsi="Arial" w:cs="Arial"/>
          <w:sz w:val="24"/>
          <w:szCs w:val="24"/>
          <w:lang w:val="en-GB"/>
        </w:rPr>
      </w:pPr>
    </w:p>
    <w:p w14:paraId="51506449" w14:textId="7A71EE7B" w:rsidR="001010B2"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43.1</w:t>
      </w:r>
      <w:r w:rsidRPr="0081243C">
        <w:rPr>
          <w:rFonts w:ascii="Arial" w:hAnsi="Arial" w:cs="Arial"/>
          <w:sz w:val="24"/>
          <w:szCs w:val="24"/>
          <w:lang w:val="en-GB"/>
        </w:rPr>
        <w:tab/>
      </w:r>
      <w:r w:rsidR="001010B2" w:rsidRPr="00D87EDD">
        <w:rPr>
          <w:rFonts w:ascii="Arial" w:hAnsi="Arial" w:cs="Arial"/>
          <w:sz w:val="24"/>
          <w:szCs w:val="24"/>
          <w:lang w:val="en-GB"/>
        </w:rPr>
        <w:t>According to the records of the Company and Intellectual Property Commission (“CIPC”), no closed corporation with the name Seal a Deal exists;</w:t>
      </w:r>
    </w:p>
    <w:p w14:paraId="142434D7" w14:textId="77777777" w:rsidR="001010B2" w:rsidRPr="0081243C" w:rsidRDefault="001010B2" w:rsidP="001010B2">
      <w:pPr>
        <w:pStyle w:val="ListParagraph"/>
        <w:spacing w:line="480" w:lineRule="auto"/>
        <w:ind w:left="1440"/>
        <w:jc w:val="both"/>
        <w:rPr>
          <w:rFonts w:ascii="Arial" w:hAnsi="Arial" w:cs="Arial"/>
          <w:sz w:val="24"/>
          <w:szCs w:val="24"/>
          <w:lang w:val="en-GB"/>
        </w:rPr>
      </w:pPr>
    </w:p>
    <w:p w14:paraId="4C0BDA4C" w14:textId="3B5167C6" w:rsidR="001010B2"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43.2</w:t>
      </w:r>
      <w:r w:rsidRPr="0081243C">
        <w:rPr>
          <w:rFonts w:ascii="Arial" w:hAnsi="Arial" w:cs="Arial"/>
          <w:sz w:val="24"/>
          <w:szCs w:val="24"/>
          <w:lang w:val="en-GB"/>
        </w:rPr>
        <w:tab/>
      </w:r>
      <w:r w:rsidR="001010B2" w:rsidRPr="00D87EDD">
        <w:rPr>
          <w:rFonts w:ascii="Arial" w:hAnsi="Arial" w:cs="Arial"/>
          <w:sz w:val="24"/>
          <w:szCs w:val="24"/>
          <w:lang w:val="en-GB"/>
        </w:rPr>
        <w:t>CIPC have a record of a similar closed corporation with the name Seal A Deal Seven CC;</w:t>
      </w:r>
    </w:p>
    <w:p w14:paraId="7DC2664E" w14:textId="77777777" w:rsidR="001010B2" w:rsidRPr="0081243C" w:rsidRDefault="001010B2" w:rsidP="001010B2">
      <w:pPr>
        <w:pStyle w:val="ListParagraph"/>
        <w:jc w:val="both"/>
        <w:rPr>
          <w:rFonts w:ascii="Arial" w:hAnsi="Arial" w:cs="Arial"/>
          <w:sz w:val="24"/>
          <w:szCs w:val="24"/>
          <w:lang w:val="en-GB"/>
        </w:rPr>
      </w:pPr>
    </w:p>
    <w:p w14:paraId="25DBB03B" w14:textId="57410D91" w:rsidR="001010B2"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43.3</w:t>
      </w:r>
      <w:r w:rsidRPr="0081243C">
        <w:rPr>
          <w:rFonts w:ascii="Arial" w:hAnsi="Arial" w:cs="Arial"/>
          <w:sz w:val="24"/>
          <w:szCs w:val="24"/>
          <w:lang w:val="en-GB"/>
        </w:rPr>
        <w:tab/>
      </w:r>
      <w:r w:rsidR="001010B2" w:rsidRPr="00D87EDD">
        <w:rPr>
          <w:rFonts w:ascii="Arial" w:hAnsi="Arial" w:cs="Arial"/>
          <w:sz w:val="24"/>
          <w:szCs w:val="24"/>
          <w:lang w:val="en-GB"/>
        </w:rPr>
        <w:t xml:space="preserve">Seal a Deal Seven CC is, according to the records of CIPC, a closed corporation in liquidation.  </w:t>
      </w:r>
    </w:p>
    <w:p w14:paraId="78047E81" w14:textId="77777777" w:rsidR="001010B2" w:rsidRPr="0081243C" w:rsidRDefault="001010B2" w:rsidP="001010B2">
      <w:pPr>
        <w:pStyle w:val="ListParagraph"/>
        <w:jc w:val="both"/>
        <w:rPr>
          <w:rFonts w:ascii="Arial" w:hAnsi="Arial" w:cs="Arial"/>
          <w:sz w:val="24"/>
          <w:szCs w:val="24"/>
          <w:lang w:val="en-GB"/>
        </w:rPr>
      </w:pPr>
    </w:p>
    <w:p w14:paraId="5F76081B" w14:textId="1628C598" w:rsidR="001010B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lastRenderedPageBreak/>
        <w:t>44.</w:t>
      </w:r>
      <w:r w:rsidRPr="0081243C">
        <w:rPr>
          <w:rFonts w:ascii="Arial" w:hAnsi="Arial" w:cs="Arial"/>
          <w:sz w:val="24"/>
          <w:szCs w:val="24"/>
          <w:lang w:val="en-GB"/>
        </w:rPr>
        <w:tab/>
      </w:r>
      <w:r w:rsidR="001010B2" w:rsidRPr="00D87EDD">
        <w:rPr>
          <w:rFonts w:ascii="Arial" w:hAnsi="Arial" w:cs="Arial"/>
          <w:sz w:val="24"/>
          <w:szCs w:val="24"/>
          <w:lang w:val="en-GB"/>
        </w:rPr>
        <w:t xml:space="preserve">The first Respondent also emphasised this point in its opposing affidavit. </w:t>
      </w:r>
    </w:p>
    <w:p w14:paraId="4E21EDB7" w14:textId="77777777" w:rsidR="001010B2" w:rsidRPr="0081243C" w:rsidRDefault="001010B2" w:rsidP="001010B2">
      <w:pPr>
        <w:pStyle w:val="ListParagraph"/>
        <w:spacing w:line="480" w:lineRule="auto"/>
        <w:jc w:val="both"/>
        <w:rPr>
          <w:rFonts w:ascii="Arial" w:hAnsi="Arial" w:cs="Arial"/>
          <w:sz w:val="24"/>
          <w:szCs w:val="24"/>
          <w:lang w:val="en-GB"/>
        </w:rPr>
      </w:pPr>
    </w:p>
    <w:p w14:paraId="06A973A1" w14:textId="7C546329" w:rsidR="001010B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45.</w:t>
      </w:r>
      <w:r w:rsidRPr="0081243C">
        <w:rPr>
          <w:rFonts w:ascii="Arial" w:hAnsi="Arial" w:cs="Arial"/>
          <w:sz w:val="24"/>
          <w:szCs w:val="24"/>
          <w:lang w:val="en-GB"/>
        </w:rPr>
        <w:tab/>
      </w:r>
      <w:r w:rsidR="001010B2" w:rsidRPr="00D87EDD">
        <w:rPr>
          <w:rFonts w:ascii="Arial" w:hAnsi="Arial" w:cs="Arial"/>
          <w:sz w:val="24"/>
          <w:szCs w:val="24"/>
          <w:lang w:val="en-GB"/>
        </w:rPr>
        <w:t>On closer inspection of the CIPC search attached to the Answering Affidavit of the second Respondent, and with reference to Seal A Deal Seven CC: -</w:t>
      </w:r>
    </w:p>
    <w:p w14:paraId="2DC59B6A" w14:textId="77777777" w:rsidR="001010B2" w:rsidRPr="0081243C" w:rsidRDefault="001010B2" w:rsidP="001010B2">
      <w:pPr>
        <w:pStyle w:val="ListParagraph"/>
        <w:jc w:val="both"/>
        <w:rPr>
          <w:rFonts w:ascii="Arial" w:hAnsi="Arial" w:cs="Arial"/>
          <w:sz w:val="24"/>
          <w:szCs w:val="24"/>
          <w:lang w:val="en-GB"/>
        </w:rPr>
      </w:pPr>
    </w:p>
    <w:p w14:paraId="10E806A1" w14:textId="6A21A044" w:rsidR="001010B2"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45.1</w:t>
      </w:r>
      <w:r w:rsidRPr="0081243C">
        <w:rPr>
          <w:rFonts w:ascii="Arial" w:hAnsi="Arial" w:cs="Arial"/>
          <w:sz w:val="24"/>
          <w:szCs w:val="24"/>
          <w:lang w:val="en-GB"/>
        </w:rPr>
        <w:tab/>
      </w:r>
      <w:r w:rsidR="001010B2" w:rsidRPr="00D87EDD">
        <w:rPr>
          <w:rFonts w:ascii="Arial" w:hAnsi="Arial" w:cs="Arial"/>
          <w:sz w:val="24"/>
          <w:szCs w:val="24"/>
          <w:lang w:val="en-GB"/>
        </w:rPr>
        <w:t>This closed corporation was registered on 7 May 1999;</w:t>
      </w:r>
    </w:p>
    <w:p w14:paraId="30530F27" w14:textId="77777777" w:rsidR="001010B2" w:rsidRPr="0081243C" w:rsidRDefault="001010B2" w:rsidP="001010B2">
      <w:pPr>
        <w:pStyle w:val="ListParagraph"/>
        <w:spacing w:line="480" w:lineRule="auto"/>
        <w:ind w:left="1440"/>
        <w:jc w:val="both"/>
        <w:rPr>
          <w:rFonts w:ascii="Arial" w:hAnsi="Arial" w:cs="Arial"/>
          <w:sz w:val="24"/>
          <w:szCs w:val="24"/>
          <w:lang w:val="en-GB"/>
        </w:rPr>
      </w:pPr>
    </w:p>
    <w:p w14:paraId="7D791BA3" w14:textId="6EDD3C67" w:rsidR="001010B2"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45.2</w:t>
      </w:r>
      <w:r w:rsidRPr="0081243C">
        <w:rPr>
          <w:rFonts w:ascii="Arial" w:hAnsi="Arial" w:cs="Arial"/>
          <w:sz w:val="24"/>
          <w:szCs w:val="24"/>
          <w:lang w:val="en-GB"/>
        </w:rPr>
        <w:tab/>
      </w:r>
      <w:r w:rsidR="001010B2" w:rsidRPr="00D87EDD">
        <w:rPr>
          <w:rFonts w:ascii="Arial" w:hAnsi="Arial" w:cs="Arial"/>
          <w:sz w:val="24"/>
          <w:szCs w:val="24"/>
          <w:lang w:val="en-GB"/>
        </w:rPr>
        <w:t>The second Applicant became a member of Seal A Deal Seven CC on or about 15 July 2002;</w:t>
      </w:r>
    </w:p>
    <w:p w14:paraId="2A263F91" w14:textId="77777777" w:rsidR="001010B2" w:rsidRPr="0081243C" w:rsidRDefault="001010B2" w:rsidP="001010B2">
      <w:pPr>
        <w:pStyle w:val="ListParagraph"/>
        <w:jc w:val="both"/>
        <w:rPr>
          <w:rFonts w:ascii="Arial" w:hAnsi="Arial" w:cs="Arial"/>
          <w:sz w:val="24"/>
          <w:szCs w:val="24"/>
          <w:lang w:val="en-GB"/>
        </w:rPr>
      </w:pPr>
    </w:p>
    <w:p w14:paraId="18616130" w14:textId="05F67B2C" w:rsidR="001010B2"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45.3</w:t>
      </w:r>
      <w:r w:rsidRPr="0081243C">
        <w:rPr>
          <w:rFonts w:ascii="Arial" w:hAnsi="Arial" w:cs="Arial"/>
          <w:sz w:val="24"/>
          <w:szCs w:val="24"/>
          <w:lang w:val="en-GB"/>
        </w:rPr>
        <w:tab/>
      </w:r>
      <w:r w:rsidR="001010B2" w:rsidRPr="00D87EDD">
        <w:rPr>
          <w:rFonts w:ascii="Arial" w:hAnsi="Arial" w:cs="Arial"/>
          <w:sz w:val="24"/>
          <w:szCs w:val="24"/>
          <w:lang w:val="en-GB"/>
        </w:rPr>
        <w:t>Seal A Deal Seven CC is placed in Voluntary Liquidation on 21 January 2011.</w:t>
      </w:r>
    </w:p>
    <w:p w14:paraId="6ADA3B29" w14:textId="77777777" w:rsidR="001010B2" w:rsidRPr="0081243C" w:rsidRDefault="001010B2" w:rsidP="001010B2">
      <w:pPr>
        <w:pStyle w:val="ListParagraph"/>
        <w:jc w:val="both"/>
        <w:rPr>
          <w:rFonts w:ascii="Arial" w:hAnsi="Arial" w:cs="Arial"/>
          <w:sz w:val="24"/>
          <w:szCs w:val="24"/>
          <w:lang w:val="en-GB"/>
        </w:rPr>
      </w:pPr>
    </w:p>
    <w:p w14:paraId="77C472A2" w14:textId="55E45C3C" w:rsidR="00E3292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46.</w:t>
      </w:r>
      <w:r w:rsidRPr="0081243C">
        <w:rPr>
          <w:rFonts w:ascii="Arial" w:hAnsi="Arial" w:cs="Arial"/>
          <w:sz w:val="24"/>
          <w:szCs w:val="24"/>
          <w:lang w:val="en-GB"/>
        </w:rPr>
        <w:tab/>
      </w:r>
      <w:r w:rsidR="001010B2" w:rsidRPr="00D87EDD">
        <w:rPr>
          <w:rFonts w:ascii="Arial" w:hAnsi="Arial" w:cs="Arial"/>
          <w:sz w:val="24"/>
          <w:szCs w:val="24"/>
          <w:lang w:val="en-GB"/>
        </w:rPr>
        <w:t xml:space="preserve">It is only once the Respondents placed before the Court the necessary evidence that the first Applicant (even though some dispute exist about the correct name of the entity) is in liquidation that the Applicants deal with this aspect.  </w:t>
      </w:r>
      <w:r w:rsidR="00E3292D" w:rsidRPr="00D87EDD">
        <w:rPr>
          <w:rFonts w:ascii="Arial" w:hAnsi="Arial" w:cs="Arial"/>
          <w:sz w:val="24"/>
          <w:szCs w:val="24"/>
          <w:lang w:val="en-GB"/>
        </w:rPr>
        <w:t xml:space="preserve">The aspect of the liquidation is something, in my view, the second Applicant had to address in the founding affidavit.  </w:t>
      </w:r>
    </w:p>
    <w:p w14:paraId="1FC1D574" w14:textId="77777777" w:rsidR="00E3292D" w:rsidRPr="0081243C" w:rsidRDefault="00E3292D" w:rsidP="00E3292D">
      <w:pPr>
        <w:pStyle w:val="ListParagraph"/>
        <w:spacing w:line="480" w:lineRule="auto"/>
        <w:jc w:val="both"/>
        <w:rPr>
          <w:rFonts w:ascii="Arial" w:hAnsi="Arial" w:cs="Arial"/>
          <w:sz w:val="24"/>
          <w:szCs w:val="24"/>
          <w:lang w:val="en-GB"/>
        </w:rPr>
      </w:pPr>
    </w:p>
    <w:p w14:paraId="1F470651" w14:textId="2833642D" w:rsidR="001010B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47.</w:t>
      </w:r>
      <w:r w:rsidRPr="0081243C">
        <w:rPr>
          <w:rFonts w:ascii="Arial" w:hAnsi="Arial" w:cs="Arial"/>
          <w:sz w:val="24"/>
          <w:szCs w:val="24"/>
          <w:lang w:val="en-GB"/>
        </w:rPr>
        <w:tab/>
      </w:r>
      <w:r w:rsidR="001010B2" w:rsidRPr="00D87EDD">
        <w:rPr>
          <w:rFonts w:ascii="Arial" w:hAnsi="Arial" w:cs="Arial"/>
          <w:sz w:val="24"/>
          <w:szCs w:val="24"/>
          <w:lang w:val="en-GB"/>
        </w:rPr>
        <w:t xml:space="preserve">I have to add that the explanation in the Replying Affidavit is far from satisfactory as to the exact circumstances for the voluntary liquidation and the process that was followed subsequent to the voluntary liquidation.  </w:t>
      </w:r>
    </w:p>
    <w:p w14:paraId="30AB8388" w14:textId="77777777" w:rsidR="00E3292D" w:rsidRPr="0081243C" w:rsidRDefault="00E3292D" w:rsidP="00E3292D">
      <w:pPr>
        <w:pStyle w:val="ListParagraph"/>
        <w:spacing w:line="480" w:lineRule="auto"/>
        <w:jc w:val="both"/>
        <w:rPr>
          <w:rFonts w:ascii="Arial" w:hAnsi="Arial" w:cs="Arial"/>
          <w:sz w:val="24"/>
          <w:szCs w:val="24"/>
          <w:lang w:val="en-GB"/>
        </w:rPr>
      </w:pPr>
    </w:p>
    <w:p w14:paraId="0A0D234A" w14:textId="35FCCFB9" w:rsidR="00E3292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48.</w:t>
      </w:r>
      <w:r w:rsidRPr="0081243C">
        <w:rPr>
          <w:rFonts w:ascii="Arial" w:hAnsi="Arial" w:cs="Arial"/>
          <w:sz w:val="24"/>
          <w:szCs w:val="24"/>
          <w:lang w:val="en-GB"/>
        </w:rPr>
        <w:tab/>
      </w:r>
      <w:r w:rsidR="00E3292D" w:rsidRPr="00D87EDD">
        <w:rPr>
          <w:rFonts w:ascii="Arial" w:hAnsi="Arial" w:cs="Arial"/>
          <w:sz w:val="24"/>
          <w:szCs w:val="24"/>
          <w:lang w:val="en-GB"/>
        </w:rPr>
        <w:t xml:space="preserve">The importance of this aspect is in light of the fact that liquidation is a process in which the company is brought to an end.  Also, the assets and property of the company are redistributed to the creditors and owners.  </w:t>
      </w:r>
      <w:r w:rsidR="00C82070" w:rsidRPr="00D87EDD">
        <w:rPr>
          <w:rFonts w:ascii="Arial" w:hAnsi="Arial" w:cs="Arial"/>
          <w:sz w:val="24"/>
          <w:szCs w:val="24"/>
          <w:lang w:val="en-GB"/>
        </w:rPr>
        <w:t xml:space="preserve">The purpose of liquidation is to ensure that all the company’s affairs have been dealt with and </w:t>
      </w:r>
      <w:r w:rsidR="00C82070" w:rsidRPr="00D87EDD">
        <w:rPr>
          <w:rFonts w:ascii="Arial" w:hAnsi="Arial" w:cs="Arial"/>
          <w:sz w:val="24"/>
          <w:szCs w:val="24"/>
          <w:lang w:val="en-GB"/>
        </w:rPr>
        <w:lastRenderedPageBreak/>
        <w:t xml:space="preserve">all its assets realised.  When this has been done, the liquidator will apply to have the company removed from the registered.  This means that it </w:t>
      </w:r>
      <w:r w:rsidR="0003046F" w:rsidRPr="00D87EDD">
        <w:rPr>
          <w:rFonts w:ascii="Arial" w:hAnsi="Arial" w:cs="Arial"/>
          <w:sz w:val="24"/>
          <w:szCs w:val="24"/>
          <w:lang w:val="en-GB"/>
        </w:rPr>
        <w:t>ceases</w:t>
      </w:r>
      <w:r w:rsidR="00C82070" w:rsidRPr="00D87EDD">
        <w:rPr>
          <w:rFonts w:ascii="Arial" w:hAnsi="Arial" w:cs="Arial"/>
          <w:sz w:val="24"/>
          <w:szCs w:val="24"/>
          <w:lang w:val="en-GB"/>
        </w:rPr>
        <w:t xml:space="preserve"> to exist.  </w:t>
      </w:r>
    </w:p>
    <w:p w14:paraId="6A594080" w14:textId="77777777" w:rsidR="004F5377" w:rsidRPr="0081243C" w:rsidRDefault="004F5377" w:rsidP="004F5377">
      <w:pPr>
        <w:pStyle w:val="ListParagraph"/>
        <w:rPr>
          <w:rFonts w:ascii="Arial" w:hAnsi="Arial" w:cs="Arial"/>
          <w:sz w:val="24"/>
          <w:szCs w:val="24"/>
          <w:lang w:val="en-GB"/>
        </w:rPr>
      </w:pPr>
    </w:p>
    <w:p w14:paraId="45F530AD" w14:textId="40FF3992" w:rsidR="004F5377"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49.</w:t>
      </w:r>
      <w:r w:rsidRPr="0081243C">
        <w:rPr>
          <w:rFonts w:ascii="Arial" w:hAnsi="Arial" w:cs="Arial"/>
          <w:sz w:val="24"/>
          <w:szCs w:val="24"/>
          <w:lang w:val="en-GB"/>
        </w:rPr>
        <w:tab/>
      </w:r>
      <w:r w:rsidR="004F5377" w:rsidRPr="00D87EDD">
        <w:rPr>
          <w:rFonts w:ascii="Arial" w:hAnsi="Arial" w:cs="Arial"/>
          <w:sz w:val="24"/>
          <w:szCs w:val="24"/>
          <w:lang w:val="en-GB"/>
        </w:rPr>
        <w:t xml:space="preserve">What is troublesome is the fact that no evidence is placed before me regarding the process of liquidation.  </w:t>
      </w:r>
      <w:r w:rsidR="0003046F" w:rsidRPr="00D87EDD">
        <w:rPr>
          <w:rFonts w:ascii="Arial" w:hAnsi="Arial" w:cs="Arial"/>
          <w:sz w:val="24"/>
          <w:szCs w:val="24"/>
          <w:lang w:val="en-GB"/>
        </w:rPr>
        <w:t xml:space="preserve">The best evidence that was placed before me is the fact that no liquidator has been appointed.  </w:t>
      </w:r>
    </w:p>
    <w:p w14:paraId="04E88DF1" w14:textId="77777777" w:rsidR="0003046F" w:rsidRPr="0081243C" w:rsidRDefault="0003046F" w:rsidP="0003046F">
      <w:pPr>
        <w:pStyle w:val="ListParagraph"/>
        <w:rPr>
          <w:rFonts w:ascii="Arial" w:hAnsi="Arial" w:cs="Arial"/>
          <w:sz w:val="24"/>
          <w:szCs w:val="24"/>
          <w:lang w:val="en-GB"/>
        </w:rPr>
      </w:pPr>
    </w:p>
    <w:p w14:paraId="291AD19F" w14:textId="2D18820A" w:rsidR="0003046F"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50.</w:t>
      </w:r>
      <w:r w:rsidRPr="0081243C">
        <w:rPr>
          <w:rFonts w:ascii="Arial" w:hAnsi="Arial" w:cs="Arial"/>
          <w:sz w:val="24"/>
          <w:szCs w:val="24"/>
          <w:lang w:val="en-GB"/>
        </w:rPr>
        <w:tab/>
      </w:r>
      <w:r w:rsidR="0003046F" w:rsidRPr="00D87EDD">
        <w:rPr>
          <w:rFonts w:ascii="Arial" w:hAnsi="Arial" w:cs="Arial"/>
          <w:sz w:val="24"/>
          <w:szCs w:val="24"/>
          <w:lang w:val="en-GB"/>
        </w:rPr>
        <w:t xml:space="preserve">The fact that the process was voluntary and the fact that no liquidator has been appointed does not mean that </w:t>
      </w:r>
      <w:r w:rsidR="00B40601" w:rsidRPr="00D87EDD">
        <w:rPr>
          <w:rFonts w:ascii="Arial" w:hAnsi="Arial" w:cs="Arial"/>
          <w:sz w:val="24"/>
          <w:szCs w:val="24"/>
          <w:lang w:val="en-GB"/>
        </w:rPr>
        <w:t xml:space="preserve">the Close Corporation retains its juristic personality.  </w:t>
      </w:r>
    </w:p>
    <w:p w14:paraId="39BB4C67" w14:textId="77777777" w:rsidR="00B40601" w:rsidRPr="0081243C" w:rsidRDefault="00B40601" w:rsidP="00B40601">
      <w:pPr>
        <w:pStyle w:val="ListParagraph"/>
        <w:rPr>
          <w:rFonts w:ascii="Arial" w:hAnsi="Arial" w:cs="Arial"/>
          <w:sz w:val="24"/>
          <w:szCs w:val="24"/>
          <w:lang w:val="en-GB"/>
        </w:rPr>
      </w:pPr>
    </w:p>
    <w:p w14:paraId="1E5EE671" w14:textId="61C494F7" w:rsidR="00B40601"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51.</w:t>
      </w:r>
      <w:r w:rsidRPr="0081243C">
        <w:rPr>
          <w:rFonts w:ascii="Arial" w:hAnsi="Arial" w:cs="Arial"/>
          <w:sz w:val="24"/>
          <w:szCs w:val="24"/>
          <w:lang w:val="en-GB"/>
        </w:rPr>
        <w:tab/>
      </w:r>
      <w:r w:rsidR="00B40601" w:rsidRPr="00D87EDD">
        <w:rPr>
          <w:rFonts w:ascii="Arial" w:hAnsi="Arial" w:cs="Arial"/>
          <w:sz w:val="24"/>
          <w:szCs w:val="24"/>
          <w:lang w:val="en-GB"/>
        </w:rPr>
        <w:t xml:space="preserve">I agree with this point raised by the Respondents.  This brings and end to the matter for the first Applicant.  </w:t>
      </w:r>
      <w:r w:rsidR="00EF4567" w:rsidRPr="00D87EDD">
        <w:rPr>
          <w:rFonts w:ascii="Arial" w:hAnsi="Arial" w:cs="Arial"/>
          <w:sz w:val="24"/>
          <w:szCs w:val="24"/>
          <w:lang w:val="en-GB"/>
        </w:rPr>
        <w:t xml:space="preserve">The only issue is the issue of costs with which I will deal herein later.  </w:t>
      </w:r>
    </w:p>
    <w:p w14:paraId="2679069C" w14:textId="77777777" w:rsidR="009B737E" w:rsidRPr="0081243C" w:rsidRDefault="009B737E" w:rsidP="005E0FB1">
      <w:pPr>
        <w:spacing w:line="480" w:lineRule="auto"/>
        <w:jc w:val="both"/>
        <w:rPr>
          <w:rFonts w:ascii="Arial" w:hAnsi="Arial" w:cs="Arial"/>
          <w:sz w:val="24"/>
          <w:szCs w:val="24"/>
          <w:lang w:val="en-GB"/>
        </w:rPr>
      </w:pPr>
    </w:p>
    <w:p w14:paraId="2615EF27" w14:textId="69A0FF79" w:rsidR="00FB3AA9" w:rsidRPr="0081243C" w:rsidRDefault="001E5981" w:rsidP="005E0FB1">
      <w:pPr>
        <w:spacing w:line="480" w:lineRule="auto"/>
        <w:jc w:val="both"/>
        <w:rPr>
          <w:rFonts w:ascii="Arial" w:hAnsi="Arial" w:cs="Arial"/>
          <w:i/>
          <w:iCs/>
          <w:sz w:val="24"/>
          <w:szCs w:val="24"/>
          <w:lang w:val="en-GB"/>
        </w:rPr>
      </w:pPr>
      <w:r w:rsidRPr="0081243C">
        <w:rPr>
          <w:rFonts w:ascii="Arial" w:hAnsi="Arial" w:cs="Arial"/>
          <w:b/>
          <w:bCs/>
          <w:sz w:val="24"/>
          <w:szCs w:val="24"/>
          <w:u w:val="single"/>
          <w:lang w:val="en-GB"/>
        </w:rPr>
        <w:t xml:space="preserve">THIRD POINT </w:t>
      </w:r>
      <w:r w:rsidRPr="0081243C">
        <w:rPr>
          <w:rFonts w:ascii="Arial" w:hAnsi="Arial" w:cs="Arial"/>
          <w:b/>
          <w:bCs/>
          <w:i/>
          <w:iCs/>
          <w:sz w:val="24"/>
          <w:szCs w:val="24"/>
          <w:u w:val="single"/>
          <w:lang w:val="en-GB"/>
        </w:rPr>
        <w:t xml:space="preserve">IN </w:t>
      </w:r>
      <w:r w:rsidRPr="0081243C">
        <w:rPr>
          <w:rFonts w:ascii="Arial" w:hAnsi="Arial" w:cs="Arial"/>
          <w:b/>
          <w:bCs/>
          <w:sz w:val="24"/>
          <w:szCs w:val="24"/>
          <w:u w:val="single"/>
          <w:lang w:val="en-GB"/>
        </w:rPr>
        <w:t xml:space="preserve">LIMINE - </w:t>
      </w:r>
      <w:r w:rsidR="00477E77" w:rsidRPr="0081243C">
        <w:rPr>
          <w:rFonts w:ascii="Arial" w:hAnsi="Arial" w:cs="Arial"/>
          <w:b/>
          <w:bCs/>
          <w:sz w:val="24"/>
          <w:szCs w:val="24"/>
          <w:u w:val="single"/>
          <w:lang w:val="en-GB"/>
        </w:rPr>
        <w:t>APPLICANTS</w:t>
      </w:r>
      <w:r w:rsidR="00FB3AA9" w:rsidRPr="0081243C">
        <w:rPr>
          <w:rFonts w:ascii="Arial" w:hAnsi="Arial" w:cs="Arial"/>
          <w:b/>
          <w:bCs/>
          <w:sz w:val="24"/>
          <w:szCs w:val="24"/>
          <w:u w:val="single"/>
          <w:lang w:val="en-GB"/>
        </w:rPr>
        <w:t xml:space="preserve"> BEFORE THE COURT</w:t>
      </w:r>
      <w:r w:rsidR="008F5026" w:rsidRPr="0081243C">
        <w:rPr>
          <w:rFonts w:ascii="Arial" w:hAnsi="Arial" w:cs="Arial"/>
          <w:b/>
          <w:bCs/>
          <w:sz w:val="24"/>
          <w:szCs w:val="24"/>
          <w:u w:val="single"/>
          <w:lang w:val="en-GB"/>
        </w:rPr>
        <w:t xml:space="preserve">:  THE LACK OF </w:t>
      </w:r>
      <w:r w:rsidR="008F5026" w:rsidRPr="0081243C">
        <w:rPr>
          <w:rFonts w:ascii="Arial" w:hAnsi="Arial" w:cs="Arial"/>
          <w:b/>
          <w:bCs/>
          <w:i/>
          <w:iCs/>
          <w:sz w:val="24"/>
          <w:szCs w:val="24"/>
          <w:u w:val="single"/>
          <w:lang w:val="en-GB"/>
        </w:rPr>
        <w:t>LOCUS STANDI</w:t>
      </w:r>
    </w:p>
    <w:p w14:paraId="1DB0B4C7" w14:textId="77777777" w:rsidR="00FB3AA9" w:rsidRPr="0081243C" w:rsidRDefault="00FB3AA9" w:rsidP="005E0FB1">
      <w:pPr>
        <w:spacing w:line="480" w:lineRule="auto"/>
        <w:jc w:val="both"/>
        <w:rPr>
          <w:rFonts w:ascii="Arial" w:hAnsi="Arial" w:cs="Arial"/>
          <w:sz w:val="24"/>
          <w:szCs w:val="24"/>
          <w:lang w:val="en-GB"/>
        </w:rPr>
      </w:pPr>
    </w:p>
    <w:p w14:paraId="09B780C1" w14:textId="431D83E8" w:rsidR="005E1F0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52.</w:t>
      </w:r>
      <w:r w:rsidRPr="0081243C">
        <w:rPr>
          <w:rFonts w:ascii="Arial" w:hAnsi="Arial" w:cs="Arial"/>
          <w:sz w:val="24"/>
          <w:szCs w:val="24"/>
          <w:lang w:val="en-GB"/>
        </w:rPr>
        <w:tab/>
      </w:r>
      <w:r w:rsidR="000466A6" w:rsidRPr="00D87EDD">
        <w:rPr>
          <w:rFonts w:ascii="Arial" w:hAnsi="Arial" w:cs="Arial"/>
          <w:sz w:val="24"/>
          <w:szCs w:val="24"/>
          <w:lang w:val="en-GB"/>
        </w:rPr>
        <w:t xml:space="preserve">The </w:t>
      </w:r>
      <w:r w:rsidR="003C5BFD" w:rsidRPr="00D87EDD">
        <w:rPr>
          <w:rFonts w:ascii="Arial" w:hAnsi="Arial" w:cs="Arial"/>
          <w:sz w:val="24"/>
          <w:szCs w:val="24"/>
          <w:lang w:val="en-GB"/>
        </w:rPr>
        <w:t>further</w:t>
      </w:r>
      <w:r w:rsidR="000466A6" w:rsidRPr="00D87EDD">
        <w:rPr>
          <w:rFonts w:ascii="Arial" w:hAnsi="Arial" w:cs="Arial"/>
          <w:sz w:val="24"/>
          <w:szCs w:val="24"/>
          <w:lang w:val="en-GB"/>
        </w:rPr>
        <w:t xml:space="preserve"> point </w:t>
      </w:r>
      <w:r w:rsidR="000466A6" w:rsidRPr="00D87EDD">
        <w:rPr>
          <w:rFonts w:ascii="Arial" w:hAnsi="Arial" w:cs="Arial"/>
          <w:i/>
          <w:iCs/>
          <w:sz w:val="24"/>
          <w:szCs w:val="24"/>
          <w:lang w:val="en-GB"/>
        </w:rPr>
        <w:t>in limine</w:t>
      </w:r>
      <w:r w:rsidR="000466A6" w:rsidRPr="00D87EDD">
        <w:rPr>
          <w:rFonts w:ascii="Arial" w:hAnsi="Arial" w:cs="Arial"/>
          <w:sz w:val="24"/>
          <w:szCs w:val="24"/>
          <w:lang w:val="en-GB"/>
        </w:rPr>
        <w:t xml:space="preserve"> raised by the first and second Respondents is that of </w:t>
      </w:r>
      <w:r w:rsidR="000466A6" w:rsidRPr="00D87EDD">
        <w:rPr>
          <w:rFonts w:ascii="Arial" w:hAnsi="Arial" w:cs="Arial"/>
          <w:i/>
          <w:iCs/>
          <w:sz w:val="24"/>
          <w:szCs w:val="24"/>
          <w:lang w:val="en-GB"/>
        </w:rPr>
        <w:t>locus standi</w:t>
      </w:r>
      <w:r w:rsidR="00383B56" w:rsidRPr="00D87EDD">
        <w:rPr>
          <w:rFonts w:ascii="Arial" w:hAnsi="Arial" w:cs="Arial"/>
          <w:sz w:val="24"/>
          <w:szCs w:val="24"/>
          <w:lang w:val="en-GB"/>
        </w:rPr>
        <w:t xml:space="preserve"> of the first and second Applicants.</w:t>
      </w:r>
      <w:r w:rsidR="003C5BFD" w:rsidRPr="00D87EDD">
        <w:rPr>
          <w:rFonts w:ascii="Arial" w:hAnsi="Arial" w:cs="Arial"/>
          <w:sz w:val="24"/>
          <w:szCs w:val="24"/>
          <w:lang w:val="en-GB"/>
        </w:rPr>
        <w:t xml:space="preserve">  </w:t>
      </w:r>
    </w:p>
    <w:p w14:paraId="5D0B0521" w14:textId="77777777" w:rsidR="00792A5D" w:rsidRPr="0081243C" w:rsidRDefault="00792A5D" w:rsidP="00792A5D">
      <w:pPr>
        <w:pStyle w:val="ListParagraph"/>
        <w:spacing w:line="480" w:lineRule="auto"/>
        <w:jc w:val="both"/>
        <w:rPr>
          <w:rFonts w:ascii="Arial" w:hAnsi="Arial" w:cs="Arial"/>
          <w:sz w:val="24"/>
          <w:szCs w:val="24"/>
          <w:lang w:val="en-GB"/>
        </w:rPr>
      </w:pPr>
    </w:p>
    <w:p w14:paraId="741B0B13" w14:textId="736590FF" w:rsidR="000430D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53.</w:t>
      </w:r>
      <w:r w:rsidRPr="0081243C">
        <w:rPr>
          <w:rFonts w:ascii="Arial" w:hAnsi="Arial" w:cs="Arial"/>
          <w:sz w:val="24"/>
          <w:szCs w:val="24"/>
          <w:lang w:val="en-GB"/>
        </w:rPr>
        <w:tab/>
      </w:r>
      <w:r w:rsidR="00792A5D" w:rsidRPr="00D87EDD">
        <w:rPr>
          <w:rFonts w:ascii="Arial" w:hAnsi="Arial" w:cs="Arial"/>
          <w:sz w:val="24"/>
          <w:szCs w:val="24"/>
          <w:lang w:val="en-GB"/>
        </w:rPr>
        <w:t xml:space="preserve">I have already dealt with the status of the first Applicant.  It ceased to exist.  </w:t>
      </w:r>
      <w:r w:rsidR="000430D5" w:rsidRPr="00D87EDD">
        <w:rPr>
          <w:rFonts w:ascii="Arial" w:hAnsi="Arial" w:cs="Arial"/>
          <w:sz w:val="24"/>
          <w:szCs w:val="24"/>
          <w:lang w:val="en-GB"/>
        </w:rPr>
        <w:t xml:space="preserve">The question arises who can act on behalf of the first Applicant.  The argument goes much wider than the mere signing of a resolution confirming that the second </w:t>
      </w:r>
      <w:r w:rsidR="000430D5" w:rsidRPr="00D87EDD">
        <w:rPr>
          <w:rFonts w:ascii="Arial" w:hAnsi="Arial" w:cs="Arial"/>
          <w:sz w:val="24"/>
          <w:szCs w:val="24"/>
          <w:lang w:val="en-GB"/>
        </w:rPr>
        <w:lastRenderedPageBreak/>
        <w:t xml:space="preserve">Applicant can proceed with the matter.  The Closed Corporation does not fall in the hands of the members any longer.  </w:t>
      </w:r>
    </w:p>
    <w:p w14:paraId="42C16905" w14:textId="77777777" w:rsidR="000430D5" w:rsidRPr="0081243C" w:rsidRDefault="000430D5" w:rsidP="000430D5">
      <w:pPr>
        <w:pStyle w:val="ListParagraph"/>
        <w:rPr>
          <w:rFonts w:ascii="Arial" w:hAnsi="Arial" w:cs="Arial"/>
          <w:sz w:val="24"/>
          <w:szCs w:val="24"/>
          <w:lang w:val="en-GB"/>
        </w:rPr>
      </w:pPr>
    </w:p>
    <w:p w14:paraId="7104085A" w14:textId="04D4D612" w:rsidR="000430D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54.</w:t>
      </w:r>
      <w:r w:rsidRPr="0081243C">
        <w:rPr>
          <w:rFonts w:ascii="Arial" w:hAnsi="Arial" w:cs="Arial"/>
          <w:sz w:val="24"/>
          <w:szCs w:val="24"/>
          <w:lang w:val="en-GB"/>
        </w:rPr>
        <w:tab/>
      </w:r>
      <w:r w:rsidR="000430D5" w:rsidRPr="00D87EDD">
        <w:rPr>
          <w:rFonts w:ascii="Arial" w:hAnsi="Arial" w:cs="Arial"/>
          <w:sz w:val="24"/>
          <w:szCs w:val="24"/>
          <w:lang w:val="en-GB"/>
        </w:rPr>
        <w:t>The argument by the second Applicant that he can sign affidavit for his own personal claim is also misplaced</w:t>
      </w:r>
      <w:r w:rsidR="008E1530" w:rsidRPr="00D87EDD">
        <w:rPr>
          <w:rFonts w:ascii="Arial" w:hAnsi="Arial" w:cs="Arial"/>
          <w:sz w:val="24"/>
          <w:szCs w:val="24"/>
          <w:lang w:val="en-GB"/>
        </w:rPr>
        <w:t xml:space="preserve"> in as far as it relates to his response to the point </w:t>
      </w:r>
      <w:r w:rsidR="008E1530" w:rsidRPr="00D87EDD">
        <w:rPr>
          <w:rFonts w:ascii="Arial" w:hAnsi="Arial" w:cs="Arial"/>
          <w:i/>
          <w:iCs/>
          <w:sz w:val="24"/>
          <w:szCs w:val="24"/>
          <w:lang w:val="en-GB"/>
        </w:rPr>
        <w:t xml:space="preserve">in limine </w:t>
      </w:r>
      <w:r w:rsidR="008E1530" w:rsidRPr="00D87EDD">
        <w:rPr>
          <w:rFonts w:ascii="Arial" w:hAnsi="Arial" w:cs="Arial"/>
          <w:sz w:val="24"/>
          <w:szCs w:val="24"/>
          <w:lang w:val="en-GB"/>
        </w:rPr>
        <w:t>raised</w:t>
      </w:r>
      <w:r w:rsidR="000430D5" w:rsidRPr="00D87EDD">
        <w:rPr>
          <w:rFonts w:ascii="Arial" w:hAnsi="Arial" w:cs="Arial"/>
          <w:sz w:val="24"/>
          <w:szCs w:val="24"/>
          <w:lang w:val="en-GB"/>
        </w:rPr>
        <w:t xml:space="preserve">.  The point raised is not the authority to sign an affidavit, but the </w:t>
      </w:r>
      <w:r w:rsidR="000430D5" w:rsidRPr="00D87EDD">
        <w:rPr>
          <w:rFonts w:ascii="Arial" w:hAnsi="Arial" w:cs="Arial"/>
          <w:i/>
          <w:iCs/>
          <w:sz w:val="24"/>
          <w:szCs w:val="24"/>
          <w:lang w:val="en-GB"/>
        </w:rPr>
        <w:t>locus standi</w:t>
      </w:r>
      <w:r w:rsidR="000430D5" w:rsidRPr="00D87EDD">
        <w:rPr>
          <w:rFonts w:ascii="Arial" w:hAnsi="Arial" w:cs="Arial"/>
          <w:sz w:val="24"/>
          <w:szCs w:val="24"/>
          <w:lang w:val="en-GB"/>
        </w:rPr>
        <w:t xml:space="preserve"> of the Applicants.  </w:t>
      </w:r>
      <w:r w:rsidR="00A90CB2" w:rsidRPr="00D87EDD">
        <w:rPr>
          <w:rFonts w:ascii="Arial" w:hAnsi="Arial" w:cs="Arial"/>
          <w:sz w:val="24"/>
          <w:szCs w:val="24"/>
          <w:lang w:val="en-GB"/>
        </w:rPr>
        <w:t xml:space="preserve">The authority to sign an affidavit is something that stands to be challenged with Rule 7.  That is not the argument.  </w:t>
      </w:r>
    </w:p>
    <w:p w14:paraId="4C84D46F" w14:textId="77777777" w:rsidR="000430D5" w:rsidRPr="0081243C" w:rsidRDefault="000430D5" w:rsidP="000430D5">
      <w:pPr>
        <w:pStyle w:val="ListParagraph"/>
        <w:rPr>
          <w:rFonts w:ascii="Arial" w:hAnsi="Arial" w:cs="Arial"/>
          <w:sz w:val="24"/>
          <w:szCs w:val="24"/>
          <w:lang w:val="en-GB"/>
        </w:rPr>
      </w:pPr>
    </w:p>
    <w:p w14:paraId="68810E53" w14:textId="77777777" w:rsidR="00792A5D" w:rsidRPr="0081243C" w:rsidRDefault="00792A5D" w:rsidP="00792A5D">
      <w:pPr>
        <w:pStyle w:val="ListParagraph"/>
        <w:rPr>
          <w:rFonts w:ascii="Arial" w:hAnsi="Arial" w:cs="Arial"/>
          <w:sz w:val="24"/>
          <w:szCs w:val="24"/>
          <w:lang w:val="en-GB"/>
        </w:rPr>
      </w:pPr>
    </w:p>
    <w:p w14:paraId="11FB15D4" w14:textId="6B013DB8" w:rsidR="00792A5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55.</w:t>
      </w:r>
      <w:r w:rsidRPr="0081243C">
        <w:rPr>
          <w:rFonts w:ascii="Arial" w:hAnsi="Arial" w:cs="Arial"/>
          <w:sz w:val="24"/>
          <w:szCs w:val="24"/>
          <w:lang w:val="en-GB"/>
        </w:rPr>
        <w:tab/>
      </w:r>
      <w:r w:rsidR="00A90CB2" w:rsidRPr="00D87EDD">
        <w:rPr>
          <w:rFonts w:ascii="Arial" w:hAnsi="Arial" w:cs="Arial"/>
          <w:sz w:val="24"/>
          <w:szCs w:val="24"/>
          <w:lang w:val="en-GB"/>
        </w:rPr>
        <w:t>I therefore have to return to the basics.</w:t>
      </w:r>
    </w:p>
    <w:p w14:paraId="7473BF6F" w14:textId="77777777" w:rsidR="00792A5D" w:rsidRPr="0081243C" w:rsidRDefault="00792A5D" w:rsidP="00792A5D">
      <w:pPr>
        <w:pStyle w:val="ListParagraph"/>
        <w:rPr>
          <w:rFonts w:ascii="Arial" w:hAnsi="Arial" w:cs="Arial"/>
          <w:sz w:val="24"/>
          <w:szCs w:val="24"/>
          <w:lang w:val="en-GB"/>
        </w:rPr>
      </w:pPr>
    </w:p>
    <w:p w14:paraId="448D1BE3" w14:textId="276292ED" w:rsidR="00792A5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56.</w:t>
      </w:r>
      <w:r w:rsidRPr="0081243C">
        <w:rPr>
          <w:rFonts w:ascii="Arial" w:hAnsi="Arial" w:cs="Arial"/>
          <w:sz w:val="24"/>
          <w:szCs w:val="24"/>
          <w:lang w:val="en-GB"/>
        </w:rPr>
        <w:tab/>
      </w:r>
      <w:r w:rsidR="00792A5D" w:rsidRPr="00D87EDD">
        <w:rPr>
          <w:rFonts w:ascii="Arial" w:hAnsi="Arial" w:cs="Arial"/>
          <w:i/>
          <w:iCs/>
          <w:sz w:val="24"/>
          <w:szCs w:val="24"/>
          <w:lang w:val="en-GB"/>
        </w:rPr>
        <w:t>Locus standi in iudicio</w:t>
      </w:r>
      <w:r w:rsidR="00792A5D" w:rsidRPr="00D87EDD">
        <w:rPr>
          <w:rFonts w:ascii="Arial" w:hAnsi="Arial" w:cs="Arial"/>
          <w:sz w:val="24"/>
          <w:szCs w:val="24"/>
          <w:lang w:val="en-GB"/>
        </w:rPr>
        <w:t xml:space="preserve"> concerns the sufficiency and directness of a litigant’s  interest in proceedings which warrants his or her title to prosecute the claim asserted.  In </w:t>
      </w:r>
      <w:r w:rsidR="00792A5D" w:rsidRPr="00D87EDD">
        <w:rPr>
          <w:rFonts w:ascii="Arial" w:hAnsi="Arial" w:cs="Arial"/>
          <w:b/>
          <w:bCs/>
          <w:i/>
          <w:iCs/>
          <w:sz w:val="24"/>
          <w:szCs w:val="24"/>
          <w:lang w:val="en-GB"/>
        </w:rPr>
        <w:t>Four Wheel Drive Accessory Distributors CC v Lesheni Rattan NO</w:t>
      </w:r>
      <w:r w:rsidR="00792A5D" w:rsidRPr="00D87EDD">
        <w:rPr>
          <w:rFonts w:ascii="Arial" w:hAnsi="Arial" w:cs="Arial"/>
          <w:sz w:val="24"/>
          <w:szCs w:val="24"/>
          <w:lang w:val="en-GB"/>
        </w:rPr>
        <w:t xml:space="preserve"> </w:t>
      </w:r>
      <w:r w:rsidR="00792A5D" w:rsidRPr="0081243C">
        <w:rPr>
          <w:rStyle w:val="EndnoteReference"/>
          <w:rFonts w:ascii="Arial" w:hAnsi="Arial" w:cs="Arial"/>
          <w:sz w:val="24"/>
          <w:szCs w:val="24"/>
          <w:lang w:val="en-GB"/>
        </w:rPr>
        <w:endnoteReference w:id="3"/>
      </w:r>
      <w:r w:rsidR="005F53F5" w:rsidRPr="00D87EDD">
        <w:rPr>
          <w:rFonts w:ascii="Arial" w:hAnsi="Arial" w:cs="Arial"/>
          <w:sz w:val="24"/>
          <w:szCs w:val="24"/>
          <w:lang w:val="en-GB"/>
        </w:rPr>
        <w:t xml:space="preserve"> the SCA scrutinised the </w:t>
      </w:r>
      <w:r w:rsidR="005F53F5" w:rsidRPr="00D87EDD">
        <w:rPr>
          <w:rFonts w:ascii="Arial" w:hAnsi="Arial" w:cs="Arial"/>
          <w:i/>
          <w:iCs/>
          <w:sz w:val="24"/>
          <w:szCs w:val="24"/>
          <w:lang w:val="en-GB"/>
        </w:rPr>
        <w:t>locus standi</w:t>
      </w:r>
      <w:r w:rsidR="005F53F5" w:rsidRPr="00D87EDD">
        <w:rPr>
          <w:rFonts w:ascii="Arial" w:hAnsi="Arial" w:cs="Arial"/>
          <w:sz w:val="24"/>
          <w:szCs w:val="24"/>
          <w:lang w:val="en-GB"/>
        </w:rPr>
        <w:t xml:space="preserve"> of the Appellant.  The SCA again considered the requirements for </w:t>
      </w:r>
      <w:r w:rsidR="005F53F5" w:rsidRPr="00D87EDD">
        <w:rPr>
          <w:rFonts w:ascii="Arial" w:hAnsi="Arial" w:cs="Arial"/>
          <w:i/>
          <w:iCs/>
          <w:sz w:val="24"/>
          <w:szCs w:val="24"/>
          <w:lang w:val="en-GB"/>
        </w:rPr>
        <w:t>locus standi</w:t>
      </w:r>
      <w:r w:rsidR="00E95623" w:rsidRPr="00D87EDD">
        <w:rPr>
          <w:rFonts w:ascii="Arial" w:hAnsi="Arial" w:cs="Arial"/>
          <w:sz w:val="24"/>
          <w:szCs w:val="24"/>
          <w:lang w:val="en-GB"/>
        </w:rPr>
        <w:t xml:space="preserve">  The SCA confirmed the requirements</w:t>
      </w:r>
      <w:r w:rsidR="005F53F5" w:rsidRPr="00D87EDD">
        <w:rPr>
          <w:rFonts w:ascii="Arial" w:hAnsi="Arial" w:cs="Arial"/>
          <w:sz w:val="24"/>
          <w:szCs w:val="24"/>
          <w:lang w:val="en-GB"/>
        </w:rPr>
        <w:t xml:space="preserve"> being that the party approaching the Court must have adequate interest in the subject matter of the litigation; the interest must not be to remove; the interest must be actual and the interest must be current (not hypothetical).  </w:t>
      </w:r>
    </w:p>
    <w:p w14:paraId="4452744A" w14:textId="77777777" w:rsidR="005E1F02" w:rsidRPr="0081243C" w:rsidRDefault="005E1F02" w:rsidP="005E1F02">
      <w:pPr>
        <w:pStyle w:val="ListParagraph"/>
        <w:spacing w:line="480" w:lineRule="auto"/>
        <w:jc w:val="both"/>
        <w:rPr>
          <w:rFonts w:ascii="Arial" w:hAnsi="Arial" w:cs="Arial"/>
          <w:sz w:val="24"/>
          <w:szCs w:val="24"/>
          <w:lang w:val="en-GB"/>
        </w:rPr>
      </w:pPr>
    </w:p>
    <w:p w14:paraId="5A1C4975" w14:textId="275DC531" w:rsidR="00FB3AA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57.</w:t>
      </w:r>
      <w:r w:rsidRPr="0081243C">
        <w:rPr>
          <w:rFonts w:ascii="Arial" w:hAnsi="Arial" w:cs="Arial"/>
          <w:sz w:val="24"/>
          <w:szCs w:val="24"/>
          <w:lang w:val="en-GB"/>
        </w:rPr>
        <w:tab/>
      </w:r>
      <w:r w:rsidR="005C21F0" w:rsidRPr="00D87EDD">
        <w:rPr>
          <w:rFonts w:ascii="Arial" w:hAnsi="Arial" w:cs="Arial"/>
          <w:sz w:val="24"/>
          <w:szCs w:val="24"/>
          <w:lang w:val="en-GB"/>
        </w:rPr>
        <w:t xml:space="preserve">It is for the applicant to allege and proof </w:t>
      </w:r>
      <w:r w:rsidR="005C21F0" w:rsidRPr="00D87EDD">
        <w:rPr>
          <w:rFonts w:ascii="Arial" w:hAnsi="Arial" w:cs="Arial"/>
          <w:i/>
          <w:iCs/>
          <w:sz w:val="24"/>
          <w:szCs w:val="24"/>
          <w:lang w:val="en-GB"/>
        </w:rPr>
        <w:t>locus standi</w:t>
      </w:r>
      <w:r w:rsidR="005C21F0" w:rsidRPr="00D87EDD">
        <w:rPr>
          <w:rFonts w:ascii="Arial" w:hAnsi="Arial" w:cs="Arial"/>
          <w:sz w:val="24"/>
          <w:szCs w:val="24"/>
          <w:lang w:val="en-GB"/>
        </w:rPr>
        <w:t xml:space="preserve">.  </w:t>
      </w:r>
      <w:r w:rsidR="00DC5C20" w:rsidRPr="00D87EDD">
        <w:rPr>
          <w:rFonts w:ascii="Arial" w:hAnsi="Arial" w:cs="Arial"/>
          <w:sz w:val="24"/>
          <w:szCs w:val="24"/>
          <w:lang w:val="en-GB"/>
        </w:rPr>
        <w:t xml:space="preserve">The second Respondent correctly referred to the matter of </w:t>
      </w:r>
      <w:r w:rsidR="00DC5C20" w:rsidRPr="00D87EDD">
        <w:rPr>
          <w:rFonts w:ascii="Arial" w:hAnsi="Arial" w:cs="Arial"/>
          <w:b/>
          <w:bCs/>
          <w:i/>
          <w:iCs/>
          <w:sz w:val="24"/>
          <w:szCs w:val="24"/>
          <w:lang w:val="en-GB"/>
        </w:rPr>
        <w:t>Gross v Pentz</w:t>
      </w:r>
      <w:r w:rsidR="00DC5C20" w:rsidRPr="00D87EDD">
        <w:rPr>
          <w:rFonts w:ascii="Arial" w:hAnsi="Arial" w:cs="Arial"/>
          <w:sz w:val="24"/>
          <w:szCs w:val="24"/>
          <w:lang w:val="en-GB"/>
        </w:rPr>
        <w:t xml:space="preserve"> </w:t>
      </w:r>
      <w:r w:rsidR="00DC5C20" w:rsidRPr="0081243C">
        <w:rPr>
          <w:rStyle w:val="EndnoteReference"/>
          <w:rFonts w:ascii="Arial" w:hAnsi="Arial" w:cs="Arial"/>
          <w:sz w:val="24"/>
          <w:szCs w:val="24"/>
          <w:lang w:val="en-GB"/>
        </w:rPr>
        <w:endnoteReference w:id="4"/>
      </w:r>
      <w:r w:rsidR="00DC5C20" w:rsidRPr="00D87EDD">
        <w:rPr>
          <w:rFonts w:ascii="Arial" w:hAnsi="Arial" w:cs="Arial"/>
          <w:sz w:val="24"/>
          <w:szCs w:val="24"/>
          <w:lang w:val="en-GB"/>
        </w:rPr>
        <w:t xml:space="preserve"> where it was held that it is for the party instituting proceedings to allege and prove that he / she has the necessary </w:t>
      </w:r>
      <w:r w:rsidR="00DC5C20" w:rsidRPr="00D87EDD">
        <w:rPr>
          <w:rFonts w:ascii="Arial" w:hAnsi="Arial" w:cs="Arial"/>
          <w:i/>
          <w:iCs/>
          <w:sz w:val="24"/>
          <w:szCs w:val="24"/>
          <w:lang w:val="en-GB"/>
        </w:rPr>
        <w:t>locus standi</w:t>
      </w:r>
      <w:r w:rsidR="00DC5C20" w:rsidRPr="00D87EDD">
        <w:rPr>
          <w:rFonts w:ascii="Arial" w:hAnsi="Arial" w:cs="Arial"/>
          <w:sz w:val="24"/>
          <w:szCs w:val="24"/>
          <w:lang w:val="en-GB"/>
        </w:rPr>
        <w:t xml:space="preserve">.  </w:t>
      </w:r>
      <w:r w:rsidR="004A404E" w:rsidRPr="00D87EDD">
        <w:rPr>
          <w:rFonts w:ascii="Arial" w:hAnsi="Arial" w:cs="Arial"/>
          <w:sz w:val="24"/>
          <w:szCs w:val="24"/>
          <w:lang w:val="en-GB"/>
        </w:rPr>
        <w:t xml:space="preserve">The question arises if the second Applicant did enough in his founding affidavit to convince me that the Applicants have the necessary </w:t>
      </w:r>
      <w:r w:rsidR="004A404E" w:rsidRPr="00D87EDD">
        <w:rPr>
          <w:rFonts w:ascii="Arial" w:hAnsi="Arial" w:cs="Arial"/>
          <w:i/>
          <w:iCs/>
          <w:sz w:val="24"/>
          <w:szCs w:val="24"/>
          <w:lang w:val="en-GB"/>
        </w:rPr>
        <w:t>locus standi</w:t>
      </w:r>
      <w:r w:rsidR="008325D6" w:rsidRPr="00D87EDD">
        <w:rPr>
          <w:rFonts w:ascii="Arial" w:hAnsi="Arial" w:cs="Arial"/>
          <w:sz w:val="24"/>
          <w:szCs w:val="24"/>
          <w:lang w:val="en-GB"/>
        </w:rPr>
        <w:t xml:space="preserve"> to proceed with the claim.</w:t>
      </w:r>
    </w:p>
    <w:p w14:paraId="2C394F00" w14:textId="77777777" w:rsidR="00A922F2" w:rsidRPr="0081243C" w:rsidRDefault="00A922F2" w:rsidP="00A922F2">
      <w:pPr>
        <w:spacing w:line="480" w:lineRule="auto"/>
        <w:jc w:val="both"/>
        <w:rPr>
          <w:rFonts w:ascii="Arial" w:hAnsi="Arial" w:cs="Arial"/>
          <w:sz w:val="24"/>
          <w:szCs w:val="24"/>
          <w:lang w:val="en-GB"/>
        </w:rPr>
      </w:pPr>
    </w:p>
    <w:p w14:paraId="2C4950CB" w14:textId="09E88204" w:rsidR="00CB20DF"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58.</w:t>
      </w:r>
      <w:r w:rsidRPr="0081243C">
        <w:rPr>
          <w:rFonts w:ascii="Arial" w:hAnsi="Arial" w:cs="Arial"/>
          <w:sz w:val="24"/>
          <w:szCs w:val="24"/>
          <w:lang w:val="en-GB"/>
        </w:rPr>
        <w:tab/>
      </w:r>
      <w:r w:rsidR="00CB20DF" w:rsidRPr="00D87EDD">
        <w:rPr>
          <w:rFonts w:ascii="Arial" w:hAnsi="Arial" w:cs="Arial"/>
          <w:sz w:val="24"/>
          <w:szCs w:val="24"/>
          <w:lang w:val="en-GB"/>
        </w:rPr>
        <w:t>In his founding affidavit the second Applicant describes himself as “</w:t>
      </w:r>
      <w:r w:rsidR="00CB20DF" w:rsidRPr="00D87EDD">
        <w:rPr>
          <w:rFonts w:ascii="Arial" w:hAnsi="Arial" w:cs="Arial"/>
          <w:i/>
          <w:iCs/>
          <w:sz w:val="24"/>
          <w:szCs w:val="24"/>
          <w:lang w:val="en-GB"/>
        </w:rPr>
        <w:t>I am the applicant and a former member of the 1</w:t>
      </w:r>
      <w:r w:rsidR="00CB20DF" w:rsidRPr="00D87EDD">
        <w:rPr>
          <w:rFonts w:ascii="Arial" w:hAnsi="Arial" w:cs="Arial"/>
          <w:i/>
          <w:iCs/>
          <w:sz w:val="24"/>
          <w:szCs w:val="24"/>
          <w:vertAlign w:val="superscript"/>
          <w:lang w:val="en-GB"/>
        </w:rPr>
        <w:t>st</w:t>
      </w:r>
      <w:r w:rsidR="00CB20DF" w:rsidRPr="00D87EDD">
        <w:rPr>
          <w:rFonts w:ascii="Arial" w:hAnsi="Arial" w:cs="Arial"/>
          <w:i/>
          <w:iCs/>
          <w:sz w:val="24"/>
          <w:szCs w:val="24"/>
          <w:lang w:val="en-GB"/>
        </w:rPr>
        <w:t xml:space="preserve"> applicant and currently residing at ….”</w:t>
      </w:r>
      <w:r w:rsidR="00CB20DF" w:rsidRPr="00D87EDD">
        <w:rPr>
          <w:rFonts w:ascii="Arial" w:hAnsi="Arial" w:cs="Arial"/>
          <w:sz w:val="24"/>
          <w:szCs w:val="24"/>
          <w:lang w:val="en-GB"/>
        </w:rPr>
        <w:t xml:space="preserve">.  No further particulars of the first Applicant are provided.  Later in his founding affidavit, the second Applicant makes mention of the first Applicant and himself as </w:t>
      </w:r>
      <w:r w:rsidR="00CB20DF" w:rsidRPr="00D87EDD">
        <w:rPr>
          <w:rFonts w:ascii="Arial" w:hAnsi="Arial" w:cs="Arial"/>
          <w:i/>
          <w:iCs/>
          <w:sz w:val="24"/>
          <w:szCs w:val="24"/>
          <w:lang w:val="en-GB"/>
        </w:rPr>
        <w:t>“The 1</w:t>
      </w:r>
      <w:r w:rsidR="00CB20DF" w:rsidRPr="00D87EDD">
        <w:rPr>
          <w:rFonts w:ascii="Arial" w:hAnsi="Arial" w:cs="Arial"/>
          <w:i/>
          <w:iCs/>
          <w:sz w:val="24"/>
          <w:szCs w:val="24"/>
          <w:vertAlign w:val="superscript"/>
          <w:lang w:val="en-GB"/>
        </w:rPr>
        <w:t>st</w:t>
      </w:r>
      <w:r w:rsidR="00CB20DF" w:rsidRPr="00D87EDD">
        <w:rPr>
          <w:rFonts w:ascii="Arial" w:hAnsi="Arial" w:cs="Arial"/>
          <w:i/>
          <w:iCs/>
          <w:sz w:val="24"/>
          <w:szCs w:val="24"/>
          <w:lang w:val="en-GB"/>
        </w:rPr>
        <w:t xml:space="preserve"> and 2</w:t>
      </w:r>
      <w:r w:rsidR="00CB20DF" w:rsidRPr="00D87EDD">
        <w:rPr>
          <w:rFonts w:ascii="Arial" w:hAnsi="Arial" w:cs="Arial"/>
          <w:i/>
          <w:iCs/>
          <w:sz w:val="24"/>
          <w:szCs w:val="24"/>
          <w:vertAlign w:val="superscript"/>
          <w:lang w:val="en-GB"/>
        </w:rPr>
        <w:t>nd</w:t>
      </w:r>
      <w:r w:rsidR="00CB20DF" w:rsidRPr="00D87EDD">
        <w:rPr>
          <w:rFonts w:ascii="Arial" w:hAnsi="Arial" w:cs="Arial"/>
          <w:i/>
          <w:iCs/>
          <w:sz w:val="24"/>
          <w:szCs w:val="24"/>
          <w:lang w:val="en-GB"/>
        </w:rPr>
        <w:t xml:space="preserve"> applicants are as appear hereinabove.”</w:t>
      </w:r>
      <w:r w:rsidR="00CB20DF" w:rsidRPr="00D87EDD">
        <w:rPr>
          <w:rFonts w:ascii="Arial" w:hAnsi="Arial" w:cs="Arial"/>
          <w:sz w:val="24"/>
          <w:szCs w:val="24"/>
          <w:lang w:val="en-GB"/>
        </w:rPr>
        <w:t xml:space="preserve"> </w:t>
      </w:r>
    </w:p>
    <w:p w14:paraId="002EA748" w14:textId="77777777" w:rsidR="00A44FBF" w:rsidRPr="0081243C" w:rsidRDefault="00A44FBF" w:rsidP="005E0FB1">
      <w:pPr>
        <w:pStyle w:val="ListParagraph"/>
        <w:spacing w:line="480" w:lineRule="auto"/>
        <w:jc w:val="both"/>
        <w:rPr>
          <w:rFonts w:ascii="Arial" w:hAnsi="Arial" w:cs="Arial"/>
          <w:sz w:val="24"/>
          <w:szCs w:val="24"/>
          <w:lang w:val="en-GB"/>
        </w:rPr>
      </w:pPr>
    </w:p>
    <w:p w14:paraId="03EC6BBA" w14:textId="21F27041" w:rsidR="00C3648C"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59.</w:t>
      </w:r>
      <w:r w:rsidRPr="0081243C">
        <w:rPr>
          <w:rFonts w:ascii="Arial" w:hAnsi="Arial" w:cs="Arial"/>
          <w:sz w:val="24"/>
          <w:szCs w:val="24"/>
          <w:lang w:val="en-GB"/>
        </w:rPr>
        <w:tab/>
      </w:r>
      <w:r w:rsidR="00C3648C" w:rsidRPr="00D87EDD">
        <w:rPr>
          <w:rFonts w:ascii="Arial" w:hAnsi="Arial" w:cs="Arial"/>
          <w:sz w:val="24"/>
          <w:szCs w:val="24"/>
          <w:lang w:val="en-GB"/>
        </w:rPr>
        <w:t>Th</w:t>
      </w:r>
      <w:r w:rsidR="00CE5D75" w:rsidRPr="00D87EDD">
        <w:rPr>
          <w:rFonts w:ascii="Arial" w:hAnsi="Arial" w:cs="Arial"/>
          <w:sz w:val="24"/>
          <w:szCs w:val="24"/>
          <w:lang w:val="en-GB"/>
        </w:rPr>
        <w:t>e status of the first Applicant is not disclosed in the founding affidavit.  This</w:t>
      </w:r>
      <w:r w:rsidR="00C3648C" w:rsidRPr="00D87EDD">
        <w:rPr>
          <w:rFonts w:ascii="Arial" w:hAnsi="Arial" w:cs="Arial"/>
          <w:sz w:val="24"/>
          <w:szCs w:val="24"/>
          <w:lang w:val="en-GB"/>
        </w:rPr>
        <w:t xml:space="preserve"> is an important aspect and the status of the first Applicant</w:t>
      </w:r>
      <w:r w:rsidR="003B7179" w:rsidRPr="00D87EDD">
        <w:rPr>
          <w:rFonts w:ascii="Arial" w:hAnsi="Arial" w:cs="Arial"/>
          <w:sz w:val="24"/>
          <w:szCs w:val="24"/>
          <w:lang w:val="en-GB"/>
        </w:rPr>
        <w:t xml:space="preserve"> and its </w:t>
      </w:r>
      <w:r w:rsidR="003B7179" w:rsidRPr="00D87EDD">
        <w:rPr>
          <w:rFonts w:ascii="Arial" w:hAnsi="Arial" w:cs="Arial"/>
          <w:i/>
          <w:iCs/>
          <w:sz w:val="24"/>
          <w:szCs w:val="24"/>
          <w:lang w:val="en-GB"/>
        </w:rPr>
        <w:t>locus standi</w:t>
      </w:r>
      <w:r w:rsidR="003B7179" w:rsidRPr="00D87EDD">
        <w:rPr>
          <w:rFonts w:ascii="Arial" w:hAnsi="Arial" w:cs="Arial"/>
          <w:sz w:val="24"/>
          <w:szCs w:val="24"/>
          <w:lang w:val="en-GB"/>
        </w:rPr>
        <w:t xml:space="preserve"> to bring this application</w:t>
      </w:r>
      <w:r w:rsidR="00C3648C" w:rsidRPr="00D87EDD">
        <w:rPr>
          <w:rFonts w:ascii="Arial" w:hAnsi="Arial" w:cs="Arial"/>
          <w:sz w:val="24"/>
          <w:szCs w:val="24"/>
          <w:lang w:val="en-GB"/>
        </w:rPr>
        <w:t xml:space="preserve"> had to be canvassed in the Founding Affidavit. </w:t>
      </w:r>
    </w:p>
    <w:p w14:paraId="64CEA21A" w14:textId="77777777" w:rsidR="00C3648C" w:rsidRPr="0081243C" w:rsidRDefault="00C3648C" w:rsidP="005E0FB1">
      <w:pPr>
        <w:pStyle w:val="ListParagraph"/>
        <w:spacing w:line="480" w:lineRule="auto"/>
        <w:jc w:val="both"/>
        <w:rPr>
          <w:rFonts w:ascii="Arial" w:hAnsi="Arial" w:cs="Arial"/>
          <w:sz w:val="24"/>
          <w:szCs w:val="24"/>
          <w:lang w:val="en-GB"/>
        </w:rPr>
      </w:pPr>
    </w:p>
    <w:p w14:paraId="6DF05596" w14:textId="3905A94C" w:rsidR="00C3648C"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60.</w:t>
      </w:r>
      <w:r w:rsidRPr="0081243C">
        <w:rPr>
          <w:rFonts w:ascii="Arial" w:hAnsi="Arial" w:cs="Arial"/>
          <w:sz w:val="24"/>
          <w:szCs w:val="24"/>
          <w:lang w:val="en-GB"/>
        </w:rPr>
        <w:tab/>
      </w:r>
      <w:r w:rsidR="00C3648C" w:rsidRPr="00D87EDD">
        <w:rPr>
          <w:rFonts w:ascii="Arial" w:hAnsi="Arial" w:cs="Arial"/>
          <w:sz w:val="24"/>
          <w:szCs w:val="24"/>
          <w:lang w:val="en-GB"/>
        </w:rPr>
        <w:t xml:space="preserve">The Respondents argue that </w:t>
      </w:r>
      <w:r w:rsidR="009405C6" w:rsidRPr="00D87EDD">
        <w:rPr>
          <w:rFonts w:ascii="Arial" w:hAnsi="Arial" w:cs="Arial"/>
          <w:sz w:val="24"/>
          <w:szCs w:val="24"/>
          <w:lang w:val="en-GB"/>
        </w:rPr>
        <w:t xml:space="preserve">the second Applicant has no </w:t>
      </w:r>
      <w:r w:rsidR="009405C6" w:rsidRPr="00D87EDD">
        <w:rPr>
          <w:rFonts w:ascii="Arial" w:hAnsi="Arial" w:cs="Arial"/>
          <w:i/>
          <w:iCs/>
          <w:sz w:val="24"/>
          <w:szCs w:val="24"/>
          <w:lang w:val="en-GB"/>
        </w:rPr>
        <w:t>locus standi</w:t>
      </w:r>
      <w:r w:rsidR="009405C6" w:rsidRPr="00D87EDD">
        <w:rPr>
          <w:rFonts w:ascii="Arial" w:hAnsi="Arial" w:cs="Arial"/>
          <w:sz w:val="24"/>
          <w:szCs w:val="24"/>
          <w:lang w:val="en-GB"/>
        </w:rPr>
        <w:t xml:space="preserve"> to act on behalf of the first Applicant.  </w:t>
      </w:r>
    </w:p>
    <w:p w14:paraId="16D86E49" w14:textId="77777777" w:rsidR="00185E29" w:rsidRPr="0081243C" w:rsidRDefault="00185E29" w:rsidP="005E0FB1">
      <w:pPr>
        <w:pStyle w:val="ListParagraph"/>
        <w:jc w:val="both"/>
        <w:rPr>
          <w:rFonts w:ascii="Arial" w:hAnsi="Arial" w:cs="Arial"/>
          <w:sz w:val="24"/>
          <w:szCs w:val="24"/>
          <w:lang w:val="en-GB"/>
        </w:rPr>
      </w:pPr>
    </w:p>
    <w:p w14:paraId="22C48F61" w14:textId="01DF7650" w:rsidR="00CE5D7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61.</w:t>
      </w:r>
      <w:r w:rsidRPr="0081243C">
        <w:rPr>
          <w:rFonts w:ascii="Arial" w:hAnsi="Arial" w:cs="Arial"/>
          <w:sz w:val="24"/>
          <w:szCs w:val="24"/>
          <w:lang w:val="en-GB"/>
        </w:rPr>
        <w:tab/>
      </w:r>
      <w:r w:rsidR="00185E29" w:rsidRPr="00D87EDD">
        <w:rPr>
          <w:rFonts w:ascii="Arial" w:hAnsi="Arial" w:cs="Arial"/>
          <w:sz w:val="24"/>
          <w:szCs w:val="24"/>
          <w:lang w:val="en-GB"/>
        </w:rPr>
        <w:t xml:space="preserve">The second Applicant on its turn argued that in light of the fact that it was a voluntary liquidation, that he can still act on behalf of the first Applicant.  </w:t>
      </w:r>
    </w:p>
    <w:p w14:paraId="69BD3D46" w14:textId="77777777" w:rsidR="00CE5D75" w:rsidRPr="0081243C" w:rsidRDefault="00CE5D75" w:rsidP="00CE5D75">
      <w:pPr>
        <w:pStyle w:val="ListParagraph"/>
        <w:rPr>
          <w:rFonts w:ascii="Arial" w:hAnsi="Arial" w:cs="Arial"/>
          <w:sz w:val="24"/>
          <w:szCs w:val="24"/>
          <w:lang w:val="en-GB"/>
        </w:rPr>
      </w:pPr>
    </w:p>
    <w:p w14:paraId="7ADEC15D" w14:textId="24A1BB4A" w:rsidR="00856B71"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62.</w:t>
      </w:r>
      <w:r w:rsidRPr="0081243C">
        <w:rPr>
          <w:rFonts w:ascii="Arial" w:hAnsi="Arial" w:cs="Arial"/>
          <w:sz w:val="24"/>
          <w:szCs w:val="24"/>
          <w:lang w:val="en-GB"/>
        </w:rPr>
        <w:tab/>
      </w:r>
      <w:r w:rsidR="00185E29" w:rsidRPr="00D87EDD">
        <w:rPr>
          <w:rFonts w:ascii="Arial" w:hAnsi="Arial" w:cs="Arial"/>
          <w:sz w:val="24"/>
          <w:szCs w:val="24"/>
          <w:lang w:val="en-GB"/>
        </w:rPr>
        <w:t xml:space="preserve">I do not agree with the argument of the second Applicant.  On the liquidation of the Closed Corporation the members lost any and all control over the Closed Corporation, except to the extent authorised, in the case of members’ winding up, by the liquidator or by the members.  </w:t>
      </w:r>
      <w:r w:rsidR="008A6235" w:rsidRPr="0081243C">
        <w:rPr>
          <w:rStyle w:val="EndnoteReference"/>
          <w:rFonts w:ascii="Arial" w:hAnsi="Arial" w:cs="Arial"/>
          <w:sz w:val="24"/>
          <w:szCs w:val="24"/>
          <w:lang w:val="en-GB"/>
        </w:rPr>
        <w:endnoteReference w:id="5"/>
      </w:r>
    </w:p>
    <w:p w14:paraId="4EAD00B3" w14:textId="77777777" w:rsidR="00856B71" w:rsidRPr="0081243C" w:rsidRDefault="00856B71" w:rsidP="005E0FB1">
      <w:pPr>
        <w:pStyle w:val="ListParagraph"/>
        <w:jc w:val="both"/>
        <w:rPr>
          <w:rFonts w:ascii="Arial" w:hAnsi="Arial" w:cs="Arial"/>
          <w:sz w:val="24"/>
          <w:szCs w:val="24"/>
          <w:lang w:val="en-GB"/>
        </w:rPr>
      </w:pPr>
    </w:p>
    <w:p w14:paraId="425C9D5C" w14:textId="018CF33D" w:rsidR="00856B71"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63.</w:t>
      </w:r>
      <w:r w:rsidRPr="0081243C">
        <w:rPr>
          <w:rFonts w:ascii="Arial" w:hAnsi="Arial" w:cs="Arial"/>
          <w:sz w:val="24"/>
          <w:szCs w:val="24"/>
          <w:lang w:val="en-GB"/>
        </w:rPr>
        <w:tab/>
      </w:r>
      <w:r w:rsidR="00856B71" w:rsidRPr="00D87EDD">
        <w:rPr>
          <w:rFonts w:ascii="Arial" w:hAnsi="Arial" w:cs="Arial"/>
          <w:sz w:val="24"/>
          <w:szCs w:val="24"/>
          <w:lang w:val="en-GB"/>
        </w:rPr>
        <w:t xml:space="preserve">The second Applicant did not place any proof before the Court that there is compliance with this exception.  </w:t>
      </w:r>
      <w:r w:rsidR="009F720A" w:rsidRPr="00D87EDD">
        <w:rPr>
          <w:rFonts w:ascii="Arial" w:hAnsi="Arial" w:cs="Arial"/>
          <w:sz w:val="24"/>
          <w:szCs w:val="24"/>
          <w:lang w:val="en-GB"/>
        </w:rPr>
        <w:t xml:space="preserve">Such exception is not even alleged. </w:t>
      </w:r>
      <w:r w:rsidR="00A922F2" w:rsidRPr="00D87EDD">
        <w:rPr>
          <w:rFonts w:ascii="Arial" w:hAnsi="Arial" w:cs="Arial"/>
          <w:sz w:val="24"/>
          <w:szCs w:val="24"/>
          <w:lang w:val="en-GB"/>
        </w:rPr>
        <w:t xml:space="preserve">  The argument that he retained the necessary </w:t>
      </w:r>
      <w:r w:rsidR="00A922F2" w:rsidRPr="00D87EDD">
        <w:rPr>
          <w:rFonts w:ascii="Arial" w:hAnsi="Arial" w:cs="Arial"/>
          <w:i/>
          <w:iCs/>
          <w:sz w:val="24"/>
          <w:szCs w:val="24"/>
          <w:lang w:val="en-GB"/>
        </w:rPr>
        <w:t>locus standi</w:t>
      </w:r>
      <w:r w:rsidR="00A922F2" w:rsidRPr="00D87EDD">
        <w:rPr>
          <w:rFonts w:ascii="Arial" w:hAnsi="Arial" w:cs="Arial"/>
          <w:sz w:val="24"/>
          <w:szCs w:val="24"/>
          <w:lang w:val="en-GB"/>
        </w:rPr>
        <w:t xml:space="preserve"> based on the fact that it was a voluntary liquidation and that no liquidator was appointed, is misplaced.  </w:t>
      </w:r>
      <w:r w:rsidR="009F720A" w:rsidRPr="00D87EDD">
        <w:rPr>
          <w:rFonts w:ascii="Arial" w:hAnsi="Arial" w:cs="Arial"/>
          <w:sz w:val="24"/>
          <w:szCs w:val="24"/>
          <w:lang w:val="en-GB"/>
        </w:rPr>
        <w:t xml:space="preserve"> </w:t>
      </w:r>
    </w:p>
    <w:p w14:paraId="760D9FD2" w14:textId="77777777" w:rsidR="00856B71" w:rsidRPr="0081243C" w:rsidRDefault="00856B71" w:rsidP="005E0FB1">
      <w:pPr>
        <w:pStyle w:val="ListParagraph"/>
        <w:jc w:val="both"/>
        <w:rPr>
          <w:rFonts w:ascii="Arial" w:hAnsi="Arial" w:cs="Arial"/>
          <w:sz w:val="24"/>
          <w:szCs w:val="24"/>
          <w:lang w:val="en-GB"/>
        </w:rPr>
      </w:pPr>
    </w:p>
    <w:p w14:paraId="4F248509" w14:textId="0EC59C44" w:rsidR="00185E2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64.</w:t>
      </w:r>
      <w:r w:rsidRPr="0081243C">
        <w:rPr>
          <w:rFonts w:ascii="Arial" w:hAnsi="Arial" w:cs="Arial"/>
          <w:sz w:val="24"/>
          <w:szCs w:val="24"/>
          <w:lang w:val="en-GB"/>
        </w:rPr>
        <w:tab/>
      </w:r>
      <w:r w:rsidR="00856B71" w:rsidRPr="00D87EDD">
        <w:rPr>
          <w:rFonts w:ascii="Arial" w:hAnsi="Arial" w:cs="Arial"/>
          <w:sz w:val="24"/>
          <w:szCs w:val="24"/>
          <w:lang w:val="en-GB"/>
        </w:rPr>
        <w:t xml:space="preserve">The second Applicant takes the stance that neither the first Applicant nor himself is required to provide the Court or the Respondents with such a resolution for the simple reason that the first Applicant has been liquidated and secondly as the witness of the Court and further having an interest in the matter he (the second Applicant) it is not required that he be authorised his deposition of any legal document.  I am of the view that the second Applicant </w:t>
      </w:r>
      <w:r w:rsidR="003B7179" w:rsidRPr="00D87EDD">
        <w:rPr>
          <w:rFonts w:ascii="Arial" w:hAnsi="Arial" w:cs="Arial"/>
          <w:sz w:val="24"/>
          <w:szCs w:val="24"/>
          <w:lang w:val="en-GB"/>
        </w:rPr>
        <w:t xml:space="preserve">is </w:t>
      </w:r>
      <w:r w:rsidR="00856B71" w:rsidRPr="00D87EDD">
        <w:rPr>
          <w:rFonts w:ascii="Arial" w:hAnsi="Arial" w:cs="Arial"/>
          <w:sz w:val="24"/>
          <w:szCs w:val="24"/>
          <w:lang w:val="en-GB"/>
        </w:rPr>
        <w:t>correct in this contention in as far as it relates to his own application</w:t>
      </w:r>
      <w:r w:rsidR="003B7179" w:rsidRPr="00D87EDD">
        <w:rPr>
          <w:rFonts w:ascii="Arial" w:hAnsi="Arial" w:cs="Arial"/>
          <w:sz w:val="24"/>
          <w:szCs w:val="24"/>
          <w:lang w:val="en-GB"/>
        </w:rPr>
        <w:t xml:space="preserve"> – in order to sign an affidavit  on his own behalf.  This, however, does not mean that he has the necessary </w:t>
      </w:r>
      <w:r w:rsidR="003B7179" w:rsidRPr="00D87EDD">
        <w:rPr>
          <w:rFonts w:ascii="Arial" w:hAnsi="Arial" w:cs="Arial"/>
          <w:i/>
          <w:iCs/>
          <w:sz w:val="24"/>
          <w:szCs w:val="24"/>
          <w:lang w:val="en-GB"/>
        </w:rPr>
        <w:t>locus standi</w:t>
      </w:r>
      <w:r w:rsidR="00856B71" w:rsidRPr="00D87EDD">
        <w:rPr>
          <w:rFonts w:ascii="Arial" w:hAnsi="Arial" w:cs="Arial"/>
          <w:sz w:val="24"/>
          <w:szCs w:val="24"/>
          <w:lang w:val="en-GB"/>
        </w:rPr>
        <w:t xml:space="preserve">.  He, however, is in my view incorrect in as far as it relates to the authority of the first Applicant.  </w:t>
      </w:r>
      <w:r w:rsidR="003B7179" w:rsidRPr="00D87EDD">
        <w:rPr>
          <w:rFonts w:ascii="Arial" w:hAnsi="Arial" w:cs="Arial"/>
          <w:sz w:val="24"/>
          <w:szCs w:val="24"/>
          <w:lang w:val="en-GB"/>
        </w:rPr>
        <w:t>Something more is needed.</w:t>
      </w:r>
    </w:p>
    <w:p w14:paraId="1357DB15" w14:textId="77777777" w:rsidR="00CE5D75" w:rsidRPr="0081243C" w:rsidRDefault="00CE5D75" w:rsidP="00CE5D75">
      <w:pPr>
        <w:pStyle w:val="ListParagraph"/>
        <w:rPr>
          <w:rFonts w:ascii="Arial" w:hAnsi="Arial" w:cs="Arial"/>
          <w:sz w:val="24"/>
          <w:szCs w:val="24"/>
          <w:lang w:val="en-GB"/>
        </w:rPr>
      </w:pPr>
    </w:p>
    <w:p w14:paraId="0795A7ED" w14:textId="2744D76F" w:rsidR="00CE5D75"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65.</w:t>
      </w:r>
      <w:r w:rsidRPr="0081243C">
        <w:rPr>
          <w:rFonts w:ascii="Arial" w:hAnsi="Arial" w:cs="Arial"/>
          <w:sz w:val="24"/>
          <w:szCs w:val="24"/>
          <w:lang w:val="en-GB"/>
        </w:rPr>
        <w:tab/>
      </w:r>
      <w:r w:rsidR="00CE5D75" w:rsidRPr="00D87EDD">
        <w:rPr>
          <w:rFonts w:ascii="Arial" w:hAnsi="Arial" w:cs="Arial"/>
          <w:sz w:val="24"/>
          <w:szCs w:val="24"/>
          <w:lang w:val="en-GB"/>
        </w:rPr>
        <w:t xml:space="preserve">It is also striking that the liquidator is not before me proceeding with the claim on behalf of the first Applicant.  I have already dealt with the fact that no liquidator is appointed for the first Applicant.  </w:t>
      </w:r>
    </w:p>
    <w:p w14:paraId="29A664FC" w14:textId="77777777" w:rsidR="00F3248A" w:rsidRPr="0081243C" w:rsidRDefault="00F3248A" w:rsidP="00D74852">
      <w:pPr>
        <w:spacing w:line="480" w:lineRule="auto"/>
        <w:jc w:val="both"/>
        <w:rPr>
          <w:rFonts w:ascii="Arial" w:hAnsi="Arial" w:cs="Arial"/>
          <w:sz w:val="24"/>
          <w:szCs w:val="24"/>
          <w:lang w:val="en-GB"/>
        </w:rPr>
      </w:pPr>
    </w:p>
    <w:p w14:paraId="2AA43094" w14:textId="111DBFE9" w:rsidR="00F3248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66.</w:t>
      </w:r>
      <w:r w:rsidRPr="0081243C">
        <w:rPr>
          <w:rFonts w:ascii="Arial" w:hAnsi="Arial" w:cs="Arial"/>
          <w:sz w:val="24"/>
          <w:szCs w:val="24"/>
          <w:lang w:val="en-GB"/>
        </w:rPr>
        <w:tab/>
      </w:r>
      <w:r w:rsidR="00F3248A" w:rsidRPr="00D87EDD">
        <w:rPr>
          <w:rFonts w:ascii="Arial" w:hAnsi="Arial" w:cs="Arial"/>
          <w:sz w:val="24"/>
          <w:szCs w:val="24"/>
          <w:lang w:val="en-GB"/>
        </w:rPr>
        <w:t xml:space="preserve">The question, however, arises, what should happen with the application by the first Applicant.  Adv </w:t>
      </w:r>
      <w:r w:rsidR="00854EF3" w:rsidRPr="00D87EDD">
        <w:rPr>
          <w:rFonts w:ascii="Arial" w:hAnsi="Arial" w:cs="Arial"/>
          <w:sz w:val="24"/>
          <w:szCs w:val="24"/>
          <w:lang w:val="en-GB"/>
        </w:rPr>
        <w:t>Kwinda</w:t>
      </w:r>
      <w:r w:rsidR="00F3248A" w:rsidRPr="00D87EDD">
        <w:rPr>
          <w:rFonts w:ascii="Arial" w:hAnsi="Arial" w:cs="Arial"/>
          <w:sz w:val="24"/>
          <w:szCs w:val="24"/>
          <w:lang w:val="en-GB"/>
        </w:rPr>
        <w:t xml:space="preserve"> who acted on behalf of the first and second Applicants insisted that the application should be granted in favour in the first and second Applicants.  Both the Respondents requested that the application be dismissed and that referred to the claim by both the first and second Applicants.</w:t>
      </w:r>
    </w:p>
    <w:p w14:paraId="3022B2B0" w14:textId="77777777" w:rsidR="00F3248A" w:rsidRPr="0081243C" w:rsidRDefault="00F3248A" w:rsidP="005E0FB1">
      <w:pPr>
        <w:pStyle w:val="ListParagraph"/>
        <w:jc w:val="both"/>
        <w:rPr>
          <w:rFonts w:ascii="Arial" w:hAnsi="Arial" w:cs="Arial"/>
          <w:sz w:val="24"/>
          <w:szCs w:val="24"/>
          <w:lang w:val="en-GB"/>
        </w:rPr>
      </w:pPr>
    </w:p>
    <w:p w14:paraId="13E0BF97" w14:textId="55416A9C" w:rsidR="00F3248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67.</w:t>
      </w:r>
      <w:r w:rsidRPr="0081243C">
        <w:rPr>
          <w:rFonts w:ascii="Arial" w:hAnsi="Arial" w:cs="Arial"/>
          <w:sz w:val="24"/>
          <w:szCs w:val="24"/>
          <w:lang w:val="en-GB"/>
        </w:rPr>
        <w:tab/>
      </w:r>
      <w:r w:rsidR="00F3248A" w:rsidRPr="00D87EDD">
        <w:rPr>
          <w:rFonts w:ascii="Arial" w:hAnsi="Arial" w:cs="Arial"/>
          <w:sz w:val="24"/>
          <w:szCs w:val="24"/>
          <w:lang w:val="en-GB"/>
        </w:rPr>
        <w:t xml:space="preserve">In the heads of argument by the first Respondent, however, reference was made to the legal position regarding the continuation or commencement of legal proceedings.  </w:t>
      </w:r>
      <w:r w:rsidR="005C4D25" w:rsidRPr="00D87EDD">
        <w:rPr>
          <w:rFonts w:ascii="Arial" w:hAnsi="Arial" w:cs="Arial"/>
          <w:sz w:val="24"/>
          <w:szCs w:val="24"/>
          <w:lang w:val="en-GB"/>
        </w:rPr>
        <w:t>Continuation</w:t>
      </w:r>
      <w:r w:rsidR="00F3248A" w:rsidRPr="00D87EDD">
        <w:rPr>
          <w:rFonts w:ascii="Arial" w:hAnsi="Arial" w:cs="Arial"/>
          <w:sz w:val="24"/>
          <w:szCs w:val="24"/>
          <w:lang w:val="en-GB"/>
        </w:rPr>
        <w:t xml:space="preserve"> is subject to the notice to the liquidator.  Adv </w:t>
      </w:r>
      <w:r w:rsidR="005C4D25" w:rsidRPr="00D87EDD">
        <w:rPr>
          <w:rFonts w:ascii="Arial" w:hAnsi="Arial" w:cs="Arial"/>
          <w:sz w:val="24"/>
          <w:szCs w:val="24"/>
          <w:lang w:val="en-GB"/>
        </w:rPr>
        <w:t>Kwinda</w:t>
      </w:r>
      <w:r w:rsidR="00F3248A" w:rsidRPr="00D87EDD">
        <w:rPr>
          <w:rFonts w:ascii="Arial" w:hAnsi="Arial" w:cs="Arial"/>
          <w:sz w:val="24"/>
          <w:szCs w:val="24"/>
          <w:lang w:val="en-GB"/>
        </w:rPr>
        <w:t xml:space="preserve"> </w:t>
      </w:r>
      <w:r w:rsidR="00F3248A" w:rsidRPr="00D87EDD">
        <w:rPr>
          <w:rFonts w:ascii="Arial" w:hAnsi="Arial" w:cs="Arial"/>
          <w:sz w:val="24"/>
          <w:szCs w:val="24"/>
          <w:lang w:val="en-GB"/>
        </w:rPr>
        <w:lastRenderedPageBreak/>
        <w:t xml:space="preserve">on behalf of the Applicants confirmed that no liquidator was appointed on behalf of the first Applicant.  His justification for the failure to appoint a liquidator was in light of the fact that the liquidation was voluntarily.  I do not agree with the argument of the Applicants.  Be it a voluntarily process, be it a liquidation as a result of a Court Order, </w:t>
      </w:r>
      <w:r w:rsidR="00C979ED" w:rsidRPr="00D87EDD">
        <w:rPr>
          <w:rFonts w:ascii="Arial" w:hAnsi="Arial" w:cs="Arial"/>
          <w:sz w:val="24"/>
          <w:szCs w:val="24"/>
          <w:lang w:val="en-GB"/>
        </w:rPr>
        <w:t>the process is clearly stipulated in the Close Corporation Act</w:t>
      </w:r>
      <w:r w:rsidR="00513131" w:rsidRPr="00D87EDD">
        <w:rPr>
          <w:rFonts w:ascii="Arial" w:hAnsi="Arial" w:cs="Arial"/>
          <w:sz w:val="24"/>
          <w:szCs w:val="24"/>
          <w:lang w:val="en-GB"/>
        </w:rPr>
        <w:t xml:space="preserve"> </w:t>
      </w:r>
      <w:r w:rsidR="00513131" w:rsidRPr="0081243C">
        <w:rPr>
          <w:rStyle w:val="EndnoteReference"/>
          <w:rFonts w:ascii="Arial" w:hAnsi="Arial" w:cs="Arial"/>
          <w:sz w:val="24"/>
          <w:szCs w:val="24"/>
          <w:lang w:val="en-GB"/>
        </w:rPr>
        <w:endnoteReference w:id="6"/>
      </w:r>
      <w:r w:rsidR="00C979ED" w:rsidRPr="00D87EDD">
        <w:rPr>
          <w:rFonts w:ascii="Arial" w:hAnsi="Arial" w:cs="Arial"/>
          <w:sz w:val="24"/>
          <w:szCs w:val="24"/>
          <w:lang w:val="en-GB"/>
        </w:rPr>
        <w:t xml:space="preserve"> read with the Companies Act.  </w:t>
      </w:r>
      <w:r w:rsidR="006A25F8" w:rsidRPr="0081243C">
        <w:rPr>
          <w:rStyle w:val="EndnoteReference"/>
          <w:rFonts w:ascii="Arial" w:hAnsi="Arial" w:cs="Arial"/>
          <w:sz w:val="24"/>
          <w:szCs w:val="24"/>
          <w:lang w:val="en-GB"/>
        </w:rPr>
        <w:endnoteReference w:id="7"/>
      </w:r>
      <w:r w:rsidR="007E5E48" w:rsidRPr="00D87EDD">
        <w:rPr>
          <w:rFonts w:ascii="Arial" w:hAnsi="Arial" w:cs="Arial"/>
          <w:sz w:val="24"/>
          <w:szCs w:val="24"/>
          <w:lang w:val="en-GB"/>
        </w:rPr>
        <w:t xml:space="preserve">  </w:t>
      </w:r>
      <w:r w:rsidR="00C3155B" w:rsidRPr="00D87EDD">
        <w:rPr>
          <w:rFonts w:ascii="Arial" w:hAnsi="Arial" w:cs="Arial"/>
          <w:sz w:val="24"/>
          <w:szCs w:val="24"/>
          <w:lang w:val="en-GB"/>
        </w:rPr>
        <w:t xml:space="preserve">A liquidator </w:t>
      </w:r>
      <w:r w:rsidR="00D74852" w:rsidRPr="00D87EDD">
        <w:rPr>
          <w:rFonts w:ascii="Arial" w:hAnsi="Arial" w:cs="Arial"/>
          <w:sz w:val="24"/>
          <w:szCs w:val="24"/>
          <w:lang w:val="en-GB"/>
        </w:rPr>
        <w:t>must</w:t>
      </w:r>
      <w:r w:rsidR="00C3155B" w:rsidRPr="00D87EDD">
        <w:rPr>
          <w:rFonts w:ascii="Arial" w:hAnsi="Arial" w:cs="Arial"/>
          <w:sz w:val="24"/>
          <w:szCs w:val="24"/>
          <w:lang w:val="en-GB"/>
        </w:rPr>
        <w:t xml:space="preserve"> be appointed.  </w:t>
      </w:r>
    </w:p>
    <w:p w14:paraId="51EF6CDD" w14:textId="77777777" w:rsidR="00D74852" w:rsidRPr="0081243C" w:rsidRDefault="00D74852" w:rsidP="00D74852">
      <w:pPr>
        <w:pStyle w:val="ListParagraph"/>
        <w:rPr>
          <w:rFonts w:ascii="Arial" w:hAnsi="Arial" w:cs="Arial"/>
          <w:sz w:val="24"/>
          <w:szCs w:val="24"/>
          <w:lang w:val="en-GB"/>
        </w:rPr>
      </w:pPr>
    </w:p>
    <w:p w14:paraId="2287E1D5" w14:textId="081C845E" w:rsidR="00D7485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68.</w:t>
      </w:r>
      <w:r w:rsidRPr="0081243C">
        <w:rPr>
          <w:rFonts w:ascii="Arial" w:hAnsi="Arial" w:cs="Arial"/>
          <w:sz w:val="24"/>
          <w:szCs w:val="24"/>
          <w:lang w:val="en-GB"/>
        </w:rPr>
        <w:tab/>
      </w:r>
      <w:r w:rsidR="00D74852" w:rsidRPr="00D87EDD">
        <w:rPr>
          <w:rFonts w:ascii="Arial" w:hAnsi="Arial" w:cs="Arial"/>
          <w:sz w:val="24"/>
          <w:szCs w:val="24"/>
          <w:lang w:val="en-GB"/>
        </w:rPr>
        <w:t>There is therefore no liquidator who can receive notice of the proceedings.  No postponement of this application will rectify this issue.</w:t>
      </w:r>
      <w:r w:rsidR="00680245" w:rsidRPr="00D87EDD">
        <w:rPr>
          <w:rFonts w:ascii="Arial" w:hAnsi="Arial" w:cs="Arial"/>
          <w:sz w:val="24"/>
          <w:szCs w:val="24"/>
          <w:lang w:val="en-GB"/>
        </w:rPr>
        <w:t xml:space="preserve">  During the argument it was also clear that no liquidator is in the process of being appointed.  It is also clear that there is not intention to appoint a liquidator.</w:t>
      </w:r>
      <w:r w:rsidR="007E5E48" w:rsidRPr="00D87EDD">
        <w:rPr>
          <w:rFonts w:ascii="Arial" w:hAnsi="Arial" w:cs="Arial"/>
          <w:sz w:val="24"/>
          <w:szCs w:val="24"/>
          <w:lang w:val="en-GB"/>
        </w:rPr>
        <w:t xml:space="preserve">  Such </w:t>
      </w:r>
      <w:r w:rsidR="00FD4F73" w:rsidRPr="00D87EDD">
        <w:rPr>
          <w:rFonts w:ascii="Arial" w:hAnsi="Arial" w:cs="Arial"/>
          <w:sz w:val="24"/>
          <w:szCs w:val="24"/>
          <w:lang w:val="en-GB"/>
        </w:rPr>
        <w:t>adjournment</w:t>
      </w:r>
      <w:r w:rsidR="007E5E48" w:rsidRPr="00D87EDD">
        <w:rPr>
          <w:rFonts w:ascii="Arial" w:hAnsi="Arial" w:cs="Arial"/>
          <w:sz w:val="24"/>
          <w:szCs w:val="24"/>
          <w:lang w:val="en-GB"/>
        </w:rPr>
        <w:t xml:space="preserve"> was also not requested.  </w:t>
      </w:r>
    </w:p>
    <w:p w14:paraId="06DB46A7" w14:textId="77777777" w:rsidR="00053BE9" w:rsidRPr="0081243C" w:rsidRDefault="00053BE9" w:rsidP="005E0FB1">
      <w:pPr>
        <w:pStyle w:val="ListParagraph"/>
        <w:jc w:val="both"/>
        <w:rPr>
          <w:rFonts w:ascii="Arial" w:hAnsi="Arial" w:cs="Arial"/>
          <w:sz w:val="24"/>
          <w:szCs w:val="24"/>
          <w:lang w:val="en-GB"/>
        </w:rPr>
      </w:pPr>
    </w:p>
    <w:p w14:paraId="4E14742E" w14:textId="11ECCAE2" w:rsidR="003A2737"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69.</w:t>
      </w:r>
      <w:r w:rsidRPr="0081243C">
        <w:rPr>
          <w:rFonts w:ascii="Arial" w:hAnsi="Arial" w:cs="Arial"/>
          <w:sz w:val="24"/>
          <w:szCs w:val="24"/>
          <w:lang w:val="en-GB"/>
        </w:rPr>
        <w:tab/>
      </w:r>
      <w:r w:rsidR="003A2737" w:rsidRPr="00D87EDD">
        <w:rPr>
          <w:rFonts w:ascii="Arial" w:hAnsi="Arial" w:cs="Arial"/>
          <w:sz w:val="24"/>
          <w:szCs w:val="24"/>
          <w:lang w:val="en-GB"/>
        </w:rPr>
        <w:t>I therefore agree with the</w:t>
      </w:r>
      <w:r w:rsidR="00425CBE" w:rsidRPr="00D87EDD">
        <w:rPr>
          <w:rFonts w:ascii="Arial" w:hAnsi="Arial" w:cs="Arial"/>
          <w:sz w:val="24"/>
          <w:szCs w:val="24"/>
          <w:lang w:val="en-GB"/>
        </w:rPr>
        <w:t xml:space="preserve"> first and second</w:t>
      </w:r>
      <w:r w:rsidR="003A2737" w:rsidRPr="00D87EDD">
        <w:rPr>
          <w:rFonts w:ascii="Arial" w:hAnsi="Arial" w:cs="Arial"/>
          <w:sz w:val="24"/>
          <w:szCs w:val="24"/>
          <w:lang w:val="en-GB"/>
        </w:rPr>
        <w:t xml:space="preserve"> Respondents that the first Applicant is not before the Court. </w:t>
      </w:r>
      <w:r w:rsidR="00C3155B" w:rsidRPr="00D87EDD">
        <w:rPr>
          <w:rFonts w:ascii="Arial" w:hAnsi="Arial" w:cs="Arial"/>
          <w:sz w:val="24"/>
          <w:szCs w:val="24"/>
          <w:lang w:val="en-GB"/>
        </w:rPr>
        <w:t xml:space="preserve"> No </w:t>
      </w:r>
      <w:r w:rsidR="00C3155B" w:rsidRPr="00D87EDD">
        <w:rPr>
          <w:rFonts w:ascii="Arial" w:hAnsi="Arial" w:cs="Arial"/>
          <w:i/>
          <w:iCs/>
          <w:sz w:val="24"/>
          <w:szCs w:val="24"/>
          <w:lang w:val="en-GB"/>
        </w:rPr>
        <w:t>locus standi</w:t>
      </w:r>
      <w:r w:rsidR="00C3155B" w:rsidRPr="00D87EDD">
        <w:rPr>
          <w:rFonts w:ascii="Arial" w:hAnsi="Arial" w:cs="Arial"/>
          <w:sz w:val="24"/>
          <w:szCs w:val="24"/>
          <w:lang w:val="en-GB"/>
        </w:rPr>
        <w:t xml:space="preserve"> has been proven.  </w:t>
      </w:r>
    </w:p>
    <w:p w14:paraId="00F1BBE2" w14:textId="77777777" w:rsidR="003A2737" w:rsidRPr="0081243C" w:rsidRDefault="003A2737" w:rsidP="005E0FB1">
      <w:pPr>
        <w:pStyle w:val="ListParagraph"/>
        <w:jc w:val="both"/>
        <w:rPr>
          <w:rFonts w:ascii="Arial" w:hAnsi="Arial" w:cs="Arial"/>
          <w:sz w:val="24"/>
          <w:szCs w:val="24"/>
          <w:lang w:val="en-GB"/>
        </w:rPr>
      </w:pPr>
    </w:p>
    <w:p w14:paraId="3E3EB610" w14:textId="730BC468" w:rsidR="00053BE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70.</w:t>
      </w:r>
      <w:r w:rsidRPr="0081243C">
        <w:rPr>
          <w:rFonts w:ascii="Arial" w:hAnsi="Arial" w:cs="Arial"/>
          <w:sz w:val="24"/>
          <w:szCs w:val="24"/>
          <w:lang w:val="en-GB"/>
        </w:rPr>
        <w:tab/>
      </w:r>
      <w:r w:rsidR="003A2737" w:rsidRPr="00D87EDD">
        <w:rPr>
          <w:rFonts w:ascii="Arial" w:hAnsi="Arial" w:cs="Arial"/>
          <w:sz w:val="24"/>
          <w:szCs w:val="24"/>
          <w:lang w:val="en-GB"/>
        </w:rPr>
        <w:t>This</w:t>
      </w:r>
      <w:r w:rsidR="00425CBE" w:rsidRPr="00D87EDD">
        <w:rPr>
          <w:rFonts w:ascii="Arial" w:hAnsi="Arial" w:cs="Arial"/>
          <w:sz w:val="24"/>
          <w:szCs w:val="24"/>
          <w:lang w:val="en-GB"/>
        </w:rPr>
        <w:t xml:space="preserve"> again</w:t>
      </w:r>
      <w:r w:rsidR="003A2737" w:rsidRPr="00D87EDD">
        <w:rPr>
          <w:rFonts w:ascii="Arial" w:hAnsi="Arial" w:cs="Arial"/>
          <w:sz w:val="24"/>
          <w:szCs w:val="24"/>
          <w:lang w:val="en-GB"/>
        </w:rPr>
        <w:t xml:space="preserve"> brings and end to the claim by the first Applicant.  The claim by the first Applicant therefore stands to be dismissed on this basis alone.</w:t>
      </w:r>
      <w:r w:rsidR="00124C1D" w:rsidRPr="00D87EDD">
        <w:rPr>
          <w:rFonts w:ascii="Arial" w:hAnsi="Arial" w:cs="Arial"/>
          <w:sz w:val="24"/>
          <w:szCs w:val="24"/>
          <w:lang w:val="en-GB"/>
        </w:rPr>
        <w:t xml:space="preserve">  </w:t>
      </w:r>
    </w:p>
    <w:p w14:paraId="22057714" w14:textId="77777777" w:rsidR="00B74650" w:rsidRPr="0081243C" w:rsidRDefault="00B74650" w:rsidP="005E0FB1">
      <w:pPr>
        <w:pStyle w:val="ListParagraph"/>
        <w:jc w:val="both"/>
        <w:rPr>
          <w:rFonts w:ascii="Arial" w:hAnsi="Arial" w:cs="Arial"/>
          <w:sz w:val="24"/>
          <w:szCs w:val="24"/>
          <w:lang w:val="en-GB"/>
        </w:rPr>
      </w:pPr>
    </w:p>
    <w:p w14:paraId="4120CA80" w14:textId="5B8CBAD9" w:rsidR="00B74650"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71.</w:t>
      </w:r>
      <w:r w:rsidRPr="0081243C">
        <w:rPr>
          <w:rFonts w:ascii="Arial" w:hAnsi="Arial" w:cs="Arial"/>
          <w:sz w:val="24"/>
          <w:szCs w:val="24"/>
          <w:lang w:val="en-GB"/>
        </w:rPr>
        <w:tab/>
      </w:r>
      <w:r w:rsidR="00B74650" w:rsidRPr="00D87EDD">
        <w:rPr>
          <w:rFonts w:ascii="Arial" w:hAnsi="Arial" w:cs="Arial"/>
          <w:sz w:val="24"/>
          <w:szCs w:val="24"/>
          <w:lang w:val="en-GB"/>
        </w:rPr>
        <w:t xml:space="preserve">The question that goes hand in hand with the </w:t>
      </w:r>
      <w:r w:rsidR="00B74650" w:rsidRPr="00D87EDD">
        <w:rPr>
          <w:rFonts w:ascii="Arial" w:hAnsi="Arial" w:cs="Arial"/>
          <w:i/>
          <w:iCs/>
          <w:sz w:val="24"/>
          <w:szCs w:val="24"/>
          <w:lang w:val="en-GB"/>
        </w:rPr>
        <w:t>locus standi</w:t>
      </w:r>
      <w:r w:rsidR="00B74650" w:rsidRPr="00D87EDD">
        <w:rPr>
          <w:rFonts w:ascii="Arial" w:hAnsi="Arial" w:cs="Arial"/>
          <w:sz w:val="24"/>
          <w:szCs w:val="24"/>
          <w:lang w:val="en-GB"/>
        </w:rPr>
        <w:t xml:space="preserve"> of the first Applicant, is the </w:t>
      </w:r>
      <w:r w:rsidR="00B74650" w:rsidRPr="00D87EDD">
        <w:rPr>
          <w:rFonts w:ascii="Arial" w:hAnsi="Arial" w:cs="Arial"/>
          <w:i/>
          <w:iCs/>
          <w:sz w:val="24"/>
          <w:szCs w:val="24"/>
          <w:lang w:val="en-GB"/>
        </w:rPr>
        <w:t>locus standi</w:t>
      </w:r>
      <w:r w:rsidR="00B74650" w:rsidRPr="00D87EDD">
        <w:rPr>
          <w:rFonts w:ascii="Arial" w:hAnsi="Arial" w:cs="Arial"/>
          <w:sz w:val="24"/>
          <w:szCs w:val="24"/>
          <w:lang w:val="en-GB"/>
        </w:rPr>
        <w:t xml:space="preserve"> of the second Applicant.  The second Applicant in substantiation of his right to reclaim the money, the following </w:t>
      </w:r>
      <w:r w:rsidR="007C18DA" w:rsidRPr="00D87EDD">
        <w:rPr>
          <w:rFonts w:ascii="Arial" w:hAnsi="Arial" w:cs="Arial"/>
          <w:sz w:val="24"/>
          <w:szCs w:val="24"/>
          <w:lang w:val="en-GB"/>
        </w:rPr>
        <w:t>arguments</w:t>
      </w:r>
      <w:r w:rsidR="00B74650" w:rsidRPr="00D87EDD">
        <w:rPr>
          <w:rFonts w:ascii="Arial" w:hAnsi="Arial" w:cs="Arial"/>
          <w:sz w:val="24"/>
          <w:szCs w:val="24"/>
          <w:lang w:val="en-GB"/>
        </w:rPr>
        <w:t xml:space="preserve"> are made:</w:t>
      </w:r>
    </w:p>
    <w:p w14:paraId="75BA962F" w14:textId="77777777" w:rsidR="007C18DA" w:rsidRPr="0081243C" w:rsidRDefault="007C18DA" w:rsidP="007C18DA">
      <w:pPr>
        <w:pStyle w:val="ListParagraph"/>
        <w:rPr>
          <w:rFonts w:ascii="Arial" w:hAnsi="Arial" w:cs="Arial"/>
          <w:sz w:val="24"/>
          <w:szCs w:val="24"/>
          <w:lang w:val="en-GB"/>
        </w:rPr>
      </w:pPr>
    </w:p>
    <w:p w14:paraId="4562AE04" w14:textId="68A064E1" w:rsidR="007C18DA"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71.1</w:t>
      </w:r>
      <w:r w:rsidRPr="0081243C">
        <w:rPr>
          <w:rFonts w:ascii="Arial" w:hAnsi="Arial" w:cs="Arial"/>
          <w:sz w:val="24"/>
          <w:szCs w:val="24"/>
          <w:lang w:val="en-GB"/>
        </w:rPr>
        <w:tab/>
      </w:r>
      <w:r w:rsidR="00FD4F73" w:rsidRPr="00D87EDD">
        <w:rPr>
          <w:rFonts w:ascii="Arial" w:hAnsi="Arial" w:cs="Arial"/>
          <w:sz w:val="24"/>
          <w:szCs w:val="24"/>
          <w:lang w:val="en-GB"/>
        </w:rPr>
        <w:t>The first Applicant was voluntarily liquidated by the second Applicant;</w:t>
      </w:r>
    </w:p>
    <w:p w14:paraId="3FFF5825" w14:textId="77777777" w:rsidR="00FD4F73" w:rsidRPr="0081243C" w:rsidRDefault="00FD4F73" w:rsidP="00FD4F73">
      <w:pPr>
        <w:pStyle w:val="ListParagraph"/>
        <w:spacing w:line="480" w:lineRule="auto"/>
        <w:ind w:left="1440"/>
        <w:jc w:val="both"/>
        <w:rPr>
          <w:rFonts w:ascii="Arial" w:hAnsi="Arial" w:cs="Arial"/>
          <w:sz w:val="24"/>
          <w:szCs w:val="24"/>
          <w:lang w:val="en-GB"/>
        </w:rPr>
      </w:pPr>
    </w:p>
    <w:p w14:paraId="74C39B07" w14:textId="6122A923" w:rsidR="00FD4F73"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71.2</w:t>
      </w:r>
      <w:r w:rsidRPr="0081243C">
        <w:rPr>
          <w:rFonts w:ascii="Arial" w:hAnsi="Arial" w:cs="Arial"/>
          <w:sz w:val="24"/>
          <w:szCs w:val="24"/>
          <w:lang w:val="en-GB"/>
        </w:rPr>
        <w:tab/>
      </w:r>
      <w:r w:rsidR="00FD4F73" w:rsidRPr="00D87EDD">
        <w:rPr>
          <w:rFonts w:ascii="Arial" w:hAnsi="Arial" w:cs="Arial"/>
          <w:sz w:val="24"/>
          <w:szCs w:val="24"/>
          <w:lang w:val="en-GB"/>
        </w:rPr>
        <w:t>The second Applicant was the owner of the first Applicant;</w:t>
      </w:r>
    </w:p>
    <w:p w14:paraId="13CA76D7" w14:textId="77777777" w:rsidR="00FD4F73" w:rsidRPr="0081243C" w:rsidRDefault="00FD4F73" w:rsidP="00FD4F73">
      <w:pPr>
        <w:pStyle w:val="ListParagraph"/>
        <w:rPr>
          <w:rFonts w:ascii="Arial" w:hAnsi="Arial" w:cs="Arial"/>
          <w:sz w:val="24"/>
          <w:szCs w:val="24"/>
          <w:lang w:val="en-GB"/>
        </w:rPr>
      </w:pPr>
    </w:p>
    <w:p w14:paraId="3055D5B0" w14:textId="6325B3FA" w:rsidR="007C18DA"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lastRenderedPageBreak/>
        <w:t>71.3</w:t>
      </w:r>
      <w:r w:rsidRPr="0081243C">
        <w:rPr>
          <w:rFonts w:ascii="Arial" w:hAnsi="Arial" w:cs="Arial"/>
          <w:sz w:val="24"/>
          <w:szCs w:val="24"/>
          <w:lang w:val="en-GB"/>
        </w:rPr>
        <w:tab/>
      </w:r>
      <w:r w:rsidR="00FD4F73" w:rsidRPr="00D87EDD">
        <w:rPr>
          <w:rFonts w:ascii="Arial" w:hAnsi="Arial" w:cs="Arial"/>
          <w:sz w:val="24"/>
          <w:szCs w:val="24"/>
          <w:lang w:val="en-GB"/>
        </w:rPr>
        <w:t xml:space="preserve">The fact that payments were effected by the first Applicant.  </w:t>
      </w:r>
    </w:p>
    <w:p w14:paraId="250DDF90" w14:textId="77777777" w:rsidR="00B74650" w:rsidRPr="0081243C" w:rsidRDefault="00B74650" w:rsidP="005E0FB1">
      <w:pPr>
        <w:pStyle w:val="ListParagraph"/>
        <w:jc w:val="both"/>
        <w:rPr>
          <w:rFonts w:ascii="Arial" w:hAnsi="Arial" w:cs="Arial"/>
          <w:sz w:val="24"/>
          <w:szCs w:val="24"/>
          <w:lang w:val="en-GB"/>
        </w:rPr>
      </w:pPr>
    </w:p>
    <w:p w14:paraId="3C802269" w14:textId="65D49315" w:rsidR="007C18D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72.</w:t>
      </w:r>
      <w:r w:rsidRPr="0081243C">
        <w:rPr>
          <w:rFonts w:ascii="Arial" w:hAnsi="Arial" w:cs="Arial"/>
          <w:sz w:val="24"/>
          <w:szCs w:val="24"/>
          <w:lang w:val="en-GB"/>
        </w:rPr>
        <w:tab/>
      </w:r>
      <w:r w:rsidR="007C18DA" w:rsidRPr="00D87EDD">
        <w:rPr>
          <w:rFonts w:ascii="Arial" w:hAnsi="Arial" w:cs="Arial"/>
          <w:sz w:val="24"/>
          <w:szCs w:val="24"/>
          <w:lang w:val="en-GB"/>
        </w:rPr>
        <w:t xml:space="preserve">It is common cause that the first Applicant is in liquidation.  </w:t>
      </w:r>
      <w:r w:rsidR="006328A9" w:rsidRPr="00D87EDD">
        <w:rPr>
          <w:rFonts w:ascii="Arial" w:hAnsi="Arial" w:cs="Arial"/>
          <w:sz w:val="24"/>
          <w:szCs w:val="24"/>
          <w:lang w:val="en-GB"/>
        </w:rPr>
        <w:t>As already stated, this means that the members lost total control over the Closed Corporation.  On the consideration of the evidence that was placed before me, it is clear that the deposits that were</w:t>
      </w:r>
      <w:r w:rsidR="001D3030" w:rsidRPr="00D87EDD">
        <w:rPr>
          <w:rFonts w:ascii="Arial" w:hAnsi="Arial" w:cs="Arial"/>
          <w:sz w:val="24"/>
          <w:szCs w:val="24"/>
          <w:lang w:val="en-GB"/>
        </w:rPr>
        <w:t xml:space="preserve"> allegedly</w:t>
      </w:r>
      <w:r w:rsidR="006328A9" w:rsidRPr="00D87EDD">
        <w:rPr>
          <w:rFonts w:ascii="Arial" w:hAnsi="Arial" w:cs="Arial"/>
          <w:sz w:val="24"/>
          <w:szCs w:val="24"/>
          <w:lang w:val="en-GB"/>
        </w:rPr>
        <w:t xml:space="preserve"> made into the trust account was not made by the second Applicant.  There are also no allegations placed before me indicating on what basis the second Applicant obtained the right to claim this amount.  No such allegations were </w:t>
      </w:r>
      <w:r w:rsidR="00C754F2" w:rsidRPr="00D87EDD">
        <w:rPr>
          <w:rFonts w:ascii="Arial" w:hAnsi="Arial" w:cs="Arial"/>
          <w:sz w:val="24"/>
          <w:szCs w:val="24"/>
          <w:lang w:val="en-GB"/>
        </w:rPr>
        <w:t>made,</w:t>
      </w:r>
      <w:r w:rsidR="006328A9" w:rsidRPr="00D87EDD">
        <w:rPr>
          <w:rFonts w:ascii="Arial" w:hAnsi="Arial" w:cs="Arial"/>
          <w:sz w:val="24"/>
          <w:szCs w:val="24"/>
          <w:lang w:val="en-GB"/>
        </w:rPr>
        <w:t xml:space="preserve"> and no such evidence was placed before me. </w:t>
      </w:r>
      <w:r w:rsidR="00FD4F73" w:rsidRPr="00D87EDD">
        <w:rPr>
          <w:rFonts w:ascii="Arial" w:hAnsi="Arial" w:cs="Arial"/>
          <w:sz w:val="24"/>
          <w:szCs w:val="24"/>
          <w:lang w:val="en-GB"/>
        </w:rPr>
        <w:t xml:space="preserve">The fact that he was a member at the time does not mean that he is entitled to these payments.  The payments had to be collected (if the liquidator could prove the claim) and all creditors had to be paid first.  There is no automatic right.  </w:t>
      </w:r>
      <w:r w:rsidR="006328A9" w:rsidRPr="00D87EDD">
        <w:rPr>
          <w:rFonts w:ascii="Arial" w:hAnsi="Arial" w:cs="Arial"/>
          <w:sz w:val="24"/>
          <w:szCs w:val="24"/>
          <w:lang w:val="en-GB"/>
        </w:rPr>
        <w:t xml:space="preserve"> </w:t>
      </w:r>
    </w:p>
    <w:p w14:paraId="0FF497B0" w14:textId="77777777" w:rsidR="006328A9" w:rsidRPr="0081243C" w:rsidRDefault="006328A9" w:rsidP="006328A9">
      <w:pPr>
        <w:pStyle w:val="ListParagraph"/>
        <w:spacing w:line="480" w:lineRule="auto"/>
        <w:jc w:val="both"/>
        <w:rPr>
          <w:rFonts w:ascii="Arial" w:hAnsi="Arial" w:cs="Arial"/>
          <w:sz w:val="24"/>
          <w:szCs w:val="24"/>
          <w:lang w:val="en-GB"/>
        </w:rPr>
      </w:pPr>
    </w:p>
    <w:p w14:paraId="13E721F1" w14:textId="3960C180" w:rsidR="00B74650"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73.</w:t>
      </w:r>
      <w:r w:rsidRPr="0081243C">
        <w:rPr>
          <w:rFonts w:ascii="Arial" w:hAnsi="Arial" w:cs="Arial"/>
          <w:sz w:val="24"/>
          <w:szCs w:val="24"/>
          <w:lang w:val="en-GB"/>
        </w:rPr>
        <w:tab/>
      </w:r>
      <w:r w:rsidR="00B74650" w:rsidRPr="00D87EDD">
        <w:rPr>
          <w:rFonts w:ascii="Arial" w:hAnsi="Arial" w:cs="Arial"/>
          <w:sz w:val="24"/>
          <w:szCs w:val="24"/>
          <w:lang w:val="en-GB"/>
        </w:rPr>
        <w:t xml:space="preserve">The second Applicant therefore also failed to place any evidence before me proving that he indeed has the necessary </w:t>
      </w:r>
      <w:r w:rsidR="00B74650" w:rsidRPr="00D87EDD">
        <w:rPr>
          <w:rFonts w:ascii="Arial" w:hAnsi="Arial" w:cs="Arial"/>
          <w:i/>
          <w:iCs/>
          <w:sz w:val="24"/>
          <w:szCs w:val="24"/>
          <w:lang w:val="en-GB"/>
        </w:rPr>
        <w:t>locus standi</w:t>
      </w:r>
      <w:r w:rsidR="00B74650" w:rsidRPr="00D87EDD">
        <w:rPr>
          <w:rFonts w:ascii="Arial" w:hAnsi="Arial" w:cs="Arial"/>
          <w:sz w:val="24"/>
          <w:szCs w:val="24"/>
          <w:lang w:val="en-GB"/>
        </w:rPr>
        <w:t>.  Therefore, on this basis alone, the claim of the second Applicant should fail.</w:t>
      </w:r>
      <w:r w:rsidR="00C754F2" w:rsidRPr="00D87EDD">
        <w:rPr>
          <w:rFonts w:ascii="Arial" w:hAnsi="Arial" w:cs="Arial"/>
          <w:sz w:val="24"/>
          <w:szCs w:val="24"/>
          <w:lang w:val="en-GB"/>
        </w:rPr>
        <w:t xml:space="preserve">  </w:t>
      </w:r>
    </w:p>
    <w:p w14:paraId="0842DC41" w14:textId="77777777" w:rsidR="00B74650" w:rsidRPr="0081243C" w:rsidRDefault="00B74650" w:rsidP="005E0FB1">
      <w:pPr>
        <w:pStyle w:val="ListParagraph"/>
        <w:jc w:val="both"/>
        <w:rPr>
          <w:rFonts w:ascii="Arial" w:hAnsi="Arial" w:cs="Arial"/>
          <w:sz w:val="24"/>
          <w:szCs w:val="24"/>
          <w:lang w:val="en-GB"/>
        </w:rPr>
      </w:pPr>
    </w:p>
    <w:p w14:paraId="037A5CB2" w14:textId="63B928F3" w:rsidR="00B74650" w:rsidRPr="0081243C" w:rsidRDefault="00B74650" w:rsidP="005E0FB1">
      <w:pPr>
        <w:spacing w:line="480" w:lineRule="auto"/>
        <w:jc w:val="both"/>
        <w:rPr>
          <w:rFonts w:ascii="Arial" w:hAnsi="Arial" w:cs="Arial"/>
          <w:b/>
          <w:bCs/>
          <w:sz w:val="24"/>
          <w:szCs w:val="24"/>
          <w:u w:val="single"/>
          <w:lang w:val="en-GB"/>
        </w:rPr>
      </w:pPr>
      <w:r w:rsidRPr="0081243C">
        <w:rPr>
          <w:rFonts w:ascii="Arial" w:hAnsi="Arial" w:cs="Arial"/>
          <w:b/>
          <w:bCs/>
          <w:sz w:val="24"/>
          <w:szCs w:val="24"/>
          <w:u w:val="single"/>
          <w:lang w:val="en-GB"/>
        </w:rPr>
        <w:t>PRESCRIPTION OF THE CLAIM</w:t>
      </w:r>
    </w:p>
    <w:p w14:paraId="0C6D7864" w14:textId="77777777" w:rsidR="00B74650" w:rsidRPr="0081243C" w:rsidRDefault="00B74650" w:rsidP="005E0FB1">
      <w:pPr>
        <w:pStyle w:val="ListParagraph"/>
        <w:jc w:val="both"/>
        <w:rPr>
          <w:rFonts w:ascii="Arial" w:hAnsi="Arial" w:cs="Arial"/>
          <w:sz w:val="24"/>
          <w:szCs w:val="24"/>
          <w:lang w:val="en-GB"/>
        </w:rPr>
      </w:pPr>
    </w:p>
    <w:p w14:paraId="11DDFE32" w14:textId="1952F30E" w:rsidR="00B74650"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74.</w:t>
      </w:r>
      <w:r w:rsidRPr="0081243C">
        <w:rPr>
          <w:rFonts w:ascii="Arial" w:hAnsi="Arial" w:cs="Arial"/>
          <w:sz w:val="24"/>
          <w:szCs w:val="24"/>
          <w:lang w:val="en-GB"/>
        </w:rPr>
        <w:tab/>
      </w:r>
      <w:r w:rsidR="00B74650" w:rsidRPr="00D87EDD">
        <w:rPr>
          <w:rFonts w:ascii="Arial" w:hAnsi="Arial" w:cs="Arial"/>
          <w:sz w:val="24"/>
          <w:szCs w:val="24"/>
          <w:lang w:val="en-GB"/>
        </w:rPr>
        <w:t xml:space="preserve">The second point </w:t>
      </w:r>
      <w:r w:rsidR="00B74650" w:rsidRPr="00D87EDD">
        <w:rPr>
          <w:rFonts w:ascii="Arial" w:hAnsi="Arial" w:cs="Arial"/>
          <w:i/>
          <w:iCs/>
          <w:sz w:val="24"/>
          <w:szCs w:val="24"/>
          <w:lang w:val="en-GB"/>
        </w:rPr>
        <w:t>in limine</w:t>
      </w:r>
      <w:r w:rsidR="00B74650" w:rsidRPr="00D87EDD">
        <w:rPr>
          <w:rFonts w:ascii="Arial" w:hAnsi="Arial" w:cs="Arial"/>
          <w:sz w:val="24"/>
          <w:szCs w:val="24"/>
          <w:lang w:val="en-GB"/>
        </w:rPr>
        <w:t xml:space="preserve"> I am called to consider is the question of prescription.  The </w:t>
      </w:r>
      <w:r w:rsidR="00061D67" w:rsidRPr="00D87EDD">
        <w:rPr>
          <w:rFonts w:ascii="Arial" w:hAnsi="Arial" w:cs="Arial"/>
          <w:sz w:val="24"/>
          <w:szCs w:val="24"/>
          <w:lang w:val="en-GB"/>
        </w:rPr>
        <w:t>first</w:t>
      </w:r>
      <w:r w:rsidR="00B74650" w:rsidRPr="00D87EDD">
        <w:rPr>
          <w:rFonts w:ascii="Arial" w:hAnsi="Arial" w:cs="Arial"/>
          <w:sz w:val="24"/>
          <w:szCs w:val="24"/>
          <w:lang w:val="en-GB"/>
        </w:rPr>
        <w:t xml:space="preserve"> Respondent contends that any claim that the fist and/or second Applicants may have, has become prescribed.</w:t>
      </w:r>
    </w:p>
    <w:p w14:paraId="0153A3CC" w14:textId="77777777" w:rsidR="00DD0E47" w:rsidRPr="0081243C" w:rsidRDefault="00DD0E47" w:rsidP="005E0FB1">
      <w:pPr>
        <w:pStyle w:val="ListParagraph"/>
        <w:spacing w:line="480" w:lineRule="auto"/>
        <w:jc w:val="both"/>
        <w:rPr>
          <w:rFonts w:ascii="Arial" w:hAnsi="Arial" w:cs="Arial"/>
          <w:sz w:val="24"/>
          <w:szCs w:val="24"/>
          <w:lang w:val="en-GB"/>
        </w:rPr>
      </w:pPr>
    </w:p>
    <w:p w14:paraId="1B27895E" w14:textId="22A2E93A" w:rsidR="00DD0E47"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75.</w:t>
      </w:r>
      <w:r w:rsidRPr="0081243C">
        <w:rPr>
          <w:rFonts w:ascii="Arial" w:hAnsi="Arial" w:cs="Arial"/>
          <w:sz w:val="24"/>
          <w:szCs w:val="24"/>
          <w:lang w:val="en-GB"/>
        </w:rPr>
        <w:tab/>
      </w:r>
      <w:hyperlink r:id="rId9" w:anchor="s10" w:history="1">
        <w:r w:rsidR="00DD0E47" w:rsidRPr="00D87EDD">
          <w:rPr>
            <w:rStyle w:val="Hyperlink"/>
            <w:rFonts w:ascii="Arial" w:eastAsiaTheme="majorEastAsia" w:hAnsi="Arial" w:cs="Arial"/>
            <w:color w:val="0B4B0B"/>
            <w:sz w:val="24"/>
            <w:szCs w:val="24"/>
            <w:u w:val="none"/>
          </w:rPr>
          <w:t>Section 10(1)(a)</w:t>
        </w:r>
      </w:hyperlink>
      <w:r w:rsidR="00DD0E47" w:rsidRPr="00D87EDD">
        <w:rPr>
          <w:rFonts w:ascii="Arial" w:hAnsi="Arial" w:cs="Arial"/>
          <w:color w:val="242121"/>
          <w:sz w:val="24"/>
          <w:szCs w:val="24"/>
        </w:rPr>
        <w:t> of the </w:t>
      </w:r>
      <w:hyperlink r:id="rId10" w:history="1">
        <w:r w:rsidR="00DD0E47" w:rsidRPr="00D87EDD">
          <w:rPr>
            <w:rStyle w:val="Hyperlink"/>
            <w:rFonts w:ascii="Arial" w:eastAsiaTheme="majorEastAsia" w:hAnsi="Arial" w:cs="Arial"/>
            <w:color w:val="0B4B0B"/>
            <w:sz w:val="24"/>
            <w:szCs w:val="24"/>
            <w:u w:val="none"/>
          </w:rPr>
          <w:t>Prescription Act</w:t>
        </w:r>
        <w:r w:rsidR="00236BA2" w:rsidRPr="00D87EDD">
          <w:rPr>
            <w:rStyle w:val="Hyperlink"/>
            <w:rFonts w:ascii="Arial" w:eastAsiaTheme="majorEastAsia" w:hAnsi="Arial" w:cs="Arial"/>
            <w:color w:val="0B4B0B"/>
            <w:sz w:val="24"/>
            <w:szCs w:val="24"/>
            <w:u w:val="none"/>
          </w:rPr>
          <w:t xml:space="preserve"> </w:t>
        </w:r>
        <w:r w:rsidR="00236BA2" w:rsidRPr="0081243C">
          <w:rPr>
            <w:rStyle w:val="EndnoteReference"/>
            <w:rFonts w:ascii="Arial" w:eastAsiaTheme="majorEastAsia" w:hAnsi="Arial" w:cs="Arial"/>
            <w:color w:val="0B4B0B"/>
            <w:sz w:val="24"/>
            <w:szCs w:val="24"/>
          </w:rPr>
          <w:endnoteReference w:id="8"/>
        </w:r>
        <w:r w:rsidR="00DD0E47" w:rsidRPr="00D87EDD">
          <w:rPr>
            <w:rStyle w:val="Hyperlink"/>
            <w:rFonts w:ascii="Arial" w:eastAsiaTheme="majorEastAsia" w:hAnsi="Arial" w:cs="Arial"/>
            <w:color w:val="0B4B0B"/>
            <w:sz w:val="24"/>
            <w:szCs w:val="24"/>
            <w:u w:val="none"/>
          </w:rPr>
          <w:t xml:space="preserve"> provides</w:t>
        </w:r>
      </w:hyperlink>
      <w:r w:rsidR="00DD0E47" w:rsidRPr="00D87EDD">
        <w:rPr>
          <w:rFonts w:ascii="Arial" w:hAnsi="Arial" w:cs="Arial"/>
          <w:color w:val="242121"/>
          <w:sz w:val="24"/>
          <w:szCs w:val="24"/>
        </w:rPr>
        <w:t> that a </w:t>
      </w:r>
      <w:r w:rsidR="00DD0E47" w:rsidRPr="00D87EDD">
        <w:rPr>
          <w:rFonts w:ascii="Arial" w:hAnsi="Arial" w:cs="Arial"/>
          <w:color w:val="242121"/>
          <w:sz w:val="24"/>
          <w:szCs w:val="24"/>
          <w:lang w:val="en-US"/>
        </w:rPr>
        <w:t xml:space="preserve">debt will be extinguished by prescription after the lapse of the period which in terms of the relevant law applies in respect of the prescription of such debt. In the case of </w:t>
      </w:r>
      <w:r w:rsidR="00DD0E47" w:rsidRPr="00D87EDD">
        <w:rPr>
          <w:rFonts w:ascii="Arial" w:hAnsi="Arial" w:cs="Arial"/>
          <w:color w:val="242121"/>
          <w:sz w:val="24"/>
          <w:szCs w:val="24"/>
          <w:lang w:val="en-US"/>
        </w:rPr>
        <w:lastRenderedPageBreak/>
        <w:t>other debt not provided for in </w:t>
      </w:r>
      <w:hyperlink r:id="rId11" w:anchor="s11" w:history="1">
        <w:r w:rsidR="00DD0E47" w:rsidRPr="00D87EDD">
          <w:rPr>
            <w:rStyle w:val="Hyperlink"/>
            <w:rFonts w:ascii="Arial" w:eastAsiaTheme="majorEastAsia" w:hAnsi="Arial" w:cs="Arial"/>
            <w:color w:val="0B4B0B"/>
            <w:sz w:val="24"/>
            <w:szCs w:val="24"/>
            <w:u w:val="none"/>
            <w:lang w:val="en-US"/>
          </w:rPr>
          <w:t>section 11</w:t>
        </w:r>
      </w:hyperlink>
      <w:r w:rsidR="00DD0E47" w:rsidRPr="00D87EDD">
        <w:rPr>
          <w:rFonts w:ascii="Arial" w:hAnsi="Arial" w:cs="Arial"/>
          <w:color w:val="242121"/>
          <w:sz w:val="24"/>
          <w:szCs w:val="24"/>
          <w:lang w:val="en-US"/>
        </w:rPr>
        <w:t>, the prescription for debt is three years. Section 12(1) of the </w:t>
      </w:r>
      <w:hyperlink r:id="rId12" w:history="1">
        <w:r w:rsidR="00DD0E47" w:rsidRPr="00D87EDD">
          <w:rPr>
            <w:rStyle w:val="Hyperlink"/>
            <w:rFonts w:ascii="Arial" w:eastAsiaTheme="majorEastAsia" w:hAnsi="Arial" w:cs="Arial"/>
            <w:color w:val="0B4B0B"/>
            <w:sz w:val="24"/>
            <w:szCs w:val="24"/>
            <w:u w:val="none"/>
            <w:lang w:val="en-US"/>
          </w:rPr>
          <w:t>Prescription Act states</w:t>
        </w:r>
      </w:hyperlink>
      <w:r w:rsidR="00DD0E47" w:rsidRPr="00D87EDD">
        <w:rPr>
          <w:rFonts w:ascii="Arial" w:hAnsi="Arial" w:cs="Arial"/>
          <w:color w:val="242121"/>
          <w:sz w:val="24"/>
          <w:szCs w:val="24"/>
          <w:lang w:val="en-US"/>
        </w:rPr>
        <w:t> that prescription will commence to run as soon as the debt is due.</w:t>
      </w:r>
    </w:p>
    <w:p w14:paraId="7097AB14" w14:textId="77777777" w:rsidR="002570FA" w:rsidRPr="0081243C" w:rsidRDefault="002570FA" w:rsidP="002570FA">
      <w:pPr>
        <w:pStyle w:val="ListParagraph"/>
        <w:rPr>
          <w:rFonts w:ascii="Arial" w:hAnsi="Arial" w:cs="Arial"/>
          <w:sz w:val="24"/>
          <w:szCs w:val="24"/>
          <w:lang w:val="en-GB"/>
        </w:rPr>
      </w:pPr>
    </w:p>
    <w:p w14:paraId="0B71922E" w14:textId="432C091C" w:rsidR="002570F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76.</w:t>
      </w:r>
      <w:r w:rsidRPr="0081243C">
        <w:rPr>
          <w:rFonts w:ascii="Arial" w:hAnsi="Arial" w:cs="Arial"/>
          <w:sz w:val="24"/>
          <w:szCs w:val="24"/>
          <w:lang w:val="en-GB"/>
        </w:rPr>
        <w:tab/>
      </w:r>
      <w:r w:rsidR="002570FA" w:rsidRPr="00D87EDD">
        <w:rPr>
          <w:rFonts w:ascii="Arial" w:hAnsi="Arial" w:cs="Arial"/>
          <w:sz w:val="24"/>
          <w:szCs w:val="24"/>
          <w:lang w:val="en-GB"/>
        </w:rPr>
        <w:t xml:space="preserve">At the outset, in </w:t>
      </w:r>
      <w:r w:rsidR="002570FA" w:rsidRPr="00D87EDD">
        <w:rPr>
          <w:rFonts w:ascii="Arial" w:hAnsi="Arial" w:cs="Arial"/>
          <w:b/>
          <w:bCs/>
          <w:i/>
          <w:iCs/>
          <w:color w:val="242121"/>
          <w:sz w:val="24"/>
          <w:szCs w:val="24"/>
        </w:rPr>
        <w:t>Jugwanth v Mobile Telephone Networks (Pty) Ltd</w:t>
      </w:r>
      <w:r w:rsidR="002570FA" w:rsidRPr="00D87EDD">
        <w:rPr>
          <w:rFonts w:ascii="Arial" w:hAnsi="Arial" w:cs="Arial"/>
          <w:color w:val="242121"/>
          <w:sz w:val="24"/>
          <w:szCs w:val="24"/>
        </w:rPr>
        <w:t xml:space="preserve"> </w:t>
      </w:r>
      <w:r w:rsidR="002570FA" w:rsidRPr="0081243C">
        <w:rPr>
          <w:rStyle w:val="EndnoteReference"/>
          <w:rFonts w:ascii="Arial" w:hAnsi="Arial" w:cs="Arial"/>
          <w:color w:val="242121"/>
          <w:sz w:val="24"/>
          <w:szCs w:val="24"/>
        </w:rPr>
        <w:endnoteReference w:id="9"/>
      </w:r>
      <w:r w:rsidR="002570FA" w:rsidRPr="00D87EDD">
        <w:rPr>
          <w:rFonts w:ascii="Arial" w:hAnsi="Arial" w:cs="Arial"/>
          <w:color w:val="242121"/>
          <w:sz w:val="24"/>
          <w:szCs w:val="24"/>
          <w:lang w:val="en-US"/>
        </w:rPr>
        <w:t>, </w:t>
      </w:r>
      <w:r w:rsidR="002570FA" w:rsidRPr="00D87EDD">
        <w:rPr>
          <w:rFonts w:ascii="Arial" w:hAnsi="Arial" w:cs="Arial"/>
          <w:color w:val="242121"/>
          <w:sz w:val="24"/>
          <w:szCs w:val="24"/>
        </w:rPr>
        <w:t>the Court stated that:</w:t>
      </w:r>
    </w:p>
    <w:p w14:paraId="1F019680" w14:textId="77777777" w:rsidR="002570FA" w:rsidRPr="0081243C" w:rsidRDefault="002570FA" w:rsidP="00061D67">
      <w:pPr>
        <w:pStyle w:val="NormalWeb"/>
        <w:shd w:val="clear" w:color="auto" w:fill="FFFFFF"/>
        <w:spacing w:before="144" w:beforeAutospacing="0" w:after="0" w:afterAutospacing="0" w:line="360" w:lineRule="atLeast"/>
        <w:ind w:left="720"/>
        <w:jc w:val="both"/>
        <w:rPr>
          <w:rFonts w:ascii="Arial" w:hAnsi="Arial" w:cs="Arial"/>
          <w:color w:val="242121"/>
        </w:rPr>
      </w:pPr>
      <w:r w:rsidRPr="0081243C">
        <w:rPr>
          <w:rFonts w:ascii="Arial" w:hAnsi="Arial" w:cs="Arial"/>
          <w:color w:val="242121"/>
        </w:rPr>
        <w:t>“</w:t>
      </w:r>
      <w:r w:rsidRPr="0081243C">
        <w:rPr>
          <w:rFonts w:ascii="Arial" w:hAnsi="Arial" w:cs="Arial"/>
          <w:i/>
          <w:iCs/>
          <w:color w:val="242121"/>
        </w:rPr>
        <w:t>It is settled law that a person invoking prescription bears a full onus to prove it. In Gericke v Sack, Diemont JA explained:</w:t>
      </w:r>
    </w:p>
    <w:p w14:paraId="1AF77149" w14:textId="77777777" w:rsidR="002570FA" w:rsidRPr="0081243C" w:rsidRDefault="002570FA" w:rsidP="002570FA">
      <w:pPr>
        <w:pStyle w:val="NormalWeb"/>
        <w:shd w:val="clear" w:color="auto" w:fill="FFFFFF"/>
        <w:spacing w:before="144" w:beforeAutospacing="0" w:after="0" w:afterAutospacing="0" w:line="360" w:lineRule="atLeast"/>
        <w:jc w:val="both"/>
        <w:rPr>
          <w:rFonts w:ascii="Arial" w:hAnsi="Arial" w:cs="Arial"/>
          <w:color w:val="242121"/>
        </w:rPr>
      </w:pPr>
    </w:p>
    <w:p w14:paraId="21C1CD9F" w14:textId="77777777" w:rsidR="002570FA" w:rsidRPr="0081243C" w:rsidRDefault="002570FA" w:rsidP="00061D67">
      <w:pPr>
        <w:pStyle w:val="NormalWeb"/>
        <w:shd w:val="clear" w:color="auto" w:fill="FFFFFF"/>
        <w:spacing w:before="144" w:beforeAutospacing="0" w:after="0" w:afterAutospacing="0" w:line="360" w:lineRule="atLeast"/>
        <w:ind w:left="1440"/>
        <w:jc w:val="both"/>
        <w:rPr>
          <w:rFonts w:ascii="Arial" w:hAnsi="Arial" w:cs="Arial"/>
          <w:i/>
          <w:iCs/>
          <w:color w:val="242121"/>
        </w:rPr>
      </w:pPr>
      <w:r w:rsidRPr="0081243C">
        <w:rPr>
          <w:rFonts w:ascii="Arial" w:hAnsi="Arial" w:cs="Arial"/>
          <w:color w:val="242121"/>
        </w:rPr>
        <w:t>‘</w:t>
      </w:r>
      <w:r w:rsidRPr="0081243C">
        <w:rPr>
          <w:rFonts w:ascii="Arial" w:hAnsi="Arial" w:cs="Arial"/>
          <w:i/>
          <w:iCs/>
          <w:color w:val="242121"/>
        </w:rPr>
        <w:t>[It] was the respondent, not the appellant, who raised the question of prescription. It was the respondent who challenged the appellant on the issue that the claim for damages was prescribed this he did by way of a special plea five months after the plea on the merits had been filed. The onus was clearly on the respondent to establish this defence.</w:t>
      </w:r>
    </w:p>
    <w:p w14:paraId="66A9D05A" w14:textId="77777777" w:rsidR="002570FA" w:rsidRPr="0081243C" w:rsidRDefault="002570FA" w:rsidP="002570FA">
      <w:pPr>
        <w:pStyle w:val="NormalWeb"/>
        <w:shd w:val="clear" w:color="auto" w:fill="FFFFFF"/>
        <w:spacing w:before="144" w:beforeAutospacing="0" w:after="0" w:afterAutospacing="0" w:line="360" w:lineRule="atLeast"/>
        <w:ind w:left="1440"/>
        <w:jc w:val="both"/>
        <w:rPr>
          <w:rFonts w:ascii="Arial" w:hAnsi="Arial" w:cs="Arial"/>
          <w:i/>
          <w:iCs/>
          <w:color w:val="242121"/>
        </w:rPr>
      </w:pPr>
    </w:p>
    <w:p w14:paraId="02C65AD9" w14:textId="77777777" w:rsidR="002570FA" w:rsidRPr="0081243C" w:rsidRDefault="002570FA" w:rsidP="002570FA">
      <w:pPr>
        <w:pStyle w:val="NormalWeb"/>
        <w:shd w:val="clear" w:color="auto" w:fill="FFFFFF"/>
        <w:spacing w:before="144" w:beforeAutospacing="0" w:after="0" w:afterAutospacing="0" w:line="360" w:lineRule="atLeast"/>
        <w:ind w:left="720" w:firstLine="720"/>
        <w:jc w:val="both"/>
        <w:rPr>
          <w:rFonts w:ascii="Arial" w:hAnsi="Arial" w:cs="Arial"/>
          <w:color w:val="242121"/>
        </w:rPr>
      </w:pPr>
      <w:r w:rsidRPr="0081243C">
        <w:rPr>
          <w:rFonts w:ascii="Arial" w:hAnsi="Arial" w:cs="Arial"/>
          <w:i/>
          <w:iCs/>
          <w:color w:val="242121"/>
        </w:rPr>
        <w:t>In Macleod v Kweyiya, this Court endorsed that principle in ringing tones:</w:t>
      </w:r>
    </w:p>
    <w:p w14:paraId="0E97E092" w14:textId="77777777" w:rsidR="002570FA" w:rsidRPr="0081243C" w:rsidRDefault="002570FA" w:rsidP="002570FA">
      <w:pPr>
        <w:pStyle w:val="NormalWeb"/>
        <w:shd w:val="clear" w:color="auto" w:fill="FFFFFF"/>
        <w:spacing w:before="144" w:beforeAutospacing="0" w:after="0" w:afterAutospacing="0" w:line="360" w:lineRule="atLeast"/>
        <w:ind w:left="720"/>
        <w:jc w:val="both"/>
        <w:rPr>
          <w:rFonts w:ascii="Arial" w:hAnsi="Arial" w:cs="Arial"/>
          <w:color w:val="242121"/>
        </w:rPr>
      </w:pPr>
    </w:p>
    <w:p w14:paraId="738EFB2F" w14:textId="77777777" w:rsidR="002570FA" w:rsidRPr="0081243C" w:rsidRDefault="002570FA" w:rsidP="002570FA">
      <w:pPr>
        <w:pStyle w:val="NormalWeb"/>
        <w:shd w:val="clear" w:color="auto" w:fill="FFFFFF"/>
        <w:spacing w:before="144" w:beforeAutospacing="0" w:after="0" w:afterAutospacing="0" w:line="360" w:lineRule="atLeast"/>
        <w:ind w:left="1440"/>
        <w:jc w:val="both"/>
        <w:rPr>
          <w:rFonts w:ascii="Arial" w:hAnsi="Arial" w:cs="Arial"/>
          <w:color w:val="242121"/>
        </w:rPr>
      </w:pPr>
      <w:r w:rsidRPr="0081243C">
        <w:rPr>
          <w:rFonts w:ascii="Arial" w:hAnsi="Arial" w:cs="Arial"/>
          <w:color w:val="242121"/>
        </w:rPr>
        <w:t>‘</w:t>
      </w:r>
      <w:r w:rsidRPr="0081243C">
        <w:rPr>
          <w:rFonts w:ascii="Arial" w:hAnsi="Arial" w:cs="Arial"/>
          <w:i/>
          <w:iCs/>
          <w:color w:val="242121"/>
        </w:rPr>
        <w:t>This court has repeatedly stated that a defendant bears the full evidentiary burden to prove a plea of prescription, including the date on which a plaintiff obtained actual or constructive knowledge of the debt. The burden shifts to the plaintiff only if the defendant has established a prima facie case.’’’</w:t>
      </w:r>
    </w:p>
    <w:p w14:paraId="06B6E34F" w14:textId="77777777" w:rsidR="002570FA" w:rsidRPr="0081243C" w:rsidRDefault="002570FA" w:rsidP="002570FA">
      <w:pPr>
        <w:pStyle w:val="NormalWeb"/>
        <w:shd w:val="clear" w:color="auto" w:fill="FFFFFF"/>
        <w:spacing w:before="144" w:beforeAutospacing="0" w:after="0" w:afterAutospacing="0" w:line="360" w:lineRule="atLeast"/>
        <w:ind w:left="1440"/>
        <w:jc w:val="both"/>
        <w:rPr>
          <w:rFonts w:ascii="Arial" w:hAnsi="Arial" w:cs="Arial"/>
          <w:color w:val="242121"/>
        </w:rPr>
      </w:pPr>
    </w:p>
    <w:p w14:paraId="09E71303" w14:textId="39611BD6" w:rsidR="003F6505" w:rsidRPr="0081243C" w:rsidRDefault="00D87EDD" w:rsidP="00D87EDD">
      <w:pPr>
        <w:pStyle w:val="NormalWeb"/>
        <w:shd w:val="clear" w:color="auto" w:fill="FFFFFF"/>
        <w:spacing w:before="144" w:beforeAutospacing="0" w:after="0" w:afterAutospacing="0" w:line="480" w:lineRule="auto"/>
        <w:ind w:left="720" w:hanging="720"/>
        <w:jc w:val="both"/>
        <w:rPr>
          <w:rFonts w:ascii="Arial" w:hAnsi="Arial" w:cs="Arial"/>
          <w:i/>
          <w:iCs/>
          <w:color w:val="242121"/>
        </w:rPr>
      </w:pPr>
      <w:r w:rsidRPr="0081243C">
        <w:rPr>
          <w:rFonts w:ascii="Arial" w:hAnsi="Arial" w:cs="Arial"/>
          <w:color w:val="242121"/>
        </w:rPr>
        <w:t>77.</w:t>
      </w:r>
      <w:r w:rsidRPr="0081243C">
        <w:rPr>
          <w:rFonts w:ascii="Arial" w:hAnsi="Arial" w:cs="Arial"/>
          <w:color w:val="242121"/>
        </w:rPr>
        <w:tab/>
      </w:r>
      <w:r w:rsidR="002570FA" w:rsidRPr="0081243C">
        <w:rPr>
          <w:rFonts w:ascii="Arial" w:hAnsi="Arial" w:cs="Arial"/>
          <w:lang w:val="en-GB"/>
        </w:rPr>
        <w:t xml:space="preserve">It is therefore the </w:t>
      </w:r>
      <w:r w:rsidR="00061D67" w:rsidRPr="0081243C">
        <w:rPr>
          <w:rFonts w:ascii="Arial" w:hAnsi="Arial" w:cs="Arial"/>
          <w:lang w:val="en-GB"/>
        </w:rPr>
        <w:t>first</w:t>
      </w:r>
      <w:r w:rsidR="002570FA" w:rsidRPr="0081243C">
        <w:rPr>
          <w:rFonts w:ascii="Arial" w:hAnsi="Arial" w:cs="Arial"/>
          <w:lang w:val="en-GB"/>
        </w:rPr>
        <w:t xml:space="preserve"> Respondent that bears the onus to proof that the claim has prescribed.  </w:t>
      </w:r>
    </w:p>
    <w:p w14:paraId="2BB75BA3" w14:textId="77777777" w:rsidR="00B72943" w:rsidRPr="0081243C" w:rsidRDefault="00B72943" w:rsidP="00B72943">
      <w:pPr>
        <w:pStyle w:val="NormalWeb"/>
        <w:shd w:val="clear" w:color="auto" w:fill="FFFFFF"/>
        <w:spacing w:before="144" w:beforeAutospacing="0" w:after="0" w:afterAutospacing="0" w:line="480" w:lineRule="auto"/>
        <w:ind w:left="720"/>
        <w:jc w:val="both"/>
        <w:rPr>
          <w:rFonts w:ascii="Arial" w:hAnsi="Arial" w:cs="Arial"/>
          <w:i/>
          <w:iCs/>
          <w:color w:val="242121"/>
        </w:rPr>
      </w:pPr>
    </w:p>
    <w:p w14:paraId="7CCA45CE" w14:textId="7D1F6B37" w:rsidR="00B72943"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78.</w:t>
      </w:r>
      <w:r w:rsidRPr="0081243C">
        <w:rPr>
          <w:rFonts w:ascii="Arial" w:hAnsi="Arial" w:cs="Arial"/>
          <w:sz w:val="24"/>
          <w:szCs w:val="24"/>
          <w:lang w:val="en-GB"/>
        </w:rPr>
        <w:tab/>
      </w:r>
      <w:r w:rsidR="00061D67" w:rsidRPr="00D87EDD">
        <w:rPr>
          <w:rFonts w:ascii="Arial" w:hAnsi="Arial" w:cs="Arial"/>
          <w:sz w:val="24"/>
          <w:szCs w:val="24"/>
          <w:lang w:val="en-GB"/>
        </w:rPr>
        <w:t>One of the aspects I need to determine</w:t>
      </w:r>
      <w:r w:rsidR="00B72943" w:rsidRPr="00D87EDD">
        <w:rPr>
          <w:rFonts w:ascii="Arial" w:hAnsi="Arial" w:cs="Arial"/>
          <w:sz w:val="24"/>
          <w:szCs w:val="24"/>
          <w:lang w:val="en-GB"/>
        </w:rPr>
        <w:t>, in order to place this claim in the four brackets of the Prescription Act</w:t>
      </w:r>
      <w:r w:rsidR="00061D67" w:rsidRPr="00D87EDD">
        <w:rPr>
          <w:rFonts w:ascii="Arial" w:hAnsi="Arial" w:cs="Arial"/>
          <w:sz w:val="24"/>
          <w:szCs w:val="24"/>
          <w:lang w:val="en-GB"/>
        </w:rPr>
        <w:t>,</w:t>
      </w:r>
      <w:r w:rsidR="00B72943" w:rsidRPr="00D87EDD">
        <w:rPr>
          <w:rFonts w:ascii="Arial" w:hAnsi="Arial" w:cs="Arial"/>
          <w:sz w:val="24"/>
          <w:szCs w:val="24"/>
          <w:lang w:val="en-GB"/>
        </w:rPr>
        <w:t xml:space="preserve"> is to determine if monies that was deposited in a trust account is a debt. </w:t>
      </w:r>
    </w:p>
    <w:p w14:paraId="7EB06A42" w14:textId="22ABDF5C" w:rsidR="003F6505" w:rsidRPr="0081243C" w:rsidRDefault="003F6505" w:rsidP="003F6505">
      <w:pPr>
        <w:pStyle w:val="NormalWeb"/>
        <w:shd w:val="clear" w:color="auto" w:fill="FFFFFF"/>
        <w:spacing w:before="144" w:beforeAutospacing="0" w:after="0" w:afterAutospacing="0" w:line="480" w:lineRule="auto"/>
        <w:ind w:left="720"/>
        <w:jc w:val="both"/>
        <w:rPr>
          <w:rFonts w:ascii="Arial" w:hAnsi="Arial" w:cs="Arial"/>
          <w:i/>
          <w:iCs/>
          <w:color w:val="242121"/>
        </w:rPr>
      </w:pPr>
    </w:p>
    <w:p w14:paraId="1BBDFD2A" w14:textId="4B262AAC" w:rsidR="003F6505" w:rsidRPr="0081243C" w:rsidRDefault="00D87EDD" w:rsidP="00D87EDD">
      <w:pPr>
        <w:pStyle w:val="NormalWeb"/>
        <w:shd w:val="clear" w:color="auto" w:fill="FFFFFF"/>
        <w:spacing w:before="144" w:beforeAutospacing="0" w:after="0" w:afterAutospacing="0" w:line="480" w:lineRule="auto"/>
        <w:ind w:left="720" w:hanging="720"/>
        <w:jc w:val="both"/>
        <w:rPr>
          <w:rFonts w:ascii="Arial" w:hAnsi="Arial" w:cs="Arial"/>
          <w:i/>
          <w:iCs/>
          <w:color w:val="242121"/>
        </w:rPr>
      </w:pPr>
      <w:r w:rsidRPr="0081243C">
        <w:rPr>
          <w:rFonts w:ascii="Arial" w:hAnsi="Arial" w:cs="Arial"/>
          <w:color w:val="242121"/>
        </w:rPr>
        <w:t>79.</w:t>
      </w:r>
      <w:r w:rsidRPr="0081243C">
        <w:rPr>
          <w:rFonts w:ascii="Arial" w:hAnsi="Arial" w:cs="Arial"/>
          <w:color w:val="242121"/>
        </w:rPr>
        <w:tab/>
      </w:r>
      <w:r w:rsidR="003F6505" w:rsidRPr="0081243C">
        <w:rPr>
          <w:rFonts w:ascii="Arial" w:hAnsi="Arial" w:cs="Arial"/>
          <w:color w:val="242121"/>
          <w:lang w:val="en-US"/>
        </w:rPr>
        <w:t>In determining this question, we have to consider the position as it was set out in</w:t>
      </w:r>
      <w:r w:rsidR="003F6505" w:rsidRPr="0081243C">
        <w:rPr>
          <w:rFonts w:ascii="Arial" w:hAnsi="Arial" w:cs="Arial"/>
          <w:i/>
          <w:iCs/>
          <w:color w:val="242121"/>
          <w:lang w:val="en-US"/>
        </w:rPr>
        <w:t> </w:t>
      </w:r>
      <w:r w:rsidR="003F6505" w:rsidRPr="0081243C">
        <w:rPr>
          <w:rFonts w:ascii="Arial" w:hAnsi="Arial" w:cs="Arial"/>
          <w:b/>
          <w:bCs/>
          <w:i/>
          <w:iCs/>
          <w:color w:val="242121"/>
          <w:lang w:val="en-US"/>
        </w:rPr>
        <w:t>Drennan Maud &amp; Partners v Town Board of the Township Pennington</w:t>
      </w:r>
      <w:bookmarkStart w:id="0" w:name="_ftnref18"/>
      <w:r w:rsidR="003F6505" w:rsidRPr="0081243C">
        <w:rPr>
          <w:rFonts w:ascii="Arial" w:hAnsi="Arial" w:cs="Arial"/>
          <w:i/>
          <w:iCs/>
          <w:color w:val="242121"/>
          <w:lang w:val="en-US"/>
        </w:rPr>
        <w:t xml:space="preserve">. </w:t>
      </w:r>
      <w:r w:rsidR="003F6505" w:rsidRPr="0081243C">
        <w:rPr>
          <w:rStyle w:val="EndnoteReference"/>
          <w:rFonts w:ascii="Arial" w:hAnsi="Arial" w:cs="Arial"/>
          <w:i/>
          <w:iCs/>
          <w:color w:val="242121"/>
          <w:lang w:val="en-US"/>
        </w:rPr>
        <w:endnoteReference w:id="10"/>
      </w:r>
      <w:bookmarkEnd w:id="0"/>
      <w:r w:rsidR="003F6505" w:rsidRPr="0081243C">
        <w:rPr>
          <w:rFonts w:ascii="Arial" w:hAnsi="Arial" w:cs="Arial"/>
          <w:i/>
          <w:iCs/>
          <w:color w:val="242121"/>
          <w:lang w:val="en-US"/>
        </w:rPr>
        <w:t xml:space="preserve">  </w:t>
      </w:r>
      <w:r w:rsidR="003F6505" w:rsidRPr="0081243C">
        <w:rPr>
          <w:rFonts w:ascii="Arial" w:hAnsi="Arial" w:cs="Arial"/>
          <w:color w:val="242121"/>
          <w:lang w:val="en-US"/>
        </w:rPr>
        <w:t>Here the court described a debt as:</w:t>
      </w:r>
    </w:p>
    <w:p w14:paraId="62A5FCB6" w14:textId="77777777" w:rsidR="003F6505" w:rsidRPr="0081243C" w:rsidRDefault="003F6505" w:rsidP="003F6505">
      <w:pPr>
        <w:pStyle w:val="NormalWeb"/>
        <w:shd w:val="clear" w:color="auto" w:fill="FFFFFF"/>
        <w:spacing w:before="144" w:beforeAutospacing="0" w:after="0" w:afterAutospacing="0" w:line="360" w:lineRule="atLeast"/>
        <w:ind w:left="720"/>
        <w:jc w:val="both"/>
        <w:rPr>
          <w:rFonts w:ascii="Arial" w:hAnsi="Arial" w:cs="Arial"/>
          <w:i/>
          <w:iCs/>
          <w:color w:val="242121"/>
        </w:rPr>
      </w:pPr>
    </w:p>
    <w:p w14:paraId="54A38AA0" w14:textId="701BFD0B" w:rsidR="003F6505" w:rsidRPr="0081243C" w:rsidRDefault="003F6505" w:rsidP="00061D67">
      <w:pPr>
        <w:pStyle w:val="NormalWeb"/>
        <w:shd w:val="clear" w:color="auto" w:fill="FFFFFF"/>
        <w:spacing w:before="144" w:beforeAutospacing="0" w:after="0" w:afterAutospacing="0" w:line="360" w:lineRule="atLeast"/>
        <w:ind w:left="720"/>
        <w:jc w:val="both"/>
        <w:rPr>
          <w:rFonts w:ascii="Arial" w:hAnsi="Arial" w:cs="Arial"/>
          <w:i/>
          <w:iCs/>
          <w:color w:val="242121"/>
        </w:rPr>
      </w:pPr>
      <w:r w:rsidRPr="0081243C">
        <w:rPr>
          <w:rFonts w:ascii="Arial" w:hAnsi="Arial" w:cs="Arial"/>
          <w:i/>
          <w:iCs/>
          <w:color w:val="242121"/>
        </w:rPr>
        <w:t>“</w:t>
      </w:r>
      <w:r w:rsidRPr="0081243C">
        <w:rPr>
          <w:rFonts w:ascii="Arial" w:hAnsi="Arial" w:cs="Arial"/>
          <w:i/>
          <w:iCs/>
          <w:color w:val="242121"/>
          <w:lang w:val="en-US"/>
        </w:rPr>
        <w:t>In short, the word “debt” does not refer to the “cause of action”, but more generally to the claim. In deciding whether a ‘debt’ has become prescribed, one has to identify the “debt”, or, put differently, what the “claim” was in the broad sense of the meaning of that word.”</w:t>
      </w:r>
    </w:p>
    <w:p w14:paraId="15FFD879" w14:textId="77777777" w:rsidR="003F6505" w:rsidRPr="0081243C" w:rsidRDefault="003F6505" w:rsidP="003F6505">
      <w:pPr>
        <w:pStyle w:val="NormalWeb"/>
        <w:shd w:val="clear" w:color="auto" w:fill="FFFFFF"/>
        <w:spacing w:before="144" w:beforeAutospacing="0" w:after="0" w:afterAutospacing="0" w:line="360" w:lineRule="atLeast"/>
        <w:jc w:val="both"/>
        <w:rPr>
          <w:rFonts w:ascii="Arial" w:hAnsi="Arial" w:cs="Arial"/>
          <w:color w:val="242121"/>
        </w:rPr>
      </w:pPr>
    </w:p>
    <w:p w14:paraId="1F6EB281" w14:textId="77777777" w:rsidR="003F6505" w:rsidRPr="0081243C" w:rsidRDefault="003F6505" w:rsidP="003F6505">
      <w:pPr>
        <w:pStyle w:val="NormalWeb"/>
        <w:shd w:val="clear" w:color="auto" w:fill="FFFFFF"/>
        <w:spacing w:before="144" w:beforeAutospacing="0" w:after="0" w:afterAutospacing="0" w:line="360" w:lineRule="atLeast"/>
        <w:jc w:val="both"/>
        <w:rPr>
          <w:rFonts w:ascii="Arial" w:hAnsi="Arial" w:cs="Arial"/>
          <w:color w:val="242121"/>
        </w:rPr>
      </w:pPr>
    </w:p>
    <w:p w14:paraId="70787A72" w14:textId="137358E6" w:rsidR="002570F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80.</w:t>
      </w:r>
      <w:r w:rsidRPr="0081243C">
        <w:rPr>
          <w:rFonts w:ascii="Arial" w:hAnsi="Arial" w:cs="Arial"/>
          <w:sz w:val="24"/>
          <w:szCs w:val="24"/>
          <w:lang w:val="en-GB"/>
        </w:rPr>
        <w:tab/>
      </w:r>
      <w:r w:rsidR="003F6505" w:rsidRPr="00D87EDD">
        <w:rPr>
          <w:rFonts w:ascii="Arial" w:hAnsi="Arial" w:cs="Arial"/>
          <w:sz w:val="24"/>
          <w:szCs w:val="24"/>
          <w:lang w:val="en-GB"/>
        </w:rPr>
        <w:t xml:space="preserve">In </w:t>
      </w:r>
      <w:r w:rsidR="003F6505" w:rsidRPr="00D87EDD">
        <w:rPr>
          <w:rFonts w:ascii="Arial" w:hAnsi="Arial" w:cs="Arial"/>
          <w:b/>
          <w:bCs/>
          <w:i/>
          <w:iCs/>
          <w:sz w:val="24"/>
          <w:szCs w:val="24"/>
          <w:lang w:val="en-GB"/>
        </w:rPr>
        <w:t xml:space="preserve">Du Toit and Others v Du Toit-Smuts &amp; Partners and Another </w:t>
      </w:r>
      <w:r w:rsidR="003F6505" w:rsidRPr="00D87EDD">
        <w:rPr>
          <w:rFonts w:ascii="Arial" w:hAnsi="Arial" w:cs="Arial"/>
          <w:sz w:val="24"/>
          <w:szCs w:val="24"/>
          <w:lang w:val="en-GB"/>
        </w:rPr>
        <w:t xml:space="preserve"> </w:t>
      </w:r>
      <w:r w:rsidR="003F6505" w:rsidRPr="0081243C">
        <w:rPr>
          <w:rStyle w:val="EndnoteReference"/>
          <w:rFonts w:ascii="Arial" w:hAnsi="Arial" w:cs="Arial"/>
          <w:sz w:val="24"/>
          <w:szCs w:val="24"/>
          <w:lang w:val="en-GB"/>
        </w:rPr>
        <w:endnoteReference w:id="11"/>
      </w:r>
      <w:r w:rsidR="003F6505" w:rsidRPr="00D87EDD">
        <w:rPr>
          <w:rFonts w:ascii="Arial" w:hAnsi="Arial" w:cs="Arial"/>
          <w:sz w:val="24"/>
          <w:szCs w:val="24"/>
          <w:lang w:val="en-GB"/>
        </w:rPr>
        <w:t xml:space="preserve">  the Honourable Judge Mashile, facing almost similar facts, held that a deposit was a debt.  I align myself with the view held by the Honourable Judge Mashile.  </w:t>
      </w:r>
    </w:p>
    <w:p w14:paraId="0DFB75F7" w14:textId="46664EB6" w:rsidR="00B72943" w:rsidRPr="0081243C" w:rsidRDefault="00B72943" w:rsidP="00B72943">
      <w:pPr>
        <w:pStyle w:val="ListParagraph"/>
        <w:spacing w:line="480" w:lineRule="auto"/>
        <w:jc w:val="both"/>
        <w:rPr>
          <w:rFonts w:ascii="Arial" w:hAnsi="Arial" w:cs="Arial"/>
          <w:sz w:val="24"/>
          <w:szCs w:val="24"/>
          <w:lang w:val="en-GB"/>
        </w:rPr>
      </w:pPr>
    </w:p>
    <w:p w14:paraId="60478E52" w14:textId="7EE63F20" w:rsidR="00B72943"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81.</w:t>
      </w:r>
      <w:r w:rsidRPr="0081243C">
        <w:rPr>
          <w:rFonts w:ascii="Arial" w:hAnsi="Arial" w:cs="Arial"/>
          <w:sz w:val="24"/>
          <w:szCs w:val="24"/>
          <w:lang w:val="en-GB"/>
        </w:rPr>
        <w:tab/>
      </w:r>
      <w:r w:rsidR="00236BA2" w:rsidRPr="00D87EDD">
        <w:rPr>
          <w:rFonts w:ascii="Arial" w:hAnsi="Arial" w:cs="Arial"/>
          <w:sz w:val="24"/>
          <w:szCs w:val="24"/>
          <w:lang w:val="en-GB"/>
        </w:rPr>
        <w:t xml:space="preserve">What now needs to be considered is when prescription started to run.  </w:t>
      </w:r>
    </w:p>
    <w:p w14:paraId="13ED0D48" w14:textId="77777777" w:rsidR="00236BA2" w:rsidRPr="0081243C" w:rsidRDefault="00236BA2" w:rsidP="00236BA2">
      <w:pPr>
        <w:pStyle w:val="ListParagraph"/>
        <w:rPr>
          <w:rFonts w:ascii="Arial" w:hAnsi="Arial" w:cs="Arial"/>
          <w:sz w:val="24"/>
          <w:szCs w:val="24"/>
          <w:lang w:val="en-GB"/>
        </w:rPr>
      </w:pPr>
    </w:p>
    <w:p w14:paraId="7CBEA322" w14:textId="0D15F4DF" w:rsidR="00236BA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82.</w:t>
      </w:r>
      <w:r w:rsidRPr="0081243C">
        <w:rPr>
          <w:rFonts w:ascii="Arial" w:hAnsi="Arial" w:cs="Arial"/>
          <w:sz w:val="24"/>
          <w:szCs w:val="24"/>
          <w:lang w:val="en-GB"/>
        </w:rPr>
        <w:tab/>
      </w:r>
      <w:r w:rsidR="00236BA2" w:rsidRPr="00D87EDD">
        <w:rPr>
          <w:rFonts w:ascii="Arial" w:hAnsi="Arial" w:cs="Arial"/>
          <w:color w:val="242121"/>
          <w:sz w:val="24"/>
          <w:szCs w:val="24"/>
          <w:lang w:val="en-GB"/>
        </w:rPr>
        <w:t xml:space="preserve">In </w:t>
      </w:r>
      <w:r w:rsidR="00236BA2" w:rsidRPr="00D87EDD">
        <w:rPr>
          <w:rFonts w:ascii="Arial" w:hAnsi="Arial" w:cs="Arial"/>
          <w:b/>
          <w:bCs/>
          <w:i/>
          <w:iCs/>
          <w:color w:val="242121"/>
          <w:sz w:val="24"/>
          <w:szCs w:val="24"/>
          <w:lang w:val="en-GB"/>
        </w:rPr>
        <w:t>List v Jungers</w:t>
      </w:r>
      <w:r w:rsidR="00236BA2" w:rsidRPr="00D87EDD">
        <w:rPr>
          <w:rFonts w:ascii="Arial" w:hAnsi="Arial" w:cs="Arial"/>
          <w:color w:val="242121"/>
          <w:sz w:val="24"/>
          <w:szCs w:val="24"/>
        </w:rPr>
        <w:t xml:space="preserve"> </w:t>
      </w:r>
      <w:r w:rsidR="00236BA2" w:rsidRPr="0081243C">
        <w:rPr>
          <w:rStyle w:val="EndnoteReference"/>
          <w:rFonts w:ascii="Arial" w:hAnsi="Arial" w:cs="Arial"/>
          <w:color w:val="242121"/>
          <w:sz w:val="24"/>
          <w:szCs w:val="24"/>
        </w:rPr>
        <w:endnoteReference w:id="12"/>
      </w:r>
      <w:r w:rsidR="00236BA2" w:rsidRPr="00D87EDD">
        <w:rPr>
          <w:rFonts w:ascii="Arial" w:hAnsi="Arial" w:cs="Arial"/>
          <w:color w:val="242121"/>
          <w:sz w:val="24"/>
          <w:szCs w:val="24"/>
          <w:lang w:val="en-US"/>
        </w:rPr>
        <w:t xml:space="preserve">, </w:t>
      </w:r>
      <w:r w:rsidR="00236BA2" w:rsidRPr="00D87EDD">
        <w:rPr>
          <w:rFonts w:ascii="Arial" w:hAnsi="Arial" w:cs="Arial"/>
          <w:color w:val="242121"/>
          <w:sz w:val="24"/>
          <w:szCs w:val="24"/>
          <w:lang w:val="en-GB"/>
        </w:rPr>
        <w:t>the Court stated that there is a difference between when a debt comes into existence on the one hand and when it becomes recoverable on the other, although these dates may coincide. A debt is due “…</w:t>
      </w:r>
      <w:r w:rsidR="00236BA2" w:rsidRPr="00D87EDD">
        <w:rPr>
          <w:rFonts w:ascii="Arial" w:hAnsi="Arial" w:cs="Arial"/>
          <w:i/>
          <w:iCs/>
          <w:color w:val="242121"/>
          <w:sz w:val="24"/>
          <w:szCs w:val="24"/>
          <w:lang w:val="en-US"/>
        </w:rPr>
        <w:t>when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r w:rsidR="00236BA2" w:rsidRPr="00D87EDD">
        <w:rPr>
          <w:rFonts w:ascii="Arial" w:hAnsi="Arial" w:cs="Arial"/>
          <w:color w:val="242121"/>
          <w:sz w:val="24"/>
          <w:szCs w:val="24"/>
          <w:lang w:val="en-US"/>
        </w:rPr>
        <w:t xml:space="preserve"> </w:t>
      </w:r>
      <w:r w:rsidR="00236BA2" w:rsidRPr="0081243C">
        <w:rPr>
          <w:rStyle w:val="EndnoteReference"/>
          <w:rFonts w:ascii="Arial" w:hAnsi="Arial" w:cs="Arial"/>
          <w:color w:val="242121"/>
          <w:sz w:val="24"/>
          <w:szCs w:val="24"/>
          <w:lang w:val="en-US"/>
        </w:rPr>
        <w:endnoteReference w:id="13"/>
      </w:r>
      <w:r w:rsidR="00236BA2" w:rsidRPr="00D87EDD">
        <w:rPr>
          <w:rFonts w:ascii="Arial" w:hAnsi="Arial" w:cs="Arial"/>
          <w:i/>
          <w:iCs/>
          <w:color w:val="242121"/>
          <w:sz w:val="24"/>
          <w:szCs w:val="24"/>
          <w:lang w:val="en-US"/>
        </w:rPr>
        <w:t xml:space="preserve"> </w:t>
      </w:r>
    </w:p>
    <w:p w14:paraId="750DBE8F" w14:textId="77777777" w:rsidR="003F6505" w:rsidRPr="0081243C" w:rsidRDefault="003F6505" w:rsidP="003F6505">
      <w:pPr>
        <w:pStyle w:val="ListParagraph"/>
        <w:spacing w:line="480" w:lineRule="auto"/>
        <w:jc w:val="both"/>
        <w:rPr>
          <w:rFonts w:ascii="Arial" w:hAnsi="Arial" w:cs="Arial"/>
          <w:sz w:val="24"/>
          <w:szCs w:val="24"/>
          <w:lang w:val="en-GB"/>
        </w:rPr>
      </w:pPr>
    </w:p>
    <w:p w14:paraId="11B80B58" w14:textId="11A11AA8" w:rsidR="00236BA2" w:rsidRPr="0081243C" w:rsidRDefault="00D87EDD" w:rsidP="00D87EDD">
      <w:pPr>
        <w:pStyle w:val="NormalWeb"/>
        <w:shd w:val="clear" w:color="auto" w:fill="FFFFFF"/>
        <w:spacing w:before="144" w:beforeAutospacing="0" w:after="0" w:afterAutospacing="0" w:line="360" w:lineRule="atLeast"/>
        <w:ind w:left="720" w:hanging="720"/>
        <w:jc w:val="both"/>
        <w:rPr>
          <w:rFonts w:ascii="Arial" w:hAnsi="Arial" w:cs="Arial"/>
          <w:color w:val="242121"/>
        </w:rPr>
      </w:pPr>
      <w:r w:rsidRPr="0081243C">
        <w:rPr>
          <w:rFonts w:ascii="Arial" w:hAnsi="Arial" w:cs="Arial"/>
          <w:color w:val="242121"/>
        </w:rPr>
        <w:lastRenderedPageBreak/>
        <w:t>83.</w:t>
      </w:r>
      <w:r w:rsidRPr="0081243C">
        <w:rPr>
          <w:rFonts w:ascii="Arial" w:hAnsi="Arial" w:cs="Arial"/>
          <w:color w:val="242121"/>
        </w:rPr>
        <w:tab/>
      </w:r>
      <w:r w:rsidR="00236BA2" w:rsidRPr="0081243C">
        <w:rPr>
          <w:rFonts w:ascii="Arial" w:hAnsi="Arial" w:cs="Arial"/>
          <w:color w:val="242121"/>
          <w:lang w:val="en-US"/>
        </w:rPr>
        <w:t>The Court in </w:t>
      </w:r>
      <w:r w:rsidR="00236BA2" w:rsidRPr="0081243C">
        <w:rPr>
          <w:rFonts w:ascii="Arial" w:hAnsi="Arial" w:cs="Arial"/>
          <w:b/>
          <w:bCs/>
          <w:i/>
          <w:iCs/>
          <w:color w:val="242121"/>
          <w:lang w:val="en-US"/>
        </w:rPr>
        <w:t>Frieslaar NO and Others v Ackerman and Another</w:t>
      </w:r>
      <w:r w:rsidR="00236BA2" w:rsidRPr="0081243C">
        <w:rPr>
          <w:rFonts w:ascii="Arial" w:hAnsi="Arial" w:cs="Arial"/>
          <w:i/>
          <w:iCs/>
          <w:color w:val="242121"/>
          <w:lang w:val="en-US"/>
        </w:rPr>
        <w:t> </w:t>
      </w:r>
      <w:r w:rsidR="00236BA2" w:rsidRPr="0081243C">
        <w:rPr>
          <w:rStyle w:val="EndnoteReference"/>
          <w:rFonts w:ascii="Arial" w:hAnsi="Arial" w:cs="Arial"/>
          <w:i/>
          <w:iCs/>
          <w:color w:val="242121"/>
          <w:lang w:val="en-US"/>
        </w:rPr>
        <w:endnoteReference w:id="14"/>
      </w:r>
      <w:r w:rsidR="00236BA2" w:rsidRPr="0081243C">
        <w:rPr>
          <w:rFonts w:ascii="Arial" w:hAnsi="Arial" w:cs="Arial"/>
          <w:i/>
          <w:iCs/>
          <w:color w:val="242121"/>
          <w:lang w:val="en-US"/>
        </w:rPr>
        <w:t xml:space="preserve"> </w:t>
      </w:r>
      <w:r w:rsidR="00236BA2" w:rsidRPr="0081243C">
        <w:rPr>
          <w:rFonts w:ascii="Arial" w:hAnsi="Arial" w:cs="Arial"/>
          <w:color w:val="242121"/>
          <w:lang w:val="en-US"/>
        </w:rPr>
        <w:t>held that:</w:t>
      </w:r>
    </w:p>
    <w:p w14:paraId="5C97D974" w14:textId="77777777" w:rsidR="00236BA2" w:rsidRPr="0081243C" w:rsidRDefault="00236BA2" w:rsidP="00236BA2">
      <w:pPr>
        <w:pStyle w:val="NormalWeb"/>
        <w:shd w:val="clear" w:color="auto" w:fill="FFFFFF"/>
        <w:spacing w:before="144" w:beforeAutospacing="0" w:after="0" w:afterAutospacing="0" w:line="360" w:lineRule="atLeast"/>
        <w:ind w:left="720"/>
        <w:jc w:val="both"/>
        <w:rPr>
          <w:rFonts w:ascii="Arial" w:hAnsi="Arial" w:cs="Arial"/>
          <w:color w:val="242121"/>
        </w:rPr>
      </w:pPr>
    </w:p>
    <w:p w14:paraId="487E109B" w14:textId="12176046" w:rsidR="00236BA2" w:rsidRPr="0081243C" w:rsidRDefault="00236BA2" w:rsidP="00236BA2">
      <w:pPr>
        <w:pStyle w:val="NormalWeb"/>
        <w:shd w:val="clear" w:color="auto" w:fill="FFFFFF"/>
        <w:spacing w:before="144" w:beforeAutospacing="0" w:after="0" w:afterAutospacing="0" w:line="360" w:lineRule="atLeast"/>
        <w:ind w:left="720"/>
        <w:jc w:val="both"/>
        <w:rPr>
          <w:rFonts w:ascii="Arial" w:hAnsi="Arial" w:cs="Arial"/>
          <w:color w:val="242121"/>
        </w:rPr>
      </w:pPr>
      <w:r w:rsidRPr="0081243C">
        <w:rPr>
          <w:rFonts w:ascii="Arial" w:hAnsi="Arial" w:cs="Arial"/>
          <w:color w:val="242121"/>
        </w:rPr>
        <w:t>“</w:t>
      </w:r>
      <w:r w:rsidRPr="0081243C">
        <w:rPr>
          <w:rFonts w:ascii="Arial" w:hAnsi="Arial" w:cs="Arial"/>
          <w:i/>
          <w:iCs/>
          <w:color w:val="242121"/>
          <w:lang w:val="en-US"/>
        </w:rPr>
        <w:t xml:space="preserve">An obligation to do something undertaken in terms of a contract, when the contract is silent as to the time of performance, is a debt which becomes immediately claimable or </w:t>
      </w:r>
      <w:r w:rsidR="00465BE1" w:rsidRPr="0081243C">
        <w:rPr>
          <w:rFonts w:ascii="Arial" w:hAnsi="Arial" w:cs="Arial"/>
          <w:i/>
          <w:iCs/>
          <w:color w:val="242121"/>
          <w:lang w:val="en-US"/>
        </w:rPr>
        <w:t>eligible</w:t>
      </w:r>
      <w:r w:rsidRPr="0081243C">
        <w:rPr>
          <w:rFonts w:ascii="Arial" w:hAnsi="Arial" w:cs="Arial"/>
          <w:i/>
          <w:iCs/>
          <w:color w:val="242121"/>
          <w:lang w:val="en-US"/>
        </w:rPr>
        <w:t xml:space="preserve"> at the instance of the creditor. Thus prescription commences to run from the date on which the contract was concluded….”</w:t>
      </w:r>
    </w:p>
    <w:p w14:paraId="2EB65821" w14:textId="77777777" w:rsidR="00A56D02" w:rsidRPr="0081243C" w:rsidRDefault="00A56D02" w:rsidP="005E0FB1">
      <w:pPr>
        <w:pStyle w:val="NormalWeb"/>
        <w:shd w:val="clear" w:color="auto" w:fill="FFFFFF"/>
        <w:spacing w:before="144" w:beforeAutospacing="0" w:after="0" w:afterAutospacing="0" w:line="360" w:lineRule="atLeast"/>
        <w:jc w:val="both"/>
        <w:rPr>
          <w:rFonts w:ascii="Arial" w:hAnsi="Arial" w:cs="Arial"/>
          <w:color w:val="242121"/>
        </w:rPr>
      </w:pPr>
      <w:r w:rsidRPr="0081243C">
        <w:rPr>
          <w:rFonts w:ascii="Arial" w:hAnsi="Arial" w:cs="Arial"/>
          <w:color w:val="242121"/>
        </w:rPr>
        <w:t> </w:t>
      </w:r>
    </w:p>
    <w:p w14:paraId="4C3B11A7" w14:textId="33139753" w:rsidR="00A56D0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84.</w:t>
      </w:r>
      <w:r w:rsidRPr="0081243C">
        <w:rPr>
          <w:rFonts w:ascii="Arial" w:hAnsi="Arial" w:cs="Arial"/>
          <w:sz w:val="24"/>
          <w:szCs w:val="24"/>
          <w:lang w:val="en-GB"/>
        </w:rPr>
        <w:tab/>
      </w:r>
      <w:r w:rsidR="004F5764" w:rsidRPr="00D87EDD">
        <w:rPr>
          <w:rFonts w:ascii="Arial" w:hAnsi="Arial" w:cs="Arial"/>
          <w:sz w:val="24"/>
          <w:szCs w:val="24"/>
          <w:lang w:val="en-GB"/>
        </w:rPr>
        <w:t xml:space="preserve">There can be no doubt that the debt started to run, on a worst case scenario for the first and second applicants, on the date which the sale agreement was cancelled.  That date is not placed before me. </w:t>
      </w:r>
    </w:p>
    <w:p w14:paraId="173F6D77" w14:textId="77777777" w:rsidR="004F5764" w:rsidRPr="0081243C" w:rsidRDefault="004F5764" w:rsidP="004F5764">
      <w:pPr>
        <w:pStyle w:val="ListParagraph"/>
        <w:spacing w:line="480" w:lineRule="auto"/>
        <w:jc w:val="both"/>
        <w:rPr>
          <w:rFonts w:ascii="Arial" w:hAnsi="Arial" w:cs="Arial"/>
          <w:sz w:val="24"/>
          <w:szCs w:val="24"/>
          <w:lang w:val="en-GB"/>
        </w:rPr>
      </w:pPr>
    </w:p>
    <w:p w14:paraId="4E384BED" w14:textId="32ABCBE9" w:rsidR="004F5764"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85.</w:t>
      </w:r>
      <w:r w:rsidRPr="0081243C">
        <w:rPr>
          <w:rFonts w:ascii="Arial" w:hAnsi="Arial" w:cs="Arial"/>
          <w:sz w:val="24"/>
          <w:szCs w:val="24"/>
          <w:lang w:val="en-GB"/>
        </w:rPr>
        <w:tab/>
      </w:r>
      <w:r w:rsidR="004F5764" w:rsidRPr="00D87EDD">
        <w:rPr>
          <w:rFonts w:ascii="Arial" w:hAnsi="Arial" w:cs="Arial"/>
          <w:sz w:val="24"/>
          <w:szCs w:val="24"/>
          <w:lang w:val="en-GB"/>
        </w:rPr>
        <w:t xml:space="preserve">On the best case scenario for the applicants I have to consider the argument by the first Respondent.  </w:t>
      </w:r>
      <w:r w:rsidR="0099309E" w:rsidRPr="00D87EDD">
        <w:rPr>
          <w:rFonts w:ascii="Arial" w:hAnsi="Arial" w:cs="Arial"/>
          <w:sz w:val="24"/>
          <w:szCs w:val="24"/>
          <w:lang w:val="en-GB"/>
        </w:rPr>
        <w:t xml:space="preserve">The argument is as follows:  on 31 January 2013 the second Applicant lodged a claim against the first Respondent for reimbursement of the sum of R1 126 401.27 being the funds that was allegedly deposited into the trust account of  Snijman and Smullen Attorneys.  </w:t>
      </w:r>
      <w:r w:rsidR="00415F2D" w:rsidRPr="00D87EDD">
        <w:rPr>
          <w:rFonts w:ascii="Arial" w:hAnsi="Arial" w:cs="Arial"/>
          <w:sz w:val="24"/>
          <w:szCs w:val="24"/>
          <w:lang w:val="en-GB"/>
        </w:rPr>
        <w:t xml:space="preserve">According to the first Respondent, the debt was therefore owing and already payable or immediately claimable or immediately </w:t>
      </w:r>
      <w:r w:rsidR="00465BE1" w:rsidRPr="00D87EDD">
        <w:rPr>
          <w:rFonts w:ascii="Arial" w:hAnsi="Arial" w:cs="Arial"/>
          <w:sz w:val="24"/>
          <w:szCs w:val="24"/>
          <w:lang w:val="en-GB"/>
        </w:rPr>
        <w:t>eligible</w:t>
      </w:r>
      <w:r w:rsidR="00415F2D" w:rsidRPr="00D87EDD">
        <w:rPr>
          <w:rFonts w:ascii="Arial" w:hAnsi="Arial" w:cs="Arial"/>
          <w:sz w:val="24"/>
          <w:szCs w:val="24"/>
          <w:lang w:val="en-GB"/>
        </w:rPr>
        <w:t xml:space="preserve"> the will of the Applicants on 31 January 2013.  The claim of the first Applicant was repudiated on 8 February 2013 on the basis that the claim was excluded by virtue of the provisions of section 47 (1) (g) of the Attorneys  Act.  </w:t>
      </w:r>
      <w:r w:rsidR="008F7959" w:rsidRPr="00D87EDD">
        <w:rPr>
          <w:rFonts w:ascii="Arial" w:hAnsi="Arial" w:cs="Arial"/>
          <w:sz w:val="24"/>
          <w:szCs w:val="24"/>
          <w:lang w:val="en-GB"/>
        </w:rPr>
        <w:t xml:space="preserve">The claim by the first and second Applicant was only instituted on 10 March 2021.  There is therefore a lapse of 7 years.  The argument by the first Respondent is that the three-year period of prescription applies in respect of any debt, save where an Act of Parliament provides otherwise.  </w:t>
      </w:r>
      <w:r w:rsidR="00F4434E" w:rsidRPr="00D87EDD">
        <w:rPr>
          <w:rFonts w:ascii="Arial" w:hAnsi="Arial" w:cs="Arial"/>
          <w:sz w:val="24"/>
          <w:szCs w:val="24"/>
          <w:lang w:val="en-GB"/>
        </w:rPr>
        <w:t xml:space="preserve">It is further argued that prescription has never been interrupted.  </w:t>
      </w:r>
    </w:p>
    <w:p w14:paraId="7B862519" w14:textId="77777777" w:rsidR="00F4434E" w:rsidRPr="0081243C" w:rsidRDefault="00F4434E" w:rsidP="00F4434E">
      <w:pPr>
        <w:pStyle w:val="ListParagraph"/>
        <w:rPr>
          <w:rFonts w:ascii="Arial" w:hAnsi="Arial" w:cs="Arial"/>
          <w:sz w:val="24"/>
          <w:szCs w:val="24"/>
          <w:lang w:val="en-GB"/>
        </w:rPr>
      </w:pPr>
    </w:p>
    <w:p w14:paraId="6FFDED51" w14:textId="763E8F44" w:rsidR="00F4434E"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86.</w:t>
      </w:r>
      <w:r w:rsidRPr="0081243C">
        <w:rPr>
          <w:rFonts w:ascii="Arial" w:hAnsi="Arial" w:cs="Arial"/>
          <w:sz w:val="24"/>
          <w:szCs w:val="24"/>
          <w:lang w:val="en-GB"/>
        </w:rPr>
        <w:tab/>
      </w:r>
      <w:r w:rsidR="00F4434E" w:rsidRPr="00D87EDD">
        <w:rPr>
          <w:rFonts w:ascii="Arial" w:hAnsi="Arial" w:cs="Arial"/>
          <w:sz w:val="24"/>
          <w:szCs w:val="24"/>
          <w:lang w:val="en-GB"/>
        </w:rPr>
        <w:t xml:space="preserve">I cannot fault the argument of the first Respondent.  </w:t>
      </w:r>
      <w:r w:rsidR="00311D2E" w:rsidRPr="00D87EDD">
        <w:rPr>
          <w:rFonts w:ascii="Arial" w:hAnsi="Arial" w:cs="Arial"/>
          <w:sz w:val="24"/>
          <w:szCs w:val="24"/>
          <w:lang w:val="en-GB"/>
        </w:rPr>
        <w:t xml:space="preserve">There is sufficient evidence before me to proof that the claim has prescribed.  </w:t>
      </w:r>
    </w:p>
    <w:p w14:paraId="42EDADCC" w14:textId="77777777" w:rsidR="00F4434E" w:rsidRPr="0081243C" w:rsidRDefault="00F4434E" w:rsidP="00F4434E">
      <w:pPr>
        <w:pStyle w:val="ListParagraph"/>
        <w:rPr>
          <w:rFonts w:ascii="Arial" w:hAnsi="Arial" w:cs="Arial"/>
          <w:sz w:val="24"/>
          <w:szCs w:val="24"/>
          <w:lang w:val="en-GB"/>
        </w:rPr>
      </w:pPr>
    </w:p>
    <w:p w14:paraId="3DD22BF8" w14:textId="1359A390" w:rsidR="00F4434E"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87.</w:t>
      </w:r>
      <w:r w:rsidRPr="0081243C">
        <w:rPr>
          <w:rFonts w:ascii="Arial" w:hAnsi="Arial" w:cs="Arial"/>
          <w:sz w:val="24"/>
          <w:szCs w:val="24"/>
          <w:lang w:val="en-GB"/>
        </w:rPr>
        <w:tab/>
      </w:r>
      <w:r w:rsidR="00F4434E" w:rsidRPr="00D87EDD">
        <w:rPr>
          <w:rFonts w:ascii="Arial" w:hAnsi="Arial" w:cs="Arial"/>
          <w:sz w:val="24"/>
          <w:szCs w:val="24"/>
          <w:lang w:val="en-GB"/>
        </w:rPr>
        <w:t xml:space="preserve">Based on this argument alone, the matter should end here as the claim has prescribed.  </w:t>
      </w:r>
      <w:r w:rsidR="00DD64F3" w:rsidRPr="00D87EDD">
        <w:rPr>
          <w:rFonts w:ascii="Arial" w:hAnsi="Arial" w:cs="Arial"/>
          <w:sz w:val="24"/>
          <w:szCs w:val="24"/>
          <w:lang w:val="en-GB"/>
        </w:rPr>
        <w:t xml:space="preserve">The application, based on this argument alone, stands to be dismissed with costs.  </w:t>
      </w:r>
    </w:p>
    <w:p w14:paraId="77092544" w14:textId="77777777" w:rsidR="00722320" w:rsidRPr="0081243C" w:rsidRDefault="00722320" w:rsidP="005E0FB1">
      <w:pPr>
        <w:spacing w:line="480" w:lineRule="auto"/>
        <w:jc w:val="both"/>
        <w:rPr>
          <w:rFonts w:ascii="Arial" w:hAnsi="Arial" w:cs="Arial"/>
          <w:sz w:val="24"/>
          <w:szCs w:val="24"/>
          <w:lang w:val="en-GB"/>
        </w:rPr>
      </w:pPr>
    </w:p>
    <w:p w14:paraId="6545C8D6" w14:textId="521717A1" w:rsidR="009B260B" w:rsidRPr="0081243C" w:rsidRDefault="009B260B" w:rsidP="009B260B">
      <w:pPr>
        <w:spacing w:line="480" w:lineRule="auto"/>
        <w:jc w:val="both"/>
        <w:rPr>
          <w:rFonts w:ascii="Arial" w:hAnsi="Arial" w:cs="Arial"/>
          <w:sz w:val="24"/>
          <w:szCs w:val="24"/>
          <w:u w:val="single"/>
          <w:lang w:val="en-GB"/>
        </w:rPr>
      </w:pPr>
      <w:r w:rsidRPr="0081243C">
        <w:rPr>
          <w:rFonts w:ascii="Arial" w:hAnsi="Arial" w:cs="Arial"/>
          <w:b/>
          <w:bCs/>
          <w:sz w:val="24"/>
          <w:szCs w:val="24"/>
          <w:u w:val="single"/>
          <w:lang w:val="en-GB"/>
        </w:rPr>
        <w:t xml:space="preserve">WAS MONIES </w:t>
      </w:r>
      <w:r w:rsidR="00FC2BF7" w:rsidRPr="0081243C">
        <w:rPr>
          <w:rFonts w:ascii="Arial" w:hAnsi="Arial" w:cs="Arial"/>
          <w:b/>
          <w:bCs/>
          <w:sz w:val="24"/>
          <w:szCs w:val="24"/>
          <w:u w:val="single"/>
          <w:lang w:val="en-GB"/>
        </w:rPr>
        <w:t xml:space="preserve">ENTRUSTED </w:t>
      </w:r>
      <w:r w:rsidRPr="0081243C">
        <w:rPr>
          <w:rFonts w:ascii="Arial" w:hAnsi="Arial" w:cs="Arial"/>
          <w:b/>
          <w:bCs/>
          <w:sz w:val="24"/>
          <w:szCs w:val="24"/>
          <w:u w:val="single"/>
          <w:lang w:val="en-GB"/>
        </w:rPr>
        <w:t>TO SN</w:t>
      </w:r>
      <w:r w:rsidR="00465BE1" w:rsidRPr="0081243C">
        <w:rPr>
          <w:rFonts w:ascii="Arial" w:hAnsi="Arial" w:cs="Arial"/>
          <w:b/>
          <w:bCs/>
          <w:sz w:val="24"/>
          <w:szCs w:val="24"/>
          <w:u w:val="single"/>
          <w:lang w:val="en-GB"/>
        </w:rPr>
        <w:t>IJMAN &amp; SMULLEN</w:t>
      </w:r>
      <w:r w:rsidRPr="0081243C">
        <w:rPr>
          <w:rFonts w:ascii="Arial" w:hAnsi="Arial" w:cs="Arial"/>
          <w:b/>
          <w:bCs/>
          <w:sz w:val="24"/>
          <w:szCs w:val="24"/>
          <w:u w:val="single"/>
          <w:lang w:val="en-GB"/>
        </w:rPr>
        <w:t>_ATTORNEYS AS CONTEMPLATED IN THE ATTORNEYS ACT</w:t>
      </w:r>
    </w:p>
    <w:p w14:paraId="4136ACAF" w14:textId="77777777" w:rsidR="009B260B" w:rsidRPr="0081243C" w:rsidRDefault="009B260B" w:rsidP="009B260B">
      <w:pPr>
        <w:spacing w:line="480" w:lineRule="auto"/>
        <w:jc w:val="both"/>
        <w:rPr>
          <w:rFonts w:ascii="Arial" w:hAnsi="Arial" w:cs="Arial"/>
          <w:sz w:val="24"/>
          <w:szCs w:val="24"/>
          <w:lang w:val="en-GB"/>
        </w:rPr>
      </w:pPr>
    </w:p>
    <w:p w14:paraId="4508CD3B" w14:textId="19490D84" w:rsidR="00465BE1"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88.</w:t>
      </w:r>
      <w:r w:rsidRPr="0081243C">
        <w:rPr>
          <w:rFonts w:ascii="Arial" w:hAnsi="Arial" w:cs="Arial"/>
          <w:sz w:val="24"/>
          <w:szCs w:val="24"/>
          <w:lang w:val="en-GB"/>
        </w:rPr>
        <w:tab/>
      </w:r>
      <w:r w:rsidR="00465BE1" w:rsidRPr="00D87EDD">
        <w:rPr>
          <w:rFonts w:ascii="Arial" w:hAnsi="Arial" w:cs="Arial"/>
          <w:sz w:val="24"/>
          <w:szCs w:val="24"/>
          <w:lang w:val="en-GB"/>
        </w:rPr>
        <w:t>Even though it is not necessary in light of the fact that the application should fail on the point already dealt with above, I will not proceed and deal with the merits of the application.</w:t>
      </w:r>
    </w:p>
    <w:p w14:paraId="370D53E0" w14:textId="77777777" w:rsidR="00465BE1" w:rsidRPr="0081243C" w:rsidRDefault="00465BE1" w:rsidP="00465BE1">
      <w:pPr>
        <w:pStyle w:val="ListParagraph"/>
        <w:spacing w:line="480" w:lineRule="auto"/>
        <w:jc w:val="both"/>
        <w:rPr>
          <w:rFonts w:ascii="Arial" w:hAnsi="Arial" w:cs="Arial"/>
          <w:sz w:val="24"/>
          <w:szCs w:val="24"/>
          <w:lang w:val="en-GB"/>
        </w:rPr>
      </w:pPr>
    </w:p>
    <w:p w14:paraId="3C7D5939" w14:textId="02DC190C" w:rsidR="009B260B"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89.</w:t>
      </w:r>
      <w:r w:rsidRPr="0081243C">
        <w:rPr>
          <w:rFonts w:ascii="Arial" w:hAnsi="Arial" w:cs="Arial"/>
          <w:sz w:val="24"/>
          <w:szCs w:val="24"/>
          <w:lang w:val="en-GB"/>
        </w:rPr>
        <w:tab/>
      </w:r>
      <w:r w:rsidR="009B260B" w:rsidRPr="00D87EDD">
        <w:rPr>
          <w:rFonts w:ascii="Arial" w:hAnsi="Arial" w:cs="Arial"/>
          <w:sz w:val="24"/>
          <w:szCs w:val="24"/>
          <w:lang w:val="en-GB"/>
        </w:rPr>
        <w:t xml:space="preserve">Before I deal with the claims against the respective respondents, a good starting point will be to determine of any proof was place before me indicating that money was indeed entrusted to the attorneys.  In my view, and especially in light of the fact that it is not common cause that monies were paid into the trust account of the attorney, it is important to first determine if money was entrusted to </w:t>
      </w:r>
      <w:r w:rsidR="008148D5" w:rsidRPr="00D87EDD">
        <w:rPr>
          <w:rFonts w:ascii="Arial" w:hAnsi="Arial" w:cs="Arial"/>
          <w:sz w:val="24"/>
          <w:szCs w:val="24"/>
          <w:lang w:val="en-GB"/>
        </w:rPr>
        <w:t xml:space="preserve">Snijman and Smullen </w:t>
      </w:r>
      <w:r w:rsidR="009B260B" w:rsidRPr="00D87EDD">
        <w:rPr>
          <w:rFonts w:ascii="Arial" w:hAnsi="Arial" w:cs="Arial"/>
          <w:sz w:val="24"/>
          <w:szCs w:val="24"/>
          <w:lang w:val="en-GB"/>
        </w:rPr>
        <w:t>Attorneys as contemplated in section 26 (a) of the Attorneys Act.</w:t>
      </w:r>
    </w:p>
    <w:p w14:paraId="28CBA3BD" w14:textId="77777777" w:rsidR="00C959B2" w:rsidRPr="0081243C" w:rsidRDefault="00C959B2" w:rsidP="00C959B2">
      <w:pPr>
        <w:pStyle w:val="ListParagraph"/>
        <w:spacing w:line="480" w:lineRule="auto"/>
        <w:jc w:val="both"/>
        <w:rPr>
          <w:rFonts w:ascii="Arial" w:hAnsi="Arial" w:cs="Arial"/>
          <w:sz w:val="24"/>
          <w:szCs w:val="24"/>
          <w:lang w:val="en-GB"/>
        </w:rPr>
      </w:pPr>
    </w:p>
    <w:p w14:paraId="16B50911" w14:textId="7C4F3E47" w:rsidR="009B260B"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90.</w:t>
      </w:r>
      <w:r w:rsidRPr="0081243C">
        <w:rPr>
          <w:rFonts w:ascii="Arial" w:hAnsi="Arial" w:cs="Arial"/>
          <w:sz w:val="24"/>
          <w:szCs w:val="24"/>
          <w:lang w:val="en-GB"/>
        </w:rPr>
        <w:tab/>
      </w:r>
      <w:r w:rsidR="00C959B2" w:rsidRPr="00D87EDD">
        <w:rPr>
          <w:rFonts w:ascii="Arial" w:hAnsi="Arial" w:cs="Arial"/>
          <w:sz w:val="24"/>
          <w:szCs w:val="24"/>
          <w:lang w:val="en-GB"/>
        </w:rPr>
        <w:t>It is trite that where money is paid into the trust account of an attorney</w:t>
      </w:r>
      <w:r w:rsidR="004C76E3" w:rsidRPr="00D87EDD">
        <w:rPr>
          <w:rFonts w:ascii="Arial" w:hAnsi="Arial" w:cs="Arial"/>
          <w:sz w:val="24"/>
          <w:szCs w:val="24"/>
          <w:lang w:val="en-GB"/>
        </w:rPr>
        <w:t xml:space="preserve">, it does not follow that such money is in fact trust money.  The Supreme Court of Appeal </w:t>
      </w:r>
      <w:r w:rsidR="004C76E3" w:rsidRPr="00D87EDD">
        <w:rPr>
          <w:rFonts w:ascii="Arial" w:hAnsi="Arial" w:cs="Arial"/>
          <w:sz w:val="24"/>
          <w:szCs w:val="24"/>
          <w:lang w:val="en-GB"/>
        </w:rPr>
        <w:lastRenderedPageBreak/>
        <w:t xml:space="preserve">in </w:t>
      </w:r>
      <w:r w:rsidR="004C76E3" w:rsidRPr="00D87EDD">
        <w:rPr>
          <w:rFonts w:ascii="Arial" w:hAnsi="Arial" w:cs="Arial"/>
          <w:b/>
          <w:bCs/>
          <w:i/>
          <w:iCs/>
          <w:sz w:val="24"/>
          <w:szCs w:val="24"/>
          <w:lang w:val="en-GB"/>
        </w:rPr>
        <w:t>Industrial &amp; Commercial Factors</w:t>
      </w:r>
      <w:r w:rsidR="00503E19" w:rsidRPr="00D87EDD">
        <w:rPr>
          <w:rFonts w:ascii="Arial" w:hAnsi="Arial" w:cs="Arial"/>
          <w:b/>
          <w:bCs/>
          <w:i/>
          <w:iCs/>
          <w:sz w:val="24"/>
          <w:szCs w:val="24"/>
          <w:lang w:val="en-GB"/>
        </w:rPr>
        <w:t xml:space="preserve"> v Attorney Fidelity Fund</w:t>
      </w:r>
      <w:r w:rsidR="004C76E3" w:rsidRPr="00D87EDD">
        <w:rPr>
          <w:rFonts w:ascii="Arial" w:hAnsi="Arial" w:cs="Arial"/>
          <w:sz w:val="24"/>
          <w:szCs w:val="24"/>
          <w:lang w:val="en-GB"/>
        </w:rPr>
        <w:t xml:space="preserve"> </w:t>
      </w:r>
      <w:r w:rsidR="004C76E3" w:rsidRPr="0081243C">
        <w:rPr>
          <w:rStyle w:val="EndnoteReference"/>
          <w:rFonts w:ascii="Arial" w:hAnsi="Arial" w:cs="Arial"/>
          <w:sz w:val="24"/>
          <w:szCs w:val="24"/>
          <w:lang w:val="en-GB"/>
        </w:rPr>
        <w:endnoteReference w:id="15"/>
      </w:r>
      <w:r w:rsidR="00503E19" w:rsidRPr="00D87EDD">
        <w:rPr>
          <w:rFonts w:ascii="Arial" w:hAnsi="Arial" w:cs="Arial"/>
          <w:sz w:val="24"/>
          <w:szCs w:val="24"/>
          <w:lang w:val="en-GB"/>
        </w:rPr>
        <w:t xml:space="preserve"> </w:t>
      </w:r>
      <w:r w:rsidR="00DF50B6" w:rsidRPr="00D87EDD">
        <w:rPr>
          <w:rFonts w:ascii="Arial" w:hAnsi="Arial" w:cs="Arial"/>
          <w:sz w:val="24"/>
          <w:szCs w:val="24"/>
          <w:lang w:val="en-GB"/>
        </w:rPr>
        <w:t>dealing similarly with the question of entrustment, remarked as follows:</w:t>
      </w:r>
    </w:p>
    <w:p w14:paraId="76D2E96E" w14:textId="77777777" w:rsidR="00DF50B6" w:rsidRPr="0081243C" w:rsidRDefault="00DF50B6" w:rsidP="00DF50B6">
      <w:pPr>
        <w:pStyle w:val="ListParagraph"/>
        <w:rPr>
          <w:rFonts w:ascii="Arial" w:hAnsi="Arial" w:cs="Arial"/>
          <w:sz w:val="24"/>
          <w:szCs w:val="24"/>
          <w:lang w:val="en-GB"/>
        </w:rPr>
      </w:pPr>
    </w:p>
    <w:p w14:paraId="7DB07DB1" w14:textId="5F426B2A" w:rsidR="00DF50B6" w:rsidRPr="0081243C" w:rsidRDefault="00DF50B6" w:rsidP="00DF50B6">
      <w:pPr>
        <w:pStyle w:val="ListParagraph"/>
        <w:spacing w:line="480" w:lineRule="auto"/>
        <w:jc w:val="both"/>
        <w:rPr>
          <w:rFonts w:ascii="Arial" w:hAnsi="Arial" w:cs="Arial"/>
          <w:sz w:val="24"/>
          <w:szCs w:val="24"/>
          <w:lang w:val="en-GB"/>
        </w:rPr>
      </w:pPr>
      <w:r w:rsidRPr="0081243C">
        <w:rPr>
          <w:rFonts w:ascii="Arial" w:hAnsi="Arial" w:cs="Arial"/>
          <w:sz w:val="24"/>
          <w:szCs w:val="24"/>
          <w:lang w:val="en-GB"/>
        </w:rPr>
        <w:t>“</w:t>
      </w:r>
      <w:r w:rsidRPr="0081243C">
        <w:rPr>
          <w:rFonts w:ascii="Arial" w:hAnsi="Arial" w:cs="Arial"/>
          <w:i/>
          <w:iCs/>
          <w:sz w:val="24"/>
          <w:szCs w:val="24"/>
          <w:lang w:val="en-GB"/>
        </w:rPr>
        <w:t>When an attorney misappropriates money in his trust account, more often than not he is stealing money which he had received to hold for or on behalf of clients.  It would be starling indeed if no liability on the part of the fidelity fund arose in such circumstances.  Yet such liability can arise only if it can be found that the money stolen was entrusted by or on behalf of the client.</w:t>
      </w:r>
      <w:r w:rsidRPr="0081243C">
        <w:rPr>
          <w:rFonts w:ascii="Arial" w:hAnsi="Arial" w:cs="Arial"/>
          <w:sz w:val="24"/>
          <w:szCs w:val="24"/>
          <w:lang w:val="en-GB"/>
        </w:rPr>
        <w:t>”</w:t>
      </w:r>
    </w:p>
    <w:p w14:paraId="108B99D8" w14:textId="77777777" w:rsidR="009B260B" w:rsidRPr="0081243C" w:rsidRDefault="009B260B" w:rsidP="009B260B">
      <w:pPr>
        <w:pStyle w:val="ListParagraph"/>
        <w:spacing w:line="480" w:lineRule="auto"/>
        <w:jc w:val="both"/>
        <w:rPr>
          <w:rFonts w:ascii="Arial" w:hAnsi="Arial" w:cs="Arial"/>
          <w:sz w:val="24"/>
          <w:szCs w:val="24"/>
          <w:lang w:val="en-GB"/>
        </w:rPr>
      </w:pPr>
    </w:p>
    <w:p w14:paraId="2A72E573" w14:textId="29CDB941" w:rsidR="00541B7C"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91.</w:t>
      </w:r>
      <w:r w:rsidRPr="0081243C">
        <w:rPr>
          <w:rFonts w:ascii="Arial" w:hAnsi="Arial" w:cs="Arial"/>
          <w:sz w:val="24"/>
          <w:szCs w:val="24"/>
          <w:lang w:val="en-GB"/>
        </w:rPr>
        <w:tab/>
      </w:r>
      <w:r w:rsidR="00541B7C" w:rsidRPr="00D87EDD">
        <w:rPr>
          <w:rFonts w:ascii="Arial" w:hAnsi="Arial" w:cs="Arial"/>
          <w:sz w:val="24"/>
          <w:szCs w:val="24"/>
          <w:lang w:val="en-GB"/>
        </w:rPr>
        <w:t xml:space="preserve">It is trite that the test to prove entrustment comprises two elements, namely </w:t>
      </w:r>
      <w:r w:rsidR="00334B97" w:rsidRPr="00D87EDD">
        <w:rPr>
          <w:rFonts w:ascii="Arial" w:hAnsi="Arial" w:cs="Arial"/>
          <w:sz w:val="24"/>
          <w:szCs w:val="24"/>
          <w:lang w:val="en-GB"/>
        </w:rPr>
        <w:t xml:space="preserve">(a) </w:t>
      </w:r>
      <w:r w:rsidR="00541B7C" w:rsidRPr="00D87EDD">
        <w:rPr>
          <w:rFonts w:ascii="Arial" w:hAnsi="Arial" w:cs="Arial"/>
          <w:sz w:val="24"/>
          <w:szCs w:val="24"/>
          <w:lang w:val="en-GB"/>
        </w:rPr>
        <w:t>place in possession of something, (b) subject to a trust.  As to the latter element, that of trust, this connotes that the person entrusted is bound to deal with the property</w:t>
      </w:r>
      <w:r w:rsidR="00246DE9" w:rsidRPr="00D87EDD">
        <w:rPr>
          <w:rFonts w:ascii="Arial" w:hAnsi="Arial" w:cs="Arial"/>
          <w:sz w:val="24"/>
          <w:szCs w:val="24"/>
          <w:lang w:val="en-GB"/>
        </w:rPr>
        <w:t xml:space="preserve"> or money concerned for the benefit of others.  </w:t>
      </w:r>
      <w:r w:rsidR="00246DE9" w:rsidRPr="0081243C">
        <w:rPr>
          <w:rStyle w:val="EndnoteReference"/>
          <w:rFonts w:ascii="Arial" w:hAnsi="Arial" w:cs="Arial"/>
          <w:sz w:val="24"/>
          <w:szCs w:val="24"/>
          <w:lang w:val="en-GB"/>
        </w:rPr>
        <w:endnoteReference w:id="16"/>
      </w:r>
    </w:p>
    <w:p w14:paraId="023CB6CB" w14:textId="77777777" w:rsidR="00180483" w:rsidRPr="0081243C" w:rsidRDefault="00180483" w:rsidP="00180483">
      <w:pPr>
        <w:pStyle w:val="ListParagraph"/>
        <w:spacing w:line="480" w:lineRule="auto"/>
        <w:jc w:val="both"/>
        <w:rPr>
          <w:rFonts w:ascii="Arial" w:hAnsi="Arial" w:cs="Arial"/>
          <w:sz w:val="24"/>
          <w:szCs w:val="24"/>
          <w:lang w:val="en-GB"/>
        </w:rPr>
      </w:pPr>
    </w:p>
    <w:p w14:paraId="082320F5" w14:textId="7CBBCAF0" w:rsidR="00180483"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92.</w:t>
      </w:r>
      <w:r w:rsidRPr="0081243C">
        <w:rPr>
          <w:rFonts w:ascii="Arial" w:hAnsi="Arial" w:cs="Arial"/>
          <w:sz w:val="24"/>
          <w:szCs w:val="24"/>
          <w:lang w:val="en-GB"/>
        </w:rPr>
        <w:tab/>
      </w:r>
      <w:r w:rsidR="00180483" w:rsidRPr="00D87EDD">
        <w:rPr>
          <w:rFonts w:ascii="Arial" w:hAnsi="Arial" w:cs="Arial"/>
          <w:sz w:val="24"/>
          <w:szCs w:val="24"/>
          <w:lang w:val="en-GB"/>
        </w:rPr>
        <w:t>I will now turn and consider the evidence that was placed before me.</w:t>
      </w:r>
    </w:p>
    <w:p w14:paraId="5269C328" w14:textId="77777777" w:rsidR="00541B7C" w:rsidRPr="0081243C" w:rsidRDefault="00541B7C" w:rsidP="00541B7C">
      <w:pPr>
        <w:pStyle w:val="ListParagraph"/>
        <w:spacing w:line="480" w:lineRule="auto"/>
        <w:jc w:val="both"/>
        <w:rPr>
          <w:rFonts w:ascii="Arial" w:hAnsi="Arial" w:cs="Arial"/>
          <w:sz w:val="24"/>
          <w:szCs w:val="24"/>
          <w:lang w:val="en-GB"/>
        </w:rPr>
      </w:pPr>
    </w:p>
    <w:p w14:paraId="698B8179" w14:textId="47FD4620" w:rsidR="009B260B"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93.</w:t>
      </w:r>
      <w:r w:rsidRPr="0081243C">
        <w:rPr>
          <w:rFonts w:ascii="Arial" w:hAnsi="Arial" w:cs="Arial"/>
          <w:sz w:val="24"/>
          <w:szCs w:val="24"/>
          <w:lang w:val="en-GB"/>
        </w:rPr>
        <w:tab/>
      </w:r>
      <w:r w:rsidR="009B260B" w:rsidRPr="00D87EDD">
        <w:rPr>
          <w:rFonts w:ascii="Arial" w:hAnsi="Arial" w:cs="Arial"/>
          <w:sz w:val="24"/>
          <w:szCs w:val="24"/>
          <w:lang w:val="en-GB"/>
        </w:rPr>
        <w:t xml:space="preserve">If I for a moment accept that the first and second Applicants proved that they have the necessary </w:t>
      </w:r>
      <w:r w:rsidR="009B260B" w:rsidRPr="00D87EDD">
        <w:rPr>
          <w:rFonts w:ascii="Arial" w:hAnsi="Arial" w:cs="Arial"/>
          <w:i/>
          <w:iCs/>
          <w:sz w:val="24"/>
          <w:szCs w:val="24"/>
          <w:lang w:val="en-GB"/>
        </w:rPr>
        <w:t>locus standi</w:t>
      </w:r>
      <w:r w:rsidR="009B260B" w:rsidRPr="00D87EDD">
        <w:rPr>
          <w:rFonts w:ascii="Arial" w:hAnsi="Arial" w:cs="Arial"/>
          <w:sz w:val="24"/>
          <w:szCs w:val="24"/>
          <w:lang w:val="en-GB"/>
        </w:rPr>
        <w:t xml:space="preserve"> and if I for a moment accept that the claim has nor prescribed, the question arises whether the Applicants achieved to place sufficient facts before me in order to </w:t>
      </w:r>
      <w:r w:rsidR="00F00FC7" w:rsidRPr="00D87EDD">
        <w:rPr>
          <w:rFonts w:ascii="Arial" w:hAnsi="Arial" w:cs="Arial"/>
          <w:sz w:val="24"/>
          <w:szCs w:val="24"/>
          <w:lang w:val="en-GB"/>
        </w:rPr>
        <w:t>prove</w:t>
      </w:r>
      <w:r w:rsidR="009B260B" w:rsidRPr="00D87EDD">
        <w:rPr>
          <w:rFonts w:ascii="Arial" w:hAnsi="Arial" w:cs="Arial"/>
          <w:sz w:val="24"/>
          <w:szCs w:val="24"/>
          <w:lang w:val="en-GB"/>
        </w:rPr>
        <w:t xml:space="preserve"> that the amount claimed by them was indeed paid into the trust account as alleged by them.  </w:t>
      </w:r>
      <w:r w:rsidR="00F00FC7" w:rsidRPr="00D87EDD">
        <w:rPr>
          <w:rFonts w:ascii="Arial" w:hAnsi="Arial" w:cs="Arial"/>
          <w:sz w:val="24"/>
          <w:szCs w:val="24"/>
          <w:lang w:val="en-GB"/>
        </w:rPr>
        <w:t xml:space="preserve">This is the first element that the Applicants need to prove.  This is the possession element.  </w:t>
      </w:r>
    </w:p>
    <w:p w14:paraId="27F2FF3C" w14:textId="77777777" w:rsidR="009B260B" w:rsidRPr="0081243C" w:rsidRDefault="009B260B" w:rsidP="009B260B">
      <w:pPr>
        <w:pStyle w:val="ListParagraph"/>
        <w:spacing w:line="480" w:lineRule="auto"/>
        <w:jc w:val="both"/>
        <w:rPr>
          <w:rFonts w:ascii="Arial" w:hAnsi="Arial" w:cs="Arial"/>
          <w:sz w:val="24"/>
          <w:szCs w:val="24"/>
          <w:lang w:val="en-GB"/>
        </w:rPr>
      </w:pPr>
    </w:p>
    <w:p w14:paraId="30367970" w14:textId="36069FE3" w:rsidR="009B260B"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94.</w:t>
      </w:r>
      <w:r w:rsidRPr="0081243C">
        <w:rPr>
          <w:rFonts w:ascii="Arial" w:hAnsi="Arial" w:cs="Arial"/>
          <w:sz w:val="24"/>
          <w:szCs w:val="24"/>
          <w:lang w:val="en-GB"/>
        </w:rPr>
        <w:tab/>
      </w:r>
      <w:r w:rsidR="009B260B" w:rsidRPr="00D87EDD">
        <w:rPr>
          <w:rFonts w:ascii="Arial" w:hAnsi="Arial" w:cs="Arial"/>
          <w:sz w:val="24"/>
          <w:szCs w:val="24"/>
          <w:lang w:val="en-GB"/>
        </w:rPr>
        <w:t xml:space="preserve">I have already summarised the facts the Applicants approached this Court on herein above.  The question is whether these allegations are sufficient.  During argument I invited Adv </w:t>
      </w:r>
      <w:r w:rsidR="008148D5" w:rsidRPr="00D87EDD">
        <w:rPr>
          <w:rFonts w:ascii="Arial" w:hAnsi="Arial" w:cs="Arial"/>
          <w:sz w:val="24"/>
          <w:szCs w:val="24"/>
          <w:lang w:val="en-GB"/>
        </w:rPr>
        <w:t>Kwinda</w:t>
      </w:r>
      <w:r w:rsidR="009B260B" w:rsidRPr="00D87EDD">
        <w:rPr>
          <w:rFonts w:ascii="Arial" w:hAnsi="Arial" w:cs="Arial"/>
          <w:sz w:val="24"/>
          <w:szCs w:val="24"/>
          <w:lang w:val="en-GB"/>
        </w:rPr>
        <w:t xml:space="preserve"> who acted on behalf of the Applicants to clarify </w:t>
      </w:r>
      <w:r w:rsidR="009B260B" w:rsidRPr="00D87EDD">
        <w:rPr>
          <w:rFonts w:ascii="Arial" w:hAnsi="Arial" w:cs="Arial"/>
          <w:sz w:val="24"/>
          <w:szCs w:val="24"/>
          <w:lang w:val="en-GB"/>
        </w:rPr>
        <w:lastRenderedPageBreak/>
        <w:t xml:space="preserve">certain issues.  He was unable to do so.  And </w:t>
      </w:r>
      <w:r w:rsidR="00FC2B5D" w:rsidRPr="00D87EDD">
        <w:rPr>
          <w:rFonts w:ascii="Arial" w:hAnsi="Arial" w:cs="Arial"/>
          <w:sz w:val="24"/>
          <w:szCs w:val="24"/>
          <w:lang w:val="en-GB"/>
        </w:rPr>
        <w:t>at</w:t>
      </w:r>
      <w:r w:rsidR="009B260B" w:rsidRPr="00D87EDD">
        <w:rPr>
          <w:rFonts w:ascii="Arial" w:hAnsi="Arial" w:cs="Arial"/>
          <w:sz w:val="24"/>
          <w:szCs w:val="24"/>
          <w:lang w:val="en-GB"/>
        </w:rPr>
        <w:t xml:space="preserve"> this point I need to pause and state that the most basic principles of the law of evidence are not met.  </w:t>
      </w:r>
    </w:p>
    <w:p w14:paraId="34DD92F5" w14:textId="77777777" w:rsidR="009B260B" w:rsidRPr="0081243C" w:rsidRDefault="009B260B" w:rsidP="009B260B">
      <w:pPr>
        <w:pStyle w:val="ListParagraph"/>
        <w:rPr>
          <w:rFonts w:ascii="Arial" w:hAnsi="Arial" w:cs="Arial"/>
          <w:sz w:val="24"/>
          <w:szCs w:val="24"/>
          <w:lang w:val="en-GB"/>
        </w:rPr>
      </w:pPr>
    </w:p>
    <w:p w14:paraId="335B8F9B" w14:textId="7836E58E" w:rsidR="009B260B"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95.</w:t>
      </w:r>
      <w:r w:rsidRPr="0081243C">
        <w:rPr>
          <w:rFonts w:ascii="Arial" w:hAnsi="Arial" w:cs="Arial"/>
          <w:sz w:val="24"/>
          <w:szCs w:val="24"/>
          <w:lang w:val="en-GB"/>
        </w:rPr>
        <w:tab/>
      </w:r>
      <w:r w:rsidR="009B260B" w:rsidRPr="00D87EDD">
        <w:rPr>
          <w:rFonts w:ascii="Arial" w:hAnsi="Arial" w:cs="Arial"/>
          <w:sz w:val="24"/>
          <w:szCs w:val="24"/>
          <w:lang w:val="en-GB"/>
        </w:rPr>
        <w:t>On the careful consideration of the allegations made by the Applicants in their founding affidavit, the following aspects regarding the payments are troublesome and left without any explanation:</w:t>
      </w:r>
    </w:p>
    <w:p w14:paraId="5AA0F58A" w14:textId="77777777" w:rsidR="009B260B" w:rsidRPr="0081243C" w:rsidRDefault="009B260B" w:rsidP="009B260B">
      <w:pPr>
        <w:pStyle w:val="ListParagraph"/>
        <w:rPr>
          <w:rFonts w:ascii="Arial" w:hAnsi="Arial" w:cs="Arial"/>
          <w:sz w:val="24"/>
          <w:szCs w:val="24"/>
          <w:lang w:val="en-GB"/>
        </w:rPr>
      </w:pPr>
    </w:p>
    <w:p w14:paraId="6BF88CDE" w14:textId="3F58A895" w:rsidR="009B260B"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95.1</w:t>
      </w:r>
      <w:r w:rsidRPr="0081243C">
        <w:rPr>
          <w:rFonts w:ascii="Arial" w:hAnsi="Arial" w:cs="Arial"/>
          <w:sz w:val="24"/>
          <w:szCs w:val="24"/>
          <w:lang w:val="en-GB"/>
        </w:rPr>
        <w:tab/>
      </w:r>
      <w:r w:rsidR="009B260B" w:rsidRPr="00D87EDD">
        <w:rPr>
          <w:rFonts w:ascii="Arial" w:hAnsi="Arial" w:cs="Arial"/>
          <w:sz w:val="24"/>
          <w:szCs w:val="24"/>
          <w:lang w:val="en-GB"/>
        </w:rPr>
        <w:t xml:space="preserve">The Applicants alleged that three payments were made to be kept on an interest bearing account.  Firstly an amount of R1 000.00, secondly an amount of R500 000.00 and lastly an amount of R400 000.00.  </w:t>
      </w:r>
      <w:r w:rsidR="00FC2B5D" w:rsidRPr="00D87EDD">
        <w:rPr>
          <w:rFonts w:ascii="Arial" w:hAnsi="Arial" w:cs="Arial"/>
          <w:sz w:val="24"/>
          <w:szCs w:val="24"/>
          <w:lang w:val="en-GB"/>
        </w:rPr>
        <w:t>These amounts were paid on three separate dates.</w:t>
      </w:r>
    </w:p>
    <w:p w14:paraId="39410368" w14:textId="77777777" w:rsidR="009B260B" w:rsidRPr="0081243C" w:rsidRDefault="009B260B" w:rsidP="009B260B">
      <w:pPr>
        <w:pStyle w:val="ListParagraph"/>
        <w:spacing w:line="480" w:lineRule="auto"/>
        <w:ind w:left="1440"/>
        <w:jc w:val="both"/>
        <w:rPr>
          <w:rFonts w:ascii="Arial" w:hAnsi="Arial" w:cs="Arial"/>
          <w:sz w:val="24"/>
          <w:szCs w:val="24"/>
          <w:lang w:val="en-GB"/>
        </w:rPr>
      </w:pPr>
    </w:p>
    <w:p w14:paraId="0E2C6FD8" w14:textId="255EA3A2" w:rsidR="009B260B"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95.2</w:t>
      </w:r>
      <w:r w:rsidRPr="0081243C">
        <w:rPr>
          <w:rFonts w:ascii="Arial" w:hAnsi="Arial" w:cs="Arial"/>
          <w:sz w:val="24"/>
          <w:szCs w:val="24"/>
          <w:lang w:val="en-GB"/>
        </w:rPr>
        <w:tab/>
      </w:r>
      <w:r w:rsidR="009B260B" w:rsidRPr="00D87EDD">
        <w:rPr>
          <w:rFonts w:ascii="Arial" w:hAnsi="Arial" w:cs="Arial"/>
          <w:sz w:val="24"/>
          <w:szCs w:val="24"/>
          <w:lang w:val="en-GB"/>
        </w:rPr>
        <w:t xml:space="preserve">In the affidavit that was provided to the Law Society of the Northern Provinces </w:t>
      </w:r>
      <w:r w:rsidR="00D6335A" w:rsidRPr="00D87EDD">
        <w:rPr>
          <w:rFonts w:ascii="Arial" w:hAnsi="Arial" w:cs="Arial"/>
          <w:sz w:val="24"/>
          <w:szCs w:val="24"/>
          <w:lang w:val="en-GB"/>
        </w:rPr>
        <w:t>during</w:t>
      </w:r>
      <w:r w:rsidR="009B260B" w:rsidRPr="00D87EDD">
        <w:rPr>
          <w:rFonts w:ascii="Arial" w:hAnsi="Arial" w:cs="Arial"/>
          <w:sz w:val="24"/>
          <w:szCs w:val="24"/>
          <w:lang w:val="en-GB"/>
        </w:rPr>
        <w:t xml:space="preserve"> </w:t>
      </w:r>
      <w:r w:rsidR="00D6335A" w:rsidRPr="00D87EDD">
        <w:rPr>
          <w:rFonts w:ascii="Arial" w:hAnsi="Arial" w:cs="Arial"/>
          <w:sz w:val="24"/>
          <w:szCs w:val="24"/>
          <w:lang w:val="en-GB"/>
        </w:rPr>
        <w:t>February 2013</w:t>
      </w:r>
      <w:r w:rsidR="009B260B" w:rsidRPr="00D87EDD">
        <w:rPr>
          <w:rFonts w:ascii="Arial" w:hAnsi="Arial" w:cs="Arial"/>
          <w:sz w:val="24"/>
          <w:szCs w:val="24"/>
          <w:lang w:val="en-GB"/>
        </w:rPr>
        <w:t xml:space="preserve"> no mention was made of the R1 000.00.</w:t>
      </w:r>
      <w:r w:rsidR="00D6335A" w:rsidRPr="00D87EDD">
        <w:rPr>
          <w:rFonts w:ascii="Arial" w:hAnsi="Arial" w:cs="Arial"/>
          <w:sz w:val="24"/>
          <w:szCs w:val="24"/>
          <w:lang w:val="en-GB"/>
        </w:rPr>
        <w:t xml:space="preserve">  It may be a small amount, but the amount of R1 000.00 is taken into consideration by the Applicants in the amount claimed.  I cannot turn a blind eye to this discrepancy especially in light of the fact that the Applicants claimed the same amount during February 2013 than the amount that they are claiming in the proceedings before me.</w:t>
      </w:r>
      <w:r w:rsidR="009B260B" w:rsidRPr="00D87EDD">
        <w:rPr>
          <w:rFonts w:ascii="Arial" w:hAnsi="Arial" w:cs="Arial"/>
          <w:sz w:val="24"/>
          <w:szCs w:val="24"/>
          <w:lang w:val="en-GB"/>
        </w:rPr>
        <w:t xml:space="preserve">  This difference between the two versions were left unanswered in the founding affidavit;</w:t>
      </w:r>
    </w:p>
    <w:p w14:paraId="05410108" w14:textId="77777777" w:rsidR="007E352E" w:rsidRPr="0081243C" w:rsidRDefault="007E352E" w:rsidP="007E352E">
      <w:pPr>
        <w:pStyle w:val="ListParagraph"/>
        <w:rPr>
          <w:rFonts w:ascii="Arial" w:hAnsi="Arial" w:cs="Arial"/>
          <w:sz w:val="24"/>
          <w:szCs w:val="24"/>
          <w:lang w:val="en-GB"/>
        </w:rPr>
      </w:pPr>
    </w:p>
    <w:p w14:paraId="56513A93" w14:textId="64707DE7" w:rsidR="007E352E"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95.3</w:t>
      </w:r>
      <w:r w:rsidRPr="0081243C">
        <w:rPr>
          <w:rFonts w:ascii="Arial" w:hAnsi="Arial" w:cs="Arial"/>
          <w:sz w:val="24"/>
          <w:szCs w:val="24"/>
          <w:lang w:val="en-GB"/>
        </w:rPr>
        <w:tab/>
      </w:r>
      <w:r w:rsidR="007E352E" w:rsidRPr="00D87EDD">
        <w:rPr>
          <w:rFonts w:ascii="Arial" w:hAnsi="Arial" w:cs="Arial"/>
          <w:sz w:val="24"/>
          <w:szCs w:val="24"/>
          <w:lang w:val="en-GB"/>
        </w:rPr>
        <w:t xml:space="preserve">What is further striking is that on 14 January 2013 when the attorneys for the first Applicant enquired about the investment, reference was made to only R900 000.00 and not the amount that was claimed in the affidavit of February 2013.  </w:t>
      </w:r>
    </w:p>
    <w:p w14:paraId="59CB7ABF" w14:textId="77777777" w:rsidR="009B260B" w:rsidRPr="0081243C" w:rsidRDefault="009B260B" w:rsidP="009B260B">
      <w:pPr>
        <w:pStyle w:val="ListParagraph"/>
        <w:rPr>
          <w:rFonts w:ascii="Arial" w:hAnsi="Arial" w:cs="Arial"/>
          <w:sz w:val="24"/>
          <w:szCs w:val="24"/>
          <w:lang w:val="en-GB"/>
        </w:rPr>
      </w:pPr>
    </w:p>
    <w:p w14:paraId="6E30E3F3" w14:textId="45545EF5" w:rsidR="009B260B"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lastRenderedPageBreak/>
        <w:t>95.4</w:t>
      </w:r>
      <w:r w:rsidRPr="0081243C">
        <w:rPr>
          <w:rFonts w:ascii="Arial" w:hAnsi="Arial" w:cs="Arial"/>
          <w:sz w:val="24"/>
          <w:szCs w:val="24"/>
          <w:lang w:val="en-GB"/>
        </w:rPr>
        <w:tab/>
      </w:r>
      <w:r w:rsidR="009B260B" w:rsidRPr="00D87EDD">
        <w:rPr>
          <w:rFonts w:ascii="Arial" w:hAnsi="Arial" w:cs="Arial"/>
          <w:sz w:val="24"/>
          <w:szCs w:val="24"/>
          <w:lang w:val="en-GB"/>
        </w:rPr>
        <w:t>Reliance is placed on the 31 July 1999 statement.  No explanation was provided for the discrepancy in the client in whose favour the investment was held</w:t>
      </w:r>
      <w:r w:rsidR="00D6335A" w:rsidRPr="00D87EDD">
        <w:rPr>
          <w:rFonts w:ascii="Arial" w:hAnsi="Arial" w:cs="Arial"/>
          <w:sz w:val="24"/>
          <w:szCs w:val="24"/>
          <w:lang w:val="en-GB"/>
        </w:rPr>
        <w:t xml:space="preserve"> as is reflected on the statement and the identity of the Applicants before me.  </w:t>
      </w:r>
    </w:p>
    <w:p w14:paraId="64A5D710" w14:textId="77777777" w:rsidR="009B260B" w:rsidRPr="0081243C" w:rsidRDefault="009B260B" w:rsidP="009B260B">
      <w:pPr>
        <w:pStyle w:val="ListParagraph"/>
        <w:rPr>
          <w:rFonts w:ascii="Arial" w:hAnsi="Arial" w:cs="Arial"/>
          <w:sz w:val="24"/>
          <w:szCs w:val="24"/>
          <w:lang w:val="en-GB"/>
        </w:rPr>
      </w:pPr>
    </w:p>
    <w:p w14:paraId="49386F55" w14:textId="31205744" w:rsidR="009B260B"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95.5</w:t>
      </w:r>
      <w:r w:rsidRPr="0081243C">
        <w:rPr>
          <w:rFonts w:ascii="Arial" w:hAnsi="Arial" w:cs="Arial"/>
          <w:sz w:val="24"/>
          <w:szCs w:val="24"/>
          <w:lang w:val="en-GB"/>
        </w:rPr>
        <w:tab/>
      </w:r>
      <w:r w:rsidR="009B260B" w:rsidRPr="00D87EDD">
        <w:rPr>
          <w:rFonts w:ascii="Arial" w:hAnsi="Arial" w:cs="Arial"/>
          <w:sz w:val="24"/>
          <w:szCs w:val="24"/>
          <w:lang w:val="en-GB"/>
        </w:rPr>
        <w:t xml:space="preserve">In further consideration of the 31 July 1999 statement, a payment of R400 000.00 is reflected.  This is clearly received on </w:t>
      </w:r>
      <w:r w:rsidR="007C59E9" w:rsidRPr="00D87EDD">
        <w:rPr>
          <w:rFonts w:ascii="Arial" w:hAnsi="Arial" w:cs="Arial"/>
          <w:sz w:val="24"/>
          <w:szCs w:val="24"/>
          <w:lang w:val="en-GB"/>
        </w:rPr>
        <w:t>13 July 1999.</w:t>
      </w:r>
      <w:r w:rsidR="009B260B" w:rsidRPr="00D87EDD">
        <w:rPr>
          <w:rFonts w:ascii="Arial" w:hAnsi="Arial" w:cs="Arial"/>
          <w:sz w:val="24"/>
          <w:szCs w:val="24"/>
          <w:lang w:val="en-GB"/>
        </w:rPr>
        <w:t xml:space="preserve">  Yet, the Applicants rely on a</w:t>
      </w:r>
      <w:r w:rsidR="007C59E9" w:rsidRPr="00D87EDD">
        <w:rPr>
          <w:rFonts w:ascii="Arial" w:hAnsi="Arial" w:cs="Arial"/>
          <w:sz w:val="24"/>
          <w:szCs w:val="24"/>
          <w:lang w:val="en-GB"/>
        </w:rPr>
        <w:t xml:space="preserve"> R400 000.00</w:t>
      </w:r>
      <w:r w:rsidR="009B260B" w:rsidRPr="00D87EDD">
        <w:rPr>
          <w:rFonts w:ascii="Arial" w:hAnsi="Arial" w:cs="Arial"/>
          <w:sz w:val="24"/>
          <w:szCs w:val="24"/>
          <w:lang w:val="en-GB"/>
        </w:rPr>
        <w:t xml:space="preserve"> payment of 30 September 1999.  No explanation was provided for the difference between the dates on which the R400 000.00 was allegedly received.  If two payments of R400 000.00 was then received, the claim amount would have been different</w:t>
      </w:r>
      <w:r w:rsidR="007C59E9" w:rsidRPr="00D87EDD">
        <w:rPr>
          <w:rFonts w:ascii="Arial" w:hAnsi="Arial" w:cs="Arial"/>
          <w:sz w:val="24"/>
          <w:szCs w:val="24"/>
          <w:lang w:val="en-GB"/>
        </w:rPr>
        <w:t>.  This discrepancy between the documents the Applicants are relying on is glaring.</w:t>
      </w:r>
    </w:p>
    <w:p w14:paraId="1513E6A6" w14:textId="77777777" w:rsidR="009B260B" w:rsidRPr="0081243C" w:rsidRDefault="009B260B" w:rsidP="009B260B">
      <w:pPr>
        <w:pStyle w:val="ListParagraph"/>
        <w:rPr>
          <w:rFonts w:ascii="Arial" w:hAnsi="Arial" w:cs="Arial"/>
          <w:sz w:val="24"/>
          <w:szCs w:val="24"/>
          <w:lang w:val="en-GB"/>
        </w:rPr>
      </w:pPr>
    </w:p>
    <w:p w14:paraId="37842ED2" w14:textId="321960AC" w:rsidR="009B260B"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95.6</w:t>
      </w:r>
      <w:r w:rsidRPr="0081243C">
        <w:rPr>
          <w:rFonts w:ascii="Arial" w:hAnsi="Arial" w:cs="Arial"/>
          <w:sz w:val="24"/>
          <w:szCs w:val="24"/>
          <w:lang w:val="en-GB"/>
        </w:rPr>
        <w:tab/>
      </w:r>
      <w:r w:rsidR="009B260B" w:rsidRPr="00D87EDD">
        <w:rPr>
          <w:rFonts w:ascii="Arial" w:hAnsi="Arial" w:cs="Arial"/>
          <w:sz w:val="24"/>
          <w:szCs w:val="24"/>
          <w:lang w:val="en-GB"/>
        </w:rPr>
        <w:t>There is a difference between the account numbers for the 31 July 1999 statement and the 15 September 1999 statement.  The difference between the two account numbers is left unanswered</w:t>
      </w:r>
      <w:r w:rsidR="0076205C" w:rsidRPr="00D87EDD">
        <w:rPr>
          <w:rFonts w:ascii="Arial" w:hAnsi="Arial" w:cs="Arial"/>
          <w:sz w:val="24"/>
          <w:szCs w:val="24"/>
          <w:lang w:val="en-GB"/>
        </w:rPr>
        <w:t xml:space="preserve">.  This is an important aspect especially if one </w:t>
      </w:r>
      <w:r w:rsidR="000600A5" w:rsidRPr="00D87EDD">
        <w:rPr>
          <w:rFonts w:ascii="Arial" w:hAnsi="Arial" w:cs="Arial"/>
          <w:sz w:val="24"/>
          <w:szCs w:val="24"/>
          <w:lang w:val="en-GB"/>
        </w:rPr>
        <w:t>considers</w:t>
      </w:r>
      <w:r w:rsidR="0076205C" w:rsidRPr="00D87EDD">
        <w:rPr>
          <w:rFonts w:ascii="Arial" w:hAnsi="Arial" w:cs="Arial"/>
          <w:sz w:val="24"/>
          <w:szCs w:val="24"/>
          <w:lang w:val="en-GB"/>
        </w:rPr>
        <w:t xml:space="preserve"> the normal banking process for fixed deposits.  There is no relevant documents placed before me confirming that the amount that is reflected in the 31 July 1999 statement was transferred to the account number that is reflected on the 15 September 1999 statement.  </w:t>
      </w:r>
      <w:r w:rsidR="00334B97" w:rsidRPr="00D87EDD">
        <w:rPr>
          <w:rFonts w:ascii="Arial" w:hAnsi="Arial" w:cs="Arial"/>
          <w:sz w:val="24"/>
          <w:szCs w:val="24"/>
          <w:lang w:val="en-GB"/>
        </w:rPr>
        <w:t>I fail to understand on what basis it is alleged that these two amounts are the same amounts.</w:t>
      </w:r>
    </w:p>
    <w:p w14:paraId="6504F0D3" w14:textId="77777777" w:rsidR="009B260B" w:rsidRPr="0081243C" w:rsidRDefault="009B260B" w:rsidP="009B260B">
      <w:pPr>
        <w:pStyle w:val="ListParagraph"/>
        <w:rPr>
          <w:rFonts w:ascii="Arial" w:hAnsi="Arial" w:cs="Arial"/>
          <w:sz w:val="24"/>
          <w:szCs w:val="24"/>
          <w:lang w:val="en-GB"/>
        </w:rPr>
      </w:pPr>
    </w:p>
    <w:p w14:paraId="0997B3E2" w14:textId="63AF0D52" w:rsidR="009B260B"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95.7</w:t>
      </w:r>
      <w:r w:rsidRPr="0081243C">
        <w:rPr>
          <w:rFonts w:ascii="Arial" w:hAnsi="Arial" w:cs="Arial"/>
          <w:sz w:val="24"/>
          <w:szCs w:val="24"/>
          <w:lang w:val="en-GB"/>
        </w:rPr>
        <w:tab/>
      </w:r>
      <w:r w:rsidR="009B260B" w:rsidRPr="00D87EDD">
        <w:rPr>
          <w:rFonts w:ascii="Arial" w:hAnsi="Arial" w:cs="Arial"/>
          <w:sz w:val="24"/>
          <w:szCs w:val="24"/>
          <w:lang w:val="en-GB"/>
        </w:rPr>
        <w:t>On the version of the Applicants an amount of R80 000.00 was withdrawn during November 1999.  This amount is clearly not taken into consideration in the amount claimed by the Applicants.</w:t>
      </w:r>
      <w:r w:rsidR="00334B97" w:rsidRPr="00D87EDD">
        <w:rPr>
          <w:rFonts w:ascii="Arial" w:hAnsi="Arial" w:cs="Arial"/>
          <w:sz w:val="24"/>
          <w:szCs w:val="24"/>
          <w:lang w:val="en-GB"/>
        </w:rPr>
        <w:t xml:space="preserve">  The purpose of </w:t>
      </w:r>
      <w:r w:rsidR="00334B97" w:rsidRPr="00D87EDD">
        <w:rPr>
          <w:rFonts w:ascii="Arial" w:hAnsi="Arial" w:cs="Arial"/>
          <w:sz w:val="24"/>
          <w:szCs w:val="24"/>
          <w:lang w:val="en-GB"/>
        </w:rPr>
        <w:lastRenderedPageBreak/>
        <w:t>this withdrawal is left unexplained.</w:t>
      </w:r>
      <w:r w:rsidR="009B260B" w:rsidRPr="00D87EDD">
        <w:rPr>
          <w:rFonts w:ascii="Arial" w:hAnsi="Arial" w:cs="Arial"/>
          <w:sz w:val="24"/>
          <w:szCs w:val="24"/>
          <w:lang w:val="en-GB"/>
        </w:rPr>
        <w:t xml:space="preserve">  The reason why this amount is not taken into account is left unexplained.</w:t>
      </w:r>
    </w:p>
    <w:p w14:paraId="576768DA" w14:textId="77777777" w:rsidR="007E352E" w:rsidRPr="0081243C" w:rsidRDefault="007E352E" w:rsidP="007E352E">
      <w:pPr>
        <w:pStyle w:val="ListParagraph"/>
        <w:rPr>
          <w:rFonts w:ascii="Arial" w:hAnsi="Arial" w:cs="Arial"/>
          <w:sz w:val="24"/>
          <w:szCs w:val="24"/>
          <w:lang w:val="en-GB"/>
        </w:rPr>
      </w:pPr>
    </w:p>
    <w:p w14:paraId="5A0A478A" w14:textId="5D27833B" w:rsidR="007E352E"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95.8</w:t>
      </w:r>
      <w:r w:rsidRPr="0081243C">
        <w:rPr>
          <w:rFonts w:ascii="Arial" w:hAnsi="Arial" w:cs="Arial"/>
          <w:sz w:val="24"/>
          <w:szCs w:val="24"/>
          <w:lang w:val="en-GB"/>
        </w:rPr>
        <w:tab/>
      </w:r>
      <w:r w:rsidR="007E352E" w:rsidRPr="00D87EDD">
        <w:rPr>
          <w:rFonts w:ascii="Arial" w:hAnsi="Arial" w:cs="Arial"/>
          <w:sz w:val="24"/>
          <w:szCs w:val="24"/>
          <w:lang w:val="en-GB"/>
        </w:rPr>
        <w:t>Further, the claim that was lodged during February 2013 was only in then name of the first Applicant and not in the name of both the first and second Applicants.  This is striking.</w:t>
      </w:r>
    </w:p>
    <w:p w14:paraId="1BDCA7CA" w14:textId="77777777" w:rsidR="009B260B" w:rsidRPr="0081243C" w:rsidRDefault="009B260B" w:rsidP="009B260B">
      <w:pPr>
        <w:pStyle w:val="ListParagraph"/>
        <w:rPr>
          <w:rFonts w:ascii="Arial" w:hAnsi="Arial" w:cs="Arial"/>
          <w:sz w:val="24"/>
          <w:szCs w:val="24"/>
          <w:lang w:val="en-GB"/>
        </w:rPr>
      </w:pPr>
    </w:p>
    <w:p w14:paraId="7B1DBD2E" w14:textId="2EB3887F" w:rsidR="009B260B"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96.</w:t>
      </w:r>
      <w:r w:rsidRPr="0081243C">
        <w:rPr>
          <w:rFonts w:ascii="Arial" w:hAnsi="Arial" w:cs="Arial"/>
          <w:sz w:val="24"/>
          <w:szCs w:val="24"/>
          <w:lang w:val="en-GB"/>
        </w:rPr>
        <w:tab/>
      </w:r>
      <w:r w:rsidR="009B260B" w:rsidRPr="00D87EDD">
        <w:rPr>
          <w:rFonts w:ascii="Arial" w:hAnsi="Arial" w:cs="Arial"/>
          <w:sz w:val="24"/>
          <w:szCs w:val="24"/>
          <w:lang w:val="en-GB"/>
        </w:rPr>
        <w:t xml:space="preserve">Based on these discrepancies alone the only conclusion I can come to is that the Applicants failed to place any evidence before the Court substantiating their </w:t>
      </w:r>
      <w:r w:rsidR="00C80A2A" w:rsidRPr="00D87EDD">
        <w:rPr>
          <w:rFonts w:ascii="Arial" w:hAnsi="Arial" w:cs="Arial"/>
          <w:sz w:val="24"/>
          <w:szCs w:val="24"/>
          <w:lang w:val="en-GB"/>
        </w:rPr>
        <w:t>allegation that the monies were paid into the account of Snijman and Smullen Attorneys</w:t>
      </w:r>
      <w:r w:rsidR="009B260B" w:rsidRPr="00D87EDD">
        <w:rPr>
          <w:rFonts w:ascii="Arial" w:hAnsi="Arial" w:cs="Arial"/>
          <w:sz w:val="24"/>
          <w:szCs w:val="24"/>
          <w:lang w:val="en-GB"/>
        </w:rPr>
        <w:t xml:space="preserve">. </w:t>
      </w:r>
      <w:r w:rsidR="007E352E" w:rsidRPr="00D87EDD">
        <w:rPr>
          <w:rFonts w:ascii="Arial" w:hAnsi="Arial" w:cs="Arial"/>
          <w:sz w:val="24"/>
          <w:szCs w:val="24"/>
          <w:lang w:val="en-GB"/>
        </w:rPr>
        <w:t xml:space="preserve"> This requirement therefore have not been met.</w:t>
      </w:r>
      <w:r w:rsidR="009B260B" w:rsidRPr="00D87EDD">
        <w:rPr>
          <w:rFonts w:ascii="Arial" w:hAnsi="Arial" w:cs="Arial"/>
          <w:sz w:val="24"/>
          <w:szCs w:val="24"/>
          <w:lang w:val="en-GB"/>
        </w:rPr>
        <w:t xml:space="preserve">  </w:t>
      </w:r>
    </w:p>
    <w:p w14:paraId="1EDB336F" w14:textId="77777777" w:rsidR="009B260B" w:rsidRPr="0081243C" w:rsidRDefault="009B260B" w:rsidP="00C8072C">
      <w:pPr>
        <w:spacing w:line="480" w:lineRule="auto"/>
        <w:jc w:val="both"/>
        <w:rPr>
          <w:rFonts w:ascii="Arial" w:hAnsi="Arial" w:cs="Arial"/>
          <w:sz w:val="24"/>
          <w:szCs w:val="24"/>
          <w:lang w:val="en-GB"/>
        </w:rPr>
      </w:pPr>
    </w:p>
    <w:p w14:paraId="5A50F407" w14:textId="6A31B569" w:rsidR="009B260B"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97.</w:t>
      </w:r>
      <w:r w:rsidRPr="0081243C">
        <w:rPr>
          <w:rFonts w:ascii="Arial" w:hAnsi="Arial" w:cs="Arial"/>
          <w:sz w:val="24"/>
          <w:szCs w:val="24"/>
          <w:lang w:val="en-GB"/>
        </w:rPr>
        <w:tab/>
      </w:r>
      <w:r w:rsidR="009B260B" w:rsidRPr="00D87EDD">
        <w:rPr>
          <w:rFonts w:ascii="Arial" w:hAnsi="Arial" w:cs="Arial"/>
          <w:sz w:val="24"/>
          <w:szCs w:val="24"/>
          <w:lang w:val="en-GB"/>
        </w:rPr>
        <w:t xml:space="preserve">I also cannot turn a blind eye for the fact that the Law Society of the Northern Provinces could not find any proof of this alleged investment.   </w:t>
      </w:r>
      <w:r w:rsidR="00F137DC" w:rsidRPr="00D87EDD">
        <w:rPr>
          <w:rFonts w:ascii="Arial" w:hAnsi="Arial" w:cs="Arial"/>
          <w:sz w:val="24"/>
          <w:szCs w:val="24"/>
          <w:lang w:val="en-GB"/>
        </w:rPr>
        <w:t xml:space="preserve">This is an aspect that was addressed in the correspondence between the respective parties.  No evidence is placed before me to prove the contrary.  </w:t>
      </w:r>
    </w:p>
    <w:p w14:paraId="6EAE8E0D" w14:textId="77777777" w:rsidR="009B260B" w:rsidRPr="0081243C" w:rsidRDefault="009B260B" w:rsidP="009B260B">
      <w:pPr>
        <w:pStyle w:val="ListParagraph"/>
        <w:spacing w:line="480" w:lineRule="auto"/>
        <w:jc w:val="both"/>
        <w:rPr>
          <w:rFonts w:ascii="Arial" w:hAnsi="Arial" w:cs="Arial"/>
          <w:sz w:val="24"/>
          <w:szCs w:val="24"/>
          <w:lang w:val="en-GB"/>
        </w:rPr>
      </w:pPr>
    </w:p>
    <w:p w14:paraId="398C7CF0" w14:textId="7EDCA19C" w:rsidR="009B260B"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98.</w:t>
      </w:r>
      <w:r w:rsidRPr="0081243C">
        <w:rPr>
          <w:rFonts w:ascii="Arial" w:hAnsi="Arial" w:cs="Arial"/>
          <w:sz w:val="24"/>
          <w:szCs w:val="24"/>
          <w:lang w:val="en-GB"/>
        </w:rPr>
        <w:tab/>
      </w:r>
      <w:r w:rsidR="009B260B" w:rsidRPr="00D87EDD">
        <w:rPr>
          <w:rFonts w:ascii="Arial" w:hAnsi="Arial" w:cs="Arial"/>
          <w:sz w:val="24"/>
          <w:szCs w:val="24"/>
          <w:lang w:val="en-GB"/>
        </w:rPr>
        <w:t xml:space="preserve">I am of the view that the first and second Applicants failed to place any evidence before me substantiating the </w:t>
      </w:r>
      <w:r w:rsidR="00180483" w:rsidRPr="00D87EDD">
        <w:rPr>
          <w:rFonts w:ascii="Arial" w:hAnsi="Arial" w:cs="Arial"/>
          <w:sz w:val="24"/>
          <w:szCs w:val="24"/>
          <w:lang w:val="en-GB"/>
        </w:rPr>
        <w:t xml:space="preserve">first element.  It is clear that some monies were paid into the trust account of </w:t>
      </w:r>
      <w:r w:rsidR="00F00FC7" w:rsidRPr="00D87EDD">
        <w:rPr>
          <w:rFonts w:ascii="Arial" w:hAnsi="Arial" w:cs="Arial"/>
          <w:sz w:val="24"/>
          <w:szCs w:val="24"/>
          <w:lang w:val="en-GB"/>
        </w:rPr>
        <w:t xml:space="preserve">Snijman and Smullen Attorneys, </w:t>
      </w:r>
      <w:r w:rsidR="00180483" w:rsidRPr="00D87EDD">
        <w:rPr>
          <w:rFonts w:ascii="Arial" w:hAnsi="Arial" w:cs="Arial"/>
          <w:sz w:val="24"/>
          <w:szCs w:val="24"/>
          <w:lang w:val="en-GB"/>
        </w:rPr>
        <w:t xml:space="preserve">but with the evidence placed before me I cannot come to the conclusion that the monies that were placed in possession of </w:t>
      </w:r>
      <w:r w:rsidR="00F00FC7" w:rsidRPr="00D87EDD">
        <w:rPr>
          <w:rFonts w:ascii="Arial" w:hAnsi="Arial" w:cs="Arial"/>
          <w:sz w:val="24"/>
          <w:szCs w:val="24"/>
          <w:lang w:val="en-GB"/>
        </w:rPr>
        <w:t xml:space="preserve">Snijman and Smullen </w:t>
      </w:r>
      <w:r w:rsidR="00180483" w:rsidRPr="00D87EDD">
        <w:rPr>
          <w:rFonts w:ascii="Arial" w:hAnsi="Arial" w:cs="Arial"/>
          <w:sz w:val="24"/>
          <w:szCs w:val="24"/>
          <w:lang w:val="en-GB"/>
        </w:rPr>
        <w:t>Attorneys</w:t>
      </w:r>
      <w:r w:rsidR="00334B97" w:rsidRPr="00D87EDD">
        <w:rPr>
          <w:rFonts w:ascii="Arial" w:hAnsi="Arial" w:cs="Arial"/>
          <w:sz w:val="24"/>
          <w:szCs w:val="24"/>
          <w:lang w:val="en-GB"/>
        </w:rPr>
        <w:t xml:space="preserve"> was first of all placed in their possession by the first Applicant and further that it was placed in the possession of Snijman and Smullen Attorneys for the purpose as alleged by them. </w:t>
      </w:r>
    </w:p>
    <w:p w14:paraId="0A513586" w14:textId="77777777" w:rsidR="004B04FC" w:rsidRPr="0081243C" w:rsidRDefault="004B04FC" w:rsidP="004B04FC">
      <w:pPr>
        <w:pStyle w:val="ListParagraph"/>
        <w:rPr>
          <w:rFonts w:ascii="Arial" w:hAnsi="Arial" w:cs="Arial"/>
          <w:sz w:val="24"/>
          <w:szCs w:val="24"/>
          <w:lang w:val="en-GB"/>
        </w:rPr>
      </w:pPr>
    </w:p>
    <w:p w14:paraId="4642C375" w14:textId="4B362C7B" w:rsidR="004B04FC"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lastRenderedPageBreak/>
        <w:t>99.</w:t>
      </w:r>
      <w:r w:rsidRPr="0081243C">
        <w:rPr>
          <w:rFonts w:ascii="Arial" w:hAnsi="Arial" w:cs="Arial"/>
          <w:sz w:val="24"/>
          <w:szCs w:val="24"/>
          <w:lang w:val="en-GB"/>
        </w:rPr>
        <w:tab/>
      </w:r>
      <w:r w:rsidR="004B04FC" w:rsidRPr="00D87EDD">
        <w:rPr>
          <w:rFonts w:ascii="Arial" w:hAnsi="Arial" w:cs="Arial"/>
          <w:sz w:val="24"/>
          <w:szCs w:val="24"/>
          <w:lang w:val="en-GB"/>
        </w:rPr>
        <w:t xml:space="preserve">The applicants therefore fail to cross the first hurdle.  </w:t>
      </w:r>
    </w:p>
    <w:p w14:paraId="5DA1D289" w14:textId="77777777" w:rsidR="009B260B" w:rsidRPr="0081243C" w:rsidRDefault="009B260B" w:rsidP="009B260B">
      <w:pPr>
        <w:pStyle w:val="ListParagraph"/>
        <w:rPr>
          <w:rFonts w:ascii="Arial" w:hAnsi="Arial" w:cs="Arial"/>
          <w:sz w:val="24"/>
          <w:szCs w:val="24"/>
          <w:lang w:val="en-GB"/>
        </w:rPr>
      </w:pPr>
    </w:p>
    <w:p w14:paraId="2416B953" w14:textId="5F72F264" w:rsidR="009B260B"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100.</w:t>
      </w:r>
      <w:r w:rsidRPr="0081243C">
        <w:rPr>
          <w:rFonts w:ascii="Arial" w:hAnsi="Arial" w:cs="Arial"/>
          <w:sz w:val="24"/>
          <w:szCs w:val="24"/>
          <w:lang w:val="en-GB"/>
        </w:rPr>
        <w:tab/>
      </w:r>
      <w:r w:rsidR="00AB6144" w:rsidRPr="00D87EDD">
        <w:rPr>
          <w:rFonts w:ascii="Arial" w:hAnsi="Arial" w:cs="Arial"/>
          <w:sz w:val="24"/>
          <w:szCs w:val="24"/>
          <w:lang w:val="en-GB"/>
        </w:rPr>
        <w:t xml:space="preserve">What requires to be established is the second element of “trust”, which as it has been held, connotes that the person entrusted is bound to deal with the property or money concerned for the benefit of others.  That is, the person entrusted is bound to hold and apply the property [money] for the benefit of some person or persons or for the accomplishment of some special purpose.  </w:t>
      </w:r>
      <w:r w:rsidR="00AB6144" w:rsidRPr="0081243C">
        <w:rPr>
          <w:rStyle w:val="EndnoteReference"/>
          <w:rFonts w:ascii="Arial" w:hAnsi="Arial" w:cs="Arial"/>
          <w:sz w:val="24"/>
          <w:szCs w:val="24"/>
          <w:lang w:val="en-GB"/>
        </w:rPr>
        <w:endnoteReference w:id="17"/>
      </w:r>
      <w:r w:rsidR="00A42344" w:rsidRPr="00D87EDD">
        <w:rPr>
          <w:rFonts w:ascii="Arial" w:hAnsi="Arial" w:cs="Arial"/>
          <w:sz w:val="24"/>
          <w:szCs w:val="24"/>
          <w:lang w:val="en-GB"/>
        </w:rPr>
        <w:t xml:space="preserve">  </w:t>
      </w:r>
    </w:p>
    <w:p w14:paraId="2E545389" w14:textId="77777777" w:rsidR="00A42344" w:rsidRPr="0081243C" w:rsidRDefault="00A42344" w:rsidP="00A42344">
      <w:pPr>
        <w:pStyle w:val="ListParagraph"/>
        <w:rPr>
          <w:rFonts w:ascii="Arial" w:hAnsi="Arial" w:cs="Arial"/>
          <w:sz w:val="24"/>
          <w:szCs w:val="24"/>
          <w:lang w:val="en-GB"/>
        </w:rPr>
      </w:pPr>
    </w:p>
    <w:p w14:paraId="218CB6FA" w14:textId="793A39A2" w:rsidR="00A42344"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101.</w:t>
      </w:r>
      <w:r w:rsidRPr="0081243C">
        <w:rPr>
          <w:rFonts w:ascii="Arial" w:hAnsi="Arial" w:cs="Arial"/>
          <w:sz w:val="24"/>
          <w:szCs w:val="24"/>
          <w:lang w:val="en-GB"/>
        </w:rPr>
        <w:tab/>
      </w:r>
      <w:r w:rsidR="00A42344" w:rsidRPr="00D87EDD">
        <w:rPr>
          <w:rFonts w:ascii="Arial" w:hAnsi="Arial" w:cs="Arial"/>
          <w:sz w:val="24"/>
          <w:szCs w:val="24"/>
          <w:lang w:val="en-GB"/>
        </w:rPr>
        <w:t xml:space="preserve">It has been further held that the issue of entrustment has to be judged in the light of the intention of the person making the payment to the attorney or the attorney’s employee, not the intention of the attorney of the attorneys employee.  </w:t>
      </w:r>
      <w:r w:rsidR="00A42344" w:rsidRPr="0081243C">
        <w:rPr>
          <w:rStyle w:val="EndnoteReference"/>
          <w:rFonts w:ascii="Arial" w:hAnsi="Arial" w:cs="Arial"/>
          <w:sz w:val="24"/>
          <w:szCs w:val="24"/>
          <w:lang w:val="en-GB"/>
        </w:rPr>
        <w:endnoteReference w:id="18"/>
      </w:r>
    </w:p>
    <w:p w14:paraId="774C986E" w14:textId="77777777" w:rsidR="00C83EB1" w:rsidRPr="0081243C" w:rsidRDefault="00C83EB1" w:rsidP="00C83EB1">
      <w:pPr>
        <w:pStyle w:val="ListParagraph"/>
        <w:rPr>
          <w:rFonts w:ascii="Arial" w:hAnsi="Arial" w:cs="Arial"/>
          <w:sz w:val="24"/>
          <w:szCs w:val="24"/>
          <w:lang w:val="en-GB"/>
        </w:rPr>
      </w:pPr>
    </w:p>
    <w:p w14:paraId="371337B3" w14:textId="71DBB43A" w:rsidR="00C83EB1"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102.</w:t>
      </w:r>
      <w:r w:rsidRPr="0081243C">
        <w:rPr>
          <w:rFonts w:ascii="Arial" w:hAnsi="Arial" w:cs="Arial"/>
          <w:sz w:val="24"/>
          <w:szCs w:val="24"/>
          <w:lang w:val="en-GB"/>
        </w:rPr>
        <w:tab/>
      </w:r>
      <w:r w:rsidR="00C83EB1" w:rsidRPr="00D87EDD">
        <w:rPr>
          <w:rFonts w:ascii="Arial" w:hAnsi="Arial" w:cs="Arial"/>
          <w:sz w:val="24"/>
          <w:szCs w:val="24"/>
          <w:lang w:val="en-GB"/>
        </w:rPr>
        <w:t xml:space="preserve">The Applicants make an unsubstantiated statement that the monies were paid into the account of the attorneys to be held pending a sale agreement of immovable property. </w:t>
      </w:r>
    </w:p>
    <w:p w14:paraId="57D79CF6" w14:textId="77777777" w:rsidR="00C8072C" w:rsidRPr="0081243C" w:rsidRDefault="00C8072C" w:rsidP="00C8072C">
      <w:pPr>
        <w:pStyle w:val="ListParagraph"/>
        <w:rPr>
          <w:rFonts w:ascii="Arial" w:hAnsi="Arial" w:cs="Arial"/>
          <w:sz w:val="24"/>
          <w:szCs w:val="24"/>
          <w:lang w:val="en-GB"/>
        </w:rPr>
      </w:pPr>
    </w:p>
    <w:p w14:paraId="57091A62" w14:textId="6D06B794" w:rsidR="002B40DC"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103.</w:t>
      </w:r>
      <w:r w:rsidRPr="0081243C">
        <w:rPr>
          <w:rFonts w:ascii="Arial" w:hAnsi="Arial" w:cs="Arial"/>
          <w:sz w:val="24"/>
          <w:szCs w:val="24"/>
          <w:lang w:val="en-GB"/>
        </w:rPr>
        <w:tab/>
      </w:r>
      <w:r w:rsidR="00C8072C" w:rsidRPr="00D87EDD">
        <w:rPr>
          <w:rFonts w:ascii="Arial" w:hAnsi="Arial" w:cs="Arial"/>
          <w:sz w:val="24"/>
          <w:szCs w:val="24"/>
          <w:lang w:val="en-GB"/>
        </w:rPr>
        <w:t>No explanation is provided in the affidavits filed what happened to the sale agreement.  A copy of the lease agreement and the sale agreement is not attached</w:t>
      </w:r>
      <w:r w:rsidR="002B40DC" w:rsidRPr="00D87EDD">
        <w:rPr>
          <w:rFonts w:ascii="Arial" w:hAnsi="Arial" w:cs="Arial"/>
          <w:sz w:val="24"/>
          <w:szCs w:val="24"/>
          <w:lang w:val="en-GB"/>
        </w:rPr>
        <w:t xml:space="preserve"> to the affidavits</w:t>
      </w:r>
      <w:r w:rsidR="00C8072C" w:rsidRPr="00D87EDD">
        <w:rPr>
          <w:rFonts w:ascii="Arial" w:hAnsi="Arial" w:cs="Arial"/>
          <w:sz w:val="24"/>
          <w:szCs w:val="24"/>
          <w:lang w:val="en-GB"/>
        </w:rPr>
        <w:t xml:space="preserve">.  </w:t>
      </w:r>
      <w:r w:rsidR="002B40DC" w:rsidRPr="00D87EDD">
        <w:rPr>
          <w:rFonts w:ascii="Arial" w:hAnsi="Arial" w:cs="Arial"/>
          <w:sz w:val="24"/>
          <w:szCs w:val="24"/>
          <w:lang w:val="en-GB"/>
        </w:rPr>
        <w:t>This creates doubt as to the real purpose on which the amounts were allegedly paid into the account of Snijman and Smullen Attorneys.</w:t>
      </w:r>
    </w:p>
    <w:p w14:paraId="134607BB" w14:textId="77777777" w:rsidR="002B40DC" w:rsidRPr="0081243C" w:rsidRDefault="002B40DC" w:rsidP="002B40DC">
      <w:pPr>
        <w:pStyle w:val="ListParagraph"/>
        <w:rPr>
          <w:rFonts w:ascii="Arial" w:hAnsi="Arial" w:cs="Arial"/>
          <w:sz w:val="24"/>
          <w:szCs w:val="24"/>
          <w:lang w:val="en-GB"/>
        </w:rPr>
      </w:pPr>
    </w:p>
    <w:p w14:paraId="4D442728" w14:textId="498E141B" w:rsidR="00C8072C"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104.</w:t>
      </w:r>
      <w:r w:rsidRPr="0081243C">
        <w:rPr>
          <w:rFonts w:ascii="Arial" w:hAnsi="Arial" w:cs="Arial"/>
          <w:sz w:val="24"/>
          <w:szCs w:val="24"/>
          <w:lang w:val="en-GB"/>
        </w:rPr>
        <w:tab/>
      </w:r>
      <w:r w:rsidR="00C8072C" w:rsidRPr="00D87EDD">
        <w:rPr>
          <w:rFonts w:ascii="Arial" w:hAnsi="Arial" w:cs="Arial"/>
          <w:sz w:val="24"/>
          <w:szCs w:val="24"/>
          <w:lang w:val="en-GB"/>
        </w:rPr>
        <w:t xml:space="preserve">On the version of the applicants, the payments were made in 1999.  The affidavits are silent when the purported sale was to be concluded.  According to the allegations by the Applicants, the amounts were paid in 1999.  They only learned of the demise of Barnard during </w:t>
      </w:r>
      <w:r w:rsidR="0021078C" w:rsidRPr="00D87EDD">
        <w:rPr>
          <w:rFonts w:ascii="Arial" w:hAnsi="Arial" w:cs="Arial"/>
          <w:sz w:val="24"/>
          <w:szCs w:val="24"/>
          <w:lang w:val="en-GB"/>
        </w:rPr>
        <w:t>approximately January 2013.</w:t>
      </w:r>
      <w:r w:rsidR="00C8072C" w:rsidRPr="00D87EDD">
        <w:rPr>
          <w:rFonts w:ascii="Arial" w:hAnsi="Arial" w:cs="Arial"/>
          <w:sz w:val="24"/>
          <w:szCs w:val="24"/>
          <w:lang w:val="en-GB"/>
        </w:rPr>
        <w:t xml:space="preserve">  The affidavits are silent on what happened between 1999 and </w:t>
      </w:r>
      <w:r w:rsidR="0021078C" w:rsidRPr="00D87EDD">
        <w:rPr>
          <w:rFonts w:ascii="Arial" w:hAnsi="Arial" w:cs="Arial"/>
          <w:sz w:val="24"/>
          <w:szCs w:val="24"/>
          <w:lang w:val="en-GB"/>
        </w:rPr>
        <w:t>2013.</w:t>
      </w:r>
      <w:r w:rsidR="00C8072C" w:rsidRPr="00D87EDD">
        <w:rPr>
          <w:rFonts w:ascii="Arial" w:hAnsi="Arial" w:cs="Arial"/>
          <w:sz w:val="24"/>
          <w:szCs w:val="24"/>
          <w:lang w:val="en-GB"/>
        </w:rPr>
        <w:t xml:space="preserve">  It is unclear if </w:t>
      </w:r>
      <w:r w:rsidR="00C8072C" w:rsidRPr="00D87EDD">
        <w:rPr>
          <w:rFonts w:ascii="Arial" w:hAnsi="Arial" w:cs="Arial"/>
          <w:sz w:val="24"/>
          <w:szCs w:val="24"/>
          <w:lang w:val="en-GB"/>
        </w:rPr>
        <w:lastRenderedPageBreak/>
        <w:t xml:space="preserve">any follow ups were made by the Applicants.  No explanation is given for the lapse of </w:t>
      </w:r>
      <w:r w:rsidR="0021078C" w:rsidRPr="00D87EDD">
        <w:rPr>
          <w:rFonts w:ascii="Arial" w:hAnsi="Arial" w:cs="Arial"/>
          <w:sz w:val="24"/>
          <w:szCs w:val="24"/>
          <w:lang w:val="en-GB"/>
        </w:rPr>
        <w:t>14</w:t>
      </w:r>
      <w:r w:rsidR="00C8072C" w:rsidRPr="00D87EDD">
        <w:rPr>
          <w:rFonts w:ascii="Arial" w:hAnsi="Arial" w:cs="Arial"/>
          <w:sz w:val="24"/>
          <w:szCs w:val="24"/>
          <w:lang w:val="en-GB"/>
        </w:rPr>
        <w:t xml:space="preserve"> years between the payments being made and the </w:t>
      </w:r>
      <w:r w:rsidR="0021078C" w:rsidRPr="00D87EDD">
        <w:rPr>
          <w:rFonts w:ascii="Arial" w:hAnsi="Arial" w:cs="Arial"/>
          <w:sz w:val="24"/>
          <w:szCs w:val="24"/>
          <w:lang w:val="en-GB"/>
        </w:rPr>
        <w:t>date on which the Applicants learned about the passing of Barnard.  It is unthinkable that a party will leave money in possession of another without making the necessary follow-ups especially if the reason for the money be kept in trust has fallen away.</w:t>
      </w:r>
    </w:p>
    <w:p w14:paraId="2C2BF034" w14:textId="77777777" w:rsidR="00C8072C" w:rsidRPr="0081243C" w:rsidRDefault="00C8072C" w:rsidP="00C8072C">
      <w:pPr>
        <w:spacing w:line="480" w:lineRule="auto"/>
        <w:jc w:val="both"/>
        <w:rPr>
          <w:rFonts w:ascii="Arial" w:hAnsi="Arial" w:cs="Arial"/>
          <w:sz w:val="24"/>
          <w:szCs w:val="24"/>
          <w:lang w:val="en-GB"/>
        </w:rPr>
      </w:pPr>
    </w:p>
    <w:p w14:paraId="78B5219E" w14:textId="6BC43A33" w:rsidR="00C8072C"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105.</w:t>
      </w:r>
      <w:r w:rsidRPr="0081243C">
        <w:rPr>
          <w:rFonts w:ascii="Arial" w:hAnsi="Arial" w:cs="Arial"/>
          <w:sz w:val="24"/>
          <w:szCs w:val="24"/>
          <w:lang w:val="en-GB"/>
        </w:rPr>
        <w:tab/>
      </w:r>
      <w:r w:rsidR="00C8072C" w:rsidRPr="00D87EDD">
        <w:rPr>
          <w:rFonts w:ascii="Arial" w:hAnsi="Arial" w:cs="Arial"/>
          <w:sz w:val="24"/>
          <w:szCs w:val="24"/>
          <w:lang w:val="en-GB"/>
        </w:rPr>
        <w:t xml:space="preserve">There is a big </w:t>
      </w:r>
      <w:r w:rsidR="00C8072C" w:rsidRPr="00D87EDD">
        <w:rPr>
          <w:rFonts w:ascii="Arial" w:hAnsi="Arial" w:cs="Arial"/>
          <w:i/>
          <w:iCs/>
          <w:sz w:val="24"/>
          <w:szCs w:val="24"/>
          <w:lang w:val="en-GB"/>
        </w:rPr>
        <w:t>lacuna</w:t>
      </w:r>
      <w:r w:rsidR="00C8072C" w:rsidRPr="00D87EDD">
        <w:rPr>
          <w:rFonts w:ascii="Arial" w:hAnsi="Arial" w:cs="Arial"/>
          <w:sz w:val="24"/>
          <w:szCs w:val="24"/>
          <w:lang w:val="en-GB"/>
        </w:rPr>
        <w:t xml:space="preserve"> in the version</w:t>
      </w:r>
      <w:r w:rsidR="005B281A" w:rsidRPr="00D87EDD">
        <w:rPr>
          <w:rFonts w:ascii="Arial" w:hAnsi="Arial" w:cs="Arial"/>
          <w:sz w:val="24"/>
          <w:szCs w:val="24"/>
          <w:lang w:val="en-GB"/>
        </w:rPr>
        <w:t>s</w:t>
      </w:r>
      <w:r w:rsidR="00C8072C" w:rsidRPr="00D87EDD">
        <w:rPr>
          <w:rFonts w:ascii="Arial" w:hAnsi="Arial" w:cs="Arial"/>
          <w:sz w:val="24"/>
          <w:szCs w:val="24"/>
          <w:lang w:val="en-GB"/>
        </w:rPr>
        <w:t xml:space="preserve"> of the Applicants.  </w:t>
      </w:r>
    </w:p>
    <w:p w14:paraId="3D9A8A67" w14:textId="77777777" w:rsidR="000D34B9" w:rsidRPr="0081243C" w:rsidRDefault="000D34B9" w:rsidP="000D34B9">
      <w:pPr>
        <w:pStyle w:val="ListParagraph"/>
        <w:rPr>
          <w:rFonts w:ascii="Arial" w:hAnsi="Arial" w:cs="Arial"/>
          <w:sz w:val="24"/>
          <w:szCs w:val="24"/>
          <w:lang w:val="en-GB"/>
        </w:rPr>
      </w:pPr>
    </w:p>
    <w:p w14:paraId="25796814" w14:textId="0F2D3894" w:rsidR="000D34B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106.</w:t>
      </w:r>
      <w:r w:rsidRPr="0081243C">
        <w:rPr>
          <w:rFonts w:ascii="Arial" w:hAnsi="Arial" w:cs="Arial"/>
          <w:sz w:val="24"/>
          <w:szCs w:val="24"/>
          <w:lang w:val="en-GB"/>
        </w:rPr>
        <w:tab/>
      </w:r>
      <w:r w:rsidR="000D34B9" w:rsidRPr="00D87EDD">
        <w:rPr>
          <w:rFonts w:ascii="Arial" w:hAnsi="Arial" w:cs="Arial"/>
          <w:sz w:val="24"/>
          <w:szCs w:val="24"/>
          <w:lang w:val="en-GB"/>
        </w:rPr>
        <w:t>In my view, the Applicant’s also failed to place sufficient facts before the Court to meet the second requirement</w:t>
      </w:r>
      <w:r w:rsidR="007E60FF" w:rsidRPr="00D87EDD">
        <w:rPr>
          <w:rFonts w:ascii="Arial" w:hAnsi="Arial" w:cs="Arial"/>
          <w:sz w:val="24"/>
          <w:szCs w:val="24"/>
          <w:lang w:val="en-GB"/>
        </w:rPr>
        <w:t xml:space="preserve"> as is required.  </w:t>
      </w:r>
    </w:p>
    <w:p w14:paraId="536BA447" w14:textId="77777777" w:rsidR="005B281A" w:rsidRPr="0081243C" w:rsidRDefault="005B281A" w:rsidP="005B281A">
      <w:pPr>
        <w:pStyle w:val="ListParagraph"/>
        <w:rPr>
          <w:rFonts w:ascii="Arial" w:hAnsi="Arial" w:cs="Arial"/>
          <w:sz w:val="24"/>
          <w:szCs w:val="24"/>
          <w:lang w:val="en-GB"/>
        </w:rPr>
      </w:pPr>
    </w:p>
    <w:p w14:paraId="0C0C6AD8" w14:textId="11EDFE5E" w:rsidR="005B281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107.</w:t>
      </w:r>
      <w:r w:rsidRPr="0081243C">
        <w:rPr>
          <w:rFonts w:ascii="Arial" w:hAnsi="Arial" w:cs="Arial"/>
          <w:sz w:val="24"/>
          <w:szCs w:val="24"/>
          <w:lang w:val="en-GB"/>
        </w:rPr>
        <w:tab/>
      </w:r>
      <w:r w:rsidR="005B281A" w:rsidRPr="00D87EDD">
        <w:rPr>
          <w:rFonts w:ascii="Arial" w:hAnsi="Arial" w:cs="Arial"/>
          <w:sz w:val="24"/>
          <w:szCs w:val="24"/>
          <w:lang w:val="en-GB"/>
        </w:rPr>
        <w:t xml:space="preserve">The Applicants therefore failed to meet the requirements for the repayment of monies and the application should fail.  </w:t>
      </w:r>
    </w:p>
    <w:p w14:paraId="66ABBB85" w14:textId="77777777" w:rsidR="009B260B" w:rsidRPr="0081243C" w:rsidRDefault="009B260B" w:rsidP="005E0FB1">
      <w:pPr>
        <w:spacing w:line="480" w:lineRule="auto"/>
        <w:jc w:val="both"/>
        <w:rPr>
          <w:rFonts w:ascii="Arial" w:hAnsi="Arial" w:cs="Arial"/>
          <w:sz w:val="24"/>
          <w:szCs w:val="24"/>
          <w:lang w:val="en-GB"/>
        </w:rPr>
      </w:pPr>
    </w:p>
    <w:p w14:paraId="04869CF2" w14:textId="5E5FEF57" w:rsidR="00722320" w:rsidRPr="0081243C" w:rsidRDefault="00722320" w:rsidP="005E0FB1">
      <w:pPr>
        <w:spacing w:line="480" w:lineRule="auto"/>
        <w:jc w:val="both"/>
        <w:rPr>
          <w:rFonts w:ascii="Arial" w:hAnsi="Arial" w:cs="Arial"/>
          <w:sz w:val="24"/>
          <w:szCs w:val="24"/>
          <w:lang w:val="en-GB"/>
        </w:rPr>
      </w:pPr>
      <w:r w:rsidRPr="0081243C">
        <w:rPr>
          <w:rFonts w:ascii="Arial" w:hAnsi="Arial" w:cs="Arial"/>
          <w:b/>
          <w:bCs/>
          <w:sz w:val="24"/>
          <w:szCs w:val="24"/>
          <w:u w:val="single"/>
          <w:lang w:val="en-GB"/>
        </w:rPr>
        <w:t>THE CASE AGAINST THE ATTORNEY FIDELITY FUND BOARD</w:t>
      </w:r>
    </w:p>
    <w:p w14:paraId="11977A15" w14:textId="77777777" w:rsidR="00722320" w:rsidRPr="0081243C" w:rsidRDefault="00722320" w:rsidP="005E0FB1">
      <w:pPr>
        <w:spacing w:line="480" w:lineRule="auto"/>
        <w:jc w:val="both"/>
        <w:rPr>
          <w:rFonts w:ascii="Arial" w:hAnsi="Arial" w:cs="Arial"/>
          <w:sz w:val="24"/>
          <w:szCs w:val="24"/>
          <w:lang w:val="en-GB"/>
        </w:rPr>
      </w:pPr>
    </w:p>
    <w:p w14:paraId="06AEA0AE" w14:textId="56D5FA1E" w:rsidR="0080756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108.</w:t>
      </w:r>
      <w:r w:rsidRPr="0081243C">
        <w:rPr>
          <w:rFonts w:ascii="Arial" w:hAnsi="Arial" w:cs="Arial"/>
          <w:sz w:val="24"/>
          <w:szCs w:val="24"/>
          <w:lang w:val="en-GB"/>
        </w:rPr>
        <w:tab/>
      </w:r>
      <w:r w:rsidR="00807569" w:rsidRPr="00D87EDD">
        <w:rPr>
          <w:rFonts w:ascii="Arial" w:hAnsi="Arial" w:cs="Arial"/>
          <w:sz w:val="24"/>
          <w:szCs w:val="24"/>
          <w:lang w:val="en-GB"/>
        </w:rPr>
        <w:t>At the outset, and in order to consider the claim against the first Respondent, being the Attorneys Fidelity Fund, it is important to understand the purpose of this fund.  I will therefore first turn to the function of the fund and the purpose of this fund.</w:t>
      </w:r>
    </w:p>
    <w:p w14:paraId="4577F8A0" w14:textId="77777777" w:rsidR="00807569" w:rsidRPr="0081243C" w:rsidRDefault="00807569" w:rsidP="005E0FB1">
      <w:pPr>
        <w:pStyle w:val="ListParagraph"/>
        <w:spacing w:line="480" w:lineRule="auto"/>
        <w:jc w:val="both"/>
        <w:rPr>
          <w:rFonts w:ascii="Arial" w:hAnsi="Arial" w:cs="Arial"/>
          <w:sz w:val="24"/>
          <w:szCs w:val="24"/>
          <w:lang w:val="en-GB"/>
        </w:rPr>
      </w:pPr>
    </w:p>
    <w:p w14:paraId="088FCA01" w14:textId="3C3546C7" w:rsidR="00722320"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109.</w:t>
      </w:r>
      <w:r w:rsidRPr="0081243C">
        <w:rPr>
          <w:rFonts w:ascii="Arial" w:hAnsi="Arial" w:cs="Arial"/>
          <w:sz w:val="24"/>
          <w:szCs w:val="24"/>
          <w:lang w:val="en-GB"/>
        </w:rPr>
        <w:tab/>
      </w:r>
      <w:r w:rsidR="00766629" w:rsidRPr="00D87EDD">
        <w:rPr>
          <w:rFonts w:ascii="Arial" w:hAnsi="Arial" w:cs="Arial"/>
          <w:sz w:val="24"/>
          <w:szCs w:val="24"/>
          <w:lang w:val="en-GB"/>
        </w:rPr>
        <w:t>The Attorney Fidelity Fund is established in terms of section 25 of the Attorneys Act as the Attorneys Fidelity Fund and continues to exist in terms of section 53 (1) of the Legal Practice Act as the Legal Practitioners Fidelity Fund.</w:t>
      </w:r>
    </w:p>
    <w:p w14:paraId="0C52F1E9" w14:textId="77777777" w:rsidR="00766629" w:rsidRPr="0081243C" w:rsidRDefault="00766629" w:rsidP="005E0FB1">
      <w:pPr>
        <w:pStyle w:val="ListParagraph"/>
        <w:spacing w:line="480" w:lineRule="auto"/>
        <w:jc w:val="both"/>
        <w:rPr>
          <w:rFonts w:ascii="Arial" w:hAnsi="Arial" w:cs="Arial"/>
          <w:sz w:val="24"/>
          <w:szCs w:val="24"/>
          <w:lang w:val="en-GB"/>
        </w:rPr>
      </w:pPr>
    </w:p>
    <w:p w14:paraId="3185AB19" w14:textId="2E210BF0" w:rsidR="0076662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110.</w:t>
      </w:r>
      <w:r w:rsidRPr="0081243C">
        <w:rPr>
          <w:rFonts w:ascii="Arial" w:hAnsi="Arial" w:cs="Arial"/>
          <w:sz w:val="24"/>
          <w:szCs w:val="24"/>
          <w:lang w:val="en-GB"/>
        </w:rPr>
        <w:tab/>
      </w:r>
      <w:r w:rsidR="00807569" w:rsidRPr="00D87EDD">
        <w:rPr>
          <w:rFonts w:ascii="Arial" w:hAnsi="Arial" w:cs="Arial"/>
          <w:sz w:val="24"/>
          <w:szCs w:val="24"/>
          <w:lang w:val="en-GB"/>
        </w:rPr>
        <w:t xml:space="preserve">In the Heads of Argument that was filed on behalf of the first Respondent, it was emphasized that the fund was, amongst others, established for </w:t>
      </w:r>
      <w:r w:rsidR="00807569" w:rsidRPr="00D87EDD">
        <w:rPr>
          <w:rFonts w:ascii="Arial" w:hAnsi="Arial" w:cs="Arial"/>
          <w:i/>
          <w:iCs/>
          <w:sz w:val="24"/>
          <w:szCs w:val="24"/>
          <w:lang w:val="en-GB"/>
        </w:rPr>
        <w:t>inter alia</w:t>
      </w:r>
      <w:r w:rsidR="00807569" w:rsidRPr="00D87EDD">
        <w:rPr>
          <w:rFonts w:ascii="Arial" w:hAnsi="Arial" w:cs="Arial"/>
          <w:sz w:val="24"/>
          <w:szCs w:val="24"/>
          <w:lang w:val="en-GB"/>
        </w:rPr>
        <w:t xml:space="preserve"> the following purposes and objectives:</w:t>
      </w:r>
    </w:p>
    <w:p w14:paraId="29D6FEFB" w14:textId="77777777" w:rsidR="00807569" w:rsidRPr="0081243C" w:rsidRDefault="00807569" w:rsidP="005E0FB1">
      <w:pPr>
        <w:pStyle w:val="ListParagraph"/>
        <w:spacing w:line="480" w:lineRule="auto"/>
        <w:jc w:val="both"/>
        <w:rPr>
          <w:rFonts w:ascii="Arial" w:hAnsi="Arial" w:cs="Arial"/>
          <w:sz w:val="24"/>
          <w:szCs w:val="24"/>
          <w:lang w:val="en-GB"/>
        </w:rPr>
      </w:pPr>
    </w:p>
    <w:p w14:paraId="6519CCE9" w14:textId="12B11986" w:rsidR="00807569"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110.1</w:t>
      </w:r>
      <w:r w:rsidRPr="0081243C">
        <w:rPr>
          <w:rFonts w:ascii="Arial" w:hAnsi="Arial" w:cs="Arial"/>
          <w:sz w:val="24"/>
          <w:szCs w:val="24"/>
          <w:lang w:val="en-GB"/>
        </w:rPr>
        <w:tab/>
      </w:r>
      <w:r w:rsidR="00807569" w:rsidRPr="00D87EDD">
        <w:rPr>
          <w:rFonts w:ascii="Arial" w:hAnsi="Arial" w:cs="Arial"/>
          <w:sz w:val="24"/>
          <w:szCs w:val="24"/>
          <w:lang w:val="en-GB"/>
        </w:rPr>
        <w:t>Paying expenses incurred by the Board in investigating and establishing the validity of claims in respect of which it is liable;</w:t>
      </w:r>
    </w:p>
    <w:p w14:paraId="674FBCE2" w14:textId="77777777" w:rsidR="00807569" w:rsidRPr="0081243C" w:rsidRDefault="00807569" w:rsidP="005E0FB1">
      <w:pPr>
        <w:pStyle w:val="ListParagraph"/>
        <w:spacing w:line="480" w:lineRule="auto"/>
        <w:ind w:left="1440"/>
        <w:jc w:val="both"/>
        <w:rPr>
          <w:rFonts w:ascii="Arial" w:hAnsi="Arial" w:cs="Arial"/>
          <w:sz w:val="24"/>
          <w:szCs w:val="24"/>
          <w:lang w:val="en-GB"/>
        </w:rPr>
      </w:pPr>
    </w:p>
    <w:p w14:paraId="4A09E07C" w14:textId="7E0D878B" w:rsidR="00807569"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110.2</w:t>
      </w:r>
      <w:r w:rsidRPr="0081243C">
        <w:rPr>
          <w:rFonts w:ascii="Arial" w:hAnsi="Arial" w:cs="Arial"/>
          <w:sz w:val="24"/>
          <w:szCs w:val="24"/>
          <w:lang w:val="en-GB"/>
        </w:rPr>
        <w:tab/>
      </w:r>
      <w:r w:rsidR="00807569" w:rsidRPr="00D87EDD">
        <w:rPr>
          <w:rFonts w:ascii="Arial" w:hAnsi="Arial" w:cs="Arial"/>
          <w:sz w:val="24"/>
          <w:szCs w:val="24"/>
          <w:lang w:val="en-GB"/>
        </w:rPr>
        <w:t>Paying all expenses and legal costs incurred by the Board for the purpose of recovering money form the persons whose wrongful conduct gave rise to the claim;</w:t>
      </w:r>
    </w:p>
    <w:p w14:paraId="7B05D588" w14:textId="77777777" w:rsidR="00807569" w:rsidRPr="0081243C" w:rsidRDefault="00807569" w:rsidP="005E0FB1">
      <w:pPr>
        <w:pStyle w:val="ListParagraph"/>
        <w:spacing w:line="480" w:lineRule="auto"/>
        <w:jc w:val="both"/>
        <w:rPr>
          <w:rFonts w:ascii="Arial" w:hAnsi="Arial" w:cs="Arial"/>
          <w:sz w:val="24"/>
          <w:szCs w:val="24"/>
          <w:lang w:val="en-GB"/>
        </w:rPr>
      </w:pPr>
    </w:p>
    <w:p w14:paraId="1CC2DF86" w14:textId="70B25C59" w:rsidR="00807569"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110.3</w:t>
      </w:r>
      <w:r w:rsidRPr="0081243C">
        <w:rPr>
          <w:rFonts w:ascii="Arial" w:hAnsi="Arial" w:cs="Arial"/>
          <w:sz w:val="24"/>
          <w:szCs w:val="24"/>
          <w:lang w:val="en-GB"/>
        </w:rPr>
        <w:tab/>
      </w:r>
      <w:r w:rsidR="00807569" w:rsidRPr="00D87EDD">
        <w:rPr>
          <w:rFonts w:ascii="Arial" w:hAnsi="Arial" w:cs="Arial"/>
          <w:sz w:val="24"/>
          <w:szCs w:val="24"/>
          <w:lang w:val="en-GB"/>
        </w:rPr>
        <w:t>Refunding the costs or any portion thereof incurred by a claimant in establishing a claim or attempting to recover the whole or a portion of the claim from the person whose wrongful conduct gave rise to the claim;</w:t>
      </w:r>
    </w:p>
    <w:p w14:paraId="62C1003C" w14:textId="77777777" w:rsidR="00807569" w:rsidRPr="0081243C" w:rsidRDefault="00807569" w:rsidP="005E0FB1">
      <w:pPr>
        <w:pStyle w:val="ListParagraph"/>
        <w:spacing w:line="480" w:lineRule="auto"/>
        <w:jc w:val="both"/>
        <w:rPr>
          <w:rFonts w:ascii="Arial" w:hAnsi="Arial" w:cs="Arial"/>
          <w:sz w:val="24"/>
          <w:szCs w:val="24"/>
          <w:lang w:val="en-GB"/>
        </w:rPr>
      </w:pPr>
    </w:p>
    <w:p w14:paraId="02DC915B" w14:textId="102876C7" w:rsidR="00807569"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110.4</w:t>
      </w:r>
      <w:r w:rsidRPr="0081243C">
        <w:rPr>
          <w:rFonts w:ascii="Arial" w:hAnsi="Arial" w:cs="Arial"/>
          <w:sz w:val="24"/>
          <w:szCs w:val="24"/>
          <w:lang w:val="en-GB"/>
        </w:rPr>
        <w:tab/>
      </w:r>
      <w:r w:rsidR="00807569" w:rsidRPr="00D87EDD">
        <w:rPr>
          <w:rFonts w:ascii="Arial" w:hAnsi="Arial" w:cs="Arial"/>
          <w:sz w:val="24"/>
          <w:szCs w:val="24"/>
          <w:lang w:val="en-GB"/>
        </w:rPr>
        <w:t>Paying legal expenses incurred in defending a claim made against the Fund, or otherwise incurred in relation to the Fund; and</w:t>
      </w:r>
    </w:p>
    <w:p w14:paraId="5CFB06F5" w14:textId="77777777" w:rsidR="00807569" w:rsidRPr="0081243C" w:rsidRDefault="00807569" w:rsidP="005E0FB1">
      <w:pPr>
        <w:pStyle w:val="ListParagraph"/>
        <w:spacing w:line="480" w:lineRule="auto"/>
        <w:jc w:val="both"/>
        <w:rPr>
          <w:rFonts w:ascii="Arial" w:hAnsi="Arial" w:cs="Arial"/>
          <w:sz w:val="24"/>
          <w:szCs w:val="24"/>
          <w:lang w:val="en-GB"/>
        </w:rPr>
      </w:pPr>
    </w:p>
    <w:p w14:paraId="2D381E9C" w14:textId="6A72087D" w:rsidR="00807569"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110.5</w:t>
      </w:r>
      <w:r w:rsidRPr="0081243C">
        <w:rPr>
          <w:rFonts w:ascii="Arial" w:hAnsi="Arial" w:cs="Arial"/>
          <w:sz w:val="24"/>
          <w:szCs w:val="24"/>
          <w:lang w:val="en-GB"/>
        </w:rPr>
        <w:tab/>
      </w:r>
      <w:r w:rsidR="00807569" w:rsidRPr="00D87EDD">
        <w:rPr>
          <w:rFonts w:ascii="Arial" w:hAnsi="Arial" w:cs="Arial"/>
          <w:sz w:val="24"/>
          <w:szCs w:val="24"/>
          <w:lang w:val="en-GB"/>
        </w:rPr>
        <w:t>Paying costs relating to the detection or prevention of theft of trust money.</w:t>
      </w:r>
    </w:p>
    <w:p w14:paraId="05994B25" w14:textId="77777777" w:rsidR="00807569" w:rsidRPr="0081243C" w:rsidRDefault="00807569" w:rsidP="005E0FB1">
      <w:pPr>
        <w:pStyle w:val="ListParagraph"/>
        <w:spacing w:line="480" w:lineRule="auto"/>
        <w:jc w:val="both"/>
        <w:rPr>
          <w:rFonts w:ascii="Arial" w:hAnsi="Arial" w:cs="Arial"/>
          <w:sz w:val="24"/>
          <w:szCs w:val="24"/>
          <w:lang w:val="en-GB"/>
        </w:rPr>
      </w:pPr>
    </w:p>
    <w:p w14:paraId="75C79B2F" w14:textId="2E56C73F" w:rsidR="00807569"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111.</w:t>
      </w:r>
      <w:r w:rsidRPr="0081243C">
        <w:rPr>
          <w:rFonts w:ascii="Arial" w:hAnsi="Arial" w:cs="Arial"/>
          <w:sz w:val="24"/>
          <w:szCs w:val="24"/>
          <w:lang w:val="en-GB"/>
        </w:rPr>
        <w:tab/>
      </w:r>
      <w:r w:rsidR="009B260B" w:rsidRPr="00D87EDD">
        <w:rPr>
          <w:rFonts w:ascii="Arial" w:hAnsi="Arial" w:cs="Arial"/>
          <w:sz w:val="24"/>
          <w:szCs w:val="24"/>
          <w:lang w:val="en-GB"/>
        </w:rPr>
        <w:t xml:space="preserve">In order to succeed in their case, the Applicant had to establish the requirements of section 26 (a) of the Attorneys Act, namely (a) theft committed by a practitioner, his or her candidate attorney or his or her employee; (b) of </w:t>
      </w:r>
      <w:r w:rsidR="009B260B" w:rsidRPr="00D87EDD">
        <w:rPr>
          <w:rFonts w:ascii="Arial" w:hAnsi="Arial" w:cs="Arial"/>
          <w:sz w:val="24"/>
          <w:szCs w:val="24"/>
          <w:lang w:val="en-GB"/>
        </w:rPr>
        <w:lastRenderedPageBreak/>
        <w:t>any money or other property entrusted by or on behalf of such a person to him or her or to his or her candidate attorney or employee; (c) in the course of his or her practice or while acting as executor or administrator in the estate of a deceased person or as a trustee in an insolvent estate or in any other similar capacity.</w:t>
      </w:r>
    </w:p>
    <w:p w14:paraId="026F9996" w14:textId="77777777" w:rsidR="009B260B" w:rsidRPr="0081243C" w:rsidRDefault="009B260B" w:rsidP="009B260B">
      <w:pPr>
        <w:pStyle w:val="ListParagraph"/>
        <w:spacing w:line="480" w:lineRule="auto"/>
        <w:jc w:val="both"/>
        <w:rPr>
          <w:rFonts w:ascii="Arial" w:hAnsi="Arial" w:cs="Arial"/>
          <w:sz w:val="24"/>
          <w:szCs w:val="24"/>
          <w:lang w:val="en-GB"/>
        </w:rPr>
      </w:pPr>
    </w:p>
    <w:p w14:paraId="6E7CF41E" w14:textId="44798FFE" w:rsidR="00722320"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112.</w:t>
      </w:r>
      <w:r w:rsidRPr="0081243C">
        <w:rPr>
          <w:rFonts w:ascii="Arial" w:hAnsi="Arial" w:cs="Arial"/>
          <w:sz w:val="24"/>
          <w:szCs w:val="24"/>
          <w:lang w:val="en-GB"/>
        </w:rPr>
        <w:tab/>
      </w:r>
      <w:r w:rsidR="00341652" w:rsidRPr="00D87EDD">
        <w:rPr>
          <w:rFonts w:ascii="Arial" w:hAnsi="Arial" w:cs="Arial"/>
          <w:sz w:val="24"/>
          <w:szCs w:val="24"/>
          <w:lang w:val="en-GB"/>
        </w:rPr>
        <w:t>I have dealt with th</w:t>
      </w:r>
      <w:r w:rsidR="00E3634D" w:rsidRPr="00D87EDD">
        <w:rPr>
          <w:rFonts w:ascii="Arial" w:hAnsi="Arial" w:cs="Arial"/>
          <w:sz w:val="24"/>
          <w:szCs w:val="24"/>
          <w:lang w:val="en-GB"/>
        </w:rPr>
        <w:t xml:space="preserve">e </w:t>
      </w:r>
      <w:r w:rsidR="00341652" w:rsidRPr="00D87EDD">
        <w:rPr>
          <w:rFonts w:ascii="Arial" w:hAnsi="Arial" w:cs="Arial"/>
          <w:sz w:val="24"/>
          <w:szCs w:val="24"/>
          <w:lang w:val="en-GB"/>
        </w:rPr>
        <w:t>aspect</w:t>
      </w:r>
      <w:r w:rsidR="00E3634D" w:rsidRPr="00D87EDD">
        <w:rPr>
          <w:rFonts w:ascii="Arial" w:hAnsi="Arial" w:cs="Arial"/>
          <w:sz w:val="24"/>
          <w:szCs w:val="24"/>
          <w:lang w:val="en-GB"/>
        </w:rPr>
        <w:t xml:space="preserve"> of entrustment herein above</w:t>
      </w:r>
      <w:r w:rsidR="00341652" w:rsidRPr="00D87EDD">
        <w:rPr>
          <w:rFonts w:ascii="Arial" w:hAnsi="Arial" w:cs="Arial"/>
          <w:sz w:val="24"/>
          <w:szCs w:val="24"/>
          <w:lang w:val="en-GB"/>
        </w:rPr>
        <w:t>.</w:t>
      </w:r>
      <w:r w:rsidR="00446B37" w:rsidRPr="00D87EDD">
        <w:rPr>
          <w:rFonts w:ascii="Arial" w:hAnsi="Arial" w:cs="Arial"/>
          <w:sz w:val="24"/>
          <w:szCs w:val="24"/>
          <w:lang w:val="en-GB"/>
        </w:rPr>
        <w:t xml:space="preserve">  The Applicants failed to meet th</w:t>
      </w:r>
      <w:r w:rsidR="00E3634D" w:rsidRPr="00D87EDD">
        <w:rPr>
          <w:rFonts w:ascii="Arial" w:hAnsi="Arial" w:cs="Arial"/>
          <w:sz w:val="24"/>
          <w:szCs w:val="24"/>
          <w:lang w:val="en-GB"/>
        </w:rPr>
        <w:t>is</w:t>
      </w:r>
      <w:r w:rsidR="00446B37" w:rsidRPr="00D87EDD">
        <w:rPr>
          <w:rFonts w:ascii="Arial" w:hAnsi="Arial" w:cs="Arial"/>
          <w:sz w:val="24"/>
          <w:szCs w:val="24"/>
          <w:lang w:val="en-GB"/>
        </w:rPr>
        <w:t xml:space="preserve"> requirement.</w:t>
      </w:r>
    </w:p>
    <w:p w14:paraId="153C49C0" w14:textId="77777777" w:rsidR="00E3634D" w:rsidRPr="0081243C" w:rsidRDefault="00E3634D" w:rsidP="00E3634D">
      <w:pPr>
        <w:pStyle w:val="ListParagraph"/>
        <w:rPr>
          <w:rFonts w:ascii="Arial" w:hAnsi="Arial" w:cs="Arial"/>
          <w:sz w:val="24"/>
          <w:szCs w:val="24"/>
          <w:lang w:val="en-GB"/>
        </w:rPr>
      </w:pPr>
    </w:p>
    <w:p w14:paraId="6BE04176" w14:textId="4687F28E" w:rsidR="00E3634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113.</w:t>
      </w:r>
      <w:r w:rsidRPr="0081243C">
        <w:rPr>
          <w:rFonts w:ascii="Arial" w:hAnsi="Arial" w:cs="Arial"/>
          <w:sz w:val="24"/>
          <w:szCs w:val="24"/>
          <w:lang w:val="en-GB"/>
        </w:rPr>
        <w:tab/>
      </w:r>
      <w:r w:rsidR="00E3634D" w:rsidRPr="00D87EDD">
        <w:rPr>
          <w:rFonts w:ascii="Arial" w:hAnsi="Arial" w:cs="Arial"/>
          <w:sz w:val="24"/>
          <w:szCs w:val="24"/>
          <w:lang w:val="en-GB"/>
        </w:rPr>
        <w:t xml:space="preserve">The applicants, in the affidavit dated 29 January 2013 stated in paragraph 2.9 that the deponent could not specifically established that the fund have been stolen.  A rider was added shifting the blame to the Law Society.  </w:t>
      </w:r>
    </w:p>
    <w:p w14:paraId="00A53566" w14:textId="77777777" w:rsidR="00E3634D" w:rsidRPr="0081243C" w:rsidRDefault="00E3634D" w:rsidP="00E3634D">
      <w:pPr>
        <w:pStyle w:val="ListParagraph"/>
        <w:rPr>
          <w:rFonts w:ascii="Arial" w:hAnsi="Arial" w:cs="Arial"/>
          <w:sz w:val="24"/>
          <w:szCs w:val="24"/>
          <w:lang w:val="en-GB"/>
        </w:rPr>
      </w:pPr>
    </w:p>
    <w:p w14:paraId="08A01729" w14:textId="4F2F0A26" w:rsidR="00E3634D"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114.</w:t>
      </w:r>
      <w:r w:rsidRPr="0081243C">
        <w:rPr>
          <w:rFonts w:ascii="Arial" w:hAnsi="Arial" w:cs="Arial"/>
          <w:sz w:val="24"/>
          <w:szCs w:val="24"/>
          <w:lang w:val="en-GB"/>
        </w:rPr>
        <w:tab/>
      </w:r>
      <w:r w:rsidR="00E3634D" w:rsidRPr="00D87EDD">
        <w:rPr>
          <w:rFonts w:ascii="Arial" w:hAnsi="Arial" w:cs="Arial"/>
          <w:sz w:val="24"/>
          <w:szCs w:val="24"/>
          <w:lang w:val="en-GB"/>
        </w:rPr>
        <w:t xml:space="preserve">I cannot come to conclusion that this requirement have been met.  </w:t>
      </w:r>
    </w:p>
    <w:p w14:paraId="5FE95C20" w14:textId="77777777" w:rsidR="00341652" w:rsidRPr="0081243C" w:rsidRDefault="00341652" w:rsidP="00341652">
      <w:pPr>
        <w:pStyle w:val="ListParagraph"/>
        <w:rPr>
          <w:rFonts w:ascii="Arial" w:hAnsi="Arial" w:cs="Arial"/>
          <w:sz w:val="24"/>
          <w:szCs w:val="24"/>
          <w:lang w:val="en-GB"/>
        </w:rPr>
      </w:pPr>
    </w:p>
    <w:p w14:paraId="3DC594C7" w14:textId="084C7BB8" w:rsidR="0034165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115.</w:t>
      </w:r>
      <w:r w:rsidRPr="0081243C">
        <w:rPr>
          <w:rFonts w:ascii="Arial" w:hAnsi="Arial" w:cs="Arial"/>
          <w:sz w:val="24"/>
          <w:szCs w:val="24"/>
          <w:lang w:val="en-GB"/>
        </w:rPr>
        <w:tab/>
      </w:r>
      <w:r w:rsidR="00446B37" w:rsidRPr="00D87EDD">
        <w:rPr>
          <w:rFonts w:ascii="Arial" w:hAnsi="Arial" w:cs="Arial"/>
          <w:sz w:val="24"/>
          <w:szCs w:val="24"/>
          <w:lang w:val="en-GB"/>
        </w:rPr>
        <w:t>The first Respondent raises a defence in terms of section 47 (1) (g) of the Attorneys Act.</w:t>
      </w:r>
      <w:r w:rsidR="006C489A" w:rsidRPr="00D87EDD">
        <w:rPr>
          <w:rFonts w:ascii="Arial" w:hAnsi="Arial" w:cs="Arial"/>
          <w:sz w:val="24"/>
          <w:szCs w:val="24"/>
          <w:lang w:val="en-GB"/>
        </w:rPr>
        <w:t xml:space="preserve">  Section 47 (1) (g) of the Attorneys Act provides that:</w:t>
      </w:r>
    </w:p>
    <w:p w14:paraId="4990B3D5" w14:textId="77777777" w:rsidR="006C489A" w:rsidRPr="0081243C" w:rsidRDefault="006C489A" w:rsidP="006C489A">
      <w:pPr>
        <w:pStyle w:val="ListParagraph"/>
        <w:rPr>
          <w:rFonts w:ascii="Arial" w:hAnsi="Arial" w:cs="Arial"/>
          <w:sz w:val="24"/>
          <w:szCs w:val="24"/>
          <w:lang w:val="en-GB"/>
        </w:rPr>
      </w:pPr>
    </w:p>
    <w:p w14:paraId="77FD4017" w14:textId="4001A93B" w:rsidR="006C489A" w:rsidRPr="0081243C" w:rsidRDefault="006C489A" w:rsidP="006C489A">
      <w:pPr>
        <w:pStyle w:val="ListParagraph"/>
        <w:spacing w:line="480" w:lineRule="auto"/>
        <w:jc w:val="both"/>
        <w:rPr>
          <w:rFonts w:ascii="Arial" w:hAnsi="Arial" w:cs="Arial"/>
          <w:i/>
          <w:iCs/>
          <w:sz w:val="24"/>
          <w:szCs w:val="24"/>
          <w:lang w:val="en-GB"/>
        </w:rPr>
      </w:pPr>
      <w:r w:rsidRPr="0081243C">
        <w:rPr>
          <w:rFonts w:ascii="Arial" w:hAnsi="Arial" w:cs="Arial"/>
          <w:i/>
          <w:iCs/>
          <w:sz w:val="24"/>
          <w:szCs w:val="24"/>
          <w:lang w:val="en-GB"/>
        </w:rPr>
        <w:t>“The fund shall not be liable in respect of any loss suffered … by any person as a result of the theft of money which a practitioner has been instructed to invest on behalf of such person …”</w:t>
      </w:r>
    </w:p>
    <w:p w14:paraId="279F310C" w14:textId="77777777" w:rsidR="006C489A" w:rsidRPr="0081243C" w:rsidRDefault="006C489A" w:rsidP="006C489A">
      <w:pPr>
        <w:pStyle w:val="ListParagraph"/>
        <w:rPr>
          <w:rFonts w:ascii="Arial" w:hAnsi="Arial" w:cs="Arial"/>
          <w:sz w:val="24"/>
          <w:szCs w:val="24"/>
          <w:lang w:val="en-GB"/>
        </w:rPr>
      </w:pPr>
    </w:p>
    <w:p w14:paraId="6CF25476" w14:textId="415462EF" w:rsidR="006C489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116.</w:t>
      </w:r>
      <w:r w:rsidRPr="0081243C">
        <w:rPr>
          <w:rFonts w:ascii="Arial" w:hAnsi="Arial" w:cs="Arial"/>
          <w:sz w:val="24"/>
          <w:szCs w:val="24"/>
          <w:lang w:val="en-GB"/>
        </w:rPr>
        <w:tab/>
      </w:r>
      <w:r w:rsidR="006C489A" w:rsidRPr="00D87EDD">
        <w:rPr>
          <w:rFonts w:ascii="Arial" w:hAnsi="Arial" w:cs="Arial"/>
          <w:sz w:val="24"/>
          <w:szCs w:val="24"/>
          <w:lang w:val="en-GB"/>
        </w:rPr>
        <w:t>This subsection is a statutory exception to the Fund’s general liability in terms of section 26 of the Attorneys Act.</w:t>
      </w:r>
    </w:p>
    <w:p w14:paraId="2A4FCF39" w14:textId="77777777" w:rsidR="003D2D12" w:rsidRPr="0081243C" w:rsidRDefault="003D2D12" w:rsidP="003D2D12">
      <w:pPr>
        <w:pStyle w:val="ListParagraph"/>
        <w:spacing w:line="480" w:lineRule="auto"/>
        <w:jc w:val="both"/>
        <w:rPr>
          <w:rFonts w:ascii="Arial" w:hAnsi="Arial" w:cs="Arial"/>
          <w:sz w:val="24"/>
          <w:szCs w:val="24"/>
          <w:lang w:val="en-GB"/>
        </w:rPr>
      </w:pPr>
    </w:p>
    <w:p w14:paraId="1B9C293D" w14:textId="4922CE33" w:rsidR="006C489A"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117.</w:t>
      </w:r>
      <w:r w:rsidRPr="0081243C">
        <w:rPr>
          <w:rFonts w:ascii="Arial" w:hAnsi="Arial" w:cs="Arial"/>
          <w:sz w:val="24"/>
          <w:szCs w:val="24"/>
          <w:lang w:val="en-GB"/>
        </w:rPr>
        <w:tab/>
      </w:r>
      <w:r w:rsidR="00A10492" w:rsidRPr="00D87EDD">
        <w:rPr>
          <w:rFonts w:ascii="Arial" w:hAnsi="Arial" w:cs="Arial"/>
          <w:sz w:val="24"/>
          <w:szCs w:val="24"/>
          <w:lang w:val="en-GB"/>
        </w:rPr>
        <w:t xml:space="preserve">I cannot find fault with this defence raised by the Fund.  </w:t>
      </w:r>
    </w:p>
    <w:p w14:paraId="25847B27" w14:textId="77777777" w:rsidR="00A10492" w:rsidRPr="0081243C" w:rsidRDefault="00A10492" w:rsidP="00A10492">
      <w:pPr>
        <w:pStyle w:val="ListParagraph"/>
        <w:rPr>
          <w:rFonts w:ascii="Arial" w:hAnsi="Arial" w:cs="Arial"/>
          <w:sz w:val="24"/>
          <w:szCs w:val="24"/>
          <w:lang w:val="en-GB"/>
        </w:rPr>
      </w:pPr>
    </w:p>
    <w:p w14:paraId="44810AB4" w14:textId="02658E1A" w:rsidR="00A10492"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118.</w:t>
      </w:r>
      <w:r w:rsidRPr="0081243C">
        <w:rPr>
          <w:rFonts w:ascii="Arial" w:hAnsi="Arial" w:cs="Arial"/>
          <w:sz w:val="24"/>
          <w:szCs w:val="24"/>
          <w:lang w:val="en-GB"/>
        </w:rPr>
        <w:tab/>
      </w:r>
      <w:r w:rsidR="00A10492" w:rsidRPr="00D87EDD">
        <w:rPr>
          <w:rFonts w:ascii="Arial" w:hAnsi="Arial" w:cs="Arial"/>
          <w:sz w:val="24"/>
          <w:szCs w:val="24"/>
          <w:lang w:val="en-GB"/>
        </w:rPr>
        <w:t xml:space="preserve">The claim against the first Respondent therefore cannot succeed.  </w:t>
      </w:r>
    </w:p>
    <w:p w14:paraId="0C7619C3" w14:textId="77777777" w:rsidR="007732E7" w:rsidRPr="0081243C" w:rsidRDefault="007732E7" w:rsidP="005E0FB1">
      <w:pPr>
        <w:spacing w:line="480" w:lineRule="auto"/>
        <w:jc w:val="both"/>
        <w:rPr>
          <w:rFonts w:ascii="Arial" w:hAnsi="Arial" w:cs="Arial"/>
          <w:b/>
          <w:bCs/>
          <w:sz w:val="24"/>
          <w:szCs w:val="24"/>
          <w:u w:val="single"/>
          <w:lang w:val="en-GB"/>
        </w:rPr>
      </w:pPr>
    </w:p>
    <w:p w14:paraId="33BFA41A" w14:textId="0D6590F1" w:rsidR="00722320" w:rsidRPr="0081243C" w:rsidRDefault="00722320" w:rsidP="005E0FB1">
      <w:pPr>
        <w:spacing w:line="480" w:lineRule="auto"/>
        <w:jc w:val="both"/>
        <w:rPr>
          <w:rFonts w:ascii="Arial" w:hAnsi="Arial" w:cs="Arial"/>
          <w:b/>
          <w:bCs/>
          <w:sz w:val="24"/>
          <w:szCs w:val="24"/>
          <w:u w:val="single"/>
          <w:lang w:val="en-GB"/>
        </w:rPr>
      </w:pPr>
      <w:r w:rsidRPr="0081243C">
        <w:rPr>
          <w:rFonts w:ascii="Arial" w:hAnsi="Arial" w:cs="Arial"/>
          <w:b/>
          <w:bCs/>
          <w:sz w:val="24"/>
          <w:szCs w:val="24"/>
          <w:u w:val="single"/>
          <w:lang w:val="en-GB"/>
        </w:rPr>
        <w:t>THE CASE AGAINST THE SOUTH AFRICAN LEGAL PRACTICE COUNCIL</w:t>
      </w:r>
    </w:p>
    <w:p w14:paraId="7791B46C" w14:textId="34E79804" w:rsidR="00722320" w:rsidRPr="0081243C" w:rsidRDefault="00722320" w:rsidP="005E0FB1">
      <w:pPr>
        <w:spacing w:line="480" w:lineRule="auto"/>
        <w:jc w:val="both"/>
        <w:rPr>
          <w:rFonts w:ascii="Arial" w:hAnsi="Arial" w:cs="Arial"/>
          <w:sz w:val="24"/>
          <w:szCs w:val="24"/>
          <w:lang w:val="en-GB"/>
        </w:rPr>
      </w:pPr>
      <w:r w:rsidRPr="0081243C">
        <w:rPr>
          <w:rFonts w:ascii="Arial" w:hAnsi="Arial" w:cs="Arial"/>
          <w:sz w:val="24"/>
          <w:szCs w:val="24"/>
          <w:lang w:val="en-GB"/>
        </w:rPr>
        <w:t xml:space="preserve"> </w:t>
      </w:r>
    </w:p>
    <w:p w14:paraId="316AA7F9" w14:textId="3BC512ED" w:rsidR="007732E7"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119.</w:t>
      </w:r>
      <w:r w:rsidRPr="0081243C">
        <w:rPr>
          <w:rFonts w:ascii="Arial" w:hAnsi="Arial" w:cs="Arial"/>
          <w:sz w:val="24"/>
          <w:szCs w:val="24"/>
          <w:lang w:val="en-GB"/>
        </w:rPr>
        <w:tab/>
      </w:r>
      <w:r w:rsidR="007732E7" w:rsidRPr="00D87EDD">
        <w:rPr>
          <w:rFonts w:ascii="Arial" w:hAnsi="Arial" w:cs="Arial"/>
          <w:sz w:val="24"/>
          <w:szCs w:val="24"/>
          <w:lang w:val="en-GB"/>
        </w:rPr>
        <w:t xml:space="preserve">The second Respondent raises the issue that the claim against them is misplaced based on the fact that the second Respondent is not liable to reimburse monies which were paid into the an attorneys trust banking account, and which were misappropriated.  </w:t>
      </w:r>
    </w:p>
    <w:p w14:paraId="0E56DBA9" w14:textId="77777777" w:rsidR="007732E7" w:rsidRPr="0081243C" w:rsidRDefault="007732E7" w:rsidP="007732E7">
      <w:pPr>
        <w:pStyle w:val="ListParagraph"/>
        <w:spacing w:line="480" w:lineRule="auto"/>
        <w:jc w:val="both"/>
        <w:rPr>
          <w:rFonts w:ascii="Arial" w:hAnsi="Arial" w:cs="Arial"/>
          <w:sz w:val="24"/>
          <w:szCs w:val="24"/>
          <w:lang w:val="en-GB"/>
        </w:rPr>
      </w:pPr>
    </w:p>
    <w:p w14:paraId="3FE578BC" w14:textId="76434545" w:rsidR="00722320"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120.</w:t>
      </w:r>
      <w:r w:rsidRPr="0081243C">
        <w:rPr>
          <w:rFonts w:ascii="Arial" w:hAnsi="Arial" w:cs="Arial"/>
          <w:sz w:val="24"/>
          <w:szCs w:val="24"/>
          <w:lang w:val="en-GB"/>
        </w:rPr>
        <w:tab/>
      </w:r>
      <w:r w:rsidR="007732E7" w:rsidRPr="00D87EDD">
        <w:rPr>
          <w:rFonts w:ascii="Arial" w:hAnsi="Arial" w:cs="Arial"/>
          <w:sz w:val="24"/>
          <w:szCs w:val="24"/>
          <w:lang w:val="en-GB"/>
        </w:rPr>
        <w:t xml:space="preserve">In substantiation of the version by the second Respondent, they again confirm that the records of Barnard did not reflect either of the Applicants as trust creditors and not were there open trust investment account on behalf of the applicants, nor was there even a </w:t>
      </w:r>
      <w:r w:rsidR="00F77021" w:rsidRPr="00D87EDD">
        <w:rPr>
          <w:rFonts w:ascii="Arial" w:hAnsi="Arial" w:cs="Arial"/>
          <w:sz w:val="24"/>
          <w:szCs w:val="24"/>
          <w:lang w:val="en-GB"/>
        </w:rPr>
        <w:t xml:space="preserve"> </w:t>
      </w:r>
      <w:r w:rsidR="007732E7" w:rsidRPr="00D87EDD">
        <w:rPr>
          <w:rFonts w:ascii="Arial" w:hAnsi="Arial" w:cs="Arial"/>
          <w:sz w:val="24"/>
          <w:szCs w:val="24"/>
          <w:lang w:val="en-GB"/>
        </w:rPr>
        <w:t xml:space="preserve">file relating to the applicants.  </w:t>
      </w:r>
    </w:p>
    <w:p w14:paraId="737A0E34" w14:textId="77777777" w:rsidR="007732E7" w:rsidRPr="0081243C" w:rsidRDefault="007732E7" w:rsidP="007732E7">
      <w:pPr>
        <w:pStyle w:val="ListParagraph"/>
        <w:rPr>
          <w:rFonts w:ascii="Arial" w:hAnsi="Arial" w:cs="Arial"/>
          <w:sz w:val="24"/>
          <w:szCs w:val="24"/>
          <w:lang w:val="en-GB"/>
        </w:rPr>
      </w:pPr>
    </w:p>
    <w:p w14:paraId="269D16A2" w14:textId="3C76CEF7" w:rsidR="007732E7"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121.</w:t>
      </w:r>
      <w:r w:rsidRPr="0081243C">
        <w:rPr>
          <w:rFonts w:ascii="Arial" w:hAnsi="Arial" w:cs="Arial"/>
          <w:sz w:val="24"/>
          <w:szCs w:val="24"/>
          <w:lang w:val="en-GB"/>
        </w:rPr>
        <w:tab/>
      </w:r>
      <w:r w:rsidR="007732E7" w:rsidRPr="00D87EDD">
        <w:rPr>
          <w:rFonts w:ascii="Arial" w:hAnsi="Arial" w:cs="Arial"/>
          <w:sz w:val="24"/>
          <w:szCs w:val="24"/>
          <w:lang w:val="en-GB"/>
        </w:rPr>
        <w:t>The records of Barnard also speaks to the contrary as during this time the alleged amount was paid, the cumulative balance of any trust investment dropped to as low as R139 471.88.</w:t>
      </w:r>
    </w:p>
    <w:p w14:paraId="0C72BCB3" w14:textId="77777777" w:rsidR="007732E7" w:rsidRPr="0081243C" w:rsidRDefault="007732E7" w:rsidP="007732E7">
      <w:pPr>
        <w:pStyle w:val="ListParagraph"/>
        <w:rPr>
          <w:rFonts w:ascii="Arial" w:hAnsi="Arial" w:cs="Arial"/>
          <w:sz w:val="24"/>
          <w:szCs w:val="24"/>
          <w:lang w:val="en-GB"/>
        </w:rPr>
      </w:pPr>
    </w:p>
    <w:p w14:paraId="614418A8" w14:textId="1360B8BA" w:rsidR="007732E7"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122.</w:t>
      </w:r>
      <w:r w:rsidRPr="0081243C">
        <w:rPr>
          <w:rFonts w:ascii="Arial" w:hAnsi="Arial" w:cs="Arial"/>
          <w:sz w:val="24"/>
          <w:szCs w:val="24"/>
          <w:lang w:val="en-GB"/>
        </w:rPr>
        <w:tab/>
      </w:r>
      <w:r w:rsidR="007732E7" w:rsidRPr="00D87EDD">
        <w:rPr>
          <w:rFonts w:ascii="Arial" w:hAnsi="Arial" w:cs="Arial"/>
          <w:sz w:val="24"/>
          <w:szCs w:val="24"/>
          <w:lang w:val="en-GB"/>
        </w:rPr>
        <w:t>There is simply no cause of action against the second Respondent and the claim against the second Respondent should fail.</w:t>
      </w:r>
    </w:p>
    <w:p w14:paraId="482DDC1F" w14:textId="77777777" w:rsidR="007732E7" w:rsidRPr="0081243C" w:rsidRDefault="007732E7" w:rsidP="007732E7">
      <w:pPr>
        <w:pStyle w:val="ListParagraph"/>
        <w:rPr>
          <w:rFonts w:ascii="Arial" w:hAnsi="Arial" w:cs="Arial"/>
          <w:sz w:val="24"/>
          <w:szCs w:val="24"/>
          <w:lang w:val="en-GB"/>
        </w:rPr>
      </w:pPr>
    </w:p>
    <w:p w14:paraId="43C71999" w14:textId="77777777" w:rsidR="007732E7" w:rsidRPr="0081243C" w:rsidRDefault="007732E7" w:rsidP="007732E7">
      <w:pPr>
        <w:spacing w:line="480" w:lineRule="auto"/>
        <w:jc w:val="both"/>
        <w:rPr>
          <w:rFonts w:ascii="Arial" w:hAnsi="Arial" w:cs="Arial"/>
          <w:sz w:val="24"/>
          <w:szCs w:val="24"/>
          <w:lang w:val="en-GB"/>
        </w:rPr>
      </w:pPr>
    </w:p>
    <w:p w14:paraId="5592C73C" w14:textId="77777777" w:rsidR="00C93B35" w:rsidRPr="0081243C" w:rsidRDefault="00C93B35" w:rsidP="005E0FB1">
      <w:pPr>
        <w:spacing w:line="480" w:lineRule="auto"/>
        <w:jc w:val="both"/>
        <w:rPr>
          <w:rFonts w:ascii="Arial" w:hAnsi="Arial" w:cs="Arial"/>
          <w:sz w:val="24"/>
          <w:szCs w:val="24"/>
          <w:lang w:val="en-GB"/>
        </w:rPr>
      </w:pPr>
    </w:p>
    <w:p w14:paraId="7CA7D00B" w14:textId="34DAD6E8" w:rsidR="006C2FB0" w:rsidRPr="0081243C" w:rsidRDefault="006C2FB0" w:rsidP="005E0FB1">
      <w:pPr>
        <w:spacing w:line="480" w:lineRule="auto"/>
        <w:jc w:val="both"/>
        <w:rPr>
          <w:rFonts w:ascii="Arial" w:hAnsi="Arial" w:cs="Arial"/>
          <w:sz w:val="24"/>
          <w:szCs w:val="24"/>
          <w:lang w:val="en-GB"/>
        </w:rPr>
      </w:pPr>
      <w:r w:rsidRPr="0081243C">
        <w:rPr>
          <w:rFonts w:ascii="Arial" w:hAnsi="Arial" w:cs="Arial"/>
          <w:b/>
          <w:bCs/>
          <w:sz w:val="24"/>
          <w:szCs w:val="24"/>
          <w:u w:val="single"/>
          <w:lang w:val="en-GB"/>
        </w:rPr>
        <w:t>CONCLUSION</w:t>
      </w:r>
    </w:p>
    <w:p w14:paraId="1065B3F7" w14:textId="0963E81A" w:rsidR="006C2FB0" w:rsidRPr="0081243C" w:rsidRDefault="007732E7" w:rsidP="005E0FB1">
      <w:pPr>
        <w:spacing w:line="480" w:lineRule="auto"/>
        <w:jc w:val="both"/>
        <w:rPr>
          <w:rFonts w:ascii="Arial" w:hAnsi="Arial" w:cs="Arial"/>
          <w:sz w:val="24"/>
          <w:szCs w:val="24"/>
          <w:lang w:val="en-GB"/>
        </w:rPr>
      </w:pPr>
      <w:r w:rsidRPr="0081243C">
        <w:rPr>
          <w:rFonts w:ascii="Arial" w:hAnsi="Arial" w:cs="Arial"/>
          <w:sz w:val="24"/>
          <w:szCs w:val="24"/>
          <w:lang w:val="en-GB"/>
        </w:rPr>
        <w:t xml:space="preserve"> </w:t>
      </w:r>
    </w:p>
    <w:p w14:paraId="46CA211F" w14:textId="0D786468" w:rsidR="006C2FB0"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lastRenderedPageBreak/>
        <w:t>123.</w:t>
      </w:r>
      <w:r w:rsidRPr="0081243C">
        <w:rPr>
          <w:rFonts w:ascii="Arial" w:hAnsi="Arial" w:cs="Arial"/>
          <w:sz w:val="24"/>
          <w:szCs w:val="24"/>
          <w:lang w:val="en-GB"/>
        </w:rPr>
        <w:tab/>
      </w:r>
      <w:r w:rsidR="00B83A4F" w:rsidRPr="00D87EDD">
        <w:rPr>
          <w:rFonts w:ascii="Arial" w:hAnsi="Arial" w:cs="Arial"/>
          <w:sz w:val="24"/>
          <w:szCs w:val="24"/>
          <w:lang w:val="en-GB"/>
        </w:rPr>
        <w:t xml:space="preserve">I agree with the argument by the second Respondent that the Applicants approached the Court on vague and inaccurate allegations regarding an alleged entrustment of funds.  </w:t>
      </w:r>
    </w:p>
    <w:p w14:paraId="1612536F" w14:textId="77777777" w:rsidR="00B83A4F" w:rsidRPr="0081243C" w:rsidRDefault="00B83A4F" w:rsidP="005E0FB1">
      <w:pPr>
        <w:pStyle w:val="ListParagraph"/>
        <w:spacing w:line="480" w:lineRule="auto"/>
        <w:jc w:val="both"/>
        <w:rPr>
          <w:rFonts w:ascii="Arial" w:hAnsi="Arial" w:cs="Arial"/>
          <w:sz w:val="24"/>
          <w:szCs w:val="24"/>
          <w:lang w:val="en-GB"/>
        </w:rPr>
      </w:pPr>
    </w:p>
    <w:p w14:paraId="6A9AE02F" w14:textId="46EB7D3A" w:rsidR="00B83A4F"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124.</w:t>
      </w:r>
      <w:r w:rsidRPr="0081243C">
        <w:rPr>
          <w:rFonts w:ascii="Arial" w:hAnsi="Arial" w:cs="Arial"/>
          <w:sz w:val="24"/>
          <w:szCs w:val="24"/>
          <w:lang w:val="en-GB"/>
        </w:rPr>
        <w:tab/>
      </w:r>
      <w:r w:rsidR="00B83A4F" w:rsidRPr="00D87EDD">
        <w:rPr>
          <w:rFonts w:ascii="Arial" w:hAnsi="Arial" w:cs="Arial"/>
          <w:sz w:val="24"/>
          <w:szCs w:val="24"/>
          <w:lang w:val="en-GB"/>
        </w:rPr>
        <w:t xml:space="preserve">As is illustrated above, the Applicants failed to place any evidence before the Court proving that the funds held by the Council belongs to them.  </w:t>
      </w:r>
    </w:p>
    <w:p w14:paraId="7B99FC3C" w14:textId="77777777" w:rsidR="00B83A4F" w:rsidRPr="0081243C" w:rsidRDefault="00B83A4F" w:rsidP="005E0FB1">
      <w:pPr>
        <w:pStyle w:val="ListParagraph"/>
        <w:jc w:val="both"/>
        <w:rPr>
          <w:rFonts w:ascii="Arial" w:hAnsi="Arial" w:cs="Arial"/>
          <w:sz w:val="24"/>
          <w:szCs w:val="24"/>
          <w:lang w:val="en-GB"/>
        </w:rPr>
      </w:pPr>
    </w:p>
    <w:p w14:paraId="2FEEEA29" w14:textId="0D127D35" w:rsidR="00B83A4F"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125.</w:t>
      </w:r>
      <w:r w:rsidRPr="0081243C">
        <w:rPr>
          <w:rFonts w:ascii="Arial" w:hAnsi="Arial" w:cs="Arial"/>
          <w:sz w:val="24"/>
          <w:szCs w:val="24"/>
          <w:lang w:val="en-GB"/>
        </w:rPr>
        <w:tab/>
      </w:r>
      <w:r w:rsidR="002B68E5" w:rsidRPr="00D87EDD">
        <w:rPr>
          <w:rFonts w:ascii="Arial" w:hAnsi="Arial" w:cs="Arial"/>
          <w:sz w:val="24"/>
          <w:szCs w:val="24"/>
          <w:lang w:val="en-GB"/>
        </w:rPr>
        <w:t>On their own version they cannot make any positive statement that the money was stolen.</w:t>
      </w:r>
    </w:p>
    <w:p w14:paraId="7178F1D9" w14:textId="77777777" w:rsidR="008678FE" w:rsidRPr="0081243C" w:rsidRDefault="008678FE" w:rsidP="008678FE">
      <w:pPr>
        <w:pStyle w:val="ListParagraph"/>
        <w:rPr>
          <w:rFonts w:ascii="Arial" w:hAnsi="Arial" w:cs="Arial"/>
          <w:sz w:val="24"/>
          <w:szCs w:val="24"/>
          <w:lang w:val="en-GB"/>
        </w:rPr>
      </w:pPr>
    </w:p>
    <w:p w14:paraId="3E9B9391" w14:textId="1D672146" w:rsidR="008678FE"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126.</w:t>
      </w:r>
      <w:r w:rsidRPr="0081243C">
        <w:rPr>
          <w:rFonts w:ascii="Arial" w:hAnsi="Arial" w:cs="Arial"/>
          <w:sz w:val="24"/>
          <w:szCs w:val="24"/>
          <w:lang w:val="en-GB"/>
        </w:rPr>
        <w:tab/>
      </w:r>
      <w:r w:rsidR="008678FE" w:rsidRPr="00D87EDD">
        <w:rPr>
          <w:rFonts w:ascii="Arial" w:hAnsi="Arial" w:cs="Arial"/>
          <w:sz w:val="24"/>
          <w:szCs w:val="24"/>
          <w:lang w:val="en-GB"/>
        </w:rPr>
        <w:t xml:space="preserve">There is not sufficient evidence to find in the favour of the Applicants.  </w:t>
      </w:r>
    </w:p>
    <w:p w14:paraId="7A1FA30B" w14:textId="77777777" w:rsidR="006C2FB0" w:rsidRPr="0081243C" w:rsidRDefault="006C2FB0" w:rsidP="005E0FB1">
      <w:pPr>
        <w:spacing w:line="480" w:lineRule="auto"/>
        <w:jc w:val="both"/>
        <w:rPr>
          <w:rFonts w:ascii="Arial" w:hAnsi="Arial" w:cs="Arial"/>
          <w:sz w:val="24"/>
          <w:szCs w:val="24"/>
          <w:lang w:val="en-GB"/>
        </w:rPr>
      </w:pPr>
    </w:p>
    <w:p w14:paraId="009D6196" w14:textId="4B7C0928" w:rsidR="00F77021" w:rsidRPr="0081243C" w:rsidRDefault="00F77021" w:rsidP="005E0FB1">
      <w:pPr>
        <w:spacing w:line="480" w:lineRule="auto"/>
        <w:jc w:val="both"/>
        <w:rPr>
          <w:rFonts w:ascii="Arial" w:hAnsi="Arial" w:cs="Arial"/>
          <w:sz w:val="24"/>
          <w:szCs w:val="24"/>
          <w:lang w:val="en-GB"/>
        </w:rPr>
      </w:pPr>
      <w:r w:rsidRPr="0081243C">
        <w:rPr>
          <w:rFonts w:ascii="Arial" w:hAnsi="Arial" w:cs="Arial"/>
          <w:b/>
          <w:bCs/>
          <w:sz w:val="24"/>
          <w:szCs w:val="24"/>
          <w:u w:val="single"/>
          <w:lang w:val="en-GB"/>
        </w:rPr>
        <w:t>ORDER</w:t>
      </w:r>
    </w:p>
    <w:p w14:paraId="4C47C8F5" w14:textId="77777777" w:rsidR="00F77021" w:rsidRPr="0081243C" w:rsidRDefault="00F77021" w:rsidP="005E0FB1">
      <w:pPr>
        <w:spacing w:line="480" w:lineRule="auto"/>
        <w:jc w:val="both"/>
        <w:rPr>
          <w:rFonts w:ascii="Arial" w:hAnsi="Arial" w:cs="Arial"/>
          <w:sz w:val="24"/>
          <w:szCs w:val="24"/>
          <w:lang w:val="en-GB"/>
        </w:rPr>
      </w:pPr>
    </w:p>
    <w:p w14:paraId="738F7CC2" w14:textId="4E6F8048" w:rsidR="00F77021" w:rsidRPr="00D87EDD" w:rsidRDefault="00D87EDD" w:rsidP="00D87EDD">
      <w:pPr>
        <w:spacing w:line="480" w:lineRule="auto"/>
        <w:ind w:left="720" w:hanging="720"/>
        <w:jc w:val="both"/>
        <w:rPr>
          <w:rFonts w:ascii="Arial" w:hAnsi="Arial" w:cs="Arial"/>
          <w:sz w:val="24"/>
          <w:szCs w:val="24"/>
          <w:lang w:val="en-GB"/>
        </w:rPr>
      </w:pPr>
      <w:r w:rsidRPr="0081243C">
        <w:rPr>
          <w:rFonts w:ascii="Arial" w:hAnsi="Arial" w:cs="Arial"/>
          <w:sz w:val="24"/>
          <w:szCs w:val="24"/>
          <w:lang w:val="en-GB"/>
        </w:rPr>
        <w:t>127.</w:t>
      </w:r>
      <w:r w:rsidRPr="0081243C">
        <w:rPr>
          <w:rFonts w:ascii="Arial" w:hAnsi="Arial" w:cs="Arial"/>
          <w:sz w:val="24"/>
          <w:szCs w:val="24"/>
          <w:lang w:val="en-GB"/>
        </w:rPr>
        <w:tab/>
      </w:r>
      <w:r w:rsidR="00F77021" w:rsidRPr="00D87EDD">
        <w:rPr>
          <w:rFonts w:ascii="Arial" w:hAnsi="Arial" w:cs="Arial"/>
          <w:sz w:val="24"/>
          <w:szCs w:val="24"/>
          <w:lang w:val="en-GB"/>
        </w:rPr>
        <w:t>The following order is therefore made:</w:t>
      </w:r>
    </w:p>
    <w:p w14:paraId="59A819C0" w14:textId="77777777" w:rsidR="00F77021" w:rsidRPr="0081243C" w:rsidRDefault="00F77021" w:rsidP="005E0FB1">
      <w:pPr>
        <w:pStyle w:val="ListParagraph"/>
        <w:spacing w:line="480" w:lineRule="auto"/>
        <w:jc w:val="both"/>
        <w:rPr>
          <w:rFonts w:ascii="Arial" w:hAnsi="Arial" w:cs="Arial"/>
          <w:sz w:val="24"/>
          <w:szCs w:val="24"/>
          <w:lang w:val="en-GB"/>
        </w:rPr>
      </w:pPr>
    </w:p>
    <w:p w14:paraId="4E0D6DDD" w14:textId="28AD69FA" w:rsidR="00F77021"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127.1</w:t>
      </w:r>
      <w:r w:rsidRPr="0081243C">
        <w:rPr>
          <w:rFonts w:ascii="Arial" w:hAnsi="Arial" w:cs="Arial"/>
          <w:sz w:val="24"/>
          <w:szCs w:val="24"/>
          <w:lang w:val="en-GB"/>
        </w:rPr>
        <w:tab/>
      </w:r>
      <w:r w:rsidR="00B83A4F" w:rsidRPr="00D87EDD">
        <w:rPr>
          <w:rFonts w:ascii="Arial" w:hAnsi="Arial" w:cs="Arial"/>
          <w:sz w:val="24"/>
          <w:szCs w:val="24"/>
          <w:lang w:val="en-GB"/>
        </w:rPr>
        <w:t>The application is dismissed;</w:t>
      </w:r>
    </w:p>
    <w:p w14:paraId="022D0690" w14:textId="77777777" w:rsidR="00B83A4F" w:rsidRPr="0081243C" w:rsidRDefault="00B83A4F" w:rsidP="005E0FB1">
      <w:pPr>
        <w:pStyle w:val="ListParagraph"/>
        <w:spacing w:line="480" w:lineRule="auto"/>
        <w:ind w:left="1440"/>
        <w:jc w:val="both"/>
        <w:rPr>
          <w:rFonts w:ascii="Arial" w:hAnsi="Arial" w:cs="Arial"/>
          <w:sz w:val="24"/>
          <w:szCs w:val="24"/>
          <w:lang w:val="en-GB"/>
        </w:rPr>
      </w:pPr>
    </w:p>
    <w:p w14:paraId="00DB8FB0" w14:textId="2449B5B4" w:rsidR="00B83A4F" w:rsidRPr="00D87EDD" w:rsidRDefault="00D87EDD" w:rsidP="00D87EDD">
      <w:pPr>
        <w:spacing w:line="480" w:lineRule="auto"/>
        <w:ind w:left="1440" w:hanging="720"/>
        <w:jc w:val="both"/>
        <w:rPr>
          <w:rFonts w:ascii="Arial" w:hAnsi="Arial" w:cs="Arial"/>
          <w:sz w:val="24"/>
          <w:szCs w:val="24"/>
          <w:lang w:val="en-GB"/>
        </w:rPr>
      </w:pPr>
      <w:r w:rsidRPr="0081243C">
        <w:rPr>
          <w:rFonts w:ascii="Arial" w:hAnsi="Arial" w:cs="Arial"/>
          <w:sz w:val="24"/>
          <w:szCs w:val="24"/>
          <w:lang w:val="en-GB"/>
        </w:rPr>
        <w:t>127.2</w:t>
      </w:r>
      <w:r w:rsidRPr="0081243C">
        <w:rPr>
          <w:rFonts w:ascii="Arial" w:hAnsi="Arial" w:cs="Arial"/>
          <w:sz w:val="24"/>
          <w:szCs w:val="24"/>
          <w:lang w:val="en-GB"/>
        </w:rPr>
        <w:tab/>
      </w:r>
      <w:r w:rsidR="00B83A4F" w:rsidRPr="00D87EDD">
        <w:rPr>
          <w:rFonts w:ascii="Arial" w:hAnsi="Arial" w:cs="Arial"/>
          <w:sz w:val="24"/>
          <w:szCs w:val="24"/>
          <w:lang w:val="en-GB"/>
        </w:rPr>
        <w:t>The</w:t>
      </w:r>
      <w:r w:rsidR="0081243C" w:rsidRPr="00D87EDD">
        <w:rPr>
          <w:rFonts w:ascii="Arial" w:hAnsi="Arial" w:cs="Arial"/>
          <w:sz w:val="24"/>
          <w:szCs w:val="24"/>
          <w:lang w:val="en-GB"/>
        </w:rPr>
        <w:t xml:space="preserve"> first and second</w:t>
      </w:r>
      <w:r w:rsidR="00B83A4F" w:rsidRPr="00D87EDD">
        <w:rPr>
          <w:rFonts w:ascii="Arial" w:hAnsi="Arial" w:cs="Arial"/>
          <w:sz w:val="24"/>
          <w:szCs w:val="24"/>
          <w:lang w:val="en-GB"/>
        </w:rPr>
        <w:t xml:space="preserve"> applicants are to pay the costs of the first respondent, jointly and severally, the one paying the other to be absolved</w:t>
      </w:r>
      <w:r w:rsidR="005971A0" w:rsidRPr="00D87EDD">
        <w:rPr>
          <w:rFonts w:ascii="Arial" w:hAnsi="Arial" w:cs="Arial"/>
          <w:sz w:val="24"/>
          <w:szCs w:val="24"/>
          <w:lang w:val="en-GB"/>
        </w:rPr>
        <w:t xml:space="preserve"> on the scale between attorney and client, including the costs of senior counsel where so employed;</w:t>
      </w:r>
    </w:p>
    <w:p w14:paraId="2BB0ED54" w14:textId="77777777" w:rsidR="00B83A4F" w:rsidRPr="0081243C" w:rsidRDefault="00B83A4F" w:rsidP="005E0FB1">
      <w:pPr>
        <w:pStyle w:val="ListParagraph"/>
        <w:jc w:val="both"/>
        <w:rPr>
          <w:rFonts w:ascii="Arial" w:hAnsi="Arial" w:cs="Arial"/>
          <w:sz w:val="24"/>
          <w:szCs w:val="24"/>
          <w:lang w:val="en-GB"/>
        </w:rPr>
      </w:pPr>
    </w:p>
    <w:p w14:paraId="5038BCD4" w14:textId="6D5601A8" w:rsidR="00B83A4F" w:rsidRPr="00D87EDD" w:rsidRDefault="00D87EDD" w:rsidP="00D87EDD">
      <w:pPr>
        <w:spacing w:line="480" w:lineRule="auto"/>
        <w:ind w:left="1440" w:hanging="720"/>
        <w:jc w:val="both"/>
        <w:rPr>
          <w:rFonts w:ascii="Arial" w:hAnsi="Arial" w:cs="Arial"/>
          <w:sz w:val="24"/>
          <w:szCs w:val="24"/>
          <w:lang w:val="en-GB"/>
        </w:rPr>
      </w:pPr>
      <w:r>
        <w:rPr>
          <w:rFonts w:ascii="Arial" w:hAnsi="Arial" w:cs="Arial"/>
          <w:sz w:val="24"/>
          <w:szCs w:val="24"/>
          <w:lang w:val="en-GB"/>
        </w:rPr>
        <w:t>127.3</w:t>
      </w:r>
      <w:r>
        <w:rPr>
          <w:rFonts w:ascii="Arial" w:hAnsi="Arial" w:cs="Arial"/>
          <w:sz w:val="24"/>
          <w:szCs w:val="24"/>
          <w:lang w:val="en-GB"/>
        </w:rPr>
        <w:tab/>
      </w:r>
      <w:r w:rsidR="00B83A4F" w:rsidRPr="00D87EDD">
        <w:rPr>
          <w:rFonts w:ascii="Arial" w:hAnsi="Arial" w:cs="Arial"/>
          <w:sz w:val="24"/>
          <w:szCs w:val="24"/>
          <w:lang w:val="en-GB"/>
        </w:rPr>
        <w:t>The</w:t>
      </w:r>
      <w:r w:rsidR="0081243C" w:rsidRPr="00D87EDD">
        <w:rPr>
          <w:rFonts w:ascii="Arial" w:hAnsi="Arial" w:cs="Arial"/>
          <w:sz w:val="24"/>
          <w:szCs w:val="24"/>
          <w:lang w:val="en-GB"/>
        </w:rPr>
        <w:t xml:space="preserve"> first and second</w:t>
      </w:r>
      <w:r w:rsidR="00B83A4F" w:rsidRPr="00D87EDD">
        <w:rPr>
          <w:rFonts w:ascii="Arial" w:hAnsi="Arial" w:cs="Arial"/>
          <w:sz w:val="24"/>
          <w:szCs w:val="24"/>
          <w:lang w:val="en-GB"/>
        </w:rPr>
        <w:t xml:space="preserve"> applicants are to pay the costs of the second respondent, jointly and severally, the one paying the other to be absolved</w:t>
      </w:r>
      <w:r w:rsidR="005971A0" w:rsidRPr="00D87EDD">
        <w:rPr>
          <w:rFonts w:ascii="Arial" w:hAnsi="Arial" w:cs="Arial"/>
          <w:sz w:val="24"/>
          <w:szCs w:val="24"/>
          <w:lang w:val="en-GB"/>
        </w:rPr>
        <w:t>, on the scale between attorney and client.</w:t>
      </w:r>
    </w:p>
    <w:p w14:paraId="06D9AD5E" w14:textId="77777777" w:rsidR="00000A93" w:rsidRDefault="00000A93" w:rsidP="00000A93">
      <w:pPr>
        <w:spacing w:line="480" w:lineRule="auto"/>
        <w:jc w:val="both"/>
        <w:rPr>
          <w:rFonts w:ascii="Arial" w:hAnsi="Arial" w:cs="Arial"/>
          <w:sz w:val="24"/>
          <w:szCs w:val="24"/>
          <w:lang w:val="en-GB"/>
        </w:rPr>
      </w:pPr>
    </w:p>
    <w:p w14:paraId="30CC198C" w14:textId="57279163" w:rsidR="00000A93" w:rsidRDefault="00000A93" w:rsidP="00000A93">
      <w:pPr>
        <w:spacing w:line="480" w:lineRule="auto"/>
        <w:jc w:val="both"/>
        <w:rPr>
          <w:rFonts w:ascii="Arial" w:hAnsi="Arial" w:cs="Arial"/>
          <w:sz w:val="24"/>
          <w:szCs w:val="24"/>
          <w:lang w:val="en-GB"/>
        </w:rPr>
      </w:pPr>
      <w:r>
        <w:rPr>
          <w:rFonts w:ascii="Arial" w:hAnsi="Arial" w:cs="Arial"/>
          <w:sz w:val="24"/>
          <w:szCs w:val="24"/>
          <w:lang w:val="en-GB"/>
        </w:rPr>
        <w:t>________________________________</w:t>
      </w:r>
    </w:p>
    <w:p w14:paraId="25F51543" w14:textId="6815CD63" w:rsidR="00000A93" w:rsidRPr="00000A93" w:rsidRDefault="00000A93" w:rsidP="00000A93">
      <w:pPr>
        <w:spacing w:line="480" w:lineRule="auto"/>
        <w:jc w:val="both"/>
        <w:rPr>
          <w:rFonts w:ascii="Arial" w:hAnsi="Arial" w:cs="Arial"/>
          <w:b/>
          <w:bCs/>
          <w:sz w:val="24"/>
          <w:szCs w:val="24"/>
          <w:lang w:val="en-GB"/>
        </w:rPr>
      </w:pPr>
      <w:r>
        <w:rPr>
          <w:rFonts w:ascii="Arial" w:hAnsi="Arial" w:cs="Arial"/>
          <w:b/>
          <w:bCs/>
          <w:sz w:val="24"/>
          <w:szCs w:val="24"/>
          <w:lang w:val="en-GB"/>
        </w:rPr>
        <w:t>BY ORDER</w:t>
      </w:r>
    </w:p>
    <w:p w14:paraId="2A312940" w14:textId="77777777" w:rsidR="00000A93" w:rsidRDefault="00000A93" w:rsidP="00000A93">
      <w:pPr>
        <w:spacing w:line="480" w:lineRule="auto"/>
        <w:jc w:val="both"/>
        <w:rPr>
          <w:rFonts w:ascii="Arial" w:hAnsi="Arial" w:cs="Arial"/>
          <w:sz w:val="24"/>
          <w:szCs w:val="24"/>
          <w:lang w:val="en-GB"/>
        </w:rPr>
      </w:pPr>
    </w:p>
    <w:p w14:paraId="46DEE46E" w14:textId="09185D25" w:rsidR="00000A93" w:rsidRDefault="00000A93" w:rsidP="00000A93">
      <w:pPr>
        <w:spacing w:line="480" w:lineRule="auto"/>
        <w:jc w:val="both"/>
        <w:rPr>
          <w:rFonts w:ascii="Arial" w:hAnsi="Arial" w:cs="Arial"/>
          <w:sz w:val="24"/>
          <w:szCs w:val="24"/>
          <w:lang w:val="en-GB"/>
        </w:rPr>
      </w:pPr>
      <w:r>
        <w:rPr>
          <w:rFonts w:ascii="Arial" w:hAnsi="Arial" w:cs="Arial"/>
          <w:sz w:val="24"/>
          <w:szCs w:val="24"/>
          <w:lang w:val="en-GB"/>
        </w:rPr>
        <w:t>Appearance on behalf of the 1</w:t>
      </w:r>
      <w:r w:rsidRPr="00000A93">
        <w:rPr>
          <w:rFonts w:ascii="Arial" w:hAnsi="Arial" w:cs="Arial"/>
          <w:sz w:val="24"/>
          <w:szCs w:val="24"/>
          <w:vertAlign w:val="superscript"/>
          <w:lang w:val="en-GB"/>
        </w:rPr>
        <w:t>st</w:t>
      </w:r>
      <w:r>
        <w:rPr>
          <w:rFonts w:ascii="Arial" w:hAnsi="Arial" w:cs="Arial"/>
          <w:sz w:val="24"/>
          <w:szCs w:val="24"/>
          <w:lang w:val="en-GB"/>
        </w:rPr>
        <w:t xml:space="preserve"> and 2</w:t>
      </w:r>
      <w:r w:rsidRPr="00000A93">
        <w:rPr>
          <w:rFonts w:ascii="Arial" w:hAnsi="Arial" w:cs="Arial"/>
          <w:sz w:val="24"/>
          <w:szCs w:val="24"/>
          <w:vertAlign w:val="superscript"/>
          <w:lang w:val="en-GB"/>
        </w:rPr>
        <w:t>nd</w:t>
      </w:r>
      <w:r>
        <w:rPr>
          <w:rFonts w:ascii="Arial" w:hAnsi="Arial" w:cs="Arial"/>
          <w:sz w:val="24"/>
          <w:szCs w:val="24"/>
          <w:lang w:val="en-GB"/>
        </w:rPr>
        <w:t xml:space="preserve"> Applicants</w:t>
      </w:r>
      <w:r>
        <w:rPr>
          <w:rFonts w:ascii="Arial" w:hAnsi="Arial" w:cs="Arial"/>
          <w:sz w:val="24"/>
          <w:szCs w:val="24"/>
          <w:lang w:val="en-GB"/>
        </w:rPr>
        <w:tab/>
        <w:t>:</w:t>
      </w:r>
      <w:r>
        <w:rPr>
          <w:rFonts w:ascii="Arial" w:hAnsi="Arial" w:cs="Arial"/>
          <w:sz w:val="24"/>
          <w:szCs w:val="24"/>
          <w:lang w:val="en-GB"/>
        </w:rPr>
        <w:tab/>
        <w:t>Adv T C Kwinda</w:t>
      </w:r>
    </w:p>
    <w:p w14:paraId="28B4E0B8" w14:textId="77777777" w:rsidR="00000A93" w:rsidRDefault="00000A93" w:rsidP="00000A93">
      <w:pPr>
        <w:spacing w:line="480" w:lineRule="auto"/>
        <w:jc w:val="both"/>
        <w:rPr>
          <w:rFonts w:ascii="Arial" w:hAnsi="Arial" w:cs="Arial"/>
          <w:sz w:val="24"/>
          <w:szCs w:val="24"/>
          <w:lang w:val="en-GB"/>
        </w:rPr>
      </w:pPr>
    </w:p>
    <w:p w14:paraId="15794752" w14:textId="1DC2823E" w:rsidR="00000A93" w:rsidRDefault="00000A93" w:rsidP="00000A93">
      <w:pPr>
        <w:spacing w:line="480" w:lineRule="auto"/>
        <w:jc w:val="both"/>
        <w:rPr>
          <w:rFonts w:ascii="Arial" w:hAnsi="Arial" w:cs="Arial"/>
          <w:sz w:val="24"/>
          <w:szCs w:val="24"/>
          <w:lang w:val="en-GB"/>
        </w:rPr>
      </w:pPr>
      <w:r>
        <w:rPr>
          <w:rFonts w:ascii="Arial" w:hAnsi="Arial" w:cs="Arial"/>
          <w:sz w:val="24"/>
          <w:szCs w:val="24"/>
          <w:lang w:val="en-GB"/>
        </w:rPr>
        <w:t>Appearance on behalf of the 1</w:t>
      </w:r>
      <w:r w:rsidRPr="00000A93">
        <w:rPr>
          <w:rFonts w:ascii="Arial" w:hAnsi="Arial" w:cs="Arial"/>
          <w:sz w:val="24"/>
          <w:szCs w:val="24"/>
          <w:vertAlign w:val="superscript"/>
          <w:lang w:val="en-GB"/>
        </w:rPr>
        <w:t>st</w:t>
      </w:r>
      <w:r>
        <w:rPr>
          <w:rFonts w:ascii="Arial" w:hAnsi="Arial" w:cs="Arial"/>
          <w:sz w:val="24"/>
          <w:szCs w:val="24"/>
          <w:lang w:val="en-GB"/>
        </w:rPr>
        <w:t xml:space="preserve"> Respondent</w:t>
      </w:r>
      <w:r>
        <w:rPr>
          <w:rFonts w:ascii="Arial" w:hAnsi="Arial" w:cs="Arial"/>
          <w:sz w:val="24"/>
          <w:szCs w:val="24"/>
          <w:lang w:val="en-GB"/>
        </w:rPr>
        <w:tab/>
      </w:r>
      <w:r>
        <w:rPr>
          <w:rFonts w:ascii="Arial" w:hAnsi="Arial" w:cs="Arial"/>
          <w:sz w:val="24"/>
          <w:szCs w:val="24"/>
          <w:lang w:val="en-GB"/>
        </w:rPr>
        <w:tab/>
        <w:t>:</w:t>
      </w:r>
      <w:r>
        <w:rPr>
          <w:rFonts w:ascii="Arial" w:hAnsi="Arial" w:cs="Arial"/>
          <w:sz w:val="24"/>
          <w:szCs w:val="24"/>
          <w:lang w:val="en-GB"/>
        </w:rPr>
        <w:tab/>
        <w:t>Adv G Hulley SC</w:t>
      </w:r>
    </w:p>
    <w:p w14:paraId="2CA69BB5" w14:textId="77777777" w:rsidR="00000A93" w:rsidRDefault="00000A93" w:rsidP="00000A93">
      <w:pPr>
        <w:spacing w:line="480" w:lineRule="auto"/>
        <w:jc w:val="both"/>
        <w:rPr>
          <w:rFonts w:ascii="Arial" w:hAnsi="Arial" w:cs="Arial"/>
          <w:sz w:val="24"/>
          <w:szCs w:val="24"/>
          <w:lang w:val="en-GB"/>
        </w:rPr>
      </w:pPr>
    </w:p>
    <w:p w14:paraId="18572980" w14:textId="4EF121CF" w:rsidR="00000A93" w:rsidRDefault="00000A93" w:rsidP="00000A93">
      <w:pPr>
        <w:spacing w:line="480" w:lineRule="auto"/>
        <w:jc w:val="both"/>
        <w:rPr>
          <w:rFonts w:ascii="Arial" w:hAnsi="Arial" w:cs="Arial"/>
          <w:sz w:val="24"/>
          <w:szCs w:val="24"/>
          <w:lang w:val="en-GB"/>
        </w:rPr>
      </w:pPr>
      <w:r>
        <w:rPr>
          <w:rFonts w:ascii="Arial" w:hAnsi="Arial" w:cs="Arial"/>
          <w:sz w:val="24"/>
          <w:szCs w:val="24"/>
          <w:lang w:val="en-GB"/>
        </w:rPr>
        <w:t>Appearance on behalf of 2</w:t>
      </w:r>
      <w:r w:rsidRPr="00000A93">
        <w:rPr>
          <w:rFonts w:ascii="Arial" w:hAnsi="Arial" w:cs="Arial"/>
          <w:sz w:val="24"/>
          <w:szCs w:val="24"/>
          <w:vertAlign w:val="superscript"/>
          <w:lang w:val="en-GB"/>
        </w:rPr>
        <w:t>nd</w:t>
      </w:r>
      <w:r>
        <w:rPr>
          <w:rFonts w:ascii="Arial" w:hAnsi="Arial" w:cs="Arial"/>
          <w:sz w:val="24"/>
          <w:szCs w:val="24"/>
          <w:lang w:val="en-GB"/>
        </w:rPr>
        <w:t xml:space="preserve"> Respondent :</w:t>
      </w:r>
      <w:r>
        <w:rPr>
          <w:rFonts w:ascii="Arial" w:hAnsi="Arial" w:cs="Arial"/>
          <w:sz w:val="24"/>
          <w:szCs w:val="24"/>
          <w:lang w:val="en-GB"/>
        </w:rPr>
        <w:tab/>
      </w:r>
      <w:r>
        <w:rPr>
          <w:rFonts w:ascii="Arial" w:hAnsi="Arial" w:cs="Arial"/>
          <w:sz w:val="24"/>
          <w:szCs w:val="24"/>
          <w:lang w:val="en-GB"/>
        </w:rPr>
        <w:tab/>
        <w:t>:</w:t>
      </w:r>
      <w:r>
        <w:rPr>
          <w:rFonts w:ascii="Arial" w:hAnsi="Arial" w:cs="Arial"/>
          <w:sz w:val="24"/>
          <w:szCs w:val="24"/>
          <w:lang w:val="en-GB"/>
        </w:rPr>
        <w:tab/>
        <w:t>Mr Liam Groome</w:t>
      </w:r>
    </w:p>
    <w:p w14:paraId="1C428C1E" w14:textId="77777777" w:rsidR="00000A93" w:rsidRDefault="00000A93" w:rsidP="00000A93">
      <w:pPr>
        <w:spacing w:line="480" w:lineRule="auto"/>
        <w:jc w:val="both"/>
        <w:rPr>
          <w:rFonts w:ascii="Arial" w:hAnsi="Arial" w:cs="Arial"/>
          <w:sz w:val="24"/>
          <w:szCs w:val="24"/>
          <w:lang w:val="en-GB"/>
        </w:rPr>
      </w:pPr>
    </w:p>
    <w:p w14:paraId="43B2C6ED" w14:textId="77777777" w:rsidR="00000A93" w:rsidRPr="00000A93" w:rsidRDefault="00000A93" w:rsidP="00000A93">
      <w:pPr>
        <w:spacing w:line="480" w:lineRule="auto"/>
        <w:jc w:val="both"/>
        <w:rPr>
          <w:rFonts w:ascii="Arial" w:hAnsi="Arial" w:cs="Arial"/>
          <w:sz w:val="24"/>
          <w:szCs w:val="24"/>
          <w:lang w:val="en-GB"/>
        </w:rPr>
      </w:pPr>
    </w:p>
    <w:sectPr w:rsidR="00000A93" w:rsidRPr="00000A9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73FD2" w14:textId="77777777" w:rsidR="006728C2" w:rsidRDefault="006728C2" w:rsidP="000F12DE">
      <w:pPr>
        <w:spacing w:after="0" w:line="240" w:lineRule="auto"/>
      </w:pPr>
      <w:r>
        <w:separator/>
      </w:r>
    </w:p>
  </w:endnote>
  <w:endnote w:type="continuationSeparator" w:id="0">
    <w:p w14:paraId="4D7EAD87" w14:textId="77777777" w:rsidR="006728C2" w:rsidRDefault="006728C2" w:rsidP="000F12DE">
      <w:pPr>
        <w:spacing w:after="0" w:line="240" w:lineRule="auto"/>
      </w:pPr>
      <w:r>
        <w:continuationSeparator/>
      </w:r>
    </w:p>
  </w:endnote>
  <w:endnote w:id="1">
    <w:p w14:paraId="2F870E49" w14:textId="77777777" w:rsidR="006C3C41" w:rsidRPr="00356F41" w:rsidRDefault="006C3C41" w:rsidP="006C3C41">
      <w:pPr>
        <w:pStyle w:val="EndnoteText"/>
        <w:rPr>
          <w:lang w:val="en-GB"/>
        </w:rPr>
      </w:pPr>
      <w:r>
        <w:rPr>
          <w:rStyle w:val="EndnoteReference"/>
        </w:rPr>
        <w:endnoteRef/>
      </w:r>
      <w:r>
        <w:t xml:space="preserve"> </w:t>
      </w:r>
      <w:r>
        <w:rPr>
          <w:lang w:val="en-GB"/>
        </w:rPr>
        <w:t>No 28 of 2014</w:t>
      </w:r>
    </w:p>
  </w:endnote>
  <w:endnote w:id="2">
    <w:p w14:paraId="7A42CC4C" w14:textId="2B4C7A0A" w:rsidR="00356F41" w:rsidRPr="00356F41" w:rsidRDefault="00356F41">
      <w:pPr>
        <w:pStyle w:val="EndnoteText"/>
        <w:rPr>
          <w:lang w:val="en-GB"/>
        </w:rPr>
      </w:pPr>
      <w:r>
        <w:rPr>
          <w:rStyle w:val="EndnoteReference"/>
        </w:rPr>
        <w:endnoteRef/>
      </w:r>
      <w:r>
        <w:t xml:space="preserve"> </w:t>
      </w:r>
      <w:r>
        <w:rPr>
          <w:lang w:val="en-GB"/>
        </w:rPr>
        <w:t>No 53 of 1979</w:t>
      </w:r>
    </w:p>
  </w:endnote>
  <w:endnote w:id="3">
    <w:p w14:paraId="1B238166" w14:textId="7C1E3F65" w:rsidR="00792A5D" w:rsidRPr="00792A5D" w:rsidRDefault="00792A5D">
      <w:pPr>
        <w:pStyle w:val="EndnoteText"/>
        <w:rPr>
          <w:lang w:val="en-GB"/>
        </w:rPr>
      </w:pPr>
      <w:r>
        <w:rPr>
          <w:rStyle w:val="EndnoteReference"/>
        </w:rPr>
        <w:endnoteRef/>
      </w:r>
      <w:r>
        <w:t xml:space="preserve"> </w:t>
      </w:r>
      <w:r>
        <w:rPr>
          <w:lang w:val="en-GB"/>
        </w:rPr>
        <w:t>2018 JDR 2203 (SCA)</w:t>
      </w:r>
    </w:p>
  </w:endnote>
  <w:endnote w:id="4">
    <w:p w14:paraId="5F0BB8FA" w14:textId="3F3B7BC4" w:rsidR="00DC5C20" w:rsidRPr="00DC5C20" w:rsidRDefault="00DC5C20">
      <w:pPr>
        <w:pStyle w:val="EndnoteText"/>
        <w:rPr>
          <w:lang w:val="en-GB"/>
        </w:rPr>
      </w:pPr>
      <w:r>
        <w:rPr>
          <w:rStyle w:val="EndnoteReference"/>
        </w:rPr>
        <w:endnoteRef/>
      </w:r>
      <w:r>
        <w:t xml:space="preserve"> </w:t>
      </w:r>
      <w:r>
        <w:rPr>
          <w:lang w:val="en-GB"/>
        </w:rPr>
        <w:t>1996 (4) SA 6147 (A) at 632D</w:t>
      </w:r>
    </w:p>
  </w:endnote>
  <w:endnote w:id="5">
    <w:p w14:paraId="0E201CEE" w14:textId="4A120357" w:rsidR="008A6235" w:rsidRPr="008A6235" w:rsidRDefault="008A6235">
      <w:pPr>
        <w:pStyle w:val="EndnoteText"/>
        <w:rPr>
          <w:lang w:val="en-GB"/>
        </w:rPr>
      </w:pPr>
      <w:r>
        <w:rPr>
          <w:rStyle w:val="EndnoteReference"/>
        </w:rPr>
        <w:endnoteRef/>
      </w:r>
      <w:r>
        <w:t xml:space="preserve"> </w:t>
      </w:r>
      <w:r>
        <w:rPr>
          <w:lang w:val="en-GB"/>
        </w:rPr>
        <w:t>Section 67(1) of the Closed Corporation Act read with Section 80 (8) of the Companies Act 71 of 2008</w:t>
      </w:r>
    </w:p>
  </w:endnote>
  <w:endnote w:id="6">
    <w:p w14:paraId="580E94CC" w14:textId="33DE1ABF" w:rsidR="00513131" w:rsidRPr="00513131" w:rsidRDefault="00513131">
      <w:pPr>
        <w:pStyle w:val="EndnoteText"/>
        <w:rPr>
          <w:lang w:val="en-GB"/>
        </w:rPr>
      </w:pPr>
      <w:r>
        <w:rPr>
          <w:rStyle w:val="EndnoteReference"/>
        </w:rPr>
        <w:endnoteRef/>
      </w:r>
      <w:r>
        <w:t xml:space="preserve"> </w:t>
      </w:r>
      <w:r>
        <w:rPr>
          <w:lang w:val="en-GB"/>
        </w:rPr>
        <w:t>Act 69 of 1984</w:t>
      </w:r>
    </w:p>
  </w:endnote>
  <w:endnote w:id="7">
    <w:p w14:paraId="5A7B1C49" w14:textId="6C1DF22F" w:rsidR="006A25F8" w:rsidRPr="006A25F8" w:rsidRDefault="006A25F8">
      <w:pPr>
        <w:pStyle w:val="EndnoteText"/>
        <w:rPr>
          <w:lang w:val="en-GB"/>
        </w:rPr>
      </w:pPr>
      <w:r>
        <w:rPr>
          <w:rStyle w:val="EndnoteReference"/>
        </w:rPr>
        <w:endnoteRef/>
      </w:r>
      <w:r>
        <w:t xml:space="preserve"> </w:t>
      </w:r>
      <w:r>
        <w:rPr>
          <w:lang w:val="en-GB"/>
        </w:rPr>
        <w:t>Act 71 of 2008</w:t>
      </w:r>
    </w:p>
  </w:endnote>
  <w:endnote w:id="8">
    <w:p w14:paraId="56D97200" w14:textId="760B9AD0" w:rsidR="00236BA2" w:rsidRPr="00236BA2" w:rsidRDefault="00236BA2">
      <w:pPr>
        <w:pStyle w:val="EndnoteText"/>
        <w:rPr>
          <w:lang w:val="en-GB"/>
        </w:rPr>
      </w:pPr>
      <w:r>
        <w:rPr>
          <w:rStyle w:val="EndnoteReference"/>
        </w:rPr>
        <w:endnoteRef/>
      </w:r>
      <w:r>
        <w:t xml:space="preserve"> </w:t>
      </w:r>
      <w:r>
        <w:rPr>
          <w:lang w:val="en-GB"/>
        </w:rPr>
        <w:t>Act 68 of 1969</w:t>
      </w:r>
    </w:p>
  </w:endnote>
  <w:endnote w:id="9">
    <w:p w14:paraId="6CE7CA52" w14:textId="77777777" w:rsidR="002570FA" w:rsidRPr="00DD0E47" w:rsidRDefault="002570FA" w:rsidP="002570FA">
      <w:pPr>
        <w:pStyle w:val="EndnoteText"/>
        <w:rPr>
          <w:lang w:val="en-GB"/>
        </w:rPr>
      </w:pPr>
      <w:r>
        <w:rPr>
          <w:rStyle w:val="EndnoteReference"/>
        </w:rPr>
        <w:endnoteRef/>
      </w:r>
      <w:r>
        <w:t xml:space="preserve"> </w:t>
      </w:r>
      <w:r>
        <w:rPr>
          <w:lang w:val="en-GB"/>
        </w:rPr>
        <w:t>[2021] 4 All SA 436 (SCA)</w:t>
      </w:r>
    </w:p>
  </w:endnote>
  <w:endnote w:id="10">
    <w:p w14:paraId="6DAD94DA" w14:textId="77777777" w:rsidR="003F6505" w:rsidRPr="00DD0E47" w:rsidRDefault="003F6505" w:rsidP="003F6505">
      <w:pPr>
        <w:pStyle w:val="EndnoteText"/>
        <w:rPr>
          <w:lang w:val="en-GB"/>
        </w:rPr>
      </w:pPr>
      <w:r>
        <w:rPr>
          <w:rStyle w:val="EndnoteReference"/>
        </w:rPr>
        <w:endnoteRef/>
      </w:r>
      <w:r>
        <w:t xml:space="preserve"> </w:t>
      </w:r>
      <w:r>
        <w:rPr>
          <w:lang w:val="en-GB"/>
        </w:rPr>
        <w:t>[1998] ZASCA 29; 1998 (3) SA 200 (SCA) at para 212F - J</w:t>
      </w:r>
    </w:p>
  </w:endnote>
  <w:endnote w:id="11">
    <w:p w14:paraId="3503329D" w14:textId="77777777" w:rsidR="003F6505" w:rsidRPr="00B74650" w:rsidRDefault="003F6505" w:rsidP="003F6505">
      <w:pPr>
        <w:pStyle w:val="EndnoteText"/>
        <w:rPr>
          <w:lang w:val="en-GB"/>
        </w:rPr>
      </w:pPr>
      <w:r>
        <w:rPr>
          <w:rStyle w:val="EndnoteReference"/>
        </w:rPr>
        <w:endnoteRef/>
      </w:r>
      <w:r>
        <w:t xml:space="preserve"> </w:t>
      </w:r>
      <w:r>
        <w:rPr>
          <w:lang w:val="en-GB"/>
        </w:rPr>
        <w:t>Unreported Judgment (4748/2021) [2023] ZAMPMBHC 22 (12 April 2023)</w:t>
      </w:r>
    </w:p>
  </w:endnote>
  <w:endnote w:id="12">
    <w:p w14:paraId="3F52C0B1" w14:textId="77777777" w:rsidR="00236BA2" w:rsidRPr="0003727C" w:rsidRDefault="00236BA2" w:rsidP="00236BA2">
      <w:pPr>
        <w:pStyle w:val="EndnoteText"/>
        <w:rPr>
          <w:lang w:val="en-GB"/>
        </w:rPr>
      </w:pPr>
      <w:r>
        <w:rPr>
          <w:rStyle w:val="EndnoteReference"/>
        </w:rPr>
        <w:endnoteRef/>
      </w:r>
      <w:r>
        <w:t xml:space="preserve"> </w:t>
      </w:r>
      <w:r>
        <w:rPr>
          <w:lang w:val="en-GB"/>
        </w:rPr>
        <w:t>1979 (3) SA 106 (A) at 121C - D</w:t>
      </w:r>
    </w:p>
  </w:endnote>
  <w:endnote w:id="13">
    <w:p w14:paraId="64B714AD" w14:textId="77777777" w:rsidR="00236BA2" w:rsidRPr="004B2014" w:rsidRDefault="00236BA2" w:rsidP="00236BA2">
      <w:pPr>
        <w:pStyle w:val="EndnoteText"/>
        <w:rPr>
          <w:lang w:val="en-GB"/>
        </w:rPr>
      </w:pPr>
      <w:r>
        <w:rPr>
          <w:rStyle w:val="EndnoteReference"/>
        </w:rPr>
        <w:endnoteRef/>
      </w:r>
      <w:r>
        <w:t xml:space="preserve"> </w:t>
      </w:r>
      <w:r>
        <w:rPr>
          <w:lang w:val="en-GB"/>
        </w:rPr>
        <w:t xml:space="preserve">See </w:t>
      </w:r>
      <w:r>
        <w:rPr>
          <w:b/>
          <w:bCs/>
          <w:i/>
          <w:iCs/>
          <w:lang w:val="en-GB"/>
        </w:rPr>
        <w:t>Truter &amp; Another v Deysel</w:t>
      </w:r>
      <w:r>
        <w:rPr>
          <w:lang w:val="en-GB"/>
        </w:rPr>
        <w:t xml:space="preserve"> [2006] ZASCA 16; 2006 (4) SA 168 (SCA) at para 15</w:t>
      </w:r>
    </w:p>
  </w:endnote>
  <w:endnote w:id="14">
    <w:p w14:paraId="3E3E1F7F" w14:textId="77777777" w:rsidR="00236BA2" w:rsidRPr="009659D1" w:rsidRDefault="00236BA2" w:rsidP="00236BA2">
      <w:pPr>
        <w:pStyle w:val="EndnoteText"/>
        <w:rPr>
          <w:lang w:val="en-GB"/>
        </w:rPr>
      </w:pPr>
      <w:r>
        <w:rPr>
          <w:rStyle w:val="EndnoteReference"/>
        </w:rPr>
        <w:endnoteRef/>
      </w:r>
      <w:r>
        <w:t xml:space="preserve"> </w:t>
      </w:r>
      <w:r>
        <w:rPr>
          <w:lang w:val="en-GB"/>
        </w:rPr>
        <w:t>[2018] ZASCA 3 at para 31</w:t>
      </w:r>
    </w:p>
  </w:endnote>
  <w:endnote w:id="15">
    <w:p w14:paraId="38AADC9F" w14:textId="7D0B1B02" w:rsidR="004C76E3" w:rsidRPr="004C76E3" w:rsidRDefault="004C76E3">
      <w:pPr>
        <w:pStyle w:val="EndnoteText"/>
        <w:rPr>
          <w:lang w:val="en-GB"/>
        </w:rPr>
      </w:pPr>
      <w:r>
        <w:rPr>
          <w:rStyle w:val="EndnoteReference"/>
        </w:rPr>
        <w:endnoteRef/>
      </w:r>
      <w:r>
        <w:t xml:space="preserve"> </w:t>
      </w:r>
      <w:r>
        <w:rPr>
          <w:lang w:val="en-GB"/>
        </w:rPr>
        <w:t>[1996] ZASCA 84; 1997 (1) SA 136 (SCA) at p 1508-C</w:t>
      </w:r>
    </w:p>
  </w:endnote>
  <w:endnote w:id="16">
    <w:p w14:paraId="3AF41825" w14:textId="73686694" w:rsidR="00246DE9" w:rsidRPr="00246DE9" w:rsidRDefault="00246DE9">
      <w:pPr>
        <w:pStyle w:val="EndnoteText"/>
        <w:rPr>
          <w:lang w:val="en-GB"/>
        </w:rPr>
      </w:pPr>
      <w:r>
        <w:rPr>
          <w:rStyle w:val="EndnoteReference"/>
        </w:rPr>
        <w:endnoteRef/>
      </w:r>
      <w:r>
        <w:t xml:space="preserve"> </w:t>
      </w:r>
      <w:r>
        <w:rPr>
          <w:lang w:val="en-GB"/>
        </w:rPr>
        <w:t xml:space="preserve">See </w:t>
      </w:r>
      <w:r>
        <w:rPr>
          <w:b/>
          <w:bCs/>
          <w:i/>
          <w:iCs/>
          <w:lang w:val="en-GB"/>
        </w:rPr>
        <w:t>Industrial and Commercial Factors (Pty) Ltd v Attorneys Fidelity Fund Board of Control</w:t>
      </w:r>
      <w:r>
        <w:rPr>
          <w:lang w:val="en-GB"/>
        </w:rPr>
        <w:t xml:space="preserve"> [1996] ZASCA 84; 1997 (1) SA 136 (A) at 114B – O; </w:t>
      </w:r>
      <w:r>
        <w:rPr>
          <w:b/>
          <w:bCs/>
          <w:i/>
          <w:iCs/>
          <w:lang w:val="en-GB"/>
        </w:rPr>
        <w:t>Attorneys Fidelity Fund Board of Control v Mettle Property Finance (Pty) Ltd</w:t>
      </w:r>
      <w:r>
        <w:rPr>
          <w:lang w:val="en-GB"/>
        </w:rPr>
        <w:t xml:space="preserve"> 2012 (3) SA 611 (SCA) at 614 - 615</w:t>
      </w:r>
    </w:p>
  </w:endnote>
  <w:endnote w:id="17">
    <w:p w14:paraId="33D35929" w14:textId="4BFFFC6D" w:rsidR="00AB6144" w:rsidRPr="00AB6144" w:rsidRDefault="00AB6144">
      <w:pPr>
        <w:pStyle w:val="EndnoteText"/>
        <w:rPr>
          <w:lang w:val="en-GB"/>
        </w:rPr>
      </w:pPr>
      <w:r>
        <w:rPr>
          <w:rStyle w:val="EndnoteReference"/>
        </w:rPr>
        <w:endnoteRef/>
      </w:r>
      <w:r>
        <w:t xml:space="preserve"> </w:t>
      </w:r>
      <w:r>
        <w:rPr>
          <w:b/>
          <w:bCs/>
          <w:i/>
          <w:iCs/>
          <w:lang w:val="en-GB"/>
        </w:rPr>
        <w:t>Estate Kemp and Others v McDonald’s Trustee</w:t>
      </w:r>
      <w:r>
        <w:rPr>
          <w:lang w:val="en-GB"/>
        </w:rPr>
        <w:t xml:space="preserve"> 1915 AD 491 at 499</w:t>
      </w:r>
    </w:p>
  </w:endnote>
  <w:endnote w:id="18">
    <w:p w14:paraId="66EFCD12" w14:textId="7C188950" w:rsidR="00A42344" w:rsidRPr="00A42344" w:rsidRDefault="00A42344">
      <w:pPr>
        <w:pStyle w:val="EndnoteText"/>
        <w:rPr>
          <w:lang w:val="en-GB"/>
        </w:rPr>
      </w:pPr>
      <w:r>
        <w:rPr>
          <w:rStyle w:val="EndnoteReference"/>
        </w:rPr>
        <w:endnoteRef/>
      </w:r>
      <w:r>
        <w:t xml:space="preserve"> </w:t>
      </w:r>
      <w:r>
        <w:rPr>
          <w:lang w:val="en-GB"/>
        </w:rPr>
        <w:t xml:space="preserve">See </w:t>
      </w:r>
      <w:r>
        <w:rPr>
          <w:b/>
          <w:bCs/>
          <w:i/>
          <w:iCs/>
          <w:lang w:val="en-GB"/>
        </w:rPr>
        <w:t>Redel Finance Services (Pty) Ltd v Attorneys Fidelity Fund</w:t>
      </w:r>
      <w:r>
        <w:rPr>
          <w:lang w:val="en-GB"/>
        </w:rPr>
        <w:t xml:space="preserve"> (16833/2007) [2010] ZAWCHC 407 (24 May 2010) para [22]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49957" w14:textId="77777777" w:rsidR="006728C2" w:rsidRDefault="006728C2" w:rsidP="000F12DE">
      <w:pPr>
        <w:spacing w:after="0" w:line="240" w:lineRule="auto"/>
      </w:pPr>
      <w:r>
        <w:separator/>
      </w:r>
    </w:p>
  </w:footnote>
  <w:footnote w:type="continuationSeparator" w:id="0">
    <w:p w14:paraId="4C9E9A19" w14:textId="77777777" w:rsidR="006728C2" w:rsidRDefault="006728C2" w:rsidP="000F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lang w:val="en-GB"/>
      </w:rPr>
      <w:id w:val="-1254892322"/>
      <w:docPartObj>
        <w:docPartGallery w:val="Page Numbers (Top of Page)"/>
        <w:docPartUnique/>
      </w:docPartObj>
    </w:sdtPr>
    <w:sdtEndPr>
      <w:rPr>
        <w:b/>
        <w:bCs/>
        <w:color w:val="auto"/>
        <w:spacing w:val="0"/>
        <w:lang w:val="en-ZA"/>
      </w:rPr>
    </w:sdtEndPr>
    <w:sdtContent>
      <w:p w14:paraId="2E48C487" w14:textId="0FD8A627" w:rsidR="000F12DE" w:rsidRDefault="000F12DE">
        <w:pPr>
          <w:pStyle w:val="Header"/>
          <w:pBdr>
            <w:bottom w:val="single" w:sz="4" w:space="1" w:color="D9D9D9" w:themeColor="background1" w:themeShade="D9"/>
          </w:pBdr>
          <w:jc w:val="right"/>
          <w:rPr>
            <w:b/>
            <w:bCs/>
          </w:rPr>
        </w:pPr>
        <w:r>
          <w:rPr>
            <w:color w:val="7F7F7F" w:themeColor="background1" w:themeShade="7F"/>
            <w:spacing w:val="60"/>
            <w:lang w:val="en-GB"/>
          </w:rPr>
          <w:t>Page</w:t>
        </w:r>
        <w:r>
          <w:rPr>
            <w:lang w:val="en-GB"/>
          </w:rPr>
          <w:t xml:space="preserve"> | </w:t>
        </w:r>
        <w:r>
          <w:fldChar w:fldCharType="begin"/>
        </w:r>
        <w:r>
          <w:instrText>PAGE   \* MERGEFORMAT</w:instrText>
        </w:r>
        <w:r>
          <w:fldChar w:fldCharType="separate"/>
        </w:r>
        <w:r w:rsidR="00A90572" w:rsidRPr="00A90572">
          <w:rPr>
            <w:b/>
            <w:bCs/>
            <w:noProof/>
            <w:lang w:val="en-GB"/>
          </w:rPr>
          <w:t>1</w:t>
        </w:r>
        <w:r>
          <w:rPr>
            <w:b/>
            <w:bCs/>
          </w:rPr>
          <w:fldChar w:fldCharType="end"/>
        </w:r>
      </w:p>
    </w:sdtContent>
  </w:sdt>
  <w:p w14:paraId="34741BB6" w14:textId="77777777" w:rsidR="000F12DE" w:rsidRDefault="000F1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47C89"/>
    <w:multiLevelType w:val="multilevel"/>
    <w:tmpl w:val="CCEACD5E"/>
    <w:lvl w:ilvl="0">
      <w:start w:val="61"/>
      <w:numFmt w:val="decimal"/>
      <w:lvlText w:val="%1"/>
      <w:lvlJc w:val="left"/>
      <w:pPr>
        <w:ind w:left="468" w:hanging="468"/>
      </w:pPr>
      <w:rPr>
        <w:rFonts w:hint="default"/>
        <w:i w:val="0"/>
      </w:rPr>
    </w:lvl>
    <w:lvl w:ilvl="1">
      <w:start w:val="2"/>
      <w:numFmt w:val="decimal"/>
      <w:lvlText w:val="%1.%2"/>
      <w:lvlJc w:val="left"/>
      <w:pPr>
        <w:ind w:left="1188" w:hanging="468"/>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208C463B"/>
    <w:multiLevelType w:val="multilevel"/>
    <w:tmpl w:val="9E162F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08B0AA5"/>
    <w:multiLevelType w:val="hybridMultilevel"/>
    <w:tmpl w:val="CF9C08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FB4586"/>
    <w:multiLevelType w:val="multilevel"/>
    <w:tmpl w:val="DA2C432C"/>
    <w:lvl w:ilvl="0">
      <w:start w:val="62"/>
      <w:numFmt w:val="decimal"/>
      <w:lvlText w:val="%1"/>
      <w:lvlJc w:val="left"/>
      <w:pPr>
        <w:ind w:left="468" w:hanging="468"/>
      </w:pPr>
      <w:rPr>
        <w:rFonts w:hint="default"/>
        <w:i w:val="0"/>
      </w:rPr>
    </w:lvl>
    <w:lvl w:ilvl="1">
      <w:start w:val="2"/>
      <w:numFmt w:val="decimal"/>
      <w:lvlText w:val="%1.%2"/>
      <w:lvlJc w:val="left"/>
      <w:pPr>
        <w:ind w:left="1188" w:hanging="468"/>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5" w15:restartNumberingAfterBreak="0">
    <w:nsid w:val="403C708F"/>
    <w:multiLevelType w:val="hybridMultilevel"/>
    <w:tmpl w:val="E6DE65B0"/>
    <w:lvl w:ilvl="0" w:tplc="ECFACE2C">
      <w:start w:val="5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883514B"/>
    <w:multiLevelType w:val="multilevel"/>
    <w:tmpl w:val="E8CEAFCC"/>
    <w:lvl w:ilvl="0">
      <w:start w:val="1"/>
      <w:numFmt w:val="decimal"/>
      <w:lvlText w:val="%1."/>
      <w:lvlJc w:val="left"/>
      <w:pPr>
        <w:ind w:left="720" w:hanging="360"/>
      </w:pPr>
      <w:rPr>
        <w:rFonts w:hint="default"/>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DD75729"/>
    <w:multiLevelType w:val="multilevel"/>
    <w:tmpl w:val="0B68F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7B42597"/>
    <w:multiLevelType w:val="multilevel"/>
    <w:tmpl w:val="9E162F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65079517">
    <w:abstractNumId w:val="3"/>
  </w:num>
  <w:num w:numId="2" w16cid:durableId="1846431863">
    <w:abstractNumId w:val="6"/>
  </w:num>
  <w:num w:numId="3" w16cid:durableId="1769696813">
    <w:abstractNumId w:val="7"/>
  </w:num>
  <w:num w:numId="4" w16cid:durableId="1336759253">
    <w:abstractNumId w:val="8"/>
  </w:num>
  <w:num w:numId="5" w16cid:durableId="1145390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9989054">
    <w:abstractNumId w:val="2"/>
  </w:num>
  <w:num w:numId="7" w16cid:durableId="745302704">
    <w:abstractNumId w:val="5"/>
  </w:num>
  <w:num w:numId="8" w16cid:durableId="342363359">
    <w:abstractNumId w:val="4"/>
  </w:num>
  <w:num w:numId="9" w16cid:durableId="77339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5E"/>
    <w:rsid w:val="0000027D"/>
    <w:rsid w:val="00000A93"/>
    <w:rsid w:val="000078D5"/>
    <w:rsid w:val="00016598"/>
    <w:rsid w:val="000254DA"/>
    <w:rsid w:val="00027D22"/>
    <w:rsid w:val="0003046F"/>
    <w:rsid w:val="000340F3"/>
    <w:rsid w:val="0003727C"/>
    <w:rsid w:val="000430D5"/>
    <w:rsid w:val="000466A6"/>
    <w:rsid w:val="00053BE9"/>
    <w:rsid w:val="000600A5"/>
    <w:rsid w:val="0006140F"/>
    <w:rsid w:val="00061D67"/>
    <w:rsid w:val="00062E25"/>
    <w:rsid w:val="000D34B9"/>
    <w:rsid w:val="000F12DE"/>
    <w:rsid w:val="001010B2"/>
    <w:rsid w:val="001077D6"/>
    <w:rsid w:val="00116660"/>
    <w:rsid w:val="00124C1D"/>
    <w:rsid w:val="0016016C"/>
    <w:rsid w:val="00180483"/>
    <w:rsid w:val="001820F2"/>
    <w:rsid w:val="001846B5"/>
    <w:rsid w:val="00185E29"/>
    <w:rsid w:val="001A37D2"/>
    <w:rsid w:val="001A647B"/>
    <w:rsid w:val="001A6BAA"/>
    <w:rsid w:val="001B3742"/>
    <w:rsid w:val="001B7E81"/>
    <w:rsid w:val="001D3030"/>
    <w:rsid w:val="001E5981"/>
    <w:rsid w:val="001E5CD5"/>
    <w:rsid w:val="0021078C"/>
    <w:rsid w:val="00226D9C"/>
    <w:rsid w:val="00236BA2"/>
    <w:rsid w:val="002405EE"/>
    <w:rsid w:val="0024559F"/>
    <w:rsid w:val="00246DE9"/>
    <w:rsid w:val="002570FA"/>
    <w:rsid w:val="00266D5E"/>
    <w:rsid w:val="00275202"/>
    <w:rsid w:val="002A0049"/>
    <w:rsid w:val="002B40DC"/>
    <w:rsid w:val="002B68E5"/>
    <w:rsid w:val="002C093E"/>
    <w:rsid w:val="002E4E97"/>
    <w:rsid w:val="00311D2E"/>
    <w:rsid w:val="00321E59"/>
    <w:rsid w:val="00334B97"/>
    <w:rsid w:val="00341652"/>
    <w:rsid w:val="00350A61"/>
    <w:rsid w:val="00356F41"/>
    <w:rsid w:val="0037531C"/>
    <w:rsid w:val="00383B56"/>
    <w:rsid w:val="003A2737"/>
    <w:rsid w:val="003B4A2E"/>
    <w:rsid w:val="003B7179"/>
    <w:rsid w:val="003C5BFD"/>
    <w:rsid w:val="003D2D12"/>
    <w:rsid w:val="003E677B"/>
    <w:rsid w:val="003E6D4A"/>
    <w:rsid w:val="003F335C"/>
    <w:rsid w:val="003F6505"/>
    <w:rsid w:val="00415F2D"/>
    <w:rsid w:val="0042553D"/>
    <w:rsid w:val="00425CBE"/>
    <w:rsid w:val="00446B37"/>
    <w:rsid w:val="00454784"/>
    <w:rsid w:val="00465BE1"/>
    <w:rsid w:val="00476D67"/>
    <w:rsid w:val="00477E77"/>
    <w:rsid w:val="00477E8C"/>
    <w:rsid w:val="0049579C"/>
    <w:rsid w:val="004A404E"/>
    <w:rsid w:val="004B04FC"/>
    <w:rsid w:val="004B2014"/>
    <w:rsid w:val="004C76E3"/>
    <w:rsid w:val="004F52A3"/>
    <w:rsid w:val="004F5377"/>
    <w:rsid w:val="004F5764"/>
    <w:rsid w:val="00503E19"/>
    <w:rsid w:val="00507C4E"/>
    <w:rsid w:val="00513131"/>
    <w:rsid w:val="0051672E"/>
    <w:rsid w:val="00541B7C"/>
    <w:rsid w:val="00550FBA"/>
    <w:rsid w:val="00557920"/>
    <w:rsid w:val="00560039"/>
    <w:rsid w:val="00570D83"/>
    <w:rsid w:val="005971A0"/>
    <w:rsid w:val="005A2155"/>
    <w:rsid w:val="005A62A1"/>
    <w:rsid w:val="005B281A"/>
    <w:rsid w:val="005C21F0"/>
    <w:rsid w:val="005C4D25"/>
    <w:rsid w:val="005E0FB1"/>
    <w:rsid w:val="005E1F02"/>
    <w:rsid w:val="005F53F5"/>
    <w:rsid w:val="006127C0"/>
    <w:rsid w:val="00620075"/>
    <w:rsid w:val="006328A9"/>
    <w:rsid w:val="006728C2"/>
    <w:rsid w:val="00680245"/>
    <w:rsid w:val="0068081B"/>
    <w:rsid w:val="00686AE1"/>
    <w:rsid w:val="00687B4E"/>
    <w:rsid w:val="006A106D"/>
    <w:rsid w:val="006A1DBA"/>
    <w:rsid w:val="006A25F8"/>
    <w:rsid w:val="006B0CBD"/>
    <w:rsid w:val="006C2F2A"/>
    <w:rsid w:val="006C2FB0"/>
    <w:rsid w:val="006C3C41"/>
    <w:rsid w:val="006C489A"/>
    <w:rsid w:val="006D18F9"/>
    <w:rsid w:val="006D3E7A"/>
    <w:rsid w:val="007151EE"/>
    <w:rsid w:val="00717B56"/>
    <w:rsid w:val="00720DF6"/>
    <w:rsid w:val="00722320"/>
    <w:rsid w:val="00752558"/>
    <w:rsid w:val="0076205C"/>
    <w:rsid w:val="00766629"/>
    <w:rsid w:val="007732E7"/>
    <w:rsid w:val="00774561"/>
    <w:rsid w:val="00777E4D"/>
    <w:rsid w:val="00792A5D"/>
    <w:rsid w:val="007C18DA"/>
    <w:rsid w:val="007C59E9"/>
    <w:rsid w:val="007E352E"/>
    <w:rsid w:val="007E5E48"/>
    <w:rsid w:val="007E60FF"/>
    <w:rsid w:val="007E7664"/>
    <w:rsid w:val="008051AA"/>
    <w:rsid w:val="00807569"/>
    <w:rsid w:val="0081243C"/>
    <w:rsid w:val="008148D5"/>
    <w:rsid w:val="00825B2A"/>
    <w:rsid w:val="008325D6"/>
    <w:rsid w:val="00843A6F"/>
    <w:rsid w:val="0085307D"/>
    <w:rsid w:val="00854EF3"/>
    <w:rsid w:val="00856B71"/>
    <w:rsid w:val="00865D25"/>
    <w:rsid w:val="008678FE"/>
    <w:rsid w:val="00874E3D"/>
    <w:rsid w:val="00883234"/>
    <w:rsid w:val="00886546"/>
    <w:rsid w:val="008A6235"/>
    <w:rsid w:val="008C726E"/>
    <w:rsid w:val="008D681B"/>
    <w:rsid w:val="008E1530"/>
    <w:rsid w:val="008E48D0"/>
    <w:rsid w:val="008E522A"/>
    <w:rsid w:val="008F5026"/>
    <w:rsid w:val="008F7959"/>
    <w:rsid w:val="009232A0"/>
    <w:rsid w:val="00930853"/>
    <w:rsid w:val="0093435B"/>
    <w:rsid w:val="009405C6"/>
    <w:rsid w:val="009549BA"/>
    <w:rsid w:val="00965630"/>
    <w:rsid w:val="009659D1"/>
    <w:rsid w:val="00967130"/>
    <w:rsid w:val="00970A72"/>
    <w:rsid w:val="00986F09"/>
    <w:rsid w:val="009914EE"/>
    <w:rsid w:val="0099309E"/>
    <w:rsid w:val="009B260B"/>
    <w:rsid w:val="009B737E"/>
    <w:rsid w:val="009E1251"/>
    <w:rsid w:val="009F6009"/>
    <w:rsid w:val="009F720A"/>
    <w:rsid w:val="00A10492"/>
    <w:rsid w:val="00A167C7"/>
    <w:rsid w:val="00A25458"/>
    <w:rsid w:val="00A352AB"/>
    <w:rsid w:val="00A42344"/>
    <w:rsid w:val="00A44FBF"/>
    <w:rsid w:val="00A56D02"/>
    <w:rsid w:val="00A60ACD"/>
    <w:rsid w:val="00A84B78"/>
    <w:rsid w:val="00A90572"/>
    <w:rsid w:val="00A90CB2"/>
    <w:rsid w:val="00A922F2"/>
    <w:rsid w:val="00A96224"/>
    <w:rsid w:val="00AA20A9"/>
    <w:rsid w:val="00AB6144"/>
    <w:rsid w:val="00AC3628"/>
    <w:rsid w:val="00AD776D"/>
    <w:rsid w:val="00AE218D"/>
    <w:rsid w:val="00AF05CD"/>
    <w:rsid w:val="00AF394E"/>
    <w:rsid w:val="00AF56E5"/>
    <w:rsid w:val="00B01049"/>
    <w:rsid w:val="00B17FEF"/>
    <w:rsid w:val="00B36EA3"/>
    <w:rsid w:val="00B40601"/>
    <w:rsid w:val="00B72943"/>
    <w:rsid w:val="00B74650"/>
    <w:rsid w:val="00B74CF3"/>
    <w:rsid w:val="00B83A4F"/>
    <w:rsid w:val="00BB1953"/>
    <w:rsid w:val="00BB5303"/>
    <w:rsid w:val="00BE014C"/>
    <w:rsid w:val="00C13094"/>
    <w:rsid w:val="00C25956"/>
    <w:rsid w:val="00C3155B"/>
    <w:rsid w:val="00C35D84"/>
    <w:rsid w:val="00C3648C"/>
    <w:rsid w:val="00C442A5"/>
    <w:rsid w:val="00C528CD"/>
    <w:rsid w:val="00C54A16"/>
    <w:rsid w:val="00C571C9"/>
    <w:rsid w:val="00C64E69"/>
    <w:rsid w:val="00C66761"/>
    <w:rsid w:val="00C754F2"/>
    <w:rsid w:val="00C8072C"/>
    <w:rsid w:val="00C80A2A"/>
    <w:rsid w:val="00C82070"/>
    <w:rsid w:val="00C83EB1"/>
    <w:rsid w:val="00C91237"/>
    <w:rsid w:val="00C93B35"/>
    <w:rsid w:val="00C959B2"/>
    <w:rsid w:val="00C979ED"/>
    <w:rsid w:val="00CA72B7"/>
    <w:rsid w:val="00CB20DF"/>
    <w:rsid w:val="00CD4324"/>
    <w:rsid w:val="00CD53ED"/>
    <w:rsid w:val="00CE5D75"/>
    <w:rsid w:val="00D173F8"/>
    <w:rsid w:val="00D33C6B"/>
    <w:rsid w:val="00D377BE"/>
    <w:rsid w:val="00D46A3D"/>
    <w:rsid w:val="00D47E5E"/>
    <w:rsid w:val="00D54E35"/>
    <w:rsid w:val="00D6335A"/>
    <w:rsid w:val="00D6544D"/>
    <w:rsid w:val="00D74852"/>
    <w:rsid w:val="00D87EDD"/>
    <w:rsid w:val="00D92FED"/>
    <w:rsid w:val="00DA608B"/>
    <w:rsid w:val="00DB4F29"/>
    <w:rsid w:val="00DB7F7E"/>
    <w:rsid w:val="00DC5C20"/>
    <w:rsid w:val="00DD0E47"/>
    <w:rsid w:val="00DD64F3"/>
    <w:rsid w:val="00DD711A"/>
    <w:rsid w:val="00DF50B6"/>
    <w:rsid w:val="00E12426"/>
    <w:rsid w:val="00E17BAB"/>
    <w:rsid w:val="00E25D31"/>
    <w:rsid w:val="00E3292D"/>
    <w:rsid w:val="00E3634D"/>
    <w:rsid w:val="00E52A92"/>
    <w:rsid w:val="00E642F8"/>
    <w:rsid w:val="00E66DE8"/>
    <w:rsid w:val="00E85F00"/>
    <w:rsid w:val="00E95623"/>
    <w:rsid w:val="00EA0622"/>
    <w:rsid w:val="00EA564C"/>
    <w:rsid w:val="00EE002D"/>
    <w:rsid w:val="00EE2E92"/>
    <w:rsid w:val="00EF4567"/>
    <w:rsid w:val="00F00FC7"/>
    <w:rsid w:val="00F137DC"/>
    <w:rsid w:val="00F20D59"/>
    <w:rsid w:val="00F3248A"/>
    <w:rsid w:val="00F4434E"/>
    <w:rsid w:val="00F52A6D"/>
    <w:rsid w:val="00F52DD8"/>
    <w:rsid w:val="00F71E3C"/>
    <w:rsid w:val="00F77021"/>
    <w:rsid w:val="00F95038"/>
    <w:rsid w:val="00FA6A4D"/>
    <w:rsid w:val="00FB3AA9"/>
    <w:rsid w:val="00FB48F6"/>
    <w:rsid w:val="00FC2B5D"/>
    <w:rsid w:val="00FC2BF7"/>
    <w:rsid w:val="00FD4F73"/>
    <w:rsid w:val="00FE39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46D8"/>
  <w15:docId w15:val="{F00042A6-F193-4341-A4F6-A51BEF69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D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6D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6D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6D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6D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6D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6D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6D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6D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D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6D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6D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6D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6D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6D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6D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6D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6D5E"/>
    <w:rPr>
      <w:rFonts w:eastAsiaTheme="majorEastAsia" w:cstheme="majorBidi"/>
      <w:color w:val="272727" w:themeColor="text1" w:themeTint="D8"/>
    </w:rPr>
  </w:style>
  <w:style w:type="paragraph" w:styleId="Title">
    <w:name w:val="Title"/>
    <w:basedOn w:val="Normal"/>
    <w:next w:val="Normal"/>
    <w:link w:val="TitleChar"/>
    <w:uiPriority w:val="10"/>
    <w:qFormat/>
    <w:rsid w:val="00266D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D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6D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6D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6D5E"/>
    <w:pPr>
      <w:spacing w:before="160"/>
      <w:jc w:val="center"/>
    </w:pPr>
    <w:rPr>
      <w:i/>
      <w:iCs/>
      <w:color w:val="404040" w:themeColor="text1" w:themeTint="BF"/>
    </w:rPr>
  </w:style>
  <w:style w:type="character" w:customStyle="1" w:styleId="QuoteChar">
    <w:name w:val="Quote Char"/>
    <w:basedOn w:val="DefaultParagraphFont"/>
    <w:link w:val="Quote"/>
    <w:uiPriority w:val="29"/>
    <w:rsid w:val="00266D5E"/>
    <w:rPr>
      <w:i/>
      <w:iCs/>
      <w:color w:val="404040" w:themeColor="text1" w:themeTint="BF"/>
    </w:rPr>
  </w:style>
  <w:style w:type="paragraph" w:styleId="ListParagraph">
    <w:name w:val="List Paragraph"/>
    <w:basedOn w:val="Normal"/>
    <w:uiPriority w:val="34"/>
    <w:qFormat/>
    <w:rsid w:val="00266D5E"/>
    <w:pPr>
      <w:ind w:left="720"/>
      <w:contextualSpacing/>
    </w:pPr>
  </w:style>
  <w:style w:type="character" w:styleId="IntenseEmphasis">
    <w:name w:val="Intense Emphasis"/>
    <w:basedOn w:val="DefaultParagraphFont"/>
    <w:uiPriority w:val="21"/>
    <w:qFormat/>
    <w:rsid w:val="00266D5E"/>
    <w:rPr>
      <w:i/>
      <w:iCs/>
      <w:color w:val="0F4761" w:themeColor="accent1" w:themeShade="BF"/>
    </w:rPr>
  </w:style>
  <w:style w:type="paragraph" w:styleId="IntenseQuote">
    <w:name w:val="Intense Quote"/>
    <w:basedOn w:val="Normal"/>
    <w:next w:val="Normal"/>
    <w:link w:val="IntenseQuoteChar"/>
    <w:uiPriority w:val="30"/>
    <w:qFormat/>
    <w:rsid w:val="00266D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6D5E"/>
    <w:rPr>
      <w:i/>
      <w:iCs/>
      <w:color w:val="0F4761" w:themeColor="accent1" w:themeShade="BF"/>
    </w:rPr>
  </w:style>
  <w:style w:type="character" w:styleId="IntenseReference">
    <w:name w:val="Intense Reference"/>
    <w:basedOn w:val="DefaultParagraphFont"/>
    <w:uiPriority w:val="32"/>
    <w:qFormat/>
    <w:rsid w:val="00266D5E"/>
    <w:rPr>
      <w:b/>
      <w:bCs/>
      <w:smallCaps/>
      <w:color w:val="0F4761" w:themeColor="accent1" w:themeShade="BF"/>
      <w:spacing w:val="5"/>
    </w:rPr>
  </w:style>
  <w:style w:type="paragraph" w:styleId="Header">
    <w:name w:val="header"/>
    <w:basedOn w:val="Normal"/>
    <w:link w:val="HeaderChar"/>
    <w:uiPriority w:val="99"/>
    <w:unhideWhenUsed/>
    <w:rsid w:val="000F1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2DE"/>
  </w:style>
  <w:style w:type="paragraph" w:styleId="Footer">
    <w:name w:val="footer"/>
    <w:basedOn w:val="Normal"/>
    <w:link w:val="FooterChar"/>
    <w:uiPriority w:val="99"/>
    <w:unhideWhenUsed/>
    <w:rsid w:val="000F1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2DE"/>
  </w:style>
  <w:style w:type="paragraph" w:styleId="FootnoteText">
    <w:name w:val="footnote text"/>
    <w:basedOn w:val="Normal"/>
    <w:link w:val="FootnoteTextChar"/>
    <w:uiPriority w:val="99"/>
    <w:unhideWhenUsed/>
    <w:rsid w:val="00C442A5"/>
    <w:pPr>
      <w:spacing w:after="0" w:line="240" w:lineRule="auto"/>
    </w:pPr>
    <w:rPr>
      <w:sz w:val="20"/>
      <w:szCs w:val="20"/>
    </w:rPr>
  </w:style>
  <w:style w:type="character" w:customStyle="1" w:styleId="FootnoteTextChar">
    <w:name w:val="Footnote Text Char"/>
    <w:basedOn w:val="DefaultParagraphFont"/>
    <w:link w:val="FootnoteText"/>
    <w:uiPriority w:val="99"/>
    <w:rsid w:val="00C442A5"/>
    <w:rPr>
      <w:sz w:val="20"/>
      <w:szCs w:val="20"/>
    </w:rPr>
  </w:style>
  <w:style w:type="character" w:styleId="FootnoteReference">
    <w:name w:val="footnote reference"/>
    <w:basedOn w:val="DefaultParagraphFont"/>
    <w:uiPriority w:val="99"/>
    <w:unhideWhenUsed/>
    <w:rsid w:val="00C442A5"/>
    <w:rPr>
      <w:vertAlign w:val="superscript"/>
    </w:rPr>
  </w:style>
  <w:style w:type="paragraph" w:styleId="EndnoteText">
    <w:name w:val="endnote text"/>
    <w:basedOn w:val="Normal"/>
    <w:link w:val="EndnoteTextChar"/>
    <w:uiPriority w:val="99"/>
    <w:semiHidden/>
    <w:unhideWhenUsed/>
    <w:rsid w:val="00356F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F41"/>
    <w:rPr>
      <w:sz w:val="20"/>
      <w:szCs w:val="20"/>
    </w:rPr>
  </w:style>
  <w:style w:type="character" w:styleId="EndnoteReference">
    <w:name w:val="endnote reference"/>
    <w:basedOn w:val="DefaultParagraphFont"/>
    <w:uiPriority w:val="99"/>
    <w:semiHidden/>
    <w:unhideWhenUsed/>
    <w:rsid w:val="00356F41"/>
    <w:rPr>
      <w:vertAlign w:val="superscript"/>
    </w:rPr>
  </w:style>
  <w:style w:type="paragraph" w:customStyle="1" w:styleId="LegalNormal">
    <w:name w:val="Legal_Normal"/>
    <w:basedOn w:val="Normal"/>
    <w:rsid w:val="001820F2"/>
    <w:pPr>
      <w:suppressAutoHyphens/>
      <w:spacing w:after="360" w:line="480" w:lineRule="auto"/>
      <w:jc w:val="both"/>
    </w:pPr>
    <w:rPr>
      <w:rFonts w:ascii="Arial" w:eastAsia="Times New Roman" w:hAnsi="Arial" w:cs="Times New Roman"/>
      <w:kern w:val="0"/>
      <w:sz w:val="24"/>
      <w:szCs w:val="24"/>
      <w:lang w:val="en-GB" w:eastAsia="en-GB"/>
      <w14:ligatures w14:val="none"/>
    </w:rPr>
  </w:style>
  <w:style w:type="paragraph" w:styleId="NormalWeb">
    <w:name w:val="Normal (Web)"/>
    <w:basedOn w:val="Normal"/>
    <w:uiPriority w:val="99"/>
    <w:unhideWhenUsed/>
    <w:rsid w:val="00A56D02"/>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A56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24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pa1969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pa1969171/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consol_act/pa1969171/" TargetMode="External"/><Relationship Id="rId4" Type="http://schemas.openxmlformats.org/officeDocument/2006/relationships/settings" Target="settings.xml"/><Relationship Id="rId9" Type="http://schemas.openxmlformats.org/officeDocument/2006/relationships/hyperlink" Target="http://www.saflii.org/za/legis/consol_act/pa196917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B04E-4665-4E76-A305-605A91F8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Erasmus</dc:creator>
  <cp:keywords/>
  <dc:description/>
  <cp:lastModifiedBy>sathish sarshan  mohan</cp:lastModifiedBy>
  <cp:revision>3</cp:revision>
  <cp:lastPrinted>2024-06-10T11:17:00Z</cp:lastPrinted>
  <dcterms:created xsi:type="dcterms:W3CDTF">2024-06-10T11:44:00Z</dcterms:created>
  <dcterms:modified xsi:type="dcterms:W3CDTF">2024-06-22T18:41:00Z</dcterms:modified>
</cp:coreProperties>
</file>