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CE3FD" w14:textId="0B8CB968" w:rsidR="002F6AC1" w:rsidRDefault="002F6AC1" w:rsidP="002F6AC1">
      <w:pPr>
        <w:spacing w:line="360" w:lineRule="auto"/>
        <w:rPr>
          <w:rFonts w:ascii="Raavi" w:eastAsia="Calibri" w:hAnsi="Raavi" w:cs="Raavi"/>
          <w:b/>
          <w:sz w:val="28"/>
          <w:szCs w:val="28"/>
          <w:u w:val="single"/>
        </w:rPr>
      </w:pPr>
      <w:r>
        <w:rPr>
          <w:noProof/>
        </w:rPr>
        <w:drawing>
          <wp:inline distT="0" distB="0" distL="0" distR="0" wp14:anchorId="2D634D71" wp14:editId="1CA89C9B">
            <wp:extent cx="4286885" cy="462915"/>
            <wp:effectExtent l="0" t="0" r="0" b="0"/>
            <wp:docPr id="187401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0047F63D" w14:textId="7DE9277D" w:rsidR="0071013E" w:rsidRDefault="0071013E" w:rsidP="0071013E">
      <w:pPr>
        <w:spacing w:line="360" w:lineRule="auto"/>
        <w:jc w:val="center"/>
        <w:rPr>
          <w:rFonts w:ascii="Raavi" w:eastAsia="Calibri" w:hAnsi="Raavi" w:cs="Raavi"/>
          <w:b/>
          <w:sz w:val="28"/>
          <w:szCs w:val="28"/>
          <w:u w:val="single"/>
        </w:rPr>
      </w:pPr>
      <w:r>
        <w:rPr>
          <w:noProof/>
          <w:lang w:eastAsia="en-ZA"/>
        </w:rPr>
        <w:drawing>
          <wp:inline distT="0" distB="0" distL="0" distR="0" wp14:anchorId="4694B05D" wp14:editId="6EE13423">
            <wp:extent cx="1190625" cy="1009650"/>
            <wp:effectExtent l="0" t="0" r="9525" b="0"/>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9" cstate="print">
                      <a:extLst>
                        <a:ext uri="{BEBA8EAE-BF5A-486C-A8C5-ECC9F3942E4B}">
                          <a14:imgProps xmlns:a14="http://schemas.microsoft.com/office/drawing/2010/main">
                            <a14:imgLayer r:embed="rId10">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p w14:paraId="63BE23A7" w14:textId="77777777" w:rsidR="0071013E" w:rsidRPr="00446A61" w:rsidRDefault="0071013E" w:rsidP="00774380">
      <w:pPr>
        <w:spacing w:after="120" w:line="240" w:lineRule="auto"/>
        <w:jc w:val="center"/>
        <w:rPr>
          <w:rFonts w:ascii="Arial" w:eastAsia="Calibri" w:hAnsi="Arial" w:cs="Arial"/>
          <w:b/>
          <w:sz w:val="24"/>
          <w:szCs w:val="24"/>
          <w:u w:val="single"/>
        </w:rPr>
      </w:pPr>
      <w:r w:rsidRPr="00446A61">
        <w:rPr>
          <w:rFonts w:ascii="Arial" w:eastAsia="Calibri" w:hAnsi="Arial" w:cs="Arial"/>
          <w:b/>
          <w:sz w:val="24"/>
          <w:szCs w:val="24"/>
          <w:u w:val="single"/>
        </w:rPr>
        <w:t>IN THE HIGH COURT OF SOUTH AFRICA</w:t>
      </w:r>
    </w:p>
    <w:p w14:paraId="27D11803" w14:textId="22588456" w:rsidR="00784AB5" w:rsidRPr="00617873" w:rsidRDefault="0071013E" w:rsidP="00617873">
      <w:pPr>
        <w:spacing w:line="360" w:lineRule="auto"/>
        <w:jc w:val="center"/>
        <w:rPr>
          <w:rFonts w:ascii="Arial" w:eastAsia="Calibri" w:hAnsi="Arial" w:cs="Arial"/>
          <w:b/>
          <w:sz w:val="24"/>
          <w:szCs w:val="24"/>
        </w:rPr>
      </w:pPr>
      <w:r w:rsidRPr="000B564B">
        <w:rPr>
          <w:rFonts w:ascii="Arial" w:eastAsia="Calibri" w:hAnsi="Arial" w:cs="Arial"/>
          <w:b/>
          <w:sz w:val="24"/>
          <w:szCs w:val="24"/>
        </w:rPr>
        <w:t>(GAUTENG DIVISION, PRETORIA)</w:t>
      </w:r>
    </w:p>
    <w:p w14:paraId="3710A782" w14:textId="49B45FEE" w:rsidR="0071013E" w:rsidRPr="00446A61" w:rsidRDefault="0071013E" w:rsidP="004B7E1C">
      <w:pPr>
        <w:spacing w:after="0" w:line="240" w:lineRule="auto"/>
        <w:ind w:left="4536"/>
        <w:jc w:val="right"/>
        <w:rPr>
          <w:rFonts w:ascii="Arial" w:eastAsia="Calibri" w:hAnsi="Arial" w:cs="Arial"/>
          <w:sz w:val="24"/>
          <w:szCs w:val="24"/>
        </w:rPr>
      </w:pPr>
      <w:r w:rsidRPr="00446A61">
        <w:rPr>
          <w:rFonts w:ascii="Arial" w:eastAsia="Calibri" w:hAnsi="Arial" w:cs="Arial"/>
          <w:sz w:val="24"/>
          <w:szCs w:val="24"/>
        </w:rPr>
        <w:t>High Court Reference No:   104/2023</w:t>
      </w:r>
    </w:p>
    <w:p w14:paraId="24618CEC" w14:textId="055A2790" w:rsidR="00784AB5" w:rsidRPr="00446A61" w:rsidRDefault="00FA6293" w:rsidP="004B7E1C">
      <w:pPr>
        <w:spacing w:after="0" w:line="240" w:lineRule="auto"/>
        <w:ind w:left="4536"/>
        <w:jc w:val="right"/>
        <w:rPr>
          <w:rFonts w:ascii="Arial" w:eastAsia="Calibri" w:hAnsi="Arial" w:cs="Arial"/>
          <w:sz w:val="24"/>
          <w:szCs w:val="24"/>
        </w:rPr>
      </w:pPr>
      <w:r w:rsidRPr="00446A61">
        <w:rPr>
          <w:rFonts w:ascii="Arial" w:eastAsia="Calibri" w:hAnsi="Arial" w:cs="Arial"/>
          <w:sz w:val="24"/>
          <w:szCs w:val="24"/>
        </w:rPr>
        <w:t xml:space="preserve">Special review </w:t>
      </w:r>
      <w:proofErr w:type="gramStart"/>
      <w:r w:rsidR="00784AB5" w:rsidRPr="00446A61">
        <w:rPr>
          <w:rFonts w:ascii="Arial" w:eastAsia="Calibri" w:hAnsi="Arial" w:cs="Arial"/>
          <w:sz w:val="24"/>
          <w:szCs w:val="24"/>
        </w:rPr>
        <w:t>No:</w:t>
      </w:r>
      <w:r w:rsidR="00BF1A02">
        <w:rPr>
          <w:rFonts w:ascii="Arial" w:eastAsia="Calibri" w:hAnsi="Arial" w:cs="Arial"/>
          <w:sz w:val="24"/>
          <w:szCs w:val="24"/>
        </w:rPr>
        <w:t>_</w:t>
      </w:r>
      <w:proofErr w:type="gramEnd"/>
      <w:r w:rsidR="00BF1A02">
        <w:rPr>
          <w:rFonts w:ascii="Arial" w:eastAsia="Calibri" w:hAnsi="Arial" w:cs="Arial"/>
          <w:sz w:val="24"/>
          <w:szCs w:val="24"/>
        </w:rPr>
        <w:t>________</w:t>
      </w:r>
    </w:p>
    <w:p w14:paraId="2EB0A4F0" w14:textId="77777777" w:rsidR="00784AB5" w:rsidRPr="00446A61" w:rsidRDefault="0071013E" w:rsidP="004B7E1C">
      <w:pPr>
        <w:spacing w:after="0" w:line="240" w:lineRule="auto"/>
        <w:ind w:left="4536"/>
        <w:jc w:val="right"/>
        <w:rPr>
          <w:rFonts w:ascii="Arial" w:eastAsia="Calibri" w:hAnsi="Arial" w:cs="Arial"/>
          <w:sz w:val="24"/>
          <w:szCs w:val="24"/>
        </w:rPr>
      </w:pPr>
      <w:r w:rsidRPr="00446A61">
        <w:rPr>
          <w:rFonts w:ascii="Arial" w:eastAsia="Calibri" w:hAnsi="Arial" w:cs="Arial"/>
          <w:sz w:val="24"/>
          <w:szCs w:val="24"/>
        </w:rPr>
        <w:t>Magistrate’s serial No:  C/</w:t>
      </w:r>
      <w:proofErr w:type="spellStart"/>
      <w:r w:rsidRPr="00446A61">
        <w:rPr>
          <w:rFonts w:ascii="Arial" w:eastAsia="Calibri" w:hAnsi="Arial" w:cs="Arial"/>
          <w:sz w:val="24"/>
          <w:szCs w:val="24"/>
        </w:rPr>
        <w:t>ville</w:t>
      </w:r>
      <w:proofErr w:type="spellEnd"/>
      <w:r w:rsidRPr="00446A61">
        <w:rPr>
          <w:rFonts w:ascii="Arial" w:eastAsia="Calibri" w:hAnsi="Arial" w:cs="Arial"/>
          <w:sz w:val="24"/>
          <w:szCs w:val="24"/>
        </w:rPr>
        <w:t xml:space="preserve"> 6/23</w:t>
      </w:r>
    </w:p>
    <w:p w14:paraId="1BAC8D3A" w14:textId="4120A27A" w:rsidR="002C4136" w:rsidRPr="0062383A" w:rsidRDefault="0071013E" w:rsidP="0062383A">
      <w:pPr>
        <w:spacing w:after="0" w:line="240" w:lineRule="auto"/>
        <w:ind w:left="4536"/>
        <w:jc w:val="right"/>
        <w:rPr>
          <w:rFonts w:ascii="Arial" w:eastAsia="Calibri" w:hAnsi="Arial" w:cs="Arial"/>
          <w:sz w:val="24"/>
          <w:szCs w:val="24"/>
        </w:rPr>
      </w:pPr>
      <w:r w:rsidRPr="00446A61">
        <w:rPr>
          <w:rFonts w:ascii="Arial" w:eastAsia="Calibri" w:hAnsi="Arial" w:cs="Arial"/>
          <w:sz w:val="24"/>
          <w:szCs w:val="24"/>
        </w:rPr>
        <w:t>Case No:  B349/2023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tblGrid>
      <w:tr w:rsidR="0060677C" w:rsidRPr="0087170A" w14:paraId="44CB906F" w14:textId="77777777" w:rsidTr="00C40746">
        <w:trPr>
          <w:trHeight w:val="1360"/>
        </w:trPr>
        <w:tc>
          <w:tcPr>
            <w:tcW w:w="4515" w:type="dxa"/>
          </w:tcPr>
          <w:p w14:paraId="33172EF4" w14:textId="3C9511DB" w:rsidR="0060677C" w:rsidRPr="00C40746" w:rsidRDefault="0060677C" w:rsidP="0062383A">
            <w:pPr>
              <w:spacing w:before="120" w:after="0" w:line="240" w:lineRule="auto"/>
              <w:contextualSpacing/>
              <w:rPr>
                <w:rFonts w:eastAsia="Calibri" w:cstheme="minorHAnsi"/>
                <w:sz w:val="20"/>
                <w:szCs w:val="20"/>
              </w:rPr>
            </w:pPr>
            <w:r w:rsidRPr="00C40746">
              <w:rPr>
                <w:rFonts w:eastAsia="Calibri" w:cstheme="minorHAnsi"/>
                <w:sz w:val="20"/>
                <w:szCs w:val="20"/>
              </w:rPr>
              <w:t xml:space="preserve">(1) REPORTABLE:  YES </w:t>
            </w:r>
          </w:p>
          <w:p w14:paraId="1B711325" w14:textId="24711B2B" w:rsidR="0060677C" w:rsidRPr="00C40746" w:rsidRDefault="0060677C" w:rsidP="0062383A">
            <w:pPr>
              <w:spacing w:after="0" w:line="240" w:lineRule="auto"/>
              <w:contextualSpacing/>
              <w:rPr>
                <w:rFonts w:eastAsia="Calibri" w:cstheme="minorHAnsi"/>
                <w:sz w:val="20"/>
                <w:szCs w:val="20"/>
              </w:rPr>
            </w:pPr>
            <w:r w:rsidRPr="00C40746">
              <w:rPr>
                <w:rFonts w:eastAsia="Calibri" w:cstheme="minorHAnsi"/>
                <w:sz w:val="20"/>
                <w:szCs w:val="20"/>
              </w:rPr>
              <w:t xml:space="preserve">(2) OF INTEREST TO OTHER JUDGES:  YES </w:t>
            </w:r>
          </w:p>
          <w:p w14:paraId="5BF83760" w14:textId="271DBC13" w:rsidR="0060677C" w:rsidRPr="00C40746" w:rsidRDefault="0060677C" w:rsidP="0062383A">
            <w:pPr>
              <w:spacing w:after="0" w:line="240" w:lineRule="auto"/>
              <w:contextualSpacing/>
              <w:rPr>
                <w:rFonts w:eastAsia="Calibri" w:cstheme="minorHAnsi"/>
                <w:sz w:val="20"/>
                <w:szCs w:val="20"/>
              </w:rPr>
            </w:pPr>
            <w:r w:rsidRPr="00C40746">
              <w:rPr>
                <w:rFonts w:eastAsia="Calibri" w:cstheme="minorHAnsi"/>
                <w:sz w:val="20"/>
                <w:szCs w:val="20"/>
              </w:rPr>
              <w:t>(3) REVISED</w:t>
            </w:r>
            <w:r w:rsidR="0087170A" w:rsidRPr="00C40746">
              <w:rPr>
                <w:rFonts w:eastAsia="Calibri" w:cstheme="minorHAnsi"/>
                <w:sz w:val="20"/>
                <w:szCs w:val="20"/>
              </w:rPr>
              <w:t>: YES</w:t>
            </w:r>
          </w:p>
          <w:p w14:paraId="5C713BE9" w14:textId="1D86179A" w:rsidR="0060677C" w:rsidRPr="0087170A" w:rsidRDefault="00B91D32" w:rsidP="00B91D32">
            <w:pPr>
              <w:tabs>
                <w:tab w:val="left" w:pos="3615"/>
              </w:tabs>
              <w:spacing w:after="0" w:line="240" w:lineRule="auto"/>
              <w:rPr>
                <w:rFonts w:ascii="Arial" w:eastAsia="Calibri" w:hAnsi="Arial" w:cs="Arial"/>
                <w:sz w:val="20"/>
                <w:szCs w:val="20"/>
              </w:rPr>
            </w:pPr>
            <w:r>
              <w:rPr>
                <w:rFonts w:ascii="Arial" w:eastAsia="Calibri" w:hAnsi="Arial" w:cs="Arial"/>
                <w:sz w:val="20"/>
                <w:szCs w:val="20"/>
              </w:rPr>
              <w:tab/>
              <w:t>[…]</w:t>
            </w:r>
          </w:p>
          <w:p w14:paraId="7B355383" w14:textId="3B721CAF" w:rsidR="00167AD2" w:rsidRPr="0062383A" w:rsidRDefault="00167AD2" w:rsidP="00167AD2">
            <w:pPr>
              <w:spacing w:after="0" w:line="240" w:lineRule="auto"/>
              <w:rPr>
                <w:rFonts w:eastAsia="Calibri" w:cstheme="minorHAnsi"/>
                <w:sz w:val="20"/>
                <w:szCs w:val="20"/>
              </w:rPr>
            </w:pPr>
            <w:r w:rsidRPr="0087170A">
              <w:rPr>
                <w:rFonts w:ascii="Arial" w:eastAsia="Calibri" w:hAnsi="Arial" w:cs="Arial"/>
                <w:sz w:val="20"/>
                <w:szCs w:val="20"/>
              </w:rPr>
              <w:t>__</w:t>
            </w:r>
            <w:r w:rsidR="00383A32">
              <w:rPr>
                <w:rFonts w:ascii="Arial" w:eastAsia="Calibri" w:hAnsi="Arial" w:cs="Arial"/>
                <w:sz w:val="20"/>
                <w:szCs w:val="20"/>
              </w:rPr>
              <w:t xml:space="preserve">______ </w:t>
            </w:r>
            <w:r w:rsidRPr="0087170A">
              <w:rPr>
                <w:rFonts w:ascii="Arial" w:eastAsia="Calibri" w:hAnsi="Arial" w:cs="Arial"/>
                <w:sz w:val="20"/>
                <w:szCs w:val="20"/>
              </w:rPr>
              <w:t xml:space="preserve">                       __________________</w:t>
            </w:r>
          </w:p>
          <w:p w14:paraId="1E9F9F97" w14:textId="5D85F611" w:rsidR="00167AD2" w:rsidRPr="0062383A" w:rsidRDefault="00383A32" w:rsidP="00167AD2">
            <w:pPr>
              <w:spacing w:after="0" w:line="240" w:lineRule="auto"/>
              <w:rPr>
                <w:rFonts w:eastAsia="Calibri" w:cstheme="minorHAnsi"/>
                <w:sz w:val="20"/>
                <w:szCs w:val="20"/>
              </w:rPr>
            </w:pPr>
            <w:r>
              <w:rPr>
                <w:rFonts w:eastAsia="Calibri" w:cstheme="minorHAnsi"/>
                <w:sz w:val="20"/>
                <w:szCs w:val="20"/>
              </w:rPr>
              <w:t xml:space="preserve">     </w:t>
            </w:r>
            <w:r w:rsidR="00167AD2" w:rsidRPr="0062383A">
              <w:rPr>
                <w:rFonts w:eastAsia="Calibri" w:cstheme="minorHAnsi"/>
                <w:sz w:val="20"/>
                <w:szCs w:val="20"/>
              </w:rPr>
              <w:t>Date                                         Signature</w:t>
            </w:r>
          </w:p>
          <w:p w14:paraId="7F1431E8" w14:textId="3A33DF5A" w:rsidR="0087170A" w:rsidRPr="0087170A" w:rsidRDefault="0087170A" w:rsidP="00167AD2">
            <w:pPr>
              <w:spacing w:after="0" w:line="240" w:lineRule="auto"/>
              <w:rPr>
                <w:rFonts w:ascii="Arial" w:eastAsia="Calibri" w:hAnsi="Arial" w:cs="Arial"/>
                <w:sz w:val="20"/>
                <w:szCs w:val="20"/>
                <w:u w:val="single"/>
              </w:rPr>
            </w:pPr>
          </w:p>
        </w:tc>
      </w:tr>
    </w:tbl>
    <w:p w14:paraId="74C24272" w14:textId="72060510" w:rsidR="002C4136" w:rsidRDefault="002139B7" w:rsidP="0060677C">
      <w:pPr>
        <w:spacing w:after="120" w:line="240" w:lineRule="auto"/>
        <w:jc w:val="both"/>
        <w:rPr>
          <w:rFonts w:ascii="Arial" w:hAnsi="Arial" w:cs="Arial"/>
          <w:color w:val="242121"/>
          <w:sz w:val="24"/>
          <w:szCs w:val="24"/>
        </w:rPr>
      </w:pPr>
      <w:r>
        <w:rPr>
          <w:rFonts w:ascii="Arial" w:hAnsi="Arial" w:cs="Arial"/>
          <w:color w:val="242121"/>
          <w:sz w:val="24"/>
          <w:szCs w:val="24"/>
        </w:rPr>
        <w:t xml:space="preserve"> </w:t>
      </w:r>
    </w:p>
    <w:p w14:paraId="5A4BB5BF" w14:textId="6927F389" w:rsidR="003143E7" w:rsidRDefault="003143E7" w:rsidP="0060677C">
      <w:pPr>
        <w:spacing w:after="120" w:line="240" w:lineRule="auto"/>
        <w:jc w:val="both"/>
        <w:rPr>
          <w:rFonts w:ascii="Arial" w:hAnsi="Arial" w:cs="Arial"/>
          <w:color w:val="242121"/>
          <w:sz w:val="24"/>
          <w:szCs w:val="24"/>
        </w:rPr>
      </w:pPr>
      <w:r>
        <w:rPr>
          <w:rFonts w:ascii="Arial" w:hAnsi="Arial" w:cs="Arial"/>
          <w:color w:val="242121"/>
          <w:sz w:val="24"/>
          <w:szCs w:val="24"/>
        </w:rPr>
        <w:t>In the s</w:t>
      </w:r>
      <w:r w:rsidRPr="003143E7">
        <w:rPr>
          <w:rFonts w:ascii="Arial" w:hAnsi="Arial" w:cs="Arial"/>
          <w:color w:val="242121"/>
          <w:sz w:val="24"/>
          <w:szCs w:val="24"/>
        </w:rPr>
        <w:t xml:space="preserve">pecial review from the Magistrates Court for the district of </w:t>
      </w:r>
      <w:proofErr w:type="spellStart"/>
      <w:r w:rsidRPr="003143E7">
        <w:rPr>
          <w:rFonts w:ascii="Arial" w:hAnsi="Arial" w:cs="Arial"/>
          <w:color w:val="242121"/>
          <w:sz w:val="24"/>
          <w:szCs w:val="24"/>
        </w:rPr>
        <w:t>Merafong</w:t>
      </w:r>
      <w:proofErr w:type="spellEnd"/>
      <w:r w:rsidRPr="003143E7">
        <w:rPr>
          <w:rFonts w:ascii="Arial" w:hAnsi="Arial" w:cs="Arial"/>
          <w:color w:val="242121"/>
          <w:sz w:val="24"/>
          <w:szCs w:val="24"/>
        </w:rPr>
        <w:t>, held at Oberholzer</w:t>
      </w:r>
      <w:r>
        <w:rPr>
          <w:rFonts w:ascii="Arial" w:hAnsi="Arial" w:cs="Arial"/>
          <w:color w:val="242121"/>
          <w:sz w:val="24"/>
          <w:szCs w:val="24"/>
        </w:rPr>
        <w:t xml:space="preserve"> of:</w:t>
      </w:r>
    </w:p>
    <w:p w14:paraId="62278E44" w14:textId="64F76F8C" w:rsidR="002139B7" w:rsidRDefault="0071013E" w:rsidP="0071013E">
      <w:pPr>
        <w:pBdr>
          <w:bottom w:val="single" w:sz="6" w:space="1" w:color="auto"/>
        </w:pBdr>
        <w:spacing w:line="240" w:lineRule="auto"/>
        <w:jc w:val="both"/>
        <w:rPr>
          <w:rFonts w:ascii="Arial" w:eastAsia="Calibri" w:hAnsi="Arial" w:cs="Arial"/>
          <w:b/>
          <w:sz w:val="24"/>
          <w:szCs w:val="24"/>
        </w:rPr>
      </w:pPr>
      <w:r w:rsidRPr="00446A61">
        <w:rPr>
          <w:rFonts w:ascii="Arial" w:eastAsia="Calibri" w:hAnsi="Arial" w:cs="Arial"/>
          <w:b/>
          <w:sz w:val="24"/>
          <w:szCs w:val="24"/>
        </w:rPr>
        <w:t xml:space="preserve">THE STATE </w:t>
      </w:r>
    </w:p>
    <w:p w14:paraId="15E93A46" w14:textId="5ECA387F" w:rsidR="002139B7" w:rsidRPr="002449C9" w:rsidRDefault="008262BC" w:rsidP="0071013E">
      <w:pPr>
        <w:pBdr>
          <w:bottom w:val="single" w:sz="6" w:space="1" w:color="auto"/>
        </w:pBdr>
        <w:spacing w:line="240" w:lineRule="auto"/>
        <w:jc w:val="both"/>
        <w:rPr>
          <w:rFonts w:ascii="Arial" w:eastAsia="Calibri" w:hAnsi="Arial" w:cs="Arial"/>
          <w:bCs/>
          <w:sz w:val="24"/>
          <w:szCs w:val="24"/>
        </w:rPr>
      </w:pPr>
      <w:r>
        <w:rPr>
          <w:rFonts w:ascii="Arial" w:eastAsia="Calibri" w:hAnsi="Arial" w:cs="Arial"/>
          <w:bCs/>
          <w:sz w:val="24"/>
          <w:szCs w:val="24"/>
        </w:rPr>
        <w:t>and</w:t>
      </w:r>
      <w:r w:rsidR="0071013E" w:rsidRPr="002449C9">
        <w:rPr>
          <w:rFonts w:ascii="Arial" w:eastAsia="Calibri" w:hAnsi="Arial" w:cs="Arial"/>
          <w:bCs/>
          <w:sz w:val="24"/>
          <w:szCs w:val="24"/>
        </w:rPr>
        <w:t xml:space="preserve"> </w:t>
      </w:r>
    </w:p>
    <w:p w14:paraId="469D9797" w14:textId="2289A770" w:rsidR="0071013E" w:rsidRPr="00446A61" w:rsidRDefault="0071013E" w:rsidP="00B169B7">
      <w:pPr>
        <w:pBdr>
          <w:bottom w:val="single" w:sz="6" w:space="1" w:color="auto"/>
        </w:pBdr>
        <w:spacing w:after="240" w:line="360" w:lineRule="auto"/>
        <w:jc w:val="both"/>
        <w:rPr>
          <w:rFonts w:ascii="Arial" w:eastAsia="Calibri" w:hAnsi="Arial" w:cs="Arial"/>
          <w:b/>
          <w:sz w:val="24"/>
          <w:szCs w:val="24"/>
        </w:rPr>
      </w:pPr>
      <w:r w:rsidRPr="00446A61">
        <w:rPr>
          <w:rFonts w:ascii="Arial" w:eastAsia="Calibri" w:hAnsi="Arial" w:cs="Arial"/>
          <w:b/>
          <w:sz w:val="24"/>
          <w:szCs w:val="24"/>
        </w:rPr>
        <w:t>KGOLOLOSEGO DISWANE</w:t>
      </w:r>
    </w:p>
    <w:p w14:paraId="2FD61026" w14:textId="0763B0A8" w:rsidR="000A5007" w:rsidRDefault="007D010E" w:rsidP="00AF3167">
      <w:pPr>
        <w:spacing w:after="60" w:line="240" w:lineRule="auto"/>
        <w:ind w:left="1276" w:right="204" w:hanging="1276"/>
        <w:jc w:val="both"/>
        <w:rPr>
          <w:rFonts w:ascii="Arial" w:eastAsia="Arial" w:hAnsi="Arial" w:cs="Arial"/>
          <w:bCs/>
          <w:lang w:val="en-GB"/>
        </w:rPr>
      </w:pPr>
      <w:r>
        <w:rPr>
          <w:rFonts w:ascii="Arial" w:eastAsia="Arial" w:hAnsi="Arial" w:cs="Arial"/>
          <w:bCs/>
          <w:i/>
          <w:iCs/>
          <w:lang w:val="en-GB"/>
        </w:rPr>
        <w:t>Summary:</w:t>
      </w:r>
      <w:r>
        <w:rPr>
          <w:rFonts w:ascii="Arial" w:eastAsia="Arial" w:hAnsi="Arial" w:cs="Arial"/>
          <w:bCs/>
          <w:i/>
          <w:iCs/>
          <w:lang w:val="en-GB"/>
        </w:rPr>
        <w:tab/>
      </w:r>
      <w:r w:rsidR="00A661CB">
        <w:rPr>
          <w:rFonts w:ascii="Arial" w:eastAsia="Arial" w:hAnsi="Arial" w:cs="Arial"/>
          <w:bCs/>
          <w:lang w:val="en-GB"/>
        </w:rPr>
        <w:t>Special review from</w:t>
      </w:r>
      <w:r w:rsidR="0013440E">
        <w:rPr>
          <w:rFonts w:ascii="Arial" w:eastAsia="Arial" w:hAnsi="Arial" w:cs="Arial"/>
          <w:bCs/>
          <w:lang w:val="en-GB"/>
        </w:rPr>
        <w:t xml:space="preserve"> Magistrates’ Court</w:t>
      </w:r>
      <w:r w:rsidR="00F50903">
        <w:rPr>
          <w:rFonts w:ascii="Arial" w:eastAsia="Arial" w:hAnsi="Arial" w:cs="Arial"/>
          <w:bCs/>
          <w:lang w:val="en-GB"/>
        </w:rPr>
        <w:t xml:space="preserve"> following</w:t>
      </w:r>
      <w:r w:rsidR="0013440E">
        <w:rPr>
          <w:rFonts w:ascii="Arial" w:eastAsia="Arial" w:hAnsi="Arial" w:cs="Arial"/>
          <w:bCs/>
          <w:lang w:val="en-GB"/>
        </w:rPr>
        <w:t xml:space="preserve"> recusal by presiding officer </w:t>
      </w:r>
      <w:r w:rsidR="00260053">
        <w:rPr>
          <w:rFonts w:ascii="Arial" w:eastAsia="Arial" w:hAnsi="Arial" w:cs="Arial"/>
          <w:bCs/>
          <w:lang w:val="en-GB"/>
        </w:rPr>
        <w:t xml:space="preserve">after plea and evidence, but before conviction </w:t>
      </w:r>
      <w:r w:rsidR="000A5007">
        <w:rPr>
          <w:rFonts w:ascii="Arial" w:eastAsia="Arial" w:hAnsi="Arial" w:cs="Arial"/>
          <w:bCs/>
          <w:lang w:val="en-GB"/>
        </w:rPr>
        <w:t>–</w:t>
      </w:r>
      <w:r w:rsidR="00F50903">
        <w:rPr>
          <w:rFonts w:ascii="Arial" w:eastAsia="Arial" w:hAnsi="Arial" w:cs="Arial"/>
          <w:bCs/>
          <w:lang w:val="en-GB"/>
        </w:rPr>
        <w:t xml:space="preserve"> </w:t>
      </w:r>
      <w:r w:rsidR="000A5007">
        <w:rPr>
          <w:rFonts w:ascii="Arial" w:eastAsia="Arial" w:hAnsi="Arial" w:cs="Arial"/>
          <w:bCs/>
          <w:lang w:val="en-GB"/>
        </w:rPr>
        <w:t xml:space="preserve">setting aside of proceedings and order </w:t>
      </w:r>
      <w:proofErr w:type="gramStart"/>
      <w:r w:rsidR="000A5007">
        <w:rPr>
          <w:rFonts w:ascii="Arial" w:eastAsia="Arial" w:hAnsi="Arial" w:cs="Arial"/>
          <w:bCs/>
          <w:lang w:val="en-GB"/>
        </w:rPr>
        <w:t xml:space="preserve">to </w:t>
      </w:r>
      <w:r w:rsidR="00921F3B">
        <w:rPr>
          <w:rFonts w:ascii="Arial" w:eastAsia="Arial" w:hAnsi="Arial" w:cs="Arial"/>
          <w:bCs/>
          <w:lang w:val="en-GB"/>
        </w:rPr>
        <w:t xml:space="preserve"> </w:t>
      </w:r>
      <w:r w:rsidR="000A5007">
        <w:rPr>
          <w:rFonts w:ascii="Arial" w:eastAsia="Arial" w:hAnsi="Arial" w:cs="Arial"/>
          <w:bCs/>
          <w:lang w:val="en-GB"/>
        </w:rPr>
        <w:t>commence</w:t>
      </w:r>
      <w:proofErr w:type="gramEnd"/>
      <w:r w:rsidR="000A5007">
        <w:rPr>
          <w:rFonts w:ascii="Arial" w:eastAsia="Arial" w:hAnsi="Arial" w:cs="Arial"/>
          <w:bCs/>
          <w:lang w:val="en-GB"/>
        </w:rPr>
        <w:t xml:space="preserve"> </w:t>
      </w:r>
      <w:r w:rsidR="000A5007" w:rsidRPr="000A5007">
        <w:rPr>
          <w:rFonts w:ascii="Arial" w:eastAsia="Arial" w:hAnsi="Arial" w:cs="Arial"/>
          <w:bCs/>
          <w:i/>
          <w:iCs/>
          <w:lang w:val="en-GB"/>
        </w:rPr>
        <w:t>de novo</w:t>
      </w:r>
      <w:r w:rsidR="000A5007">
        <w:rPr>
          <w:rFonts w:ascii="Arial" w:eastAsia="Arial" w:hAnsi="Arial" w:cs="Arial"/>
          <w:bCs/>
          <w:lang w:val="en-GB"/>
        </w:rPr>
        <w:t xml:space="preserve"> requested</w:t>
      </w:r>
    </w:p>
    <w:p w14:paraId="74A3689E" w14:textId="72FBB5F5" w:rsidR="004A6330" w:rsidRDefault="000A5007" w:rsidP="00434AE0">
      <w:pPr>
        <w:spacing w:after="60" w:line="240" w:lineRule="auto"/>
        <w:ind w:left="1276" w:right="204" w:hanging="1276"/>
        <w:jc w:val="both"/>
        <w:rPr>
          <w:rFonts w:ascii="Arial" w:eastAsia="Arial" w:hAnsi="Arial" w:cs="Arial"/>
          <w:bCs/>
          <w:lang w:val="en-GB"/>
        </w:rPr>
      </w:pPr>
      <w:r>
        <w:rPr>
          <w:rFonts w:ascii="Arial" w:eastAsia="Arial" w:hAnsi="Arial" w:cs="Arial"/>
          <w:bCs/>
          <w:i/>
          <w:iCs/>
          <w:lang w:val="en-GB"/>
        </w:rPr>
        <w:tab/>
      </w:r>
      <w:r w:rsidR="00B04A0E">
        <w:rPr>
          <w:rFonts w:ascii="Arial" w:eastAsia="Arial" w:hAnsi="Arial" w:cs="Arial"/>
          <w:bCs/>
          <w:lang w:val="en-GB"/>
        </w:rPr>
        <w:t xml:space="preserve">Recusal </w:t>
      </w:r>
      <w:r w:rsidR="004E623B">
        <w:rPr>
          <w:rFonts w:ascii="Arial" w:eastAsia="Arial" w:hAnsi="Arial" w:cs="Arial"/>
          <w:bCs/>
          <w:lang w:val="en-GB"/>
        </w:rPr>
        <w:t xml:space="preserve">renders presiding officer unavailable in absolute sense – proceedings a nullity and set aside </w:t>
      </w:r>
      <w:r w:rsidR="004E623B" w:rsidRPr="004E623B">
        <w:rPr>
          <w:rFonts w:ascii="Arial" w:eastAsia="Arial" w:hAnsi="Arial" w:cs="Arial"/>
          <w:bCs/>
          <w:i/>
          <w:iCs/>
          <w:lang w:val="en-GB"/>
        </w:rPr>
        <w:t xml:space="preserve">ex </w:t>
      </w:r>
      <w:proofErr w:type="spellStart"/>
      <w:r w:rsidR="004E623B" w:rsidRPr="004E623B">
        <w:rPr>
          <w:rFonts w:ascii="Arial" w:eastAsia="Arial" w:hAnsi="Arial" w:cs="Arial"/>
          <w:bCs/>
          <w:i/>
          <w:iCs/>
          <w:lang w:val="en-GB"/>
        </w:rPr>
        <w:t>lege</w:t>
      </w:r>
      <w:proofErr w:type="spellEnd"/>
      <w:r w:rsidR="00260053">
        <w:rPr>
          <w:rFonts w:ascii="Arial" w:eastAsia="Arial" w:hAnsi="Arial" w:cs="Arial"/>
          <w:bCs/>
          <w:lang w:val="en-GB"/>
        </w:rPr>
        <w:t xml:space="preserve"> </w:t>
      </w:r>
      <w:r w:rsidR="004E1D6A">
        <w:rPr>
          <w:rFonts w:ascii="Arial" w:eastAsia="Arial" w:hAnsi="Arial" w:cs="Arial"/>
          <w:bCs/>
          <w:lang w:val="en-GB"/>
        </w:rPr>
        <w:t>–</w:t>
      </w:r>
      <w:r w:rsidR="004E623B">
        <w:rPr>
          <w:rFonts w:ascii="Arial" w:eastAsia="Arial" w:hAnsi="Arial" w:cs="Arial"/>
          <w:bCs/>
          <w:lang w:val="en-GB"/>
        </w:rPr>
        <w:t xml:space="preserve"> </w:t>
      </w:r>
      <w:r w:rsidR="004E1D6A">
        <w:rPr>
          <w:rFonts w:ascii="Arial" w:eastAsia="Arial" w:hAnsi="Arial" w:cs="Arial"/>
          <w:bCs/>
          <w:lang w:val="en-GB"/>
        </w:rPr>
        <w:t>High Court’s inherent jurisdiction not engaged</w:t>
      </w:r>
      <w:r w:rsidR="006808F3">
        <w:rPr>
          <w:rFonts w:ascii="Arial" w:eastAsia="Arial" w:hAnsi="Arial" w:cs="Arial"/>
          <w:bCs/>
          <w:lang w:val="en-GB"/>
        </w:rPr>
        <w:t xml:space="preserve"> </w:t>
      </w:r>
      <w:r w:rsidR="00D13886">
        <w:rPr>
          <w:rFonts w:ascii="Arial" w:eastAsia="Arial" w:hAnsi="Arial" w:cs="Arial"/>
          <w:bCs/>
          <w:lang w:val="en-GB"/>
        </w:rPr>
        <w:t xml:space="preserve">– commencement </w:t>
      </w:r>
      <w:r w:rsidR="00434AE0">
        <w:rPr>
          <w:rFonts w:ascii="Arial" w:eastAsia="Arial" w:hAnsi="Arial" w:cs="Arial"/>
          <w:bCs/>
          <w:lang w:val="en-GB"/>
        </w:rPr>
        <w:t xml:space="preserve">of proceedings </w:t>
      </w:r>
      <w:r w:rsidR="00D13886" w:rsidRPr="00FB5A8B">
        <w:rPr>
          <w:rFonts w:ascii="Arial" w:eastAsia="Arial" w:hAnsi="Arial" w:cs="Arial"/>
          <w:bCs/>
          <w:i/>
          <w:iCs/>
          <w:lang w:val="en-GB"/>
        </w:rPr>
        <w:t>de novo</w:t>
      </w:r>
      <w:r w:rsidR="00D13886">
        <w:rPr>
          <w:rFonts w:ascii="Arial" w:eastAsia="Arial" w:hAnsi="Arial" w:cs="Arial"/>
          <w:bCs/>
          <w:lang w:val="en-GB"/>
        </w:rPr>
        <w:t xml:space="preserve"> </w:t>
      </w:r>
      <w:r w:rsidR="00346923">
        <w:rPr>
          <w:rFonts w:ascii="Arial" w:eastAsia="Arial" w:hAnsi="Arial" w:cs="Arial"/>
          <w:bCs/>
          <w:lang w:val="en-GB"/>
        </w:rPr>
        <w:t xml:space="preserve">dependant on National </w:t>
      </w:r>
      <w:r w:rsidR="006808F3">
        <w:rPr>
          <w:rFonts w:ascii="Arial" w:eastAsia="Arial" w:hAnsi="Arial" w:cs="Arial"/>
          <w:bCs/>
          <w:lang w:val="en-GB"/>
        </w:rPr>
        <w:t>Prosecuting</w:t>
      </w:r>
      <w:r w:rsidR="00346923">
        <w:rPr>
          <w:rFonts w:ascii="Arial" w:eastAsia="Arial" w:hAnsi="Arial" w:cs="Arial"/>
          <w:bCs/>
          <w:lang w:val="en-GB"/>
        </w:rPr>
        <w:t xml:space="preserve"> Authority</w:t>
      </w:r>
      <w:r w:rsidR="006808F3">
        <w:rPr>
          <w:rFonts w:ascii="Arial" w:eastAsia="Arial" w:hAnsi="Arial" w:cs="Arial"/>
          <w:bCs/>
          <w:lang w:val="en-GB"/>
        </w:rPr>
        <w:t xml:space="preserve">, not </w:t>
      </w:r>
      <w:r w:rsidR="00DF12D9">
        <w:rPr>
          <w:rFonts w:ascii="Arial" w:eastAsia="Arial" w:hAnsi="Arial" w:cs="Arial"/>
          <w:bCs/>
          <w:lang w:val="en-GB"/>
        </w:rPr>
        <w:t xml:space="preserve">High </w:t>
      </w:r>
      <w:r w:rsidR="006808F3">
        <w:rPr>
          <w:rFonts w:ascii="Arial" w:eastAsia="Arial" w:hAnsi="Arial" w:cs="Arial"/>
          <w:bCs/>
          <w:lang w:val="en-GB"/>
        </w:rPr>
        <w:t xml:space="preserve">Court </w:t>
      </w:r>
    </w:p>
    <w:p w14:paraId="3E5AA1F5" w14:textId="18D00C5B" w:rsidR="00A72C0C" w:rsidRDefault="00A72C0C" w:rsidP="00AF3167">
      <w:pPr>
        <w:spacing w:after="60" w:line="240" w:lineRule="auto"/>
        <w:ind w:left="1276" w:right="204" w:hanging="1276"/>
        <w:jc w:val="both"/>
        <w:rPr>
          <w:rFonts w:ascii="Arial" w:eastAsia="Arial" w:hAnsi="Arial" w:cs="Arial"/>
          <w:bCs/>
          <w:lang w:val="en-GB"/>
        </w:rPr>
      </w:pPr>
      <w:r>
        <w:rPr>
          <w:rFonts w:ascii="Arial" w:eastAsia="Arial" w:hAnsi="Arial" w:cs="Arial"/>
          <w:bCs/>
          <w:lang w:val="en-GB"/>
        </w:rPr>
        <w:tab/>
      </w:r>
      <w:r w:rsidR="007467F5">
        <w:rPr>
          <w:rFonts w:ascii="Arial" w:eastAsia="Arial" w:hAnsi="Arial" w:cs="Arial"/>
          <w:bCs/>
          <w:lang w:val="en-GB"/>
        </w:rPr>
        <w:t xml:space="preserve">Principles in </w:t>
      </w:r>
      <w:r w:rsidR="007467F5" w:rsidRPr="007467F5">
        <w:rPr>
          <w:rFonts w:ascii="Arial" w:eastAsia="Arial" w:hAnsi="Arial" w:cs="Arial"/>
          <w:bCs/>
          <w:i/>
          <w:iCs/>
          <w:lang w:val="en-GB"/>
        </w:rPr>
        <w:t>Gumbi v The State</w:t>
      </w:r>
      <w:r w:rsidR="007467F5" w:rsidRPr="007467F5">
        <w:rPr>
          <w:rFonts w:ascii="Arial" w:eastAsia="Arial" w:hAnsi="Arial" w:cs="Arial"/>
          <w:bCs/>
          <w:lang w:val="en-GB"/>
        </w:rPr>
        <w:t xml:space="preserve"> (414/2017) [2018] ZASCA 125</w:t>
      </w:r>
      <w:r w:rsidR="007467F5">
        <w:rPr>
          <w:rFonts w:ascii="Arial" w:eastAsia="Arial" w:hAnsi="Arial" w:cs="Arial"/>
          <w:bCs/>
          <w:lang w:val="en-GB"/>
        </w:rPr>
        <w:t xml:space="preserve"> restated and applied</w:t>
      </w:r>
    </w:p>
    <w:p w14:paraId="52056BDB" w14:textId="5466F379" w:rsidR="00DC3517" w:rsidRPr="00B169B7" w:rsidRDefault="00DC3517" w:rsidP="00AF3167">
      <w:pPr>
        <w:spacing w:after="60" w:line="240" w:lineRule="auto"/>
        <w:ind w:left="1276" w:right="204" w:hanging="1276"/>
        <w:jc w:val="both"/>
        <w:rPr>
          <w:rFonts w:ascii="Arial" w:hAnsi="Arial" w:cs="Arial"/>
          <w:lang w:val="en-US"/>
        </w:rPr>
      </w:pPr>
      <w:r>
        <w:rPr>
          <w:rFonts w:ascii="Arial" w:eastAsia="Arial" w:hAnsi="Arial" w:cs="Arial"/>
          <w:bCs/>
          <w:lang w:val="en-GB"/>
        </w:rPr>
        <w:tab/>
      </w:r>
      <w:r w:rsidR="00BD0A9B" w:rsidRPr="00BD0A9B">
        <w:rPr>
          <w:rFonts w:ascii="Arial" w:eastAsia="Arial" w:hAnsi="Arial" w:cs="Arial"/>
          <w:bCs/>
          <w:i/>
          <w:iCs/>
          <w:lang w:val="en-GB"/>
        </w:rPr>
        <w:t>Lacuna</w:t>
      </w:r>
      <w:r w:rsidR="007034E0" w:rsidRPr="00BD0A9B">
        <w:rPr>
          <w:rFonts w:ascii="Arial" w:eastAsia="Arial" w:hAnsi="Arial" w:cs="Arial"/>
          <w:bCs/>
          <w:i/>
          <w:iCs/>
          <w:lang w:val="en-GB"/>
        </w:rPr>
        <w:t xml:space="preserve"> </w:t>
      </w:r>
      <w:r w:rsidR="007034E0">
        <w:rPr>
          <w:rFonts w:ascii="Arial" w:eastAsia="Arial" w:hAnsi="Arial" w:cs="Arial"/>
          <w:bCs/>
          <w:lang w:val="en-GB"/>
        </w:rPr>
        <w:t xml:space="preserve">in the </w:t>
      </w:r>
      <w:r w:rsidR="007034E0" w:rsidRPr="007034E0">
        <w:rPr>
          <w:rFonts w:ascii="Arial" w:eastAsia="Arial" w:hAnsi="Arial" w:cs="Arial"/>
          <w:bCs/>
          <w:lang w:val="en-GB"/>
        </w:rPr>
        <w:t>Criminal Procedure Act, 51 of 1977</w:t>
      </w:r>
      <w:r w:rsidR="00FB5A8B">
        <w:rPr>
          <w:rFonts w:ascii="Arial" w:eastAsia="Arial" w:hAnsi="Arial" w:cs="Arial"/>
          <w:bCs/>
          <w:lang w:val="en-GB"/>
        </w:rPr>
        <w:t xml:space="preserve"> restated</w:t>
      </w:r>
    </w:p>
    <w:p w14:paraId="5E3F3E8C" w14:textId="77777777" w:rsidR="007D010E" w:rsidRPr="00446A61" w:rsidRDefault="007D010E" w:rsidP="00B169B7">
      <w:pPr>
        <w:pBdr>
          <w:bottom w:val="single" w:sz="6" w:space="1" w:color="auto"/>
        </w:pBdr>
        <w:spacing w:after="0" w:line="240" w:lineRule="auto"/>
        <w:rPr>
          <w:rFonts w:ascii="Arial" w:eastAsia="Calibri" w:hAnsi="Arial" w:cs="Arial"/>
          <w:sz w:val="24"/>
          <w:szCs w:val="24"/>
        </w:rPr>
      </w:pPr>
    </w:p>
    <w:p w14:paraId="2CE7B026" w14:textId="77777777" w:rsidR="0071013E" w:rsidRPr="00446A61" w:rsidRDefault="0071013E" w:rsidP="00722594">
      <w:pPr>
        <w:spacing w:before="120" w:after="0" w:line="240" w:lineRule="auto"/>
        <w:jc w:val="center"/>
        <w:rPr>
          <w:rFonts w:ascii="Arial" w:eastAsia="Calibri" w:hAnsi="Arial" w:cs="Arial"/>
          <w:b/>
          <w:sz w:val="24"/>
          <w:szCs w:val="24"/>
        </w:rPr>
      </w:pPr>
      <w:r w:rsidRPr="00446A61">
        <w:rPr>
          <w:rFonts w:ascii="Arial" w:eastAsia="Calibri" w:hAnsi="Arial" w:cs="Arial"/>
          <w:b/>
          <w:sz w:val="24"/>
          <w:szCs w:val="24"/>
        </w:rPr>
        <w:t>REVIEW JUDGMENT</w:t>
      </w:r>
    </w:p>
    <w:p w14:paraId="4F5D79D8" w14:textId="77777777" w:rsidR="0071013E" w:rsidRPr="00446A61" w:rsidRDefault="0071013E" w:rsidP="0071013E">
      <w:pPr>
        <w:pBdr>
          <w:bottom w:val="single" w:sz="6" w:space="1" w:color="auto"/>
        </w:pBdr>
        <w:spacing w:line="240" w:lineRule="auto"/>
        <w:rPr>
          <w:rFonts w:ascii="Arial" w:eastAsia="Calibri" w:hAnsi="Arial" w:cs="Arial"/>
          <w:sz w:val="24"/>
          <w:szCs w:val="24"/>
        </w:rPr>
      </w:pPr>
    </w:p>
    <w:p w14:paraId="4D04850C" w14:textId="3B6311C5" w:rsidR="0071013E" w:rsidRPr="00446A61" w:rsidRDefault="007658DA" w:rsidP="0071013E">
      <w:pPr>
        <w:spacing w:line="360" w:lineRule="auto"/>
        <w:contextualSpacing/>
        <w:jc w:val="both"/>
        <w:rPr>
          <w:rFonts w:ascii="Arial" w:eastAsia="Calibri" w:hAnsi="Arial" w:cs="Arial"/>
          <w:b/>
          <w:sz w:val="24"/>
          <w:szCs w:val="24"/>
        </w:rPr>
      </w:pPr>
      <w:r>
        <w:rPr>
          <w:rFonts w:ascii="Arial" w:eastAsia="Calibri" w:hAnsi="Arial" w:cs="Arial"/>
          <w:b/>
          <w:sz w:val="24"/>
          <w:szCs w:val="24"/>
        </w:rPr>
        <w:t xml:space="preserve">K </w:t>
      </w:r>
      <w:r w:rsidR="0071013E" w:rsidRPr="00446A61">
        <w:rPr>
          <w:rFonts w:ascii="Arial" w:eastAsia="Calibri" w:hAnsi="Arial" w:cs="Arial"/>
          <w:b/>
          <w:sz w:val="24"/>
          <w:szCs w:val="24"/>
        </w:rPr>
        <w:t>STRYDOM AJ</w:t>
      </w:r>
    </w:p>
    <w:p w14:paraId="31A93DE2" w14:textId="2F10CF81" w:rsidR="00E332DB" w:rsidRPr="00E332DB" w:rsidRDefault="00E332DB" w:rsidP="00C40EDD">
      <w:pPr>
        <w:spacing w:before="120" w:after="120" w:line="360" w:lineRule="auto"/>
        <w:jc w:val="both"/>
        <w:rPr>
          <w:rFonts w:ascii="Arial" w:eastAsia="Calibri" w:hAnsi="Arial" w:cs="Arial"/>
          <w:bCs/>
          <w:sz w:val="24"/>
          <w:szCs w:val="24"/>
        </w:rPr>
      </w:pPr>
    </w:p>
    <w:p w14:paraId="0326C7EE" w14:textId="1F52B6E9" w:rsidR="004B7E1C" w:rsidRPr="004D3481" w:rsidRDefault="004D3481" w:rsidP="004D3481">
      <w:pPr>
        <w:spacing w:after="120" w:line="360" w:lineRule="auto"/>
        <w:ind w:left="283" w:hanging="357"/>
        <w:jc w:val="both"/>
        <w:rPr>
          <w:rFonts w:ascii="Arial" w:eastAsia="Calibri" w:hAnsi="Arial" w:cs="Arial"/>
          <w:bCs/>
          <w:sz w:val="24"/>
          <w:szCs w:val="24"/>
        </w:rPr>
      </w:pPr>
      <w:r w:rsidRPr="006E57E3">
        <w:rPr>
          <w:rFonts w:ascii="Arial" w:eastAsia="Calibri" w:hAnsi="Arial" w:cs="Arial"/>
          <w:bCs/>
          <w:sz w:val="24"/>
          <w:szCs w:val="24"/>
        </w:rPr>
        <w:lastRenderedPageBreak/>
        <w:t>1.</w:t>
      </w:r>
      <w:r w:rsidRPr="006E57E3">
        <w:rPr>
          <w:rFonts w:ascii="Arial" w:eastAsia="Calibri" w:hAnsi="Arial" w:cs="Arial"/>
          <w:bCs/>
          <w:sz w:val="24"/>
          <w:szCs w:val="24"/>
        </w:rPr>
        <w:tab/>
      </w:r>
      <w:r w:rsidR="00712032" w:rsidRPr="004D3481">
        <w:rPr>
          <w:rFonts w:ascii="Arial" w:eastAsia="Calibri" w:hAnsi="Arial" w:cs="Arial"/>
          <w:bCs/>
          <w:sz w:val="24"/>
          <w:szCs w:val="24"/>
        </w:rPr>
        <w:t>This</w:t>
      </w:r>
      <w:r w:rsidR="00AF1EA6" w:rsidRPr="004D3481">
        <w:rPr>
          <w:rFonts w:ascii="Arial" w:eastAsia="Calibri" w:hAnsi="Arial" w:cs="Arial"/>
          <w:bCs/>
          <w:sz w:val="24"/>
          <w:szCs w:val="24"/>
        </w:rPr>
        <w:t xml:space="preserve"> special review </w:t>
      </w:r>
      <w:r w:rsidR="002C5B5E" w:rsidRPr="004D3481">
        <w:rPr>
          <w:rFonts w:ascii="Arial" w:eastAsia="Calibri" w:hAnsi="Arial" w:cs="Arial"/>
          <w:bCs/>
          <w:sz w:val="24"/>
          <w:szCs w:val="24"/>
        </w:rPr>
        <w:t>was brought at the behest of the Acting Senior Magistrate</w:t>
      </w:r>
      <w:r w:rsidR="00747099" w:rsidRPr="004D3481">
        <w:rPr>
          <w:rFonts w:ascii="Arial" w:eastAsia="Calibri" w:hAnsi="Arial" w:cs="Arial"/>
          <w:bCs/>
          <w:sz w:val="24"/>
          <w:szCs w:val="24"/>
        </w:rPr>
        <w:t xml:space="preserve">, </w:t>
      </w:r>
      <w:r w:rsidR="001115F3" w:rsidRPr="004D3481">
        <w:rPr>
          <w:rFonts w:ascii="Arial" w:eastAsia="Calibri" w:hAnsi="Arial" w:cs="Arial"/>
          <w:bCs/>
          <w:sz w:val="24"/>
          <w:szCs w:val="24"/>
        </w:rPr>
        <w:t>AL Maass</w:t>
      </w:r>
      <w:r w:rsidR="006220C7" w:rsidRPr="004D3481">
        <w:rPr>
          <w:rFonts w:ascii="Arial" w:eastAsia="Calibri" w:hAnsi="Arial" w:cs="Arial"/>
          <w:bCs/>
          <w:sz w:val="24"/>
          <w:szCs w:val="24"/>
        </w:rPr>
        <w:t xml:space="preserve">. </w:t>
      </w:r>
      <w:r w:rsidR="008201C6" w:rsidRPr="004D3481">
        <w:rPr>
          <w:rFonts w:ascii="Arial" w:eastAsia="Calibri" w:hAnsi="Arial" w:cs="Arial"/>
          <w:bCs/>
          <w:sz w:val="24"/>
          <w:szCs w:val="24"/>
        </w:rPr>
        <w:t>Following</w:t>
      </w:r>
      <w:r w:rsidR="000327B8" w:rsidRPr="004D3481">
        <w:rPr>
          <w:rFonts w:ascii="Arial" w:eastAsia="Calibri" w:hAnsi="Arial" w:cs="Arial"/>
          <w:bCs/>
          <w:sz w:val="24"/>
          <w:szCs w:val="24"/>
        </w:rPr>
        <w:t xml:space="preserve"> the </w:t>
      </w:r>
      <w:proofErr w:type="spellStart"/>
      <w:r w:rsidR="008201C6" w:rsidRPr="004D3481">
        <w:rPr>
          <w:rFonts w:ascii="Arial" w:eastAsia="Calibri" w:hAnsi="Arial" w:cs="Arial"/>
          <w:bCs/>
          <w:i/>
          <w:iCs/>
          <w:sz w:val="24"/>
          <w:szCs w:val="24"/>
        </w:rPr>
        <w:t>mero</w:t>
      </w:r>
      <w:proofErr w:type="spellEnd"/>
      <w:r w:rsidR="008201C6" w:rsidRPr="004D3481">
        <w:rPr>
          <w:rFonts w:ascii="Arial" w:eastAsia="Calibri" w:hAnsi="Arial" w:cs="Arial"/>
          <w:bCs/>
          <w:i/>
          <w:iCs/>
          <w:sz w:val="24"/>
          <w:szCs w:val="24"/>
        </w:rPr>
        <w:t xml:space="preserve"> motu</w:t>
      </w:r>
      <w:r w:rsidR="008201C6" w:rsidRPr="004D3481">
        <w:rPr>
          <w:rFonts w:ascii="Arial" w:eastAsia="Calibri" w:hAnsi="Arial" w:cs="Arial"/>
          <w:bCs/>
          <w:sz w:val="24"/>
          <w:szCs w:val="24"/>
        </w:rPr>
        <w:t xml:space="preserve"> </w:t>
      </w:r>
      <w:r w:rsidR="000327B8" w:rsidRPr="004D3481">
        <w:rPr>
          <w:rFonts w:ascii="Arial" w:eastAsia="Calibri" w:hAnsi="Arial" w:cs="Arial"/>
          <w:bCs/>
          <w:sz w:val="24"/>
          <w:szCs w:val="24"/>
        </w:rPr>
        <w:t>recusal of the presiding officer, Mr Raath</w:t>
      </w:r>
      <w:r w:rsidR="006E7D08" w:rsidRPr="004D3481">
        <w:rPr>
          <w:rFonts w:ascii="Arial" w:eastAsia="Calibri" w:hAnsi="Arial" w:cs="Arial"/>
          <w:bCs/>
          <w:sz w:val="24"/>
          <w:szCs w:val="24"/>
        </w:rPr>
        <w:t xml:space="preserve">, this Court is requested to </w:t>
      </w:r>
      <w:r w:rsidR="00D313B8" w:rsidRPr="004D3481">
        <w:rPr>
          <w:rFonts w:ascii="Arial" w:eastAsia="Calibri" w:hAnsi="Arial" w:cs="Arial"/>
          <w:bCs/>
          <w:sz w:val="24"/>
          <w:szCs w:val="24"/>
        </w:rPr>
        <w:t>set aside the</w:t>
      </w:r>
      <w:r w:rsidR="00204147" w:rsidRPr="004D3481">
        <w:rPr>
          <w:rFonts w:ascii="Arial" w:eastAsia="Calibri" w:hAnsi="Arial" w:cs="Arial"/>
          <w:bCs/>
          <w:sz w:val="24"/>
          <w:szCs w:val="24"/>
        </w:rPr>
        <w:t xml:space="preserve"> current</w:t>
      </w:r>
      <w:r w:rsidR="00CF4D9B" w:rsidRPr="004D3481">
        <w:rPr>
          <w:rFonts w:ascii="Arial" w:eastAsia="Calibri" w:hAnsi="Arial" w:cs="Arial"/>
          <w:bCs/>
          <w:sz w:val="24"/>
          <w:szCs w:val="24"/>
        </w:rPr>
        <w:t xml:space="preserve"> proceedings </w:t>
      </w:r>
      <w:r w:rsidR="00D313B8" w:rsidRPr="004D3481">
        <w:rPr>
          <w:rFonts w:ascii="Arial" w:eastAsia="Calibri" w:hAnsi="Arial" w:cs="Arial"/>
          <w:bCs/>
          <w:sz w:val="24"/>
          <w:szCs w:val="24"/>
        </w:rPr>
        <w:t>and order that they are</w:t>
      </w:r>
      <w:r w:rsidR="008B59A9" w:rsidRPr="004D3481">
        <w:rPr>
          <w:rFonts w:ascii="Arial" w:eastAsia="Calibri" w:hAnsi="Arial" w:cs="Arial"/>
          <w:bCs/>
          <w:sz w:val="24"/>
          <w:szCs w:val="24"/>
        </w:rPr>
        <w:t xml:space="preserve"> to</w:t>
      </w:r>
      <w:r w:rsidR="00A93626" w:rsidRPr="004D3481">
        <w:rPr>
          <w:rFonts w:ascii="Arial" w:eastAsia="Calibri" w:hAnsi="Arial" w:cs="Arial"/>
          <w:bCs/>
          <w:sz w:val="24"/>
          <w:szCs w:val="24"/>
        </w:rPr>
        <w:t xml:space="preserve"> </w:t>
      </w:r>
      <w:r w:rsidR="00FB0420" w:rsidRPr="004D3481">
        <w:rPr>
          <w:rFonts w:ascii="Arial" w:eastAsia="Calibri" w:hAnsi="Arial" w:cs="Arial"/>
          <w:bCs/>
          <w:sz w:val="24"/>
          <w:szCs w:val="24"/>
        </w:rPr>
        <w:t>commence</w:t>
      </w:r>
      <w:r w:rsidR="00A93626" w:rsidRPr="004D3481">
        <w:rPr>
          <w:rFonts w:ascii="Arial" w:eastAsia="Calibri" w:hAnsi="Arial" w:cs="Arial"/>
          <w:bCs/>
          <w:sz w:val="24"/>
          <w:szCs w:val="24"/>
        </w:rPr>
        <w:t xml:space="preserve"> </w:t>
      </w:r>
      <w:r w:rsidR="00A93626" w:rsidRPr="004D3481">
        <w:rPr>
          <w:rFonts w:ascii="Arial" w:eastAsia="Calibri" w:hAnsi="Arial" w:cs="Arial"/>
          <w:bCs/>
          <w:i/>
          <w:iCs/>
          <w:sz w:val="24"/>
          <w:szCs w:val="24"/>
        </w:rPr>
        <w:t>de novo</w:t>
      </w:r>
      <w:r w:rsidR="00D313B8" w:rsidRPr="004D3481">
        <w:rPr>
          <w:rFonts w:ascii="Arial" w:eastAsia="Calibri" w:hAnsi="Arial" w:cs="Arial"/>
          <w:bCs/>
          <w:sz w:val="24"/>
          <w:szCs w:val="24"/>
        </w:rPr>
        <w:t>.</w:t>
      </w:r>
    </w:p>
    <w:p w14:paraId="507E1616" w14:textId="77777777" w:rsidR="00F231C4" w:rsidRDefault="00F231C4" w:rsidP="00F231C4">
      <w:pPr>
        <w:pStyle w:val="ListParagraph"/>
        <w:spacing w:before="120" w:after="120" w:line="240" w:lineRule="auto"/>
        <w:ind w:left="284"/>
        <w:contextualSpacing w:val="0"/>
        <w:jc w:val="both"/>
        <w:rPr>
          <w:rFonts w:ascii="Arial" w:eastAsia="Calibri" w:hAnsi="Arial" w:cs="Arial"/>
          <w:b/>
          <w:sz w:val="24"/>
          <w:szCs w:val="24"/>
        </w:rPr>
      </w:pPr>
    </w:p>
    <w:p w14:paraId="5A0DC126" w14:textId="6AE78FA1" w:rsidR="00F662D0" w:rsidRPr="00F662D0" w:rsidRDefault="00F662D0" w:rsidP="00F231C4">
      <w:pPr>
        <w:pStyle w:val="ListParagraph"/>
        <w:spacing w:after="240" w:line="360" w:lineRule="auto"/>
        <w:ind w:left="284"/>
        <w:contextualSpacing w:val="0"/>
        <w:jc w:val="both"/>
        <w:rPr>
          <w:rFonts w:ascii="Arial" w:eastAsia="Calibri" w:hAnsi="Arial" w:cs="Arial"/>
          <w:b/>
          <w:sz w:val="24"/>
          <w:szCs w:val="24"/>
        </w:rPr>
      </w:pPr>
      <w:r>
        <w:rPr>
          <w:rFonts w:ascii="Arial" w:eastAsia="Calibri" w:hAnsi="Arial" w:cs="Arial"/>
          <w:b/>
          <w:sz w:val="24"/>
          <w:szCs w:val="24"/>
        </w:rPr>
        <w:t>Background</w:t>
      </w:r>
    </w:p>
    <w:p w14:paraId="67B638CA" w14:textId="48233D0B" w:rsidR="007B0F2D" w:rsidRPr="004D3481" w:rsidRDefault="004D3481" w:rsidP="004D3481">
      <w:pPr>
        <w:spacing w:after="120" w:line="360" w:lineRule="auto"/>
        <w:ind w:left="283" w:hanging="357"/>
        <w:jc w:val="both"/>
        <w:rPr>
          <w:rFonts w:ascii="Arial" w:eastAsia="Calibri" w:hAnsi="Arial" w:cs="Arial"/>
          <w:bCs/>
          <w:sz w:val="24"/>
          <w:szCs w:val="24"/>
        </w:rPr>
      </w:pPr>
      <w:r>
        <w:rPr>
          <w:rFonts w:ascii="Arial" w:eastAsia="Calibri" w:hAnsi="Arial" w:cs="Arial"/>
          <w:bCs/>
          <w:sz w:val="24"/>
          <w:szCs w:val="24"/>
        </w:rPr>
        <w:t>2.</w:t>
      </w:r>
      <w:r>
        <w:rPr>
          <w:rFonts w:ascii="Arial" w:eastAsia="Calibri" w:hAnsi="Arial" w:cs="Arial"/>
          <w:bCs/>
          <w:sz w:val="24"/>
          <w:szCs w:val="24"/>
        </w:rPr>
        <w:tab/>
      </w:r>
      <w:r w:rsidR="00894039" w:rsidRPr="004D3481">
        <w:rPr>
          <w:rFonts w:ascii="Arial" w:eastAsia="Calibri" w:hAnsi="Arial" w:cs="Arial"/>
          <w:bCs/>
          <w:sz w:val="24"/>
          <w:szCs w:val="24"/>
        </w:rPr>
        <w:t>On the 16</w:t>
      </w:r>
      <w:r w:rsidR="00894039" w:rsidRPr="004D3481">
        <w:rPr>
          <w:rFonts w:ascii="Arial" w:eastAsia="Calibri" w:hAnsi="Arial" w:cs="Arial"/>
          <w:bCs/>
          <w:sz w:val="24"/>
          <w:szCs w:val="24"/>
          <w:vertAlign w:val="superscript"/>
        </w:rPr>
        <w:t>th</w:t>
      </w:r>
      <w:r w:rsidR="00894039" w:rsidRPr="004D3481">
        <w:rPr>
          <w:rFonts w:ascii="Arial" w:eastAsia="Calibri" w:hAnsi="Arial" w:cs="Arial"/>
          <w:bCs/>
          <w:sz w:val="24"/>
          <w:szCs w:val="24"/>
        </w:rPr>
        <w:t xml:space="preserve"> of March 2023, the accused</w:t>
      </w:r>
      <w:r w:rsidR="00A15054" w:rsidRPr="004D3481">
        <w:rPr>
          <w:rFonts w:ascii="Arial" w:eastAsia="Calibri" w:hAnsi="Arial" w:cs="Arial"/>
          <w:bCs/>
          <w:sz w:val="24"/>
          <w:szCs w:val="24"/>
        </w:rPr>
        <w:t xml:space="preserve"> was driving a motor vehicle, when he collided with a pedestrian, causing her death. He was arrested and charged with culpable homicide. </w:t>
      </w:r>
      <w:r w:rsidR="0016768C" w:rsidRPr="004D3481">
        <w:rPr>
          <w:rFonts w:ascii="Arial" w:eastAsia="Calibri" w:hAnsi="Arial" w:cs="Arial"/>
          <w:bCs/>
          <w:sz w:val="24"/>
          <w:szCs w:val="24"/>
        </w:rPr>
        <w:t xml:space="preserve">He pled </w:t>
      </w:r>
      <w:r w:rsidR="00555F12" w:rsidRPr="004D3481">
        <w:rPr>
          <w:rFonts w:ascii="Arial" w:eastAsia="Calibri" w:hAnsi="Arial" w:cs="Arial"/>
          <w:bCs/>
          <w:sz w:val="24"/>
          <w:szCs w:val="24"/>
        </w:rPr>
        <w:t>not guilty on the 17</w:t>
      </w:r>
      <w:r w:rsidR="00555F12" w:rsidRPr="004D3481">
        <w:rPr>
          <w:rFonts w:ascii="Arial" w:eastAsia="Calibri" w:hAnsi="Arial" w:cs="Arial"/>
          <w:bCs/>
          <w:sz w:val="24"/>
          <w:szCs w:val="24"/>
          <w:vertAlign w:val="superscript"/>
        </w:rPr>
        <w:t>th</w:t>
      </w:r>
      <w:r w:rsidR="00555F12" w:rsidRPr="004D3481">
        <w:rPr>
          <w:rFonts w:ascii="Arial" w:eastAsia="Calibri" w:hAnsi="Arial" w:cs="Arial"/>
          <w:bCs/>
          <w:sz w:val="24"/>
          <w:szCs w:val="24"/>
        </w:rPr>
        <w:t xml:space="preserve"> of March 2023 and was released on bail.</w:t>
      </w:r>
      <w:r w:rsidR="00A628B6" w:rsidRPr="004D3481">
        <w:rPr>
          <w:rFonts w:ascii="Arial" w:eastAsia="Calibri" w:hAnsi="Arial" w:cs="Arial"/>
          <w:bCs/>
          <w:sz w:val="24"/>
          <w:szCs w:val="24"/>
        </w:rPr>
        <w:t xml:space="preserve"> Following several </w:t>
      </w:r>
      <w:r w:rsidR="00D422AD" w:rsidRPr="004D3481">
        <w:rPr>
          <w:rFonts w:ascii="Arial" w:eastAsia="Calibri" w:hAnsi="Arial" w:cs="Arial"/>
          <w:bCs/>
          <w:sz w:val="24"/>
          <w:szCs w:val="24"/>
        </w:rPr>
        <w:t>postponements</w:t>
      </w:r>
      <w:r w:rsidR="009622D3" w:rsidRPr="004D3481">
        <w:rPr>
          <w:rFonts w:ascii="Arial" w:eastAsia="Calibri" w:hAnsi="Arial" w:cs="Arial"/>
          <w:bCs/>
          <w:sz w:val="24"/>
          <w:szCs w:val="24"/>
        </w:rPr>
        <w:t>, the trial started on the 22</w:t>
      </w:r>
      <w:r w:rsidR="009622D3" w:rsidRPr="004D3481">
        <w:rPr>
          <w:rFonts w:ascii="Arial" w:eastAsia="Calibri" w:hAnsi="Arial" w:cs="Arial"/>
          <w:bCs/>
          <w:sz w:val="24"/>
          <w:szCs w:val="24"/>
          <w:vertAlign w:val="superscript"/>
        </w:rPr>
        <w:t>nd</w:t>
      </w:r>
      <w:r w:rsidR="009622D3" w:rsidRPr="004D3481">
        <w:rPr>
          <w:rFonts w:ascii="Arial" w:eastAsia="Calibri" w:hAnsi="Arial" w:cs="Arial"/>
          <w:bCs/>
          <w:sz w:val="24"/>
          <w:szCs w:val="24"/>
        </w:rPr>
        <w:t xml:space="preserve"> of September 2023, with the prosecutor leading </w:t>
      </w:r>
      <w:r w:rsidR="00FF0ADD" w:rsidRPr="004D3481">
        <w:rPr>
          <w:rFonts w:ascii="Arial" w:eastAsia="Calibri" w:hAnsi="Arial" w:cs="Arial"/>
          <w:bCs/>
          <w:sz w:val="24"/>
          <w:szCs w:val="24"/>
        </w:rPr>
        <w:t xml:space="preserve">and, after cross examination, finishing </w:t>
      </w:r>
      <w:r w:rsidR="009622D3" w:rsidRPr="004D3481">
        <w:rPr>
          <w:rFonts w:ascii="Arial" w:eastAsia="Calibri" w:hAnsi="Arial" w:cs="Arial"/>
          <w:bCs/>
          <w:sz w:val="24"/>
          <w:szCs w:val="24"/>
        </w:rPr>
        <w:t xml:space="preserve">the evidence of </w:t>
      </w:r>
      <w:r w:rsidR="00B458EA" w:rsidRPr="004D3481">
        <w:rPr>
          <w:rFonts w:ascii="Arial" w:eastAsia="Calibri" w:hAnsi="Arial" w:cs="Arial"/>
          <w:bCs/>
          <w:sz w:val="24"/>
          <w:szCs w:val="24"/>
        </w:rPr>
        <w:t>the State’s</w:t>
      </w:r>
      <w:r w:rsidR="00D422AD" w:rsidRPr="004D3481">
        <w:rPr>
          <w:rFonts w:ascii="Arial" w:eastAsia="Calibri" w:hAnsi="Arial" w:cs="Arial"/>
          <w:bCs/>
          <w:sz w:val="24"/>
          <w:szCs w:val="24"/>
        </w:rPr>
        <w:t xml:space="preserve"> first witness.</w:t>
      </w:r>
      <w:r w:rsidR="00B458EA" w:rsidRPr="004D3481">
        <w:rPr>
          <w:rFonts w:ascii="Arial" w:eastAsia="Calibri" w:hAnsi="Arial" w:cs="Arial"/>
          <w:bCs/>
          <w:sz w:val="24"/>
          <w:szCs w:val="24"/>
        </w:rPr>
        <w:t xml:space="preserve"> </w:t>
      </w:r>
      <w:r w:rsidR="00E06B96" w:rsidRPr="004D3481">
        <w:rPr>
          <w:rFonts w:ascii="Arial" w:eastAsia="Calibri" w:hAnsi="Arial" w:cs="Arial"/>
          <w:bCs/>
          <w:sz w:val="24"/>
          <w:szCs w:val="24"/>
        </w:rPr>
        <w:t>Before the prosecutor could call his second witness, t</w:t>
      </w:r>
      <w:r w:rsidR="00A209A2" w:rsidRPr="004D3481">
        <w:rPr>
          <w:rFonts w:ascii="Arial" w:eastAsia="Calibri" w:hAnsi="Arial" w:cs="Arial"/>
          <w:bCs/>
          <w:sz w:val="24"/>
          <w:szCs w:val="24"/>
        </w:rPr>
        <w:t>he case was postponed</w:t>
      </w:r>
      <w:r w:rsidR="00632867" w:rsidRPr="004D3481">
        <w:rPr>
          <w:rFonts w:ascii="Arial" w:eastAsia="Calibri" w:hAnsi="Arial" w:cs="Arial"/>
          <w:bCs/>
          <w:sz w:val="24"/>
          <w:szCs w:val="24"/>
        </w:rPr>
        <w:t xml:space="preserve"> to the 28</w:t>
      </w:r>
      <w:r w:rsidR="00632867" w:rsidRPr="004D3481">
        <w:rPr>
          <w:rFonts w:ascii="Arial" w:eastAsia="Calibri" w:hAnsi="Arial" w:cs="Arial"/>
          <w:bCs/>
          <w:sz w:val="24"/>
          <w:szCs w:val="24"/>
          <w:vertAlign w:val="superscript"/>
        </w:rPr>
        <w:t>th</w:t>
      </w:r>
      <w:r w:rsidR="00632867" w:rsidRPr="004D3481">
        <w:rPr>
          <w:rFonts w:ascii="Arial" w:eastAsia="Calibri" w:hAnsi="Arial" w:cs="Arial"/>
          <w:bCs/>
          <w:sz w:val="24"/>
          <w:szCs w:val="24"/>
        </w:rPr>
        <w:t xml:space="preserve"> of September, when it was postponed again</w:t>
      </w:r>
      <w:r w:rsidR="00B65082" w:rsidRPr="004D3481">
        <w:rPr>
          <w:rFonts w:ascii="Arial" w:eastAsia="Calibri" w:hAnsi="Arial" w:cs="Arial"/>
          <w:bCs/>
          <w:sz w:val="24"/>
          <w:szCs w:val="24"/>
        </w:rPr>
        <w:t xml:space="preserve"> to the 11</w:t>
      </w:r>
      <w:r w:rsidR="00B65082" w:rsidRPr="004D3481">
        <w:rPr>
          <w:rFonts w:ascii="Arial" w:eastAsia="Calibri" w:hAnsi="Arial" w:cs="Arial"/>
          <w:bCs/>
          <w:sz w:val="24"/>
          <w:szCs w:val="24"/>
          <w:vertAlign w:val="superscript"/>
        </w:rPr>
        <w:t>th</w:t>
      </w:r>
      <w:r w:rsidR="00B65082" w:rsidRPr="004D3481">
        <w:rPr>
          <w:rFonts w:ascii="Arial" w:eastAsia="Calibri" w:hAnsi="Arial" w:cs="Arial"/>
          <w:bCs/>
          <w:sz w:val="24"/>
          <w:szCs w:val="24"/>
        </w:rPr>
        <w:t xml:space="preserve"> of October 2023</w:t>
      </w:r>
      <w:r w:rsidR="00AF574A" w:rsidRPr="004D3481">
        <w:rPr>
          <w:rFonts w:ascii="Arial" w:eastAsia="Calibri" w:hAnsi="Arial" w:cs="Arial"/>
          <w:bCs/>
          <w:sz w:val="24"/>
          <w:szCs w:val="24"/>
        </w:rPr>
        <w:t xml:space="preserve"> and then</w:t>
      </w:r>
      <w:r w:rsidR="00117835" w:rsidRPr="004D3481">
        <w:rPr>
          <w:rFonts w:ascii="Arial" w:eastAsia="Calibri" w:hAnsi="Arial" w:cs="Arial"/>
          <w:bCs/>
          <w:sz w:val="24"/>
          <w:szCs w:val="24"/>
        </w:rPr>
        <w:t xml:space="preserve"> </w:t>
      </w:r>
      <w:r w:rsidR="00AF574A" w:rsidRPr="004D3481">
        <w:rPr>
          <w:rFonts w:ascii="Arial" w:eastAsia="Calibri" w:hAnsi="Arial" w:cs="Arial"/>
          <w:bCs/>
          <w:sz w:val="24"/>
          <w:szCs w:val="24"/>
        </w:rPr>
        <w:t xml:space="preserve">to the </w:t>
      </w:r>
      <w:r w:rsidR="0079746B" w:rsidRPr="004D3481">
        <w:rPr>
          <w:rFonts w:ascii="Arial" w:eastAsia="Calibri" w:hAnsi="Arial" w:cs="Arial"/>
          <w:bCs/>
          <w:sz w:val="24"/>
          <w:szCs w:val="24"/>
        </w:rPr>
        <w:t>10</w:t>
      </w:r>
      <w:r w:rsidR="0079746B" w:rsidRPr="004D3481">
        <w:rPr>
          <w:rFonts w:ascii="Arial" w:eastAsia="Calibri" w:hAnsi="Arial" w:cs="Arial"/>
          <w:bCs/>
          <w:sz w:val="24"/>
          <w:szCs w:val="24"/>
          <w:vertAlign w:val="superscript"/>
        </w:rPr>
        <w:t>th</w:t>
      </w:r>
      <w:r w:rsidR="0079746B" w:rsidRPr="004D3481">
        <w:rPr>
          <w:rFonts w:ascii="Arial" w:eastAsia="Calibri" w:hAnsi="Arial" w:cs="Arial"/>
          <w:bCs/>
          <w:sz w:val="24"/>
          <w:szCs w:val="24"/>
        </w:rPr>
        <w:t xml:space="preserve"> of November 2023. </w:t>
      </w:r>
    </w:p>
    <w:p w14:paraId="2CCB170C" w14:textId="38DC9AD6" w:rsidR="007B0F2D" w:rsidRPr="004D3481" w:rsidRDefault="004D3481" w:rsidP="004D3481">
      <w:pPr>
        <w:spacing w:after="120" w:line="360" w:lineRule="auto"/>
        <w:ind w:left="283" w:hanging="357"/>
        <w:jc w:val="both"/>
        <w:rPr>
          <w:rFonts w:ascii="Arial" w:eastAsia="Calibri" w:hAnsi="Arial" w:cs="Arial"/>
          <w:bCs/>
          <w:sz w:val="24"/>
          <w:szCs w:val="24"/>
        </w:rPr>
      </w:pPr>
      <w:r w:rsidRPr="00771460">
        <w:rPr>
          <w:rFonts w:ascii="Arial" w:eastAsia="Calibri" w:hAnsi="Arial" w:cs="Arial"/>
          <w:bCs/>
          <w:sz w:val="24"/>
          <w:szCs w:val="24"/>
        </w:rPr>
        <w:t>3.</w:t>
      </w:r>
      <w:r w:rsidRPr="00771460">
        <w:rPr>
          <w:rFonts w:ascii="Arial" w:eastAsia="Calibri" w:hAnsi="Arial" w:cs="Arial"/>
          <w:bCs/>
          <w:sz w:val="24"/>
          <w:szCs w:val="24"/>
        </w:rPr>
        <w:tab/>
      </w:r>
      <w:r w:rsidR="00A65734" w:rsidRPr="004D3481">
        <w:rPr>
          <w:rFonts w:ascii="Arial" w:eastAsia="Calibri" w:hAnsi="Arial" w:cs="Arial"/>
          <w:bCs/>
          <w:sz w:val="24"/>
          <w:szCs w:val="24"/>
        </w:rPr>
        <w:t xml:space="preserve">On the </w:t>
      </w:r>
      <w:r w:rsidR="004927A0" w:rsidRPr="004D3481">
        <w:rPr>
          <w:rFonts w:ascii="Arial" w:eastAsia="Calibri" w:hAnsi="Arial" w:cs="Arial"/>
          <w:bCs/>
          <w:sz w:val="24"/>
          <w:szCs w:val="24"/>
        </w:rPr>
        <w:t>10</w:t>
      </w:r>
      <w:r w:rsidR="004927A0" w:rsidRPr="004D3481">
        <w:rPr>
          <w:rFonts w:ascii="Arial" w:eastAsia="Calibri" w:hAnsi="Arial" w:cs="Arial"/>
          <w:bCs/>
          <w:sz w:val="24"/>
          <w:szCs w:val="24"/>
          <w:vertAlign w:val="superscript"/>
        </w:rPr>
        <w:t>th</w:t>
      </w:r>
      <w:r w:rsidR="004927A0" w:rsidRPr="004D3481">
        <w:rPr>
          <w:rFonts w:ascii="Arial" w:eastAsia="Calibri" w:hAnsi="Arial" w:cs="Arial"/>
          <w:bCs/>
          <w:sz w:val="24"/>
          <w:szCs w:val="24"/>
        </w:rPr>
        <w:t xml:space="preserve"> of November 2023, the presiding officer</w:t>
      </w:r>
      <w:r w:rsidR="0043667D" w:rsidRPr="004D3481">
        <w:rPr>
          <w:rFonts w:ascii="Arial" w:eastAsia="Calibri" w:hAnsi="Arial" w:cs="Arial"/>
          <w:bCs/>
          <w:sz w:val="24"/>
          <w:szCs w:val="24"/>
        </w:rPr>
        <w:t>,</w:t>
      </w:r>
      <w:r w:rsidR="00117835" w:rsidRPr="004D3481">
        <w:rPr>
          <w:rFonts w:ascii="Arial" w:eastAsia="Calibri" w:hAnsi="Arial" w:cs="Arial"/>
          <w:bCs/>
          <w:sz w:val="24"/>
          <w:szCs w:val="24"/>
        </w:rPr>
        <w:t xml:space="preserve"> </w:t>
      </w:r>
      <w:proofErr w:type="spellStart"/>
      <w:r w:rsidR="00852649" w:rsidRPr="004D3481">
        <w:rPr>
          <w:rFonts w:ascii="Arial" w:eastAsia="Calibri" w:hAnsi="Arial" w:cs="Arial"/>
          <w:bCs/>
          <w:i/>
          <w:iCs/>
          <w:sz w:val="24"/>
          <w:szCs w:val="24"/>
        </w:rPr>
        <w:t>mero</w:t>
      </w:r>
      <w:proofErr w:type="spellEnd"/>
      <w:r w:rsidR="00852649" w:rsidRPr="004D3481">
        <w:rPr>
          <w:rFonts w:ascii="Arial" w:eastAsia="Calibri" w:hAnsi="Arial" w:cs="Arial"/>
          <w:bCs/>
          <w:i/>
          <w:iCs/>
          <w:sz w:val="24"/>
          <w:szCs w:val="24"/>
        </w:rPr>
        <w:t xml:space="preserve"> motu</w:t>
      </w:r>
      <w:r w:rsidR="0043667D" w:rsidRPr="004D3481">
        <w:rPr>
          <w:rFonts w:ascii="Arial" w:eastAsia="Calibri" w:hAnsi="Arial" w:cs="Arial"/>
          <w:bCs/>
          <w:i/>
          <w:iCs/>
          <w:sz w:val="24"/>
          <w:szCs w:val="24"/>
        </w:rPr>
        <w:t>,</w:t>
      </w:r>
      <w:r w:rsidR="00852649" w:rsidRPr="004D3481">
        <w:rPr>
          <w:rFonts w:ascii="Arial" w:eastAsia="Calibri" w:hAnsi="Arial" w:cs="Arial"/>
          <w:bCs/>
          <w:sz w:val="24"/>
          <w:szCs w:val="24"/>
        </w:rPr>
        <w:t xml:space="preserve"> </w:t>
      </w:r>
      <w:r w:rsidR="000B3087" w:rsidRPr="004D3481">
        <w:rPr>
          <w:rFonts w:ascii="Arial" w:eastAsia="Calibri" w:hAnsi="Arial" w:cs="Arial"/>
          <w:bCs/>
          <w:sz w:val="24"/>
          <w:szCs w:val="24"/>
        </w:rPr>
        <w:t xml:space="preserve">recused himself. </w:t>
      </w:r>
      <w:r w:rsidR="00852649" w:rsidRPr="004D3481">
        <w:rPr>
          <w:rFonts w:ascii="Arial" w:eastAsia="Calibri" w:hAnsi="Arial" w:cs="Arial"/>
          <w:bCs/>
          <w:sz w:val="24"/>
          <w:szCs w:val="24"/>
        </w:rPr>
        <w:t xml:space="preserve">The record </w:t>
      </w:r>
      <w:r w:rsidR="0000321D" w:rsidRPr="004D3481">
        <w:rPr>
          <w:rFonts w:ascii="Arial" w:eastAsia="Calibri" w:hAnsi="Arial" w:cs="Arial"/>
          <w:bCs/>
          <w:sz w:val="24"/>
          <w:szCs w:val="24"/>
        </w:rPr>
        <w:t>provides</w:t>
      </w:r>
      <w:r w:rsidR="00852649" w:rsidRPr="004D3481">
        <w:rPr>
          <w:rFonts w:ascii="Arial" w:eastAsia="Calibri" w:hAnsi="Arial" w:cs="Arial"/>
          <w:bCs/>
          <w:sz w:val="24"/>
          <w:szCs w:val="24"/>
        </w:rPr>
        <w:t xml:space="preserve"> no indication as to the reasons for the</w:t>
      </w:r>
      <w:r w:rsidR="00FB1AD2" w:rsidRPr="004D3481">
        <w:rPr>
          <w:rFonts w:ascii="Arial" w:eastAsia="Calibri" w:hAnsi="Arial" w:cs="Arial"/>
          <w:bCs/>
          <w:sz w:val="24"/>
          <w:szCs w:val="24"/>
        </w:rPr>
        <w:t xml:space="preserve"> recusal</w:t>
      </w:r>
      <w:r w:rsidR="0043667D" w:rsidRPr="004D3481">
        <w:rPr>
          <w:rFonts w:ascii="Arial" w:eastAsia="Calibri" w:hAnsi="Arial" w:cs="Arial"/>
          <w:bCs/>
          <w:sz w:val="24"/>
          <w:szCs w:val="24"/>
        </w:rPr>
        <w:t>, merely noting that</w:t>
      </w:r>
      <w:r w:rsidR="0015305C" w:rsidRPr="004D3481">
        <w:rPr>
          <w:rFonts w:ascii="Arial" w:eastAsia="Calibri" w:hAnsi="Arial" w:cs="Arial"/>
          <w:bCs/>
          <w:sz w:val="24"/>
          <w:szCs w:val="24"/>
        </w:rPr>
        <w:t xml:space="preserve">: </w:t>
      </w:r>
    </w:p>
    <w:p w14:paraId="0C0AC664" w14:textId="552E1FA6" w:rsidR="007B0F2D" w:rsidRPr="00293205" w:rsidRDefault="0015305C" w:rsidP="006F20D9">
      <w:pPr>
        <w:pStyle w:val="ListParagraph"/>
        <w:spacing w:after="120" w:line="360" w:lineRule="auto"/>
        <w:ind w:left="284"/>
        <w:contextualSpacing w:val="0"/>
        <w:jc w:val="both"/>
        <w:rPr>
          <w:rFonts w:ascii="Arial" w:eastAsia="Calibri" w:hAnsi="Arial" w:cs="Arial"/>
          <w:bCs/>
          <w:color w:val="404040" w:themeColor="text1" w:themeTint="BF"/>
          <w:sz w:val="24"/>
          <w:szCs w:val="24"/>
        </w:rPr>
      </w:pPr>
      <w:r w:rsidRPr="00293205">
        <w:rPr>
          <w:rFonts w:ascii="Arial" w:eastAsia="Calibri" w:hAnsi="Arial" w:cs="Arial"/>
          <w:bCs/>
          <w:i/>
          <w:iCs/>
          <w:color w:val="404040" w:themeColor="text1" w:themeTint="BF"/>
          <w:sz w:val="24"/>
          <w:szCs w:val="24"/>
        </w:rPr>
        <w:t>“The Magistrate Mr HC Raath decided to recuse himself from this matter and is not proceeding with the trial. It has been discussed with th</w:t>
      </w:r>
      <w:r w:rsidR="00B95E15" w:rsidRPr="00293205">
        <w:rPr>
          <w:rFonts w:ascii="Arial" w:eastAsia="Calibri" w:hAnsi="Arial" w:cs="Arial"/>
          <w:bCs/>
          <w:i/>
          <w:iCs/>
          <w:color w:val="404040" w:themeColor="text1" w:themeTint="BF"/>
          <w:sz w:val="24"/>
          <w:szCs w:val="24"/>
        </w:rPr>
        <w:t>e</w:t>
      </w:r>
      <w:r w:rsidRPr="00293205">
        <w:rPr>
          <w:rFonts w:ascii="Arial" w:eastAsia="Calibri" w:hAnsi="Arial" w:cs="Arial"/>
          <w:bCs/>
          <w:i/>
          <w:iCs/>
          <w:color w:val="404040" w:themeColor="text1" w:themeTint="BF"/>
          <w:sz w:val="24"/>
          <w:szCs w:val="24"/>
        </w:rPr>
        <w:t xml:space="preserve"> Attorney to start afresh. He </w:t>
      </w:r>
      <w:r w:rsidR="00BC2C69" w:rsidRPr="00293205">
        <w:rPr>
          <w:rFonts w:ascii="Arial" w:eastAsia="Calibri" w:hAnsi="Arial" w:cs="Arial"/>
          <w:bCs/>
          <w:i/>
          <w:iCs/>
          <w:color w:val="404040" w:themeColor="text1" w:themeTint="BF"/>
          <w:sz w:val="24"/>
          <w:szCs w:val="24"/>
        </w:rPr>
        <w:t>understands</w:t>
      </w:r>
      <w:r w:rsidRPr="00293205">
        <w:rPr>
          <w:rFonts w:ascii="Arial" w:eastAsia="Calibri" w:hAnsi="Arial" w:cs="Arial"/>
          <w:bCs/>
          <w:i/>
          <w:iCs/>
          <w:color w:val="404040" w:themeColor="text1" w:themeTint="BF"/>
          <w:sz w:val="24"/>
          <w:szCs w:val="24"/>
        </w:rPr>
        <w:t xml:space="preserve"> </w:t>
      </w:r>
      <w:proofErr w:type="gramStart"/>
      <w:r w:rsidRPr="00293205">
        <w:rPr>
          <w:rFonts w:ascii="Arial" w:eastAsia="Calibri" w:hAnsi="Arial" w:cs="Arial"/>
          <w:bCs/>
          <w:i/>
          <w:iCs/>
          <w:color w:val="404040" w:themeColor="text1" w:themeTint="BF"/>
          <w:sz w:val="24"/>
          <w:szCs w:val="24"/>
        </w:rPr>
        <w:t>and also</w:t>
      </w:r>
      <w:proofErr w:type="gramEnd"/>
      <w:r w:rsidRPr="00293205">
        <w:rPr>
          <w:rFonts w:ascii="Arial" w:eastAsia="Calibri" w:hAnsi="Arial" w:cs="Arial"/>
          <w:bCs/>
          <w:i/>
          <w:iCs/>
          <w:color w:val="404040" w:themeColor="text1" w:themeTint="BF"/>
          <w:sz w:val="24"/>
          <w:szCs w:val="24"/>
        </w:rPr>
        <w:t xml:space="preserve"> accepts that decision</w:t>
      </w:r>
      <w:r w:rsidRPr="00293205">
        <w:rPr>
          <w:rFonts w:ascii="Arial" w:eastAsia="Calibri" w:hAnsi="Arial" w:cs="Arial"/>
          <w:bCs/>
          <w:color w:val="404040" w:themeColor="text1" w:themeTint="BF"/>
          <w:sz w:val="24"/>
          <w:szCs w:val="24"/>
        </w:rPr>
        <w:t>.</w:t>
      </w:r>
      <w:r w:rsidR="00E71D22" w:rsidRPr="00293205">
        <w:rPr>
          <w:rFonts w:ascii="Arial" w:eastAsia="Calibri" w:hAnsi="Arial" w:cs="Arial"/>
          <w:bCs/>
          <w:color w:val="404040" w:themeColor="text1" w:themeTint="BF"/>
          <w:sz w:val="24"/>
          <w:szCs w:val="24"/>
        </w:rPr>
        <w:t>”</w:t>
      </w:r>
      <w:r w:rsidR="00FB1AD2" w:rsidRPr="00293205">
        <w:rPr>
          <w:rFonts w:ascii="Arial" w:eastAsia="Calibri" w:hAnsi="Arial" w:cs="Arial"/>
          <w:bCs/>
          <w:color w:val="404040" w:themeColor="text1" w:themeTint="BF"/>
          <w:sz w:val="24"/>
          <w:szCs w:val="24"/>
        </w:rPr>
        <w:t xml:space="preserve"> </w:t>
      </w:r>
    </w:p>
    <w:p w14:paraId="5B45BA60" w14:textId="271045D8" w:rsidR="007B0F2D" w:rsidRPr="004D3481" w:rsidRDefault="004D3481" w:rsidP="004D3481">
      <w:pPr>
        <w:spacing w:after="120" w:line="360" w:lineRule="auto"/>
        <w:ind w:left="284" w:hanging="360"/>
        <w:jc w:val="both"/>
        <w:rPr>
          <w:rFonts w:ascii="Arial" w:eastAsia="Calibri" w:hAnsi="Arial" w:cs="Arial"/>
          <w:bCs/>
          <w:sz w:val="24"/>
          <w:szCs w:val="24"/>
        </w:rPr>
      </w:pPr>
      <w:r>
        <w:rPr>
          <w:rFonts w:ascii="Arial" w:eastAsia="Calibri" w:hAnsi="Arial" w:cs="Arial"/>
          <w:bCs/>
          <w:sz w:val="24"/>
          <w:szCs w:val="24"/>
        </w:rPr>
        <w:t>4.</w:t>
      </w:r>
      <w:r>
        <w:rPr>
          <w:rFonts w:ascii="Arial" w:eastAsia="Calibri" w:hAnsi="Arial" w:cs="Arial"/>
          <w:bCs/>
          <w:sz w:val="24"/>
          <w:szCs w:val="24"/>
        </w:rPr>
        <w:tab/>
      </w:r>
      <w:r w:rsidR="00D573C0" w:rsidRPr="004D3481">
        <w:rPr>
          <w:rFonts w:ascii="Arial" w:eastAsia="Calibri" w:hAnsi="Arial" w:cs="Arial"/>
          <w:bCs/>
          <w:sz w:val="24"/>
          <w:szCs w:val="24"/>
        </w:rPr>
        <w:t>Mr Maass</w:t>
      </w:r>
      <w:r w:rsidR="007A2289" w:rsidRPr="004D3481">
        <w:rPr>
          <w:rFonts w:ascii="Arial" w:eastAsia="Calibri" w:hAnsi="Arial" w:cs="Arial"/>
          <w:bCs/>
          <w:sz w:val="24"/>
          <w:szCs w:val="24"/>
        </w:rPr>
        <w:t>, however,</w:t>
      </w:r>
      <w:r w:rsidR="0032752F" w:rsidRPr="004D3481">
        <w:rPr>
          <w:rFonts w:ascii="Arial" w:eastAsia="Calibri" w:hAnsi="Arial" w:cs="Arial"/>
          <w:bCs/>
          <w:sz w:val="24"/>
          <w:szCs w:val="24"/>
        </w:rPr>
        <w:t xml:space="preserve"> indicates</w:t>
      </w:r>
      <w:r w:rsidR="00987F71" w:rsidRPr="004D3481">
        <w:rPr>
          <w:rFonts w:ascii="Arial" w:eastAsia="Calibri" w:hAnsi="Arial" w:cs="Arial"/>
          <w:bCs/>
          <w:sz w:val="24"/>
          <w:szCs w:val="24"/>
        </w:rPr>
        <w:t xml:space="preserve"> </w:t>
      </w:r>
      <w:r w:rsidR="005C73BE" w:rsidRPr="004D3481">
        <w:rPr>
          <w:rFonts w:ascii="Arial" w:eastAsia="Calibri" w:hAnsi="Arial" w:cs="Arial"/>
          <w:bCs/>
          <w:sz w:val="24"/>
          <w:szCs w:val="24"/>
        </w:rPr>
        <w:t xml:space="preserve">that </w:t>
      </w:r>
      <w:r w:rsidR="00E5628A" w:rsidRPr="004D3481">
        <w:rPr>
          <w:rFonts w:ascii="Arial" w:eastAsia="Calibri" w:hAnsi="Arial" w:cs="Arial"/>
          <w:bCs/>
          <w:sz w:val="24"/>
          <w:szCs w:val="24"/>
        </w:rPr>
        <w:t xml:space="preserve">Mr Raath is on leave </w:t>
      </w:r>
      <w:r w:rsidR="00987F71" w:rsidRPr="004D3481">
        <w:rPr>
          <w:rFonts w:ascii="Arial" w:eastAsia="Calibri" w:hAnsi="Arial" w:cs="Arial"/>
          <w:bCs/>
          <w:sz w:val="24"/>
          <w:szCs w:val="24"/>
        </w:rPr>
        <w:t>for the period 20 November 2023 to 29 Februar</w:t>
      </w:r>
      <w:r w:rsidR="005C2FE7" w:rsidRPr="004D3481">
        <w:rPr>
          <w:rFonts w:ascii="Arial" w:eastAsia="Calibri" w:hAnsi="Arial" w:cs="Arial"/>
          <w:bCs/>
          <w:sz w:val="24"/>
          <w:szCs w:val="24"/>
        </w:rPr>
        <w:t>y</w:t>
      </w:r>
      <w:r w:rsidR="00987F71" w:rsidRPr="004D3481">
        <w:rPr>
          <w:rFonts w:ascii="Arial" w:eastAsia="Calibri" w:hAnsi="Arial" w:cs="Arial"/>
          <w:bCs/>
          <w:sz w:val="24"/>
          <w:szCs w:val="24"/>
        </w:rPr>
        <w:t xml:space="preserve"> 2024</w:t>
      </w:r>
      <w:r w:rsidR="001509DB" w:rsidRPr="004D3481">
        <w:rPr>
          <w:rFonts w:ascii="Arial" w:eastAsia="Calibri" w:hAnsi="Arial" w:cs="Arial"/>
          <w:bCs/>
          <w:sz w:val="24"/>
          <w:szCs w:val="24"/>
        </w:rPr>
        <w:t xml:space="preserve">. He further </w:t>
      </w:r>
      <w:r w:rsidR="00CC36AD" w:rsidRPr="004D3481">
        <w:rPr>
          <w:rFonts w:ascii="Arial" w:eastAsia="Calibri" w:hAnsi="Arial" w:cs="Arial"/>
          <w:bCs/>
          <w:sz w:val="24"/>
          <w:szCs w:val="24"/>
        </w:rPr>
        <w:t>states that</w:t>
      </w:r>
      <w:r w:rsidR="00D954F8" w:rsidRPr="004D3481">
        <w:rPr>
          <w:rFonts w:ascii="Arial" w:eastAsia="Calibri" w:hAnsi="Arial" w:cs="Arial"/>
          <w:bCs/>
          <w:sz w:val="24"/>
          <w:szCs w:val="24"/>
        </w:rPr>
        <w:t xml:space="preserve">: </w:t>
      </w:r>
      <w:r w:rsidR="00D954F8" w:rsidRPr="004D3481">
        <w:rPr>
          <w:rFonts w:ascii="Arial" w:eastAsia="Calibri" w:hAnsi="Arial" w:cs="Arial"/>
          <w:bCs/>
          <w:color w:val="404040" w:themeColor="text1" w:themeTint="BF"/>
          <w:sz w:val="24"/>
          <w:szCs w:val="24"/>
        </w:rPr>
        <w:t>“</w:t>
      </w:r>
      <w:r w:rsidR="00D954F8" w:rsidRPr="004D3481">
        <w:rPr>
          <w:rFonts w:ascii="Arial" w:eastAsia="Calibri" w:hAnsi="Arial" w:cs="Arial"/>
          <w:bCs/>
          <w:i/>
          <w:iCs/>
          <w:color w:val="404040" w:themeColor="text1" w:themeTint="BF"/>
          <w:sz w:val="24"/>
          <w:szCs w:val="24"/>
        </w:rPr>
        <w:t xml:space="preserve">There </w:t>
      </w:r>
      <w:r w:rsidR="00540084" w:rsidRPr="004D3481">
        <w:rPr>
          <w:rFonts w:ascii="Arial" w:eastAsia="Calibri" w:hAnsi="Arial" w:cs="Arial"/>
          <w:bCs/>
          <w:i/>
          <w:iCs/>
          <w:color w:val="404040" w:themeColor="text1" w:themeTint="BF"/>
          <w:sz w:val="24"/>
          <w:szCs w:val="24"/>
        </w:rPr>
        <w:t>is a pending decision of possible suspension by the magistrate</w:t>
      </w:r>
      <w:r w:rsidR="00EE2A5A" w:rsidRPr="004D3481">
        <w:rPr>
          <w:rFonts w:ascii="Arial" w:eastAsia="Calibri" w:hAnsi="Arial" w:cs="Arial"/>
          <w:bCs/>
          <w:i/>
          <w:iCs/>
          <w:color w:val="404040" w:themeColor="text1" w:themeTint="BF"/>
          <w:sz w:val="24"/>
          <w:szCs w:val="24"/>
        </w:rPr>
        <w:t xml:space="preserve"> commission</w:t>
      </w:r>
      <w:r w:rsidR="00B74956" w:rsidRPr="004D3481">
        <w:rPr>
          <w:rFonts w:ascii="Arial" w:eastAsia="Calibri" w:hAnsi="Arial" w:cs="Arial"/>
          <w:bCs/>
          <w:i/>
          <w:iCs/>
          <w:color w:val="404040" w:themeColor="text1" w:themeTint="BF"/>
          <w:sz w:val="24"/>
          <w:szCs w:val="24"/>
        </w:rPr>
        <w:t xml:space="preserve"> against the said magistrate.” </w:t>
      </w:r>
      <w:r w:rsidR="008F35B7" w:rsidRPr="004D3481">
        <w:rPr>
          <w:rFonts w:ascii="Arial" w:eastAsia="Calibri" w:hAnsi="Arial" w:cs="Arial"/>
          <w:bCs/>
          <w:sz w:val="24"/>
          <w:szCs w:val="24"/>
        </w:rPr>
        <w:t>T</w:t>
      </w:r>
      <w:r w:rsidR="0098784E" w:rsidRPr="004D3481">
        <w:rPr>
          <w:rFonts w:ascii="Arial" w:eastAsia="Calibri" w:hAnsi="Arial" w:cs="Arial"/>
          <w:bCs/>
          <w:sz w:val="24"/>
          <w:szCs w:val="24"/>
        </w:rPr>
        <w:t>he latest</w:t>
      </w:r>
      <w:r w:rsidR="0025048E" w:rsidRPr="004D3481">
        <w:rPr>
          <w:rFonts w:ascii="Arial" w:eastAsia="Calibri" w:hAnsi="Arial" w:cs="Arial"/>
          <w:bCs/>
          <w:sz w:val="24"/>
          <w:szCs w:val="24"/>
        </w:rPr>
        <w:t xml:space="preserve"> announcements from the National Assembly </w:t>
      </w:r>
      <w:r w:rsidR="0037710F" w:rsidRPr="004D3481">
        <w:rPr>
          <w:rFonts w:ascii="Arial" w:eastAsia="Calibri" w:hAnsi="Arial" w:cs="Arial"/>
          <w:bCs/>
          <w:sz w:val="24"/>
          <w:szCs w:val="24"/>
        </w:rPr>
        <w:t xml:space="preserve">also </w:t>
      </w:r>
      <w:r w:rsidR="00BE4E26" w:rsidRPr="004D3481">
        <w:rPr>
          <w:rFonts w:ascii="Arial" w:eastAsia="Calibri" w:hAnsi="Arial" w:cs="Arial"/>
          <w:bCs/>
          <w:sz w:val="24"/>
          <w:szCs w:val="24"/>
        </w:rPr>
        <w:t>indicate</w:t>
      </w:r>
      <w:r w:rsidR="0025048E" w:rsidRPr="004D3481">
        <w:rPr>
          <w:rFonts w:ascii="Arial" w:eastAsia="Calibri" w:hAnsi="Arial" w:cs="Arial"/>
          <w:bCs/>
          <w:sz w:val="24"/>
          <w:szCs w:val="24"/>
        </w:rPr>
        <w:t xml:space="preserve"> that</w:t>
      </w:r>
      <w:r w:rsidR="00BE4E26" w:rsidRPr="004D3481">
        <w:rPr>
          <w:rFonts w:ascii="Arial" w:eastAsia="Calibri" w:hAnsi="Arial" w:cs="Arial"/>
          <w:bCs/>
          <w:sz w:val="24"/>
          <w:szCs w:val="24"/>
        </w:rPr>
        <w:t xml:space="preserve"> the</w:t>
      </w:r>
      <w:r w:rsidR="0025048E" w:rsidRPr="004D3481">
        <w:rPr>
          <w:rFonts w:ascii="Arial" w:eastAsia="Calibri" w:hAnsi="Arial" w:cs="Arial"/>
          <w:bCs/>
          <w:sz w:val="24"/>
          <w:szCs w:val="24"/>
        </w:rPr>
        <w:t xml:space="preserve"> </w:t>
      </w:r>
      <w:r w:rsidR="0025048E" w:rsidRPr="004D3481">
        <w:rPr>
          <w:rFonts w:ascii="Arial" w:eastAsia="Calibri" w:hAnsi="Arial" w:cs="Arial"/>
          <w:bCs/>
          <w:i/>
          <w:iCs/>
          <w:color w:val="404040" w:themeColor="text1" w:themeTint="BF"/>
          <w:sz w:val="24"/>
          <w:szCs w:val="24"/>
        </w:rPr>
        <w:t>“</w:t>
      </w:r>
      <w:r w:rsidR="00BE4E26" w:rsidRPr="004D3481">
        <w:rPr>
          <w:rFonts w:ascii="Arial" w:eastAsia="Calibri" w:hAnsi="Arial" w:cs="Arial"/>
          <w:bCs/>
          <w:i/>
          <w:iCs/>
          <w:color w:val="404040" w:themeColor="text1" w:themeTint="BF"/>
          <w:sz w:val="24"/>
          <w:szCs w:val="24"/>
        </w:rPr>
        <w:t>(r)</w:t>
      </w:r>
      <w:proofErr w:type="spellStart"/>
      <w:r w:rsidR="0025048E" w:rsidRPr="004D3481">
        <w:rPr>
          <w:rFonts w:ascii="Arial" w:eastAsia="Calibri" w:hAnsi="Arial" w:cs="Arial"/>
          <w:bCs/>
          <w:i/>
          <w:iCs/>
          <w:color w:val="404040" w:themeColor="text1" w:themeTint="BF"/>
          <w:sz w:val="24"/>
          <w:szCs w:val="24"/>
        </w:rPr>
        <w:t>eport</w:t>
      </w:r>
      <w:proofErr w:type="spellEnd"/>
      <w:r w:rsidR="0025048E" w:rsidRPr="004D3481">
        <w:rPr>
          <w:rFonts w:ascii="Arial" w:eastAsia="Calibri" w:hAnsi="Arial" w:cs="Arial"/>
          <w:bCs/>
          <w:i/>
          <w:iCs/>
          <w:color w:val="404040" w:themeColor="text1" w:themeTint="BF"/>
          <w:sz w:val="24"/>
          <w:szCs w:val="24"/>
        </w:rPr>
        <w:t xml:space="preserve"> dated 23 November 2023, on the suspension from office of Mr H C</w:t>
      </w:r>
      <w:r w:rsidR="00BE4E26" w:rsidRPr="004D3481">
        <w:rPr>
          <w:rFonts w:ascii="Arial" w:eastAsia="Calibri" w:hAnsi="Arial" w:cs="Arial"/>
          <w:bCs/>
          <w:i/>
          <w:iCs/>
          <w:color w:val="404040" w:themeColor="text1" w:themeTint="BF"/>
          <w:sz w:val="24"/>
          <w:szCs w:val="24"/>
        </w:rPr>
        <w:t xml:space="preserve"> </w:t>
      </w:r>
      <w:r w:rsidR="0025048E" w:rsidRPr="004D3481">
        <w:rPr>
          <w:rFonts w:ascii="Arial" w:eastAsia="Calibri" w:hAnsi="Arial" w:cs="Arial"/>
          <w:bCs/>
          <w:i/>
          <w:iCs/>
          <w:color w:val="404040" w:themeColor="text1" w:themeTint="BF"/>
          <w:sz w:val="24"/>
          <w:szCs w:val="24"/>
        </w:rPr>
        <w:t>Raath, Additional Magistrate, Oberholzer, in terms of section 13(4)(b) of the</w:t>
      </w:r>
      <w:r w:rsidR="00BE4E26" w:rsidRPr="004D3481">
        <w:rPr>
          <w:rFonts w:ascii="Arial" w:eastAsia="Calibri" w:hAnsi="Arial" w:cs="Arial"/>
          <w:bCs/>
          <w:i/>
          <w:iCs/>
          <w:color w:val="404040" w:themeColor="text1" w:themeTint="BF"/>
          <w:sz w:val="24"/>
          <w:szCs w:val="24"/>
        </w:rPr>
        <w:t xml:space="preserve"> </w:t>
      </w:r>
      <w:r w:rsidR="0025048E" w:rsidRPr="004D3481">
        <w:rPr>
          <w:rFonts w:ascii="Arial" w:eastAsia="Calibri" w:hAnsi="Arial" w:cs="Arial"/>
          <w:bCs/>
          <w:i/>
          <w:iCs/>
          <w:color w:val="404040" w:themeColor="text1" w:themeTint="BF"/>
          <w:sz w:val="24"/>
          <w:szCs w:val="24"/>
        </w:rPr>
        <w:t>Magistrates Act, 1993 (Act No. 90 of 1993)</w:t>
      </w:r>
      <w:r w:rsidR="00BE4E26" w:rsidRPr="004D3481">
        <w:rPr>
          <w:rFonts w:ascii="Arial" w:eastAsia="Calibri" w:hAnsi="Arial" w:cs="Arial"/>
          <w:bCs/>
          <w:color w:val="404040" w:themeColor="text1" w:themeTint="BF"/>
          <w:sz w:val="24"/>
          <w:szCs w:val="24"/>
        </w:rPr>
        <w:t xml:space="preserve">” </w:t>
      </w:r>
      <w:r w:rsidR="00BE4E26" w:rsidRPr="004D3481">
        <w:rPr>
          <w:rFonts w:ascii="Arial" w:eastAsia="Calibri" w:hAnsi="Arial" w:cs="Arial"/>
          <w:bCs/>
          <w:sz w:val="24"/>
          <w:szCs w:val="24"/>
        </w:rPr>
        <w:t xml:space="preserve">has </w:t>
      </w:r>
      <w:r w:rsidR="0047752D" w:rsidRPr="004D3481">
        <w:rPr>
          <w:rFonts w:ascii="Arial" w:eastAsia="Calibri" w:hAnsi="Arial" w:cs="Arial"/>
          <w:bCs/>
          <w:sz w:val="24"/>
          <w:szCs w:val="24"/>
        </w:rPr>
        <w:t xml:space="preserve">been </w:t>
      </w:r>
      <w:r w:rsidR="0098784E" w:rsidRPr="004D3481">
        <w:rPr>
          <w:rFonts w:ascii="Arial" w:eastAsia="Calibri" w:hAnsi="Arial" w:cs="Arial"/>
          <w:bCs/>
          <w:sz w:val="24"/>
          <w:szCs w:val="24"/>
        </w:rPr>
        <w:t>referred to the Portfolio Committee on Justice and</w:t>
      </w:r>
      <w:r w:rsidR="0047752D" w:rsidRPr="004D3481">
        <w:rPr>
          <w:rFonts w:ascii="Arial" w:eastAsia="Calibri" w:hAnsi="Arial" w:cs="Arial"/>
          <w:bCs/>
          <w:sz w:val="24"/>
          <w:szCs w:val="24"/>
        </w:rPr>
        <w:t xml:space="preserve"> </w:t>
      </w:r>
      <w:r w:rsidR="0098784E" w:rsidRPr="004D3481">
        <w:rPr>
          <w:rFonts w:ascii="Arial" w:eastAsia="Calibri" w:hAnsi="Arial" w:cs="Arial"/>
          <w:bCs/>
          <w:sz w:val="24"/>
          <w:szCs w:val="24"/>
        </w:rPr>
        <w:t>Correctional Services for consideration and report</w:t>
      </w:r>
      <w:r w:rsidR="0047752D" w:rsidRPr="004D3481">
        <w:rPr>
          <w:rFonts w:ascii="Arial" w:eastAsia="Calibri" w:hAnsi="Arial" w:cs="Arial"/>
          <w:bCs/>
          <w:sz w:val="24"/>
          <w:szCs w:val="24"/>
        </w:rPr>
        <w:t>.</w:t>
      </w:r>
      <w:r w:rsidR="0047752D">
        <w:rPr>
          <w:rStyle w:val="FootnoteReference"/>
          <w:rFonts w:ascii="Arial" w:eastAsia="Calibri" w:hAnsi="Arial" w:cs="Arial"/>
          <w:bCs/>
          <w:sz w:val="24"/>
          <w:szCs w:val="24"/>
        </w:rPr>
        <w:footnoteReference w:id="1"/>
      </w:r>
    </w:p>
    <w:p w14:paraId="1C4992ED" w14:textId="0994D070" w:rsidR="00454448" w:rsidRPr="004D3481" w:rsidRDefault="004D3481" w:rsidP="004D3481">
      <w:pPr>
        <w:spacing w:after="120" w:line="360" w:lineRule="auto"/>
        <w:ind w:left="284" w:hanging="360"/>
        <w:jc w:val="both"/>
        <w:rPr>
          <w:rFonts w:ascii="Arial" w:eastAsia="Calibri" w:hAnsi="Arial" w:cs="Arial"/>
          <w:bCs/>
          <w:sz w:val="24"/>
          <w:szCs w:val="24"/>
        </w:rPr>
      </w:pPr>
      <w:r>
        <w:rPr>
          <w:rFonts w:ascii="Arial" w:eastAsia="Calibri" w:hAnsi="Arial" w:cs="Arial"/>
          <w:bCs/>
          <w:sz w:val="24"/>
          <w:szCs w:val="24"/>
        </w:rPr>
        <w:t>5.</w:t>
      </w:r>
      <w:r>
        <w:rPr>
          <w:rFonts w:ascii="Arial" w:eastAsia="Calibri" w:hAnsi="Arial" w:cs="Arial"/>
          <w:bCs/>
          <w:sz w:val="24"/>
          <w:szCs w:val="24"/>
        </w:rPr>
        <w:tab/>
      </w:r>
      <w:r w:rsidR="00813A5B" w:rsidRPr="004D3481">
        <w:rPr>
          <w:rFonts w:ascii="Arial" w:eastAsia="Calibri" w:hAnsi="Arial" w:cs="Arial"/>
          <w:bCs/>
          <w:sz w:val="24"/>
          <w:szCs w:val="24"/>
        </w:rPr>
        <w:t>Wh</w:t>
      </w:r>
      <w:r w:rsidR="00661B63" w:rsidRPr="004D3481">
        <w:rPr>
          <w:rFonts w:ascii="Arial" w:eastAsia="Calibri" w:hAnsi="Arial" w:cs="Arial"/>
          <w:bCs/>
          <w:sz w:val="24"/>
          <w:szCs w:val="24"/>
        </w:rPr>
        <w:t xml:space="preserve">ether or not an </w:t>
      </w:r>
      <w:r w:rsidR="00813A5B" w:rsidRPr="004D3481">
        <w:rPr>
          <w:rFonts w:ascii="Arial" w:eastAsia="Calibri" w:hAnsi="Arial" w:cs="Arial"/>
          <w:bCs/>
          <w:sz w:val="24"/>
          <w:szCs w:val="24"/>
        </w:rPr>
        <w:t xml:space="preserve">interrelation between the </w:t>
      </w:r>
      <w:proofErr w:type="spellStart"/>
      <w:r w:rsidR="002F40F5" w:rsidRPr="004D3481">
        <w:rPr>
          <w:rFonts w:ascii="Arial" w:eastAsia="Calibri" w:hAnsi="Arial" w:cs="Arial"/>
          <w:bCs/>
          <w:i/>
          <w:iCs/>
          <w:color w:val="404040" w:themeColor="text1" w:themeTint="BF"/>
          <w:sz w:val="24"/>
          <w:szCs w:val="24"/>
        </w:rPr>
        <w:t>mero</w:t>
      </w:r>
      <w:proofErr w:type="spellEnd"/>
      <w:r w:rsidR="002F40F5" w:rsidRPr="004D3481">
        <w:rPr>
          <w:rFonts w:ascii="Arial" w:eastAsia="Calibri" w:hAnsi="Arial" w:cs="Arial"/>
          <w:bCs/>
          <w:i/>
          <w:iCs/>
          <w:color w:val="404040" w:themeColor="text1" w:themeTint="BF"/>
          <w:sz w:val="24"/>
          <w:szCs w:val="24"/>
        </w:rPr>
        <w:t xml:space="preserve"> motu</w:t>
      </w:r>
      <w:r w:rsidR="002F40F5" w:rsidRPr="004D3481">
        <w:rPr>
          <w:rFonts w:ascii="Arial" w:eastAsia="Calibri" w:hAnsi="Arial" w:cs="Arial"/>
          <w:bCs/>
          <w:color w:val="404040" w:themeColor="text1" w:themeTint="BF"/>
          <w:sz w:val="24"/>
          <w:szCs w:val="24"/>
        </w:rPr>
        <w:t xml:space="preserve"> </w:t>
      </w:r>
      <w:r w:rsidR="002F40F5" w:rsidRPr="004D3481">
        <w:rPr>
          <w:rFonts w:ascii="Arial" w:eastAsia="Calibri" w:hAnsi="Arial" w:cs="Arial"/>
          <w:bCs/>
          <w:sz w:val="24"/>
          <w:szCs w:val="24"/>
        </w:rPr>
        <w:t>recusal and the possible suspension of Mr Raath,</w:t>
      </w:r>
      <w:r w:rsidR="00661B63" w:rsidRPr="004D3481">
        <w:rPr>
          <w:rFonts w:ascii="Arial" w:eastAsia="Calibri" w:hAnsi="Arial" w:cs="Arial"/>
          <w:bCs/>
          <w:sz w:val="24"/>
          <w:szCs w:val="24"/>
        </w:rPr>
        <w:t xml:space="preserve"> exists, </w:t>
      </w:r>
      <w:r w:rsidR="00687464" w:rsidRPr="004D3481">
        <w:rPr>
          <w:rFonts w:ascii="Arial" w:eastAsia="Calibri" w:hAnsi="Arial" w:cs="Arial"/>
          <w:bCs/>
          <w:sz w:val="24"/>
          <w:szCs w:val="24"/>
        </w:rPr>
        <w:t>is, as will</w:t>
      </w:r>
      <w:r w:rsidR="006E0C15" w:rsidRPr="004D3481">
        <w:rPr>
          <w:rFonts w:ascii="Arial" w:eastAsia="Calibri" w:hAnsi="Arial" w:cs="Arial"/>
          <w:bCs/>
          <w:sz w:val="24"/>
          <w:szCs w:val="24"/>
        </w:rPr>
        <w:t xml:space="preserve"> presently</w:t>
      </w:r>
      <w:r w:rsidR="00687464" w:rsidRPr="004D3481">
        <w:rPr>
          <w:rFonts w:ascii="Arial" w:eastAsia="Calibri" w:hAnsi="Arial" w:cs="Arial"/>
          <w:bCs/>
          <w:sz w:val="24"/>
          <w:szCs w:val="24"/>
        </w:rPr>
        <w:t xml:space="preserve"> be</w:t>
      </w:r>
      <w:r w:rsidR="00EA4C79" w:rsidRPr="004D3481">
        <w:rPr>
          <w:rFonts w:ascii="Arial" w:eastAsia="Calibri" w:hAnsi="Arial" w:cs="Arial"/>
          <w:bCs/>
          <w:sz w:val="24"/>
          <w:szCs w:val="24"/>
        </w:rPr>
        <w:t>come evident</w:t>
      </w:r>
      <w:r w:rsidR="00687464" w:rsidRPr="004D3481">
        <w:rPr>
          <w:rFonts w:ascii="Arial" w:eastAsia="Calibri" w:hAnsi="Arial" w:cs="Arial"/>
          <w:bCs/>
          <w:sz w:val="24"/>
          <w:szCs w:val="24"/>
        </w:rPr>
        <w:t>, irrelevant to the determination herein.</w:t>
      </w:r>
      <w:r w:rsidR="002668F1" w:rsidRPr="004D3481">
        <w:rPr>
          <w:rFonts w:ascii="Arial" w:eastAsia="Calibri" w:hAnsi="Arial" w:cs="Arial"/>
          <w:bCs/>
          <w:sz w:val="24"/>
          <w:szCs w:val="24"/>
        </w:rPr>
        <w:t xml:space="preserve"> </w:t>
      </w:r>
      <w:r w:rsidR="00821EB6" w:rsidRPr="004D3481">
        <w:rPr>
          <w:rFonts w:ascii="Arial" w:eastAsia="Calibri" w:hAnsi="Arial" w:cs="Arial"/>
          <w:bCs/>
          <w:sz w:val="24"/>
          <w:szCs w:val="24"/>
        </w:rPr>
        <w:t>It is accepted that there is no challenge against the recusal itself.</w:t>
      </w:r>
    </w:p>
    <w:p w14:paraId="4BD982C1" w14:textId="17A8F0FE" w:rsidR="00A33DDC" w:rsidRPr="004D3481" w:rsidRDefault="004D3481" w:rsidP="004D3481">
      <w:pPr>
        <w:spacing w:after="120" w:line="360" w:lineRule="auto"/>
        <w:ind w:left="284" w:hanging="360"/>
        <w:jc w:val="both"/>
        <w:rPr>
          <w:rFonts w:ascii="Arial" w:eastAsia="Calibri" w:hAnsi="Arial" w:cs="Arial"/>
          <w:bCs/>
          <w:sz w:val="24"/>
          <w:szCs w:val="24"/>
        </w:rPr>
      </w:pPr>
      <w:r>
        <w:rPr>
          <w:rFonts w:ascii="Arial" w:eastAsia="Calibri" w:hAnsi="Arial" w:cs="Arial"/>
          <w:bCs/>
          <w:sz w:val="24"/>
          <w:szCs w:val="24"/>
        </w:rPr>
        <w:lastRenderedPageBreak/>
        <w:t>6.</w:t>
      </w:r>
      <w:r>
        <w:rPr>
          <w:rFonts w:ascii="Arial" w:eastAsia="Calibri" w:hAnsi="Arial" w:cs="Arial"/>
          <w:bCs/>
          <w:sz w:val="24"/>
          <w:szCs w:val="24"/>
        </w:rPr>
        <w:tab/>
      </w:r>
      <w:r w:rsidR="000B35F7" w:rsidRPr="004D3481">
        <w:rPr>
          <w:rFonts w:ascii="Arial" w:eastAsia="Calibri" w:hAnsi="Arial" w:cs="Arial"/>
          <w:bCs/>
          <w:sz w:val="24"/>
          <w:szCs w:val="24"/>
        </w:rPr>
        <w:t>Th</w:t>
      </w:r>
      <w:r w:rsidR="005C63C8" w:rsidRPr="004D3481">
        <w:rPr>
          <w:rFonts w:ascii="Arial" w:eastAsia="Calibri" w:hAnsi="Arial" w:cs="Arial"/>
          <w:bCs/>
          <w:sz w:val="24"/>
          <w:szCs w:val="24"/>
        </w:rPr>
        <w:t>is Court i</w:t>
      </w:r>
      <w:r w:rsidR="00E95C89" w:rsidRPr="004D3481">
        <w:rPr>
          <w:rFonts w:ascii="Arial" w:eastAsia="Calibri" w:hAnsi="Arial" w:cs="Arial"/>
          <w:bCs/>
          <w:sz w:val="24"/>
          <w:szCs w:val="24"/>
        </w:rPr>
        <w:t>s tasked with two primary determinations: should the proceedings be set aside and, if so, should it be ordered that the</w:t>
      </w:r>
      <w:r w:rsidR="009D79A4" w:rsidRPr="004D3481">
        <w:rPr>
          <w:rFonts w:ascii="Arial" w:eastAsia="Calibri" w:hAnsi="Arial" w:cs="Arial"/>
          <w:bCs/>
          <w:sz w:val="24"/>
          <w:szCs w:val="24"/>
        </w:rPr>
        <w:t>y</w:t>
      </w:r>
      <w:r w:rsidR="00E95C89" w:rsidRPr="004D3481">
        <w:rPr>
          <w:rFonts w:ascii="Arial" w:eastAsia="Calibri" w:hAnsi="Arial" w:cs="Arial"/>
          <w:bCs/>
          <w:sz w:val="24"/>
          <w:szCs w:val="24"/>
        </w:rPr>
        <w:t xml:space="preserve"> commence </w:t>
      </w:r>
      <w:r w:rsidR="00E95C89" w:rsidRPr="004D3481">
        <w:rPr>
          <w:rFonts w:ascii="Arial" w:eastAsia="Calibri" w:hAnsi="Arial" w:cs="Arial"/>
          <w:bCs/>
          <w:i/>
          <w:iCs/>
          <w:color w:val="404040" w:themeColor="text1" w:themeTint="BF"/>
          <w:sz w:val="24"/>
          <w:szCs w:val="24"/>
        </w:rPr>
        <w:t>de novo</w:t>
      </w:r>
      <w:r w:rsidR="00E95C89" w:rsidRPr="004D3481">
        <w:rPr>
          <w:rFonts w:ascii="Arial" w:eastAsia="Calibri" w:hAnsi="Arial" w:cs="Arial"/>
          <w:bCs/>
          <w:sz w:val="24"/>
          <w:szCs w:val="24"/>
        </w:rPr>
        <w:t xml:space="preserve">? </w:t>
      </w:r>
    </w:p>
    <w:p w14:paraId="5138C98A" w14:textId="77777777" w:rsidR="001A08F2" w:rsidRPr="001A08F2" w:rsidRDefault="001A08F2" w:rsidP="001A08F2">
      <w:pPr>
        <w:pStyle w:val="ListParagraph"/>
        <w:spacing w:after="120" w:line="360" w:lineRule="auto"/>
        <w:ind w:left="284"/>
        <w:contextualSpacing w:val="0"/>
        <w:jc w:val="both"/>
        <w:rPr>
          <w:rFonts w:ascii="Arial" w:eastAsia="Calibri" w:hAnsi="Arial" w:cs="Arial"/>
          <w:bCs/>
          <w:sz w:val="24"/>
          <w:szCs w:val="24"/>
        </w:rPr>
      </w:pPr>
    </w:p>
    <w:p w14:paraId="29CEADDD" w14:textId="0CE5F809" w:rsidR="001C2929" w:rsidRPr="00C523CF" w:rsidRDefault="009B552C" w:rsidP="001C2929">
      <w:pPr>
        <w:pStyle w:val="ListParagraph"/>
        <w:spacing w:after="120" w:line="360" w:lineRule="auto"/>
        <w:ind w:left="284"/>
        <w:contextualSpacing w:val="0"/>
        <w:jc w:val="both"/>
        <w:rPr>
          <w:rFonts w:ascii="Arial" w:eastAsia="Calibri" w:hAnsi="Arial" w:cs="Arial"/>
          <w:b/>
          <w:sz w:val="24"/>
          <w:szCs w:val="24"/>
        </w:rPr>
      </w:pPr>
      <w:r>
        <w:rPr>
          <w:rFonts w:ascii="Arial" w:eastAsia="Calibri" w:hAnsi="Arial" w:cs="Arial"/>
          <w:b/>
          <w:sz w:val="24"/>
          <w:szCs w:val="24"/>
        </w:rPr>
        <w:t>Setting aside of p</w:t>
      </w:r>
      <w:r w:rsidR="00CE54DC">
        <w:rPr>
          <w:rFonts w:ascii="Arial" w:eastAsia="Calibri" w:hAnsi="Arial" w:cs="Arial"/>
          <w:b/>
          <w:sz w:val="24"/>
          <w:szCs w:val="24"/>
        </w:rPr>
        <w:t>art heard</w:t>
      </w:r>
      <w:r>
        <w:rPr>
          <w:rFonts w:ascii="Arial" w:eastAsia="Calibri" w:hAnsi="Arial" w:cs="Arial"/>
          <w:b/>
          <w:sz w:val="24"/>
          <w:szCs w:val="24"/>
        </w:rPr>
        <w:t xml:space="preserve"> proceedings</w:t>
      </w:r>
    </w:p>
    <w:p w14:paraId="6EE9F34E" w14:textId="05176155" w:rsidR="002E24A9" w:rsidRPr="004D3481" w:rsidRDefault="004D3481" w:rsidP="004D3481">
      <w:pPr>
        <w:spacing w:after="120" w:line="360" w:lineRule="auto"/>
        <w:ind w:left="284" w:hanging="360"/>
        <w:jc w:val="both"/>
        <w:rPr>
          <w:rFonts w:ascii="Arial" w:eastAsia="Calibri" w:hAnsi="Arial" w:cs="Arial"/>
          <w:bCs/>
          <w:sz w:val="24"/>
          <w:szCs w:val="24"/>
        </w:rPr>
      </w:pPr>
      <w:r w:rsidRPr="002E24A9">
        <w:rPr>
          <w:rFonts w:ascii="Arial" w:eastAsia="Calibri" w:hAnsi="Arial" w:cs="Arial"/>
          <w:bCs/>
          <w:sz w:val="24"/>
          <w:szCs w:val="24"/>
        </w:rPr>
        <w:t>7.</w:t>
      </w:r>
      <w:r w:rsidRPr="002E24A9">
        <w:rPr>
          <w:rFonts w:ascii="Arial" w:eastAsia="Calibri" w:hAnsi="Arial" w:cs="Arial"/>
          <w:bCs/>
          <w:sz w:val="24"/>
          <w:szCs w:val="24"/>
        </w:rPr>
        <w:tab/>
      </w:r>
      <w:r w:rsidR="00714B1B" w:rsidRPr="004D3481">
        <w:rPr>
          <w:rFonts w:ascii="Arial" w:eastAsia="Calibri" w:hAnsi="Arial" w:cs="Arial"/>
          <w:bCs/>
          <w:sz w:val="24"/>
          <w:szCs w:val="24"/>
        </w:rPr>
        <w:t>For the sake of brevity, where I refer to “part heard” matters, the re</w:t>
      </w:r>
      <w:r w:rsidR="0040310C" w:rsidRPr="004D3481">
        <w:rPr>
          <w:rFonts w:ascii="Arial" w:eastAsia="Calibri" w:hAnsi="Arial" w:cs="Arial"/>
          <w:bCs/>
          <w:sz w:val="24"/>
          <w:szCs w:val="24"/>
        </w:rPr>
        <w:t xml:space="preserve">ference relates to </w:t>
      </w:r>
      <w:r w:rsidR="00B412B8" w:rsidRPr="004D3481">
        <w:rPr>
          <w:rFonts w:ascii="Arial" w:eastAsia="Calibri" w:hAnsi="Arial" w:cs="Arial"/>
          <w:bCs/>
          <w:sz w:val="24"/>
          <w:szCs w:val="24"/>
        </w:rPr>
        <w:t xml:space="preserve">the </w:t>
      </w:r>
      <w:r w:rsidR="00B53372" w:rsidRPr="004D3481">
        <w:rPr>
          <w:rFonts w:ascii="Arial" w:eastAsia="Calibri" w:hAnsi="Arial" w:cs="Arial"/>
          <w:bCs/>
          <w:sz w:val="24"/>
          <w:szCs w:val="24"/>
        </w:rPr>
        <w:t>period</w:t>
      </w:r>
      <w:r w:rsidR="00B412B8" w:rsidRPr="004D3481">
        <w:rPr>
          <w:rFonts w:ascii="Arial" w:eastAsia="Calibri" w:hAnsi="Arial" w:cs="Arial"/>
          <w:bCs/>
          <w:sz w:val="24"/>
          <w:szCs w:val="24"/>
        </w:rPr>
        <w:t xml:space="preserve"> in the criminal trial</w:t>
      </w:r>
      <w:r w:rsidR="00B53372" w:rsidRPr="004D3481">
        <w:rPr>
          <w:rFonts w:ascii="Arial" w:eastAsia="Calibri" w:hAnsi="Arial" w:cs="Arial"/>
          <w:bCs/>
          <w:sz w:val="24"/>
          <w:szCs w:val="24"/>
        </w:rPr>
        <w:t xml:space="preserve"> after </w:t>
      </w:r>
      <w:r w:rsidR="002E24A9" w:rsidRPr="004D3481">
        <w:rPr>
          <w:rFonts w:ascii="Arial" w:eastAsia="Calibri" w:hAnsi="Arial" w:cs="Arial"/>
          <w:bCs/>
          <w:sz w:val="24"/>
          <w:szCs w:val="24"/>
        </w:rPr>
        <w:t>an accused has pleaded</w:t>
      </w:r>
      <w:r w:rsidR="00845081" w:rsidRPr="004D3481">
        <w:rPr>
          <w:rFonts w:ascii="Arial" w:eastAsia="Calibri" w:hAnsi="Arial" w:cs="Arial"/>
          <w:bCs/>
          <w:sz w:val="24"/>
          <w:szCs w:val="24"/>
        </w:rPr>
        <w:t xml:space="preserve"> and</w:t>
      </w:r>
      <w:r w:rsidR="0007736E" w:rsidRPr="004D3481">
        <w:rPr>
          <w:rFonts w:ascii="Arial" w:eastAsia="Calibri" w:hAnsi="Arial" w:cs="Arial"/>
          <w:bCs/>
          <w:sz w:val="24"/>
          <w:szCs w:val="24"/>
        </w:rPr>
        <w:t xml:space="preserve"> evidence has been </w:t>
      </w:r>
      <w:r w:rsidR="00B16543" w:rsidRPr="004D3481">
        <w:rPr>
          <w:rFonts w:ascii="Arial" w:eastAsia="Calibri" w:hAnsi="Arial" w:cs="Arial"/>
          <w:bCs/>
          <w:sz w:val="24"/>
          <w:szCs w:val="24"/>
        </w:rPr>
        <w:t>led</w:t>
      </w:r>
      <w:r w:rsidR="00845081" w:rsidRPr="004D3481">
        <w:rPr>
          <w:rFonts w:ascii="Arial" w:eastAsia="Calibri" w:hAnsi="Arial" w:cs="Arial"/>
          <w:bCs/>
          <w:sz w:val="24"/>
          <w:szCs w:val="24"/>
        </w:rPr>
        <w:t>,</w:t>
      </w:r>
      <w:r w:rsidR="002E24A9" w:rsidRPr="004D3481">
        <w:rPr>
          <w:rFonts w:ascii="Arial" w:eastAsia="Calibri" w:hAnsi="Arial" w:cs="Arial"/>
          <w:bCs/>
          <w:sz w:val="24"/>
          <w:szCs w:val="24"/>
        </w:rPr>
        <w:t xml:space="preserve"> but</w:t>
      </w:r>
      <w:r w:rsidR="00B53372" w:rsidRPr="004D3481">
        <w:rPr>
          <w:rFonts w:ascii="Arial" w:eastAsia="Calibri" w:hAnsi="Arial" w:cs="Arial"/>
          <w:bCs/>
          <w:sz w:val="24"/>
          <w:szCs w:val="24"/>
        </w:rPr>
        <w:t xml:space="preserve"> before</w:t>
      </w:r>
      <w:r w:rsidR="002E24A9" w:rsidRPr="004D3481">
        <w:rPr>
          <w:rFonts w:ascii="Arial" w:eastAsia="Calibri" w:hAnsi="Arial" w:cs="Arial"/>
          <w:bCs/>
          <w:sz w:val="24"/>
          <w:szCs w:val="24"/>
        </w:rPr>
        <w:t xml:space="preserve"> </w:t>
      </w:r>
      <w:r w:rsidR="00845081" w:rsidRPr="004D3481">
        <w:rPr>
          <w:rFonts w:ascii="Arial" w:eastAsia="Calibri" w:hAnsi="Arial" w:cs="Arial"/>
          <w:bCs/>
          <w:sz w:val="24"/>
          <w:szCs w:val="24"/>
        </w:rPr>
        <w:t xml:space="preserve">the accused </w:t>
      </w:r>
      <w:r w:rsidR="002E24A9" w:rsidRPr="004D3481">
        <w:rPr>
          <w:rFonts w:ascii="Arial" w:eastAsia="Calibri" w:hAnsi="Arial" w:cs="Arial"/>
          <w:bCs/>
          <w:sz w:val="24"/>
          <w:szCs w:val="24"/>
        </w:rPr>
        <w:t>has been convicted.</w:t>
      </w:r>
    </w:p>
    <w:p w14:paraId="1895139F" w14:textId="693754A7" w:rsidR="00454448" w:rsidRPr="004D3481" w:rsidRDefault="004D3481" w:rsidP="004D3481">
      <w:pPr>
        <w:spacing w:after="120" w:line="360" w:lineRule="auto"/>
        <w:ind w:left="284" w:hanging="360"/>
        <w:jc w:val="both"/>
        <w:rPr>
          <w:rFonts w:ascii="Arial" w:eastAsia="Calibri" w:hAnsi="Arial" w:cs="Arial"/>
          <w:bCs/>
          <w:sz w:val="24"/>
          <w:szCs w:val="24"/>
        </w:rPr>
      </w:pPr>
      <w:r>
        <w:rPr>
          <w:rFonts w:ascii="Arial" w:eastAsia="Calibri" w:hAnsi="Arial" w:cs="Arial"/>
          <w:bCs/>
          <w:sz w:val="24"/>
          <w:szCs w:val="24"/>
        </w:rPr>
        <w:t>8.</w:t>
      </w:r>
      <w:r>
        <w:rPr>
          <w:rFonts w:ascii="Arial" w:eastAsia="Calibri" w:hAnsi="Arial" w:cs="Arial"/>
          <w:bCs/>
          <w:sz w:val="24"/>
          <w:szCs w:val="24"/>
        </w:rPr>
        <w:tab/>
      </w:r>
      <w:r w:rsidR="00A711D2" w:rsidRPr="004D3481">
        <w:rPr>
          <w:rFonts w:ascii="Arial" w:eastAsia="Calibri" w:hAnsi="Arial" w:cs="Arial"/>
          <w:bCs/>
          <w:sz w:val="24"/>
          <w:szCs w:val="24"/>
        </w:rPr>
        <w:t>It is trite that there are no statutory provisions</w:t>
      </w:r>
      <w:r w:rsidR="00C359B5" w:rsidRPr="004D3481">
        <w:rPr>
          <w:rFonts w:ascii="Arial" w:eastAsia="Calibri" w:hAnsi="Arial" w:cs="Arial"/>
          <w:bCs/>
          <w:sz w:val="24"/>
          <w:szCs w:val="24"/>
        </w:rPr>
        <w:t xml:space="preserve"> in terms of which a Magistrates Court could</w:t>
      </w:r>
      <w:r w:rsidR="00FD2B10" w:rsidRPr="004D3481">
        <w:rPr>
          <w:rFonts w:ascii="Arial" w:eastAsia="Calibri" w:hAnsi="Arial" w:cs="Arial"/>
          <w:bCs/>
          <w:sz w:val="24"/>
          <w:szCs w:val="24"/>
        </w:rPr>
        <w:t>,</w:t>
      </w:r>
      <w:r w:rsidR="004A5F9E" w:rsidRPr="004D3481">
        <w:rPr>
          <w:rFonts w:ascii="Arial" w:eastAsia="Calibri" w:hAnsi="Arial" w:cs="Arial"/>
          <w:bCs/>
          <w:sz w:val="24"/>
          <w:szCs w:val="24"/>
        </w:rPr>
        <w:t xml:space="preserve"> of its own accord, set aside proceedings in</w:t>
      </w:r>
      <w:r w:rsidR="002E24A9" w:rsidRPr="004D3481">
        <w:rPr>
          <w:rFonts w:ascii="Arial" w:eastAsia="Calibri" w:hAnsi="Arial" w:cs="Arial"/>
          <w:bCs/>
          <w:sz w:val="24"/>
          <w:szCs w:val="24"/>
        </w:rPr>
        <w:t xml:space="preserve"> part heard matters</w:t>
      </w:r>
      <w:r w:rsidR="004A5F9E" w:rsidRPr="004D3481">
        <w:rPr>
          <w:rFonts w:ascii="Arial" w:eastAsia="Calibri" w:hAnsi="Arial" w:cs="Arial"/>
          <w:bCs/>
          <w:sz w:val="24"/>
          <w:szCs w:val="24"/>
        </w:rPr>
        <w:t xml:space="preserve">. </w:t>
      </w:r>
      <w:r w:rsidR="0027191F" w:rsidRPr="004D3481">
        <w:rPr>
          <w:rFonts w:ascii="Arial" w:eastAsia="Calibri" w:hAnsi="Arial" w:cs="Arial"/>
          <w:bCs/>
          <w:sz w:val="24"/>
          <w:szCs w:val="24"/>
        </w:rPr>
        <w:t xml:space="preserve">As the accused has </w:t>
      </w:r>
      <w:r w:rsidR="00A704BA" w:rsidRPr="004D3481">
        <w:rPr>
          <w:rFonts w:ascii="Arial" w:eastAsia="Calibri" w:hAnsi="Arial" w:cs="Arial"/>
          <w:bCs/>
          <w:sz w:val="24"/>
          <w:szCs w:val="24"/>
        </w:rPr>
        <w:t>pleaded</w:t>
      </w:r>
      <w:r w:rsidR="007E00B6" w:rsidRPr="004D3481">
        <w:rPr>
          <w:rFonts w:ascii="Arial" w:eastAsia="Calibri" w:hAnsi="Arial" w:cs="Arial"/>
          <w:bCs/>
          <w:sz w:val="24"/>
          <w:szCs w:val="24"/>
        </w:rPr>
        <w:t xml:space="preserve"> and evidence has been </w:t>
      </w:r>
      <w:r w:rsidR="003E1A37" w:rsidRPr="004D3481">
        <w:rPr>
          <w:rFonts w:ascii="Arial" w:eastAsia="Calibri" w:hAnsi="Arial" w:cs="Arial"/>
          <w:bCs/>
          <w:sz w:val="24"/>
          <w:szCs w:val="24"/>
        </w:rPr>
        <w:t>led</w:t>
      </w:r>
      <w:r w:rsidR="007E00B6" w:rsidRPr="004D3481">
        <w:rPr>
          <w:rFonts w:ascii="Arial" w:eastAsia="Calibri" w:hAnsi="Arial" w:cs="Arial"/>
          <w:bCs/>
          <w:sz w:val="24"/>
          <w:szCs w:val="24"/>
        </w:rPr>
        <w:t>, Section 118</w:t>
      </w:r>
      <w:r w:rsidR="00A704BA" w:rsidRPr="004D3481">
        <w:rPr>
          <w:rFonts w:ascii="Arial" w:eastAsia="Calibri" w:hAnsi="Arial" w:cs="Arial"/>
          <w:bCs/>
          <w:sz w:val="24"/>
          <w:szCs w:val="24"/>
        </w:rPr>
        <w:t>,</w:t>
      </w:r>
      <w:r w:rsidR="003805C3" w:rsidRPr="004D3481">
        <w:rPr>
          <w:rFonts w:ascii="Arial" w:eastAsia="Calibri" w:hAnsi="Arial" w:cs="Arial"/>
          <w:bCs/>
          <w:sz w:val="24"/>
          <w:szCs w:val="24"/>
        </w:rPr>
        <w:t xml:space="preserve"> of the </w:t>
      </w:r>
      <w:bookmarkStart w:id="0" w:name="_Hlk153715659"/>
      <w:r w:rsidR="003805C3" w:rsidRPr="004D3481">
        <w:rPr>
          <w:rFonts w:ascii="Arial" w:eastAsia="Calibri" w:hAnsi="Arial" w:cs="Arial"/>
          <w:bCs/>
          <w:sz w:val="24"/>
          <w:szCs w:val="24"/>
        </w:rPr>
        <w:t>Criminal Procedure Act, 51 of 1977</w:t>
      </w:r>
      <w:bookmarkEnd w:id="0"/>
      <w:r w:rsidR="00DD0572" w:rsidRPr="004D3481">
        <w:rPr>
          <w:rFonts w:ascii="Arial" w:eastAsia="Calibri" w:hAnsi="Arial" w:cs="Arial"/>
          <w:bCs/>
          <w:sz w:val="24"/>
          <w:szCs w:val="24"/>
        </w:rPr>
        <w:t xml:space="preserve"> (“the CPA”)</w:t>
      </w:r>
      <w:r w:rsidR="003805C3" w:rsidRPr="004D3481">
        <w:rPr>
          <w:rFonts w:ascii="Arial" w:eastAsia="Calibri" w:hAnsi="Arial" w:cs="Arial"/>
          <w:bCs/>
          <w:sz w:val="24"/>
          <w:szCs w:val="24"/>
        </w:rPr>
        <w:t xml:space="preserve"> does not apply</w:t>
      </w:r>
      <w:r w:rsidR="001E5EC9">
        <w:rPr>
          <w:rStyle w:val="FootnoteReference"/>
          <w:rFonts w:ascii="Arial" w:eastAsia="Calibri" w:hAnsi="Arial" w:cs="Arial"/>
          <w:bCs/>
          <w:sz w:val="24"/>
          <w:szCs w:val="24"/>
        </w:rPr>
        <w:footnoteReference w:id="2"/>
      </w:r>
      <w:r w:rsidR="006038BB" w:rsidRPr="004D3481">
        <w:rPr>
          <w:rFonts w:ascii="Arial" w:eastAsia="Calibri" w:hAnsi="Arial" w:cs="Arial"/>
          <w:bCs/>
          <w:sz w:val="24"/>
          <w:szCs w:val="24"/>
        </w:rPr>
        <w:t xml:space="preserve"> and</w:t>
      </w:r>
      <w:r w:rsidR="003805C3" w:rsidRPr="004D3481">
        <w:rPr>
          <w:rFonts w:ascii="Arial" w:eastAsia="Calibri" w:hAnsi="Arial" w:cs="Arial"/>
          <w:bCs/>
          <w:sz w:val="24"/>
          <w:szCs w:val="24"/>
        </w:rPr>
        <w:t xml:space="preserve">, as he </w:t>
      </w:r>
      <w:r w:rsidR="004F558E" w:rsidRPr="004D3481">
        <w:rPr>
          <w:rFonts w:ascii="Arial" w:eastAsia="Calibri" w:hAnsi="Arial" w:cs="Arial"/>
          <w:bCs/>
          <w:sz w:val="24"/>
          <w:szCs w:val="24"/>
        </w:rPr>
        <w:t>has</w:t>
      </w:r>
      <w:r w:rsidR="0027191F" w:rsidRPr="004D3481">
        <w:rPr>
          <w:rFonts w:ascii="Arial" w:eastAsia="Calibri" w:hAnsi="Arial" w:cs="Arial"/>
          <w:bCs/>
          <w:sz w:val="24"/>
          <w:szCs w:val="24"/>
        </w:rPr>
        <w:t xml:space="preserve"> </w:t>
      </w:r>
      <w:r w:rsidR="006038BB" w:rsidRPr="004D3481">
        <w:rPr>
          <w:rFonts w:ascii="Arial" w:eastAsia="Calibri" w:hAnsi="Arial" w:cs="Arial"/>
          <w:bCs/>
          <w:sz w:val="24"/>
          <w:szCs w:val="24"/>
        </w:rPr>
        <w:t xml:space="preserve">not </w:t>
      </w:r>
      <w:r w:rsidR="0027191F" w:rsidRPr="004D3481">
        <w:rPr>
          <w:rFonts w:ascii="Arial" w:eastAsia="Calibri" w:hAnsi="Arial" w:cs="Arial"/>
          <w:bCs/>
          <w:sz w:val="24"/>
          <w:szCs w:val="24"/>
        </w:rPr>
        <w:t xml:space="preserve">been convicted and/or sentenced, </w:t>
      </w:r>
      <w:r w:rsidR="004F558E" w:rsidRPr="004D3481">
        <w:rPr>
          <w:rFonts w:ascii="Arial" w:eastAsia="Calibri" w:hAnsi="Arial" w:cs="Arial"/>
          <w:bCs/>
          <w:sz w:val="24"/>
          <w:szCs w:val="24"/>
        </w:rPr>
        <w:t>neither</w:t>
      </w:r>
      <w:r w:rsidR="006038BB" w:rsidRPr="004D3481">
        <w:rPr>
          <w:rFonts w:ascii="Arial" w:eastAsia="Calibri" w:hAnsi="Arial" w:cs="Arial"/>
          <w:bCs/>
          <w:sz w:val="24"/>
          <w:szCs w:val="24"/>
        </w:rPr>
        <w:t xml:space="preserve"> do</w:t>
      </w:r>
      <w:r w:rsidR="004F558E" w:rsidRPr="004D3481">
        <w:rPr>
          <w:rFonts w:ascii="Arial" w:eastAsia="Calibri" w:hAnsi="Arial" w:cs="Arial"/>
          <w:bCs/>
          <w:sz w:val="24"/>
          <w:szCs w:val="24"/>
        </w:rPr>
        <w:t xml:space="preserve"> </w:t>
      </w:r>
      <w:r w:rsidR="009154C9" w:rsidRPr="004D3481">
        <w:rPr>
          <w:rFonts w:ascii="Arial" w:eastAsia="Calibri" w:hAnsi="Arial" w:cs="Arial"/>
          <w:bCs/>
          <w:sz w:val="24"/>
          <w:szCs w:val="24"/>
        </w:rPr>
        <w:t>Section</w:t>
      </w:r>
      <w:r w:rsidR="006038BB" w:rsidRPr="004D3481">
        <w:rPr>
          <w:rFonts w:ascii="Arial" w:eastAsia="Calibri" w:hAnsi="Arial" w:cs="Arial"/>
          <w:bCs/>
          <w:sz w:val="24"/>
          <w:szCs w:val="24"/>
        </w:rPr>
        <w:t>s</w:t>
      </w:r>
      <w:r w:rsidR="008548D7" w:rsidRPr="004D3481">
        <w:rPr>
          <w:rFonts w:ascii="Arial" w:eastAsia="Calibri" w:hAnsi="Arial" w:cs="Arial"/>
          <w:bCs/>
          <w:sz w:val="24"/>
          <w:szCs w:val="24"/>
        </w:rPr>
        <w:t xml:space="preserve"> 304(4)</w:t>
      </w:r>
      <w:r w:rsidR="006038BB" w:rsidRPr="004D3481">
        <w:rPr>
          <w:rFonts w:ascii="Arial" w:eastAsia="Calibri" w:hAnsi="Arial" w:cs="Arial"/>
          <w:bCs/>
          <w:sz w:val="24"/>
          <w:szCs w:val="24"/>
        </w:rPr>
        <w:t xml:space="preserve"> or </w:t>
      </w:r>
      <w:r w:rsidR="00816744" w:rsidRPr="004D3481">
        <w:rPr>
          <w:rFonts w:ascii="Arial" w:eastAsia="Calibri" w:hAnsi="Arial" w:cs="Arial"/>
          <w:bCs/>
          <w:sz w:val="24"/>
          <w:szCs w:val="24"/>
        </w:rPr>
        <w:t>304A</w:t>
      </w:r>
      <w:r w:rsidR="00BE21FB" w:rsidRPr="004D3481">
        <w:rPr>
          <w:rFonts w:ascii="Arial" w:eastAsia="Calibri" w:hAnsi="Arial" w:cs="Arial"/>
          <w:bCs/>
          <w:sz w:val="24"/>
          <w:szCs w:val="24"/>
        </w:rPr>
        <w:t>.</w:t>
      </w:r>
      <w:r w:rsidR="00060AA2">
        <w:rPr>
          <w:rStyle w:val="FootnoteReference"/>
          <w:rFonts w:ascii="Arial" w:eastAsia="Calibri" w:hAnsi="Arial" w:cs="Arial"/>
          <w:bCs/>
          <w:sz w:val="24"/>
          <w:szCs w:val="24"/>
        </w:rPr>
        <w:footnoteReference w:id="3"/>
      </w:r>
      <w:r w:rsidR="00BE21FB" w:rsidRPr="004D3481">
        <w:rPr>
          <w:rFonts w:ascii="Arial" w:eastAsia="Calibri" w:hAnsi="Arial" w:cs="Arial"/>
          <w:bCs/>
          <w:sz w:val="24"/>
          <w:szCs w:val="24"/>
        </w:rPr>
        <w:t xml:space="preserve"> </w:t>
      </w:r>
      <w:r w:rsidR="00B46E87" w:rsidRPr="004D3481">
        <w:rPr>
          <w:rFonts w:ascii="Arial" w:eastAsia="Calibri" w:hAnsi="Arial" w:cs="Arial"/>
          <w:bCs/>
          <w:sz w:val="24"/>
          <w:szCs w:val="24"/>
        </w:rPr>
        <w:t xml:space="preserve"> </w:t>
      </w:r>
    </w:p>
    <w:p w14:paraId="798C1514" w14:textId="281198E1" w:rsidR="0051734E" w:rsidRPr="004D3481" w:rsidRDefault="004D3481" w:rsidP="004D3481">
      <w:pPr>
        <w:spacing w:after="120" w:line="360" w:lineRule="auto"/>
        <w:ind w:left="284" w:hanging="360"/>
        <w:jc w:val="both"/>
        <w:rPr>
          <w:rFonts w:ascii="Arial" w:eastAsia="Calibri" w:hAnsi="Arial" w:cs="Arial"/>
          <w:bCs/>
          <w:color w:val="404040" w:themeColor="text1" w:themeTint="BF"/>
          <w:sz w:val="24"/>
          <w:szCs w:val="24"/>
        </w:rPr>
      </w:pPr>
      <w:r w:rsidRPr="00293205">
        <w:rPr>
          <w:rFonts w:ascii="Arial" w:eastAsia="Calibri" w:hAnsi="Arial" w:cs="Arial"/>
          <w:bCs/>
          <w:color w:val="404040" w:themeColor="text1" w:themeTint="BF"/>
          <w:sz w:val="24"/>
          <w:szCs w:val="24"/>
        </w:rPr>
        <w:t>9.</w:t>
      </w:r>
      <w:r w:rsidRPr="00293205">
        <w:rPr>
          <w:rFonts w:ascii="Arial" w:eastAsia="Calibri" w:hAnsi="Arial" w:cs="Arial"/>
          <w:bCs/>
          <w:color w:val="404040" w:themeColor="text1" w:themeTint="BF"/>
          <w:sz w:val="24"/>
          <w:szCs w:val="24"/>
        </w:rPr>
        <w:tab/>
      </w:r>
      <w:r w:rsidR="00AF2D49" w:rsidRPr="004D3481">
        <w:rPr>
          <w:rFonts w:ascii="Arial" w:eastAsia="Calibri" w:hAnsi="Arial" w:cs="Arial"/>
          <w:bCs/>
          <w:sz w:val="24"/>
          <w:szCs w:val="24"/>
        </w:rPr>
        <w:t>In referring</w:t>
      </w:r>
      <w:r w:rsidR="00946A48" w:rsidRPr="004D3481">
        <w:rPr>
          <w:rFonts w:ascii="Arial" w:eastAsia="Calibri" w:hAnsi="Arial" w:cs="Arial"/>
          <w:bCs/>
          <w:sz w:val="24"/>
          <w:szCs w:val="24"/>
        </w:rPr>
        <w:t xml:space="preserve"> such</w:t>
      </w:r>
      <w:r w:rsidR="00AF2D49" w:rsidRPr="004D3481">
        <w:rPr>
          <w:rFonts w:ascii="Arial" w:eastAsia="Calibri" w:hAnsi="Arial" w:cs="Arial"/>
          <w:bCs/>
          <w:sz w:val="24"/>
          <w:szCs w:val="24"/>
        </w:rPr>
        <w:t xml:space="preserve"> matter to the High Court, the Magistrat</w:t>
      </w:r>
      <w:r w:rsidR="0023681F" w:rsidRPr="004D3481">
        <w:rPr>
          <w:rFonts w:ascii="Arial" w:eastAsia="Calibri" w:hAnsi="Arial" w:cs="Arial"/>
          <w:bCs/>
          <w:sz w:val="24"/>
          <w:szCs w:val="24"/>
        </w:rPr>
        <w:t>ure</w:t>
      </w:r>
      <w:r w:rsidR="00C57EF3" w:rsidRPr="004D3481">
        <w:rPr>
          <w:rFonts w:ascii="Arial" w:eastAsia="Calibri" w:hAnsi="Arial" w:cs="Arial"/>
          <w:bCs/>
          <w:sz w:val="24"/>
          <w:szCs w:val="24"/>
        </w:rPr>
        <w:t xml:space="preserve"> essentially </w:t>
      </w:r>
      <w:r w:rsidR="00932A5B" w:rsidRPr="004D3481">
        <w:rPr>
          <w:rFonts w:ascii="Arial" w:eastAsia="Calibri" w:hAnsi="Arial" w:cs="Arial"/>
          <w:bCs/>
          <w:sz w:val="24"/>
          <w:szCs w:val="24"/>
        </w:rPr>
        <w:t>requests</w:t>
      </w:r>
      <w:r w:rsidR="00C57EF3" w:rsidRPr="004D3481">
        <w:rPr>
          <w:rFonts w:ascii="Arial" w:eastAsia="Calibri" w:hAnsi="Arial" w:cs="Arial"/>
          <w:bCs/>
          <w:sz w:val="24"/>
          <w:szCs w:val="24"/>
        </w:rPr>
        <w:t xml:space="preserve"> that the High Court </w:t>
      </w:r>
      <w:r w:rsidR="00932A5B" w:rsidRPr="004D3481">
        <w:rPr>
          <w:rFonts w:ascii="Arial" w:eastAsia="Calibri" w:hAnsi="Arial" w:cs="Arial"/>
          <w:bCs/>
          <w:sz w:val="24"/>
          <w:szCs w:val="24"/>
        </w:rPr>
        <w:t xml:space="preserve">exercises its </w:t>
      </w:r>
      <w:r w:rsidR="006E42AF" w:rsidRPr="004D3481">
        <w:rPr>
          <w:rFonts w:ascii="Arial" w:eastAsia="Calibri" w:hAnsi="Arial" w:cs="Arial"/>
          <w:bCs/>
          <w:sz w:val="24"/>
          <w:szCs w:val="24"/>
        </w:rPr>
        <w:t xml:space="preserve">inherent jurisdiction </w:t>
      </w:r>
      <w:r w:rsidR="0009230D" w:rsidRPr="004D3481">
        <w:rPr>
          <w:rFonts w:ascii="Arial" w:eastAsia="Calibri" w:hAnsi="Arial" w:cs="Arial"/>
          <w:bCs/>
          <w:sz w:val="24"/>
          <w:szCs w:val="24"/>
        </w:rPr>
        <w:t xml:space="preserve">by virtue of </w:t>
      </w:r>
      <w:r w:rsidR="00EF4A29" w:rsidRPr="004D3481">
        <w:rPr>
          <w:rFonts w:ascii="Arial" w:eastAsia="Calibri" w:hAnsi="Arial" w:cs="Arial"/>
          <w:bCs/>
          <w:sz w:val="24"/>
          <w:szCs w:val="24"/>
        </w:rPr>
        <w:t>S173 of the Constitution</w:t>
      </w:r>
      <w:r w:rsidR="0009230D" w:rsidRPr="004D3481">
        <w:rPr>
          <w:rFonts w:ascii="Arial" w:eastAsia="Calibri" w:hAnsi="Arial" w:cs="Arial"/>
          <w:bCs/>
          <w:color w:val="000000" w:themeColor="text1"/>
          <w:sz w:val="24"/>
          <w:szCs w:val="24"/>
        </w:rPr>
        <w:t>.</w:t>
      </w:r>
      <w:r w:rsidR="00B82294" w:rsidRPr="004662E5">
        <w:rPr>
          <w:rStyle w:val="FootnoteReference"/>
          <w:rFonts w:ascii="Arial" w:eastAsia="Calibri" w:hAnsi="Arial" w:cs="Arial"/>
          <w:bCs/>
          <w:color w:val="000000" w:themeColor="text1"/>
          <w:sz w:val="24"/>
          <w:szCs w:val="24"/>
        </w:rPr>
        <w:footnoteReference w:id="4"/>
      </w:r>
      <w:r w:rsidR="00EF4A29" w:rsidRPr="004D3481">
        <w:rPr>
          <w:rFonts w:ascii="Arial" w:eastAsia="Calibri" w:hAnsi="Arial" w:cs="Arial"/>
          <w:bCs/>
          <w:color w:val="000000" w:themeColor="text1"/>
          <w:sz w:val="24"/>
          <w:szCs w:val="24"/>
        </w:rPr>
        <w:t xml:space="preserve"> </w:t>
      </w:r>
      <w:r w:rsidR="00D30EB8" w:rsidRPr="004D3481">
        <w:rPr>
          <w:rFonts w:ascii="Arial" w:eastAsia="Calibri" w:hAnsi="Arial" w:cs="Arial"/>
          <w:bCs/>
          <w:color w:val="000000" w:themeColor="text1"/>
          <w:sz w:val="24"/>
          <w:szCs w:val="24"/>
        </w:rPr>
        <w:t>In</w:t>
      </w:r>
      <w:r w:rsidR="00E03134" w:rsidRPr="004D3481">
        <w:rPr>
          <w:rFonts w:ascii="Arial" w:eastAsia="Calibri" w:hAnsi="Arial" w:cs="Arial"/>
          <w:bCs/>
          <w:color w:val="000000" w:themeColor="text1"/>
          <w:sz w:val="24"/>
          <w:szCs w:val="24"/>
        </w:rPr>
        <w:t xml:space="preserve"> part heard</w:t>
      </w:r>
      <w:r w:rsidR="00D30EB8" w:rsidRPr="004D3481">
        <w:rPr>
          <w:rFonts w:ascii="Arial" w:eastAsia="Calibri" w:hAnsi="Arial" w:cs="Arial"/>
          <w:bCs/>
          <w:color w:val="000000" w:themeColor="text1"/>
          <w:sz w:val="24"/>
          <w:szCs w:val="24"/>
        </w:rPr>
        <w:t xml:space="preserve"> </w:t>
      </w:r>
      <w:r w:rsidR="00B447D2" w:rsidRPr="004D3481">
        <w:rPr>
          <w:rFonts w:ascii="Arial" w:eastAsia="Calibri" w:hAnsi="Arial" w:cs="Arial"/>
          <w:bCs/>
          <w:color w:val="000000" w:themeColor="text1"/>
          <w:sz w:val="24"/>
          <w:szCs w:val="24"/>
        </w:rPr>
        <w:t>matters</w:t>
      </w:r>
      <w:r w:rsidR="00D20FA5" w:rsidRPr="004D3481">
        <w:rPr>
          <w:rFonts w:ascii="Arial" w:eastAsia="Calibri" w:hAnsi="Arial" w:cs="Arial"/>
          <w:bCs/>
          <w:color w:val="000000" w:themeColor="text1"/>
          <w:sz w:val="24"/>
          <w:szCs w:val="24"/>
        </w:rPr>
        <w:t>, t</w:t>
      </w:r>
      <w:r w:rsidR="00CE0E72" w:rsidRPr="004D3481">
        <w:rPr>
          <w:rFonts w:ascii="Arial" w:eastAsia="Calibri" w:hAnsi="Arial" w:cs="Arial"/>
          <w:bCs/>
          <w:color w:val="000000" w:themeColor="text1"/>
          <w:sz w:val="24"/>
          <w:szCs w:val="24"/>
        </w:rPr>
        <w:t>he High Court will exercise</w:t>
      </w:r>
      <w:r w:rsidR="00B82294" w:rsidRPr="004D3481">
        <w:rPr>
          <w:rFonts w:ascii="Arial" w:eastAsia="Calibri" w:hAnsi="Arial" w:cs="Arial"/>
          <w:bCs/>
          <w:color w:val="000000" w:themeColor="text1"/>
          <w:sz w:val="24"/>
          <w:szCs w:val="24"/>
        </w:rPr>
        <w:t xml:space="preserve"> </w:t>
      </w:r>
      <w:r w:rsidR="00CE0E72" w:rsidRPr="004D3481">
        <w:rPr>
          <w:rFonts w:ascii="Arial" w:eastAsia="Calibri" w:hAnsi="Arial" w:cs="Arial"/>
          <w:bCs/>
          <w:color w:val="000000" w:themeColor="text1"/>
          <w:sz w:val="24"/>
          <w:szCs w:val="24"/>
        </w:rPr>
        <w:t>such</w:t>
      </w:r>
      <w:r w:rsidR="00C845C9" w:rsidRPr="004D3481">
        <w:rPr>
          <w:rFonts w:ascii="Arial" w:eastAsia="Calibri" w:hAnsi="Arial" w:cs="Arial"/>
          <w:bCs/>
          <w:color w:val="000000" w:themeColor="text1"/>
          <w:sz w:val="24"/>
          <w:szCs w:val="24"/>
        </w:rPr>
        <w:t xml:space="preserve"> </w:t>
      </w:r>
      <w:r w:rsidR="00BB0467" w:rsidRPr="004D3481">
        <w:rPr>
          <w:rFonts w:ascii="Arial" w:eastAsia="Calibri" w:hAnsi="Arial" w:cs="Arial"/>
          <w:bCs/>
          <w:color w:val="000000" w:themeColor="text1"/>
          <w:sz w:val="24"/>
          <w:szCs w:val="24"/>
        </w:rPr>
        <w:t>powers</w:t>
      </w:r>
      <w:r w:rsidR="001741D6" w:rsidRPr="004D3481">
        <w:rPr>
          <w:rFonts w:ascii="Arial" w:eastAsia="Calibri" w:hAnsi="Arial" w:cs="Arial"/>
          <w:bCs/>
          <w:color w:val="000000" w:themeColor="text1"/>
          <w:sz w:val="24"/>
          <w:szCs w:val="24"/>
        </w:rPr>
        <w:t xml:space="preserve"> sparingly</w:t>
      </w:r>
      <w:r w:rsidR="00D30EB8" w:rsidRPr="004D3481">
        <w:rPr>
          <w:rFonts w:ascii="Arial" w:eastAsia="Calibri" w:hAnsi="Arial" w:cs="Arial"/>
          <w:bCs/>
          <w:color w:val="000000" w:themeColor="text1"/>
          <w:sz w:val="24"/>
          <w:szCs w:val="24"/>
        </w:rPr>
        <w:t xml:space="preserve"> </w:t>
      </w:r>
      <w:r w:rsidR="00EA28F9" w:rsidRPr="004662E5">
        <w:rPr>
          <w:rStyle w:val="FootnoteReference"/>
          <w:rFonts w:ascii="Arial" w:eastAsia="Calibri" w:hAnsi="Arial" w:cs="Arial"/>
          <w:bCs/>
          <w:color w:val="000000" w:themeColor="text1"/>
          <w:sz w:val="24"/>
          <w:szCs w:val="24"/>
        </w:rPr>
        <w:footnoteReference w:id="5"/>
      </w:r>
      <w:r w:rsidR="006B6090" w:rsidRPr="004D3481">
        <w:rPr>
          <w:rFonts w:ascii="Arial" w:eastAsia="Calibri" w:hAnsi="Arial" w:cs="Arial"/>
          <w:bCs/>
          <w:color w:val="000000" w:themeColor="text1"/>
          <w:sz w:val="24"/>
          <w:szCs w:val="24"/>
        </w:rPr>
        <w:t xml:space="preserve"> </w:t>
      </w:r>
      <w:r w:rsidR="00C77E21" w:rsidRPr="004D3481">
        <w:rPr>
          <w:rFonts w:ascii="Arial" w:eastAsia="Calibri" w:hAnsi="Arial" w:cs="Arial"/>
          <w:bCs/>
          <w:color w:val="000000" w:themeColor="text1"/>
          <w:sz w:val="24"/>
          <w:szCs w:val="24"/>
        </w:rPr>
        <w:t>a</w:t>
      </w:r>
      <w:r w:rsidR="00C77E21" w:rsidRPr="004D3481">
        <w:rPr>
          <w:rFonts w:ascii="Arial" w:eastAsia="Calibri" w:hAnsi="Arial" w:cs="Arial"/>
          <w:bCs/>
          <w:sz w:val="24"/>
          <w:szCs w:val="24"/>
        </w:rPr>
        <w:t xml:space="preserve">nd </w:t>
      </w:r>
      <w:r w:rsidR="0091600C" w:rsidRPr="004D3481">
        <w:rPr>
          <w:rFonts w:ascii="Arial" w:eastAsia="Calibri" w:hAnsi="Arial" w:cs="Arial"/>
          <w:bCs/>
          <w:sz w:val="24"/>
          <w:szCs w:val="24"/>
        </w:rPr>
        <w:t>only in cases of ‘</w:t>
      </w:r>
      <w:r w:rsidR="0091600C" w:rsidRPr="004D3481">
        <w:rPr>
          <w:rFonts w:ascii="Arial" w:eastAsia="Calibri" w:hAnsi="Arial" w:cs="Arial"/>
          <w:bCs/>
          <w:i/>
          <w:iCs/>
          <w:color w:val="404040" w:themeColor="text1" w:themeTint="BF"/>
          <w:sz w:val="24"/>
          <w:szCs w:val="24"/>
        </w:rPr>
        <w:t>great rarity – where grave injustice threatens and where intervention is necessary to attain justice’</w:t>
      </w:r>
      <w:r w:rsidR="0091600C" w:rsidRPr="004D3481">
        <w:rPr>
          <w:rFonts w:ascii="Arial" w:eastAsia="Calibri" w:hAnsi="Arial" w:cs="Arial"/>
          <w:bCs/>
          <w:color w:val="404040" w:themeColor="text1" w:themeTint="BF"/>
          <w:sz w:val="24"/>
          <w:szCs w:val="24"/>
        </w:rPr>
        <w:t>.</w:t>
      </w:r>
      <w:r w:rsidR="00C77E21" w:rsidRPr="00293205">
        <w:rPr>
          <w:rStyle w:val="FootnoteReference"/>
          <w:rFonts w:ascii="Arial" w:eastAsia="Calibri" w:hAnsi="Arial" w:cs="Arial"/>
          <w:bCs/>
          <w:color w:val="404040" w:themeColor="text1" w:themeTint="BF"/>
          <w:sz w:val="24"/>
          <w:szCs w:val="24"/>
        </w:rPr>
        <w:footnoteReference w:id="6"/>
      </w:r>
    </w:p>
    <w:p w14:paraId="0EBA63E1" w14:textId="7D18D088" w:rsidR="004E1E35"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F45F7" w:rsidRPr="004D3481">
        <w:rPr>
          <w:rFonts w:ascii="Arial" w:eastAsia="Calibri" w:hAnsi="Arial" w:cs="Arial"/>
          <w:bCs/>
          <w:sz w:val="24"/>
          <w:szCs w:val="24"/>
        </w:rPr>
        <w:t xml:space="preserve">Requests for the </w:t>
      </w:r>
      <w:r w:rsidR="0088674A" w:rsidRPr="004D3481">
        <w:rPr>
          <w:rFonts w:ascii="Arial" w:eastAsia="Calibri" w:hAnsi="Arial" w:cs="Arial"/>
          <w:bCs/>
          <w:sz w:val="24"/>
          <w:szCs w:val="24"/>
        </w:rPr>
        <w:t>setting aside of part heard matters</w:t>
      </w:r>
      <w:r w:rsidR="008528D6" w:rsidRPr="004D3481">
        <w:rPr>
          <w:rFonts w:ascii="Arial" w:eastAsia="Calibri" w:hAnsi="Arial" w:cs="Arial"/>
          <w:bCs/>
          <w:sz w:val="24"/>
          <w:szCs w:val="24"/>
        </w:rPr>
        <w:t>,</w:t>
      </w:r>
      <w:r w:rsidR="0088674A" w:rsidRPr="004D3481">
        <w:rPr>
          <w:rFonts w:ascii="Arial" w:eastAsia="Calibri" w:hAnsi="Arial" w:cs="Arial"/>
          <w:bCs/>
          <w:sz w:val="24"/>
          <w:szCs w:val="24"/>
        </w:rPr>
        <w:t xml:space="preserve"> </w:t>
      </w:r>
      <w:proofErr w:type="gramStart"/>
      <w:r w:rsidR="0088674A" w:rsidRPr="004D3481">
        <w:rPr>
          <w:rFonts w:ascii="Arial" w:eastAsia="Calibri" w:hAnsi="Arial" w:cs="Arial"/>
          <w:bCs/>
          <w:sz w:val="24"/>
          <w:szCs w:val="24"/>
        </w:rPr>
        <w:t>as a result of</w:t>
      </w:r>
      <w:proofErr w:type="gramEnd"/>
      <w:r w:rsidR="0088674A" w:rsidRPr="004D3481">
        <w:rPr>
          <w:rFonts w:ascii="Arial" w:eastAsia="Calibri" w:hAnsi="Arial" w:cs="Arial"/>
          <w:bCs/>
          <w:sz w:val="24"/>
          <w:szCs w:val="24"/>
        </w:rPr>
        <w:t xml:space="preserve"> the recusal of the presiding officer</w:t>
      </w:r>
      <w:r w:rsidR="008F45F7" w:rsidRPr="004D3481">
        <w:rPr>
          <w:rFonts w:ascii="Arial" w:eastAsia="Calibri" w:hAnsi="Arial" w:cs="Arial"/>
          <w:bCs/>
          <w:sz w:val="24"/>
          <w:szCs w:val="24"/>
        </w:rPr>
        <w:t>, are not unknown in the Hig</w:t>
      </w:r>
      <w:r w:rsidR="004F2BD8" w:rsidRPr="004D3481">
        <w:rPr>
          <w:rFonts w:ascii="Arial" w:eastAsia="Calibri" w:hAnsi="Arial" w:cs="Arial"/>
          <w:bCs/>
          <w:sz w:val="24"/>
          <w:szCs w:val="24"/>
        </w:rPr>
        <w:t>h Court and are usually acceded to</w:t>
      </w:r>
      <w:r w:rsidR="00451A11" w:rsidRPr="004D3481">
        <w:rPr>
          <w:rFonts w:ascii="Arial" w:eastAsia="Calibri" w:hAnsi="Arial" w:cs="Arial"/>
          <w:bCs/>
          <w:sz w:val="24"/>
          <w:szCs w:val="24"/>
        </w:rPr>
        <w:t xml:space="preserve"> as a matter of course</w:t>
      </w:r>
      <w:r w:rsidR="004F2BD8" w:rsidRPr="004D3481">
        <w:rPr>
          <w:rFonts w:ascii="Arial" w:eastAsia="Calibri" w:hAnsi="Arial" w:cs="Arial"/>
          <w:bCs/>
          <w:sz w:val="24"/>
          <w:szCs w:val="24"/>
        </w:rPr>
        <w:t xml:space="preserve">. </w:t>
      </w:r>
      <w:r w:rsidR="00582807" w:rsidRPr="004D3481">
        <w:rPr>
          <w:rFonts w:ascii="Arial" w:eastAsia="Calibri" w:hAnsi="Arial" w:cs="Arial"/>
          <w:bCs/>
          <w:sz w:val="24"/>
          <w:szCs w:val="24"/>
        </w:rPr>
        <w:t>For instance</w:t>
      </w:r>
      <w:r w:rsidR="00FE1BF8" w:rsidRPr="004D3481">
        <w:rPr>
          <w:rFonts w:ascii="Arial" w:eastAsia="Calibri" w:hAnsi="Arial" w:cs="Arial"/>
          <w:bCs/>
          <w:sz w:val="24"/>
          <w:szCs w:val="24"/>
        </w:rPr>
        <w:t>,</w:t>
      </w:r>
      <w:r w:rsidR="00582807" w:rsidRPr="004D3481">
        <w:rPr>
          <w:rFonts w:ascii="Arial" w:eastAsia="Calibri" w:hAnsi="Arial" w:cs="Arial"/>
          <w:bCs/>
          <w:sz w:val="24"/>
          <w:szCs w:val="24"/>
        </w:rPr>
        <w:t xml:space="preserve"> in </w:t>
      </w:r>
      <w:r w:rsidR="006E42AF" w:rsidRPr="004D3481">
        <w:rPr>
          <w:rFonts w:ascii="Arial" w:hAnsi="Arial" w:cs="Arial"/>
          <w:i/>
          <w:iCs/>
          <w:sz w:val="24"/>
          <w:szCs w:val="24"/>
        </w:rPr>
        <w:t xml:space="preserve">S v Kirsch </w:t>
      </w:r>
      <w:r w:rsidR="006E42AF" w:rsidRPr="004D3481">
        <w:rPr>
          <w:rFonts w:ascii="Arial" w:hAnsi="Arial" w:cs="Arial"/>
          <w:sz w:val="24"/>
          <w:szCs w:val="24"/>
        </w:rPr>
        <w:t xml:space="preserve">2014 (2) SACR 419(WCC) a magistrate </w:t>
      </w:r>
      <w:r w:rsidR="00A14B35" w:rsidRPr="004D3481">
        <w:rPr>
          <w:rFonts w:ascii="Arial" w:hAnsi="Arial" w:cs="Arial"/>
          <w:sz w:val="24"/>
          <w:szCs w:val="24"/>
        </w:rPr>
        <w:t>r</w:t>
      </w:r>
      <w:r w:rsidR="006E42AF" w:rsidRPr="004D3481">
        <w:rPr>
          <w:rFonts w:ascii="Arial" w:hAnsi="Arial" w:cs="Arial"/>
          <w:sz w:val="24"/>
          <w:szCs w:val="24"/>
        </w:rPr>
        <w:t>ecuse</w:t>
      </w:r>
      <w:r w:rsidR="00A14B35" w:rsidRPr="004D3481">
        <w:rPr>
          <w:rFonts w:ascii="Arial" w:hAnsi="Arial" w:cs="Arial"/>
          <w:sz w:val="24"/>
          <w:szCs w:val="24"/>
        </w:rPr>
        <w:t>d</w:t>
      </w:r>
      <w:r w:rsidR="006E42AF" w:rsidRPr="004D3481">
        <w:rPr>
          <w:rFonts w:ascii="Arial" w:hAnsi="Arial" w:cs="Arial"/>
          <w:sz w:val="24"/>
          <w:szCs w:val="24"/>
        </w:rPr>
        <w:t xml:space="preserve"> himself </w:t>
      </w:r>
      <w:r w:rsidR="00A14B35" w:rsidRPr="004D3481">
        <w:rPr>
          <w:rFonts w:ascii="Arial" w:hAnsi="Arial" w:cs="Arial"/>
          <w:sz w:val="24"/>
          <w:szCs w:val="24"/>
        </w:rPr>
        <w:t>after the accused had pleaded and evidence had been led</w:t>
      </w:r>
      <w:r w:rsidR="001E46C7" w:rsidRPr="004D3481">
        <w:rPr>
          <w:rFonts w:ascii="Arial" w:hAnsi="Arial" w:cs="Arial"/>
          <w:sz w:val="24"/>
          <w:szCs w:val="24"/>
        </w:rPr>
        <w:t>,</w:t>
      </w:r>
      <w:r w:rsidR="00A14B35" w:rsidRPr="004D3481">
        <w:rPr>
          <w:rFonts w:ascii="Arial" w:hAnsi="Arial" w:cs="Arial"/>
          <w:sz w:val="24"/>
          <w:szCs w:val="24"/>
        </w:rPr>
        <w:t xml:space="preserve"> but before he was convicted or sentenced. </w:t>
      </w:r>
      <w:r w:rsidR="002A63DE" w:rsidRPr="004D3481">
        <w:rPr>
          <w:rFonts w:ascii="Arial" w:hAnsi="Arial" w:cs="Arial"/>
          <w:sz w:val="24"/>
          <w:szCs w:val="24"/>
        </w:rPr>
        <w:t xml:space="preserve">He </w:t>
      </w:r>
      <w:r w:rsidR="006E42AF" w:rsidRPr="004D3481">
        <w:rPr>
          <w:rFonts w:ascii="Arial" w:hAnsi="Arial" w:cs="Arial"/>
          <w:sz w:val="24"/>
          <w:szCs w:val="24"/>
        </w:rPr>
        <w:t>referred the matter to the High</w:t>
      </w:r>
      <w:r w:rsidR="002A63DE" w:rsidRPr="004D3481">
        <w:rPr>
          <w:rFonts w:ascii="Arial" w:hAnsi="Arial" w:cs="Arial"/>
          <w:sz w:val="24"/>
          <w:szCs w:val="24"/>
        </w:rPr>
        <w:t xml:space="preserve"> </w:t>
      </w:r>
      <w:r w:rsidR="006E42AF" w:rsidRPr="004D3481">
        <w:rPr>
          <w:rFonts w:ascii="Arial" w:hAnsi="Arial" w:cs="Arial"/>
          <w:sz w:val="24"/>
          <w:szCs w:val="24"/>
        </w:rPr>
        <w:t>Court on special review</w:t>
      </w:r>
      <w:r w:rsidR="00FE1BF8" w:rsidRPr="004D3481">
        <w:rPr>
          <w:rFonts w:ascii="Arial" w:hAnsi="Arial" w:cs="Arial"/>
          <w:sz w:val="24"/>
          <w:szCs w:val="24"/>
        </w:rPr>
        <w:t>. The High Court then</w:t>
      </w:r>
      <w:r w:rsidR="003B7D84" w:rsidRPr="004D3481">
        <w:rPr>
          <w:rFonts w:ascii="Arial" w:hAnsi="Arial" w:cs="Arial"/>
          <w:sz w:val="24"/>
          <w:szCs w:val="24"/>
        </w:rPr>
        <w:t xml:space="preserve"> </w:t>
      </w:r>
      <w:r w:rsidR="006E42AF" w:rsidRPr="004D3481">
        <w:rPr>
          <w:rFonts w:ascii="Arial" w:hAnsi="Arial" w:cs="Arial"/>
          <w:sz w:val="24"/>
          <w:szCs w:val="24"/>
        </w:rPr>
        <w:t>set aside the proceedings and remitted</w:t>
      </w:r>
      <w:r w:rsidR="003B7D84" w:rsidRPr="004D3481">
        <w:rPr>
          <w:rFonts w:ascii="Arial" w:hAnsi="Arial" w:cs="Arial"/>
          <w:sz w:val="24"/>
          <w:szCs w:val="24"/>
        </w:rPr>
        <w:t xml:space="preserve"> </w:t>
      </w:r>
      <w:r w:rsidR="006E42AF" w:rsidRPr="004D3481">
        <w:rPr>
          <w:rFonts w:ascii="Arial" w:hAnsi="Arial" w:cs="Arial"/>
          <w:sz w:val="24"/>
          <w:szCs w:val="24"/>
        </w:rPr>
        <w:t xml:space="preserve">the matter to the court </w:t>
      </w:r>
      <w:r w:rsidR="006E42AF" w:rsidRPr="004D3481">
        <w:rPr>
          <w:rFonts w:ascii="Arial" w:hAnsi="Arial" w:cs="Arial"/>
          <w:i/>
          <w:iCs/>
          <w:color w:val="262626" w:themeColor="text1" w:themeTint="D9"/>
          <w:sz w:val="24"/>
          <w:szCs w:val="24"/>
        </w:rPr>
        <w:t xml:space="preserve">a quo </w:t>
      </w:r>
      <w:r w:rsidR="006E42AF" w:rsidRPr="004D3481">
        <w:rPr>
          <w:rFonts w:ascii="Arial" w:hAnsi="Arial" w:cs="Arial"/>
          <w:sz w:val="24"/>
          <w:szCs w:val="24"/>
        </w:rPr>
        <w:t>to be heard by another presiding officer</w:t>
      </w:r>
      <w:r w:rsidR="00FE1BF8" w:rsidRPr="004D3481">
        <w:rPr>
          <w:rFonts w:ascii="Arial" w:hAnsi="Arial" w:cs="Arial"/>
          <w:sz w:val="24"/>
          <w:szCs w:val="24"/>
        </w:rPr>
        <w:t>.</w:t>
      </w:r>
      <w:r w:rsidR="005F28F5" w:rsidRPr="004D3481">
        <w:rPr>
          <w:rFonts w:ascii="Arial" w:hAnsi="Arial" w:cs="Arial"/>
          <w:sz w:val="24"/>
          <w:szCs w:val="24"/>
        </w:rPr>
        <w:t xml:space="preserve"> </w:t>
      </w:r>
      <w:r w:rsidR="00937CB1" w:rsidRPr="004D3481">
        <w:rPr>
          <w:rFonts w:ascii="Arial" w:hAnsi="Arial" w:cs="Arial"/>
          <w:sz w:val="24"/>
          <w:szCs w:val="24"/>
        </w:rPr>
        <w:t>This is</w:t>
      </w:r>
      <w:r w:rsidR="00C93236" w:rsidRPr="004D3481">
        <w:rPr>
          <w:rFonts w:ascii="Arial" w:hAnsi="Arial" w:cs="Arial"/>
          <w:sz w:val="24"/>
          <w:szCs w:val="24"/>
        </w:rPr>
        <w:t xml:space="preserve">, historically, the </w:t>
      </w:r>
      <w:r w:rsidR="00840A7F" w:rsidRPr="004D3481">
        <w:rPr>
          <w:rFonts w:ascii="Arial" w:hAnsi="Arial" w:cs="Arial"/>
          <w:sz w:val="24"/>
          <w:szCs w:val="24"/>
        </w:rPr>
        <w:t>typical order that was made in these matters.</w:t>
      </w:r>
    </w:p>
    <w:p w14:paraId="34178CEF" w14:textId="61B8F1F8" w:rsidR="00F75A77" w:rsidRPr="004D3481" w:rsidRDefault="004D3481" w:rsidP="004D3481">
      <w:pPr>
        <w:spacing w:before="120" w:after="120" w:line="360" w:lineRule="auto"/>
        <w:ind w:left="283" w:hanging="357"/>
        <w:jc w:val="both"/>
        <w:rPr>
          <w:rFonts w:ascii="Arial" w:hAnsi="Arial" w:cs="Arial"/>
          <w:color w:val="262626" w:themeColor="text1" w:themeTint="D9"/>
          <w:sz w:val="24"/>
          <w:szCs w:val="24"/>
          <w:shd w:val="clear" w:color="auto" w:fill="FFFFFF"/>
        </w:rPr>
      </w:pPr>
      <w:r w:rsidRPr="00293205">
        <w:rPr>
          <w:rFonts w:ascii="Arial" w:hAnsi="Arial" w:cs="Arial"/>
          <w:color w:val="262626" w:themeColor="text1" w:themeTint="D9"/>
          <w:sz w:val="24"/>
          <w:szCs w:val="24"/>
        </w:rPr>
        <w:lastRenderedPageBreak/>
        <w:t>11.</w:t>
      </w:r>
      <w:r w:rsidRPr="00293205">
        <w:rPr>
          <w:rFonts w:ascii="Arial" w:hAnsi="Arial" w:cs="Arial"/>
          <w:color w:val="262626" w:themeColor="text1" w:themeTint="D9"/>
          <w:sz w:val="24"/>
          <w:szCs w:val="24"/>
        </w:rPr>
        <w:tab/>
      </w:r>
      <w:r w:rsidR="00AA17B2" w:rsidRPr="004D3481">
        <w:rPr>
          <w:rFonts w:ascii="Arial" w:hAnsi="Arial" w:cs="Arial"/>
          <w:sz w:val="24"/>
          <w:szCs w:val="24"/>
        </w:rPr>
        <w:t>H</w:t>
      </w:r>
      <w:r w:rsidR="001812F2" w:rsidRPr="004D3481">
        <w:rPr>
          <w:rFonts w:ascii="Arial" w:hAnsi="Arial" w:cs="Arial"/>
          <w:sz w:val="24"/>
          <w:szCs w:val="24"/>
        </w:rPr>
        <w:t>owever, the Magistrates</w:t>
      </w:r>
      <w:r w:rsidR="00EB479C" w:rsidRPr="004D3481">
        <w:rPr>
          <w:rFonts w:ascii="Arial" w:hAnsi="Arial" w:cs="Arial"/>
          <w:sz w:val="24"/>
          <w:szCs w:val="24"/>
        </w:rPr>
        <w:t>’</w:t>
      </w:r>
      <w:r w:rsidR="001812F2" w:rsidRPr="004D3481">
        <w:rPr>
          <w:rFonts w:ascii="Arial" w:hAnsi="Arial" w:cs="Arial"/>
          <w:sz w:val="24"/>
          <w:szCs w:val="24"/>
        </w:rPr>
        <w:t xml:space="preserve"> Court does</w:t>
      </w:r>
      <w:r w:rsidR="00AA17B2" w:rsidRPr="004D3481">
        <w:rPr>
          <w:rFonts w:ascii="Arial" w:hAnsi="Arial" w:cs="Arial"/>
          <w:sz w:val="24"/>
          <w:szCs w:val="24"/>
        </w:rPr>
        <w:t xml:space="preserve"> not</w:t>
      </w:r>
      <w:r w:rsidR="00EB479C" w:rsidRPr="004D3481">
        <w:rPr>
          <w:rFonts w:ascii="Arial" w:hAnsi="Arial" w:cs="Arial"/>
          <w:sz w:val="24"/>
          <w:szCs w:val="24"/>
        </w:rPr>
        <w:t>, in fact,</w:t>
      </w:r>
      <w:r w:rsidR="001812F2" w:rsidRPr="004D3481">
        <w:rPr>
          <w:rFonts w:ascii="Arial" w:hAnsi="Arial" w:cs="Arial"/>
          <w:sz w:val="24"/>
          <w:szCs w:val="24"/>
        </w:rPr>
        <w:t xml:space="preserve"> need to refer </w:t>
      </w:r>
      <w:r w:rsidR="00705F5C" w:rsidRPr="004D3481">
        <w:rPr>
          <w:rFonts w:ascii="Arial" w:hAnsi="Arial" w:cs="Arial"/>
          <w:sz w:val="24"/>
          <w:szCs w:val="24"/>
        </w:rPr>
        <w:t>such matters to the High Court</w:t>
      </w:r>
      <w:r w:rsidR="006B291D" w:rsidRPr="004D3481">
        <w:rPr>
          <w:rFonts w:ascii="Arial" w:hAnsi="Arial" w:cs="Arial"/>
          <w:sz w:val="24"/>
          <w:szCs w:val="24"/>
        </w:rPr>
        <w:t xml:space="preserve"> to have the proceedings set aside.</w:t>
      </w:r>
      <w:r w:rsidR="00705F5C" w:rsidRPr="004D3481">
        <w:rPr>
          <w:rFonts w:ascii="Arial" w:hAnsi="Arial" w:cs="Arial"/>
          <w:sz w:val="24"/>
          <w:szCs w:val="24"/>
        </w:rPr>
        <w:t xml:space="preserve"> </w:t>
      </w:r>
      <w:r w:rsidR="004E1E35" w:rsidRPr="004D3481">
        <w:rPr>
          <w:rFonts w:ascii="Arial" w:hAnsi="Arial" w:cs="Arial"/>
          <w:sz w:val="24"/>
          <w:szCs w:val="24"/>
        </w:rPr>
        <w:t xml:space="preserve">As Victor J explained, within the context of a </w:t>
      </w:r>
      <w:r w:rsidR="000D4699" w:rsidRPr="004D3481">
        <w:rPr>
          <w:rFonts w:ascii="Arial" w:hAnsi="Arial" w:cs="Arial"/>
          <w:sz w:val="24"/>
          <w:szCs w:val="24"/>
        </w:rPr>
        <w:t>m</w:t>
      </w:r>
      <w:r w:rsidR="004E1E35" w:rsidRPr="004D3481">
        <w:rPr>
          <w:rFonts w:ascii="Arial" w:hAnsi="Arial" w:cs="Arial"/>
          <w:sz w:val="24"/>
          <w:szCs w:val="24"/>
        </w:rPr>
        <w:t>agistrate’s recusal mid-trial</w:t>
      </w:r>
      <w:r w:rsidR="007D7A43" w:rsidRPr="004D3481">
        <w:rPr>
          <w:rFonts w:ascii="Arial" w:hAnsi="Arial" w:cs="Arial"/>
          <w:sz w:val="24"/>
          <w:szCs w:val="24"/>
        </w:rPr>
        <w:t>,</w:t>
      </w:r>
      <w:r w:rsidR="00405258" w:rsidRPr="004D3481">
        <w:rPr>
          <w:rFonts w:ascii="Arial" w:hAnsi="Arial" w:cs="Arial"/>
          <w:sz w:val="24"/>
          <w:szCs w:val="24"/>
        </w:rPr>
        <w:t xml:space="preserve"> in</w:t>
      </w:r>
      <w:r w:rsidR="00E43B1A" w:rsidRPr="004D3481">
        <w:rPr>
          <w:rFonts w:ascii="Arial" w:hAnsi="Arial" w:cs="Arial"/>
          <w:sz w:val="24"/>
          <w:szCs w:val="24"/>
        </w:rPr>
        <w:t xml:space="preserve"> </w:t>
      </w:r>
      <w:r w:rsidR="00E43B1A" w:rsidRPr="004D3481">
        <w:rPr>
          <w:rFonts w:ascii="Arial" w:eastAsia="Times New Roman" w:hAnsi="Arial" w:cs="Arial"/>
          <w:i/>
          <w:iCs/>
          <w:color w:val="262626" w:themeColor="text1" w:themeTint="D9"/>
          <w:sz w:val="24"/>
          <w:szCs w:val="24"/>
          <w:lang w:eastAsia="en-ZA"/>
        </w:rPr>
        <w:t>S v Skhosana and Others</w:t>
      </w:r>
      <w:r w:rsidR="002268B2" w:rsidRPr="004D3481">
        <w:rPr>
          <w:rFonts w:ascii="Arial" w:eastAsia="Times New Roman" w:hAnsi="Arial" w:cs="Arial"/>
          <w:color w:val="262626" w:themeColor="text1" w:themeTint="D9"/>
          <w:sz w:val="24"/>
          <w:szCs w:val="24"/>
          <w:lang w:eastAsia="en-ZA"/>
        </w:rPr>
        <w:t>:</w:t>
      </w:r>
      <w:r w:rsidR="00405258" w:rsidRPr="00293205">
        <w:rPr>
          <w:rStyle w:val="FootnoteReference"/>
          <w:rFonts w:ascii="Arial" w:eastAsia="Times New Roman" w:hAnsi="Arial" w:cs="Arial"/>
          <w:color w:val="262626" w:themeColor="text1" w:themeTint="D9"/>
          <w:sz w:val="24"/>
          <w:szCs w:val="24"/>
          <w:lang w:eastAsia="en-ZA"/>
        </w:rPr>
        <w:footnoteReference w:id="7"/>
      </w:r>
      <w:r w:rsidR="00405258" w:rsidRPr="004D3481">
        <w:rPr>
          <w:rFonts w:ascii="Arial" w:eastAsia="Times New Roman" w:hAnsi="Arial" w:cs="Arial"/>
          <w:color w:val="262626" w:themeColor="text1" w:themeTint="D9"/>
          <w:sz w:val="24"/>
          <w:szCs w:val="24"/>
          <w:lang w:eastAsia="en-ZA"/>
        </w:rPr>
        <w:t xml:space="preserve"> </w:t>
      </w:r>
    </w:p>
    <w:p w14:paraId="152D2DA9" w14:textId="28672CD9" w:rsidR="00F75A77" w:rsidRPr="00293205" w:rsidRDefault="00DE24CC" w:rsidP="00DE24CC">
      <w:pPr>
        <w:pStyle w:val="ListParagraph"/>
        <w:spacing w:before="120" w:after="120" w:line="360" w:lineRule="auto"/>
        <w:ind w:left="709"/>
        <w:contextualSpacing w:val="0"/>
        <w:jc w:val="both"/>
        <w:rPr>
          <w:rFonts w:ascii="Arial" w:hAnsi="Arial" w:cs="Arial"/>
          <w:i/>
          <w:iCs/>
          <w:color w:val="404040" w:themeColor="text1" w:themeTint="BF"/>
          <w:sz w:val="24"/>
          <w:szCs w:val="24"/>
          <w:shd w:val="clear" w:color="auto" w:fill="FFFFFF"/>
        </w:rPr>
      </w:pPr>
      <w:r w:rsidRPr="00293205">
        <w:rPr>
          <w:rFonts w:ascii="Arial" w:hAnsi="Arial" w:cs="Arial"/>
          <w:i/>
          <w:iCs/>
          <w:color w:val="404040" w:themeColor="text1" w:themeTint="BF"/>
          <w:sz w:val="24"/>
          <w:szCs w:val="24"/>
          <w:shd w:val="clear" w:color="auto" w:fill="FFFFFF"/>
        </w:rPr>
        <w:t>“S</w:t>
      </w:r>
      <w:r w:rsidR="00E43B1A" w:rsidRPr="00293205">
        <w:rPr>
          <w:rFonts w:ascii="Arial" w:hAnsi="Arial" w:cs="Arial"/>
          <w:i/>
          <w:iCs/>
          <w:color w:val="404040" w:themeColor="text1" w:themeTint="BF"/>
          <w:sz w:val="24"/>
          <w:szCs w:val="24"/>
          <w:shd w:val="clear" w:color="auto" w:fill="FFFFFF"/>
        </w:rPr>
        <w:t xml:space="preserve">275 of the CPA deals expressly with matters </w:t>
      </w:r>
      <w:proofErr w:type="spellStart"/>
      <w:r w:rsidR="00E43B1A" w:rsidRPr="00293205">
        <w:rPr>
          <w:rFonts w:ascii="Arial" w:hAnsi="Arial" w:cs="Arial"/>
          <w:i/>
          <w:iCs/>
          <w:color w:val="404040" w:themeColor="text1" w:themeTint="BF"/>
          <w:sz w:val="24"/>
          <w:szCs w:val="24"/>
          <w:shd w:val="clear" w:color="auto" w:fill="FFFFFF"/>
        </w:rPr>
        <w:t>post conviction</w:t>
      </w:r>
      <w:proofErr w:type="spellEnd"/>
      <w:r w:rsidR="00E43B1A" w:rsidRPr="00293205">
        <w:rPr>
          <w:rFonts w:ascii="Arial" w:hAnsi="Arial" w:cs="Arial"/>
          <w:i/>
          <w:iCs/>
          <w:color w:val="404040" w:themeColor="text1" w:themeTint="BF"/>
          <w:sz w:val="24"/>
          <w:szCs w:val="24"/>
          <w:shd w:val="clear" w:color="auto" w:fill="FFFFFF"/>
        </w:rPr>
        <w:t xml:space="preserve">. In the absence of the Legislature dealing with pre conviction matters does it follow ex </w:t>
      </w:r>
      <w:proofErr w:type="spellStart"/>
      <w:r w:rsidR="00E43B1A" w:rsidRPr="00293205">
        <w:rPr>
          <w:rFonts w:ascii="Arial" w:hAnsi="Arial" w:cs="Arial"/>
          <w:i/>
          <w:iCs/>
          <w:color w:val="404040" w:themeColor="text1" w:themeTint="BF"/>
          <w:sz w:val="24"/>
          <w:szCs w:val="24"/>
          <w:shd w:val="clear" w:color="auto" w:fill="FFFFFF"/>
        </w:rPr>
        <w:t>lege</w:t>
      </w:r>
      <w:proofErr w:type="spellEnd"/>
      <w:r w:rsidR="00E43B1A" w:rsidRPr="00293205">
        <w:rPr>
          <w:rFonts w:ascii="Arial" w:hAnsi="Arial" w:cs="Arial"/>
          <w:i/>
          <w:iCs/>
          <w:color w:val="404040" w:themeColor="text1" w:themeTint="BF"/>
          <w:sz w:val="24"/>
          <w:szCs w:val="24"/>
          <w:shd w:val="clear" w:color="auto" w:fill="FFFFFF"/>
        </w:rPr>
        <w:t xml:space="preserve"> that there was a deliberate intention by the Legislature to exclude the pre conviction process from being a mere administrative one and thus requiring nullity proceedings to be declared so by the High Court? The cases of S v De Koker expressly eschews that approach and R v Mhlanga although not dealing with this point directly does not suggest that it requires a High Court to set the matter aside. It simply remains a nullity and this follows ex </w:t>
      </w:r>
      <w:proofErr w:type="spellStart"/>
      <w:r w:rsidR="00E43B1A" w:rsidRPr="00293205">
        <w:rPr>
          <w:rFonts w:ascii="Arial" w:hAnsi="Arial" w:cs="Arial"/>
          <w:i/>
          <w:iCs/>
          <w:color w:val="404040" w:themeColor="text1" w:themeTint="BF"/>
          <w:sz w:val="24"/>
          <w:szCs w:val="24"/>
          <w:shd w:val="clear" w:color="auto" w:fill="FFFFFF"/>
        </w:rPr>
        <w:t>lege</w:t>
      </w:r>
      <w:proofErr w:type="spellEnd"/>
      <w:r w:rsidR="00E43B1A" w:rsidRPr="00293205">
        <w:rPr>
          <w:rFonts w:ascii="Arial" w:hAnsi="Arial" w:cs="Arial"/>
          <w:i/>
          <w:iCs/>
          <w:color w:val="404040" w:themeColor="text1" w:themeTint="BF"/>
          <w:sz w:val="24"/>
          <w:szCs w:val="24"/>
          <w:shd w:val="clear" w:color="auto" w:fill="FFFFFF"/>
        </w:rPr>
        <w:t>.</w:t>
      </w:r>
    </w:p>
    <w:p w14:paraId="65915BD2" w14:textId="06B6D8F8" w:rsidR="00E43B1A" w:rsidRPr="00293205" w:rsidRDefault="00E43B1A" w:rsidP="00DE24CC">
      <w:pPr>
        <w:pStyle w:val="ListParagraph"/>
        <w:spacing w:before="120" w:after="120" w:line="360" w:lineRule="auto"/>
        <w:ind w:left="709"/>
        <w:contextualSpacing w:val="0"/>
        <w:jc w:val="both"/>
        <w:rPr>
          <w:rFonts w:ascii="Arial" w:hAnsi="Arial" w:cs="Arial"/>
          <w:i/>
          <w:iCs/>
          <w:color w:val="404040" w:themeColor="text1" w:themeTint="BF"/>
          <w:sz w:val="24"/>
          <w:szCs w:val="24"/>
          <w:shd w:val="clear" w:color="auto" w:fill="FFFFFF"/>
        </w:rPr>
      </w:pPr>
      <w:r w:rsidRPr="00293205">
        <w:rPr>
          <w:rFonts w:ascii="Arial" w:hAnsi="Arial" w:cs="Arial"/>
          <w:i/>
          <w:iCs/>
          <w:color w:val="404040" w:themeColor="text1" w:themeTint="BF"/>
          <w:sz w:val="24"/>
          <w:szCs w:val="24"/>
          <w:shd w:val="clear" w:color="auto" w:fill="FFFFFF"/>
        </w:rPr>
        <w:t xml:space="preserve">I am therefore of the view that the High Court does not have to set a pre-conviction trial aside as the nullity </w:t>
      </w:r>
      <w:proofErr w:type="gramStart"/>
      <w:r w:rsidRPr="00293205">
        <w:rPr>
          <w:rFonts w:ascii="Arial" w:hAnsi="Arial" w:cs="Arial"/>
          <w:i/>
          <w:iCs/>
          <w:color w:val="404040" w:themeColor="text1" w:themeTint="BF"/>
          <w:sz w:val="24"/>
          <w:szCs w:val="24"/>
          <w:shd w:val="clear" w:color="auto" w:fill="FFFFFF"/>
        </w:rPr>
        <w:t>principle</w:t>
      </w:r>
      <w:proofErr w:type="gramEnd"/>
      <w:r w:rsidRPr="00293205">
        <w:rPr>
          <w:rFonts w:ascii="Arial" w:hAnsi="Arial" w:cs="Arial"/>
          <w:i/>
          <w:iCs/>
          <w:color w:val="404040" w:themeColor="text1" w:themeTint="BF"/>
          <w:sz w:val="24"/>
          <w:szCs w:val="24"/>
          <w:shd w:val="clear" w:color="auto" w:fill="FFFFFF"/>
        </w:rPr>
        <w:t xml:space="preserve"> ex </w:t>
      </w:r>
      <w:proofErr w:type="spellStart"/>
      <w:r w:rsidRPr="00293205">
        <w:rPr>
          <w:rFonts w:ascii="Arial" w:hAnsi="Arial" w:cs="Arial"/>
          <w:i/>
          <w:iCs/>
          <w:color w:val="404040" w:themeColor="text1" w:themeTint="BF"/>
          <w:sz w:val="24"/>
          <w:szCs w:val="24"/>
          <w:shd w:val="clear" w:color="auto" w:fill="FFFFFF"/>
        </w:rPr>
        <w:t>lege</w:t>
      </w:r>
      <w:proofErr w:type="spellEnd"/>
      <w:r w:rsidRPr="00293205">
        <w:rPr>
          <w:rFonts w:ascii="Arial" w:hAnsi="Arial" w:cs="Arial"/>
          <w:i/>
          <w:iCs/>
          <w:color w:val="404040" w:themeColor="text1" w:themeTint="BF"/>
          <w:sz w:val="24"/>
          <w:szCs w:val="24"/>
          <w:shd w:val="clear" w:color="auto" w:fill="FFFFFF"/>
        </w:rPr>
        <w:t xml:space="preserve"> sets the trial aside.</w:t>
      </w:r>
      <w:r w:rsidR="00DE24CC" w:rsidRPr="00293205">
        <w:rPr>
          <w:rFonts w:ascii="Arial" w:hAnsi="Arial" w:cs="Arial"/>
          <w:i/>
          <w:iCs/>
          <w:color w:val="404040" w:themeColor="text1" w:themeTint="BF"/>
          <w:sz w:val="24"/>
          <w:szCs w:val="24"/>
          <w:shd w:val="clear" w:color="auto" w:fill="FFFFFF"/>
        </w:rPr>
        <w:t>”</w:t>
      </w:r>
    </w:p>
    <w:p w14:paraId="683D17AB" w14:textId="416DD142" w:rsidR="00BD5EFC" w:rsidRPr="004D3481" w:rsidRDefault="004D3481" w:rsidP="004D3481">
      <w:pPr>
        <w:spacing w:after="120" w:line="360" w:lineRule="auto"/>
        <w:ind w:left="284" w:hanging="360"/>
        <w:jc w:val="both"/>
        <w:rPr>
          <w:rFonts w:ascii="Arial" w:hAnsi="Arial" w:cs="Arial"/>
          <w:color w:val="000000" w:themeColor="text1"/>
          <w:sz w:val="24"/>
          <w:szCs w:val="24"/>
        </w:rPr>
      </w:pPr>
      <w:r w:rsidRPr="00890474">
        <w:rPr>
          <w:rFonts w:ascii="Arial" w:hAnsi="Arial" w:cs="Arial"/>
          <w:color w:val="000000" w:themeColor="text1"/>
          <w:sz w:val="24"/>
          <w:szCs w:val="24"/>
        </w:rPr>
        <w:t>12.</w:t>
      </w:r>
      <w:r w:rsidRPr="00890474">
        <w:rPr>
          <w:rFonts w:ascii="Arial" w:hAnsi="Arial" w:cs="Arial"/>
          <w:color w:val="000000" w:themeColor="text1"/>
          <w:sz w:val="24"/>
          <w:szCs w:val="24"/>
        </w:rPr>
        <w:tab/>
      </w:r>
      <w:r w:rsidR="00CC70C2" w:rsidRPr="004D3481">
        <w:rPr>
          <w:rFonts w:ascii="Arial" w:hAnsi="Arial" w:cs="Arial"/>
          <w:color w:val="000000" w:themeColor="text1"/>
          <w:sz w:val="24"/>
          <w:szCs w:val="24"/>
        </w:rPr>
        <w:t xml:space="preserve">Where a magistrate has recused himself, he becomes </w:t>
      </w:r>
      <w:r w:rsidR="00CC70C2" w:rsidRPr="004D3481">
        <w:rPr>
          <w:rFonts w:ascii="Arial" w:hAnsi="Arial" w:cs="Arial"/>
          <w:i/>
          <w:iCs/>
          <w:color w:val="404040" w:themeColor="text1" w:themeTint="BF"/>
          <w:sz w:val="24"/>
          <w:szCs w:val="24"/>
        </w:rPr>
        <w:t>functus officio</w:t>
      </w:r>
      <w:r w:rsidR="00105A8D" w:rsidRPr="004D3481">
        <w:rPr>
          <w:rFonts w:ascii="Arial" w:hAnsi="Arial" w:cs="Arial"/>
          <w:color w:val="404040" w:themeColor="text1" w:themeTint="BF"/>
          <w:sz w:val="24"/>
          <w:szCs w:val="24"/>
        </w:rPr>
        <w:t xml:space="preserve"> </w:t>
      </w:r>
      <w:r w:rsidR="00105A8D" w:rsidRPr="004D3481">
        <w:rPr>
          <w:rFonts w:ascii="Arial" w:hAnsi="Arial" w:cs="Arial"/>
          <w:color w:val="000000" w:themeColor="text1"/>
          <w:sz w:val="24"/>
          <w:szCs w:val="24"/>
        </w:rPr>
        <w:t>and is unavailable in the absolute sense</w:t>
      </w:r>
      <w:r w:rsidR="00CC70C2" w:rsidRPr="004D3481">
        <w:rPr>
          <w:rFonts w:ascii="Arial" w:hAnsi="Arial" w:cs="Arial"/>
          <w:color w:val="000000" w:themeColor="text1"/>
          <w:sz w:val="24"/>
          <w:szCs w:val="24"/>
        </w:rPr>
        <w:t>.</w:t>
      </w:r>
      <w:r w:rsidR="00BD5EFC" w:rsidRPr="004D3481">
        <w:rPr>
          <w:rFonts w:ascii="Arial" w:hAnsi="Arial" w:cs="Arial"/>
          <w:color w:val="000000" w:themeColor="text1"/>
          <w:sz w:val="24"/>
          <w:szCs w:val="24"/>
        </w:rPr>
        <w:t xml:space="preserve"> </w:t>
      </w:r>
      <w:r w:rsidR="00BD5EFC" w:rsidRPr="00890474">
        <w:rPr>
          <w:rStyle w:val="FootnoteReference"/>
          <w:rFonts w:ascii="Arial" w:hAnsi="Arial" w:cs="Arial"/>
          <w:color w:val="000000" w:themeColor="text1"/>
          <w:sz w:val="24"/>
          <w:szCs w:val="24"/>
        </w:rPr>
        <w:footnoteReference w:id="8"/>
      </w:r>
      <w:r w:rsidR="001454C4" w:rsidRPr="004D3481">
        <w:rPr>
          <w:rFonts w:ascii="Arial" w:hAnsi="Arial" w:cs="Arial"/>
          <w:color w:val="000000" w:themeColor="text1"/>
          <w:sz w:val="24"/>
          <w:szCs w:val="24"/>
        </w:rPr>
        <w:t xml:space="preserve"> </w:t>
      </w:r>
      <w:r w:rsidR="00782922" w:rsidRPr="004D3481">
        <w:rPr>
          <w:rFonts w:ascii="Arial" w:hAnsi="Arial" w:cs="Arial"/>
          <w:color w:val="000000" w:themeColor="text1"/>
          <w:sz w:val="24"/>
          <w:szCs w:val="24"/>
        </w:rPr>
        <w:t xml:space="preserve">Instances of absolute unavailability include </w:t>
      </w:r>
      <w:r w:rsidR="00607DBA" w:rsidRPr="004D3481">
        <w:rPr>
          <w:rFonts w:ascii="Arial" w:hAnsi="Arial" w:cs="Arial"/>
          <w:i/>
          <w:iCs/>
          <w:color w:val="000000" w:themeColor="text1"/>
          <w:sz w:val="24"/>
          <w:szCs w:val="24"/>
        </w:rPr>
        <w:t>“…</w:t>
      </w:r>
      <w:r w:rsidR="00607DBA" w:rsidRPr="004D3481">
        <w:rPr>
          <w:rFonts w:ascii="Arial" w:hAnsi="Arial" w:cs="Arial"/>
          <w:i/>
          <w:iCs/>
          <w:color w:val="404040" w:themeColor="text1" w:themeTint="BF"/>
          <w:sz w:val="24"/>
          <w:szCs w:val="24"/>
        </w:rPr>
        <w:t>death, retirement, dismissal, resignation or recusal</w:t>
      </w:r>
      <w:r w:rsidR="00607DBA" w:rsidRPr="004D3481">
        <w:rPr>
          <w:rFonts w:ascii="Arial" w:hAnsi="Arial" w:cs="Arial"/>
          <w:color w:val="000000" w:themeColor="text1"/>
          <w:sz w:val="24"/>
          <w:szCs w:val="24"/>
        </w:rPr>
        <w:t>.”</w:t>
      </w:r>
      <w:r w:rsidR="005105EB" w:rsidRPr="00890474">
        <w:rPr>
          <w:rStyle w:val="FootnoteReference"/>
          <w:rFonts w:ascii="Arial" w:hAnsi="Arial" w:cs="Arial"/>
          <w:color w:val="000000" w:themeColor="text1"/>
          <w:sz w:val="24"/>
          <w:szCs w:val="24"/>
        </w:rPr>
        <w:footnoteReference w:id="9"/>
      </w:r>
      <w:r w:rsidR="0067196C" w:rsidRPr="004D3481">
        <w:rPr>
          <w:rFonts w:ascii="Arial" w:hAnsi="Arial" w:cs="Arial"/>
          <w:color w:val="000000" w:themeColor="text1"/>
          <w:sz w:val="24"/>
          <w:szCs w:val="24"/>
        </w:rPr>
        <w:t xml:space="preserve"> </w:t>
      </w:r>
      <w:r w:rsidR="00D0116C" w:rsidRPr="004D3481">
        <w:rPr>
          <w:rFonts w:ascii="Arial" w:hAnsi="Arial" w:cs="Arial"/>
          <w:color w:val="000000" w:themeColor="text1"/>
          <w:sz w:val="24"/>
          <w:szCs w:val="24"/>
        </w:rPr>
        <w:t xml:space="preserve">Hiemstra explains </w:t>
      </w:r>
      <w:r w:rsidR="00203CA1" w:rsidRPr="004D3481">
        <w:rPr>
          <w:rFonts w:ascii="Arial" w:hAnsi="Arial" w:cs="Arial"/>
          <w:color w:val="000000" w:themeColor="text1"/>
          <w:sz w:val="24"/>
          <w:szCs w:val="24"/>
        </w:rPr>
        <w:t xml:space="preserve">the context </w:t>
      </w:r>
      <w:proofErr w:type="gramStart"/>
      <w:r w:rsidR="00203CA1" w:rsidRPr="004D3481">
        <w:rPr>
          <w:rFonts w:ascii="Arial" w:hAnsi="Arial" w:cs="Arial"/>
          <w:color w:val="000000" w:themeColor="text1"/>
          <w:sz w:val="24"/>
          <w:szCs w:val="24"/>
        </w:rPr>
        <w:t>of</w:t>
      </w:r>
      <w:r w:rsidR="00003B61" w:rsidRPr="004D3481">
        <w:rPr>
          <w:rFonts w:ascii="Arial" w:hAnsi="Arial" w:cs="Arial"/>
          <w:color w:val="000000" w:themeColor="text1"/>
          <w:sz w:val="24"/>
          <w:szCs w:val="24"/>
        </w:rPr>
        <w:t xml:space="preserve">  “</w:t>
      </w:r>
      <w:proofErr w:type="gramEnd"/>
      <w:r w:rsidR="00003B61" w:rsidRPr="004D3481">
        <w:rPr>
          <w:rFonts w:ascii="Arial" w:hAnsi="Arial" w:cs="Arial"/>
          <w:color w:val="000000" w:themeColor="text1"/>
          <w:sz w:val="24"/>
          <w:szCs w:val="24"/>
        </w:rPr>
        <w:t>absolute” as follows:</w:t>
      </w:r>
      <w:r w:rsidR="00CC70C2" w:rsidRPr="004D3481">
        <w:rPr>
          <w:rFonts w:ascii="Arial" w:hAnsi="Arial" w:cs="Arial"/>
          <w:color w:val="000000" w:themeColor="text1"/>
          <w:sz w:val="24"/>
          <w:szCs w:val="24"/>
        </w:rPr>
        <w:t xml:space="preserve"> </w:t>
      </w:r>
    </w:p>
    <w:p w14:paraId="4BBCF463" w14:textId="0E2652FB" w:rsidR="00BD5EFC" w:rsidRPr="00293205" w:rsidRDefault="00AA6675" w:rsidP="00AA6675">
      <w:pPr>
        <w:spacing w:after="120" w:line="360" w:lineRule="auto"/>
        <w:ind w:left="709"/>
        <w:jc w:val="both"/>
        <w:rPr>
          <w:rFonts w:ascii="Arial" w:hAnsi="Arial" w:cs="Arial"/>
          <w:i/>
          <w:iCs/>
          <w:color w:val="404040" w:themeColor="text1" w:themeTint="BF"/>
          <w:sz w:val="24"/>
          <w:szCs w:val="24"/>
        </w:rPr>
      </w:pPr>
      <w:r w:rsidRPr="00293205">
        <w:rPr>
          <w:rFonts w:ascii="Arial" w:hAnsi="Arial" w:cs="Arial"/>
          <w:i/>
          <w:iCs/>
          <w:color w:val="404040" w:themeColor="text1" w:themeTint="BF"/>
          <w:sz w:val="24"/>
          <w:szCs w:val="24"/>
        </w:rPr>
        <w:t>‘</w:t>
      </w:r>
      <w:r w:rsidR="00F33E74" w:rsidRPr="00293205">
        <w:rPr>
          <w:rFonts w:ascii="Arial" w:hAnsi="Arial" w:cs="Arial"/>
          <w:i/>
          <w:iCs/>
          <w:color w:val="404040" w:themeColor="text1" w:themeTint="BF"/>
          <w:sz w:val="24"/>
          <w:szCs w:val="24"/>
        </w:rPr>
        <w:t xml:space="preserve">In </w:t>
      </w:r>
      <w:bookmarkStart w:id="1" w:name="_Hlk156984268"/>
      <w:r w:rsidR="00F33E74" w:rsidRPr="00293205">
        <w:rPr>
          <w:rFonts w:ascii="Arial" w:hAnsi="Arial" w:cs="Arial"/>
          <w:i/>
          <w:iCs/>
          <w:color w:val="404040" w:themeColor="text1" w:themeTint="BF"/>
          <w:sz w:val="24"/>
          <w:szCs w:val="24"/>
        </w:rPr>
        <w:t xml:space="preserve">S v </w:t>
      </w:r>
      <w:proofErr w:type="spellStart"/>
      <w:r w:rsidR="00F33E74" w:rsidRPr="00293205">
        <w:rPr>
          <w:rFonts w:ascii="Arial" w:hAnsi="Arial" w:cs="Arial"/>
          <w:i/>
          <w:iCs/>
          <w:color w:val="404040" w:themeColor="text1" w:themeTint="BF"/>
          <w:sz w:val="24"/>
          <w:szCs w:val="24"/>
        </w:rPr>
        <w:t>Mkosana</w:t>
      </w:r>
      <w:proofErr w:type="spellEnd"/>
      <w:r w:rsidR="00F33E74" w:rsidRPr="00293205">
        <w:rPr>
          <w:rFonts w:ascii="Arial" w:hAnsi="Arial" w:cs="Arial"/>
          <w:i/>
          <w:iCs/>
          <w:color w:val="404040" w:themeColor="text1" w:themeTint="BF"/>
          <w:sz w:val="24"/>
          <w:szCs w:val="24"/>
        </w:rPr>
        <w:t xml:space="preserve"> 2004 (1) SACR 205 (Ck)</w:t>
      </w:r>
      <w:bookmarkEnd w:id="1"/>
      <w:r w:rsidR="00F33E74" w:rsidRPr="00293205">
        <w:rPr>
          <w:rFonts w:ascii="Arial" w:hAnsi="Arial" w:cs="Arial"/>
          <w:i/>
          <w:iCs/>
          <w:color w:val="404040" w:themeColor="text1" w:themeTint="BF"/>
          <w:sz w:val="24"/>
          <w:szCs w:val="24"/>
        </w:rPr>
        <w:t xml:space="preserve"> par [22] the court drew a distinction between absolute and other incapacity (pars [7][13]). If the magistrate is permanently unable to continue with the trial the proceedings are regarded as abortive and fall away (par [6]). In cases in the second category ("other incapacity") the high court has a discretion to order that the trial commence de novo (par [10]).</w:t>
      </w:r>
      <w:r w:rsidRPr="00293205">
        <w:rPr>
          <w:rFonts w:ascii="Arial" w:hAnsi="Arial" w:cs="Arial"/>
          <w:i/>
          <w:iCs/>
          <w:color w:val="404040" w:themeColor="text1" w:themeTint="BF"/>
          <w:sz w:val="24"/>
          <w:szCs w:val="24"/>
        </w:rPr>
        <w:t>’</w:t>
      </w:r>
      <w:r w:rsidR="003E783D" w:rsidRPr="00293205">
        <w:rPr>
          <w:rStyle w:val="FootnoteReference"/>
          <w:rFonts w:ascii="Arial" w:hAnsi="Arial" w:cs="Arial"/>
          <w:i/>
          <w:iCs/>
          <w:color w:val="404040" w:themeColor="text1" w:themeTint="BF"/>
          <w:sz w:val="24"/>
          <w:szCs w:val="24"/>
        </w:rPr>
        <w:footnoteReference w:id="10"/>
      </w:r>
    </w:p>
    <w:p w14:paraId="395B0908" w14:textId="44B9817E" w:rsidR="008C10B1" w:rsidRPr="004D3481" w:rsidRDefault="004D3481" w:rsidP="004D3481">
      <w:pPr>
        <w:spacing w:after="120" w:line="360" w:lineRule="auto"/>
        <w:ind w:left="284" w:hanging="360"/>
        <w:jc w:val="both"/>
        <w:rPr>
          <w:rFonts w:ascii="Arial" w:hAnsi="Arial" w:cs="Arial"/>
          <w:sz w:val="24"/>
          <w:szCs w:val="24"/>
        </w:rPr>
      </w:pPr>
      <w:r w:rsidRPr="00003B61">
        <w:rPr>
          <w:rFonts w:ascii="Arial" w:hAnsi="Arial" w:cs="Arial"/>
          <w:sz w:val="24"/>
          <w:szCs w:val="24"/>
        </w:rPr>
        <w:t>13.</w:t>
      </w:r>
      <w:r w:rsidRPr="00003B61">
        <w:rPr>
          <w:rFonts w:ascii="Arial" w:hAnsi="Arial" w:cs="Arial"/>
          <w:sz w:val="24"/>
          <w:szCs w:val="24"/>
        </w:rPr>
        <w:tab/>
      </w:r>
      <w:r w:rsidR="00CC70C2" w:rsidRPr="004D3481">
        <w:rPr>
          <w:rFonts w:ascii="Arial" w:hAnsi="Arial" w:cs="Arial"/>
          <w:sz w:val="24"/>
          <w:szCs w:val="24"/>
        </w:rPr>
        <w:t>Where there is no challenge to the recusal itself,</w:t>
      </w:r>
      <w:r w:rsidR="00CC70C2">
        <w:rPr>
          <w:rStyle w:val="FootnoteReference"/>
          <w:rFonts w:ascii="Arial" w:hAnsi="Arial" w:cs="Arial"/>
          <w:sz w:val="24"/>
          <w:szCs w:val="24"/>
        </w:rPr>
        <w:footnoteReference w:id="11"/>
      </w:r>
      <w:r w:rsidR="00CC70C2" w:rsidRPr="004D3481">
        <w:rPr>
          <w:rFonts w:ascii="Arial" w:hAnsi="Arial" w:cs="Arial"/>
          <w:sz w:val="24"/>
          <w:szCs w:val="24"/>
        </w:rPr>
        <w:t xml:space="preserve"> the </w:t>
      </w:r>
      <w:r w:rsidR="004E2540" w:rsidRPr="004D3481">
        <w:rPr>
          <w:rFonts w:ascii="Arial" w:hAnsi="Arial" w:cs="Arial"/>
          <w:sz w:val="24"/>
          <w:szCs w:val="24"/>
        </w:rPr>
        <w:t xml:space="preserve">part heard </w:t>
      </w:r>
      <w:r w:rsidR="00CC70C2" w:rsidRPr="004D3481">
        <w:rPr>
          <w:rFonts w:ascii="Arial" w:hAnsi="Arial" w:cs="Arial"/>
          <w:sz w:val="24"/>
          <w:szCs w:val="24"/>
        </w:rPr>
        <w:t xml:space="preserve">proceedings are therefore a nullity and are set aside </w:t>
      </w:r>
      <w:r w:rsidR="00CC70C2" w:rsidRPr="004D3481">
        <w:rPr>
          <w:rFonts w:ascii="Arial" w:hAnsi="Arial" w:cs="Arial"/>
          <w:i/>
          <w:iCs/>
          <w:color w:val="404040" w:themeColor="text1" w:themeTint="BF"/>
          <w:sz w:val="24"/>
          <w:szCs w:val="24"/>
        </w:rPr>
        <w:t xml:space="preserve">ex </w:t>
      </w:r>
      <w:proofErr w:type="spellStart"/>
      <w:r w:rsidR="00CC70C2" w:rsidRPr="004D3481">
        <w:rPr>
          <w:rFonts w:ascii="Arial" w:hAnsi="Arial" w:cs="Arial"/>
          <w:i/>
          <w:iCs/>
          <w:color w:val="404040" w:themeColor="text1" w:themeTint="BF"/>
          <w:sz w:val="24"/>
          <w:szCs w:val="24"/>
        </w:rPr>
        <w:t>lege</w:t>
      </w:r>
      <w:proofErr w:type="spellEnd"/>
      <w:r w:rsidR="00F114CE" w:rsidRPr="004D3481">
        <w:rPr>
          <w:rFonts w:ascii="Arial" w:hAnsi="Arial" w:cs="Arial"/>
          <w:sz w:val="24"/>
          <w:szCs w:val="24"/>
        </w:rPr>
        <w:t>. The High Court has no rol</w:t>
      </w:r>
      <w:r w:rsidR="001C2D23" w:rsidRPr="004D3481">
        <w:rPr>
          <w:rFonts w:ascii="Arial" w:hAnsi="Arial" w:cs="Arial"/>
          <w:sz w:val="24"/>
          <w:szCs w:val="24"/>
        </w:rPr>
        <w:t xml:space="preserve">e </w:t>
      </w:r>
      <w:r w:rsidR="00F114CE" w:rsidRPr="004D3481">
        <w:rPr>
          <w:rFonts w:ascii="Arial" w:hAnsi="Arial" w:cs="Arial"/>
          <w:sz w:val="24"/>
          <w:szCs w:val="24"/>
        </w:rPr>
        <w:t>to play in such instances</w:t>
      </w:r>
      <w:r w:rsidR="006D21C9" w:rsidRPr="004D3481">
        <w:rPr>
          <w:rFonts w:ascii="Arial" w:hAnsi="Arial" w:cs="Arial"/>
          <w:sz w:val="24"/>
          <w:szCs w:val="24"/>
        </w:rPr>
        <w:t xml:space="preserve"> and no order needs to be made</w:t>
      </w:r>
      <w:r w:rsidR="00AE4EA7" w:rsidRPr="004D3481">
        <w:rPr>
          <w:rFonts w:ascii="Arial" w:hAnsi="Arial" w:cs="Arial"/>
          <w:sz w:val="24"/>
          <w:szCs w:val="24"/>
        </w:rPr>
        <w:t xml:space="preserve"> setting aside the proceedings. </w:t>
      </w:r>
    </w:p>
    <w:p w14:paraId="2224EDC9" w14:textId="051B9D8C" w:rsidR="00F343A9" w:rsidRPr="00F343A9" w:rsidRDefault="00EB3A7B" w:rsidP="00987314">
      <w:pPr>
        <w:pStyle w:val="ListParagraph"/>
        <w:spacing w:before="240" w:after="120" w:line="360" w:lineRule="auto"/>
        <w:ind w:left="284"/>
        <w:contextualSpacing w:val="0"/>
        <w:jc w:val="both"/>
        <w:rPr>
          <w:rFonts w:ascii="Arial" w:hAnsi="Arial" w:cs="Arial"/>
          <w:b/>
          <w:bCs/>
          <w:sz w:val="24"/>
          <w:szCs w:val="24"/>
        </w:rPr>
      </w:pPr>
      <w:r w:rsidRPr="00EB3A7B">
        <w:rPr>
          <w:rFonts w:ascii="Arial" w:hAnsi="Arial" w:cs="Arial"/>
          <w:b/>
          <w:bCs/>
          <w:i/>
          <w:iCs/>
          <w:sz w:val="24"/>
          <w:szCs w:val="24"/>
        </w:rPr>
        <w:t>De novo</w:t>
      </w:r>
      <w:r>
        <w:rPr>
          <w:rFonts w:ascii="Arial" w:hAnsi="Arial" w:cs="Arial"/>
          <w:b/>
          <w:bCs/>
          <w:sz w:val="24"/>
          <w:szCs w:val="24"/>
        </w:rPr>
        <w:t xml:space="preserve"> </w:t>
      </w:r>
      <w:r w:rsidR="009B0571">
        <w:rPr>
          <w:rFonts w:ascii="Arial" w:hAnsi="Arial" w:cs="Arial"/>
          <w:b/>
          <w:bCs/>
          <w:sz w:val="24"/>
          <w:szCs w:val="24"/>
        </w:rPr>
        <w:t>commence</w:t>
      </w:r>
      <w:r>
        <w:rPr>
          <w:rFonts w:ascii="Arial" w:hAnsi="Arial" w:cs="Arial"/>
          <w:b/>
          <w:bCs/>
          <w:sz w:val="24"/>
          <w:szCs w:val="24"/>
        </w:rPr>
        <w:t>ment of</w:t>
      </w:r>
      <w:r w:rsidR="009B0571">
        <w:rPr>
          <w:rFonts w:ascii="Arial" w:hAnsi="Arial" w:cs="Arial"/>
          <w:b/>
          <w:bCs/>
          <w:sz w:val="24"/>
          <w:szCs w:val="24"/>
        </w:rPr>
        <w:t xml:space="preserve"> proceedi</w:t>
      </w:r>
      <w:r>
        <w:rPr>
          <w:rFonts w:ascii="Arial" w:hAnsi="Arial" w:cs="Arial"/>
          <w:b/>
          <w:bCs/>
          <w:sz w:val="24"/>
          <w:szCs w:val="24"/>
        </w:rPr>
        <w:t>ngs</w:t>
      </w:r>
    </w:p>
    <w:p w14:paraId="727F6CFE" w14:textId="642E099E" w:rsidR="00A84874"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3126CE" w:rsidRPr="004D3481">
        <w:rPr>
          <w:rFonts w:ascii="Arial" w:hAnsi="Arial" w:cs="Arial"/>
          <w:sz w:val="24"/>
          <w:szCs w:val="24"/>
        </w:rPr>
        <w:t xml:space="preserve">The question is </w:t>
      </w:r>
      <w:r w:rsidR="00C4543D" w:rsidRPr="004D3481">
        <w:rPr>
          <w:rFonts w:ascii="Arial" w:hAnsi="Arial" w:cs="Arial"/>
          <w:sz w:val="24"/>
          <w:szCs w:val="24"/>
        </w:rPr>
        <w:t xml:space="preserve">then </w:t>
      </w:r>
      <w:r w:rsidR="003126CE" w:rsidRPr="004D3481">
        <w:rPr>
          <w:rFonts w:ascii="Arial" w:hAnsi="Arial" w:cs="Arial"/>
          <w:sz w:val="24"/>
          <w:szCs w:val="24"/>
        </w:rPr>
        <w:t>whether the High Court’s juris</w:t>
      </w:r>
      <w:r w:rsidR="00243166" w:rsidRPr="004D3481">
        <w:rPr>
          <w:rFonts w:ascii="Arial" w:hAnsi="Arial" w:cs="Arial"/>
          <w:sz w:val="24"/>
          <w:szCs w:val="24"/>
        </w:rPr>
        <w:t xml:space="preserve">diction is engaged when it comes to a request </w:t>
      </w:r>
      <w:r w:rsidR="00AA7F12" w:rsidRPr="004D3481">
        <w:rPr>
          <w:rFonts w:ascii="Arial" w:hAnsi="Arial" w:cs="Arial"/>
          <w:sz w:val="24"/>
          <w:szCs w:val="24"/>
        </w:rPr>
        <w:t xml:space="preserve">for an order </w:t>
      </w:r>
      <w:r w:rsidR="00243166" w:rsidRPr="004D3481">
        <w:rPr>
          <w:rFonts w:ascii="Arial" w:hAnsi="Arial" w:cs="Arial"/>
          <w:sz w:val="24"/>
          <w:szCs w:val="24"/>
        </w:rPr>
        <w:t>that</w:t>
      </w:r>
      <w:r w:rsidR="00AA7F12" w:rsidRPr="004D3481">
        <w:rPr>
          <w:rFonts w:ascii="Arial" w:hAnsi="Arial" w:cs="Arial"/>
          <w:sz w:val="24"/>
          <w:szCs w:val="24"/>
        </w:rPr>
        <w:t xml:space="preserve"> the</w:t>
      </w:r>
      <w:r w:rsidR="00243166" w:rsidRPr="004D3481">
        <w:rPr>
          <w:rFonts w:ascii="Arial" w:hAnsi="Arial" w:cs="Arial"/>
          <w:sz w:val="24"/>
          <w:szCs w:val="24"/>
        </w:rPr>
        <w:t xml:space="preserve"> </w:t>
      </w:r>
      <w:r w:rsidR="006214F3" w:rsidRPr="004D3481">
        <w:rPr>
          <w:rFonts w:ascii="Arial" w:hAnsi="Arial" w:cs="Arial"/>
          <w:sz w:val="24"/>
          <w:szCs w:val="24"/>
        </w:rPr>
        <w:t xml:space="preserve">proceedings </w:t>
      </w:r>
      <w:r w:rsidR="00C4543D" w:rsidRPr="004D3481">
        <w:rPr>
          <w:rFonts w:ascii="Arial" w:hAnsi="Arial" w:cs="Arial"/>
          <w:sz w:val="24"/>
          <w:szCs w:val="24"/>
        </w:rPr>
        <w:t>commence</w:t>
      </w:r>
      <w:r w:rsidR="00243166" w:rsidRPr="004D3481">
        <w:rPr>
          <w:rFonts w:ascii="Arial" w:hAnsi="Arial" w:cs="Arial"/>
          <w:sz w:val="24"/>
          <w:szCs w:val="24"/>
        </w:rPr>
        <w:t xml:space="preserve"> </w:t>
      </w:r>
      <w:r w:rsidR="00243166" w:rsidRPr="004D3481">
        <w:rPr>
          <w:rFonts w:ascii="Arial" w:hAnsi="Arial" w:cs="Arial"/>
          <w:i/>
          <w:iCs/>
          <w:sz w:val="24"/>
          <w:szCs w:val="24"/>
        </w:rPr>
        <w:t>de novo</w:t>
      </w:r>
      <w:r w:rsidR="006214F3" w:rsidRPr="004D3481">
        <w:rPr>
          <w:rFonts w:ascii="Arial" w:hAnsi="Arial" w:cs="Arial"/>
          <w:sz w:val="24"/>
          <w:szCs w:val="24"/>
        </w:rPr>
        <w:t>.</w:t>
      </w:r>
    </w:p>
    <w:p w14:paraId="032C57FC" w14:textId="11F2393A" w:rsidR="0039397F"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05F9D" w:rsidRPr="004D3481">
        <w:rPr>
          <w:rFonts w:ascii="Arial" w:hAnsi="Arial" w:cs="Arial"/>
          <w:sz w:val="24"/>
          <w:szCs w:val="24"/>
        </w:rPr>
        <w:t>Th</w:t>
      </w:r>
      <w:r w:rsidR="007D6152" w:rsidRPr="004D3481">
        <w:rPr>
          <w:rFonts w:ascii="Arial" w:hAnsi="Arial" w:cs="Arial"/>
          <w:sz w:val="24"/>
          <w:szCs w:val="24"/>
        </w:rPr>
        <w:t>e Magistrates</w:t>
      </w:r>
      <w:r w:rsidR="0088106D" w:rsidRPr="004D3481">
        <w:rPr>
          <w:rFonts w:ascii="Arial" w:hAnsi="Arial" w:cs="Arial"/>
          <w:sz w:val="24"/>
          <w:szCs w:val="24"/>
        </w:rPr>
        <w:t>’</w:t>
      </w:r>
      <w:r w:rsidR="007D6152" w:rsidRPr="004D3481">
        <w:rPr>
          <w:rFonts w:ascii="Arial" w:hAnsi="Arial" w:cs="Arial"/>
          <w:sz w:val="24"/>
          <w:szCs w:val="24"/>
        </w:rPr>
        <w:t xml:space="preserve"> Court </w:t>
      </w:r>
      <w:r w:rsidR="00B06C3A" w:rsidRPr="004D3481">
        <w:rPr>
          <w:rFonts w:ascii="Arial" w:hAnsi="Arial" w:cs="Arial"/>
          <w:sz w:val="24"/>
          <w:szCs w:val="24"/>
        </w:rPr>
        <w:t xml:space="preserve">clearly has no such </w:t>
      </w:r>
      <w:r w:rsidR="00E73C4D" w:rsidRPr="004D3481">
        <w:rPr>
          <w:rFonts w:ascii="Arial" w:hAnsi="Arial" w:cs="Arial"/>
          <w:sz w:val="24"/>
          <w:szCs w:val="24"/>
        </w:rPr>
        <w:t xml:space="preserve">statutory </w:t>
      </w:r>
      <w:r w:rsidR="00B06C3A" w:rsidRPr="004D3481">
        <w:rPr>
          <w:rFonts w:ascii="Arial" w:hAnsi="Arial" w:cs="Arial"/>
          <w:sz w:val="24"/>
          <w:szCs w:val="24"/>
        </w:rPr>
        <w:t xml:space="preserve">authority. For instance, </w:t>
      </w:r>
      <w:r w:rsidR="00FA589A" w:rsidRPr="004D3481">
        <w:rPr>
          <w:rFonts w:ascii="Arial" w:hAnsi="Arial" w:cs="Arial"/>
          <w:sz w:val="24"/>
          <w:szCs w:val="24"/>
        </w:rPr>
        <w:t>i</w:t>
      </w:r>
      <w:r w:rsidR="00F25F91" w:rsidRPr="004D3481">
        <w:rPr>
          <w:rFonts w:ascii="Arial" w:hAnsi="Arial" w:cs="Arial"/>
          <w:sz w:val="24"/>
          <w:szCs w:val="24"/>
        </w:rPr>
        <w:t xml:space="preserve">n </w:t>
      </w:r>
      <w:r w:rsidR="00F25F91" w:rsidRPr="004D3481">
        <w:rPr>
          <w:rFonts w:ascii="Arial" w:hAnsi="Arial" w:cs="Arial"/>
          <w:i/>
          <w:iCs/>
          <w:sz w:val="24"/>
          <w:szCs w:val="24"/>
        </w:rPr>
        <w:t>S v Richter</w:t>
      </w:r>
      <w:r w:rsidR="00F25F91" w:rsidRPr="004D3481">
        <w:rPr>
          <w:rFonts w:ascii="Arial" w:hAnsi="Arial" w:cs="Arial"/>
          <w:sz w:val="24"/>
          <w:szCs w:val="24"/>
        </w:rPr>
        <w:t xml:space="preserve"> 1998 (1) SACR 311 (C), the magistrate recused herself and ordered that the matter be heard </w:t>
      </w:r>
      <w:r w:rsidR="00F25F91" w:rsidRPr="004D3481">
        <w:rPr>
          <w:rFonts w:ascii="Arial" w:hAnsi="Arial" w:cs="Arial"/>
          <w:i/>
          <w:iCs/>
          <w:sz w:val="24"/>
          <w:szCs w:val="24"/>
        </w:rPr>
        <w:t>de novo</w:t>
      </w:r>
      <w:r w:rsidR="00F25F91" w:rsidRPr="004D3481">
        <w:rPr>
          <w:rFonts w:ascii="Arial" w:hAnsi="Arial" w:cs="Arial"/>
          <w:sz w:val="24"/>
          <w:szCs w:val="24"/>
        </w:rPr>
        <w:t xml:space="preserve"> before another court. The</w:t>
      </w:r>
      <w:r w:rsidR="00065956" w:rsidRPr="004D3481">
        <w:rPr>
          <w:rFonts w:ascii="Arial" w:hAnsi="Arial" w:cs="Arial"/>
          <w:sz w:val="24"/>
          <w:szCs w:val="24"/>
        </w:rPr>
        <w:t xml:space="preserve"> High Court ruled that </w:t>
      </w:r>
      <w:r w:rsidR="00E73C4D" w:rsidRPr="004D3481">
        <w:rPr>
          <w:rFonts w:ascii="Arial" w:hAnsi="Arial" w:cs="Arial"/>
          <w:sz w:val="24"/>
          <w:szCs w:val="24"/>
        </w:rPr>
        <w:t xml:space="preserve">the </w:t>
      </w:r>
      <w:r w:rsidR="00E73C4D" w:rsidRPr="004D3481">
        <w:rPr>
          <w:rFonts w:ascii="Arial" w:hAnsi="Arial" w:cs="Arial"/>
          <w:i/>
          <w:iCs/>
          <w:sz w:val="24"/>
          <w:szCs w:val="24"/>
        </w:rPr>
        <w:t>de novo</w:t>
      </w:r>
      <w:r w:rsidR="00E73C4D" w:rsidRPr="004D3481">
        <w:rPr>
          <w:rFonts w:ascii="Arial" w:hAnsi="Arial" w:cs="Arial"/>
          <w:sz w:val="24"/>
          <w:szCs w:val="24"/>
        </w:rPr>
        <w:t xml:space="preserve"> order was an</w:t>
      </w:r>
      <w:r w:rsidR="00F25F91" w:rsidRPr="004D3481">
        <w:rPr>
          <w:rFonts w:ascii="Arial" w:hAnsi="Arial" w:cs="Arial"/>
          <w:sz w:val="24"/>
          <w:szCs w:val="24"/>
        </w:rPr>
        <w:t xml:space="preserve"> irregularity</w:t>
      </w:r>
      <w:r w:rsidR="00E73C4D" w:rsidRPr="004D3481">
        <w:rPr>
          <w:rFonts w:ascii="Arial" w:hAnsi="Arial" w:cs="Arial"/>
          <w:sz w:val="24"/>
          <w:szCs w:val="24"/>
        </w:rPr>
        <w:t xml:space="preserve"> and set it aside</w:t>
      </w:r>
      <w:r w:rsidR="00F25F91" w:rsidRPr="004D3481">
        <w:rPr>
          <w:rFonts w:ascii="Arial" w:hAnsi="Arial" w:cs="Arial"/>
          <w:sz w:val="24"/>
          <w:szCs w:val="24"/>
        </w:rPr>
        <w:t>.</w:t>
      </w:r>
      <w:r w:rsidR="006E120C" w:rsidRPr="004D3481">
        <w:rPr>
          <w:rFonts w:ascii="Arial" w:hAnsi="Arial" w:cs="Arial"/>
          <w:sz w:val="24"/>
          <w:szCs w:val="24"/>
        </w:rPr>
        <w:t xml:space="preserve"> </w:t>
      </w:r>
      <w:r w:rsidR="0091040E" w:rsidRPr="004D3481">
        <w:rPr>
          <w:rFonts w:ascii="Arial" w:hAnsi="Arial" w:cs="Arial"/>
          <w:sz w:val="24"/>
          <w:szCs w:val="24"/>
        </w:rPr>
        <w:t>It</w:t>
      </w:r>
      <w:r w:rsidR="007E0C2B" w:rsidRPr="004D3481">
        <w:rPr>
          <w:rFonts w:ascii="Arial" w:hAnsi="Arial" w:cs="Arial"/>
          <w:sz w:val="24"/>
          <w:szCs w:val="24"/>
        </w:rPr>
        <w:t xml:space="preserve">, however, </w:t>
      </w:r>
      <w:r w:rsidR="0091040E" w:rsidRPr="004D3481">
        <w:rPr>
          <w:rFonts w:ascii="Arial" w:hAnsi="Arial" w:cs="Arial"/>
          <w:sz w:val="24"/>
          <w:szCs w:val="24"/>
        </w:rPr>
        <w:t xml:space="preserve">further </w:t>
      </w:r>
      <w:r w:rsidR="00613323" w:rsidRPr="004D3481">
        <w:rPr>
          <w:rFonts w:ascii="Arial" w:hAnsi="Arial" w:cs="Arial"/>
          <w:sz w:val="24"/>
          <w:szCs w:val="24"/>
        </w:rPr>
        <w:t>found that</w:t>
      </w:r>
      <w:r w:rsidR="00B555C1" w:rsidRPr="004D3481">
        <w:rPr>
          <w:rFonts w:ascii="Arial" w:hAnsi="Arial" w:cs="Arial"/>
          <w:sz w:val="24"/>
          <w:szCs w:val="24"/>
        </w:rPr>
        <w:t xml:space="preserve"> the High Court should be approached if such a declaration is sought.</w:t>
      </w:r>
      <w:r w:rsidR="005F6E16" w:rsidRPr="004D3481">
        <w:rPr>
          <w:rFonts w:ascii="Arial" w:hAnsi="Arial" w:cs="Arial"/>
          <w:sz w:val="24"/>
          <w:szCs w:val="24"/>
        </w:rPr>
        <w:t xml:space="preserve"> </w:t>
      </w:r>
    </w:p>
    <w:p w14:paraId="59B5B696" w14:textId="247632AF" w:rsidR="00A16064" w:rsidRPr="004D3481" w:rsidRDefault="004D3481" w:rsidP="004D3481">
      <w:pPr>
        <w:spacing w:after="0" w:line="360" w:lineRule="auto"/>
        <w:ind w:left="284" w:hanging="360"/>
        <w:jc w:val="both"/>
        <w:rPr>
          <w:rFonts w:ascii="Arial" w:hAnsi="Arial" w:cs="Arial"/>
          <w:color w:val="404040" w:themeColor="text1" w:themeTint="BF"/>
          <w:sz w:val="24"/>
          <w:szCs w:val="24"/>
        </w:rPr>
      </w:pPr>
      <w:r w:rsidRPr="00293205">
        <w:rPr>
          <w:rFonts w:ascii="Arial" w:hAnsi="Arial" w:cs="Arial"/>
          <w:color w:val="404040" w:themeColor="text1" w:themeTint="BF"/>
          <w:sz w:val="24"/>
          <w:szCs w:val="24"/>
        </w:rPr>
        <w:t>16.</w:t>
      </w:r>
      <w:r w:rsidRPr="00293205">
        <w:rPr>
          <w:rFonts w:ascii="Arial" w:hAnsi="Arial" w:cs="Arial"/>
          <w:color w:val="404040" w:themeColor="text1" w:themeTint="BF"/>
          <w:sz w:val="24"/>
          <w:szCs w:val="24"/>
        </w:rPr>
        <w:tab/>
      </w:r>
      <w:r w:rsidR="00226205" w:rsidRPr="004D3481">
        <w:rPr>
          <w:rFonts w:ascii="Arial" w:hAnsi="Arial" w:cs="Arial"/>
          <w:sz w:val="24"/>
          <w:szCs w:val="24"/>
        </w:rPr>
        <w:t xml:space="preserve">The latter part of the order, however, </w:t>
      </w:r>
      <w:r w:rsidR="00CB25A1" w:rsidRPr="004D3481">
        <w:rPr>
          <w:rFonts w:ascii="Arial" w:hAnsi="Arial" w:cs="Arial"/>
          <w:sz w:val="24"/>
          <w:szCs w:val="24"/>
        </w:rPr>
        <w:t xml:space="preserve">is not </w:t>
      </w:r>
      <w:r w:rsidR="003E39E4" w:rsidRPr="004D3481">
        <w:rPr>
          <w:rFonts w:ascii="Arial" w:hAnsi="Arial" w:cs="Arial"/>
          <w:sz w:val="24"/>
          <w:szCs w:val="24"/>
        </w:rPr>
        <w:t>legally</w:t>
      </w:r>
      <w:r w:rsidR="00F35CDC" w:rsidRPr="004D3481">
        <w:rPr>
          <w:rFonts w:ascii="Arial" w:hAnsi="Arial" w:cs="Arial"/>
          <w:sz w:val="24"/>
          <w:szCs w:val="24"/>
        </w:rPr>
        <w:t>,</w:t>
      </w:r>
      <w:r w:rsidR="003E39E4" w:rsidRPr="004D3481">
        <w:rPr>
          <w:rFonts w:ascii="Arial" w:hAnsi="Arial" w:cs="Arial"/>
          <w:sz w:val="24"/>
          <w:szCs w:val="24"/>
        </w:rPr>
        <w:t xml:space="preserve"> or </w:t>
      </w:r>
      <w:r w:rsidR="00CB25A1" w:rsidRPr="004D3481">
        <w:rPr>
          <w:rFonts w:ascii="Arial" w:hAnsi="Arial" w:cs="Arial"/>
          <w:sz w:val="24"/>
          <w:szCs w:val="24"/>
        </w:rPr>
        <w:t>logically</w:t>
      </w:r>
      <w:r w:rsidR="00F35CDC" w:rsidRPr="004D3481">
        <w:rPr>
          <w:rFonts w:ascii="Arial" w:hAnsi="Arial" w:cs="Arial"/>
          <w:sz w:val="24"/>
          <w:szCs w:val="24"/>
        </w:rPr>
        <w:t>,</w:t>
      </w:r>
      <w:r w:rsidR="00CB25A1" w:rsidRPr="004D3481">
        <w:rPr>
          <w:rFonts w:ascii="Arial" w:hAnsi="Arial" w:cs="Arial"/>
          <w:sz w:val="24"/>
          <w:szCs w:val="24"/>
        </w:rPr>
        <w:t xml:space="preserve"> sustainable </w:t>
      </w:r>
      <w:r w:rsidR="003C7952" w:rsidRPr="004D3481">
        <w:rPr>
          <w:rFonts w:ascii="Arial" w:hAnsi="Arial" w:cs="Arial"/>
          <w:sz w:val="24"/>
          <w:szCs w:val="24"/>
        </w:rPr>
        <w:t>w</w:t>
      </w:r>
      <w:r w:rsidR="008A528F" w:rsidRPr="004D3481">
        <w:rPr>
          <w:rFonts w:ascii="Arial" w:hAnsi="Arial" w:cs="Arial"/>
          <w:sz w:val="24"/>
          <w:szCs w:val="24"/>
        </w:rPr>
        <w:t xml:space="preserve">hen it is accepted that recusal renders the proceedings a nullity. </w:t>
      </w:r>
      <w:r w:rsidR="007A126B" w:rsidRPr="004D3481">
        <w:rPr>
          <w:rFonts w:ascii="Arial" w:hAnsi="Arial" w:cs="Arial"/>
          <w:sz w:val="24"/>
          <w:szCs w:val="24"/>
        </w:rPr>
        <w:t xml:space="preserve">As was stated in </w:t>
      </w:r>
      <w:proofErr w:type="spellStart"/>
      <w:r w:rsidR="00F11317" w:rsidRPr="004D3481">
        <w:rPr>
          <w:rFonts w:ascii="Arial" w:eastAsia="Times New Roman" w:hAnsi="Arial" w:cs="Arial"/>
          <w:i/>
          <w:iCs/>
          <w:color w:val="404040" w:themeColor="text1" w:themeTint="BF"/>
          <w:sz w:val="24"/>
          <w:szCs w:val="24"/>
          <w:lang w:eastAsia="en-ZA"/>
        </w:rPr>
        <w:t>Mgubane</w:t>
      </w:r>
      <w:proofErr w:type="spellEnd"/>
      <w:r w:rsidR="00F11317" w:rsidRPr="004D3481">
        <w:rPr>
          <w:rFonts w:ascii="Arial" w:eastAsia="Times New Roman" w:hAnsi="Arial" w:cs="Arial"/>
          <w:i/>
          <w:iCs/>
          <w:color w:val="404040" w:themeColor="text1" w:themeTint="BF"/>
          <w:sz w:val="24"/>
          <w:szCs w:val="24"/>
          <w:lang w:eastAsia="en-ZA"/>
        </w:rPr>
        <w:t xml:space="preserve"> v Van der Merwe N0</w:t>
      </w:r>
      <w:r w:rsidR="00A16064" w:rsidRPr="004D3481">
        <w:rPr>
          <w:rFonts w:ascii="Arial" w:hAnsi="Arial" w:cs="Arial"/>
          <w:color w:val="404040" w:themeColor="text1" w:themeTint="BF"/>
          <w:sz w:val="24"/>
          <w:szCs w:val="24"/>
        </w:rPr>
        <w:t>:</w:t>
      </w:r>
      <w:r w:rsidR="00A16064" w:rsidRPr="00293205">
        <w:rPr>
          <w:rStyle w:val="FootnoteReference"/>
          <w:rFonts w:ascii="Arial" w:hAnsi="Arial" w:cs="Arial"/>
          <w:color w:val="404040" w:themeColor="text1" w:themeTint="BF"/>
          <w:sz w:val="24"/>
          <w:szCs w:val="24"/>
        </w:rPr>
        <w:footnoteReference w:id="12"/>
      </w:r>
    </w:p>
    <w:p w14:paraId="088A8106" w14:textId="1F1325EC" w:rsidR="00F11317" w:rsidRPr="00CA0D4F" w:rsidRDefault="002734CC" w:rsidP="00E13D4B">
      <w:pPr>
        <w:pStyle w:val="ListParagraph"/>
        <w:spacing w:after="0" w:line="360" w:lineRule="auto"/>
        <w:ind w:left="709"/>
        <w:contextualSpacing w:val="0"/>
        <w:jc w:val="both"/>
        <w:rPr>
          <w:rFonts w:ascii="Arial" w:hAnsi="Arial" w:cs="Arial"/>
          <w:sz w:val="24"/>
          <w:szCs w:val="24"/>
        </w:rPr>
      </w:pPr>
      <w:r w:rsidRPr="00293205">
        <w:rPr>
          <w:rFonts w:eastAsia="Times New Roman" w:cstheme="minorHAnsi"/>
          <w:color w:val="404040" w:themeColor="text1" w:themeTint="BF"/>
          <w:lang w:eastAsia="en-ZA"/>
        </w:rPr>
        <w:t xml:space="preserve"> </w:t>
      </w:r>
      <w:r w:rsidRPr="00293205">
        <w:rPr>
          <w:rFonts w:ascii="Arial" w:hAnsi="Arial" w:cs="Arial"/>
          <w:i/>
          <w:iCs/>
          <w:color w:val="404040" w:themeColor="text1" w:themeTint="BF"/>
          <w:sz w:val="24"/>
          <w:szCs w:val="24"/>
          <w:shd w:val="clear" w:color="auto" w:fill="FFFFFF"/>
        </w:rPr>
        <w:t>"Once a magistrate has recused himself the proceedings over which he formerly presided become a nullity. They vanish, as it were, and nothing remains of them. For that simple reason the provisions of s 169 (6) (now s 106 (4)) cannot be applied to a case where the magistrate has either recused himself or for some other reason become incapacitated, either through physical or mental incapacity or where he has been dismissed or where he resigned. He has become functus officio. The proceedings are aborted and a nullity and</w:t>
      </w:r>
      <w:r w:rsidRPr="00293205">
        <w:rPr>
          <w:rFonts w:ascii="Arial" w:hAnsi="Arial" w:cs="Arial"/>
          <w:i/>
          <w:iCs/>
          <w:color w:val="404040" w:themeColor="text1" w:themeTint="BF"/>
          <w:sz w:val="24"/>
          <w:szCs w:val="24"/>
          <w:u w:val="single"/>
          <w:shd w:val="clear" w:color="auto" w:fill="FFFFFF"/>
        </w:rPr>
        <w:t xml:space="preserve"> the way </w:t>
      </w:r>
      <w:proofErr w:type="gramStart"/>
      <w:r w:rsidRPr="00293205">
        <w:rPr>
          <w:rFonts w:ascii="Arial" w:hAnsi="Arial" w:cs="Arial"/>
          <w:i/>
          <w:iCs/>
          <w:color w:val="404040" w:themeColor="text1" w:themeTint="BF"/>
          <w:sz w:val="24"/>
          <w:szCs w:val="24"/>
          <w:u w:val="single"/>
          <w:shd w:val="clear" w:color="auto" w:fill="FFFFFF"/>
        </w:rPr>
        <w:t>is</w:t>
      </w:r>
      <w:proofErr w:type="gramEnd"/>
      <w:r w:rsidRPr="00293205">
        <w:rPr>
          <w:rFonts w:ascii="Arial" w:hAnsi="Arial" w:cs="Arial"/>
          <w:i/>
          <w:iCs/>
          <w:color w:val="404040" w:themeColor="text1" w:themeTint="BF"/>
          <w:sz w:val="24"/>
          <w:szCs w:val="24"/>
          <w:u w:val="single"/>
          <w:shd w:val="clear" w:color="auto" w:fill="FFFFFF"/>
        </w:rPr>
        <w:t xml:space="preserve"> open therefore for a fresh trial to be brought against the person originally charged</w:t>
      </w:r>
      <w:r w:rsidRPr="00293205">
        <w:rPr>
          <w:rFonts w:ascii="Arial" w:hAnsi="Arial" w:cs="Arial"/>
          <w:i/>
          <w:iCs/>
          <w:color w:val="404040" w:themeColor="text1" w:themeTint="BF"/>
          <w:sz w:val="24"/>
          <w:szCs w:val="24"/>
          <w:shd w:val="clear" w:color="auto" w:fill="FFFFFF"/>
        </w:rPr>
        <w:t>."</w:t>
      </w:r>
      <w:r w:rsidR="0070047A" w:rsidRPr="00293205">
        <w:rPr>
          <w:rFonts w:ascii="Arial" w:hAnsi="Arial" w:cs="Arial"/>
          <w:color w:val="404040" w:themeColor="text1" w:themeTint="BF"/>
          <w:sz w:val="24"/>
          <w:szCs w:val="24"/>
          <w:shd w:val="clear" w:color="auto" w:fill="FFFFFF"/>
        </w:rPr>
        <w:t xml:space="preserve"> </w:t>
      </w:r>
      <w:r w:rsidR="0070047A" w:rsidRPr="00CA0D4F">
        <w:rPr>
          <w:rFonts w:ascii="Arial" w:hAnsi="Arial" w:cs="Arial"/>
          <w:sz w:val="24"/>
          <w:szCs w:val="24"/>
          <w:shd w:val="clear" w:color="auto" w:fill="FFFFFF"/>
        </w:rPr>
        <w:t>[Underlining my own]</w:t>
      </w:r>
    </w:p>
    <w:p w14:paraId="4BE54466" w14:textId="26715987" w:rsidR="00954A77" w:rsidRPr="004D3481" w:rsidRDefault="004D3481" w:rsidP="004D3481">
      <w:pPr>
        <w:spacing w:before="120" w:after="120" w:line="360" w:lineRule="auto"/>
        <w:ind w:left="283" w:hanging="35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54A77" w:rsidRPr="004D3481">
        <w:rPr>
          <w:rFonts w:ascii="Arial" w:hAnsi="Arial" w:cs="Arial"/>
          <w:sz w:val="24"/>
          <w:szCs w:val="24"/>
        </w:rPr>
        <w:t xml:space="preserve">On a very </w:t>
      </w:r>
      <w:r w:rsidR="00416F2E" w:rsidRPr="004D3481">
        <w:rPr>
          <w:rFonts w:ascii="Arial" w:hAnsi="Arial" w:cs="Arial"/>
          <w:sz w:val="24"/>
          <w:szCs w:val="24"/>
        </w:rPr>
        <w:t>basic</w:t>
      </w:r>
      <w:r w:rsidR="00954A77" w:rsidRPr="004D3481">
        <w:rPr>
          <w:rFonts w:ascii="Arial" w:hAnsi="Arial" w:cs="Arial"/>
          <w:sz w:val="24"/>
          <w:szCs w:val="24"/>
        </w:rPr>
        <w:t xml:space="preserve"> level,</w:t>
      </w:r>
      <w:r w:rsidR="00416F2E" w:rsidRPr="004D3481">
        <w:rPr>
          <w:rFonts w:ascii="Arial" w:hAnsi="Arial" w:cs="Arial"/>
          <w:sz w:val="24"/>
          <w:szCs w:val="24"/>
        </w:rPr>
        <w:t xml:space="preserve"> the problem with orders, such in </w:t>
      </w:r>
      <w:r w:rsidR="00416F2E" w:rsidRPr="004D3481">
        <w:rPr>
          <w:rFonts w:ascii="Arial" w:hAnsi="Arial" w:cs="Arial"/>
          <w:i/>
          <w:iCs/>
          <w:color w:val="404040" w:themeColor="text1" w:themeTint="BF"/>
          <w:sz w:val="24"/>
          <w:szCs w:val="24"/>
        </w:rPr>
        <w:t>Richter</w:t>
      </w:r>
      <w:r w:rsidR="00416F2E" w:rsidRPr="004D3481">
        <w:rPr>
          <w:rFonts w:ascii="Arial" w:hAnsi="Arial" w:cs="Arial"/>
          <w:color w:val="404040" w:themeColor="text1" w:themeTint="BF"/>
          <w:sz w:val="24"/>
          <w:szCs w:val="24"/>
        </w:rPr>
        <w:t>,</w:t>
      </w:r>
      <w:r w:rsidR="00416F2E" w:rsidRPr="004D3481">
        <w:rPr>
          <w:rFonts w:ascii="Arial" w:hAnsi="Arial" w:cs="Arial"/>
          <w:sz w:val="24"/>
          <w:szCs w:val="24"/>
        </w:rPr>
        <w:t xml:space="preserve"> is that</w:t>
      </w:r>
      <w:r w:rsidR="006C7AE9" w:rsidRPr="004D3481">
        <w:rPr>
          <w:rFonts w:ascii="Arial" w:hAnsi="Arial" w:cs="Arial"/>
          <w:sz w:val="24"/>
          <w:szCs w:val="24"/>
        </w:rPr>
        <w:t>,</w:t>
      </w:r>
      <w:r w:rsidR="00954A77" w:rsidRPr="004D3481">
        <w:rPr>
          <w:rFonts w:ascii="Arial" w:hAnsi="Arial" w:cs="Arial"/>
          <w:sz w:val="24"/>
          <w:szCs w:val="24"/>
        </w:rPr>
        <w:t xml:space="preserve"> </w:t>
      </w:r>
      <w:r w:rsidR="003334B4" w:rsidRPr="004D3481">
        <w:rPr>
          <w:rFonts w:ascii="Arial" w:hAnsi="Arial" w:cs="Arial"/>
          <w:sz w:val="24"/>
          <w:szCs w:val="24"/>
        </w:rPr>
        <w:t xml:space="preserve">once </w:t>
      </w:r>
      <w:r w:rsidR="00255886" w:rsidRPr="004D3481">
        <w:rPr>
          <w:rFonts w:ascii="Arial" w:hAnsi="Arial" w:cs="Arial"/>
          <w:sz w:val="24"/>
          <w:szCs w:val="24"/>
        </w:rPr>
        <w:t>something “vanishes”, no Court can order that it</w:t>
      </w:r>
      <w:r w:rsidR="00E13BFA" w:rsidRPr="004D3481">
        <w:rPr>
          <w:rFonts w:ascii="Arial" w:hAnsi="Arial" w:cs="Arial"/>
          <w:sz w:val="24"/>
          <w:szCs w:val="24"/>
        </w:rPr>
        <w:t xml:space="preserve"> to</w:t>
      </w:r>
      <w:r w:rsidR="00255886" w:rsidRPr="004D3481">
        <w:rPr>
          <w:rFonts w:ascii="Arial" w:hAnsi="Arial" w:cs="Arial"/>
          <w:sz w:val="24"/>
          <w:szCs w:val="24"/>
        </w:rPr>
        <w:t xml:space="preserve"> </w:t>
      </w:r>
      <w:r w:rsidR="00E13BFA" w:rsidRPr="004D3481">
        <w:rPr>
          <w:rFonts w:ascii="Arial" w:hAnsi="Arial" w:cs="Arial"/>
          <w:sz w:val="24"/>
          <w:szCs w:val="24"/>
        </w:rPr>
        <w:t>“</w:t>
      </w:r>
      <w:r w:rsidR="00255886" w:rsidRPr="004D3481">
        <w:rPr>
          <w:rFonts w:ascii="Arial" w:hAnsi="Arial" w:cs="Arial"/>
          <w:sz w:val="24"/>
          <w:szCs w:val="24"/>
        </w:rPr>
        <w:t>re-appear</w:t>
      </w:r>
      <w:r w:rsidR="00E13BFA" w:rsidRPr="004D3481">
        <w:rPr>
          <w:rFonts w:ascii="Arial" w:hAnsi="Arial" w:cs="Arial"/>
          <w:sz w:val="24"/>
          <w:szCs w:val="24"/>
        </w:rPr>
        <w:t>”</w:t>
      </w:r>
      <w:r w:rsidR="00CB5E80" w:rsidRPr="004D3481">
        <w:rPr>
          <w:rFonts w:ascii="Arial" w:hAnsi="Arial" w:cs="Arial"/>
          <w:sz w:val="24"/>
          <w:szCs w:val="24"/>
        </w:rPr>
        <w:t xml:space="preserve">. </w:t>
      </w:r>
      <w:r w:rsidR="00645208" w:rsidRPr="004D3481">
        <w:rPr>
          <w:rFonts w:ascii="Arial" w:hAnsi="Arial" w:cs="Arial"/>
          <w:sz w:val="24"/>
          <w:szCs w:val="24"/>
        </w:rPr>
        <w:t xml:space="preserve">If the proceedings are a nullity, they are such </w:t>
      </w:r>
      <w:r w:rsidR="00645208" w:rsidRPr="004D3481">
        <w:rPr>
          <w:rFonts w:ascii="Arial" w:hAnsi="Arial" w:cs="Arial"/>
          <w:i/>
          <w:iCs/>
          <w:sz w:val="24"/>
          <w:szCs w:val="24"/>
        </w:rPr>
        <w:t>ab initio</w:t>
      </w:r>
      <w:r w:rsidR="00645208" w:rsidRPr="004D3481">
        <w:rPr>
          <w:rFonts w:ascii="Arial" w:hAnsi="Arial" w:cs="Arial"/>
          <w:sz w:val="24"/>
          <w:szCs w:val="24"/>
        </w:rPr>
        <w:t xml:space="preserve">. </w:t>
      </w:r>
      <w:r w:rsidR="001B460F" w:rsidRPr="004D3481">
        <w:rPr>
          <w:rFonts w:ascii="Arial" w:hAnsi="Arial" w:cs="Arial"/>
          <w:sz w:val="24"/>
          <w:szCs w:val="24"/>
        </w:rPr>
        <w:t xml:space="preserve">The </w:t>
      </w:r>
      <w:r w:rsidR="002E56E8" w:rsidRPr="004D3481">
        <w:rPr>
          <w:rFonts w:ascii="Arial" w:hAnsi="Arial" w:cs="Arial"/>
          <w:sz w:val="24"/>
          <w:szCs w:val="24"/>
        </w:rPr>
        <w:t xml:space="preserve">nuances of the underlined finding in </w:t>
      </w:r>
      <w:proofErr w:type="spellStart"/>
      <w:r w:rsidR="002E56E8" w:rsidRPr="004D3481">
        <w:rPr>
          <w:rFonts w:ascii="Arial" w:hAnsi="Arial" w:cs="Arial"/>
          <w:i/>
          <w:iCs/>
          <w:color w:val="404040" w:themeColor="text1" w:themeTint="BF"/>
          <w:sz w:val="24"/>
          <w:szCs w:val="24"/>
        </w:rPr>
        <w:t>Mgubane</w:t>
      </w:r>
      <w:proofErr w:type="spellEnd"/>
      <w:r w:rsidR="002E56E8" w:rsidRPr="004D3481">
        <w:rPr>
          <w:rFonts w:ascii="Arial" w:hAnsi="Arial" w:cs="Arial"/>
          <w:i/>
          <w:iCs/>
          <w:sz w:val="24"/>
          <w:szCs w:val="24"/>
        </w:rPr>
        <w:t xml:space="preserve"> </w:t>
      </w:r>
      <w:r w:rsidR="002E56E8" w:rsidRPr="004D3481">
        <w:rPr>
          <w:rFonts w:ascii="Arial" w:hAnsi="Arial" w:cs="Arial"/>
          <w:sz w:val="24"/>
          <w:szCs w:val="24"/>
        </w:rPr>
        <w:t>(above)</w:t>
      </w:r>
      <w:r w:rsidR="004A407E" w:rsidRPr="004D3481">
        <w:rPr>
          <w:rFonts w:ascii="Arial" w:hAnsi="Arial" w:cs="Arial"/>
          <w:sz w:val="24"/>
          <w:szCs w:val="24"/>
        </w:rPr>
        <w:t xml:space="preserve"> become evident: </w:t>
      </w:r>
      <w:r w:rsidR="00416F2E" w:rsidRPr="004D3481">
        <w:rPr>
          <w:rFonts w:ascii="Arial" w:hAnsi="Arial" w:cs="Arial"/>
          <w:sz w:val="24"/>
          <w:szCs w:val="24"/>
        </w:rPr>
        <w:t xml:space="preserve"> </w:t>
      </w:r>
      <w:r w:rsidR="004A407E" w:rsidRPr="004D3481">
        <w:rPr>
          <w:rFonts w:ascii="Arial" w:hAnsi="Arial" w:cs="Arial"/>
          <w:sz w:val="24"/>
          <w:szCs w:val="24"/>
        </w:rPr>
        <w:t xml:space="preserve">once proceedings are deemed a nullity, the way is open for such proceedings to be </w:t>
      </w:r>
      <w:r w:rsidR="004A407E" w:rsidRPr="004D3481">
        <w:rPr>
          <w:rFonts w:ascii="Arial" w:hAnsi="Arial" w:cs="Arial"/>
          <w:i/>
          <w:iCs/>
          <w:sz w:val="24"/>
          <w:szCs w:val="24"/>
        </w:rPr>
        <w:t>brought</w:t>
      </w:r>
      <w:r w:rsidR="004A407E" w:rsidRPr="004D3481">
        <w:rPr>
          <w:rFonts w:ascii="Arial" w:hAnsi="Arial" w:cs="Arial"/>
          <w:sz w:val="24"/>
          <w:szCs w:val="24"/>
        </w:rPr>
        <w:t xml:space="preserve"> again</w:t>
      </w:r>
      <w:r w:rsidR="00917C7B" w:rsidRPr="004D3481">
        <w:rPr>
          <w:rFonts w:ascii="Arial" w:hAnsi="Arial" w:cs="Arial"/>
          <w:sz w:val="24"/>
          <w:szCs w:val="24"/>
        </w:rPr>
        <w:t xml:space="preserve">, not </w:t>
      </w:r>
      <w:r w:rsidR="00713385" w:rsidRPr="004D3481">
        <w:rPr>
          <w:rFonts w:ascii="Arial" w:hAnsi="Arial" w:cs="Arial"/>
          <w:sz w:val="24"/>
          <w:szCs w:val="24"/>
        </w:rPr>
        <w:t>simply continued with</w:t>
      </w:r>
      <w:r w:rsidR="004A407E" w:rsidRPr="004D3481">
        <w:rPr>
          <w:rFonts w:ascii="Arial" w:hAnsi="Arial" w:cs="Arial"/>
          <w:sz w:val="24"/>
          <w:szCs w:val="24"/>
        </w:rPr>
        <w:t>.</w:t>
      </w:r>
      <w:r w:rsidR="001E1AE9" w:rsidRPr="004D3481">
        <w:rPr>
          <w:rFonts w:ascii="Arial" w:hAnsi="Arial" w:cs="Arial"/>
          <w:sz w:val="24"/>
          <w:szCs w:val="24"/>
        </w:rPr>
        <w:t xml:space="preserve"> </w:t>
      </w:r>
    </w:p>
    <w:p w14:paraId="3AFE56B0" w14:textId="7EFA4BAA" w:rsidR="006E44CE"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E44CE" w:rsidRPr="004D3481">
        <w:rPr>
          <w:rFonts w:ascii="Arial" w:hAnsi="Arial" w:cs="Arial"/>
          <w:sz w:val="24"/>
          <w:szCs w:val="24"/>
        </w:rPr>
        <w:t xml:space="preserve">Historically, the Court in </w:t>
      </w:r>
      <w:r w:rsidR="006E44CE" w:rsidRPr="004D3481">
        <w:rPr>
          <w:rFonts w:ascii="Arial" w:hAnsi="Arial" w:cs="Arial"/>
          <w:i/>
          <w:iCs/>
          <w:color w:val="404040" w:themeColor="text1" w:themeTint="BF"/>
          <w:sz w:val="24"/>
          <w:szCs w:val="24"/>
        </w:rPr>
        <w:t>Richter</w:t>
      </w:r>
      <w:r w:rsidR="006E44CE" w:rsidRPr="004D3481">
        <w:rPr>
          <w:rFonts w:ascii="Arial" w:hAnsi="Arial" w:cs="Arial"/>
          <w:color w:val="404040" w:themeColor="text1" w:themeTint="BF"/>
          <w:sz w:val="24"/>
          <w:szCs w:val="24"/>
        </w:rPr>
        <w:t xml:space="preserve"> </w:t>
      </w:r>
      <w:r w:rsidR="006D4103" w:rsidRPr="004D3481">
        <w:rPr>
          <w:rFonts w:ascii="Arial" w:hAnsi="Arial" w:cs="Arial"/>
          <w:sz w:val="24"/>
          <w:szCs w:val="24"/>
        </w:rPr>
        <w:t>wa</w:t>
      </w:r>
      <w:r w:rsidR="006E44CE" w:rsidRPr="004D3481">
        <w:rPr>
          <w:rFonts w:ascii="Arial" w:hAnsi="Arial" w:cs="Arial"/>
          <w:sz w:val="24"/>
          <w:szCs w:val="24"/>
        </w:rPr>
        <w:t xml:space="preserve">s not alone in its interpretation that a High Court should be approached to order that proceedings start </w:t>
      </w:r>
      <w:r w:rsidR="006E44CE" w:rsidRPr="004D3481">
        <w:rPr>
          <w:rFonts w:ascii="Arial" w:hAnsi="Arial" w:cs="Arial"/>
          <w:i/>
          <w:iCs/>
          <w:color w:val="404040" w:themeColor="text1" w:themeTint="BF"/>
          <w:sz w:val="24"/>
          <w:szCs w:val="24"/>
        </w:rPr>
        <w:t>de novo</w:t>
      </w:r>
      <w:r w:rsidR="006E44CE" w:rsidRPr="004D3481">
        <w:rPr>
          <w:rFonts w:ascii="Arial" w:hAnsi="Arial" w:cs="Arial"/>
          <w:color w:val="404040" w:themeColor="text1" w:themeTint="BF"/>
          <w:sz w:val="24"/>
          <w:szCs w:val="24"/>
        </w:rPr>
        <w:t>.</w:t>
      </w:r>
    </w:p>
    <w:p w14:paraId="63A09766" w14:textId="193D8D06" w:rsidR="00E15241"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E44CE" w:rsidRPr="004D3481">
        <w:rPr>
          <w:rFonts w:ascii="Arial" w:hAnsi="Arial" w:cs="Arial"/>
          <w:sz w:val="24"/>
          <w:szCs w:val="24"/>
        </w:rPr>
        <w:t xml:space="preserve">However, </w:t>
      </w:r>
      <w:r w:rsidR="00953D72" w:rsidRPr="004D3481">
        <w:rPr>
          <w:rFonts w:ascii="Arial" w:hAnsi="Arial" w:cs="Arial"/>
          <w:sz w:val="24"/>
          <w:szCs w:val="24"/>
        </w:rPr>
        <w:t>in 2018, i</w:t>
      </w:r>
      <w:r w:rsidR="006C08CA" w:rsidRPr="004D3481">
        <w:rPr>
          <w:rFonts w:ascii="Arial" w:hAnsi="Arial" w:cs="Arial"/>
          <w:sz w:val="24"/>
          <w:szCs w:val="24"/>
        </w:rPr>
        <w:t>n</w:t>
      </w:r>
      <w:r w:rsidR="00541895" w:rsidRPr="004D3481">
        <w:rPr>
          <w:rFonts w:ascii="Arial" w:hAnsi="Arial" w:cs="Arial"/>
          <w:sz w:val="24"/>
          <w:szCs w:val="24"/>
        </w:rPr>
        <w:t xml:space="preserve"> </w:t>
      </w:r>
      <w:r w:rsidR="00541895" w:rsidRPr="004D3481">
        <w:rPr>
          <w:rFonts w:ascii="Arial" w:hAnsi="Arial" w:cs="Arial"/>
          <w:i/>
          <w:iCs/>
          <w:color w:val="404040" w:themeColor="text1" w:themeTint="BF"/>
          <w:sz w:val="24"/>
          <w:szCs w:val="24"/>
        </w:rPr>
        <w:t>Gumbi</w:t>
      </w:r>
      <w:r w:rsidR="00DF7B64" w:rsidRPr="004D3481">
        <w:rPr>
          <w:rFonts w:ascii="Arial" w:hAnsi="Arial" w:cs="Arial"/>
          <w:i/>
          <w:iCs/>
          <w:color w:val="404040" w:themeColor="text1" w:themeTint="BF"/>
          <w:sz w:val="24"/>
          <w:szCs w:val="24"/>
        </w:rPr>
        <w:t xml:space="preserve"> v the State (“Gumbi”)</w:t>
      </w:r>
      <w:r w:rsidR="00541895" w:rsidRPr="004D3481">
        <w:rPr>
          <w:rFonts w:ascii="Arial" w:hAnsi="Arial" w:cs="Arial"/>
          <w:i/>
          <w:iCs/>
          <w:sz w:val="24"/>
          <w:szCs w:val="24"/>
        </w:rPr>
        <w:t>,</w:t>
      </w:r>
      <w:r w:rsidR="00FC2B98">
        <w:rPr>
          <w:rStyle w:val="FootnoteReference"/>
          <w:rFonts w:ascii="Arial" w:hAnsi="Arial" w:cs="Arial"/>
          <w:i/>
          <w:iCs/>
          <w:sz w:val="24"/>
          <w:szCs w:val="24"/>
        </w:rPr>
        <w:footnoteReference w:id="13"/>
      </w:r>
      <w:r w:rsidR="00FC2B98" w:rsidRPr="004D3481">
        <w:rPr>
          <w:rFonts w:ascii="Arial" w:hAnsi="Arial" w:cs="Arial"/>
          <w:i/>
          <w:iCs/>
          <w:sz w:val="24"/>
          <w:szCs w:val="24"/>
        </w:rPr>
        <w:t xml:space="preserve"> </w:t>
      </w:r>
      <w:r w:rsidR="00B7079F" w:rsidRPr="004D3481">
        <w:rPr>
          <w:rFonts w:ascii="Arial" w:hAnsi="Arial" w:cs="Arial"/>
          <w:i/>
          <w:iCs/>
          <w:sz w:val="24"/>
          <w:szCs w:val="24"/>
        </w:rPr>
        <w:t xml:space="preserve"> </w:t>
      </w:r>
      <w:r w:rsidR="00A70444" w:rsidRPr="004D3481">
        <w:rPr>
          <w:rFonts w:ascii="Arial" w:hAnsi="Arial" w:cs="Arial"/>
          <w:sz w:val="24"/>
          <w:szCs w:val="24"/>
        </w:rPr>
        <w:t>the Supreme Court of Appeal</w:t>
      </w:r>
      <w:r w:rsidR="00953D72" w:rsidRPr="004D3481">
        <w:rPr>
          <w:rFonts w:ascii="Arial" w:hAnsi="Arial" w:cs="Arial"/>
          <w:sz w:val="24"/>
          <w:szCs w:val="24"/>
        </w:rPr>
        <w:t xml:space="preserve"> </w:t>
      </w:r>
      <w:r w:rsidR="003B258B" w:rsidRPr="004D3481">
        <w:rPr>
          <w:rFonts w:ascii="Arial" w:hAnsi="Arial" w:cs="Arial"/>
          <w:sz w:val="24"/>
          <w:szCs w:val="24"/>
        </w:rPr>
        <w:t>set the record straight. On appeal, it</w:t>
      </w:r>
      <w:r w:rsidR="00A81BBB" w:rsidRPr="004D3481">
        <w:rPr>
          <w:rFonts w:ascii="Arial" w:hAnsi="Arial" w:cs="Arial"/>
          <w:sz w:val="24"/>
          <w:szCs w:val="24"/>
        </w:rPr>
        <w:t xml:space="preserve"> was </w:t>
      </w:r>
      <w:r w:rsidR="00A40B39" w:rsidRPr="004D3481">
        <w:rPr>
          <w:rFonts w:ascii="Arial" w:hAnsi="Arial" w:cs="Arial"/>
          <w:sz w:val="24"/>
          <w:szCs w:val="24"/>
        </w:rPr>
        <w:t xml:space="preserve">asked to set aside the conviction of </w:t>
      </w:r>
      <w:r w:rsidR="00B80EE1" w:rsidRPr="004D3481">
        <w:rPr>
          <w:rFonts w:ascii="Arial" w:hAnsi="Arial" w:cs="Arial"/>
          <w:sz w:val="24"/>
          <w:szCs w:val="24"/>
        </w:rPr>
        <w:t>the accused based on irregularity in proceedings before the High Court.</w:t>
      </w:r>
      <w:r w:rsidR="000575D7" w:rsidRPr="004D3481">
        <w:rPr>
          <w:rFonts w:ascii="Arial" w:hAnsi="Arial" w:cs="Arial"/>
          <w:sz w:val="24"/>
          <w:szCs w:val="24"/>
        </w:rPr>
        <w:t xml:space="preserve"> In the High Court,</w:t>
      </w:r>
      <w:r w:rsidR="00B80EE1" w:rsidRPr="004D3481">
        <w:rPr>
          <w:rFonts w:ascii="Arial" w:hAnsi="Arial" w:cs="Arial"/>
          <w:sz w:val="24"/>
          <w:szCs w:val="24"/>
        </w:rPr>
        <w:t xml:space="preserve"> </w:t>
      </w:r>
      <w:r w:rsidR="000575D7" w:rsidRPr="004D3481">
        <w:rPr>
          <w:rFonts w:ascii="Arial" w:hAnsi="Arial" w:cs="Arial"/>
          <w:sz w:val="24"/>
          <w:szCs w:val="24"/>
        </w:rPr>
        <w:t>t</w:t>
      </w:r>
      <w:r w:rsidR="0060384E" w:rsidRPr="004D3481">
        <w:rPr>
          <w:rFonts w:ascii="Arial" w:hAnsi="Arial" w:cs="Arial"/>
          <w:sz w:val="24"/>
          <w:szCs w:val="24"/>
        </w:rPr>
        <w:t xml:space="preserve">he trial </w:t>
      </w:r>
      <w:r w:rsidR="00DB0422" w:rsidRPr="004D3481">
        <w:rPr>
          <w:rFonts w:ascii="Arial" w:hAnsi="Arial" w:cs="Arial"/>
          <w:sz w:val="24"/>
          <w:szCs w:val="24"/>
        </w:rPr>
        <w:t>had commenced before a Judge, who</w:t>
      </w:r>
      <w:r w:rsidR="008E3FE4" w:rsidRPr="004D3481">
        <w:rPr>
          <w:rFonts w:ascii="Arial" w:hAnsi="Arial" w:cs="Arial"/>
          <w:sz w:val="24"/>
          <w:szCs w:val="24"/>
        </w:rPr>
        <w:t>, aft</w:t>
      </w:r>
      <w:r w:rsidR="00E21A1D" w:rsidRPr="004D3481">
        <w:rPr>
          <w:rFonts w:ascii="Arial" w:hAnsi="Arial" w:cs="Arial"/>
          <w:sz w:val="24"/>
          <w:szCs w:val="24"/>
        </w:rPr>
        <w:t xml:space="preserve">er </w:t>
      </w:r>
      <w:r w:rsidR="00F716B1" w:rsidRPr="004D3481">
        <w:rPr>
          <w:rFonts w:ascii="Arial" w:hAnsi="Arial" w:cs="Arial"/>
          <w:sz w:val="24"/>
          <w:szCs w:val="24"/>
        </w:rPr>
        <w:t>hearing the evidence and reserving his verdict</w:t>
      </w:r>
      <w:r w:rsidR="008E3FE4" w:rsidRPr="004D3481">
        <w:rPr>
          <w:rFonts w:ascii="Arial" w:hAnsi="Arial" w:cs="Arial"/>
          <w:sz w:val="24"/>
          <w:szCs w:val="24"/>
        </w:rPr>
        <w:t xml:space="preserve">, but before </w:t>
      </w:r>
      <w:r w:rsidR="00F716B1" w:rsidRPr="004D3481">
        <w:rPr>
          <w:rFonts w:ascii="Arial" w:hAnsi="Arial" w:cs="Arial"/>
          <w:sz w:val="24"/>
          <w:szCs w:val="24"/>
        </w:rPr>
        <w:t>delivering</w:t>
      </w:r>
      <w:r w:rsidR="00BA5F4B" w:rsidRPr="004D3481">
        <w:rPr>
          <w:rFonts w:ascii="Arial" w:hAnsi="Arial" w:cs="Arial"/>
          <w:sz w:val="24"/>
          <w:szCs w:val="24"/>
        </w:rPr>
        <w:t xml:space="preserve"> it</w:t>
      </w:r>
      <w:r w:rsidR="008E3FE4" w:rsidRPr="004D3481">
        <w:rPr>
          <w:rFonts w:ascii="Arial" w:hAnsi="Arial" w:cs="Arial"/>
          <w:sz w:val="24"/>
          <w:szCs w:val="24"/>
        </w:rPr>
        <w:t xml:space="preserve">, became incapacitated and unavailable in the absolute sense. </w:t>
      </w:r>
      <w:r w:rsidR="00DD590D" w:rsidRPr="004D3481">
        <w:rPr>
          <w:rFonts w:ascii="Arial" w:hAnsi="Arial" w:cs="Arial"/>
          <w:sz w:val="24"/>
          <w:szCs w:val="24"/>
        </w:rPr>
        <w:t xml:space="preserve">Following a </w:t>
      </w:r>
      <w:r w:rsidR="003D0CA0" w:rsidRPr="004D3481">
        <w:rPr>
          <w:rFonts w:ascii="Arial" w:hAnsi="Arial" w:cs="Arial"/>
          <w:sz w:val="24"/>
          <w:szCs w:val="24"/>
        </w:rPr>
        <w:lastRenderedPageBreak/>
        <w:t>“</w:t>
      </w:r>
      <w:r w:rsidR="00DD590D" w:rsidRPr="004D3481">
        <w:rPr>
          <w:rFonts w:ascii="Arial" w:hAnsi="Arial" w:cs="Arial"/>
          <w:sz w:val="24"/>
          <w:szCs w:val="24"/>
        </w:rPr>
        <w:t>special review</w:t>
      </w:r>
      <w:r w:rsidR="003D0CA0" w:rsidRPr="004D3481">
        <w:rPr>
          <w:rFonts w:ascii="Arial" w:hAnsi="Arial" w:cs="Arial"/>
          <w:sz w:val="24"/>
          <w:szCs w:val="24"/>
        </w:rPr>
        <w:t>”</w:t>
      </w:r>
      <w:r w:rsidR="00DD590D" w:rsidRPr="004D3481">
        <w:rPr>
          <w:rFonts w:ascii="Arial" w:hAnsi="Arial" w:cs="Arial"/>
          <w:sz w:val="24"/>
          <w:szCs w:val="24"/>
        </w:rPr>
        <w:t xml:space="preserve"> ruling,</w:t>
      </w:r>
      <w:r w:rsidR="003D0CA0" w:rsidRPr="004D3481">
        <w:rPr>
          <w:rFonts w:ascii="Arial" w:hAnsi="Arial" w:cs="Arial"/>
          <w:sz w:val="24"/>
          <w:szCs w:val="24"/>
        </w:rPr>
        <w:t xml:space="preserve"> the matter proceeded before </w:t>
      </w:r>
      <w:r w:rsidR="00F41A3D" w:rsidRPr="004D3481">
        <w:rPr>
          <w:rFonts w:ascii="Arial" w:hAnsi="Arial" w:cs="Arial"/>
          <w:sz w:val="24"/>
          <w:szCs w:val="24"/>
        </w:rPr>
        <w:t>a</w:t>
      </w:r>
      <w:r w:rsidR="00A046CF" w:rsidRPr="004D3481">
        <w:rPr>
          <w:rFonts w:ascii="Arial" w:hAnsi="Arial" w:cs="Arial"/>
          <w:sz w:val="24"/>
          <w:szCs w:val="24"/>
        </w:rPr>
        <w:t xml:space="preserve"> second</w:t>
      </w:r>
      <w:r w:rsidR="00F41A3D" w:rsidRPr="004D3481">
        <w:rPr>
          <w:rFonts w:ascii="Arial" w:hAnsi="Arial" w:cs="Arial"/>
          <w:sz w:val="24"/>
          <w:szCs w:val="24"/>
        </w:rPr>
        <w:t xml:space="preserve"> Judge, who, by agreement</w:t>
      </w:r>
      <w:r w:rsidR="00BE4379" w:rsidRPr="004D3481">
        <w:rPr>
          <w:rFonts w:ascii="Arial" w:hAnsi="Arial" w:cs="Arial"/>
          <w:sz w:val="24"/>
          <w:szCs w:val="24"/>
        </w:rPr>
        <w:t xml:space="preserve"> </w:t>
      </w:r>
      <w:r w:rsidR="00CF34AA" w:rsidRPr="004D3481">
        <w:rPr>
          <w:rFonts w:ascii="Arial" w:hAnsi="Arial" w:cs="Arial"/>
          <w:sz w:val="24"/>
          <w:szCs w:val="24"/>
        </w:rPr>
        <w:t xml:space="preserve">between the state and defence, </w:t>
      </w:r>
      <w:r w:rsidR="00BE4379" w:rsidRPr="004D3481">
        <w:rPr>
          <w:rFonts w:ascii="Arial" w:hAnsi="Arial" w:cs="Arial"/>
          <w:sz w:val="24"/>
          <w:szCs w:val="24"/>
        </w:rPr>
        <w:t xml:space="preserve">and relying on Sections </w:t>
      </w:r>
      <w:r w:rsidR="00937B41" w:rsidRPr="004D3481">
        <w:rPr>
          <w:rFonts w:ascii="Arial" w:hAnsi="Arial" w:cs="Arial"/>
          <w:sz w:val="24"/>
          <w:szCs w:val="24"/>
        </w:rPr>
        <w:t>214 and 215 of the CPA</w:t>
      </w:r>
      <w:r w:rsidR="00F41A3D" w:rsidRPr="004D3481">
        <w:rPr>
          <w:rFonts w:ascii="Arial" w:hAnsi="Arial" w:cs="Arial"/>
          <w:sz w:val="24"/>
          <w:szCs w:val="24"/>
        </w:rPr>
        <w:t xml:space="preserve">, accepted into evidence the record </w:t>
      </w:r>
      <w:r w:rsidR="00A8124B" w:rsidRPr="004D3481">
        <w:rPr>
          <w:rFonts w:ascii="Arial" w:hAnsi="Arial" w:cs="Arial"/>
          <w:sz w:val="24"/>
          <w:szCs w:val="24"/>
        </w:rPr>
        <w:t>of the proceedings</w:t>
      </w:r>
      <w:r w:rsidR="00BA5F4B" w:rsidRPr="004D3481">
        <w:rPr>
          <w:rFonts w:ascii="Arial" w:hAnsi="Arial" w:cs="Arial"/>
          <w:sz w:val="24"/>
          <w:szCs w:val="24"/>
        </w:rPr>
        <w:t xml:space="preserve"> before the incapacitated Judge</w:t>
      </w:r>
      <w:r w:rsidR="00A8124B" w:rsidRPr="004D3481">
        <w:rPr>
          <w:rFonts w:ascii="Arial" w:hAnsi="Arial" w:cs="Arial"/>
          <w:sz w:val="24"/>
          <w:szCs w:val="24"/>
        </w:rPr>
        <w:t>. The</w:t>
      </w:r>
      <w:r w:rsidR="00B7079F" w:rsidRPr="004D3481">
        <w:rPr>
          <w:rFonts w:ascii="Arial" w:hAnsi="Arial" w:cs="Arial"/>
          <w:sz w:val="24"/>
          <w:szCs w:val="24"/>
        </w:rPr>
        <w:t xml:space="preserve"> second</w:t>
      </w:r>
      <w:r w:rsidR="00A8124B" w:rsidRPr="004D3481">
        <w:rPr>
          <w:rFonts w:ascii="Arial" w:hAnsi="Arial" w:cs="Arial"/>
          <w:sz w:val="24"/>
          <w:szCs w:val="24"/>
        </w:rPr>
        <w:t xml:space="preserve"> Judge, on the strength of th</w:t>
      </w:r>
      <w:r w:rsidR="00961B19" w:rsidRPr="004D3481">
        <w:rPr>
          <w:rFonts w:ascii="Arial" w:hAnsi="Arial" w:cs="Arial"/>
          <w:sz w:val="24"/>
          <w:szCs w:val="24"/>
        </w:rPr>
        <w:t xml:space="preserve">e </w:t>
      </w:r>
      <w:r w:rsidR="00A8124B" w:rsidRPr="004D3481">
        <w:rPr>
          <w:rFonts w:ascii="Arial" w:hAnsi="Arial" w:cs="Arial"/>
          <w:sz w:val="24"/>
          <w:szCs w:val="24"/>
        </w:rPr>
        <w:t>evidence</w:t>
      </w:r>
      <w:r w:rsidR="00961B19" w:rsidRPr="004D3481">
        <w:rPr>
          <w:rFonts w:ascii="Arial" w:hAnsi="Arial" w:cs="Arial"/>
          <w:sz w:val="24"/>
          <w:szCs w:val="24"/>
        </w:rPr>
        <w:t xml:space="preserve"> as per the record</w:t>
      </w:r>
      <w:r w:rsidR="00355AE6" w:rsidRPr="004D3481">
        <w:rPr>
          <w:rFonts w:ascii="Arial" w:hAnsi="Arial" w:cs="Arial"/>
          <w:sz w:val="24"/>
          <w:szCs w:val="24"/>
        </w:rPr>
        <w:t>,</w:t>
      </w:r>
      <w:r w:rsidR="00A8124B" w:rsidRPr="004D3481">
        <w:rPr>
          <w:rFonts w:ascii="Arial" w:hAnsi="Arial" w:cs="Arial"/>
          <w:sz w:val="24"/>
          <w:szCs w:val="24"/>
        </w:rPr>
        <w:t xml:space="preserve"> proceeded to </w:t>
      </w:r>
      <w:r w:rsidR="00E21A1D" w:rsidRPr="004D3481">
        <w:rPr>
          <w:rFonts w:ascii="Arial" w:hAnsi="Arial" w:cs="Arial"/>
          <w:sz w:val="24"/>
          <w:szCs w:val="24"/>
        </w:rPr>
        <w:t>convict the accused.</w:t>
      </w:r>
      <w:r w:rsidR="0021563B" w:rsidRPr="004D3481">
        <w:rPr>
          <w:rFonts w:ascii="Arial" w:hAnsi="Arial" w:cs="Arial"/>
          <w:sz w:val="24"/>
          <w:szCs w:val="24"/>
        </w:rPr>
        <w:t xml:space="preserve"> </w:t>
      </w:r>
      <w:r w:rsidR="00DE41F6" w:rsidRPr="004D3481">
        <w:rPr>
          <w:rFonts w:ascii="Arial" w:hAnsi="Arial" w:cs="Arial"/>
          <w:sz w:val="24"/>
          <w:szCs w:val="24"/>
        </w:rPr>
        <w:t>Whilst t</w:t>
      </w:r>
      <w:r w:rsidR="0021563B" w:rsidRPr="004D3481">
        <w:rPr>
          <w:rFonts w:ascii="Arial" w:hAnsi="Arial" w:cs="Arial"/>
          <w:sz w:val="24"/>
          <w:szCs w:val="24"/>
        </w:rPr>
        <w:t xml:space="preserve">he accused’s appeal </w:t>
      </w:r>
      <w:r w:rsidR="00286E83" w:rsidRPr="004D3481">
        <w:rPr>
          <w:rFonts w:ascii="Arial" w:hAnsi="Arial" w:cs="Arial"/>
          <w:sz w:val="24"/>
          <w:szCs w:val="24"/>
        </w:rPr>
        <w:t xml:space="preserve">placed great focus on the use of these sections, </w:t>
      </w:r>
      <w:r w:rsidR="00FC4941" w:rsidRPr="004D3481">
        <w:rPr>
          <w:rFonts w:ascii="Arial" w:hAnsi="Arial" w:cs="Arial"/>
          <w:sz w:val="24"/>
          <w:szCs w:val="24"/>
        </w:rPr>
        <w:t>Ponnan JA,</w:t>
      </w:r>
      <w:r w:rsidR="00541895" w:rsidRPr="004D3481">
        <w:rPr>
          <w:rFonts w:ascii="Arial" w:hAnsi="Arial" w:cs="Arial"/>
          <w:i/>
          <w:iCs/>
          <w:sz w:val="24"/>
          <w:szCs w:val="24"/>
        </w:rPr>
        <w:t xml:space="preserve"> </w:t>
      </w:r>
      <w:r w:rsidR="005929A3" w:rsidRPr="004D3481">
        <w:rPr>
          <w:rFonts w:ascii="Arial" w:hAnsi="Arial" w:cs="Arial"/>
          <w:sz w:val="24"/>
          <w:szCs w:val="24"/>
        </w:rPr>
        <w:t xml:space="preserve">pointed </w:t>
      </w:r>
      <w:r w:rsidR="004958D3" w:rsidRPr="004D3481">
        <w:rPr>
          <w:rFonts w:ascii="Arial" w:hAnsi="Arial" w:cs="Arial"/>
          <w:sz w:val="24"/>
          <w:szCs w:val="24"/>
        </w:rPr>
        <w:t xml:space="preserve">to a much more fundamental problem with the approach followed in the </w:t>
      </w:r>
      <w:r w:rsidR="00A11495" w:rsidRPr="004D3481">
        <w:rPr>
          <w:rFonts w:ascii="Arial" w:hAnsi="Arial" w:cs="Arial"/>
          <w:sz w:val="24"/>
          <w:szCs w:val="24"/>
        </w:rPr>
        <w:t>High Court</w:t>
      </w:r>
      <w:r w:rsidR="004958D3" w:rsidRPr="004D3481">
        <w:rPr>
          <w:rFonts w:ascii="Arial" w:hAnsi="Arial" w:cs="Arial"/>
          <w:sz w:val="24"/>
          <w:szCs w:val="24"/>
        </w:rPr>
        <w:t>:</w:t>
      </w:r>
    </w:p>
    <w:p w14:paraId="0E11FCCD" w14:textId="1E48A91A" w:rsidR="00AD383B" w:rsidRPr="00DD7C7E" w:rsidRDefault="00E15241" w:rsidP="00DD7C7E">
      <w:pPr>
        <w:pStyle w:val="ListParagraph"/>
        <w:spacing w:after="120" w:line="360" w:lineRule="auto"/>
        <w:ind w:left="284"/>
        <w:contextualSpacing w:val="0"/>
        <w:jc w:val="both"/>
        <w:rPr>
          <w:rFonts w:ascii="Arial" w:hAnsi="Arial" w:cs="Arial"/>
          <w:sz w:val="24"/>
          <w:szCs w:val="24"/>
        </w:rPr>
      </w:pPr>
      <w:proofErr w:type="gramStart"/>
      <w:r w:rsidRPr="00293205">
        <w:rPr>
          <w:rFonts w:ascii="Arial" w:hAnsi="Arial" w:cs="Arial"/>
          <w:color w:val="404040" w:themeColor="text1" w:themeTint="BF"/>
          <w:sz w:val="24"/>
          <w:szCs w:val="24"/>
        </w:rPr>
        <w:t>“</w:t>
      </w:r>
      <w:r w:rsidR="006F15B7" w:rsidRPr="00293205">
        <w:rPr>
          <w:rFonts w:ascii="Arial" w:hAnsi="Arial" w:cs="Arial"/>
          <w:color w:val="404040" w:themeColor="text1" w:themeTint="BF"/>
          <w:sz w:val="24"/>
          <w:szCs w:val="24"/>
        </w:rPr>
        <w:t xml:space="preserve"> </w:t>
      </w:r>
      <w:r w:rsidR="006F15B7" w:rsidRPr="00293205">
        <w:rPr>
          <w:rFonts w:ascii="Arial" w:hAnsi="Arial" w:cs="Arial"/>
          <w:i/>
          <w:iCs/>
          <w:color w:val="404040" w:themeColor="text1" w:themeTint="BF"/>
          <w:sz w:val="24"/>
          <w:szCs w:val="24"/>
        </w:rPr>
        <w:t>[</w:t>
      </w:r>
      <w:proofErr w:type="gramEnd"/>
      <w:r w:rsidR="006F15B7" w:rsidRPr="00293205">
        <w:rPr>
          <w:rFonts w:ascii="Arial" w:hAnsi="Arial" w:cs="Arial"/>
          <w:i/>
          <w:iCs/>
          <w:color w:val="404040" w:themeColor="text1" w:themeTint="BF"/>
          <w:sz w:val="24"/>
          <w:szCs w:val="24"/>
        </w:rPr>
        <w:t>9] Section 215 of the Act requires that the trial be of the same person upon the same charge. Logically therefore the section can only find application to a situation where the prior proceedings amount to a nullity and, in consequence, new proceedings are instituted. In that regard, it is important to distinguish between criminal proceedings and the trial as such, which is only a part of the entire criminal proceedings</w:t>
      </w:r>
      <w:r w:rsidR="006F15B7" w:rsidRPr="00293205">
        <w:rPr>
          <w:rFonts w:ascii="Arial" w:hAnsi="Arial" w:cs="Arial"/>
          <w:i/>
          <w:iCs/>
          <w:color w:val="404040" w:themeColor="text1" w:themeTint="BF"/>
          <w:sz w:val="24"/>
          <w:szCs w:val="24"/>
          <w:u w:val="single"/>
        </w:rPr>
        <w:t xml:space="preserve">. It </w:t>
      </w:r>
      <w:proofErr w:type="gramStart"/>
      <w:r w:rsidR="006F15B7" w:rsidRPr="00293205">
        <w:rPr>
          <w:rFonts w:ascii="Arial" w:hAnsi="Arial" w:cs="Arial"/>
          <w:i/>
          <w:iCs/>
          <w:color w:val="404040" w:themeColor="text1" w:themeTint="BF"/>
          <w:sz w:val="24"/>
          <w:szCs w:val="24"/>
          <w:u w:val="single"/>
        </w:rPr>
        <w:t>having</w:t>
      </w:r>
      <w:proofErr w:type="gramEnd"/>
      <w:r w:rsidR="006F15B7" w:rsidRPr="00293205">
        <w:rPr>
          <w:rFonts w:ascii="Arial" w:hAnsi="Arial" w:cs="Arial"/>
          <w:i/>
          <w:iCs/>
          <w:color w:val="404040" w:themeColor="text1" w:themeTint="BF"/>
          <w:sz w:val="24"/>
          <w:szCs w:val="24"/>
          <w:u w:val="single"/>
        </w:rPr>
        <w:t xml:space="preserve"> been accepted that the matter had to commence de novo, it was for the prosecution to decide whether proceedings should be instituted in respect of the same offences on the original indictment, amended if necessary, or upon any other charge</w:t>
      </w:r>
      <w:r w:rsidR="006F15B7" w:rsidRPr="00293205">
        <w:rPr>
          <w:rFonts w:ascii="Arial" w:hAnsi="Arial" w:cs="Arial"/>
          <w:color w:val="404040" w:themeColor="text1" w:themeTint="BF"/>
          <w:sz w:val="24"/>
          <w:szCs w:val="24"/>
        </w:rPr>
        <w:t>.</w:t>
      </w:r>
      <w:r w:rsidRPr="00293205">
        <w:rPr>
          <w:rFonts w:ascii="Arial" w:hAnsi="Arial" w:cs="Arial"/>
          <w:color w:val="404040" w:themeColor="text1" w:themeTint="BF"/>
          <w:sz w:val="24"/>
          <w:szCs w:val="24"/>
        </w:rPr>
        <w:t>”</w:t>
      </w:r>
      <w:r w:rsidR="00FC4941" w:rsidRPr="00293205">
        <w:rPr>
          <w:rFonts w:ascii="Arial" w:hAnsi="Arial" w:cs="Arial"/>
          <w:color w:val="404040" w:themeColor="text1" w:themeTint="BF"/>
          <w:sz w:val="24"/>
          <w:szCs w:val="24"/>
        </w:rPr>
        <w:t xml:space="preserve"> </w:t>
      </w:r>
      <w:r w:rsidR="000A5CC3">
        <w:rPr>
          <w:rFonts w:ascii="Arial" w:hAnsi="Arial" w:cs="Arial"/>
          <w:sz w:val="24"/>
          <w:szCs w:val="24"/>
        </w:rPr>
        <w:t>[Underlining my own]</w:t>
      </w:r>
    </w:p>
    <w:p w14:paraId="367B5F68" w14:textId="7C7FF0C8" w:rsidR="00FE1613" w:rsidRPr="004D3481" w:rsidRDefault="004D3481" w:rsidP="004D3481">
      <w:pPr>
        <w:spacing w:after="120" w:line="360" w:lineRule="auto"/>
        <w:ind w:left="284" w:hanging="360"/>
        <w:jc w:val="both"/>
        <w:rPr>
          <w:rFonts w:ascii="Arial" w:hAnsi="Arial" w:cs="Arial"/>
          <w:color w:val="404040" w:themeColor="text1" w:themeTint="BF"/>
          <w:sz w:val="24"/>
          <w:szCs w:val="24"/>
        </w:rPr>
      </w:pPr>
      <w:r w:rsidRPr="00293205">
        <w:rPr>
          <w:rFonts w:ascii="Arial" w:hAnsi="Arial" w:cs="Arial"/>
          <w:color w:val="404040" w:themeColor="text1" w:themeTint="BF"/>
          <w:sz w:val="24"/>
          <w:szCs w:val="24"/>
        </w:rPr>
        <w:t>20.</w:t>
      </w:r>
      <w:r w:rsidRPr="00293205">
        <w:rPr>
          <w:rFonts w:ascii="Arial" w:hAnsi="Arial" w:cs="Arial"/>
          <w:color w:val="404040" w:themeColor="text1" w:themeTint="BF"/>
          <w:sz w:val="24"/>
          <w:szCs w:val="24"/>
        </w:rPr>
        <w:tab/>
      </w:r>
      <w:r w:rsidR="00873E73" w:rsidRPr="004D3481">
        <w:rPr>
          <w:rFonts w:ascii="Arial" w:hAnsi="Arial" w:cs="Arial"/>
          <w:sz w:val="24"/>
          <w:szCs w:val="24"/>
        </w:rPr>
        <w:t xml:space="preserve">After the pronouncements in </w:t>
      </w:r>
      <w:r w:rsidR="00873E73" w:rsidRPr="004D3481">
        <w:rPr>
          <w:rFonts w:ascii="Arial" w:hAnsi="Arial" w:cs="Arial"/>
          <w:i/>
          <w:iCs/>
          <w:color w:val="404040" w:themeColor="text1" w:themeTint="BF"/>
          <w:sz w:val="24"/>
          <w:szCs w:val="24"/>
        </w:rPr>
        <w:t>Gumbi</w:t>
      </w:r>
      <w:r w:rsidR="00873E73" w:rsidRPr="004D3481">
        <w:rPr>
          <w:rFonts w:ascii="Arial" w:hAnsi="Arial" w:cs="Arial"/>
          <w:i/>
          <w:iCs/>
          <w:sz w:val="24"/>
          <w:szCs w:val="24"/>
        </w:rPr>
        <w:t xml:space="preserve">, </w:t>
      </w:r>
      <w:r w:rsidR="000D0328" w:rsidRPr="004D3481">
        <w:rPr>
          <w:rFonts w:ascii="Arial" w:hAnsi="Arial" w:cs="Arial"/>
          <w:sz w:val="24"/>
          <w:szCs w:val="24"/>
        </w:rPr>
        <w:t xml:space="preserve">orders from the High Court in these types of matters </w:t>
      </w:r>
      <w:r w:rsidR="0014150C" w:rsidRPr="004D3481">
        <w:rPr>
          <w:rFonts w:ascii="Arial" w:hAnsi="Arial" w:cs="Arial"/>
          <w:sz w:val="24"/>
          <w:szCs w:val="24"/>
        </w:rPr>
        <w:t xml:space="preserve">began to </w:t>
      </w:r>
      <w:r w:rsidR="000D0328" w:rsidRPr="004D3481">
        <w:rPr>
          <w:rFonts w:ascii="Arial" w:hAnsi="Arial" w:cs="Arial"/>
          <w:sz w:val="24"/>
          <w:szCs w:val="24"/>
        </w:rPr>
        <w:t xml:space="preserve">read along the lines of: </w:t>
      </w:r>
      <w:r w:rsidR="00283CFC" w:rsidRPr="004D3481">
        <w:rPr>
          <w:rFonts w:ascii="Arial" w:hAnsi="Arial" w:cs="Arial"/>
          <w:i/>
          <w:iCs/>
          <w:color w:val="404040" w:themeColor="text1" w:themeTint="BF"/>
          <w:sz w:val="24"/>
          <w:szCs w:val="24"/>
        </w:rPr>
        <w:t>“</w:t>
      </w:r>
      <w:r w:rsidR="00186114" w:rsidRPr="004D3481">
        <w:rPr>
          <w:rFonts w:ascii="Arial" w:hAnsi="Arial" w:cs="Arial"/>
          <w:i/>
          <w:iCs/>
          <w:color w:val="404040" w:themeColor="text1" w:themeTint="BF"/>
          <w:sz w:val="24"/>
          <w:szCs w:val="24"/>
        </w:rPr>
        <w:t>The proceedings are to commence de novo before a different Magistrate should the Prosecuting Authority so determine</w:t>
      </w:r>
      <w:r w:rsidR="00186114" w:rsidRPr="004D3481">
        <w:rPr>
          <w:rFonts w:ascii="Arial" w:hAnsi="Arial" w:cs="Arial"/>
          <w:color w:val="404040" w:themeColor="text1" w:themeTint="BF"/>
          <w:sz w:val="24"/>
          <w:szCs w:val="24"/>
        </w:rPr>
        <w:t>.</w:t>
      </w:r>
      <w:r w:rsidR="00283CFC" w:rsidRPr="004D3481">
        <w:rPr>
          <w:rFonts w:ascii="Arial" w:hAnsi="Arial" w:cs="Arial"/>
          <w:color w:val="404040" w:themeColor="text1" w:themeTint="BF"/>
          <w:sz w:val="24"/>
          <w:szCs w:val="24"/>
        </w:rPr>
        <w:t>”</w:t>
      </w:r>
      <w:r w:rsidR="006372C5" w:rsidRPr="004D3481">
        <w:rPr>
          <w:color w:val="404040" w:themeColor="text1" w:themeTint="BF"/>
        </w:rPr>
        <w:t xml:space="preserve"> </w:t>
      </w:r>
      <w:r w:rsidR="00283CFC" w:rsidRPr="00293205">
        <w:rPr>
          <w:rStyle w:val="FootnoteReference"/>
          <w:color w:val="404040" w:themeColor="text1" w:themeTint="BF"/>
        </w:rPr>
        <w:footnoteReference w:id="14"/>
      </w:r>
      <w:r w:rsidR="00A33177" w:rsidRPr="004D3481">
        <w:rPr>
          <w:color w:val="404040" w:themeColor="text1" w:themeTint="BF"/>
        </w:rPr>
        <w:t xml:space="preserve"> </w:t>
      </w:r>
    </w:p>
    <w:p w14:paraId="10C95063" w14:textId="3E13674B" w:rsidR="007152BC"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E3B26" w:rsidRPr="004D3481">
        <w:rPr>
          <w:rFonts w:ascii="Arial" w:hAnsi="Arial" w:cs="Arial"/>
          <w:sz w:val="24"/>
          <w:szCs w:val="24"/>
        </w:rPr>
        <w:t>However, u</w:t>
      </w:r>
      <w:r w:rsidR="00AB067C" w:rsidRPr="004D3481">
        <w:rPr>
          <w:rFonts w:ascii="Arial" w:hAnsi="Arial" w:cs="Arial"/>
          <w:sz w:val="24"/>
          <w:szCs w:val="24"/>
        </w:rPr>
        <w:t xml:space="preserve">pon closer conspectus, </w:t>
      </w:r>
      <w:proofErr w:type="gramStart"/>
      <w:r w:rsidR="00AB067C" w:rsidRPr="004D3481">
        <w:rPr>
          <w:rFonts w:ascii="Arial" w:hAnsi="Arial" w:cs="Arial"/>
          <w:sz w:val="24"/>
          <w:szCs w:val="24"/>
        </w:rPr>
        <w:t xml:space="preserve">it is clear that </w:t>
      </w:r>
      <w:r w:rsidR="001C179C" w:rsidRPr="004D3481">
        <w:rPr>
          <w:rFonts w:ascii="Arial" w:hAnsi="Arial" w:cs="Arial"/>
          <w:sz w:val="24"/>
          <w:szCs w:val="24"/>
        </w:rPr>
        <w:t>these</w:t>
      </w:r>
      <w:proofErr w:type="gramEnd"/>
      <w:r w:rsidR="001C179C" w:rsidRPr="004D3481">
        <w:rPr>
          <w:rFonts w:ascii="Arial" w:hAnsi="Arial" w:cs="Arial"/>
          <w:sz w:val="24"/>
          <w:szCs w:val="24"/>
        </w:rPr>
        <w:t xml:space="preserve"> types of “orders”</w:t>
      </w:r>
      <w:r w:rsidR="00122549" w:rsidRPr="004D3481">
        <w:rPr>
          <w:rFonts w:ascii="Arial" w:hAnsi="Arial" w:cs="Arial"/>
          <w:sz w:val="24"/>
          <w:szCs w:val="24"/>
        </w:rPr>
        <w:t xml:space="preserve"> do not cure </w:t>
      </w:r>
      <w:r w:rsidR="00221EAF" w:rsidRPr="004D3481">
        <w:rPr>
          <w:rFonts w:ascii="Arial" w:hAnsi="Arial" w:cs="Arial"/>
          <w:sz w:val="24"/>
          <w:szCs w:val="24"/>
        </w:rPr>
        <w:t xml:space="preserve">the </w:t>
      </w:r>
      <w:r w:rsidR="005E6209" w:rsidRPr="004D3481">
        <w:rPr>
          <w:rFonts w:ascii="Arial" w:hAnsi="Arial" w:cs="Arial"/>
          <w:sz w:val="24"/>
          <w:szCs w:val="24"/>
        </w:rPr>
        <w:t>defect referred to</w:t>
      </w:r>
      <w:r w:rsidR="00221EAF" w:rsidRPr="004D3481">
        <w:rPr>
          <w:rFonts w:ascii="Arial" w:hAnsi="Arial" w:cs="Arial"/>
          <w:sz w:val="24"/>
          <w:szCs w:val="24"/>
        </w:rPr>
        <w:t xml:space="preserve"> </w:t>
      </w:r>
      <w:r w:rsidR="005E6209" w:rsidRPr="004D3481">
        <w:rPr>
          <w:rFonts w:ascii="Arial" w:hAnsi="Arial" w:cs="Arial"/>
          <w:sz w:val="24"/>
          <w:szCs w:val="24"/>
        </w:rPr>
        <w:t>by</w:t>
      </w:r>
      <w:r w:rsidR="00221EAF" w:rsidRPr="004D3481">
        <w:rPr>
          <w:rFonts w:ascii="Arial" w:hAnsi="Arial" w:cs="Arial"/>
          <w:sz w:val="24"/>
          <w:szCs w:val="24"/>
        </w:rPr>
        <w:t xml:space="preserve"> Ponnan JA</w:t>
      </w:r>
      <w:r w:rsidR="000C0798" w:rsidRPr="004D3481">
        <w:rPr>
          <w:rFonts w:ascii="Arial" w:hAnsi="Arial" w:cs="Arial"/>
          <w:sz w:val="24"/>
          <w:szCs w:val="24"/>
        </w:rPr>
        <w:t xml:space="preserve">. </w:t>
      </w:r>
    </w:p>
    <w:p w14:paraId="09D76824" w14:textId="1BE4C06F" w:rsidR="00817A2D"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C0798" w:rsidRPr="004D3481">
        <w:rPr>
          <w:rFonts w:ascii="Arial" w:hAnsi="Arial" w:cs="Arial"/>
          <w:sz w:val="24"/>
          <w:szCs w:val="24"/>
        </w:rPr>
        <w:t xml:space="preserve">In the first instance, </w:t>
      </w:r>
      <w:r w:rsidR="009C6A6F" w:rsidRPr="004D3481">
        <w:rPr>
          <w:rFonts w:ascii="Arial" w:hAnsi="Arial" w:cs="Arial"/>
          <w:sz w:val="24"/>
          <w:szCs w:val="24"/>
        </w:rPr>
        <w:t xml:space="preserve">the entire foundation for </w:t>
      </w:r>
      <w:r w:rsidR="004519CE" w:rsidRPr="004D3481">
        <w:rPr>
          <w:rFonts w:ascii="Arial" w:hAnsi="Arial" w:cs="Arial"/>
          <w:sz w:val="24"/>
          <w:szCs w:val="24"/>
        </w:rPr>
        <w:t xml:space="preserve">the proceedings being set aside, in cases of </w:t>
      </w:r>
      <w:r w:rsidR="00530733" w:rsidRPr="004D3481">
        <w:rPr>
          <w:rFonts w:ascii="Arial" w:hAnsi="Arial" w:cs="Arial"/>
          <w:sz w:val="24"/>
          <w:szCs w:val="24"/>
        </w:rPr>
        <w:t>recusal, is</w:t>
      </w:r>
      <w:r w:rsidR="003E4C12" w:rsidRPr="004D3481">
        <w:rPr>
          <w:rFonts w:ascii="Arial" w:hAnsi="Arial" w:cs="Arial"/>
          <w:sz w:val="24"/>
          <w:szCs w:val="24"/>
        </w:rPr>
        <w:t xml:space="preserve"> the</w:t>
      </w:r>
      <w:r w:rsidR="005B6329" w:rsidRPr="004D3481">
        <w:rPr>
          <w:rFonts w:ascii="Arial" w:hAnsi="Arial" w:cs="Arial"/>
          <w:sz w:val="24"/>
          <w:szCs w:val="24"/>
        </w:rPr>
        <w:t xml:space="preserve"> unavailability of </w:t>
      </w:r>
      <w:r w:rsidR="00080C73" w:rsidRPr="004D3481">
        <w:rPr>
          <w:rFonts w:ascii="Arial" w:hAnsi="Arial" w:cs="Arial"/>
          <w:sz w:val="24"/>
          <w:szCs w:val="24"/>
        </w:rPr>
        <w:t>the judicial officer in the absolute sense</w:t>
      </w:r>
      <w:r w:rsidR="00211C7C" w:rsidRPr="004D3481">
        <w:rPr>
          <w:rFonts w:ascii="Arial" w:hAnsi="Arial" w:cs="Arial"/>
          <w:sz w:val="24"/>
          <w:szCs w:val="24"/>
        </w:rPr>
        <w:t>.</w:t>
      </w:r>
      <w:r w:rsidR="00504E54" w:rsidRPr="004D3481">
        <w:rPr>
          <w:rFonts w:ascii="Arial" w:hAnsi="Arial" w:cs="Arial"/>
          <w:sz w:val="24"/>
          <w:szCs w:val="24"/>
        </w:rPr>
        <w:t xml:space="preserve"> </w:t>
      </w:r>
      <w:r w:rsidR="00812DCD" w:rsidRPr="004D3481">
        <w:rPr>
          <w:rFonts w:ascii="Arial" w:hAnsi="Arial" w:cs="Arial"/>
          <w:sz w:val="24"/>
          <w:szCs w:val="24"/>
        </w:rPr>
        <w:t>Within that context, t</w:t>
      </w:r>
      <w:r w:rsidR="00504E54" w:rsidRPr="004D3481">
        <w:rPr>
          <w:rFonts w:ascii="Arial" w:hAnsi="Arial" w:cs="Arial"/>
          <w:sz w:val="24"/>
          <w:szCs w:val="24"/>
        </w:rPr>
        <w:t xml:space="preserve">he reference to </w:t>
      </w:r>
      <w:r w:rsidR="00764129" w:rsidRPr="004D3481">
        <w:rPr>
          <w:rFonts w:ascii="Arial" w:hAnsi="Arial" w:cs="Arial"/>
          <w:sz w:val="24"/>
          <w:szCs w:val="24"/>
        </w:rPr>
        <w:t>“</w:t>
      </w:r>
      <w:r w:rsidR="00504E54" w:rsidRPr="004D3481">
        <w:rPr>
          <w:rFonts w:ascii="Arial" w:hAnsi="Arial" w:cs="Arial"/>
          <w:i/>
          <w:iCs/>
          <w:color w:val="404040" w:themeColor="text1" w:themeTint="BF"/>
          <w:sz w:val="24"/>
          <w:szCs w:val="24"/>
        </w:rPr>
        <w:t xml:space="preserve">a </w:t>
      </w:r>
      <w:r w:rsidR="00764129" w:rsidRPr="004D3481">
        <w:rPr>
          <w:rFonts w:ascii="Arial" w:hAnsi="Arial" w:cs="Arial"/>
          <w:i/>
          <w:iCs/>
          <w:color w:val="404040" w:themeColor="text1" w:themeTint="BF"/>
          <w:sz w:val="24"/>
          <w:szCs w:val="24"/>
        </w:rPr>
        <w:t>different Magistrate</w:t>
      </w:r>
      <w:r w:rsidR="00764129" w:rsidRPr="004D3481">
        <w:rPr>
          <w:rFonts w:ascii="Arial" w:hAnsi="Arial" w:cs="Arial"/>
          <w:sz w:val="24"/>
          <w:szCs w:val="24"/>
        </w:rPr>
        <w:t>” is superfluous</w:t>
      </w:r>
      <w:r w:rsidR="007957DF" w:rsidRPr="004D3481">
        <w:rPr>
          <w:rFonts w:ascii="Arial" w:hAnsi="Arial" w:cs="Arial"/>
          <w:sz w:val="24"/>
          <w:szCs w:val="24"/>
        </w:rPr>
        <w:t>.</w:t>
      </w:r>
    </w:p>
    <w:p w14:paraId="5D72FE6E" w14:textId="313F38A0" w:rsidR="004D3476"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17A2D" w:rsidRPr="004D3481">
        <w:rPr>
          <w:rFonts w:ascii="Arial" w:hAnsi="Arial" w:cs="Arial"/>
          <w:sz w:val="24"/>
          <w:szCs w:val="24"/>
        </w:rPr>
        <w:t>Secondly,</w:t>
      </w:r>
      <w:r w:rsidR="00C267C4" w:rsidRPr="004D3481">
        <w:rPr>
          <w:rFonts w:ascii="Arial" w:hAnsi="Arial" w:cs="Arial"/>
          <w:sz w:val="24"/>
          <w:szCs w:val="24"/>
        </w:rPr>
        <w:t xml:space="preserve"> </w:t>
      </w:r>
      <w:r w:rsidR="007957DF" w:rsidRPr="004D3481">
        <w:rPr>
          <w:rFonts w:ascii="Arial" w:hAnsi="Arial" w:cs="Arial"/>
          <w:sz w:val="24"/>
          <w:szCs w:val="24"/>
        </w:rPr>
        <w:t>“</w:t>
      </w:r>
      <w:r w:rsidR="00C267C4" w:rsidRPr="004D3481">
        <w:rPr>
          <w:rFonts w:ascii="Arial" w:hAnsi="Arial" w:cs="Arial"/>
          <w:sz w:val="24"/>
          <w:szCs w:val="24"/>
        </w:rPr>
        <w:t>proceedings</w:t>
      </w:r>
      <w:r w:rsidR="007957DF" w:rsidRPr="004D3481">
        <w:rPr>
          <w:rFonts w:ascii="Arial" w:hAnsi="Arial" w:cs="Arial"/>
          <w:sz w:val="24"/>
          <w:szCs w:val="24"/>
        </w:rPr>
        <w:t>”</w:t>
      </w:r>
      <w:r w:rsidR="00C267C4" w:rsidRPr="004D3481">
        <w:rPr>
          <w:rFonts w:ascii="Arial" w:hAnsi="Arial" w:cs="Arial"/>
          <w:sz w:val="24"/>
          <w:szCs w:val="24"/>
        </w:rPr>
        <w:t xml:space="preserve"> </w:t>
      </w:r>
      <w:r w:rsidR="003A4E4F" w:rsidRPr="004D3481">
        <w:rPr>
          <w:rFonts w:ascii="Arial" w:hAnsi="Arial" w:cs="Arial"/>
          <w:sz w:val="24"/>
          <w:szCs w:val="24"/>
        </w:rPr>
        <w:t xml:space="preserve">do not </w:t>
      </w:r>
      <w:r w:rsidR="007957DF" w:rsidRPr="004D3481">
        <w:rPr>
          <w:rFonts w:ascii="Arial" w:hAnsi="Arial" w:cs="Arial"/>
          <w:sz w:val="24"/>
          <w:szCs w:val="24"/>
        </w:rPr>
        <w:t>“</w:t>
      </w:r>
      <w:r w:rsidR="003A4E4F" w:rsidRPr="004D3481">
        <w:rPr>
          <w:rFonts w:ascii="Arial" w:hAnsi="Arial" w:cs="Arial"/>
          <w:sz w:val="24"/>
          <w:szCs w:val="24"/>
        </w:rPr>
        <w:t>commence</w:t>
      </w:r>
      <w:r w:rsidR="007957DF" w:rsidRPr="004D3481">
        <w:rPr>
          <w:rFonts w:ascii="Arial" w:hAnsi="Arial" w:cs="Arial"/>
          <w:sz w:val="24"/>
          <w:szCs w:val="24"/>
        </w:rPr>
        <w:t>”</w:t>
      </w:r>
      <w:r w:rsidR="003A4E4F" w:rsidRPr="004D3481">
        <w:rPr>
          <w:rFonts w:ascii="Arial" w:hAnsi="Arial" w:cs="Arial"/>
          <w:sz w:val="24"/>
          <w:szCs w:val="24"/>
        </w:rPr>
        <w:t xml:space="preserve"> before a magistrate.</w:t>
      </w:r>
      <w:r w:rsidR="00817A2D" w:rsidRPr="004D3481">
        <w:rPr>
          <w:rFonts w:ascii="Arial" w:hAnsi="Arial" w:cs="Arial"/>
          <w:sz w:val="24"/>
          <w:szCs w:val="24"/>
        </w:rPr>
        <w:t xml:space="preserve"> </w:t>
      </w:r>
      <w:r w:rsidR="003A4E4F" w:rsidRPr="004D3481">
        <w:rPr>
          <w:rFonts w:ascii="Arial" w:hAnsi="Arial" w:cs="Arial"/>
          <w:sz w:val="24"/>
          <w:szCs w:val="24"/>
        </w:rPr>
        <w:t>I</w:t>
      </w:r>
      <w:r w:rsidR="00F44C96" w:rsidRPr="004D3481">
        <w:rPr>
          <w:rFonts w:ascii="Arial" w:hAnsi="Arial" w:cs="Arial"/>
          <w:sz w:val="24"/>
          <w:szCs w:val="24"/>
        </w:rPr>
        <w:t>n terms of Section 76(1) of the CPA, proceedings</w:t>
      </w:r>
      <w:r w:rsidR="00980C9B" w:rsidRPr="004D3481">
        <w:rPr>
          <w:rFonts w:ascii="Arial" w:hAnsi="Arial" w:cs="Arial"/>
          <w:sz w:val="24"/>
          <w:szCs w:val="24"/>
        </w:rPr>
        <w:t xml:space="preserve"> </w:t>
      </w:r>
      <w:r w:rsidR="00641404" w:rsidRPr="004D3481">
        <w:rPr>
          <w:rFonts w:ascii="Arial" w:hAnsi="Arial" w:cs="Arial"/>
          <w:sz w:val="24"/>
          <w:szCs w:val="24"/>
        </w:rPr>
        <w:t>“…</w:t>
      </w:r>
      <w:r w:rsidR="00980C9B" w:rsidRPr="004D3481">
        <w:rPr>
          <w:rFonts w:ascii="Arial" w:hAnsi="Arial" w:cs="Arial"/>
          <w:i/>
          <w:iCs/>
          <w:color w:val="404040" w:themeColor="text1" w:themeTint="BF"/>
          <w:sz w:val="24"/>
          <w:szCs w:val="24"/>
        </w:rPr>
        <w:t>shall be commenced by lodging a</w:t>
      </w:r>
      <w:r w:rsidR="00641404" w:rsidRPr="004D3481">
        <w:rPr>
          <w:rFonts w:ascii="Arial" w:hAnsi="Arial" w:cs="Arial"/>
          <w:i/>
          <w:iCs/>
          <w:color w:val="404040" w:themeColor="text1" w:themeTint="BF"/>
          <w:sz w:val="24"/>
          <w:szCs w:val="24"/>
        </w:rPr>
        <w:t xml:space="preserve"> </w:t>
      </w:r>
      <w:r w:rsidR="00980C9B" w:rsidRPr="004D3481">
        <w:rPr>
          <w:rFonts w:ascii="Arial" w:hAnsi="Arial" w:cs="Arial"/>
          <w:i/>
          <w:iCs/>
          <w:color w:val="404040" w:themeColor="text1" w:themeTint="BF"/>
          <w:sz w:val="24"/>
          <w:szCs w:val="24"/>
        </w:rPr>
        <w:t>chargesheet</w:t>
      </w:r>
      <w:r w:rsidR="00641404" w:rsidRPr="004D3481">
        <w:rPr>
          <w:rFonts w:ascii="Arial" w:hAnsi="Arial" w:cs="Arial"/>
          <w:i/>
          <w:iCs/>
          <w:color w:val="404040" w:themeColor="text1" w:themeTint="BF"/>
          <w:sz w:val="24"/>
          <w:szCs w:val="24"/>
        </w:rPr>
        <w:t xml:space="preserve"> </w:t>
      </w:r>
      <w:r w:rsidR="00980C9B" w:rsidRPr="004D3481">
        <w:rPr>
          <w:rFonts w:ascii="Arial" w:hAnsi="Arial" w:cs="Arial"/>
          <w:i/>
          <w:iCs/>
          <w:color w:val="404040" w:themeColor="text1" w:themeTint="BF"/>
          <w:sz w:val="24"/>
          <w:szCs w:val="24"/>
        </w:rPr>
        <w:t xml:space="preserve">with the clerk of the </w:t>
      </w:r>
      <w:proofErr w:type="gramStart"/>
      <w:r w:rsidR="00980C9B" w:rsidRPr="004D3481">
        <w:rPr>
          <w:rFonts w:ascii="Arial" w:hAnsi="Arial" w:cs="Arial"/>
          <w:i/>
          <w:iCs/>
          <w:color w:val="404040" w:themeColor="text1" w:themeTint="BF"/>
          <w:sz w:val="24"/>
          <w:szCs w:val="24"/>
        </w:rPr>
        <w:t>court</w:t>
      </w:r>
      <w:r w:rsidR="00CC495B" w:rsidRPr="004D3481">
        <w:rPr>
          <w:rFonts w:ascii="Arial" w:hAnsi="Arial" w:cs="Arial"/>
          <w:color w:val="404040" w:themeColor="text1" w:themeTint="BF"/>
          <w:sz w:val="24"/>
          <w:szCs w:val="24"/>
        </w:rPr>
        <w:t>..</w:t>
      </w:r>
      <w:proofErr w:type="gramEnd"/>
      <w:r w:rsidR="00CC495B" w:rsidRPr="004D3481">
        <w:rPr>
          <w:rFonts w:ascii="Arial" w:hAnsi="Arial" w:cs="Arial"/>
          <w:sz w:val="24"/>
          <w:szCs w:val="24"/>
        </w:rPr>
        <w:t xml:space="preserve">” in the magistrates court or by </w:t>
      </w:r>
      <w:r w:rsidR="0015079B" w:rsidRPr="004D3481">
        <w:rPr>
          <w:rFonts w:ascii="Arial" w:hAnsi="Arial" w:cs="Arial"/>
          <w:sz w:val="24"/>
          <w:szCs w:val="24"/>
        </w:rPr>
        <w:t xml:space="preserve">service and lodgement of an indictment in the </w:t>
      </w:r>
      <w:r w:rsidR="00DB3B1F" w:rsidRPr="004D3481">
        <w:rPr>
          <w:rFonts w:ascii="Arial" w:hAnsi="Arial" w:cs="Arial"/>
          <w:sz w:val="24"/>
          <w:szCs w:val="24"/>
        </w:rPr>
        <w:t>H</w:t>
      </w:r>
      <w:r w:rsidR="000E7EFB" w:rsidRPr="004D3481">
        <w:rPr>
          <w:rFonts w:ascii="Arial" w:hAnsi="Arial" w:cs="Arial"/>
          <w:sz w:val="24"/>
          <w:szCs w:val="24"/>
        </w:rPr>
        <w:t xml:space="preserve">igh </w:t>
      </w:r>
      <w:r w:rsidR="00DB3B1F" w:rsidRPr="004D3481">
        <w:rPr>
          <w:rFonts w:ascii="Arial" w:hAnsi="Arial" w:cs="Arial"/>
          <w:sz w:val="24"/>
          <w:szCs w:val="24"/>
        </w:rPr>
        <w:t>C</w:t>
      </w:r>
      <w:r w:rsidR="000E7EFB" w:rsidRPr="004D3481">
        <w:rPr>
          <w:rFonts w:ascii="Arial" w:hAnsi="Arial" w:cs="Arial"/>
          <w:sz w:val="24"/>
          <w:szCs w:val="24"/>
        </w:rPr>
        <w:t xml:space="preserve">ourt (as the case may be). </w:t>
      </w:r>
      <w:r w:rsidR="00747795" w:rsidRPr="004D3481">
        <w:rPr>
          <w:rFonts w:ascii="Arial" w:hAnsi="Arial" w:cs="Arial"/>
          <w:sz w:val="24"/>
          <w:szCs w:val="24"/>
        </w:rPr>
        <w:t xml:space="preserve"> </w:t>
      </w:r>
    </w:p>
    <w:p w14:paraId="6E119CE2" w14:textId="3D8E3AB4" w:rsidR="00DB47AE" w:rsidRPr="004D3481" w:rsidRDefault="004D3481" w:rsidP="004D3481">
      <w:pPr>
        <w:spacing w:after="120" w:line="360" w:lineRule="auto"/>
        <w:ind w:left="284" w:hanging="360"/>
        <w:jc w:val="both"/>
        <w:rPr>
          <w:rFonts w:ascii="Arial" w:hAnsi="Arial" w:cs="Arial"/>
          <w:color w:val="404040" w:themeColor="text1" w:themeTint="BF"/>
          <w:sz w:val="24"/>
          <w:szCs w:val="24"/>
        </w:rPr>
      </w:pPr>
      <w:r w:rsidRPr="00350639">
        <w:rPr>
          <w:rFonts w:ascii="Arial" w:hAnsi="Arial" w:cs="Arial"/>
          <w:color w:val="404040" w:themeColor="text1" w:themeTint="BF"/>
          <w:sz w:val="24"/>
          <w:szCs w:val="24"/>
        </w:rPr>
        <w:t>24.</w:t>
      </w:r>
      <w:r w:rsidRPr="00350639">
        <w:rPr>
          <w:rFonts w:ascii="Arial" w:hAnsi="Arial" w:cs="Arial"/>
          <w:color w:val="404040" w:themeColor="text1" w:themeTint="BF"/>
          <w:sz w:val="24"/>
          <w:szCs w:val="24"/>
        </w:rPr>
        <w:tab/>
      </w:r>
      <w:r w:rsidR="0008131D" w:rsidRPr="004D3481">
        <w:rPr>
          <w:rFonts w:ascii="Arial" w:hAnsi="Arial" w:cs="Arial"/>
          <w:sz w:val="24"/>
          <w:szCs w:val="24"/>
        </w:rPr>
        <w:t xml:space="preserve">Interrelated to this second issue is the third; namely that </w:t>
      </w:r>
      <w:r w:rsidR="0094067F" w:rsidRPr="004D3481">
        <w:rPr>
          <w:rFonts w:ascii="Arial" w:hAnsi="Arial" w:cs="Arial"/>
          <w:sz w:val="24"/>
          <w:szCs w:val="24"/>
        </w:rPr>
        <w:t>the reference to the</w:t>
      </w:r>
      <w:r w:rsidR="000B6EF5" w:rsidRPr="004D3481">
        <w:rPr>
          <w:rFonts w:ascii="Arial" w:hAnsi="Arial" w:cs="Arial"/>
          <w:sz w:val="24"/>
          <w:szCs w:val="24"/>
        </w:rPr>
        <w:t xml:space="preserve"> </w:t>
      </w:r>
      <w:r w:rsidR="00CE7A79" w:rsidRPr="004D3481">
        <w:rPr>
          <w:rFonts w:ascii="Arial" w:hAnsi="Arial" w:cs="Arial"/>
          <w:sz w:val="24"/>
          <w:szCs w:val="24"/>
        </w:rPr>
        <w:t>P</w:t>
      </w:r>
      <w:r w:rsidR="000B6EF5" w:rsidRPr="004D3481">
        <w:rPr>
          <w:rFonts w:ascii="Arial" w:hAnsi="Arial" w:cs="Arial"/>
          <w:sz w:val="24"/>
          <w:szCs w:val="24"/>
        </w:rPr>
        <w:t xml:space="preserve">rosecuting </w:t>
      </w:r>
      <w:r w:rsidR="00EE438A" w:rsidRPr="004D3481">
        <w:rPr>
          <w:rFonts w:ascii="Arial" w:hAnsi="Arial" w:cs="Arial"/>
          <w:sz w:val="24"/>
          <w:szCs w:val="24"/>
        </w:rPr>
        <w:t>A</w:t>
      </w:r>
      <w:r w:rsidR="000B6EF5" w:rsidRPr="004D3481">
        <w:rPr>
          <w:rFonts w:ascii="Arial" w:hAnsi="Arial" w:cs="Arial"/>
          <w:sz w:val="24"/>
          <w:szCs w:val="24"/>
        </w:rPr>
        <w:t>uthority’s discretion</w:t>
      </w:r>
      <w:r w:rsidR="00A205EC" w:rsidRPr="004D3481">
        <w:rPr>
          <w:rFonts w:ascii="Arial" w:hAnsi="Arial" w:cs="Arial"/>
          <w:sz w:val="24"/>
          <w:szCs w:val="24"/>
        </w:rPr>
        <w:t>,</w:t>
      </w:r>
      <w:r w:rsidR="000B6EF5" w:rsidRPr="004D3481">
        <w:rPr>
          <w:rFonts w:ascii="Arial" w:hAnsi="Arial" w:cs="Arial"/>
          <w:sz w:val="24"/>
          <w:szCs w:val="24"/>
        </w:rPr>
        <w:t xml:space="preserve"> </w:t>
      </w:r>
      <w:r w:rsidR="00EE438A" w:rsidRPr="004D3481">
        <w:rPr>
          <w:rFonts w:ascii="Arial" w:hAnsi="Arial" w:cs="Arial"/>
          <w:sz w:val="24"/>
          <w:szCs w:val="24"/>
        </w:rPr>
        <w:t>(</w:t>
      </w:r>
      <w:r w:rsidR="000B6EF5" w:rsidRPr="004D3481">
        <w:rPr>
          <w:rFonts w:ascii="Arial" w:hAnsi="Arial" w:cs="Arial"/>
          <w:sz w:val="24"/>
          <w:szCs w:val="24"/>
        </w:rPr>
        <w:t xml:space="preserve">to decide whether proceedings should commence </w:t>
      </w:r>
      <w:r w:rsidR="000B6EF5" w:rsidRPr="004D3481">
        <w:rPr>
          <w:rFonts w:ascii="Arial" w:hAnsi="Arial" w:cs="Arial"/>
          <w:i/>
          <w:iCs/>
          <w:sz w:val="24"/>
          <w:szCs w:val="24"/>
        </w:rPr>
        <w:t>de novo</w:t>
      </w:r>
      <w:r w:rsidR="00EE438A" w:rsidRPr="004D3481">
        <w:rPr>
          <w:rFonts w:ascii="Arial" w:hAnsi="Arial" w:cs="Arial"/>
          <w:i/>
          <w:iCs/>
          <w:sz w:val="24"/>
          <w:szCs w:val="24"/>
        </w:rPr>
        <w:t>)</w:t>
      </w:r>
      <w:r w:rsidR="004F2D90" w:rsidRPr="004D3481">
        <w:rPr>
          <w:rFonts w:ascii="Arial" w:hAnsi="Arial" w:cs="Arial"/>
          <w:sz w:val="24"/>
          <w:szCs w:val="24"/>
        </w:rPr>
        <w:t xml:space="preserve">, is a restatement of the position that exists regardless of </w:t>
      </w:r>
      <w:proofErr w:type="gramStart"/>
      <w:r w:rsidR="001B5143" w:rsidRPr="004D3481">
        <w:rPr>
          <w:rFonts w:ascii="Arial" w:hAnsi="Arial" w:cs="Arial"/>
          <w:sz w:val="24"/>
          <w:szCs w:val="24"/>
        </w:rPr>
        <w:t>whether or not</w:t>
      </w:r>
      <w:proofErr w:type="gramEnd"/>
      <w:r w:rsidR="001B5143" w:rsidRPr="004D3481">
        <w:rPr>
          <w:rFonts w:ascii="Arial" w:hAnsi="Arial" w:cs="Arial"/>
          <w:sz w:val="24"/>
          <w:szCs w:val="24"/>
        </w:rPr>
        <w:t xml:space="preserve"> so ordered. </w:t>
      </w:r>
      <w:r w:rsidR="000B2CA2" w:rsidRPr="004D3481">
        <w:rPr>
          <w:rFonts w:ascii="Arial" w:hAnsi="Arial" w:cs="Arial"/>
          <w:sz w:val="24"/>
          <w:szCs w:val="24"/>
        </w:rPr>
        <w:t xml:space="preserve">Where proceedings have been set aside and </w:t>
      </w:r>
      <w:r w:rsidR="00C0331F" w:rsidRPr="004D3481">
        <w:rPr>
          <w:rFonts w:ascii="Arial" w:hAnsi="Arial" w:cs="Arial"/>
          <w:sz w:val="24"/>
          <w:szCs w:val="24"/>
        </w:rPr>
        <w:t>therefore</w:t>
      </w:r>
      <w:r w:rsidR="000D4618" w:rsidRPr="004D3481">
        <w:rPr>
          <w:rFonts w:ascii="Arial" w:hAnsi="Arial" w:cs="Arial"/>
          <w:sz w:val="24"/>
          <w:szCs w:val="24"/>
        </w:rPr>
        <w:t xml:space="preserve"> </w:t>
      </w:r>
      <w:r w:rsidR="000B270A" w:rsidRPr="004D3481">
        <w:rPr>
          <w:rFonts w:ascii="Arial" w:hAnsi="Arial" w:cs="Arial"/>
          <w:sz w:val="24"/>
          <w:szCs w:val="24"/>
        </w:rPr>
        <w:t xml:space="preserve">have </w:t>
      </w:r>
      <w:r w:rsidR="00C0331F" w:rsidRPr="004D3481">
        <w:rPr>
          <w:rFonts w:ascii="Arial" w:hAnsi="Arial" w:cs="Arial"/>
          <w:sz w:val="24"/>
          <w:szCs w:val="24"/>
        </w:rPr>
        <w:t xml:space="preserve">proverbially </w:t>
      </w:r>
      <w:r w:rsidR="000B270A" w:rsidRPr="004D3481">
        <w:rPr>
          <w:rFonts w:ascii="Arial" w:hAnsi="Arial" w:cs="Arial"/>
          <w:sz w:val="24"/>
          <w:szCs w:val="24"/>
        </w:rPr>
        <w:t>“vanished”, t</w:t>
      </w:r>
      <w:r w:rsidR="005D2C17" w:rsidRPr="004D3481">
        <w:rPr>
          <w:rFonts w:ascii="Arial" w:hAnsi="Arial" w:cs="Arial"/>
          <w:sz w:val="24"/>
          <w:szCs w:val="24"/>
        </w:rPr>
        <w:t xml:space="preserve">he </w:t>
      </w:r>
      <w:r w:rsidR="005D2C17" w:rsidRPr="004D3481">
        <w:rPr>
          <w:rFonts w:ascii="Arial" w:hAnsi="Arial" w:cs="Arial"/>
          <w:sz w:val="24"/>
          <w:szCs w:val="24"/>
        </w:rPr>
        <w:lastRenderedPageBreak/>
        <w:t>prosecuting authority does not require the permission</w:t>
      </w:r>
      <w:r w:rsidR="00495D7A" w:rsidRPr="004D3481">
        <w:rPr>
          <w:rFonts w:ascii="Arial" w:hAnsi="Arial" w:cs="Arial"/>
          <w:sz w:val="24"/>
          <w:szCs w:val="24"/>
        </w:rPr>
        <w:t xml:space="preserve">, or direction, </w:t>
      </w:r>
      <w:r w:rsidR="005D2C17" w:rsidRPr="004D3481">
        <w:rPr>
          <w:rFonts w:ascii="Arial" w:hAnsi="Arial" w:cs="Arial"/>
          <w:sz w:val="24"/>
          <w:szCs w:val="24"/>
        </w:rPr>
        <w:t>of the High Court to commence with</w:t>
      </w:r>
      <w:r w:rsidR="000B270A" w:rsidRPr="004D3481">
        <w:rPr>
          <w:rFonts w:ascii="Arial" w:hAnsi="Arial" w:cs="Arial"/>
          <w:sz w:val="24"/>
          <w:szCs w:val="24"/>
        </w:rPr>
        <w:t xml:space="preserve"> new</w:t>
      </w:r>
      <w:r w:rsidR="005D2C17" w:rsidRPr="004D3481">
        <w:rPr>
          <w:rFonts w:ascii="Arial" w:hAnsi="Arial" w:cs="Arial"/>
          <w:sz w:val="24"/>
          <w:szCs w:val="24"/>
        </w:rPr>
        <w:t xml:space="preserve"> </w:t>
      </w:r>
      <w:r w:rsidR="000B2CA2" w:rsidRPr="004D3481">
        <w:rPr>
          <w:rFonts w:ascii="Arial" w:hAnsi="Arial" w:cs="Arial"/>
          <w:sz w:val="24"/>
          <w:szCs w:val="24"/>
        </w:rPr>
        <w:t>proceedings</w:t>
      </w:r>
      <w:r w:rsidR="000B270A" w:rsidRPr="004D3481">
        <w:rPr>
          <w:rFonts w:ascii="Arial" w:hAnsi="Arial" w:cs="Arial"/>
          <w:sz w:val="24"/>
          <w:szCs w:val="24"/>
        </w:rPr>
        <w:t xml:space="preserve">. </w:t>
      </w:r>
      <w:r w:rsidR="00231462" w:rsidRPr="004D3481">
        <w:rPr>
          <w:rFonts w:ascii="Arial" w:hAnsi="Arial" w:cs="Arial"/>
          <w:sz w:val="24"/>
          <w:szCs w:val="24"/>
        </w:rPr>
        <w:t xml:space="preserve">As stated in </w:t>
      </w:r>
      <w:r w:rsidR="00231462" w:rsidRPr="004D3481">
        <w:rPr>
          <w:rFonts w:ascii="Arial" w:hAnsi="Arial" w:cs="Arial"/>
          <w:i/>
          <w:iCs/>
          <w:color w:val="404040" w:themeColor="text1" w:themeTint="BF"/>
          <w:sz w:val="24"/>
          <w:szCs w:val="24"/>
        </w:rPr>
        <w:t>Gumbi:</w:t>
      </w:r>
    </w:p>
    <w:p w14:paraId="2C4ECE9C" w14:textId="20A24385" w:rsidR="001B5143" w:rsidRPr="00350639" w:rsidRDefault="00E52D07" w:rsidP="001B5143">
      <w:pPr>
        <w:pStyle w:val="ListParagraph"/>
        <w:spacing w:after="120" w:line="360" w:lineRule="auto"/>
        <w:ind w:left="284"/>
        <w:contextualSpacing w:val="0"/>
        <w:jc w:val="both"/>
        <w:rPr>
          <w:rFonts w:ascii="Arial" w:hAnsi="Arial" w:cs="Arial"/>
          <w:i/>
          <w:iCs/>
          <w:color w:val="404040" w:themeColor="text1" w:themeTint="BF"/>
          <w:sz w:val="24"/>
          <w:szCs w:val="24"/>
        </w:rPr>
      </w:pPr>
      <w:proofErr w:type="gramStart"/>
      <w:r w:rsidRPr="00350639">
        <w:rPr>
          <w:rFonts w:ascii="Arial" w:hAnsi="Arial" w:cs="Arial"/>
          <w:i/>
          <w:iCs/>
          <w:color w:val="404040" w:themeColor="text1" w:themeTint="BF"/>
          <w:sz w:val="24"/>
          <w:szCs w:val="24"/>
        </w:rPr>
        <w:t>“</w:t>
      </w:r>
      <w:r w:rsidR="001A5939" w:rsidRPr="00350639">
        <w:rPr>
          <w:rFonts w:ascii="Arial" w:hAnsi="Arial" w:cs="Arial"/>
          <w:i/>
          <w:iCs/>
          <w:color w:val="404040" w:themeColor="text1" w:themeTint="BF"/>
          <w:sz w:val="24"/>
          <w:szCs w:val="24"/>
        </w:rPr>
        <w:t xml:space="preserve"> [</w:t>
      </w:r>
      <w:proofErr w:type="gramEnd"/>
      <w:r w:rsidR="001A5939" w:rsidRPr="00350639">
        <w:rPr>
          <w:rFonts w:ascii="Arial" w:hAnsi="Arial" w:cs="Arial"/>
          <w:i/>
          <w:iCs/>
          <w:color w:val="404040" w:themeColor="text1" w:themeTint="BF"/>
          <w:sz w:val="24"/>
          <w:szCs w:val="24"/>
        </w:rPr>
        <w:t xml:space="preserve">10] Criminal proceedings in a superior court commence with the service of an indictment on the accused and its lodgement with the registrar of the court (s 76). In terms of s 105 the charge must be put to an accused by the prosecutor before the trial is commenced. As soon as the charge is put to an </w:t>
      </w:r>
      <w:proofErr w:type="gramStart"/>
      <w:r w:rsidR="001A5939" w:rsidRPr="00350639">
        <w:rPr>
          <w:rFonts w:ascii="Arial" w:hAnsi="Arial" w:cs="Arial"/>
          <w:i/>
          <w:iCs/>
          <w:color w:val="404040" w:themeColor="text1" w:themeTint="BF"/>
          <w:sz w:val="24"/>
          <w:szCs w:val="24"/>
        </w:rPr>
        <w:t>accused</w:t>
      </w:r>
      <w:proofErr w:type="gramEnd"/>
      <w:r w:rsidR="001A5939" w:rsidRPr="00350639">
        <w:rPr>
          <w:rFonts w:ascii="Arial" w:hAnsi="Arial" w:cs="Arial"/>
          <w:i/>
          <w:iCs/>
          <w:color w:val="404040" w:themeColor="text1" w:themeTint="BF"/>
          <w:sz w:val="24"/>
          <w:szCs w:val="24"/>
        </w:rPr>
        <w:t xml:space="preserve"> he or she must plead to it. The plea determines the ambit of the dispute between the accused and the prosecution. It is only after the accused has pleaded to the charge that the </w:t>
      </w:r>
      <w:proofErr w:type="spellStart"/>
      <w:r w:rsidR="001A5939" w:rsidRPr="00350639">
        <w:rPr>
          <w:rFonts w:ascii="Arial" w:hAnsi="Arial" w:cs="Arial"/>
          <w:i/>
          <w:iCs/>
          <w:color w:val="404040" w:themeColor="text1" w:themeTint="BF"/>
          <w:sz w:val="24"/>
          <w:szCs w:val="24"/>
        </w:rPr>
        <w:t>lis</w:t>
      </w:r>
      <w:proofErr w:type="spellEnd"/>
      <w:r w:rsidR="001A5939" w:rsidRPr="00350639">
        <w:rPr>
          <w:rFonts w:ascii="Arial" w:hAnsi="Arial" w:cs="Arial"/>
          <w:i/>
          <w:iCs/>
          <w:color w:val="404040" w:themeColor="text1" w:themeTint="BF"/>
          <w:sz w:val="24"/>
          <w:szCs w:val="24"/>
        </w:rPr>
        <w:t xml:space="preserve"> is established between the accused and the prosecution. It is the function of the prosecuting authority, not the court, to decide the charges upon which an accused should be brought to trial and the function in that regard extends up to the time when a plea is </w:t>
      </w:r>
      <w:proofErr w:type="gramStart"/>
      <w:r w:rsidR="001A5939" w:rsidRPr="00350639">
        <w:rPr>
          <w:rFonts w:ascii="Arial" w:hAnsi="Arial" w:cs="Arial"/>
          <w:i/>
          <w:iCs/>
          <w:color w:val="404040" w:themeColor="text1" w:themeTint="BF"/>
          <w:sz w:val="24"/>
          <w:szCs w:val="24"/>
        </w:rPr>
        <w:t>tendered</w:t>
      </w:r>
      <w:proofErr w:type="gramEnd"/>
      <w:r w:rsidR="001A5939" w:rsidRPr="00350639">
        <w:rPr>
          <w:rFonts w:ascii="Arial" w:hAnsi="Arial" w:cs="Arial"/>
          <w:i/>
          <w:iCs/>
          <w:color w:val="404040" w:themeColor="text1" w:themeTint="BF"/>
          <w:sz w:val="24"/>
          <w:szCs w:val="24"/>
        </w:rPr>
        <w:t xml:space="preserve"> and the decision has to be made whether the plea is to be accepted or not.</w:t>
      </w:r>
      <w:r w:rsidR="001F250D" w:rsidRPr="00350639">
        <w:rPr>
          <w:rFonts w:ascii="Arial" w:hAnsi="Arial" w:cs="Arial"/>
          <w:i/>
          <w:iCs/>
          <w:color w:val="404040" w:themeColor="text1" w:themeTint="BF"/>
          <w:sz w:val="24"/>
          <w:szCs w:val="24"/>
        </w:rPr>
        <w:t>”</w:t>
      </w:r>
    </w:p>
    <w:p w14:paraId="7F5361C8" w14:textId="0750DA8B" w:rsidR="001F250D" w:rsidRDefault="00DD7C7E" w:rsidP="001B5143">
      <w:pPr>
        <w:pStyle w:val="ListParagraph"/>
        <w:spacing w:after="120" w:line="360" w:lineRule="auto"/>
        <w:ind w:left="284"/>
        <w:contextualSpacing w:val="0"/>
        <w:jc w:val="both"/>
        <w:rPr>
          <w:rFonts w:ascii="Arial" w:hAnsi="Arial" w:cs="Arial"/>
          <w:sz w:val="24"/>
          <w:szCs w:val="24"/>
        </w:rPr>
      </w:pPr>
      <w:r w:rsidRPr="00350639">
        <w:rPr>
          <w:rFonts w:ascii="Arial" w:hAnsi="Arial" w:cs="Arial"/>
          <w:i/>
          <w:iCs/>
          <w:color w:val="404040" w:themeColor="text1" w:themeTint="BF"/>
          <w:sz w:val="24"/>
          <w:szCs w:val="24"/>
        </w:rPr>
        <w:t xml:space="preserve">[14] </w:t>
      </w:r>
      <w:r w:rsidRPr="00350639">
        <w:rPr>
          <w:rFonts w:ascii="Arial" w:hAnsi="Arial" w:cs="Arial"/>
          <w:i/>
          <w:iCs/>
          <w:color w:val="404040" w:themeColor="text1" w:themeTint="BF"/>
          <w:sz w:val="24"/>
          <w:szCs w:val="24"/>
          <w:u w:val="single"/>
        </w:rPr>
        <w:t xml:space="preserve">It is not for this </w:t>
      </w:r>
      <w:r w:rsidR="00DB47AE" w:rsidRPr="00350639">
        <w:rPr>
          <w:rFonts w:ascii="Arial" w:hAnsi="Arial" w:cs="Arial"/>
          <w:i/>
          <w:iCs/>
          <w:color w:val="404040" w:themeColor="text1" w:themeTint="BF"/>
          <w:sz w:val="24"/>
          <w:szCs w:val="24"/>
          <w:u w:val="single"/>
        </w:rPr>
        <w:t>C</w:t>
      </w:r>
      <w:r w:rsidRPr="00350639">
        <w:rPr>
          <w:rFonts w:ascii="Arial" w:hAnsi="Arial" w:cs="Arial"/>
          <w:i/>
          <w:iCs/>
          <w:color w:val="404040" w:themeColor="text1" w:themeTint="BF"/>
          <w:sz w:val="24"/>
          <w:szCs w:val="24"/>
          <w:u w:val="single"/>
        </w:rPr>
        <w:t>ourt, as was suggested by counsel for the State, to remit the matter for trial afresh</w:t>
      </w:r>
      <w:r w:rsidRPr="00350639">
        <w:rPr>
          <w:rFonts w:ascii="Arial" w:hAnsi="Arial" w:cs="Arial"/>
          <w:i/>
          <w:iCs/>
          <w:color w:val="404040" w:themeColor="text1" w:themeTint="BF"/>
          <w:sz w:val="24"/>
          <w:szCs w:val="24"/>
        </w:rPr>
        <w:t>. Rather, it is for the State to decide whether it will re-indict the appellants.</w:t>
      </w:r>
      <w:r w:rsidR="005D2C17" w:rsidRPr="00350639">
        <w:rPr>
          <w:rFonts w:ascii="Arial" w:hAnsi="Arial" w:cs="Arial"/>
          <w:i/>
          <w:iCs/>
          <w:color w:val="404040" w:themeColor="text1" w:themeTint="BF"/>
          <w:sz w:val="24"/>
          <w:szCs w:val="24"/>
        </w:rPr>
        <w:t xml:space="preserve">”  </w:t>
      </w:r>
      <w:r w:rsidR="00DB47AE" w:rsidRPr="001B5143">
        <w:rPr>
          <w:rFonts w:ascii="Arial" w:hAnsi="Arial" w:cs="Arial"/>
          <w:sz w:val="24"/>
          <w:szCs w:val="24"/>
        </w:rPr>
        <w:t>[Underlining my own]</w:t>
      </w:r>
    </w:p>
    <w:p w14:paraId="045B1A5C" w14:textId="33E6EA09" w:rsidR="00D04620" w:rsidRPr="00D04620" w:rsidRDefault="001C00B6" w:rsidP="006D1840">
      <w:pPr>
        <w:pStyle w:val="ListParagraph"/>
        <w:spacing w:before="240" w:after="120" w:line="360" w:lineRule="auto"/>
        <w:ind w:left="284"/>
        <w:contextualSpacing w:val="0"/>
        <w:jc w:val="both"/>
        <w:rPr>
          <w:rFonts w:ascii="Arial" w:hAnsi="Arial" w:cs="Arial"/>
          <w:b/>
          <w:bCs/>
          <w:sz w:val="24"/>
          <w:szCs w:val="24"/>
        </w:rPr>
      </w:pPr>
      <w:r>
        <w:rPr>
          <w:rFonts w:ascii="Arial" w:hAnsi="Arial" w:cs="Arial"/>
          <w:b/>
          <w:bCs/>
          <w:sz w:val="24"/>
          <w:szCs w:val="24"/>
        </w:rPr>
        <w:t>Finding</w:t>
      </w:r>
    </w:p>
    <w:p w14:paraId="1E14A71E" w14:textId="6D1457A4" w:rsidR="00F06491"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C40BE" w:rsidRPr="004D3481">
        <w:rPr>
          <w:rFonts w:ascii="Arial" w:hAnsi="Arial" w:cs="Arial"/>
          <w:sz w:val="24"/>
          <w:szCs w:val="24"/>
        </w:rPr>
        <w:t>In summation, t</w:t>
      </w:r>
      <w:r w:rsidR="00C20C66" w:rsidRPr="004D3481">
        <w:rPr>
          <w:rFonts w:ascii="Arial" w:hAnsi="Arial" w:cs="Arial"/>
          <w:sz w:val="24"/>
          <w:szCs w:val="24"/>
        </w:rPr>
        <w:t>he prevailing position, i</w:t>
      </w:r>
      <w:r w:rsidR="0048389C" w:rsidRPr="004D3481">
        <w:rPr>
          <w:rFonts w:ascii="Arial" w:hAnsi="Arial" w:cs="Arial"/>
          <w:sz w:val="24"/>
          <w:szCs w:val="24"/>
        </w:rPr>
        <w:t xml:space="preserve">n cases where a </w:t>
      </w:r>
      <w:r w:rsidR="004B6A0B" w:rsidRPr="004D3481">
        <w:rPr>
          <w:rFonts w:ascii="Arial" w:hAnsi="Arial" w:cs="Arial"/>
          <w:sz w:val="24"/>
          <w:szCs w:val="24"/>
        </w:rPr>
        <w:t>m</w:t>
      </w:r>
      <w:r w:rsidR="0048389C" w:rsidRPr="004D3481">
        <w:rPr>
          <w:rFonts w:ascii="Arial" w:hAnsi="Arial" w:cs="Arial"/>
          <w:sz w:val="24"/>
          <w:szCs w:val="24"/>
        </w:rPr>
        <w:t>agistrate has b</w:t>
      </w:r>
      <w:r w:rsidR="00783D2A" w:rsidRPr="004D3481">
        <w:rPr>
          <w:rFonts w:ascii="Arial" w:hAnsi="Arial" w:cs="Arial"/>
          <w:sz w:val="24"/>
          <w:szCs w:val="24"/>
        </w:rPr>
        <w:t>ecome</w:t>
      </w:r>
      <w:r w:rsidR="0048389C" w:rsidRPr="004D3481">
        <w:rPr>
          <w:rFonts w:ascii="Arial" w:hAnsi="Arial" w:cs="Arial"/>
          <w:sz w:val="24"/>
          <w:szCs w:val="24"/>
        </w:rPr>
        <w:t xml:space="preserve"> incapacitated in the so-called absolute sense,</w:t>
      </w:r>
      <w:r w:rsidR="000B59C5">
        <w:rPr>
          <w:rStyle w:val="FootnoteReference"/>
          <w:rFonts w:ascii="Arial" w:hAnsi="Arial" w:cs="Arial"/>
          <w:sz w:val="24"/>
          <w:szCs w:val="24"/>
        </w:rPr>
        <w:footnoteReference w:id="15"/>
      </w:r>
      <w:r w:rsidR="0048389C" w:rsidRPr="004D3481">
        <w:rPr>
          <w:rFonts w:ascii="Arial" w:hAnsi="Arial" w:cs="Arial"/>
          <w:sz w:val="24"/>
          <w:szCs w:val="24"/>
        </w:rPr>
        <w:t xml:space="preserve"> </w:t>
      </w:r>
      <w:r w:rsidR="002D0123" w:rsidRPr="004D3481">
        <w:rPr>
          <w:rFonts w:ascii="Arial" w:hAnsi="Arial" w:cs="Arial"/>
          <w:sz w:val="24"/>
          <w:szCs w:val="24"/>
        </w:rPr>
        <w:t>during part heard criminal proceedings,</w:t>
      </w:r>
      <w:r w:rsidR="007E1F32">
        <w:rPr>
          <w:rStyle w:val="FootnoteReference"/>
          <w:rFonts w:ascii="Arial" w:hAnsi="Arial" w:cs="Arial"/>
          <w:sz w:val="24"/>
          <w:szCs w:val="24"/>
        </w:rPr>
        <w:footnoteReference w:id="16"/>
      </w:r>
      <w:r w:rsidR="00C20C66" w:rsidRPr="004D3481">
        <w:rPr>
          <w:rFonts w:ascii="Arial" w:hAnsi="Arial" w:cs="Arial"/>
          <w:sz w:val="24"/>
          <w:szCs w:val="24"/>
        </w:rPr>
        <w:t xml:space="preserve"> is therefore that</w:t>
      </w:r>
      <w:r w:rsidR="00F06491" w:rsidRPr="004D3481">
        <w:rPr>
          <w:rFonts w:ascii="Arial" w:hAnsi="Arial" w:cs="Arial"/>
          <w:sz w:val="24"/>
          <w:szCs w:val="24"/>
        </w:rPr>
        <w:t>:</w:t>
      </w:r>
    </w:p>
    <w:p w14:paraId="4C7C8770" w14:textId="4C60001B" w:rsidR="00F06491" w:rsidRPr="004D3481" w:rsidRDefault="004D3481" w:rsidP="004D3481">
      <w:pPr>
        <w:spacing w:after="120" w:line="360" w:lineRule="auto"/>
        <w:ind w:left="709"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D0123" w:rsidRPr="004D3481">
        <w:rPr>
          <w:rFonts w:ascii="Arial" w:hAnsi="Arial" w:cs="Arial"/>
          <w:sz w:val="24"/>
          <w:szCs w:val="24"/>
        </w:rPr>
        <w:t xml:space="preserve"> </w:t>
      </w:r>
      <w:r w:rsidR="00F06491" w:rsidRPr="004D3481">
        <w:rPr>
          <w:rFonts w:ascii="Arial" w:hAnsi="Arial" w:cs="Arial"/>
          <w:sz w:val="24"/>
          <w:szCs w:val="24"/>
        </w:rPr>
        <w:t>T</w:t>
      </w:r>
      <w:r w:rsidR="001D3250" w:rsidRPr="004D3481">
        <w:rPr>
          <w:rFonts w:ascii="Arial" w:hAnsi="Arial" w:cs="Arial"/>
          <w:sz w:val="24"/>
          <w:szCs w:val="24"/>
        </w:rPr>
        <w:t xml:space="preserve">he part heard proceedings become a nullity and are set aside </w:t>
      </w:r>
      <w:r w:rsidR="001D3250" w:rsidRPr="004D3481">
        <w:rPr>
          <w:rFonts w:ascii="Arial" w:hAnsi="Arial" w:cs="Arial"/>
          <w:i/>
          <w:iCs/>
          <w:sz w:val="24"/>
          <w:szCs w:val="24"/>
        </w:rPr>
        <w:t xml:space="preserve">ex </w:t>
      </w:r>
      <w:proofErr w:type="spellStart"/>
      <w:r w:rsidR="001D3250" w:rsidRPr="004D3481">
        <w:rPr>
          <w:rFonts w:ascii="Arial" w:hAnsi="Arial" w:cs="Arial"/>
          <w:i/>
          <w:iCs/>
          <w:sz w:val="24"/>
          <w:szCs w:val="24"/>
        </w:rPr>
        <w:t>lege</w:t>
      </w:r>
      <w:proofErr w:type="spellEnd"/>
      <w:r w:rsidR="001D3250" w:rsidRPr="004D3481">
        <w:rPr>
          <w:rFonts w:ascii="Arial" w:hAnsi="Arial" w:cs="Arial"/>
          <w:sz w:val="24"/>
          <w:szCs w:val="24"/>
        </w:rPr>
        <w:t xml:space="preserve">. </w:t>
      </w:r>
      <w:r w:rsidR="00904056" w:rsidRPr="004D3481">
        <w:rPr>
          <w:rFonts w:ascii="Arial" w:hAnsi="Arial" w:cs="Arial"/>
          <w:sz w:val="24"/>
          <w:szCs w:val="24"/>
        </w:rPr>
        <w:t xml:space="preserve">As such, there is no need to engage the High Court’s inherent jurisdiction to have such proceedings ordered to be set aside. </w:t>
      </w:r>
    </w:p>
    <w:p w14:paraId="05E2EE0C" w14:textId="4360C599" w:rsidR="001B5143" w:rsidRPr="004D3481" w:rsidRDefault="004D3481" w:rsidP="004D3481">
      <w:pPr>
        <w:spacing w:after="120" w:line="360" w:lineRule="auto"/>
        <w:ind w:left="709"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F3ADB" w:rsidRPr="004D3481">
        <w:rPr>
          <w:rFonts w:ascii="Arial" w:hAnsi="Arial" w:cs="Arial"/>
          <w:sz w:val="24"/>
          <w:szCs w:val="24"/>
        </w:rPr>
        <w:t xml:space="preserve">The question of </w:t>
      </w:r>
      <w:proofErr w:type="gramStart"/>
      <w:r w:rsidR="00EF3ADB" w:rsidRPr="004D3481">
        <w:rPr>
          <w:rFonts w:ascii="Arial" w:hAnsi="Arial" w:cs="Arial"/>
          <w:sz w:val="24"/>
          <w:szCs w:val="24"/>
        </w:rPr>
        <w:t>whether or not</w:t>
      </w:r>
      <w:proofErr w:type="gramEnd"/>
      <w:r w:rsidR="00EF3ADB" w:rsidRPr="004D3481">
        <w:rPr>
          <w:rFonts w:ascii="Arial" w:hAnsi="Arial" w:cs="Arial"/>
          <w:sz w:val="24"/>
          <w:szCs w:val="24"/>
        </w:rPr>
        <w:t xml:space="preserve"> proceedings should commence </w:t>
      </w:r>
      <w:r w:rsidR="00EF3ADB" w:rsidRPr="004D3481">
        <w:rPr>
          <w:rFonts w:ascii="Arial" w:hAnsi="Arial" w:cs="Arial"/>
          <w:i/>
          <w:iCs/>
          <w:sz w:val="24"/>
          <w:szCs w:val="24"/>
        </w:rPr>
        <w:t>de novo</w:t>
      </w:r>
      <w:r w:rsidR="00EF3ADB" w:rsidRPr="004D3481">
        <w:rPr>
          <w:rFonts w:ascii="Arial" w:hAnsi="Arial" w:cs="Arial"/>
          <w:sz w:val="24"/>
          <w:szCs w:val="24"/>
        </w:rPr>
        <w:t xml:space="preserve">, </w:t>
      </w:r>
      <w:r w:rsidR="003F031E" w:rsidRPr="004D3481">
        <w:rPr>
          <w:rFonts w:ascii="Arial" w:hAnsi="Arial" w:cs="Arial"/>
          <w:sz w:val="24"/>
          <w:szCs w:val="24"/>
        </w:rPr>
        <w:t>similarly,</w:t>
      </w:r>
      <w:r w:rsidR="00EF3ADB" w:rsidRPr="004D3481">
        <w:rPr>
          <w:rFonts w:ascii="Arial" w:hAnsi="Arial" w:cs="Arial"/>
          <w:sz w:val="24"/>
          <w:szCs w:val="24"/>
        </w:rPr>
        <w:t xml:space="preserve"> does not engage the High Court’s inherent jurisdiction, as that </w:t>
      </w:r>
      <w:r w:rsidR="001C7984" w:rsidRPr="004D3481">
        <w:rPr>
          <w:rFonts w:ascii="Arial" w:hAnsi="Arial" w:cs="Arial"/>
          <w:sz w:val="24"/>
          <w:szCs w:val="24"/>
        </w:rPr>
        <w:t>decision falls within the purview of the prosecuting authority.</w:t>
      </w:r>
    </w:p>
    <w:p w14:paraId="108A665E" w14:textId="6C9C814B" w:rsidR="001B0D8A" w:rsidRPr="004D3481" w:rsidRDefault="004D3481" w:rsidP="004D3481">
      <w:pPr>
        <w:spacing w:after="120" w:line="360" w:lineRule="auto"/>
        <w:ind w:left="284" w:hanging="360"/>
        <w:jc w:val="both"/>
        <w:rPr>
          <w:rFonts w:ascii="Arial" w:hAnsi="Arial" w:cs="Arial"/>
          <w:sz w:val="24"/>
          <w:szCs w:val="24"/>
        </w:rPr>
      </w:pPr>
      <w:r w:rsidRPr="00807F20">
        <w:rPr>
          <w:rFonts w:ascii="Arial" w:hAnsi="Arial" w:cs="Arial"/>
          <w:sz w:val="24"/>
          <w:szCs w:val="24"/>
        </w:rPr>
        <w:t>26.</w:t>
      </w:r>
      <w:r w:rsidRPr="00807F20">
        <w:rPr>
          <w:rFonts w:ascii="Arial" w:hAnsi="Arial" w:cs="Arial"/>
          <w:sz w:val="24"/>
          <w:szCs w:val="24"/>
        </w:rPr>
        <w:tab/>
      </w:r>
      <w:r w:rsidR="00AA5C71" w:rsidRPr="004D3481">
        <w:rPr>
          <w:rFonts w:ascii="Arial" w:hAnsi="Arial" w:cs="Arial"/>
          <w:sz w:val="24"/>
          <w:szCs w:val="24"/>
        </w:rPr>
        <w:t>The conclusion that, in view of (a) and (b), such cases need not, and should not, be referred for special review by the High Court</w:t>
      </w:r>
      <w:r w:rsidR="00807F20" w:rsidRPr="004D3481">
        <w:rPr>
          <w:rFonts w:ascii="Arial" w:hAnsi="Arial" w:cs="Arial"/>
          <w:sz w:val="24"/>
          <w:szCs w:val="24"/>
        </w:rPr>
        <w:t xml:space="preserve"> is </w:t>
      </w:r>
      <w:r w:rsidR="001B0D8A" w:rsidRPr="004D3481">
        <w:rPr>
          <w:rFonts w:ascii="Arial" w:hAnsi="Arial" w:cs="Arial"/>
          <w:sz w:val="24"/>
          <w:szCs w:val="24"/>
        </w:rPr>
        <w:t xml:space="preserve">both sensible and in the interest of justice. </w:t>
      </w:r>
    </w:p>
    <w:p w14:paraId="664389CF" w14:textId="111943A9" w:rsidR="004C42C2"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4C42C2" w:rsidRPr="004D3481">
        <w:rPr>
          <w:rFonts w:ascii="Arial" w:hAnsi="Arial" w:cs="Arial"/>
          <w:sz w:val="24"/>
          <w:szCs w:val="24"/>
        </w:rPr>
        <w:t>Firstly, f</w:t>
      </w:r>
      <w:r w:rsidR="00EC29F7" w:rsidRPr="004D3481">
        <w:rPr>
          <w:rFonts w:ascii="Arial" w:hAnsi="Arial" w:cs="Arial"/>
          <w:sz w:val="24"/>
          <w:szCs w:val="24"/>
        </w:rPr>
        <w:t>rom a purely practical and logical perspective, i</w:t>
      </w:r>
      <w:r w:rsidR="00B5055E" w:rsidRPr="004D3481">
        <w:rPr>
          <w:rFonts w:ascii="Arial" w:hAnsi="Arial" w:cs="Arial"/>
          <w:sz w:val="24"/>
          <w:szCs w:val="24"/>
        </w:rPr>
        <w:t xml:space="preserve">n cases where a presiding officer is </w:t>
      </w:r>
      <w:proofErr w:type="gramStart"/>
      <w:r w:rsidR="00B5055E" w:rsidRPr="004D3481">
        <w:rPr>
          <w:rFonts w:ascii="Arial" w:hAnsi="Arial" w:cs="Arial"/>
          <w:sz w:val="24"/>
          <w:szCs w:val="24"/>
        </w:rPr>
        <w:t>absolutely unavailable</w:t>
      </w:r>
      <w:proofErr w:type="gramEnd"/>
      <w:r w:rsidR="00B5055E" w:rsidRPr="004D3481">
        <w:rPr>
          <w:rFonts w:ascii="Arial" w:hAnsi="Arial" w:cs="Arial"/>
          <w:sz w:val="24"/>
          <w:szCs w:val="24"/>
        </w:rPr>
        <w:t xml:space="preserve"> to proceed with a trial, it does not require a constitutionally afforded inherent jurisdiction to determine that the trial cannot proceed and that the proceedings thus far should be set aside.</w:t>
      </w:r>
      <w:r w:rsidR="00745233" w:rsidRPr="004D3481">
        <w:rPr>
          <w:rFonts w:ascii="Arial" w:hAnsi="Arial" w:cs="Arial"/>
          <w:sz w:val="24"/>
          <w:szCs w:val="24"/>
        </w:rPr>
        <w:t xml:space="preserve"> </w:t>
      </w:r>
      <w:r w:rsidR="00171919" w:rsidRPr="004D3481">
        <w:rPr>
          <w:rFonts w:ascii="Arial" w:hAnsi="Arial" w:cs="Arial"/>
          <w:sz w:val="24"/>
          <w:szCs w:val="24"/>
        </w:rPr>
        <w:t xml:space="preserve">No order, from any Court, </w:t>
      </w:r>
      <w:r w:rsidR="00F40049" w:rsidRPr="004D3481">
        <w:rPr>
          <w:rFonts w:ascii="Arial" w:hAnsi="Arial" w:cs="Arial"/>
          <w:sz w:val="24"/>
          <w:szCs w:val="24"/>
        </w:rPr>
        <w:t xml:space="preserve">is powerful enough to </w:t>
      </w:r>
      <w:r w:rsidR="003344A6" w:rsidRPr="004D3481">
        <w:rPr>
          <w:rFonts w:ascii="Arial" w:hAnsi="Arial" w:cs="Arial"/>
          <w:sz w:val="24"/>
          <w:szCs w:val="24"/>
        </w:rPr>
        <w:t>transform a factual reality of absolute unavailability or incapacity</w:t>
      </w:r>
      <w:r w:rsidR="00CD1A07" w:rsidRPr="004D3481">
        <w:rPr>
          <w:rFonts w:ascii="Arial" w:hAnsi="Arial" w:cs="Arial"/>
          <w:sz w:val="24"/>
          <w:szCs w:val="24"/>
        </w:rPr>
        <w:t xml:space="preserve"> of </w:t>
      </w:r>
      <w:r w:rsidR="0036695F" w:rsidRPr="004D3481">
        <w:rPr>
          <w:rFonts w:ascii="Arial" w:hAnsi="Arial" w:cs="Arial"/>
          <w:sz w:val="24"/>
          <w:szCs w:val="24"/>
        </w:rPr>
        <w:t>a magistrate (or any person for that matter)</w:t>
      </w:r>
      <w:r w:rsidR="00171919" w:rsidRPr="004D3481">
        <w:rPr>
          <w:rFonts w:ascii="Arial" w:hAnsi="Arial" w:cs="Arial"/>
          <w:sz w:val="24"/>
          <w:szCs w:val="24"/>
        </w:rPr>
        <w:t xml:space="preserve">. </w:t>
      </w:r>
      <w:r w:rsidR="008B0CF4" w:rsidRPr="004D3481">
        <w:rPr>
          <w:rFonts w:ascii="Arial" w:hAnsi="Arial" w:cs="Arial"/>
          <w:sz w:val="24"/>
          <w:szCs w:val="24"/>
        </w:rPr>
        <w:t>Furthermore, logic dictates that</w:t>
      </w:r>
      <w:r w:rsidR="00091199" w:rsidRPr="004D3481">
        <w:rPr>
          <w:rFonts w:ascii="Arial" w:hAnsi="Arial" w:cs="Arial"/>
          <w:sz w:val="24"/>
          <w:szCs w:val="24"/>
        </w:rPr>
        <w:t xml:space="preserve">, once proceedings are set aside, </w:t>
      </w:r>
      <w:r w:rsidR="00B5055E" w:rsidRPr="004D3481">
        <w:rPr>
          <w:rFonts w:ascii="Arial" w:hAnsi="Arial" w:cs="Arial"/>
          <w:sz w:val="24"/>
          <w:szCs w:val="24"/>
        </w:rPr>
        <w:t>the prosecuting authority, for various practical reasons (</w:t>
      </w:r>
      <w:proofErr w:type="spellStart"/>
      <w:r w:rsidR="00911692" w:rsidRPr="004D3481">
        <w:rPr>
          <w:rFonts w:ascii="Arial" w:hAnsi="Arial" w:cs="Arial"/>
          <w:sz w:val="24"/>
          <w:szCs w:val="24"/>
        </w:rPr>
        <w:t>e.g</w:t>
      </w:r>
      <w:proofErr w:type="spellEnd"/>
      <w:r w:rsidR="00911692" w:rsidRPr="004D3481">
        <w:rPr>
          <w:rFonts w:ascii="Arial" w:hAnsi="Arial" w:cs="Arial"/>
          <w:sz w:val="24"/>
          <w:szCs w:val="24"/>
        </w:rPr>
        <w:t xml:space="preserve"> </w:t>
      </w:r>
      <w:r w:rsidR="00B5055E" w:rsidRPr="004D3481">
        <w:rPr>
          <w:rFonts w:ascii="Arial" w:hAnsi="Arial" w:cs="Arial"/>
          <w:sz w:val="24"/>
          <w:szCs w:val="24"/>
        </w:rPr>
        <w:t>availability of witnesses</w:t>
      </w:r>
      <w:r w:rsidR="00911692" w:rsidRPr="004D3481">
        <w:rPr>
          <w:rFonts w:ascii="Arial" w:hAnsi="Arial" w:cs="Arial"/>
          <w:sz w:val="24"/>
          <w:szCs w:val="24"/>
        </w:rPr>
        <w:t>, own internal capacity, changes in legislation etc</w:t>
      </w:r>
      <w:r w:rsidR="00B5055E" w:rsidRPr="004D3481">
        <w:rPr>
          <w:rFonts w:ascii="Arial" w:hAnsi="Arial" w:cs="Arial"/>
          <w:sz w:val="24"/>
          <w:szCs w:val="24"/>
        </w:rPr>
        <w:t xml:space="preserve">) is best suited to determine whether it </w:t>
      </w:r>
      <w:r w:rsidR="008C4A3D" w:rsidRPr="004D3481">
        <w:rPr>
          <w:rFonts w:ascii="Arial" w:hAnsi="Arial" w:cs="Arial"/>
          <w:sz w:val="24"/>
          <w:szCs w:val="24"/>
        </w:rPr>
        <w:t xml:space="preserve">should, or </w:t>
      </w:r>
      <w:r w:rsidR="00B5055E" w:rsidRPr="004D3481">
        <w:rPr>
          <w:rFonts w:ascii="Arial" w:hAnsi="Arial" w:cs="Arial"/>
          <w:sz w:val="24"/>
          <w:szCs w:val="24"/>
        </w:rPr>
        <w:t>wants to</w:t>
      </w:r>
      <w:r w:rsidR="008C4A3D" w:rsidRPr="004D3481">
        <w:rPr>
          <w:rFonts w:ascii="Arial" w:hAnsi="Arial" w:cs="Arial"/>
          <w:sz w:val="24"/>
          <w:szCs w:val="24"/>
        </w:rPr>
        <w:t>,</w:t>
      </w:r>
      <w:r w:rsidR="00B5055E" w:rsidRPr="004D3481">
        <w:rPr>
          <w:rFonts w:ascii="Arial" w:hAnsi="Arial" w:cs="Arial"/>
          <w:sz w:val="24"/>
          <w:szCs w:val="24"/>
        </w:rPr>
        <w:t xml:space="preserve"> commence proceedings afresh against the accused.</w:t>
      </w:r>
    </w:p>
    <w:p w14:paraId="6C44D45B" w14:textId="18BACA8A" w:rsidR="00747CBA"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C42C2" w:rsidRPr="004D3481">
        <w:rPr>
          <w:rFonts w:ascii="Arial" w:hAnsi="Arial" w:cs="Arial"/>
          <w:sz w:val="24"/>
          <w:szCs w:val="24"/>
        </w:rPr>
        <w:t xml:space="preserve">Secondly, </w:t>
      </w:r>
      <w:r w:rsidR="00E3452B" w:rsidRPr="004D3481">
        <w:rPr>
          <w:rFonts w:ascii="Arial" w:hAnsi="Arial" w:cs="Arial"/>
          <w:sz w:val="24"/>
          <w:szCs w:val="24"/>
        </w:rPr>
        <w:t>t</w:t>
      </w:r>
      <w:r w:rsidR="00B5055E" w:rsidRPr="004D3481">
        <w:rPr>
          <w:rFonts w:ascii="Arial" w:hAnsi="Arial" w:cs="Arial"/>
          <w:sz w:val="24"/>
          <w:szCs w:val="24"/>
        </w:rPr>
        <w:t xml:space="preserve">o hold that, </w:t>
      </w:r>
      <w:proofErr w:type="gramStart"/>
      <w:r w:rsidR="00B5055E" w:rsidRPr="004D3481">
        <w:rPr>
          <w:rFonts w:ascii="Arial" w:hAnsi="Arial" w:cs="Arial"/>
          <w:sz w:val="24"/>
          <w:szCs w:val="24"/>
        </w:rPr>
        <w:t xml:space="preserve">regardless of the </w:t>
      </w:r>
      <w:r w:rsidR="004B639C" w:rsidRPr="004D3481">
        <w:rPr>
          <w:rFonts w:ascii="Arial" w:hAnsi="Arial" w:cs="Arial"/>
          <w:sz w:val="24"/>
          <w:szCs w:val="24"/>
        </w:rPr>
        <w:t>fact that</w:t>
      </w:r>
      <w:proofErr w:type="gramEnd"/>
      <w:r w:rsidR="004B639C" w:rsidRPr="004D3481">
        <w:rPr>
          <w:rFonts w:ascii="Arial" w:hAnsi="Arial" w:cs="Arial"/>
          <w:sz w:val="24"/>
          <w:szCs w:val="24"/>
        </w:rPr>
        <w:t xml:space="preserve"> proceedings had already been set aside </w:t>
      </w:r>
      <w:r w:rsidR="002F71FA" w:rsidRPr="004D3481">
        <w:rPr>
          <w:rFonts w:ascii="Arial" w:hAnsi="Arial" w:cs="Arial"/>
          <w:i/>
          <w:iCs/>
          <w:color w:val="404040" w:themeColor="text1" w:themeTint="BF"/>
          <w:sz w:val="24"/>
          <w:szCs w:val="24"/>
        </w:rPr>
        <w:t xml:space="preserve">ex </w:t>
      </w:r>
      <w:proofErr w:type="spellStart"/>
      <w:r w:rsidR="002F71FA" w:rsidRPr="004D3481">
        <w:rPr>
          <w:rFonts w:ascii="Arial" w:hAnsi="Arial" w:cs="Arial"/>
          <w:i/>
          <w:iCs/>
          <w:color w:val="404040" w:themeColor="text1" w:themeTint="BF"/>
          <w:sz w:val="24"/>
          <w:szCs w:val="24"/>
        </w:rPr>
        <w:t>lege</w:t>
      </w:r>
      <w:proofErr w:type="spellEnd"/>
      <w:r w:rsidR="002F71FA" w:rsidRPr="004D3481">
        <w:rPr>
          <w:rFonts w:ascii="Arial" w:hAnsi="Arial" w:cs="Arial"/>
          <w:color w:val="404040" w:themeColor="text1" w:themeTint="BF"/>
          <w:sz w:val="24"/>
          <w:szCs w:val="24"/>
        </w:rPr>
        <w:t xml:space="preserve"> </w:t>
      </w:r>
      <w:r w:rsidR="002F71FA" w:rsidRPr="004D3481">
        <w:rPr>
          <w:rFonts w:ascii="Arial" w:hAnsi="Arial" w:cs="Arial"/>
          <w:sz w:val="24"/>
          <w:szCs w:val="24"/>
        </w:rPr>
        <w:t>at the time of the recusal,</w:t>
      </w:r>
      <w:r w:rsidR="00B5055E" w:rsidRPr="004D3481">
        <w:rPr>
          <w:rFonts w:ascii="Arial" w:hAnsi="Arial" w:cs="Arial"/>
          <w:sz w:val="24"/>
          <w:szCs w:val="24"/>
        </w:rPr>
        <w:t xml:space="preserve"> an accused should tolerate Damocles’ sword</w:t>
      </w:r>
      <w:r w:rsidR="008C4A3D" w:rsidRPr="004D3481">
        <w:rPr>
          <w:rFonts w:ascii="Arial" w:hAnsi="Arial" w:cs="Arial"/>
          <w:sz w:val="24"/>
          <w:szCs w:val="24"/>
        </w:rPr>
        <w:t xml:space="preserve"> precariously dangling</w:t>
      </w:r>
      <w:r w:rsidR="00B5055E" w:rsidRPr="004D3481">
        <w:rPr>
          <w:rFonts w:ascii="Arial" w:hAnsi="Arial" w:cs="Arial"/>
          <w:sz w:val="24"/>
          <w:szCs w:val="24"/>
        </w:rPr>
        <w:t xml:space="preserve"> over his head, whilst the matter proceeds through the review process, is unnecessarily burdensome and an infringement of the accused’s </w:t>
      </w:r>
      <w:r w:rsidR="00034F86" w:rsidRPr="004D3481">
        <w:rPr>
          <w:rFonts w:ascii="Arial" w:hAnsi="Arial" w:cs="Arial"/>
          <w:sz w:val="24"/>
          <w:szCs w:val="24"/>
        </w:rPr>
        <w:t xml:space="preserve">constitutionally enshrined rights. </w:t>
      </w:r>
    </w:p>
    <w:p w14:paraId="5AE55745" w14:textId="620E6618" w:rsidR="00132F76" w:rsidRPr="004D3481" w:rsidRDefault="004D3481" w:rsidP="004D3481">
      <w:pPr>
        <w:spacing w:after="120" w:line="360" w:lineRule="auto"/>
        <w:ind w:left="284" w:hanging="36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073DF" w:rsidRPr="004D3481">
        <w:rPr>
          <w:rFonts w:ascii="Arial" w:hAnsi="Arial" w:cs="Arial"/>
          <w:sz w:val="24"/>
          <w:szCs w:val="24"/>
        </w:rPr>
        <w:t>For instance, i</w:t>
      </w:r>
      <w:r w:rsidR="0084590D" w:rsidRPr="004D3481">
        <w:rPr>
          <w:rFonts w:ascii="Arial" w:hAnsi="Arial" w:cs="Arial"/>
          <w:sz w:val="24"/>
          <w:szCs w:val="24"/>
        </w:rPr>
        <w:t>n cases where bail had been granted</w:t>
      </w:r>
      <w:r w:rsidR="00655F43" w:rsidRPr="004D3481">
        <w:rPr>
          <w:rFonts w:ascii="Arial" w:hAnsi="Arial" w:cs="Arial"/>
          <w:sz w:val="24"/>
          <w:szCs w:val="24"/>
        </w:rPr>
        <w:t xml:space="preserve">, such as the present one, </w:t>
      </w:r>
      <w:r w:rsidR="0038210A" w:rsidRPr="004D3481">
        <w:rPr>
          <w:rFonts w:ascii="Arial" w:hAnsi="Arial" w:cs="Arial"/>
          <w:sz w:val="24"/>
          <w:szCs w:val="24"/>
        </w:rPr>
        <w:t>the accused</w:t>
      </w:r>
      <w:r w:rsidR="00747CBA" w:rsidRPr="004D3481">
        <w:rPr>
          <w:rFonts w:ascii="Arial" w:hAnsi="Arial" w:cs="Arial"/>
          <w:sz w:val="24"/>
          <w:szCs w:val="24"/>
        </w:rPr>
        <w:t>’s</w:t>
      </w:r>
      <w:r w:rsidR="0038210A" w:rsidRPr="004D3481">
        <w:rPr>
          <w:rFonts w:ascii="Arial" w:hAnsi="Arial" w:cs="Arial"/>
          <w:sz w:val="24"/>
          <w:szCs w:val="24"/>
        </w:rPr>
        <w:t xml:space="preserve"> right to have </w:t>
      </w:r>
      <w:r w:rsidR="00F376A8" w:rsidRPr="004D3481">
        <w:rPr>
          <w:rFonts w:ascii="Arial" w:hAnsi="Arial" w:cs="Arial"/>
          <w:sz w:val="24"/>
          <w:szCs w:val="24"/>
        </w:rPr>
        <w:t>his trial begin and end withou</w:t>
      </w:r>
      <w:r w:rsidR="00932222" w:rsidRPr="004D3481">
        <w:rPr>
          <w:rFonts w:ascii="Arial" w:hAnsi="Arial" w:cs="Arial"/>
          <w:sz w:val="24"/>
          <w:szCs w:val="24"/>
        </w:rPr>
        <w:t xml:space="preserve">t </w:t>
      </w:r>
      <w:r w:rsidR="00F376A8" w:rsidRPr="004D3481">
        <w:rPr>
          <w:rFonts w:ascii="Arial" w:hAnsi="Arial" w:cs="Arial"/>
          <w:sz w:val="24"/>
          <w:szCs w:val="24"/>
        </w:rPr>
        <w:t>unreasonable delay</w:t>
      </w:r>
      <w:r w:rsidR="00132F76" w:rsidRPr="004D3481">
        <w:rPr>
          <w:rFonts w:ascii="Arial" w:hAnsi="Arial" w:cs="Arial"/>
          <w:sz w:val="24"/>
          <w:szCs w:val="24"/>
        </w:rPr>
        <w:t>,</w:t>
      </w:r>
      <w:r w:rsidR="00D909E0" w:rsidRPr="004D3481">
        <w:rPr>
          <w:rFonts w:ascii="Arial" w:hAnsi="Arial" w:cs="Arial"/>
          <w:sz w:val="24"/>
          <w:szCs w:val="24"/>
        </w:rPr>
        <w:t xml:space="preserve"> in terms of Section 35(3)(d) of the Constitution</w:t>
      </w:r>
      <w:r w:rsidR="00132F76" w:rsidRPr="004D3481">
        <w:rPr>
          <w:rFonts w:ascii="Arial" w:hAnsi="Arial" w:cs="Arial"/>
          <w:sz w:val="24"/>
          <w:szCs w:val="24"/>
        </w:rPr>
        <w:t>,</w:t>
      </w:r>
      <w:r w:rsidR="00D909E0" w:rsidRPr="004D3481">
        <w:rPr>
          <w:rFonts w:ascii="Arial" w:hAnsi="Arial" w:cs="Arial"/>
          <w:sz w:val="24"/>
          <w:szCs w:val="24"/>
        </w:rPr>
        <w:t xml:space="preserve"> would be infringed upon, at the very least</w:t>
      </w:r>
      <w:r w:rsidR="008B3854" w:rsidRPr="004D3481">
        <w:rPr>
          <w:rFonts w:ascii="Arial" w:hAnsi="Arial" w:cs="Arial"/>
          <w:sz w:val="24"/>
          <w:szCs w:val="24"/>
        </w:rPr>
        <w:t>.</w:t>
      </w:r>
      <w:r w:rsidR="00C93D0D" w:rsidRPr="004D3481">
        <w:rPr>
          <w:rFonts w:ascii="Arial" w:hAnsi="Arial" w:cs="Arial"/>
          <w:sz w:val="24"/>
          <w:szCs w:val="24"/>
        </w:rPr>
        <w:t xml:space="preserve"> </w:t>
      </w:r>
    </w:p>
    <w:p w14:paraId="6E761A85" w14:textId="63FDAA85" w:rsidR="002C2417" w:rsidRPr="004D3481" w:rsidRDefault="004D3481" w:rsidP="004D3481">
      <w:pPr>
        <w:spacing w:after="120" w:line="360" w:lineRule="auto"/>
        <w:ind w:left="284" w:hanging="360"/>
        <w:jc w:val="both"/>
        <w:rPr>
          <w:rFonts w:ascii="Arial" w:hAnsi="Arial" w:cs="Arial"/>
          <w:sz w:val="24"/>
          <w:szCs w:val="24"/>
        </w:rPr>
      </w:pPr>
      <w:r w:rsidRPr="00811A99">
        <w:rPr>
          <w:rFonts w:ascii="Arial" w:hAnsi="Arial" w:cs="Arial"/>
          <w:sz w:val="24"/>
          <w:szCs w:val="24"/>
        </w:rPr>
        <w:t>30.</w:t>
      </w:r>
      <w:r w:rsidRPr="00811A99">
        <w:rPr>
          <w:rFonts w:ascii="Arial" w:hAnsi="Arial" w:cs="Arial"/>
          <w:sz w:val="24"/>
          <w:szCs w:val="24"/>
        </w:rPr>
        <w:tab/>
      </w:r>
      <w:r w:rsidR="00250BDE" w:rsidRPr="004D3481">
        <w:rPr>
          <w:rFonts w:ascii="Arial" w:hAnsi="Arial" w:cs="Arial"/>
          <w:sz w:val="24"/>
          <w:szCs w:val="24"/>
        </w:rPr>
        <w:t xml:space="preserve">Even more disconcerting is the position of an accused who was not granted bail. </w:t>
      </w:r>
      <w:r w:rsidR="00C60BFA" w:rsidRPr="004D3481">
        <w:rPr>
          <w:rFonts w:ascii="Arial" w:hAnsi="Arial" w:cs="Arial"/>
          <w:sz w:val="24"/>
          <w:szCs w:val="24"/>
        </w:rPr>
        <w:t xml:space="preserve">For instance, </w:t>
      </w:r>
      <w:r w:rsidR="004033E4" w:rsidRPr="004D3481">
        <w:rPr>
          <w:rFonts w:ascii="Arial" w:hAnsi="Arial" w:cs="Arial"/>
          <w:sz w:val="24"/>
          <w:szCs w:val="24"/>
        </w:rPr>
        <w:t xml:space="preserve">if the accused </w:t>
      </w:r>
      <w:r w:rsidR="004033E4" w:rsidRPr="004D3481">
        <w:rPr>
          <w:rFonts w:ascii="Arial" w:hAnsi="Arial" w:cs="Arial"/>
          <w:i/>
          <w:iCs/>
          <w:sz w:val="24"/>
          <w:szCs w:val="24"/>
        </w:rPr>
        <w:t xml:space="preserve">in </w:t>
      </w:r>
      <w:proofErr w:type="spellStart"/>
      <w:r w:rsidR="004033E4" w:rsidRPr="004D3481">
        <w:rPr>
          <w:rFonts w:ascii="Arial" w:hAnsi="Arial" w:cs="Arial"/>
          <w:i/>
          <w:iCs/>
          <w:sz w:val="24"/>
          <w:szCs w:val="24"/>
        </w:rPr>
        <w:t>casu</w:t>
      </w:r>
      <w:proofErr w:type="spellEnd"/>
      <w:r w:rsidR="004033E4" w:rsidRPr="004D3481">
        <w:rPr>
          <w:rFonts w:ascii="Arial" w:hAnsi="Arial" w:cs="Arial"/>
          <w:sz w:val="24"/>
          <w:szCs w:val="24"/>
        </w:rPr>
        <w:t xml:space="preserve"> had not been granted bail, </w:t>
      </w:r>
      <w:r w:rsidR="000A6D3A" w:rsidRPr="004D3481">
        <w:rPr>
          <w:rFonts w:ascii="Arial" w:hAnsi="Arial" w:cs="Arial"/>
          <w:sz w:val="24"/>
          <w:szCs w:val="24"/>
        </w:rPr>
        <w:t xml:space="preserve">he would have been </w:t>
      </w:r>
      <w:r w:rsidR="00A36008" w:rsidRPr="004D3481">
        <w:rPr>
          <w:rFonts w:ascii="Arial" w:hAnsi="Arial" w:cs="Arial"/>
          <w:sz w:val="24"/>
          <w:szCs w:val="24"/>
        </w:rPr>
        <w:t>remained incarcerated from the date of recusal, until date of finalisation of this judgment.</w:t>
      </w:r>
      <w:r w:rsidR="009604C1" w:rsidRPr="004D3481">
        <w:rPr>
          <w:rFonts w:ascii="Arial" w:hAnsi="Arial" w:cs="Arial"/>
          <w:sz w:val="24"/>
          <w:szCs w:val="24"/>
        </w:rPr>
        <w:t xml:space="preserve">, </w:t>
      </w:r>
      <w:proofErr w:type="gramStart"/>
      <w:r w:rsidR="009604C1" w:rsidRPr="004D3481">
        <w:rPr>
          <w:rFonts w:ascii="Arial" w:hAnsi="Arial" w:cs="Arial"/>
          <w:sz w:val="24"/>
          <w:szCs w:val="24"/>
        </w:rPr>
        <w:t>despite the fact that</w:t>
      </w:r>
      <w:proofErr w:type="gramEnd"/>
      <w:r w:rsidR="009604C1" w:rsidRPr="004D3481">
        <w:rPr>
          <w:rFonts w:ascii="Arial" w:hAnsi="Arial" w:cs="Arial"/>
          <w:sz w:val="24"/>
          <w:szCs w:val="24"/>
        </w:rPr>
        <w:t>, immediately after the recusal, the proceedings against him “vanished”</w:t>
      </w:r>
      <w:r w:rsidR="00400C9E" w:rsidRPr="004D3481">
        <w:rPr>
          <w:rFonts w:ascii="Arial" w:hAnsi="Arial" w:cs="Arial"/>
          <w:sz w:val="24"/>
          <w:szCs w:val="24"/>
        </w:rPr>
        <w:t xml:space="preserve"> </w:t>
      </w:r>
      <w:r w:rsidR="00446A84" w:rsidRPr="004D3481">
        <w:rPr>
          <w:rFonts w:ascii="Arial" w:hAnsi="Arial" w:cs="Arial"/>
          <w:sz w:val="24"/>
          <w:szCs w:val="24"/>
        </w:rPr>
        <w:t>as they were</w:t>
      </w:r>
      <w:r w:rsidR="00400C9E" w:rsidRPr="004D3481">
        <w:rPr>
          <w:rFonts w:ascii="Arial" w:hAnsi="Arial" w:cs="Arial"/>
          <w:sz w:val="24"/>
          <w:szCs w:val="24"/>
        </w:rPr>
        <w:t xml:space="preserve"> set aside </w:t>
      </w:r>
      <w:r w:rsidR="00400C9E" w:rsidRPr="004D3481">
        <w:rPr>
          <w:rFonts w:ascii="Arial" w:hAnsi="Arial" w:cs="Arial"/>
          <w:i/>
          <w:iCs/>
          <w:sz w:val="24"/>
          <w:szCs w:val="24"/>
        </w:rPr>
        <w:t xml:space="preserve">ex </w:t>
      </w:r>
      <w:proofErr w:type="spellStart"/>
      <w:r w:rsidR="00400C9E" w:rsidRPr="004D3481">
        <w:rPr>
          <w:rFonts w:ascii="Arial" w:hAnsi="Arial" w:cs="Arial"/>
          <w:i/>
          <w:iCs/>
          <w:sz w:val="24"/>
          <w:szCs w:val="24"/>
        </w:rPr>
        <w:t>lege</w:t>
      </w:r>
      <w:proofErr w:type="spellEnd"/>
      <w:r w:rsidR="002A6F41" w:rsidRPr="004D3481">
        <w:rPr>
          <w:rFonts w:ascii="Arial" w:hAnsi="Arial" w:cs="Arial"/>
          <w:sz w:val="24"/>
          <w:szCs w:val="24"/>
        </w:rPr>
        <w:t>.</w:t>
      </w:r>
      <w:r w:rsidR="00544200" w:rsidRPr="004D3481">
        <w:rPr>
          <w:rFonts w:ascii="Arial" w:hAnsi="Arial" w:cs="Arial"/>
          <w:sz w:val="24"/>
          <w:szCs w:val="24"/>
        </w:rPr>
        <w:t xml:space="preserve"> He would have remained incarcerated over the entire Christmas period</w:t>
      </w:r>
      <w:r w:rsidR="00E6579E" w:rsidRPr="004D3481">
        <w:rPr>
          <w:rFonts w:ascii="Arial" w:hAnsi="Arial" w:cs="Arial"/>
          <w:sz w:val="24"/>
          <w:szCs w:val="24"/>
        </w:rPr>
        <w:t>, awaiting this judgment</w:t>
      </w:r>
      <w:r w:rsidR="00AD39E1" w:rsidRPr="004D3481">
        <w:rPr>
          <w:rFonts w:ascii="Arial" w:hAnsi="Arial" w:cs="Arial"/>
          <w:sz w:val="24"/>
          <w:szCs w:val="24"/>
        </w:rPr>
        <w:t xml:space="preserve"> – which serves only to confirm that proceedings against him had been set aside automatically on the 10</w:t>
      </w:r>
      <w:r w:rsidR="00AD39E1" w:rsidRPr="004D3481">
        <w:rPr>
          <w:rFonts w:ascii="Arial" w:hAnsi="Arial" w:cs="Arial"/>
          <w:sz w:val="24"/>
          <w:szCs w:val="24"/>
          <w:vertAlign w:val="superscript"/>
        </w:rPr>
        <w:t>th</w:t>
      </w:r>
      <w:r w:rsidR="00AD39E1" w:rsidRPr="004D3481">
        <w:rPr>
          <w:rFonts w:ascii="Arial" w:hAnsi="Arial" w:cs="Arial"/>
          <w:sz w:val="24"/>
          <w:szCs w:val="24"/>
        </w:rPr>
        <w:t xml:space="preserve"> of November 2023. </w:t>
      </w:r>
      <w:r w:rsidR="007F2FE6" w:rsidRPr="004D3481">
        <w:rPr>
          <w:rFonts w:ascii="Arial" w:hAnsi="Arial" w:cs="Arial"/>
          <w:sz w:val="24"/>
          <w:szCs w:val="24"/>
        </w:rPr>
        <w:t xml:space="preserve">Whilst this judgment was being </w:t>
      </w:r>
      <w:r w:rsidR="00DB4652" w:rsidRPr="004D3481">
        <w:rPr>
          <w:rFonts w:ascii="Arial" w:hAnsi="Arial" w:cs="Arial"/>
          <w:sz w:val="24"/>
          <w:szCs w:val="24"/>
        </w:rPr>
        <w:t xml:space="preserve">checked for </w:t>
      </w:r>
      <w:r w:rsidR="00405DB2" w:rsidRPr="004D3481">
        <w:rPr>
          <w:rFonts w:ascii="Arial" w:hAnsi="Arial" w:cs="Arial"/>
          <w:sz w:val="24"/>
          <w:szCs w:val="24"/>
        </w:rPr>
        <w:t>typing</w:t>
      </w:r>
      <w:r w:rsidR="00DB4652" w:rsidRPr="004D3481">
        <w:rPr>
          <w:rFonts w:ascii="Arial" w:hAnsi="Arial" w:cs="Arial"/>
          <w:sz w:val="24"/>
          <w:szCs w:val="24"/>
        </w:rPr>
        <w:t xml:space="preserve"> errors, h</w:t>
      </w:r>
      <w:r w:rsidR="00CF0F52" w:rsidRPr="004D3481">
        <w:rPr>
          <w:rFonts w:ascii="Arial" w:hAnsi="Arial" w:cs="Arial"/>
          <w:sz w:val="24"/>
          <w:szCs w:val="24"/>
        </w:rPr>
        <w:t>e would have</w:t>
      </w:r>
      <w:r w:rsidR="00DB4652" w:rsidRPr="004D3481">
        <w:rPr>
          <w:rFonts w:ascii="Arial" w:hAnsi="Arial" w:cs="Arial"/>
          <w:sz w:val="24"/>
          <w:szCs w:val="24"/>
        </w:rPr>
        <w:t xml:space="preserve"> had to</w:t>
      </w:r>
      <w:r w:rsidR="00CF0F52" w:rsidRPr="004D3481">
        <w:rPr>
          <w:rFonts w:ascii="Arial" w:hAnsi="Arial" w:cs="Arial"/>
          <w:sz w:val="24"/>
          <w:szCs w:val="24"/>
        </w:rPr>
        <w:t xml:space="preserve"> endure </w:t>
      </w:r>
      <w:r w:rsidR="00C929F0" w:rsidRPr="004D3481">
        <w:rPr>
          <w:rFonts w:ascii="Arial" w:hAnsi="Arial" w:cs="Arial"/>
          <w:sz w:val="24"/>
          <w:szCs w:val="24"/>
        </w:rPr>
        <w:t xml:space="preserve">being deprived </w:t>
      </w:r>
      <w:r w:rsidR="00BA7DF9" w:rsidRPr="004D3481">
        <w:rPr>
          <w:rFonts w:ascii="Arial" w:hAnsi="Arial" w:cs="Arial"/>
          <w:sz w:val="24"/>
          <w:szCs w:val="24"/>
        </w:rPr>
        <w:t>of</w:t>
      </w:r>
      <w:r w:rsidR="00091B20" w:rsidRPr="004D3481">
        <w:rPr>
          <w:rFonts w:ascii="Arial" w:hAnsi="Arial" w:cs="Arial"/>
          <w:sz w:val="24"/>
          <w:szCs w:val="24"/>
        </w:rPr>
        <w:t xml:space="preserve">, to name but a few, </w:t>
      </w:r>
      <w:r w:rsidR="00021816" w:rsidRPr="004D3481">
        <w:rPr>
          <w:rFonts w:ascii="Arial" w:hAnsi="Arial" w:cs="Arial"/>
          <w:sz w:val="24"/>
          <w:szCs w:val="24"/>
        </w:rPr>
        <w:t xml:space="preserve">his </w:t>
      </w:r>
      <w:r w:rsidR="00BA7DF9" w:rsidRPr="004D3481">
        <w:rPr>
          <w:rFonts w:ascii="Arial" w:hAnsi="Arial" w:cs="Arial"/>
          <w:sz w:val="24"/>
          <w:szCs w:val="24"/>
        </w:rPr>
        <w:t xml:space="preserve">Sections 12, 35(2)(d) and 35(3)(d) </w:t>
      </w:r>
      <w:r w:rsidR="00021816" w:rsidRPr="004D3481">
        <w:rPr>
          <w:rFonts w:ascii="Arial" w:hAnsi="Arial" w:cs="Arial"/>
          <w:sz w:val="24"/>
          <w:szCs w:val="24"/>
        </w:rPr>
        <w:t>rights</w:t>
      </w:r>
      <w:r w:rsidR="002414E3" w:rsidRPr="004D3481">
        <w:rPr>
          <w:rFonts w:ascii="Arial" w:hAnsi="Arial" w:cs="Arial"/>
          <w:sz w:val="24"/>
          <w:szCs w:val="24"/>
        </w:rPr>
        <w:t xml:space="preserve"> on a daily </w:t>
      </w:r>
      <w:r w:rsidR="00383964" w:rsidRPr="004D3481">
        <w:rPr>
          <w:rFonts w:ascii="Arial" w:hAnsi="Arial" w:cs="Arial"/>
          <w:sz w:val="24"/>
          <w:szCs w:val="24"/>
        </w:rPr>
        <w:t xml:space="preserve">and </w:t>
      </w:r>
      <w:r w:rsidR="006D7257" w:rsidRPr="004D3481">
        <w:rPr>
          <w:rFonts w:ascii="Arial" w:hAnsi="Arial" w:cs="Arial"/>
          <w:sz w:val="24"/>
          <w:szCs w:val="24"/>
        </w:rPr>
        <w:t xml:space="preserve">extremely prejudicial </w:t>
      </w:r>
      <w:r w:rsidR="002414E3" w:rsidRPr="004D3481">
        <w:rPr>
          <w:rFonts w:ascii="Arial" w:hAnsi="Arial" w:cs="Arial"/>
          <w:sz w:val="24"/>
          <w:szCs w:val="24"/>
        </w:rPr>
        <w:t>basis</w:t>
      </w:r>
      <w:r w:rsidR="00650656" w:rsidRPr="004D3481">
        <w:rPr>
          <w:rFonts w:ascii="Arial" w:hAnsi="Arial" w:cs="Arial"/>
          <w:sz w:val="24"/>
          <w:szCs w:val="24"/>
        </w:rPr>
        <w:t xml:space="preserve"> – all because of a</w:t>
      </w:r>
      <w:r w:rsidR="007C17C7" w:rsidRPr="004D3481">
        <w:rPr>
          <w:rFonts w:ascii="Arial" w:hAnsi="Arial" w:cs="Arial"/>
          <w:sz w:val="24"/>
          <w:szCs w:val="24"/>
        </w:rPr>
        <w:t xml:space="preserve"> poorly worded statute </w:t>
      </w:r>
      <w:r w:rsidR="009D04FB" w:rsidRPr="004D3481">
        <w:rPr>
          <w:rFonts w:ascii="Arial" w:hAnsi="Arial" w:cs="Arial"/>
          <w:sz w:val="24"/>
          <w:szCs w:val="24"/>
        </w:rPr>
        <w:t xml:space="preserve">written </w:t>
      </w:r>
      <w:r w:rsidR="00435BA3" w:rsidRPr="004D3481">
        <w:rPr>
          <w:rFonts w:ascii="Arial" w:hAnsi="Arial" w:cs="Arial"/>
          <w:sz w:val="24"/>
          <w:szCs w:val="24"/>
        </w:rPr>
        <w:t>dating from a time when</w:t>
      </w:r>
      <w:r w:rsidR="00A72157" w:rsidRPr="004D3481">
        <w:rPr>
          <w:rFonts w:ascii="Arial" w:hAnsi="Arial" w:cs="Arial"/>
          <w:sz w:val="24"/>
          <w:szCs w:val="24"/>
        </w:rPr>
        <w:t xml:space="preserve"> the</w:t>
      </w:r>
      <w:r w:rsidR="00435BA3" w:rsidRPr="004D3481">
        <w:rPr>
          <w:rFonts w:ascii="Arial" w:hAnsi="Arial" w:cs="Arial"/>
          <w:sz w:val="24"/>
          <w:szCs w:val="24"/>
        </w:rPr>
        <w:t xml:space="preserve"> concept of a Bill of Rights</w:t>
      </w:r>
      <w:r w:rsidR="00FC429C" w:rsidRPr="004D3481">
        <w:rPr>
          <w:rFonts w:ascii="Arial" w:hAnsi="Arial" w:cs="Arial"/>
          <w:sz w:val="24"/>
          <w:szCs w:val="24"/>
        </w:rPr>
        <w:t xml:space="preserve"> was a pie in the sky</w:t>
      </w:r>
      <w:r w:rsidR="00435BA3" w:rsidRPr="004D3481">
        <w:rPr>
          <w:rFonts w:ascii="Arial" w:hAnsi="Arial" w:cs="Arial"/>
          <w:sz w:val="24"/>
          <w:szCs w:val="24"/>
        </w:rPr>
        <w:t>.</w:t>
      </w:r>
      <w:r w:rsidR="002414E3" w:rsidRPr="004D3481">
        <w:rPr>
          <w:rFonts w:ascii="Arial" w:hAnsi="Arial" w:cs="Arial"/>
          <w:sz w:val="24"/>
          <w:szCs w:val="24"/>
        </w:rPr>
        <w:t xml:space="preserve"> </w:t>
      </w:r>
    </w:p>
    <w:p w14:paraId="1C8580DB" w14:textId="0C37F879" w:rsidR="00C0021C" w:rsidRPr="004D3481" w:rsidRDefault="004D3481" w:rsidP="004D3481">
      <w:pPr>
        <w:spacing w:after="120" w:line="360" w:lineRule="auto"/>
        <w:ind w:left="284" w:hanging="360"/>
        <w:jc w:val="both"/>
        <w:rPr>
          <w:rFonts w:ascii="Arial" w:hAnsi="Arial" w:cs="Arial"/>
          <w:sz w:val="24"/>
          <w:szCs w:val="24"/>
        </w:rPr>
      </w:pPr>
      <w:r w:rsidRPr="00740F22">
        <w:rPr>
          <w:rFonts w:ascii="Arial" w:hAnsi="Arial" w:cs="Arial"/>
          <w:sz w:val="24"/>
          <w:szCs w:val="24"/>
        </w:rPr>
        <w:t>31.</w:t>
      </w:r>
      <w:r w:rsidRPr="00740F22">
        <w:rPr>
          <w:rFonts w:ascii="Arial" w:hAnsi="Arial" w:cs="Arial"/>
          <w:sz w:val="24"/>
          <w:szCs w:val="24"/>
        </w:rPr>
        <w:tab/>
      </w:r>
      <w:r w:rsidR="00755232" w:rsidRPr="004D3481">
        <w:rPr>
          <w:rFonts w:ascii="Arial" w:hAnsi="Arial" w:cs="Arial"/>
          <w:sz w:val="24"/>
          <w:szCs w:val="24"/>
        </w:rPr>
        <w:t xml:space="preserve">It is therefore important to </w:t>
      </w:r>
      <w:r w:rsidR="00F20138" w:rsidRPr="004D3481">
        <w:rPr>
          <w:rFonts w:ascii="Arial" w:hAnsi="Arial" w:cs="Arial"/>
          <w:sz w:val="24"/>
          <w:szCs w:val="24"/>
        </w:rPr>
        <w:t xml:space="preserve">appreciate that, despite the finding herein, </w:t>
      </w:r>
      <w:r w:rsidR="0090468F" w:rsidRPr="004D3481">
        <w:rPr>
          <w:rFonts w:ascii="Arial" w:hAnsi="Arial" w:cs="Arial"/>
          <w:sz w:val="24"/>
          <w:szCs w:val="24"/>
        </w:rPr>
        <w:t xml:space="preserve">one cannot </w:t>
      </w:r>
      <w:r w:rsidR="005F1001" w:rsidRPr="004D3481">
        <w:rPr>
          <w:rFonts w:ascii="Arial" w:hAnsi="Arial" w:cs="Arial"/>
          <w:sz w:val="24"/>
          <w:szCs w:val="24"/>
        </w:rPr>
        <w:t>fault the Acting Senior Magistrate for his cautious approach</w:t>
      </w:r>
      <w:r w:rsidR="00740F22" w:rsidRPr="004D3481">
        <w:rPr>
          <w:rFonts w:ascii="Arial" w:hAnsi="Arial" w:cs="Arial"/>
          <w:sz w:val="24"/>
          <w:szCs w:val="24"/>
        </w:rPr>
        <w:t>.</w:t>
      </w:r>
      <w:r w:rsidR="005F1001" w:rsidRPr="004D3481">
        <w:rPr>
          <w:rFonts w:ascii="Arial" w:hAnsi="Arial" w:cs="Arial"/>
          <w:sz w:val="24"/>
          <w:szCs w:val="24"/>
        </w:rPr>
        <w:t xml:space="preserve"> </w:t>
      </w:r>
      <w:r w:rsidR="00D71DB0" w:rsidRPr="004D3481">
        <w:rPr>
          <w:rFonts w:ascii="Arial" w:hAnsi="Arial" w:cs="Arial"/>
          <w:sz w:val="24"/>
          <w:szCs w:val="24"/>
        </w:rPr>
        <w:t>The Magistracy</w:t>
      </w:r>
      <w:r w:rsidR="009041A3" w:rsidRPr="004D3481">
        <w:rPr>
          <w:rFonts w:ascii="Arial" w:hAnsi="Arial" w:cs="Arial"/>
          <w:sz w:val="24"/>
          <w:szCs w:val="24"/>
        </w:rPr>
        <w:t xml:space="preserve">’s </w:t>
      </w:r>
      <w:r w:rsidR="0038178B" w:rsidRPr="004D3481">
        <w:rPr>
          <w:rFonts w:ascii="Arial" w:hAnsi="Arial" w:cs="Arial"/>
          <w:sz w:val="24"/>
          <w:szCs w:val="24"/>
        </w:rPr>
        <w:t>authority is</w:t>
      </w:r>
      <w:r w:rsidR="00080E14" w:rsidRPr="004D3481">
        <w:rPr>
          <w:rFonts w:ascii="Arial" w:hAnsi="Arial" w:cs="Arial"/>
          <w:sz w:val="24"/>
          <w:szCs w:val="24"/>
        </w:rPr>
        <w:t>, after all,</w:t>
      </w:r>
      <w:r w:rsidR="0038178B" w:rsidRPr="004D3481">
        <w:rPr>
          <w:rFonts w:ascii="Arial" w:hAnsi="Arial" w:cs="Arial"/>
          <w:sz w:val="24"/>
          <w:szCs w:val="24"/>
        </w:rPr>
        <w:t xml:space="preserve"> bound in statute</w:t>
      </w:r>
      <w:r w:rsidR="00080E14" w:rsidRPr="004D3481">
        <w:rPr>
          <w:rFonts w:ascii="Arial" w:hAnsi="Arial" w:cs="Arial"/>
          <w:sz w:val="24"/>
          <w:szCs w:val="24"/>
        </w:rPr>
        <w:t xml:space="preserve"> and the</w:t>
      </w:r>
      <w:r w:rsidR="00914026" w:rsidRPr="004D3481">
        <w:rPr>
          <w:rFonts w:ascii="Arial" w:hAnsi="Arial" w:cs="Arial"/>
          <w:sz w:val="24"/>
          <w:szCs w:val="24"/>
        </w:rPr>
        <w:t xml:space="preserve"> prevailing statute, t</w:t>
      </w:r>
      <w:r w:rsidR="006077C4" w:rsidRPr="004D3481">
        <w:rPr>
          <w:rFonts w:ascii="Arial" w:hAnsi="Arial" w:cs="Arial"/>
          <w:sz w:val="24"/>
          <w:szCs w:val="24"/>
        </w:rPr>
        <w:t xml:space="preserve">he </w:t>
      </w:r>
      <w:r w:rsidR="00EB71FB" w:rsidRPr="004D3481">
        <w:rPr>
          <w:rFonts w:ascii="Arial" w:hAnsi="Arial" w:cs="Arial"/>
          <w:sz w:val="24"/>
          <w:szCs w:val="24"/>
        </w:rPr>
        <w:t>CPA</w:t>
      </w:r>
      <w:r w:rsidR="00F95952" w:rsidRPr="004D3481">
        <w:rPr>
          <w:rFonts w:ascii="Arial" w:hAnsi="Arial" w:cs="Arial"/>
          <w:sz w:val="24"/>
          <w:szCs w:val="24"/>
        </w:rPr>
        <w:t xml:space="preserve"> has</w:t>
      </w:r>
      <w:r w:rsidR="008B2E01" w:rsidRPr="004D3481">
        <w:rPr>
          <w:rFonts w:ascii="Arial" w:hAnsi="Arial" w:cs="Arial"/>
          <w:sz w:val="24"/>
          <w:szCs w:val="24"/>
        </w:rPr>
        <w:t xml:space="preserve">, </w:t>
      </w:r>
      <w:r w:rsidR="00FE0002" w:rsidRPr="004D3481">
        <w:rPr>
          <w:rFonts w:ascii="Arial" w:hAnsi="Arial" w:cs="Arial"/>
          <w:sz w:val="24"/>
          <w:szCs w:val="24"/>
        </w:rPr>
        <w:t xml:space="preserve">from </w:t>
      </w:r>
      <w:r w:rsidR="00462C30" w:rsidRPr="004D3481">
        <w:rPr>
          <w:rFonts w:ascii="Arial" w:hAnsi="Arial" w:cs="Arial"/>
          <w:sz w:val="24"/>
          <w:szCs w:val="24"/>
        </w:rPr>
        <w:t>inception, had</w:t>
      </w:r>
      <w:r w:rsidR="00FE0002" w:rsidRPr="004D3481">
        <w:rPr>
          <w:rFonts w:ascii="Arial" w:hAnsi="Arial" w:cs="Arial"/>
          <w:sz w:val="24"/>
          <w:szCs w:val="24"/>
        </w:rPr>
        <w:t xml:space="preserve"> </w:t>
      </w:r>
      <w:r w:rsidR="005352F5" w:rsidRPr="004D3481">
        <w:rPr>
          <w:rFonts w:ascii="Arial" w:hAnsi="Arial" w:cs="Arial"/>
          <w:sz w:val="24"/>
          <w:szCs w:val="24"/>
        </w:rPr>
        <w:t>a</w:t>
      </w:r>
      <w:r w:rsidR="00FE0002" w:rsidRPr="004D3481">
        <w:rPr>
          <w:rFonts w:ascii="Arial" w:hAnsi="Arial" w:cs="Arial"/>
          <w:sz w:val="24"/>
          <w:szCs w:val="24"/>
        </w:rPr>
        <w:t xml:space="preserve"> glaring </w:t>
      </w:r>
      <w:r w:rsidR="00FE0002" w:rsidRPr="004D3481">
        <w:rPr>
          <w:rFonts w:ascii="Arial" w:hAnsi="Arial" w:cs="Arial"/>
          <w:i/>
          <w:iCs/>
          <w:sz w:val="24"/>
          <w:szCs w:val="24"/>
        </w:rPr>
        <w:t xml:space="preserve">lacuna </w:t>
      </w:r>
      <w:r w:rsidR="00FE0002" w:rsidRPr="004D3481">
        <w:rPr>
          <w:rFonts w:ascii="Arial" w:hAnsi="Arial" w:cs="Arial"/>
          <w:sz w:val="24"/>
          <w:szCs w:val="24"/>
        </w:rPr>
        <w:t>relating to part heard matters</w:t>
      </w:r>
      <w:r w:rsidR="005352F5" w:rsidRPr="004D3481">
        <w:rPr>
          <w:rFonts w:ascii="Arial" w:hAnsi="Arial" w:cs="Arial"/>
          <w:sz w:val="24"/>
          <w:szCs w:val="24"/>
        </w:rPr>
        <w:t xml:space="preserve"> in general</w:t>
      </w:r>
      <w:r w:rsidR="00353571" w:rsidRPr="004D3481">
        <w:rPr>
          <w:rFonts w:ascii="Arial" w:hAnsi="Arial" w:cs="Arial"/>
          <w:sz w:val="24"/>
          <w:szCs w:val="24"/>
        </w:rPr>
        <w:t>.</w:t>
      </w:r>
      <w:r w:rsidR="005352F5" w:rsidRPr="004D3481">
        <w:rPr>
          <w:rFonts w:ascii="Arial" w:hAnsi="Arial" w:cs="Arial"/>
          <w:sz w:val="24"/>
          <w:szCs w:val="24"/>
        </w:rPr>
        <w:t xml:space="preserve"> </w:t>
      </w:r>
      <w:r w:rsidR="008253A0" w:rsidRPr="004D3481">
        <w:rPr>
          <w:rFonts w:ascii="Arial" w:hAnsi="Arial" w:cs="Arial"/>
          <w:sz w:val="24"/>
          <w:szCs w:val="24"/>
        </w:rPr>
        <w:t xml:space="preserve">And yet, </w:t>
      </w:r>
      <w:proofErr w:type="gramStart"/>
      <w:r w:rsidR="008253A0" w:rsidRPr="004D3481">
        <w:rPr>
          <w:rFonts w:ascii="Arial" w:hAnsi="Arial" w:cs="Arial"/>
          <w:sz w:val="24"/>
          <w:szCs w:val="24"/>
        </w:rPr>
        <w:t xml:space="preserve">in spite </w:t>
      </w:r>
      <w:r w:rsidR="0000321D" w:rsidRPr="004D3481">
        <w:rPr>
          <w:rFonts w:ascii="Arial" w:hAnsi="Arial" w:cs="Arial"/>
          <w:sz w:val="24"/>
          <w:szCs w:val="24"/>
        </w:rPr>
        <w:t>of</w:t>
      </w:r>
      <w:proofErr w:type="gramEnd"/>
      <w:r w:rsidR="0000321D" w:rsidRPr="004D3481">
        <w:rPr>
          <w:rFonts w:ascii="Arial" w:hAnsi="Arial" w:cs="Arial"/>
          <w:sz w:val="24"/>
          <w:szCs w:val="24"/>
        </w:rPr>
        <w:t xml:space="preserve"> various</w:t>
      </w:r>
      <w:r w:rsidR="002E22C8" w:rsidRPr="004D3481">
        <w:rPr>
          <w:rFonts w:ascii="Arial" w:hAnsi="Arial" w:cs="Arial"/>
          <w:sz w:val="24"/>
          <w:szCs w:val="24"/>
        </w:rPr>
        <w:t xml:space="preserve"> pronouncements by the </w:t>
      </w:r>
      <w:r w:rsidR="002E22C8" w:rsidRPr="004D3481">
        <w:rPr>
          <w:rFonts w:ascii="Arial" w:hAnsi="Arial" w:cs="Arial"/>
          <w:sz w:val="24"/>
          <w:szCs w:val="24"/>
        </w:rPr>
        <w:lastRenderedPageBreak/>
        <w:t xml:space="preserve">higher </w:t>
      </w:r>
      <w:r w:rsidR="00776B01" w:rsidRPr="004D3481">
        <w:rPr>
          <w:rFonts w:ascii="Arial" w:hAnsi="Arial" w:cs="Arial"/>
          <w:sz w:val="24"/>
          <w:szCs w:val="24"/>
        </w:rPr>
        <w:t>c</w:t>
      </w:r>
      <w:r w:rsidR="002E22C8" w:rsidRPr="004D3481">
        <w:rPr>
          <w:rFonts w:ascii="Arial" w:hAnsi="Arial" w:cs="Arial"/>
          <w:sz w:val="24"/>
          <w:szCs w:val="24"/>
        </w:rPr>
        <w:t>ourts</w:t>
      </w:r>
      <w:r w:rsidR="00F74AB9" w:rsidRPr="004D3481">
        <w:rPr>
          <w:rFonts w:ascii="Arial" w:hAnsi="Arial" w:cs="Arial"/>
          <w:sz w:val="24"/>
          <w:szCs w:val="24"/>
        </w:rPr>
        <w:t xml:space="preserve">, decades and </w:t>
      </w:r>
      <w:r w:rsidR="004D3A6F" w:rsidRPr="004D3481">
        <w:rPr>
          <w:rFonts w:ascii="Arial" w:hAnsi="Arial" w:cs="Arial"/>
          <w:sz w:val="24"/>
          <w:szCs w:val="24"/>
        </w:rPr>
        <w:t>a multitude of</w:t>
      </w:r>
      <w:r w:rsidR="000106B1" w:rsidRPr="004D3481">
        <w:rPr>
          <w:rFonts w:ascii="Arial" w:hAnsi="Arial" w:cs="Arial"/>
          <w:sz w:val="24"/>
          <w:szCs w:val="24"/>
        </w:rPr>
        <w:t xml:space="preserve"> amendments</w:t>
      </w:r>
      <w:r w:rsidR="006769B9" w:rsidRPr="004D3481">
        <w:rPr>
          <w:rFonts w:ascii="Arial" w:hAnsi="Arial" w:cs="Arial"/>
          <w:sz w:val="24"/>
          <w:szCs w:val="24"/>
        </w:rPr>
        <w:t xml:space="preserve"> later</w:t>
      </w:r>
      <w:r w:rsidR="004D3A6F" w:rsidRPr="004D3481">
        <w:rPr>
          <w:rFonts w:ascii="Arial" w:hAnsi="Arial" w:cs="Arial"/>
          <w:sz w:val="24"/>
          <w:szCs w:val="24"/>
        </w:rPr>
        <w:t>,</w:t>
      </w:r>
      <w:r w:rsidR="004B59DA" w:rsidRPr="004D3481">
        <w:rPr>
          <w:rFonts w:ascii="Arial" w:hAnsi="Arial" w:cs="Arial"/>
          <w:sz w:val="24"/>
          <w:szCs w:val="24"/>
        </w:rPr>
        <w:t xml:space="preserve"> </w:t>
      </w:r>
      <w:r w:rsidR="006C0D44" w:rsidRPr="004D3481">
        <w:rPr>
          <w:rFonts w:ascii="Arial" w:hAnsi="Arial" w:cs="Arial"/>
          <w:sz w:val="24"/>
          <w:szCs w:val="24"/>
        </w:rPr>
        <w:t>this lacuna and the confusion it creates, persists.</w:t>
      </w:r>
    </w:p>
    <w:p w14:paraId="5E925833" w14:textId="6D153D25" w:rsidR="00EF2E33" w:rsidRPr="004D3481" w:rsidRDefault="004D3481" w:rsidP="004D3481">
      <w:pPr>
        <w:spacing w:before="240" w:after="240" w:line="360" w:lineRule="auto"/>
        <w:ind w:left="284" w:hanging="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A7310" w:rsidRPr="004D3481">
        <w:rPr>
          <w:rFonts w:ascii="Arial" w:hAnsi="Arial" w:cs="Arial"/>
          <w:sz w:val="24"/>
          <w:szCs w:val="24"/>
        </w:rPr>
        <w:t xml:space="preserve">Hopefully, this lacuna will </w:t>
      </w:r>
      <w:r w:rsidR="003F1E6C" w:rsidRPr="004D3481">
        <w:rPr>
          <w:rFonts w:ascii="Arial" w:hAnsi="Arial" w:cs="Arial"/>
          <w:sz w:val="24"/>
          <w:szCs w:val="24"/>
        </w:rPr>
        <w:t xml:space="preserve">be </w:t>
      </w:r>
      <w:r w:rsidR="00BC35AF" w:rsidRPr="004D3481">
        <w:rPr>
          <w:rFonts w:ascii="Arial" w:hAnsi="Arial" w:cs="Arial"/>
          <w:sz w:val="24"/>
          <w:szCs w:val="24"/>
        </w:rPr>
        <w:t>investigated</w:t>
      </w:r>
      <w:r w:rsidR="00A15BE3" w:rsidRPr="004D3481">
        <w:rPr>
          <w:rFonts w:ascii="Arial" w:hAnsi="Arial" w:cs="Arial"/>
          <w:sz w:val="24"/>
          <w:szCs w:val="24"/>
        </w:rPr>
        <w:t xml:space="preserve"> </w:t>
      </w:r>
      <w:r w:rsidR="003C17E7" w:rsidRPr="004D3481">
        <w:rPr>
          <w:rFonts w:ascii="Arial" w:hAnsi="Arial" w:cs="Arial"/>
          <w:sz w:val="24"/>
          <w:szCs w:val="24"/>
        </w:rPr>
        <w:t xml:space="preserve">by </w:t>
      </w:r>
      <w:r w:rsidR="00C62662" w:rsidRPr="004D3481">
        <w:rPr>
          <w:rFonts w:ascii="Arial" w:hAnsi="Arial" w:cs="Arial"/>
          <w:sz w:val="24"/>
          <w:szCs w:val="24"/>
        </w:rPr>
        <w:t xml:space="preserve">the newly appointed </w:t>
      </w:r>
      <w:r w:rsidR="00B46FB1" w:rsidRPr="004D3481">
        <w:rPr>
          <w:rFonts w:ascii="Arial" w:hAnsi="Arial" w:cs="Arial"/>
          <w:i/>
          <w:iCs/>
          <w:sz w:val="24"/>
          <w:szCs w:val="24"/>
        </w:rPr>
        <w:t>Advisory Committee on Criminal Procedure Reform Investigation</w:t>
      </w:r>
      <w:r w:rsidR="00B46FB1" w:rsidRPr="004D3481">
        <w:rPr>
          <w:rFonts w:ascii="Arial" w:hAnsi="Arial" w:cs="Arial"/>
          <w:sz w:val="24"/>
          <w:szCs w:val="24"/>
        </w:rPr>
        <w:t xml:space="preserve"> </w:t>
      </w:r>
      <w:r w:rsidR="003C17E7" w:rsidRPr="004D3481">
        <w:rPr>
          <w:rFonts w:ascii="Arial" w:hAnsi="Arial" w:cs="Arial"/>
          <w:sz w:val="24"/>
          <w:szCs w:val="24"/>
        </w:rPr>
        <w:t>in their</w:t>
      </w:r>
      <w:r w:rsidR="00C67FB4" w:rsidRPr="004D3481">
        <w:rPr>
          <w:rFonts w:ascii="Arial" w:hAnsi="Arial" w:cs="Arial"/>
          <w:sz w:val="24"/>
          <w:szCs w:val="24"/>
        </w:rPr>
        <w:t xml:space="preserve"> review</w:t>
      </w:r>
      <w:r w:rsidR="00BC35AF" w:rsidRPr="004D3481">
        <w:rPr>
          <w:rFonts w:ascii="Arial" w:hAnsi="Arial" w:cs="Arial"/>
          <w:sz w:val="24"/>
          <w:szCs w:val="24"/>
        </w:rPr>
        <w:t xml:space="preserve"> </w:t>
      </w:r>
      <w:r w:rsidR="00EF2E33" w:rsidRPr="004D3481">
        <w:rPr>
          <w:rFonts w:ascii="Arial" w:hAnsi="Arial" w:cs="Arial"/>
          <w:sz w:val="24"/>
          <w:szCs w:val="24"/>
        </w:rPr>
        <w:t xml:space="preserve">of </w:t>
      </w:r>
      <w:r w:rsidR="00C67FB4" w:rsidRPr="004D3481">
        <w:rPr>
          <w:rFonts w:ascii="Arial" w:hAnsi="Arial" w:cs="Arial"/>
          <w:sz w:val="24"/>
          <w:szCs w:val="24"/>
        </w:rPr>
        <w:t>the</w:t>
      </w:r>
      <w:r w:rsidR="0043251B" w:rsidRPr="004D3481">
        <w:rPr>
          <w:rFonts w:ascii="Arial" w:hAnsi="Arial" w:cs="Arial"/>
          <w:sz w:val="24"/>
          <w:szCs w:val="24"/>
        </w:rPr>
        <w:t xml:space="preserve"> current, archaic provisions of the</w:t>
      </w:r>
      <w:r w:rsidR="00A15BE3" w:rsidRPr="004D3481">
        <w:rPr>
          <w:rFonts w:ascii="Arial" w:hAnsi="Arial" w:cs="Arial"/>
          <w:sz w:val="24"/>
          <w:szCs w:val="24"/>
        </w:rPr>
        <w:t xml:space="preserve"> CPA and will be remedied </w:t>
      </w:r>
      <w:r w:rsidR="004A42A5" w:rsidRPr="004D3481">
        <w:rPr>
          <w:rFonts w:ascii="Arial" w:hAnsi="Arial" w:cs="Arial"/>
          <w:sz w:val="24"/>
          <w:szCs w:val="24"/>
        </w:rPr>
        <w:t>when a new Criminal Procedure Act is drafted</w:t>
      </w:r>
      <w:r w:rsidR="00E600B6" w:rsidRPr="004D3481">
        <w:rPr>
          <w:rFonts w:ascii="Arial" w:hAnsi="Arial" w:cs="Arial"/>
          <w:sz w:val="24"/>
          <w:szCs w:val="24"/>
        </w:rPr>
        <w:t xml:space="preserve">. </w:t>
      </w:r>
      <w:r w:rsidR="00E600B6">
        <w:rPr>
          <w:rStyle w:val="FootnoteReference"/>
          <w:rFonts w:ascii="Arial" w:hAnsi="Arial" w:cs="Arial"/>
          <w:sz w:val="24"/>
          <w:szCs w:val="24"/>
        </w:rPr>
        <w:footnoteReference w:id="17"/>
      </w:r>
    </w:p>
    <w:p w14:paraId="781EC408" w14:textId="3DCC3822" w:rsidR="005F1001" w:rsidRPr="00EF2E33" w:rsidRDefault="00BC6622" w:rsidP="00EF2E33">
      <w:pPr>
        <w:spacing w:before="240" w:after="240" w:line="360" w:lineRule="auto"/>
        <w:ind w:left="-76"/>
        <w:jc w:val="both"/>
        <w:rPr>
          <w:rFonts w:ascii="Arial" w:hAnsi="Arial" w:cs="Arial"/>
          <w:sz w:val="24"/>
          <w:szCs w:val="24"/>
        </w:rPr>
      </w:pPr>
      <w:r w:rsidRPr="00EF2E33">
        <w:rPr>
          <w:rFonts w:ascii="Arial" w:hAnsi="Arial" w:cs="Arial"/>
          <w:b/>
          <w:bCs/>
          <w:sz w:val="24"/>
          <w:szCs w:val="24"/>
        </w:rPr>
        <w:t>Order</w:t>
      </w:r>
      <w:r w:rsidR="00A463A2" w:rsidRPr="00EF2E33">
        <w:rPr>
          <w:rFonts w:ascii="Arial" w:hAnsi="Arial" w:cs="Arial"/>
          <w:sz w:val="24"/>
          <w:szCs w:val="24"/>
        </w:rPr>
        <w:t xml:space="preserve"> </w:t>
      </w:r>
    </w:p>
    <w:p w14:paraId="5F5C2857" w14:textId="4FAAD48A" w:rsidR="00BA218D" w:rsidRPr="004D3481" w:rsidRDefault="004D3481" w:rsidP="004D3481">
      <w:pPr>
        <w:spacing w:after="120" w:line="360" w:lineRule="auto"/>
        <w:ind w:left="284" w:hanging="360"/>
        <w:jc w:val="both"/>
        <w:rPr>
          <w:sz w:val="20"/>
          <w:szCs w:val="20"/>
        </w:rPr>
      </w:pPr>
      <w:r w:rsidRPr="0045554B">
        <w:rPr>
          <w:rFonts w:ascii="Arial" w:hAnsi="Arial" w:cs="Arial"/>
          <w:sz w:val="24"/>
          <w:szCs w:val="24"/>
        </w:rPr>
        <w:t>33.</w:t>
      </w:r>
      <w:r w:rsidRPr="0045554B">
        <w:rPr>
          <w:rFonts w:ascii="Arial" w:hAnsi="Arial" w:cs="Arial"/>
          <w:sz w:val="24"/>
          <w:szCs w:val="24"/>
        </w:rPr>
        <w:tab/>
      </w:r>
      <w:r w:rsidR="00C234B5" w:rsidRPr="004D3481">
        <w:rPr>
          <w:rFonts w:ascii="Arial" w:hAnsi="Arial" w:cs="Arial"/>
          <w:sz w:val="24"/>
          <w:szCs w:val="24"/>
        </w:rPr>
        <w:t xml:space="preserve">Under </w:t>
      </w:r>
      <w:r w:rsidR="00BC6622" w:rsidRPr="004D3481">
        <w:rPr>
          <w:rFonts w:ascii="Arial" w:hAnsi="Arial" w:cs="Arial"/>
          <w:sz w:val="24"/>
          <w:szCs w:val="24"/>
        </w:rPr>
        <w:t xml:space="preserve">the circumstances, </w:t>
      </w:r>
      <w:r w:rsidR="00F91F0B" w:rsidRPr="004D3481">
        <w:rPr>
          <w:rFonts w:ascii="Arial" w:hAnsi="Arial" w:cs="Arial"/>
          <w:sz w:val="24"/>
          <w:szCs w:val="24"/>
        </w:rPr>
        <w:t xml:space="preserve">the special review </w:t>
      </w:r>
      <w:r w:rsidR="00C234B5" w:rsidRPr="004D3481">
        <w:rPr>
          <w:rFonts w:ascii="Arial" w:hAnsi="Arial" w:cs="Arial"/>
          <w:sz w:val="24"/>
          <w:szCs w:val="24"/>
        </w:rPr>
        <w:t>stands to be</w:t>
      </w:r>
      <w:r w:rsidR="00F91F0B" w:rsidRPr="004D3481">
        <w:rPr>
          <w:rFonts w:ascii="Arial" w:hAnsi="Arial" w:cs="Arial"/>
          <w:sz w:val="24"/>
          <w:szCs w:val="24"/>
        </w:rPr>
        <w:t xml:space="preserve"> dismissed as there is</w:t>
      </w:r>
      <w:r w:rsidR="00C83943" w:rsidRPr="004D3481">
        <w:rPr>
          <w:rFonts w:ascii="Arial" w:hAnsi="Arial" w:cs="Arial"/>
          <w:sz w:val="24"/>
          <w:szCs w:val="24"/>
        </w:rPr>
        <w:t xml:space="preserve">, effectively, </w:t>
      </w:r>
      <w:r w:rsidR="00F91F0B" w:rsidRPr="004D3481">
        <w:rPr>
          <w:rFonts w:ascii="Arial" w:hAnsi="Arial" w:cs="Arial"/>
          <w:sz w:val="24"/>
          <w:szCs w:val="24"/>
        </w:rPr>
        <w:t>nothing to review</w:t>
      </w:r>
      <w:r w:rsidR="0071162F" w:rsidRPr="004D3481">
        <w:rPr>
          <w:rFonts w:ascii="Arial" w:hAnsi="Arial" w:cs="Arial"/>
          <w:sz w:val="24"/>
          <w:szCs w:val="24"/>
        </w:rPr>
        <w:t xml:space="preserve">. </w:t>
      </w:r>
      <w:r w:rsidR="00F74E90" w:rsidRPr="004D3481">
        <w:rPr>
          <w:rFonts w:ascii="Arial" w:hAnsi="Arial" w:cs="Arial"/>
          <w:sz w:val="24"/>
          <w:szCs w:val="24"/>
        </w:rPr>
        <w:t xml:space="preserve">However, </w:t>
      </w:r>
      <w:r w:rsidR="00F91F0B" w:rsidRPr="004D3481">
        <w:rPr>
          <w:rFonts w:ascii="Arial" w:hAnsi="Arial" w:cs="Arial"/>
          <w:sz w:val="24"/>
          <w:szCs w:val="24"/>
        </w:rPr>
        <w:t>given the</w:t>
      </w:r>
      <w:r w:rsidR="008A53C0" w:rsidRPr="004D3481">
        <w:rPr>
          <w:rFonts w:ascii="Arial" w:hAnsi="Arial" w:cs="Arial"/>
          <w:sz w:val="24"/>
          <w:szCs w:val="24"/>
        </w:rPr>
        <w:t xml:space="preserve"> uncertaint</w:t>
      </w:r>
      <w:r w:rsidR="00776B01" w:rsidRPr="004D3481">
        <w:rPr>
          <w:rFonts w:ascii="Arial" w:hAnsi="Arial" w:cs="Arial"/>
          <w:sz w:val="24"/>
          <w:szCs w:val="24"/>
        </w:rPr>
        <w:t>ies</w:t>
      </w:r>
      <w:r w:rsidR="00C83943" w:rsidRPr="004D3481">
        <w:rPr>
          <w:rFonts w:ascii="Arial" w:hAnsi="Arial" w:cs="Arial"/>
          <w:sz w:val="24"/>
          <w:szCs w:val="24"/>
        </w:rPr>
        <w:t>,</w:t>
      </w:r>
      <w:r w:rsidR="008A53C0" w:rsidRPr="004D3481">
        <w:rPr>
          <w:rFonts w:ascii="Arial" w:hAnsi="Arial" w:cs="Arial"/>
          <w:sz w:val="24"/>
          <w:szCs w:val="24"/>
        </w:rPr>
        <w:t xml:space="preserve"> as set out </w:t>
      </w:r>
      <w:r w:rsidR="0045554B" w:rsidRPr="004D3481">
        <w:rPr>
          <w:rFonts w:ascii="Arial" w:hAnsi="Arial" w:cs="Arial"/>
          <w:i/>
          <w:iCs/>
          <w:color w:val="404040" w:themeColor="text1" w:themeTint="BF"/>
          <w:sz w:val="24"/>
          <w:szCs w:val="24"/>
        </w:rPr>
        <w:t>supra</w:t>
      </w:r>
      <w:r w:rsidR="0045554B" w:rsidRPr="004D3481">
        <w:rPr>
          <w:rFonts w:ascii="Arial" w:hAnsi="Arial" w:cs="Arial"/>
          <w:color w:val="404040" w:themeColor="text1" w:themeTint="BF"/>
          <w:sz w:val="24"/>
          <w:szCs w:val="24"/>
        </w:rPr>
        <w:t>,</w:t>
      </w:r>
      <w:r w:rsidR="0045554B" w:rsidRPr="004D3481">
        <w:rPr>
          <w:rFonts w:ascii="Arial" w:hAnsi="Arial" w:cs="Arial"/>
          <w:sz w:val="24"/>
          <w:szCs w:val="24"/>
        </w:rPr>
        <w:t xml:space="preserve"> it would be appropriate to make the following declaratory order:</w:t>
      </w:r>
    </w:p>
    <w:p w14:paraId="284EC0F4" w14:textId="5AFC3AAF" w:rsidR="0045554B" w:rsidRPr="004D3481" w:rsidRDefault="004D3481" w:rsidP="004D3481">
      <w:pPr>
        <w:spacing w:after="12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71085" w:rsidRPr="004D3481">
        <w:rPr>
          <w:rFonts w:ascii="Arial" w:hAnsi="Arial" w:cs="Arial"/>
          <w:sz w:val="24"/>
          <w:szCs w:val="24"/>
        </w:rPr>
        <w:t xml:space="preserve">The </w:t>
      </w:r>
      <w:proofErr w:type="spellStart"/>
      <w:r w:rsidR="008D5658" w:rsidRPr="004D3481">
        <w:rPr>
          <w:rFonts w:ascii="Arial" w:hAnsi="Arial" w:cs="Arial"/>
          <w:i/>
          <w:iCs/>
          <w:color w:val="404040" w:themeColor="text1" w:themeTint="BF"/>
          <w:sz w:val="24"/>
          <w:szCs w:val="24"/>
        </w:rPr>
        <w:t>mero</w:t>
      </w:r>
      <w:proofErr w:type="spellEnd"/>
      <w:r w:rsidR="008D5658" w:rsidRPr="004D3481">
        <w:rPr>
          <w:rFonts w:ascii="Arial" w:hAnsi="Arial" w:cs="Arial"/>
          <w:i/>
          <w:iCs/>
          <w:color w:val="404040" w:themeColor="text1" w:themeTint="BF"/>
          <w:sz w:val="24"/>
          <w:szCs w:val="24"/>
        </w:rPr>
        <w:t xml:space="preserve"> motu</w:t>
      </w:r>
      <w:r w:rsidR="008D5658" w:rsidRPr="004D3481">
        <w:rPr>
          <w:rFonts w:ascii="Arial" w:hAnsi="Arial" w:cs="Arial"/>
          <w:color w:val="404040" w:themeColor="text1" w:themeTint="BF"/>
          <w:sz w:val="24"/>
          <w:szCs w:val="24"/>
        </w:rPr>
        <w:t xml:space="preserve"> </w:t>
      </w:r>
      <w:r w:rsidR="008D5658" w:rsidRPr="004D3481">
        <w:rPr>
          <w:rFonts w:ascii="Arial" w:hAnsi="Arial" w:cs="Arial"/>
          <w:sz w:val="24"/>
          <w:szCs w:val="24"/>
        </w:rPr>
        <w:t xml:space="preserve">recusal of </w:t>
      </w:r>
      <w:r w:rsidR="00081059" w:rsidRPr="004D3481">
        <w:rPr>
          <w:rFonts w:ascii="Arial" w:hAnsi="Arial" w:cs="Arial"/>
          <w:sz w:val="24"/>
          <w:szCs w:val="24"/>
        </w:rPr>
        <w:t>the additional m</w:t>
      </w:r>
      <w:r w:rsidR="008D5658" w:rsidRPr="004D3481">
        <w:rPr>
          <w:rFonts w:ascii="Arial" w:hAnsi="Arial" w:cs="Arial"/>
          <w:sz w:val="24"/>
          <w:szCs w:val="24"/>
        </w:rPr>
        <w:t>ag</w:t>
      </w:r>
      <w:r w:rsidR="00F205FD" w:rsidRPr="004D3481">
        <w:rPr>
          <w:rFonts w:ascii="Arial" w:hAnsi="Arial" w:cs="Arial"/>
          <w:sz w:val="24"/>
          <w:szCs w:val="24"/>
        </w:rPr>
        <w:t>istrate</w:t>
      </w:r>
      <w:r w:rsidR="00081059" w:rsidRPr="004D3481">
        <w:rPr>
          <w:rFonts w:ascii="Arial" w:hAnsi="Arial" w:cs="Arial"/>
          <w:sz w:val="24"/>
          <w:szCs w:val="24"/>
        </w:rPr>
        <w:t>, Mr</w:t>
      </w:r>
      <w:r w:rsidR="00F205FD" w:rsidRPr="004D3481">
        <w:rPr>
          <w:rFonts w:ascii="Arial" w:hAnsi="Arial" w:cs="Arial"/>
          <w:sz w:val="24"/>
          <w:szCs w:val="24"/>
        </w:rPr>
        <w:t xml:space="preserve"> Raath</w:t>
      </w:r>
      <w:r w:rsidR="00081059" w:rsidRPr="004D3481">
        <w:rPr>
          <w:rFonts w:ascii="Arial" w:hAnsi="Arial" w:cs="Arial"/>
          <w:sz w:val="24"/>
          <w:szCs w:val="24"/>
        </w:rPr>
        <w:t>,</w:t>
      </w:r>
      <w:r w:rsidR="00F205FD" w:rsidRPr="004D3481">
        <w:rPr>
          <w:rFonts w:ascii="Arial" w:hAnsi="Arial" w:cs="Arial"/>
          <w:sz w:val="24"/>
          <w:szCs w:val="24"/>
        </w:rPr>
        <w:t xml:space="preserve"> on the 10</w:t>
      </w:r>
      <w:r w:rsidR="00F205FD" w:rsidRPr="004D3481">
        <w:rPr>
          <w:rFonts w:ascii="Arial" w:hAnsi="Arial" w:cs="Arial"/>
          <w:sz w:val="24"/>
          <w:szCs w:val="24"/>
          <w:vertAlign w:val="superscript"/>
        </w:rPr>
        <w:t>th</w:t>
      </w:r>
      <w:r w:rsidR="00F205FD" w:rsidRPr="004D3481">
        <w:rPr>
          <w:rFonts w:ascii="Arial" w:hAnsi="Arial" w:cs="Arial"/>
          <w:sz w:val="24"/>
          <w:szCs w:val="24"/>
        </w:rPr>
        <w:t xml:space="preserve"> of November 2023, </w:t>
      </w:r>
      <w:r w:rsidR="005A00E7" w:rsidRPr="004D3481">
        <w:rPr>
          <w:rFonts w:ascii="Arial" w:hAnsi="Arial" w:cs="Arial"/>
          <w:sz w:val="24"/>
          <w:szCs w:val="24"/>
        </w:rPr>
        <w:t xml:space="preserve">rendered </w:t>
      </w:r>
      <w:r w:rsidR="00F205FD" w:rsidRPr="004D3481">
        <w:rPr>
          <w:rFonts w:ascii="Arial" w:hAnsi="Arial" w:cs="Arial"/>
          <w:sz w:val="24"/>
          <w:szCs w:val="24"/>
        </w:rPr>
        <w:t>him unavailable to preside over this matter in the absolute sense.</w:t>
      </w:r>
    </w:p>
    <w:p w14:paraId="3D7453F0" w14:textId="1C2FCFA5" w:rsidR="00F205FD" w:rsidRPr="004D3481" w:rsidRDefault="004D3481" w:rsidP="004D3481">
      <w:pPr>
        <w:spacing w:after="12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52204" w:rsidRPr="004D3481">
        <w:rPr>
          <w:rFonts w:ascii="Arial" w:hAnsi="Arial" w:cs="Arial"/>
          <w:sz w:val="24"/>
          <w:szCs w:val="24"/>
        </w:rPr>
        <w:t>The proceedings</w:t>
      </w:r>
      <w:r w:rsidR="00EB38A5" w:rsidRPr="004D3481">
        <w:rPr>
          <w:rFonts w:ascii="Arial" w:hAnsi="Arial" w:cs="Arial"/>
          <w:sz w:val="24"/>
          <w:szCs w:val="24"/>
        </w:rPr>
        <w:t xml:space="preserve"> </w:t>
      </w:r>
      <w:r w:rsidR="007E3A36" w:rsidRPr="004D3481">
        <w:rPr>
          <w:rFonts w:ascii="Arial" w:hAnsi="Arial" w:cs="Arial"/>
          <w:sz w:val="24"/>
          <w:szCs w:val="24"/>
        </w:rPr>
        <w:t>thus far</w:t>
      </w:r>
      <w:r w:rsidR="00FE5A7B" w:rsidRPr="004D3481">
        <w:rPr>
          <w:rFonts w:ascii="Arial" w:hAnsi="Arial" w:cs="Arial"/>
          <w:sz w:val="24"/>
          <w:szCs w:val="24"/>
        </w:rPr>
        <w:t xml:space="preserve"> </w:t>
      </w:r>
      <w:r w:rsidR="00EB38A5" w:rsidRPr="004D3481">
        <w:rPr>
          <w:rFonts w:ascii="Arial" w:hAnsi="Arial" w:cs="Arial"/>
          <w:sz w:val="24"/>
          <w:szCs w:val="24"/>
        </w:rPr>
        <w:t>are result</w:t>
      </w:r>
      <w:r w:rsidR="007E3A36" w:rsidRPr="004D3481">
        <w:rPr>
          <w:rFonts w:ascii="Arial" w:hAnsi="Arial" w:cs="Arial"/>
          <w:sz w:val="24"/>
          <w:szCs w:val="24"/>
        </w:rPr>
        <w:t xml:space="preserve">antly a nullity and were set </w:t>
      </w:r>
      <w:r w:rsidR="007E3A36" w:rsidRPr="004D3481">
        <w:rPr>
          <w:rFonts w:ascii="Arial" w:hAnsi="Arial" w:cs="Arial"/>
          <w:color w:val="262626" w:themeColor="text1" w:themeTint="D9"/>
          <w:sz w:val="24"/>
          <w:szCs w:val="24"/>
        </w:rPr>
        <w:t>aside</w:t>
      </w:r>
      <w:r w:rsidR="007E3A36" w:rsidRPr="004D3481">
        <w:rPr>
          <w:rFonts w:ascii="Arial" w:hAnsi="Arial" w:cs="Arial"/>
          <w:color w:val="404040" w:themeColor="text1" w:themeTint="BF"/>
          <w:sz w:val="24"/>
          <w:szCs w:val="24"/>
        </w:rPr>
        <w:t xml:space="preserve"> </w:t>
      </w:r>
      <w:r w:rsidR="007E3A36" w:rsidRPr="004D3481">
        <w:rPr>
          <w:rFonts w:ascii="Arial" w:hAnsi="Arial" w:cs="Arial"/>
          <w:i/>
          <w:iCs/>
          <w:color w:val="404040" w:themeColor="text1" w:themeTint="BF"/>
          <w:sz w:val="24"/>
          <w:szCs w:val="24"/>
        </w:rPr>
        <w:t xml:space="preserve">ex </w:t>
      </w:r>
      <w:proofErr w:type="spellStart"/>
      <w:r w:rsidR="007E3A36" w:rsidRPr="004D3481">
        <w:rPr>
          <w:rFonts w:ascii="Arial" w:hAnsi="Arial" w:cs="Arial"/>
          <w:i/>
          <w:iCs/>
          <w:color w:val="404040" w:themeColor="text1" w:themeTint="BF"/>
          <w:sz w:val="24"/>
          <w:szCs w:val="24"/>
        </w:rPr>
        <w:t>lege</w:t>
      </w:r>
      <w:proofErr w:type="spellEnd"/>
      <w:r w:rsidR="007E3A36" w:rsidRPr="004D3481">
        <w:rPr>
          <w:rFonts w:ascii="Arial" w:hAnsi="Arial" w:cs="Arial"/>
          <w:color w:val="404040" w:themeColor="text1" w:themeTint="BF"/>
          <w:sz w:val="24"/>
          <w:szCs w:val="24"/>
        </w:rPr>
        <w:t xml:space="preserve"> </w:t>
      </w:r>
      <w:r w:rsidR="006F5BDF" w:rsidRPr="004D3481">
        <w:rPr>
          <w:rFonts w:ascii="Arial" w:hAnsi="Arial" w:cs="Arial"/>
          <w:sz w:val="24"/>
          <w:szCs w:val="24"/>
        </w:rPr>
        <w:t xml:space="preserve">upon </w:t>
      </w:r>
      <w:r w:rsidR="001D4FEF" w:rsidRPr="004D3481">
        <w:rPr>
          <w:rFonts w:ascii="Arial" w:hAnsi="Arial" w:cs="Arial"/>
          <w:sz w:val="24"/>
          <w:szCs w:val="24"/>
        </w:rPr>
        <w:t xml:space="preserve">the </w:t>
      </w:r>
      <w:r w:rsidR="006F5BDF" w:rsidRPr="004D3481">
        <w:rPr>
          <w:rFonts w:ascii="Arial" w:hAnsi="Arial" w:cs="Arial"/>
          <w:sz w:val="24"/>
          <w:szCs w:val="24"/>
        </w:rPr>
        <w:t xml:space="preserve">recusal </w:t>
      </w:r>
      <w:r w:rsidR="001D4FEF" w:rsidRPr="004D3481">
        <w:rPr>
          <w:rFonts w:ascii="Arial" w:hAnsi="Arial" w:cs="Arial"/>
          <w:sz w:val="24"/>
          <w:szCs w:val="24"/>
        </w:rPr>
        <w:t>of</w:t>
      </w:r>
      <w:r w:rsidR="006F5BDF" w:rsidRPr="004D3481">
        <w:rPr>
          <w:rFonts w:ascii="Arial" w:hAnsi="Arial" w:cs="Arial"/>
          <w:sz w:val="24"/>
          <w:szCs w:val="24"/>
        </w:rPr>
        <w:t xml:space="preserve"> Magistrate Raath.</w:t>
      </w:r>
    </w:p>
    <w:p w14:paraId="1C2C3AAB" w14:textId="7D85E9AE" w:rsidR="00EF6C0E" w:rsidRPr="004D3481" w:rsidRDefault="004D3481" w:rsidP="004D3481">
      <w:pPr>
        <w:spacing w:after="120" w:line="360" w:lineRule="auto"/>
        <w:ind w:left="720" w:hanging="360"/>
        <w:jc w:val="both"/>
        <w:rPr>
          <w:rFonts w:ascii="Arial" w:hAnsi="Arial" w:cs="Arial"/>
          <w:sz w:val="24"/>
          <w:szCs w:val="24"/>
        </w:rPr>
      </w:pPr>
      <w:r w:rsidRPr="00C943EC">
        <w:rPr>
          <w:rFonts w:ascii="Arial" w:hAnsi="Arial" w:cs="Arial"/>
          <w:sz w:val="24"/>
          <w:szCs w:val="24"/>
        </w:rPr>
        <w:t>3.</w:t>
      </w:r>
      <w:r w:rsidRPr="00C943EC">
        <w:rPr>
          <w:rFonts w:ascii="Arial" w:hAnsi="Arial" w:cs="Arial"/>
          <w:sz w:val="24"/>
          <w:szCs w:val="24"/>
        </w:rPr>
        <w:tab/>
      </w:r>
      <w:r w:rsidR="0055217B" w:rsidRPr="004D3481">
        <w:rPr>
          <w:rFonts w:ascii="Arial" w:hAnsi="Arial" w:cs="Arial"/>
          <w:sz w:val="24"/>
          <w:szCs w:val="24"/>
        </w:rPr>
        <w:t xml:space="preserve">The National Prosecuting Authority </w:t>
      </w:r>
      <w:r w:rsidR="00756EA6" w:rsidRPr="004D3481">
        <w:rPr>
          <w:rFonts w:ascii="Arial" w:hAnsi="Arial" w:cs="Arial"/>
          <w:sz w:val="24"/>
          <w:szCs w:val="24"/>
        </w:rPr>
        <w:t xml:space="preserve">retains the authority to decide whether to commence proceedings against the accused </w:t>
      </w:r>
      <w:r w:rsidR="00756EA6" w:rsidRPr="004D3481">
        <w:rPr>
          <w:rFonts w:ascii="Arial" w:hAnsi="Arial" w:cs="Arial"/>
          <w:i/>
          <w:iCs/>
          <w:color w:val="404040" w:themeColor="text1" w:themeTint="BF"/>
          <w:sz w:val="24"/>
          <w:szCs w:val="24"/>
        </w:rPr>
        <w:t>de novo</w:t>
      </w:r>
      <w:r w:rsidR="00756EA6" w:rsidRPr="004D3481">
        <w:rPr>
          <w:rFonts w:ascii="Arial" w:hAnsi="Arial" w:cs="Arial"/>
          <w:sz w:val="24"/>
          <w:szCs w:val="24"/>
        </w:rPr>
        <w:t>.</w:t>
      </w:r>
    </w:p>
    <w:p w14:paraId="3596DD1D" w14:textId="67E8F3E3" w:rsidR="00EF6C0E" w:rsidRPr="00892D37" w:rsidRDefault="00B91D32" w:rsidP="00B91D32">
      <w:pPr>
        <w:tabs>
          <w:tab w:val="left" w:pos="9060"/>
        </w:tabs>
        <w:spacing w:before="120" w:after="120" w:line="360" w:lineRule="auto"/>
        <w:jc w:val="both"/>
        <w:rPr>
          <w:rFonts w:ascii="Arial" w:eastAsia="Calibri" w:hAnsi="Arial" w:cs="Arial"/>
          <w:sz w:val="24"/>
          <w:szCs w:val="24"/>
        </w:rPr>
      </w:pPr>
      <w:r>
        <w:rPr>
          <w:rFonts w:ascii="Arial" w:eastAsia="Calibri" w:hAnsi="Arial" w:cs="Arial"/>
          <w:sz w:val="24"/>
          <w:szCs w:val="24"/>
        </w:rPr>
        <w:tab/>
        <w:t>[…]</w:t>
      </w:r>
    </w:p>
    <w:p w14:paraId="417108F5" w14:textId="77777777" w:rsidR="0071013E" w:rsidRPr="0071013E" w:rsidRDefault="0071013E" w:rsidP="0071013E">
      <w:pPr>
        <w:spacing w:line="240" w:lineRule="auto"/>
        <w:jc w:val="right"/>
        <w:rPr>
          <w:rFonts w:ascii="Arial" w:eastAsia="Calibri" w:hAnsi="Arial" w:cs="Arial"/>
        </w:rPr>
      </w:pPr>
      <w:r w:rsidRPr="0071013E">
        <w:rPr>
          <w:rFonts w:ascii="Arial" w:eastAsia="Calibri" w:hAnsi="Arial" w:cs="Arial"/>
          <w:b/>
          <w:sz w:val="24"/>
          <w:szCs w:val="24"/>
        </w:rPr>
        <w:t>__________________</w:t>
      </w:r>
    </w:p>
    <w:p w14:paraId="2871728D" w14:textId="77777777" w:rsidR="0071013E" w:rsidRPr="0071013E" w:rsidRDefault="0071013E" w:rsidP="0071013E">
      <w:pPr>
        <w:spacing w:line="240" w:lineRule="auto"/>
        <w:jc w:val="right"/>
        <w:rPr>
          <w:rFonts w:ascii="Arial" w:eastAsia="Calibri" w:hAnsi="Arial" w:cs="Arial"/>
          <w:b/>
          <w:sz w:val="24"/>
          <w:szCs w:val="24"/>
        </w:rPr>
      </w:pPr>
      <w:r w:rsidRPr="0071013E">
        <w:rPr>
          <w:rFonts w:ascii="Arial" w:eastAsia="Calibri" w:hAnsi="Arial" w:cs="Arial"/>
          <w:b/>
          <w:sz w:val="24"/>
          <w:szCs w:val="24"/>
        </w:rPr>
        <w:t>K. STRYDOM</w:t>
      </w:r>
    </w:p>
    <w:p w14:paraId="23445302" w14:textId="77777777" w:rsidR="0071013E" w:rsidRPr="0071013E" w:rsidRDefault="0071013E" w:rsidP="0071013E">
      <w:pPr>
        <w:spacing w:line="240" w:lineRule="auto"/>
        <w:jc w:val="right"/>
        <w:rPr>
          <w:rFonts w:ascii="Arial" w:eastAsia="Calibri" w:hAnsi="Arial" w:cs="Arial"/>
          <w:b/>
          <w:sz w:val="24"/>
          <w:szCs w:val="24"/>
        </w:rPr>
      </w:pPr>
      <w:r w:rsidRPr="0071013E">
        <w:rPr>
          <w:rFonts w:ascii="Arial" w:eastAsia="Calibri" w:hAnsi="Arial" w:cs="Arial"/>
          <w:b/>
          <w:sz w:val="24"/>
          <w:szCs w:val="24"/>
        </w:rPr>
        <w:t>ACTING JUDGE OF THE HIGH COURT</w:t>
      </w:r>
    </w:p>
    <w:p w14:paraId="0F3127A8" w14:textId="77777777" w:rsidR="0071013E" w:rsidRPr="0071013E" w:rsidRDefault="0071013E" w:rsidP="0071013E">
      <w:pPr>
        <w:spacing w:line="240" w:lineRule="auto"/>
        <w:jc w:val="right"/>
        <w:rPr>
          <w:rFonts w:ascii="Arial" w:eastAsia="Calibri" w:hAnsi="Arial" w:cs="Arial"/>
          <w:b/>
          <w:sz w:val="24"/>
          <w:szCs w:val="24"/>
        </w:rPr>
      </w:pPr>
    </w:p>
    <w:p w14:paraId="6BCB06C9" w14:textId="77777777" w:rsidR="0071013E" w:rsidRPr="0071013E" w:rsidRDefault="0071013E" w:rsidP="0071013E">
      <w:pPr>
        <w:spacing w:line="240" w:lineRule="auto"/>
        <w:jc w:val="both"/>
        <w:rPr>
          <w:rFonts w:ascii="Arial" w:eastAsia="Calibri" w:hAnsi="Arial" w:cs="Arial"/>
          <w:sz w:val="24"/>
          <w:szCs w:val="24"/>
        </w:rPr>
      </w:pPr>
      <w:r w:rsidRPr="0071013E">
        <w:rPr>
          <w:rFonts w:ascii="Arial" w:eastAsia="Calibri" w:hAnsi="Arial" w:cs="Arial"/>
          <w:sz w:val="24"/>
          <w:szCs w:val="24"/>
        </w:rPr>
        <w:t>I agree</w:t>
      </w:r>
    </w:p>
    <w:p w14:paraId="66D0340B" w14:textId="77777777" w:rsidR="0071013E" w:rsidRPr="0071013E" w:rsidRDefault="0071013E" w:rsidP="0071013E">
      <w:pPr>
        <w:spacing w:line="240" w:lineRule="auto"/>
        <w:jc w:val="right"/>
        <w:rPr>
          <w:rFonts w:ascii="Arial" w:eastAsia="Calibri" w:hAnsi="Arial" w:cs="Arial"/>
        </w:rPr>
      </w:pPr>
      <w:r w:rsidRPr="0071013E">
        <w:rPr>
          <w:rFonts w:ascii="Arial" w:eastAsia="Calibri" w:hAnsi="Arial" w:cs="Arial"/>
          <w:b/>
          <w:sz w:val="24"/>
          <w:szCs w:val="24"/>
        </w:rPr>
        <w:t>__________________</w:t>
      </w:r>
    </w:p>
    <w:p w14:paraId="5C6980E8" w14:textId="5C6D4634" w:rsidR="0071013E" w:rsidRPr="0071013E" w:rsidRDefault="00E26154" w:rsidP="0071013E">
      <w:pPr>
        <w:spacing w:line="240" w:lineRule="auto"/>
        <w:jc w:val="right"/>
        <w:rPr>
          <w:rFonts w:ascii="Arial" w:eastAsia="Calibri" w:hAnsi="Arial" w:cs="Arial"/>
          <w:b/>
          <w:sz w:val="24"/>
          <w:szCs w:val="24"/>
        </w:rPr>
      </w:pPr>
      <w:r>
        <w:rPr>
          <w:rFonts w:ascii="Arial" w:eastAsia="Calibri" w:hAnsi="Arial" w:cs="Arial"/>
          <w:b/>
          <w:sz w:val="24"/>
          <w:szCs w:val="24"/>
        </w:rPr>
        <w:t>M.P. MOTHA</w:t>
      </w:r>
    </w:p>
    <w:p w14:paraId="5683283C" w14:textId="77777777" w:rsidR="0071013E" w:rsidRPr="0071013E" w:rsidRDefault="0071013E" w:rsidP="0071013E">
      <w:pPr>
        <w:spacing w:line="240" w:lineRule="auto"/>
        <w:jc w:val="right"/>
        <w:rPr>
          <w:rFonts w:ascii="Arial" w:hAnsi="Arial" w:cs="Arial"/>
        </w:rPr>
      </w:pPr>
      <w:r w:rsidRPr="0071013E">
        <w:rPr>
          <w:rFonts w:ascii="Arial" w:eastAsia="Calibri" w:hAnsi="Arial" w:cs="Arial"/>
          <w:b/>
          <w:sz w:val="24"/>
          <w:szCs w:val="24"/>
        </w:rPr>
        <w:t xml:space="preserve"> JUDGE OF THE HIGH COURT</w:t>
      </w:r>
    </w:p>
    <w:p w14:paraId="00AB6B7B" w14:textId="77777777" w:rsidR="0071013E" w:rsidRPr="0071013E" w:rsidRDefault="0071013E" w:rsidP="0071013E">
      <w:pPr>
        <w:rPr>
          <w:rFonts w:ascii="Arial" w:hAnsi="Arial" w:cs="Arial"/>
        </w:rPr>
      </w:pPr>
    </w:p>
    <w:p w14:paraId="4B46ED74" w14:textId="77777777" w:rsidR="0071013E" w:rsidRPr="0071013E" w:rsidRDefault="0071013E" w:rsidP="0071013E">
      <w:pPr>
        <w:rPr>
          <w:rFonts w:ascii="Arial" w:hAnsi="Arial" w:cs="Arial"/>
        </w:rPr>
      </w:pPr>
    </w:p>
    <w:p w14:paraId="7B105594" w14:textId="77777777" w:rsidR="0071013E" w:rsidRDefault="0071013E" w:rsidP="0071013E"/>
    <w:p w14:paraId="3CAFFD49" w14:textId="77777777" w:rsidR="008F7243" w:rsidRDefault="008F7243"/>
    <w:sectPr w:rsidR="008F7243" w:rsidSect="005D0207">
      <w:headerReference w:type="default" r:id="rId11"/>
      <w:pgSz w:w="11906" w:h="16838"/>
      <w:pgMar w:top="1276"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B7F6D" w14:textId="77777777" w:rsidR="003D0F0F" w:rsidRDefault="003D0F0F">
      <w:pPr>
        <w:spacing w:after="0" w:line="240" w:lineRule="auto"/>
      </w:pPr>
      <w:r>
        <w:separator/>
      </w:r>
    </w:p>
  </w:endnote>
  <w:endnote w:type="continuationSeparator" w:id="0">
    <w:p w14:paraId="48C25D53" w14:textId="77777777" w:rsidR="003D0F0F" w:rsidRDefault="003D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056FC" w14:textId="77777777" w:rsidR="003D0F0F" w:rsidRDefault="003D0F0F">
      <w:pPr>
        <w:spacing w:after="0" w:line="240" w:lineRule="auto"/>
      </w:pPr>
      <w:r>
        <w:separator/>
      </w:r>
    </w:p>
  </w:footnote>
  <w:footnote w:type="continuationSeparator" w:id="0">
    <w:p w14:paraId="79DFB62C" w14:textId="77777777" w:rsidR="003D0F0F" w:rsidRDefault="003D0F0F">
      <w:pPr>
        <w:spacing w:after="0" w:line="240" w:lineRule="auto"/>
      </w:pPr>
      <w:r>
        <w:continuationSeparator/>
      </w:r>
    </w:p>
  </w:footnote>
  <w:footnote w:id="1">
    <w:p w14:paraId="57963C20" w14:textId="7D24E48F" w:rsidR="0047752D" w:rsidRDefault="0047752D">
      <w:pPr>
        <w:pStyle w:val="FootnoteText"/>
      </w:pPr>
      <w:r>
        <w:rPr>
          <w:rStyle w:val="FootnoteReference"/>
        </w:rPr>
        <w:footnoteRef/>
      </w:r>
      <w:r>
        <w:t xml:space="preserve"> </w:t>
      </w:r>
      <w:r w:rsidR="00B31BEC">
        <w:t>Parliament of The Republic of South Africa</w:t>
      </w:r>
      <w:proofErr w:type="gramStart"/>
      <w:r w:rsidR="008F35B7">
        <w:t>:</w:t>
      </w:r>
      <w:r w:rsidR="00B31BEC">
        <w:t xml:space="preserve">  ‘</w:t>
      </w:r>
      <w:proofErr w:type="gramEnd"/>
      <w:r w:rsidR="00B31BEC">
        <w:t xml:space="preserve">Announcements, </w:t>
      </w:r>
      <w:proofErr w:type="spellStart"/>
      <w:r w:rsidR="00B31BEC">
        <w:t>Tablings</w:t>
      </w:r>
      <w:proofErr w:type="spellEnd"/>
      <w:r w:rsidR="00B31BEC">
        <w:t xml:space="preserve"> And Committee Reports’  No 169—2023, Fifth Session, Sixth Parliament  Wednesday, 29 November 2023</w:t>
      </w:r>
    </w:p>
  </w:footnote>
  <w:footnote w:id="2">
    <w:p w14:paraId="153B4588" w14:textId="23342D61" w:rsidR="001E5EC9" w:rsidRDefault="001E5EC9">
      <w:pPr>
        <w:pStyle w:val="FootnoteText"/>
      </w:pPr>
      <w:r>
        <w:rPr>
          <w:rStyle w:val="FootnoteReference"/>
        </w:rPr>
        <w:footnoteRef/>
      </w:r>
      <w:r>
        <w:t xml:space="preserve"> </w:t>
      </w:r>
      <w:r w:rsidRPr="001E5EC9">
        <w:t>Section 118 of the Act provides that; “If the judge, regional magistrate or magistrate before whom an accused at a summary trial has pleaded not guilty is for any reason not available to continue with the trial and no evidence has been adduced yet, the trial may be continued before any other judge, regional magistrate or magistrate of the same court.”</w:t>
      </w:r>
    </w:p>
  </w:footnote>
  <w:footnote w:id="3">
    <w:p w14:paraId="728D1969" w14:textId="050D7E71" w:rsidR="00060AA2" w:rsidRDefault="00060AA2">
      <w:pPr>
        <w:pStyle w:val="FootnoteText"/>
      </w:pPr>
      <w:r>
        <w:rPr>
          <w:rStyle w:val="FootnoteReference"/>
        </w:rPr>
        <w:footnoteRef/>
      </w:r>
      <w:r>
        <w:t xml:space="preserve"> See for instance: </w:t>
      </w:r>
      <w:r w:rsidRPr="00060AA2">
        <w:rPr>
          <w:i/>
          <w:iCs/>
        </w:rPr>
        <w:t>S v Engelbrecht and Others</w:t>
      </w:r>
      <w:r w:rsidRPr="00060AA2">
        <w:t xml:space="preserve"> 2005 (2) SACR 283 CPD at para [3].</w:t>
      </w:r>
    </w:p>
  </w:footnote>
  <w:footnote w:id="4">
    <w:p w14:paraId="2DEBF5CE" w14:textId="77777777" w:rsidR="00B82294" w:rsidRDefault="00B82294" w:rsidP="00B82294">
      <w:pPr>
        <w:pStyle w:val="FootnoteText"/>
      </w:pPr>
      <w:r>
        <w:rPr>
          <w:rStyle w:val="FootnoteReference"/>
        </w:rPr>
        <w:footnoteRef/>
      </w:r>
      <w:r>
        <w:t xml:space="preserve"> </w:t>
      </w:r>
      <w:r>
        <w:rPr>
          <w:i/>
          <w:iCs/>
        </w:rPr>
        <w:t xml:space="preserve">Botha &amp; others v Regional Magistrate, Springs &amp; others </w:t>
      </w:r>
      <w:r>
        <w:t>(unreported, GP case no A807/2015, 28 March 2017) at [20]</w:t>
      </w:r>
    </w:p>
  </w:footnote>
  <w:footnote w:id="5">
    <w:p w14:paraId="7A43F88A" w14:textId="72257E50" w:rsidR="00EA28F9" w:rsidRDefault="00EA28F9">
      <w:pPr>
        <w:pStyle w:val="FootnoteText"/>
      </w:pPr>
      <w:r>
        <w:rPr>
          <w:rStyle w:val="FootnoteReference"/>
        </w:rPr>
        <w:footnoteRef/>
      </w:r>
      <w:r>
        <w:t xml:space="preserve"> </w:t>
      </w:r>
      <w:r>
        <w:rPr>
          <w:i/>
          <w:iCs/>
        </w:rPr>
        <w:t>Botha &amp; others v Regional Magistrate, Springs &amp; others</w:t>
      </w:r>
      <w:r w:rsidR="005014F0">
        <w:rPr>
          <w:i/>
          <w:iCs/>
        </w:rPr>
        <w:t xml:space="preserve"> </w:t>
      </w:r>
      <w:r>
        <w:t>(unreported, GP case no A807/2015, 28 March 2017) at [20]</w:t>
      </w:r>
    </w:p>
  </w:footnote>
  <w:footnote w:id="6">
    <w:p w14:paraId="1761ED2B" w14:textId="4B0C56FA" w:rsidR="00C77E21" w:rsidRDefault="00C77E21">
      <w:pPr>
        <w:pStyle w:val="FootnoteText"/>
      </w:pPr>
      <w:r>
        <w:rPr>
          <w:rStyle w:val="FootnoteReference"/>
        </w:rPr>
        <w:footnoteRef/>
      </w:r>
      <w:r>
        <w:t xml:space="preserve"> </w:t>
      </w:r>
      <w:r w:rsidR="00916A44" w:rsidRPr="00916A44">
        <w:rPr>
          <w:i/>
          <w:iCs/>
        </w:rPr>
        <w:t>Magistrate, Stutterheim v Mashiya</w:t>
      </w:r>
      <w:r w:rsidR="00916A44" w:rsidRPr="00916A44">
        <w:t xml:space="preserve"> 2003 (2) SACR 106 (SCA) at paras [13] and [14]</w:t>
      </w:r>
    </w:p>
  </w:footnote>
  <w:footnote w:id="7">
    <w:p w14:paraId="7A16676E" w14:textId="2C1F4BB0" w:rsidR="00405258" w:rsidRDefault="00405258">
      <w:pPr>
        <w:pStyle w:val="FootnoteText"/>
      </w:pPr>
      <w:r>
        <w:rPr>
          <w:rStyle w:val="FootnoteReference"/>
        </w:rPr>
        <w:footnoteRef/>
      </w:r>
      <w:r>
        <w:t xml:space="preserve"> </w:t>
      </w:r>
      <w:r w:rsidRPr="00405258">
        <w:rPr>
          <w:i/>
          <w:iCs/>
        </w:rPr>
        <w:t>S v Skhosana and Others</w:t>
      </w:r>
      <w:r w:rsidRPr="00405258">
        <w:t xml:space="preserve"> (41/2193/2008) [2014] ZAGPJHC 223; 2015 (1) SACR 526 (GJ) (18 September 2014)</w:t>
      </w:r>
      <w:r w:rsidR="00F75A77">
        <w:t xml:space="preserve"> at paras 17 and 18</w:t>
      </w:r>
      <w:r w:rsidR="00683A58">
        <w:t>. Also s</w:t>
      </w:r>
      <w:r w:rsidR="00683A58" w:rsidRPr="00683A58">
        <w:t>ee</w:t>
      </w:r>
      <w:r w:rsidR="00683A58">
        <w:t>:</w:t>
      </w:r>
      <w:r w:rsidR="00683A58" w:rsidRPr="00683A58">
        <w:t xml:space="preserve"> </w:t>
      </w:r>
      <w:r w:rsidR="00683A58" w:rsidRPr="00683A58">
        <w:rPr>
          <w:i/>
          <w:iCs/>
        </w:rPr>
        <w:t>R v Mhlanga 1959</w:t>
      </w:r>
      <w:r w:rsidR="00683A58" w:rsidRPr="00683A58">
        <w:t xml:space="preserve"> (2) SA 220 (T); </w:t>
      </w:r>
      <w:r w:rsidR="00683A58" w:rsidRPr="00683A58">
        <w:rPr>
          <w:i/>
          <w:iCs/>
        </w:rPr>
        <w:t>S v De Koker</w:t>
      </w:r>
      <w:r w:rsidR="00683A58" w:rsidRPr="00683A58">
        <w:t xml:space="preserve"> 1978 (1) SA 659 (O); </w:t>
      </w:r>
      <w:r w:rsidR="00683A58" w:rsidRPr="00683A58">
        <w:rPr>
          <w:i/>
          <w:iCs/>
        </w:rPr>
        <w:t xml:space="preserve">S v </w:t>
      </w:r>
      <w:proofErr w:type="spellStart"/>
      <w:r w:rsidR="00683A58" w:rsidRPr="00683A58">
        <w:rPr>
          <w:i/>
          <w:iCs/>
        </w:rPr>
        <w:t>Molowa</w:t>
      </w:r>
      <w:proofErr w:type="spellEnd"/>
      <w:r w:rsidR="00683A58" w:rsidRPr="00683A58">
        <w:t xml:space="preserve"> 1998 (2) SACR 422 (O)</w:t>
      </w:r>
      <w:r w:rsidR="00683A58">
        <w:t>,</w:t>
      </w:r>
      <w:r w:rsidR="00683A58" w:rsidRPr="00683A58">
        <w:t xml:space="preserve"> </w:t>
      </w:r>
      <w:r w:rsidR="00683A58" w:rsidRPr="00683A58">
        <w:rPr>
          <w:i/>
          <w:iCs/>
        </w:rPr>
        <w:t xml:space="preserve">S v </w:t>
      </w:r>
      <w:proofErr w:type="spellStart"/>
      <w:r w:rsidR="00683A58" w:rsidRPr="00683A58">
        <w:rPr>
          <w:i/>
          <w:iCs/>
        </w:rPr>
        <w:t>Polelo</w:t>
      </w:r>
      <w:proofErr w:type="spellEnd"/>
      <w:r w:rsidR="00683A58" w:rsidRPr="00683A58">
        <w:t xml:space="preserve"> 2000 (2) SACR 734 (NC)</w:t>
      </w:r>
      <w:r w:rsidR="00683A58">
        <w:t xml:space="preserve"> and</w:t>
      </w:r>
      <w:r w:rsidR="00683A58" w:rsidRPr="00683A58">
        <w:t xml:space="preserve">  </w:t>
      </w:r>
      <w:r w:rsidR="00683A58" w:rsidRPr="00683A58">
        <w:rPr>
          <w:i/>
          <w:iCs/>
        </w:rPr>
        <w:t>S v Stoffels and 11 similar cases</w:t>
      </w:r>
      <w:r w:rsidR="00683A58" w:rsidRPr="00683A58">
        <w:t xml:space="preserve"> 2004(1) SACR 176 at 177 B-D</w:t>
      </w:r>
    </w:p>
  </w:footnote>
  <w:footnote w:id="8">
    <w:p w14:paraId="204E4F77" w14:textId="77777777" w:rsidR="00BD5EFC" w:rsidRDefault="00BD5EFC" w:rsidP="00BD5EFC">
      <w:pPr>
        <w:pStyle w:val="FootnoteText"/>
      </w:pPr>
      <w:r>
        <w:rPr>
          <w:rStyle w:val="FootnoteReference"/>
        </w:rPr>
        <w:footnoteRef/>
      </w:r>
      <w:r>
        <w:t xml:space="preserve"> </w:t>
      </w:r>
      <w:r w:rsidRPr="00160462">
        <w:rPr>
          <w:i/>
          <w:iCs/>
        </w:rPr>
        <w:t xml:space="preserve">S v </w:t>
      </w:r>
      <w:proofErr w:type="spellStart"/>
      <w:r w:rsidRPr="00160462">
        <w:rPr>
          <w:i/>
          <w:iCs/>
        </w:rPr>
        <w:t>Polelo</w:t>
      </w:r>
      <w:proofErr w:type="spellEnd"/>
      <w:r>
        <w:t xml:space="preserve"> 2000 (2) SACR 734 (NC) 736</w:t>
      </w:r>
      <w:proofErr w:type="gramStart"/>
      <w:r>
        <w:t>ce);</w:t>
      </w:r>
      <w:proofErr w:type="gramEnd"/>
      <w:r>
        <w:t xml:space="preserve"> </w:t>
      </w:r>
      <w:r w:rsidRPr="00160462">
        <w:rPr>
          <w:i/>
          <w:iCs/>
        </w:rPr>
        <w:t>Magubane v Van der Merwe</w:t>
      </w:r>
      <w:r>
        <w:t xml:space="preserve"> NO 1969 (2) SA 417 (N); </w:t>
      </w:r>
      <w:r w:rsidRPr="00160462">
        <w:rPr>
          <w:i/>
          <w:iCs/>
        </w:rPr>
        <w:t xml:space="preserve">S v </w:t>
      </w:r>
      <w:proofErr w:type="spellStart"/>
      <w:r w:rsidRPr="00160462">
        <w:rPr>
          <w:i/>
          <w:iCs/>
        </w:rPr>
        <w:t>Mpetshwa</w:t>
      </w:r>
      <w:proofErr w:type="spellEnd"/>
      <w:r>
        <w:t xml:space="preserve"> 1979 (1) SA 925 (Tk); </w:t>
      </w:r>
      <w:r w:rsidRPr="00160462">
        <w:rPr>
          <w:i/>
          <w:iCs/>
        </w:rPr>
        <w:t xml:space="preserve">S v </w:t>
      </w:r>
      <w:proofErr w:type="spellStart"/>
      <w:r w:rsidRPr="00160462">
        <w:rPr>
          <w:i/>
          <w:iCs/>
        </w:rPr>
        <w:t>Makgetle</w:t>
      </w:r>
      <w:proofErr w:type="spellEnd"/>
      <w:r>
        <w:t xml:space="preserve"> 1980 (4) SA 256</w:t>
      </w:r>
    </w:p>
  </w:footnote>
  <w:footnote w:id="9">
    <w:p w14:paraId="44A95F8F" w14:textId="3FB9BE90" w:rsidR="005105EB" w:rsidRDefault="005105EB">
      <w:pPr>
        <w:pStyle w:val="FootnoteText"/>
      </w:pPr>
      <w:r>
        <w:rPr>
          <w:rStyle w:val="FootnoteReference"/>
        </w:rPr>
        <w:footnoteRef/>
      </w:r>
      <w:r>
        <w:t xml:space="preserve"> Hiemstra's </w:t>
      </w:r>
      <w:r w:rsidRPr="0080585C">
        <w:rPr>
          <w:i/>
          <w:iCs/>
        </w:rPr>
        <w:t>Criminal Procedure</w:t>
      </w:r>
      <w:r>
        <w:t xml:space="preserve"> 7</w:t>
      </w:r>
      <w:r w:rsidRPr="00BE78BB">
        <w:rPr>
          <w:vertAlign w:val="superscript"/>
        </w:rPr>
        <w:t>th</w:t>
      </w:r>
      <w:r>
        <w:t xml:space="preserve"> edition</w:t>
      </w:r>
      <w:r w:rsidR="00D1397E">
        <w:t xml:space="preserve"> page 15-22</w:t>
      </w:r>
    </w:p>
  </w:footnote>
  <w:footnote w:id="10">
    <w:p w14:paraId="6F4A27D8" w14:textId="3A81D579" w:rsidR="003E783D" w:rsidRDefault="003E783D" w:rsidP="00BE78BB">
      <w:pPr>
        <w:pStyle w:val="FootnoteText"/>
      </w:pPr>
      <w:r>
        <w:rPr>
          <w:rStyle w:val="FootnoteReference"/>
        </w:rPr>
        <w:footnoteRef/>
      </w:r>
      <w:r>
        <w:t xml:space="preserve"> </w:t>
      </w:r>
      <w:r w:rsidR="00BE78BB">
        <w:t xml:space="preserve">Hiemstra's </w:t>
      </w:r>
      <w:r w:rsidR="00BE78BB" w:rsidRPr="0080585C">
        <w:rPr>
          <w:i/>
          <w:iCs/>
        </w:rPr>
        <w:t>Criminal Procedure</w:t>
      </w:r>
      <w:r w:rsidR="00BE78BB">
        <w:t xml:space="preserve"> 7</w:t>
      </w:r>
      <w:r w:rsidR="00BE78BB" w:rsidRPr="00BE78BB">
        <w:rPr>
          <w:vertAlign w:val="superscript"/>
        </w:rPr>
        <w:t>th</w:t>
      </w:r>
      <w:r w:rsidR="00BE78BB">
        <w:t xml:space="preserve"> edition,</w:t>
      </w:r>
      <w:r w:rsidR="00B63ECC">
        <w:t xml:space="preserve"> page 18-</w:t>
      </w:r>
      <w:r w:rsidR="00B94867">
        <w:t>13</w:t>
      </w:r>
    </w:p>
  </w:footnote>
  <w:footnote w:id="11">
    <w:p w14:paraId="64AA039F" w14:textId="61C08916" w:rsidR="00CC70C2" w:rsidRDefault="00CC70C2">
      <w:pPr>
        <w:pStyle w:val="FootnoteText"/>
      </w:pPr>
      <w:r>
        <w:rPr>
          <w:rStyle w:val="FootnoteReference"/>
        </w:rPr>
        <w:footnoteRef/>
      </w:r>
      <w:r>
        <w:t xml:space="preserve"> </w:t>
      </w:r>
      <w:r w:rsidR="00945693">
        <w:t xml:space="preserve">For instance, in </w:t>
      </w:r>
      <w:r w:rsidRPr="00CC70C2">
        <w:t xml:space="preserve">November 2023, </w:t>
      </w:r>
      <w:r w:rsidR="00945693">
        <w:t xml:space="preserve">the High Court </w:t>
      </w:r>
      <w:r w:rsidRPr="00CC70C2">
        <w:t>S v Lamb and Another (398/2023; RCA40/2021) [2023] ZAWCHC 292 (21 November 2023)</w:t>
      </w:r>
      <w:r w:rsidR="00945693">
        <w:t xml:space="preserve"> set aside the recusal and not the proceedings. In that matter, however, the </w:t>
      </w:r>
      <w:r w:rsidR="0026246E">
        <w:t>Court was requested to “…</w:t>
      </w:r>
      <w:r w:rsidR="0026246E" w:rsidRPr="008A2EFE">
        <w:rPr>
          <w:i/>
          <w:iCs/>
        </w:rPr>
        <w:t xml:space="preserve">make an order for the matter to start de novo </w:t>
      </w:r>
      <w:r w:rsidR="0026246E" w:rsidRPr="008A2EFE">
        <w:rPr>
          <w:i/>
          <w:iCs/>
          <w:u w:val="single"/>
        </w:rPr>
        <w:t>or any other order as this Court deems fit</w:t>
      </w:r>
      <w:r w:rsidR="0026246E" w:rsidRPr="0026246E">
        <w:t>.</w:t>
      </w:r>
      <w:r w:rsidR="0026246E">
        <w:t>”</w:t>
      </w:r>
    </w:p>
  </w:footnote>
  <w:footnote w:id="12">
    <w:p w14:paraId="159F21FF" w14:textId="115D1CDB" w:rsidR="00A16064" w:rsidRDefault="00A16064">
      <w:pPr>
        <w:pStyle w:val="FootnoteText"/>
      </w:pPr>
      <w:r>
        <w:rPr>
          <w:rStyle w:val="FootnoteReference"/>
        </w:rPr>
        <w:footnoteRef/>
      </w:r>
      <w:r>
        <w:t xml:space="preserve"> </w:t>
      </w:r>
      <w:proofErr w:type="spellStart"/>
      <w:r w:rsidRPr="00A16064">
        <w:rPr>
          <w:i/>
          <w:iCs/>
        </w:rPr>
        <w:t>Mgubane</w:t>
      </w:r>
      <w:proofErr w:type="spellEnd"/>
      <w:r w:rsidRPr="00A16064">
        <w:rPr>
          <w:i/>
          <w:iCs/>
        </w:rPr>
        <w:t xml:space="preserve"> v Van der Merwe N0</w:t>
      </w:r>
      <w:r w:rsidRPr="00A16064">
        <w:t xml:space="preserve"> 1969 (2) SA 417 (N)]</w:t>
      </w:r>
    </w:p>
  </w:footnote>
  <w:footnote w:id="13">
    <w:p w14:paraId="59CC3692" w14:textId="1D27E8F7" w:rsidR="00FC2B98" w:rsidRDefault="00FC2B98">
      <w:pPr>
        <w:pStyle w:val="FootnoteText"/>
      </w:pPr>
      <w:r>
        <w:rPr>
          <w:rStyle w:val="FootnoteReference"/>
        </w:rPr>
        <w:footnoteRef/>
      </w:r>
      <w:r>
        <w:t xml:space="preserve"> </w:t>
      </w:r>
      <w:r w:rsidRPr="00FC2B98">
        <w:rPr>
          <w:i/>
          <w:iCs/>
        </w:rPr>
        <w:t>Gumbi v The State</w:t>
      </w:r>
      <w:r w:rsidRPr="00FC2B98">
        <w:t xml:space="preserve"> (414/2017) [2018] ZASCA 125 (26 September 2018)</w:t>
      </w:r>
    </w:p>
  </w:footnote>
  <w:footnote w:id="14">
    <w:p w14:paraId="5E673B73" w14:textId="197C341A" w:rsidR="00283CFC" w:rsidRDefault="00283CFC">
      <w:pPr>
        <w:pStyle w:val="FootnoteText"/>
      </w:pPr>
      <w:r>
        <w:rPr>
          <w:rStyle w:val="FootnoteReference"/>
        </w:rPr>
        <w:footnoteRef/>
      </w:r>
      <w:r>
        <w:t xml:space="preserve"> </w:t>
      </w:r>
      <w:r w:rsidR="00071B2C" w:rsidRPr="00131376">
        <w:rPr>
          <w:i/>
          <w:iCs/>
        </w:rPr>
        <w:t>S v Moreki</w:t>
      </w:r>
      <w:r w:rsidR="00071B2C" w:rsidRPr="00071B2C">
        <w:t xml:space="preserve"> (R12/2023) [2023] ZAFSHC 184 (5 May 2023)</w:t>
      </w:r>
      <w:r w:rsidR="00071B2C">
        <w:t>. This wordin</w:t>
      </w:r>
      <w:r w:rsidR="00847056">
        <w:t>g mirrors that</w:t>
      </w:r>
      <w:r w:rsidR="00071B2C">
        <w:t xml:space="preserve"> used in </w:t>
      </w:r>
      <w:r w:rsidRPr="00283CFC">
        <w:rPr>
          <w:i/>
          <w:iCs/>
        </w:rPr>
        <w:t>S v Gema and Another</w:t>
      </w:r>
      <w:r w:rsidRPr="00283CFC">
        <w:t xml:space="preserve"> (CA&amp;R 4/2022) [2022] ZANCHC 5; 2023 (1) SACR 304 (NCK) (31 January 2022)</w:t>
      </w:r>
    </w:p>
  </w:footnote>
  <w:footnote w:id="15">
    <w:p w14:paraId="48540641" w14:textId="2C65FEE7" w:rsidR="000B59C5" w:rsidRDefault="000B59C5">
      <w:pPr>
        <w:pStyle w:val="FootnoteText"/>
      </w:pPr>
      <w:r>
        <w:rPr>
          <w:rStyle w:val="FootnoteReference"/>
        </w:rPr>
        <w:footnoteRef/>
      </w:r>
      <w:r>
        <w:t xml:space="preserve"> This judgment only concerns instances of “absolute incapacity”</w:t>
      </w:r>
      <w:r w:rsidR="00BF1EF5">
        <w:t xml:space="preserve"> and no</w:t>
      </w:r>
      <w:r w:rsidR="004117CA">
        <w:t>t</w:t>
      </w:r>
      <w:r w:rsidR="00BF1EF5">
        <w:t xml:space="preserve"> instances of</w:t>
      </w:r>
      <w:r w:rsidR="004117CA">
        <w:t xml:space="preserve"> “other</w:t>
      </w:r>
      <w:r w:rsidR="00BF1EF5">
        <w:t xml:space="preserve"> incapacity</w:t>
      </w:r>
      <w:r w:rsidR="004117CA">
        <w:t xml:space="preserve">” </w:t>
      </w:r>
      <w:r w:rsidR="00A76DBA">
        <w:t>(</w:t>
      </w:r>
      <w:r w:rsidR="004117CA">
        <w:t xml:space="preserve">as </w:t>
      </w:r>
      <w:r w:rsidR="00A76DBA">
        <w:t xml:space="preserve">per the delineation of the concepts in </w:t>
      </w:r>
      <w:r w:rsidR="00A76DBA" w:rsidRPr="00A76DBA">
        <w:rPr>
          <w:i/>
          <w:iCs/>
        </w:rPr>
        <w:t xml:space="preserve">S v </w:t>
      </w:r>
      <w:proofErr w:type="spellStart"/>
      <w:r w:rsidR="00A76DBA" w:rsidRPr="00A76DBA">
        <w:rPr>
          <w:i/>
          <w:iCs/>
        </w:rPr>
        <w:t>Mkosana</w:t>
      </w:r>
      <w:proofErr w:type="spellEnd"/>
      <w:r w:rsidR="00A76DBA" w:rsidRPr="00A76DBA">
        <w:t xml:space="preserve"> 2004 (1) SACR 205 (Ck)</w:t>
      </w:r>
      <w:r w:rsidR="00A76DBA">
        <w:t>)</w:t>
      </w:r>
    </w:p>
  </w:footnote>
  <w:footnote w:id="16">
    <w:p w14:paraId="614E0F2E" w14:textId="7733A98B" w:rsidR="007E1F32" w:rsidRPr="003169CB" w:rsidRDefault="007E1F32" w:rsidP="000079CE">
      <w:pPr>
        <w:spacing w:after="120" w:line="360" w:lineRule="auto"/>
        <w:jc w:val="both"/>
        <w:rPr>
          <w:sz w:val="20"/>
          <w:szCs w:val="20"/>
        </w:rPr>
      </w:pPr>
      <w:r w:rsidRPr="003169CB">
        <w:rPr>
          <w:rStyle w:val="FootnoteReference"/>
          <w:sz w:val="20"/>
          <w:szCs w:val="20"/>
        </w:rPr>
        <w:footnoteRef/>
      </w:r>
      <w:r w:rsidRPr="003169CB">
        <w:rPr>
          <w:sz w:val="20"/>
          <w:szCs w:val="20"/>
        </w:rPr>
        <w:t xml:space="preserve"> “Part heard</w:t>
      </w:r>
      <w:r w:rsidR="00FD616B" w:rsidRPr="003169CB">
        <w:rPr>
          <w:sz w:val="20"/>
          <w:szCs w:val="20"/>
        </w:rPr>
        <w:t>” in the context as set out in paragraph 7 of this judgment</w:t>
      </w:r>
    </w:p>
  </w:footnote>
  <w:footnote w:id="17">
    <w:p w14:paraId="39E92699" w14:textId="0063FBE7" w:rsidR="00E600B6" w:rsidRDefault="00E600B6">
      <w:pPr>
        <w:pStyle w:val="FootnoteText"/>
      </w:pPr>
      <w:r>
        <w:rPr>
          <w:rStyle w:val="FootnoteReference"/>
        </w:rPr>
        <w:footnoteRef/>
      </w:r>
      <w:r>
        <w:t xml:space="preserve"> </w:t>
      </w:r>
      <w:r w:rsidR="00E63027">
        <w:t xml:space="preserve">Appointed by </w:t>
      </w:r>
      <w:r w:rsidR="00CC5F76" w:rsidRPr="00CC5F76">
        <w:t xml:space="preserve">Mr Ronald Lamola, Minister of Justice and Correctional </w:t>
      </w:r>
      <w:proofErr w:type="gramStart"/>
      <w:r w:rsidR="00CC5F76" w:rsidRPr="00CC5F76">
        <w:t>Services,,</w:t>
      </w:r>
      <w:proofErr w:type="gramEnd"/>
      <w:r w:rsidR="00CC5F76" w:rsidRPr="00CC5F76">
        <w:t xml:space="preserve"> in terms of section of section 7A(1)(b)(ii) of the South African Law Reform Commission Act, 1973 (Act 19 of 1973)</w:t>
      </w:r>
      <w:r w:rsidR="00E63027">
        <w:t xml:space="preserve"> on</w:t>
      </w:r>
      <w:r w:rsidR="007817B0">
        <w:t xml:space="preserve"> 17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142218"/>
      <w:docPartObj>
        <w:docPartGallery w:val="Page Numbers (Top of Page)"/>
        <w:docPartUnique/>
      </w:docPartObj>
    </w:sdtPr>
    <w:sdtEndPr>
      <w:rPr>
        <w:noProof/>
      </w:rPr>
    </w:sdtEndPr>
    <w:sdtContent>
      <w:p w14:paraId="187B477A" w14:textId="77777777" w:rsidR="008F7243" w:rsidRDefault="0071013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71DEB3" w14:textId="77777777" w:rsidR="008F7243" w:rsidRDefault="008F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37970"/>
    <w:multiLevelType w:val="hybridMultilevel"/>
    <w:tmpl w:val="8A8A43F4"/>
    <w:lvl w:ilvl="0" w:tplc="7E0C3858">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33531A"/>
    <w:multiLevelType w:val="hybridMultilevel"/>
    <w:tmpl w:val="CA2A23B4"/>
    <w:lvl w:ilvl="0" w:tplc="97B0B7C4">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45747152">
    <w:abstractNumId w:val="0"/>
  </w:num>
  <w:num w:numId="2" w16cid:durableId="114434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3E"/>
    <w:rsid w:val="0000321D"/>
    <w:rsid w:val="00003B61"/>
    <w:rsid w:val="00006B08"/>
    <w:rsid w:val="000079CE"/>
    <w:rsid w:val="000106B1"/>
    <w:rsid w:val="00011F88"/>
    <w:rsid w:val="000140E5"/>
    <w:rsid w:val="00020832"/>
    <w:rsid w:val="00021816"/>
    <w:rsid w:val="000246C2"/>
    <w:rsid w:val="00026426"/>
    <w:rsid w:val="00030DC7"/>
    <w:rsid w:val="000311B8"/>
    <w:rsid w:val="0003199D"/>
    <w:rsid w:val="000327B8"/>
    <w:rsid w:val="0003396F"/>
    <w:rsid w:val="00034F86"/>
    <w:rsid w:val="000509D2"/>
    <w:rsid w:val="00052514"/>
    <w:rsid w:val="00054CCD"/>
    <w:rsid w:val="000575D7"/>
    <w:rsid w:val="00060AA2"/>
    <w:rsid w:val="00065956"/>
    <w:rsid w:val="000675AC"/>
    <w:rsid w:val="00071B2C"/>
    <w:rsid w:val="0007349C"/>
    <w:rsid w:val="0007736E"/>
    <w:rsid w:val="00080C73"/>
    <w:rsid w:val="00080E14"/>
    <w:rsid w:val="00081059"/>
    <w:rsid w:val="0008131D"/>
    <w:rsid w:val="000826DA"/>
    <w:rsid w:val="00084AB6"/>
    <w:rsid w:val="00091199"/>
    <w:rsid w:val="00091B20"/>
    <w:rsid w:val="0009230D"/>
    <w:rsid w:val="000A0EA6"/>
    <w:rsid w:val="000A3DAC"/>
    <w:rsid w:val="000A43E3"/>
    <w:rsid w:val="000A5007"/>
    <w:rsid w:val="000A5CC3"/>
    <w:rsid w:val="000A6D3A"/>
    <w:rsid w:val="000B270A"/>
    <w:rsid w:val="000B2CA2"/>
    <w:rsid w:val="000B3087"/>
    <w:rsid w:val="000B35F7"/>
    <w:rsid w:val="000B564B"/>
    <w:rsid w:val="000B59C5"/>
    <w:rsid w:val="000B6EF5"/>
    <w:rsid w:val="000C0798"/>
    <w:rsid w:val="000C419F"/>
    <w:rsid w:val="000D0328"/>
    <w:rsid w:val="000D0CF6"/>
    <w:rsid w:val="000D26FD"/>
    <w:rsid w:val="000D4618"/>
    <w:rsid w:val="000D4699"/>
    <w:rsid w:val="000D69C4"/>
    <w:rsid w:val="000E0043"/>
    <w:rsid w:val="000E0E2D"/>
    <w:rsid w:val="000E1826"/>
    <w:rsid w:val="000E3A45"/>
    <w:rsid w:val="000E679F"/>
    <w:rsid w:val="000E7EFB"/>
    <w:rsid w:val="000F4C5D"/>
    <w:rsid w:val="00105A8D"/>
    <w:rsid w:val="0011041C"/>
    <w:rsid w:val="001115F3"/>
    <w:rsid w:val="00111CA7"/>
    <w:rsid w:val="001126DD"/>
    <w:rsid w:val="001166D1"/>
    <w:rsid w:val="00117835"/>
    <w:rsid w:val="00122549"/>
    <w:rsid w:val="00125A52"/>
    <w:rsid w:val="00131376"/>
    <w:rsid w:val="00131A5D"/>
    <w:rsid w:val="00132F76"/>
    <w:rsid w:val="0013440E"/>
    <w:rsid w:val="0014150C"/>
    <w:rsid w:val="0014228B"/>
    <w:rsid w:val="001446EE"/>
    <w:rsid w:val="001454C4"/>
    <w:rsid w:val="0015079B"/>
    <w:rsid w:val="001509DB"/>
    <w:rsid w:val="00150EEF"/>
    <w:rsid w:val="00151193"/>
    <w:rsid w:val="0015305C"/>
    <w:rsid w:val="00157903"/>
    <w:rsid w:val="00160462"/>
    <w:rsid w:val="00164982"/>
    <w:rsid w:val="0016768C"/>
    <w:rsid w:val="00167AD2"/>
    <w:rsid w:val="00167EEC"/>
    <w:rsid w:val="00171919"/>
    <w:rsid w:val="00171A25"/>
    <w:rsid w:val="00173019"/>
    <w:rsid w:val="001741D6"/>
    <w:rsid w:val="00177F3D"/>
    <w:rsid w:val="001812F2"/>
    <w:rsid w:val="001837AC"/>
    <w:rsid w:val="00185C4A"/>
    <w:rsid w:val="00186114"/>
    <w:rsid w:val="001A08F2"/>
    <w:rsid w:val="001A0906"/>
    <w:rsid w:val="001A5136"/>
    <w:rsid w:val="001A5939"/>
    <w:rsid w:val="001B0D8A"/>
    <w:rsid w:val="001B460F"/>
    <w:rsid w:val="001B5143"/>
    <w:rsid w:val="001C00B6"/>
    <w:rsid w:val="001C179C"/>
    <w:rsid w:val="001C2929"/>
    <w:rsid w:val="001C2D23"/>
    <w:rsid w:val="001C58F1"/>
    <w:rsid w:val="001C749E"/>
    <w:rsid w:val="001C7984"/>
    <w:rsid w:val="001D061D"/>
    <w:rsid w:val="001D0928"/>
    <w:rsid w:val="001D3250"/>
    <w:rsid w:val="001D4FEF"/>
    <w:rsid w:val="001D7DD8"/>
    <w:rsid w:val="001E1AE9"/>
    <w:rsid w:val="001E21B2"/>
    <w:rsid w:val="001E2DCD"/>
    <w:rsid w:val="001E46C7"/>
    <w:rsid w:val="001E5148"/>
    <w:rsid w:val="001E5EC9"/>
    <w:rsid w:val="001F250D"/>
    <w:rsid w:val="00203CA1"/>
    <w:rsid w:val="00204147"/>
    <w:rsid w:val="002055A7"/>
    <w:rsid w:val="00211116"/>
    <w:rsid w:val="00211C7C"/>
    <w:rsid w:val="002139B7"/>
    <w:rsid w:val="0021563B"/>
    <w:rsid w:val="00221EAF"/>
    <w:rsid w:val="00226205"/>
    <w:rsid w:val="002268B2"/>
    <w:rsid w:val="00231462"/>
    <w:rsid w:val="00231931"/>
    <w:rsid w:val="00233720"/>
    <w:rsid w:val="0023681F"/>
    <w:rsid w:val="002414E3"/>
    <w:rsid w:val="00243166"/>
    <w:rsid w:val="002449C9"/>
    <w:rsid w:val="00246FDC"/>
    <w:rsid w:val="0025048E"/>
    <w:rsid w:val="00250BDE"/>
    <w:rsid w:val="0025354D"/>
    <w:rsid w:val="002550E2"/>
    <w:rsid w:val="00255886"/>
    <w:rsid w:val="002559F1"/>
    <w:rsid w:val="00260053"/>
    <w:rsid w:val="0026246E"/>
    <w:rsid w:val="002668F1"/>
    <w:rsid w:val="002676E0"/>
    <w:rsid w:val="00267ECD"/>
    <w:rsid w:val="0027191F"/>
    <w:rsid w:val="002734CC"/>
    <w:rsid w:val="00283CFC"/>
    <w:rsid w:val="00286E83"/>
    <w:rsid w:val="00290B70"/>
    <w:rsid w:val="00293205"/>
    <w:rsid w:val="00293BC6"/>
    <w:rsid w:val="002A0951"/>
    <w:rsid w:val="002A63DE"/>
    <w:rsid w:val="002A6F41"/>
    <w:rsid w:val="002A7852"/>
    <w:rsid w:val="002B345D"/>
    <w:rsid w:val="002B3EF4"/>
    <w:rsid w:val="002B4466"/>
    <w:rsid w:val="002B5357"/>
    <w:rsid w:val="002C2417"/>
    <w:rsid w:val="002C4136"/>
    <w:rsid w:val="002C53E0"/>
    <w:rsid w:val="002C5B5E"/>
    <w:rsid w:val="002C66EB"/>
    <w:rsid w:val="002D0123"/>
    <w:rsid w:val="002E069F"/>
    <w:rsid w:val="002E22C8"/>
    <w:rsid w:val="002E24A9"/>
    <w:rsid w:val="002E2DF4"/>
    <w:rsid w:val="002E56E8"/>
    <w:rsid w:val="002F217B"/>
    <w:rsid w:val="002F3208"/>
    <w:rsid w:val="002F40F5"/>
    <w:rsid w:val="002F6AC1"/>
    <w:rsid w:val="002F6B28"/>
    <w:rsid w:val="002F71FA"/>
    <w:rsid w:val="0030419A"/>
    <w:rsid w:val="0031098D"/>
    <w:rsid w:val="003126CE"/>
    <w:rsid w:val="003143E7"/>
    <w:rsid w:val="00316234"/>
    <w:rsid w:val="003169CB"/>
    <w:rsid w:val="00325416"/>
    <w:rsid w:val="0032752F"/>
    <w:rsid w:val="00330049"/>
    <w:rsid w:val="00331ACC"/>
    <w:rsid w:val="003334B4"/>
    <w:rsid w:val="003344A6"/>
    <w:rsid w:val="003372A3"/>
    <w:rsid w:val="003410FB"/>
    <w:rsid w:val="00346923"/>
    <w:rsid w:val="00347402"/>
    <w:rsid w:val="00347B39"/>
    <w:rsid w:val="00350639"/>
    <w:rsid w:val="00353571"/>
    <w:rsid w:val="00355441"/>
    <w:rsid w:val="00355AE6"/>
    <w:rsid w:val="00357101"/>
    <w:rsid w:val="003616E1"/>
    <w:rsid w:val="00362B9C"/>
    <w:rsid w:val="0036695F"/>
    <w:rsid w:val="003711C7"/>
    <w:rsid w:val="00373710"/>
    <w:rsid w:val="003751D9"/>
    <w:rsid w:val="0037710F"/>
    <w:rsid w:val="003805C3"/>
    <w:rsid w:val="00381664"/>
    <w:rsid w:val="0038178B"/>
    <w:rsid w:val="0038210A"/>
    <w:rsid w:val="0038392F"/>
    <w:rsid w:val="00383964"/>
    <w:rsid w:val="00383A32"/>
    <w:rsid w:val="0039005C"/>
    <w:rsid w:val="0039397F"/>
    <w:rsid w:val="00397201"/>
    <w:rsid w:val="003972DC"/>
    <w:rsid w:val="003A3902"/>
    <w:rsid w:val="003A4E4F"/>
    <w:rsid w:val="003B1456"/>
    <w:rsid w:val="003B258B"/>
    <w:rsid w:val="003B4205"/>
    <w:rsid w:val="003B7D84"/>
    <w:rsid w:val="003C17E7"/>
    <w:rsid w:val="003C7952"/>
    <w:rsid w:val="003D06EC"/>
    <w:rsid w:val="003D0CA0"/>
    <w:rsid w:val="003D0F0F"/>
    <w:rsid w:val="003D3ED2"/>
    <w:rsid w:val="003E1A37"/>
    <w:rsid w:val="003E25C4"/>
    <w:rsid w:val="003E39E4"/>
    <w:rsid w:val="003E3BB0"/>
    <w:rsid w:val="003E4C12"/>
    <w:rsid w:val="003E783D"/>
    <w:rsid w:val="003F031E"/>
    <w:rsid w:val="003F1E6C"/>
    <w:rsid w:val="00400C9E"/>
    <w:rsid w:val="004015B3"/>
    <w:rsid w:val="0040310C"/>
    <w:rsid w:val="004033E4"/>
    <w:rsid w:val="00405258"/>
    <w:rsid w:val="00405DB2"/>
    <w:rsid w:val="00405F9D"/>
    <w:rsid w:val="0041065B"/>
    <w:rsid w:val="004117CA"/>
    <w:rsid w:val="00416F2E"/>
    <w:rsid w:val="004229FE"/>
    <w:rsid w:val="0043251B"/>
    <w:rsid w:val="004348EB"/>
    <w:rsid w:val="00434AE0"/>
    <w:rsid w:val="00435BA3"/>
    <w:rsid w:val="0043667D"/>
    <w:rsid w:val="00436B03"/>
    <w:rsid w:val="00436BC0"/>
    <w:rsid w:val="004440A1"/>
    <w:rsid w:val="004440DD"/>
    <w:rsid w:val="004464D4"/>
    <w:rsid w:val="00446A61"/>
    <w:rsid w:val="00446A84"/>
    <w:rsid w:val="004519CE"/>
    <w:rsid w:val="00451A11"/>
    <w:rsid w:val="00453100"/>
    <w:rsid w:val="00454448"/>
    <w:rsid w:val="0045554B"/>
    <w:rsid w:val="00461D48"/>
    <w:rsid w:val="00462C30"/>
    <w:rsid w:val="0046478F"/>
    <w:rsid w:val="004662E5"/>
    <w:rsid w:val="004714F9"/>
    <w:rsid w:val="004733AA"/>
    <w:rsid w:val="00475EEF"/>
    <w:rsid w:val="0047752D"/>
    <w:rsid w:val="0048389C"/>
    <w:rsid w:val="004863AF"/>
    <w:rsid w:val="0048670A"/>
    <w:rsid w:val="004927A0"/>
    <w:rsid w:val="0049454E"/>
    <w:rsid w:val="004958D3"/>
    <w:rsid w:val="00495D7A"/>
    <w:rsid w:val="004965D7"/>
    <w:rsid w:val="004A3298"/>
    <w:rsid w:val="004A407E"/>
    <w:rsid w:val="004A42A5"/>
    <w:rsid w:val="004A5F9E"/>
    <w:rsid w:val="004A6330"/>
    <w:rsid w:val="004B11E6"/>
    <w:rsid w:val="004B59DA"/>
    <w:rsid w:val="004B639C"/>
    <w:rsid w:val="004B6A0B"/>
    <w:rsid w:val="004B7E1C"/>
    <w:rsid w:val="004C0323"/>
    <w:rsid w:val="004C42C2"/>
    <w:rsid w:val="004C7257"/>
    <w:rsid w:val="004D3476"/>
    <w:rsid w:val="004D3481"/>
    <w:rsid w:val="004D3A6F"/>
    <w:rsid w:val="004D5801"/>
    <w:rsid w:val="004D7FEB"/>
    <w:rsid w:val="004E1D6A"/>
    <w:rsid w:val="004E1E35"/>
    <w:rsid w:val="004E2540"/>
    <w:rsid w:val="004E2C6C"/>
    <w:rsid w:val="004E5109"/>
    <w:rsid w:val="004E623B"/>
    <w:rsid w:val="004F060A"/>
    <w:rsid w:val="004F09FB"/>
    <w:rsid w:val="004F2BD8"/>
    <w:rsid w:val="004F2D90"/>
    <w:rsid w:val="004F558E"/>
    <w:rsid w:val="004F6F96"/>
    <w:rsid w:val="005014F0"/>
    <w:rsid w:val="00503491"/>
    <w:rsid w:val="00504E54"/>
    <w:rsid w:val="005102C5"/>
    <w:rsid w:val="005105EB"/>
    <w:rsid w:val="005150F0"/>
    <w:rsid w:val="0051734E"/>
    <w:rsid w:val="00517516"/>
    <w:rsid w:val="005227B9"/>
    <w:rsid w:val="005241D9"/>
    <w:rsid w:val="00524650"/>
    <w:rsid w:val="00530733"/>
    <w:rsid w:val="00530F01"/>
    <w:rsid w:val="005311D4"/>
    <w:rsid w:val="00531EF3"/>
    <w:rsid w:val="0053445D"/>
    <w:rsid w:val="005352F5"/>
    <w:rsid w:val="00540084"/>
    <w:rsid w:val="005414E8"/>
    <w:rsid w:val="00541895"/>
    <w:rsid w:val="00544200"/>
    <w:rsid w:val="0054659F"/>
    <w:rsid w:val="00550C5C"/>
    <w:rsid w:val="00550EFC"/>
    <w:rsid w:val="00551297"/>
    <w:rsid w:val="0055217B"/>
    <w:rsid w:val="00555F12"/>
    <w:rsid w:val="00561906"/>
    <w:rsid w:val="00563C89"/>
    <w:rsid w:val="00563FD1"/>
    <w:rsid w:val="00564F92"/>
    <w:rsid w:val="0056529E"/>
    <w:rsid w:val="00566A8B"/>
    <w:rsid w:val="00566FA4"/>
    <w:rsid w:val="00574F60"/>
    <w:rsid w:val="00576478"/>
    <w:rsid w:val="005814C9"/>
    <w:rsid w:val="00582807"/>
    <w:rsid w:val="0058674E"/>
    <w:rsid w:val="005929A3"/>
    <w:rsid w:val="00592EB7"/>
    <w:rsid w:val="005A00E7"/>
    <w:rsid w:val="005A0292"/>
    <w:rsid w:val="005A02AE"/>
    <w:rsid w:val="005A239C"/>
    <w:rsid w:val="005A3E5D"/>
    <w:rsid w:val="005A7703"/>
    <w:rsid w:val="005B6329"/>
    <w:rsid w:val="005C0679"/>
    <w:rsid w:val="005C2FE7"/>
    <w:rsid w:val="005C63C8"/>
    <w:rsid w:val="005C73BE"/>
    <w:rsid w:val="005D0207"/>
    <w:rsid w:val="005D2C17"/>
    <w:rsid w:val="005D30D5"/>
    <w:rsid w:val="005D3CEF"/>
    <w:rsid w:val="005E0B1F"/>
    <w:rsid w:val="005E6209"/>
    <w:rsid w:val="005E6374"/>
    <w:rsid w:val="005E6731"/>
    <w:rsid w:val="005F1001"/>
    <w:rsid w:val="005F28F5"/>
    <w:rsid w:val="005F423B"/>
    <w:rsid w:val="005F6AB7"/>
    <w:rsid w:val="005F6E16"/>
    <w:rsid w:val="0060384E"/>
    <w:rsid w:val="006038BB"/>
    <w:rsid w:val="00606630"/>
    <w:rsid w:val="0060677C"/>
    <w:rsid w:val="00607695"/>
    <w:rsid w:val="006077C4"/>
    <w:rsid w:val="00607DBA"/>
    <w:rsid w:val="00613323"/>
    <w:rsid w:val="00617873"/>
    <w:rsid w:val="006214F3"/>
    <w:rsid w:val="006220C7"/>
    <w:rsid w:val="0062383A"/>
    <w:rsid w:val="006319C4"/>
    <w:rsid w:val="00632867"/>
    <w:rsid w:val="006335AC"/>
    <w:rsid w:val="006372C5"/>
    <w:rsid w:val="00641404"/>
    <w:rsid w:val="00641DEE"/>
    <w:rsid w:val="00643C15"/>
    <w:rsid w:val="00645208"/>
    <w:rsid w:val="00650656"/>
    <w:rsid w:val="00655F43"/>
    <w:rsid w:val="00661B63"/>
    <w:rsid w:val="0066384D"/>
    <w:rsid w:val="00663B68"/>
    <w:rsid w:val="0067196C"/>
    <w:rsid w:val="00675027"/>
    <w:rsid w:val="00675231"/>
    <w:rsid w:val="0067572E"/>
    <w:rsid w:val="006769B9"/>
    <w:rsid w:val="00676BC9"/>
    <w:rsid w:val="006808F3"/>
    <w:rsid w:val="0068322F"/>
    <w:rsid w:val="00683A58"/>
    <w:rsid w:val="00683B6B"/>
    <w:rsid w:val="00683DFE"/>
    <w:rsid w:val="00686397"/>
    <w:rsid w:val="00687464"/>
    <w:rsid w:val="006905D0"/>
    <w:rsid w:val="006923B3"/>
    <w:rsid w:val="006A4360"/>
    <w:rsid w:val="006B291D"/>
    <w:rsid w:val="006B5F3C"/>
    <w:rsid w:val="006B6090"/>
    <w:rsid w:val="006C08CA"/>
    <w:rsid w:val="006C0D44"/>
    <w:rsid w:val="006C0D7D"/>
    <w:rsid w:val="006C5C47"/>
    <w:rsid w:val="006C7AE9"/>
    <w:rsid w:val="006D1840"/>
    <w:rsid w:val="006D21C9"/>
    <w:rsid w:val="006D4103"/>
    <w:rsid w:val="006D7257"/>
    <w:rsid w:val="006D743A"/>
    <w:rsid w:val="006E0C15"/>
    <w:rsid w:val="006E120C"/>
    <w:rsid w:val="006E42AF"/>
    <w:rsid w:val="006E44CE"/>
    <w:rsid w:val="006E576C"/>
    <w:rsid w:val="006E57E3"/>
    <w:rsid w:val="006E7D08"/>
    <w:rsid w:val="006F024D"/>
    <w:rsid w:val="006F15B7"/>
    <w:rsid w:val="006F20D9"/>
    <w:rsid w:val="006F5BDF"/>
    <w:rsid w:val="0070047A"/>
    <w:rsid w:val="00702117"/>
    <w:rsid w:val="007034E0"/>
    <w:rsid w:val="00703AF6"/>
    <w:rsid w:val="00705F5C"/>
    <w:rsid w:val="00707C30"/>
    <w:rsid w:val="0071013E"/>
    <w:rsid w:val="0071162F"/>
    <w:rsid w:val="00712032"/>
    <w:rsid w:val="00713385"/>
    <w:rsid w:val="00714B1B"/>
    <w:rsid w:val="007152BC"/>
    <w:rsid w:val="00716A1B"/>
    <w:rsid w:val="00720109"/>
    <w:rsid w:val="00722594"/>
    <w:rsid w:val="00722A80"/>
    <w:rsid w:val="00723E31"/>
    <w:rsid w:val="00724C3A"/>
    <w:rsid w:val="00726AD6"/>
    <w:rsid w:val="00727563"/>
    <w:rsid w:val="00731204"/>
    <w:rsid w:val="00740F22"/>
    <w:rsid w:val="00745233"/>
    <w:rsid w:val="007467F5"/>
    <w:rsid w:val="00747099"/>
    <w:rsid w:val="007475F3"/>
    <w:rsid w:val="00747795"/>
    <w:rsid w:val="00747CBA"/>
    <w:rsid w:val="00752E6A"/>
    <w:rsid w:val="00754E33"/>
    <w:rsid w:val="00755232"/>
    <w:rsid w:val="00756EA6"/>
    <w:rsid w:val="00763312"/>
    <w:rsid w:val="007636A3"/>
    <w:rsid w:val="00763B80"/>
    <w:rsid w:val="00764129"/>
    <w:rsid w:val="007658DA"/>
    <w:rsid w:val="00771460"/>
    <w:rsid w:val="00771947"/>
    <w:rsid w:val="00774380"/>
    <w:rsid w:val="00776A01"/>
    <w:rsid w:val="00776B01"/>
    <w:rsid w:val="007776F1"/>
    <w:rsid w:val="0078079E"/>
    <w:rsid w:val="007817B0"/>
    <w:rsid w:val="00781F7F"/>
    <w:rsid w:val="00782922"/>
    <w:rsid w:val="00783D2A"/>
    <w:rsid w:val="00784AB5"/>
    <w:rsid w:val="007850AF"/>
    <w:rsid w:val="007856C9"/>
    <w:rsid w:val="00787D1E"/>
    <w:rsid w:val="007957DF"/>
    <w:rsid w:val="0079746B"/>
    <w:rsid w:val="007A126B"/>
    <w:rsid w:val="007A2289"/>
    <w:rsid w:val="007A24DF"/>
    <w:rsid w:val="007A41DD"/>
    <w:rsid w:val="007A6B4F"/>
    <w:rsid w:val="007A7E37"/>
    <w:rsid w:val="007A7EC9"/>
    <w:rsid w:val="007B02CA"/>
    <w:rsid w:val="007B0F2D"/>
    <w:rsid w:val="007B1120"/>
    <w:rsid w:val="007B35B5"/>
    <w:rsid w:val="007B3958"/>
    <w:rsid w:val="007B6900"/>
    <w:rsid w:val="007C05A1"/>
    <w:rsid w:val="007C17C7"/>
    <w:rsid w:val="007D010E"/>
    <w:rsid w:val="007D14D4"/>
    <w:rsid w:val="007D1DF7"/>
    <w:rsid w:val="007D28C8"/>
    <w:rsid w:val="007D38F8"/>
    <w:rsid w:val="007D6152"/>
    <w:rsid w:val="007D7239"/>
    <w:rsid w:val="007D75FE"/>
    <w:rsid w:val="007D7A43"/>
    <w:rsid w:val="007E00B6"/>
    <w:rsid w:val="007E0C2B"/>
    <w:rsid w:val="007E0E14"/>
    <w:rsid w:val="007E1E60"/>
    <w:rsid w:val="007E1F32"/>
    <w:rsid w:val="007E3A36"/>
    <w:rsid w:val="007F2CA3"/>
    <w:rsid w:val="007F2FE6"/>
    <w:rsid w:val="007F5CE7"/>
    <w:rsid w:val="00800608"/>
    <w:rsid w:val="00801A0C"/>
    <w:rsid w:val="0080585C"/>
    <w:rsid w:val="00807F20"/>
    <w:rsid w:val="00811A99"/>
    <w:rsid w:val="00812B52"/>
    <w:rsid w:val="00812DCD"/>
    <w:rsid w:val="0081397C"/>
    <w:rsid w:val="00813A5B"/>
    <w:rsid w:val="008143A1"/>
    <w:rsid w:val="00816744"/>
    <w:rsid w:val="00817A2D"/>
    <w:rsid w:val="008201C6"/>
    <w:rsid w:val="00821EB6"/>
    <w:rsid w:val="008253A0"/>
    <w:rsid w:val="008262BC"/>
    <w:rsid w:val="00826B28"/>
    <w:rsid w:val="00827897"/>
    <w:rsid w:val="00833BDB"/>
    <w:rsid w:val="008345BA"/>
    <w:rsid w:val="0083462D"/>
    <w:rsid w:val="00834A73"/>
    <w:rsid w:val="00840A7F"/>
    <w:rsid w:val="00845081"/>
    <w:rsid w:val="0084590D"/>
    <w:rsid w:val="00847056"/>
    <w:rsid w:val="00852649"/>
    <w:rsid w:val="008528D6"/>
    <w:rsid w:val="008548D7"/>
    <w:rsid w:val="00855FC1"/>
    <w:rsid w:val="008604CB"/>
    <w:rsid w:val="00870AA3"/>
    <w:rsid w:val="00870F5B"/>
    <w:rsid w:val="0087170A"/>
    <w:rsid w:val="00873839"/>
    <w:rsid w:val="00873E73"/>
    <w:rsid w:val="00873FB4"/>
    <w:rsid w:val="00876284"/>
    <w:rsid w:val="00877806"/>
    <w:rsid w:val="0088106D"/>
    <w:rsid w:val="0088674A"/>
    <w:rsid w:val="00890442"/>
    <w:rsid w:val="00890446"/>
    <w:rsid w:val="00890474"/>
    <w:rsid w:val="00892D37"/>
    <w:rsid w:val="00892F60"/>
    <w:rsid w:val="00894039"/>
    <w:rsid w:val="008941E8"/>
    <w:rsid w:val="008A057A"/>
    <w:rsid w:val="008A2162"/>
    <w:rsid w:val="008A2EFE"/>
    <w:rsid w:val="008A528F"/>
    <w:rsid w:val="008A53C0"/>
    <w:rsid w:val="008A7440"/>
    <w:rsid w:val="008B0CF4"/>
    <w:rsid w:val="008B2E01"/>
    <w:rsid w:val="008B3854"/>
    <w:rsid w:val="008B4E59"/>
    <w:rsid w:val="008B59A9"/>
    <w:rsid w:val="008C10B1"/>
    <w:rsid w:val="008C4A3D"/>
    <w:rsid w:val="008C4B31"/>
    <w:rsid w:val="008C5FDF"/>
    <w:rsid w:val="008D5658"/>
    <w:rsid w:val="008E1CBD"/>
    <w:rsid w:val="008E2F31"/>
    <w:rsid w:val="008E3FE4"/>
    <w:rsid w:val="008E5102"/>
    <w:rsid w:val="008F35B7"/>
    <w:rsid w:val="008F45F7"/>
    <w:rsid w:val="008F5FFA"/>
    <w:rsid w:val="008F7243"/>
    <w:rsid w:val="00904056"/>
    <w:rsid w:val="009040FA"/>
    <w:rsid w:val="009041A3"/>
    <w:rsid w:val="0090468F"/>
    <w:rsid w:val="0091040E"/>
    <w:rsid w:val="00911692"/>
    <w:rsid w:val="00914026"/>
    <w:rsid w:val="009154C9"/>
    <w:rsid w:val="0091600C"/>
    <w:rsid w:val="00916A44"/>
    <w:rsid w:val="00917C7B"/>
    <w:rsid w:val="00921438"/>
    <w:rsid w:val="00921F3B"/>
    <w:rsid w:val="0093207C"/>
    <w:rsid w:val="00932222"/>
    <w:rsid w:val="00932A5B"/>
    <w:rsid w:val="00937B41"/>
    <w:rsid w:val="00937CB1"/>
    <w:rsid w:val="0094067F"/>
    <w:rsid w:val="00945693"/>
    <w:rsid w:val="009469EB"/>
    <w:rsid w:val="00946A48"/>
    <w:rsid w:val="009520FD"/>
    <w:rsid w:val="009530BB"/>
    <w:rsid w:val="00953D72"/>
    <w:rsid w:val="00954A77"/>
    <w:rsid w:val="009604C1"/>
    <w:rsid w:val="00961A5E"/>
    <w:rsid w:val="00961B19"/>
    <w:rsid w:val="009622D3"/>
    <w:rsid w:val="00962F57"/>
    <w:rsid w:val="0096682D"/>
    <w:rsid w:val="00967E7D"/>
    <w:rsid w:val="009743B4"/>
    <w:rsid w:val="009749A0"/>
    <w:rsid w:val="00980C9B"/>
    <w:rsid w:val="00987314"/>
    <w:rsid w:val="0098784E"/>
    <w:rsid w:val="00987F71"/>
    <w:rsid w:val="00990DED"/>
    <w:rsid w:val="009A6F20"/>
    <w:rsid w:val="009B0571"/>
    <w:rsid w:val="009B552C"/>
    <w:rsid w:val="009B5CA5"/>
    <w:rsid w:val="009C23A4"/>
    <w:rsid w:val="009C6613"/>
    <w:rsid w:val="009C6A6F"/>
    <w:rsid w:val="009D037C"/>
    <w:rsid w:val="009D04FB"/>
    <w:rsid w:val="009D0BA4"/>
    <w:rsid w:val="009D1862"/>
    <w:rsid w:val="009D51A4"/>
    <w:rsid w:val="009D79A4"/>
    <w:rsid w:val="009E0137"/>
    <w:rsid w:val="009E0DFD"/>
    <w:rsid w:val="009F21FB"/>
    <w:rsid w:val="009F3E51"/>
    <w:rsid w:val="009F4930"/>
    <w:rsid w:val="00A02D7A"/>
    <w:rsid w:val="00A03D79"/>
    <w:rsid w:val="00A046CF"/>
    <w:rsid w:val="00A1069C"/>
    <w:rsid w:val="00A11495"/>
    <w:rsid w:val="00A14837"/>
    <w:rsid w:val="00A14B35"/>
    <w:rsid w:val="00A15054"/>
    <w:rsid w:val="00A15BE3"/>
    <w:rsid w:val="00A16064"/>
    <w:rsid w:val="00A16ACC"/>
    <w:rsid w:val="00A174FD"/>
    <w:rsid w:val="00A205EC"/>
    <w:rsid w:val="00A209A2"/>
    <w:rsid w:val="00A33177"/>
    <w:rsid w:val="00A33A69"/>
    <w:rsid w:val="00A33DDC"/>
    <w:rsid w:val="00A36008"/>
    <w:rsid w:val="00A40B39"/>
    <w:rsid w:val="00A43D1E"/>
    <w:rsid w:val="00A463A2"/>
    <w:rsid w:val="00A50EC5"/>
    <w:rsid w:val="00A5224E"/>
    <w:rsid w:val="00A53274"/>
    <w:rsid w:val="00A53A2B"/>
    <w:rsid w:val="00A54D75"/>
    <w:rsid w:val="00A61651"/>
    <w:rsid w:val="00A62018"/>
    <w:rsid w:val="00A628B6"/>
    <w:rsid w:val="00A62D3F"/>
    <w:rsid w:val="00A65734"/>
    <w:rsid w:val="00A661CB"/>
    <w:rsid w:val="00A70444"/>
    <w:rsid w:val="00A704BA"/>
    <w:rsid w:val="00A70577"/>
    <w:rsid w:val="00A711D2"/>
    <w:rsid w:val="00A72157"/>
    <w:rsid w:val="00A72C0C"/>
    <w:rsid w:val="00A74AF7"/>
    <w:rsid w:val="00A76DBA"/>
    <w:rsid w:val="00A8124B"/>
    <w:rsid w:val="00A81BBB"/>
    <w:rsid w:val="00A83290"/>
    <w:rsid w:val="00A8436A"/>
    <w:rsid w:val="00A84874"/>
    <w:rsid w:val="00A93626"/>
    <w:rsid w:val="00A94183"/>
    <w:rsid w:val="00AA17B2"/>
    <w:rsid w:val="00AA26D3"/>
    <w:rsid w:val="00AA5C71"/>
    <w:rsid w:val="00AA6634"/>
    <w:rsid w:val="00AA6675"/>
    <w:rsid w:val="00AA75C7"/>
    <w:rsid w:val="00AA7F12"/>
    <w:rsid w:val="00AB067C"/>
    <w:rsid w:val="00AB1D58"/>
    <w:rsid w:val="00AB23E8"/>
    <w:rsid w:val="00AB70DF"/>
    <w:rsid w:val="00AB76CE"/>
    <w:rsid w:val="00AC03A6"/>
    <w:rsid w:val="00AC0C6F"/>
    <w:rsid w:val="00AD383B"/>
    <w:rsid w:val="00AD39E1"/>
    <w:rsid w:val="00AE30D7"/>
    <w:rsid w:val="00AE444A"/>
    <w:rsid w:val="00AE4EA7"/>
    <w:rsid w:val="00AE4F27"/>
    <w:rsid w:val="00AE6A2C"/>
    <w:rsid w:val="00AF05D7"/>
    <w:rsid w:val="00AF1EA6"/>
    <w:rsid w:val="00AF2D49"/>
    <w:rsid w:val="00AF3167"/>
    <w:rsid w:val="00AF574A"/>
    <w:rsid w:val="00AF7CE7"/>
    <w:rsid w:val="00B04A0E"/>
    <w:rsid w:val="00B0576C"/>
    <w:rsid w:val="00B06C3A"/>
    <w:rsid w:val="00B073DF"/>
    <w:rsid w:val="00B16543"/>
    <w:rsid w:val="00B169B7"/>
    <w:rsid w:val="00B20728"/>
    <w:rsid w:val="00B250CB"/>
    <w:rsid w:val="00B26A8F"/>
    <w:rsid w:val="00B31BEC"/>
    <w:rsid w:val="00B360B3"/>
    <w:rsid w:val="00B375C4"/>
    <w:rsid w:val="00B40B58"/>
    <w:rsid w:val="00B412B8"/>
    <w:rsid w:val="00B447D2"/>
    <w:rsid w:val="00B45395"/>
    <w:rsid w:val="00B457D6"/>
    <w:rsid w:val="00B458EA"/>
    <w:rsid w:val="00B46E87"/>
    <w:rsid w:val="00B46FB1"/>
    <w:rsid w:val="00B5055E"/>
    <w:rsid w:val="00B53372"/>
    <w:rsid w:val="00B555C1"/>
    <w:rsid w:val="00B573B3"/>
    <w:rsid w:val="00B63ECC"/>
    <w:rsid w:val="00B65082"/>
    <w:rsid w:val="00B7079F"/>
    <w:rsid w:val="00B708D2"/>
    <w:rsid w:val="00B71085"/>
    <w:rsid w:val="00B71BC4"/>
    <w:rsid w:val="00B722E9"/>
    <w:rsid w:val="00B735D0"/>
    <w:rsid w:val="00B74956"/>
    <w:rsid w:val="00B74B20"/>
    <w:rsid w:val="00B750A4"/>
    <w:rsid w:val="00B80EE1"/>
    <w:rsid w:val="00B82294"/>
    <w:rsid w:val="00B90F57"/>
    <w:rsid w:val="00B91D32"/>
    <w:rsid w:val="00B940CB"/>
    <w:rsid w:val="00B94867"/>
    <w:rsid w:val="00B95E15"/>
    <w:rsid w:val="00B9649E"/>
    <w:rsid w:val="00BA218D"/>
    <w:rsid w:val="00BA2BA5"/>
    <w:rsid w:val="00BA5F4B"/>
    <w:rsid w:val="00BA7DF9"/>
    <w:rsid w:val="00BB0075"/>
    <w:rsid w:val="00BB028B"/>
    <w:rsid w:val="00BB0467"/>
    <w:rsid w:val="00BC0B5E"/>
    <w:rsid w:val="00BC2C69"/>
    <w:rsid w:val="00BC35AF"/>
    <w:rsid w:val="00BC40BE"/>
    <w:rsid w:val="00BC6622"/>
    <w:rsid w:val="00BD0A9B"/>
    <w:rsid w:val="00BD533F"/>
    <w:rsid w:val="00BD5EFC"/>
    <w:rsid w:val="00BD6448"/>
    <w:rsid w:val="00BE04A6"/>
    <w:rsid w:val="00BE1DC9"/>
    <w:rsid w:val="00BE21FB"/>
    <w:rsid w:val="00BE2900"/>
    <w:rsid w:val="00BE2A58"/>
    <w:rsid w:val="00BE3435"/>
    <w:rsid w:val="00BE4379"/>
    <w:rsid w:val="00BE4E26"/>
    <w:rsid w:val="00BE7624"/>
    <w:rsid w:val="00BE78BB"/>
    <w:rsid w:val="00BF0D1B"/>
    <w:rsid w:val="00BF1A02"/>
    <w:rsid w:val="00BF1EF5"/>
    <w:rsid w:val="00BF3E3A"/>
    <w:rsid w:val="00C0021C"/>
    <w:rsid w:val="00C0331F"/>
    <w:rsid w:val="00C039EF"/>
    <w:rsid w:val="00C04ADA"/>
    <w:rsid w:val="00C077F1"/>
    <w:rsid w:val="00C10672"/>
    <w:rsid w:val="00C15082"/>
    <w:rsid w:val="00C20C66"/>
    <w:rsid w:val="00C234B5"/>
    <w:rsid w:val="00C267C4"/>
    <w:rsid w:val="00C31F75"/>
    <w:rsid w:val="00C359B5"/>
    <w:rsid w:val="00C366BA"/>
    <w:rsid w:val="00C40746"/>
    <w:rsid w:val="00C40EDD"/>
    <w:rsid w:val="00C446EF"/>
    <w:rsid w:val="00C4543D"/>
    <w:rsid w:val="00C52060"/>
    <w:rsid w:val="00C520D9"/>
    <w:rsid w:val="00C523CF"/>
    <w:rsid w:val="00C53377"/>
    <w:rsid w:val="00C57EF3"/>
    <w:rsid w:val="00C60BFA"/>
    <w:rsid w:val="00C61159"/>
    <w:rsid w:val="00C62290"/>
    <w:rsid w:val="00C62662"/>
    <w:rsid w:val="00C6434C"/>
    <w:rsid w:val="00C66CC4"/>
    <w:rsid w:val="00C67957"/>
    <w:rsid w:val="00C67FB4"/>
    <w:rsid w:val="00C72508"/>
    <w:rsid w:val="00C72D0D"/>
    <w:rsid w:val="00C75AEB"/>
    <w:rsid w:val="00C77E21"/>
    <w:rsid w:val="00C8004F"/>
    <w:rsid w:val="00C83943"/>
    <w:rsid w:val="00C845C9"/>
    <w:rsid w:val="00C90F89"/>
    <w:rsid w:val="00C91EB5"/>
    <w:rsid w:val="00C929F0"/>
    <w:rsid w:val="00C93236"/>
    <w:rsid w:val="00C93D0D"/>
    <w:rsid w:val="00C943EC"/>
    <w:rsid w:val="00C96DC0"/>
    <w:rsid w:val="00C97918"/>
    <w:rsid w:val="00CA0D4F"/>
    <w:rsid w:val="00CA25CE"/>
    <w:rsid w:val="00CA4661"/>
    <w:rsid w:val="00CA5697"/>
    <w:rsid w:val="00CA5ECB"/>
    <w:rsid w:val="00CA7310"/>
    <w:rsid w:val="00CB25A1"/>
    <w:rsid w:val="00CB5E80"/>
    <w:rsid w:val="00CC0445"/>
    <w:rsid w:val="00CC36AD"/>
    <w:rsid w:val="00CC495B"/>
    <w:rsid w:val="00CC5F76"/>
    <w:rsid w:val="00CC70C2"/>
    <w:rsid w:val="00CD1A07"/>
    <w:rsid w:val="00CD72C1"/>
    <w:rsid w:val="00CE0E72"/>
    <w:rsid w:val="00CE3B26"/>
    <w:rsid w:val="00CE54DC"/>
    <w:rsid w:val="00CE7A79"/>
    <w:rsid w:val="00CE7FEE"/>
    <w:rsid w:val="00CF0F52"/>
    <w:rsid w:val="00CF1413"/>
    <w:rsid w:val="00CF34AA"/>
    <w:rsid w:val="00CF4D9B"/>
    <w:rsid w:val="00D0116C"/>
    <w:rsid w:val="00D04620"/>
    <w:rsid w:val="00D13886"/>
    <w:rsid w:val="00D1397E"/>
    <w:rsid w:val="00D15203"/>
    <w:rsid w:val="00D20FA5"/>
    <w:rsid w:val="00D210D8"/>
    <w:rsid w:val="00D217CA"/>
    <w:rsid w:val="00D24735"/>
    <w:rsid w:val="00D30EB8"/>
    <w:rsid w:val="00D313B8"/>
    <w:rsid w:val="00D3182E"/>
    <w:rsid w:val="00D33400"/>
    <w:rsid w:val="00D41DEC"/>
    <w:rsid w:val="00D422AD"/>
    <w:rsid w:val="00D4281A"/>
    <w:rsid w:val="00D4421C"/>
    <w:rsid w:val="00D44EEF"/>
    <w:rsid w:val="00D46460"/>
    <w:rsid w:val="00D47C15"/>
    <w:rsid w:val="00D52C3C"/>
    <w:rsid w:val="00D573C0"/>
    <w:rsid w:val="00D57514"/>
    <w:rsid w:val="00D578E2"/>
    <w:rsid w:val="00D57BAD"/>
    <w:rsid w:val="00D62DAD"/>
    <w:rsid w:val="00D62E11"/>
    <w:rsid w:val="00D71CAB"/>
    <w:rsid w:val="00D71DB0"/>
    <w:rsid w:val="00D735A1"/>
    <w:rsid w:val="00D81356"/>
    <w:rsid w:val="00D909E0"/>
    <w:rsid w:val="00D954F8"/>
    <w:rsid w:val="00D96A87"/>
    <w:rsid w:val="00DA1EE1"/>
    <w:rsid w:val="00DA378A"/>
    <w:rsid w:val="00DB0422"/>
    <w:rsid w:val="00DB3B1F"/>
    <w:rsid w:val="00DB4652"/>
    <w:rsid w:val="00DB47AE"/>
    <w:rsid w:val="00DB4C97"/>
    <w:rsid w:val="00DB63A7"/>
    <w:rsid w:val="00DB6EBC"/>
    <w:rsid w:val="00DC0837"/>
    <w:rsid w:val="00DC3517"/>
    <w:rsid w:val="00DD0572"/>
    <w:rsid w:val="00DD590D"/>
    <w:rsid w:val="00DD7C7E"/>
    <w:rsid w:val="00DE0CDD"/>
    <w:rsid w:val="00DE1EA3"/>
    <w:rsid w:val="00DE24CC"/>
    <w:rsid w:val="00DE41F6"/>
    <w:rsid w:val="00DF12D9"/>
    <w:rsid w:val="00DF49A2"/>
    <w:rsid w:val="00DF5518"/>
    <w:rsid w:val="00DF69EC"/>
    <w:rsid w:val="00DF7099"/>
    <w:rsid w:val="00DF7B64"/>
    <w:rsid w:val="00E0295F"/>
    <w:rsid w:val="00E03134"/>
    <w:rsid w:val="00E06B96"/>
    <w:rsid w:val="00E07A76"/>
    <w:rsid w:val="00E13BFA"/>
    <w:rsid w:val="00E13D4B"/>
    <w:rsid w:val="00E15241"/>
    <w:rsid w:val="00E21A1D"/>
    <w:rsid w:val="00E26154"/>
    <w:rsid w:val="00E332DB"/>
    <w:rsid w:val="00E3452B"/>
    <w:rsid w:val="00E3791D"/>
    <w:rsid w:val="00E4273A"/>
    <w:rsid w:val="00E43B1A"/>
    <w:rsid w:val="00E450C2"/>
    <w:rsid w:val="00E50EE7"/>
    <w:rsid w:val="00E52D07"/>
    <w:rsid w:val="00E53E84"/>
    <w:rsid w:val="00E5628A"/>
    <w:rsid w:val="00E600B6"/>
    <w:rsid w:val="00E63027"/>
    <w:rsid w:val="00E6579E"/>
    <w:rsid w:val="00E66504"/>
    <w:rsid w:val="00E66C7A"/>
    <w:rsid w:val="00E71D22"/>
    <w:rsid w:val="00E72055"/>
    <w:rsid w:val="00E73C4D"/>
    <w:rsid w:val="00E75B64"/>
    <w:rsid w:val="00E83DC2"/>
    <w:rsid w:val="00E85AFC"/>
    <w:rsid w:val="00E87C86"/>
    <w:rsid w:val="00E91217"/>
    <w:rsid w:val="00E95C89"/>
    <w:rsid w:val="00EA28F9"/>
    <w:rsid w:val="00EA4C79"/>
    <w:rsid w:val="00EA5F73"/>
    <w:rsid w:val="00EA7F60"/>
    <w:rsid w:val="00EB38A5"/>
    <w:rsid w:val="00EB3A7B"/>
    <w:rsid w:val="00EB479C"/>
    <w:rsid w:val="00EB5490"/>
    <w:rsid w:val="00EB5835"/>
    <w:rsid w:val="00EB6329"/>
    <w:rsid w:val="00EB71FB"/>
    <w:rsid w:val="00EC29F7"/>
    <w:rsid w:val="00EC457B"/>
    <w:rsid w:val="00EC55A1"/>
    <w:rsid w:val="00ED02D5"/>
    <w:rsid w:val="00ED1E79"/>
    <w:rsid w:val="00ED5650"/>
    <w:rsid w:val="00EE2A5A"/>
    <w:rsid w:val="00EE438A"/>
    <w:rsid w:val="00EF2E33"/>
    <w:rsid w:val="00EF3ADB"/>
    <w:rsid w:val="00EF4A29"/>
    <w:rsid w:val="00EF6C0E"/>
    <w:rsid w:val="00EF796C"/>
    <w:rsid w:val="00EF7B54"/>
    <w:rsid w:val="00F00F32"/>
    <w:rsid w:val="00F05B94"/>
    <w:rsid w:val="00F06491"/>
    <w:rsid w:val="00F11317"/>
    <w:rsid w:val="00F114CE"/>
    <w:rsid w:val="00F13C1A"/>
    <w:rsid w:val="00F20138"/>
    <w:rsid w:val="00F205FD"/>
    <w:rsid w:val="00F231C4"/>
    <w:rsid w:val="00F25F91"/>
    <w:rsid w:val="00F33E74"/>
    <w:rsid w:val="00F343A9"/>
    <w:rsid w:val="00F35CDC"/>
    <w:rsid w:val="00F3738B"/>
    <w:rsid w:val="00F376A8"/>
    <w:rsid w:val="00F40049"/>
    <w:rsid w:val="00F41A3D"/>
    <w:rsid w:val="00F44590"/>
    <w:rsid w:val="00F44974"/>
    <w:rsid w:val="00F44C96"/>
    <w:rsid w:val="00F5088B"/>
    <w:rsid w:val="00F50903"/>
    <w:rsid w:val="00F52080"/>
    <w:rsid w:val="00F52204"/>
    <w:rsid w:val="00F57D72"/>
    <w:rsid w:val="00F61C5C"/>
    <w:rsid w:val="00F662D0"/>
    <w:rsid w:val="00F671DE"/>
    <w:rsid w:val="00F71085"/>
    <w:rsid w:val="00F716B1"/>
    <w:rsid w:val="00F74AB9"/>
    <w:rsid w:val="00F74E90"/>
    <w:rsid w:val="00F75246"/>
    <w:rsid w:val="00F75A77"/>
    <w:rsid w:val="00F76D7A"/>
    <w:rsid w:val="00F82637"/>
    <w:rsid w:val="00F84C46"/>
    <w:rsid w:val="00F8631D"/>
    <w:rsid w:val="00F87AFD"/>
    <w:rsid w:val="00F91F0B"/>
    <w:rsid w:val="00F94398"/>
    <w:rsid w:val="00F95952"/>
    <w:rsid w:val="00F96997"/>
    <w:rsid w:val="00FA2D21"/>
    <w:rsid w:val="00FA589A"/>
    <w:rsid w:val="00FA6293"/>
    <w:rsid w:val="00FB0420"/>
    <w:rsid w:val="00FB1AD2"/>
    <w:rsid w:val="00FB1CA2"/>
    <w:rsid w:val="00FB5A8B"/>
    <w:rsid w:val="00FB5A8E"/>
    <w:rsid w:val="00FC2614"/>
    <w:rsid w:val="00FC2B98"/>
    <w:rsid w:val="00FC429C"/>
    <w:rsid w:val="00FC4941"/>
    <w:rsid w:val="00FD2B10"/>
    <w:rsid w:val="00FD4FE0"/>
    <w:rsid w:val="00FD616B"/>
    <w:rsid w:val="00FE0002"/>
    <w:rsid w:val="00FE0A43"/>
    <w:rsid w:val="00FE1613"/>
    <w:rsid w:val="00FE1BF8"/>
    <w:rsid w:val="00FE4E2E"/>
    <w:rsid w:val="00FE5A7B"/>
    <w:rsid w:val="00FF0ADD"/>
    <w:rsid w:val="00FF0C0B"/>
    <w:rsid w:val="00FF48A3"/>
    <w:rsid w:val="00FF7C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0DF4"/>
  <w15:chartTrackingRefBased/>
  <w15:docId w15:val="{EFD37394-C197-4BF4-874A-F542EB4B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8E"/>
    <w:pPr>
      <w:spacing w:after="200" w:line="276" w:lineRule="auto"/>
    </w:pPr>
  </w:style>
  <w:style w:type="paragraph" w:styleId="Heading2">
    <w:name w:val="heading 2"/>
    <w:basedOn w:val="Normal"/>
    <w:link w:val="Heading2Char"/>
    <w:uiPriority w:val="9"/>
    <w:qFormat/>
    <w:rsid w:val="00BA21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13E"/>
  </w:style>
  <w:style w:type="paragraph" w:styleId="NormalWeb">
    <w:name w:val="Normal (Web)"/>
    <w:basedOn w:val="Normal"/>
    <w:uiPriority w:val="99"/>
    <w:semiHidden/>
    <w:unhideWhenUsed/>
    <w:rsid w:val="006319C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47752D"/>
    <w:pPr>
      <w:spacing w:after="0" w:line="240" w:lineRule="auto"/>
    </w:pPr>
    <w:rPr>
      <w:sz w:val="20"/>
      <w:szCs w:val="20"/>
    </w:rPr>
  </w:style>
  <w:style w:type="character" w:customStyle="1" w:styleId="FootnoteTextChar">
    <w:name w:val="Footnote Text Char"/>
    <w:basedOn w:val="DefaultParagraphFont"/>
    <w:link w:val="FootnoteText"/>
    <w:uiPriority w:val="99"/>
    <w:rsid w:val="0047752D"/>
    <w:rPr>
      <w:sz w:val="20"/>
      <w:szCs w:val="20"/>
    </w:rPr>
  </w:style>
  <w:style w:type="character" w:styleId="FootnoteReference">
    <w:name w:val="footnote reference"/>
    <w:basedOn w:val="DefaultParagraphFont"/>
    <w:uiPriority w:val="99"/>
    <w:semiHidden/>
    <w:unhideWhenUsed/>
    <w:rsid w:val="0047752D"/>
    <w:rPr>
      <w:vertAlign w:val="superscript"/>
    </w:rPr>
  </w:style>
  <w:style w:type="character" w:customStyle="1" w:styleId="Heading2Char">
    <w:name w:val="Heading 2 Char"/>
    <w:basedOn w:val="DefaultParagraphFont"/>
    <w:link w:val="Heading2"/>
    <w:uiPriority w:val="9"/>
    <w:rsid w:val="00BA218D"/>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7B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47126">
      <w:bodyDiv w:val="1"/>
      <w:marLeft w:val="0"/>
      <w:marRight w:val="0"/>
      <w:marTop w:val="0"/>
      <w:marBottom w:val="0"/>
      <w:divBdr>
        <w:top w:val="none" w:sz="0" w:space="0" w:color="auto"/>
        <w:left w:val="none" w:sz="0" w:space="0" w:color="auto"/>
        <w:bottom w:val="none" w:sz="0" w:space="0" w:color="auto"/>
        <w:right w:val="none" w:sz="0" w:space="0" w:color="auto"/>
      </w:divBdr>
    </w:div>
    <w:div w:id="779305032">
      <w:bodyDiv w:val="1"/>
      <w:marLeft w:val="0"/>
      <w:marRight w:val="0"/>
      <w:marTop w:val="0"/>
      <w:marBottom w:val="0"/>
      <w:divBdr>
        <w:top w:val="none" w:sz="0" w:space="0" w:color="auto"/>
        <w:left w:val="none" w:sz="0" w:space="0" w:color="auto"/>
        <w:bottom w:val="none" w:sz="0" w:space="0" w:color="auto"/>
        <w:right w:val="none" w:sz="0" w:space="0" w:color="auto"/>
      </w:divBdr>
    </w:div>
    <w:div w:id="795029841">
      <w:bodyDiv w:val="1"/>
      <w:marLeft w:val="0"/>
      <w:marRight w:val="0"/>
      <w:marTop w:val="0"/>
      <w:marBottom w:val="0"/>
      <w:divBdr>
        <w:top w:val="none" w:sz="0" w:space="0" w:color="auto"/>
        <w:left w:val="none" w:sz="0" w:space="0" w:color="auto"/>
        <w:bottom w:val="none" w:sz="0" w:space="0" w:color="auto"/>
        <w:right w:val="none" w:sz="0" w:space="0" w:color="auto"/>
      </w:divBdr>
    </w:div>
    <w:div w:id="1316031565">
      <w:bodyDiv w:val="1"/>
      <w:marLeft w:val="0"/>
      <w:marRight w:val="0"/>
      <w:marTop w:val="0"/>
      <w:marBottom w:val="0"/>
      <w:divBdr>
        <w:top w:val="none" w:sz="0" w:space="0" w:color="auto"/>
        <w:left w:val="none" w:sz="0" w:space="0" w:color="auto"/>
        <w:bottom w:val="none" w:sz="0" w:space="0" w:color="auto"/>
        <w:right w:val="none" w:sz="0" w:space="0" w:color="auto"/>
      </w:divBdr>
    </w:div>
    <w:div w:id="1550726310">
      <w:bodyDiv w:val="1"/>
      <w:marLeft w:val="0"/>
      <w:marRight w:val="0"/>
      <w:marTop w:val="0"/>
      <w:marBottom w:val="0"/>
      <w:divBdr>
        <w:top w:val="none" w:sz="0" w:space="0" w:color="auto"/>
        <w:left w:val="none" w:sz="0" w:space="0" w:color="auto"/>
        <w:bottom w:val="none" w:sz="0" w:space="0" w:color="auto"/>
        <w:right w:val="none" w:sz="0" w:space="0" w:color="auto"/>
      </w:divBdr>
    </w:div>
    <w:div w:id="1791895703">
      <w:bodyDiv w:val="1"/>
      <w:marLeft w:val="0"/>
      <w:marRight w:val="0"/>
      <w:marTop w:val="0"/>
      <w:marBottom w:val="0"/>
      <w:divBdr>
        <w:top w:val="none" w:sz="0" w:space="0" w:color="auto"/>
        <w:left w:val="none" w:sz="0" w:space="0" w:color="auto"/>
        <w:bottom w:val="none" w:sz="0" w:space="0" w:color="auto"/>
        <w:right w:val="none" w:sz="0" w:space="0" w:color="auto"/>
      </w:divBdr>
    </w:div>
    <w:div w:id="191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B671-9623-4D88-974A-E447F526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 sarshan  mohan</cp:lastModifiedBy>
  <cp:revision>9</cp:revision>
  <dcterms:created xsi:type="dcterms:W3CDTF">2024-01-24T15:23:00Z</dcterms:created>
  <dcterms:modified xsi:type="dcterms:W3CDTF">2024-06-23T07:58:00Z</dcterms:modified>
</cp:coreProperties>
</file>