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61636" w14:textId="4FD6E8A4" w:rsidR="00E37E0A" w:rsidRDefault="00E37E0A" w:rsidP="00E37E0A">
      <w:pPr>
        <w:pStyle w:val="Heading1"/>
        <w:spacing w:before="92"/>
        <w:ind w:right="1674"/>
        <w:rPr>
          <w:rFonts w:ascii="Arial" w:hAnsi="Arial" w:cs="Arial"/>
          <w:b/>
          <w:bCs/>
          <w:color w:val="auto"/>
          <w:sz w:val="24"/>
          <w:szCs w:val="24"/>
        </w:rPr>
      </w:pPr>
      <w:r>
        <w:rPr>
          <w:noProof/>
        </w:rPr>
        <w:drawing>
          <wp:inline distT="0" distB="0" distL="0" distR="0" wp14:anchorId="4394F113" wp14:editId="21AAE87C">
            <wp:extent cx="4286250" cy="466725"/>
            <wp:effectExtent l="0" t="0" r="0" b="9525"/>
            <wp:docPr id="19352104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482E0F29" w14:textId="7FDDA8EA" w:rsidR="00BA2351" w:rsidRDefault="00BA2351" w:rsidP="001275D7">
      <w:pPr>
        <w:pStyle w:val="Heading1"/>
        <w:spacing w:before="92"/>
        <w:ind w:left="2385" w:right="1674" w:hanging="80"/>
        <w:jc w:val="center"/>
        <w:rPr>
          <w:rFonts w:ascii="Arial" w:hAnsi="Arial" w:cs="Arial"/>
          <w:b/>
          <w:bCs/>
          <w:color w:val="auto"/>
          <w:sz w:val="24"/>
          <w:szCs w:val="24"/>
        </w:rPr>
      </w:pPr>
      <w:r w:rsidRPr="008F0D3A">
        <w:rPr>
          <w:rFonts w:ascii="Verdana" w:eastAsia="Calibri" w:hAnsi="Verdana" w:cs="Arial"/>
          <w:b/>
          <w:noProof/>
          <w:sz w:val="24"/>
          <w:szCs w:val="24"/>
          <w:u w:val="single"/>
          <w:lang w:val="en-US" w:eastAsia="en-US"/>
        </w:rPr>
        <w:drawing>
          <wp:inline distT="0" distB="0" distL="0" distR="0" wp14:anchorId="5CC37F97" wp14:editId="53029C32">
            <wp:extent cx="1536700" cy="1739900"/>
            <wp:effectExtent l="0" t="0" r="6350" b="0"/>
            <wp:docPr id="1" name="Picture 1" descr="C:\Users\DThaba\AppData\Local\Microsoft\Windows\INetCache\Content.Outlook\XFIJKGTA\image002 (000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haba\AppData\Local\Microsoft\Windows\INetCache\Content.Outlook\XFIJKGTA\image002 (00000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0" cy="1739900"/>
                    </a:xfrm>
                    <a:prstGeom prst="rect">
                      <a:avLst/>
                    </a:prstGeom>
                    <a:noFill/>
                    <a:ln>
                      <a:noFill/>
                    </a:ln>
                  </pic:spPr>
                </pic:pic>
              </a:graphicData>
            </a:graphic>
          </wp:inline>
        </w:drawing>
      </w:r>
    </w:p>
    <w:p w14:paraId="4F9F9193" w14:textId="77777777" w:rsidR="00BA2351" w:rsidRPr="00BA2351" w:rsidRDefault="00BA2351" w:rsidP="00BA2351">
      <w:pPr>
        <w:spacing w:line="480" w:lineRule="auto"/>
        <w:jc w:val="center"/>
        <w:rPr>
          <w:rFonts w:ascii="Verdana" w:eastAsia="Calibri" w:hAnsi="Verdana"/>
          <w:b/>
          <w:kern w:val="2"/>
          <w:sz w:val="24"/>
          <w:szCs w:val="24"/>
          <w:lang w:val="en-ZA" w:eastAsia="en-US" w:bidi="th-TH"/>
          <w14:ligatures w14:val="standardContextual"/>
        </w:rPr>
      </w:pPr>
      <w:r w:rsidRPr="00BA2351">
        <w:rPr>
          <w:rFonts w:ascii="Verdana" w:eastAsia="Calibri" w:hAnsi="Verdana"/>
          <w:b/>
          <w:kern w:val="2"/>
          <w:sz w:val="24"/>
          <w:szCs w:val="24"/>
          <w:lang w:val="en-ZA" w:eastAsia="en-US" w:bidi="th-TH"/>
          <w14:ligatures w14:val="standardContextual"/>
        </w:rPr>
        <w:t>IN THE HIGH COURT OF SOUTH AFRICA</w:t>
      </w:r>
    </w:p>
    <w:p w14:paraId="37A09702" w14:textId="77777777" w:rsidR="00BA2351" w:rsidRPr="00BA2351" w:rsidRDefault="00BA2351" w:rsidP="00BA2351">
      <w:pPr>
        <w:spacing w:line="480" w:lineRule="auto"/>
        <w:jc w:val="center"/>
        <w:rPr>
          <w:rFonts w:ascii="Verdana" w:eastAsia="Calibri" w:hAnsi="Verdana"/>
          <w:b/>
          <w:kern w:val="2"/>
          <w:sz w:val="24"/>
          <w:szCs w:val="24"/>
          <w:lang w:val="en-ZA" w:eastAsia="en-US" w:bidi="th-TH"/>
          <w14:ligatures w14:val="standardContextual"/>
        </w:rPr>
      </w:pPr>
      <w:r w:rsidRPr="00BA2351">
        <w:rPr>
          <w:rFonts w:ascii="Verdana" w:eastAsia="Calibri" w:hAnsi="Verdana"/>
          <w:b/>
          <w:kern w:val="2"/>
          <w:sz w:val="24"/>
          <w:szCs w:val="24"/>
          <w:lang w:val="en-ZA" w:eastAsia="en-US" w:bidi="th-TH"/>
          <w14:ligatures w14:val="standardContextual"/>
        </w:rPr>
        <w:t>(GAUTENG DIVISION, PRETORIA)</w:t>
      </w:r>
    </w:p>
    <w:p w14:paraId="563DDAFE" w14:textId="77777777" w:rsidR="00D30FEE" w:rsidRPr="00BA2351" w:rsidRDefault="00D30FEE" w:rsidP="00BA2351">
      <w:pPr>
        <w:pStyle w:val="BodyText"/>
        <w:jc w:val="center"/>
        <w:rPr>
          <w:rFonts w:ascii="Verdana" w:hAnsi="Verdana"/>
          <w:b/>
        </w:rPr>
      </w:pPr>
    </w:p>
    <w:p w14:paraId="1E0738BD" w14:textId="77777777" w:rsidR="00D30FEE" w:rsidRPr="0003499D" w:rsidRDefault="00D30FEE" w:rsidP="00D30FEE">
      <w:pPr>
        <w:pStyle w:val="BodyText"/>
        <w:rPr>
          <w:b/>
        </w:rPr>
      </w:pPr>
    </w:p>
    <w:p w14:paraId="31615D3A" w14:textId="77777777" w:rsidR="00BA2351" w:rsidRDefault="00BA2351" w:rsidP="00BA2351">
      <w:pPr>
        <w:spacing w:line="480" w:lineRule="auto"/>
        <w:jc w:val="center"/>
        <w:rPr>
          <w:b/>
          <w:sz w:val="24"/>
          <w:szCs w:val="24"/>
        </w:rPr>
      </w:pPr>
    </w:p>
    <w:p w14:paraId="7F423BC7" w14:textId="77777777" w:rsidR="00BA2351" w:rsidRPr="008F0D3A" w:rsidRDefault="00BA2351" w:rsidP="00BA2351">
      <w:pPr>
        <w:spacing w:line="480" w:lineRule="auto"/>
        <w:jc w:val="center"/>
        <w:rPr>
          <w:b/>
          <w:sz w:val="24"/>
          <w:szCs w:val="24"/>
        </w:rPr>
      </w:pPr>
      <w:r w:rsidRPr="001464EE">
        <w:rPr>
          <w:rFonts w:ascii="Verdana" w:eastAsia="Calibri" w:hAnsi="Verdana" w:cs="Times New Roman"/>
          <w:noProof/>
          <w:sz w:val="24"/>
          <w:szCs w:val="24"/>
          <w:lang w:val="en-US" w:eastAsia="en-US"/>
        </w:rPr>
        <mc:AlternateContent>
          <mc:Choice Requires="wps">
            <w:drawing>
              <wp:anchor distT="0" distB="0" distL="114300" distR="114300" simplePos="0" relativeHeight="251662336" behindDoc="0" locked="0" layoutInCell="1" allowOverlap="1" wp14:anchorId="0DEB8E5A" wp14:editId="20C0C5CC">
                <wp:simplePos x="0" y="0"/>
                <wp:positionH relativeFrom="margin">
                  <wp:posOffset>50800</wp:posOffset>
                </wp:positionH>
                <wp:positionV relativeFrom="paragraph">
                  <wp:posOffset>198120</wp:posOffset>
                </wp:positionV>
                <wp:extent cx="3117850" cy="1670050"/>
                <wp:effectExtent l="0" t="0" r="254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1670050"/>
                        </a:xfrm>
                        <a:prstGeom prst="rect">
                          <a:avLst/>
                        </a:prstGeom>
                        <a:solidFill>
                          <a:srgbClr val="FFFFFF"/>
                        </a:solidFill>
                        <a:ln w="9525">
                          <a:solidFill>
                            <a:srgbClr val="000000"/>
                          </a:solidFill>
                          <a:miter lim="800000"/>
                          <a:headEnd/>
                          <a:tailEnd/>
                        </a:ln>
                      </wps:spPr>
                      <wps:txbx>
                        <w:txbxContent>
                          <w:p w14:paraId="5F33029A" w14:textId="77777777" w:rsidR="00E06E91" w:rsidRPr="006E5AB0" w:rsidRDefault="00E06E91" w:rsidP="00BA2351">
                            <w:pPr>
                              <w:numPr>
                                <w:ilvl w:val="0"/>
                                <w:numId w:val="5"/>
                              </w:numPr>
                              <w:spacing w:before="120" w:line="240" w:lineRule="auto"/>
                              <w:rPr>
                                <w:rFonts w:ascii="Century Gothic" w:hAnsi="Century Gothic"/>
                                <w:sz w:val="18"/>
                                <w:szCs w:val="18"/>
                              </w:rPr>
                            </w:pPr>
                            <w:r w:rsidRPr="006E5AB0">
                              <w:rPr>
                                <w:rFonts w:ascii="Century Gothic" w:hAnsi="Century Gothic"/>
                                <w:sz w:val="18"/>
                                <w:szCs w:val="18"/>
                              </w:rPr>
                              <w:t>REPORTABLE: NO</w:t>
                            </w:r>
                          </w:p>
                          <w:p w14:paraId="42F7BC9D" w14:textId="77777777" w:rsidR="00E06E91" w:rsidRPr="006E5AB0" w:rsidRDefault="00E06E91" w:rsidP="00BA2351">
                            <w:pPr>
                              <w:numPr>
                                <w:ilvl w:val="0"/>
                                <w:numId w:val="5"/>
                              </w:numPr>
                              <w:spacing w:line="240" w:lineRule="auto"/>
                              <w:rPr>
                                <w:rFonts w:ascii="Century Gothic" w:hAnsi="Century Gothic"/>
                                <w:sz w:val="18"/>
                                <w:szCs w:val="18"/>
                              </w:rPr>
                            </w:pPr>
                            <w:r w:rsidRPr="006E5AB0">
                              <w:rPr>
                                <w:rFonts w:ascii="Century Gothic" w:hAnsi="Century Gothic"/>
                                <w:sz w:val="18"/>
                                <w:szCs w:val="18"/>
                              </w:rPr>
                              <w:t xml:space="preserve">OF INTEREST TO OTHER JUDGES: </w:t>
                            </w:r>
                            <w:r>
                              <w:rPr>
                                <w:rFonts w:ascii="Century Gothic" w:hAnsi="Century Gothic"/>
                                <w:sz w:val="18"/>
                                <w:szCs w:val="18"/>
                              </w:rPr>
                              <w:t>YES</w:t>
                            </w:r>
                          </w:p>
                          <w:p w14:paraId="350BB7BD" w14:textId="77777777" w:rsidR="00E06E91" w:rsidRPr="005041D4" w:rsidRDefault="00E06E91" w:rsidP="00BA2351">
                            <w:pPr>
                              <w:numPr>
                                <w:ilvl w:val="0"/>
                                <w:numId w:val="5"/>
                              </w:numPr>
                              <w:spacing w:line="240" w:lineRule="auto"/>
                              <w:rPr>
                                <w:rFonts w:ascii="Century Gothic" w:hAnsi="Century Gothic"/>
                                <w:b/>
                                <w:sz w:val="18"/>
                                <w:szCs w:val="18"/>
                              </w:rPr>
                            </w:pPr>
                            <w:r w:rsidRPr="004549EB">
                              <w:rPr>
                                <w:rFonts w:ascii="Century Gothic" w:hAnsi="Century Gothic"/>
                                <w:sz w:val="18"/>
                                <w:szCs w:val="18"/>
                              </w:rPr>
                              <w:t xml:space="preserve">REVISED </w:t>
                            </w:r>
                          </w:p>
                          <w:p w14:paraId="1D94AC4C" w14:textId="77777777" w:rsidR="00E06E91" w:rsidRDefault="00E06E91" w:rsidP="00BA2351">
                            <w:pPr>
                              <w:spacing w:line="240" w:lineRule="auto"/>
                              <w:rPr>
                                <w:rFonts w:ascii="Century Gothic" w:hAnsi="Century Gothic"/>
                                <w:sz w:val="18"/>
                                <w:szCs w:val="18"/>
                              </w:rPr>
                            </w:pPr>
                          </w:p>
                          <w:p w14:paraId="6BA2A2E5" w14:textId="77777777" w:rsidR="00E06E91" w:rsidRPr="004549EB" w:rsidRDefault="00E06E91" w:rsidP="00BA2351">
                            <w:pPr>
                              <w:spacing w:line="240" w:lineRule="auto"/>
                              <w:rPr>
                                <w:rFonts w:ascii="Century Gothic" w:hAnsi="Century Gothic"/>
                                <w:b/>
                                <w:sz w:val="18"/>
                                <w:szCs w:val="18"/>
                              </w:rPr>
                            </w:pPr>
                            <w:r>
                              <w:rPr>
                                <w:rFonts w:ascii="Century Gothic" w:hAnsi="Century Gothic"/>
                                <w:b/>
                                <w:sz w:val="18"/>
                                <w:szCs w:val="18"/>
                              </w:rPr>
                              <w:t xml:space="preserve"> </w:t>
                            </w:r>
                          </w:p>
                          <w:p w14:paraId="59500960" w14:textId="2726CEEB" w:rsidR="00E06E91" w:rsidRDefault="00ED7D15" w:rsidP="00BA2351">
                            <w:pPr>
                              <w:rPr>
                                <w:rFonts w:ascii="Century Gothic" w:hAnsi="Century Gothic"/>
                                <w:sz w:val="18"/>
                                <w:szCs w:val="18"/>
                              </w:rPr>
                            </w:pPr>
                            <w:r>
                              <w:rPr>
                                <w:rFonts w:ascii="Century Gothic" w:hAnsi="Century Gothic"/>
                                <w:b/>
                                <w:sz w:val="18"/>
                                <w:szCs w:val="18"/>
                                <w:u w:val="single"/>
                              </w:rPr>
                              <w:t xml:space="preserve"> </w:t>
                            </w:r>
                            <w:r w:rsidR="00583A66">
                              <w:rPr>
                                <w:rFonts w:ascii="Century Gothic" w:hAnsi="Century Gothic"/>
                                <w:b/>
                                <w:sz w:val="18"/>
                                <w:szCs w:val="18"/>
                                <w:u w:val="single"/>
                              </w:rPr>
                              <w:t>0</w:t>
                            </w:r>
                            <w:r w:rsidR="00EA1EFF">
                              <w:rPr>
                                <w:rFonts w:ascii="Century Gothic" w:hAnsi="Century Gothic"/>
                                <w:b/>
                                <w:sz w:val="18"/>
                                <w:szCs w:val="18"/>
                                <w:u w:val="single"/>
                              </w:rPr>
                              <w:t>8</w:t>
                            </w:r>
                            <w:r>
                              <w:rPr>
                                <w:rFonts w:ascii="Century Gothic" w:hAnsi="Century Gothic"/>
                                <w:b/>
                                <w:sz w:val="18"/>
                                <w:szCs w:val="18"/>
                                <w:u w:val="single"/>
                              </w:rPr>
                              <w:t xml:space="preserve"> </w:t>
                            </w:r>
                            <w:r w:rsidR="00C31142">
                              <w:rPr>
                                <w:rFonts w:ascii="Century Gothic" w:hAnsi="Century Gothic"/>
                                <w:b/>
                                <w:sz w:val="18"/>
                                <w:szCs w:val="18"/>
                                <w:u w:val="single"/>
                              </w:rPr>
                              <w:t>Ju</w:t>
                            </w:r>
                            <w:r w:rsidR="00583A66">
                              <w:rPr>
                                <w:rFonts w:ascii="Century Gothic" w:hAnsi="Century Gothic"/>
                                <w:b/>
                                <w:sz w:val="18"/>
                                <w:szCs w:val="18"/>
                                <w:u w:val="single"/>
                              </w:rPr>
                              <w:t>ly</w:t>
                            </w:r>
                            <w:r w:rsidR="00E06E91">
                              <w:rPr>
                                <w:rFonts w:ascii="Century Gothic" w:hAnsi="Century Gothic"/>
                                <w:b/>
                                <w:sz w:val="18"/>
                                <w:szCs w:val="18"/>
                                <w:u w:val="single"/>
                              </w:rPr>
                              <w:t xml:space="preserve"> 2024</w:t>
                            </w:r>
                            <w:r w:rsidR="00E06E91" w:rsidRPr="008B5058">
                              <w:rPr>
                                <w:rFonts w:ascii="Century Gothic" w:hAnsi="Century Gothic"/>
                                <w:b/>
                                <w:sz w:val="18"/>
                                <w:szCs w:val="18"/>
                                <w:u w:val="single"/>
                              </w:rPr>
                              <w:t>_</w:t>
                            </w:r>
                            <w:r w:rsidR="00E06E91" w:rsidRPr="006E5AB0">
                              <w:rPr>
                                <w:rFonts w:ascii="Century Gothic" w:hAnsi="Century Gothic"/>
                                <w:sz w:val="18"/>
                                <w:szCs w:val="18"/>
                              </w:rPr>
                              <w:t xml:space="preserve">          </w:t>
                            </w:r>
                            <w:r w:rsidR="00E06E91">
                              <w:rPr>
                                <w:rFonts w:ascii="Century Gothic" w:hAnsi="Century Gothic"/>
                                <w:sz w:val="18"/>
                                <w:szCs w:val="18"/>
                              </w:rPr>
                              <w:tab/>
                              <w:t xml:space="preserve">    </w:t>
                            </w:r>
                            <w:r w:rsidR="00E06E91" w:rsidRPr="00B809AF">
                              <w:rPr>
                                <w:rFonts w:ascii="Century Gothic" w:hAnsi="Century Gothic"/>
                                <w:b/>
                                <w:sz w:val="18"/>
                                <w:szCs w:val="18"/>
                                <w:u w:val="single"/>
                              </w:rPr>
                              <w:t>___</w:t>
                            </w:r>
                            <w:proofErr w:type="gramStart"/>
                            <w:r w:rsidR="00E06E91" w:rsidRPr="00B809AF">
                              <w:rPr>
                                <w:rFonts w:ascii="Century Gothic" w:hAnsi="Century Gothic"/>
                                <w:b/>
                                <w:sz w:val="18"/>
                                <w:szCs w:val="18"/>
                                <w:u w:val="single"/>
                              </w:rPr>
                              <w:t>_</w:t>
                            </w:r>
                            <w:r w:rsidR="004B24A7">
                              <w:rPr>
                                <w:noProof/>
                                <w:u w:val="single"/>
                                <w:lang w:val="en-US" w:eastAsia="en-US"/>
                              </w:rPr>
                              <w:t>[</w:t>
                            </w:r>
                            <w:proofErr w:type="gramEnd"/>
                            <w:r w:rsidR="004B24A7">
                              <w:rPr>
                                <w:noProof/>
                                <w:u w:val="single"/>
                                <w:lang w:val="en-US" w:eastAsia="en-US"/>
                              </w:rPr>
                              <w:t>…]</w:t>
                            </w:r>
                            <w:r w:rsidR="00E06E91" w:rsidRPr="00B809AF">
                              <w:rPr>
                                <w:rFonts w:ascii="Century Gothic" w:hAnsi="Century Gothic"/>
                                <w:b/>
                                <w:sz w:val="18"/>
                                <w:szCs w:val="18"/>
                                <w:u w:val="single"/>
                              </w:rPr>
                              <w:t>____</w:t>
                            </w:r>
                          </w:p>
                          <w:p w14:paraId="6E848E26" w14:textId="77777777" w:rsidR="00E06E91" w:rsidRPr="006E5AB0" w:rsidRDefault="00E06E91" w:rsidP="00BA2351">
                            <w:pPr>
                              <w:spacing w:line="240" w:lineRule="auto"/>
                              <w:rPr>
                                <w:rFonts w:ascii="Century Gothic" w:hAnsi="Century Gothic"/>
                                <w:b/>
                                <w:sz w:val="18"/>
                                <w:szCs w:val="18"/>
                              </w:rPr>
                            </w:pPr>
                            <w:r w:rsidRPr="006E5AB0">
                              <w:rPr>
                                <w:rFonts w:ascii="Century Gothic" w:hAnsi="Century Gothic"/>
                                <w:b/>
                                <w:sz w:val="18"/>
                                <w:szCs w:val="18"/>
                              </w:rPr>
                              <w:t>DATE</w:t>
                            </w:r>
                            <w:r w:rsidRPr="006E5AB0">
                              <w:rPr>
                                <w:rFonts w:ascii="Century Gothic" w:hAnsi="Century Gothic"/>
                                <w:sz w:val="18"/>
                                <w:szCs w:val="18"/>
                              </w:rPr>
                              <w:tab/>
                            </w:r>
                            <w:r w:rsidRPr="006E5AB0">
                              <w:rPr>
                                <w:rFonts w:ascii="Century Gothic" w:hAnsi="Century Gothic"/>
                                <w:sz w:val="18"/>
                                <w:szCs w:val="18"/>
                              </w:rPr>
                              <w:tab/>
                            </w:r>
                            <w:r w:rsidRPr="006E5AB0">
                              <w:rPr>
                                <w:rFonts w:ascii="Century Gothic" w:hAnsi="Century Gothic"/>
                                <w:sz w:val="18"/>
                                <w:szCs w:val="18"/>
                              </w:rPr>
                              <w:tab/>
                              <w:t xml:space="preserve">    </w:t>
                            </w:r>
                            <w:r w:rsidRPr="006E5AB0">
                              <w:rPr>
                                <w:rFonts w:ascii="Century Gothic" w:hAnsi="Century Gothic"/>
                                <w:b/>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B8E5A" id="_x0000_t202" coordsize="21600,21600" o:spt="202" path="m,l,21600r21600,l21600,xe">
                <v:stroke joinstyle="miter"/>
                <v:path gradientshapeok="t" o:connecttype="rect"/>
              </v:shapetype>
              <v:shape id="Text Box 2" o:spid="_x0000_s1026" type="#_x0000_t202" style="position:absolute;left:0;text-align:left;margin-left:4pt;margin-top:15.6pt;width:245.5pt;height:13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RqFQIAACwEAAAOAAAAZHJzL2Uyb0RvYy54bWysU9uO2yAQfa/Uf0C8N7bTZJO14qy22aaq&#10;tL1I234AxthGxQwFEjv9+h2wN5veXqrygBhmODNz5rC5GTpFjsI6Cbqg2SylRGgOldRNQb9+2b9a&#10;U+I80xVToEVBT8LRm+3LF5ve5GIOLahKWIIg2uW9KWjrvcmTxPFWdMzNwAiNzhpsxzyatkkqy3pE&#10;71QyT9OrpAdbGQtcOIe3d6OTbiN+XQvuP9W1E56ogmJtPu427mXYk+2G5Y1lppV8KoP9QxUdkxqT&#10;nqHumGfkYOVvUJ3kFhzUfsahS6CuJRexB+wmS3/p5qFlRsRekBxnzjS5/wfLPx4fzGdL/PAGBhxg&#10;bMKZe+DfHNGwa5luxK210LeCVZg4C5QlvXH59DRQ7XIXQMr+A1Q4ZHbwEIGG2naBFeyTIDoO4HQm&#10;XQyecLx8nWWr9RJdHH3Z1SpN0Qg5WP703Fjn3wnoSDgU1OJUIzw73js/hj6FhGwOlKz2Uqlo2Kbc&#10;KUuODBWwj2tC/ylMadIX9Ho5X44M/BUijetPEJ30KGUlu4Kuz0EsD7y91VUUmmdSjWfsTumJyMDd&#10;yKIfygEDA6ElVCek1MIoWfxieGjB/qCkR7kW1H0/MCsoUe81juU6WyyCvqOxWK7maNhLT3npYZoj&#10;VEE9JeNx58c/cTBWNi1mGoWg4RZHWctI8nNVU90oyTim6fsEzV/aMer5k28fAQAA//8DAFBLAwQU&#10;AAYACAAAACEAKWeCxt4AAAAIAQAADwAAAGRycy9kb3ducmV2LnhtbEyPwU7DMAyG70i8Q2QkLmhL&#10;11VjLU0nhASC2xgTXLPWaysSpyRZV94ec4Kj/Vufv7/cTNaIEX3oHSlYzBMQSLVremoV7N8eZ2sQ&#10;IWpqtHGECr4xwKa6vCh10bgzveK4i61gCIVCK+hiHAopQ92h1WHuBiTOjs5bHXn0rWy8PjPcGpkm&#10;yUpa3RN/6PSADx3Wn7uTVbDOnseP8LLcvtero8njze349OWVur6a7u9ARJzi3zH86rM6VOx0cCdq&#10;gjDM4CZRwXKRguA4y3NeHBSkeZaCrEr5v0D1AwAA//8DAFBLAQItABQABgAIAAAAIQC2gziS/gAA&#10;AOEBAAATAAAAAAAAAAAAAAAAAAAAAABbQ29udGVudF9UeXBlc10ueG1sUEsBAi0AFAAGAAgAAAAh&#10;ADj9If/WAAAAlAEAAAsAAAAAAAAAAAAAAAAALwEAAF9yZWxzLy5yZWxzUEsBAi0AFAAGAAgAAAAh&#10;AK96xGoVAgAALAQAAA4AAAAAAAAAAAAAAAAALgIAAGRycy9lMm9Eb2MueG1sUEsBAi0AFAAGAAgA&#10;AAAhAClngsbeAAAACAEAAA8AAAAAAAAAAAAAAAAAbwQAAGRycy9kb3ducmV2LnhtbFBLBQYAAAAA&#10;BAAEAPMAAAB6BQAAAAA=&#10;">
                <v:textbox>
                  <w:txbxContent>
                    <w:p w14:paraId="5F33029A" w14:textId="77777777" w:rsidR="00E06E91" w:rsidRPr="006E5AB0" w:rsidRDefault="00E06E91" w:rsidP="00BA2351">
                      <w:pPr>
                        <w:numPr>
                          <w:ilvl w:val="0"/>
                          <w:numId w:val="5"/>
                        </w:numPr>
                        <w:spacing w:before="120" w:line="240" w:lineRule="auto"/>
                        <w:rPr>
                          <w:rFonts w:ascii="Century Gothic" w:hAnsi="Century Gothic"/>
                          <w:sz w:val="18"/>
                          <w:szCs w:val="18"/>
                        </w:rPr>
                      </w:pPr>
                      <w:r w:rsidRPr="006E5AB0">
                        <w:rPr>
                          <w:rFonts w:ascii="Century Gothic" w:hAnsi="Century Gothic"/>
                          <w:sz w:val="18"/>
                          <w:szCs w:val="18"/>
                        </w:rPr>
                        <w:t>REPORTABLE: NO</w:t>
                      </w:r>
                    </w:p>
                    <w:p w14:paraId="42F7BC9D" w14:textId="77777777" w:rsidR="00E06E91" w:rsidRPr="006E5AB0" w:rsidRDefault="00E06E91" w:rsidP="00BA2351">
                      <w:pPr>
                        <w:numPr>
                          <w:ilvl w:val="0"/>
                          <w:numId w:val="5"/>
                        </w:numPr>
                        <w:spacing w:line="240" w:lineRule="auto"/>
                        <w:rPr>
                          <w:rFonts w:ascii="Century Gothic" w:hAnsi="Century Gothic"/>
                          <w:sz w:val="18"/>
                          <w:szCs w:val="18"/>
                        </w:rPr>
                      </w:pPr>
                      <w:r w:rsidRPr="006E5AB0">
                        <w:rPr>
                          <w:rFonts w:ascii="Century Gothic" w:hAnsi="Century Gothic"/>
                          <w:sz w:val="18"/>
                          <w:szCs w:val="18"/>
                        </w:rPr>
                        <w:t xml:space="preserve">OF INTEREST TO OTHER JUDGES: </w:t>
                      </w:r>
                      <w:r>
                        <w:rPr>
                          <w:rFonts w:ascii="Century Gothic" w:hAnsi="Century Gothic"/>
                          <w:sz w:val="18"/>
                          <w:szCs w:val="18"/>
                        </w:rPr>
                        <w:t>YES</w:t>
                      </w:r>
                    </w:p>
                    <w:p w14:paraId="350BB7BD" w14:textId="77777777" w:rsidR="00E06E91" w:rsidRPr="005041D4" w:rsidRDefault="00E06E91" w:rsidP="00BA2351">
                      <w:pPr>
                        <w:numPr>
                          <w:ilvl w:val="0"/>
                          <w:numId w:val="5"/>
                        </w:numPr>
                        <w:spacing w:line="240" w:lineRule="auto"/>
                        <w:rPr>
                          <w:rFonts w:ascii="Century Gothic" w:hAnsi="Century Gothic"/>
                          <w:b/>
                          <w:sz w:val="18"/>
                          <w:szCs w:val="18"/>
                        </w:rPr>
                      </w:pPr>
                      <w:r w:rsidRPr="004549EB">
                        <w:rPr>
                          <w:rFonts w:ascii="Century Gothic" w:hAnsi="Century Gothic"/>
                          <w:sz w:val="18"/>
                          <w:szCs w:val="18"/>
                        </w:rPr>
                        <w:t xml:space="preserve">REVISED </w:t>
                      </w:r>
                    </w:p>
                    <w:p w14:paraId="1D94AC4C" w14:textId="77777777" w:rsidR="00E06E91" w:rsidRDefault="00E06E91" w:rsidP="00BA2351">
                      <w:pPr>
                        <w:spacing w:line="240" w:lineRule="auto"/>
                        <w:rPr>
                          <w:rFonts w:ascii="Century Gothic" w:hAnsi="Century Gothic"/>
                          <w:sz w:val="18"/>
                          <w:szCs w:val="18"/>
                        </w:rPr>
                      </w:pPr>
                    </w:p>
                    <w:p w14:paraId="6BA2A2E5" w14:textId="77777777" w:rsidR="00E06E91" w:rsidRPr="004549EB" w:rsidRDefault="00E06E91" w:rsidP="00BA2351">
                      <w:pPr>
                        <w:spacing w:line="240" w:lineRule="auto"/>
                        <w:rPr>
                          <w:rFonts w:ascii="Century Gothic" w:hAnsi="Century Gothic"/>
                          <w:b/>
                          <w:sz w:val="18"/>
                          <w:szCs w:val="18"/>
                        </w:rPr>
                      </w:pPr>
                      <w:r>
                        <w:rPr>
                          <w:rFonts w:ascii="Century Gothic" w:hAnsi="Century Gothic"/>
                          <w:b/>
                          <w:sz w:val="18"/>
                          <w:szCs w:val="18"/>
                        </w:rPr>
                        <w:t xml:space="preserve"> </w:t>
                      </w:r>
                    </w:p>
                    <w:p w14:paraId="59500960" w14:textId="2726CEEB" w:rsidR="00E06E91" w:rsidRDefault="00ED7D15" w:rsidP="00BA2351">
                      <w:pPr>
                        <w:rPr>
                          <w:rFonts w:ascii="Century Gothic" w:hAnsi="Century Gothic"/>
                          <w:sz w:val="18"/>
                          <w:szCs w:val="18"/>
                        </w:rPr>
                      </w:pPr>
                      <w:r>
                        <w:rPr>
                          <w:rFonts w:ascii="Century Gothic" w:hAnsi="Century Gothic"/>
                          <w:b/>
                          <w:sz w:val="18"/>
                          <w:szCs w:val="18"/>
                          <w:u w:val="single"/>
                        </w:rPr>
                        <w:t xml:space="preserve"> </w:t>
                      </w:r>
                      <w:r w:rsidR="00583A66">
                        <w:rPr>
                          <w:rFonts w:ascii="Century Gothic" w:hAnsi="Century Gothic"/>
                          <w:b/>
                          <w:sz w:val="18"/>
                          <w:szCs w:val="18"/>
                          <w:u w:val="single"/>
                        </w:rPr>
                        <w:t>0</w:t>
                      </w:r>
                      <w:r w:rsidR="00EA1EFF">
                        <w:rPr>
                          <w:rFonts w:ascii="Century Gothic" w:hAnsi="Century Gothic"/>
                          <w:b/>
                          <w:sz w:val="18"/>
                          <w:szCs w:val="18"/>
                          <w:u w:val="single"/>
                        </w:rPr>
                        <w:t>8</w:t>
                      </w:r>
                      <w:r>
                        <w:rPr>
                          <w:rFonts w:ascii="Century Gothic" w:hAnsi="Century Gothic"/>
                          <w:b/>
                          <w:sz w:val="18"/>
                          <w:szCs w:val="18"/>
                          <w:u w:val="single"/>
                        </w:rPr>
                        <w:t xml:space="preserve"> </w:t>
                      </w:r>
                      <w:r w:rsidR="00C31142">
                        <w:rPr>
                          <w:rFonts w:ascii="Century Gothic" w:hAnsi="Century Gothic"/>
                          <w:b/>
                          <w:sz w:val="18"/>
                          <w:szCs w:val="18"/>
                          <w:u w:val="single"/>
                        </w:rPr>
                        <w:t>Ju</w:t>
                      </w:r>
                      <w:r w:rsidR="00583A66">
                        <w:rPr>
                          <w:rFonts w:ascii="Century Gothic" w:hAnsi="Century Gothic"/>
                          <w:b/>
                          <w:sz w:val="18"/>
                          <w:szCs w:val="18"/>
                          <w:u w:val="single"/>
                        </w:rPr>
                        <w:t>ly</w:t>
                      </w:r>
                      <w:r w:rsidR="00E06E91">
                        <w:rPr>
                          <w:rFonts w:ascii="Century Gothic" w:hAnsi="Century Gothic"/>
                          <w:b/>
                          <w:sz w:val="18"/>
                          <w:szCs w:val="18"/>
                          <w:u w:val="single"/>
                        </w:rPr>
                        <w:t xml:space="preserve"> 2024</w:t>
                      </w:r>
                      <w:r w:rsidR="00E06E91" w:rsidRPr="008B5058">
                        <w:rPr>
                          <w:rFonts w:ascii="Century Gothic" w:hAnsi="Century Gothic"/>
                          <w:b/>
                          <w:sz w:val="18"/>
                          <w:szCs w:val="18"/>
                          <w:u w:val="single"/>
                        </w:rPr>
                        <w:t>_</w:t>
                      </w:r>
                      <w:r w:rsidR="00E06E91" w:rsidRPr="006E5AB0">
                        <w:rPr>
                          <w:rFonts w:ascii="Century Gothic" w:hAnsi="Century Gothic"/>
                          <w:sz w:val="18"/>
                          <w:szCs w:val="18"/>
                        </w:rPr>
                        <w:t xml:space="preserve">          </w:t>
                      </w:r>
                      <w:r w:rsidR="00E06E91">
                        <w:rPr>
                          <w:rFonts w:ascii="Century Gothic" w:hAnsi="Century Gothic"/>
                          <w:sz w:val="18"/>
                          <w:szCs w:val="18"/>
                        </w:rPr>
                        <w:tab/>
                        <w:t xml:space="preserve">    </w:t>
                      </w:r>
                      <w:r w:rsidR="00E06E91" w:rsidRPr="00B809AF">
                        <w:rPr>
                          <w:rFonts w:ascii="Century Gothic" w:hAnsi="Century Gothic"/>
                          <w:b/>
                          <w:sz w:val="18"/>
                          <w:szCs w:val="18"/>
                          <w:u w:val="single"/>
                        </w:rPr>
                        <w:t>___</w:t>
                      </w:r>
                      <w:proofErr w:type="gramStart"/>
                      <w:r w:rsidR="00E06E91" w:rsidRPr="00B809AF">
                        <w:rPr>
                          <w:rFonts w:ascii="Century Gothic" w:hAnsi="Century Gothic"/>
                          <w:b/>
                          <w:sz w:val="18"/>
                          <w:szCs w:val="18"/>
                          <w:u w:val="single"/>
                        </w:rPr>
                        <w:t>_</w:t>
                      </w:r>
                      <w:r w:rsidR="004B24A7">
                        <w:rPr>
                          <w:noProof/>
                          <w:u w:val="single"/>
                          <w:lang w:val="en-US" w:eastAsia="en-US"/>
                        </w:rPr>
                        <w:t>[</w:t>
                      </w:r>
                      <w:proofErr w:type="gramEnd"/>
                      <w:r w:rsidR="004B24A7">
                        <w:rPr>
                          <w:noProof/>
                          <w:u w:val="single"/>
                          <w:lang w:val="en-US" w:eastAsia="en-US"/>
                        </w:rPr>
                        <w:t>…]</w:t>
                      </w:r>
                      <w:r w:rsidR="00E06E91" w:rsidRPr="00B809AF">
                        <w:rPr>
                          <w:rFonts w:ascii="Century Gothic" w:hAnsi="Century Gothic"/>
                          <w:b/>
                          <w:sz w:val="18"/>
                          <w:szCs w:val="18"/>
                          <w:u w:val="single"/>
                        </w:rPr>
                        <w:t>____</w:t>
                      </w:r>
                    </w:p>
                    <w:p w14:paraId="6E848E26" w14:textId="77777777" w:rsidR="00E06E91" w:rsidRPr="006E5AB0" w:rsidRDefault="00E06E91" w:rsidP="00BA2351">
                      <w:pPr>
                        <w:spacing w:line="240" w:lineRule="auto"/>
                        <w:rPr>
                          <w:rFonts w:ascii="Century Gothic" w:hAnsi="Century Gothic"/>
                          <w:b/>
                          <w:sz w:val="18"/>
                          <w:szCs w:val="18"/>
                        </w:rPr>
                      </w:pPr>
                      <w:r w:rsidRPr="006E5AB0">
                        <w:rPr>
                          <w:rFonts w:ascii="Century Gothic" w:hAnsi="Century Gothic"/>
                          <w:b/>
                          <w:sz w:val="18"/>
                          <w:szCs w:val="18"/>
                        </w:rPr>
                        <w:t>DATE</w:t>
                      </w:r>
                      <w:r w:rsidRPr="006E5AB0">
                        <w:rPr>
                          <w:rFonts w:ascii="Century Gothic" w:hAnsi="Century Gothic"/>
                          <w:sz w:val="18"/>
                          <w:szCs w:val="18"/>
                        </w:rPr>
                        <w:tab/>
                      </w:r>
                      <w:r w:rsidRPr="006E5AB0">
                        <w:rPr>
                          <w:rFonts w:ascii="Century Gothic" w:hAnsi="Century Gothic"/>
                          <w:sz w:val="18"/>
                          <w:szCs w:val="18"/>
                        </w:rPr>
                        <w:tab/>
                      </w:r>
                      <w:r w:rsidRPr="006E5AB0">
                        <w:rPr>
                          <w:rFonts w:ascii="Century Gothic" w:hAnsi="Century Gothic"/>
                          <w:sz w:val="18"/>
                          <w:szCs w:val="18"/>
                        </w:rPr>
                        <w:tab/>
                        <w:t xml:space="preserve">    </w:t>
                      </w:r>
                      <w:r w:rsidRPr="006E5AB0">
                        <w:rPr>
                          <w:rFonts w:ascii="Century Gothic" w:hAnsi="Century Gothic"/>
                          <w:b/>
                          <w:sz w:val="18"/>
                          <w:szCs w:val="18"/>
                        </w:rPr>
                        <w:t>SIGNATURE</w:t>
                      </w:r>
                    </w:p>
                  </w:txbxContent>
                </v:textbox>
                <w10:wrap anchorx="margin"/>
              </v:shape>
            </w:pict>
          </mc:Fallback>
        </mc:AlternateContent>
      </w:r>
    </w:p>
    <w:p w14:paraId="2AFC4CF6" w14:textId="77777777" w:rsidR="00BA2351" w:rsidRDefault="00BA2351" w:rsidP="00BA2351">
      <w:pPr>
        <w:spacing w:line="480" w:lineRule="auto"/>
        <w:jc w:val="both"/>
        <w:rPr>
          <w:sz w:val="24"/>
          <w:szCs w:val="24"/>
        </w:rPr>
      </w:pPr>
    </w:p>
    <w:p w14:paraId="2C214306" w14:textId="77777777" w:rsidR="00BA2351" w:rsidRDefault="00BA2351" w:rsidP="00BA2351">
      <w:pPr>
        <w:spacing w:line="480" w:lineRule="auto"/>
        <w:jc w:val="both"/>
        <w:rPr>
          <w:sz w:val="24"/>
          <w:szCs w:val="24"/>
        </w:rPr>
      </w:pPr>
    </w:p>
    <w:p w14:paraId="131505DD" w14:textId="77777777" w:rsidR="00BA2351" w:rsidRPr="008F0D3A" w:rsidRDefault="00BA2351" w:rsidP="00BA2351">
      <w:pPr>
        <w:spacing w:line="480" w:lineRule="auto"/>
        <w:jc w:val="both"/>
        <w:rPr>
          <w:sz w:val="24"/>
          <w:szCs w:val="24"/>
        </w:rPr>
      </w:pPr>
    </w:p>
    <w:p w14:paraId="288EAA1B" w14:textId="77777777" w:rsidR="00BA2351" w:rsidRPr="008F0D3A" w:rsidRDefault="00BA2351" w:rsidP="00BA2351">
      <w:pPr>
        <w:spacing w:line="480" w:lineRule="auto"/>
        <w:jc w:val="both"/>
        <w:rPr>
          <w:sz w:val="24"/>
          <w:szCs w:val="24"/>
        </w:rPr>
      </w:pPr>
    </w:p>
    <w:p w14:paraId="042097D7" w14:textId="77777777" w:rsidR="00BA2351" w:rsidRDefault="00BA2351" w:rsidP="00BA2351">
      <w:pPr>
        <w:spacing w:line="480" w:lineRule="auto"/>
        <w:ind w:left="4320" w:firstLine="720"/>
        <w:jc w:val="both"/>
        <w:rPr>
          <w:b/>
          <w:sz w:val="24"/>
          <w:szCs w:val="24"/>
        </w:rPr>
      </w:pPr>
    </w:p>
    <w:p w14:paraId="716DD843" w14:textId="150F7D08" w:rsidR="00BA2351" w:rsidRPr="00CE7B52" w:rsidRDefault="00583A66" w:rsidP="00BA2351">
      <w:pPr>
        <w:spacing w:line="480" w:lineRule="auto"/>
        <w:ind w:left="4320" w:firstLine="720"/>
        <w:jc w:val="both"/>
        <w:rPr>
          <w:rFonts w:ascii="Verdana" w:hAnsi="Verdana"/>
          <w:b/>
          <w:sz w:val="24"/>
          <w:szCs w:val="24"/>
        </w:rPr>
      </w:pPr>
      <w:r>
        <w:rPr>
          <w:rFonts w:ascii="Verdana" w:hAnsi="Verdana"/>
          <w:b/>
          <w:sz w:val="24"/>
          <w:szCs w:val="24"/>
        </w:rPr>
        <w:t xml:space="preserve">         </w:t>
      </w:r>
      <w:r w:rsidR="00BA2351" w:rsidRPr="00CE7B52">
        <w:rPr>
          <w:rFonts w:ascii="Verdana" w:hAnsi="Verdana"/>
          <w:b/>
          <w:sz w:val="24"/>
          <w:szCs w:val="24"/>
        </w:rPr>
        <w:t>CASE NO: 032727/2024</w:t>
      </w:r>
    </w:p>
    <w:p w14:paraId="1E0E7548" w14:textId="77777777" w:rsidR="00BA2351" w:rsidRPr="00CE7B52" w:rsidRDefault="00BA2351" w:rsidP="00BA2351">
      <w:pPr>
        <w:spacing w:line="480" w:lineRule="auto"/>
        <w:jc w:val="both"/>
        <w:rPr>
          <w:rFonts w:ascii="Verdana" w:hAnsi="Verdana"/>
          <w:b/>
          <w:sz w:val="24"/>
          <w:szCs w:val="24"/>
        </w:rPr>
      </w:pPr>
      <w:r w:rsidRPr="000A257E">
        <w:rPr>
          <w:rFonts w:ascii="Verdana" w:hAnsi="Verdana"/>
          <w:sz w:val="24"/>
          <w:szCs w:val="24"/>
        </w:rPr>
        <w:t>In the matter between</w:t>
      </w:r>
      <w:r w:rsidRPr="00CE7B52">
        <w:rPr>
          <w:rFonts w:ascii="Verdana" w:hAnsi="Verdana"/>
          <w:b/>
          <w:sz w:val="24"/>
          <w:szCs w:val="24"/>
        </w:rPr>
        <w:t>:</w:t>
      </w:r>
    </w:p>
    <w:p w14:paraId="2BB61736" w14:textId="77777777" w:rsidR="00BA2351" w:rsidRPr="00CE7B52" w:rsidRDefault="00BA2351" w:rsidP="00E215F5">
      <w:pPr>
        <w:spacing w:line="480" w:lineRule="auto"/>
        <w:jc w:val="both"/>
        <w:rPr>
          <w:rFonts w:ascii="Verdana" w:hAnsi="Verdana"/>
          <w:b/>
          <w:sz w:val="24"/>
          <w:szCs w:val="24"/>
        </w:rPr>
      </w:pPr>
    </w:p>
    <w:p w14:paraId="03A5341C" w14:textId="01B6F1A3" w:rsidR="00BA2351" w:rsidRPr="00CE7B52" w:rsidRDefault="00BA2351" w:rsidP="00E215F5">
      <w:pPr>
        <w:tabs>
          <w:tab w:val="left" w:pos="8159"/>
        </w:tabs>
        <w:spacing w:line="480" w:lineRule="auto"/>
        <w:ind w:left="119"/>
        <w:jc w:val="both"/>
        <w:rPr>
          <w:rFonts w:ascii="Verdana" w:hAnsi="Verdana"/>
          <w:sz w:val="24"/>
          <w:szCs w:val="24"/>
        </w:rPr>
      </w:pPr>
      <w:r w:rsidRPr="0021169E">
        <w:rPr>
          <w:rFonts w:ascii="Verdana" w:hAnsi="Verdana"/>
          <w:bCs/>
          <w:sz w:val="24"/>
          <w:szCs w:val="24"/>
        </w:rPr>
        <w:t>ALDOR AFRICA (PTY) LTD</w:t>
      </w:r>
      <w:r w:rsidRPr="00CE7B52">
        <w:rPr>
          <w:rFonts w:ascii="Verdana" w:hAnsi="Verdana"/>
          <w:b/>
          <w:sz w:val="24"/>
          <w:szCs w:val="24"/>
        </w:rPr>
        <w:t xml:space="preserve">                           </w:t>
      </w:r>
      <w:r w:rsidR="00583A66">
        <w:rPr>
          <w:rFonts w:ascii="Verdana" w:hAnsi="Verdana"/>
          <w:b/>
          <w:sz w:val="24"/>
          <w:szCs w:val="24"/>
        </w:rPr>
        <w:t xml:space="preserve">            </w:t>
      </w:r>
      <w:r w:rsidRPr="00CE7B52">
        <w:rPr>
          <w:rFonts w:ascii="Verdana" w:hAnsi="Verdana"/>
          <w:b/>
          <w:sz w:val="24"/>
          <w:szCs w:val="24"/>
        </w:rPr>
        <w:t xml:space="preserve">            </w:t>
      </w:r>
      <w:r>
        <w:rPr>
          <w:rFonts w:ascii="Verdana" w:hAnsi="Verdana"/>
          <w:b/>
          <w:sz w:val="24"/>
          <w:szCs w:val="24"/>
        </w:rPr>
        <w:t xml:space="preserve">   </w:t>
      </w:r>
      <w:r w:rsidRPr="00CE7B52">
        <w:rPr>
          <w:rFonts w:ascii="Verdana" w:hAnsi="Verdana"/>
          <w:spacing w:val="-2"/>
          <w:sz w:val="24"/>
          <w:szCs w:val="24"/>
        </w:rPr>
        <w:t>Applicant</w:t>
      </w:r>
    </w:p>
    <w:p w14:paraId="10F68746" w14:textId="1CF745CD" w:rsidR="00BA2351" w:rsidRPr="00CE7B52" w:rsidRDefault="00BA2351" w:rsidP="00E215F5">
      <w:pPr>
        <w:widowControl w:val="0"/>
        <w:autoSpaceDE w:val="0"/>
        <w:autoSpaceDN w:val="0"/>
        <w:spacing w:line="480" w:lineRule="auto"/>
        <w:jc w:val="both"/>
        <w:rPr>
          <w:rFonts w:ascii="Verdana" w:hAnsi="Verdana"/>
          <w:sz w:val="24"/>
          <w:szCs w:val="24"/>
          <w:lang w:val="en-US"/>
        </w:rPr>
      </w:pPr>
    </w:p>
    <w:p w14:paraId="5CB04FFC" w14:textId="733E8F29" w:rsidR="00BA2351" w:rsidRPr="00CE7B52" w:rsidRDefault="000A257E" w:rsidP="00E215F5">
      <w:pPr>
        <w:widowControl w:val="0"/>
        <w:autoSpaceDE w:val="0"/>
        <w:autoSpaceDN w:val="0"/>
        <w:spacing w:line="480" w:lineRule="auto"/>
        <w:ind w:left="120"/>
        <w:jc w:val="both"/>
        <w:rPr>
          <w:rFonts w:ascii="Verdana" w:hAnsi="Verdana"/>
          <w:sz w:val="24"/>
          <w:szCs w:val="24"/>
          <w:lang w:val="en-US"/>
        </w:rPr>
      </w:pPr>
      <w:r>
        <w:rPr>
          <w:rFonts w:ascii="Verdana" w:hAnsi="Verdana"/>
          <w:spacing w:val="-5"/>
          <w:sz w:val="24"/>
          <w:szCs w:val="24"/>
          <w:lang w:val="en-US"/>
        </w:rPr>
        <w:t>A</w:t>
      </w:r>
      <w:r w:rsidR="00BA2351" w:rsidRPr="00CE7B52">
        <w:rPr>
          <w:rFonts w:ascii="Verdana" w:hAnsi="Verdana"/>
          <w:spacing w:val="-5"/>
          <w:sz w:val="24"/>
          <w:szCs w:val="24"/>
          <w:lang w:val="en-US"/>
        </w:rPr>
        <w:t>nd</w:t>
      </w:r>
    </w:p>
    <w:p w14:paraId="643CB8BA" w14:textId="553D929A" w:rsidR="00BA2351" w:rsidRPr="00CE7B52" w:rsidRDefault="00BA2351" w:rsidP="00E215F5">
      <w:pPr>
        <w:widowControl w:val="0"/>
        <w:autoSpaceDE w:val="0"/>
        <w:autoSpaceDN w:val="0"/>
        <w:spacing w:line="480" w:lineRule="auto"/>
        <w:jc w:val="both"/>
        <w:rPr>
          <w:rFonts w:ascii="Verdana" w:hAnsi="Verdana"/>
          <w:sz w:val="24"/>
          <w:szCs w:val="24"/>
          <w:lang w:val="en-US"/>
        </w:rPr>
      </w:pPr>
    </w:p>
    <w:p w14:paraId="08879D8D" w14:textId="77777777" w:rsidR="00BA2351" w:rsidRPr="0021169E" w:rsidRDefault="00BA2351" w:rsidP="00E215F5">
      <w:pPr>
        <w:tabs>
          <w:tab w:val="left" w:pos="7317"/>
        </w:tabs>
        <w:spacing w:line="480" w:lineRule="auto"/>
        <w:ind w:left="120" w:right="115"/>
        <w:jc w:val="both"/>
        <w:rPr>
          <w:rFonts w:ascii="Verdana" w:hAnsi="Verdana"/>
          <w:sz w:val="24"/>
          <w:szCs w:val="24"/>
        </w:rPr>
      </w:pPr>
      <w:r w:rsidRPr="0021169E">
        <w:rPr>
          <w:rFonts w:ascii="Verdana" w:hAnsi="Verdana"/>
          <w:sz w:val="24"/>
          <w:szCs w:val="24"/>
        </w:rPr>
        <w:t>THE SOUTH AFRICAN RESERVE BANK</w:t>
      </w:r>
    </w:p>
    <w:p w14:paraId="55B3E5DD" w14:textId="7A1C55AE" w:rsidR="00BA2351" w:rsidRPr="0021169E" w:rsidRDefault="00BA2351" w:rsidP="00E215F5">
      <w:pPr>
        <w:tabs>
          <w:tab w:val="left" w:pos="7317"/>
        </w:tabs>
        <w:spacing w:line="480" w:lineRule="auto"/>
        <w:ind w:left="120" w:right="-46"/>
        <w:jc w:val="both"/>
        <w:rPr>
          <w:rFonts w:ascii="Verdana" w:hAnsi="Verdana"/>
          <w:sz w:val="24"/>
          <w:szCs w:val="24"/>
        </w:rPr>
      </w:pPr>
      <w:r w:rsidRPr="0021169E">
        <w:rPr>
          <w:rFonts w:ascii="Verdana" w:hAnsi="Verdana"/>
          <w:sz w:val="24"/>
          <w:szCs w:val="24"/>
        </w:rPr>
        <w:lastRenderedPageBreak/>
        <w:t xml:space="preserve">(COMPLIANCE AND ENFORCEMENT </w:t>
      </w:r>
      <w:proofErr w:type="gramStart"/>
      <w:r w:rsidR="00E215F5" w:rsidRPr="0021169E">
        <w:rPr>
          <w:rFonts w:ascii="Verdana" w:hAnsi="Verdana"/>
          <w:sz w:val="24"/>
          <w:szCs w:val="24"/>
        </w:rPr>
        <w:t xml:space="preserve">DIVISION)   </w:t>
      </w:r>
      <w:proofErr w:type="gramEnd"/>
      <w:r w:rsidR="00583A66" w:rsidRPr="0021169E">
        <w:rPr>
          <w:rFonts w:ascii="Verdana" w:hAnsi="Verdana"/>
          <w:sz w:val="24"/>
          <w:szCs w:val="24"/>
        </w:rPr>
        <w:t xml:space="preserve">         </w:t>
      </w:r>
      <w:r w:rsidRPr="0021169E">
        <w:rPr>
          <w:rFonts w:ascii="Verdana" w:hAnsi="Verdana"/>
          <w:sz w:val="24"/>
          <w:szCs w:val="24"/>
        </w:rPr>
        <w:t>First</w:t>
      </w:r>
      <w:r w:rsidRPr="0021169E">
        <w:rPr>
          <w:rFonts w:ascii="Verdana" w:hAnsi="Verdana"/>
          <w:spacing w:val="-17"/>
          <w:sz w:val="24"/>
          <w:szCs w:val="24"/>
        </w:rPr>
        <w:t xml:space="preserve"> </w:t>
      </w:r>
      <w:r w:rsidRPr="0021169E">
        <w:rPr>
          <w:rFonts w:ascii="Verdana" w:hAnsi="Verdana"/>
          <w:sz w:val="24"/>
          <w:szCs w:val="24"/>
        </w:rPr>
        <w:t xml:space="preserve">Respondent </w:t>
      </w:r>
    </w:p>
    <w:p w14:paraId="4642DB80" w14:textId="5835DD8E" w:rsidR="00BA2351" w:rsidRDefault="00BA2351" w:rsidP="00E215F5">
      <w:pPr>
        <w:tabs>
          <w:tab w:val="left" w:pos="6971"/>
        </w:tabs>
        <w:spacing w:before="1" w:line="480" w:lineRule="auto"/>
        <w:jc w:val="both"/>
        <w:rPr>
          <w:rFonts w:ascii="Verdana" w:hAnsi="Verdana"/>
          <w:spacing w:val="-2"/>
          <w:sz w:val="24"/>
          <w:szCs w:val="24"/>
        </w:rPr>
      </w:pPr>
      <w:r w:rsidRPr="0021169E">
        <w:rPr>
          <w:rFonts w:ascii="Verdana" w:hAnsi="Verdana"/>
          <w:sz w:val="24"/>
          <w:szCs w:val="24"/>
        </w:rPr>
        <w:t>THE STANDARD BANK OF</w:t>
      </w:r>
      <w:r w:rsidR="00E215F5" w:rsidRPr="0021169E">
        <w:rPr>
          <w:rFonts w:ascii="Verdana" w:hAnsi="Verdana"/>
          <w:sz w:val="24"/>
          <w:szCs w:val="24"/>
        </w:rPr>
        <w:t xml:space="preserve"> SOUTH AFRICA LT</w:t>
      </w:r>
      <w:r w:rsidRPr="0021169E">
        <w:rPr>
          <w:rFonts w:ascii="Verdana" w:hAnsi="Verdana"/>
          <w:sz w:val="24"/>
          <w:szCs w:val="24"/>
        </w:rPr>
        <w:t>D</w:t>
      </w:r>
      <w:r w:rsidR="00583A66">
        <w:rPr>
          <w:rFonts w:ascii="Verdana" w:hAnsi="Verdana"/>
          <w:b/>
          <w:sz w:val="24"/>
          <w:szCs w:val="24"/>
        </w:rPr>
        <w:t xml:space="preserve">          </w:t>
      </w:r>
      <w:r>
        <w:rPr>
          <w:rFonts w:ascii="Verdana" w:hAnsi="Verdana"/>
          <w:b/>
          <w:sz w:val="24"/>
          <w:szCs w:val="24"/>
        </w:rPr>
        <w:t xml:space="preserve"> </w:t>
      </w:r>
      <w:r w:rsidRPr="00CE7B52">
        <w:rPr>
          <w:rFonts w:ascii="Verdana" w:hAnsi="Verdana"/>
          <w:sz w:val="24"/>
          <w:szCs w:val="24"/>
        </w:rPr>
        <w:t>Second</w:t>
      </w:r>
      <w:r>
        <w:rPr>
          <w:rFonts w:ascii="Verdana" w:hAnsi="Verdana"/>
          <w:spacing w:val="-4"/>
          <w:sz w:val="24"/>
          <w:szCs w:val="24"/>
        </w:rPr>
        <w:t xml:space="preserve"> </w:t>
      </w:r>
      <w:r w:rsidRPr="00CE7B52">
        <w:rPr>
          <w:rFonts w:ascii="Verdana" w:hAnsi="Verdana"/>
          <w:spacing w:val="-2"/>
          <w:sz w:val="24"/>
          <w:szCs w:val="24"/>
        </w:rPr>
        <w:t>Respondent</w:t>
      </w:r>
    </w:p>
    <w:p w14:paraId="507A89F5" w14:textId="77777777" w:rsidR="00BA2351" w:rsidRPr="00CE7B52" w:rsidRDefault="00BA2351" w:rsidP="00BA2351">
      <w:pPr>
        <w:tabs>
          <w:tab w:val="left" w:pos="6971"/>
        </w:tabs>
        <w:spacing w:before="1" w:line="480" w:lineRule="auto"/>
        <w:ind w:left="120"/>
        <w:rPr>
          <w:rFonts w:ascii="Verdana" w:hAnsi="Verdana"/>
          <w:sz w:val="24"/>
          <w:szCs w:val="24"/>
        </w:rPr>
      </w:pPr>
    </w:p>
    <w:p w14:paraId="0D7E0821" w14:textId="3BD227DC" w:rsidR="00BA2351" w:rsidRPr="00BA2351" w:rsidRDefault="00BA2351" w:rsidP="00BA2351">
      <w:pPr>
        <w:spacing w:line="480" w:lineRule="auto"/>
        <w:jc w:val="both"/>
        <w:rPr>
          <w:rFonts w:ascii="Verdana" w:hAnsi="Verdana"/>
          <w:sz w:val="24"/>
          <w:szCs w:val="24"/>
        </w:rPr>
      </w:pPr>
      <w:r w:rsidRPr="00270B1A">
        <w:rPr>
          <w:rFonts w:ascii="Verdana" w:hAnsi="Verdana"/>
          <w:sz w:val="24"/>
          <w:szCs w:val="24"/>
        </w:rPr>
        <w:t xml:space="preserve">This judgment is issued by the Judges whose names are reflected herein and is submitted electronically to the parties/their legal representatives by email. The judgment is further uploaded to the electronic file of this matter on </w:t>
      </w:r>
      <w:proofErr w:type="spellStart"/>
      <w:r w:rsidRPr="00270B1A">
        <w:rPr>
          <w:rFonts w:ascii="Verdana" w:hAnsi="Verdana"/>
          <w:sz w:val="24"/>
          <w:szCs w:val="24"/>
        </w:rPr>
        <w:t>CaseLines</w:t>
      </w:r>
      <w:proofErr w:type="spellEnd"/>
      <w:r w:rsidRPr="00270B1A">
        <w:rPr>
          <w:rFonts w:ascii="Verdana" w:hAnsi="Verdana"/>
          <w:sz w:val="24"/>
          <w:szCs w:val="24"/>
        </w:rPr>
        <w:t xml:space="preserve"> by the Senior Judge’s secretary. The date of this ju</w:t>
      </w:r>
      <w:r>
        <w:rPr>
          <w:rFonts w:ascii="Verdana" w:hAnsi="Verdana"/>
          <w:sz w:val="24"/>
          <w:szCs w:val="24"/>
        </w:rPr>
        <w:t>d</w:t>
      </w:r>
      <w:r w:rsidR="00ED7D15">
        <w:rPr>
          <w:rFonts w:ascii="Verdana" w:hAnsi="Verdana"/>
          <w:sz w:val="24"/>
          <w:szCs w:val="24"/>
        </w:rPr>
        <w:t>gment is deemed to be</w:t>
      </w:r>
      <w:r w:rsidR="00C31142">
        <w:rPr>
          <w:rFonts w:ascii="Verdana" w:hAnsi="Verdana"/>
          <w:sz w:val="24"/>
          <w:szCs w:val="24"/>
        </w:rPr>
        <w:t xml:space="preserve"> </w:t>
      </w:r>
      <w:r w:rsidR="00583A66">
        <w:rPr>
          <w:rFonts w:ascii="Verdana" w:hAnsi="Verdana"/>
          <w:sz w:val="24"/>
          <w:szCs w:val="24"/>
        </w:rPr>
        <w:t>0</w:t>
      </w:r>
      <w:r w:rsidR="00EA1EFF">
        <w:rPr>
          <w:rFonts w:ascii="Verdana" w:hAnsi="Verdana"/>
          <w:sz w:val="24"/>
          <w:szCs w:val="24"/>
        </w:rPr>
        <w:t>8</w:t>
      </w:r>
      <w:r w:rsidR="00C31142">
        <w:rPr>
          <w:rFonts w:ascii="Verdana" w:hAnsi="Verdana"/>
          <w:sz w:val="24"/>
          <w:szCs w:val="24"/>
        </w:rPr>
        <w:t xml:space="preserve"> J</w:t>
      </w:r>
      <w:r w:rsidR="00583A66">
        <w:rPr>
          <w:rFonts w:ascii="Verdana" w:hAnsi="Verdana"/>
          <w:sz w:val="24"/>
          <w:szCs w:val="24"/>
        </w:rPr>
        <w:t>uly</w:t>
      </w:r>
      <w:r w:rsidR="00C31142">
        <w:rPr>
          <w:rFonts w:ascii="Verdana" w:hAnsi="Verdana"/>
          <w:sz w:val="24"/>
          <w:szCs w:val="24"/>
        </w:rPr>
        <w:t xml:space="preserve"> </w:t>
      </w:r>
      <w:r>
        <w:rPr>
          <w:rFonts w:ascii="Verdana" w:hAnsi="Verdana"/>
          <w:sz w:val="24"/>
          <w:szCs w:val="24"/>
        </w:rPr>
        <w:t>2024</w:t>
      </w:r>
      <w:r w:rsidR="00583A66">
        <w:rPr>
          <w:rFonts w:ascii="Verdana" w:hAnsi="Verdana"/>
          <w:sz w:val="24"/>
          <w:szCs w:val="24"/>
        </w:rPr>
        <w:t>.</w:t>
      </w:r>
    </w:p>
    <w:p w14:paraId="418F0C61" w14:textId="118C0E10" w:rsidR="00D30FEE" w:rsidRPr="0003499D" w:rsidRDefault="00D30FEE" w:rsidP="00D30FEE">
      <w:pPr>
        <w:pStyle w:val="BodyText"/>
        <w:spacing w:before="9"/>
      </w:pPr>
      <w:r w:rsidRPr="0003499D">
        <w:rPr>
          <w:noProof/>
        </w:rPr>
        <mc:AlternateContent>
          <mc:Choice Requires="wpg">
            <w:drawing>
              <wp:anchor distT="0" distB="0" distL="0" distR="0" simplePos="0" relativeHeight="251659264" behindDoc="1" locked="0" layoutInCell="1" allowOverlap="1" wp14:anchorId="51E78D42" wp14:editId="3B22F851">
                <wp:simplePos x="0" y="0"/>
                <wp:positionH relativeFrom="page">
                  <wp:posOffset>914400</wp:posOffset>
                </wp:positionH>
                <wp:positionV relativeFrom="paragraph">
                  <wp:posOffset>218440</wp:posOffset>
                </wp:positionV>
                <wp:extent cx="5733415" cy="15875"/>
                <wp:effectExtent l="0" t="0" r="0" b="0"/>
                <wp:wrapTopAndBottom/>
                <wp:docPr id="82433310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15875"/>
                          <a:chOff x="1440" y="344"/>
                          <a:chExt cx="9029" cy="25"/>
                        </a:xfrm>
                      </wpg:grpSpPr>
                      <wps:wsp>
                        <wps:cNvPr id="2057577708" name="Line 5"/>
                        <wps:cNvCnPr>
                          <a:cxnSpLocks noChangeShapeType="1"/>
                        </wps:cNvCnPr>
                        <wps:spPr bwMode="auto">
                          <a:xfrm>
                            <a:off x="10066" y="355"/>
                            <a:ext cx="403"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6303808" name="docshape2"/>
                        <wps:cNvSpPr>
                          <a:spLocks noChangeArrowheads="1"/>
                        </wps:cNvSpPr>
                        <wps:spPr bwMode="auto">
                          <a:xfrm>
                            <a:off x="1440" y="344"/>
                            <a:ext cx="9027"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99762" id="docshapegroup1" o:spid="_x0000_s1026" style="position:absolute;margin-left:1in;margin-top:17.2pt;width:451.45pt;height:1.25pt;z-index:-251657216;mso-wrap-distance-left:0;mso-wrap-distance-right:0;mso-position-horizontal-relative:page" coordorigin="1440,344" coordsize="90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wh3QIAABQHAAAOAAAAZHJzL2Uyb0RvYy54bWy8VW1v2yAQ/j5p/wHxfbUd23Fr1amq9EWT&#10;uq1Sux9AMH7RbGBA4mS/fgc4idtqXdVJ8wcEvhfunufuOL/Y9h3aMKVbwQscnYQYMU5F2fK6wN8f&#10;bz6dYqQN4SXpBGcF3jGNLxYfP5wPMmcz0YiuZAqBE67zQRa4MUbmQaBpw3qiT4RkHISVUD0xcFR1&#10;UCoygPe+C2ZhOA8GoUqpBGVaw98rL8QL57+qGDXfqkozg7oCQ2zGrcqtK7sGi3OS14rIpqVjGOQd&#10;UfSk5XDpwdUVMQStVfvCVd9SJbSozAkVfSCqqqXM5QDZROGzbG6VWEuXS50PtTzABNA+w+ndbunX&#10;za2SD/Je+ehheyfoDw24BIOs86ncnmuvjFbDF1ECn2RthEt8W6neuoCU0Nbhuzvgy7YGUfiZZnGc&#10;RClGFGRRepqlHn/aAEnWKkoSIAmEcZLsRdej8Vk4O/OWM2cWkNzf6eIc47K8QyHpI1b637B6aIhk&#10;jgJtsbhXqC0LPAvTLM2yLITq5qQHHO5azpCLywYAmkvuIaVbPkKKuFg2hNfM+XzcSTCLbJaQwMTE&#10;HjTw8VeIIyj/uUcrHYHcA52EsYfKFfgBKZJLpc0tEz2ymwJ3ELVjj2zutLGhHFUsmVzctF3neqTj&#10;aIB443SeOAstura0UqunVb1adgptiG0z97nEQDJVs5deEd14PSfyLEOd89Jd0zBSXo97Q9rO7yGs&#10;jo9AWWw8zStR7u7VHkAg/T+xH8XZPA7j0yP7paDaFsrMpjOyue8p7RvqwP6lUmKwaUJlPqHfG7yd&#10;/he9smcfOiUbO8V10Z/5VzAfX+P/CXtvJNkSNamc16hDSviBDA8IbBqhfmE0wDAusP65Joph1H3m&#10;gNOZHwzGHZI0m8GUUFPJaiohnIKrAhuM/HZp/MRfS9XWDdwUuaS5uITpVbWu8C3uvqDGOnP15GYL&#10;jF7XGeMzYWf79Oz0j4/Z4jcAAAD//wMAUEsDBBQABgAIAAAAIQCLSybF4AAAAAoBAAAPAAAAZHJz&#10;L2Rvd25yZXYueG1sTI9BS8NAEIXvgv9hGcGb3cSuRWM2pRT1VARbQbxNs9MkNLsbstsk/fdOT/Y0&#10;vJnHm+/ly8m2YqA+NN5pSGcJCHKlN42rNHzv3h+eQYSIzmDrHWk4U4BlcXuTY2b86L5o2MZKcIgL&#10;GWqoY+wyKUNZk8Uw8x05vh18bzGy7Ctpehw53LbyMUkW0mLj+EONHa1rKo/bk9XwMeK4mqdvw+Z4&#10;WJ9/d0+fP5uUtL6/m1avICJN8d8MF3xGh4KZ9v7kTBAta6W4S9QwVwrExZCoxQuIPW94yiKX1xWK&#10;PwAAAP//AwBQSwECLQAUAAYACAAAACEAtoM4kv4AAADhAQAAEwAAAAAAAAAAAAAAAAAAAAAAW0Nv&#10;bnRlbnRfVHlwZXNdLnhtbFBLAQItABQABgAIAAAAIQA4/SH/1gAAAJQBAAALAAAAAAAAAAAAAAAA&#10;AC8BAABfcmVscy8ucmVsc1BLAQItABQABgAIAAAAIQAyr0wh3QIAABQHAAAOAAAAAAAAAAAAAAAA&#10;AC4CAABkcnMvZTJvRG9jLnhtbFBLAQItABQABgAIAAAAIQCLSybF4AAAAAoBAAAPAAAAAAAAAAAA&#10;AAAAADcFAABkcnMvZG93bnJldi54bWxQSwUGAAAAAAQABADzAAAARAYAAAAA&#10;">
                <v:line id="Line 5" o:spid="_x0000_s1027" style="position:absolute;visibility:visible;mso-wrap-style:square" from="10066,355" to="1046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hgDyAAAAOMAAAAPAAAAZHJzL2Rvd25yZXYueG1sRE/PS8Mw&#10;FL4L+x/CG3hziZMZqcvGNhnI8GKnsOOzeTZlzUtpYlf/e3MQdvz4fi/Xo2/FQH1sAhu4nykQxFWw&#10;DdcGPo77uycQMSFbbAOTgV+KsF5NbpZY2HDhdxrKVIscwrFAAy6lrpAyVo48xlnoiDP3HXqPKcO+&#10;lrbHSw73rZwr9Sg9NpwbHHa0c1Sdyx9voDwd9g/HT3uw7rx9Gzbh6+U0amNup+PmGUSiMV3F/+5X&#10;a2CuFnqhtVZ5dP6U/4Bc/QEAAP//AwBQSwECLQAUAAYACAAAACEA2+H2y+4AAACFAQAAEwAAAAAA&#10;AAAAAAAAAAAAAAAAW0NvbnRlbnRfVHlwZXNdLnhtbFBLAQItABQABgAIAAAAIQBa9CxbvwAAABUB&#10;AAALAAAAAAAAAAAAAAAAAB8BAABfcmVscy8ucmVsc1BLAQItABQABgAIAAAAIQDa7hgDyAAAAOMA&#10;AAAPAAAAAAAAAAAAAAAAAAcCAABkcnMvZG93bnJldi54bWxQSwUGAAAAAAMAAwC3AAAA/AIAAAAA&#10;" strokeweight=".37678mm"/>
                <v:rect id="docshape2" o:spid="_x0000_s1028" style="position:absolute;left:1440;top:344;width:9027;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tszAAAAOMAAAAPAAAAZHJzL2Rvd25yZXYueG1sRI9BT8Mw&#10;DIXvSPyHyEjcWMIKo5RlE0NC4oLEBgd28xrTVmuckoSt8OvxAYmj/Z7f+zxfjr5XB4qpC2zhcmJA&#10;EdfBddxYeHt9vChBpYzssA9MFr4pwXJxejLHyoUjr+mwyY2SEE4VWmhzHiqtU92SxzQJA7FoHyF6&#10;zDLGRruIRwn3vZ4aM9MeO5aGFgd6aKneb768hdVtufp8ueLnn/VuS9v33f56Go2152fj/R2oTGP+&#10;N/9dPznBL25mhSlKI9DykyxAL34BAAD//wMAUEsBAi0AFAAGAAgAAAAhANvh9svuAAAAhQEAABMA&#10;AAAAAAAAAAAAAAAAAAAAAFtDb250ZW50X1R5cGVzXS54bWxQSwECLQAUAAYACAAAACEAWvQsW78A&#10;AAAVAQAACwAAAAAAAAAAAAAAAAAfAQAAX3JlbHMvLnJlbHNQSwECLQAUAAYACAAAACEA43XrbMwA&#10;AADjAAAADwAAAAAAAAAAAAAAAAAHAgAAZHJzL2Rvd25yZXYueG1sUEsFBgAAAAADAAMAtwAAAAAD&#10;AAAAAA==&#10;" fillcolor="black" stroked="f"/>
                <w10:wrap type="topAndBottom" anchorx="page"/>
              </v:group>
            </w:pict>
          </mc:Fallback>
        </mc:AlternateContent>
      </w:r>
    </w:p>
    <w:p w14:paraId="27DABB7C" w14:textId="77777777" w:rsidR="00D30FEE" w:rsidRPr="0003499D" w:rsidRDefault="00D30FEE" w:rsidP="00D30FEE">
      <w:pPr>
        <w:pStyle w:val="BodyText"/>
      </w:pPr>
    </w:p>
    <w:p w14:paraId="0D573A26" w14:textId="6A18D749" w:rsidR="00D30FEE" w:rsidRPr="009743DD" w:rsidRDefault="00BA2351" w:rsidP="00D30FEE">
      <w:pPr>
        <w:pStyle w:val="Heading1"/>
        <w:spacing w:before="92"/>
        <w:ind w:left="3799" w:hanging="3615"/>
        <w:jc w:val="center"/>
        <w:rPr>
          <w:rFonts w:ascii="Arial" w:hAnsi="Arial" w:cs="Arial"/>
          <w:bCs/>
          <w:color w:val="auto"/>
          <w:sz w:val="24"/>
          <w:szCs w:val="24"/>
        </w:rPr>
      </w:pPr>
      <w:r w:rsidRPr="009743DD">
        <w:rPr>
          <w:rFonts w:ascii="Arial" w:hAnsi="Arial" w:cs="Arial"/>
          <w:color w:val="auto"/>
          <w:sz w:val="24"/>
          <w:szCs w:val="24"/>
        </w:rPr>
        <w:t xml:space="preserve"> JUDGMENT </w:t>
      </w:r>
    </w:p>
    <w:p w14:paraId="665E7CD3" w14:textId="77777777" w:rsidR="00D30FEE" w:rsidRPr="0003499D" w:rsidRDefault="00D30FEE" w:rsidP="00D30FEE">
      <w:pPr>
        <w:pStyle w:val="BodyText"/>
        <w:spacing w:before="9"/>
        <w:rPr>
          <w:b/>
        </w:rPr>
      </w:pPr>
      <w:r w:rsidRPr="0003499D">
        <w:rPr>
          <w:noProof/>
        </w:rPr>
        <mc:AlternateContent>
          <mc:Choice Requires="wps">
            <w:drawing>
              <wp:anchor distT="0" distB="0" distL="0" distR="0" simplePos="0" relativeHeight="251660288" behindDoc="1" locked="0" layoutInCell="1" allowOverlap="1" wp14:anchorId="479CFF03" wp14:editId="6CEFE9C8">
                <wp:simplePos x="0" y="0"/>
                <wp:positionH relativeFrom="page">
                  <wp:posOffset>914400</wp:posOffset>
                </wp:positionH>
                <wp:positionV relativeFrom="paragraph">
                  <wp:posOffset>160020</wp:posOffset>
                </wp:positionV>
                <wp:extent cx="5731510" cy="15240"/>
                <wp:effectExtent l="0" t="0" r="0" b="0"/>
                <wp:wrapTopAndBottom/>
                <wp:docPr id="8788790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6EEC4" id="docshape3" o:spid="_x0000_s1026" style="position:absolute;margin-left:1in;margin-top:12.6pt;width:451.3pt;height:1.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85QEAALQDAAAOAAAAZHJzL2Uyb0RvYy54bWysU8Fu2zAMvQ/YPwi6L46zZN2MOEWRosOA&#10;bh3Q9QMYWbaFyaJGKXGyrx+lpGmw3ob5IIii+PTeI7283g9W7DQFg66W5WQqhXYKG+O6Wj79uHv3&#10;UYoQwTVg0elaHnSQ16u3b5ajr/QMe7SNJsEgLlSjr2Ufo6+KIqheDxAm6LXjZIs0QOSQuqIhGBl9&#10;sMVsOv1QjEiNJ1Q6BD69PSblKuO3rVbxoW2DjsLWkrnFvFJeN2ktVkuoOgLfG3WiAf/AYgDj+NEz&#10;1C1EEFsyr6AGowgDtnGicCiwbY3SWQOrKad/qXnsweushc0J/mxT+H+w6tvu0X+nRD34e1Q/g3C4&#10;7sF1+oYIx15Dw8+Vyahi9KE6F6QgcKnYjF+x4dbCNmL2YN/SkABZndhnqw9nq/U+CsWHi6v35aLk&#10;jijOlYvZPLeigOq52FOInzUOIm1qSdzJDA67+xATGaier2TyaE1zZ6zNAXWbtSWxg9T1/GX+rPHy&#10;mnXpssNUdkRMJ1llEpZmKFQbbA4skvA4OjzqvOmRfksx8tjUMvzaAmkp7BfHRn0q5yxFxBzMF1cz&#10;Dugys7nMgFMMVcsoxXG7jsfZ3HoyXc8vlVm0wxs2tzVZ+AurE1kejezHaYzT7F3G+dbLz7b6AwAA&#10;//8DAFBLAwQUAAYACAAAACEAVTXUKt8AAAAKAQAADwAAAGRycy9kb3ducmV2LnhtbEyPwU7DMBBE&#10;70j8g7VI3KhNlIY2xKkoEkckWji0NydekqjxOsRuG/h6tic4zuxo9k2xmlwvTjiGzpOG+5kCgVR7&#10;21Gj4eP95W4BIkRD1vSeUMM3BliV11eFya0/0wZP29gILqGQGw1tjEMuZahbdCbM/IDEt08/OhNZ&#10;jo20ozlzuetlolQmnemIP7RmwOcW68P26DSsl4v111tKrz+bao/7XXWYJ6PS+vZmenoEEXGKf2G4&#10;4DM6lMxU+SPZIHrWacpbooZknoC4BFSaZSAqdh4ykGUh/08ofwEAAP//AwBQSwECLQAUAAYACAAA&#10;ACEAtoM4kv4AAADhAQAAEwAAAAAAAAAAAAAAAAAAAAAAW0NvbnRlbnRfVHlwZXNdLnhtbFBLAQIt&#10;ABQABgAIAAAAIQA4/SH/1gAAAJQBAAALAAAAAAAAAAAAAAAAAC8BAABfcmVscy8ucmVsc1BLAQIt&#10;ABQABgAIAAAAIQBv48+85QEAALQDAAAOAAAAAAAAAAAAAAAAAC4CAABkcnMvZTJvRG9jLnhtbFBL&#10;AQItABQABgAIAAAAIQBVNdQq3wAAAAoBAAAPAAAAAAAAAAAAAAAAAD8EAABkcnMvZG93bnJldi54&#10;bWxQSwUGAAAAAAQABADzAAAASwUAAAAA&#10;" fillcolor="black" stroked="f">
                <w10:wrap type="topAndBottom" anchorx="page"/>
              </v:rect>
            </w:pict>
          </mc:Fallback>
        </mc:AlternateContent>
      </w:r>
    </w:p>
    <w:p w14:paraId="0EAF943A" w14:textId="27C2BFB4" w:rsidR="00C106DD" w:rsidRDefault="00BA2351">
      <w:pPr>
        <w:rPr>
          <w:sz w:val="24"/>
          <w:szCs w:val="24"/>
        </w:rPr>
      </w:pPr>
      <w:r>
        <w:rPr>
          <w:sz w:val="24"/>
          <w:szCs w:val="24"/>
        </w:rPr>
        <w:t xml:space="preserve">COLLIS J </w:t>
      </w:r>
    </w:p>
    <w:p w14:paraId="75411F13" w14:textId="5E520F11" w:rsidR="00BA2351" w:rsidRPr="00C31142" w:rsidRDefault="00BA2351" w:rsidP="00E215F5">
      <w:pPr>
        <w:spacing w:line="480" w:lineRule="auto"/>
        <w:rPr>
          <w:sz w:val="24"/>
          <w:szCs w:val="24"/>
        </w:rPr>
      </w:pPr>
    </w:p>
    <w:p w14:paraId="6A85276C" w14:textId="04E556DE" w:rsidR="001275D7" w:rsidRDefault="00C31142" w:rsidP="00C31142">
      <w:pPr>
        <w:spacing w:line="480" w:lineRule="auto"/>
        <w:jc w:val="both"/>
        <w:rPr>
          <w:rFonts w:ascii="Verdana" w:hAnsi="Verdana"/>
          <w:sz w:val="24"/>
          <w:szCs w:val="24"/>
        </w:rPr>
      </w:pPr>
      <w:r w:rsidRPr="00C31142">
        <w:rPr>
          <w:rFonts w:ascii="Verdana" w:hAnsi="Verdana"/>
          <w:sz w:val="24"/>
          <w:szCs w:val="24"/>
        </w:rPr>
        <w:t xml:space="preserve">1] In the present </w:t>
      </w:r>
      <w:r w:rsidR="00E05514">
        <w:rPr>
          <w:rFonts w:ascii="Verdana" w:hAnsi="Verdana"/>
          <w:sz w:val="24"/>
          <w:szCs w:val="24"/>
        </w:rPr>
        <w:t xml:space="preserve">urgent </w:t>
      </w:r>
      <w:r w:rsidRPr="00C31142">
        <w:rPr>
          <w:rFonts w:ascii="Verdana" w:hAnsi="Verdana"/>
          <w:sz w:val="24"/>
          <w:szCs w:val="24"/>
        </w:rPr>
        <w:t>application</w:t>
      </w:r>
      <w:r w:rsidR="00E05514">
        <w:rPr>
          <w:rFonts w:ascii="Verdana" w:hAnsi="Verdana"/>
          <w:sz w:val="24"/>
          <w:szCs w:val="24"/>
        </w:rPr>
        <w:t>,</w:t>
      </w:r>
      <w:r w:rsidRPr="00C31142">
        <w:rPr>
          <w:rFonts w:ascii="Verdana" w:hAnsi="Verdana"/>
          <w:sz w:val="24"/>
          <w:szCs w:val="24"/>
        </w:rPr>
        <w:t xml:space="preserve"> the applicant is</w:t>
      </w:r>
      <w:r w:rsidR="00E05514">
        <w:rPr>
          <w:rFonts w:ascii="Verdana" w:hAnsi="Verdana"/>
          <w:sz w:val="24"/>
          <w:szCs w:val="24"/>
        </w:rPr>
        <w:t xml:space="preserve"> </w:t>
      </w:r>
      <w:r w:rsidRPr="00C31142">
        <w:rPr>
          <w:rFonts w:ascii="Verdana" w:hAnsi="Verdana"/>
          <w:sz w:val="24"/>
          <w:szCs w:val="24"/>
        </w:rPr>
        <w:t>seeking the following relief:</w:t>
      </w:r>
    </w:p>
    <w:p w14:paraId="7568F72B" w14:textId="77777777" w:rsidR="00BA2351" w:rsidRPr="00BA2351" w:rsidRDefault="00BA2351" w:rsidP="001275D7">
      <w:pPr>
        <w:pStyle w:val="Clause1Head"/>
        <w:numPr>
          <w:ilvl w:val="0"/>
          <w:numId w:val="0"/>
        </w:numPr>
        <w:rPr>
          <w:rFonts w:ascii="Verdana" w:hAnsi="Verdana" w:cs="Arial"/>
          <w:sz w:val="24"/>
          <w:szCs w:val="24"/>
        </w:rPr>
      </w:pPr>
    </w:p>
    <w:p w14:paraId="114649BB" w14:textId="23323970" w:rsidR="001275D7" w:rsidRDefault="00C31142" w:rsidP="00C31142">
      <w:pPr>
        <w:pStyle w:val="Clause1Head"/>
        <w:numPr>
          <w:ilvl w:val="0"/>
          <w:numId w:val="0"/>
        </w:numPr>
        <w:ind w:left="720"/>
        <w:rPr>
          <w:rFonts w:ascii="Verdana" w:hAnsi="Verdana" w:cs="Arial"/>
          <w:sz w:val="24"/>
          <w:szCs w:val="24"/>
        </w:rPr>
      </w:pPr>
      <w:r>
        <w:rPr>
          <w:rFonts w:ascii="Verdana" w:hAnsi="Verdana" w:cs="Arial"/>
          <w:sz w:val="24"/>
          <w:szCs w:val="24"/>
        </w:rPr>
        <w:t>“</w:t>
      </w:r>
      <w:r w:rsidR="00BA2351">
        <w:rPr>
          <w:rFonts w:ascii="Verdana" w:hAnsi="Verdana" w:cs="Arial"/>
          <w:sz w:val="24"/>
          <w:szCs w:val="24"/>
        </w:rPr>
        <w:t xml:space="preserve">1. </w:t>
      </w:r>
      <w:r w:rsidR="001275D7" w:rsidRPr="00BA2351">
        <w:rPr>
          <w:rFonts w:ascii="Verdana" w:hAnsi="Verdana" w:cs="Arial"/>
          <w:sz w:val="24"/>
          <w:szCs w:val="24"/>
        </w:rPr>
        <w:t>That the Applicant</w:t>
      </w:r>
      <w:r w:rsidR="002D3A82" w:rsidRPr="00BA2351">
        <w:rPr>
          <w:rFonts w:ascii="Verdana" w:hAnsi="Verdana" w:cs="Arial"/>
          <w:sz w:val="24"/>
          <w:szCs w:val="24"/>
        </w:rPr>
        <w:t>’</w:t>
      </w:r>
      <w:r w:rsidR="001275D7" w:rsidRPr="00BA2351">
        <w:rPr>
          <w:rFonts w:ascii="Verdana" w:hAnsi="Verdana" w:cs="Arial"/>
          <w:sz w:val="24"/>
          <w:szCs w:val="24"/>
        </w:rPr>
        <w:t xml:space="preserve">s non – compliance with the Rules of the above Honourable Court in regard to the service and time limits be condoned; and that this application be heard as one of urgency in terms of the provisions of Rule </w:t>
      </w:r>
      <w:proofErr w:type="gramStart"/>
      <w:r w:rsidR="001275D7" w:rsidRPr="00BA2351">
        <w:rPr>
          <w:rFonts w:ascii="Verdana" w:hAnsi="Verdana" w:cs="Arial"/>
          <w:sz w:val="24"/>
          <w:szCs w:val="24"/>
        </w:rPr>
        <w:t>6(12);</w:t>
      </w:r>
      <w:proofErr w:type="gramEnd"/>
      <w:r w:rsidR="001275D7" w:rsidRPr="00BA2351">
        <w:rPr>
          <w:rFonts w:ascii="Verdana" w:hAnsi="Verdana" w:cs="Arial"/>
          <w:sz w:val="24"/>
          <w:szCs w:val="24"/>
        </w:rPr>
        <w:t xml:space="preserve"> </w:t>
      </w:r>
    </w:p>
    <w:p w14:paraId="2DD76A25" w14:textId="77777777" w:rsidR="00BA2351" w:rsidRPr="00BA2351" w:rsidRDefault="00BA2351" w:rsidP="00C31142">
      <w:pPr>
        <w:pStyle w:val="Clause1Head"/>
        <w:numPr>
          <w:ilvl w:val="0"/>
          <w:numId w:val="0"/>
        </w:numPr>
        <w:ind w:left="720"/>
        <w:rPr>
          <w:rFonts w:ascii="Verdana" w:hAnsi="Verdana" w:cs="Arial"/>
          <w:sz w:val="24"/>
          <w:szCs w:val="24"/>
        </w:rPr>
      </w:pPr>
    </w:p>
    <w:p w14:paraId="7FF36699" w14:textId="6E2DD32F" w:rsidR="002D3A82" w:rsidRPr="00E215F5" w:rsidRDefault="00BA2351" w:rsidP="00C31142">
      <w:pPr>
        <w:pStyle w:val="Clause1Head"/>
        <w:numPr>
          <w:ilvl w:val="0"/>
          <w:numId w:val="0"/>
        </w:numPr>
        <w:ind w:left="720"/>
        <w:rPr>
          <w:rFonts w:ascii="Verdana" w:hAnsi="Verdana" w:cs="Arial"/>
          <w:sz w:val="24"/>
          <w:szCs w:val="24"/>
        </w:rPr>
      </w:pPr>
      <w:r>
        <w:rPr>
          <w:rFonts w:ascii="Verdana" w:hAnsi="Verdana" w:cs="Arial"/>
          <w:sz w:val="24"/>
          <w:szCs w:val="24"/>
        </w:rPr>
        <w:t xml:space="preserve">2. </w:t>
      </w:r>
      <w:r w:rsidR="002D3A82" w:rsidRPr="00E215F5">
        <w:rPr>
          <w:rFonts w:ascii="Verdana" w:hAnsi="Verdana" w:cs="Arial"/>
          <w:sz w:val="24"/>
          <w:szCs w:val="24"/>
        </w:rPr>
        <w:t xml:space="preserve">That the decision of the First Respondent to place a block on the amount of </w:t>
      </w:r>
      <w:r w:rsidR="00F960A4" w:rsidRPr="00E215F5">
        <w:rPr>
          <w:rFonts w:ascii="Verdana" w:hAnsi="Verdana" w:cs="Arial"/>
          <w:bCs/>
          <w:sz w:val="24"/>
          <w:szCs w:val="24"/>
        </w:rPr>
        <w:t>R56,379,462</w:t>
      </w:r>
      <w:r w:rsidR="002D3A82" w:rsidRPr="00E215F5">
        <w:rPr>
          <w:rFonts w:ascii="Verdana" w:hAnsi="Verdana" w:cs="Arial"/>
          <w:sz w:val="24"/>
          <w:szCs w:val="24"/>
        </w:rPr>
        <w:t xml:space="preserve"> </w:t>
      </w:r>
      <w:r w:rsidR="00E4548B" w:rsidRPr="00E215F5">
        <w:rPr>
          <w:rFonts w:ascii="Verdana" w:hAnsi="Verdana" w:cs="Arial"/>
          <w:sz w:val="24"/>
          <w:szCs w:val="24"/>
        </w:rPr>
        <w:t xml:space="preserve">belonging to the Applicant, and to implement </w:t>
      </w:r>
      <w:r w:rsidR="00E4548B" w:rsidRPr="00E215F5">
        <w:rPr>
          <w:rFonts w:ascii="Verdana" w:hAnsi="Verdana" w:cs="Arial"/>
          <w:sz w:val="24"/>
          <w:szCs w:val="24"/>
        </w:rPr>
        <w:lastRenderedPageBreak/>
        <w:t xml:space="preserve">the </w:t>
      </w:r>
      <w:r w:rsidR="00E92F39" w:rsidRPr="00E215F5">
        <w:rPr>
          <w:rFonts w:ascii="Verdana" w:hAnsi="Verdana" w:cs="Arial"/>
          <w:sz w:val="24"/>
          <w:szCs w:val="24"/>
        </w:rPr>
        <w:t xml:space="preserve">moratorium directive (as described in the founding affidavit attached hereto) be set aside in terms of Regulation 22D of the Regulations published in terms of section 9 of the </w:t>
      </w:r>
      <w:r w:rsidR="00FA4098" w:rsidRPr="00E215F5">
        <w:rPr>
          <w:rFonts w:ascii="Verdana" w:hAnsi="Verdana" w:cs="Arial"/>
          <w:sz w:val="24"/>
          <w:szCs w:val="24"/>
        </w:rPr>
        <w:t xml:space="preserve">Currency and Exchanges Act 9 of 1933. </w:t>
      </w:r>
    </w:p>
    <w:p w14:paraId="60CE8A9B" w14:textId="39F4218F" w:rsidR="00BD7A2A" w:rsidRPr="00E215F5" w:rsidRDefault="00BD7A2A" w:rsidP="00C31142">
      <w:pPr>
        <w:pStyle w:val="Clause1Head"/>
        <w:numPr>
          <w:ilvl w:val="0"/>
          <w:numId w:val="0"/>
        </w:numPr>
        <w:ind w:left="720"/>
        <w:rPr>
          <w:rFonts w:ascii="Verdana" w:hAnsi="Verdana" w:cs="Arial"/>
          <w:b/>
          <w:bCs/>
          <w:i/>
          <w:iCs/>
          <w:sz w:val="24"/>
          <w:szCs w:val="24"/>
        </w:rPr>
      </w:pPr>
      <w:r w:rsidRPr="00E215F5">
        <w:rPr>
          <w:rFonts w:ascii="Verdana" w:hAnsi="Verdana" w:cs="Arial"/>
          <w:b/>
          <w:bCs/>
          <w:i/>
          <w:iCs/>
          <w:sz w:val="24"/>
          <w:szCs w:val="24"/>
        </w:rPr>
        <w:t xml:space="preserve">In the alternative to the relief in paragraph 2 above: </w:t>
      </w:r>
    </w:p>
    <w:p w14:paraId="0DB5B80A" w14:textId="77777777" w:rsidR="00BA2351" w:rsidRPr="0003499D" w:rsidRDefault="00BA2351" w:rsidP="00C31142">
      <w:pPr>
        <w:pStyle w:val="Clause1Head"/>
        <w:numPr>
          <w:ilvl w:val="0"/>
          <w:numId w:val="0"/>
        </w:numPr>
        <w:ind w:left="720"/>
        <w:rPr>
          <w:rFonts w:cs="Arial"/>
          <w:b/>
          <w:bCs/>
          <w:i/>
          <w:iCs/>
          <w:sz w:val="24"/>
          <w:szCs w:val="24"/>
        </w:rPr>
      </w:pPr>
    </w:p>
    <w:p w14:paraId="0CA144B1" w14:textId="6409297F" w:rsidR="00FE52E7" w:rsidRPr="00E215F5" w:rsidRDefault="00BA2351" w:rsidP="00C31142">
      <w:pPr>
        <w:pStyle w:val="Clause1Head"/>
        <w:numPr>
          <w:ilvl w:val="0"/>
          <w:numId w:val="0"/>
        </w:numPr>
        <w:ind w:left="720"/>
        <w:rPr>
          <w:rFonts w:ascii="Verdana" w:hAnsi="Verdana" w:cs="Arial"/>
          <w:sz w:val="24"/>
          <w:szCs w:val="24"/>
        </w:rPr>
      </w:pPr>
      <w:r>
        <w:rPr>
          <w:rFonts w:cs="Arial"/>
          <w:sz w:val="24"/>
          <w:szCs w:val="24"/>
        </w:rPr>
        <w:t xml:space="preserve">3. </w:t>
      </w:r>
      <w:r w:rsidR="001275D7" w:rsidRPr="00E215F5">
        <w:rPr>
          <w:rFonts w:ascii="Verdana" w:hAnsi="Verdana" w:cs="Arial"/>
          <w:sz w:val="24"/>
          <w:szCs w:val="24"/>
        </w:rPr>
        <w:t xml:space="preserve">Pending the final determination of </w:t>
      </w:r>
      <w:r w:rsidR="00BD7A2A" w:rsidRPr="00E215F5">
        <w:rPr>
          <w:rFonts w:ascii="Verdana" w:hAnsi="Verdana" w:cs="Arial"/>
          <w:sz w:val="24"/>
          <w:szCs w:val="24"/>
        </w:rPr>
        <w:t xml:space="preserve">an application in terms of the </w:t>
      </w:r>
      <w:r w:rsidR="00FE52E7" w:rsidRPr="00E215F5">
        <w:rPr>
          <w:rFonts w:ascii="Verdana" w:hAnsi="Verdana" w:cs="Arial"/>
          <w:sz w:val="24"/>
          <w:szCs w:val="24"/>
        </w:rPr>
        <w:t>Promotion to Administrative Justice Act 3 of 2000 (“</w:t>
      </w:r>
      <w:r w:rsidR="00FE52E7" w:rsidRPr="00E215F5">
        <w:rPr>
          <w:rFonts w:ascii="Verdana" w:hAnsi="Verdana" w:cs="Arial"/>
          <w:b/>
          <w:bCs/>
          <w:sz w:val="24"/>
          <w:szCs w:val="24"/>
        </w:rPr>
        <w:t>PAJA</w:t>
      </w:r>
      <w:r w:rsidR="00FE52E7" w:rsidRPr="00E215F5">
        <w:rPr>
          <w:rFonts w:ascii="Verdana" w:hAnsi="Verdana" w:cs="Arial"/>
          <w:sz w:val="24"/>
          <w:szCs w:val="24"/>
        </w:rPr>
        <w:t>”) for the review and setting aside of the First Respondent’s</w:t>
      </w:r>
      <w:r w:rsidR="00313270" w:rsidRPr="00E215F5">
        <w:rPr>
          <w:rFonts w:ascii="Verdana" w:hAnsi="Verdana" w:cs="Arial"/>
          <w:sz w:val="24"/>
          <w:szCs w:val="24"/>
        </w:rPr>
        <w:t>:</w:t>
      </w:r>
    </w:p>
    <w:p w14:paraId="7B052A5D" w14:textId="77777777" w:rsidR="00BA2351" w:rsidRPr="00E215F5" w:rsidRDefault="00BA2351" w:rsidP="00C31142">
      <w:pPr>
        <w:pStyle w:val="Clause1Head"/>
        <w:numPr>
          <w:ilvl w:val="0"/>
          <w:numId w:val="0"/>
        </w:numPr>
        <w:ind w:left="1440" w:hanging="720"/>
        <w:rPr>
          <w:rFonts w:ascii="Verdana" w:hAnsi="Verdana" w:cs="Arial"/>
          <w:sz w:val="24"/>
          <w:szCs w:val="24"/>
        </w:rPr>
      </w:pPr>
    </w:p>
    <w:p w14:paraId="284C84DE" w14:textId="2EE39CBC" w:rsidR="00FE52E7" w:rsidRPr="00E215F5" w:rsidRDefault="00BA2351" w:rsidP="00C31142">
      <w:pPr>
        <w:pStyle w:val="Clause2Sub"/>
        <w:numPr>
          <w:ilvl w:val="0"/>
          <w:numId w:val="0"/>
        </w:numPr>
        <w:ind w:left="1855"/>
        <w:rPr>
          <w:rFonts w:ascii="Verdana" w:hAnsi="Verdana" w:cs="Arial"/>
          <w:sz w:val="24"/>
          <w:szCs w:val="24"/>
        </w:rPr>
      </w:pPr>
      <w:r w:rsidRPr="00E215F5">
        <w:rPr>
          <w:rFonts w:ascii="Verdana" w:hAnsi="Verdana" w:cs="Arial"/>
          <w:sz w:val="24"/>
          <w:szCs w:val="24"/>
        </w:rPr>
        <w:t xml:space="preserve">3.1 </w:t>
      </w:r>
      <w:r w:rsidR="00FE52E7" w:rsidRPr="00E215F5">
        <w:rPr>
          <w:rFonts w:ascii="Verdana" w:hAnsi="Verdana" w:cs="Arial"/>
          <w:sz w:val="24"/>
          <w:szCs w:val="24"/>
        </w:rPr>
        <w:t xml:space="preserve">decision to place a block on the amount of </w:t>
      </w:r>
      <w:r w:rsidR="00D76960" w:rsidRPr="00E215F5">
        <w:rPr>
          <w:rFonts w:ascii="Verdana" w:hAnsi="Verdana" w:cs="Arial"/>
          <w:bCs/>
          <w:sz w:val="24"/>
          <w:szCs w:val="24"/>
        </w:rPr>
        <w:t xml:space="preserve">R56,379,462 belonging to the Applicant; and </w:t>
      </w:r>
    </w:p>
    <w:p w14:paraId="2EC51CD5" w14:textId="77777777" w:rsidR="00BA2351" w:rsidRPr="00E215F5" w:rsidRDefault="00BA2351" w:rsidP="00C31142">
      <w:pPr>
        <w:pStyle w:val="Clause1Head"/>
        <w:numPr>
          <w:ilvl w:val="0"/>
          <w:numId w:val="0"/>
        </w:numPr>
        <w:ind w:left="1440" w:hanging="720"/>
        <w:rPr>
          <w:rFonts w:ascii="Verdana" w:hAnsi="Verdana"/>
        </w:rPr>
      </w:pPr>
    </w:p>
    <w:p w14:paraId="55668410" w14:textId="5A73E52D" w:rsidR="00D76960" w:rsidRPr="00E215F5" w:rsidRDefault="00BA2351" w:rsidP="00C31142">
      <w:pPr>
        <w:pStyle w:val="Clause2Sub"/>
        <w:numPr>
          <w:ilvl w:val="0"/>
          <w:numId w:val="0"/>
        </w:numPr>
        <w:ind w:left="2575" w:hanging="720"/>
        <w:rPr>
          <w:rFonts w:ascii="Verdana" w:hAnsi="Verdana" w:cs="Arial"/>
          <w:sz w:val="24"/>
          <w:szCs w:val="24"/>
        </w:rPr>
      </w:pPr>
      <w:r w:rsidRPr="00E215F5">
        <w:rPr>
          <w:rFonts w:ascii="Verdana" w:hAnsi="Verdana" w:cs="Arial"/>
          <w:bCs/>
          <w:sz w:val="24"/>
          <w:szCs w:val="24"/>
        </w:rPr>
        <w:t xml:space="preserve">3.2 </w:t>
      </w:r>
      <w:r w:rsidR="00D76960" w:rsidRPr="00E215F5">
        <w:rPr>
          <w:rFonts w:ascii="Verdana" w:hAnsi="Verdana" w:cs="Arial"/>
          <w:bCs/>
          <w:sz w:val="24"/>
          <w:szCs w:val="24"/>
        </w:rPr>
        <w:t xml:space="preserve">decision to implement the moratorium directive; and </w:t>
      </w:r>
    </w:p>
    <w:p w14:paraId="2CC96D70" w14:textId="77777777" w:rsidR="00BA2351" w:rsidRPr="00E215F5" w:rsidRDefault="00BA2351" w:rsidP="00C31142">
      <w:pPr>
        <w:pStyle w:val="Clause1Head"/>
        <w:numPr>
          <w:ilvl w:val="0"/>
          <w:numId w:val="0"/>
        </w:numPr>
        <w:ind w:left="1440" w:hanging="720"/>
        <w:rPr>
          <w:rFonts w:ascii="Verdana" w:hAnsi="Verdana"/>
        </w:rPr>
      </w:pPr>
    </w:p>
    <w:p w14:paraId="758BBA02" w14:textId="12A90ACB" w:rsidR="00D76960" w:rsidRPr="00E215F5" w:rsidRDefault="00BA2351" w:rsidP="00C31142">
      <w:pPr>
        <w:pStyle w:val="Clause2Sub"/>
        <w:numPr>
          <w:ilvl w:val="0"/>
          <w:numId w:val="0"/>
        </w:numPr>
        <w:ind w:left="1855"/>
        <w:rPr>
          <w:rFonts w:ascii="Verdana" w:hAnsi="Verdana" w:cs="Arial"/>
          <w:sz w:val="24"/>
          <w:szCs w:val="24"/>
        </w:rPr>
      </w:pPr>
      <w:r w:rsidRPr="00E215F5">
        <w:rPr>
          <w:rFonts w:ascii="Verdana" w:hAnsi="Verdana" w:cs="Arial"/>
          <w:bCs/>
          <w:sz w:val="24"/>
          <w:szCs w:val="24"/>
        </w:rPr>
        <w:t xml:space="preserve">3.3 </w:t>
      </w:r>
      <w:r w:rsidR="00D76960" w:rsidRPr="00E215F5">
        <w:rPr>
          <w:rFonts w:ascii="Verdana" w:hAnsi="Verdana" w:cs="Arial"/>
          <w:bCs/>
          <w:sz w:val="24"/>
          <w:szCs w:val="24"/>
        </w:rPr>
        <w:t>failure and / or refusal to consider and approve the Applicant’s Exchange Control Application dated 22 February 2024</w:t>
      </w:r>
    </w:p>
    <w:p w14:paraId="4CCF48BD" w14:textId="6EE67EBD" w:rsidR="00313270" w:rsidRPr="00E215F5" w:rsidRDefault="00313270" w:rsidP="00C31142">
      <w:pPr>
        <w:pStyle w:val="Clause2Sub"/>
        <w:numPr>
          <w:ilvl w:val="0"/>
          <w:numId w:val="0"/>
        </w:numPr>
        <w:ind w:left="1855"/>
        <w:rPr>
          <w:rFonts w:ascii="Verdana" w:hAnsi="Verdana" w:cs="Arial"/>
          <w:bCs/>
          <w:sz w:val="24"/>
          <w:szCs w:val="24"/>
        </w:rPr>
      </w:pPr>
      <w:r w:rsidRPr="00E215F5">
        <w:rPr>
          <w:rFonts w:ascii="Verdana" w:hAnsi="Verdana" w:cs="Arial"/>
          <w:bCs/>
          <w:sz w:val="24"/>
          <w:szCs w:val="24"/>
        </w:rPr>
        <w:t>(Collectively, the “</w:t>
      </w:r>
      <w:r w:rsidRPr="00E215F5">
        <w:rPr>
          <w:rFonts w:ascii="Verdana" w:hAnsi="Verdana" w:cs="Arial"/>
          <w:b/>
          <w:sz w:val="24"/>
          <w:szCs w:val="24"/>
        </w:rPr>
        <w:t>Impugned decisions</w:t>
      </w:r>
      <w:r w:rsidRPr="00E215F5">
        <w:rPr>
          <w:rFonts w:ascii="Verdana" w:hAnsi="Verdana" w:cs="Arial"/>
          <w:bCs/>
          <w:sz w:val="24"/>
          <w:szCs w:val="24"/>
        </w:rPr>
        <w:t>”)</w:t>
      </w:r>
    </w:p>
    <w:p w14:paraId="46828E55" w14:textId="4A91EA77" w:rsidR="00E103F7" w:rsidRPr="00E215F5" w:rsidRDefault="004A3CAC" w:rsidP="00C31142">
      <w:pPr>
        <w:pStyle w:val="Clause2Sub"/>
        <w:numPr>
          <w:ilvl w:val="0"/>
          <w:numId w:val="0"/>
        </w:numPr>
        <w:ind w:left="1855"/>
        <w:rPr>
          <w:rFonts w:ascii="Verdana" w:hAnsi="Verdana" w:cs="Arial"/>
          <w:bCs/>
          <w:sz w:val="24"/>
          <w:szCs w:val="24"/>
        </w:rPr>
      </w:pPr>
      <w:r w:rsidRPr="00E215F5">
        <w:rPr>
          <w:rFonts w:ascii="Verdana" w:hAnsi="Verdana" w:cs="Arial"/>
          <w:bCs/>
          <w:sz w:val="24"/>
          <w:szCs w:val="24"/>
        </w:rPr>
        <w:lastRenderedPageBreak/>
        <w:t>the First Respondent is directed to</w:t>
      </w:r>
      <w:r w:rsidR="0094659F" w:rsidRPr="00E215F5">
        <w:rPr>
          <w:rFonts w:ascii="Verdana" w:hAnsi="Verdana" w:cs="Arial"/>
          <w:bCs/>
          <w:sz w:val="24"/>
          <w:szCs w:val="24"/>
        </w:rPr>
        <w:t>: (</w:t>
      </w:r>
      <w:proofErr w:type="spellStart"/>
      <w:r w:rsidR="0094659F" w:rsidRPr="00E215F5">
        <w:rPr>
          <w:rFonts w:ascii="Verdana" w:hAnsi="Verdana" w:cs="Arial"/>
          <w:bCs/>
          <w:sz w:val="24"/>
          <w:szCs w:val="24"/>
        </w:rPr>
        <w:t>i</w:t>
      </w:r>
      <w:proofErr w:type="spellEnd"/>
      <w:r w:rsidR="0094659F" w:rsidRPr="00E215F5">
        <w:rPr>
          <w:rFonts w:ascii="Verdana" w:hAnsi="Verdana" w:cs="Arial"/>
          <w:bCs/>
          <w:sz w:val="24"/>
          <w:szCs w:val="24"/>
        </w:rPr>
        <w:t>)</w:t>
      </w:r>
      <w:r w:rsidRPr="00E215F5">
        <w:rPr>
          <w:rFonts w:ascii="Verdana" w:hAnsi="Verdana" w:cs="Arial"/>
          <w:bCs/>
          <w:sz w:val="24"/>
          <w:szCs w:val="24"/>
        </w:rPr>
        <w:t xml:space="preserve"> remove the block on the amount of R56,379,462 (or such portion of that amount as the Court deems </w:t>
      </w:r>
      <w:r w:rsidR="00E434F1" w:rsidRPr="00E215F5">
        <w:rPr>
          <w:rFonts w:ascii="Verdana" w:hAnsi="Verdana" w:cs="Arial"/>
          <w:bCs/>
          <w:sz w:val="24"/>
          <w:szCs w:val="24"/>
        </w:rPr>
        <w:t>appropriate</w:t>
      </w:r>
      <w:r w:rsidRPr="00E215F5">
        <w:rPr>
          <w:rFonts w:ascii="Verdana" w:hAnsi="Verdana" w:cs="Arial"/>
          <w:bCs/>
          <w:sz w:val="24"/>
          <w:szCs w:val="24"/>
        </w:rPr>
        <w:t xml:space="preserve">) and to avail the unblocked amount for use by the Applicant </w:t>
      </w:r>
      <w:r w:rsidR="0094659F" w:rsidRPr="00E215F5">
        <w:rPr>
          <w:rFonts w:ascii="Verdana" w:hAnsi="Verdana" w:cs="Arial"/>
          <w:bCs/>
          <w:sz w:val="24"/>
          <w:szCs w:val="24"/>
        </w:rPr>
        <w:t xml:space="preserve">in its </w:t>
      </w:r>
      <w:r w:rsidR="00E434F1" w:rsidRPr="00E215F5">
        <w:rPr>
          <w:rFonts w:ascii="Verdana" w:hAnsi="Verdana" w:cs="Arial"/>
          <w:bCs/>
          <w:sz w:val="24"/>
          <w:szCs w:val="24"/>
        </w:rPr>
        <w:t xml:space="preserve">ordinary business </w:t>
      </w:r>
      <w:r w:rsidR="0094659F" w:rsidRPr="00E215F5">
        <w:rPr>
          <w:rFonts w:ascii="Verdana" w:hAnsi="Verdana" w:cs="Arial"/>
          <w:bCs/>
          <w:sz w:val="24"/>
          <w:szCs w:val="24"/>
        </w:rPr>
        <w:t xml:space="preserve">operations </w:t>
      </w:r>
      <w:r w:rsidRPr="00E215F5">
        <w:rPr>
          <w:rFonts w:ascii="Verdana" w:hAnsi="Verdana" w:cs="Arial"/>
          <w:bCs/>
          <w:sz w:val="24"/>
          <w:szCs w:val="24"/>
        </w:rPr>
        <w:t xml:space="preserve">and to </w:t>
      </w:r>
      <w:r w:rsidR="0094659F" w:rsidRPr="00E215F5">
        <w:rPr>
          <w:rFonts w:ascii="Verdana" w:hAnsi="Verdana" w:cs="Arial"/>
          <w:bCs/>
          <w:sz w:val="24"/>
          <w:szCs w:val="24"/>
        </w:rPr>
        <w:t xml:space="preserve">(ii) </w:t>
      </w:r>
      <w:r w:rsidRPr="00E215F5">
        <w:rPr>
          <w:rFonts w:ascii="Verdana" w:hAnsi="Verdana" w:cs="Arial"/>
          <w:bCs/>
          <w:sz w:val="24"/>
          <w:szCs w:val="24"/>
        </w:rPr>
        <w:t>remove the moratorium directive</w:t>
      </w:r>
      <w:r w:rsidR="0094659F" w:rsidRPr="00E215F5">
        <w:rPr>
          <w:rFonts w:ascii="Verdana" w:hAnsi="Verdana" w:cs="Arial"/>
          <w:bCs/>
          <w:sz w:val="24"/>
          <w:szCs w:val="24"/>
        </w:rPr>
        <w:t xml:space="preserve"> and allow the Applicant to make offshore payments under the supervision of the Second Respondent</w:t>
      </w:r>
      <w:r w:rsidR="00EA232A" w:rsidRPr="00E215F5">
        <w:rPr>
          <w:rFonts w:ascii="Verdana" w:hAnsi="Verdana" w:cs="Arial"/>
          <w:bCs/>
          <w:sz w:val="24"/>
          <w:szCs w:val="24"/>
        </w:rPr>
        <w:t>,</w:t>
      </w:r>
      <w:r w:rsidR="0094659F" w:rsidRPr="00E215F5">
        <w:rPr>
          <w:rFonts w:ascii="Verdana" w:hAnsi="Verdana" w:cs="Arial"/>
          <w:bCs/>
          <w:sz w:val="24"/>
          <w:szCs w:val="24"/>
        </w:rPr>
        <w:t xml:space="preserve"> and to receive funds from offshore sources</w:t>
      </w:r>
      <w:r w:rsidR="00E103F7" w:rsidRPr="00E215F5">
        <w:rPr>
          <w:rFonts w:ascii="Verdana" w:hAnsi="Verdana" w:cs="Arial"/>
          <w:bCs/>
          <w:sz w:val="24"/>
          <w:szCs w:val="24"/>
        </w:rPr>
        <w:t xml:space="preserve">. </w:t>
      </w:r>
    </w:p>
    <w:p w14:paraId="13AE4DA5" w14:textId="20E57CF9" w:rsidR="00BA2351" w:rsidRPr="00E215F5" w:rsidRDefault="00BA2351" w:rsidP="00C31142">
      <w:pPr>
        <w:pStyle w:val="Clause2Sub"/>
        <w:numPr>
          <w:ilvl w:val="0"/>
          <w:numId w:val="0"/>
        </w:numPr>
        <w:ind w:left="1855"/>
        <w:rPr>
          <w:rFonts w:ascii="Verdana" w:hAnsi="Verdana" w:cs="Arial"/>
          <w:bCs/>
          <w:sz w:val="24"/>
          <w:szCs w:val="24"/>
        </w:rPr>
      </w:pPr>
    </w:p>
    <w:p w14:paraId="190081AA" w14:textId="01F32930" w:rsidR="001275D7" w:rsidRPr="00E215F5" w:rsidRDefault="00057C27" w:rsidP="00C31142">
      <w:pPr>
        <w:pStyle w:val="Clause1Head"/>
        <w:numPr>
          <w:ilvl w:val="0"/>
          <w:numId w:val="0"/>
        </w:numPr>
        <w:ind w:left="720"/>
        <w:rPr>
          <w:rFonts w:ascii="Verdana" w:hAnsi="Verdana" w:cs="Arial"/>
          <w:sz w:val="24"/>
          <w:szCs w:val="24"/>
        </w:rPr>
      </w:pPr>
      <w:r w:rsidRPr="00E215F5">
        <w:rPr>
          <w:rFonts w:ascii="Verdana" w:hAnsi="Verdana" w:cs="Arial"/>
          <w:sz w:val="24"/>
          <w:szCs w:val="24"/>
        </w:rPr>
        <w:t xml:space="preserve">4. </w:t>
      </w:r>
      <w:r w:rsidR="001275D7" w:rsidRPr="00E215F5">
        <w:rPr>
          <w:rFonts w:ascii="Verdana" w:hAnsi="Verdana" w:cs="Arial"/>
          <w:sz w:val="24"/>
          <w:szCs w:val="24"/>
        </w:rPr>
        <w:t>That those Respondents who elect to oppose the application be ordered to pay the costs of this application, jointly and severally, the one paying the other to be absolved</w:t>
      </w:r>
      <w:r w:rsidR="00C31142">
        <w:rPr>
          <w:rFonts w:ascii="Verdana" w:hAnsi="Verdana" w:cs="Arial"/>
          <w:sz w:val="24"/>
          <w:szCs w:val="24"/>
        </w:rPr>
        <w:t>.”</w:t>
      </w:r>
    </w:p>
    <w:p w14:paraId="046CB3DE" w14:textId="77777777" w:rsidR="00BA2351" w:rsidRPr="00E215F5" w:rsidRDefault="00BA2351" w:rsidP="00E215F5">
      <w:pPr>
        <w:pStyle w:val="Clause1Head"/>
        <w:numPr>
          <w:ilvl w:val="0"/>
          <w:numId w:val="0"/>
        </w:numPr>
        <w:ind w:left="720"/>
        <w:rPr>
          <w:rFonts w:ascii="Verdana" w:hAnsi="Verdana" w:cs="Arial"/>
          <w:sz w:val="24"/>
          <w:szCs w:val="24"/>
        </w:rPr>
      </w:pPr>
    </w:p>
    <w:p w14:paraId="3A9D0CA4" w14:textId="1F860EED" w:rsidR="00E215F5" w:rsidRPr="00C31142" w:rsidRDefault="00C31142" w:rsidP="00E215F5">
      <w:pPr>
        <w:tabs>
          <w:tab w:val="left" w:pos="709"/>
        </w:tabs>
        <w:spacing w:before="360" w:after="240" w:line="480" w:lineRule="auto"/>
        <w:jc w:val="both"/>
        <w:rPr>
          <w:rFonts w:ascii="Verdana" w:hAnsi="Verdana"/>
          <w:bCs/>
          <w:sz w:val="24"/>
          <w:szCs w:val="24"/>
        </w:rPr>
      </w:pPr>
      <w:r w:rsidRPr="00C31142">
        <w:rPr>
          <w:rFonts w:ascii="Verdana" w:hAnsi="Verdana"/>
          <w:sz w:val="24"/>
          <w:szCs w:val="24"/>
        </w:rPr>
        <w:t>2]</w:t>
      </w:r>
      <w:r>
        <w:rPr>
          <w:rFonts w:ascii="Verdana" w:hAnsi="Verdana"/>
          <w:bCs/>
          <w:sz w:val="24"/>
          <w:szCs w:val="24"/>
        </w:rPr>
        <w:t xml:space="preserve"> As per the issued Notice of Motion, the</w:t>
      </w:r>
      <w:r w:rsidR="009302B5">
        <w:rPr>
          <w:rFonts w:ascii="Verdana" w:hAnsi="Verdana"/>
          <w:sz w:val="24"/>
          <w:szCs w:val="24"/>
        </w:rPr>
        <w:t xml:space="preserve"> </w:t>
      </w:r>
      <w:proofErr w:type="spellStart"/>
      <w:r w:rsidR="00E215F5" w:rsidRPr="00E215F5">
        <w:rPr>
          <w:rFonts w:ascii="Verdana" w:hAnsi="Verdana"/>
          <w:sz w:val="24"/>
          <w:szCs w:val="24"/>
        </w:rPr>
        <w:t>The</w:t>
      </w:r>
      <w:proofErr w:type="spellEnd"/>
      <w:r w:rsidR="00E215F5" w:rsidRPr="00E215F5">
        <w:rPr>
          <w:rFonts w:ascii="Verdana" w:hAnsi="Verdana"/>
          <w:sz w:val="24"/>
          <w:szCs w:val="24"/>
        </w:rPr>
        <w:t xml:space="preserve"> Applicant (“Aldor”) seeks urgent relief in terms of Regulation 22D (</w:t>
      </w:r>
      <w:proofErr w:type="spellStart"/>
      <w:r w:rsidR="00583A66">
        <w:rPr>
          <w:rFonts w:ascii="Verdana" w:hAnsi="Verdana"/>
          <w:sz w:val="24"/>
          <w:szCs w:val="24"/>
        </w:rPr>
        <w:t>G</w:t>
      </w:r>
      <w:r w:rsidR="00E215F5" w:rsidRPr="00E215F5">
        <w:rPr>
          <w:rFonts w:ascii="Verdana" w:hAnsi="Verdana"/>
          <w:sz w:val="24"/>
          <w:szCs w:val="24"/>
        </w:rPr>
        <w:t>azetted</w:t>
      </w:r>
      <w:proofErr w:type="spellEnd"/>
      <w:r w:rsidR="00E215F5" w:rsidRPr="00E215F5">
        <w:rPr>
          <w:rFonts w:ascii="Verdana" w:hAnsi="Verdana"/>
          <w:sz w:val="24"/>
          <w:szCs w:val="24"/>
        </w:rPr>
        <w:t xml:space="preserve"> in terms of section 9 of the Currency and Exchanges Act 9 of 1933 (“the Act”)); alternatively, an urgent mandamus directing the First Respondent (“</w:t>
      </w:r>
      <w:proofErr w:type="spellStart"/>
      <w:r w:rsidR="00E215F5" w:rsidRPr="00E215F5">
        <w:rPr>
          <w:rFonts w:ascii="Verdana" w:hAnsi="Verdana"/>
          <w:sz w:val="24"/>
          <w:szCs w:val="24"/>
        </w:rPr>
        <w:t>FinSurv</w:t>
      </w:r>
      <w:proofErr w:type="spellEnd"/>
      <w:r w:rsidR="00E215F5" w:rsidRPr="00E215F5">
        <w:rPr>
          <w:rFonts w:ascii="Verdana" w:hAnsi="Verdana"/>
          <w:sz w:val="24"/>
          <w:szCs w:val="24"/>
        </w:rPr>
        <w:t>”) to uplift certain directives (“the Directi</w:t>
      </w:r>
      <w:r w:rsidR="00583A66">
        <w:rPr>
          <w:rFonts w:ascii="Verdana" w:hAnsi="Verdana"/>
          <w:sz w:val="24"/>
          <w:szCs w:val="24"/>
        </w:rPr>
        <w:t>v</w:t>
      </w:r>
      <w:r w:rsidR="00E215F5" w:rsidRPr="00E215F5">
        <w:rPr>
          <w:rFonts w:ascii="Verdana" w:hAnsi="Verdana"/>
          <w:sz w:val="24"/>
          <w:szCs w:val="24"/>
        </w:rPr>
        <w:t xml:space="preserve">es”) pending an application for review in terms of the Promotion of </w:t>
      </w:r>
      <w:r w:rsidR="009A7662">
        <w:rPr>
          <w:rFonts w:ascii="Verdana" w:hAnsi="Verdana"/>
          <w:sz w:val="24"/>
          <w:szCs w:val="24"/>
        </w:rPr>
        <w:t>A</w:t>
      </w:r>
      <w:r w:rsidR="00E215F5" w:rsidRPr="00E215F5">
        <w:rPr>
          <w:rFonts w:ascii="Verdana" w:hAnsi="Verdana"/>
          <w:sz w:val="24"/>
          <w:szCs w:val="24"/>
        </w:rPr>
        <w:t xml:space="preserve">dministrative Justice Act 3 of 2000 (“PAJA”) in terms of which Aldor will seek to review and set aside the Directives, </w:t>
      </w:r>
      <w:r w:rsidR="00E215F5" w:rsidRPr="00E215F5">
        <w:rPr>
          <w:rFonts w:ascii="Verdana" w:hAnsi="Verdana"/>
          <w:sz w:val="24"/>
          <w:szCs w:val="24"/>
        </w:rPr>
        <w:lastRenderedPageBreak/>
        <w:t xml:space="preserve">together with </w:t>
      </w:r>
      <w:proofErr w:type="spellStart"/>
      <w:r w:rsidR="00E215F5" w:rsidRPr="00E215F5">
        <w:rPr>
          <w:rFonts w:ascii="Verdana" w:hAnsi="Verdana"/>
          <w:sz w:val="24"/>
          <w:szCs w:val="24"/>
        </w:rPr>
        <w:t>FinSurv’s</w:t>
      </w:r>
      <w:proofErr w:type="spellEnd"/>
      <w:r w:rsidR="00E215F5" w:rsidRPr="00E215F5">
        <w:rPr>
          <w:rFonts w:ascii="Verdana" w:hAnsi="Verdana"/>
          <w:sz w:val="24"/>
          <w:szCs w:val="24"/>
        </w:rPr>
        <w:t xml:space="preserve"> failure and / or refusal to entertain the comprehensive Exchange Control application dated 22 February 2024 </w:t>
      </w:r>
      <w:r w:rsidR="009302B5">
        <w:rPr>
          <w:rStyle w:val="FootnoteReference"/>
          <w:rFonts w:ascii="Verdana" w:hAnsi="Verdana"/>
          <w:sz w:val="24"/>
          <w:szCs w:val="24"/>
        </w:rPr>
        <w:footnoteReference w:id="1"/>
      </w:r>
      <w:r w:rsidR="00E215F5" w:rsidRPr="00E215F5">
        <w:rPr>
          <w:rFonts w:ascii="Verdana" w:hAnsi="Verdana"/>
          <w:sz w:val="24"/>
          <w:szCs w:val="24"/>
        </w:rPr>
        <w:t xml:space="preserve">.  </w:t>
      </w:r>
    </w:p>
    <w:p w14:paraId="12E96239" w14:textId="77777777" w:rsidR="009302B5" w:rsidRPr="00E215F5" w:rsidRDefault="009302B5" w:rsidP="00E215F5">
      <w:pPr>
        <w:tabs>
          <w:tab w:val="left" w:pos="709"/>
        </w:tabs>
        <w:spacing w:before="360" w:after="240" w:line="480" w:lineRule="auto"/>
        <w:jc w:val="both"/>
        <w:rPr>
          <w:rFonts w:ascii="Verdana" w:hAnsi="Verdana"/>
          <w:sz w:val="24"/>
          <w:szCs w:val="24"/>
        </w:rPr>
      </w:pPr>
    </w:p>
    <w:p w14:paraId="35FACCB7" w14:textId="677141C1" w:rsidR="00E215F5" w:rsidRDefault="00C31142" w:rsidP="00E215F5">
      <w:pPr>
        <w:tabs>
          <w:tab w:val="left" w:pos="709"/>
        </w:tabs>
        <w:spacing w:before="360" w:after="240" w:line="480" w:lineRule="auto"/>
        <w:jc w:val="both"/>
        <w:rPr>
          <w:rFonts w:ascii="Verdana" w:hAnsi="Verdana"/>
          <w:sz w:val="24"/>
          <w:szCs w:val="24"/>
        </w:rPr>
      </w:pPr>
      <w:r>
        <w:rPr>
          <w:rFonts w:ascii="Verdana" w:hAnsi="Verdana"/>
          <w:sz w:val="24"/>
          <w:szCs w:val="24"/>
        </w:rPr>
        <w:t>3] The</w:t>
      </w:r>
      <w:r w:rsidR="00E215F5" w:rsidRPr="00E215F5">
        <w:rPr>
          <w:rFonts w:ascii="Verdana" w:hAnsi="Verdana"/>
          <w:sz w:val="24"/>
          <w:szCs w:val="24"/>
        </w:rPr>
        <w:t xml:space="preserve"> Directives </w:t>
      </w:r>
      <w:r>
        <w:rPr>
          <w:rFonts w:ascii="Verdana" w:hAnsi="Verdana"/>
          <w:sz w:val="24"/>
          <w:szCs w:val="24"/>
        </w:rPr>
        <w:t xml:space="preserve">so </w:t>
      </w:r>
      <w:r w:rsidR="00E215F5" w:rsidRPr="00E215F5">
        <w:rPr>
          <w:rFonts w:ascii="Verdana" w:hAnsi="Verdana"/>
          <w:sz w:val="24"/>
          <w:szCs w:val="24"/>
        </w:rPr>
        <w:t xml:space="preserve">issued by </w:t>
      </w:r>
      <w:proofErr w:type="spellStart"/>
      <w:r w:rsidR="00E215F5" w:rsidRPr="00E215F5">
        <w:rPr>
          <w:rFonts w:ascii="Verdana" w:hAnsi="Verdana"/>
          <w:sz w:val="24"/>
          <w:szCs w:val="24"/>
        </w:rPr>
        <w:t>FinSurv</w:t>
      </w:r>
      <w:proofErr w:type="spellEnd"/>
      <w:r w:rsidR="00E215F5" w:rsidRPr="00E215F5">
        <w:rPr>
          <w:rFonts w:ascii="Verdana" w:hAnsi="Verdana"/>
          <w:sz w:val="24"/>
          <w:szCs w:val="24"/>
        </w:rPr>
        <w:t xml:space="preserve"> </w:t>
      </w:r>
      <w:r>
        <w:rPr>
          <w:rFonts w:ascii="Verdana" w:hAnsi="Verdana"/>
          <w:sz w:val="24"/>
          <w:szCs w:val="24"/>
        </w:rPr>
        <w:t>has the effect</w:t>
      </w:r>
      <w:r w:rsidR="00E215F5" w:rsidRPr="00E215F5">
        <w:rPr>
          <w:rFonts w:ascii="Verdana" w:hAnsi="Verdana"/>
          <w:sz w:val="24"/>
          <w:szCs w:val="24"/>
        </w:rPr>
        <w:t xml:space="preserve"> that:</w:t>
      </w:r>
    </w:p>
    <w:p w14:paraId="718C59DA" w14:textId="044AD0DD" w:rsidR="00E215F5" w:rsidRDefault="00C31142" w:rsidP="00E215F5">
      <w:pPr>
        <w:tabs>
          <w:tab w:val="left" w:pos="709"/>
        </w:tabs>
        <w:spacing w:before="360" w:after="240" w:line="480" w:lineRule="auto"/>
        <w:jc w:val="both"/>
        <w:rPr>
          <w:rFonts w:ascii="Verdana" w:hAnsi="Verdana"/>
          <w:sz w:val="24"/>
          <w:szCs w:val="24"/>
        </w:rPr>
      </w:pPr>
      <w:r>
        <w:rPr>
          <w:rFonts w:ascii="Verdana" w:hAnsi="Verdana"/>
          <w:sz w:val="24"/>
          <w:szCs w:val="24"/>
        </w:rPr>
        <w:t>3</w:t>
      </w:r>
      <w:r w:rsidR="009302B5">
        <w:rPr>
          <w:rFonts w:ascii="Verdana" w:hAnsi="Verdana"/>
          <w:sz w:val="24"/>
          <w:szCs w:val="24"/>
        </w:rPr>
        <w:t xml:space="preserve">.1. </w:t>
      </w:r>
      <w:proofErr w:type="spellStart"/>
      <w:r w:rsidR="00E215F5" w:rsidRPr="00E215F5">
        <w:rPr>
          <w:rFonts w:ascii="Verdana" w:hAnsi="Verdana"/>
          <w:sz w:val="24"/>
          <w:szCs w:val="24"/>
        </w:rPr>
        <w:t>FinSurv</w:t>
      </w:r>
      <w:proofErr w:type="spellEnd"/>
      <w:r w:rsidR="00E215F5" w:rsidRPr="00E215F5">
        <w:rPr>
          <w:rFonts w:ascii="Verdana" w:hAnsi="Verdana"/>
          <w:sz w:val="24"/>
          <w:szCs w:val="24"/>
        </w:rPr>
        <w:t xml:space="preserve"> has blocked some R56 000 000.00 (R56 million) in Aldor’s primary business bank account (held with the second respondent, SBSA) (“the blocking directive”); and </w:t>
      </w:r>
    </w:p>
    <w:p w14:paraId="068E5905" w14:textId="118CCE3D" w:rsidR="009302B5" w:rsidRDefault="00C31142" w:rsidP="00E215F5">
      <w:pPr>
        <w:tabs>
          <w:tab w:val="left" w:pos="709"/>
        </w:tabs>
        <w:spacing w:before="360" w:after="240" w:line="480" w:lineRule="auto"/>
        <w:jc w:val="both"/>
        <w:rPr>
          <w:rFonts w:ascii="Verdana" w:hAnsi="Verdana"/>
          <w:sz w:val="24"/>
          <w:szCs w:val="24"/>
        </w:rPr>
      </w:pPr>
      <w:r>
        <w:rPr>
          <w:rFonts w:ascii="Verdana" w:hAnsi="Verdana"/>
          <w:sz w:val="24"/>
          <w:szCs w:val="24"/>
        </w:rPr>
        <w:t>3</w:t>
      </w:r>
      <w:r w:rsidR="009302B5">
        <w:rPr>
          <w:rFonts w:ascii="Verdana" w:hAnsi="Verdana"/>
          <w:sz w:val="24"/>
          <w:szCs w:val="24"/>
        </w:rPr>
        <w:t xml:space="preserve">.2. </w:t>
      </w:r>
      <w:r w:rsidR="00E215F5" w:rsidRPr="00E215F5">
        <w:rPr>
          <w:rFonts w:ascii="Verdana" w:hAnsi="Verdana"/>
          <w:sz w:val="24"/>
          <w:szCs w:val="24"/>
        </w:rPr>
        <w:t>It has placed an absolute prohibition on Aldor making any advance import payments (“the moratorium directive”); and</w:t>
      </w:r>
    </w:p>
    <w:p w14:paraId="69BD8BAF" w14:textId="51E51365" w:rsidR="00E215F5" w:rsidRDefault="00C31142" w:rsidP="00E215F5">
      <w:pPr>
        <w:tabs>
          <w:tab w:val="left" w:pos="709"/>
        </w:tabs>
        <w:spacing w:before="360" w:after="240" w:line="480" w:lineRule="auto"/>
        <w:jc w:val="both"/>
        <w:rPr>
          <w:rFonts w:ascii="Verdana" w:hAnsi="Verdana"/>
          <w:sz w:val="24"/>
          <w:szCs w:val="24"/>
        </w:rPr>
      </w:pPr>
      <w:r>
        <w:rPr>
          <w:rFonts w:ascii="Verdana" w:hAnsi="Verdana"/>
          <w:sz w:val="24"/>
          <w:szCs w:val="24"/>
        </w:rPr>
        <w:t>3</w:t>
      </w:r>
      <w:r w:rsidR="009302B5">
        <w:rPr>
          <w:rFonts w:ascii="Verdana" w:hAnsi="Verdana"/>
          <w:sz w:val="24"/>
          <w:szCs w:val="24"/>
        </w:rPr>
        <w:t xml:space="preserve">.3. </w:t>
      </w:r>
      <w:r w:rsidR="00E215F5" w:rsidRPr="00E215F5">
        <w:rPr>
          <w:rFonts w:ascii="Verdana" w:hAnsi="Verdana"/>
          <w:sz w:val="24"/>
          <w:szCs w:val="24"/>
        </w:rPr>
        <w:t xml:space="preserve">It has prohibited Aldor from engaging in any other cross-border transactions without the prior written approval of </w:t>
      </w:r>
      <w:proofErr w:type="spellStart"/>
      <w:r w:rsidR="00E215F5" w:rsidRPr="00E215F5">
        <w:rPr>
          <w:rFonts w:ascii="Verdana" w:hAnsi="Verdana"/>
          <w:sz w:val="24"/>
          <w:szCs w:val="24"/>
        </w:rPr>
        <w:t>FinSurv</w:t>
      </w:r>
      <w:proofErr w:type="spellEnd"/>
      <w:r w:rsidR="00E215F5" w:rsidRPr="00E215F5">
        <w:rPr>
          <w:rFonts w:ascii="Verdana" w:hAnsi="Verdana"/>
          <w:sz w:val="24"/>
          <w:szCs w:val="24"/>
        </w:rPr>
        <w:t xml:space="preserve">. </w:t>
      </w:r>
    </w:p>
    <w:p w14:paraId="702AF941" w14:textId="77777777" w:rsidR="009302B5" w:rsidRPr="00E215F5" w:rsidRDefault="009302B5" w:rsidP="00E215F5">
      <w:pPr>
        <w:tabs>
          <w:tab w:val="left" w:pos="709"/>
        </w:tabs>
        <w:spacing w:before="360" w:after="240" w:line="480" w:lineRule="auto"/>
        <w:jc w:val="both"/>
        <w:rPr>
          <w:rFonts w:ascii="Verdana" w:hAnsi="Verdana"/>
          <w:sz w:val="24"/>
          <w:szCs w:val="24"/>
        </w:rPr>
      </w:pPr>
    </w:p>
    <w:p w14:paraId="27A4B029" w14:textId="194EA8A5" w:rsidR="00E215F5" w:rsidRDefault="00C31142" w:rsidP="00E215F5">
      <w:pPr>
        <w:tabs>
          <w:tab w:val="left" w:pos="709"/>
        </w:tabs>
        <w:spacing w:before="360" w:after="240" w:line="480" w:lineRule="auto"/>
        <w:jc w:val="both"/>
        <w:rPr>
          <w:rFonts w:ascii="Verdana" w:hAnsi="Verdana"/>
          <w:sz w:val="24"/>
          <w:szCs w:val="24"/>
        </w:rPr>
      </w:pPr>
      <w:r>
        <w:rPr>
          <w:rFonts w:ascii="Verdana" w:hAnsi="Verdana"/>
          <w:sz w:val="24"/>
          <w:szCs w:val="24"/>
        </w:rPr>
        <w:t>4]</w:t>
      </w:r>
      <w:r w:rsidR="009302B5">
        <w:rPr>
          <w:rFonts w:ascii="Verdana" w:hAnsi="Verdana"/>
          <w:sz w:val="24"/>
          <w:szCs w:val="24"/>
        </w:rPr>
        <w:t xml:space="preserve"> </w:t>
      </w:r>
      <w:r w:rsidR="00E215F5" w:rsidRPr="00E215F5">
        <w:rPr>
          <w:rFonts w:ascii="Verdana" w:hAnsi="Verdana"/>
          <w:sz w:val="24"/>
          <w:szCs w:val="24"/>
        </w:rPr>
        <w:t xml:space="preserve">The blocking and moratorium directives were allegedly issued by </w:t>
      </w:r>
      <w:proofErr w:type="spellStart"/>
      <w:r w:rsidR="00E215F5" w:rsidRPr="00E215F5">
        <w:rPr>
          <w:rFonts w:ascii="Verdana" w:hAnsi="Verdana"/>
          <w:sz w:val="24"/>
          <w:szCs w:val="24"/>
        </w:rPr>
        <w:t>FinSurv</w:t>
      </w:r>
      <w:proofErr w:type="spellEnd"/>
      <w:r w:rsidR="00E215F5" w:rsidRPr="00E215F5">
        <w:rPr>
          <w:rFonts w:ascii="Verdana" w:hAnsi="Verdana"/>
          <w:sz w:val="24"/>
          <w:szCs w:val="24"/>
        </w:rPr>
        <w:t xml:space="preserve"> </w:t>
      </w:r>
      <w:r w:rsidR="00E05514">
        <w:rPr>
          <w:rFonts w:ascii="Verdana" w:hAnsi="Verdana"/>
          <w:sz w:val="24"/>
          <w:szCs w:val="24"/>
        </w:rPr>
        <w:t xml:space="preserve">in </w:t>
      </w:r>
      <w:r w:rsidR="00E215F5" w:rsidRPr="00E215F5">
        <w:rPr>
          <w:rFonts w:ascii="Verdana" w:hAnsi="Verdana"/>
          <w:sz w:val="24"/>
          <w:szCs w:val="24"/>
        </w:rPr>
        <w:t xml:space="preserve">terms of Regulation 22A and 22C because </w:t>
      </w:r>
      <w:proofErr w:type="spellStart"/>
      <w:r w:rsidR="00E215F5" w:rsidRPr="00E215F5">
        <w:rPr>
          <w:rFonts w:ascii="Verdana" w:hAnsi="Verdana"/>
          <w:sz w:val="24"/>
          <w:szCs w:val="24"/>
        </w:rPr>
        <w:t>FinSurv</w:t>
      </w:r>
      <w:proofErr w:type="spellEnd"/>
      <w:r w:rsidR="00E215F5" w:rsidRPr="00E215F5">
        <w:rPr>
          <w:rFonts w:ascii="Verdana" w:hAnsi="Verdana"/>
          <w:sz w:val="24"/>
          <w:szCs w:val="24"/>
        </w:rPr>
        <w:t xml:space="preserve"> </w:t>
      </w:r>
      <w:proofErr w:type="gramStart"/>
      <w:r w:rsidR="00E215F5" w:rsidRPr="00E215F5">
        <w:rPr>
          <w:rFonts w:ascii="Verdana" w:hAnsi="Verdana"/>
          <w:sz w:val="24"/>
          <w:szCs w:val="24"/>
        </w:rPr>
        <w:t>came to the conclusion</w:t>
      </w:r>
      <w:proofErr w:type="gramEnd"/>
      <w:r w:rsidR="00E215F5" w:rsidRPr="00E215F5">
        <w:rPr>
          <w:rFonts w:ascii="Verdana" w:hAnsi="Verdana"/>
          <w:sz w:val="24"/>
          <w:szCs w:val="24"/>
        </w:rPr>
        <w:t xml:space="preserve"> that “there exists a reasonable suspicion” that Aldor has breached the provisions of Regulation 12</w:t>
      </w:r>
      <w:r>
        <w:rPr>
          <w:rFonts w:ascii="Verdana" w:hAnsi="Verdana"/>
          <w:sz w:val="24"/>
          <w:szCs w:val="24"/>
        </w:rPr>
        <w:t>.</w:t>
      </w:r>
      <w:r w:rsidR="00627B96">
        <w:rPr>
          <w:rStyle w:val="FootnoteReference"/>
          <w:rFonts w:ascii="Verdana" w:hAnsi="Verdana"/>
          <w:sz w:val="24"/>
          <w:szCs w:val="24"/>
        </w:rPr>
        <w:footnoteReference w:id="2"/>
      </w:r>
      <w:r w:rsidR="00E215F5" w:rsidRPr="00E215F5">
        <w:rPr>
          <w:rFonts w:ascii="Verdana" w:hAnsi="Verdana"/>
          <w:sz w:val="24"/>
          <w:szCs w:val="24"/>
        </w:rPr>
        <w:t xml:space="preserve">  </w:t>
      </w:r>
    </w:p>
    <w:p w14:paraId="1AE7BB19" w14:textId="77777777" w:rsidR="00583A66" w:rsidRDefault="00583A66" w:rsidP="00E215F5">
      <w:pPr>
        <w:tabs>
          <w:tab w:val="left" w:pos="709"/>
        </w:tabs>
        <w:spacing w:before="360" w:after="240" w:line="480" w:lineRule="auto"/>
        <w:jc w:val="both"/>
        <w:rPr>
          <w:rFonts w:ascii="Verdana" w:hAnsi="Verdana"/>
          <w:sz w:val="24"/>
          <w:szCs w:val="24"/>
        </w:rPr>
      </w:pPr>
    </w:p>
    <w:p w14:paraId="1B0E7C71" w14:textId="77777777" w:rsidR="00D30AA9" w:rsidRPr="00D30AA9" w:rsidRDefault="00D30AA9" w:rsidP="00D30AA9">
      <w:pPr>
        <w:tabs>
          <w:tab w:val="left" w:pos="709"/>
        </w:tabs>
        <w:spacing w:before="360" w:after="240" w:line="480" w:lineRule="auto"/>
        <w:jc w:val="both"/>
        <w:rPr>
          <w:rFonts w:ascii="Verdana" w:hAnsi="Verdana"/>
          <w:sz w:val="24"/>
          <w:szCs w:val="24"/>
        </w:rPr>
      </w:pPr>
      <w:r w:rsidRPr="00D30AA9">
        <w:rPr>
          <w:rFonts w:ascii="Verdana" w:hAnsi="Verdana"/>
          <w:sz w:val="24"/>
          <w:szCs w:val="24"/>
        </w:rPr>
        <w:lastRenderedPageBreak/>
        <w:t>BACKGROUND</w:t>
      </w:r>
    </w:p>
    <w:p w14:paraId="15C8C708" w14:textId="11A6F893" w:rsidR="00D30AA9" w:rsidRPr="00D30AA9" w:rsidRDefault="00D30AA9" w:rsidP="00D30AA9">
      <w:pPr>
        <w:tabs>
          <w:tab w:val="left" w:pos="709"/>
        </w:tabs>
        <w:spacing w:before="360" w:after="240" w:line="480" w:lineRule="auto"/>
        <w:jc w:val="both"/>
        <w:rPr>
          <w:rFonts w:ascii="Verdana" w:hAnsi="Verdana"/>
          <w:sz w:val="24"/>
          <w:szCs w:val="24"/>
        </w:rPr>
      </w:pPr>
      <w:r>
        <w:rPr>
          <w:rFonts w:ascii="Verdana" w:hAnsi="Verdana"/>
          <w:sz w:val="24"/>
          <w:szCs w:val="24"/>
        </w:rPr>
        <w:t>5</w:t>
      </w:r>
      <w:r w:rsidRPr="00D30AA9">
        <w:rPr>
          <w:rFonts w:ascii="Verdana" w:hAnsi="Verdana"/>
          <w:sz w:val="24"/>
          <w:szCs w:val="24"/>
        </w:rPr>
        <w:t xml:space="preserve">] In early January 2024 </w:t>
      </w:r>
      <w:proofErr w:type="spellStart"/>
      <w:r w:rsidRPr="00D30AA9">
        <w:rPr>
          <w:rFonts w:ascii="Verdana" w:hAnsi="Verdana"/>
          <w:sz w:val="24"/>
          <w:szCs w:val="24"/>
        </w:rPr>
        <w:t>FinSurv</w:t>
      </w:r>
      <w:proofErr w:type="spellEnd"/>
      <w:r w:rsidRPr="00D30AA9">
        <w:rPr>
          <w:rFonts w:ascii="Verdana" w:hAnsi="Verdana"/>
          <w:sz w:val="24"/>
          <w:szCs w:val="24"/>
        </w:rPr>
        <w:t xml:space="preserve"> informed Aldor’s new bankers, SBSA, that it has issued orders in terms of Regulation 22A and/ or 22C in respect of the bank accounts held by Aldor with </w:t>
      </w:r>
      <w:proofErr w:type="spellStart"/>
      <w:r w:rsidRPr="00D30AA9">
        <w:rPr>
          <w:rFonts w:ascii="Verdana" w:hAnsi="Verdana"/>
          <w:sz w:val="24"/>
          <w:szCs w:val="24"/>
        </w:rPr>
        <w:t>Sasfin</w:t>
      </w:r>
      <w:proofErr w:type="spellEnd"/>
      <w:r w:rsidRPr="00D30AA9">
        <w:rPr>
          <w:rFonts w:ascii="Verdana" w:hAnsi="Verdana"/>
          <w:sz w:val="24"/>
          <w:szCs w:val="24"/>
        </w:rPr>
        <w:t xml:space="preserve"> and SBSA, prohibiting Aldor from dealing with the funds held in the SBSA accounts</w:t>
      </w:r>
      <w:r w:rsidRPr="00D30AA9">
        <w:rPr>
          <w:rStyle w:val="FootnoteReference"/>
          <w:rFonts w:ascii="Verdana" w:hAnsi="Verdana"/>
          <w:sz w:val="24"/>
          <w:szCs w:val="24"/>
        </w:rPr>
        <w:footnoteReference w:id="3"/>
      </w:r>
      <w:r w:rsidRPr="00D30AA9">
        <w:rPr>
          <w:rFonts w:ascii="Verdana" w:hAnsi="Verdana"/>
          <w:sz w:val="24"/>
          <w:szCs w:val="24"/>
        </w:rPr>
        <w:t xml:space="preserve"> ; </w:t>
      </w:r>
    </w:p>
    <w:p w14:paraId="5288386D" w14:textId="77777777" w:rsidR="00D30AA9" w:rsidRPr="00D30AA9" w:rsidRDefault="00D30AA9" w:rsidP="00D30AA9">
      <w:pPr>
        <w:tabs>
          <w:tab w:val="left" w:pos="709"/>
        </w:tabs>
        <w:spacing w:before="360" w:after="240" w:line="480" w:lineRule="auto"/>
        <w:jc w:val="both"/>
        <w:rPr>
          <w:rFonts w:ascii="Verdana" w:hAnsi="Verdana"/>
          <w:sz w:val="24"/>
          <w:szCs w:val="24"/>
        </w:rPr>
      </w:pPr>
    </w:p>
    <w:p w14:paraId="4EE9821E" w14:textId="0DF87181" w:rsidR="00D30AA9" w:rsidRPr="00D30AA9" w:rsidRDefault="008E1A7D" w:rsidP="00D30AA9">
      <w:pPr>
        <w:tabs>
          <w:tab w:val="left" w:pos="709"/>
        </w:tabs>
        <w:spacing w:before="360" w:after="240" w:line="480" w:lineRule="auto"/>
        <w:jc w:val="both"/>
        <w:rPr>
          <w:rFonts w:ascii="Verdana" w:hAnsi="Verdana"/>
          <w:sz w:val="24"/>
          <w:szCs w:val="24"/>
        </w:rPr>
      </w:pPr>
      <w:r>
        <w:rPr>
          <w:rFonts w:ascii="Verdana" w:hAnsi="Verdana"/>
          <w:sz w:val="24"/>
          <w:szCs w:val="24"/>
        </w:rPr>
        <w:t>6</w:t>
      </w:r>
      <w:r w:rsidR="00D30AA9" w:rsidRPr="00D30AA9">
        <w:rPr>
          <w:rFonts w:ascii="Verdana" w:hAnsi="Verdana"/>
          <w:sz w:val="24"/>
          <w:szCs w:val="24"/>
        </w:rPr>
        <w:t xml:space="preserve">] </w:t>
      </w:r>
      <w:proofErr w:type="spellStart"/>
      <w:r w:rsidR="00D30AA9" w:rsidRPr="00D30AA9">
        <w:rPr>
          <w:rFonts w:ascii="Verdana" w:hAnsi="Verdana"/>
          <w:sz w:val="24"/>
          <w:szCs w:val="24"/>
        </w:rPr>
        <w:t>Mr</w:t>
      </w:r>
      <w:proofErr w:type="spellEnd"/>
      <w:r w:rsidR="00D30AA9" w:rsidRPr="00D30AA9">
        <w:rPr>
          <w:rFonts w:ascii="Verdana" w:hAnsi="Verdana"/>
          <w:sz w:val="24"/>
          <w:szCs w:val="24"/>
        </w:rPr>
        <w:t xml:space="preserve"> Soria or Aldor attempted to contact </w:t>
      </w:r>
      <w:proofErr w:type="spellStart"/>
      <w:r w:rsidR="00D30AA9" w:rsidRPr="00D30AA9">
        <w:rPr>
          <w:rFonts w:ascii="Verdana" w:hAnsi="Verdana"/>
          <w:sz w:val="24"/>
          <w:szCs w:val="24"/>
        </w:rPr>
        <w:t>Mr</w:t>
      </w:r>
      <w:proofErr w:type="spellEnd"/>
      <w:r w:rsidR="00D30AA9" w:rsidRPr="00D30AA9">
        <w:rPr>
          <w:rFonts w:ascii="Verdana" w:hAnsi="Verdana"/>
          <w:sz w:val="24"/>
          <w:szCs w:val="24"/>
        </w:rPr>
        <w:t xml:space="preserve"> Minnie on 5 January, without success.</w:t>
      </w:r>
      <w:r w:rsidR="00D30AA9" w:rsidRPr="00D30AA9">
        <w:rPr>
          <w:rStyle w:val="FootnoteReference"/>
          <w:rFonts w:ascii="Verdana" w:hAnsi="Verdana"/>
          <w:sz w:val="24"/>
          <w:szCs w:val="24"/>
        </w:rPr>
        <w:footnoteReference w:id="4"/>
      </w:r>
      <w:r w:rsidR="00D30AA9" w:rsidRPr="00D30AA9">
        <w:rPr>
          <w:rFonts w:ascii="Verdana" w:hAnsi="Verdana"/>
          <w:sz w:val="24"/>
          <w:szCs w:val="24"/>
        </w:rPr>
        <w:t xml:space="preserve">  </w:t>
      </w:r>
    </w:p>
    <w:p w14:paraId="6F318E8A" w14:textId="77777777" w:rsidR="00D30AA9" w:rsidRPr="00D30AA9" w:rsidRDefault="00D30AA9" w:rsidP="00D30AA9">
      <w:pPr>
        <w:tabs>
          <w:tab w:val="left" w:pos="709"/>
        </w:tabs>
        <w:spacing w:before="360" w:after="240" w:line="480" w:lineRule="auto"/>
        <w:jc w:val="both"/>
        <w:rPr>
          <w:rFonts w:ascii="Verdana" w:hAnsi="Verdana"/>
          <w:sz w:val="24"/>
          <w:szCs w:val="24"/>
        </w:rPr>
      </w:pPr>
    </w:p>
    <w:p w14:paraId="5B363593" w14:textId="09843B2D" w:rsidR="00D30AA9" w:rsidRPr="00D30AA9" w:rsidRDefault="008E1A7D" w:rsidP="00D30AA9">
      <w:pPr>
        <w:tabs>
          <w:tab w:val="left" w:pos="709"/>
        </w:tabs>
        <w:spacing w:before="360" w:after="240" w:line="480" w:lineRule="auto"/>
        <w:jc w:val="both"/>
        <w:rPr>
          <w:rFonts w:ascii="Verdana" w:hAnsi="Verdana"/>
          <w:sz w:val="24"/>
          <w:szCs w:val="24"/>
        </w:rPr>
      </w:pPr>
      <w:r>
        <w:rPr>
          <w:rFonts w:ascii="Verdana" w:hAnsi="Verdana"/>
          <w:sz w:val="24"/>
          <w:szCs w:val="24"/>
        </w:rPr>
        <w:t>7</w:t>
      </w:r>
      <w:r w:rsidR="00D30AA9" w:rsidRPr="00D30AA9">
        <w:rPr>
          <w:rFonts w:ascii="Verdana" w:hAnsi="Verdana"/>
          <w:sz w:val="24"/>
          <w:szCs w:val="24"/>
        </w:rPr>
        <w:t xml:space="preserve">] On 9 January 2024 CDH on behalf of Aldor held a telephonic discussion with </w:t>
      </w:r>
      <w:proofErr w:type="spellStart"/>
      <w:r w:rsidR="00D30AA9" w:rsidRPr="00D30AA9">
        <w:rPr>
          <w:rFonts w:ascii="Verdana" w:hAnsi="Verdana"/>
          <w:sz w:val="24"/>
          <w:szCs w:val="24"/>
        </w:rPr>
        <w:t>Mr</w:t>
      </w:r>
      <w:proofErr w:type="spellEnd"/>
      <w:r w:rsidR="00D30AA9" w:rsidRPr="00D30AA9">
        <w:rPr>
          <w:rFonts w:ascii="Verdana" w:hAnsi="Verdana"/>
          <w:sz w:val="24"/>
          <w:szCs w:val="24"/>
        </w:rPr>
        <w:t xml:space="preserve"> Minnie of </w:t>
      </w:r>
      <w:proofErr w:type="spellStart"/>
      <w:r w:rsidR="00D30AA9" w:rsidRPr="00D30AA9">
        <w:rPr>
          <w:rFonts w:ascii="Verdana" w:hAnsi="Verdana"/>
          <w:sz w:val="24"/>
          <w:szCs w:val="24"/>
        </w:rPr>
        <w:t>FinSurv</w:t>
      </w:r>
      <w:proofErr w:type="spellEnd"/>
      <w:r w:rsidR="00D30AA9" w:rsidRPr="00D30AA9">
        <w:rPr>
          <w:rFonts w:ascii="Verdana" w:hAnsi="Verdana"/>
          <w:sz w:val="24"/>
          <w:szCs w:val="24"/>
        </w:rPr>
        <w:t xml:space="preserve"> and followed this up with a letter, recording that:</w:t>
      </w:r>
    </w:p>
    <w:p w14:paraId="49B2228A" w14:textId="77777777" w:rsidR="00D30AA9" w:rsidRPr="00D30AA9" w:rsidRDefault="00D30AA9" w:rsidP="00D30AA9">
      <w:pPr>
        <w:tabs>
          <w:tab w:val="left" w:pos="709"/>
        </w:tabs>
        <w:spacing w:before="360" w:after="240" w:line="480" w:lineRule="auto"/>
        <w:jc w:val="both"/>
        <w:rPr>
          <w:rFonts w:ascii="Verdana" w:hAnsi="Verdana"/>
          <w:sz w:val="24"/>
          <w:szCs w:val="24"/>
        </w:rPr>
      </w:pPr>
    </w:p>
    <w:p w14:paraId="51E3F5AD" w14:textId="71726E6C" w:rsidR="00D30AA9" w:rsidRPr="00D30AA9" w:rsidRDefault="008E1A7D" w:rsidP="00D30AA9">
      <w:pPr>
        <w:tabs>
          <w:tab w:val="left" w:pos="709"/>
        </w:tabs>
        <w:spacing w:before="360" w:after="240" w:line="480" w:lineRule="auto"/>
        <w:jc w:val="both"/>
        <w:rPr>
          <w:rFonts w:ascii="Verdana" w:hAnsi="Verdana"/>
          <w:sz w:val="24"/>
          <w:szCs w:val="24"/>
        </w:rPr>
      </w:pPr>
      <w:r>
        <w:rPr>
          <w:rFonts w:ascii="Verdana" w:hAnsi="Verdana"/>
          <w:sz w:val="24"/>
          <w:szCs w:val="24"/>
        </w:rPr>
        <w:t>7</w:t>
      </w:r>
      <w:r w:rsidR="00D30AA9" w:rsidRPr="00D30AA9">
        <w:rPr>
          <w:rFonts w:ascii="Verdana" w:hAnsi="Verdana"/>
          <w:sz w:val="24"/>
          <w:szCs w:val="24"/>
        </w:rPr>
        <w:t xml:space="preserve">.1 the blocking order was interim in nature, pending the </w:t>
      </w:r>
      <w:proofErr w:type="spellStart"/>
      <w:r w:rsidR="00D30AA9" w:rsidRPr="00D30AA9">
        <w:rPr>
          <w:rFonts w:ascii="Verdana" w:hAnsi="Verdana"/>
          <w:sz w:val="24"/>
          <w:szCs w:val="24"/>
        </w:rPr>
        <w:t>finalisation</w:t>
      </w:r>
      <w:proofErr w:type="spellEnd"/>
      <w:r w:rsidR="00D30AA9" w:rsidRPr="00D30AA9">
        <w:rPr>
          <w:rFonts w:ascii="Verdana" w:hAnsi="Verdana"/>
          <w:sz w:val="24"/>
          <w:szCs w:val="24"/>
        </w:rPr>
        <w:t xml:space="preserve"> of </w:t>
      </w:r>
      <w:proofErr w:type="spellStart"/>
      <w:r w:rsidR="00D30AA9" w:rsidRPr="00D30AA9">
        <w:rPr>
          <w:rFonts w:ascii="Verdana" w:hAnsi="Verdana"/>
          <w:sz w:val="24"/>
          <w:szCs w:val="24"/>
        </w:rPr>
        <w:t>FinSurv’s</w:t>
      </w:r>
      <w:proofErr w:type="spellEnd"/>
      <w:r w:rsidR="00D30AA9" w:rsidRPr="00D30AA9">
        <w:rPr>
          <w:rFonts w:ascii="Verdana" w:hAnsi="Verdana"/>
          <w:sz w:val="24"/>
          <w:szCs w:val="24"/>
        </w:rPr>
        <w:t xml:space="preserve"> investigations and that it has and will continue to have severely adverse consequences for Aldor. In consequence, Aldor requested that the blocked funds be placed into a special account so that other accounts held </w:t>
      </w:r>
      <w:r w:rsidR="00D30AA9" w:rsidRPr="00D30AA9">
        <w:rPr>
          <w:rFonts w:ascii="Verdana" w:hAnsi="Verdana"/>
          <w:sz w:val="24"/>
          <w:szCs w:val="24"/>
        </w:rPr>
        <w:lastRenderedPageBreak/>
        <w:t xml:space="preserve">with SARB could be </w:t>
      </w:r>
      <w:proofErr w:type="spellStart"/>
      <w:r w:rsidR="00D30AA9" w:rsidRPr="00D30AA9">
        <w:rPr>
          <w:rFonts w:ascii="Verdana" w:hAnsi="Verdana"/>
          <w:sz w:val="24"/>
          <w:szCs w:val="24"/>
        </w:rPr>
        <w:t>utilised</w:t>
      </w:r>
      <w:proofErr w:type="spellEnd"/>
      <w:r w:rsidR="00D30AA9" w:rsidRPr="00D30AA9">
        <w:rPr>
          <w:rFonts w:ascii="Verdana" w:hAnsi="Verdana"/>
          <w:sz w:val="24"/>
          <w:szCs w:val="24"/>
        </w:rPr>
        <w:t xml:space="preserve"> for receiving payments from customers and making payments to local suppliers;</w:t>
      </w:r>
      <w:r w:rsidR="00D30AA9" w:rsidRPr="00D30AA9">
        <w:rPr>
          <w:rStyle w:val="FootnoteReference"/>
          <w:rFonts w:ascii="Verdana" w:hAnsi="Verdana"/>
          <w:sz w:val="24"/>
          <w:szCs w:val="24"/>
        </w:rPr>
        <w:footnoteReference w:id="5"/>
      </w:r>
      <w:r w:rsidR="00D30AA9" w:rsidRPr="00D30AA9">
        <w:rPr>
          <w:rFonts w:ascii="Verdana" w:hAnsi="Verdana"/>
          <w:sz w:val="24"/>
          <w:szCs w:val="24"/>
        </w:rPr>
        <w:t xml:space="preserve"> </w:t>
      </w:r>
    </w:p>
    <w:p w14:paraId="3154DD1E" w14:textId="77777777" w:rsidR="00D30AA9" w:rsidRPr="00D30AA9" w:rsidRDefault="00D30AA9" w:rsidP="00D30AA9">
      <w:pPr>
        <w:tabs>
          <w:tab w:val="left" w:pos="709"/>
        </w:tabs>
        <w:spacing w:before="360" w:after="240" w:line="480" w:lineRule="auto"/>
        <w:jc w:val="both"/>
        <w:rPr>
          <w:rFonts w:ascii="Verdana" w:hAnsi="Verdana"/>
          <w:sz w:val="24"/>
          <w:szCs w:val="24"/>
        </w:rPr>
      </w:pPr>
      <w:r w:rsidRPr="00D30AA9">
        <w:rPr>
          <w:rFonts w:ascii="Verdana" w:hAnsi="Verdana"/>
          <w:sz w:val="24"/>
          <w:szCs w:val="24"/>
        </w:rPr>
        <w:t xml:space="preserve"> </w:t>
      </w:r>
    </w:p>
    <w:p w14:paraId="1FB397A0" w14:textId="3C9126E7" w:rsidR="00D30AA9" w:rsidRDefault="008E1A7D" w:rsidP="00D30AA9">
      <w:pPr>
        <w:tabs>
          <w:tab w:val="left" w:pos="709"/>
        </w:tabs>
        <w:spacing w:before="360" w:after="240" w:line="480" w:lineRule="auto"/>
        <w:jc w:val="both"/>
        <w:rPr>
          <w:rFonts w:ascii="Verdana" w:hAnsi="Verdana"/>
          <w:sz w:val="24"/>
          <w:szCs w:val="24"/>
        </w:rPr>
      </w:pPr>
      <w:r>
        <w:rPr>
          <w:rFonts w:ascii="Verdana" w:hAnsi="Verdana"/>
          <w:sz w:val="24"/>
          <w:szCs w:val="24"/>
        </w:rPr>
        <w:t>7</w:t>
      </w:r>
      <w:r w:rsidR="00D30AA9" w:rsidRPr="00D30AA9">
        <w:rPr>
          <w:rFonts w:ascii="Verdana" w:hAnsi="Verdana"/>
          <w:sz w:val="24"/>
          <w:szCs w:val="24"/>
        </w:rPr>
        <w:t xml:space="preserve">.2 </w:t>
      </w:r>
      <w:proofErr w:type="spellStart"/>
      <w:r w:rsidR="00D30AA9" w:rsidRPr="00D30AA9">
        <w:rPr>
          <w:rFonts w:ascii="Verdana" w:hAnsi="Verdana"/>
          <w:sz w:val="24"/>
          <w:szCs w:val="24"/>
        </w:rPr>
        <w:t>FinSurv</w:t>
      </w:r>
      <w:proofErr w:type="spellEnd"/>
      <w:r w:rsidR="00D30AA9" w:rsidRPr="00D30AA9">
        <w:rPr>
          <w:rFonts w:ascii="Verdana" w:hAnsi="Verdana"/>
          <w:sz w:val="24"/>
          <w:szCs w:val="24"/>
        </w:rPr>
        <w:t xml:space="preserve"> acceded to this request </w:t>
      </w:r>
      <w:proofErr w:type="gramStart"/>
      <w:r w:rsidR="00D30AA9" w:rsidRPr="00D30AA9">
        <w:rPr>
          <w:rFonts w:ascii="Verdana" w:hAnsi="Verdana"/>
          <w:sz w:val="24"/>
          <w:szCs w:val="24"/>
        </w:rPr>
        <w:t>and also</w:t>
      </w:r>
      <w:proofErr w:type="gramEnd"/>
      <w:r w:rsidR="00D30AA9" w:rsidRPr="00D30AA9">
        <w:rPr>
          <w:rFonts w:ascii="Verdana" w:hAnsi="Verdana"/>
          <w:sz w:val="24"/>
          <w:szCs w:val="24"/>
        </w:rPr>
        <w:t xml:space="preserve"> indicated that although the stipulated period for the investigation is 36 months, </w:t>
      </w:r>
      <w:proofErr w:type="spellStart"/>
      <w:r w:rsidR="00D30AA9" w:rsidRPr="00D30AA9">
        <w:rPr>
          <w:rFonts w:ascii="Verdana" w:hAnsi="Verdana"/>
          <w:sz w:val="24"/>
          <w:szCs w:val="24"/>
        </w:rPr>
        <w:t>FinSurv</w:t>
      </w:r>
      <w:proofErr w:type="spellEnd"/>
      <w:r w:rsidR="00D30AA9" w:rsidRPr="00D30AA9">
        <w:rPr>
          <w:rFonts w:ascii="Verdana" w:hAnsi="Verdana"/>
          <w:sz w:val="24"/>
          <w:szCs w:val="24"/>
        </w:rPr>
        <w:t xml:space="preserve"> would </w:t>
      </w:r>
      <w:proofErr w:type="spellStart"/>
      <w:r w:rsidR="00D30AA9" w:rsidRPr="00D30AA9">
        <w:rPr>
          <w:rFonts w:ascii="Verdana" w:hAnsi="Verdana"/>
          <w:sz w:val="24"/>
          <w:szCs w:val="24"/>
        </w:rPr>
        <w:t>endeavour</w:t>
      </w:r>
      <w:proofErr w:type="spellEnd"/>
      <w:r w:rsidR="00D30AA9" w:rsidRPr="00D30AA9">
        <w:rPr>
          <w:rFonts w:ascii="Verdana" w:hAnsi="Verdana"/>
          <w:sz w:val="24"/>
          <w:szCs w:val="24"/>
        </w:rPr>
        <w:t xml:space="preserve"> to issue its findings in a far shorter period.</w:t>
      </w:r>
    </w:p>
    <w:p w14:paraId="09A070FC" w14:textId="77777777" w:rsidR="008E1A7D" w:rsidRPr="00D30AA9" w:rsidRDefault="008E1A7D" w:rsidP="00D30AA9">
      <w:pPr>
        <w:tabs>
          <w:tab w:val="left" w:pos="709"/>
        </w:tabs>
        <w:spacing w:before="360" w:after="240" w:line="480" w:lineRule="auto"/>
        <w:jc w:val="both"/>
        <w:rPr>
          <w:rFonts w:ascii="Verdana" w:hAnsi="Verdana"/>
          <w:sz w:val="24"/>
          <w:szCs w:val="24"/>
        </w:rPr>
      </w:pPr>
    </w:p>
    <w:p w14:paraId="47CC92CA" w14:textId="5748E942" w:rsidR="00D30AA9" w:rsidRDefault="008E1A7D" w:rsidP="00D30AA9">
      <w:pPr>
        <w:tabs>
          <w:tab w:val="left" w:pos="709"/>
        </w:tabs>
        <w:spacing w:before="360" w:after="240" w:line="480" w:lineRule="auto"/>
        <w:jc w:val="both"/>
        <w:rPr>
          <w:rFonts w:ascii="Verdana" w:hAnsi="Verdana"/>
          <w:sz w:val="24"/>
          <w:szCs w:val="24"/>
        </w:rPr>
      </w:pPr>
      <w:r>
        <w:rPr>
          <w:rFonts w:ascii="Verdana" w:hAnsi="Verdana"/>
          <w:sz w:val="24"/>
          <w:szCs w:val="24"/>
        </w:rPr>
        <w:t>7</w:t>
      </w:r>
      <w:r w:rsidR="00D30AA9" w:rsidRPr="00D30AA9">
        <w:rPr>
          <w:rFonts w:ascii="Verdana" w:hAnsi="Verdana"/>
          <w:sz w:val="24"/>
          <w:szCs w:val="24"/>
        </w:rPr>
        <w:t xml:space="preserve">.3 On 12 January 2024 </w:t>
      </w:r>
      <w:proofErr w:type="spellStart"/>
      <w:r w:rsidR="00D30AA9" w:rsidRPr="00D30AA9">
        <w:rPr>
          <w:rFonts w:ascii="Verdana" w:hAnsi="Verdana"/>
          <w:sz w:val="24"/>
          <w:szCs w:val="24"/>
        </w:rPr>
        <w:t>Mr</w:t>
      </w:r>
      <w:proofErr w:type="spellEnd"/>
      <w:r w:rsidR="00D30AA9" w:rsidRPr="00D30AA9">
        <w:rPr>
          <w:rFonts w:ascii="Verdana" w:hAnsi="Verdana"/>
          <w:sz w:val="24"/>
          <w:szCs w:val="24"/>
        </w:rPr>
        <w:t xml:space="preserve"> Minnie of </w:t>
      </w:r>
      <w:proofErr w:type="spellStart"/>
      <w:r w:rsidR="00D30AA9" w:rsidRPr="00D30AA9">
        <w:rPr>
          <w:rFonts w:ascii="Verdana" w:hAnsi="Verdana"/>
          <w:sz w:val="24"/>
          <w:szCs w:val="24"/>
        </w:rPr>
        <w:t>FinSurv</w:t>
      </w:r>
      <w:proofErr w:type="spellEnd"/>
      <w:r w:rsidR="00D30AA9" w:rsidRPr="00D30AA9">
        <w:rPr>
          <w:rFonts w:ascii="Verdana" w:hAnsi="Verdana"/>
          <w:sz w:val="24"/>
          <w:szCs w:val="24"/>
        </w:rPr>
        <w:t xml:space="preserve"> addressed correspondence to SBSA, advising that certain accounts could be unblocked (so as to allow payment from local customers to be received) but also that the blocked amount of R56 million (which accounts for all of Aldor’s reserves) would remain blocked, that Aldor may not be granted permission to do any advance import payments and that all other cross border transactions in which Aldor wished to engage had to obtain </w:t>
      </w:r>
      <w:proofErr w:type="spellStart"/>
      <w:r w:rsidR="00D30AA9" w:rsidRPr="00D30AA9">
        <w:rPr>
          <w:rFonts w:ascii="Verdana" w:hAnsi="Verdana"/>
          <w:sz w:val="24"/>
          <w:szCs w:val="24"/>
        </w:rPr>
        <w:t>FinSurv’s</w:t>
      </w:r>
      <w:proofErr w:type="spellEnd"/>
      <w:r w:rsidR="00D30AA9" w:rsidRPr="00D30AA9">
        <w:rPr>
          <w:rFonts w:ascii="Verdana" w:hAnsi="Verdana"/>
          <w:sz w:val="24"/>
          <w:szCs w:val="24"/>
        </w:rPr>
        <w:t xml:space="preserve"> prior approval</w:t>
      </w:r>
      <w:r w:rsidR="00D30AA9">
        <w:rPr>
          <w:rFonts w:ascii="Verdana" w:hAnsi="Verdana"/>
          <w:sz w:val="24"/>
          <w:szCs w:val="24"/>
        </w:rPr>
        <w:t>;</w:t>
      </w:r>
      <w:r w:rsidR="00D30AA9" w:rsidRPr="00D30AA9">
        <w:rPr>
          <w:rStyle w:val="FootnoteReference"/>
          <w:rFonts w:ascii="Verdana" w:hAnsi="Verdana"/>
          <w:sz w:val="24"/>
          <w:szCs w:val="24"/>
        </w:rPr>
        <w:footnoteReference w:id="6"/>
      </w:r>
      <w:r w:rsidR="00D30AA9" w:rsidRPr="00D30AA9">
        <w:rPr>
          <w:rFonts w:ascii="Verdana" w:hAnsi="Verdana"/>
          <w:sz w:val="24"/>
          <w:szCs w:val="24"/>
        </w:rPr>
        <w:t xml:space="preserve"> </w:t>
      </w:r>
    </w:p>
    <w:p w14:paraId="0E283C08" w14:textId="77777777" w:rsidR="00D30AA9" w:rsidRPr="00D30AA9" w:rsidRDefault="00D30AA9" w:rsidP="00D30AA9">
      <w:pPr>
        <w:tabs>
          <w:tab w:val="left" w:pos="709"/>
        </w:tabs>
        <w:spacing w:before="360" w:after="240" w:line="480" w:lineRule="auto"/>
        <w:jc w:val="both"/>
        <w:rPr>
          <w:rFonts w:ascii="Verdana" w:hAnsi="Verdana"/>
          <w:sz w:val="24"/>
          <w:szCs w:val="24"/>
        </w:rPr>
      </w:pPr>
      <w:r w:rsidRPr="00D30AA9">
        <w:rPr>
          <w:rFonts w:ascii="Verdana" w:hAnsi="Verdana"/>
          <w:sz w:val="24"/>
          <w:szCs w:val="24"/>
        </w:rPr>
        <w:t xml:space="preserve"> </w:t>
      </w:r>
    </w:p>
    <w:p w14:paraId="3893C0EB" w14:textId="454250B5" w:rsidR="00D30AA9" w:rsidRDefault="008E1A7D" w:rsidP="00D30AA9">
      <w:pPr>
        <w:tabs>
          <w:tab w:val="left" w:pos="709"/>
        </w:tabs>
        <w:spacing w:before="360" w:after="240" w:line="480" w:lineRule="auto"/>
        <w:jc w:val="both"/>
        <w:rPr>
          <w:rFonts w:ascii="Verdana" w:hAnsi="Verdana"/>
          <w:sz w:val="24"/>
          <w:szCs w:val="24"/>
        </w:rPr>
      </w:pPr>
      <w:r>
        <w:rPr>
          <w:rFonts w:ascii="Verdana" w:hAnsi="Verdana"/>
          <w:sz w:val="24"/>
          <w:szCs w:val="24"/>
        </w:rPr>
        <w:t>7</w:t>
      </w:r>
      <w:r w:rsidR="00D30AA9" w:rsidRPr="00D30AA9">
        <w:rPr>
          <w:rFonts w:ascii="Verdana" w:hAnsi="Verdana"/>
          <w:sz w:val="24"/>
          <w:szCs w:val="24"/>
        </w:rPr>
        <w:t xml:space="preserve">.4 On 16 January 2024, CDH enquired when </w:t>
      </w:r>
      <w:proofErr w:type="spellStart"/>
      <w:r w:rsidR="00D30AA9" w:rsidRPr="00D30AA9">
        <w:rPr>
          <w:rFonts w:ascii="Verdana" w:hAnsi="Verdana"/>
          <w:sz w:val="24"/>
          <w:szCs w:val="24"/>
        </w:rPr>
        <w:t>FinSurv</w:t>
      </w:r>
      <w:proofErr w:type="spellEnd"/>
      <w:r w:rsidR="00D30AA9" w:rsidRPr="00D30AA9">
        <w:rPr>
          <w:rFonts w:ascii="Verdana" w:hAnsi="Verdana"/>
          <w:sz w:val="24"/>
          <w:szCs w:val="24"/>
        </w:rPr>
        <w:t xml:space="preserve"> would provide its questions for the purposes of investigation. CDH did so on the back of the agreement with </w:t>
      </w:r>
      <w:proofErr w:type="spellStart"/>
      <w:r w:rsidR="00D30AA9" w:rsidRPr="00D30AA9">
        <w:rPr>
          <w:rFonts w:ascii="Verdana" w:hAnsi="Verdana"/>
          <w:sz w:val="24"/>
          <w:szCs w:val="24"/>
        </w:rPr>
        <w:t>Mr</w:t>
      </w:r>
      <w:proofErr w:type="spellEnd"/>
      <w:r w:rsidR="00D30AA9" w:rsidRPr="00D30AA9">
        <w:rPr>
          <w:rFonts w:ascii="Verdana" w:hAnsi="Verdana"/>
          <w:sz w:val="24"/>
          <w:szCs w:val="24"/>
        </w:rPr>
        <w:t xml:space="preserve"> Minnie that the investigation would be progressed </w:t>
      </w:r>
      <w:r w:rsidR="00D30AA9" w:rsidRPr="00D30AA9">
        <w:rPr>
          <w:rFonts w:ascii="Verdana" w:hAnsi="Verdana"/>
          <w:sz w:val="24"/>
          <w:szCs w:val="24"/>
        </w:rPr>
        <w:lastRenderedPageBreak/>
        <w:t xml:space="preserve">quickly and </w:t>
      </w:r>
      <w:proofErr w:type="spellStart"/>
      <w:r w:rsidR="00D30AA9" w:rsidRPr="00D30AA9">
        <w:rPr>
          <w:rFonts w:ascii="Verdana" w:hAnsi="Verdana"/>
          <w:sz w:val="24"/>
          <w:szCs w:val="24"/>
        </w:rPr>
        <w:t>finalised</w:t>
      </w:r>
      <w:proofErr w:type="spellEnd"/>
      <w:r w:rsidR="00D30AA9" w:rsidRPr="00D30AA9">
        <w:rPr>
          <w:rFonts w:ascii="Verdana" w:hAnsi="Verdana"/>
          <w:sz w:val="24"/>
          <w:szCs w:val="24"/>
        </w:rPr>
        <w:t xml:space="preserve"> as soon as possible, so that the blocking and moratorium directives could be removed</w:t>
      </w:r>
      <w:r w:rsidR="00D30AA9">
        <w:rPr>
          <w:rFonts w:ascii="Verdana" w:hAnsi="Verdana"/>
          <w:sz w:val="24"/>
          <w:szCs w:val="24"/>
        </w:rPr>
        <w:t>;</w:t>
      </w:r>
      <w:r w:rsidR="00D30AA9" w:rsidRPr="00D30AA9">
        <w:rPr>
          <w:rStyle w:val="FootnoteReference"/>
          <w:rFonts w:ascii="Verdana" w:hAnsi="Verdana"/>
          <w:sz w:val="24"/>
          <w:szCs w:val="24"/>
        </w:rPr>
        <w:footnoteReference w:id="7"/>
      </w:r>
      <w:r w:rsidR="00D30AA9" w:rsidRPr="00D30AA9">
        <w:rPr>
          <w:rFonts w:ascii="Verdana" w:hAnsi="Verdana"/>
          <w:sz w:val="24"/>
          <w:szCs w:val="24"/>
        </w:rPr>
        <w:t xml:space="preserve"> </w:t>
      </w:r>
    </w:p>
    <w:p w14:paraId="175CD230" w14:textId="77777777" w:rsidR="00D30AA9" w:rsidRPr="00D30AA9" w:rsidRDefault="00D30AA9" w:rsidP="00D30AA9">
      <w:pPr>
        <w:tabs>
          <w:tab w:val="left" w:pos="709"/>
        </w:tabs>
        <w:spacing w:before="360" w:after="240" w:line="480" w:lineRule="auto"/>
        <w:jc w:val="both"/>
        <w:rPr>
          <w:rFonts w:ascii="Verdana" w:hAnsi="Verdana"/>
          <w:sz w:val="24"/>
          <w:szCs w:val="24"/>
        </w:rPr>
      </w:pPr>
      <w:r w:rsidRPr="00D30AA9">
        <w:rPr>
          <w:rFonts w:ascii="Verdana" w:hAnsi="Verdana"/>
          <w:sz w:val="24"/>
          <w:szCs w:val="24"/>
        </w:rPr>
        <w:t xml:space="preserve"> </w:t>
      </w:r>
    </w:p>
    <w:p w14:paraId="5EF8349B" w14:textId="0EC0223A" w:rsidR="00D30AA9" w:rsidRDefault="008E1A7D" w:rsidP="00D30AA9">
      <w:pPr>
        <w:tabs>
          <w:tab w:val="left" w:pos="709"/>
        </w:tabs>
        <w:spacing w:before="360" w:after="240" w:line="480" w:lineRule="auto"/>
        <w:jc w:val="both"/>
        <w:rPr>
          <w:rFonts w:ascii="Verdana" w:hAnsi="Verdana"/>
          <w:sz w:val="24"/>
          <w:szCs w:val="24"/>
        </w:rPr>
      </w:pPr>
      <w:r>
        <w:rPr>
          <w:rFonts w:ascii="Verdana" w:hAnsi="Verdana"/>
          <w:sz w:val="24"/>
          <w:szCs w:val="24"/>
        </w:rPr>
        <w:t>7</w:t>
      </w:r>
      <w:r w:rsidR="00D30AA9" w:rsidRPr="00D30AA9">
        <w:rPr>
          <w:rFonts w:ascii="Verdana" w:hAnsi="Verdana"/>
          <w:sz w:val="24"/>
          <w:szCs w:val="24"/>
        </w:rPr>
        <w:t xml:space="preserve">.5 On 13 February 2024, CDH, on behalf of Aldor, submitted a comprehensive exchange control application (as had been agreed with </w:t>
      </w:r>
      <w:proofErr w:type="spellStart"/>
      <w:r w:rsidR="00D30AA9" w:rsidRPr="00D30AA9">
        <w:rPr>
          <w:rFonts w:ascii="Verdana" w:hAnsi="Verdana"/>
          <w:sz w:val="24"/>
          <w:szCs w:val="24"/>
        </w:rPr>
        <w:t>FinSurv</w:t>
      </w:r>
      <w:proofErr w:type="spellEnd"/>
      <w:r w:rsidR="00D30AA9" w:rsidRPr="00D30AA9">
        <w:rPr>
          <w:rFonts w:ascii="Verdana" w:hAnsi="Verdana"/>
          <w:sz w:val="24"/>
          <w:szCs w:val="24"/>
        </w:rPr>
        <w:t xml:space="preserve">). It detailed the </w:t>
      </w:r>
      <w:proofErr w:type="gramStart"/>
      <w:r w:rsidR="00D30AA9" w:rsidRPr="00D30AA9">
        <w:rPr>
          <w:rFonts w:ascii="Verdana" w:hAnsi="Verdana"/>
          <w:sz w:val="24"/>
          <w:szCs w:val="24"/>
        </w:rPr>
        <w:t>cross border</w:t>
      </w:r>
      <w:proofErr w:type="gramEnd"/>
      <w:r w:rsidR="00D30AA9" w:rsidRPr="00D30AA9">
        <w:rPr>
          <w:rFonts w:ascii="Verdana" w:hAnsi="Verdana"/>
          <w:sz w:val="24"/>
          <w:szCs w:val="24"/>
        </w:rPr>
        <w:t xml:space="preserve"> transactions in respect of which Aldor was required to make payments in order to carry on conducting its business</w:t>
      </w:r>
      <w:r w:rsidR="00D30AA9" w:rsidRPr="00D30AA9">
        <w:rPr>
          <w:rStyle w:val="FootnoteReference"/>
          <w:rFonts w:ascii="Verdana" w:hAnsi="Verdana"/>
          <w:sz w:val="24"/>
          <w:szCs w:val="24"/>
        </w:rPr>
        <w:footnoteReference w:id="8"/>
      </w:r>
      <w:r w:rsidR="00D30AA9" w:rsidRPr="00D30AA9">
        <w:rPr>
          <w:rFonts w:ascii="Verdana" w:hAnsi="Verdana"/>
          <w:sz w:val="24"/>
          <w:szCs w:val="24"/>
        </w:rPr>
        <w:t xml:space="preserve">  and recorded that it would be impossible for Aldor to continue in operation unless the exchange control application was continued on an urgent basis; </w:t>
      </w:r>
    </w:p>
    <w:p w14:paraId="73070ED9" w14:textId="77777777" w:rsidR="00D30AA9" w:rsidRPr="00D30AA9" w:rsidRDefault="00D30AA9" w:rsidP="00D30AA9">
      <w:pPr>
        <w:tabs>
          <w:tab w:val="left" w:pos="709"/>
        </w:tabs>
        <w:spacing w:before="360" w:after="240" w:line="480" w:lineRule="auto"/>
        <w:jc w:val="both"/>
        <w:rPr>
          <w:rFonts w:ascii="Verdana" w:hAnsi="Verdana"/>
          <w:sz w:val="24"/>
          <w:szCs w:val="24"/>
        </w:rPr>
      </w:pPr>
    </w:p>
    <w:p w14:paraId="70D1944A" w14:textId="084FF054" w:rsidR="00D30AA9" w:rsidRPr="00D30AA9" w:rsidRDefault="008E1A7D" w:rsidP="00D30AA9">
      <w:pPr>
        <w:tabs>
          <w:tab w:val="left" w:pos="709"/>
        </w:tabs>
        <w:spacing w:before="360" w:after="240" w:line="480" w:lineRule="auto"/>
        <w:jc w:val="both"/>
        <w:rPr>
          <w:rFonts w:ascii="Verdana" w:hAnsi="Verdana"/>
          <w:sz w:val="24"/>
          <w:szCs w:val="24"/>
        </w:rPr>
      </w:pPr>
      <w:r>
        <w:rPr>
          <w:rFonts w:ascii="Verdana" w:hAnsi="Verdana"/>
          <w:sz w:val="24"/>
          <w:szCs w:val="24"/>
        </w:rPr>
        <w:t>7</w:t>
      </w:r>
      <w:r w:rsidR="00D30AA9" w:rsidRPr="00D30AA9">
        <w:rPr>
          <w:rFonts w:ascii="Verdana" w:hAnsi="Verdana"/>
          <w:sz w:val="24"/>
          <w:szCs w:val="24"/>
        </w:rPr>
        <w:t xml:space="preserve">.6 By 14 February, no questions had been received from </w:t>
      </w:r>
      <w:proofErr w:type="spellStart"/>
      <w:r w:rsidR="00D30AA9" w:rsidRPr="00D30AA9">
        <w:rPr>
          <w:rFonts w:ascii="Verdana" w:hAnsi="Verdana"/>
          <w:sz w:val="24"/>
          <w:szCs w:val="24"/>
        </w:rPr>
        <w:t>FinSurv</w:t>
      </w:r>
      <w:proofErr w:type="spellEnd"/>
      <w:r w:rsidR="00D30AA9" w:rsidRPr="00D30AA9">
        <w:rPr>
          <w:rFonts w:ascii="Verdana" w:hAnsi="Verdana"/>
          <w:sz w:val="24"/>
          <w:szCs w:val="24"/>
        </w:rPr>
        <w:t xml:space="preserve"> and CDH again wrote to </w:t>
      </w:r>
      <w:proofErr w:type="spellStart"/>
      <w:r w:rsidR="00D30AA9" w:rsidRPr="00D30AA9">
        <w:rPr>
          <w:rFonts w:ascii="Verdana" w:hAnsi="Verdana"/>
          <w:sz w:val="24"/>
          <w:szCs w:val="24"/>
        </w:rPr>
        <w:t>Mr</w:t>
      </w:r>
      <w:proofErr w:type="spellEnd"/>
      <w:r w:rsidR="00D30AA9" w:rsidRPr="00D30AA9">
        <w:rPr>
          <w:rFonts w:ascii="Verdana" w:hAnsi="Verdana"/>
          <w:sz w:val="24"/>
          <w:szCs w:val="24"/>
        </w:rPr>
        <w:t xml:space="preserve"> Minnie recording that the delay in the </w:t>
      </w:r>
      <w:proofErr w:type="spellStart"/>
      <w:r w:rsidR="00D30AA9" w:rsidRPr="00D30AA9">
        <w:rPr>
          <w:rFonts w:ascii="Verdana" w:hAnsi="Verdana"/>
          <w:sz w:val="24"/>
          <w:szCs w:val="24"/>
        </w:rPr>
        <w:t>finalisation</w:t>
      </w:r>
      <w:proofErr w:type="spellEnd"/>
      <w:r w:rsidR="00D30AA9" w:rsidRPr="00D30AA9">
        <w:rPr>
          <w:rFonts w:ascii="Verdana" w:hAnsi="Verdana"/>
          <w:sz w:val="24"/>
          <w:szCs w:val="24"/>
        </w:rPr>
        <w:t xml:space="preserve"> of the investigation is hugely prejudicial to Aldor, who was at the risk of financial collapse as the result of the moratorium and blocking directives</w:t>
      </w:r>
      <w:r w:rsidR="00D30AA9">
        <w:rPr>
          <w:rFonts w:ascii="Verdana" w:hAnsi="Verdana"/>
          <w:sz w:val="24"/>
          <w:szCs w:val="24"/>
        </w:rPr>
        <w:t>;</w:t>
      </w:r>
      <w:r w:rsidR="00D30AA9" w:rsidRPr="00D30AA9">
        <w:rPr>
          <w:rStyle w:val="FootnoteReference"/>
          <w:rFonts w:ascii="Verdana" w:hAnsi="Verdana"/>
          <w:sz w:val="24"/>
          <w:szCs w:val="24"/>
        </w:rPr>
        <w:footnoteReference w:id="9"/>
      </w:r>
      <w:r w:rsidR="00D30AA9" w:rsidRPr="00D30AA9">
        <w:rPr>
          <w:rFonts w:ascii="Verdana" w:hAnsi="Verdana"/>
          <w:sz w:val="24"/>
          <w:szCs w:val="24"/>
        </w:rPr>
        <w:t xml:space="preserve"> </w:t>
      </w:r>
    </w:p>
    <w:p w14:paraId="3332C5A8" w14:textId="77777777" w:rsidR="00D30AA9" w:rsidRPr="00D30AA9" w:rsidRDefault="00D30AA9" w:rsidP="00D30AA9">
      <w:pPr>
        <w:tabs>
          <w:tab w:val="left" w:pos="709"/>
        </w:tabs>
        <w:spacing w:before="360" w:after="240" w:line="480" w:lineRule="auto"/>
        <w:jc w:val="both"/>
        <w:rPr>
          <w:rFonts w:ascii="Verdana" w:hAnsi="Verdana"/>
          <w:sz w:val="24"/>
          <w:szCs w:val="24"/>
        </w:rPr>
      </w:pPr>
    </w:p>
    <w:p w14:paraId="3DD591BA" w14:textId="0F89E511" w:rsidR="00D30AA9" w:rsidRPr="00D30AA9" w:rsidRDefault="008E1A7D" w:rsidP="00D30AA9">
      <w:pPr>
        <w:tabs>
          <w:tab w:val="left" w:pos="709"/>
        </w:tabs>
        <w:spacing w:before="360" w:after="240" w:line="480" w:lineRule="auto"/>
        <w:jc w:val="both"/>
        <w:rPr>
          <w:rFonts w:ascii="Verdana" w:hAnsi="Verdana"/>
          <w:sz w:val="24"/>
          <w:szCs w:val="24"/>
        </w:rPr>
      </w:pPr>
      <w:r>
        <w:rPr>
          <w:rFonts w:ascii="Verdana" w:hAnsi="Verdana"/>
          <w:sz w:val="24"/>
          <w:szCs w:val="24"/>
        </w:rPr>
        <w:lastRenderedPageBreak/>
        <w:t>7</w:t>
      </w:r>
      <w:r w:rsidR="00D30AA9" w:rsidRPr="00D30AA9">
        <w:rPr>
          <w:rFonts w:ascii="Verdana" w:hAnsi="Verdana"/>
          <w:sz w:val="24"/>
          <w:szCs w:val="24"/>
        </w:rPr>
        <w:t xml:space="preserve">.7 On 22 February 2024, </w:t>
      </w:r>
      <w:proofErr w:type="spellStart"/>
      <w:r w:rsidR="00D30AA9" w:rsidRPr="00D30AA9">
        <w:rPr>
          <w:rFonts w:ascii="Verdana" w:hAnsi="Verdana"/>
          <w:sz w:val="24"/>
          <w:szCs w:val="24"/>
        </w:rPr>
        <w:t>FinSurv</w:t>
      </w:r>
      <w:proofErr w:type="spellEnd"/>
      <w:r w:rsidR="00D30AA9" w:rsidRPr="00D30AA9">
        <w:rPr>
          <w:rFonts w:ascii="Verdana" w:hAnsi="Verdana"/>
          <w:sz w:val="24"/>
          <w:szCs w:val="24"/>
        </w:rPr>
        <w:t xml:space="preserve"> finally issued a request for information and documents;</w:t>
      </w:r>
      <w:r w:rsidR="00D30AA9" w:rsidRPr="00D30AA9">
        <w:rPr>
          <w:rStyle w:val="FootnoteReference"/>
          <w:rFonts w:ascii="Verdana" w:hAnsi="Verdana"/>
          <w:sz w:val="24"/>
          <w:szCs w:val="24"/>
        </w:rPr>
        <w:footnoteReference w:id="10"/>
      </w:r>
      <w:r w:rsidR="00D30AA9" w:rsidRPr="00D30AA9">
        <w:rPr>
          <w:rFonts w:ascii="Verdana" w:hAnsi="Verdana"/>
          <w:sz w:val="24"/>
          <w:szCs w:val="24"/>
        </w:rPr>
        <w:t xml:space="preserve">  </w:t>
      </w:r>
    </w:p>
    <w:p w14:paraId="4544624A" w14:textId="77777777" w:rsidR="00D30AA9" w:rsidRPr="00D30AA9" w:rsidRDefault="00D30AA9" w:rsidP="00D30AA9">
      <w:pPr>
        <w:tabs>
          <w:tab w:val="left" w:pos="709"/>
        </w:tabs>
        <w:spacing w:before="360" w:after="240" w:line="480" w:lineRule="auto"/>
        <w:jc w:val="both"/>
        <w:rPr>
          <w:rFonts w:ascii="Verdana" w:hAnsi="Verdana"/>
          <w:sz w:val="24"/>
          <w:szCs w:val="24"/>
        </w:rPr>
      </w:pPr>
    </w:p>
    <w:p w14:paraId="6B7B82ED" w14:textId="7E4657C3" w:rsidR="00D30AA9" w:rsidRPr="00D30AA9" w:rsidRDefault="008E1A7D" w:rsidP="00D30AA9">
      <w:pPr>
        <w:tabs>
          <w:tab w:val="left" w:pos="709"/>
        </w:tabs>
        <w:spacing w:before="360" w:after="240" w:line="480" w:lineRule="auto"/>
        <w:jc w:val="both"/>
        <w:rPr>
          <w:rFonts w:ascii="Verdana" w:hAnsi="Verdana"/>
          <w:sz w:val="24"/>
          <w:szCs w:val="24"/>
        </w:rPr>
      </w:pPr>
      <w:r>
        <w:rPr>
          <w:rFonts w:ascii="Verdana" w:hAnsi="Verdana"/>
          <w:sz w:val="24"/>
          <w:szCs w:val="24"/>
        </w:rPr>
        <w:t>7</w:t>
      </w:r>
      <w:r w:rsidR="00D30AA9" w:rsidRPr="00D30AA9">
        <w:rPr>
          <w:rFonts w:ascii="Verdana" w:hAnsi="Verdana"/>
          <w:sz w:val="24"/>
          <w:szCs w:val="24"/>
        </w:rPr>
        <w:t xml:space="preserve">.8 On 6 March 2024, </w:t>
      </w:r>
      <w:proofErr w:type="spellStart"/>
      <w:r w:rsidR="00D30AA9" w:rsidRPr="00D30AA9">
        <w:rPr>
          <w:rFonts w:ascii="Verdana" w:hAnsi="Verdana"/>
          <w:sz w:val="24"/>
          <w:szCs w:val="24"/>
        </w:rPr>
        <w:t>FinSurv’s</w:t>
      </w:r>
      <w:proofErr w:type="spellEnd"/>
      <w:r w:rsidR="00D30AA9" w:rsidRPr="00D30AA9">
        <w:rPr>
          <w:rFonts w:ascii="Verdana" w:hAnsi="Verdana"/>
          <w:sz w:val="24"/>
          <w:szCs w:val="24"/>
        </w:rPr>
        <w:t xml:space="preserve"> request was fully responded to by Aldor. This entailed providing masses of documents requested by </w:t>
      </w:r>
      <w:proofErr w:type="spellStart"/>
      <w:r w:rsidR="00D30AA9" w:rsidRPr="00D30AA9">
        <w:rPr>
          <w:rFonts w:ascii="Verdana" w:hAnsi="Verdana"/>
          <w:sz w:val="24"/>
          <w:szCs w:val="24"/>
        </w:rPr>
        <w:t>FinSurv</w:t>
      </w:r>
      <w:proofErr w:type="spellEnd"/>
      <w:r w:rsidR="00D30AA9" w:rsidRPr="00D30AA9">
        <w:rPr>
          <w:rFonts w:ascii="Verdana" w:hAnsi="Verdana"/>
          <w:sz w:val="24"/>
          <w:szCs w:val="24"/>
        </w:rPr>
        <w:t xml:space="preserve">, which fully substantiated that all historical advance import payments were legitimately made and the goods in respect of which the payments were </w:t>
      </w:r>
      <w:proofErr w:type="gramStart"/>
      <w:r w:rsidR="00D30AA9" w:rsidRPr="00D30AA9">
        <w:rPr>
          <w:rFonts w:ascii="Verdana" w:hAnsi="Verdana"/>
          <w:sz w:val="24"/>
          <w:szCs w:val="24"/>
        </w:rPr>
        <w:t>effected</w:t>
      </w:r>
      <w:proofErr w:type="gramEnd"/>
      <w:r w:rsidR="00D30AA9" w:rsidRPr="00D30AA9">
        <w:rPr>
          <w:rFonts w:ascii="Verdana" w:hAnsi="Verdana"/>
          <w:sz w:val="24"/>
          <w:szCs w:val="24"/>
        </w:rPr>
        <w:t xml:space="preserve"> were in fact consigned to Aldor in the Republic;</w:t>
      </w:r>
      <w:r w:rsidR="00D30AA9" w:rsidRPr="00D30AA9">
        <w:rPr>
          <w:rStyle w:val="FootnoteReference"/>
          <w:rFonts w:ascii="Verdana" w:hAnsi="Verdana"/>
          <w:sz w:val="24"/>
          <w:szCs w:val="24"/>
        </w:rPr>
        <w:footnoteReference w:id="11"/>
      </w:r>
    </w:p>
    <w:p w14:paraId="7C5ABA53" w14:textId="77777777" w:rsidR="00D30AA9" w:rsidRPr="00D30AA9" w:rsidRDefault="00D30AA9" w:rsidP="00D30AA9">
      <w:pPr>
        <w:tabs>
          <w:tab w:val="left" w:pos="709"/>
        </w:tabs>
        <w:spacing w:before="360" w:after="240" w:line="480" w:lineRule="auto"/>
        <w:jc w:val="both"/>
        <w:rPr>
          <w:rFonts w:ascii="Verdana" w:hAnsi="Verdana"/>
          <w:sz w:val="24"/>
          <w:szCs w:val="24"/>
        </w:rPr>
      </w:pPr>
      <w:r w:rsidRPr="00D30AA9">
        <w:rPr>
          <w:rFonts w:ascii="Verdana" w:hAnsi="Verdana"/>
          <w:sz w:val="24"/>
          <w:szCs w:val="24"/>
        </w:rPr>
        <w:t xml:space="preserve"> </w:t>
      </w:r>
    </w:p>
    <w:p w14:paraId="3FAB08A6" w14:textId="079A633D" w:rsidR="00D30AA9" w:rsidRPr="00D30AA9" w:rsidRDefault="008E1A7D" w:rsidP="00D30AA9">
      <w:pPr>
        <w:tabs>
          <w:tab w:val="left" w:pos="709"/>
        </w:tabs>
        <w:spacing w:before="360" w:after="240" w:line="480" w:lineRule="auto"/>
        <w:jc w:val="both"/>
        <w:rPr>
          <w:rFonts w:ascii="Verdana" w:hAnsi="Verdana"/>
          <w:sz w:val="24"/>
          <w:szCs w:val="24"/>
        </w:rPr>
      </w:pPr>
      <w:r>
        <w:rPr>
          <w:rFonts w:ascii="Verdana" w:hAnsi="Verdana"/>
          <w:sz w:val="24"/>
          <w:szCs w:val="24"/>
        </w:rPr>
        <w:t>7</w:t>
      </w:r>
      <w:r w:rsidR="00D30AA9" w:rsidRPr="00D30AA9">
        <w:rPr>
          <w:rFonts w:ascii="Verdana" w:hAnsi="Verdana"/>
          <w:sz w:val="24"/>
          <w:szCs w:val="24"/>
        </w:rPr>
        <w:t xml:space="preserve">.9 Also on 6 March, and on the back of having provided all the requested documents, Aldor addressed correspondence to </w:t>
      </w:r>
      <w:proofErr w:type="spellStart"/>
      <w:r w:rsidR="00D30AA9" w:rsidRPr="00D30AA9">
        <w:rPr>
          <w:rFonts w:ascii="Verdana" w:hAnsi="Verdana"/>
          <w:sz w:val="24"/>
          <w:szCs w:val="24"/>
        </w:rPr>
        <w:t>FinSurv</w:t>
      </w:r>
      <w:proofErr w:type="spellEnd"/>
      <w:r w:rsidR="00D30AA9" w:rsidRPr="00D30AA9">
        <w:rPr>
          <w:rFonts w:ascii="Verdana" w:hAnsi="Verdana"/>
          <w:sz w:val="24"/>
          <w:szCs w:val="24"/>
        </w:rPr>
        <w:t xml:space="preserve">, requesting it to lift the block on the funds </w:t>
      </w:r>
      <w:proofErr w:type="gramStart"/>
      <w:r w:rsidR="00D30AA9" w:rsidRPr="00D30AA9">
        <w:rPr>
          <w:rFonts w:ascii="Verdana" w:hAnsi="Verdana"/>
          <w:sz w:val="24"/>
          <w:szCs w:val="24"/>
        </w:rPr>
        <w:t>so as to</w:t>
      </w:r>
      <w:proofErr w:type="gramEnd"/>
      <w:r w:rsidR="00D30AA9" w:rsidRPr="00D30AA9">
        <w:rPr>
          <w:rFonts w:ascii="Verdana" w:hAnsi="Verdana"/>
          <w:sz w:val="24"/>
          <w:szCs w:val="24"/>
        </w:rPr>
        <w:t xml:space="preserve"> enable the continued operations (and make payment both locally – to its employees and local suppliers and the offshore);</w:t>
      </w:r>
      <w:r w:rsidR="00D30AA9" w:rsidRPr="00D30AA9">
        <w:rPr>
          <w:rStyle w:val="FootnoteReference"/>
          <w:rFonts w:ascii="Verdana" w:hAnsi="Verdana"/>
          <w:sz w:val="24"/>
          <w:szCs w:val="24"/>
        </w:rPr>
        <w:footnoteReference w:id="12"/>
      </w:r>
      <w:r w:rsidR="00D30AA9" w:rsidRPr="00D30AA9">
        <w:rPr>
          <w:rFonts w:ascii="Verdana" w:hAnsi="Verdana"/>
          <w:sz w:val="24"/>
          <w:szCs w:val="24"/>
        </w:rPr>
        <w:t xml:space="preserve">  </w:t>
      </w:r>
    </w:p>
    <w:p w14:paraId="1F77A3F2" w14:textId="77777777" w:rsidR="00D30AA9" w:rsidRPr="00D30AA9" w:rsidRDefault="00D30AA9" w:rsidP="00D30AA9">
      <w:pPr>
        <w:tabs>
          <w:tab w:val="left" w:pos="709"/>
        </w:tabs>
        <w:spacing w:before="360" w:after="240" w:line="480" w:lineRule="auto"/>
        <w:jc w:val="both"/>
        <w:rPr>
          <w:rFonts w:ascii="Verdana" w:hAnsi="Verdana"/>
          <w:sz w:val="24"/>
          <w:szCs w:val="24"/>
        </w:rPr>
      </w:pPr>
    </w:p>
    <w:p w14:paraId="4BD93402" w14:textId="45884A90" w:rsidR="00D30AA9" w:rsidRPr="00D30AA9" w:rsidRDefault="008E1A7D" w:rsidP="00D30AA9">
      <w:pPr>
        <w:tabs>
          <w:tab w:val="left" w:pos="709"/>
        </w:tabs>
        <w:spacing w:before="360" w:after="240" w:line="480" w:lineRule="auto"/>
        <w:jc w:val="both"/>
        <w:rPr>
          <w:rFonts w:ascii="Verdana" w:hAnsi="Verdana"/>
          <w:sz w:val="24"/>
          <w:szCs w:val="24"/>
        </w:rPr>
      </w:pPr>
      <w:r>
        <w:rPr>
          <w:rFonts w:ascii="Verdana" w:hAnsi="Verdana"/>
          <w:sz w:val="24"/>
          <w:szCs w:val="24"/>
        </w:rPr>
        <w:t>7</w:t>
      </w:r>
      <w:r w:rsidR="00D30AA9" w:rsidRPr="00D30AA9">
        <w:rPr>
          <w:rFonts w:ascii="Verdana" w:hAnsi="Verdana"/>
          <w:sz w:val="24"/>
          <w:szCs w:val="24"/>
        </w:rPr>
        <w:t xml:space="preserve">.10 </w:t>
      </w:r>
      <w:proofErr w:type="spellStart"/>
      <w:r w:rsidR="00D30AA9" w:rsidRPr="00D30AA9">
        <w:rPr>
          <w:rFonts w:ascii="Verdana" w:hAnsi="Verdana"/>
          <w:sz w:val="24"/>
          <w:szCs w:val="24"/>
        </w:rPr>
        <w:t>FinSurv’s</w:t>
      </w:r>
      <w:proofErr w:type="spellEnd"/>
      <w:r w:rsidR="00D30AA9" w:rsidRPr="00D30AA9">
        <w:rPr>
          <w:rFonts w:ascii="Verdana" w:hAnsi="Verdana"/>
          <w:sz w:val="24"/>
          <w:szCs w:val="24"/>
        </w:rPr>
        <w:t xml:space="preserve"> legal department then responded on 7 March 2024, refusing to lift the block over the relevant amount, recording that </w:t>
      </w:r>
      <w:proofErr w:type="spellStart"/>
      <w:r w:rsidR="00D30AA9" w:rsidRPr="00D30AA9">
        <w:rPr>
          <w:rFonts w:ascii="Verdana" w:hAnsi="Verdana"/>
          <w:sz w:val="24"/>
          <w:szCs w:val="24"/>
        </w:rPr>
        <w:t>FinSurv</w:t>
      </w:r>
      <w:proofErr w:type="spellEnd"/>
      <w:r w:rsidR="00D30AA9" w:rsidRPr="00D30AA9">
        <w:rPr>
          <w:rFonts w:ascii="Verdana" w:hAnsi="Verdana"/>
          <w:sz w:val="24"/>
          <w:szCs w:val="24"/>
        </w:rPr>
        <w:t xml:space="preserve"> is entitled </w:t>
      </w:r>
      <w:r w:rsidR="00D30AA9" w:rsidRPr="00D30AA9">
        <w:rPr>
          <w:rFonts w:ascii="Verdana" w:hAnsi="Verdana"/>
          <w:sz w:val="24"/>
          <w:szCs w:val="24"/>
        </w:rPr>
        <w:lastRenderedPageBreak/>
        <w:t>to the full 36 months to conclude its investigation and inviting this application.</w:t>
      </w:r>
      <w:r w:rsidR="00D30AA9" w:rsidRPr="00D30AA9">
        <w:rPr>
          <w:rStyle w:val="FootnoteReference"/>
          <w:rFonts w:ascii="Verdana" w:hAnsi="Verdana"/>
          <w:sz w:val="24"/>
          <w:szCs w:val="24"/>
        </w:rPr>
        <w:footnoteReference w:id="13"/>
      </w:r>
      <w:r w:rsidR="00D30AA9" w:rsidRPr="00D30AA9">
        <w:rPr>
          <w:rFonts w:ascii="Verdana" w:hAnsi="Verdana"/>
          <w:sz w:val="24"/>
          <w:szCs w:val="24"/>
        </w:rPr>
        <w:t xml:space="preserve">  </w:t>
      </w:r>
    </w:p>
    <w:p w14:paraId="66AD1A4C" w14:textId="77777777" w:rsidR="00D30AA9" w:rsidRPr="00D30AA9" w:rsidRDefault="00D30AA9" w:rsidP="00D30AA9">
      <w:pPr>
        <w:tabs>
          <w:tab w:val="left" w:pos="709"/>
        </w:tabs>
        <w:spacing w:before="360" w:after="240" w:line="480" w:lineRule="auto"/>
        <w:jc w:val="both"/>
        <w:rPr>
          <w:rFonts w:ascii="Verdana" w:hAnsi="Verdana"/>
          <w:color w:val="196B24" w:themeColor="accent3"/>
          <w:sz w:val="24"/>
          <w:szCs w:val="24"/>
        </w:rPr>
      </w:pPr>
    </w:p>
    <w:p w14:paraId="7406EAD6" w14:textId="357E4F93" w:rsidR="00E215F5" w:rsidRDefault="00E05514" w:rsidP="00E215F5">
      <w:pPr>
        <w:tabs>
          <w:tab w:val="left" w:pos="709"/>
        </w:tabs>
        <w:spacing w:before="360" w:after="240" w:line="480" w:lineRule="auto"/>
        <w:jc w:val="both"/>
        <w:rPr>
          <w:rFonts w:ascii="Verdana" w:hAnsi="Verdana"/>
          <w:sz w:val="24"/>
          <w:szCs w:val="24"/>
        </w:rPr>
      </w:pPr>
      <w:r>
        <w:rPr>
          <w:rFonts w:ascii="Verdana" w:hAnsi="Verdana"/>
          <w:sz w:val="24"/>
          <w:szCs w:val="24"/>
        </w:rPr>
        <w:t>STATUTORY FRAMEWORK</w:t>
      </w:r>
    </w:p>
    <w:p w14:paraId="0A6C490B" w14:textId="77777777" w:rsidR="000A257E" w:rsidRPr="00E215F5" w:rsidRDefault="000A257E" w:rsidP="00E215F5">
      <w:pPr>
        <w:tabs>
          <w:tab w:val="left" w:pos="709"/>
        </w:tabs>
        <w:spacing w:before="360" w:after="240" w:line="480" w:lineRule="auto"/>
        <w:jc w:val="both"/>
        <w:rPr>
          <w:rFonts w:ascii="Verdana" w:hAnsi="Verdana"/>
          <w:sz w:val="24"/>
          <w:szCs w:val="24"/>
        </w:rPr>
      </w:pPr>
    </w:p>
    <w:p w14:paraId="486BFAB2" w14:textId="17E9F92C" w:rsidR="00E215F5" w:rsidRDefault="008E1A7D" w:rsidP="00E215F5">
      <w:pPr>
        <w:tabs>
          <w:tab w:val="left" w:pos="709"/>
        </w:tabs>
        <w:spacing w:before="360" w:after="240" w:line="480" w:lineRule="auto"/>
        <w:jc w:val="both"/>
        <w:rPr>
          <w:rFonts w:ascii="Verdana" w:hAnsi="Verdana"/>
          <w:sz w:val="24"/>
          <w:szCs w:val="24"/>
        </w:rPr>
      </w:pPr>
      <w:r>
        <w:rPr>
          <w:rFonts w:ascii="Verdana" w:hAnsi="Verdana"/>
          <w:sz w:val="24"/>
          <w:szCs w:val="24"/>
        </w:rPr>
        <w:t>8</w:t>
      </w:r>
      <w:r w:rsidR="00E05514">
        <w:rPr>
          <w:rFonts w:ascii="Verdana" w:hAnsi="Verdana"/>
          <w:sz w:val="24"/>
          <w:szCs w:val="24"/>
        </w:rPr>
        <w:t>]</w:t>
      </w:r>
      <w:r w:rsidR="000A257E">
        <w:rPr>
          <w:rFonts w:ascii="Verdana" w:hAnsi="Verdana"/>
          <w:sz w:val="24"/>
          <w:szCs w:val="24"/>
        </w:rPr>
        <w:t xml:space="preserve"> </w:t>
      </w:r>
      <w:r w:rsidR="00E215F5" w:rsidRPr="00E215F5">
        <w:rPr>
          <w:rFonts w:ascii="Verdana" w:hAnsi="Verdana"/>
          <w:sz w:val="24"/>
          <w:szCs w:val="24"/>
        </w:rPr>
        <w:t>Regulation 22A provides that, subject to the provisions of section 9(2)(b)(</w:t>
      </w:r>
      <w:proofErr w:type="spellStart"/>
      <w:r w:rsidR="00E215F5" w:rsidRPr="00E215F5">
        <w:rPr>
          <w:rFonts w:ascii="Verdana" w:hAnsi="Verdana"/>
          <w:sz w:val="24"/>
          <w:szCs w:val="24"/>
        </w:rPr>
        <w:t>i</w:t>
      </w:r>
      <w:proofErr w:type="spellEnd"/>
      <w:r w:rsidR="00E215F5" w:rsidRPr="00E215F5">
        <w:rPr>
          <w:rFonts w:ascii="Verdana" w:hAnsi="Verdana"/>
          <w:sz w:val="24"/>
          <w:szCs w:val="24"/>
        </w:rPr>
        <w:t>) of the Act, the Treasury may attach certain amounts and block accounts held by persons, in circumstances where “contravention of any provision of these Regulations has been committed or in respect of which an act or omission has been committed which the Treasury on reasonable grounds suspects to constitute any such contravention</w:t>
      </w:r>
      <w:r w:rsidR="00E05514">
        <w:rPr>
          <w:rFonts w:ascii="Verdana" w:hAnsi="Verdana"/>
          <w:sz w:val="24"/>
          <w:szCs w:val="24"/>
        </w:rPr>
        <w:t>.</w:t>
      </w:r>
      <w:r w:rsidR="00E215F5" w:rsidRPr="00E215F5">
        <w:rPr>
          <w:rFonts w:ascii="Verdana" w:hAnsi="Verdana"/>
          <w:sz w:val="24"/>
          <w:szCs w:val="24"/>
        </w:rPr>
        <w:t>”</w:t>
      </w:r>
    </w:p>
    <w:p w14:paraId="7F13B191" w14:textId="77777777" w:rsidR="00627B96" w:rsidRPr="00E215F5" w:rsidRDefault="00627B96" w:rsidP="00E215F5">
      <w:pPr>
        <w:tabs>
          <w:tab w:val="left" w:pos="709"/>
        </w:tabs>
        <w:spacing w:before="360" w:after="240" w:line="480" w:lineRule="auto"/>
        <w:jc w:val="both"/>
        <w:rPr>
          <w:rFonts w:ascii="Verdana" w:hAnsi="Verdana"/>
          <w:sz w:val="24"/>
          <w:szCs w:val="24"/>
        </w:rPr>
      </w:pPr>
    </w:p>
    <w:p w14:paraId="717D4851" w14:textId="1836C744" w:rsidR="00E215F5" w:rsidRPr="00E215F5" w:rsidRDefault="008E1A7D" w:rsidP="00E215F5">
      <w:pPr>
        <w:tabs>
          <w:tab w:val="left" w:pos="709"/>
        </w:tabs>
        <w:spacing w:before="360" w:after="240" w:line="480" w:lineRule="auto"/>
        <w:jc w:val="both"/>
        <w:rPr>
          <w:rFonts w:ascii="Verdana" w:hAnsi="Verdana"/>
          <w:sz w:val="24"/>
          <w:szCs w:val="24"/>
        </w:rPr>
      </w:pPr>
      <w:r>
        <w:rPr>
          <w:rFonts w:ascii="Verdana" w:hAnsi="Verdana"/>
          <w:sz w:val="24"/>
          <w:szCs w:val="24"/>
        </w:rPr>
        <w:t>9</w:t>
      </w:r>
      <w:r w:rsidR="00E05514">
        <w:rPr>
          <w:rFonts w:ascii="Verdana" w:hAnsi="Verdana"/>
          <w:sz w:val="24"/>
          <w:szCs w:val="24"/>
        </w:rPr>
        <w:t>]</w:t>
      </w:r>
      <w:r w:rsidR="00E215F5" w:rsidRPr="00E215F5">
        <w:rPr>
          <w:rFonts w:ascii="Verdana" w:hAnsi="Verdana"/>
          <w:sz w:val="24"/>
          <w:szCs w:val="24"/>
        </w:rPr>
        <w:tab/>
        <w:t>Regulation 12 provides:</w:t>
      </w:r>
    </w:p>
    <w:p w14:paraId="7D6BEEEC" w14:textId="47CBEAEB" w:rsidR="00E215F5" w:rsidRPr="00E215F5" w:rsidRDefault="00E215F5" w:rsidP="00E215F5">
      <w:pPr>
        <w:tabs>
          <w:tab w:val="left" w:pos="709"/>
        </w:tabs>
        <w:spacing w:before="360" w:after="240" w:line="480" w:lineRule="auto"/>
        <w:jc w:val="both"/>
        <w:rPr>
          <w:rFonts w:ascii="Verdana" w:hAnsi="Verdana"/>
          <w:sz w:val="24"/>
          <w:szCs w:val="24"/>
        </w:rPr>
      </w:pPr>
      <w:r w:rsidRPr="00E215F5">
        <w:rPr>
          <w:rFonts w:ascii="Verdana" w:hAnsi="Verdana"/>
          <w:sz w:val="24"/>
          <w:szCs w:val="24"/>
        </w:rPr>
        <w:t>“12 Goods purchased outside the Republic</w:t>
      </w:r>
    </w:p>
    <w:p w14:paraId="30B9D224" w14:textId="77777777" w:rsidR="00E215F5" w:rsidRPr="00E215F5" w:rsidRDefault="00E215F5" w:rsidP="00E215F5">
      <w:pPr>
        <w:tabs>
          <w:tab w:val="left" w:pos="709"/>
        </w:tabs>
        <w:spacing w:before="360" w:after="240" w:line="480" w:lineRule="auto"/>
        <w:jc w:val="both"/>
        <w:rPr>
          <w:rFonts w:ascii="Verdana" w:hAnsi="Verdana"/>
          <w:sz w:val="24"/>
          <w:szCs w:val="24"/>
        </w:rPr>
      </w:pPr>
      <w:r w:rsidRPr="00E215F5">
        <w:rPr>
          <w:rFonts w:ascii="Verdana" w:hAnsi="Verdana"/>
          <w:sz w:val="24"/>
          <w:szCs w:val="24"/>
        </w:rPr>
        <w:t xml:space="preserve">(1) Whenever a person in the Republic has purchased goods in any country outside the Republic and has paid for or made a payment on account of such goods, but the said goods have not been consigned to the Republic within four months from the date on which such payment was made, such </w:t>
      </w:r>
      <w:r w:rsidRPr="00E215F5">
        <w:rPr>
          <w:rFonts w:ascii="Verdana" w:hAnsi="Verdana"/>
          <w:sz w:val="24"/>
          <w:szCs w:val="24"/>
        </w:rPr>
        <w:lastRenderedPageBreak/>
        <w:t xml:space="preserve">person shall within fourteen days from the date of expiry of the said period of four months report in writing to the Treasury or to an </w:t>
      </w:r>
      <w:proofErr w:type="spellStart"/>
      <w:r w:rsidRPr="00E215F5">
        <w:rPr>
          <w:rFonts w:ascii="Verdana" w:hAnsi="Verdana"/>
          <w:sz w:val="24"/>
          <w:szCs w:val="24"/>
        </w:rPr>
        <w:t>authorised</w:t>
      </w:r>
      <w:proofErr w:type="spellEnd"/>
      <w:r w:rsidRPr="00E215F5">
        <w:rPr>
          <w:rFonts w:ascii="Verdana" w:hAnsi="Verdana"/>
          <w:sz w:val="24"/>
          <w:szCs w:val="24"/>
        </w:rPr>
        <w:t xml:space="preserve"> dealer that the goods have not been consigned to the Republic and the Treasury may thereupon order such person to assign to the Treasury or to a person </w:t>
      </w:r>
      <w:proofErr w:type="spellStart"/>
      <w:r w:rsidRPr="00E215F5">
        <w:rPr>
          <w:rFonts w:ascii="Verdana" w:hAnsi="Verdana"/>
          <w:sz w:val="24"/>
          <w:szCs w:val="24"/>
        </w:rPr>
        <w:t>authorised</w:t>
      </w:r>
      <w:proofErr w:type="spellEnd"/>
      <w:r w:rsidRPr="00E215F5">
        <w:rPr>
          <w:rFonts w:ascii="Verdana" w:hAnsi="Verdana"/>
          <w:sz w:val="24"/>
          <w:szCs w:val="24"/>
        </w:rPr>
        <w:t xml:space="preserve"> by the Treasury his right to the said goods.</w:t>
      </w:r>
    </w:p>
    <w:p w14:paraId="63BF7309" w14:textId="77777777" w:rsidR="00E215F5" w:rsidRPr="00E215F5" w:rsidRDefault="00E215F5" w:rsidP="00E215F5">
      <w:pPr>
        <w:tabs>
          <w:tab w:val="left" w:pos="709"/>
        </w:tabs>
        <w:spacing w:before="360" w:after="240" w:line="480" w:lineRule="auto"/>
        <w:jc w:val="both"/>
        <w:rPr>
          <w:rFonts w:ascii="Verdana" w:hAnsi="Verdana"/>
          <w:sz w:val="24"/>
          <w:szCs w:val="24"/>
        </w:rPr>
      </w:pPr>
      <w:r w:rsidRPr="00E215F5">
        <w:rPr>
          <w:rFonts w:ascii="Verdana" w:hAnsi="Verdana"/>
          <w:sz w:val="24"/>
          <w:szCs w:val="24"/>
        </w:rPr>
        <w:t xml:space="preserve">The sum payable in consideration for any assignment made in accordance with this regulation shall be such as the Treasury may fix but shall not be less than the amount </w:t>
      </w:r>
      <w:proofErr w:type="spellStart"/>
      <w:r w:rsidRPr="00E215F5">
        <w:rPr>
          <w:rFonts w:ascii="Verdana" w:hAnsi="Verdana"/>
          <w:sz w:val="24"/>
          <w:szCs w:val="24"/>
        </w:rPr>
        <w:t>realised</w:t>
      </w:r>
      <w:proofErr w:type="spellEnd"/>
      <w:r w:rsidRPr="00E215F5">
        <w:rPr>
          <w:rFonts w:ascii="Verdana" w:hAnsi="Verdana"/>
          <w:sz w:val="24"/>
          <w:szCs w:val="24"/>
        </w:rPr>
        <w:t xml:space="preserve"> by the Treasury after deduction of the cost of </w:t>
      </w:r>
      <w:proofErr w:type="spellStart"/>
      <w:r w:rsidRPr="00E215F5">
        <w:rPr>
          <w:rFonts w:ascii="Verdana" w:hAnsi="Verdana"/>
          <w:sz w:val="24"/>
          <w:szCs w:val="24"/>
        </w:rPr>
        <w:t>realisation</w:t>
      </w:r>
      <w:proofErr w:type="spellEnd"/>
      <w:r w:rsidRPr="00E215F5">
        <w:rPr>
          <w:rFonts w:ascii="Verdana" w:hAnsi="Verdana"/>
          <w:sz w:val="24"/>
          <w:szCs w:val="24"/>
        </w:rPr>
        <w:t>.</w:t>
      </w:r>
    </w:p>
    <w:p w14:paraId="42AD16CE" w14:textId="77777777" w:rsidR="00E215F5" w:rsidRPr="00E215F5" w:rsidRDefault="00E215F5" w:rsidP="00E215F5">
      <w:pPr>
        <w:tabs>
          <w:tab w:val="left" w:pos="709"/>
        </w:tabs>
        <w:spacing w:before="360" w:after="240" w:line="480" w:lineRule="auto"/>
        <w:jc w:val="both"/>
        <w:rPr>
          <w:rFonts w:ascii="Verdana" w:hAnsi="Verdana"/>
          <w:sz w:val="24"/>
          <w:szCs w:val="24"/>
        </w:rPr>
      </w:pPr>
      <w:r w:rsidRPr="00E215F5">
        <w:rPr>
          <w:rFonts w:ascii="Verdana" w:hAnsi="Verdana"/>
          <w:sz w:val="24"/>
          <w:szCs w:val="24"/>
        </w:rPr>
        <w:t xml:space="preserve">(2) After the date on which this regulation comes into force no person shall purchase any goods on conditions which would preclude him from giving effect to an order issued in terms of </w:t>
      </w:r>
      <w:proofErr w:type="spellStart"/>
      <w:r w:rsidRPr="00E215F5">
        <w:rPr>
          <w:rFonts w:ascii="Verdana" w:hAnsi="Verdana"/>
          <w:sz w:val="24"/>
          <w:szCs w:val="24"/>
        </w:rPr>
        <w:t>subregulation</w:t>
      </w:r>
      <w:proofErr w:type="spellEnd"/>
      <w:r w:rsidRPr="00E215F5">
        <w:rPr>
          <w:rFonts w:ascii="Verdana" w:hAnsi="Verdana"/>
          <w:sz w:val="24"/>
          <w:szCs w:val="24"/>
        </w:rPr>
        <w:t xml:space="preserve"> (1).</w:t>
      </w:r>
    </w:p>
    <w:p w14:paraId="0550C451" w14:textId="77777777" w:rsidR="00E215F5" w:rsidRPr="00E215F5" w:rsidRDefault="00E215F5" w:rsidP="00E215F5">
      <w:pPr>
        <w:tabs>
          <w:tab w:val="left" w:pos="709"/>
        </w:tabs>
        <w:spacing w:before="360" w:after="240" w:line="480" w:lineRule="auto"/>
        <w:jc w:val="both"/>
        <w:rPr>
          <w:rFonts w:ascii="Verdana" w:hAnsi="Verdana"/>
          <w:sz w:val="24"/>
          <w:szCs w:val="24"/>
        </w:rPr>
      </w:pPr>
      <w:r w:rsidRPr="00E215F5">
        <w:rPr>
          <w:rFonts w:ascii="Verdana" w:hAnsi="Verdana"/>
          <w:sz w:val="24"/>
          <w:szCs w:val="24"/>
        </w:rPr>
        <w:t xml:space="preserve">(3) If in any criminal proceedings against any person for failure to make a report to the Treasury or to an </w:t>
      </w:r>
      <w:proofErr w:type="spellStart"/>
      <w:r w:rsidRPr="00E215F5">
        <w:rPr>
          <w:rFonts w:ascii="Verdana" w:hAnsi="Verdana"/>
          <w:sz w:val="24"/>
          <w:szCs w:val="24"/>
        </w:rPr>
        <w:t>authorised</w:t>
      </w:r>
      <w:proofErr w:type="spellEnd"/>
      <w:r w:rsidRPr="00E215F5">
        <w:rPr>
          <w:rFonts w:ascii="Verdana" w:hAnsi="Verdana"/>
          <w:sz w:val="24"/>
          <w:szCs w:val="24"/>
        </w:rPr>
        <w:t xml:space="preserve"> dealer as required by </w:t>
      </w:r>
      <w:proofErr w:type="spellStart"/>
      <w:r w:rsidRPr="00E215F5">
        <w:rPr>
          <w:rFonts w:ascii="Verdana" w:hAnsi="Verdana"/>
          <w:sz w:val="24"/>
          <w:szCs w:val="24"/>
        </w:rPr>
        <w:t>subregulation</w:t>
      </w:r>
      <w:proofErr w:type="spellEnd"/>
      <w:r w:rsidRPr="00E215F5">
        <w:rPr>
          <w:rFonts w:ascii="Verdana" w:hAnsi="Verdana"/>
          <w:sz w:val="24"/>
          <w:szCs w:val="24"/>
        </w:rPr>
        <w:t xml:space="preserve"> (1), it is proved that such person was unable, after the expiration of a period of six months from the date upon which any payment referred to in the said </w:t>
      </w:r>
      <w:proofErr w:type="spellStart"/>
      <w:r w:rsidRPr="00E215F5">
        <w:rPr>
          <w:rFonts w:ascii="Verdana" w:hAnsi="Verdana"/>
          <w:sz w:val="24"/>
          <w:szCs w:val="24"/>
        </w:rPr>
        <w:t>subregulation</w:t>
      </w:r>
      <w:proofErr w:type="spellEnd"/>
      <w:r w:rsidRPr="00E215F5">
        <w:rPr>
          <w:rFonts w:ascii="Verdana" w:hAnsi="Verdana"/>
          <w:sz w:val="24"/>
          <w:szCs w:val="24"/>
        </w:rPr>
        <w:t xml:space="preserve"> was made by him, to produce a bill of entry import in respect of the goods in question after having been called upon to do so by the Treasury or by an </w:t>
      </w:r>
      <w:proofErr w:type="spellStart"/>
      <w:r w:rsidRPr="00E215F5">
        <w:rPr>
          <w:rFonts w:ascii="Verdana" w:hAnsi="Verdana"/>
          <w:sz w:val="24"/>
          <w:szCs w:val="24"/>
        </w:rPr>
        <w:t>authorised</w:t>
      </w:r>
      <w:proofErr w:type="spellEnd"/>
      <w:r w:rsidRPr="00E215F5">
        <w:rPr>
          <w:rFonts w:ascii="Verdana" w:hAnsi="Verdana"/>
          <w:sz w:val="24"/>
          <w:szCs w:val="24"/>
        </w:rPr>
        <w:t xml:space="preserve"> dealer, it shall be presumed, until the contrary is proved, that the goods in question were not consigned to the Republic within four months from the said date. </w:t>
      </w:r>
    </w:p>
    <w:p w14:paraId="2B33FBCF" w14:textId="458B20E4" w:rsidR="00E215F5" w:rsidRDefault="00E215F5" w:rsidP="00E215F5">
      <w:pPr>
        <w:tabs>
          <w:tab w:val="left" w:pos="709"/>
        </w:tabs>
        <w:spacing w:before="360" w:after="240" w:line="480" w:lineRule="auto"/>
        <w:jc w:val="both"/>
        <w:rPr>
          <w:rFonts w:ascii="Verdana" w:hAnsi="Verdana"/>
          <w:sz w:val="24"/>
          <w:szCs w:val="24"/>
        </w:rPr>
      </w:pPr>
      <w:r w:rsidRPr="00E215F5">
        <w:rPr>
          <w:rFonts w:ascii="Verdana" w:hAnsi="Verdana"/>
          <w:sz w:val="24"/>
          <w:szCs w:val="24"/>
        </w:rPr>
        <w:lastRenderedPageBreak/>
        <w:t>(4) No person in the Republic who has purchased any means of transport outside the Republic shall, after such means of transport has been consigned and brought to the Republic, permit such means of transport to leave the Republic for the conveyance of any persons or goods for reward outside the Republic except with the consent of the Treasury and subject to such conditi</w:t>
      </w:r>
      <w:r w:rsidR="00627B96">
        <w:rPr>
          <w:rFonts w:ascii="Verdana" w:hAnsi="Verdana"/>
          <w:sz w:val="24"/>
          <w:szCs w:val="24"/>
        </w:rPr>
        <w:t>ons as the Treasury may impose.</w:t>
      </w:r>
      <w:r w:rsidR="00FC28F6">
        <w:rPr>
          <w:rFonts w:ascii="Verdana" w:hAnsi="Verdana"/>
          <w:sz w:val="24"/>
          <w:szCs w:val="24"/>
        </w:rPr>
        <w:t xml:space="preserve"> </w:t>
      </w:r>
      <w:r w:rsidRPr="00E215F5">
        <w:rPr>
          <w:rFonts w:ascii="Verdana" w:hAnsi="Verdana"/>
          <w:sz w:val="24"/>
          <w:szCs w:val="24"/>
        </w:rPr>
        <w:t xml:space="preserve">For the purposes of this </w:t>
      </w:r>
      <w:proofErr w:type="spellStart"/>
      <w:r w:rsidRPr="00E215F5">
        <w:rPr>
          <w:rFonts w:ascii="Verdana" w:hAnsi="Verdana"/>
          <w:sz w:val="24"/>
          <w:szCs w:val="24"/>
        </w:rPr>
        <w:t>subregulation</w:t>
      </w:r>
      <w:proofErr w:type="spellEnd"/>
      <w:r w:rsidRPr="00E215F5">
        <w:rPr>
          <w:rFonts w:ascii="Verdana" w:hAnsi="Verdana"/>
          <w:sz w:val="24"/>
          <w:szCs w:val="24"/>
        </w:rPr>
        <w:t xml:space="preserve"> 'means of transport' includes any ship, aircraft, motor vehicle, tractor or roller”. </w:t>
      </w:r>
    </w:p>
    <w:p w14:paraId="6424ABBC" w14:textId="77777777" w:rsidR="008E1A7D" w:rsidRPr="00E215F5" w:rsidRDefault="008E1A7D" w:rsidP="00E215F5">
      <w:pPr>
        <w:tabs>
          <w:tab w:val="left" w:pos="709"/>
        </w:tabs>
        <w:spacing w:before="360" w:after="240" w:line="480" w:lineRule="auto"/>
        <w:jc w:val="both"/>
        <w:rPr>
          <w:rFonts w:ascii="Verdana" w:hAnsi="Verdana"/>
          <w:sz w:val="24"/>
          <w:szCs w:val="24"/>
        </w:rPr>
      </w:pPr>
    </w:p>
    <w:p w14:paraId="25AD5509" w14:textId="2F1E9DD8" w:rsidR="00FC28F6" w:rsidRPr="00FC28F6" w:rsidRDefault="00FC28F6" w:rsidP="00FC28F6">
      <w:pPr>
        <w:tabs>
          <w:tab w:val="left" w:pos="709"/>
        </w:tabs>
        <w:spacing w:before="360" w:after="240" w:line="480" w:lineRule="auto"/>
        <w:jc w:val="both"/>
        <w:rPr>
          <w:rFonts w:ascii="Verdana" w:hAnsi="Verdana"/>
          <w:sz w:val="24"/>
          <w:szCs w:val="24"/>
        </w:rPr>
      </w:pPr>
      <w:r w:rsidRPr="00FC28F6">
        <w:rPr>
          <w:rFonts w:ascii="Verdana" w:hAnsi="Verdana"/>
          <w:sz w:val="24"/>
          <w:szCs w:val="24"/>
        </w:rPr>
        <w:t>A</w:t>
      </w:r>
      <w:r w:rsidR="00393B5A">
        <w:rPr>
          <w:rFonts w:ascii="Verdana" w:hAnsi="Verdana"/>
          <w:sz w:val="24"/>
          <w:szCs w:val="24"/>
        </w:rPr>
        <w:t>PPLICANT’S</w:t>
      </w:r>
      <w:r w:rsidRPr="00FC28F6">
        <w:rPr>
          <w:rFonts w:ascii="Verdana" w:hAnsi="Verdana"/>
          <w:sz w:val="24"/>
          <w:szCs w:val="24"/>
        </w:rPr>
        <w:t xml:space="preserve"> C</w:t>
      </w:r>
      <w:r w:rsidR="00393B5A">
        <w:rPr>
          <w:rFonts w:ascii="Verdana" w:hAnsi="Verdana"/>
          <w:sz w:val="24"/>
          <w:szCs w:val="24"/>
        </w:rPr>
        <w:t>ONTENTIONS</w:t>
      </w:r>
    </w:p>
    <w:p w14:paraId="7E5D191D" w14:textId="13FD29D9" w:rsidR="00FC28F6" w:rsidRDefault="008E1A7D" w:rsidP="00FC28F6">
      <w:pPr>
        <w:tabs>
          <w:tab w:val="left" w:pos="709"/>
        </w:tabs>
        <w:spacing w:before="360" w:after="240" w:line="480" w:lineRule="auto"/>
        <w:jc w:val="both"/>
        <w:rPr>
          <w:rFonts w:ascii="Verdana" w:hAnsi="Verdana"/>
          <w:sz w:val="24"/>
          <w:szCs w:val="24"/>
        </w:rPr>
      </w:pPr>
      <w:r>
        <w:rPr>
          <w:rFonts w:ascii="Verdana" w:hAnsi="Verdana"/>
          <w:bCs/>
          <w:sz w:val="24"/>
          <w:szCs w:val="24"/>
        </w:rPr>
        <w:t>10</w:t>
      </w:r>
      <w:r w:rsidR="00FC28F6" w:rsidRPr="00FC28F6">
        <w:rPr>
          <w:rFonts w:ascii="Verdana" w:hAnsi="Verdana"/>
          <w:bCs/>
          <w:sz w:val="24"/>
          <w:szCs w:val="24"/>
        </w:rPr>
        <w:t xml:space="preserve">] In essence the </w:t>
      </w:r>
      <w:r w:rsidR="0048632C">
        <w:rPr>
          <w:rFonts w:ascii="Verdana" w:hAnsi="Verdana"/>
          <w:bCs/>
          <w:sz w:val="24"/>
          <w:szCs w:val="24"/>
        </w:rPr>
        <w:t>a</w:t>
      </w:r>
      <w:r w:rsidR="00FC28F6" w:rsidRPr="00FC28F6">
        <w:rPr>
          <w:rFonts w:ascii="Verdana" w:hAnsi="Verdana"/>
          <w:bCs/>
          <w:sz w:val="24"/>
          <w:szCs w:val="24"/>
        </w:rPr>
        <w:t>pplicant</w:t>
      </w:r>
      <w:r w:rsidR="00FC28F6" w:rsidRPr="00FC28F6">
        <w:rPr>
          <w:rFonts w:ascii="Verdana" w:hAnsi="Verdana"/>
          <w:sz w:val="24"/>
          <w:szCs w:val="24"/>
        </w:rPr>
        <w:t xml:space="preserve"> contends that it will close doors if it </w:t>
      </w:r>
      <w:proofErr w:type="gramStart"/>
      <w:r w:rsidR="00FC28F6" w:rsidRPr="00FC28F6">
        <w:rPr>
          <w:rFonts w:ascii="Verdana" w:hAnsi="Verdana"/>
          <w:sz w:val="24"/>
          <w:szCs w:val="24"/>
        </w:rPr>
        <w:t>has to</w:t>
      </w:r>
      <w:proofErr w:type="gramEnd"/>
      <w:r w:rsidR="00FC28F6" w:rsidRPr="00FC28F6">
        <w:rPr>
          <w:rFonts w:ascii="Verdana" w:hAnsi="Verdana"/>
          <w:sz w:val="24"/>
          <w:szCs w:val="24"/>
        </w:rPr>
        <w:t xml:space="preserve"> wait for the investigation to be finali</w:t>
      </w:r>
      <w:r w:rsidR="00FC28F6">
        <w:rPr>
          <w:rFonts w:ascii="Verdana" w:hAnsi="Verdana"/>
          <w:sz w:val="24"/>
          <w:szCs w:val="24"/>
        </w:rPr>
        <w:t>z</w:t>
      </w:r>
      <w:r w:rsidR="00FC28F6" w:rsidRPr="00FC28F6">
        <w:rPr>
          <w:rFonts w:ascii="Verdana" w:hAnsi="Verdana"/>
          <w:sz w:val="24"/>
          <w:szCs w:val="24"/>
        </w:rPr>
        <w:t>ed before the blocked fund</w:t>
      </w:r>
      <w:r w:rsidR="00FC28F6">
        <w:rPr>
          <w:rFonts w:ascii="Verdana" w:hAnsi="Verdana"/>
          <w:sz w:val="24"/>
          <w:szCs w:val="24"/>
        </w:rPr>
        <w:t>s</w:t>
      </w:r>
      <w:r w:rsidR="00FC28F6" w:rsidRPr="00FC28F6">
        <w:rPr>
          <w:rFonts w:ascii="Verdana" w:hAnsi="Verdana"/>
          <w:sz w:val="24"/>
          <w:szCs w:val="24"/>
        </w:rPr>
        <w:t xml:space="preserve"> </w:t>
      </w:r>
      <w:proofErr w:type="gramStart"/>
      <w:r w:rsidR="00FC28F6" w:rsidRPr="00FC28F6">
        <w:rPr>
          <w:rFonts w:ascii="Verdana" w:hAnsi="Verdana"/>
          <w:sz w:val="24"/>
          <w:szCs w:val="24"/>
        </w:rPr>
        <w:t>is</w:t>
      </w:r>
      <w:proofErr w:type="gramEnd"/>
      <w:r w:rsidR="00FC28F6" w:rsidRPr="00FC28F6">
        <w:rPr>
          <w:rFonts w:ascii="Verdana" w:hAnsi="Verdana"/>
          <w:sz w:val="24"/>
          <w:szCs w:val="24"/>
        </w:rPr>
        <w:t xml:space="preserve"> unblocked and the moratorium directive is lifted.  </w:t>
      </w:r>
    </w:p>
    <w:p w14:paraId="5018C3C0" w14:textId="77777777" w:rsidR="00794147" w:rsidRPr="00FC28F6" w:rsidRDefault="00794147" w:rsidP="00FC28F6">
      <w:pPr>
        <w:tabs>
          <w:tab w:val="left" w:pos="709"/>
        </w:tabs>
        <w:spacing w:before="360" w:after="240" w:line="480" w:lineRule="auto"/>
        <w:jc w:val="both"/>
        <w:rPr>
          <w:rFonts w:ascii="Verdana" w:hAnsi="Verdana"/>
          <w:bCs/>
          <w:sz w:val="24"/>
          <w:szCs w:val="24"/>
        </w:rPr>
      </w:pPr>
    </w:p>
    <w:p w14:paraId="1C9822E5" w14:textId="72AC7074" w:rsidR="00FC28F6" w:rsidRDefault="00453FCE" w:rsidP="00FC28F6">
      <w:pPr>
        <w:tabs>
          <w:tab w:val="left" w:pos="709"/>
        </w:tabs>
        <w:spacing w:before="360" w:after="240" w:line="480" w:lineRule="auto"/>
        <w:jc w:val="both"/>
        <w:rPr>
          <w:rFonts w:ascii="Verdana" w:hAnsi="Verdana"/>
          <w:sz w:val="24"/>
          <w:szCs w:val="24"/>
        </w:rPr>
      </w:pPr>
      <w:r>
        <w:rPr>
          <w:rFonts w:ascii="Verdana" w:hAnsi="Verdana"/>
          <w:sz w:val="24"/>
          <w:szCs w:val="24"/>
        </w:rPr>
        <w:t>11</w:t>
      </w:r>
      <w:r w:rsidR="00794147">
        <w:rPr>
          <w:rFonts w:ascii="Verdana" w:hAnsi="Verdana"/>
          <w:sz w:val="24"/>
          <w:szCs w:val="24"/>
        </w:rPr>
        <w:t>]</w:t>
      </w:r>
      <w:r w:rsidR="00FC28F6" w:rsidRPr="00FC28F6">
        <w:rPr>
          <w:rFonts w:ascii="Verdana" w:hAnsi="Verdana"/>
          <w:sz w:val="24"/>
          <w:szCs w:val="24"/>
        </w:rPr>
        <w:t xml:space="preserve"> In the founding affidavit, the applicant </w:t>
      </w:r>
      <w:r w:rsidR="0048632C">
        <w:rPr>
          <w:rFonts w:ascii="Verdana" w:hAnsi="Verdana"/>
          <w:sz w:val="24"/>
          <w:szCs w:val="24"/>
        </w:rPr>
        <w:t>apportion</w:t>
      </w:r>
      <w:r w:rsidR="00FC28F6" w:rsidRPr="00FC28F6">
        <w:rPr>
          <w:rFonts w:ascii="Verdana" w:hAnsi="Verdana"/>
          <w:sz w:val="24"/>
          <w:szCs w:val="24"/>
        </w:rPr>
        <w:t xml:space="preserve"> the blame for the alleged contraventions squarely on </w:t>
      </w:r>
      <w:proofErr w:type="spellStart"/>
      <w:r w:rsidR="00FC28F6" w:rsidRPr="00FC28F6">
        <w:rPr>
          <w:rFonts w:ascii="Verdana" w:hAnsi="Verdana"/>
          <w:sz w:val="24"/>
          <w:szCs w:val="24"/>
        </w:rPr>
        <w:t>Sasfin</w:t>
      </w:r>
      <w:proofErr w:type="spellEnd"/>
      <w:r w:rsidR="00FC28F6" w:rsidRPr="00FC28F6">
        <w:rPr>
          <w:rFonts w:ascii="Verdana" w:hAnsi="Verdana"/>
          <w:sz w:val="24"/>
          <w:szCs w:val="24"/>
        </w:rPr>
        <w:t xml:space="preserve"> for allegedly not performing its duties or for </w:t>
      </w:r>
      <w:proofErr w:type="spellStart"/>
      <w:r w:rsidR="00FC28F6" w:rsidRPr="00FC28F6">
        <w:rPr>
          <w:rFonts w:ascii="Verdana" w:hAnsi="Verdana"/>
          <w:sz w:val="24"/>
          <w:szCs w:val="24"/>
        </w:rPr>
        <w:t>Sasfin’s</w:t>
      </w:r>
      <w:proofErr w:type="spellEnd"/>
      <w:r w:rsidR="00FC28F6" w:rsidRPr="00FC28F6">
        <w:rPr>
          <w:rFonts w:ascii="Verdana" w:hAnsi="Verdana"/>
          <w:sz w:val="24"/>
          <w:szCs w:val="24"/>
        </w:rPr>
        <w:t xml:space="preserve"> own shortcomings as an </w:t>
      </w:r>
      <w:proofErr w:type="spellStart"/>
      <w:r w:rsidR="00FC28F6" w:rsidRPr="00FC28F6">
        <w:rPr>
          <w:rFonts w:ascii="Verdana" w:hAnsi="Verdana"/>
          <w:sz w:val="24"/>
          <w:szCs w:val="24"/>
        </w:rPr>
        <w:t>Authorised</w:t>
      </w:r>
      <w:proofErr w:type="spellEnd"/>
      <w:r w:rsidR="00FC28F6" w:rsidRPr="00FC28F6">
        <w:rPr>
          <w:rFonts w:ascii="Verdana" w:hAnsi="Verdana"/>
          <w:sz w:val="24"/>
          <w:szCs w:val="24"/>
        </w:rPr>
        <w:t xml:space="preserve"> Dealer.</w:t>
      </w:r>
      <w:r w:rsidR="00FC28F6" w:rsidRPr="00FC28F6">
        <w:rPr>
          <w:rStyle w:val="FootnoteReference"/>
          <w:rFonts w:ascii="Verdana" w:hAnsi="Verdana"/>
          <w:sz w:val="24"/>
          <w:szCs w:val="24"/>
        </w:rPr>
        <w:footnoteReference w:id="14"/>
      </w:r>
      <w:r w:rsidR="00FC28F6" w:rsidRPr="00FC28F6">
        <w:rPr>
          <w:rFonts w:ascii="Verdana" w:hAnsi="Verdana"/>
          <w:sz w:val="24"/>
          <w:szCs w:val="24"/>
        </w:rPr>
        <w:t xml:space="preserve"> The applicant claims innocence for the contraventions, alleging that it was none the wiser, as it is unfamiliar with the legal framework governing exchange </w:t>
      </w:r>
      <w:r w:rsidR="00FC28F6" w:rsidRPr="00FC28F6">
        <w:rPr>
          <w:rFonts w:ascii="Verdana" w:hAnsi="Verdana"/>
          <w:sz w:val="24"/>
          <w:szCs w:val="24"/>
        </w:rPr>
        <w:lastRenderedPageBreak/>
        <w:t xml:space="preserve">control and therefore relied on </w:t>
      </w:r>
      <w:proofErr w:type="spellStart"/>
      <w:r w:rsidR="00FC28F6" w:rsidRPr="00FC28F6">
        <w:rPr>
          <w:rFonts w:ascii="Verdana" w:hAnsi="Verdana"/>
          <w:sz w:val="24"/>
          <w:szCs w:val="24"/>
        </w:rPr>
        <w:t>Sasfin</w:t>
      </w:r>
      <w:proofErr w:type="spellEnd"/>
      <w:r w:rsidR="00FC28F6" w:rsidRPr="00FC28F6">
        <w:rPr>
          <w:rFonts w:ascii="Verdana" w:hAnsi="Verdana"/>
          <w:sz w:val="24"/>
          <w:szCs w:val="24"/>
        </w:rPr>
        <w:t xml:space="preserve"> for guidance on the requirements of exchange controls.</w:t>
      </w:r>
      <w:r w:rsidR="00FC28F6" w:rsidRPr="00FC28F6">
        <w:rPr>
          <w:rStyle w:val="FootnoteReference"/>
          <w:rFonts w:ascii="Verdana" w:hAnsi="Verdana"/>
          <w:sz w:val="24"/>
          <w:szCs w:val="24"/>
        </w:rPr>
        <w:footnoteReference w:id="15"/>
      </w:r>
      <w:r w:rsidR="00FC28F6" w:rsidRPr="00FC28F6">
        <w:rPr>
          <w:rFonts w:ascii="Verdana" w:hAnsi="Verdana"/>
          <w:sz w:val="24"/>
          <w:szCs w:val="24"/>
        </w:rPr>
        <w:t xml:space="preserve"> The applicant </w:t>
      </w:r>
      <w:r w:rsidR="00FA0CDB">
        <w:rPr>
          <w:rFonts w:ascii="Verdana" w:hAnsi="Verdana"/>
          <w:sz w:val="24"/>
          <w:szCs w:val="24"/>
        </w:rPr>
        <w:t xml:space="preserve">further </w:t>
      </w:r>
      <w:r w:rsidR="00FC28F6" w:rsidRPr="00FC28F6">
        <w:rPr>
          <w:rFonts w:ascii="Verdana" w:hAnsi="Verdana"/>
          <w:sz w:val="24"/>
          <w:szCs w:val="24"/>
        </w:rPr>
        <w:t xml:space="preserve">alleges that it furnished </w:t>
      </w:r>
      <w:proofErr w:type="spellStart"/>
      <w:r w:rsidR="00FC28F6" w:rsidRPr="00FC28F6">
        <w:rPr>
          <w:rFonts w:ascii="Verdana" w:hAnsi="Verdana"/>
          <w:sz w:val="24"/>
          <w:szCs w:val="24"/>
        </w:rPr>
        <w:t>Sasfin</w:t>
      </w:r>
      <w:proofErr w:type="spellEnd"/>
      <w:r w:rsidR="00FC28F6" w:rsidRPr="00FC28F6">
        <w:rPr>
          <w:rFonts w:ascii="Verdana" w:hAnsi="Verdana"/>
          <w:sz w:val="24"/>
          <w:szCs w:val="24"/>
        </w:rPr>
        <w:t xml:space="preserve"> with all the information </w:t>
      </w:r>
      <w:proofErr w:type="spellStart"/>
      <w:r w:rsidR="00FC28F6" w:rsidRPr="00FC28F6">
        <w:rPr>
          <w:rFonts w:ascii="Verdana" w:hAnsi="Verdana"/>
          <w:sz w:val="24"/>
          <w:szCs w:val="24"/>
        </w:rPr>
        <w:t>Sasfin</w:t>
      </w:r>
      <w:proofErr w:type="spellEnd"/>
      <w:r w:rsidR="00FC28F6" w:rsidRPr="00FC28F6">
        <w:rPr>
          <w:rFonts w:ascii="Verdana" w:hAnsi="Verdana"/>
          <w:sz w:val="24"/>
          <w:szCs w:val="24"/>
        </w:rPr>
        <w:t xml:space="preserve"> requested and, therefore, has complied with</w:t>
      </w:r>
      <w:r w:rsidR="00794147">
        <w:rPr>
          <w:rFonts w:ascii="Verdana" w:hAnsi="Verdana"/>
          <w:sz w:val="24"/>
          <w:szCs w:val="24"/>
        </w:rPr>
        <w:t xml:space="preserve"> the provisions of</w:t>
      </w:r>
      <w:r w:rsidR="00FC28F6" w:rsidRPr="00FC28F6">
        <w:rPr>
          <w:rFonts w:ascii="Verdana" w:hAnsi="Verdana"/>
          <w:sz w:val="24"/>
          <w:szCs w:val="24"/>
        </w:rPr>
        <w:t xml:space="preserve"> Regulation 12.</w:t>
      </w:r>
    </w:p>
    <w:p w14:paraId="5C3E26A2" w14:textId="77777777" w:rsidR="005C1A60" w:rsidRPr="00FC28F6" w:rsidRDefault="005C1A60" w:rsidP="00FC28F6">
      <w:pPr>
        <w:tabs>
          <w:tab w:val="left" w:pos="709"/>
        </w:tabs>
        <w:spacing w:before="360" w:after="240" w:line="480" w:lineRule="auto"/>
        <w:jc w:val="both"/>
        <w:rPr>
          <w:rFonts w:ascii="Verdana" w:hAnsi="Verdana"/>
          <w:sz w:val="24"/>
          <w:szCs w:val="24"/>
        </w:rPr>
      </w:pPr>
    </w:p>
    <w:p w14:paraId="1BDD8F93" w14:textId="519AB980" w:rsidR="00FC28F6" w:rsidRDefault="00453FCE" w:rsidP="00FC28F6">
      <w:pPr>
        <w:tabs>
          <w:tab w:val="left" w:pos="709"/>
        </w:tabs>
        <w:spacing w:before="360" w:after="240" w:line="480" w:lineRule="auto"/>
        <w:jc w:val="both"/>
        <w:rPr>
          <w:rFonts w:ascii="Verdana" w:hAnsi="Verdana"/>
          <w:sz w:val="24"/>
          <w:szCs w:val="24"/>
        </w:rPr>
      </w:pPr>
      <w:r>
        <w:rPr>
          <w:rFonts w:ascii="Verdana" w:hAnsi="Verdana"/>
          <w:sz w:val="24"/>
          <w:szCs w:val="24"/>
        </w:rPr>
        <w:t>12</w:t>
      </w:r>
      <w:r w:rsidR="00794147">
        <w:rPr>
          <w:rFonts w:ascii="Verdana" w:hAnsi="Verdana"/>
          <w:sz w:val="24"/>
          <w:szCs w:val="24"/>
        </w:rPr>
        <w:t>]</w:t>
      </w:r>
      <w:r w:rsidR="00FC28F6" w:rsidRPr="00FC28F6">
        <w:rPr>
          <w:rFonts w:ascii="Verdana" w:hAnsi="Verdana"/>
          <w:sz w:val="24"/>
          <w:szCs w:val="24"/>
        </w:rPr>
        <w:t xml:space="preserve"> </w:t>
      </w:r>
      <w:r w:rsidR="005C1A60">
        <w:rPr>
          <w:rFonts w:ascii="Verdana" w:hAnsi="Verdana"/>
          <w:sz w:val="24"/>
          <w:szCs w:val="24"/>
        </w:rPr>
        <w:t xml:space="preserve">It is </w:t>
      </w:r>
      <w:r w:rsidR="00550564">
        <w:rPr>
          <w:rFonts w:ascii="Verdana" w:hAnsi="Verdana"/>
          <w:sz w:val="24"/>
          <w:szCs w:val="24"/>
        </w:rPr>
        <w:t>for this reason that</w:t>
      </w:r>
      <w:r w:rsidR="00FC28F6" w:rsidRPr="00FC28F6">
        <w:rPr>
          <w:rFonts w:ascii="Verdana" w:hAnsi="Verdana"/>
          <w:sz w:val="24"/>
          <w:szCs w:val="24"/>
        </w:rPr>
        <w:t xml:space="preserve"> </w:t>
      </w:r>
      <w:r w:rsidR="00550564">
        <w:rPr>
          <w:rFonts w:ascii="Verdana" w:hAnsi="Verdana"/>
          <w:sz w:val="24"/>
          <w:szCs w:val="24"/>
        </w:rPr>
        <w:t xml:space="preserve">it </w:t>
      </w:r>
      <w:r w:rsidR="00FC28F6" w:rsidRPr="00FC28F6">
        <w:rPr>
          <w:rFonts w:ascii="Verdana" w:hAnsi="Verdana"/>
          <w:sz w:val="24"/>
          <w:szCs w:val="24"/>
        </w:rPr>
        <w:t>conten</w:t>
      </w:r>
      <w:r w:rsidR="00550564">
        <w:rPr>
          <w:rFonts w:ascii="Verdana" w:hAnsi="Verdana"/>
          <w:sz w:val="24"/>
          <w:szCs w:val="24"/>
        </w:rPr>
        <w:t>ds</w:t>
      </w:r>
      <w:r w:rsidR="00FC28F6" w:rsidRPr="00FC28F6">
        <w:rPr>
          <w:rFonts w:ascii="Verdana" w:hAnsi="Verdana"/>
          <w:sz w:val="24"/>
          <w:szCs w:val="24"/>
        </w:rPr>
        <w:t xml:space="preserve"> that </w:t>
      </w:r>
      <w:proofErr w:type="spellStart"/>
      <w:r w:rsidR="00FC28F6" w:rsidRPr="00FC28F6">
        <w:rPr>
          <w:rFonts w:ascii="Verdana" w:hAnsi="Verdana"/>
          <w:sz w:val="24"/>
          <w:szCs w:val="24"/>
        </w:rPr>
        <w:t>FinSurv’s</w:t>
      </w:r>
      <w:proofErr w:type="spellEnd"/>
      <w:r w:rsidR="00FC28F6" w:rsidRPr="00FC28F6">
        <w:rPr>
          <w:rFonts w:ascii="Verdana" w:hAnsi="Verdana"/>
          <w:sz w:val="24"/>
          <w:szCs w:val="24"/>
        </w:rPr>
        <w:t xml:space="preserve"> decision to block its funds and to keep the moratorium directive in place until finali</w:t>
      </w:r>
      <w:r w:rsidR="005C1A60">
        <w:rPr>
          <w:rFonts w:ascii="Verdana" w:hAnsi="Verdana"/>
          <w:sz w:val="24"/>
          <w:szCs w:val="24"/>
        </w:rPr>
        <w:t>z</w:t>
      </w:r>
      <w:r w:rsidR="00FC28F6" w:rsidRPr="00FC28F6">
        <w:rPr>
          <w:rFonts w:ascii="Verdana" w:hAnsi="Verdana"/>
          <w:sz w:val="24"/>
          <w:szCs w:val="24"/>
        </w:rPr>
        <w:t xml:space="preserve">ation of </w:t>
      </w:r>
      <w:proofErr w:type="spellStart"/>
      <w:r w:rsidR="00FC28F6" w:rsidRPr="00FC28F6">
        <w:rPr>
          <w:rFonts w:ascii="Verdana" w:hAnsi="Verdana"/>
          <w:sz w:val="24"/>
          <w:szCs w:val="24"/>
        </w:rPr>
        <w:t>FinSurv’s</w:t>
      </w:r>
      <w:proofErr w:type="spellEnd"/>
      <w:r w:rsidR="00FC28F6" w:rsidRPr="00FC28F6">
        <w:rPr>
          <w:rFonts w:ascii="Verdana" w:hAnsi="Verdana"/>
          <w:sz w:val="24"/>
          <w:szCs w:val="24"/>
        </w:rPr>
        <w:t xml:space="preserve"> current investigation, which could </w:t>
      </w:r>
      <w:r w:rsidR="005C1A60">
        <w:rPr>
          <w:rFonts w:ascii="Verdana" w:hAnsi="Verdana"/>
          <w:sz w:val="24"/>
          <w:szCs w:val="24"/>
        </w:rPr>
        <w:t xml:space="preserve">potentially </w:t>
      </w:r>
      <w:r w:rsidR="00FC28F6" w:rsidRPr="00FC28F6">
        <w:rPr>
          <w:rFonts w:ascii="Verdana" w:hAnsi="Verdana"/>
          <w:sz w:val="24"/>
          <w:szCs w:val="24"/>
        </w:rPr>
        <w:t xml:space="preserve">take up to thirty-six (36) months, will negatively affect </w:t>
      </w:r>
      <w:r w:rsidR="005C1A60">
        <w:rPr>
          <w:rFonts w:ascii="Verdana" w:hAnsi="Verdana"/>
          <w:sz w:val="24"/>
          <w:szCs w:val="24"/>
        </w:rPr>
        <w:t>its b</w:t>
      </w:r>
      <w:r w:rsidR="00FC28F6" w:rsidRPr="00FC28F6">
        <w:rPr>
          <w:rFonts w:ascii="Verdana" w:hAnsi="Verdana"/>
          <w:sz w:val="24"/>
          <w:szCs w:val="24"/>
        </w:rPr>
        <w:t>usiness and force it to close its doors and cease all trade, presumably at the end of March 2024 or sometime in April 2024.</w:t>
      </w:r>
      <w:r w:rsidR="00FC28F6" w:rsidRPr="00FC28F6">
        <w:rPr>
          <w:rStyle w:val="FootnoteReference"/>
          <w:rFonts w:ascii="Verdana" w:hAnsi="Verdana"/>
          <w:sz w:val="24"/>
          <w:szCs w:val="24"/>
        </w:rPr>
        <w:footnoteReference w:id="16"/>
      </w:r>
      <w:r w:rsidR="00FC28F6" w:rsidRPr="00FC28F6">
        <w:rPr>
          <w:rFonts w:ascii="Verdana" w:hAnsi="Verdana"/>
          <w:sz w:val="24"/>
          <w:szCs w:val="24"/>
        </w:rPr>
        <w:t xml:space="preserve"> It </w:t>
      </w:r>
      <w:r w:rsidR="005C1A60">
        <w:rPr>
          <w:rFonts w:ascii="Verdana" w:hAnsi="Verdana"/>
          <w:sz w:val="24"/>
          <w:szCs w:val="24"/>
        </w:rPr>
        <w:t xml:space="preserve">also </w:t>
      </w:r>
      <w:r w:rsidR="00FC28F6" w:rsidRPr="00FC28F6">
        <w:rPr>
          <w:rFonts w:ascii="Verdana" w:hAnsi="Verdana"/>
          <w:sz w:val="24"/>
          <w:szCs w:val="24"/>
        </w:rPr>
        <w:t>contends that it cannot trade without making advance import payments, which is at issue in this case.</w:t>
      </w:r>
      <w:r w:rsidR="00FC28F6" w:rsidRPr="00FC28F6">
        <w:rPr>
          <w:rStyle w:val="FootnoteReference"/>
          <w:rFonts w:ascii="Verdana" w:hAnsi="Verdana"/>
          <w:sz w:val="24"/>
          <w:szCs w:val="24"/>
        </w:rPr>
        <w:footnoteReference w:id="17"/>
      </w:r>
      <w:r w:rsidR="00FC28F6" w:rsidRPr="00FC28F6">
        <w:rPr>
          <w:rFonts w:ascii="Verdana" w:hAnsi="Verdana"/>
          <w:sz w:val="24"/>
          <w:szCs w:val="24"/>
        </w:rPr>
        <w:t xml:space="preserve">  </w:t>
      </w:r>
    </w:p>
    <w:p w14:paraId="7B907F95" w14:textId="77777777" w:rsidR="005C1A60" w:rsidRPr="00FC28F6" w:rsidRDefault="005C1A60" w:rsidP="00FC28F6">
      <w:pPr>
        <w:tabs>
          <w:tab w:val="left" w:pos="709"/>
        </w:tabs>
        <w:spacing w:before="360" w:after="240" w:line="480" w:lineRule="auto"/>
        <w:jc w:val="both"/>
        <w:rPr>
          <w:rFonts w:ascii="Verdana" w:hAnsi="Verdana"/>
          <w:sz w:val="24"/>
          <w:szCs w:val="24"/>
        </w:rPr>
      </w:pPr>
    </w:p>
    <w:p w14:paraId="3A58814A" w14:textId="0D082CBE" w:rsidR="0021169E" w:rsidRDefault="005C1A60" w:rsidP="00FC28F6">
      <w:pPr>
        <w:tabs>
          <w:tab w:val="left" w:pos="709"/>
        </w:tabs>
        <w:spacing w:before="360" w:after="240" w:line="480" w:lineRule="auto"/>
        <w:jc w:val="both"/>
        <w:rPr>
          <w:rFonts w:ascii="Verdana" w:hAnsi="Verdana"/>
          <w:sz w:val="24"/>
          <w:szCs w:val="24"/>
        </w:rPr>
      </w:pPr>
      <w:r>
        <w:rPr>
          <w:rFonts w:ascii="Verdana" w:hAnsi="Verdana"/>
          <w:sz w:val="24"/>
          <w:szCs w:val="24"/>
        </w:rPr>
        <w:t>1</w:t>
      </w:r>
      <w:r w:rsidR="00453FCE">
        <w:rPr>
          <w:rFonts w:ascii="Verdana" w:hAnsi="Verdana"/>
          <w:sz w:val="24"/>
          <w:szCs w:val="24"/>
        </w:rPr>
        <w:t>3</w:t>
      </w:r>
      <w:r>
        <w:rPr>
          <w:rFonts w:ascii="Verdana" w:hAnsi="Verdana"/>
          <w:sz w:val="24"/>
          <w:szCs w:val="24"/>
        </w:rPr>
        <w:t>]</w:t>
      </w:r>
      <w:r w:rsidR="00FC28F6" w:rsidRPr="00FC28F6">
        <w:rPr>
          <w:rFonts w:ascii="Verdana" w:hAnsi="Verdana"/>
          <w:sz w:val="24"/>
          <w:szCs w:val="24"/>
        </w:rPr>
        <w:t xml:space="preserve"> The applicant further </w:t>
      </w:r>
      <w:r w:rsidR="00550564">
        <w:rPr>
          <w:rFonts w:ascii="Verdana" w:hAnsi="Verdana"/>
          <w:sz w:val="24"/>
          <w:szCs w:val="24"/>
        </w:rPr>
        <w:t>allege</w:t>
      </w:r>
      <w:r w:rsidR="00FC28F6" w:rsidRPr="00FC28F6">
        <w:rPr>
          <w:rFonts w:ascii="Verdana" w:hAnsi="Verdana"/>
          <w:sz w:val="24"/>
          <w:szCs w:val="24"/>
        </w:rPr>
        <w:t xml:space="preserve">s that </w:t>
      </w:r>
      <w:proofErr w:type="spellStart"/>
      <w:r w:rsidR="00FC28F6" w:rsidRPr="00FC28F6">
        <w:rPr>
          <w:rFonts w:ascii="Verdana" w:hAnsi="Verdana"/>
          <w:sz w:val="24"/>
          <w:szCs w:val="24"/>
        </w:rPr>
        <w:t>FinSurv</w:t>
      </w:r>
      <w:proofErr w:type="spellEnd"/>
      <w:r w:rsidR="00FC28F6" w:rsidRPr="00FC28F6">
        <w:rPr>
          <w:rFonts w:ascii="Verdana" w:hAnsi="Verdana"/>
          <w:sz w:val="24"/>
          <w:szCs w:val="24"/>
        </w:rPr>
        <w:t xml:space="preserve"> could not have formed a “reasonable suspicion” </w:t>
      </w:r>
      <w:proofErr w:type="gramStart"/>
      <w:r w:rsidR="00FC28F6" w:rsidRPr="00FC28F6">
        <w:rPr>
          <w:rFonts w:ascii="Verdana" w:hAnsi="Verdana"/>
          <w:sz w:val="24"/>
          <w:szCs w:val="24"/>
        </w:rPr>
        <w:t>on the basis of</w:t>
      </w:r>
      <w:proofErr w:type="gramEnd"/>
      <w:r w:rsidR="00FC28F6" w:rsidRPr="00FC28F6">
        <w:rPr>
          <w:rFonts w:ascii="Verdana" w:hAnsi="Verdana"/>
          <w:sz w:val="24"/>
          <w:szCs w:val="24"/>
        </w:rPr>
        <w:t xml:space="preserve"> the documents provided by </w:t>
      </w:r>
      <w:proofErr w:type="spellStart"/>
      <w:r w:rsidR="00FC28F6" w:rsidRPr="00FC28F6">
        <w:rPr>
          <w:rFonts w:ascii="Verdana" w:hAnsi="Verdana"/>
          <w:sz w:val="24"/>
          <w:szCs w:val="24"/>
        </w:rPr>
        <w:t>Sasfin</w:t>
      </w:r>
      <w:proofErr w:type="spellEnd"/>
      <w:r w:rsidR="00FC28F6" w:rsidRPr="00FC28F6">
        <w:rPr>
          <w:rFonts w:ascii="Verdana" w:hAnsi="Verdana"/>
          <w:sz w:val="24"/>
          <w:szCs w:val="24"/>
        </w:rPr>
        <w:t xml:space="preserve"> without querying whether the applicant did, in fact, provide the requested documents.</w:t>
      </w:r>
      <w:r w:rsidR="00FC28F6" w:rsidRPr="00FC28F6">
        <w:rPr>
          <w:rStyle w:val="FootnoteReference"/>
          <w:rFonts w:ascii="Verdana" w:hAnsi="Verdana"/>
          <w:sz w:val="24"/>
          <w:szCs w:val="24"/>
        </w:rPr>
        <w:footnoteReference w:id="18"/>
      </w:r>
      <w:r w:rsidR="00FC28F6" w:rsidRPr="00FC28F6">
        <w:rPr>
          <w:rFonts w:ascii="Verdana" w:hAnsi="Verdana"/>
          <w:sz w:val="24"/>
          <w:szCs w:val="24"/>
        </w:rPr>
        <w:t xml:space="preserve"> </w:t>
      </w:r>
    </w:p>
    <w:p w14:paraId="638322EA" w14:textId="77777777" w:rsidR="0021169E" w:rsidRDefault="0021169E" w:rsidP="00FC28F6">
      <w:pPr>
        <w:tabs>
          <w:tab w:val="left" w:pos="709"/>
        </w:tabs>
        <w:spacing w:before="360" w:after="240" w:line="480" w:lineRule="auto"/>
        <w:jc w:val="both"/>
        <w:rPr>
          <w:rFonts w:ascii="Verdana" w:hAnsi="Verdana"/>
          <w:sz w:val="24"/>
          <w:szCs w:val="24"/>
        </w:rPr>
      </w:pPr>
    </w:p>
    <w:p w14:paraId="069ACA8D" w14:textId="0C1E0E5B" w:rsidR="008535F0" w:rsidRDefault="0021169E" w:rsidP="00FC28F6">
      <w:pPr>
        <w:tabs>
          <w:tab w:val="left" w:pos="709"/>
        </w:tabs>
        <w:spacing w:before="360" w:after="240" w:line="480" w:lineRule="auto"/>
        <w:jc w:val="both"/>
        <w:rPr>
          <w:rFonts w:ascii="Verdana" w:hAnsi="Verdana"/>
          <w:sz w:val="24"/>
          <w:szCs w:val="24"/>
        </w:rPr>
      </w:pPr>
      <w:r>
        <w:rPr>
          <w:rFonts w:ascii="Verdana" w:hAnsi="Verdana"/>
          <w:sz w:val="24"/>
          <w:szCs w:val="24"/>
        </w:rPr>
        <w:t>1</w:t>
      </w:r>
      <w:r w:rsidR="00453FCE">
        <w:rPr>
          <w:rFonts w:ascii="Verdana" w:hAnsi="Verdana"/>
          <w:sz w:val="24"/>
          <w:szCs w:val="24"/>
        </w:rPr>
        <w:t>4</w:t>
      </w:r>
      <w:r>
        <w:rPr>
          <w:rFonts w:ascii="Verdana" w:hAnsi="Verdana"/>
          <w:sz w:val="24"/>
          <w:szCs w:val="24"/>
        </w:rPr>
        <w:t xml:space="preserve">] It </w:t>
      </w:r>
      <w:r w:rsidR="00FC28F6" w:rsidRPr="00FC28F6">
        <w:rPr>
          <w:rFonts w:ascii="Verdana" w:hAnsi="Verdana"/>
          <w:sz w:val="24"/>
          <w:szCs w:val="24"/>
        </w:rPr>
        <w:t xml:space="preserve">further alleges that if </w:t>
      </w:r>
      <w:proofErr w:type="spellStart"/>
      <w:r w:rsidR="00FC28F6" w:rsidRPr="00FC28F6">
        <w:rPr>
          <w:rFonts w:ascii="Verdana" w:hAnsi="Verdana"/>
          <w:sz w:val="24"/>
          <w:szCs w:val="24"/>
        </w:rPr>
        <w:t>FinSurv</w:t>
      </w:r>
      <w:proofErr w:type="spellEnd"/>
      <w:r w:rsidR="00FC28F6" w:rsidRPr="00FC28F6">
        <w:rPr>
          <w:rFonts w:ascii="Verdana" w:hAnsi="Verdana"/>
          <w:sz w:val="24"/>
          <w:szCs w:val="24"/>
        </w:rPr>
        <w:t xml:space="preserve"> did receive such documents from </w:t>
      </w:r>
      <w:proofErr w:type="spellStart"/>
      <w:r w:rsidR="00FC28F6" w:rsidRPr="00FC28F6">
        <w:rPr>
          <w:rFonts w:ascii="Verdana" w:hAnsi="Verdana"/>
          <w:sz w:val="24"/>
          <w:szCs w:val="24"/>
        </w:rPr>
        <w:t>Sasfin</w:t>
      </w:r>
      <w:proofErr w:type="spellEnd"/>
      <w:r w:rsidR="00FC28F6" w:rsidRPr="00FC28F6">
        <w:rPr>
          <w:rFonts w:ascii="Verdana" w:hAnsi="Verdana"/>
          <w:sz w:val="24"/>
          <w:szCs w:val="24"/>
        </w:rPr>
        <w:t xml:space="preserve">, but elected not to disclose same to the Court, </w:t>
      </w:r>
      <w:proofErr w:type="spellStart"/>
      <w:r w:rsidR="00FC28F6" w:rsidRPr="00FC28F6">
        <w:rPr>
          <w:rFonts w:ascii="Verdana" w:hAnsi="Verdana"/>
          <w:sz w:val="24"/>
          <w:szCs w:val="24"/>
        </w:rPr>
        <w:t>FinSurv</w:t>
      </w:r>
      <w:proofErr w:type="spellEnd"/>
      <w:r w:rsidR="00FC28F6" w:rsidRPr="00FC28F6">
        <w:rPr>
          <w:rFonts w:ascii="Verdana" w:hAnsi="Verdana"/>
          <w:sz w:val="24"/>
          <w:szCs w:val="24"/>
        </w:rPr>
        <w:t xml:space="preserve"> “has not acted as a regulator should properly act</w:t>
      </w:r>
      <w:r w:rsidR="00364D7D">
        <w:rPr>
          <w:rFonts w:ascii="Verdana" w:hAnsi="Verdana"/>
          <w:sz w:val="24"/>
          <w:szCs w:val="24"/>
        </w:rPr>
        <w:t>.</w:t>
      </w:r>
      <w:r w:rsidR="00FC28F6" w:rsidRPr="00FC28F6">
        <w:rPr>
          <w:rFonts w:ascii="Verdana" w:hAnsi="Verdana"/>
          <w:sz w:val="24"/>
          <w:szCs w:val="24"/>
        </w:rPr>
        <w:t>”</w:t>
      </w:r>
      <w:r w:rsidR="00FC28F6" w:rsidRPr="00FC28F6">
        <w:rPr>
          <w:rStyle w:val="FootnoteReference"/>
          <w:rFonts w:ascii="Verdana" w:hAnsi="Verdana"/>
          <w:sz w:val="24"/>
          <w:szCs w:val="24"/>
        </w:rPr>
        <w:footnoteReference w:id="19"/>
      </w:r>
      <w:r w:rsidR="00FC28F6" w:rsidRPr="00FC28F6">
        <w:rPr>
          <w:rFonts w:ascii="Verdana" w:hAnsi="Verdana"/>
          <w:sz w:val="24"/>
          <w:szCs w:val="24"/>
        </w:rPr>
        <w:t xml:space="preserve">    </w:t>
      </w:r>
    </w:p>
    <w:p w14:paraId="46461C00" w14:textId="5A3D8EC4" w:rsidR="00FC28F6" w:rsidRPr="00FC28F6" w:rsidRDefault="00FC28F6" w:rsidP="00FC28F6">
      <w:pPr>
        <w:tabs>
          <w:tab w:val="left" w:pos="709"/>
        </w:tabs>
        <w:spacing w:before="360" w:after="240" w:line="480" w:lineRule="auto"/>
        <w:jc w:val="both"/>
        <w:rPr>
          <w:rFonts w:ascii="Verdana" w:hAnsi="Verdana"/>
          <w:sz w:val="24"/>
          <w:szCs w:val="24"/>
        </w:rPr>
      </w:pPr>
      <w:r w:rsidRPr="00FC28F6">
        <w:rPr>
          <w:rFonts w:ascii="Verdana" w:hAnsi="Verdana"/>
          <w:sz w:val="24"/>
          <w:szCs w:val="24"/>
        </w:rPr>
        <w:t xml:space="preserve">   </w:t>
      </w:r>
    </w:p>
    <w:p w14:paraId="0AAD0911" w14:textId="78F7EC9F" w:rsidR="00FC28F6" w:rsidRPr="008535F0" w:rsidRDefault="008535F0" w:rsidP="00FC28F6">
      <w:pPr>
        <w:tabs>
          <w:tab w:val="left" w:pos="709"/>
        </w:tabs>
        <w:spacing w:before="360" w:after="240" w:line="480" w:lineRule="auto"/>
        <w:jc w:val="both"/>
        <w:rPr>
          <w:rFonts w:ascii="Verdana" w:hAnsi="Verdana"/>
          <w:bCs/>
          <w:sz w:val="24"/>
          <w:szCs w:val="24"/>
        </w:rPr>
      </w:pPr>
      <w:r w:rsidRPr="008535F0">
        <w:rPr>
          <w:rFonts w:ascii="Verdana" w:hAnsi="Verdana"/>
          <w:bCs/>
          <w:sz w:val="24"/>
          <w:szCs w:val="24"/>
        </w:rPr>
        <w:t>THE FIRST RESPONDENT’S CONTENTIONS</w:t>
      </w:r>
    </w:p>
    <w:p w14:paraId="4A8D0993" w14:textId="06653386" w:rsidR="008535F0" w:rsidRDefault="008535F0" w:rsidP="008535F0">
      <w:pPr>
        <w:tabs>
          <w:tab w:val="left" w:pos="709"/>
        </w:tabs>
        <w:spacing w:before="360" w:after="240" w:line="480" w:lineRule="auto"/>
        <w:jc w:val="both"/>
        <w:rPr>
          <w:rFonts w:ascii="Verdana" w:hAnsi="Verdana"/>
          <w:sz w:val="24"/>
          <w:szCs w:val="24"/>
        </w:rPr>
      </w:pPr>
      <w:r>
        <w:rPr>
          <w:rFonts w:ascii="Verdana" w:hAnsi="Verdana"/>
          <w:sz w:val="24"/>
          <w:szCs w:val="24"/>
        </w:rPr>
        <w:t>1</w:t>
      </w:r>
      <w:r w:rsidR="00453FCE">
        <w:rPr>
          <w:rFonts w:ascii="Verdana" w:hAnsi="Verdana"/>
          <w:sz w:val="24"/>
          <w:szCs w:val="24"/>
        </w:rPr>
        <w:t>5</w:t>
      </w:r>
      <w:r>
        <w:rPr>
          <w:rFonts w:ascii="Verdana" w:hAnsi="Verdana"/>
          <w:sz w:val="24"/>
          <w:szCs w:val="24"/>
        </w:rPr>
        <w:t>]</w:t>
      </w:r>
      <w:r w:rsidR="00FC28F6" w:rsidRPr="00FC28F6">
        <w:rPr>
          <w:rFonts w:ascii="Verdana" w:hAnsi="Verdana"/>
          <w:sz w:val="24"/>
          <w:szCs w:val="24"/>
        </w:rPr>
        <w:t xml:space="preserve"> </w:t>
      </w:r>
      <w:r>
        <w:rPr>
          <w:rFonts w:ascii="Verdana" w:hAnsi="Verdana"/>
          <w:sz w:val="24"/>
          <w:szCs w:val="24"/>
        </w:rPr>
        <w:t>T</w:t>
      </w:r>
      <w:r w:rsidRPr="00FC28F6">
        <w:rPr>
          <w:rFonts w:ascii="Verdana" w:hAnsi="Verdana"/>
          <w:sz w:val="24"/>
          <w:szCs w:val="24"/>
        </w:rPr>
        <w:t xml:space="preserve">he SARB is governed by the South African Reserve Bank Act </w:t>
      </w:r>
      <w:r w:rsidRPr="00FC28F6">
        <w:rPr>
          <w:rStyle w:val="FootnoteReference"/>
          <w:rFonts w:ascii="Verdana" w:hAnsi="Verdana"/>
          <w:sz w:val="24"/>
          <w:szCs w:val="24"/>
        </w:rPr>
        <w:footnoteReference w:id="20"/>
      </w:r>
      <w:r w:rsidRPr="00FC28F6">
        <w:rPr>
          <w:rFonts w:ascii="Verdana" w:hAnsi="Verdana"/>
          <w:sz w:val="24"/>
          <w:szCs w:val="24"/>
        </w:rPr>
        <w:t xml:space="preserve"> (“SARB Act”) and the Constitution of the Republic of South Africa, 1996 ("the Constitution"). </w:t>
      </w:r>
      <w:r w:rsidRPr="00FC28F6">
        <w:rPr>
          <w:rStyle w:val="FootnoteReference"/>
          <w:rFonts w:ascii="Verdana" w:hAnsi="Verdana"/>
          <w:sz w:val="24"/>
          <w:szCs w:val="24"/>
        </w:rPr>
        <w:footnoteReference w:id="21"/>
      </w:r>
    </w:p>
    <w:p w14:paraId="01752220" w14:textId="77777777" w:rsidR="008535F0" w:rsidRDefault="008535F0" w:rsidP="008535F0">
      <w:pPr>
        <w:tabs>
          <w:tab w:val="left" w:pos="709"/>
        </w:tabs>
        <w:spacing w:before="360" w:after="240" w:line="480" w:lineRule="auto"/>
        <w:jc w:val="both"/>
        <w:rPr>
          <w:rFonts w:ascii="Verdana" w:hAnsi="Verdana"/>
          <w:sz w:val="24"/>
          <w:szCs w:val="24"/>
        </w:rPr>
      </w:pPr>
    </w:p>
    <w:p w14:paraId="02436EB6" w14:textId="1D2EFE8D" w:rsidR="008535F0" w:rsidRPr="00FC28F6" w:rsidRDefault="008535F0" w:rsidP="008535F0">
      <w:pPr>
        <w:tabs>
          <w:tab w:val="left" w:pos="709"/>
        </w:tabs>
        <w:spacing w:before="360" w:after="240" w:line="480" w:lineRule="auto"/>
        <w:jc w:val="both"/>
        <w:rPr>
          <w:rFonts w:ascii="Verdana" w:hAnsi="Verdana"/>
          <w:sz w:val="24"/>
          <w:szCs w:val="24"/>
        </w:rPr>
      </w:pPr>
      <w:r>
        <w:rPr>
          <w:rFonts w:ascii="Verdana" w:hAnsi="Verdana"/>
          <w:sz w:val="24"/>
          <w:szCs w:val="24"/>
        </w:rPr>
        <w:t>1</w:t>
      </w:r>
      <w:r w:rsidR="00453FCE">
        <w:rPr>
          <w:rFonts w:ascii="Verdana" w:hAnsi="Verdana"/>
          <w:sz w:val="24"/>
          <w:szCs w:val="24"/>
        </w:rPr>
        <w:t>6</w:t>
      </w:r>
      <w:r>
        <w:rPr>
          <w:rFonts w:ascii="Verdana" w:hAnsi="Verdana"/>
          <w:sz w:val="24"/>
          <w:szCs w:val="24"/>
        </w:rPr>
        <w:t>] The first respondent is</w:t>
      </w:r>
      <w:r w:rsidRPr="00FC28F6">
        <w:rPr>
          <w:rFonts w:ascii="Verdana" w:hAnsi="Verdana"/>
          <w:sz w:val="24"/>
          <w:szCs w:val="24"/>
        </w:rPr>
        <w:t xml:space="preserve"> a statutory body which is subject only to the Constitution and the law, and should perform its functions without fear, </w:t>
      </w:r>
      <w:proofErr w:type="spellStart"/>
      <w:r w:rsidRPr="00FC28F6">
        <w:rPr>
          <w:rFonts w:ascii="Verdana" w:hAnsi="Verdana"/>
          <w:sz w:val="24"/>
          <w:szCs w:val="24"/>
        </w:rPr>
        <w:t>favour</w:t>
      </w:r>
      <w:proofErr w:type="spellEnd"/>
      <w:r w:rsidRPr="00FC28F6">
        <w:rPr>
          <w:rFonts w:ascii="Verdana" w:hAnsi="Verdana"/>
          <w:sz w:val="24"/>
          <w:szCs w:val="24"/>
        </w:rPr>
        <w:t xml:space="preserve"> or prejudice.</w:t>
      </w:r>
      <w:r w:rsidR="00B45278">
        <w:rPr>
          <w:rFonts w:ascii="Verdana" w:hAnsi="Verdana"/>
          <w:sz w:val="24"/>
          <w:szCs w:val="24"/>
        </w:rPr>
        <w:t xml:space="preserve"> </w:t>
      </w:r>
      <w:r w:rsidRPr="00FC28F6">
        <w:rPr>
          <w:rFonts w:ascii="Verdana" w:hAnsi="Verdana"/>
          <w:sz w:val="24"/>
          <w:szCs w:val="24"/>
        </w:rPr>
        <w:t xml:space="preserve">It should, therefore, not be encumbered by threats </w:t>
      </w:r>
      <w:proofErr w:type="gramStart"/>
      <w:r w:rsidRPr="00FC28F6">
        <w:rPr>
          <w:rFonts w:ascii="Verdana" w:hAnsi="Verdana"/>
          <w:sz w:val="24"/>
          <w:szCs w:val="24"/>
        </w:rPr>
        <w:t>of</w:t>
      </w:r>
      <w:proofErr w:type="gramEnd"/>
      <w:r w:rsidRPr="00FC28F6">
        <w:rPr>
          <w:rFonts w:ascii="Verdana" w:hAnsi="Verdana"/>
          <w:sz w:val="24"/>
          <w:szCs w:val="24"/>
        </w:rPr>
        <w:t xml:space="preserve"> private companies in the exercise of its functions. </w:t>
      </w:r>
    </w:p>
    <w:p w14:paraId="39941DAE" w14:textId="6FFAEF11" w:rsidR="008535F0" w:rsidRDefault="008535F0" w:rsidP="00FC28F6">
      <w:pPr>
        <w:tabs>
          <w:tab w:val="left" w:pos="709"/>
        </w:tabs>
        <w:spacing w:before="360" w:after="240" w:line="480" w:lineRule="auto"/>
        <w:jc w:val="both"/>
        <w:rPr>
          <w:rFonts w:ascii="Verdana" w:hAnsi="Verdana"/>
          <w:sz w:val="24"/>
          <w:szCs w:val="24"/>
        </w:rPr>
      </w:pPr>
    </w:p>
    <w:p w14:paraId="566137E5" w14:textId="1A0D0E6D" w:rsidR="006A1759" w:rsidRDefault="008535F0" w:rsidP="00FC28F6">
      <w:pPr>
        <w:tabs>
          <w:tab w:val="left" w:pos="709"/>
        </w:tabs>
        <w:spacing w:before="360" w:after="240" w:line="480" w:lineRule="auto"/>
        <w:jc w:val="both"/>
        <w:rPr>
          <w:rFonts w:ascii="Verdana" w:hAnsi="Verdana"/>
          <w:sz w:val="24"/>
          <w:szCs w:val="24"/>
        </w:rPr>
      </w:pPr>
      <w:r>
        <w:rPr>
          <w:rFonts w:ascii="Verdana" w:hAnsi="Verdana"/>
          <w:sz w:val="24"/>
          <w:szCs w:val="24"/>
        </w:rPr>
        <w:t>1</w:t>
      </w:r>
      <w:r w:rsidR="00453FCE">
        <w:rPr>
          <w:rFonts w:ascii="Verdana" w:hAnsi="Verdana"/>
          <w:sz w:val="24"/>
          <w:szCs w:val="24"/>
        </w:rPr>
        <w:t>7</w:t>
      </w:r>
      <w:r>
        <w:rPr>
          <w:rFonts w:ascii="Verdana" w:hAnsi="Verdana"/>
          <w:sz w:val="24"/>
          <w:szCs w:val="24"/>
        </w:rPr>
        <w:t xml:space="preserve">] It further asserts, that </w:t>
      </w:r>
      <w:proofErr w:type="spellStart"/>
      <w:r w:rsidR="00FC28F6" w:rsidRPr="00FC28F6">
        <w:rPr>
          <w:rFonts w:ascii="Verdana" w:hAnsi="Verdana"/>
          <w:sz w:val="24"/>
          <w:szCs w:val="24"/>
        </w:rPr>
        <w:t>FinSurv</w:t>
      </w:r>
      <w:proofErr w:type="spellEnd"/>
      <w:r w:rsidR="00FC28F6" w:rsidRPr="00FC28F6">
        <w:rPr>
          <w:rFonts w:ascii="Verdana" w:hAnsi="Verdana"/>
          <w:sz w:val="24"/>
          <w:szCs w:val="24"/>
        </w:rPr>
        <w:t xml:space="preserve"> </w:t>
      </w:r>
      <w:r w:rsidR="0094531A" w:rsidRPr="00FC28F6">
        <w:rPr>
          <w:rFonts w:ascii="Verdana" w:hAnsi="Verdana"/>
          <w:sz w:val="24"/>
          <w:szCs w:val="24"/>
        </w:rPr>
        <w:t>now seized with the investigation</w:t>
      </w:r>
      <w:r w:rsidR="0094531A">
        <w:rPr>
          <w:rFonts w:ascii="Verdana" w:hAnsi="Verdana"/>
          <w:sz w:val="24"/>
          <w:szCs w:val="24"/>
        </w:rPr>
        <w:t xml:space="preserve">, </w:t>
      </w:r>
      <w:r>
        <w:rPr>
          <w:rFonts w:ascii="Verdana" w:hAnsi="Verdana"/>
          <w:sz w:val="24"/>
          <w:szCs w:val="24"/>
        </w:rPr>
        <w:t>should</w:t>
      </w:r>
      <w:r w:rsidR="00FC28F6" w:rsidRPr="00FC28F6">
        <w:rPr>
          <w:rFonts w:ascii="Verdana" w:hAnsi="Verdana"/>
          <w:sz w:val="24"/>
          <w:szCs w:val="24"/>
        </w:rPr>
        <w:t xml:space="preserve"> be allowed to investigate without interference</w:t>
      </w:r>
      <w:r>
        <w:rPr>
          <w:rFonts w:ascii="Verdana" w:hAnsi="Verdana"/>
          <w:sz w:val="24"/>
          <w:szCs w:val="24"/>
        </w:rPr>
        <w:t xml:space="preserve">, and it is on this basis </w:t>
      </w:r>
      <w:r>
        <w:rPr>
          <w:rFonts w:ascii="Verdana" w:hAnsi="Verdana"/>
          <w:sz w:val="24"/>
          <w:szCs w:val="24"/>
        </w:rPr>
        <w:lastRenderedPageBreak/>
        <w:t xml:space="preserve">that it asserts that the </w:t>
      </w:r>
      <w:r w:rsidR="00FC28F6" w:rsidRPr="00FC28F6">
        <w:rPr>
          <w:rFonts w:ascii="Verdana" w:hAnsi="Verdana"/>
          <w:sz w:val="24"/>
          <w:szCs w:val="24"/>
        </w:rPr>
        <w:t xml:space="preserve">applicant’s urgency is self-created, and the applicant’s contention that it provided all the documents and information to </w:t>
      </w:r>
      <w:proofErr w:type="spellStart"/>
      <w:r w:rsidR="00FC28F6" w:rsidRPr="00FC28F6">
        <w:rPr>
          <w:rFonts w:ascii="Verdana" w:hAnsi="Verdana"/>
          <w:sz w:val="24"/>
          <w:szCs w:val="24"/>
        </w:rPr>
        <w:t>Sasfin</w:t>
      </w:r>
      <w:proofErr w:type="spellEnd"/>
      <w:r w:rsidR="00FC28F6" w:rsidRPr="00FC28F6">
        <w:rPr>
          <w:rFonts w:ascii="Verdana" w:hAnsi="Verdana"/>
          <w:sz w:val="24"/>
          <w:szCs w:val="24"/>
        </w:rPr>
        <w:t xml:space="preserve"> should have been addressed with </w:t>
      </w:r>
      <w:proofErr w:type="spellStart"/>
      <w:r w:rsidR="00FC28F6" w:rsidRPr="00FC28F6">
        <w:rPr>
          <w:rFonts w:ascii="Verdana" w:hAnsi="Verdana"/>
          <w:sz w:val="24"/>
          <w:szCs w:val="24"/>
        </w:rPr>
        <w:t>Sasfin</w:t>
      </w:r>
      <w:proofErr w:type="spellEnd"/>
      <w:r w:rsidR="00C76CA4">
        <w:rPr>
          <w:rFonts w:ascii="Verdana" w:hAnsi="Verdana"/>
          <w:sz w:val="24"/>
          <w:szCs w:val="24"/>
        </w:rPr>
        <w:t xml:space="preserve">. It is </w:t>
      </w:r>
      <w:proofErr w:type="gramStart"/>
      <w:r w:rsidR="00C76CA4">
        <w:rPr>
          <w:rFonts w:ascii="Verdana" w:hAnsi="Verdana"/>
          <w:sz w:val="24"/>
          <w:szCs w:val="24"/>
        </w:rPr>
        <w:t>common</w:t>
      </w:r>
      <w:proofErr w:type="gramEnd"/>
      <w:r w:rsidR="00C76CA4">
        <w:rPr>
          <w:rFonts w:ascii="Verdana" w:hAnsi="Verdana"/>
          <w:sz w:val="24"/>
          <w:szCs w:val="24"/>
        </w:rPr>
        <w:t xml:space="preserve"> cause that </w:t>
      </w:r>
      <w:proofErr w:type="spellStart"/>
      <w:r w:rsidR="00C76CA4">
        <w:rPr>
          <w:rFonts w:ascii="Verdana" w:hAnsi="Verdana"/>
          <w:sz w:val="24"/>
          <w:szCs w:val="24"/>
        </w:rPr>
        <w:t>Sasfin</w:t>
      </w:r>
      <w:proofErr w:type="spellEnd"/>
      <w:r w:rsidR="00C76CA4">
        <w:rPr>
          <w:rFonts w:ascii="Verdana" w:hAnsi="Verdana"/>
          <w:sz w:val="24"/>
          <w:szCs w:val="24"/>
        </w:rPr>
        <w:t xml:space="preserve"> has not been cited in these proceedings.</w:t>
      </w:r>
    </w:p>
    <w:p w14:paraId="4E7EA32B" w14:textId="77777777" w:rsidR="006A1759" w:rsidRDefault="006A1759" w:rsidP="00FC28F6">
      <w:pPr>
        <w:tabs>
          <w:tab w:val="left" w:pos="709"/>
        </w:tabs>
        <w:spacing w:before="360" w:after="240" w:line="480" w:lineRule="auto"/>
        <w:jc w:val="both"/>
        <w:rPr>
          <w:rFonts w:ascii="Verdana" w:hAnsi="Verdana"/>
          <w:sz w:val="24"/>
          <w:szCs w:val="24"/>
        </w:rPr>
      </w:pPr>
    </w:p>
    <w:p w14:paraId="1334936E" w14:textId="4E2EA613" w:rsidR="006A1759" w:rsidRDefault="006A1759" w:rsidP="006A1759">
      <w:pPr>
        <w:tabs>
          <w:tab w:val="left" w:pos="709"/>
        </w:tabs>
        <w:spacing w:before="360" w:after="240" w:line="480" w:lineRule="auto"/>
        <w:jc w:val="both"/>
        <w:rPr>
          <w:rFonts w:ascii="Verdana" w:hAnsi="Verdana"/>
          <w:sz w:val="24"/>
          <w:szCs w:val="24"/>
        </w:rPr>
      </w:pPr>
      <w:r>
        <w:rPr>
          <w:rFonts w:ascii="Verdana" w:hAnsi="Verdana"/>
          <w:sz w:val="24"/>
          <w:szCs w:val="24"/>
        </w:rPr>
        <w:t>1</w:t>
      </w:r>
      <w:r w:rsidR="00453FCE">
        <w:rPr>
          <w:rFonts w:ascii="Verdana" w:hAnsi="Verdana"/>
          <w:sz w:val="24"/>
          <w:szCs w:val="24"/>
        </w:rPr>
        <w:t>8</w:t>
      </w:r>
      <w:r>
        <w:rPr>
          <w:rFonts w:ascii="Verdana" w:hAnsi="Verdana"/>
          <w:sz w:val="24"/>
          <w:szCs w:val="24"/>
        </w:rPr>
        <w:t xml:space="preserve">] It is on this basis that the </w:t>
      </w:r>
      <w:r w:rsidR="009F50CF">
        <w:rPr>
          <w:rFonts w:ascii="Verdana" w:hAnsi="Verdana"/>
          <w:sz w:val="24"/>
          <w:szCs w:val="24"/>
        </w:rPr>
        <w:t>first respondent</w:t>
      </w:r>
      <w:r>
        <w:rPr>
          <w:rFonts w:ascii="Verdana" w:hAnsi="Verdana"/>
          <w:sz w:val="24"/>
          <w:szCs w:val="24"/>
        </w:rPr>
        <w:t xml:space="preserve"> alleges that there</w:t>
      </w:r>
      <w:r w:rsidRPr="00FC28F6">
        <w:rPr>
          <w:rFonts w:ascii="Verdana" w:hAnsi="Verdana"/>
          <w:sz w:val="24"/>
          <w:szCs w:val="24"/>
        </w:rPr>
        <w:t xml:space="preserve"> is no urgency</w:t>
      </w:r>
      <w:r>
        <w:rPr>
          <w:rFonts w:ascii="Verdana" w:hAnsi="Verdana"/>
          <w:sz w:val="24"/>
          <w:szCs w:val="24"/>
        </w:rPr>
        <w:t xml:space="preserve"> for the application to be enrolled in the urgent court, nor </w:t>
      </w:r>
      <w:r w:rsidRPr="00FC28F6">
        <w:rPr>
          <w:rFonts w:ascii="Verdana" w:hAnsi="Verdana"/>
          <w:sz w:val="24"/>
          <w:szCs w:val="24"/>
        </w:rPr>
        <w:t>has</w:t>
      </w:r>
      <w:r>
        <w:rPr>
          <w:rFonts w:ascii="Verdana" w:hAnsi="Verdana"/>
          <w:sz w:val="24"/>
          <w:szCs w:val="24"/>
        </w:rPr>
        <w:t xml:space="preserve"> a case bee</w:t>
      </w:r>
      <w:r w:rsidR="002522BF">
        <w:rPr>
          <w:rFonts w:ascii="Verdana" w:hAnsi="Verdana"/>
          <w:sz w:val="24"/>
          <w:szCs w:val="24"/>
        </w:rPr>
        <w:t>n</w:t>
      </w:r>
      <w:r w:rsidRPr="00FC28F6">
        <w:rPr>
          <w:rFonts w:ascii="Verdana" w:hAnsi="Verdana"/>
          <w:sz w:val="24"/>
          <w:szCs w:val="24"/>
        </w:rPr>
        <w:t xml:space="preserve"> made out</w:t>
      </w:r>
      <w:r w:rsidR="002522BF">
        <w:rPr>
          <w:rFonts w:ascii="Verdana" w:hAnsi="Verdana"/>
          <w:sz w:val="24"/>
          <w:szCs w:val="24"/>
        </w:rPr>
        <w:t xml:space="preserve"> </w:t>
      </w:r>
      <w:r w:rsidRPr="00FC28F6">
        <w:rPr>
          <w:rFonts w:ascii="Verdana" w:hAnsi="Verdana"/>
          <w:sz w:val="24"/>
          <w:szCs w:val="24"/>
        </w:rPr>
        <w:t xml:space="preserve">for </w:t>
      </w:r>
      <w:r w:rsidR="002522BF">
        <w:rPr>
          <w:rFonts w:ascii="Verdana" w:hAnsi="Verdana"/>
          <w:sz w:val="24"/>
          <w:szCs w:val="24"/>
        </w:rPr>
        <w:t xml:space="preserve">the </w:t>
      </w:r>
      <w:r w:rsidRPr="00FC28F6">
        <w:rPr>
          <w:rFonts w:ascii="Verdana" w:hAnsi="Verdana"/>
          <w:sz w:val="24"/>
          <w:szCs w:val="24"/>
        </w:rPr>
        <w:t>urgent determination of this application</w:t>
      </w:r>
      <w:r>
        <w:rPr>
          <w:rFonts w:ascii="Verdana" w:hAnsi="Verdana"/>
          <w:sz w:val="24"/>
          <w:szCs w:val="24"/>
        </w:rPr>
        <w:t>.</w:t>
      </w:r>
    </w:p>
    <w:p w14:paraId="14C7A756" w14:textId="77777777" w:rsidR="006A1759" w:rsidRDefault="006A1759" w:rsidP="006A1759">
      <w:pPr>
        <w:tabs>
          <w:tab w:val="left" w:pos="709"/>
        </w:tabs>
        <w:spacing w:before="360" w:after="240" w:line="480" w:lineRule="auto"/>
        <w:jc w:val="both"/>
        <w:rPr>
          <w:rFonts w:ascii="Verdana" w:hAnsi="Verdana"/>
          <w:sz w:val="24"/>
          <w:szCs w:val="24"/>
        </w:rPr>
      </w:pPr>
    </w:p>
    <w:p w14:paraId="4F75D671" w14:textId="17F44416" w:rsidR="006A1759" w:rsidRDefault="006A1759" w:rsidP="006A1759">
      <w:pPr>
        <w:tabs>
          <w:tab w:val="left" w:pos="709"/>
        </w:tabs>
        <w:spacing w:before="360" w:after="240" w:line="480" w:lineRule="auto"/>
        <w:jc w:val="both"/>
        <w:rPr>
          <w:rFonts w:ascii="Verdana" w:hAnsi="Verdana"/>
          <w:sz w:val="24"/>
          <w:szCs w:val="24"/>
        </w:rPr>
      </w:pPr>
      <w:r>
        <w:rPr>
          <w:rFonts w:ascii="Verdana" w:hAnsi="Verdana"/>
          <w:sz w:val="24"/>
          <w:szCs w:val="24"/>
        </w:rPr>
        <w:t>1</w:t>
      </w:r>
      <w:r w:rsidR="00453FCE">
        <w:rPr>
          <w:rFonts w:ascii="Verdana" w:hAnsi="Verdana"/>
          <w:sz w:val="24"/>
          <w:szCs w:val="24"/>
        </w:rPr>
        <w:t>9</w:t>
      </w:r>
      <w:r>
        <w:rPr>
          <w:rFonts w:ascii="Verdana" w:hAnsi="Verdana"/>
          <w:sz w:val="24"/>
          <w:szCs w:val="24"/>
        </w:rPr>
        <w:t>] In addition, the first respondent asserts that t</w:t>
      </w:r>
      <w:r w:rsidRPr="00FC28F6">
        <w:rPr>
          <w:rFonts w:ascii="Verdana" w:hAnsi="Verdana"/>
          <w:sz w:val="24"/>
          <w:szCs w:val="24"/>
        </w:rPr>
        <w:t>he applican</w:t>
      </w:r>
      <w:r>
        <w:rPr>
          <w:rFonts w:ascii="Verdana" w:hAnsi="Verdana"/>
          <w:sz w:val="24"/>
          <w:szCs w:val="24"/>
        </w:rPr>
        <w:t>t</w:t>
      </w:r>
      <w:r w:rsidRPr="00FC28F6">
        <w:rPr>
          <w:rFonts w:ascii="Verdana" w:hAnsi="Verdana"/>
          <w:sz w:val="24"/>
          <w:szCs w:val="24"/>
        </w:rPr>
        <w:t xml:space="preserve"> </w:t>
      </w:r>
      <w:proofErr w:type="gramStart"/>
      <w:r w:rsidRPr="00FC28F6">
        <w:rPr>
          <w:rFonts w:ascii="Verdana" w:hAnsi="Verdana"/>
          <w:sz w:val="24"/>
          <w:szCs w:val="24"/>
        </w:rPr>
        <w:t>lack</w:t>
      </w:r>
      <w:r w:rsidR="00506D62">
        <w:rPr>
          <w:rFonts w:ascii="Verdana" w:hAnsi="Verdana"/>
          <w:sz w:val="24"/>
          <w:szCs w:val="24"/>
        </w:rPr>
        <w:t>s</w:t>
      </w:r>
      <w:r w:rsidRPr="00FC28F6">
        <w:rPr>
          <w:rFonts w:ascii="Verdana" w:hAnsi="Verdana"/>
          <w:sz w:val="24"/>
          <w:szCs w:val="24"/>
        </w:rPr>
        <w:t xml:space="preserve"> of</w:t>
      </w:r>
      <w:proofErr w:type="gramEnd"/>
      <w:r w:rsidRPr="00FC28F6">
        <w:rPr>
          <w:rFonts w:ascii="Verdana" w:hAnsi="Verdana"/>
          <w:sz w:val="24"/>
          <w:szCs w:val="24"/>
        </w:rPr>
        <w:t xml:space="preserve"> knowledge of the statutory framework governing its business operations and its alleged reliance on </w:t>
      </w:r>
      <w:proofErr w:type="spellStart"/>
      <w:r w:rsidRPr="00FC28F6">
        <w:rPr>
          <w:rFonts w:ascii="Verdana" w:hAnsi="Verdana"/>
          <w:sz w:val="24"/>
          <w:szCs w:val="24"/>
        </w:rPr>
        <w:t>Sasfin</w:t>
      </w:r>
      <w:proofErr w:type="spellEnd"/>
      <w:r w:rsidRPr="00FC28F6">
        <w:rPr>
          <w:rFonts w:ascii="Verdana" w:hAnsi="Verdana"/>
          <w:sz w:val="24"/>
          <w:szCs w:val="24"/>
        </w:rPr>
        <w:t xml:space="preserve"> to bring its non-compliance to its attention are irrelevant to the applicable legal test.</w:t>
      </w:r>
    </w:p>
    <w:p w14:paraId="5B075DCA" w14:textId="1150450E" w:rsidR="006A1759" w:rsidRPr="00FC28F6" w:rsidRDefault="006A1759" w:rsidP="006A1759">
      <w:pPr>
        <w:tabs>
          <w:tab w:val="left" w:pos="709"/>
        </w:tabs>
        <w:spacing w:before="360" w:after="240" w:line="480" w:lineRule="auto"/>
        <w:jc w:val="both"/>
        <w:rPr>
          <w:rFonts w:ascii="Verdana" w:hAnsi="Verdana"/>
          <w:sz w:val="24"/>
          <w:szCs w:val="24"/>
        </w:rPr>
      </w:pPr>
      <w:r w:rsidRPr="00FC28F6">
        <w:rPr>
          <w:rFonts w:ascii="Verdana" w:hAnsi="Verdana"/>
          <w:sz w:val="24"/>
          <w:szCs w:val="24"/>
        </w:rPr>
        <w:t xml:space="preserve"> </w:t>
      </w:r>
    </w:p>
    <w:p w14:paraId="18F6CB8C" w14:textId="47A6C4E1" w:rsidR="00CE1EC8" w:rsidRDefault="00453FCE" w:rsidP="006A1759">
      <w:pPr>
        <w:tabs>
          <w:tab w:val="left" w:pos="709"/>
        </w:tabs>
        <w:spacing w:before="360" w:after="240" w:line="480" w:lineRule="auto"/>
        <w:jc w:val="both"/>
        <w:rPr>
          <w:rFonts w:ascii="Verdana" w:hAnsi="Verdana"/>
          <w:sz w:val="24"/>
          <w:szCs w:val="24"/>
        </w:rPr>
      </w:pPr>
      <w:r>
        <w:rPr>
          <w:rFonts w:ascii="Verdana" w:hAnsi="Verdana"/>
          <w:sz w:val="24"/>
          <w:szCs w:val="24"/>
        </w:rPr>
        <w:t>20</w:t>
      </w:r>
      <w:r w:rsidR="006A1759">
        <w:rPr>
          <w:rFonts w:ascii="Verdana" w:hAnsi="Verdana"/>
          <w:sz w:val="24"/>
          <w:szCs w:val="24"/>
        </w:rPr>
        <w:t xml:space="preserve">] The first respondent further asserts that the </w:t>
      </w:r>
      <w:r w:rsidR="006A1759" w:rsidRPr="00FC28F6">
        <w:rPr>
          <w:rFonts w:ascii="Verdana" w:hAnsi="Verdana"/>
          <w:sz w:val="24"/>
          <w:szCs w:val="24"/>
        </w:rPr>
        <w:t>objective facts undercut the applicant’s v</w:t>
      </w:r>
      <w:r w:rsidR="006A1759">
        <w:rPr>
          <w:rFonts w:ascii="Verdana" w:hAnsi="Verdana"/>
          <w:sz w:val="24"/>
          <w:szCs w:val="24"/>
        </w:rPr>
        <w:t xml:space="preserve">ersion and in addition to the above the </w:t>
      </w:r>
      <w:r w:rsidR="006A1759" w:rsidRPr="00FC28F6">
        <w:rPr>
          <w:rFonts w:ascii="Verdana" w:hAnsi="Verdana"/>
          <w:sz w:val="24"/>
          <w:szCs w:val="24"/>
        </w:rPr>
        <w:t xml:space="preserve">applicant has </w:t>
      </w:r>
      <w:r w:rsidR="006A1759">
        <w:rPr>
          <w:rFonts w:ascii="Verdana" w:hAnsi="Verdana"/>
          <w:sz w:val="24"/>
          <w:szCs w:val="24"/>
        </w:rPr>
        <w:t xml:space="preserve">further </w:t>
      </w:r>
      <w:r w:rsidR="006A1759" w:rsidRPr="00FC28F6">
        <w:rPr>
          <w:rFonts w:ascii="Verdana" w:hAnsi="Verdana"/>
          <w:sz w:val="24"/>
          <w:szCs w:val="24"/>
        </w:rPr>
        <w:t>failed to prove compliance with the requi</w:t>
      </w:r>
      <w:r w:rsidR="002522BF">
        <w:rPr>
          <w:rFonts w:ascii="Verdana" w:hAnsi="Verdana"/>
          <w:sz w:val="24"/>
          <w:szCs w:val="24"/>
        </w:rPr>
        <w:t>rements for</w:t>
      </w:r>
      <w:r w:rsidR="006A1759" w:rsidRPr="00FC28F6">
        <w:rPr>
          <w:rFonts w:ascii="Verdana" w:hAnsi="Verdana"/>
          <w:sz w:val="24"/>
          <w:szCs w:val="24"/>
        </w:rPr>
        <w:t xml:space="preserve"> an interim interdict.</w:t>
      </w:r>
    </w:p>
    <w:p w14:paraId="3C8C0D9F" w14:textId="77777777" w:rsidR="00D30AA9" w:rsidRPr="00D30AA9" w:rsidRDefault="00D30AA9" w:rsidP="006A1759">
      <w:pPr>
        <w:tabs>
          <w:tab w:val="left" w:pos="709"/>
        </w:tabs>
        <w:spacing w:before="360" w:after="240" w:line="480" w:lineRule="auto"/>
        <w:jc w:val="both"/>
        <w:rPr>
          <w:rFonts w:ascii="Verdana" w:hAnsi="Verdana"/>
          <w:sz w:val="24"/>
          <w:szCs w:val="24"/>
        </w:rPr>
      </w:pPr>
    </w:p>
    <w:p w14:paraId="0CC46C6E" w14:textId="2BDA95B8" w:rsidR="00D30AA9" w:rsidRDefault="00D30AA9" w:rsidP="00D30AA9">
      <w:pPr>
        <w:tabs>
          <w:tab w:val="left" w:pos="709"/>
        </w:tabs>
        <w:spacing w:before="360" w:after="240" w:line="480" w:lineRule="auto"/>
        <w:jc w:val="both"/>
        <w:rPr>
          <w:rFonts w:ascii="Verdana" w:hAnsi="Verdana"/>
          <w:sz w:val="24"/>
          <w:szCs w:val="24"/>
        </w:rPr>
      </w:pPr>
      <w:r w:rsidRPr="00453FCE">
        <w:rPr>
          <w:rFonts w:ascii="Verdana" w:hAnsi="Verdana"/>
          <w:sz w:val="24"/>
          <w:szCs w:val="24"/>
        </w:rPr>
        <w:t>URGENCY</w:t>
      </w:r>
    </w:p>
    <w:p w14:paraId="69AEC81F" w14:textId="7A4746D5" w:rsidR="00F2372B" w:rsidRPr="00F2372B" w:rsidRDefault="00F2372B" w:rsidP="00F2372B">
      <w:pPr>
        <w:tabs>
          <w:tab w:val="left" w:pos="709"/>
        </w:tabs>
        <w:spacing w:before="360" w:after="240" w:line="480" w:lineRule="auto"/>
        <w:jc w:val="both"/>
        <w:rPr>
          <w:rFonts w:ascii="Verdana" w:hAnsi="Verdana"/>
          <w:sz w:val="24"/>
          <w:szCs w:val="24"/>
        </w:rPr>
      </w:pPr>
      <w:r>
        <w:rPr>
          <w:rFonts w:ascii="Verdana" w:hAnsi="Verdana"/>
          <w:sz w:val="24"/>
          <w:szCs w:val="24"/>
        </w:rPr>
        <w:lastRenderedPageBreak/>
        <w:t>21] I</w:t>
      </w:r>
      <w:r w:rsidRPr="00F2372B">
        <w:rPr>
          <w:rFonts w:ascii="Verdana" w:hAnsi="Verdana"/>
          <w:sz w:val="24"/>
          <w:szCs w:val="24"/>
        </w:rPr>
        <w:t>n East Rock Trading</w:t>
      </w:r>
      <w:r>
        <w:rPr>
          <w:rFonts w:ascii="Verdana" w:hAnsi="Verdana"/>
          <w:sz w:val="24"/>
          <w:szCs w:val="24"/>
        </w:rPr>
        <w:t xml:space="preserve"> 7 (Pty) Ltd and Another v Eagle Valley Granite Trading (Pty) Ltd and Others </w:t>
      </w:r>
      <w:proofErr w:type="spellStart"/>
      <w:r>
        <w:rPr>
          <w:rFonts w:ascii="Verdana" w:hAnsi="Verdana"/>
          <w:sz w:val="24"/>
          <w:szCs w:val="24"/>
        </w:rPr>
        <w:t>Notshe</w:t>
      </w:r>
      <w:proofErr w:type="spellEnd"/>
      <w:r>
        <w:rPr>
          <w:rFonts w:ascii="Verdana" w:hAnsi="Verdana"/>
          <w:sz w:val="24"/>
          <w:szCs w:val="24"/>
        </w:rPr>
        <w:t xml:space="preserve"> AJ held</w:t>
      </w:r>
      <w:r w:rsidRPr="00F2372B">
        <w:rPr>
          <w:rFonts w:ascii="Verdana" w:hAnsi="Verdana"/>
          <w:sz w:val="24"/>
          <w:szCs w:val="24"/>
        </w:rPr>
        <w:t>:</w:t>
      </w:r>
    </w:p>
    <w:p w14:paraId="71402CCB" w14:textId="4A3BC0EE" w:rsidR="00F2372B" w:rsidRDefault="00F2372B" w:rsidP="00F2372B">
      <w:pPr>
        <w:tabs>
          <w:tab w:val="left" w:pos="709"/>
        </w:tabs>
        <w:spacing w:before="360" w:after="240" w:line="480" w:lineRule="auto"/>
        <w:jc w:val="both"/>
        <w:rPr>
          <w:rFonts w:ascii="Verdana" w:hAnsi="Verdana"/>
          <w:sz w:val="24"/>
          <w:szCs w:val="24"/>
        </w:rPr>
      </w:pPr>
      <w:r w:rsidRPr="00F2372B">
        <w:rPr>
          <w:rFonts w:ascii="Verdana" w:hAnsi="Verdana"/>
          <w:sz w:val="24"/>
          <w:szCs w:val="24"/>
        </w:rPr>
        <w:t>“The question of whether a matter is sufficiently urgent to be enrolled and heard as an urgent application is underpinned by the issue of absence of substantial redress in an application in due course. The Rules allow the court to come to the assistance of a litigant because if the latter were to wait for the normal course laid down by the Rules it will not obtain substantial redress.”</w:t>
      </w:r>
      <w:r w:rsidRPr="00F2372B">
        <w:rPr>
          <w:rStyle w:val="FootnoteReference"/>
          <w:rFonts w:ascii="Verdana" w:hAnsi="Verdana"/>
          <w:sz w:val="24"/>
          <w:szCs w:val="24"/>
        </w:rPr>
        <w:footnoteReference w:id="22"/>
      </w:r>
      <w:r w:rsidRPr="00F2372B">
        <w:rPr>
          <w:rFonts w:ascii="Verdana" w:hAnsi="Verdana"/>
          <w:sz w:val="24"/>
          <w:szCs w:val="24"/>
        </w:rPr>
        <w:t xml:space="preserve">  </w:t>
      </w:r>
    </w:p>
    <w:p w14:paraId="2D5D2E6E" w14:textId="77777777" w:rsidR="005C686E" w:rsidRPr="00F2372B" w:rsidRDefault="005C686E" w:rsidP="00F2372B">
      <w:pPr>
        <w:tabs>
          <w:tab w:val="left" w:pos="709"/>
        </w:tabs>
        <w:spacing w:before="360" w:after="240" w:line="480" w:lineRule="auto"/>
        <w:jc w:val="both"/>
        <w:rPr>
          <w:rFonts w:ascii="Verdana" w:hAnsi="Verdana"/>
          <w:sz w:val="24"/>
          <w:szCs w:val="24"/>
        </w:rPr>
      </w:pPr>
    </w:p>
    <w:p w14:paraId="4603584A" w14:textId="4E65AE28" w:rsidR="00F2372B" w:rsidRDefault="005C686E" w:rsidP="00F2372B">
      <w:pPr>
        <w:tabs>
          <w:tab w:val="left" w:pos="709"/>
        </w:tabs>
        <w:spacing w:before="360" w:after="240" w:line="480" w:lineRule="auto"/>
        <w:jc w:val="both"/>
        <w:rPr>
          <w:rFonts w:ascii="Verdana" w:hAnsi="Verdana"/>
          <w:sz w:val="24"/>
          <w:szCs w:val="24"/>
        </w:rPr>
      </w:pPr>
      <w:r>
        <w:rPr>
          <w:rFonts w:ascii="Verdana" w:hAnsi="Verdana"/>
          <w:sz w:val="24"/>
          <w:szCs w:val="24"/>
        </w:rPr>
        <w:t>22]</w:t>
      </w:r>
      <w:r w:rsidR="00F2372B" w:rsidRPr="00F2372B">
        <w:rPr>
          <w:rFonts w:ascii="Verdana" w:hAnsi="Verdana"/>
          <w:sz w:val="24"/>
          <w:szCs w:val="24"/>
        </w:rPr>
        <w:t xml:space="preserve"> An applicant in an urgent application is required to set out explicitly the circumstances that render the matter urgent. That is, the applicant must set out the reasons that it cannot obtain substantial redress in the ordinary course,</w:t>
      </w:r>
      <w:r w:rsidR="00F2372B" w:rsidRPr="00F2372B">
        <w:rPr>
          <w:rStyle w:val="FootnoteReference"/>
          <w:rFonts w:ascii="Verdana" w:hAnsi="Verdana"/>
          <w:sz w:val="24"/>
          <w:szCs w:val="24"/>
        </w:rPr>
        <w:footnoteReference w:id="23"/>
      </w:r>
      <w:r w:rsidR="00F2372B" w:rsidRPr="00F2372B">
        <w:rPr>
          <w:rFonts w:ascii="Verdana" w:hAnsi="Verdana"/>
          <w:sz w:val="24"/>
          <w:szCs w:val="24"/>
        </w:rPr>
        <w:t xml:space="preserve">  but urgency should not be self-created.</w:t>
      </w:r>
      <w:r w:rsidR="00F2372B" w:rsidRPr="00F2372B">
        <w:rPr>
          <w:rStyle w:val="FootnoteReference"/>
          <w:rFonts w:ascii="Verdana" w:hAnsi="Verdana"/>
          <w:sz w:val="24"/>
          <w:szCs w:val="24"/>
        </w:rPr>
        <w:footnoteReference w:id="24"/>
      </w:r>
      <w:r w:rsidR="00F2372B" w:rsidRPr="00F2372B">
        <w:rPr>
          <w:rFonts w:ascii="Verdana" w:hAnsi="Verdana"/>
          <w:sz w:val="24"/>
          <w:szCs w:val="24"/>
        </w:rPr>
        <w:t xml:space="preserve"> </w:t>
      </w:r>
    </w:p>
    <w:p w14:paraId="7D81355B" w14:textId="77777777" w:rsidR="00FB5F3E" w:rsidRPr="00F2372B" w:rsidRDefault="00FB5F3E" w:rsidP="00F2372B">
      <w:pPr>
        <w:tabs>
          <w:tab w:val="left" w:pos="709"/>
        </w:tabs>
        <w:spacing w:before="360" w:after="240" w:line="480" w:lineRule="auto"/>
        <w:jc w:val="both"/>
        <w:rPr>
          <w:rFonts w:ascii="Verdana" w:hAnsi="Verdana"/>
          <w:sz w:val="24"/>
          <w:szCs w:val="24"/>
        </w:rPr>
      </w:pPr>
    </w:p>
    <w:p w14:paraId="66805CAC" w14:textId="33D95CA4" w:rsidR="00D30AA9" w:rsidRDefault="00D30AA9" w:rsidP="00D30AA9">
      <w:pPr>
        <w:tabs>
          <w:tab w:val="left" w:pos="709"/>
        </w:tabs>
        <w:spacing w:before="360" w:after="240" w:line="480" w:lineRule="auto"/>
        <w:jc w:val="both"/>
        <w:rPr>
          <w:rFonts w:ascii="Verdana" w:hAnsi="Verdana"/>
          <w:sz w:val="24"/>
          <w:szCs w:val="24"/>
        </w:rPr>
      </w:pPr>
      <w:r w:rsidRPr="00453FCE">
        <w:rPr>
          <w:rFonts w:ascii="Verdana" w:hAnsi="Verdana"/>
          <w:sz w:val="24"/>
          <w:szCs w:val="24"/>
        </w:rPr>
        <w:t>2</w:t>
      </w:r>
      <w:r w:rsidR="00FB5F3E">
        <w:rPr>
          <w:rFonts w:ascii="Verdana" w:hAnsi="Verdana"/>
          <w:sz w:val="24"/>
          <w:szCs w:val="24"/>
        </w:rPr>
        <w:t>3</w:t>
      </w:r>
      <w:r w:rsidR="00453FCE" w:rsidRPr="00453FCE">
        <w:rPr>
          <w:rFonts w:ascii="Verdana" w:hAnsi="Verdana"/>
          <w:sz w:val="24"/>
          <w:szCs w:val="24"/>
        </w:rPr>
        <w:t>]</w:t>
      </w:r>
      <w:r w:rsidRPr="00453FCE">
        <w:rPr>
          <w:rFonts w:ascii="Verdana" w:hAnsi="Verdana"/>
          <w:sz w:val="24"/>
          <w:szCs w:val="24"/>
        </w:rPr>
        <w:t xml:space="preserve"> </w:t>
      </w:r>
      <w:r w:rsidR="00FB5F3E">
        <w:rPr>
          <w:rFonts w:ascii="Verdana" w:hAnsi="Verdana"/>
          <w:sz w:val="24"/>
          <w:szCs w:val="24"/>
        </w:rPr>
        <w:t>As to the urgent enrolment of the application, i</w:t>
      </w:r>
      <w:r w:rsidR="00453FCE" w:rsidRPr="00453FCE">
        <w:rPr>
          <w:rFonts w:ascii="Verdana" w:hAnsi="Verdana"/>
          <w:sz w:val="24"/>
          <w:szCs w:val="24"/>
        </w:rPr>
        <w:t>t is the applicant’s case that t</w:t>
      </w:r>
      <w:r w:rsidRPr="00453FCE">
        <w:rPr>
          <w:rFonts w:ascii="Verdana" w:hAnsi="Verdana"/>
          <w:sz w:val="24"/>
          <w:szCs w:val="24"/>
        </w:rPr>
        <w:t xml:space="preserve">o date, there has been no response either to the documents submitted by Aldor to </w:t>
      </w:r>
      <w:proofErr w:type="spellStart"/>
      <w:r w:rsidRPr="00453FCE">
        <w:rPr>
          <w:rFonts w:ascii="Verdana" w:hAnsi="Verdana"/>
          <w:sz w:val="24"/>
          <w:szCs w:val="24"/>
        </w:rPr>
        <w:t>FinSurv</w:t>
      </w:r>
      <w:proofErr w:type="spellEnd"/>
      <w:r w:rsidR="00453FCE">
        <w:rPr>
          <w:rFonts w:ascii="Verdana" w:hAnsi="Verdana"/>
          <w:sz w:val="24"/>
          <w:szCs w:val="24"/>
        </w:rPr>
        <w:t xml:space="preserve">, mentioned in para 7.8 above, </w:t>
      </w:r>
      <w:r w:rsidRPr="00453FCE">
        <w:rPr>
          <w:rFonts w:ascii="Verdana" w:hAnsi="Verdana"/>
          <w:sz w:val="24"/>
          <w:szCs w:val="24"/>
        </w:rPr>
        <w:t xml:space="preserve">pursuant to the request </w:t>
      </w:r>
      <w:r w:rsidRPr="00453FCE">
        <w:rPr>
          <w:rFonts w:ascii="Verdana" w:hAnsi="Verdana"/>
          <w:sz w:val="24"/>
          <w:szCs w:val="24"/>
        </w:rPr>
        <w:lastRenderedPageBreak/>
        <w:t>it raised; or the detailed exchange control application submitted by CHD on Aldor’s behalf.</w:t>
      </w:r>
    </w:p>
    <w:p w14:paraId="00B8B28E" w14:textId="77777777" w:rsidR="00C868A1" w:rsidRPr="00453FCE" w:rsidRDefault="00C868A1" w:rsidP="00D30AA9">
      <w:pPr>
        <w:tabs>
          <w:tab w:val="left" w:pos="709"/>
        </w:tabs>
        <w:spacing w:before="360" w:after="240" w:line="480" w:lineRule="auto"/>
        <w:jc w:val="both"/>
        <w:rPr>
          <w:rFonts w:ascii="Verdana" w:hAnsi="Verdana"/>
          <w:sz w:val="24"/>
          <w:szCs w:val="24"/>
        </w:rPr>
      </w:pPr>
    </w:p>
    <w:p w14:paraId="1C5B1B5A" w14:textId="0900159F" w:rsidR="00D30AA9" w:rsidRDefault="00D30AA9" w:rsidP="00D30AA9">
      <w:pPr>
        <w:tabs>
          <w:tab w:val="left" w:pos="709"/>
        </w:tabs>
        <w:spacing w:before="360" w:after="240" w:line="480" w:lineRule="auto"/>
        <w:jc w:val="both"/>
        <w:rPr>
          <w:rFonts w:ascii="Verdana" w:hAnsi="Verdana"/>
          <w:sz w:val="24"/>
          <w:szCs w:val="24"/>
        </w:rPr>
      </w:pPr>
      <w:r w:rsidRPr="00B0536C">
        <w:rPr>
          <w:rFonts w:ascii="Verdana" w:hAnsi="Verdana"/>
          <w:sz w:val="24"/>
          <w:szCs w:val="24"/>
        </w:rPr>
        <w:t>2</w:t>
      </w:r>
      <w:r w:rsidR="00FB5F3E">
        <w:rPr>
          <w:rFonts w:ascii="Verdana" w:hAnsi="Verdana"/>
          <w:sz w:val="24"/>
          <w:szCs w:val="24"/>
        </w:rPr>
        <w:t>4</w:t>
      </w:r>
      <w:r w:rsidR="00B0536C" w:rsidRPr="00B0536C">
        <w:rPr>
          <w:rFonts w:ascii="Verdana" w:hAnsi="Verdana"/>
          <w:sz w:val="24"/>
          <w:szCs w:val="24"/>
        </w:rPr>
        <w:t>]</w:t>
      </w:r>
      <w:r w:rsidRPr="00B0536C">
        <w:rPr>
          <w:rFonts w:ascii="Verdana" w:hAnsi="Verdana"/>
          <w:sz w:val="24"/>
          <w:szCs w:val="24"/>
        </w:rPr>
        <w:t xml:space="preserve"> </w:t>
      </w:r>
      <w:r w:rsidR="00B0536C" w:rsidRPr="00B0536C">
        <w:rPr>
          <w:rFonts w:ascii="Verdana" w:hAnsi="Verdana"/>
          <w:sz w:val="24"/>
          <w:szCs w:val="24"/>
        </w:rPr>
        <w:t xml:space="preserve">At present as things </w:t>
      </w:r>
      <w:proofErr w:type="gramStart"/>
      <w:r w:rsidR="00B0536C" w:rsidRPr="00B0536C">
        <w:rPr>
          <w:rFonts w:ascii="Verdana" w:hAnsi="Verdana"/>
          <w:sz w:val="24"/>
          <w:szCs w:val="24"/>
        </w:rPr>
        <w:t>stands</w:t>
      </w:r>
      <w:proofErr w:type="gramEnd"/>
      <w:r w:rsidRPr="00B0536C">
        <w:rPr>
          <w:rFonts w:ascii="Verdana" w:hAnsi="Verdana"/>
          <w:sz w:val="24"/>
          <w:szCs w:val="24"/>
        </w:rPr>
        <w:t>, Aldor is in severe financial distress.  Overdue account payables currently exceed R27 million, excluding additional obligations to suppliers for finished products, services, and royalties owed to Aldor’s shareholder</w:t>
      </w:r>
      <w:r w:rsidR="00B0536C">
        <w:rPr>
          <w:rFonts w:ascii="Verdana" w:hAnsi="Verdana"/>
          <w:sz w:val="24"/>
          <w:szCs w:val="24"/>
        </w:rPr>
        <w:t>.</w:t>
      </w:r>
      <w:r w:rsidRPr="00B0536C">
        <w:rPr>
          <w:rFonts w:ascii="Verdana" w:hAnsi="Verdana"/>
          <w:sz w:val="24"/>
          <w:szCs w:val="24"/>
        </w:rPr>
        <w:t xml:space="preserve"> </w:t>
      </w:r>
      <w:r w:rsidRPr="00B0536C">
        <w:rPr>
          <w:rStyle w:val="FootnoteReference"/>
          <w:rFonts w:ascii="Verdana" w:hAnsi="Verdana"/>
          <w:sz w:val="24"/>
          <w:szCs w:val="24"/>
        </w:rPr>
        <w:footnoteReference w:id="25"/>
      </w:r>
      <w:r w:rsidRPr="00B0536C">
        <w:rPr>
          <w:rFonts w:ascii="Verdana" w:hAnsi="Verdana"/>
          <w:sz w:val="24"/>
          <w:szCs w:val="24"/>
        </w:rPr>
        <w:t xml:space="preserve"> </w:t>
      </w:r>
    </w:p>
    <w:p w14:paraId="2F6978A9" w14:textId="77777777" w:rsidR="00FB745E" w:rsidRDefault="00FB745E" w:rsidP="00D30AA9">
      <w:pPr>
        <w:tabs>
          <w:tab w:val="left" w:pos="709"/>
        </w:tabs>
        <w:spacing w:before="360" w:after="240" w:line="480" w:lineRule="auto"/>
        <w:jc w:val="both"/>
        <w:rPr>
          <w:rFonts w:ascii="Verdana" w:hAnsi="Verdana"/>
          <w:sz w:val="24"/>
          <w:szCs w:val="24"/>
        </w:rPr>
      </w:pPr>
    </w:p>
    <w:p w14:paraId="34378B8B" w14:textId="77777777" w:rsidR="00FB745E" w:rsidRDefault="00D30AA9" w:rsidP="00D30AA9">
      <w:pPr>
        <w:tabs>
          <w:tab w:val="left" w:pos="709"/>
        </w:tabs>
        <w:spacing w:before="360" w:after="240" w:line="480" w:lineRule="auto"/>
        <w:jc w:val="both"/>
        <w:rPr>
          <w:rFonts w:ascii="Verdana" w:hAnsi="Verdana"/>
          <w:sz w:val="24"/>
          <w:szCs w:val="24"/>
        </w:rPr>
      </w:pPr>
      <w:r w:rsidRPr="00B0536C">
        <w:rPr>
          <w:rFonts w:ascii="Verdana" w:hAnsi="Verdana"/>
          <w:sz w:val="24"/>
          <w:szCs w:val="24"/>
        </w:rPr>
        <w:t>2</w:t>
      </w:r>
      <w:r w:rsidR="00FB5F3E">
        <w:rPr>
          <w:rFonts w:ascii="Verdana" w:hAnsi="Verdana"/>
          <w:sz w:val="24"/>
          <w:szCs w:val="24"/>
        </w:rPr>
        <w:t>5</w:t>
      </w:r>
      <w:r w:rsidR="00B0536C" w:rsidRPr="00B0536C">
        <w:rPr>
          <w:rFonts w:ascii="Verdana" w:hAnsi="Verdana"/>
          <w:sz w:val="24"/>
          <w:szCs w:val="24"/>
        </w:rPr>
        <w:t>]</w:t>
      </w:r>
      <w:r w:rsidRPr="00B0536C">
        <w:rPr>
          <w:rFonts w:ascii="Verdana" w:hAnsi="Verdana"/>
          <w:sz w:val="24"/>
          <w:szCs w:val="24"/>
        </w:rPr>
        <w:t xml:space="preserve"> The cashflow statements produced for the period ending 30 April indicate that, with effect from 30 March and at the latest at the middle of April 2024 Aldor will no longer be in the position to pay its creditors and its doors will have to be closed, since the directors cannot risk trading recklessly in such circumstances. This means that all of Aldor’s 500 employees will lose their jobs and Aldor’s business will be irretrievably lost</w:t>
      </w:r>
      <w:r w:rsidR="00B0536C">
        <w:rPr>
          <w:rFonts w:ascii="Verdana" w:hAnsi="Verdana"/>
          <w:sz w:val="24"/>
          <w:szCs w:val="24"/>
        </w:rPr>
        <w:t>.</w:t>
      </w:r>
      <w:r w:rsidRPr="00B0536C">
        <w:rPr>
          <w:rStyle w:val="FootnoteReference"/>
          <w:rFonts w:ascii="Verdana" w:hAnsi="Verdana"/>
          <w:sz w:val="24"/>
          <w:szCs w:val="24"/>
        </w:rPr>
        <w:footnoteReference w:id="26"/>
      </w:r>
    </w:p>
    <w:p w14:paraId="50942F46" w14:textId="6D320D5D" w:rsidR="00D30AA9" w:rsidRDefault="00DB7C61" w:rsidP="00D30AA9">
      <w:pPr>
        <w:tabs>
          <w:tab w:val="left" w:pos="709"/>
        </w:tabs>
        <w:spacing w:before="360" w:after="240" w:line="480" w:lineRule="auto"/>
        <w:jc w:val="both"/>
        <w:rPr>
          <w:rFonts w:ascii="Verdana" w:hAnsi="Verdana"/>
          <w:sz w:val="24"/>
          <w:szCs w:val="24"/>
        </w:rPr>
      </w:pPr>
      <w:r>
        <w:rPr>
          <w:rFonts w:ascii="Verdana" w:hAnsi="Verdana"/>
          <w:sz w:val="24"/>
          <w:szCs w:val="24"/>
        </w:rPr>
        <w:t xml:space="preserve"> </w:t>
      </w:r>
    </w:p>
    <w:p w14:paraId="2E57EDED" w14:textId="4DC242B1" w:rsidR="00FB745E" w:rsidRDefault="00FB745E" w:rsidP="00FB745E">
      <w:pPr>
        <w:tabs>
          <w:tab w:val="left" w:pos="709"/>
        </w:tabs>
        <w:spacing w:before="360" w:after="240" w:line="480" w:lineRule="auto"/>
        <w:jc w:val="both"/>
        <w:rPr>
          <w:rFonts w:ascii="Verdana" w:hAnsi="Verdana"/>
          <w:sz w:val="24"/>
          <w:szCs w:val="24"/>
        </w:rPr>
      </w:pPr>
      <w:r>
        <w:rPr>
          <w:rFonts w:ascii="Verdana" w:hAnsi="Verdana"/>
          <w:sz w:val="24"/>
          <w:szCs w:val="24"/>
        </w:rPr>
        <w:lastRenderedPageBreak/>
        <w:t xml:space="preserve">26] On the argument advanced that the applicant should await the completion of the investigation to be conducted by </w:t>
      </w:r>
      <w:proofErr w:type="spellStart"/>
      <w:r>
        <w:rPr>
          <w:rFonts w:ascii="Verdana" w:hAnsi="Verdana"/>
          <w:sz w:val="24"/>
          <w:szCs w:val="24"/>
        </w:rPr>
        <w:t>FinSurv</w:t>
      </w:r>
      <w:proofErr w:type="spellEnd"/>
      <w:r>
        <w:rPr>
          <w:rFonts w:ascii="Verdana" w:hAnsi="Verdana"/>
          <w:sz w:val="24"/>
          <w:szCs w:val="24"/>
        </w:rPr>
        <w:t>, the applicant contends that this is unsustainable for the following reasons:</w:t>
      </w:r>
    </w:p>
    <w:p w14:paraId="4F87C5F5" w14:textId="644459B9" w:rsidR="00FB745E" w:rsidRPr="00F2372B" w:rsidRDefault="00FB745E" w:rsidP="00FB745E">
      <w:pPr>
        <w:tabs>
          <w:tab w:val="left" w:pos="709"/>
        </w:tabs>
        <w:spacing w:before="360" w:after="240" w:line="480" w:lineRule="auto"/>
        <w:jc w:val="both"/>
        <w:rPr>
          <w:rFonts w:ascii="Verdana" w:hAnsi="Verdana"/>
          <w:sz w:val="24"/>
          <w:szCs w:val="24"/>
        </w:rPr>
      </w:pPr>
      <w:r w:rsidRPr="00F2372B">
        <w:rPr>
          <w:rFonts w:ascii="Verdana" w:hAnsi="Verdana"/>
          <w:sz w:val="24"/>
          <w:szCs w:val="24"/>
        </w:rPr>
        <w:t>2</w:t>
      </w:r>
      <w:r>
        <w:rPr>
          <w:rFonts w:ascii="Verdana" w:hAnsi="Verdana"/>
          <w:sz w:val="24"/>
          <w:szCs w:val="24"/>
        </w:rPr>
        <w:t>6</w:t>
      </w:r>
      <w:r w:rsidRPr="00F2372B">
        <w:rPr>
          <w:rFonts w:ascii="Verdana" w:hAnsi="Verdana"/>
          <w:sz w:val="24"/>
          <w:szCs w:val="24"/>
        </w:rPr>
        <w:t>.1. Firstly, Regulation 22D explicitly states that an applicant who is subjected to a blocking order in terms of Regulation 22A or 22C is entitled to approach the Court for “appropriate relief” and / or setting aside of the blocking directive. An applicant is not required to await the expiry of the 36</w:t>
      </w:r>
      <w:r>
        <w:rPr>
          <w:rFonts w:ascii="Verdana" w:hAnsi="Verdana"/>
          <w:sz w:val="24"/>
          <w:szCs w:val="24"/>
        </w:rPr>
        <w:t>-</w:t>
      </w:r>
      <w:r w:rsidRPr="00F2372B">
        <w:rPr>
          <w:rFonts w:ascii="Verdana" w:hAnsi="Verdana"/>
          <w:sz w:val="24"/>
          <w:szCs w:val="24"/>
        </w:rPr>
        <w:t xml:space="preserve"> month period in order to do </w:t>
      </w:r>
      <w:proofErr w:type="gramStart"/>
      <w:r w:rsidRPr="00F2372B">
        <w:rPr>
          <w:rFonts w:ascii="Verdana" w:hAnsi="Verdana"/>
          <w:sz w:val="24"/>
          <w:szCs w:val="24"/>
        </w:rPr>
        <w:t>so;</w:t>
      </w:r>
      <w:proofErr w:type="gramEnd"/>
      <w:r w:rsidRPr="00F2372B">
        <w:rPr>
          <w:rFonts w:ascii="Verdana" w:hAnsi="Verdana"/>
          <w:sz w:val="24"/>
          <w:szCs w:val="24"/>
        </w:rPr>
        <w:t xml:space="preserve"> </w:t>
      </w:r>
    </w:p>
    <w:p w14:paraId="26C229CA" w14:textId="5D72F817" w:rsidR="00FB745E" w:rsidRPr="00F2372B" w:rsidRDefault="00FB745E" w:rsidP="00FB745E">
      <w:pPr>
        <w:tabs>
          <w:tab w:val="left" w:pos="709"/>
        </w:tabs>
        <w:spacing w:before="360" w:after="240" w:line="480" w:lineRule="auto"/>
        <w:jc w:val="both"/>
        <w:rPr>
          <w:rFonts w:ascii="Verdana" w:hAnsi="Verdana"/>
          <w:sz w:val="24"/>
          <w:szCs w:val="24"/>
        </w:rPr>
      </w:pPr>
      <w:r w:rsidRPr="00F2372B">
        <w:rPr>
          <w:rFonts w:ascii="Verdana" w:hAnsi="Verdana"/>
          <w:sz w:val="24"/>
          <w:szCs w:val="24"/>
        </w:rPr>
        <w:t>2</w:t>
      </w:r>
      <w:r>
        <w:rPr>
          <w:rFonts w:ascii="Verdana" w:hAnsi="Verdana"/>
          <w:sz w:val="24"/>
          <w:szCs w:val="24"/>
        </w:rPr>
        <w:t>6</w:t>
      </w:r>
      <w:r w:rsidRPr="00F2372B">
        <w:rPr>
          <w:rFonts w:ascii="Verdana" w:hAnsi="Verdana"/>
          <w:sz w:val="24"/>
          <w:szCs w:val="24"/>
        </w:rPr>
        <w:t xml:space="preserve">.2. Secondly, </w:t>
      </w:r>
      <w:proofErr w:type="spellStart"/>
      <w:r w:rsidRPr="00F2372B">
        <w:rPr>
          <w:rFonts w:ascii="Verdana" w:hAnsi="Verdana"/>
          <w:sz w:val="24"/>
          <w:szCs w:val="24"/>
        </w:rPr>
        <w:t>FinSurv</w:t>
      </w:r>
      <w:proofErr w:type="spellEnd"/>
      <w:r w:rsidRPr="00F2372B">
        <w:rPr>
          <w:rFonts w:ascii="Verdana" w:hAnsi="Verdana"/>
          <w:sz w:val="24"/>
          <w:szCs w:val="24"/>
        </w:rPr>
        <w:t xml:space="preserve"> is required to exercise its powers (including its investigative powers) rationally and in a manner which is appropriate to the circumstances. It does not amount to proper exercise of </w:t>
      </w:r>
      <w:proofErr w:type="spellStart"/>
      <w:r w:rsidRPr="00F2372B">
        <w:rPr>
          <w:rFonts w:ascii="Verdana" w:hAnsi="Verdana"/>
          <w:sz w:val="24"/>
          <w:szCs w:val="24"/>
        </w:rPr>
        <w:t>FinSurv’s</w:t>
      </w:r>
      <w:proofErr w:type="spellEnd"/>
      <w:r w:rsidRPr="00F2372B">
        <w:rPr>
          <w:rFonts w:ascii="Verdana" w:hAnsi="Verdana"/>
          <w:sz w:val="24"/>
          <w:szCs w:val="24"/>
        </w:rPr>
        <w:t xml:space="preserve"> powers to permit an entity such as Aldor to meet with financial collapse because it is “entitled” to investigate alleged non – compliance with the Regulations for a period of 36 </w:t>
      </w:r>
      <w:proofErr w:type="gramStart"/>
      <w:r w:rsidRPr="00F2372B">
        <w:rPr>
          <w:rFonts w:ascii="Verdana" w:hAnsi="Verdana"/>
          <w:sz w:val="24"/>
          <w:szCs w:val="24"/>
        </w:rPr>
        <w:t>months;</w:t>
      </w:r>
      <w:proofErr w:type="gramEnd"/>
    </w:p>
    <w:p w14:paraId="388D6FE1" w14:textId="24F4F4B5" w:rsidR="00FB745E" w:rsidRDefault="00FB745E" w:rsidP="00FB745E">
      <w:pPr>
        <w:tabs>
          <w:tab w:val="left" w:pos="709"/>
        </w:tabs>
        <w:spacing w:before="360" w:after="240" w:line="480" w:lineRule="auto"/>
        <w:jc w:val="both"/>
        <w:rPr>
          <w:rFonts w:ascii="Verdana" w:hAnsi="Verdana"/>
          <w:sz w:val="24"/>
          <w:szCs w:val="24"/>
        </w:rPr>
      </w:pPr>
      <w:r w:rsidRPr="00F2372B">
        <w:rPr>
          <w:rFonts w:ascii="Verdana" w:hAnsi="Verdana"/>
          <w:sz w:val="24"/>
          <w:szCs w:val="24"/>
        </w:rPr>
        <w:t>2</w:t>
      </w:r>
      <w:r w:rsidR="00A27497">
        <w:rPr>
          <w:rFonts w:ascii="Verdana" w:hAnsi="Verdana"/>
          <w:sz w:val="24"/>
          <w:szCs w:val="24"/>
        </w:rPr>
        <w:t>6</w:t>
      </w:r>
      <w:r w:rsidRPr="00F2372B">
        <w:rPr>
          <w:rFonts w:ascii="Verdana" w:hAnsi="Verdana"/>
          <w:sz w:val="24"/>
          <w:szCs w:val="24"/>
        </w:rPr>
        <w:t xml:space="preserve">.3. Thirdly, the attitude adopted by </w:t>
      </w:r>
      <w:proofErr w:type="spellStart"/>
      <w:r w:rsidRPr="00F2372B">
        <w:rPr>
          <w:rFonts w:ascii="Verdana" w:hAnsi="Verdana"/>
          <w:sz w:val="24"/>
          <w:szCs w:val="24"/>
        </w:rPr>
        <w:t>FinSurv</w:t>
      </w:r>
      <w:proofErr w:type="spellEnd"/>
      <w:r w:rsidRPr="00F2372B">
        <w:rPr>
          <w:rFonts w:ascii="Verdana" w:hAnsi="Verdana"/>
          <w:sz w:val="24"/>
          <w:szCs w:val="24"/>
        </w:rPr>
        <w:t xml:space="preserve"> means that Aldor is prohibited from exercising its constitutionally enshrined right of access to court while the investigation is taking place. Differently put, Aldor is given no choice but to resign itself to financial ruin, </w:t>
      </w:r>
      <w:proofErr w:type="gramStart"/>
      <w:r w:rsidRPr="00F2372B">
        <w:rPr>
          <w:rFonts w:ascii="Verdana" w:hAnsi="Verdana"/>
          <w:sz w:val="24"/>
          <w:szCs w:val="24"/>
        </w:rPr>
        <w:t>despite the fact that</w:t>
      </w:r>
      <w:proofErr w:type="gramEnd"/>
      <w:r w:rsidRPr="00F2372B">
        <w:rPr>
          <w:rFonts w:ascii="Verdana" w:hAnsi="Verdana"/>
          <w:sz w:val="24"/>
          <w:szCs w:val="24"/>
        </w:rPr>
        <w:t xml:space="preserve"> the investigation might (and in the present instance, will) yield no evidence of non – compliance with Regulation 12.</w:t>
      </w:r>
      <w:r>
        <w:rPr>
          <w:rFonts w:ascii="Verdana" w:hAnsi="Verdana"/>
          <w:sz w:val="24"/>
          <w:szCs w:val="24"/>
        </w:rPr>
        <w:t xml:space="preserve"> It is for these reasons that the applicant contends that the application should be enrolled in the urgent court.</w:t>
      </w:r>
    </w:p>
    <w:p w14:paraId="2C01F5E7" w14:textId="77777777" w:rsidR="00343806" w:rsidRPr="00B0536C" w:rsidRDefault="00343806" w:rsidP="00FB745E">
      <w:pPr>
        <w:tabs>
          <w:tab w:val="left" w:pos="709"/>
        </w:tabs>
        <w:spacing w:before="360" w:after="240" w:line="480" w:lineRule="auto"/>
        <w:jc w:val="both"/>
        <w:rPr>
          <w:rFonts w:ascii="Verdana" w:hAnsi="Verdana"/>
          <w:sz w:val="24"/>
          <w:szCs w:val="24"/>
        </w:rPr>
      </w:pPr>
    </w:p>
    <w:p w14:paraId="3DAEAB71" w14:textId="592989F2" w:rsidR="00343806" w:rsidRPr="00FB5F3E" w:rsidRDefault="00343806" w:rsidP="00343806">
      <w:pPr>
        <w:tabs>
          <w:tab w:val="left" w:pos="709"/>
        </w:tabs>
        <w:spacing w:before="360" w:after="240" w:line="480" w:lineRule="auto"/>
        <w:jc w:val="both"/>
        <w:rPr>
          <w:rFonts w:ascii="Verdana" w:hAnsi="Verdana"/>
          <w:sz w:val="24"/>
          <w:szCs w:val="24"/>
        </w:rPr>
      </w:pPr>
      <w:r>
        <w:rPr>
          <w:rFonts w:ascii="Verdana" w:hAnsi="Verdana"/>
          <w:sz w:val="24"/>
          <w:szCs w:val="24"/>
        </w:rPr>
        <w:t xml:space="preserve">27] The applicant contends that it </w:t>
      </w:r>
      <w:r w:rsidRPr="00FB5F3E">
        <w:rPr>
          <w:rFonts w:ascii="Verdana" w:hAnsi="Verdana"/>
          <w:sz w:val="24"/>
          <w:szCs w:val="24"/>
        </w:rPr>
        <w:t xml:space="preserve">acted with urgency, haste and considered diligence, in attempting to protect its rights and in initiating this application on an urgent basis, and within a matter of days following </w:t>
      </w:r>
      <w:proofErr w:type="spellStart"/>
      <w:r w:rsidRPr="00FB5F3E">
        <w:rPr>
          <w:rFonts w:ascii="Verdana" w:hAnsi="Verdana"/>
          <w:sz w:val="24"/>
          <w:szCs w:val="24"/>
        </w:rPr>
        <w:t>FinSurv’s</w:t>
      </w:r>
      <w:proofErr w:type="spellEnd"/>
      <w:r w:rsidRPr="00FB5F3E">
        <w:rPr>
          <w:rFonts w:ascii="Verdana" w:hAnsi="Verdana"/>
          <w:sz w:val="24"/>
          <w:szCs w:val="24"/>
        </w:rPr>
        <w:t xml:space="preserve"> correspondence of 8 March, in which it made it plain that it would not consider the upliftment of the directives, despite the fact that Aldor had provided to it all the information it requested. Indeed, </w:t>
      </w:r>
      <w:proofErr w:type="spellStart"/>
      <w:r w:rsidRPr="00FB5F3E">
        <w:rPr>
          <w:rFonts w:ascii="Verdana" w:hAnsi="Verdana"/>
          <w:sz w:val="24"/>
          <w:szCs w:val="24"/>
        </w:rPr>
        <w:t>FinSurv</w:t>
      </w:r>
      <w:proofErr w:type="spellEnd"/>
      <w:r w:rsidRPr="00FB5F3E">
        <w:rPr>
          <w:rFonts w:ascii="Verdana" w:hAnsi="Verdana"/>
          <w:sz w:val="24"/>
          <w:szCs w:val="24"/>
        </w:rPr>
        <w:t xml:space="preserve"> does not state that it still requires anything further from Aldor </w:t>
      </w:r>
      <w:proofErr w:type="gramStart"/>
      <w:r w:rsidRPr="00FB5F3E">
        <w:rPr>
          <w:rFonts w:ascii="Verdana" w:hAnsi="Verdana"/>
          <w:sz w:val="24"/>
          <w:szCs w:val="24"/>
        </w:rPr>
        <w:t>in order to</w:t>
      </w:r>
      <w:proofErr w:type="gramEnd"/>
      <w:r w:rsidRPr="00FB5F3E">
        <w:rPr>
          <w:rFonts w:ascii="Verdana" w:hAnsi="Verdana"/>
          <w:sz w:val="24"/>
          <w:szCs w:val="24"/>
        </w:rPr>
        <w:t xml:space="preserve"> complete its investigation: it alleges only that it is entitled to take the full 36 months to finali</w:t>
      </w:r>
      <w:r>
        <w:rPr>
          <w:rFonts w:ascii="Verdana" w:hAnsi="Verdana"/>
          <w:sz w:val="24"/>
          <w:szCs w:val="24"/>
        </w:rPr>
        <w:t>z</w:t>
      </w:r>
      <w:r w:rsidRPr="00FB5F3E">
        <w:rPr>
          <w:rFonts w:ascii="Verdana" w:hAnsi="Verdana"/>
          <w:sz w:val="24"/>
          <w:szCs w:val="24"/>
        </w:rPr>
        <w:t xml:space="preserve">e it, notwithstanding the fact that Aldor will no longer be able to continue past the middle of April 2024. On this basis it argues that it satisfies the test for urgency. </w:t>
      </w:r>
    </w:p>
    <w:p w14:paraId="41EC9ED3" w14:textId="77777777" w:rsidR="00FB5F3E" w:rsidRPr="00D30AA9" w:rsidRDefault="00FB5F3E" w:rsidP="00D30AA9">
      <w:pPr>
        <w:tabs>
          <w:tab w:val="left" w:pos="709"/>
        </w:tabs>
        <w:spacing w:before="360" w:after="240" w:line="480" w:lineRule="auto"/>
        <w:jc w:val="both"/>
        <w:rPr>
          <w:rFonts w:ascii="Verdana" w:hAnsi="Verdana"/>
          <w:color w:val="196B24" w:themeColor="accent3"/>
          <w:sz w:val="24"/>
          <w:szCs w:val="24"/>
        </w:rPr>
      </w:pPr>
    </w:p>
    <w:p w14:paraId="5FE6677F" w14:textId="5096867E" w:rsidR="00D30AA9" w:rsidRPr="00B0536C" w:rsidRDefault="00D30AA9" w:rsidP="00D30AA9">
      <w:pPr>
        <w:tabs>
          <w:tab w:val="left" w:pos="709"/>
        </w:tabs>
        <w:spacing w:before="360" w:after="240" w:line="480" w:lineRule="auto"/>
        <w:jc w:val="both"/>
        <w:rPr>
          <w:rFonts w:ascii="Verdana" w:hAnsi="Verdana"/>
          <w:sz w:val="24"/>
          <w:szCs w:val="24"/>
        </w:rPr>
      </w:pPr>
      <w:r w:rsidRPr="00B0536C">
        <w:rPr>
          <w:rFonts w:ascii="Verdana" w:hAnsi="Verdana"/>
          <w:sz w:val="24"/>
          <w:szCs w:val="24"/>
        </w:rPr>
        <w:t>2</w:t>
      </w:r>
      <w:r w:rsidR="00343806">
        <w:rPr>
          <w:rFonts w:ascii="Verdana" w:hAnsi="Verdana"/>
          <w:sz w:val="24"/>
          <w:szCs w:val="24"/>
        </w:rPr>
        <w:t>8</w:t>
      </w:r>
      <w:r w:rsidR="00B0536C" w:rsidRPr="00B0536C">
        <w:rPr>
          <w:rFonts w:ascii="Verdana" w:hAnsi="Verdana"/>
          <w:sz w:val="24"/>
          <w:szCs w:val="24"/>
        </w:rPr>
        <w:t>]</w:t>
      </w:r>
      <w:r w:rsidRPr="00B0536C">
        <w:rPr>
          <w:rFonts w:ascii="Verdana" w:hAnsi="Verdana"/>
          <w:sz w:val="24"/>
          <w:szCs w:val="24"/>
        </w:rPr>
        <w:t xml:space="preserve"> </w:t>
      </w:r>
      <w:r w:rsidR="00B37751">
        <w:rPr>
          <w:rFonts w:ascii="Verdana" w:hAnsi="Verdana"/>
          <w:sz w:val="24"/>
          <w:szCs w:val="24"/>
        </w:rPr>
        <w:t>In opposition on</w:t>
      </w:r>
      <w:r w:rsidR="00B0536C">
        <w:rPr>
          <w:rFonts w:ascii="Verdana" w:hAnsi="Verdana"/>
          <w:sz w:val="24"/>
          <w:szCs w:val="24"/>
        </w:rPr>
        <w:t xml:space="preserve"> urgency the</w:t>
      </w:r>
      <w:r w:rsidR="00B0536C" w:rsidRPr="00B0536C">
        <w:rPr>
          <w:rFonts w:ascii="Verdana" w:hAnsi="Verdana"/>
          <w:sz w:val="24"/>
          <w:szCs w:val="24"/>
        </w:rPr>
        <w:t xml:space="preserve"> first respondent contends</w:t>
      </w:r>
      <w:r w:rsidRPr="00B0536C">
        <w:rPr>
          <w:rFonts w:ascii="Verdana" w:hAnsi="Verdana"/>
          <w:sz w:val="24"/>
          <w:szCs w:val="24"/>
        </w:rPr>
        <w:t>, that this is untrue and that, if it were true, Aldor would have provided “better evidence” of communicating with its employees and of its efforts to secure alternative in -country funding</w:t>
      </w:r>
      <w:r w:rsidR="00B0536C">
        <w:rPr>
          <w:rFonts w:ascii="Verdana" w:hAnsi="Verdana"/>
          <w:sz w:val="24"/>
          <w:szCs w:val="24"/>
        </w:rPr>
        <w:t>.</w:t>
      </w:r>
      <w:r w:rsidRPr="00B0536C">
        <w:rPr>
          <w:rStyle w:val="FootnoteReference"/>
          <w:rFonts w:ascii="Verdana" w:hAnsi="Verdana"/>
          <w:sz w:val="24"/>
          <w:szCs w:val="24"/>
        </w:rPr>
        <w:footnoteReference w:id="27"/>
      </w:r>
      <w:r w:rsidR="00B0536C">
        <w:rPr>
          <w:rFonts w:ascii="Verdana" w:hAnsi="Verdana"/>
          <w:sz w:val="24"/>
          <w:szCs w:val="24"/>
        </w:rPr>
        <w:t xml:space="preserve"> </w:t>
      </w:r>
      <w:proofErr w:type="spellStart"/>
      <w:r w:rsidRPr="00B0536C">
        <w:rPr>
          <w:rFonts w:ascii="Verdana" w:hAnsi="Verdana"/>
          <w:sz w:val="24"/>
          <w:szCs w:val="24"/>
        </w:rPr>
        <w:t>FinSurv’s</w:t>
      </w:r>
      <w:proofErr w:type="spellEnd"/>
      <w:r w:rsidRPr="00B0536C">
        <w:rPr>
          <w:rFonts w:ascii="Verdana" w:hAnsi="Verdana"/>
          <w:sz w:val="24"/>
          <w:szCs w:val="24"/>
        </w:rPr>
        <w:t xml:space="preserve"> attempts to undermine the severe and devastating financial impact on the directives on Aldor are unsustainable and contrary to the evidence presented by Aldor, which cannot be gainsaid.</w:t>
      </w:r>
    </w:p>
    <w:p w14:paraId="251D4F86" w14:textId="77777777" w:rsidR="00D30AA9" w:rsidRPr="00D30AA9" w:rsidRDefault="00D30AA9" w:rsidP="00D30AA9">
      <w:pPr>
        <w:tabs>
          <w:tab w:val="left" w:pos="709"/>
        </w:tabs>
        <w:spacing w:before="360" w:after="240" w:line="480" w:lineRule="auto"/>
        <w:jc w:val="both"/>
        <w:rPr>
          <w:rFonts w:ascii="Verdana" w:hAnsi="Verdana"/>
          <w:color w:val="196B24" w:themeColor="accent3"/>
          <w:sz w:val="24"/>
          <w:szCs w:val="24"/>
        </w:rPr>
      </w:pPr>
    </w:p>
    <w:p w14:paraId="39C9B563" w14:textId="77777777" w:rsidR="00E10195" w:rsidRDefault="00D30AA9" w:rsidP="00D30AA9">
      <w:pPr>
        <w:tabs>
          <w:tab w:val="left" w:pos="709"/>
        </w:tabs>
        <w:spacing w:before="360" w:after="240" w:line="480" w:lineRule="auto"/>
        <w:jc w:val="both"/>
        <w:rPr>
          <w:rFonts w:ascii="Verdana" w:hAnsi="Verdana"/>
          <w:sz w:val="24"/>
          <w:szCs w:val="24"/>
        </w:rPr>
      </w:pPr>
      <w:r w:rsidRPr="00B0536C">
        <w:rPr>
          <w:rFonts w:ascii="Verdana" w:hAnsi="Verdana"/>
          <w:sz w:val="24"/>
          <w:szCs w:val="24"/>
        </w:rPr>
        <w:lastRenderedPageBreak/>
        <w:t>2</w:t>
      </w:r>
      <w:r w:rsidR="00343806">
        <w:rPr>
          <w:rFonts w:ascii="Verdana" w:hAnsi="Verdana"/>
          <w:sz w:val="24"/>
          <w:szCs w:val="24"/>
        </w:rPr>
        <w:t>9</w:t>
      </w:r>
      <w:r w:rsidR="00B0536C" w:rsidRPr="00B0536C">
        <w:rPr>
          <w:rFonts w:ascii="Verdana" w:hAnsi="Verdana"/>
          <w:sz w:val="24"/>
          <w:szCs w:val="24"/>
        </w:rPr>
        <w:t>]</w:t>
      </w:r>
      <w:r w:rsidRPr="00B0536C">
        <w:rPr>
          <w:rFonts w:ascii="Verdana" w:hAnsi="Verdana"/>
          <w:sz w:val="24"/>
          <w:szCs w:val="24"/>
        </w:rPr>
        <w:t xml:space="preserve"> Furthermore, </w:t>
      </w:r>
      <w:proofErr w:type="spellStart"/>
      <w:r w:rsidRPr="00B0536C">
        <w:rPr>
          <w:rFonts w:ascii="Verdana" w:hAnsi="Verdana"/>
          <w:sz w:val="24"/>
          <w:szCs w:val="24"/>
        </w:rPr>
        <w:t>FinSurv</w:t>
      </w:r>
      <w:proofErr w:type="spellEnd"/>
      <w:r w:rsidRPr="00B0536C">
        <w:rPr>
          <w:rFonts w:ascii="Verdana" w:hAnsi="Verdana"/>
          <w:sz w:val="24"/>
          <w:szCs w:val="24"/>
        </w:rPr>
        <w:t xml:space="preserve"> contends that the directives issued by it “do not prohibit Aldor from trading</w:t>
      </w:r>
      <w:r w:rsidR="00734F81">
        <w:rPr>
          <w:rFonts w:ascii="Verdana" w:hAnsi="Verdana"/>
          <w:sz w:val="24"/>
          <w:szCs w:val="24"/>
        </w:rPr>
        <w:t>,</w:t>
      </w:r>
      <w:r w:rsidRPr="00B0536C">
        <w:rPr>
          <w:rFonts w:ascii="Verdana" w:hAnsi="Verdana"/>
          <w:sz w:val="24"/>
          <w:szCs w:val="24"/>
        </w:rPr>
        <w:t xml:space="preserve">” </w:t>
      </w:r>
      <w:r w:rsidRPr="00B0536C">
        <w:rPr>
          <w:rStyle w:val="FootnoteReference"/>
          <w:rFonts w:ascii="Verdana" w:hAnsi="Verdana"/>
          <w:sz w:val="24"/>
          <w:szCs w:val="24"/>
        </w:rPr>
        <w:footnoteReference w:id="28"/>
      </w:r>
      <w:r w:rsidRPr="00B0536C">
        <w:rPr>
          <w:rFonts w:ascii="Verdana" w:hAnsi="Verdana"/>
          <w:sz w:val="24"/>
          <w:szCs w:val="24"/>
        </w:rPr>
        <w:t xml:space="preserve"> ignores Aldor’s contention that it is a central feature of its business to be able to make advance import payments and that it requires its blocked funds (R56 million) </w:t>
      </w:r>
      <w:proofErr w:type="gramStart"/>
      <w:r w:rsidRPr="00B0536C">
        <w:rPr>
          <w:rFonts w:ascii="Verdana" w:hAnsi="Verdana"/>
          <w:sz w:val="24"/>
          <w:szCs w:val="24"/>
        </w:rPr>
        <w:t>in order to</w:t>
      </w:r>
      <w:proofErr w:type="gramEnd"/>
      <w:r w:rsidRPr="00B0536C">
        <w:rPr>
          <w:rFonts w:ascii="Verdana" w:hAnsi="Verdana"/>
          <w:sz w:val="24"/>
          <w:szCs w:val="24"/>
        </w:rPr>
        <w:t xml:space="preserve"> pay its creditors.</w:t>
      </w:r>
    </w:p>
    <w:p w14:paraId="7080A018" w14:textId="54040892" w:rsidR="00D30AA9" w:rsidRPr="00B0536C" w:rsidRDefault="00D30AA9" w:rsidP="00D30AA9">
      <w:pPr>
        <w:tabs>
          <w:tab w:val="left" w:pos="709"/>
        </w:tabs>
        <w:spacing w:before="360" w:after="240" w:line="480" w:lineRule="auto"/>
        <w:jc w:val="both"/>
        <w:rPr>
          <w:rFonts w:ascii="Verdana" w:hAnsi="Verdana"/>
          <w:sz w:val="24"/>
          <w:szCs w:val="24"/>
        </w:rPr>
      </w:pPr>
      <w:r w:rsidRPr="00B0536C">
        <w:rPr>
          <w:rFonts w:ascii="Verdana" w:hAnsi="Verdana"/>
          <w:sz w:val="24"/>
          <w:szCs w:val="24"/>
        </w:rPr>
        <w:t xml:space="preserve"> </w:t>
      </w:r>
    </w:p>
    <w:p w14:paraId="1C44C9C9" w14:textId="552BA801" w:rsidR="00343806" w:rsidRDefault="00966D39" w:rsidP="00D30AA9">
      <w:pPr>
        <w:tabs>
          <w:tab w:val="left" w:pos="709"/>
        </w:tabs>
        <w:spacing w:before="360" w:after="240" w:line="480" w:lineRule="auto"/>
        <w:jc w:val="both"/>
        <w:rPr>
          <w:rFonts w:ascii="Verdana" w:hAnsi="Verdana"/>
          <w:sz w:val="24"/>
          <w:szCs w:val="24"/>
        </w:rPr>
      </w:pPr>
      <w:r>
        <w:rPr>
          <w:rFonts w:ascii="Verdana" w:hAnsi="Verdana"/>
          <w:sz w:val="24"/>
          <w:szCs w:val="24"/>
        </w:rPr>
        <w:t>30</w:t>
      </w:r>
      <w:r w:rsidR="00B0536C" w:rsidRPr="00B0536C">
        <w:rPr>
          <w:rFonts w:ascii="Verdana" w:hAnsi="Verdana"/>
          <w:sz w:val="24"/>
          <w:szCs w:val="24"/>
        </w:rPr>
        <w:t>]</w:t>
      </w:r>
      <w:r w:rsidR="00D30AA9" w:rsidRPr="00B0536C">
        <w:rPr>
          <w:rFonts w:ascii="Verdana" w:hAnsi="Verdana"/>
          <w:sz w:val="24"/>
          <w:szCs w:val="24"/>
        </w:rPr>
        <w:t xml:space="preserve"> Fundamentally, </w:t>
      </w:r>
      <w:proofErr w:type="spellStart"/>
      <w:r w:rsidR="00D30AA9" w:rsidRPr="00B0536C">
        <w:rPr>
          <w:rFonts w:ascii="Verdana" w:hAnsi="Verdana"/>
          <w:sz w:val="24"/>
          <w:szCs w:val="24"/>
        </w:rPr>
        <w:t>FinSurv</w:t>
      </w:r>
      <w:proofErr w:type="spellEnd"/>
      <w:r w:rsidR="00D30AA9" w:rsidRPr="00B0536C">
        <w:rPr>
          <w:rFonts w:ascii="Verdana" w:hAnsi="Verdana"/>
          <w:sz w:val="24"/>
          <w:szCs w:val="24"/>
        </w:rPr>
        <w:t xml:space="preserve"> contends that the application is not urgent, because it is premature, since </w:t>
      </w:r>
      <w:proofErr w:type="spellStart"/>
      <w:r w:rsidR="00D30AA9" w:rsidRPr="00B0536C">
        <w:rPr>
          <w:rFonts w:ascii="Verdana" w:hAnsi="Verdana"/>
          <w:sz w:val="24"/>
          <w:szCs w:val="24"/>
        </w:rPr>
        <w:t>FinSurv</w:t>
      </w:r>
      <w:proofErr w:type="spellEnd"/>
      <w:r w:rsidR="00D30AA9" w:rsidRPr="00B0536C">
        <w:rPr>
          <w:rFonts w:ascii="Verdana" w:hAnsi="Verdana"/>
          <w:sz w:val="24"/>
          <w:szCs w:val="24"/>
        </w:rPr>
        <w:t xml:space="preserve"> is entitled to conduct its investigation for a period of 36 months</w:t>
      </w:r>
      <w:r w:rsidR="009A1644">
        <w:rPr>
          <w:rFonts w:ascii="Verdana" w:hAnsi="Verdana"/>
          <w:sz w:val="24"/>
          <w:szCs w:val="24"/>
        </w:rPr>
        <w:t>.</w:t>
      </w:r>
      <w:r w:rsidR="00D30AA9" w:rsidRPr="00B0536C">
        <w:rPr>
          <w:rStyle w:val="FootnoteReference"/>
          <w:rFonts w:ascii="Verdana" w:hAnsi="Verdana"/>
          <w:sz w:val="24"/>
          <w:szCs w:val="24"/>
        </w:rPr>
        <w:footnoteReference w:id="29"/>
      </w:r>
      <w:r w:rsidR="00D30AA9" w:rsidRPr="00B0536C">
        <w:rPr>
          <w:rFonts w:ascii="Verdana" w:hAnsi="Verdana"/>
          <w:sz w:val="24"/>
          <w:szCs w:val="24"/>
        </w:rPr>
        <w:t xml:space="preserve"> </w:t>
      </w:r>
    </w:p>
    <w:p w14:paraId="5D9CC0C0" w14:textId="77777777" w:rsidR="00966D39" w:rsidRDefault="00966D39" w:rsidP="00D30AA9">
      <w:pPr>
        <w:tabs>
          <w:tab w:val="left" w:pos="709"/>
        </w:tabs>
        <w:spacing w:before="360" w:after="240" w:line="480" w:lineRule="auto"/>
        <w:jc w:val="both"/>
        <w:rPr>
          <w:rFonts w:ascii="Verdana" w:hAnsi="Verdana"/>
          <w:sz w:val="24"/>
          <w:szCs w:val="24"/>
        </w:rPr>
      </w:pPr>
    </w:p>
    <w:p w14:paraId="6EA0B167" w14:textId="046BFC6D" w:rsidR="00D30AA9" w:rsidRPr="00D30AA9" w:rsidRDefault="00D92ADA" w:rsidP="00D30AA9">
      <w:pPr>
        <w:tabs>
          <w:tab w:val="left" w:pos="709"/>
        </w:tabs>
        <w:spacing w:before="360" w:after="240" w:line="480" w:lineRule="auto"/>
        <w:jc w:val="both"/>
        <w:rPr>
          <w:rFonts w:ascii="Verdana" w:hAnsi="Verdana"/>
          <w:color w:val="196B24" w:themeColor="accent3"/>
          <w:sz w:val="24"/>
          <w:szCs w:val="24"/>
        </w:rPr>
      </w:pPr>
      <w:r>
        <w:rPr>
          <w:rFonts w:ascii="Verdana" w:hAnsi="Verdana"/>
          <w:sz w:val="24"/>
          <w:szCs w:val="24"/>
        </w:rPr>
        <w:t>3</w:t>
      </w:r>
      <w:r w:rsidR="00966D39">
        <w:rPr>
          <w:rFonts w:ascii="Verdana" w:hAnsi="Verdana"/>
          <w:sz w:val="24"/>
          <w:szCs w:val="24"/>
        </w:rPr>
        <w:t>1</w:t>
      </w:r>
      <w:r w:rsidR="00FB5F3E" w:rsidRPr="00FB5F3E">
        <w:rPr>
          <w:rFonts w:ascii="Verdana" w:hAnsi="Verdana"/>
          <w:sz w:val="24"/>
          <w:szCs w:val="24"/>
        </w:rPr>
        <w:t>]</w:t>
      </w:r>
      <w:r w:rsidR="00966D39">
        <w:rPr>
          <w:rFonts w:ascii="Verdana" w:hAnsi="Verdana"/>
          <w:sz w:val="24"/>
          <w:szCs w:val="24"/>
        </w:rPr>
        <w:t xml:space="preserve"> Having had regard to the evidence as set out in the respective affidavits, I am </w:t>
      </w:r>
      <w:proofErr w:type="spellStart"/>
      <w:proofErr w:type="gramStart"/>
      <w:r w:rsidR="00966D39">
        <w:rPr>
          <w:rFonts w:ascii="Verdana" w:hAnsi="Verdana"/>
          <w:sz w:val="24"/>
          <w:szCs w:val="24"/>
        </w:rPr>
        <w:t>pursuaded</w:t>
      </w:r>
      <w:proofErr w:type="spellEnd"/>
      <w:proofErr w:type="gramEnd"/>
      <w:r w:rsidR="00966D39">
        <w:rPr>
          <w:rFonts w:ascii="Verdana" w:hAnsi="Verdana"/>
          <w:sz w:val="24"/>
          <w:szCs w:val="24"/>
        </w:rPr>
        <w:t xml:space="preserve"> to agree that the applicant will not receive substantial redress at the hearing in due course.</w:t>
      </w:r>
      <w:r w:rsidR="00FE22B0">
        <w:rPr>
          <w:rFonts w:ascii="Verdana" w:hAnsi="Verdana"/>
          <w:sz w:val="24"/>
          <w:szCs w:val="24"/>
        </w:rPr>
        <w:t xml:space="preserve"> Consequently</w:t>
      </w:r>
      <w:r w:rsidR="00364D7D">
        <w:rPr>
          <w:rFonts w:ascii="Verdana" w:hAnsi="Verdana"/>
          <w:sz w:val="24"/>
          <w:szCs w:val="24"/>
        </w:rPr>
        <w:t>,</w:t>
      </w:r>
      <w:r w:rsidR="00FE22B0">
        <w:rPr>
          <w:rFonts w:ascii="Verdana" w:hAnsi="Verdana"/>
          <w:sz w:val="24"/>
          <w:szCs w:val="24"/>
        </w:rPr>
        <w:t xml:space="preserve"> the application is enrolled as an urgent application</w:t>
      </w:r>
      <w:r w:rsidR="00364D7D">
        <w:rPr>
          <w:rFonts w:ascii="Verdana" w:hAnsi="Verdana"/>
          <w:sz w:val="24"/>
          <w:szCs w:val="24"/>
        </w:rPr>
        <w:t xml:space="preserve"> for adjudication in the urgent court.</w:t>
      </w:r>
    </w:p>
    <w:p w14:paraId="72EF192A" w14:textId="77777777" w:rsidR="00CE1EC8" w:rsidRDefault="00CE1EC8" w:rsidP="00FC28F6">
      <w:pPr>
        <w:tabs>
          <w:tab w:val="left" w:pos="709"/>
        </w:tabs>
        <w:spacing w:before="360" w:after="240" w:line="480" w:lineRule="auto"/>
        <w:jc w:val="both"/>
        <w:rPr>
          <w:rFonts w:ascii="Verdana" w:hAnsi="Verdana"/>
          <w:sz w:val="24"/>
          <w:szCs w:val="24"/>
        </w:rPr>
      </w:pPr>
    </w:p>
    <w:p w14:paraId="433AE765" w14:textId="2324BD58" w:rsidR="00CE1EC8" w:rsidRPr="00FE22B0" w:rsidRDefault="00FE22B0" w:rsidP="00FC28F6">
      <w:pPr>
        <w:tabs>
          <w:tab w:val="left" w:pos="709"/>
        </w:tabs>
        <w:spacing w:before="360" w:after="240" w:line="480" w:lineRule="auto"/>
        <w:jc w:val="both"/>
        <w:rPr>
          <w:rFonts w:ascii="Verdana" w:hAnsi="Verdana"/>
          <w:sz w:val="24"/>
          <w:szCs w:val="24"/>
        </w:rPr>
      </w:pPr>
      <w:r w:rsidRPr="00FE22B0">
        <w:rPr>
          <w:rFonts w:ascii="Verdana" w:hAnsi="Verdana"/>
          <w:sz w:val="24"/>
          <w:szCs w:val="24"/>
        </w:rPr>
        <w:t>DEFENCES</w:t>
      </w:r>
    </w:p>
    <w:p w14:paraId="54A690E2" w14:textId="0A406EEF" w:rsidR="00FC28F6" w:rsidRPr="00FE22B0" w:rsidRDefault="00FE22B0" w:rsidP="00FC28F6">
      <w:pPr>
        <w:tabs>
          <w:tab w:val="left" w:pos="709"/>
        </w:tabs>
        <w:spacing w:before="360" w:after="240" w:line="480" w:lineRule="auto"/>
        <w:jc w:val="both"/>
        <w:rPr>
          <w:rFonts w:ascii="Verdana" w:hAnsi="Verdana"/>
          <w:sz w:val="24"/>
          <w:szCs w:val="24"/>
        </w:rPr>
      </w:pPr>
      <w:r>
        <w:rPr>
          <w:rFonts w:ascii="Verdana" w:hAnsi="Verdana"/>
          <w:sz w:val="24"/>
          <w:szCs w:val="24"/>
        </w:rPr>
        <w:t>32] The first respondent ha</w:t>
      </w:r>
      <w:r w:rsidR="0066067F">
        <w:rPr>
          <w:rFonts w:ascii="Verdana" w:hAnsi="Verdana"/>
          <w:sz w:val="24"/>
          <w:szCs w:val="24"/>
        </w:rPr>
        <w:t>d</w:t>
      </w:r>
      <w:r>
        <w:rPr>
          <w:rFonts w:ascii="Verdana" w:hAnsi="Verdana"/>
          <w:sz w:val="24"/>
          <w:szCs w:val="24"/>
        </w:rPr>
        <w:t xml:space="preserve"> raised </w:t>
      </w:r>
      <w:r w:rsidR="00F458AA">
        <w:rPr>
          <w:rFonts w:ascii="Verdana" w:hAnsi="Verdana"/>
          <w:sz w:val="24"/>
          <w:szCs w:val="24"/>
        </w:rPr>
        <w:t>the preliminary point</w:t>
      </w:r>
      <w:r w:rsidR="00E10195">
        <w:rPr>
          <w:rFonts w:ascii="Verdana" w:hAnsi="Verdana"/>
          <w:sz w:val="24"/>
          <w:szCs w:val="24"/>
        </w:rPr>
        <w:t>s</w:t>
      </w:r>
      <w:r w:rsidR="00F458AA">
        <w:rPr>
          <w:rFonts w:ascii="Verdana" w:hAnsi="Verdana"/>
          <w:sz w:val="24"/>
          <w:szCs w:val="24"/>
        </w:rPr>
        <w:t xml:space="preserve"> of </w:t>
      </w:r>
      <w:r>
        <w:rPr>
          <w:rFonts w:ascii="Verdana" w:hAnsi="Verdana"/>
          <w:sz w:val="24"/>
          <w:szCs w:val="24"/>
        </w:rPr>
        <w:t>non</w:t>
      </w:r>
      <w:r w:rsidR="0066067F">
        <w:rPr>
          <w:rFonts w:ascii="Verdana" w:hAnsi="Verdana"/>
          <w:sz w:val="24"/>
          <w:szCs w:val="24"/>
        </w:rPr>
        <w:t>-</w:t>
      </w:r>
      <w:r>
        <w:rPr>
          <w:rFonts w:ascii="Verdana" w:hAnsi="Verdana"/>
          <w:sz w:val="24"/>
          <w:szCs w:val="24"/>
        </w:rPr>
        <w:t>joinder as a defense against the application.</w:t>
      </w:r>
      <w:r w:rsidR="00FC28F6" w:rsidRPr="00FC28F6">
        <w:rPr>
          <w:rFonts w:ascii="Verdana" w:hAnsi="Verdana"/>
          <w:sz w:val="24"/>
          <w:szCs w:val="24"/>
        </w:rPr>
        <w:t xml:space="preserve"> </w:t>
      </w:r>
      <w:r>
        <w:rPr>
          <w:rFonts w:ascii="Verdana" w:hAnsi="Verdana"/>
          <w:sz w:val="24"/>
          <w:szCs w:val="24"/>
        </w:rPr>
        <w:t xml:space="preserve">In this regard the first respondent </w:t>
      </w:r>
      <w:r>
        <w:rPr>
          <w:rFonts w:ascii="Verdana" w:hAnsi="Verdana"/>
          <w:sz w:val="24"/>
          <w:szCs w:val="24"/>
        </w:rPr>
        <w:lastRenderedPageBreak/>
        <w:t>contends that the applicant has failed to join</w:t>
      </w:r>
      <w:r w:rsidR="00FC28F6" w:rsidRPr="00FE22B0">
        <w:rPr>
          <w:rFonts w:ascii="Verdana" w:hAnsi="Verdana"/>
          <w:sz w:val="24"/>
          <w:szCs w:val="24"/>
        </w:rPr>
        <w:t xml:space="preserve"> </w:t>
      </w:r>
      <w:proofErr w:type="spellStart"/>
      <w:r w:rsidR="00FC28F6" w:rsidRPr="00FE22B0">
        <w:rPr>
          <w:rFonts w:ascii="Verdana" w:hAnsi="Verdana"/>
          <w:sz w:val="24"/>
          <w:szCs w:val="24"/>
        </w:rPr>
        <w:t>Sasfin</w:t>
      </w:r>
      <w:proofErr w:type="spellEnd"/>
      <w:r w:rsidR="00FC28F6" w:rsidRPr="00FE22B0">
        <w:rPr>
          <w:rFonts w:ascii="Verdana" w:hAnsi="Verdana"/>
          <w:sz w:val="24"/>
          <w:szCs w:val="24"/>
        </w:rPr>
        <w:t>, who has a direct and substantial interest in these proceedings</w:t>
      </w:r>
      <w:r>
        <w:rPr>
          <w:rFonts w:ascii="Verdana" w:hAnsi="Verdana"/>
          <w:sz w:val="24"/>
          <w:szCs w:val="24"/>
        </w:rPr>
        <w:t xml:space="preserve"> as well </w:t>
      </w:r>
      <w:proofErr w:type="gramStart"/>
      <w:r>
        <w:rPr>
          <w:rFonts w:ascii="Verdana" w:hAnsi="Verdana"/>
          <w:sz w:val="24"/>
          <w:szCs w:val="24"/>
        </w:rPr>
        <w:t>at</w:t>
      </w:r>
      <w:proofErr w:type="gramEnd"/>
      <w:r>
        <w:rPr>
          <w:rFonts w:ascii="Verdana" w:hAnsi="Verdana"/>
          <w:sz w:val="24"/>
          <w:szCs w:val="24"/>
        </w:rPr>
        <w:t xml:space="preserve"> the</w:t>
      </w:r>
      <w:r w:rsidR="00FC28F6" w:rsidRPr="00FE22B0">
        <w:rPr>
          <w:rFonts w:ascii="Verdana" w:hAnsi="Verdana"/>
          <w:sz w:val="24"/>
          <w:szCs w:val="24"/>
        </w:rPr>
        <w:t xml:space="preserve"> Minister of Finance (“the Minister”).</w:t>
      </w:r>
    </w:p>
    <w:p w14:paraId="20BB4FBE" w14:textId="09F3CC01" w:rsidR="00FE22B0" w:rsidRDefault="00FE22B0" w:rsidP="00FE22B0">
      <w:pPr>
        <w:tabs>
          <w:tab w:val="left" w:pos="709"/>
        </w:tabs>
        <w:spacing w:before="360" w:after="240" w:line="480" w:lineRule="auto"/>
        <w:jc w:val="both"/>
        <w:rPr>
          <w:rFonts w:ascii="Verdana" w:hAnsi="Verdana"/>
          <w:b/>
          <w:sz w:val="24"/>
          <w:szCs w:val="24"/>
        </w:rPr>
      </w:pPr>
    </w:p>
    <w:p w14:paraId="03B33B28" w14:textId="300D5FC2" w:rsidR="00FE22B0" w:rsidRDefault="00FE22B0" w:rsidP="00FE22B0">
      <w:pPr>
        <w:tabs>
          <w:tab w:val="left" w:pos="709"/>
        </w:tabs>
        <w:spacing w:before="360" w:after="240" w:line="480" w:lineRule="auto"/>
        <w:jc w:val="both"/>
        <w:rPr>
          <w:rFonts w:ascii="Verdana" w:hAnsi="Verdana"/>
          <w:sz w:val="24"/>
          <w:szCs w:val="24"/>
        </w:rPr>
      </w:pPr>
      <w:r w:rsidRPr="00FE22B0">
        <w:rPr>
          <w:rFonts w:ascii="Verdana" w:hAnsi="Verdana"/>
          <w:bCs/>
          <w:sz w:val="24"/>
          <w:szCs w:val="24"/>
        </w:rPr>
        <w:t>33]</w:t>
      </w:r>
      <w:r>
        <w:rPr>
          <w:rFonts w:ascii="Verdana" w:hAnsi="Verdana"/>
          <w:bCs/>
          <w:sz w:val="24"/>
          <w:szCs w:val="24"/>
        </w:rPr>
        <w:t xml:space="preserve"> On point the applicant had argued, the</w:t>
      </w:r>
      <w:r w:rsidRPr="00E215F5">
        <w:rPr>
          <w:rFonts w:ascii="Verdana" w:hAnsi="Verdana"/>
          <w:sz w:val="24"/>
          <w:szCs w:val="24"/>
        </w:rPr>
        <w:t xml:space="preserve"> non–joinder point </w:t>
      </w:r>
      <w:r w:rsidRPr="008133EA">
        <w:rPr>
          <w:rFonts w:ascii="Verdana" w:hAnsi="Verdana"/>
          <w:i/>
          <w:iCs/>
          <w:sz w:val="24"/>
          <w:szCs w:val="24"/>
        </w:rPr>
        <w:t xml:space="preserve">in </w:t>
      </w:r>
      <w:proofErr w:type="spellStart"/>
      <w:r w:rsidRPr="008133EA">
        <w:rPr>
          <w:rFonts w:ascii="Verdana" w:hAnsi="Verdana"/>
          <w:i/>
          <w:iCs/>
          <w:sz w:val="24"/>
          <w:szCs w:val="24"/>
        </w:rPr>
        <w:t>limine</w:t>
      </w:r>
      <w:proofErr w:type="spellEnd"/>
      <w:r w:rsidRPr="00E215F5">
        <w:rPr>
          <w:rFonts w:ascii="Verdana" w:hAnsi="Verdana"/>
          <w:sz w:val="24"/>
          <w:szCs w:val="24"/>
        </w:rPr>
        <w:t xml:space="preserve"> is dilatory </w:t>
      </w:r>
      <w:r w:rsidR="00D435CE">
        <w:rPr>
          <w:rFonts w:ascii="Verdana" w:hAnsi="Verdana"/>
          <w:sz w:val="24"/>
          <w:szCs w:val="24"/>
        </w:rPr>
        <w:t xml:space="preserve">and ill-fated </w:t>
      </w:r>
      <w:r w:rsidRPr="00E215F5">
        <w:rPr>
          <w:rFonts w:ascii="Verdana" w:hAnsi="Verdana"/>
          <w:sz w:val="24"/>
          <w:szCs w:val="24"/>
        </w:rPr>
        <w:t xml:space="preserve">at best. </w:t>
      </w:r>
    </w:p>
    <w:p w14:paraId="4C768408" w14:textId="77777777" w:rsidR="00C027F5" w:rsidRPr="00FE22B0" w:rsidRDefault="00C027F5" w:rsidP="00FE22B0">
      <w:pPr>
        <w:tabs>
          <w:tab w:val="left" w:pos="709"/>
        </w:tabs>
        <w:spacing w:before="360" w:after="240" w:line="480" w:lineRule="auto"/>
        <w:jc w:val="both"/>
        <w:rPr>
          <w:rFonts w:ascii="Verdana" w:hAnsi="Verdana"/>
          <w:bCs/>
          <w:sz w:val="24"/>
          <w:szCs w:val="24"/>
        </w:rPr>
      </w:pPr>
    </w:p>
    <w:p w14:paraId="786F05AB" w14:textId="04CA561A" w:rsidR="00FE22B0" w:rsidRDefault="00D435CE" w:rsidP="00FE22B0">
      <w:pPr>
        <w:tabs>
          <w:tab w:val="left" w:pos="709"/>
        </w:tabs>
        <w:spacing w:before="360" w:after="240" w:line="480" w:lineRule="auto"/>
        <w:jc w:val="both"/>
        <w:rPr>
          <w:rFonts w:ascii="Verdana" w:hAnsi="Verdana"/>
          <w:sz w:val="24"/>
          <w:szCs w:val="24"/>
        </w:rPr>
      </w:pPr>
      <w:r>
        <w:rPr>
          <w:rFonts w:ascii="Verdana" w:hAnsi="Verdana"/>
          <w:sz w:val="24"/>
          <w:szCs w:val="24"/>
        </w:rPr>
        <w:t>34] In this regard the applicant had argued that the</w:t>
      </w:r>
      <w:r w:rsidR="00FE22B0" w:rsidRPr="00E215F5">
        <w:rPr>
          <w:rFonts w:ascii="Verdana" w:hAnsi="Verdana"/>
          <w:sz w:val="24"/>
          <w:szCs w:val="24"/>
        </w:rPr>
        <w:t xml:space="preserve"> joinder of </w:t>
      </w:r>
      <w:proofErr w:type="spellStart"/>
      <w:r w:rsidR="00FE22B0" w:rsidRPr="00E215F5">
        <w:rPr>
          <w:rFonts w:ascii="Verdana" w:hAnsi="Verdana"/>
          <w:sz w:val="24"/>
          <w:szCs w:val="24"/>
        </w:rPr>
        <w:t>Sasfin</w:t>
      </w:r>
      <w:proofErr w:type="spellEnd"/>
      <w:r w:rsidR="00FE22B0" w:rsidRPr="00E215F5">
        <w:rPr>
          <w:rFonts w:ascii="Verdana" w:hAnsi="Verdana"/>
          <w:sz w:val="24"/>
          <w:szCs w:val="24"/>
        </w:rPr>
        <w:t xml:space="preserve"> was not required</w:t>
      </w:r>
      <w:r>
        <w:rPr>
          <w:rFonts w:ascii="Verdana" w:hAnsi="Verdana"/>
          <w:sz w:val="24"/>
          <w:szCs w:val="24"/>
        </w:rPr>
        <w:t xml:space="preserve"> as </w:t>
      </w:r>
      <w:proofErr w:type="spellStart"/>
      <w:r>
        <w:rPr>
          <w:rFonts w:ascii="Verdana" w:hAnsi="Verdana"/>
          <w:sz w:val="24"/>
          <w:szCs w:val="24"/>
        </w:rPr>
        <w:t>Sasfin</w:t>
      </w:r>
      <w:proofErr w:type="spellEnd"/>
      <w:r w:rsidR="00FE22B0" w:rsidRPr="00E215F5">
        <w:rPr>
          <w:rFonts w:ascii="Verdana" w:hAnsi="Verdana"/>
          <w:sz w:val="24"/>
          <w:szCs w:val="24"/>
        </w:rPr>
        <w:t xml:space="preserve"> in no way </w:t>
      </w:r>
      <w:r>
        <w:rPr>
          <w:rFonts w:ascii="Verdana" w:hAnsi="Verdana"/>
          <w:sz w:val="24"/>
          <w:szCs w:val="24"/>
        </w:rPr>
        <w:t xml:space="preserve">was </w:t>
      </w:r>
      <w:r w:rsidR="00FE22B0" w:rsidRPr="00E215F5">
        <w:rPr>
          <w:rFonts w:ascii="Verdana" w:hAnsi="Verdana"/>
          <w:sz w:val="24"/>
          <w:szCs w:val="24"/>
        </w:rPr>
        <w:t>affected by the order sought and no findings are required to be made (or would be made) against it.</w:t>
      </w:r>
    </w:p>
    <w:p w14:paraId="626F4F1D" w14:textId="77777777" w:rsidR="00D435CE" w:rsidRDefault="00D435CE" w:rsidP="00FE22B0">
      <w:pPr>
        <w:tabs>
          <w:tab w:val="left" w:pos="709"/>
        </w:tabs>
        <w:spacing w:before="360" w:after="240" w:line="480" w:lineRule="auto"/>
        <w:jc w:val="both"/>
        <w:rPr>
          <w:rFonts w:ascii="Verdana" w:hAnsi="Verdana"/>
          <w:sz w:val="24"/>
          <w:szCs w:val="24"/>
        </w:rPr>
      </w:pPr>
    </w:p>
    <w:p w14:paraId="3C934E08" w14:textId="72E4E7B0" w:rsidR="00FE22B0" w:rsidRDefault="00D435CE" w:rsidP="00FE22B0">
      <w:pPr>
        <w:tabs>
          <w:tab w:val="left" w:pos="709"/>
        </w:tabs>
        <w:spacing w:before="360" w:after="240" w:line="480" w:lineRule="auto"/>
        <w:jc w:val="both"/>
        <w:rPr>
          <w:rFonts w:ascii="Verdana" w:hAnsi="Verdana"/>
          <w:sz w:val="24"/>
          <w:szCs w:val="24"/>
        </w:rPr>
      </w:pPr>
      <w:r>
        <w:rPr>
          <w:rFonts w:ascii="Verdana" w:hAnsi="Verdana"/>
          <w:sz w:val="24"/>
          <w:szCs w:val="24"/>
        </w:rPr>
        <w:t>35]</w:t>
      </w:r>
      <w:r w:rsidR="00FE22B0">
        <w:rPr>
          <w:rFonts w:ascii="Verdana" w:hAnsi="Verdana"/>
          <w:sz w:val="24"/>
          <w:szCs w:val="24"/>
        </w:rPr>
        <w:t xml:space="preserve"> </w:t>
      </w:r>
      <w:r w:rsidR="00FE22B0" w:rsidRPr="00E215F5">
        <w:rPr>
          <w:rFonts w:ascii="Verdana" w:hAnsi="Verdana"/>
          <w:sz w:val="24"/>
          <w:szCs w:val="24"/>
        </w:rPr>
        <w:t>As for the non–joinder of the Minister, although it was stated in Morgan v Salisbury Municipality</w:t>
      </w:r>
      <w:r w:rsidR="00FE22B0">
        <w:rPr>
          <w:rStyle w:val="FootnoteReference"/>
          <w:rFonts w:ascii="Verdana" w:hAnsi="Verdana"/>
          <w:sz w:val="24"/>
          <w:szCs w:val="24"/>
        </w:rPr>
        <w:footnoteReference w:id="30"/>
      </w:r>
      <w:r w:rsidR="00FE22B0" w:rsidRPr="00E215F5">
        <w:rPr>
          <w:rFonts w:ascii="Verdana" w:hAnsi="Verdana"/>
          <w:sz w:val="24"/>
          <w:szCs w:val="24"/>
        </w:rPr>
        <w:t xml:space="preserve"> that a party’s right to demand the joinder of another party is limited to the cases of joint owners, joint contractors and partners, the test which has evolved is whether or not a party has a ‘direct and substantial interest’ in the subject matter of the action, that is, a legal interest in the subject matter of the litigation which may be affected. </w:t>
      </w:r>
      <w:r w:rsidR="00277A72">
        <w:rPr>
          <w:rFonts w:ascii="Verdana" w:hAnsi="Verdana"/>
          <w:sz w:val="24"/>
          <w:szCs w:val="24"/>
        </w:rPr>
        <w:t xml:space="preserve">On this basis </w:t>
      </w:r>
      <w:r w:rsidR="003A67C7">
        <w:rPr>
          <w:rFonts w:ascii="Verdana" w:hAnsi="Verdana"/>
          <w:sz w:val="24"/>
          <w:szCs w:val="24"/>
        </w:rPr>
        <w:t xml:space="preserve">the applicant </w:t>
      </w:r>
      <w:r w:rsidR="00277A72">
        <w:rPr>
          <w:rFonts w:ascii="Verdana" w:hAnsi="Verdana"/>
          <w:sz w:val="24"/>
          <w:szCs w:val="24"/>
        </w:rPr>
        <w:t xml:space="preserve">had </w:t>
      </w:r>
      <w:r w:rsidR="003A67C7">
        <w:rPr>
          <w:rFonts w:ascii="Verdana" w:hAnsi="Verdana"/>
          <w:sz w:val="24"/>
          <w:szCs w:val="24"/>
        </w:rPr>
        <w:t xml:space="preserve">argued, </w:t>
      </w:r>
      <w:r w:rsidR="00FE22B0" w:rsidRPr="00E215F5">
        <w:rPr>
          <w:rFonts w:ascii="Verdana" w:hAnsi="Verdana"/>
          <w:sz w:val="24"/>
          <w:szCs w:val="24"/>
        </w:rPr>
        <w:t xml:space="preserve">it is common cause that the Minister has lawfully delegated his powers to Treasury (acting via </w:t>
      </w:r>
      <w:proofErr w:type="spellStart"/>
      <w:r w:rsidR="00FE22B0" w:rsidRPr="00E215F5">
        <w:rPr>
          <w:rFonts w:ascii="Verdana" w:hAnsi="Verdana"/>
          <w:sz w:val="24"/>
          <w:szCs w:val="24"/>
        </w:rPr>
        <w:t>FinSurv</w:t>
      </w:r>
      <w:proofErr w:type="spellEnd"/>
      <w:r w:rsidR="00FE22B0" w:rsidRPr="00E215F5">
        <w:rPr>
          <w:rFonts w:ascii="Verdana" w:hAnsi="Verdana"/>
          <w:sz w:val="24"/>
          <w:szCs w:val="24"/>
        </w:rPr>
        <w:t xml:space="preserve"> as a </w:t>
      </w:r>
      <w:r w:rsidR="00FE22B0" w:rsidRPr="00E215F5">
        <w:rPr>
          <w:rFonts w:ascii="Verdana" w:hAnsi="Verdana"/>
          <w:sz w:val="24"/>
          <w:szCs w:val="24"/>
        </w:rPr>
        <w:lastRenderedPageBreak/>
        <w:t xml:space="preserve">specific department within it). The order affects </w:t>
      </w:r>
      <w:proofErr w:type="spellStart"/>
      <w:r w:rsidR="00FE22B0" w:rsidRPr="00E215F5">
        <w:rPr>
          <w:rFonts w:ascii="Verdana" w:hAnsi="Verdana"/>
          <w:sz w:val="24"/>
          <w:szCs w:val="24"/>
        </w:rPr>
        <w:t>FinSurv</w:t>
      </w:r>
      <w:proofErr w:type="spellEnd"/>
      <w:r w:rsidR="00FE22B0" w:rsidRPr="00E215F5">
        <w:rPr>
          <w:rFonts w:ascii="Verdana" w:hAnsi="Verdana"/>
          <w:sz w:val="24"/>
          <w:szCs w:val="24"/>
        </w:rPr>
        <w:t xml:space="preserve"> in the discharge of its powers as a lawful </w:t>
      </w:r>
      <w:proofErr w:type="spellStart"/>
      <w:r w:rsidR="00FE22B0" w:rsidRPr="00E215F5">
        <w:rPr>
          <w:rFonts w:ascii="Verdana" w:hAnsi="Verdana"/>
          <w:sz w:val="24"/>
          <w:szCs w:val="24"/>
        </w:rPr>
        <w:t>delegatee</w:t>
      </w:r>
      <w:proofErr w:type="spellEnd"/>
      <w:r w:rsidR="00FE22B0" w:rsidRPr="00E215F5">
        <w:rPr>
          <w:rFonts w:ascii="Verdana" w:hAnsi="Verdana"/>
          <w:sz w:val="24"/>
          <w:szCs w:val="24"/>
        </w:rPr>
        <w:t xml:space="preserve">. The delegation of powers includes all incidental functions, including dealing with any judicial challenges to the exercise of the lawfully delegated power. </w:t>
      </w:r>
    </w:p>
    <w:p w14:paraId="7A254B97" w14:textId="77777777" w:rsidR="00FE22B0" w:rsidRPr="00E215F5" w:rsidRDefault="00FE22B0" w:rsidP="00FE22B0">
      <w:pPr>
        <w:tabs>
          <w:tab w:val="left" w:pos="709"/>
        </w:tabs>
        <w:spacing w:before="360" w:after="240" w:line="480" w:lineRule="auto"/>
        <w:jc w:val="both"/>
        <w:rPr>
          <w:rFonts w:ascii="Verdana" w:hAnsi="Verdana"/>
          <w:sz w:val="24"/>
          <w:szCs w:val="24"/>
        </w:rPr>
      </w:pPr>
    </w:p>
    <w:p w14:paraId="03D1D306" w14:textId="7AF0B583" w:rsidR="00FE22B0" w:rsidRDefault="00C1703B" w:rsidP="00FE22B0">
      <w:pPr>
        <w:tabs>
          <w:tab w:val="left" w:pos="709"/>
        </w:tabs>
        <w:spacing w:before="360" w:after="240" w:line="480" w:lineRule="auto"/>
        <w:jc w:val="both"/>
        <w:rPr>
          <w:rFonts w:ascii="Verdana" w:hAnsi="Verdana"/>
          <w:sz w:val="24"/>
          <w:szCs w:val="24"/>
        </w:rPr>
      </w:pPr>
      <w:r>
        <w:rPr>
          <w:rFonts w:ascii="Verdana" w:hAnsi="Verdana"/>
          <w:sz w:val="24"/>
          <w:szCs w:val="24"/>
        </w:rPr>
        <w:t>3</w:t>
      </w:r>
      <w:r w:rsidR="00277A72">
        <w:rPr>
          <w:rFonts w:ascii="Verdana" w:hAnsi="Verdana"/>
          <w:sz w:val="24"/>
          <w:szCs w:val="24"/>
        </w:rPr>
        <w:t>6</w:t>
      </w:r>
      <w:r>
        <w:rPr>
          <w:rFonts w:ascii="Verdana" w:hAnsi="Verdana"/>
          <w:sz w:val="24"/>
          <w:szCs w:val="24"/>
        </w:rPr>
        <w:t>] As the</w:t>
      </w:r>
      <w:r w:rsidR="00FE22B0" w:rsidRPr="00E215F5">
        <w:rPr>
          <w:rFonts w:ascii="Verdana" w:hAnsi="Verdana"/>
          <w:sz w:val="24"/>
          <w:szCs w:val="24"/>
        </w:rPr>
        <w:t xml:space="preserve"> orders sought herein do not affect the Minister as the lawful delegator, nor is the act of delegation in issue</w:t>
      </w:r>
      <w:r>
        <w:rPr>
          <w:rFonts w:ascii="Verdana" w:hAnsi="Verdana"/>
          <w:sz w:val="24"/>
          <w:szCs w:val="24"/>
        </w:rPr>
        <w:t xml:space="preserve">, it </w:t>
      </w:r>
      <w:proofErr w:type="gramStart"/>
      <w:r>
        <w:rPr>
          <w:rFonts w:ascii="Verdana" w:hAnsi="Verdana"/>
          <w:sz w:val="24"/>
          <w:szCs w:val="24"/>
        </w:rPr>
        <w:t>submitted</w:t>
      </w:r>
      <w:proofErr w:type="gramEnd"/>
      <w:r>
        <w:rPr>
          <w:rFonts w:ascii="Verdana" w:hAnsi="Verdana"/>
          <w:sz w:val="24"/>
          <w:szCs w:val="24"/>
        </w:rPr>
        <w:t xml:space="preserve"> the </w:t>
      </w:r>
      <w:proofErr w:type="gramStart"/>
      <w:r w:rsidR="00FE22B0" w:rsidRPr="00E215F5">
        <w:rPr>
          <w:rFonts w:ascii="Verdana" w:hAnsi="Verdana"/>
          <w:sz w:val="24"/>
          <w:szCs w:val="24"/>
        </w:rPr>
        <w:t>Minister</w:t>
      </w:r>
      <w:proofErr w:type="gramEnd"/>
      <w:r w:rsidR="00FE22B0" w:rsidRPr="00E215F5">
        <w:rPr>
          <w:rFonts w:ascii="Verdana" w:hAnsi="Verdana"/>
          <w:sz w:val="24"/>
          <w:szCs w:val="24"/>
        </w:rPr>
        <w:t xml:space="preserve"> accordingly</w:t>
      </w:r>
      <w:r w:rsidR="00277A72">
        <w:rPr>
          <w:rFonts w:ascii="Verdana" w:hAnsi="Verdana"/>
          <w:sz w:val="24"/>
          <w:szCs w:val="24"/>
        </w:rPr>
        <w:t>,</w:t>
      </w:r>
      <w:r w:rsidR="00FE22B0" w:rsidRPr="00E215F5">
        <w:rPr>
          <w:rFonts w:ascii="Verdana" w:hAnsi="Verdana"/>
          <w:sz w:val="24"/>
          <w:szCs w:val="24"/>
        </w:rPr>
        <w:t xml:space="preserve"> does not have a direct and substantial interest in the outcome of the application.</w:t>
      </w:r>
    </w:p>
    <w:p w14:paraId="3F67147B" w14:textId="77777777" w:rsidR="00A06F4A" w:rsidRDefault="00A06F4A" w:rsidP="00FE22B0">
      <w:pPr>
        <w:tabs>
          <w:tab w:val="left" w:pos="709"/>
        </w:tabs>
        <w:spacing w:before="360" w:after="240" w:line="480" w:lineRule="auto"/>
        <w:jc w:val="both"/>
        <w:rPr>
          <w:rFonts w:ascii="Verdana" w:hAnsi="Verdana"/>
          <w:sz w:val="24"/>
          <w:szCs w:val="24"/>
        </w:rPr>
      </w:pPr>
    </w:p>
    <w:p w14:paraId="0F275194" w14:textId="10C3F9CD" w:rsidR="00C1703B" w:rsidRPr="007723CB" w:rsidRDefault="00C1703B" w:rsidP="00C1703B">
      <w:pPr>
        <w:tabs>
          <w:tab w:val="left" w:pos="709"/>
        </w:tabs>
        <w:spacing w:before="360" w:after="240" w:line="480" w:lineRule="auto"/>
        <w:jc w:val="both"/>
        <w:rPr>
          <w:rFonts w:ascii="Verdana" w:hAnsi="Verdana"/>
          <w:sz w:val="24"/>
          <w:szCs w:val="24"/>
        </w:rPr>
      </w:pPr>
      <w:r w:rsidRPr="007723CB">
        <w:rPr>
          <w:rFonts w:ascii="Verdana" w:hAnsi="Verdana"/>
          <w:sz w:val="24"/>
          <w:szCs w:val="24"/>
        </w:rPr>
        <w:t>3</w:t>
      </w:r>
      <w:r w:rsidR="00277A72">
        <w:rPr>
          <w:rFonts w:ascii="Verdana" w:hAnsi="Verdana"/>
          <w:sz w:val="24"/>
          <w:szCs w:val="24"/>
        </w:rPr>
        <w:t>7</w:t>
      </w:r>
      <w:r w:rsidRPr="007723CB">
        <w:rPr>
          <w:rFonts w:ascii="Verdana" w:hAnsi="Verdana"/>
          <w:sz w:val="24"/>
          <w:szCs w:val="24"/>
        </w:rPr>
        <w:t>]</w:t>
      </w:r>
      <w:r w:rsidR="007723CB" w:rsidRPr="007723CB">
        <w:rPr>
          <w:rFonts w:ascii="Verdana" w:hAnsi="Verdana"/>
          <w:sz w:val="24"/>
          <w:szCs w:val="24"/>
        </w:rPr>
        <w:t xml:space="preserve"> On the point of non-joinder</w:t>
      </w:r>
      <w:r w:rsidR="00874132">
        <w:rPr>
          <w:rFonts w:ascii="Verdana" w:hAnsi="Verdana"/>
          <w:sz w:val="24"/>
          <w:szCs w:val="24"/>
        </w:rPr>
        <w:t>,</w:t>
      </w:r>
      <w:r w:rsidR="007723CB" w:rsidRPr="007723CB">
        <w:rPr>
          <w:rFonts w:ascii="Verdana" w:hAnsi="Verdana"/>
          <w:sz w:val="24"/>
          <w:szCs w:val="24"/>
        </w:rPr>
        <w:t xml:space="preserve"> the first respondent had argued, that in the </w:t>
      </w:r>
      <w:r w:rsidRPr="007723CB">
        <w:rPr>
          <w:rFonts w:ascii="Verdana" w:hAnsi="Verdana"/>
          <w:sz w:val="24"/>
          <w:szCs w:val="24"/>
        </w:rPr>
        <w:t xml:space="preserve">founding affidavit, the applicant claims that: </w:t>
      </w:r>
    </w:p>
    <w:p w14:paraId="03098D36" w14:textId="772CF268" w:rsidR="00C1703B" w:rsidRPr="00277A72" w:rsidRDefault="00277A72" w:rsidP="00C1703B">
      <w:pPr>
        <w:tabs>
          <w:tab w:val="left" w:pos="709"/>
        </w:tabs>
        <w:spacing w:before="360" w:after="240" w:line="480" w:lineRule="auto"/>
        <w:jc w:val="both"/>
        <w:rPr>
          <w:rFonts w:ascii="Verdana" w:hAnsi="Verdana"/>
          <w:sz w:val="24"/>
          <w:szCs w:val="24"/>
        </w:rPr>
      </w:pPr>
      <w:r w:rsidRPr="00277A72">
        <w:rPr>
          <w:rFonts w:ascii="Verdana" w:hAnsi="Verdana"/>
          <w:sz w:val="24"/>
          <w:szCs w:val="24"/>
        </w:rPr>
        <w:t>3</w:t>
      </w:r>
      <w:r>
        <w:rPr>
          <w:rFonts w:ascii="Verdana" w:hAnsi="Verdana"/>
          <w:sz w:val="24"/>
          <w:szCs w:val="24"/>
        </w:rPr>
        <w:t>7</w:t>
      </w:r>
      <w:r w:rsidR="00C1703B" w:rsidRPr="00277A72">
        <w:rPr>
          <w:rFonts w:ascii="Verdana" w:hAnsi="Verdana"/>
          <w:sz w:val="24"/>
          <w:szCs w:val="24"/>
        </w:rPr>
        <w:t xml:space="preserve">.1 The block on its funds is seemingly solely due to an on-going investigation into </w:t>
      </w:r>
      <w:proofErr w:type="spellStart"/>
      <w:r w:rsidR="00C1703B" w:rsidRPr="00277A72">
        <w:rPr>
          <w:rFonts w:ascii="Verdana" w:hAnsi="Verdana"/>
          <w:sz w:val="24"/>
          <w:szCs w:val="24"/>
        </w:rPr>
        <w:t>Sasfin’s</w:t>
      </w:r>
      <w:proofErr w:type="spellEnd"/>
      <w:r w:rsidR="00C1703B" w:rsidRPr="00277A72">
        <w:rPr>
          <w:rFonts w:ascii="Verdana" w:hAnsi="Verdana"/>
          <w:sz w:val="24"/>
          <w:szCs w:val="24"/>
        </w:rPr>
        <w:t xml:space="preserve"> employees who were involved in exchange control infringements.</w:t>
      </w:r>
      <w:r w:rsidR="00C1703B" w:rsidRPr="00277A72">
        <w:rPr>
          <w:rStyle w:val="FootnoteReference"/>
          <w:rFonts w:ascii="Verdana" w:hAnsi="Verdana"/>
          <w:sz w:val="24"/>
          <w:szCs w:val="24"/>
        </w:rPr>
        <w:footnoteReference w:id="31"/>
      </w:r>
      <w:r w:rsidR="0059631F">
        <w:rPr>
          <w:rFonts w:ascii="Verdana" w:hAnsi="Verdana"/>
          <w:sz w:val="24"/>
          <w:szCs w:val="24"/>
        </w:rPr>
        <w:t xml:space="preserve"> </w:t>
      </w:r>
      <w:r>
        <w:rPr>
          <w:rFonts w:ascii="Verdana" w:hAnsi="Verdana"/>
          <w:sz w:val="24"/>
          <w:szCs w:val="24"/>
        </w:rPr>
        <w:t>However as</w:t>
      </w:r>
      <w:r w:rsidR="00C1703B" w:rsidRPr="00277A72">
        <w:rPr>
          <w:rFonts w:ascii="Verdana" w:hAnsi="Verdana"/>
          <w:sz w:val="24"/>
          <w:szCs w:val="24"/>
        </w:rPr>
        <w:t xml:space="preserve"> confirmed in </w:t>
      </w:r>
      <w:r>
        <w:rPr>
          <w:rFonts w:ascii="Verdana" w:hAnsi="Verdana"/>
          <w:sz w:val="24"/>
          <w:szCs w:val="24"/>
        </w:rPr>
        <w:t>first respondents’</w:t>
      </w:r>
      <w:r w:rsidR="00C1703B" w:rsidRPr="00277A72">
        <w:rPr>
          <w:rFonts w:ascii="Verdana" w:hAnsi="Verdana"/>
          <w:sz w:val="24"/>
          <w:szCs w:val="24"/>
        </w:rPr>
        <w:t xml:space="preserve"> answering affidavit, this is not the case.</w:t>
      </w:r>
      <w:r w:rsidR="00C1703B" w:rsidRPr="00277A72">
        <w:rPr>
          <w:rStyle w:val="FootnoteReference"/>
          <w:rFonts w:ascii="Verdana" w:hAnsi="Verdana"/>
          <w:sz w:val="24"/>
          <w:szCs w:val="24"/>
        </w:rPr>
        <w:footnoteReference w:id="32"/>
      </w:r>
      <w:r w:rsidR="00C1703B" w:rsidRPr="00277A72">
        <w:rPr>
          <w:rFonts w:ascii="Verdana" w:hAnsi="Verdana"/>
          <w:sz w:val="24"/>
          <w:szCs w:val="24"/>
        </w:rPr>
        <w:t xml:space="preserve"> </w:t>
      </w:r>
    </w:p>
    <w:p w14:paraId="2BDFCCCE" w14:textId="33CE78BB" w:rsidR="00C1703B" w:rsidRPr="00277A72" w:rsidRDefault="00277A72" w:rsidP="00C1703B">
      <w:pPr>
        <w:tabs>
          <w:tab w:val="left" w:pos="709"/>
        </w:tabs>
        <w:spacing w:before="360" w:after="240" w:line="480" w:lineRule="auto"/>
        <w:jc w:val="both"/>
        <w:rPr>
          <w:rFonts w:ascii="Verdana" w:hAnsi="Verdana"/>
          <w:sz w:val="24"/>
          <w:szCs w:val="24"/>
        </w:rPr>
      </w:pPr>
      <w:r w:rsidRPr="00277A72">
        <w:rPr>
          <w:rFonts w:ascii="Verdana" w:hAnsi="Verdana"/>
          <w:sz w:val="24"/>
          <w:szCs w:val="24"/>
        </w:rPr>
        <w:lastRenderedPageBreak/>
        <w:t>3</w:t>
      </w:r>
      <w:r>
        <w:rPr>
          <w:rFonts w:ascii="Verdana" w:hAnsi="Verdana"/>
          <w:sz w:val="24"/>
          <w:szCs w:val="24"/>
        </w:rPr>
        <w:t>7</w:t>
      </w:r>
      <w:r w:rsidR="00C1703B" w:rsidRPr="00277A72">
        <w:rPr>
          <w:rFonts w:ascii="Verdana" w:hAnsi="Verdana"/>
          <w:sz w:val="24"/>
          <w:szCs w:val="24"/>
        </w:rPr>
        <w:t xml:space="preserve">.2 Its failure to comply with Regulation 12 was due to </w:t>
      </w:r>
      <w:proofErr w:type="spellStart"/>
      <w:r w:rsidR="00C1703B" w:rsidRPr="00277A72">
        <w:rPr>
          <w:rFonts w:ascii="Verdana" w:hAnsi="Verdana"/>
          <w:sz w:val="24"/>
          <w:szCs w:val="24"/>
        </w:rPr>
        <w:t>Sasfin</w:t>
      </w:r>
      <w:proofErr w:type="spellEnd"/>
      <w:r w:rsidR="00C1703B" w:rsidRPr="00277A72">
        <w:rPr>
          <w:rFonts w:ascii="Verdana" w:hAnsi="Verdana"/>
          <w:sz w:val="24"/>
          <w:szCs w:val="24"/>
        </w:rPr>
        <w:t xml:space="preserve"> not advising it properly</w:t>
      </w:r>
      <w:r w:rsidR="00C1703B" w:rsidRPr="00277A72">
        <w:rPr>
          <w:rStyle w:val="FootnoteReference"/>
          <w:rFonts w:ascii="Verdana" w:hAnsi="Verdana"/>
          <w:sz w:val="24"/>
          <w:szCs w:val="24"/>
        </w:rPr>
        <w:footnoteReference w:id="33"/>
      </w:r>
      <w:r w:rsidR="00C1703B" w:rsidRPr="00277A72">
        <w:rPr>
          <w:rFonts w:ascii="Verdana" w:hAnsi="Verdana"/>
          <w:sz w:val="24"/>
          <w:szCs w:val="24"/>
        </w:rPr>
        <w:t xml:space="preserve"> as </w:t>
      </w:r>
      <w:proofErr w:type="spellStart"/>
      <w:r w:rsidR="00C1703B" w:rsidRPr="00277A72">
        <w:rPr>
          <w:rFonts w:ascii="Verdana" w:hAnsi="Verdana"/>
          <w:sz w:val="24"/>
          <w:szCs w:val="24"/>
        </w:rPr>
        <w:t>Sasfin</w:t>
      </w:r>
      <w:proofErr w:type="spellEnd"/>
      <w:r w:rsidR="00C1703B" w:rsidRPr="00277A72">
        <w:rPr>
          <w:rFonts w:ascii="Verdana" w:hAnsi="Verdana"/>
          <w:sz w:val="24"/>
          <w:szCs w:val="24"/>
        </w:rPr>
        <w:t xml:space="preserve"> failed to act in accordance with its obligations set out in the </w:t>
      </w:r>
      <w:proofErr w:type="spellStart"/>
      <w:r w:rsidR="00C1703B" w:rsidRPr="00277A72">
        <w:rPr>
          <w:rFonts w:ascii="Verdana" w:hAnsi="Verdana"/>
          <w:sz w:val="24"/>
          <w:szCs w:val="24"/>
        </w:rPr>
        <w:t>Authorised</w:t>
      </w:r>
      <w:proofErr w:type="spellEnd"/>
      <w:r w:rsidR="00C1703B" w:rsidRPr="00277A72">
        <w:rPr>
          <w:rFonts w:ascii="Verdana" w:hAnsi="Verdana"/>
          <w:sz w:val="24"/>
          <w:szCs w:val="24"/>
        </w:rPr>
        <w:t xml:space="preserve"> Dealer Manual. </w:t>
      </w:r>
    </w:p>
    <w:p w14:paraId="6D2D5FB7" w14:textId="77777777" w:rsidR="00277A72" w:rsidRDefault="00277A72" w:rsidP="00C1703B">
      <w:pPr>
        <w:tabs>
          <w:tab w:val="left" w:pos="709"/>
        </w:tabs>
        <w:spacing w:before="360" w:after="240" w:line="480" w:lineRule="auto"/>
        <w:jc w:val="both"/>
        <w:rPr>
          <w:rFonts w:ascii="Verdana" w:hAnsi="Verdana"/>
          <w:sz w:val="24"/>
          <w:szCs w:val="24"/>
        </w:rPr>
      </w:pPr>
    </w:p>
    <w:p w14:paraId="578C23F1" w14:textId="65D5A1A8" w:rsidR="00C1703B" w:rsidRPr="00277A72" w:rsidRDefault="00277A72" w:rsidP="00C1703B">
      <w:pPr>
        <w:tabs>
          <w:tab w:val="left" w:pos="709"/>
        </w:tabs>
        <w:spacing w:before="360" w:after="240" w:line="480" w:lineRule="auto"/>
        <w:jc w:val="both"/>
        <w:rPr>
          <w:rFonts w:ascii="Verdana" w:hAnsi="Verdana"/>
          <w:sz w:val="24"/>
          <w:szCs w:val="24"/>
        </w:rPr>
      </w:pPr>
      <w:r w:rsidRPr="00277A72">
        <w:rPr>
          <w:rFonts w:ascii="Verdana" w:hAnsi="Verdana"/>
          <w:sz w:val="24"/>
          <w:szCs w:val="24"/>
        </w:rPr>
        <w:t>38] For this reason, the first respondent had argued that what</w:t>
      </w:r>
      <w:r w:rsidR="00C1703B" w:rsidRPr="00277A72">
        <w:rPr>
          <w:rFonts w:ascii="Verdana" w:hAnsi="Verdana"/>
          <w:sz w:val="24"/>
          <w:szCs w:val="24"/>
        </w:rPr>
        <w:t xml:space="preserve"> the applicant </w:t>
      </w:r>
      <w:r w:rsidRPr="00277A72">
        <w:rPr>
          <w:rFonts w:ascii="Verdana" w:hAnsi="Verdana"/>
          <w:sz w:val="24"/>
          <w:szCs w:val="24"/>
        </w:rPr>
        <w:t xml:space="preserve">however </w:t>
      </w:r>
      <w:r w:rsidR="00C1703B" w:rsidRPr="00277A72">
        <w:rPr>
          <w:rFonts w:ascii="Verdana" w:hAnsi="Verdana"/>
          <w:sz w:val="24"/>
          <w:szCs w:val="24"/>
        </w:rPr>
        <w:t xml:space="preserve">evidently omitted to inform this </w:t>
      </w:r>
      <w:r w:rsidRPr="00277A72">
        <w:rPr>
          <w:rFonts w:ascii="Verdana" w:hAnsi="Verdana"/>
          <w:sz w:val="24"/>
          <w:szCs w:val="24"/>
        </w:rPr>
        <w:t>c</w:t>
      </w:r>
      <w:r w:rsidR="00C1703B" w:rsidRPr="00277A72">
        <w:rPr>
          <w:rFonts w:ascii="Verdana" w:hAnsi="Verdana"/>
          <w:sz w:val="24"/>
          <w:szCs w:val="24"/>
        </w:rPr>
        <w:t xml:space="preserve">ourt of is that there was a plethora of emails that </w:t>
      </w:r>
      <w:proofErr w:type="spellStart"/>
      <w:r w:rsidR="00C1703B" w:rsidRPr="00277A72">
        <w:rPr>
          <w:rFonts w:ascii="Verdana" w:hAnsi="Verdana"/>
          <w:sz w:val="24"/>
          <w:szCs w:val="24"/>
        </w:rPr>
        <w:t>Sasfin</w:t>
      </w:r>
      <w:proofErr w:type="spellEnd"/>
      <w:r w:rsidR="00C1703B" w:rsidRPr="00277A72">
        <w:rPr>
          <w:rFonts w:ascii="Verdana" w:hAnsi="Verdana"/>
          <w:sz w:val="24"/>
          <w:szCs w:val="24"/>
        </w:rPr>
        <w:t xml:space="preserve"> sent it asking for supporting documents for advance import payments since 2020. In fact, reading the founding affidavit, one gets the impression that at no stage did </w:t>
      </w:r>
      <w:proofErr w:type="spellStart"/>
      <w:r w:rsidR="00C1703B" w:rsidRPr="00277A72">
        <w:rPr>
          <w:rFonts w:ascii="Verdana" w:hAnsi="Verdana"/>
          <w:sz w:val="24"/>
          <w:szCs w:val="24"/>
        </w:rPr>
        <w:t>Sasfin</w:t>
      </w:r>
      <w:proofErr w:type="spellEnd"/>
      <w:r w:rsidR="00C1703B" w:rsidRPr="00277A72">
        <w:rPr>
          <w:rFonts w:ascii="Verdana" w:hAnsi="Verdana"/>
          <w:sz w:val="24"/>
          <w:szCs w:val="24"/>
        </w:rPr>
        <w:t xml:space="preserve"> ever bring this issue to the applicant’s attention.</w:t>
      </w:r>
      <w:r w:rsidR="00C1703B" w:rsidRPr="00277A72">
        <w:rPr>
          <w:rStyle w:val="FootnoteReference"/>
          <w:rFonts w:ascii="Verdana" w:hAnsi="Verdana"/>
          <w:sz w:val="24"/>
          <w:szCs w:val="24"/>
        </w:rPr>
        <w:footnoteReference w:id="34"/>
      </w:r>
      <w:r w:rsidR="00874132">
        <w:rPr>
          <w:rFonts w:ascii="Verdana" w:hAnsi="Verdana"/>
          <w:sz w:val="24"/>
          <w:szCs w:val="24"/>
        </w:rPr>
        <w:t xml:space="preserve"> </w:t>
      </w:r>
      <w:r w:rsidR="00C1703B" w:rsidRPr="00277A72">
        <w:rPr>
          <w:rFonts w:ascii="Verdana" w:hAnsi="Verdana"/>
          <w:sz w:val="24"/>
          <w:szCs w:val="24"/>
        </w:rPr>
        <w:t xml:space="preserve">When the SARB brought out these numerous emails, the applicant “amplified” its version in reply, which is impermissible. </w:t>
      </w:r>
    </w:p>
    <w:p w14:paraId="364BB4E9" w14:textId="77777777" w:rsidR="00C1703B" w:rsidRPr="00A95B30" w:rsidRDefault="00C1703B" w:rsidP="00C1703B">
      <w:pPr>
        <w:tabs>
          <w:tab w:val="left" w:pos="709"/>
        </w:tabs>
        <w:spacing w:before="360" w:after="240" w:line="480" w:lineRule="auto"/>
        <w:jc w:val="both"/>
        <w:rPr>
          <w:rFonts w:ascii="Verdana" w:hAnsi="Verdana"/>
          <w:color w:val="E97132" w:themeColor="accent2"/>
          <w:sz w:val="24"/>
          <w:szCs w:val="24"/>
        </w:rPr>
      </w:pPr>
    </w:p>
    <w:p w14:paraId="116818C0" w14:textId="42215FC8" w:rsidR="00C1703B" w:rsidRPr="00277A72" w:rsidRDefault="00277A72" w:rsidP="00C1703B">
      <w:pPr>
        <w:tabs>
          <w:tab w:val="left" w:pos="709"/>
        </w:tabs>
        <w:spacing w:before="360" w:after="240" w:line="480" w:lineRule="auto"/>
        <w:jc w:val="both"/>
        <w:rPr>
          <w:rFonts w:ascii="Verdana" w:hAnsi="Verdana"/>
          <w:sz w:val="24"/>
          <w:szCs w:val="24"/>
        </w:rPr>
      </w:pPr>
      <w:r w:rsidRPr="00277A72">
        <w:rPr>
          <w:rFonts w:ascii="Verdana" w:hAnsi="Verdana"/>
          <w:sz w:val="24"/>
          <w:szCs w:val="24"/>
        </w:rPr>
        <w:t>39]</w:t>
      </w:r>
      <w:r w:rsidR="00C1703B" w:rsidRPr="00277A72">
        <w:rPr>
          <w:rFonts w:ascii="Verdana" w:hAnsi="Verdana"/>
          <w:sz w:val="24"/>
          <w:szCs w:val="24"/>
        </w:rPr>
        <w:t xml:space="preserve">In reply, the applicant’s version insofar as </w:t>
      </w:r>
      <w:proofErr w:type="spellStart"/>
      <w:r w:rsidR="00C1703B" w:rsidRPr="00277A72">
        <w:rPr>
          <w:rFonts w:ascii="Verdana" w:hAnsi="Verdana"/>
          <w:sz w:val="24"/>
          <w:szCs w:val="24"/>
        </w:rPr>
        <w:t>Sasfin</w:t>
      </w:r>
      <w:proofErr w:type="spellEnd"/>
      <w:r w:rsidR="00C1703B" w:rsidRPr="00277A72">
        <w:rPr>
          <w:rFonts w:ascii="Verdana" w:hAnsi="Verdana"/>
          <w:sz w:val="24"/>
          <w:szCs w:val="24"/>
        </w:rPr>
        <w:t xml:space="preserve"> is concerned is as follows:</w:t>
      </w:r>
    </w:p>
    <w:p w14:paraId="11410532" w14:textId="725F1723" w:rsidR="00C1703B" w:rsidRPr="00277A72" w:rsidRDefault="00277A72" w:rsidP="00C1703B">
      <w:pPr>
        <w:tabs>
          <w:tab w:val="left" w:pos="709"/>
        </w:tabs>
        <w:spacing w:before="360" w:after="240" w:line="480" w:lineRule="auto"/>
        <w:jc w:val="both"/>
        <w:rPr>
          <w:rFonts w:ascii="Verdana" w:hAnsi="Verdana"/>
          <w:sz w:val="24"/>
          <w:szCs w:val="24"/>
        </w:rPr>
      </w:pPr>
      <w:r>
        <w:rPr>
          <w:rFonts w:ascii="Verdana" w:hAnsi="Verdana"/>
          <w:sz w:val="24"/>
          <w:szCs w:val="24"/>
        </w:rPr>
        <w:t>39</w:t>
      </w:r>
      <w:r w:rsidR="00C1703B" w:rsidRPr="00277A72">
        <w:rPr>
          <w:rFonts w:ascii="Verdana" w:hAnsi="Verdana"/>
          <w:sz w:val="24"/>
          <w:szCs w:val="24"/>
        </w:rPr>
        <w:t xml:space="preserve">.1 </w:t>
      </w:r>
      <w:proofErr w:type="spellStart"/>
      <w:r w:rsidR="00C1703B" w:rsidRPr="00277A72">
        <w:rPr>
          <w:rFonts w:ascii="Verdana" w:hAnsi="Verdana"/>
          <w:sz w:val="24"/>
          <w:szCs w:val="24"/>
        </w:rPr>
        <w:t>Sasfin</w:t>
      </w:r>
      <w:proofErr w:type="spellEnd"/>
      <w:r w:rsidR="00C1703B" w:rsidRPr="00277A72">
        <w:rPr>
          <w:rFonts w:ascii="Verdana" w:hAnsi="Verdana"/>
          <w:sz w:val="24"/>
          <w:szCs w:val="24"/>
        </w:rPr>
        <w:t xml:space="preserve"> used to make these advance payments on the applicant’s behalf for years, only on the strength of the invoice in question and the completed BOP form, without requiring the additional documents that </w:t>
      </w:r>
      <w:proofErr w:type="spellStart"/>
      <w:r w:rsidR="00C1703B" w:rsidRPr="00277A72">
        <w:rPr>
          <w:rFonts w:ascii="Verdana" w:hAnsi="Verdana"/>
          <w:sz w:val="24"/>
          <w:szCs w:val="24"/>
        </w:rPr>
        <w:t>Sasfin</w:t>
      </w:r>
      <w:proofErr w:type="spellEnd"/>
      <w:r w:rsidR="00C1703B" w:rsidRPr="00277A72">
        <w:rPr>
          <w:rFonts w:ascii="Verdana" w:hAnsi="Verdana"/>
          <w:sz w:val="24"/>
          <w:szCs w:val="24"/>
        </w:rPr>
        <w:t xml:space="preserve"> required for the first time in October 2023, on an urgent basis, for years of historical </w:t>
      </w:r>
      <w:r w:rsidR="00C1703B" w:rsidRPr="00277A72">
        <w:rPr>
          <w:rFonts w:ascii="Verdana" w:hAnsi="Verdana"/>
          <w:sz w:val="24"/>
          <w:szCs w:val="24"/>
        </w:rPr>
        <w:lastRenderedPageBreak/>
        <w:t xml:space="preserve">transactions. This was allegedly </w:t>
      </w:r>
      <w:proofErr w:type="spellStart"/>
      <w:r w:rsidR="00C1703B" w:rsidRPr="00277A72">
        <w:rPr>
          <w:rFonts w:ascii="Verdana" w:hAnsi="Verdana"/>
          <w:sz w:val="24"/>
          <w:szCs w:val="24"/>
        </w:rPr>
        <w:t>Sasfin’s</w:t>
      </w:r>
      <w:proofErr w:type="spellEnd"/>
      <w:r w:rsidR="00C1703B" w:rsidRPr="00277A72">
        <w:rPr>
          <w:rFonts w:ascii="Verdana" w:hAnsi="Verdana"/>
          <w:sz w:val="24"/>
          <w:szCs w:val="24"/>
        </w:rPr>
        <w:t xml:space="preserve"> attempt to </w:t>
      </w:r>
      <w:proofErr w:type="spellStart"/>
      <w:r w:rsidR="00C1703B" w:rsidRPr="00277A72">
        <w:rPr>
          <w:rFonts w:ascii="Verdana" w:hAnsi="Verdana"/>
          <w:sz w:val="24"/>
          <w:szCs w:val="24"/>
        </w:rPr>
        <w:t>regularise</w:t>
      </w:r>
      <w:proofErr w:type="spellEnd"/>
      <w:r w:rsidR="00C1703B" w:rsidRPr="00277A72">
        <w:rPr>
          <w:rFonts w:ascii="Verdana" w:hAnsi="Verdana"/>
          <w:sz w:val="24"/>
          <w:szCs w:val="24"/>
        </w:rPr>
        <w:t xml:space="preserve"> its own shortcoming over the years;</w:t>
      </w:r>
      <w:r w:rsidR="00C1703B" w:rsidRPr="00277A72">
        <w:rPr>
          <w:rStyle w:val="FootnoteReference"/>
          <w:rFonts w:ascii="Verdana" w:hAnsi="Verdana"/>
          <w:sz w:val="24"/>
          <w:szCs w:val="24"/>
        </w:rPr>
        <w:footnoteReference w:id="35"/>
      </w:r>
      <w:r w:rsidR="00C1703B" w:rsidRPr="00277A72">
        <w:rPr>
          <w:rFonts w:ascii="Verdana" w:hAnsi="Verdana"/>
          <w:sz w:val="24"/>
          <w:szCs w:val="24"/>
        </w:rPr>
        <w:t xml:space="preserve"> </w:t>
      </w:r>
    </w:p>
    <w:p w14:paraId="06711B72" w14:textId="1B76321B" w:rsidR="00C1703B" w:rsidRPr="00277A72" w:rsidRDefault="00277A72" w:rsidP="00C1703B">
      <w:pPr>
        <w:tabs>
          <w:tab w:val="left" w:pos="709"/>
        </w:tabs>
        <w:spacing w:before="360" w:after="240" w:line="480" w:lineRule="auto"/>
        <w:jc w:val="both"/>
        <w:rPr>
          <w:rFonts w:ascii="Verdana" w:hAnsi="Verdana"/>
          <w:sz w:val="24"/>
          <w:szCs w:val="24"/>
        </w:rPr>
      </w:pPr>
      <w:r>
        <w:rPr>
          <w:rFonts w:ascii="Verdana" w:hAnsi="Verdana"/>
          <w:sz w:val="24"/>
          <w:szCs w:val="24"/>
        </w:rPr>
        <w:t>39</w:t>
      </w:r>
      <w:r w:rsidR="00C1703B" w:rsidRPr="00277A72">
        <w:rPr>
          <w:rFonts w:ascii="Verdana" w:hAnsi="Verdana"/>
          <w:sz w:val="24"/>
          <w:szCs w:val="24"/>
        </w:rPr>
        <w:t xml:space="preserve">.2 The applicant blames </w:t>
      </w:r>
      <w:proofErr w:type="spellStart"/>
      <w:r w:rsidR="00C1703B" w:rsidRPr="00277A72">
        <w:rPr>
          <w:rFonts w:ascii="Verdana" w:hAnsi="Verdana"/>
          <w:sz w:val="24"/>
          <w:szCs w:val="24"/>
        </w:rPr>
        <w:t>Sasfin</w:t>
      </w:r>
      <w:proofErr w:type="spellEnd"/>
      <w:r w:rsidR="00C1703B" w:rsidRPr="00277A72">
        <w:rPr>
          <w:rFonts w:ascii="Verdana" w:hAnsi="Verdana"/>
          <w:sz w:val="24"/>
          <w:szCs w:val="24"/>
        </w:rPr>
        <w:t xml:space="preserve">, which it chose not to cite, for continuously requesting the same documents in respect of the same transactions that the applicant had allegedly provided </w:t>
      </w:r>
      <w:proofErr w:type="gramStart"/>
      <w:r w:rsidR="00C1703B" w:rsidRPr="00277A72">
        <w:rPr>
          <w:rFonts w:ascii="Verdana" w:hAnsi="Verdana"/>
          <w:sz w:val="24"/>
          <w:szCs w:val="24"/>
        </w:rPr>
        <w:t>already;</w:t>
      </w:r>
      <w:proofErr w:type="gramEnd"/>
      <w:r w:rsidR="00C1703B" w:rsidRPr="00277A72">
        <w:rPr>
          <w:rFonts w:ascii="Verdana" w:hAnsi="Verdana"/>
          <w:sz w:val="24"/>
          <w:szCs w:val="24"/>
        </w:rPr>
        <w:t xml:space="preserve">  </w:t>
      </w:r>
    </w:p>
    <w:p w14:paraId="14E99D74" w14:textId="4AF155FA" w:rsidR="00C1703B" w:rsidRPr="00277A72" w:rsidRDefault="00277A72" w:rsidP="00C1703B">
      <w:pPr>
        <w:tabs>
          <w:tab w:val="left" w:pos="709"/>
        </w:tabs>
        <w:spacing w:before="360" w:after="240" w:line="480" w:lineRule="auto"/>
        <w:jc w:val="both"/>
        <w:rPr>
          <w:rFonts w:ascii="Verdana" w:hAnsi="Verdana"/>
          <w:sz w:val="24"/>
          <w:szCs w:val="24"/>
        </w:rPr>
      </w:pPr>
      <w:r>
        <w:rPr>
          <w:rFonts w:ascii="Verdana" w:hAnsi="Verdana"/>
          <w:sz w:val="24"/>
          <w:szCs w:val="24"/>
        </w:rPr>
        <w:t>39</w:t>
      </w:r>
      <w:r w:rsidR="00C1703B" w:rsidRPr="00277A72">
        <w:rPr>
          <w:rFonts w:ascii="Verdana" w:hAnsi="Verdana"/>
          <w:sz w:val="24"/>
          <w:szCs w:val="24"/>
        </w:rPr>
        <w:t xml:space="preserve">.3 The applicant further accuses </w:t>
      </w:r>
      <w:proofErr w:type="spellStart"/>
      <w:r w:rsidR="00C1703B" w:rsidRPr="00277A72">
        <w:rPr>
          <w:rFonts w:ascii="Verdana" w:hAnsi="Verdana"/>
          <w:sz w:val="24"/>
          <w:szCs w:val="24"/>
        </w:rPr>
        <w:t>Sasfin</w:t>
      </w:r>
      <w:proofErr w:type="spellEnd"/>
      <w:r w:rsidR="00C1703B" w:rsidRPr="00277A72">
        <w:rPr>
          <w:rFonts w:ascii="Verdana" w:hAnsi="Verdana"/>
          <w:sz w:val="24"/>
          <w:szCs w:val="24"/>
        </w:rPr>
        <w:t xml:space="preserve"> of being ineffective in requesting documents via email, with batches of documents attached to those emails, with the result that </w:t>
      </w:r>
      <w:proofErr w:type="spellStart"/>
      <w:r w:rsidR="00C1703B" w:rsidRPr="00277A72">
        <w:rPr>
          <w:rFonts w:ascii="Verdana" w:hAnsi="Verdana"/>
          <w:sz w:val="24"/>
          <w:szCs w:val="24"/>
        </w:rPr>
        <w:t>Sasfin</w:t>
      </w:r>
      <w:proofErr w:type="spellEnd"/>
      <w:r w:rsidR="00C1703B" w:rsidRPr="00277A72">
        <w:rPr>
          <w:rFonts w:ascii="Verdana" w:hAnsi="Verdana"/>
          <w:sz w:val="24"/>
          <w:szCs w:val="24"/>
        </w:rPr>
        <w:t xml:space="preserve"> could allegedly no longer keep track of the documents that it had received and those that were still missing;</w:t>
      </w:r>
      <w:r w:rsidR="00C1703B" w:rsidRPr="00277A72">
        <w:rPr>
          <w:rStyle w:val="FootnoteReference"/>
          <w:rFonts w:ascii="Verdana" w:hAnsi="Verdana"/>
          <w:sz w:val="24"/>
          <w:szCs w:val="24"/>
        </w:rPr>
        <w:footnoteReference w:id="36"/>
      </w:r>
      <w:r w:rsidR="00C1703B" w:rsidRPr="00277A72">
        <w:rPr>
          <w:rFonts w:ascii="Verdana" w:hAnsi="Verdana"/>
          <w:sz w:val="24"/>
          <w:szCs w:val="24"/>
        </w:rPr>
        <w:t xml:space="preserve"> </w:t>
      </w:r>
    </w:p>
    <w:p w14:paraId="731DE9B9" w14:textId="362E37D4" w:rsidR="00C1703B" w:rsidRPr="00277A72" w:rsidRDefault="00277A72" w:rsidP="00C1703B">
      <w:pPr>
        <w:tabs>
          <w:tab w:val="left" w:pos="709"/>
        </w:tabs>
        <w:spacing w:before="360" w:after="240" w:line="480" w:lineRule="auto"/>
        <w:jc w:val="both"/>
        <w:rPr>
          <w:rFonts w:ascii="Verdana" w:hAnsi="Verdana"/>
          <w:sz w:val="24"/>
          <w:szCs w:val="24"/>
        </w:rPr>
      </w:pPr>
      <w:r>
        <w:rPr>
          <w:rFonts w:ascii="Verdana" w:hAnsi="Verdana"/>
          <w:sz w:val="24"/>
          <w:szCs w:val="24"/>
        </w:rPr>
        <w:t>39</w:t>
      </w:r>
      <w:r w:rsidR="00C1703B" w:rsidRPr="00277A72">
        <w:rPr>
          <w:rFonts w:ascii="Verdana" w:hAnsi="Verdana"/>
          <w:sz w:val="24"/>
          <w:szCs w:val="24"/>
        </w:rPr>
        <w:t xml:space="preserve">.4 The applicant refers to its </w:t>
      </w:r>
      <w:proofErr w:type="spellStart"/>
      <w:r w:rsidR="00C1703B" w:rsidRPr="00277A72">
        <w:rPr>
          <w:rFonts w:ascii="Verdana" w:hAnsi="Verdana"/>
          <w:sz w:val="24"/>
          <w:szCs w:val="24"/>
        </w:rPr>
        <w:t>Ms</w:t>
      </w:r>
      <w:proofErr w:type="spellEnd"/>
      <w:r w:rsidR="00C1703B" w:rsidRPr="00277A72">
        <w:rPr>
          <w:rFonts w:ascii="Verdana" w:hAnsi="Verdana"/>
          <w:sz w:val="24"/>
          <w:szCs w:val="24"/>
        </w:rPr>
        <w:t xml:space="preserve"> Lynn going to </w:t>
      </w:r>
      <w:proofErr w:type="spellStart"/>
      <w:r w:rsidR="00C1703B" w:rsidRPr="00277A72">
        <w:rPr>
          <w:rFonts w:ascii="Verdana" w:hAnsi="Verdana"/>
          <w:sz w:val="24"/>
          <w:szCs w:val="24"/>
        </w:rPr>
        <w:t>Sasfin</w:t>
      </w:r>
      <w:proofErr w:type="spellEnd"/>
      <w:r w:rsidR="00C1703B" w:rsidRPr="00277A72">
        <w:rPr>
          <w:rFonts w:ascii="Verdana" w:hAnsi="Verdana"/>
          <w:sz w:val="24"/>
          <w:szCs w:val="24"/>
        </w:rPr>
        <w:t xml:space="preserve"> to complain about unfair treatment etc. The applicant also states that </w:t>
      </w:r>
      <w:proofErr w:type="spellStart"/>
      <w:r w:rsidR="00C1703B" w:rsidRPr="00277A72">
        <w:rPr>
          <w:rFonts w:ascii="Verdana" w:hAnsi="Verdana"/>
          <w:sz w:val="24"/>
          <w:szCs w:val="24"/>
        </w:rPr>
        <w:t>Sasfin’s</w:t>
      </w:r>
      <w:proofErr w:type="spellEnd"/>
      <w:r w:rsidR="00C1703B" w:rsidRPr="00277A72">
        <w:rPr>
          <w:rFonts w:ascii="Verdana" w:hAnsi="Verdana"/>
          <w:sz w:val="24"/>
          <w:szCs w:val="24"/>
        </w:rPr>
        <w:t xml:space="preserve"> </w:t>
      </w:r>
      <w:proofErr w:type="spellStart"/>
      <w:r w:rsidR="00C1703B" w:rsidRPr="00277A72">
        <w:rPr>
          <w:rFonts w:ascii="Verdana" w:hAnsi="Verdana"/>
          <w:sz w:val="24"/>
          <w:szCs w:val="24"/>
        </w:rPr>
        <w:t>Ms</w:t>
      </w:r>
      <w:proofErr w:type="spellEnd"/>
      <w:r w:rsidR="00C1703B" w:rsidRPr="00277A72">
        <w:rPr>
          <w:rFonts w:ascii="Verdana" w:hAnsi="Verdana"/>
          <w:sz w:val="24"/>
          <w:szCs w:val="24"/>
        </w:rPr>
        <w:t xml:space="preserve"> Hau conceded that </w:t>
      </w:r>
      <w:proofErr w:type="spellStart"/>
      <w:r w:rsidR="00C1703B" w:rsidRPr="00277A72">
        <w:rPr>
          <w:rFonts w:ascii="Verdana" w:hAnsi="Verdana"/>
          <w:sz w:val="24"/>
          <w:szCs w:val="24"/>
        </w:rPr>
        <w:t>Sasfin</w:t>
      </w:r>
      <w:proofErr w:type="spellEnd"/>
      <w:r w:rsidR="00C1703B" w:rsidRPr="00277A72">
        <w:rPr>
          <w:rFonts w:ascii="Verdana" w:hAnsi="Verdana"/>
          <w:sz w:val="24"/>
          <w:szCs w:val="24"/>
        </w:rPr>
        <w:t xml:space="preserve"> was “learning as it went along”.</w:t>
      </w:r>
      <w:r w:rsidR="00C1703B" w:rsidRPr="00277A72">
        <w:rPr>
          <w:rStyle w:val="FootnoteReference"/>
          <w:rFonts w:ascii="Verdana" w:hAnsi="Verdana"/>
          <w:sz w:val="24"/>
          <w:szCs w:val="24"/>
        </w:rPr>
        <w:footnoteReference w:id="37"/>
      </w:r>
      <w:r w:rsidR="00C1703B" w:rsidRPr="00277A72">
        <w:rPr>
          <w:rFonts w:ascii="Verdana" w:hAnsi="Verdana"/>
          <w:sz w:val="24"/>
          <w:szCs w:val="24"/>
        </w:rPr>
        <w:t xml:space="preserve">  This is a serious accusation against </w:t>
      </w:r>
      <w:proofErr w:type="spellStart"/>
      <w:r w:rsidR="00C1703B" w:rsidRPr="00277A72">
        <w:rPr>
          <w:rFonts w:ascii="Verdana" w:hAnsi="Verdana"/>
          <w:sz w:val="24"/>
          <w:szCs w:val="24"/>
        </w:rPr>
        <w:t>Sasfin</w:t>
      </w:r>
      <w:proofErr w:type="spellEnd"/>
      <w:r w:rsidR="00C1703B" w:rsidRPr="00277A72">
        <w:rPr>
          <w:rFonts w:ascii="Verdana" w:hAnsi="Verdana"/>
          <w:sz w:val="24"/>
          <w:szCs w:val="24"/>
        </w:rPr>
        <w:t>. That is a completely new case, which is not pleaded in the founding papers.</w:t>
      </w:r>
    </w:p>
    <w:p w14:paraId="5D9C58DD" w14:textId="77777777" w:rsidR="00C1703B" w:rsidRPr="00A95B30" w:rsidRDefault="00C1703B" w:rsidP="00C1703B">
      <w:pPr>
        <w:tabs>
          <w:tab w:val="left" w:pos="709"/>
        </w:tabs>
        <w:spacing w:before="360" w:after="240" w:line="480" w:lineRule="auto"/>
        <w:jc w:val="both"/>
        <w:rPr>
          <w:rFonts w:ascii="Verdana" w:hAnsi="Verdana"/>
          <w:color w:val="E97132" w:themeColor="accent2"/>
          <w:sz w:val="24"/>
          <w:szCs w:val="24"/>
        </w:rPr>
      </w:pPr>
    </w:p>
    <w:p w14:paraId="38D17147" w14:textId="22BF07FD" w:rsidR="00156269" w:rsidRDefault="00277A72" w:rsidP="00C1703B">
      <w:pPr>
        <w:tabs>
          <w:tab w:val="left" w:pos="709"/>
        </w:tabs>
        <w:spacing w:before="360" w:after="240" w:line="480" w:lineRule="auto"/>
        <w:jc w:val="both"/>
        <w:rPr>
          <w:rFonts w:ascii="Verdana" w:hAnsi="Verdana"/>
          <w:sz w:val="24"/>
          <w:szCs w:val="24"/>
        </w:rPr>
      </w:pPr>
      <w:r w:rsidRPr="00236EAA">
        <w:rPr>
          <w:rFonts w:ascii="Verdana" w:hAnsi="Verdana"/>
          <w:sz w:val="24"/>
          <w:szCs w:val="24"/>
        </w:rPr>
        <w:t>40]</w:t>
      </w:r>
      <w:r w:rsidR="00C1703B" w:rsidRPr="00236EAA">
        <w:rPr>
          <w:rFonts w:ascii="Verdana" w:hAnsi="Verdana"/>
          <w:sz w:val="24"/>
          <w:szCs w:val="24"/>
        </w:rPr>
        <w:t xml:space="preserve"> </w:t>
      </w:r>
      <w:r w:rsidRPr="00236EAA">
        <w:rPr>
          <w:rFonts w:ascii="Verdana" w:hAnsi="Verdana"/>
          <w:sz w:val="24"/>
          <w:szCs w:val="24"/>
        </w:rPr>
        <w:t xml:space="preserve">On the basis of these allegations made as against </w:t>
      </w:r>
      <w:proofErr w:type="spellStart"/>
      <w:r w:rsidRPr="00236EAA">
        <w:rPr>
          <w:rFonts w:ascii="Verdana" w:hAnsi="Verdana"/>
          <w:sz w:val="24"/>
          <w:szCs w:val="24"/>
        </w:rPr>
        <w:t>Sasfi</w:t>
      </w:r>
      <w:r w:rsidR="00236EAA" w:rsidRPr="00236EAA">
        <w:rPr>
          <w:rFonts w:ascii="Verdana" w:hAnsi="Verdana"/>
          <w:sz w:val="24"/>
          <w:szCs w:val="24"/>
        </w:rPr>
        <w:t>n</w:t>
      </w:r>
      <w:proofErr w:type="spellEnd"/>
      <w:r w:rsidR="00236EAA" w:rsidRPr="00236EAA">
        <w:rPr>
          <w:rFonts w:ascii="Verdana" w:hAnsi="Verdana"/>
          <w:sz w:val="24"/>
          <w:szCs w:val="24"/>
        </w:rPr>
        <w:t xml:space="preserve">, the first respondent </w:t>
      </w:r>
      <w:r w:rsidR="000F3857">
        <w:rPr>
          <w:rFonts w:ascii="Verdana" w:hAnsi="Verdana"/>
          <w:sz w:val="24"/>
          <w:szCs w:val="24"/>
        </w:rPr>
        <w:t xml:space="preserve">then </w:t>
      </w:r>
      <w:r w:rsidR="00236EAA" w:rsidRPr="00236EAA">
        <w:rPr>
          <w:rFonts w:ascii="Verdana" w:hAnsi="Verdana"/>
          <w:sz w:val="24"/>
          <w:szCs w:val="24"/>
        </w:rPr>
        <w:t>contends,</w:t>
      </w:r>
      <w:r w:rsidR="00C1703B" w:rsidRPr="00236EAA">
        <w:rPr>
          <w:rFonts w:ascii="Verdana" w:hAnsi="Verdana"/>
          <w:sz w:val="24"/>
          <w:szCs w:val="24"/>
        </w:rPr>
        <w:t xml:space="preserve"> the applicant should have joined </w:t>
      </w:r>
      <w:proofErr w:type="spellStart"/>
      <w:r w:rsidR="00C1703B" w:rsidRPr="00236EAA">
        <w:rPr>
          <w:rFonts w:ascii="Verdana" w:hAnsi="Verdana"/>
          <w:sz w:val="24"/>
          <w:szCs w:val="24"/>
        </w:rPr>
        <w:t>Sasfin</w:t>
      </w:r>
      <w:proofErr w:type="spellEnd"/>
      <w:r w:rsidR="00C1703B" w:rsidRPr="00236EAA">
        <w:rPr>
          <w:rFonts w:ascii="Verdana" w:hAnsi="Verdana"/>
          <w:sz w:val="24"/>
          <w:szCs w:val="24"/>
        </w:rPr>
        <w:t xml:space="preserve"> as a party to these proceedings as it has a direct and substantial interest </w:t>
      </w:r>
      <w:proofErr w:type="gramStart"/>
      <w:r w:rsidR="00C1703B" w:rsidRPr="00236EAA">
        <w:rPr>
          <w:rFonts w:ascii="Verdana" w:hAnsi="Verdana"/>
          <w:sz w:val="24"/>
          <w:szCs w:val="24"/>
        </w:rPr>
        <w:t>in light of</w:t>
      </w:r>
      <w:proofErr w:type="gramEnd"/>
      <w:r w:rsidR="00C1703B" w:rsidRPr="00236EAA">
        <w:rPr>
          <w:rFonts w:ascii="Verdana" w:hAnsi="Verdana"/>
          <w:sz w:val="24"/>
          <w:szCs w:val="24"/>
        </w:rPr>
        <w:t xml:space="preserve"> its erstwhile role as the applicant’s former </w:t>
      </w:r>
      <w:proofErr w:type="spellStart"/>
      <w:r w:rsidR="00C1703B" w:rsidRPr="00236EAA">
        <w:rPr>
          <w:rFonts w:ascii="Verdana" w:hAnsi="Verdana"/>
          <w:sz w:val="24"/>
          <w:szCs w:val="24"/>
        </w:rPr>
        <w:t>Authorised</w:t>
      </w:r>
      <w:proofErr w:type="spellEnd"/>
      <w:r w:rsidR="00C1703B" w:rsidRPr="00236EAA">
        <w:rPr>
          <w:rFonts w:ascii="Verdana" w:hAnsi="Verdana"/>
          <w:sz w:val="24"/>
          <w:szCs w:val="24"/>
        </w:rPr>
        <w:t xml:space="preserve"> Dealer and banker </w:t>
      </w:r>
      <w:r w:rsidR="00C1703B" w:rsidRPr="00236EAA">
        <w:rPr>
          <w:rFonts w:ascii="Verdana" w:hAnsi="Verdana"/>
          <w:sz w:val="24"/>
          <w:szCs w:val="24"/>
        </w:rPr>
        <w:lastRenderedPageBreak/>
        <w:t>and the entity presumably responsible for the applicant being in this position.</w:t>
      </w:r>
      <w:r w:rsidR="00C1703B" w:rsidRPr="00236EAA">
        <w:rPr>
          <w:rStyle w:val="FootnoteReference"/>
          <w:rFonts w:ascii="Verdana" w:hAnsi="Verdana"/>
          <w:sz w:val="24"/>
          <w:szCs w:val="24"/>
        </w:rPr>
        <w:footnoteReference w:id="38"/>
      </w:r>
      <w:r w:rsidR="00C1703B" w:rsidRPr="00236EAA">
        <w:rPr>
          <w:rFonts w:ascii="Verdana" w:hAnsi="Verdana"/>
          <w:sz w:val="24"/>
          <w:szCs w:val="24"/>
        </w:rPr>
        <w:t xml:space="preserve"> </w:t>
      </w:r>
    </w:p>
    <w:p w14:paraId="61F63DD8" w14:textId="24465256" w:rsidR="00236EAA" w:rsidRDefault="00C1703B" w:rsidP="00C1703B">
      <w:pPr>
        <w:tabs>
          <w:tab w:val="left" w:pos="709"/>
        </w:tabs>
        <w:spacing w:before="360" w:after="240" w:line="480" w:lineRule="auto"/>
        <w:jc w:val="both"/>
        <w:rPr>
          <w:rFonts w:ascii="Verdana" w:hAnsi="Verdana"/>
          <w:sz w:val="24"/>
          <w:szCs w:val="24"/>
        </w:rPr>
      </w:pPr>
      <w:r w:rsidRPr="00236EAA">
        <w:rPr>
          <w:rFonts w:ascii="Verdana" w:hAnsi="Verdana"/>
          <w:sz w:val="24"/>
          <w:szCs w:val="24"/>
        </w:rPr>
        <w:t xml:space="preserve"> </w:t>
      </w:r>
    </w:p>
    <w:p w14:paraId="6A6BE974" w14:textId="1F7E9B2C" w:rsidR="00156269" w:rsidRPr="00156269" w:rsidRDefault="00156269" w:rsidP="00156269">
      <w:pPr>
        <w:tabs>
          <w:tab w:val="left" w:pos="709"/>
        </w:tabs>
        <w:spacing w:before="360" w:after="240" w:line="480" w:lineRule="auto"/>
        <w:jc w:val="both"/>
        <w:rPr>
          <w:rFonts w:ascii="Verdana" w:hAnsi="Verdana"/>
          <w:sz w:val="24"/>
          <w:szCs w:val="24"/>
        </w:rPr>
      </w:pPr>
      <w:r w:rsidRPr="00156269">
        <w:rPr>
          <w:rFonts w:ascii="Verdana" w:hAnsi="Verdana"/>
          <w:sz w:val="24"/>
          <w:szCs w:val="24"/>
        </w:rPr>
        <w:t>41] S</w:t>
      </w:r>
      <w:r>
        <w:rPr>
          <w:rFonts w:ascii="Verdana" w:hAnsi="Verdana"/>
          <w:sz w:val="24"/>
          <w:szCs w:val="24"/>
        </w:rPr>
        <w:t xml:space="preserve">upport for this argument is found in the decision </w:t>
      </w:r>
      <w:r w:rsidRPr="00156269">
        <w:rPr>
          <w:rFonts w:ascii="Verdana" w:hAnsi="Verdana"/>
          <w:sz w:val="24"/>
          <w:szCs w:val="24"/>
        </w:rPr>
        <w:t xml:space="preserve">Judicial Service Commission and </w:t>
      </w:r>
      <w:r w:rsidR="00347971">
        <w:rPr>
          <w:rFonts w:ascii="Verdana" w:hAnsi="Verdana"/>
          <w:sz w:val="24"/>
          <w:szCs w:val="24"/>
        </w:rPr>
        <w:t>A</w:t>
      </w:r>
      <w:r w:rsidRPr="00156269">
        <w:rPr>
          <w:rFonts w:ascii="Verdana" w:hAnsi="Verdana"/>
          <w:sz w:val="24"/>
          <w:szCs w:val="24"/>
        </w:rPr>
        <w:t>nother v Cape Bar Council and Another</w:t>
      </w:r>
      <w:r w:rsidRPr="00156269">
        <w:rPr>
          <w:rStyle w:val="FootnoteReference"/>
          <w:rFonts w:ascii="Verdana" w:hAnsi="Verdana"/>
          <w:sz w:val="24"/>
          <w:szCs w:val="24"/>
        </w:rPr>
        <w:footnoteReference w:id="39"/>
      </w:r>
      <w:r>
        <w:rPr>
          <w:rFonts w:ascii="Verdana" w:hAnsi="Verdana"/>
          <w:sz w:val="24"/>
          <w:szCs w:val="24"/>
        </w:rPr>
        <w:t xml:space="preserve"> wherein</w:t>
      </w:r>
      <w:r w:rsidRPr="00156269">
        <w:rPr>
          <w:rFonts w:ascii="Verdana" w:hAnsi="Verdana"/>
          <w:sz w:val="24"/>
          <w:szCs w:val="24"/>
        </w:rPr>
        <w:t xml:space="preserve"> the SCA restated the position as follows: </w:t>
      </w:r>
    </w:p>
    <w:p w14:paraId="48E7F5F6" w14:textId="77777777" w:rsidR="00156269" w:rsidRPr="00156269" w:rsidRDefault="00156269" w:rsidP="00156269">
      <w:pPr>
        <w:tabs>
          <w:tab w:val="left" w:pos="709"/>
        </w:tabs>
        <w:spacing w:before="360" w:after="240" w:line="480" w:lineRule="auto"/>
        <w:jc w:val="both"/>
        <w:rPr>
          <w:rFonts w:ascii="Verdana" w:hAnsi="Verdana"/>
          <w:sz w:val="24"/>
          <w:szCs w:val="24"/>
        </w:rPr>
      </w:pPr>
      <w:r w:rsidRPr="00156269">
        <w:rPr>
          <w:rFonts w:ascii="Verdana" w:hAnsi="Verdana"/>
          <w:sz w:val="24"/>
          <w:szCs w:val="24"/>
        </w:rPr>
        <w:t>“It has by now become settled law that the joinder of a party is only required as a matter of necessity – as opposed to a matter of convenience – if that party has a direct and substantial interest which may be affected prejudicially by the judgment of the court in the proceedings concerned.”</w:t>
      </w:r>
    </w:p>
    <w:p w14:paraId="07CBF655" w14:textId="77777777" w:rsidR="00236EAA" w:rsidRDefault="00236EAA" w:rsidP="00C1703B">
      <w:pPr>
        <w:tabs>
          <w:tab w:val="left" w:pos="709"/>
        </w:tabs>
        <w:spacing w:before="360" w:after="240" w:line="480" w:lineRule="auto"/>
        <w:jc w:val="both"/>
        <w:rPr>
          <w:rFonts w:ascii="Verdana" w:hAnsi="Verdana"/>
          <w:sz w:val="24"/>
          <w:szCs w:val="24"/>
        </w:rPr>
      </w:pPr>
    </w:p>
    <w:p w14:paraId="1383B725" w14:textId="4F86DE3E" w:rsidR="00666756" w:rsidRDefault="00236EAA" w:rsidP="00C1703B">
      <w:pPr>
        <w:tabs>
          <w:tab w:val="left" w:pos="709"/>
        </w:tabs>
        <w:spacing w:before="360" w:after="240" w:line="480" w:lineRule="auto"/>
        <w:jc w:val="both"/>
        <w:rPr>
          <w:rFonts w:ascii="Verdana" w:hAnsi="Verdana"/>
          <w:sz w:val="24"/>
          <w:szCs w:val="24"/>
        </w:rPr>
      </w:pPr>
      <w:r>
        <w:rPr>
          <w:rFonts w:ascii="Verdana" w:hAnsi="Verdana"/>
          <w:sz w:val="24"/>
          <w:szCs w:val="24"/>
        </w:rPr>
        <w:t>4</w:t>
      </w:r>
      <w:r w:rsidR="00156269">
        <w:rPr>
          <w:rFonts w:ascii="Verdana" w:hAnsi="Verdana"/>
          <w:sz w:val="24"/>
          <w:szCs w:val="24"/>
        </w:rPr>
        <w:t>2</w:t>
      </w:r>
      <w:r>
        <w:rPr>
          <w:rFonts w:ascii="Verdana" w:hAnsi="Verdana"/>
          <w:sz w:val="24"/>
          <w:szCs w:val="24"/>
        </w:rPr>
        <w:t xml:space="preserve">] Having regard to the allegations made as against </w:t>
      </w:r>
      <w:proofErr w:type="spellStart"/>
      <w:r>
        <w:rPr>
          <w:rFonts w:ascii="Verdana" w:hAnsi="Verdana"/>
          <w:sz w:val="24"/>
          <w:szCs w:val="24"/>
        </w:rPr>
        <w:t>Sasfin</w:t>
      </w:r>
      <w:proofErr w:type="spellEnd"/>
      <w:r>
        <w:rPr>
          <w:rFonts w:ascii="Verdana" w:hAnsi="Verdana"/>
          <w:sz w:val="24"/>
          <w:szCs w:val="24"/>
        </w:rPr>
        <w:t xml:space="preserve"> </w:t>
      </w:r>
      <w:r w:rsidR="00C24D1E">
        <w:rPr>
          <w:rFonts w:ascii="Verdana" w:hAnsi="Verdana"/>
          <w:sz w:val="24"/>
          <w:szCs w:val="24"/>
        </w:rPr>
        <w:t xml:space="preserve">by the applicant </w:t>
      </w:r>
      <w:r>
        <w:rPr>
          <w:rFonts w:ascii="Verdana" w:hAnsi="Verdana"/>
          <w:sz w:val="24"/>
          <w:szCs w:val="24"/>
        </w:rPr>
        <w:t xml:space="preserve">and its role to the dispute at hand, it </w:t>
      </w:r>
      <w:r w:rsidR="00C24D1E">
        <w:rPr>
          <w:rFonts w:ascii="Verdana" w:hAnsi="Verdana"/>
          <w:sz w:val="24"/>
          <w:szCs w:val="24"/>
        </w:rPr>
        <w:t xml:space="preserve">is a finding of this Court that </w:t>
      </w:r>
      <w:proofErr w:type="spellStart"/>
      <w:r w:rsidR="00C24D1E">
        <w:rPr>
          <w:rFonts w:ascii="Verdana" w:hAnsi="Verdana"/>
          <w:sz w:val="24"/>
          <w:szCs w:val="24"/>
        </w:rPr>
        <w:t>Sasfin</w:t>
      </w:r>
      <w:proofErr w:type="spellEnd"/>
      <w:r w:rsidR="00C24D1E">
        <w:rPr>
          <w:rFonts w:ascii="Verdana" w:hAnsi="Verdana"/>
          <w:sz w:val="24"/>
          <w:szCs w:val="24"/>
        </w:rPr>
        <w:t xml:space="preserve"> </w:t>
      </w:r>
      <w:r>
        <w:rPr>
          <w:rFonts w:ascii="Verdana" w:hAnsi="Verdana"/>
          <w:sz w:val="24"/>
          <w:szCs w:val="24"/>
        </w:rPr>
        <w:t>should</w:t>
      </w:r>
      <w:r w:rsidR="00C1703B" w:rsidRPr="00236EAA">
        <w:rPr>
          <w:rFonts w:ascii="Verdana" w:hAnsi="Verdana"/>
          <w:sz w:val="24"/>
          <w:szCs w:val="24"/>
        </w:rPr>
        <w:t xml:space="preserve"> have been joined as a party</w:t>
      </w:r>
      <w:r>
        <w:rPr>
          <w:rFonts w:ascii="Verdana" w:hAnsi="Verdana"/>
          <w:sz w:val="24"/>
          <w:szCs w:val="24"/>
        </w:rPr>
        <w:t xml:space="preserve"> to these proceedings as the </w:t>
      </w:r>
      <w:r w:rsidR="00C1703B" w:rsidRPr="00236EAA">
        <w:rPr>
          <w:rFonts w:ascii="Verdana" w:hAnsi="Verdana"/>
          <w:sz w:val="24"/>
          <w:szCs w:val="24"/>
        </w:rPr>
        <w:t xml:space="preserve">allegations that the applicant makes </w:t>
      </w:r>
      <w:r>
        <w:rPr>
          <w:rFonts w:ascii="Verdana" w:hAnsi="Verdana"/>
          <w:sz w:val="24"/>
          <w:szCs w:val="24"/>
        </w:rPr>
        <w:t>against it</w:t>
      </w:r>
      <w:r w:rsidR="00C1703B" w:rsidRPr="00236EAA">
        <w:rPr>
          <w:rFonts w:ascii="Verdana" w:hAnsi="Verdana"/>
          <w:sz w:val="24"/>
          <w:szCs w:val="24"/>
        </w:rPr>
        <w:t xml:space="preserve"> will materially influence the outcome of this hearing. </w:t>
      </w:r>
    </w:p>
    <w:p w14:paraId="5F1045A5" w14:textId="77777777" w:rsidR="00666756" w:rsidRDefault="00666756" w:rsidP="00C1703B">
      <w:pPr>
        <w:tabs>
          <w:tab w:val="left" w:pos="709"/>
        </w:tabs>
        <w:spacing w:before="360" w:after="240" w:line="480" w:lineRule="auto"/>
        <w:jc w:val="both"/>
        <w:rPr>
          <w:rFonts w:ascii="Verdana" w:hAnsi="Verdana"/>
          <w:sz w:val="24"/>
          <w:szCs w:val="24"/>
        </w:rPr>
      </w:pPr>
    </w:p>
    <w:p w14:paraId="41EF057E" w14:textId="5713A579" w:rsidR="00666756" w:rsidRDefault="00666756" w:rsidP="00666756">
      <w:pPr>
        <w:tabs>
          <w:tab w:val="left" w:pos="709"/>
        </w:tabs>
        <w:spacing w:before="360" w:after="240" w:line="480" w:lineRule="auto"/>
        <w:jc w:val="both"/>
        <w:rPr>
          <w:rFonts w:ascii="Verdana" w:hAnsi="Verdana"/>
          <w:sz w:val="24"/>
          <w:szCs w:val="24"/>
        </w:rPr>
      </w:pPr>
      <w:r w:rsidRPr="00666756">
        <w:rPr>
          <w:rFonts w:ascii="Verdana" w:hAnsi="Verdana"/>
          <w:sz w:val="24"/>
          <w:szCs w:val="24"/>
        </w:rPr>
        <w:lastRenderedPageBreak/>
        <w:t xml:space="preserve">43] </w:t>
      </w:r>
      <w:r w:rsidR="006B6AF2">
        <w:rPr>
          <w:rFonts w:ascii="Verdana" w:hAnsi="Verdana"/>
          <w:sz w:val="24"/>
          <w:szCs w:val="24"/>
        </w:rPr>
        <w:t xml:space="preserve">This is so, as </w:t>
      </w:r>
      <w:proofErr w:type="gramStart"/>
      <w:r w:rsidR="006B6AF2">
        <w:rPr>
          <w:rFonts w:ascii="Verdana" w:hAnsi="Verdana"/>
          <w:sz w:val="24"/>
          <w:szCs w:val="24"/>
        </w:rPr>
        <w:t>p</w:t>
      </w:r>
      <w:r w:rsidRPr="00666756">
        <w:rPr>
          <w:rFonts w:ascii="Verdana" w:hAnsi="Verdana"/>
          <w:sz w:val="24"/>
          <w:szCs w:val="24"/>
        </w:rPr>
        <w:t>otentially</w:t>
      </w:r>
      <w:proofErr w:type="gramEnd"/>
      <w:r w:rsidRPr="00666756">
        <w:rPr>
          <w:rFonts w:ascii="Verdana" w:hAnsi="Verdana"/>
          <w:sz w:val="24"/>
          <w:szCs w:val="24"/>
        </w:rPr>
        <w:t xml:space="preserve"> information may come up in this hearing that may </w:t>
      </w:r>
      <w:proofErr w:type="gramStart"/>
      <w:r w:rsidRPr="00666756">
        <w:rPr>
          <w:rFonts w:ascii="Verdana" w:hAnsi="Verdana"/>
          <w:sz w:val="24"/>
          <w:szCs w:val="24"/>
        </w:rPr>
        <w:t>have an effect on</w:t>
      </w:r>
      <w:proofErr w:type="gramEnd"/>
      <w:r w:rsidRPr="00666756">
        <w:rPr>
          <w:rFonts w:ascii="Verdana" w:hAnsi="Verdana"/>
          <w:sz w:val="24"/>
          <w:szCs w:val="24"/>
        </w:rPr>
        <w:t xml:space="preserve"> </w:t>
      </w:r>
      <w:proofErr w:type="spellStart"/>
      <w:r w:rsidRPr="00666756">
        <w:rPr>
          <w:rFonts w:ascii="Verdana" w:hAnsi="Verdana"/>
          <w:sz w:val="24"/>
          <w:szCs w:val="24"/>
        </w:rPr>
        <w:t>Sasfin</w:t>
      </w:r>
      <w:proofErr w:type="spellEnd"/>
      <w:r w:rsidRPr="00666756">
        <w:rPr>
          <w:rFonts w:ascii="Verdana" w:hAnsi="Verdana"/>
          <w:sz w:val="24"/>
          <w:szCs w:val="24"/>
        </w:rPr>
        <w:t xml:space="preserve">. By way of example, if the SARB decided to launch an investigation against </w:t>
      </w:r>
      <w:proofErr w:type="spellStart"/>
      <w:r w:rsidRPr="00666756">
        <w:rPr>
          <w:rFonts w:ascii="Verdana" w:hAnsi="Verdana"/>
          <w:sz w:val="24"/>
          <w:szCs w:val="24"/>
        </w:rPr>
        <w:t>Sasfin</w:t>
      </w:r>
      <w:proofErr w:type="spellEnd"/>
      <w:r w:rsidRPr="00666756">
        <w:rPr>
          <w:rFonts w:ascii="Verdana" w:hAnsi="Verdana"/>
          <w:sz w:val="24"/>
          <w:szCs w:val="24"/>
        </w:rPr>
        <w:t xml:space="preserve"> based on all the untested allegations that the applicant has made against </w:t>
      </w:r>
      <w:proofErr w:type="spellStart"/>
      <w:r w:rsidRPr="00666756">
        <w:rPr>
          <w:rFonts w:ascii="Verdana" w:hAnsi="Verdana"/>
          <w:sz w:val="24"/>
          <w:szCs w:val="24"/>
        </w:rPr>
        <w:t>Sasfin</w:t>
      </w:r>
      <w:proofErr w:type="spellEnd"/>
      <w:r w:rsidR="006B6AF2">
        <w:rPr>
          <w:rFonts w:ascii="Verdana" w:hAnsi="Verdana"/>
          <w:sz w:val="24"/>
          <w:szCs w:val="24"/>
        </w:rPr>
        <w:t>, i.e</w:t>
      </w:r>
      <w:r w:rsidR="00347971">
        <w:rPr>
          <w:rFonts w:ascii="Verdana" w:hAnsi="Verdana"/>
          <w:sz w:val="24"/>
          <w:szCs w:val="24"/>
        </w:rPr>
        <w:t>.</w:t>
      </w:r>
      <w:r w:rsidR="006B6AF2">
        <w:rPr>
          <w:rFonts w:ascii="Verdana" w:hAnsi="Verdana"/>
          <w:sz w:val="24"/>
          <w:szCs w:val="24"/>
        </w:rPr>
        <w:t xml:space="preserve"> </w:t>
      </w:r>
      <w:r w:rsidRPr="00666756">
        <w:rPr>
          <w:rFonts w:ascii="Verdana" w:hAnsi="Verdana"/>
          <w:sz w:val="24"/>
          <w:szCs w:val="24"/>
        </w:rPr>
        <w:t xml:space="preserve">that it only started requiring the relevant documents </w:t>
      </w:r>
      <w:proofErr w:type="gramStart"/>
      <w:r w:rsidRPr="00666756">
        <w:rPr>
          <w:rFonts w:ascii="Verdana" w:hAnsi="Verdana"/>
          <w:sz w:val="24"/>
          <w:szCs w:val="24"/>
        </w:rPr>
        <w:t>in an attempt to</w:t>
      </w:r>
      <w:proofErr w:type="gramEnd"/>
      <w:r w:rsidRPr="00666756">
        <w:rPr>
          <w:rFonts w:ascii="Verdana" w:hAnsi="Verdana"/>
          <w:sz w:val="24"/>
          <w:szCs w:val="24"/>
        </w:rPr>
        <w:t xml:space="preserve"> </w:t>
      </w:r>
      <w:proofErr w:type="spellStart"/>
      <w:r w:rsidRPr="00666756">
        <w:rPr>
          <w:rFonts w:ascii="Verdana" w:hAnsi="Verdana"/>
          <w:sz w:val="24"/>
          <w:szCs w:val="24"/>
        </w:rPr>
        <w:t>regularise</w:t>
      </w:r>
      <w:proofErr w:type="spellEnd"/>
      <w:r w:rsidRPr="00666756">
        <w:rPr>
          <w:rFonts w:ascii="Verdana" w:hAnsi="Verdana"/>
          <w:sz w:val="24"/>
          <w:szCs w:val="24"/>
        </w:rPr>
        <w:t xml:space="preserve"> its shortcomings for years of non-compliance.</w:t>
      </w:r>
    </w:p>
    <w:p w14:paraId="779421F1" w14:textId="77777777" w:rsidR="006B6AF2" w:rsidRDefault="006B6AF2" w:rsidP="00666756">
      <w:pPr>
        <w:tabs>
          <w:tab w:val="left" w:pos="709"/>
        </w:tabs>
        <w:spacing w:before="360" w:after="240" w:line="480" w:lineRule="auto"/>
        <w:jc w:val="both"/>
        <w:rPr>
          <w:rFonts w:ascii="Verdana" w:hAnsi="Verdana"/>
          <w:sz w:val="24"/>
          <w:szCs w:val="24"/>
        </w:rPr>
      </w:pPr>
    </w:p>
    <w:p w14:paraId="6BCFBD23" w14:textId="00484068" w:rsidR="006B6AF2" w:rsidRDefault="006B6AF2" w:rsidP="006B6AF2">
      <w:pPr>
        <w:tabs>
          <w:tab w:val="left" w:pos="709"/>
        </w:tabs>
        <w:spacing w:before="360" w:after="240" w:line="480" w:lineRule="auto"/>
        <w:jc w:val="both"/>
        <w:rPr>
          <w:rFonts w:ascii="Verdana" w:hAnsi="Verdana"/>
          <w:sz w:val="24"/>
          <w:szCs w:val="24"/>
        </w:rPr>
      </w:pPr>
      <w:r w:rsidRPr="006B6AF2">
        <w:rPr>
          <w:rFonts w:ascii="Verdana" w:hAnsi="Verdana"/>
          <w:sz w:val="24"/>
          <w:szCs w:val="24"/>
        </w:rPr>
        <w:t xml:space="preserve">44] Furthermore, in the unlikely event that this Court finds that the reason why the applicant did not submit the documents was because </w:t>
      </w:r>
      <w:proofErr w:type="spellStart"/>
      <w:r w:rsidRPr="006B6AF2">
        <w:rPr>
          <w:rFonts w:ascii="Verdana" w:hAnsi="Verdana"/>
          <w:sz w:val="24"/>
          <w:szCs w:val="24"/>
        </w:rPr>
        <w:t>Sasfin</w:t>
      </w:r>
      <w:proofErr w:type="spellEnd"/>
      <w:r w:rsidRPr="006B6AF2">
        <w:rPr>
          <w:rFonts w:ascii="Verdana" w:hAnsi="Verdana"/>
          <w:sz w:val="24"/>
          <w:szCs w:val="24"/>
        </w:rPr>
        <w:t xml:space="preserve"> failed to do its job as an </w:t>
      </w:r>
      <w:proofErr w:type="spellStart"/>
      <w:r w:rsidRPr="006B6AF2">
        <w:rPr>
          <w:rFonts w:ascii="Verdana" w:hAnsi="Verdana"/>
          <w:sz w:val="24"/>
          <w:szCs w:val="24"/>
        </w:rPr>
        <w:t>Authorised</w:t>
      </w:r>
      <w:proofErr w:type="spellEnd"/>
      <w:r w:rsidRPr="006B6AF2">
        <w:rPr>
          <w:rFonts w:ascii="Verdana" w:hAnsi="Verdana"/>
          <w:sz w:val="24"/>
          <w:szCs w:val="24"/>
        </w:rPr>
        <w:t xml:space="preserve"> Dealer or it makes adverse findings against </w:t>
      </w:r>
      <w:proofErr w:type="spellStart"/>
      <w:r w:rsidRPr="006B6AF2">
        <w:rPr>
          <w:rFonts w:ascii="Verdana" w:hAnsi="Verdana"/>
          <w:sz w:val="24"/>
          <w:szCs w:val="24"/>
        </w:rPr>
        <w:t>Sasfin</w:t>
      </w:r>
      <w:proofErr w:type="spellEnd"/>
      <w:r w:rsidRPr="006B6AF2">
        <w:rPr>
          <w:rFonts w:ascii="Verdana" w:hAnsi="Verdana"/>
          <w:sz w:val="24"/>
          <w:szCs w:val="24"/>
        </w:rPr>
        <w:t xml:space="preserve"> in its absence that it was indeed trying to </w:t>
      </w:r>
      <w:proofErr w:type="spellStart"/>
      <w:r w:rsidRPr="006B6AF2">
        <w:rPr>
          <w:rFonts w:ascii="Verdana" w:hAnsi="Verdana"/>
          <w:sz w:val="24"/>
          <w:szCs w:val="24"/>
        </w:rPr>
        <w:t>regularise</w:t>
      </w:r>
      <w:proofErr w:type="spellEnd"/>
      <w:r w:rsidRPr="006B6AF2">
        <w:rPr>
          <w:rFonts w:ascii="Verdana" w:hAnsi="Verdana"/>
          <w:sz w:val="24"/>
          <w:szCs w:val="24"/>
        </w:rPr>
        <w:t xml:space="preserve"> its non-compliance when it started requesting the relevant documents in 2020, this would prejudicially affect </w:t>
      </w:r>
      <w:proofErr w:type="spellStart"/>
      <w:r w:rsidRPr="006B6AF2">
        <w:rPr>
          <w:rFonts w:ascii="Verdana" w:hAnsi="Verdana"/>
          <w:sz w:val="24"/>
          <w:szCs w:val="24"/>
        </w:rPr>
        <w:t>Sasfin</w:t>
      </w:r>
      <w:proofErr w:type="spellEnd"/>
      <w:r w:rsidRPr="006B6AF2">
        <w:rPr>
          <w:rFonts w:ascii="Verdana" w:hAnsi="Verdana"/>
          <w:sz w:val="24"/>
          <w:szCs w:val="24"/>
        </w:rPr>
        <w:t xml:space="preserve">. </w:t>
      </w:r>
    </w:p>
    <w:p w14:paraId="0B5BF494" w14:textId="77777777" w:rsidR="006B6AF2" w:rsidRDefault="006B6AF2" w:rsidP="006B6AF2">
      <w:pPr>
        <w:tabs>
          <w:tab w:val="left" w:pos="709"/>
        </w:tabs>
        <w:spacing w:before="360" w:after="240" w:line="480" w:lineRule="auto"/>
        <w:jc w:val="both"/>
        <w:rPr>
          <w:rFonts w:ascii="Verdana" w:hAnsi="Verdana"/>
          <w:sz w:val="24"/>
          <w:szCs w:val="24"/>
        </w:rPr>
      </w:pPr>
    </w:p>
    <w:p w14:paraId="1B97D530" w14:textId="5E233BE3" w:rsidR="006B6AF2" w:rsidRDefault="006B6AF2" w:rsidP="006B6AF2">
      <w:pPr>
        <w:tabs>
          <w:tab w:val="left" w:pos="709"/>
        </w:tabs>
        <w:spacing w:before="360" w:after="240" w:line="480" w:lineRule="auto"/>
        <w:jc w:val="both"/>
        <w:rPr>
          <w:rFonts w:ascii="Verdana" w:hAnsi="Verdana"/>
          <w:sz w:val="24"/>
          <w:szCs w:val="24"/>
        </w:rPr>
      </w:pPr>
      <w:r w:rsidRPr="006B6AF2">
        <w:rPr>
          <w:rFonts w:ascii="Verdana" w:hAnsi="Verdana"/>
          <w:sz w:val="24"/>
          <w:szCs w:val="24"/>
        </w:rPr>
        <w:t xml:space="preserve">45] If this was to be the case, it will </w:t>
      </w:r>
      <w:r>
        <w:rPr>
          <w:rFonts w:ascii="Verdana" w:hAnsi="Verdana"/>
          <w:sz w:val="24"/>
          <w:szCs w:val="24"/>
        </w:rPr>
        <w:t xml:space="preserve">then </w:t>
      </w:r>
      <w:r w:rsidRPr="006B6AF2">
        <w:rPr>
          <w:rFonts w:ascii="Verdana" w:hAnsi="Verdana"/>
          <w:sz w:val="24"/>
          <w:szCs w:val="24"/>
        </w:rPr>
        <w:t xml:space="preserve">only be </w:t>
      </w:r>
      <w:proofErr w:type="spellStart"/>
      <w:r w:rsidRPr="006B6AF2">
        <w:rPr>
          <w:rFonts w:ascii="Verdana" w:hAnsi="Verdana"/>
          <w:sz w:val="24"/>
          <w:szCs w:val="24"/>
        </w:rPr>
        <w:t>Sasfin</w:t>
      </w:r>
      <w:proofErr w:type="spellEnd"/>
      <w:r w:rsidRPr="006B6AF2">
        <w:rPr>
          <w:rFonts w:ascii="Verdana" w:hAnsi="Verdana"/>
          <w:sz w:val="24"/>
          <w:szCs w:val="24"/>
        </w:rPr>
        <w:t xml:space="preserve"> who can inform this </w:t>
      </w:r>
      <w:r w:rsidR="00347971">
        <w:rPr>
          <w:rFonts w:ascii="Verdana" w:hAnsi="Verdana"/>
          <w:sz w:val="24"/>
          <w:szCs w:val="24"/>
        </w:rPr>
        <w:t>C</w:t>
      </w:r>
      <w:r w:rsidRPr="006B6AF2">
        <w:rPr>
          <w:rFonts w:ascii="Verdana" w:hAnsi="Verdana"/>
          <w:sz w:val="24"/>
          <w:szCs w:val="24"/>
        </w:rPr>
        <w:t xml:space="preserve">ourt about what exact documents the applicant sent and why </w:t>
      </w:r>
      <w:proofErr w:type="spellStart"/>
      <w:r w:rsidRPr="006B6AF2">
        <w:rPr>
          <w:rFonts w:ascii="Verdana" w:hAnsi="Verdana"/>
          <w:sz w:val="24"/>
          <w:szCs w:val="24"/>
        </w:rPr>
        <w:t>Sasfin</w:t>
      </w:r>
      <w:proofErr w:type="spellEnd"/>
      <w:r w:rsidRPr="006B6AF2">
        <w:rPr>
          <w:rFonts w:ascii="Verdana" w:hAnsi="Verdana"/>
          <w:sz w:val="24"/>
          <w:szCs w:val="24"/>
        </w:rPr>
        <w:t xml:space="preserve"> kept on asking fo</w:t>
      </w:r>
      <w:r w:rsidR="00CE5D3F">
        <w:rPr>
          <w:rFonts w:ascii="Verdana" w:hAnsi="Verdana"/>
          <w:sz w:val="24"/>
          <w:szCs w:val="24"/>
        </w:rPr>
        <w:t xml:space="preserve">r additional </w:t>
      </w:r>
      <w:r w:rsidRPr="006B6AF2">
        <w:rPr>
          <w:rFonts w:ascii="Verdana" w:hAnsi="Verdana"/>
          <w:sz w:val="24"/>
          <w:szCs w:val="24"/>
        </w:rPr>
        <w:t>documents</w:t>
      </w:r>
      <w:r w:rsidR="00CE5D3F">
        <w:rPr>
          <w:rFonts w:ascii="Verdana" w:hAnsi="Verdana"/>
          <w:sz w:val="24"/>
          <w:szCs w:val="24"/>
        </w:rPr>
        <w:t xml:space="preserve"> from the applicant</w:t>
      </w:r>
      <w:r w:rsidRPr="006B6AF2">
        <w:rPr>
          <w:rFonts w:ascii="Verdana" w:hAnsi="Verdana"/>
          <w:sz w:val="24"/>
          <w:szCs w:val="24"/>
        </w:rPr>
        <w:t xml:space="preserve">. Also, and most importantly, only </w:t>
      </w:r>
      <w:proofErr w:type="spellStart"/>
      <w:r w:rsidRPr="006B6AF2">
        <w:rPr>
          <w:rFonts w:ascii="Verdana" w:hAnsi="Verdana"/>
          <w:sz w:val="24"/>
          <w:szCs w:val="24"/>
        </w:rPr>
        <w:t>Sasfin</w:t>
      </w:r>
      <w:proofErr w:type="spellEnd"/>
      <w:r w:rsidRPr="006B6AF2">
        <w:rPr>
          <w:rFonts w:ascii="Verdana" w:hAnsi="Verdana"/>
          <w:sz w:val="24"/>
          <w:szCs w:val="24"/>
        </w:rPr>
        <w:t xml:space="preserve"> can explain to this </w:t>
      </w:r>
      <w:r w:rsidR="00347971">
        <w:rPr>
          <w:rFonts w:ascii="Verdana" w:hAnsi="Verdana"/>
          <w:sz w:val="24"/>
          <w:szCs w:val="24"/>
        </w:rPr>
        <w:t>C</w:t>
      </w:r>
      <w:r w:rsidRPr="006B6AF2">
        <w:rPr>
          <w:rFonts w:ascii="Verdana" w:hAnsi="Verdana"/>
          <w:sz w:val="24"/>
          <w:szCs w:val="24"/>
        </w:rPr>
        <w:t xml:space="preserve">ourt why it went on to report the applicant’s non-compliance with Regulation 12 to </w:t>
      </w:r>
      <w:proofErr w:type="spellStart"/>
      <w:r w:rsidRPr="006B6AF2">
        <w:rPr>
          <w:rFonts w:ascii="Verdana" w:hAnsi="Verdana"/>
          <w:sz w:val="24"/>
          <w:szCs w:val="24"/>
        </w:rPr>
        <w:t>FinSurv</w:t>
      </w:r>
      <w:proofErr w:type="spellEnd"/>
      <w:r w:rsidRPr="006B6AF2">
        <w:rPr>
          <w:rFonts w:ascii="Verdana" w:hAnsi="Verdana"/>
          <w:sz w:val="24"/>
          <w:szCs w:val="24"/>
        </w:rPr>
        <w:t xml:space="preserve"> on 12 December 2023, despite the applicant’s contention that it had sent all the documents to </w:t>
      </w:r>
      <w:proofErr w:type="spellStart"/>
      <w:r w:rsidRPr="006B6AF2">
        <w:rPr>
          <w:rFonts w:ascii="Verdana" w:hAnsi="Verdana"/>
          <w:sz w:val="24"/>
          <w:szCs w:val="24"/>
        </w:rPr>
        <w:t>Sasfin</w:t>
      </w:r>
      <w:proofErr w:type="spellEnd"/>
      <w:r w:rsidRPr="006B6AF2">
        <w:rPr>
          <w:rFonts w:ascii="Verdana" w:hAnsi="Verdana"/>
          <w:sz w:val="24"/>
          <w:szCs w:val="24"/>
        </w:rPr>
        <w:t xml:space="preserve"> at that stage.</w:t>
      </w:r>
    </w:p>
    <w:p w14:paraId="542E2EC8" w14:textId="77777777" w:rsidR="006B6AF2" w:rsidRDefault="006B6AF2" w:rsidP="006B6AF2">
      <w:pPr>
        <w:tabs>
          <w:tab w:val="left" w:pos="709"/>
        </w:tabs>
        <w:spacing w:before="360" w:after="240" w:line="480" w:lineRule="auto"/>
        <w:jc w:val="both"/>
        <w:rPr>
          <w:rFonts w:ascii="Verdana" w:hAnsi="Verdana"/>
          <w:sz w:val="24"/>
          <w:szCs w:val="24"/>
        </w:rPr>
      </w:pPr>
    </w:p>
    <w:p w14:paraId="0408DB73" w14:textId="1EC43CDF" w:rsidR="00666756" w:rsidRDefault="006B6AF2" w:rsidP="00666756">
      <w:pPr>
        <w:tabs>
          <w:tab w:val="left" w:pos="709"/>
        </w:tabs>
        <w:spacing w:before="360" w:after="240" w:line="480" w:lineRule="auto"/>
        <w:jc w:val="both"/>
        <w:rPr>
          <w:rFonts w:ascii="Verdana" w:hAnsi="Verdana"/>
          <w:sz w:val="24"/>
          <w:szCs w:val="24"/>
        </w:rPr>
      </w:pPr>
      <w:r>
        <w:rPr>
          <w:rFonts w:ascii="Verdana" w:hAnsi="Verdana"/>
          <w:sz w:val="24"/>
          <w:szCs w:val="24"/>
        </w:rPr>
        <w:t>46] It is for the above reason</w:t>
      </w:r>
      <w:r w:rsidR="00347971">
        <w:rPr>
          <w:rFonts w:ascii="Verdana" w:hAnsi="Verdana"/>
          <w:sz w:val="24"/>
          <w:szCs w:val="24"/>
        </w:rPr>
        <w:t>s</w:t>
      </w:r>
      <w:r>
        <w:rPr>
          <w:rFonts w:ascii="Verdana" w:hAnsi="Verdana"/>
          <w:sz w:val="24"/>
          <w:szCs w:val="24"/>
        </w:rPr>
        <w:t xml:space="preserve"> that this Court concludes that </w:t>
      </w:r>
      <w:proofErr w:type="spellStart"/>
      <w:r w:rsidR="00666756">
        <w:rPr>
          <w:rFonts w:ascii="Verdana" w:hAnsi="Verdana"/>
          <w:sz w:val="24"/>
          <w:szCs w:val="24"/>
        </w:rPr>
        <w:t>Sasfin</w:t>
      </w:r>
      <w:proofErr w:type="spellEnd"/>
      <w:r w:rsidR="00666756">
        <w:rPr>
          <w:rFonts w:ascii="Verdana" w:hAnsi="Verdana"/>
          <w:sz w:val="24"/>
          <w:szCs w:val="24"/>
        </w:rPr>
        <w:t xml:space="preserve"> should have been joined to these proceedings</w:t>
      </w:r>
      <w:r w:rsidR="00666756" w:rsidRPr="00236EAA">
        <w:rPr>
          <w:rFonts w:ascii="Verdana" w:hAnsi="Verdana"/>
          <w:sz w:val="24"/>
          <w:szCs w:val="24"/>
        </w:rPr>
        <w:t xml:space="preserve"> not merely for convenience but </w:t>
      </w:r>
      <w:r w:rsidR="00666756">
        <w:rPr>
          <w:rFonts w:ascii="Verdana" w:hAnsi="Verdana"/>
          <w:sz w:val="24"/>
          <w:szCs w:val="24"/>
        </w:rPr>
        <w:t xml:space="preserve">also out of </w:t>
      </w:r>
      <w:r w:rsidR="00666756" w:rsidRPr="00236EAA">
        <w:rPr>
          <w:rFonts w:ascii="Verdana" w:hAnsi="Verdana"/>
          <w:sz w:val="24"/>
          <w:szCs w:val="24"/>
        </w:rPr>
        <w:t>necessity</w:t>
      </w:r>
      <w:r w:rsidR="00666756">
        <w:rPr>
          <w:rFonts w:ascii="Verdana" w:hAnsi="Verdana"/>
          <w:sz w:val="24"/>
          <w:szCs w:val="24"/>
        </w:rPr>
        <w:t xml:space="preserve"> and </w:t>
      </w:r>
      <w:r w:rsidR="0060110A">
        <w:rPr>
          <w:rFonts w:ascii="Verdana" w:hAnsi="Verdana"/>
          <w:sz w:val="24"/>
          <w:szCs w:val="24"/>
        </w:rPr>
        <w:t>more importantly</w:t>
      </w:r>
      <w:r w:rsidR="00666756">
        <w:rPr>
          <w:rFonts w:ascii="Verdana" w:hAnsi="Verdana"/>
          <w:sz w:val="24"/>
          <w:szCs w:val="24"/>
        </w:rPr>
        <w:t xml:space="preserve"> because it has a direct and substantial interest in these proceedings</w:t>
      </w:r>
      <w:r w:rsidR="008F109F">
        <w:rPr>
          <w:rFonts w:ascii="Verdana" w:hAnsi="Verdana"/>
          <w:sz w:val="24"/>
          <w:szCs w:val="24"/>
        </w:rPr>
        <w:t xml:space="preserve"> and should be afforded an opportunity to answer to the allegations made against it.</w:t>
      </w:r>
    </w:p>
    <w:p w14:paraId="2EE05AFA" w14:textId="77777777" w:rsidR="00665718" w:rsidRDefault="00665718" w:rsidP="00666756">
      <w:pPr>
        <w:tabs>
          <w:tab w:val="left" w:pos="709"/>
        </w:tabs>
        <w:spacing w:before="360" w:after="240" w:line="480" w:lineRule="auto"/>
        <w:jc w:val="both"/>
        <w:rPr>
          <w:rFonts w:ascii="Verdana" w:hAnsi="Verdana"/>
          <w:sz w:val="24"/>
          <w:szCs w:val="24"/>
        </w:rPr>
      </w:pPr>
    </w:p>
    <w:p w14:paraId="38F98B35" w14:textId="164E2A2C" w:rsidR="00C1703B" w:rsidRDefault="00347971" w:rsidP="00C1703B">
      <w:pPr>
        <w:tabs>
          <w:tab w:val="left" w:pos="709"/>
        </w:tabs>
        <w:spacing w:before="360" w:after="240" w:line="480" w:lineRule="auto"/>
        <w:jc w:val="both"/>
        <w:rPr>
          <w:rFonts w:ascii="Verdana" w:hAnsi="Verdana"/>
          <w:sz w:val="24"/>
          <w:szCs w:val="24"/>
        </w:rPr>
      </w:pPr>
      <w:r w:rsidRPr="00347971">
        <w:rPr>
          <w:rFonts w:ascii="Verdana" w:hAnsi="Verdana"/>
          <w:sz w:val="24"/>
          <w:szCs w:val="24"/>
        </w:rPr>
        <w:t>4</w:t>
      </w:r>
      <w:r w:rsidR="00665718">
        <w:rPr>
          <w:rFonts w:ascii="Verdana" w:hAnsi="Verdana"/>
          <w:sz w:val="24"/>
          <w:szCs w:val="24"/>
        </w:rPr>
        <w:t>7</w:t>
      </w:r>
      <w:r w:rsidRPr="00347971">
        <w:rPr>
          <w:rFonts w:ascii="Verdana" w:hAnsi="Verdana"/>
          <w:sz w:val="24"/>
          <w:szCs w:val="24"/>
        </w:rPr>
        <w:t xml:space="preserve">] As to the non-joinder of the Minister, </w:t>
      </w:r>
      <w:r w:rsidR="00C1703B" w:rsidRPr="00347971">
        <w:rPr>
          <w:rFonts w:ascii="Verdana" w:hAnsi="Verdana"/>
          <w:sz w:val="24"/>
          <w:szCs w:val="24"/>
        </w:rPr>
        <w:t>although the Minister has lawfully delegated his powers,</w:t>
      </w:r>
      <w:r w:rsidR="00B055B4">
        <w:rPr>
          <w:rFonts w:ascii="Verdana" w:hAnsi="Verdana"/>
          <w:sz w:val="24"/>
          <w:szCs w:val="24"/>
        </w:rPr>
        <w:t xml:space="preserve"> </w:t>
      </w:r>
      <w:r w:rsidR="00C1703B" w:rsidRPr="00347971">
        <w:rPr>
          <w:rFonts w:ascii="Verdana" w:hAnsi="Verdana"/>
          <w:sz w:val="24"/>
          <w:szCs w:val="24"/>
        </w:rPr>
        <w:t xml:space="preserve">whatever decision </w:t>
      </w:r>
      <w:r w:rsidR="00B055B4">
        <w:rPr>
          <w:rFonts w:ascii="Verdana" w:hAnsi="Verdana"/>
          <w:sz w:val="24"/>
          <w:szCs w:val="24"/>
        </w:rPr>
        <w:t xml:space="preserve">ultimately </w:t>
      </w:r>
      <w:r w:rsidR="00C1703B" w:rsidRPr="00347971">
        <w:rPr>
          <w:rFonts w:ascii="Verdana" w:hAnsi="Verdana"/>
          <w:sz w:val="24"/>
          <w:szCs w:val="24"/>
        </w:rPr>
        <w:t>that this Court makes</w:t>
      </w:r>
      <w:r w:rsidR="00B055B4">
        <w:rPr>
          <w:rFonts w:ascii="Verdana" w:hAnsi="Verdana"/>
          <w:sz w:val="24"/>
          <w:szCs w:val="24"/>
        </w:rPr>
        <w:t>,</w:t>
      </w:r>
      <w:r w:rsidR="00C1703B" w:rsidRPr="00347971">
        <w:rPr>
          <w:rFonts w:ascii="Verdana" w:hAnsi="Verdana"/>
          <w:sz w:val="24"/>
          <w:szCs w:val="24"/>
        </w:rPr>
        <w:t xml:space="preserve"> has implications for National Treasury</w:t>
      </w:r>
      <w:r>
        <w:rPr>
          <w:rFonts w:ascii="Verdana" w:hAnsi="Verdana"/>
          <w:sz w:val="24"/>
          <w:szCs w:val="24"/>
        </w:rPr>
        <w:t>,</w:t>
      </w:r>
      <w:r w:rsidR="00C1703B" w:rsidRPr="00347971">
        <w:rPr>
          <w:rStyle w:val="FootnoteReference"/>
          <w:rFonts w:ascii="Verdana" w:hAnsi="Verdana"/>
          <w:sz w:val="24"/>
          <w:szCs w:val="24"/>
        </w:rPr>
        <w:footnoteReference w:id="40"/>
      </w:r>
      <w:r>
        <w:rPr>
          <w:rFonts w:ascii="Verdana" w:hAnsi="Verdana"/>
          <w:sz w:val="24"/>
          <w:szCs w:val="24"/>
        </w:rPr>
        <w:t xml:space="preserve"> in addition to the </w:t>
      </w:r>
      <w:r w:rsidR="00C1703B" w:rsidRPr="00347971">
        <w:rPr>
          <w:rFonts w:ascii="Verdana" w:hAnsi="Verdana"/>
          <w:sz w:val="24"/>
          <w:szCs w:val="24"/>
        </w:rPr>
        <w:t xml:space="preserve">relevant regulations </w:t>
      </w:r>
      <w:r>
        <w:rPr>
          <w:rFonts w:ascii="Verdana" w:hAnsi="Verdana"/>
          <w:sz w:val="24"/>
          <w:szCs w:val="24"/>
        </w:rPr>
        <w:t>being</w:t>
      </w:r>
      <w:r w:rsidR="00C1703B" w:rsidRPr="00347971">
        <w:rPr>
          <w:rFonts w:ascii="Verdana" w:hAnsi="Verdana"/>
          <w:sz w:val="24"/>
          <w:szCs w:val="24"/>
        </w:rPr>
        <w:t xml:space="preserve"> crafted </w:t>
      </w:r>
      <w:r>
        <w:rPr>
          <w:rFonts w:ascii="Verdana" w:hAnsi="Verdana"/>
          <w:sz w:val="24"/>
          <w:szCs w:val="24"/>
        </w:rPr>
        <w:t xml:space="preserve">in </w:t>
      </w:r>
      <w:r w:rsidR="00C1703B" w:rsidRPr="00347971">
        <w:rPr>
          <w:rFonts w:ascii="Verdana" w:hAnsi="Verdana"/>
          <w:sz w:val="24"/>
          <w:szCs w:val="24"/>
        </w:rPr>
        <w:t xml:space="preserve">such </w:t>
      </w:r>
      <w:r>
        <w:rPr>
          <w:rFonts w:ascii="Verdana" w:hAnsi="Verdana"/>
          <w:sz w:val="24"/>
          <w:szCs w:val="24"/>
        </w:rPr>
        <w:t xml:space="preserve">a manner </w:t>
      </w:r>
      <w:r w:rsidR="00C1703B" w:rsidRPr="00347971">
        <w:rPr>
          <w:rFonts w:ascii="Verdana" w:hAnsi="Verdana"/>
          <w:sz w:val="24"/>
          <w:szCs w:val="24"/>
        </w:rPr>
        <w:t xml:space="preserve">that there is always </w:t>
      </w:r>
      <w:r>
        <w:rPr>
          <w:rFonts w:ascii="Verdana" w:hAnsi="Verdana"/>
          <w:sz w:val="24"/>
          <w:szCs w:val="24"/>
        </w:rPr>
        <w:t>an</w:t>
      </w:r>
      <w:r w:rsidR="00C1703B" w:rsidRPr="00347971">
        <w:rPr>
          <w:rFonts w:ascii="Verdana" w:hAnsi="Verdana"/>
          <w:sz w:val="24"/>
          <w:szCs w:val="24"/>
        </w:rPr>
        <w:t xml:space="preserve"> intersection between the SARB and the Minister in such matters, despite </w:t>
      </w:r>
      <w:r>
        <w:rPr>
          <w:rFonts w:ascii="Verdana" w:hAnsi="Verdana"/>
          <w:sz w:val="24"/>
          <w:szCs w:val="24"/>
        </w:rPr>
        <w:t>such</w:t>
      </w:r>
      <w:r w:rsidR="00C1703B" w:rsidRPr="00347971">
        <w:rPr>
          <w:rFonts w:ascii="Verdana" w:hAnsi="Verdana"/>
          <w:sz w:val="24"/>
          <w:szCs w:val="24"/>
        </w:rPr>
        <w:t xml:space="preserve"> delegation. F</w:t>
      </w:r>
      <w:r>
        <w:rPr>
          <w:rFonts w:ascii="Verdana" w:hAnsi="Verdana"/>
          <w:sz w:val="24"/>
          <w:szCs w:val="24"/>
        </w:rPr>
        <w:t>o</w:t>
      </w:r>
      <w:r w:rsidR="00B055B4">
        <w:rPr>
          <w:rFonts w:ascii="Verdana" w:hAnsi="Verdana"/>
          <w:sz w:val="24"/>
          <w:szCs w:val="24"/>
        </w:rPr>
        <w:t>r</w:t>
      </w:r>
      <w:r>
        <w:rPr>
          <w:rFonts w:ascii="Verdana" w:hAnsi="Verdana"/>
          <w:sz w:val="24"/>
          <w:szCs w:val="24"/>
        </w:rPr>
        <w:t xml:space="preserve"> this </w:t>
      </w:r>
      <w:proofErr w:type="gramStart"/>
      <w:r>
        <w:rPr>
          <w:rFonts w:ascii="Verdana" w:hAnsi="Verdana"/>
          <w:sz w:val="24"/>
          <w:szCs w:val="24"/>
        </w:rPr>
        <w:t>reason</w:t>
      </w:r>
      <w:proofErr w:type="gramEnd"/>
      <w:r>
        <w:rPr>
          <w:rFonts w:ascii="Verdana" w:hAnsi="Verdana"/>
          <w:sz w:val="24"/>
          <w:szCs w:val="24"/>
        </w:rPr>
        <w:t xml:space="preserve"> </w:t>
      </w:r>
      <w:r w:rsidR="000477BF">
        <w:rPr>
          <w:rFonts w:ascii="Verdana" w:hAnsi="Verdana"/>
          <w:sz w:val="24"/>
          <w:szCs w:val="24"/>
        </w:rPr>
        <w:t>also</w:t>
      </w:r>
      <w:r w:rsidR="00B055B4">
        <w:rPr>
          <w:rFonts w:ascii="Verdana" w:hAnsi="Verdana"/>
          <w:sz w:val="24"/>
          <w:szCs w:val="24"/>
        </w:rPr>
        <w:t>,</w:t>
      </w:r>
      <w:r>
        <w:rPr>
          <w:rFonts w:ascii="Verdana" w:hAnsi="Verdana"/>
          <w:sz w:val="24"/>
          <w:szCs w:val="24"/>
        </w:rPr>
        <w:t xml:space="preserve"> the Minister is an interested party in these proceedings and should have </w:t>
      </w:r>
      <w:proofErr w:type="gramStart"/>
      <w:r>
        <w:rPr>
          <w:rFonts w:ascii="Verdana" w:hAnsi="Verdana"/>
          <w:sz w:val="24"/>
          <w:szCs w:val="24"/>
        </w:rPr>
        <w:t>been joined</w:t>
      </w:r>
      <w:proofErr w:type="gramEnd"/>
      <w:r>
        <w:rPr>
          <w:rFonts w:ascii="Verdana" w:hAnsi="Verdana"/>
          <w:sz w:val="24"/>
          <w:szCs w:val="24"/>
        </w:rPr>
        <w:t xml:space="preserve"> in </w:t>
      </w:r>
      <w:r w:rsidR="000F3793">
        <w:rPr>
          <w:rFonts w:ascii="Verdana" w:hAnsi="Verdana"/>
          <w:sz w:val="24"/>
          <w:szCs w:val="24"/>
        </w:rPr>
        <w:t>these proceedings</w:t>
      </w:r>
      <w:r>
        <w:rPr>
          <w:rFonts w:ascii="Verdana" w:hAnsi="Verdana"/>
          <w:sz w:val="24"/>
          <w:szCs w:val="24"/>
        </w:rPr>
        <w:t>.</w:t>
      </w:r>
    </w:p>
    <w:p w14:paraId="0808E00C" w14:textId="77777777" w:rsidR="00665718" w:rsidRPr="00347971" w:rsidRDefault="00665718" w:rsidP="00C1703B">
      <w:pPr>
        <w:tabs>
          <w:tab w:val="left" w:pos="709"/>
        </w:tabs>
        <w:spacing w:before="360" w:after="240" w:line="480" w:lineRule="auto"/>
        <w:jc w:val="both"/>
        <w:rPr>
          <w:rFonts w:ascii="Verdana" w:hAnsi="Verdana"/>
          <w:sz w:val="24"/>
          <w:szCs w:val="24"/>
        </w:rPr>
      </w:pPr>
    </w:p>
    <w:p w14:paraId="74F8A35C" w14:textId="64410119" w:rsidR="00665718" w:rsidRDefault="00665718" w:rsidP="00665718">
      <w:pPr>
        <w:tabs>
          <w:tab w:val="left" w:pos="709"/>
        </w:tabs>
        <w:spacing w:before="360" w:after="240" w:line="480" w:lineRule="auto"/>
        <w:jc w:val="both"/>
        <w:rPr>
          <w:rFonts w:ascii="Verdana" w:hAnsi="Verdana"/>
          <w:sz w:val="24"/>
          <w:szCs w:val="24"/>
        </w:rPr>
      </w:pPr>
      <w:r>
        <w:rPr>
          <w:rFonts w:ascii="Verdana" w:hAnsi="Verdana"/>
          <w:sz w:val="24"/>
          <w:szCs w:val="24"/>
        </w:rPr>
        <w:t xml:space="preserve">48] Consequently, the </w:t>
      </w:r>
      <w:r w:rsidRPr="00666756">
        <w:rPr>
          <w:rFonts w:ascii="Verdana" w:hAnsi="Verdana"/>
          <w:i/>
          <w:iCs/>
          <w:sz w:val="24"/>
          <w:szCs w:val="24"/>
        </w:rPr>
        <w:t>point</w:t>
      </w:r>
      <w:r>
        <w:rPr>
          <w:rFonts w:ascii="Verdana" w:hAnsi="Verdana"/>
          <w:i/>
          <w:iCs/>
          <w:sz w:val="24"/>
          <w:szCs w:val="24"/>
        </w:rPr>
        <w:t>s</w:t>
      </w:r>
      <w:r w:rsidRPr="00666756">
        <w:rPr>
          <w:rFonts w:ascii="Verdana" w:hAnsi="Verdana"/>
          <w:i/>
          <w:iCs/>
          <w:sz w:val="24"/>
          <w:szCs w:val="24"/>
        </w:rPr>
        <w:t xml:space="preserve"> in </w:t>
      </w:r>
      <w:proofErr w:type="spellStart"/>
      <w:r w:rsidRPr="00666756">
        <w:rPr>
          <w:rFonts w:ascii="Verdana" w:hAnsi="Verdana"/>
          <w:i/>
          <w:iCs/>
          <w:sz w:val="24"/>
          <w:szCs w:val="24"/>
        </w:rPr>
        <w:t>limine</w:t>
      </w:r>
      <w:proofErr w:type="spellEnd"/>
      <w:r>
        <w:rPr>
          <w:rFonts w:ascii="Verdana" w:hAnsi="Verdana"/>
          <w:sz w:val="24"/>
          <w:szCs w:val="24"/>
        </w:rPr>
        <w:t xml:space="preserve"> of non-joinder of </w:t>
      </w:r>
      <w:proofErr w:type="spellStart"/>
      <w:r>
        <w:rPr>
          <w:rFonts w:ascii="Verdana" w:hAnsi="Verdana"/>
          <w:sz w:val="24"/>
          <w:szCs w:val="24"/>
        </w:rPr>
        <w:t>Sasfin</w:t>
      </w:r>
      <w:proofErr w:type="spellEnd"/>
      <w:r>
        <w:rPr>
          <w:rFonts w:ascii="Verdana" w:hAnsi="Verdana"/>
          <w:sz w:val="24"/>
          <w:szCs w:val="24"/>
        </w:rPr>
        <w:t xml:space="preserve"> and the Minister is upheld with costs.</w:t>
      </w:r>
    </w:p>
    <w:p w14:paraId="585E473F" w14:textId="77777777" w:rsidR="00C1703B" w:rsidRPr="00A95B30" w:rsidRDefault="00C1703B" w:rsidP="00C1703B">
      <w:pPr>
        <w:tabs>
          <w:tab w:val="left" w:pos="709"/>
        </w:tabs>
        <w:spacing w:before="360" w:after="240" w:line="480" w:lineRule="auto"/>
        <w:jc w:val="both"/>
        <w:rPr>
          <w:rFonts w:ascii="Verdana" w:hAnsi="Verdana"/>
          <w:color w:val="E97132" w:themeColor="accent2"/>
          <w:sz w:val="24"/>
          <w:szCs w:val="24"/>
        </w:rPr>
      </w:pPr>
    </w:p>
    <w:p w14:paraId="28B829A2" w14:textId="08D142F2" w:rsidR="00665718" w:rsidRPr="00A95B30" w:rsidRDefault="00665718" w:rsidP="00665718">
      <w:pPr>
        <w:tabs>
          <w:tab w:val="left" w:pos="709"/>
        </w:tabs>
        <w:spacing w:before="360" w:after="240" w:line="480" w:lineRule="auto"/>
        <w:jc w:val="both"/>
        <w:rPr>
          <w:rFonts w:ascii="Verdana" w:hAnsi="Verdana"/>
          <w:color w:val="E97132" w:themeColor="accent2"/>
          <w:sz w:val="24"/>
          <w:szCs w:val="24"/>
        </w:rPr>
      </w:pPr>
      <w:r w:rsidRPr="00665718">
        <w:rPr>
          <w:rFonts w:ascii="Verdana" w:hAnsi="Verdana"/>
          <w:sz w:val="24"/>
          <w:szCs w:val="24"/>
        </w:rPr>
        <w:lastRenderedPageBreak/>
        <w:t>49] The</w:t>
      </w:r>
      <w:r w:rsidR="00396172">
        <w:rPr>
          <w:rFonts w:ascii="Verdana" w:hAnsi="Verdana"/>
          <w:sz w:val="24"/>
          <w:szCs w:val="24"/>
        </w:rPr>
        <w:t>se</w:t>
      </w:r>
      <w:r w:rsidRPr="00665718">
        <w:rPr>
          <w:rFonts w:ascii="Verdana" w:hAnsi="Verdana"/>
          <w:sz w:val="24"/>
          <w:szCs w:val="24"/>
        </w:rPr>
        <w:t xml:space="preserve"> points in </w:t>
      </w:r>
      <w:proofErr w:type="spellStart"/>
      <w:r w:rsidRPr="00665718">
        <w:rPr>
          <w:rFonts w:ascii="Verdana" w:hAnsi="Verdana"/>
          <w:sz w:val="24"/>
          <w:szCs w:val="24"/>
        </w:rPr>
        <w:t>limine</w:t>
      </w:r>
      <w:proofErr w:type="spellEnd"/>
      <w:r w:rsidRPr="00665718">
        <w:rPr>
          <w:rFonts w:ascii="Verdana" w:hAnsi="Verdana"/>
          <w:sz w:val="24"/>
          <w:szCs w:val="24"/>
        </w:rPr>
        <w:t xml:space="preserve"> </w:t>
      </w:r>
      <w:r w:rsidR="00396172">
        <w:rPr>
          <w:rFonts w:ascii="Verdana" w:hAnsi="Verdana"/>
          <w:sz w:val="24"/>
          <w:szCs w:val="24"/>
        </w:rPr>
        <w:t xml:space="preserve">so raised </w:t>
      </w:r>
      <w:r w:rsidRPr="00665718">
        <w:rPr>
          <w:rFonts w:ascii="Verdana" w:hAnsi="Verdana"/>
          <w:sz w:val="24"/>
          <w:szCs w:val="24"/>
        </w:rPr>
        <w:t>are dispos</w:t>
      </w:r>
      <w:r w:rsidR="00396172">
        <w:rPr>
          <w:rFonts w:ascii="Verdana" w:hAnsi="Verdana"/>
          <w:sz w:val="24"/>
          <w:szCs w:val="24"/>
        </w:rPr>
        <w:t>i</w:t>
      </w:r>
      <w:r w:rsidRPr="00665718">
        <w:rPr>
          <w:rFonts w:ascii="Verdana" w:hAnsi="Verdana"/>
          <w:sz w:val="24"/>
          <w:szCs w:val="24"/>
        </w:rPr>
        <w:t>tive of the application and for t</w:t>
      </w:r>
      <w:r w:rsidR="00396172">
        <w:rPr>
          <w:rFonts w:ascii="Verdana" w:hAnsi="Verdana"/>
          <w:sz w:val="24"/>
          <w:szCs w:val="24"/>
        </w:rPr>
        <w:t>his</w:t>
      </w:r>
      <w:r w:rsidRPr="00665718">
        <w:rPr>
          <w:rFonts w:ascii="Verdana" w:hAnsi="Verdana"/>
          <w:sz w:val="24"/>
          <w:szCs w:val="24"/>
        </w:rPr>
        <w:t xml:space="preserve"> reason the </w:t>
      </w:r>
      <w:r w:rsidR="00396172">
        <w:rPr>
          <w:rFonts w:ascii="Verdana" w:hAnsi="Verdana"/>
          <w:sz w:val="24"/>
          <w:szCs w:val="24"/>
        </w:rPr>
        <w:t xml:space="preserve">remainder of the </w:t>
      </w:r>
      <w:r w:rsidRPr="00665718">
        <w:rPr>
          <w:rFonts w:ascii="Verdana" w:hAnsi="Verdana"/>
          <w:sz w:val="24"/>
          <w:szCs w:val="24"/>
        </w:rPr>
        <w:t>merits will not be further traversed in this judgment.</w:t>
      </w:r>
      <w:r w:rsidR="00C1703B" w:rsidRPr="00665718">
        <w:rPr>
          <w:rFonts w:ascii="Verdana" w:hAnsi="Verdana"/>
          <w:sz w:val="24"/>
          <w:szCs w:val="24"/>
        </w:rPr>
        <w:t xml:space="preserve"> </w:t>
      </w:r>
    </w:p>
    <w:p w14:paraId="1B059A2F" w14:textId="7252AC8F" w:rsidR="00E23BF5" w:rsidRDefault="00E23BF5" w:rsidP="00E215F5">
      <w:pPr>
        <w:tabs>
          <w:tab w:val="left" w:pos="709"/>
        </w:tabs>
        <w:spacing w:before="360" w:after="240" w:line="480" w:lineRule="auto"/>
        <w:jc w:val="both"/>
        <w:rPr>
          <w:rFonts w:ascii="Verdana" w:hAnsi="Verdana"/>
          <w:b/>
          <w:sz w:val="24"/>
          <w:szCs w:val="24"/>
        </w:rPr>
      </w:pPr>
    </w:p>
    <w:p w14:paraId="28124107" w14:textId="1EBA7014" w:rsidR="00E23BF5" w:rsidRPr="00A95B30" w:rsidRDefault="00A95B30" w:rsidP="00E215F5">
      <w:pPr>
        <w:tabs>
          <w:tab w:val="left" w:pos="709"/>
        </w:tabs>
        <w:spacing w:before="360" w:after="240" w:line="480" w:lineRule="auto"/>
        <w:jc w:val="both"/>
        <w:rPr>
          <w:rFonts w:ascii="Verdana" w:hAnsi="Verdana"/>
          <w:bCs/>
          <w:sz w:val="24"/>
          <w:szCs w:val="24"/>
        </w:rPr>
      </w:pPr>
      <w:r w:rsidRPr="00A95B30">
        <w:rPr>
          <w:rFonts w:ascii="Verdana" w:hAnsi="Verdana"/>
          <w:bCs/>
          <w:sz w:val="24"/>
          <w:szCs w:val="24"/>
        </w:rPr>
        <w:t>ORDER</w:t>
      </w:r>
    </w:p>
    <w:p w14:paraId="5A0F2423" w14:textId="77777777" w:rsidR="00396172" w:rsidRDefault="00665718" w:rsidP="00E23BF5">
      <w:pPr>
        <w:tabs>
          <w:tab w:val="left" w:pos="709"/>
        </w:tabs>
        <w:spacing w:before="360" w:after="240" w:line="480" w:lineRule="auto"/>
        <w:jc w:val="both"/>
        <w:rPr>
          <w:rFonts w:ascii="Verdana" w:hAnsi="Verdana"/>
          <w:sz w:val="24"/>
          <w:szCs w:val="24"/>
        </w:rPr>
      </w:pPr>
      <w:r>
        <w:rPr>
          <w:rFonts w:ascii="Verdana" w:hAnsi="Verdana"/>
          <w:sz w:val="24"/>
          <w:szCs w:val="24"/>
        </w:rPr>
        <w:t>50</w:t>
      </w:r>
      <w:r w:rsidR="00A95B30">
        <w:rPr>
          <w:rFonts w:ascii="Verdana" w:hAnsi="Verdana"/>
          <w:sz w:val="24"/>
          <w:szCs w:val="24"/>
        </w:rPr>
        <w:t>]</w:t>
      </w:r>
      <w:r w:rsidR="00E23BF5">
        <w:rPr>
          <w:rFonts w:ascii="Verdana" w:hAnsi="Verdana"/>
          <w:sz w:val="24"/>
          <w:szCs w:val="24"/>
        </w:rPr>
        <w:t xml:space="preserve"> </w:t>
      </w:r>
      <w:r w:rsidR="00396172">
        <w:rPr>
          <w:rFonts w:ascii="Verdana" w:hAnsi="Verdana"/>
          <w:sz w:val="24"/>
          <w:szCs w:val="24"/>
        </w:rPr>
        <w:t>Consequently, the following order is made:</w:t>
      </w:r>
    </w:p>
    <w:p w14:paraId="659C18A2" w14:textId="22F2FE3D" w:rsidR="00E23BF5" w:rsidRDefault="00396172" w:rsidP="00E23BF5">
      <w:pPr>
        <w:tabs>
          <w:tab w:val="left" w:pos="709"/>
        </w:tabs>
        <w:spacing w:before="360" w:after="240" w:line="480" w:lineRule="auto"/>
        <w:jc w:val="both"/>
        <w:rPr>
          <w:rFonts w:ascii="Verdana" w:hAnsi="Verdana"/>
          <w:sz w:val="24"/>
          <w:szCs w:val="24"/>
        </w:rPr>
      </w:pPr>
      <w:r>
        <w:rPr>
          <w:rFonts w:ascii="Verdana" w:hAnsi="Verdana"/>
          <w:sz w:val="24"/>
          <w:szCs w:val="24"/>
        </w:rPr>
        <w:t xml:space="preserve">50.1 </w:t>
      </w:r>
      <w:r w:rsidR="00E23BF5" w:rsidRPr="00E23BF5">
        <w:rPr>
          <w:rFonts w:ascii="Verdana" w:hAnsi="Verdana"/>
          <w:sz w:val="24"/>
          <w:szCs w:val="24"/>
        </w:rPr>
        <w:t xml:space="preserve">The Applicant’s non – compliance with the Rules of the above Court </w:t>
      </w:r>
      <w:proofErr w:type="gramStart"/>
      <w:r w:rsidR="00E23BF5" w:rsidRPr="00E23BF5">
        <w:rPr>
          <w:rFonts w:ascii="Verdana" w:hAnsi="Verdana"/>
          <w:sz w:val="24"/>
          <w:szCs w:val="24"/>
        </w:rPr>
        <w:t>in regard to</w:t>
      </w:r>
      <w:proofErr w:type="gramEnd"/>
      <w:r w:rsidR="00E23BF5" w:rsidRPr="00E23BF5">
        <w:rPr>
          <w:rFonts w:ascii="Verdana" w:hAnsi="Verdana"/>
          <w:sz w:val="24"/>
          <w:szCs w:val="24"/>
        </w:rPr>
        <w:t xml:space="preserve"> the service and time limits be and is hereby condoned</w:t>
      </w:r>
      <w:r w:rsidR="000A750B">
        <w:rPr>
          <w:rFonts w:ascii="Verdana" w:hAnsi="Verdana"/>
          <w:sz w:val="24"/>
          <w:szCs w:val="24"/>
        </w:rPr>
        <w:t>.</w:t>
      </w:r>
    </w:p>
    <w:p w14:paraId="4AEB5A8D" w14:textId="77777777" w:rsidR="00396172" w:rsidRDefault="00396172" w:rsidP="00E23BF5">
      <w:pPr>
        <w:tabs>
          <w:tab w:val="left" w:pos="709"/>
        </w:tabs>
        <w:spacing w:before="360" w:after="240" w:line="480" w:lineRule="auto"/>
        <w:jc w:val="both"/>
        <w:rPr>
          <w:rFonts w:ascii="Verdana" w:hAnsi="Verdana"/>
          <w:sz w:val="24"/>
          <w:szCs w:val="24"/>
        </w:rPr>
      </w:pPr>
    </w:p>
    <w:p w14:paraId="51656F5D" w14:textId="47BBF6C0" w:rsidR="00E23BF5" w:rsidRDefault="00396172" w:rsidP="00E23BF5">
      <w:pPr>
        <w:tabs>
          <w:tab w:val="left" w:pos="709"/>
        </w:tabs>
        <w:spacing w:before="360" w:after="240" w:line="480" w:lineRule="auto"/>
        <w:jc w:val="both"/>
        <w:rPr>
          <w:rFonts w:ascii="Verdana" w:hAnsi="Verdana"/>
          <w:sz w:val="24"/>
          <w:szCs w:val="24"/>
        </w:rPr>
      </w:pPr>
      <w:r>
        <w:rPr>
          <w:rFonts w:ascii="Verdana" w:hAnsi="Verdana"/>
          <w:sz w:val="24"/>
          <w:szCs w:val="24"/>
        </w:rPr>
        <w:t xml:space="preserve">50.2 </w:t>
      </w:r>
      <w:r w:rsidR="000A750B">
        <w:rPr>
          <w:rFonts w:ascii="Verdana" w:hAnsi="Verdana"/>
          <w:sz w:val="24"/>
          <w:szCs w:val="24"/>
        </w:rPr>
        <w:t>T</w:t>
      </w:r>
      <w:r w:rsidR="00E23BF5" w:rsidRPr="00E23BF5">
        <w:rPr>
          <w:rFonts w:ascii="Verdana" w:hAnsi="Verdana"/>
          <w:sz w:val="24"/>
          <w:szCs w:val="24"/>
        </w:rPr>
        <w:t>he First Respondent</w:t>
      </w:r>
      <w:r w:rsidR="000A750B">
        <w:rPr>
          <w:rFonts w:ascii="Verdana" w:hAnsi="Verdana"/>
          <w:sz w:val="24"/>
          <w:szCs w:val="24"/>
        </w:rPr>
        <w:t xml:space="preserve">’s </w:t>
      </w:r>
      <w:r w:rsidR="000A750B" w:rsidRPr="00665718">
        <w:rPr>
          <w:rFonts w:ascii="Verdana" w:hAnsi="Verdana"/>
          <w:i/>
          <w:iCs/>
          <w:sz w:val="24"/>
          <w:szCs w:val="24"/>
        </w:rPr>
        <w:t>point</w:t>
      </w:r>
      <w:r w:rsidR="00665718" w:rsidRPr="00665718">
        <w:rPr>
          <w:rFonts w:ascii="Verdana" w:hAnsi="Verdana"/>
          <w:i/>
          <w:iCs/>
          <w:sz w:val="24"/>
          <w:szCs w:val="24"/>
        </w:rPr>
        <w:t>s</w:t>
      </w:r>
      <w:r w:rsidR="000A750B" w:rsidRPr="00665718">
        <w:rPr>
          <w:rFonts w:ascii="Verdana" w:hAnsi="Verdana"/>
          <w:i/>
          <w:iCs/>
          <w:sz w:val="24"/>
          <w:szCs w:val="24"/>
        </w:rPr>
        <w:t xml:space="preserve"> in </w:t>
      </w:r>
      <w:proofErr w:type="spellStart"/>
      <w:r w:rsidR="000A750B" w:rsidRPr="00665718">
        <w:rPr>
          <w:rFonts w:ascii="Verdana" w:hAnsi="Verdana"/>
          <w:i/>
          <w:iCs/>
          <w:sz w:val="24"/>
          <w:szCs w:val="24"/>
        </w:rPr>
        <w:t>limine</w:t>
      </w:r>
      <w:proofErr w:type="spellEnd"/>
      <w:r w:rsidR="000A750B">
        <w:rPr>
          <w:rFonts w:ascii="Verdana" w:hAnsi="Verdana"/>
          <w:sz w:val="24"/>
          <w:szCs w:val="24"/>
        </w:rPr>
        <w:t xml:space="preserve"> of non-joinder </w:t>
      </w:r>
      <w:r w:rsidR="00A95B30">
        <w:rPr>
          <w:rFonts w:ascii="Verdana" w:hAnsi="Verdana"/>
          <w:sz w:val="24"/>
          <w:szCs w:val="24"/>
        </w:rPr>
        <w:t>is upheld with costs on a party and party scale.</w:t>
      </w:r>
    </w:p>
    <w:p w14:paraId="6C7895A8" w14:textId="77777777" w:rsidR="00665718" w:rsidRPr="00E23BF5" w:rsidRDefault="00665718" w:rsidP="00E23BF5">
      <w:pPr>
        <w:tabs>
          <w:tab w:val="left" w:pos="709"/>
        </w:tabs>
        <w:spacing w:before="360" w:after="240" w:line="480" w:lineRule="auto"/>
        <w:jc w:val="both"/>
        <w:rPr>
          <w:rFonts w:ascii="Verdana" w:hAnsi="Verdana"/>
          <w:sz w:val="24"/>
          <w:szCs w:val="24"/>
        </w:rPr>
      </w:pPr>
    </w:p>
    <w:p w14:paraId="4162EB8E" w14:textId="3CC5E00E" w:rsidR="00B264F5" w:rsidRPr="00B264F5" w:rsidRDefault="00B264F5" w:rsidP="00B264F5">
      <w:pPr>
        <w:tabs>
          <w:tab w:val="left" w:pos="709"/>
        </w:tabs>
        <w:spacing w:before="360" w:after="240" w:line="480" w:lineRule="auto"/>
        <w:jc w:val="both"/>
        <w:rPr>
          <w:rFonts w:ascii="Verdana" w:hAnsi="Verdana"/>
          <w:sz w:val="24"/>
          <w:szCs w:val="24"/>
          <w:lang w:val="en-US"/>
        </w:rPr>
      </w:pPr>
      <w:r w:rsidRPr="00B264F5">
        <w:rPr>
          <w:rFonts w:ascii="Verdana" w:hAnsi="Verdana"/>
          <w:sz w:val="24"/>
          <w:szCs w:val="24"/>
          <w:lang w:val="en-US"/>
        </w:rPr>
        <w:tab/>
      </w:r>
      <w:r w:rsidRPr="00B264F5">
        <w:rPr>
          <w:rFonts w:ascii="Verdana" w:hAnsi="Verdana"/>
          <w:sz w:val="24"/>
          <w:szCs w:val="24"/>
          <w:lang w:val="en-US"/>
        </w:rPr>
        <w:tab/>
      </w:r>
      <w:r w:rsidRPr="00B264F5">
        <w:rPr>
          <w:rFonts w:ascii="Verdana" w:hAnsi="Verdana"/>
          <w:sz w:val="24"/>
          <w:szCs w:val="24"/>
          <w:lang w:val="en-US"/>
        </w:rPr>
        <w:tab/>
      </w:r>
      <w:r w:rsidRPr="00B264F5">
        <w:rPr>
          <w:rFonts w:ascii="Verdana" w:hAnsi="Verdana"/>
          <w:sz w:val="24"/>
          <w:szCs w:val="24"/>
          <w:lang w:val="en-US"/>
        </w:rPr>
        <w:tab/>
      </w:r>
      <w:r w:rsidRPr="00B264F5">
        <w:rPr>
          <w:rFonts w:ascii="Verdana" w:hAnsi="Verdana"/>
          <w:sz w:val="24"/>
          <w:szCs w:val="24"/>
          <w:lang w:val="en-US"/>
        </w:rPr>
        <w:tab/>
      </w:r>
      <w:r w:rsidRPr="00B264F5">
        <w:rPr>
          <w:rFonts w:ascii="Verdana" w:hAnsi="Verdana"/>
          <w:sz w:val="24"/>
          <w:szCs w:val="24"/>
          <w:lang w:val="en-US"/>
        </w:rPr>
        <w:tab/>
      </w:r>
      <w:r w:rsidRPr="00B264F5">
        <w:rPr>
          <w:rFonts w:ascii="Verdana" w:hAnsi="Verdana"/>
          <w:sz w:val="24"/>
          <w:szCs w:val="24"/>
          <w:lang w:val="en-US"/>
        </w:rPr>
        <w:tab/>
      </w:r>
      <w:r w:rsidR="004B24A7">
        <w:rPr>
          <w:rFonts w:ascii="Verdana" w:hAnsi="Verdana"/>
          <w:noProof/>
          <w:sz w:val="24"/>
          <w:szCs w:val="24"/>
          <w:u w:val="single"/>
          <w:lang w:val="en-US" w:eastAsia="en-US"/>
        </w:rPr>
        <w:t>[…]</w:t>
      </w:r>
      <w:r w:rsidRPr="00B264F5">
        <w:rPr>
          <w:rFonts w:ascii="Verdana" w:hAnsi="Verdana"/>
          <w:sz w:val="24"/>
          <w:szCs w:val="24"/>
          <w:lang w:val="en-US"/>
        </w:rPr>
        <w:t>_________</w:t>
      </w:r>
    </w:p>
    <w:p w14:paraId="0AF37DCE" w14:textId="32C69F12" w:rsidR="00B264F5" w:rsidRPr="00B264F5" w:rsidRDefault="00396172" w:rsidP="00B264F5">
      <w:pPr>
        <w:tabs>
          <w:tab w:val="left" w:pos="709"/>
        </w:tabs>
        <w:spacing w:before="360" w:after="240" w:line="480" w:lineRule="auto"/>
        <w:jc w:val="both"/>
        <w:rPr>
          <w:rFonts w:ascii="Verdana" w:hAnsi="Verdana"/>
          <w:sz w:val="24"/>
          <w:szCs w:val="24"/>
          <w:lang w:val="en-US"/>
        </w:rPr>
      </w:pPr>
      <w:r>
        <w:rPr>
          <w:rFonts w:ascii="Verdana" w:hAnsi="Verdana"/>
          <w:sz w:val="24"/>
          <w:szCs w:val="24"/>
          <w:lang w:val="en-US"/>
        </w:rPr>
        <w:t xml:space="preserve"> </w:t>
      </w:r>
      <w:r w:rsidR="00B264F5" w:rsidRPr="00B264F5">
        <w:rPr>
          <w:rFonts w:ascii="Verdana" w:hAnsi="Verdana"/>
          <w:sz w:val="24"/>
          <w:szCs w:val="24"/>
          <w:lang w:val="en-US"/>
        </w:rPr>
        <w:tab/>
      </w:r>
      <w:r w:rsidR="00B264F5" w:rsidRPr="00B264F5">
        <w:rPr>
          <w:rFonts w:ascii="Verdana" w:hAnsi="Verdana"/>
          <w:sz w:val="24"/>
          <w:szCs w:val="24"/>
          <w:lang w:val="en-US"/>
        </w:rPr>
        <w:tab/>
      </w:r>
      <w:r w:rsidR="00B264F5" w:rsidRPr="00B264F5">
        <w:rPr>
          <w:rFonts w:ascii="Verdana" w:hAnsi="Verdana"/>
          <w:sz w:val="24"/>
          <w:szCs w:val="24"/>
          <w:lang w:val="en-US"/>
        </w:rPr>
        <w:tab/>
      </w:r>
      <w:r w:rsidR="00B264F5" w:rsidRPr="00B264F5">
        <w:rPr>
          <w:rFonts w:ascii="Verdana" w:hAnsi="Verdana"/>
          <w:sz w:val="24"/>
          <w:szCs w:val="24"/>
          <w:lang w:val="en-US"/>
        </w:rPr>
        <w:tab/>
      </w:r>
      <w:r w:rsidR="00B264F5" w:rsidRPr="00B264F5">
        <w:rPr>
          <w:rFonts w:ascii="Verdana" w:hAnsi="Verdana"/>
          <w:sz w:val="24"/>
          <w:szCs w:val="24"/>
          <w:lang w:val="en-US"/>
        </w:rPr>
        <w:tab/>
      </w:r>
      <w:r w:rsidR="00B264F5" w:rsidRPr="00B264F5">
        <w:rPr>
          <w:rFonts w:ascii="Verdana" w:hAnsi="Verdana"/>
          <w:sz w:val="24"/>
          <w:szCs w:val="24"/>
          <w:lang w:val="en-US"/>
        </w:rPr>
        <w:tab/>
      </w:r>
      <w:r w:rsidR="00B264F5" w:rsidRPr="00B264F5">
        <w:rPr>
          <w:rFonts w:ascii="Verdana" w:hAnsi="Verdana"/>
          <w:sz w:val="24"/>
          <w:szCs w:val="24"/>
          <w:lang w:val="en-US"/>
        </w:rPr>
        <w:tab/>
        <w:t xml:space="preserve">C. COLLIS </w:t>
      </w:r>
    </w:p>
    <w:p w14:paraId="3A2E0BCC" w14:textId="77777777" w:rsidR="00B264F5" w:rsidRPr="00B264F5" w:rsidRDefault="00B264F5" w:rsidP="00B264F5">
      <w:pPr>
        <w:tabs>
          <w:tab w:val="left" w:pos="709"/>
        </w:tabs>
        <w:spacing w:before="360" w:after="240" w:line="480" w:lineRule="auto"/>
        <w:jc w:val="both"/>
        <w:rPr>
          <w:rFonts w:ascii="Verdana" w:hAnsi="Verdana"/>
          <w:sz w:val="24"/>
          <w:szCs w:val="24"/>
          <w:lang w:val="en-US"/>
        </w:rPr>
      </w:pPr>
      <w:r w:rsidRPr="00B264F5">
        <w:rPr>
          <w:rFonts w:ascii="Verdana" w:hAnsi="Verdana"/>
          <w:sz w:val="24"/>
          <w:szCs w:val="24"/>
          <w:lang w:val="en-US"/>
        </w:rPr>
        <w:tab/>
      </w:r>
      <w:r w:rsidRPr="00B264F5">
        <w:rPr>
          <w:rFonts w:ascii="Verdana" w:hAnsi="Verdana"/>
          <w:sz w:val="24"/>
          <w:szCs w:val="24"/>
          <w:lang w:val="en-US"/>
        </w:rPr>
        <w:tab/>
      </w:r>
      <w:r w:rsidRPr="00B264F5">
        <w:rPr>
          <w:rFonts w:ascii="Verdana" w:hAnsi="Verdana"/>
          <w:sz w:val="24"/>
          <w:szCs w:val="24"/>
          <w:lang w:val="en-US"/>
        </w:rPr>
        <w:tab/>
      </w:r>
      <w:r w:rsidRPr="00B264F5">
        <w:rPr>
          <w:rFonts w:ascii="Verdana" w:hAnsi="Verdana"/>
          <w:sz w:val="24"/>
          <w:szCs w:val="24"/>
          <w:lang w:val="en-US"/>
        </w:rPr>
        <w:tab/>
      </w:r>
      <w:r w:rsidRPr="00B264F5">
        <w:rPr>
          <w:rFonts w:ascii="Verdana" w:hAnsi="Verdana"/>
          <w:sz w:val="24"/>
          <w:szCs w:val="24"/>
          <w:lang w:val="en-US"/>
        </w:rPr>
        <w:tab/>
      </w:r>
      <w:r w:rsidRPr="00B264F5">
        <w:rPr>
          <w:rFonts w:ascii="Verdana" w:hAnsi="Verdana"/>
          <w:sz w:val="24"/>
          <w:szCs w:val="24"/>
          <w:lang w:val="en-US"/>
        </w:rPr>
        <w:tab/>
      </w:r>
      <w:r w:rsidRPr="00B264F5">
        <w:rPr>
          <w:rFonts w:ascii="Verdana" w:hAnsi="Verdana"/>
          <w:sz w:val="24"/>
          <w:szCs w:val="24"/>
          <w:lang w:val="en-US"/>
        </w:rPr>
        <w:tab/>
        <w:t>JUDGE OF THE HIGH COURT</w:t>
      </w:r>
    </w:p>
    <w:p w14:paraId="277889FB" w14:textId="13876149" w:rsidR="00E23BF5" w:rsidRPr="00E23BF5" w:rsidRDefault="00B264F5" w:rsidP="00B264F5">
      <w:pPr>
        <w:tabs>
          <w:tab w:val="left" w:pos="709"/>
        </w:tabs>
        <w:spacing w:before="360" w:after="240" w:line="480" w:lineRule="auto"/>
        <w:jc w:val="both"/>
        <w:rPr>
          <w:rFonts w:ascii="Verdana" w:hAnsi="Verdana"/>
          <w:sz w:val="24"/>
          <w:szCs w:val="24"/>
        </w:rPr>
      </w:pPr>
      <w:r w:rsidRPr="00B264F5">
        <w:rPr>
          <w:rFonts w:ascii="Verdana" w:hAnsi="Verdana"/>
          <w:sz w:val="24"/>
          <w:szCs w:val="24"/>
          <w:lang w:val="en-US"/>
        </w:rPr>
        <w:tab/>
      </w:r>
      <w:r w:rsidRPr="00B264F5">
        <w:rPr>
          <w:rFonts w:ascii="Verdana" w:hAnsi="Verdana"/>
          <w:sz w:val="24"/>
          <w:szCs w:val="24"/>
          <w:lang w:val="en-US"/>
        </w:rPr>
        <w:tab/>
      </w:r>
      <w:r w:rsidRPr="00B264F5">
        <w:rPr>
          <w:rFonts w:ascii="Verdana" w:hAnsi="Verdana"/>
          <w:sz w:val="24"/>
          <w:szCs w:val="24"/>
          <w:lang w:val="en-US"/>
        </w:rPr>
        <w:tab/>
      </w:r>
      <w:r w:rsidRPr="00B264F5">
        <w:rPr>
          <w:rFonts w:ascii="Verdana" w:hAnsi="Verdana"/>
          <w:sz w:val="24"/>
          <w:szCs w:val="24"/>
          <w:lang w:val="en-US"/>
        </w:rPr>
        <w:tab/>
      </w:r>
      <w:r w:rsidRPr="00B264F5">
        <w:rPr>
          <w:rFonts w:ascii="Verdana" w:hAnsi="Verdana"/>
          <w:sz w:val="24"/>
          <w:szCs w:val="24"/>
          <w:lang w:val="en-US"/>
        </w:rPr>
        <w:tab/>
      </w:r>
      <w:r w:rsidRPr="00B264F5">
        <w:rPr>
          <w:rFonts w:ascii="Verdana" w:hAnsi="Verdana"/>
          <w:sz w:val="24"/>
          <w:szCs w:val="24"/>
          <w:lang w:val="en-US"/>
        </w:rPr>
        <w:tab/>
      </w:r>
      <w:r w:rsidRPr="00B264F5">
        <w:rPr>
          <w:rFonts w:ascii="Verdana" w:hAnsi="Verdana"/>
          <w:sz w:val="24"/>
          <w:szCs w:val="24"/>
          <w:lang w:val="en-US"/>
        </w:rPr>
        <w:tab/>
        <w:t>GAUTENG DIVISION PRETORIA</w:t>
      </w:r>
    </w:p>
    <w:p w14:paraId="782D2B8F" w14:textId="788784FC" w:rsidR="00B264F5" w:rsidRPr="00665718" w:rsidRDefault="00B264F5" w:rsidP="00B264F5">
      <w:pPr>
        <w:tabs>
          <w:tab w:val="left" w:pos="709"/>
        </w:tabs>
        <w:spacing w:before="360" w:after="240" w:line="480" w:lineRule="auto"/>
        <w:jc w:val="both"/>
        <w:rPr>
          <w:rFonts w:ascii="Verdana" w:hAnsi="Verdana"/>
          <w:bCs/>
          <w:sz w:val="24"/>
          <w:szCs w:val="24"/>
        </w:rPr>
      </w:pPr>
      <w:r w:rsidRPr="00665718">
        <w:rPr>
          <w:rFonts w:ascii="Verdana" w:hAnsi="Verdana"/>
          <w:bCs/>
          <w:sz w:val="24"/>
          <w:szCs w:val="24"/>
        </w:rPr>
        <w:t>APPEAR</w:t>
      </w:r>
      <w:r w:rsidR="000A750B" w:rsidRPr="00665718">
        <w:rPr>
          <w:rFonts w:ascii="Verdana" w:hAnsi="Verdana"/>
          <w:bCs/>
          <w:sz w:val="24"/>
          <w:szCs w:val="24"/>
        </w:rPr>
        <w:t>A</w:t>
      </w:r>
      <w:r w:rsidRPr="00665718">
        <w:rPr>
          <w:rFonts w:ascii="Verdana" w:hAnsi="Verdana"/>
          <w:bCs/>
          <w:sz w:val="24"/>
          <w:szCs w:val="24"/>
        </w:rPr>
        <w:t>NCES</w:t>
      </w:r>
    </w:p>
    <w:p w14:paraId="77ED0D99" w14:textId="612FE2BE" w:rsidR="00B264F5" w:rsidRPr="00B264F5" w:rsidRDefault="00B264F5" w:rsidP="00B264F5">
      <w:pPr>
        <w:tabs>
          <w:tab w:val="left" w:pos="709"/>
        </w:tabs>
        <w:spacing w:before="360" w:after="240" w:line="480" w:lineRule="auto"/>
        <w:jc w:val="both"/>
        <w:rPr>
          <w:rFonts w:ascii="Verdana" w:hAnsi="Verdana"/>
          <w:sz w:val="24"/>
          <w:szCs w:val="24"/>
        </w:rPr>
      </w:pPr>
      <w:r w:rsidRPr="00B264F5">
        <w:rPr>
          <w:rFonts w:ascii="Verdana" w:hAnsi="Verdana"/>
          <w:sz w:val="24"/>
          <w:szCs w:val="24"/>
        </w:rPr>
        <w:lastRenderedPageBreak/>
        <w:t xml:space="preserve">Counsel for the </w:t>
      </w:r>
      <w:r w:rsidR="00A95B30">
        <w:rPr>
          <w:rFonts w:ascii="Verdana" w:hAnsi="Verdana"/>
          <w:sz w:val="24"/>
          <w:szCs w:val="24"/>
        </w:rPr>
        <w:t>Applicant</w:t>
      </w:r>
      <w:r w:rsidRPr="00B264F5">
        <w:rPr>
          <w:rFonts w:ascii="Verdana" w:hAnsi="Verdana"/>
          <w:sz w:val="24"/>
          <w:szCs w:val="24"/>
        </w:rPr>
        <w:t>:</w:t>
      </w:r>
      <w:r w:rsidRPr="00B264F5">
        <w:rPr>
          <w:rFonts w:ascii="Verdana" w:hAnsi="Verdana"/>
          <w:sz w:val="24"/>
          <w:szCs w:val="24"/>
        </w:rPr>
        <w:tab/>
        <w:t xml:space="preserve">Adv. </w:t>
      </w:r>
      <w:r>
        <w:rPr>
          <w:rFonts w:ascii="Verdana" w:hAnsi="Verdana"/>
          <w:sz w:val="24"/>
          <w:szCs w:val="24"/>
        </w:rPr>
        <w:t>C</w:t>
      </w:r>
      <w:r w:rsidR="00A95B30">
        <w:rPr>
          <w:rFonts w:ascii="Verdana" w:hAnsi="Verdana"/>
          <w:sz w:val="24"/>
          <w:szCs w:val="24"/>
        </w:rPr>
        <w:t>.</w:t>
      </w:r>
      <w:r>
        <w:rPr>
          <w:rFonts w:ascii="Verdana" w:hAnsi="Verdana"/>
          <w:sz w:val="24"/>
          <w:szCs w:val="24"/>
        </w:rPr>
        <w:t>D</w:t>
      </w:r>
      <w:r w:rsidR="00A95B30">
        <w:rPr>
          <w:rFonts w:ascii="Verdana" w:hAnsi="Verdana"/>
          <w:sz w:val="24"/>
          <w:szCs w:val="24"/>
        </w:rPr>
        <w:t>.</w:t>
      </w:r>
      <w:r>
        <w:rPr>
          <w:rFonts w:ascii="Verdana" w:hAnsi="Verdana"/>
          <w:sz w:val="24"/>
          <w:szCs w:val="24"/>
        </w:rPr>
        <w:t>A</w:t>
      </w:r>
      <w:r w:rsidR="00A95B30">
        <w:rPr>
          <w:rFonts w:ascii="Verdana" w:hAnsi="Verdana"/>
          <w:sz w:val="24"/>
          <w:szCs w:val="24"/>
        </w:rPr>
        <w:t xml:space="preserve"> </w:t>
      </w:r>
      <w:r>
        <w:rPr>
          <w:rFonts w:ascii="Verdana" w:hAnsi="Verdana"/>
          <w:sz w:val="24"/>
          <w:szCs w:val="24"/>
        </w:rPr>
        <w:t>Loxton SC</w:t>
      </w:r>
    </w:p>
    <w:p w14:paraId="5C2FA223" w14:textId="69D56A13" w:rsidR="00B264F5" w:rsidRPr="00B264F5" w:rsidRDefault="00B264F5" w:rsidP="00B264F5">
      <w:pPr>
        <w:tabs>
          <w:tab w:val="left" w:pos="709"/>
        </w:tabs>
        <w:spacing w:before="360" w:after="240" w:line="480" w:lineRule="auto"/>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Adv.</w:t>
      </w:r>
      <w:r w:rsidR="00A95B30">
        <w:rPr>
          <w:rFonts w:ascii="Verdana" w:hAnsi="Verdana"/>
          <w:sz w:val="24"/>
          <w:szCs w:val="24"/>
        </w:rPr>
        <w:t xml:space="preserve"> </w:t>
      </w:r>
      <w:r>
        <w:rPr>
          <w:rFonts w:ascii="Verdana" w:hAnsi="Verdana"/>
          <w:sz w:val="24"/>
          <w:szCs w:val="24"/>
        </w:rPr>
        <w:t xml:space="preserve">A Milovanovic-Bitter </w:t>
      </w:r>
    </w:p>
    <w:p w14:paraId="2A6C06C9" w14:textId="20FBC2E5" w:rsidR="00B264F5" w:rsidRPr="00B264F5" w:rsidRDefault="00B264F5" w:rsidP="00B264F5">
      <w:pPr>
        <w:tabs>
          <w:tab w:val="left" w:pos="709"/>
        </w:tabs>
        <w:spacing w:before="360" w:after="240" w:line="480" w:lineRule="auto"/>
        <w:jc w:val="both"/>
        <w:rPr>
          <w:rFonts w:ascii="Verdana" w:hAnsi="Verdana"/>
          <w:sz w:val="24"/>
          <w:szCs w:val="24"/>
        </w:rPr>
      </w:pPr>
      <w:r w:rsidRPr="00B264F5">
        <w:rPr>
          <w:rFonts w:ascii="Verdana" w:hAnsi="Verdana"/>
          <w:sz w:val="24"/>
          <w:szCs w:val="24"/>
        </w:rPr>
        <w:t>Instructed By:</w:t>
      </w:r>
      <w:r w:rsidRPr="00B264F5">
        <w:rPr>
          <w:rFonts w:ascii="Verdana" w:hAnsi="Verdana"/>
          <w:sz w:val="24"/>
          <w:szCs w:val="24"/>
        </w:rPr>
        <w:tab/>
      </w:r>
      <w:r w:rsidRPr="00B264F5">
        <w:rPr>
          <w:rFonts w:ascii="Verdana" w:hAnsi="Verdana"/>
          <w:sz w:val="24"/>
          <w:szCs w:val="24"/>
        </w:rPr>
        <w:tab/>
        <w:t xml:space="preserve">    </w:t>
      </w:r>
      <w:r w:rsidRPr="00B264F5">
        <w:rPr>
          <w:rFonts w:ascii="Verdana" w:hAnsi="Verdana"/>
          <w:sz w:val="24"/>
          <w:szCs w:val="24"/>
        </w:rPr>
        <w:tab/>
      </w:r>
      <w:r>
        <w:rPr>
          <w:rFonts w:ascii="Verdana" w:hAnsi="Verdana"/>
          <w:sz w:val="24"/>
          <w:szCs w:val="24"/>
        </w:rPr>
        <w:t>Cliff Dekker Hoffmeyer Attorneys</w:t>
      </w:r>
    </w:p>
    <w:p w14:paraId="0D4D2058" w14:textId="258E89A7" w:rsidR="00B264F5" w:rsidRPr="00B264F5" w:rsidRDefault="00B264F5" w:rsidP="00B264F5">
      <w:pPr>
        <w:tabs>
          <w:tab w:val="left" w:pos="709"/>
        </w:tabs>
        <w:spacing w:before="360" w:after="240" w:line="480" w:lineRule="auto"/>
        <w:jc w:val="both"/>
        <w:rPr>
          <w:rFonts w:ascii="Verdana" w:hAnsi="Verdana"/>
          <w:sz w:val="24"/>
          <w:szCs w:val="24"/>
        </w:rPr>
      </w:pPr>
      <w:r w:rsidRPr="00B264F5">
        <w:rPr>
          <w:rFonts w:ascii="Verdana" w:hAnsi="Verdana"/>
          <w:sz w:val="24"/>
          <w:szCs w:val="24"/>
        </w:rPr>
        <w:t xml:space="preserve">Counsel for the </w:t>
      </w:r>
      <w:r w:rsidR="00A95B30">
        <w:rPr>
          <w:rFonts w:ascii="Verdana" w:hAnsi="Verdana"/>
          <w:sz w:val="24"/>
          <w:szCs w:val="24"/>
        </w:rPr>
        <w:t>Responden</w:t>
      </w:r>
      <w:r w:rsidRPr="00B264F5">
        <w:rPr>
          <w:rFonts w:ascii="Verdana" w:hAnsi="Verdana"/>
          <w:sz w:val="24"/>
          <w:szCs w:val="24"/>
        </w:rPr>
        <w:t xml:space="preserve">t:   Adv. </w:t>
      </w:r>
      <w:r>
        <w:rPr>
          <w:rFonts w:ascii="Verdana" w:hAnsi="Verdana"/>
          <w:sz w:val="24"/>
          <w:szCs w:val="24"/>
        </w:rPr>
        <w:t xml:space="preserve">B. </w:t>
      </w:r>
      <w:proofErr w:type="spellStart"/>
      <w:r>
        <w:rPr>
          <w:rFonts w:ascii="Verdana" w:hAnsi="Verdana"/>
          <w:sz w:val="24"/>
          <w:szCs w:val="24"/>
        </w:rPr>
        <w:t>Lekokotla</w:t>
      </w:r>
      <w:proofErr w:type="spellEnd"/>
    </w:p>
    <w:p w14:paraId="0D4E7F20" w14:textId="476E1842" w:rsidR="00B264F5" w:rsidRPr="00B264F5" w:rsidRDefault="00B264F5" w:rsidP="00B264F5">
      <w:pPr>
        <w:tabs>
          <w:tab w:val="left" w:pos="709"/>
        </w:tabs>
        <w:spacing w:before="360" w:after="240" w:line="480" w:lineRule="auto"/>
        <w:jc w:val="both"/>
        <w:rPr>
          <w:rFonts w:ascii="Verdana" w:hAnsi="Verdana"/>
          <w:sz w:val="24"/>
          <w:szCs w:val="24"/>
        </w:rPr>
      </w:pPr>
      <w:r w:rsidRPr="00B264F5">
        <w:rPr>
          <w:rFonts w:ascii="Verdana" w:hAnsi="Verdana"/>
          <w:sz w:val="24"/>
          <w:szCs w:val="24"/>
        </w:rPr>
        <w:t>Instructed By:</w:t>
      </w:r>
      <w:r w:rsidRPr="00B264F5">
        <w:rPr>
          <w:rFonts w:ascii="Verdana" w:hAnsi="Verdana"/>
          <w:sz w:val="24"/>
          <w:szCs w:val="24"/>
        </w:rPr>
        <w:tab/>
      </w:r>
      <w:r>
        <w:rPr>
          <w:rFonts w:ascii="Verdana" w:hAnsi="Verdana"/>
          <w:sz w:val="24"/>
          <w:szCs w:val="24"/>
        </w:rPr>
        <w:tab/>
      </w:r>
      <w:r>
        <w:rPr>
          <w:rFonts w:ascii="Verdana" w:hAnsi="Verdana"/>
          <w:sz w:val="24"/>
          <w:szCs w:val="24"/>
        </w:rPr>
        <w:tab/>
        <w:t xml:space="preserve">MacRobert Attorneys Inc. </w:t>
      </w:r>
    </w:p>
    <w:p w14:paraId="176F9C42" w14:textId="7F29C688" w:rsidR="00B264F5" w:rsidRPr="00B264F5" w:rsidRDefault="00B264F5" w:rsidP="00B264F5">
      <w:pPr>
        <w:tabs>
          <w:tab w:val="left" w:pos="709"/>
        </w:tabs>
        <w:spacing w:before="360" w:after="240" w:line="480" w:lineRule="auto"/>
        <w:jc w:val="both"/>
        <w:rPr>
          <w:rFonts w:ascii="Verdana" w:hAnsi="Verdana"/>
          <w:sz w:val="24"/>
          <w:szCs w:val="24"/>
        </w:rPr>
      </w:pPr>
      <w:r w:rsidRPr="00B264F5">
        <w:rPr>
          <w:rFonts w:ascii="Verdana" w:hAnsi="Verdana"/>
          <w:sz w:val="24"/>
          <w:szCs w:val="24"/>
        </w:rPr>
        <w:t>Date of Hearing:</w:t>
      </w:r>
      <w:r w:rsidRPr="00B264F5">
        <w:rPr>
          <w:rFonts w:ascii="Verdana" w:hAnsi="Verdana"/>
          <w:sz w:val="24"/>
          <w:szCs w:val="24"/>
        </w:rPr>
        <w:tab/>
      </w:r>
      <w:r w:rsidRPr="00B264F5">
        <w:rPr>
          <w:rFonts w:ascii="Verdana" w:hAnsi="Verdana"/>
          <w:sz w:val="24"/>
          <w:szCs w:val="24"/>
        </w:rPr>
        <w:tab/>
      </w:r>
      <w:r w:rsidRPr="00B264F5">
        <w:rPr>
          <w:rFonts w:ascii="Verdana" w:hAnsi="Verdana"/>
          <w:sz w:val="24"/>
          <w:szCs w:val="24"/>
        </w:rPr>
        <w:tab/>
      </w:r>
      <w:r>
        <w:rPr>
          <w:rFonts w:ascii="Verdana" w:hAnsi="Verdana"/>
          <w:sz w:val="24"/>
          <w:szCs w:val="24"/>
        </w:rPr>
        <w:t>17 April 2024</w:t>
      </w:r>
    </w:p>
    <w:p w14:paraId="2FCA5B35" w14:textId="7AA70FB3" w:rsidR="00B264F5" w:rsidRPr="00B264F5" w:rsidRDefault="00ED7D15" w:rsidP="00B264F5">
      <w:pPr>
        <w:tabs>
          <w:tab w:val="left" w:pos="709"/>
        </w:tabs>
        <w:spacing w:before="360" w:after="240" w:line="480" w:lineRule="auto"/>
        <w:jc w:val="both"/>
        <w:rPr>
          <w:rFonts w:ascii="Verdana" w:hAnsi="Verdana"/>
          <w:sz w:val="24"/>
          <w:szCs w:val="24"/>
        </w:rPr>
      </w:pPr>
      <w:r>
        <w:rPr>
          <w:rFonts w:ascii="Verdana" w:hAnsi="Verdana"/>
          <w:sz w:val="24"/>
          <w:szCs w:val="24"/>
        </w:rPr>
        <w:t xml:space="preserve">Date of Judgment: </w:t>
      </w:r>
      <w:r>
        <w:rPr>
          <w:rFonts w:ascii="Verdana" w:hAnsi="Verdana"/>
          <w:sz w:val="24"/>
          <w:szCs w:val="24"/>
        </w:rPr>
        <w:tab/>
      </w:r>
      <w:r>
        <w:rPr>
          <w:rFonts w:ascii="Verdana" w:hAnsi="Verdana"/>
          <w:sz w:val="24"/>
          <w:szCs w:val="24"/>
        </w:rPr>
        <w:tab/>
      </w:r>
      <w:r w:rsidR="00A95B30">
        <w:rPr>
          <w:rFonts w:ascii="Verdana" w:hAnsi="Verdana"/>
          <w:sz w:val="24"/>
          <w:szCs w:val="24"/>
        </w:rPr>
        <w:t>0</w:t>
      </w:r>
      <w:r w:rsidR="00665718">
        <w:rPr>
          <w:rFonts w:ascii="Verdana" w:hAnsi="Verdana"/>
          <w:sz w:val="24"/>
          <w:szCs w:val="24"/>
        </w:rPr>
        <w:t>8</w:t>
      </w:r>
      <w:r w:rsidR="000A750B">
        <w:rPr>
          <w:rFonts w:ascii="Verdana" w:hAnsi="Verdana"/>
          <w:sz w:val="24"/>
          <w:szCs w:val="24"/>
        </w:rPr>
        <w:t xml:space="preserve"> Ju</w:t>
      </w:r>
      <w:r w:rsidR="00A95B30">
        <w:rPr>
          <w:rFonts w:ascii="Verdana" w:hAnsi="Verdana"/>
          <w:sz w:val="24"/>
          <w:szCs w:val="24"/>
        </w:rPr>
        <w:t>ly</w:t>
      </w:r>
      <w:r w:rsidR="00B264F5" w:rsidRPr="00B264F5">
        <w:rPr>
          <w:rFonts w:ascii="Verdana" w:hAnsi="Verdana"/>
          <w:sz w:val="24"/>
          <w:szCs w:val="24"/>
        </w:rPr>
        <w:t xml:space="preserve"> 2024</w:t>
      </w:r>
      <w:r w:rsidR="00B264F5" w:rsidRPr="00B264F5">
        <w:rPr>
          <w:rFonts w:ascii="Verdana" w:hAnsi="Verdana"/>
          <w:sz w:val="24"/>
          <w:szCs w:val="24"/>
        </w:rPr>
        <w:tab/>
      </w:r>
      <w:r w:rsidR="00B264F5" w:rsidRPr="00B264F5">
        <w:rPr>
          <w:rFonts w:ascii="Verdana" w:hAnsi="Verdana"/>
          <w:sz w:val="24"/>
          <w:szCs w:val="24"/>
        </w:rPr>
        <w:tab/>
      </w:r>
      <w:r w:rsidR="00B264F5" w:rsidRPr="00B264F5">
        <w:rPr>
          <w:rFonts w:ascii="Verdana" w:hAnsi="Verdana"/>
          <w:sz w:val="24"/>
          <w:szCs w:val="24"/>
        </w:rPr>
        <w:tab/>
      </w:r>
      <w:r w:rsidR="00B264F5" w:rsidRPr="00B264F5">
        <w:rPr>
          <w:rFonts w:ascii="Verdana" w:hAnsi="Verdana"/>
          <w:sz w:val="24"/>
          <w:szCs w:val="24"/>
        </w:rPr>
        <w:tab/>
      </w:r>
      <w:r w:rsidR="00B264F5" w:rsidRPr="00B264F5">
        <w:rPr>
          <w:rFonts w:ascii="Verdana" w:hAnsi="Verdana"/>
          <w:sz w:val="24"/>
          <w:szCs w:val="24"/>
        </w:rPr>
        <w:tab/>
      </w:r>
      <w:r w:rsidR="00B264F5" w:rsidRPr="00B264F5">
        <w:rPr>
          <w:rFonts w:ascii="Verdana" w:hAnsi="Verdana"/>
          <w:sz w:val="24"/>
          <w:szCs w:val="24"/>
        </w:rPr>
        <w:tab/>
      </w:r>
      <w:r w:rsidR="00B264F5" w:rsidRPr="00B264F5">
        <w:rPr>
          <w:rFonts w:ascii="Verdana" w:hAnsi="Verdana"/>
          <w:sz w:val="24"/>
          <w:szCs w:val="24"/>
        </w:rPr>
        <w:tab/>
      </w:r>
      <w:r w:rsidR="00B264F5" w:rsidRPr="00B264F5">
        <w:rPr>
          <w:rFonts w:ascii="Verdana" w:hAnsi="Verdana"/>
          <w:sz w:val="24"/>
          <w:szCs w:val="24"/>
        </w:rPr>
        <w:tab/>
      </w:r>
    </w:p>
    <w:p w14:paraId="0119C1D2" w14:textId="77777777" w:rsidR="00B264F5" w:rsidRPr="00B264F5" w:rsidRDefault="00B264F5" w:rsidP="00B264F5">
      <w:pPr>
        <w:tabs>
          <w:tab w:val="left" w:pos="709"/>
        </w:tabs>
        <w:spacing w:before="360" w:after="240" w:line="480" w:lineRule="auto"/>
        <w:jc w:val="both"/>
        <w:rPr>
          <w:rFonts w:ascii="Verdana" w:hAnsi="Verdana"/>
          <w:sz w:val="24"/>
          <w:szCs w:val="24"/>
        </w:rPr>
      </w:pPr>
    </w:p>
    <w:p w14:paraId="71744ABB" w14:textId="1563D82E" w:rsidR="00E23BF5" w:rsidRPr="00E23BF5" w:rsidRDefault="00E23BF5" w:rsidP="00E215F5">
      <w:pPr>
        <w:tabs>
          <w:tab w:val="left" w:pos="709"/>
        </w:tabs>
        <w:spacing w:before="360" w:after="240" w:line="480" w:lineRule="auto"/>
        <w:jc w:val="both"/>
        <w:rPr>
          <w:rFonts w:ascii="Verdana" w:hAnsi="Verdana"/>
          <w:sz w:val="24"/>
          <w:szCs w:val="24"/>
        </w:rPr>
      </w:pPr>
    </w:p>
    <w:sectPr w:rsidR="00E23BF5" w:rsidRPr="00E23BF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AC7040" w14:textId="77777777" w:rsidR="005B0954" w:rsidRDefault="005B0954" w:rsidP="00E2707B">
      <w:pPr>
        <w:spacing w:line="240" w:lineRule="auto"/>
      </w:pPr>
      <w:r>
        <w:separator/>
      </w:r>
    </w:p>
  </w:endnote>
  <w:endnote w:type="continuationSeparator" w:id="0">
    <w:p w14:paraId="4948611A" w14:textId="77777777" w:rsidR="005B0954" w:rsidRDefault="005B0954" w:rsidP="00E270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B52F6" w14:textId="77777777" w:rsidR="00E06E91" w:rsidRDefault="00E06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4AB83" w14:textId="77777777" w:rsidR="00E06E91" w:rsidRDefault="00E06E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00C24" w14:textId="77777777" w:rsidR="00E06E91" w:rsidRDefault="00E06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832080" w14:textId="77777777" w:rsidR="005B0954" w:rsidRDefault="005B0954" w:rsidP="00E2707B">
      <w:pPr>
        <w:spacing w:line="240" w:lineRule="auto"/>
      </w:pPr>
      <w:r>
        <w:separator/>
      </w:r>
    </w:p>
  </w:footnote>
  <w:footnote w:type="continuationSeparator" w:id="0">
    <w:p w14:paraId="103C946D" w14:textId="77777777" w:rsidR="005B0954" w:rsidRDefault="005B0954" w:rsidP="00E2707B">
      <w:pPr>
        <w:spacing w:line="240" w:lineRule="auto"/>
      </w:pPr>
      <w:r>
        <w:continuationSeparator/>
      </w:r>
    </w:p>
  </w:footnote>
  <w:footnote w:id="1">
    <w:p w14:paraId="5B676500" w14:textId="028B190F" w:rsidR="00E06E91" w:rsidRPr="000A257E" w:rsidRDefault="00E06E91" w:rsidP="009302B5">
      <w:pPr>
        <w:pStyle w:val="FootnoteText"/>
        <w:rPr>
          <w:rFonts w:ascii="Verdana" w:hAnsi="Verdana"/>
          <w:sz w:val="22"/>
          <w:szCs w:val="22"/>
        </w:rPr>
      </w:pPr>
      <w:r>
        <w:rPr>
          <w:rStyle w:val="FootnoteReference"/>
        </w:rPr>
        <w:footnoteRef/>
      </w:r>
      <w:r>
        <w:t xml:space="preserve"> </w:t>
      </w:r>
      <w:r w:rsidRPr="000A257E">
        <w:rPr>
          <w:rFonts w:ascii="Verdana" w:hAnsi="Verdana"/>
          <w:sz w:val="22"/>
          <w:szCs w:val="22"/>
        </w:rPr>
        <w:t>About which we say more below</w:t>
      </w:r>
    </w:p>
  </w:footnote>
  <w:footnote w:id="2">
    <w:p w14:paraId="2ECEECE0" w14:textId="7E5DD0DD" w:rsidR="00E06E91" w:rsidRPr="000A257E" w:rsidRDefault="00E06E91">
      <w:pPr>
        <w:pStyle w:val="FootnoteText"/>
        <w:rPr>
          <w:rFonts w:ascii="Verdana" w:hAnsi="Verdana"/>
          <w:sz w:val="22"/>
          <w:lang w:val="en-US"/>
        </w:rPr>
      </w:pPr>
      <w:r>
        <w:rPr>
          <w:rStyle w:val="FootnoteReference"/>
        </w:rPr>
        <w:footnoteRef/>
      </w:r>
      <w:r>
        <w:t xml:space="preserve"> </w:t>
      </w:r>
      <w:r w:rsidRPr="000A257E">
        <w:rPr>
          <w:rFonts w:ascii="Verdana" w:hAnsi="Verdana"/>
          <w:sz w:val="22"/>
        </w:rPr>
        <w:t>CL 02-28, para 60</w:t>
      </w:r>
    </w:p>
  </w:footnote>
  <w:footnote w:id="3">
    <w:p w14:paraId="19D6D331" w14:textId="77777777" w:rsidR="00D30AA9" w:rsidRPr="00F9574F" w:rsidRDefault="00D30AA9" w:rsidP="00D30AA9">
      <w:pPr>
        <w:pStyle w:val="FootnoteText"/>
        <w:rPr>
          <w:rFonts w:ascii="Verdana" w:hAnsi="Verdana"/>
          <w:sz w:val="22"/>
          <w:szCs w:val="22"/>
          <w:lang w:val="en-US"/>
        </w:rPr>
      </w:pPr>
      <w:r w:rsidRPr="00F9574F">
        <w:rPr>
          <w:rStyle w:val="FootnoteReference"/>
          <w:rFonts w:ascii="Verdana" w:hAnsi="Verdana"/>
          <w:sz w:val="22"/>
          <w:szCs w:val="22"/>
        </w:rPr>
        <w:footnoteRef/>
      </w:r>
      <w:r w:rsidRPr="00F9574F">
        <w:rPr>
          <w:rFonts w:ascii="Verdana" w:hAnsi="Verdana"/>
          <w:sz w:val="22"/>
          <w:szCs w:val="22"/>
        </w:rPr>
        <w:t xml:space="preserve"> CL 02-136 para 62 (AA)</w:t>
      </w:r>
    </w:p>
  </w:footnote>
  <w:footnote w:id="4">
    <w:p w14:paraId="6170C2C2" w14:textId="77777777" w:rsidR="00D30AA9" w:rsidRPr="00F9574F" w:rsidRDefault="00D30AA9" w:rsidP="00D30AA9">
      <w:pPr>
        <w:pStyle w:val="FootnoteText"/>
        <w:rPr>
          <w:rFonts w:ascii="Verdana" w:hAnsi="Verdana"/>
          <w:sz w:val="22"/>
          <w:szCs w:val="22"/>
          <w:lang w:val="en-US"/>
        </w:rPr>
      </w:pPr>
      <w:r w:rsidRPr="00F9574F">
        <w:rPr>
          <w:rStyle w:val="FootnoteReference"/>
          <w:rFonts w:ascii="Verdana" w:hAnsi="Verdana"/>
          <w:sz w:val="22"/>
          <w:szCs w:val="22"/>
        </w:rPr>
        <w:footnoteRef/>
      </w:r>
      <w:r w:rsidRPr="00F9574F">
        <w:rPr>
          <w:rFonts w:ascii="Verdana" w:hAnsi="Verdana"/>
          <w:sz w:val="22"/>
          <w:szCs w:val="22"/>
        </w:rPr>
        <w:t xml:space="preserve"> CL 02-137 para 66 (AA)</w:t>
      </w:r>
    </w:p>
  </w:footnote>
  <w:footnote w:id="5">
    <w:p w14:paraId="3DEC8303" w14:textId="3A494168" w:rsidR="00D30AA9" w:rsidRPr="000A257E" w:rsidRDefault="00D30AA9" w:rsidP="00D30AA9">
      <w:pPr>
        <w:pStyle w:val="FootnoteText"/>
        <w:rPr>
          <w:rFonts w:ascii="Verdana" w:hAnsi="Verdana"/>
          <w:sz w:val="22"/>
        </w:rPr>
      </w:pPr>
      <w:r w:rsidRPr="00F9574F">
        <w:rPr>
          <w:rStyle w:val="FootnoteReference"/>
          <w:rFonts w:ascii="Verdana" w:hAnsi="Verdana"/>
          <w:sz w:val="22"/>
          <w:szCs w:val="22"/>
        </w:rPr>
        <w:footnoteRef/>
      </w:r>
      <w:r w:rsidR="00F9574F">
        <w:rPr>
          <w:rFonts w:ascii="Verdana" w:hAnsi="Verdana"/>
          <w:sz w:val="22"/>
          <w:szCs w:val="22"/>
        </w:rPr>
        <w:t xml:space="preserve"> </w:t>
      </w:r>
      <w:r w:rsidRPr="00F9574F">
        <w:rPr>
          <w:rFonts w:ascii="Verdana" w:hAnsi="Verdana"/>
          <w:sz w:val="22"/>
          <w:szCs w:val="22"/>
        </w:rPr>
        <w:t>CL 02-138 para 68</w:t>
      </w:r>
    </w:p>
  </w:footnote>
  <w:footnote w:id="6">
    <w:p w14:paraId="356AF191" w14:textId="4B5E8854" w:rsidR="00D30AA9" w:rsidRPr="00F9574F" w:rsidRDefault="00D30AA9" w:rsidP="00D30AA9">
      <w:pPr>
        <w:pStyle w:val="FootnoteText"/>
        <w:jc w:val="both"/>
        <w:rPr>
          <w:rFonts w:ascii="Verdana" w:hAnsi="Verdana"/>
          <w:sz w:val="22"/>
          <w:szCs w:val="22"/>
          <w:lang w:val="en-US"/>
        </w:rPr>
      </w:pPr>
      <w:r w:rsidRPr="00F9574F">
        <w:rPr>
          <w:rStyle w:val="FootnoteReference"/>
          <w:rFonts w:ascii="Verdana" w:hAnsi="Verdana"/>
          <w:sz w:val="22"/>
          <w:szCs w:val="22"/>
        </w:rPr>
        <w:footnoteRef/>
      </w:r>
      <w:r w:rsidRPr="00F9574F">
        <w:rPr>
          <w:rFonts w:ascii="Verdana" w:hAnsi="Verdana"/>
          <w:sz w:val="22"/>
          <w:szCs w:val="22"/>
        </w:rPr>
        <w:t xml:space="preserve"> CL 02 – 138 para 69</w:t>
      </w:r>
    </w:p>
  </w:footnote>
  <w:footnote w:id="7">
    <w:p w14:paraId="62C21B98" w14:textId="77777777" w:rsidR="00D30AA9" w:rsidRPr="000A257E" w:rsidRDefault="00D30AA9" w:rsidP="00D30AA9">
      <w:pPr>
        <w:pStyle w:val="FootnoteText"/>
        <w:jc w:val="both"/>
        <w:rPr>
          <w:rFonts w:ascii="Verdana" w:hAnsi="Verdana"/>
          <w:sz w:val="22"/>
          <w:lang w:val="en-US"/>
        </w:rPr>
      </w:pPr>
      <w:r w:rsidRPr="00F9574F">
        <w:rPr>
          <w:rStyle w:val="FootnoteReference"/>
          <w:rFonts w:ascii="Verdana" w:hAnsi="Verdana"/>
          <w:sz w:val="22"/>
          <w:szCs w:val="22"/>
        </w:rPr>
        <w:footnoteRef/>
      </w:r>
      <w:r w:rsidRPr="00F9574F">
        <w:rPr>
          <w:rFonts w:ascii="Verdana" w:hAnsi="Verdana"/>
          <w:sz w:val="22"/>
          <w:szCs w:val="22"/>
        </w:rPr>
        <w:t xml:space="preserve"> CL 01 – 23 para 27 (FA, which is not denied, nor can it be gainsaid)</w:t>
      </w:r>
    </w:p>
  </w:footnote>
  <w:footnote w:id="8">
    <w:p w14:paraId="4BA980D7" w14:textId="77777777" w:rsidR="00D30AA9" w:rsidRPr="00F9574F" w:rsidRDefault="00D30AA9" w:rsidP="00D30AA9">
      <w:pPr>
        <w:pStyle w:val="FootnoteText"/>
        <w:jc w:val="both"/>
        <w:rPr>
          <w:rFonts w:ascii="Verdana" w:hAnsi="Verdana"/>
          <w:sz w:val="22"/>
          <w:szCs w:val="22"/>
          <w:lang w:val="fr-FR"/>
        </w:rPr>
      </w:pPr>
      <w:r w:rsidRPr="00F9574F">
        <w:rPr>
          <w:rStyle w:val="FootnoteReference"/>
          <w:rFonts w:ascii="Verdana" w:hAnsi="Verdana"/>
          <w:sz w:val="22"/>
          <w:szCs w:val="22"/>
        </w:rPr>
        <w:footnoteRef/>
      </w:r>
      <w:r w:rsidRPr="00F9574F">
        <w:rPr>
          <w:rFonts w:ascii="Verdana" w:hAnsi="Verdana"/>
          <w:sz w:val="22"/>
          <w:szCs w:val="22"/>
        </w:rPr>
        <w:t xml:space="preserve"> </w:t>
      </w:r>
      <w:r w:rsidRPr="00F9574F">
        <w:rPr>
          <w:rFonts w:ascii="Verdana" w:hAnsi="Verdana"/>
          <w:sz w:val="22"/>
          <w:szCs w:val="22"/>
          <w:lang w:val="fr-FR"/>
        </w:rPr>
        <w:t>CL 02-25, para 52</w:t>
      </w:r>
    </w:p>
  </w:footnote>
  <w:footnote w:id="9">
    <w:p w14:paraId="40C0A427" w14:textId="77777777" w:rsidR="00D30AA9" w:rsidRPr="00F9574F" w:rsidRDefault="00D30AA9" w:rsidP="00D30AA9">
      <w:pPr>
        <w:pStyle w:val="FootnoteText"/>
        <w:rPr>
          <w:rFonts w:ascii="Verdana" w:hAnsi="Verdana"/>
          <w:sz w:val="22"/>
          <w:szCs w:val="22"/>
          <w:lang w:val="en-US"/>
        </w:rPr>
      </w:pPr>
      <w:r w:rsidRPr="00F9574F">
        <w:rPr>
          <w:rStyle w:val="FootnoteReference"/>
          <w:rFonts w:ascii="Verdana" w:hAnsi="Verdana"/>
          <w:sz w:val="22"/>
          <w:szCs w:val="22"/>
        </w:rPr>
        <w:footnoteRef/>
      </w:r>
      <w:r w:rsidRPr="00F9574F">
        <w:rPr>
          <w:rFonts w:ascii="Verdana" w:hAnsi="Verdana"/>
          <w:sz w:val="22"/>
          <w:szCs w:val="22"/>
        </w:rPr>
        <w:t xml:space="preserve"> CL 02-24 para 51</w:t>
      </w:r>
    </w:p>
  </w:footnote>
  <w:footnote w:id="10">
    <w:p w14:paraId="39664329" w14:textId="18A13E06" w:rsidR="00D30AA9" w:rsidRPr="000A257E" w:rsidRDefault="00D30AA9" w:rsidP="00D30AA9">
      <w:pPr>
        <w:pStyle w:val="FootnoteText"/>
        <w:rPr>
          <w:rFonts w:ascii="Verdana" w:hAnsi="Verdana"/>
          <w:sz w:val="22"/>
          <w:lang w:val="en-US"/>
        </w:rPr>
      </w:pPr>
      <w:r w:rsidRPr="00F9574F">
        <w:rPr>
          <w:rStyle w:val="FootnoteReference"/>
          <w:rFonts w:ascii="Verdana" w:hAnsi="Verdana"/>
          <w:sz w:val="22"/>
          <w:szCs w:val="22"/>
        </w:rPr>
        <w:footnoteRef/>
      </w:r>
      <w:r w:rsidRPr="00F9574F">
        <w:rPr>
          <w:rFonts w:ascii="Verdana" w:hAnsi="Verdana"/>
          <w:sz w:val="22"/>
          <w:szCs w:val="22"/>
        </w:rPr>
        <w:t>CL 02-26 para 54</w:t>
      </w:r>
    </w:p>
  </w:footnote>
  <w:footnote w:id="11">
    <w:p w14:paraId="232B5151" w14:textId="77777777" w:rsidR="00D30AA9" w:rsidRPr="000A257E" w:rsidRDefault="00D30AA9" w:rsidP="00D30AA9">
      <w:pPr>
        <w:pStyle w:val="FootnoteText"/>
        <w:rPr>
          <w:rFonts w:ascii="Verdana" w:hAnsi="Verdana"/>
          <w:sz w:val="22"/>
        </w:rPr>
      </w:pPr>
      <w:r w:rsidRPr="000A257E">
        <w:rPr>
          <w:rStyle w:val="FootnoteReference"/>
          <w:rFonts w:ascii="Verdana" w:hAnsi="Verdana"/>
          <w:sz w:val="22"/>
        </w:rPr>
        <w:footnoteRef/>
      </w:r>
      <w:r w:rsidRPr="000A257E">
        <w:rPr>
          <w:rFonts w:ascii="Verdana" w:hAnsi="Verdana"/>
          <w:sz w:val="22"/>
        </w:rPr>
        <w:t xml:space="preserve"> CL 02-26 para 55</w:t>
      </w:r>
    </w:p>
  </w:footnote>
  <w:footnote w:id="12">
    <w:p w14:paraId="4FDB4699" w14:textId="4330433B" w:rsidR="00D30AA9" w:rsidRPr="000A257E" w:rsidRDefault="00D30AA9" w:rsidP="00D30AA9">
      <w:pPr>
        <w:pStyle w:val="FootnoteText"/>
        <w:rPr>
          <w:rFonts w:ascii="Verdana" w:hAnsi="Verdana"/>
          <w:sz w:val="22"/>
          <w:lang w:val="en-US"/>
        </w:rPr>
      </w:pPr>
      <w:r>
        <w:rPr>
          <w:rStyle w:val="FootnoteReference"/>
        </w:rPr>
        <w:footnoteRef/>
      </w:r>
      <w:r w:rsidR="00F9574F">
        <w:t xml:space="preserve"> </w:t>
      </w:r>
      <w:r>
        <w:t xml:space="preserve"> </w:t>
      </w:r>
      <w:r w:rsidRPr="000A257E">
        <w:rPr>
          <w:rFonts w:ascii="Verdana" w:hAnsi="Verdana"/>
          <w:sz w:val="22"/>
        </w:rPr>
        <w:t>CL 02-27 paras 56 and 57</w:t>
      </w:r>
    </w:p>
  </w:footnote>
  <w:footnote w:id="13">
    <w:p w14:paraId="2A3041F0" w14:textId="77777777" w:rsidR="00D30AA9" w:rsidRPr="000A257E" w:rsidRDefault="00D30AA9" w:rsidP="00D30AA9">
      <w:pPr>
        <w:pStyle w:val="FootnoteText"/>
        <w:rPr>
          <w:rFonts w:ascii="Verdana" w:hAnsi="Verdana"/>
          <w:sz w:val="22"/>
        </w:rPr>
      </w:pPr>
      <w:r w:rsidRPr="000A257E">
        <w:rPr>
          <w:rStyle w:val="FootnoteReference"/>
          <w:rFonts w:ascii="Verdana" w:hAnsi="Verdana"/>
          <w:sz w:val="22"/>
        </w:rPr>
        <w:footnoteRef/>
      </w:r>
      <w:r w:rsidRPr="000A257E">
        <w:rPr>
          <w:rFonts w:ascii="Verdana" w:hAnsi="Verdana"/>
          <w:sz w:val="22"/>
        </w:rPr>
        <w:t xml:space="preserve"> CL 02-27 para 60</w:t>
      </w:r>
    </w:p>
  </w:footnote>
  <w:footnote w:id="14">
    <w:p w14:paraId="014A0DAA" w14:textId="77777777" w:rsidR="00665718" w:rsidRDefault="00FC28F6" w:rsidP="00FC28F6">
      <w:pPr>
        <w:pStyle w:val="FootnoteText"/>
        <w:rPr>
          <w:rFonts w:ascii="Verdana" w:hAnsi="Verdana"/>
          <w:sz w:val="22"/>
          <w:szCs w:val="22"/>
        </w:rPr>
      </w:pPr>
      <w:r w:rsidRPr="00665718">
        <w:rPr>
          <w:rStyle w:val="FootnoteReference"/>
          <w:rFonts w:ascii="Verdana" w:hAnsi="Verdana"/>
          <w:sz w:val="22"/>
          <w:szCs w:val="22"/>
        </w:rPr>
        <w:footnoteRef/>
      </w:r>
      <w:r w:rsidRPr="00665718">
        <w:rPr>
          <w:rFonts w:ascii="Verdana" w:hAnsi="Verdana"/>
          <w:sz w:val="22"/>
          <w:szCs w:val="22"/>
        </w:rPr>
        <w:t xml:space="preserve"> SARB’s AA, para 12, CL Ref 02 - 117; Applicant’s RA, para 6.3, CL Ref 02 – </w:t>
      </w:r>
    </w:p>
    <w:p w14:paraId="7758AF11" w14:textId="3806029E" w:rsidR="00FC28F6" w:rsidRPr="00665718" w:rsidRDefault="00665718" w:rsidP="00FC28F6">
      <w:pPr>
        <w:pStyle w:val="FootnoteText"/>
        <w:rPr>
          <w:rFonts w:ascii="Verdana" w:hAnsi="Verdana"/>
          <w:sz w:val="22"/>
          <w:szCs w:val="22"/>
        </w:rPr>
      </w:pPr>
      <w:r>
        <w:rPr>
          <w:rFonts w:ascii="Verdana" w:hAnsi="Verdana"/>
          <w:sz w:val="22"/>
          <w:szCs w:val="22"/>
        </w:rPr>
        <w:t xml:space="preserve">   </w:t>
      </w:r>
      <w:r w:rsidR="00FC28F6" w:rsidRPr="00665718">
        <w:rPr>
          <w:rFonts w:ascii="Verdana" w:hAnsi="Verdana"/>
          <w:sz w:val="22"/>
          <w:szCs w:val="22"/>
        </w:rPr>
        <w:t>273.</w:t>
      </w:r>
    </w:p>
  </w:footnote>
  <w:footnote w:id="15">
    <w:p w14:paraId="4CBEFC88" w14:textId="77777777" w:rsidR="00665718" w:rsidRDefault="00FC28F6" w:rsidP="00FC28F6">
      <w:pPr>
        <w:pStyle w:val="FootnoteText"/>
        <w:rPr>
          <w:rFonts w:ascii="Verdana" w:hAnsi="Verdana"/>
          <w:sz w:val="22"/>
          <w:szCs w:val="22"/>
        </w:rPr>
      </w:pPr>
      <w:r w:rsidRPr="00665718">
        <w:rPr>
          <w:rStyle w:val="FootnoteReference"/>
          <w:rFonts w:ascii="Verdana" w:hAnsi="Verdana"/>
          <w:sz w:val="22"/>
          <w:szCs w:val="22"/>
        </w:rPr>
        <w:footnoteRef/>
      </w:r>
      <w:r w:rsidRPr="00665718">
        <w:rPr>
          <w:rFonts w:ascii="Verdana" w:hAnsi="Verdana"/>
          <w:sz w:val="22"/>
          <w:szCs w:val="22"/>
        </w:rPr>
        <w:t xml:space="preserve"> SARB’s AA para 12.2, CL ref 002 - 117; Applicant’s RA, para 18, CL Ref 02 –</w:t>
      </w:r>
    </w:p>
    <w:p w14:paraId="2041272C" w14:textId="68348C7E" w:rsidR="00FC28F6" w:rsidRPr="008D7CF5" w:rsidRDefault="00665718" w:rsidP="00FC28F6">
      <w:pPr>
        <w:pStyle w:val="FootnoteText"/>
      </w:pPr>
      <w:r>
        <w:rPr>
          <w:rFonts w:ascii="Verdana" w:hAnsi="Verdana"/>
          <w:sz w:val="22"/>
          <w:szCs w:val="22"/>
        </w:rPr>
        <w:t xml:space="preserve">  </w:t>
      </w:r>
      <w:r w:rsidR="00FC28F6" w:rsidRPr="00665718">
        <w:rPr>
          <w:rFonts w:ascii="Verdana" w:hAnsi="Verdana"/>
          <w:sz w:val="22"/>
          <w:szCs w:val="22"/>
        </w:rPr>
        <w:t xml:space="preserve"> 278.</w:t>
      </w:r>
    </w:p>
  </w:footnote>
  <w:footnote w:id="16">
    <w:p w14:paraId="7E889088" w14:textId="4CD18093" w:rsidR="00FC28F6" w:rsidRPr="00665718" w:rsidRDefault="00FC28F6" w:rsidP="00FC28F6">
      <w:pPr>
        <w:pStyle w:val="FootnoteText"/>
        <w:rPr>
          <w:rFonts w:ascii="Verdana" w:hAnsi="Verdana"/>
          <w:sz w:val="22"/>
          <w:szCs w:val="22"/>
          <w:lang w:val="en-US"/>
        </w:rPr>
      </w:pPr>
      <w:r w:rsidRPr="00665718">
        <w:rPr>
          <w:rStyle w:val="FootnoteReference"/>
          <w:rFonts w:ascii="Verdana" w:hAnsi="Verdana"/>
          <w:sz w:val="22"/>
          <w:szCs w:val="22"/>
        </w:rPr>
        <w:footnoteRef/>
      </w:r>
      <w:r w:rsidRPr="00665718">
        <w:rPr>
          <w:rFonts w:ascii="Verdana" w:hAnsi="Verdana"/>
          <w:sz w:val="22"/>
          <w:szCs w:val="22"/>
        </w:rPr>
        <w:t xml:space="preserve"> SARB’s AA, para 11, CL Ref 02 – 117; Applicant’s RA.</w:t>
      </w:r>
    </w:p>
  </w:footnote>
  <w:footnote w:id="17">
    <w:p w14:paraId="581DB188" w14:textId="19CC4721" w:rsidR="00FC28F6" w:rsidRPr="00665718" w:rsidRDefault="00FC28F6" w:rsidP="00FC28F6">
      <w:pPr>
        <w:pStyle w:val="FootnoteText"/>
        <w:rPr>
          <w:rFonts w:ascii="Verdana" w:hAnsi="Verdana"/>
          <w:sz w:val="22"/>
          <w:szCs w:val="22"/>
        </w:rPr>
      </w:pPr>
      <w:r w:rsidRPr="00665718">
        <w:rPr>
          <w:rStyle w:val="FootnoteReference"/>
          <w:rFonts w:ascii="Verdana" w:hAnsi="Verdana"/>
          <w:sz w:val="22"/>
          <w:szCs w:val="22"/>
        </w:rPr>
        <w:footnoteRef/>
      </w:r>
      <w:r w:rsidRPr="00665718">
        <w:rPr>
          <w:rFonts w:ascii="Verdana" w:hAnsi="Verdana"/>
          <w:sz w:val="22"/>
          <w:szCs w:val="22"/>
        </w:rPr>
        <w:t xml:space="preserve"> Applicant’s RA, paras 39 to 41, CL Ref pp 02-286 – 287.</w:t>
      </w:r>
    </w:p>
  </w:footnote>
  <w:footnote w:id="18">
    <w:p w14:paraId="06309FA0" w14:textId="77777777" w:rsidR="00FC28F6" w:rsidRPr="00665718" w:rsidRDefault="00FC28F6" w:rsidP="00FC28F6">
      <w:pPr>
        <w:pStyle w:val="FootnoteText"/>
        <w:rPr>
          <w:rFonts w:ascii="Verdana" w:hAnsi="Verdana"/>
          <w:sz w:val="22"/>
          <w:szCs w:val="22"/>
        </w:rPr>
      </w:pPr>
      <w:r w:rsidRPr="00665718">
        <w:rPr>
          <w:rStyle w:val="FootnoteReference"/>
          <w:rFonts w:ascii="Verdana" w:hAnsi="Verdana"/>
          <w:sz w:val="22"/>
          <w:szCs w:val="22"/>
        </w:rPr>
        <w:footnoteRef/>
      </w:r>
      <w:r w:rsidRPr="00665718">
        <w:rPr>
          <w:rFonts w:ascii="Verdana" w:hAnsi="Verdana"/>
          <w:sz w:val="22"/>
          <w:szCs w:val="22"/>
        </w:rPr>
        <w:t xml:space="preserve"> Applicant’s RA, paras 6.3.1, 6.3.2 and 6.4, CL Ref 002 – 272.</w:t>
      </w:r>
    </w:p>
  </w:footnote>
  <w:footnote w:id="19">
    <w:p w14:paraId="12688236" w14:textId="61CF0F6B" w:rsidR="00FC28F6" w:rsidRPr="009C294A" w:rsidRDefault="00FC28F6" w:rsidP="00FC28F6">
      <w:pPr>
        <w:pStyle w:val="FootnoteText"/>
        <w:rPr>
          <w:lang w:val="en-US"/>
        </w:rPr>
      </w:pPr>
      <w:r w:rsidRPr="00665718">
        <w:rPr>
          <w:rStyle w:val="FootnoteReference"/>
          <w:rFonts w:ascii="Verdana" w:hAnsi="Verdana"/>
          <w:sz w:val="22"/>
          <w:szCs w:val="22"/>
        </w:rPr>
        <w:footnoteRef/>
      </w:r>
      <w:r w:rsidRPr="00665718">
        <w:rPr>
          <w:rFonts w:ascii="Verdana" w:hAnsi="Verdana"/>
          <w:sz w:val="22"/>
          <w:szCs w:val="22"/>
        </w:rPr>
        <w:t xml:space="preserve"> Applicant’s RA, para 6.4, CL Ref 02 – 273; RA, para 40, CL Ref: 02 – 286.</w:t>
      </w:r>
    </w:p>
  </w:footnote>
  <w:footnote w:id="20">
    <w:p w14:paraId="3B3914FD" w14:textId="77777777" w:rsidR="008535F0" w:rsidRPr="00665718" w:rsidRDefault="008535F0" w:rsidP="008535F0">
      <w:pPr>
        <w:pStyle w:val="FootnoteText"/>
        <w:rPr>
          <w:rFonts w:ascii="Verdana" w:hAnsi="Verdana"/>
          <w:sz w:val="22"/>
          <w:szCs w:val="22"/>
          <w:lang w:val="en-US"/>
        </w:rPr>
      </w:pPr>
      <w:r w:rsidRPr="00665718">
        <w:rPr>
          <w:rStyle w:val="FootnoteReference"/>
          <w:rFonts w:ascii="Verdana" w:hAnsi="Verdana"/>
          <w:sz w:val="22"/>
          <w:szCs w:val="22"/>
        </w:rPr>
        <w:footnoteRef/>
      </w:r>
      <w:r w:rsidRPr="00665718">
        <w:rPr>
          <w:rFonts w:ascii="Verdana" w:hAnsi="Verdana"/>
          <w:sz w:val="22"/>
          <w:szCs w:val="22"/>
        </w:rPr>
        <w:t xml:space="preserve"> Act 89 of 1990.</w:t>
      </w:r>
    </w:p>
  </w:footnote>
  <w:footnote w:id="21">
    <w:p w14:paraId="430A904A" w14:textId="77777777" w:rsidR="008535F0" w:rsidRPr="009C294A" w:rsidRDefault="008535F0" w:rsidP="008535F0">
      <w:pPr>
        <w:pStyle w:val="FootnoteText"/>
      </w:pPr>
      <w:r w:rsidRPr="00665718">
        <w:rPr>
          <w:rStyle w:val="FootnoteReference"/>
          <w:rFonts w:ascii="Verdana" w:hAnsi="Verdana"/>
          <w:sz w:val="22"/>
          <w:szCs w:val="22"/>
        </w:rPr>
        <w:footnoteRef/>
      </w:r>
      <w:r w:rsidRPr="00665718">
        <w:rPr>
          <w:rFonts w:ascii="Verdana" w:hAnsi="Verdana"/>
          <w:sz w:val="22"/>
          <w:szCs w:val="22"/>
        </w:rPr>
        <w:t xml:space="preserve"> SARB’s AA, para 45.</w:t>
      </w:r>
    </w:p>
  </w:footnote>
  <w:footnote w:id="22">
    <w:p w14:paraId="7DEB00E1" w14:textId="77777777" w:rsidR="00FB5F3E" w:rsidRPr="00665718" w:rsidRDefault="00F2372B" w:rsidP="00F2372B">
      <w:pPr>
        <w:pStyle w:val="FootnoteText"/>
        <w:rPr>
          <w:rFonts w:ascii="Verdana" w:hAnsi="Verdana"/>
          <w:sz w:val="22"/>
          <w:szCs w:val="22"/>
        </w:rPr>
      </w:pPr>
      <w:r w:rsidRPr="00665718">
        <w:rPr>
          <w:rStyle w:val="FootnoteReference"/>
          <w:rFonts w:ascii="Verdana" w:hAnsi="Verdana"/>
          <w:sz w:val="22"/>
          <w:szCs w:val="22"/>
        </w:rPr>
        <w:footnoteRef/>
      </w:r>
      <w:r w:rsidRPr="00665718">
        <w:rPr>
          <w:rFonts w:ascii="Verdana" w:hAnsi="Verdana"/>
          <w:sz w:val="22"/>
          <w:szCs w:val="22"/>
        </w:rPr>
        <w:t xml:space="preserve"> East Rock Trading 7 (Pty) Ltd &amp; another v Eagle Valley Granite (Pty) Ltd &amp;</w:t>
      </w:r>
    </w:p>
    <w:p w14:paraId="1815DE43" w14:textId="14D8E33E" w:rsidR="00F2372B" w:rsidRPr="00665718" w:rsidRDefault="00FB5F3E" w:rsidP="00F2372B">
      <w:pPr>
        <w:pStyle w:val="FootnoteText"/>
        <w:rPr>
          <w:rFonts w:ascii="Verdana" w:hAnsi="Verdana"/>
          <w:sz w:val="22"/>
          <w:szCs w:val="22"/>
          <w:lang w:val="en-US"/>
        </w:rPr>
      </w:pPr>
      <w:r w:rsidRPr="00665718">
        <w:rPr>
          <w:rFonts w:ascii="Verdana" w:hAnsi="Verdana"/>
          <w:sz w:val="22"/>
          <w:szCs w:val="22"/>
        </w:rPr>
        <w:t xml:space="preserve">  </w:t>
      </w:r>
      <w:r w:rsidR="00F2372B" w:rsidRPr="00665718">
        <w:rPr>
          <w:rFonts w:ascii="Verdana" w:hAnsi="Verdana"/>
          <w:sz w:val="22"/>
          <w:szCs w:val="22"/>
        </w:rPr>
        <w:t xml:space="preserve"> </w:t>
      </w:r>
      <w:r w:rsidRPr="00665718">
        <w:rPr>
          <w:rFonts w:ascii="Verdana" w:hAnsi="Verdana"/>
          <w:sz w:val="22"/>
          <w:szCs w:val="22"/>
        </w:rPr>
        <w:t>O</w:t>
      </w:r>
      <w:r w:rsidR="00F2372B" w:rsidRPr="00665718">
        <w:rPr>
          <w:rFonts w:ascii="Verdana" w:hAnsi="Verdana"/>
          <w:sz w:val="22"/>
          <w:szCs w:val="22"/>
        </w:rPr>
        <w:t>thers [2012] JOL 28244 (GSJ) (“East Rock”) para 6</w:t>
      </w:r>
    </w:p>
  </w:footnote>
  <w:footnote w:id="23">
    <w:p w14:paraId="19FC74C1" w14:textId="77777777" w:rsidR="00F2372B" w:rsidRPr="00665718" w:rsidRDefault="00F2372B" w:rsidP="00F2372B">
      <w:pPr>
        <w:pStyle w:val="FootnoteText"/>
        <w:jc w:val="both"/>
        <w:rPr>
          <w:rFonts w:ascii="Verdana" w:hAnsi="Verdana"/>
          <w:sz w:val="22"/>
          <w:szCs w:val="22"/>
          <w:lang w:val="en-US"/>
        </w:rPr>
      </w:pPr>
      <w:r w:rsidRPr="00665718">
        <w:rPr>
          <w:rStyle w:val="FootnoteReference"/>
          <w:rFonts w:ascii="Verdana" w:hAnsi="Verdana"/>
          <w:sz w:val="22"/>
          <w:szCs w:val="22"/>
        </w:rPr>
        <w:footnoteRef/>
      </w:r>
      <w:r w:rsidRPr="00665718">
        <w:rPr>
          <w:rFonts w:ascii="Verdana" w:hAnsi="Verdana"/>
          <w:sz w:val="22"/>
          <w:szCs w:val="22"/>
        </w:rPr>
        <w:t xml:space="preserve"> </w:t>
      </w:r>
      <w:proofErr w:type="spellStart"/>
      <w:r w:rsidRPr="00665718">
        <w:rPr>
          <w:rFonts w:ascii="Verdana" w:hAnsi="Verdana"/>
          <w:sz w:val="22"/>
          <w:szCs w:val="22"/>
        </w:rPr>
        <w:t>Eniram</w:t>
      </w:r>
      <w:proofErr w:type="spellEnd"/>
      <w:r w:rsidRPr="00665718">
        <w:rPr>
          <w:rFonts w:ascii="Verdana" w:hAnsi="Verdana"/>
          <w:sz w:val="22"/>
          <w:szCs w:val="22"/>
        </w:rPr>
        <w:t xml:space="preserve"> (Pty) Ltd v New Woodholme Hotel (Pty) Ltd 1967 (2) SA 491 (E) 493B</w:t>
      </w:r>
    </w:p>
  </w:footnote>
  <w:footnote w:id="24">
    <w:p w14:paraId="73CD2C72" w14:textId="77777777" w:rsidR="00665718" w:rsidRDefault="00F2372B" w:rsidP="00F2372B">
      <w:pPr>
        <w:pStyle w:val="FootnoteText"/>
        <w:jc w:val="both"/>
        <w:rPr>
          <w:rFonts w:ascii="Verdana" w:hAnsi="Verdana"/>
          <w:sz w:val="22"/>
          <w:szCs w:val="22"/>
        </w:rPr>
      </w:pPr>
      <w:r w:rsidRPr="00665718">
        <w:rPr>
          <w:rStyle w:val="FootnoteReference"/>
          <w:rFonts w:ascii="Verdana" w:hAnsi="Verdana"/>
          <w:sz w:val="22"/>
          <w:szCs w:val="22"/>
        </w:rPr>
        <w:footnoteRef/>
      </w:r>
      <w:r w:rsidRPr="00665718">
        <w:rPr>
          <w:rFonts w:ascii="Verdana" w:hAnsi="Verdana"/>
          <w:sz w:val="22"/>
          <w:szCs w:val="22"/>
        </w:rPr>
        <w:t xml:space="preserve"> Twentieth Century Fox Film Corp and Another v Anthony Black Films (Pty) Ltd </w:t>
      </w:r>
    </w:p>
    <w:p w14:paraId="0517BD60" w14:textId="48DDD804" w:rsidR="00F2372B" w:rsidRPr="000A257E" w:rsidRDefault="00665718" w:rsidP="00F2372B">
      <w:pPr>
        <w:pStyle w:val="FootnoteText"/>
        <w:jc w:val="both"/>
        <w:rPr>
          <w:rFonts w:ascii="Verdana" w:hAnsi="Verdana"/>
          <w:sz w:val="22"/>
          <w:szCs w:val="22"/>
        </w:rPr>
      </w:pPr>
      <w:r>
        <w:rPr>
          <w:rFonts w:ascii="Verdana" w:hAnsi="Verdana"/>
          <w:sz w:val="22"/>
          <w:szCs w:val="22"/>
        </w:rPr>
        <w:t xml:space="preserve">   </w:t>
      </w:r>
      <w:r w:rsidR="00F2372B" w:rsidRPr="00665718">
        <w:rPr>
          <w:rFonts w:ascii="Verdana" w:hAnsi="Verdana"/>
          <w:sz w:val="22"/>
          <w:szCs w:val="22"/>
        </w:rPr>
        <w:t>1982 SA 582 (W)at p 586</w:t>
      </w:r>
      <w:r w:rsidRPr="00665718">
        <w:rPr>
          <w:rFonts w:ascii="Verdana" w:hAnsi="Verdana"/>
          <w:sz w:val="22"/>
          <w:szCs w:val="22"/>
        </w:rPr>
        <w:t>.</w:t>
      </w:r>
    </w:p>
  </w:footnote>
  <w:footnote w:id="25">
    <w:p w14:paraId="0DF5E979" w14:textId="6289B1EE" w:rsidR="00D30AA9" w:rsidRPr="000A257E" w:rsidRDefault="00D30AA9" w:rsidP="00D30AA9">
      <w:pPr>
        <w:pStyle w:val="FootnoteText"/>
        <w:rPr>
          <w:rFonts w:ascii="Verdana" w:hAnsi="Verdana"/>
          <w:sz w:val="22"/>
          <w:lang w:val="en-US"/>
        </w:rPr>
      </w:pPr>
      <w:r w:rsidRPr="000A257E">
        <w:rPr>
          <w:rStyle w:val="FootnoteReference"/>
          <w:rFonts w:ascii="Verdana" w:hAnsi="Verdana"/>
          <w:sz w:val="22"/>
        </w:rPr>
        <w:footnoteRef/>
      </w:r>
      <w:r w:rsidR="00DB1AAF">
        <w:rPr>
          <w:rFonts w:ascii="Verdana" w:hAnsi="Verdana"/>
          <w:sz w:val="22"/>
        </w:rPr>
        <w:t xml:space="preserve"> </w:t>
      </w:r>
      <w:r w:rsidRPr="000A257E">
        <w:rPr>
          <w:rFonts w:ascii="Verdana" w:hAnsi="Verdana"/>
          <w:sz w:val="22"/>
        </w:rPr>
        <w:t>CL 02-31 para 68</w:t>
      </w:r>
    </w:p>
  </w:footnote>
  <w:footnote w:id="26">
    <w:p w14:paraId="2E0A908A" w14:textId="577BEB39" w:rsidR="00D30AA9" w:rsidRPr="000A257E" w:rsidRDefault="00D30AA9" w:rsidP="00D30AA9">
      <w:pPr>
        <w:pStyle w:val="FootnoteText"/>
        <w:rPr>
          <w:rFonts w:ascii="Verdana" w:hAnsi="Verdana"/>
          <w:sz w:val="22"/>
          <w:lang w:val="en-US"/>
        </w:rPr>
      </w:pPr>
      <w:r>
        <w:rPr>
          <w:rStyle w:val="FootnoteReference"/>
        </w:rPr>
        <w:footnoteRef/>
      </w:r>
      <w:r>
        <w:t xml:space="preserve"> </w:t>
      </w:r>
      <w:r w:rsidR="00DB1AAF">
        <w:t xml:space="preserve"> </w:t>
      </w:r>
      <w:r w:rsidRPr="000A257E">
        <w:rPr>
          <w:rFonts w:ascii="Verdana" w:hAnsi="Verdana"/>
          <w:sz w:val="22"/>
        </w:rPr>
        <w:t>CL 02-31 para 70</w:t>
      </w:r>
    </w:p>
  </w:footnote>
  <w:footnote w:id="27">
    <w:p w14:paraId="6657BFD8" w14:textId="47FBDBE6" w:rsidR="00D30AA9" w:rsidRPr="000A257E" w:rsidRDefault="00D30AA9" w:rsidP="00D30AA9">
      <w:pPr>
        <w:pStyle w:val="FootnoteText"/>
        <w:rPr>
          <w:rFonts w:ascii="Verdana" w:hAnsi="Verdana"/>
          <w:sz w:val="22"/>
          <w:lang w:val="en-US"/>
        </w:rPr>
      </w:pPr>
      <w:r w:rsidRPr="000A257E">
        <w:rPr>
          <w:rStyle w:val="FootnoteReference"/>
          <w:rFonts w:ascii="Verdana" w:hAnsi="Verdana"/>
          <w:sz w:val="22"/>
        </w:rPr>
        <w:footnoteRef/>
      </w:r>
      <w:r w:rsidR="00DB1AAF">
        <w:rPr>
          <w:rFonts w:ascii="Verdana" w:hAnsi="Verdana"/>
          <w:sz w:val="22"/>
        </w:rPr>
        <w:t xml:space="preserve"> </w:t>
      </w:r>
      <w:r w:rsidRPr="000A257E">
        <w:rPr>
          <w:rFonts w:ascii="Verdana" w:hAnsi="Verdana"/>
          <w:sz w:val="22"/>
        </w:rPr>
        <w:t>CL 02-164 para 126</w:t>
      </w:r>
    </w:p>
  </w:footnote>
  <w:footnote w:id="28">
    <w:p w14:paraId="4F67A6C5" w14:textId="77777777" w:rsidR="00D30AA9" w:rsidRPr="000A257E" w:rsidRDefault="00D30AA9" w:rsidP="00D30AA9">
      <w:pPr>
        <w:pStyle w:val="FootnoteText"/>
        <w:rPr>
          <w:rFonts w:ascii="Verdana" w:hAnsi="Verdana"/>
          <w:sz w:val="22"/>
          <w:lang w:val="en-US"/>
        </w:rPr>
      </w:pPr>
      <w:r w:rsidRPr="000A257E">
        <w:rPr>
          <w:rStyle w:val="FootnoteReference"/>
          <w:rFonts w:ascii="Verdana" w:hAnsi="Verdana"/>
          <w:sz w:val="22"/>
        </w:rPr>
        <w:footnoteRef/>
      </w:r>
      <w:r w:rsidRPr="000A257E">
        <w:rPr>
          <w:rFonts w:ascii="Verdana" w:hAnsi="Verdana"/>
          <w:sz w:val="22"/>
        </w:rPr>
        <w:t xml:space="preserve"> CL 02 – 125 para 28</w:t>
      </w:r>
    </w:p>
  </w:footnote>
  <w:footnote w:id="29">
    <w:p w14:paraId="5675C395" w14:textId="4B065478" w:rsidR="00D30AA9" w:rsidRPr="000A257E" w:rsidRDefault="00D30AA9" w:rsidP="00D30AA9">
      <w:pPr>
        <w:pStyle w:val="FootnoteText"/>
        <w:rPr>
          <w:rFonts w:ascii="Verdana" w:hAnsi="Verdana"/>
          <w:sz w:val="22"/>
        </w:rPr>
      </w:pPr>
      <w:r>
        <w:rPr>
          <w:rStyle w:val="FootnoteReference"/>
        </w:rPr>
        <w:footnoteRef/>
      </w:r>
      <w:r>
        <w:t xml:space="preserve"> </w:t>
      </w:r>
      <w:r w:rsidRPr="000A257E">
        <w:rPr>
          <w:rFonts w:ascii="Verdana" w:hAnsi="Verdana"/>
          <w:sz w:val="22"/>
        </w:rPr>
        <w:t>CL 02-124 paras 23 and 24</w:t>
      </w:r>
      <w:r w:rsidR="00665718">
        <w:rPr>
          <w:rFonts w:ascii="Verdana" w:hAnsi="Verdana"/>
          <w:sz w:val="22"/>
        </w:rPr>
        <w:t>.</w:t>
      </w:r>
    </w:p>
  </w:footnote>
  <w:footnote w:id="30">
    <w:p w14:paraId="4A60728C" w14:textId="23D8B0E0" w:rsidR="00FE22B0" w:rsidRPr="000A257E" w:rsidRDefault="00FE22B0" w:rsidP="00FE22B0">
      <w:pPr>
        <w:pStyle w:val="FootnoteText"/>
        <w:jc w:val="both"/>
        <w:rPr>
          <w:rFonts w:ascii="Verdana" w:hAnsi="Verdana"/>
          <w:sz w:val="22"/>
          <w:lang w:val="en-US"/>
        </w:rPr>
      </w:pPr>
      <w:r>
        <w:rPr>
          <w:rStyle w:val="FootnoteReference"/>
        </w:rPr>
        <w:footnoteRef/>
      </w:r>
      <w:r>
        <w:t xml:space="preserve"> </w:t>
      </w:r>
      <w:r w:rsidRPr="000A257E">
        <w:rPr>
          <w:rFonts w:ascii="Verdana" w:hAnsi="Verdana"/>
          <w:sz w:val="22"/>
        </w:rPr>
        <w:t>1935 AD 867</w:t>
      </w:r>
      <w:r w:rsidR="00665718">
        <w:rPr>
          <w:rFonts w:ascii="Verdana" w:hAnsi="Verdana"/>
          <w:sz w:val="22"/>
        </w:rPr>
        <w:t>.</w:t>
      </w:r>
    </w:p>
  </w:footnote>
  <w:footnote w:id="31">
    <w:p w14:paraId="6E5B865C" w14:textId="77777777" w:rsidR="00C1703B" w:rsidRPr="00665718" w:rsidRDefault="00C1703B" w:rsidP="00C1703B">
      <w:pPr>
        <w:pStyle w:val="FootnoteText"/>
        <w:rPr>
          <w:rFonts w:ascii="Verdana" w:hAnsi="Verdana"/>
          <w:sz w:val="22"/>
          <w:szCs w:val="22"/>
        </w:rPr>
      </w:pPr>
      <w:r w:rsidRPr="00665718">
        <w:rPr>
          <w:rStyle w:val="FootnoteReference"/>
          <w:rFonts w:ascii="Verdana" w:hAnsi="Verdana"/>
          <w:sz w:val="22"/>
          <w:szCs w:val="22"/>
        </w:rPr>
        <w:footnoteRef/>
      </w:r>
      <w:r w:rsidRPr="00665718">
        <w:rPr>
          <w:rFonts w:ascii="Verdana" w:hAnsi="Verdana"/>
          <w:sz w:val="22"/>
          <w:szCs w:val="22"/>
        </w:rPr>
        <w:t xml:space="preserve"> FA, para 10, CL Ref p 02 – 10.</w:t>
      </w:r>
    </w:p>
  </w:footnote>
  <w:footnote w:id="32">
    <w:p w14:paraId="483E7C45" w14:textId="77777777" w:rsidR="00C1703B" w:rsidRPr="00665718" w:rsidRDefault="00C1703B" w:rsidP="00C1703B">
      <w:pPr>
        <w:pStyle w:val="FootnoteText"/>
        <w:rPr>
          <w:rFonts w:ascii="Verdana" w:hAnsi="Verdana"/>
          <w:sz w:val="22"/>
          <w:szCs w:val="22"/>
        </w:rPr>
      </w:pPr>
      <w:r w:rsidRPr="00665718">
        <w:rPr>
          <w:rStyle w:val="FootnoteReference"/>
          <w:rFonts w:ascii="Verdana" w:hAnsi="Verdana"/>
          <w:sz w:val="22"/>
          <w:szCs w:val="22"/>
        </w:rPr>
        <w:footnoteRef/>
      </w:r>
      <w:r w:rsidRPr="00665718">
        <w:rPr>
          <w:rFonts w:ascii="Verdana" w:hAnsi="Verdana"/>
          <w:sz w:val="22"/>
          <w:szCs w:val="22"/>
        </w:rPr>
        <w:t xml:space="preserve"> SARB’s AA, para 33, CL Ref 02 – 127.</w:t>
      </w:r>
    </w:p>
  </w:footnote>
  <w:footnote w:id="33">
    <w:p w14:paraId="20323EDB" w14:textId="77777777" w:rsidR="00C1703B" w:rsidRPr="008C5C10" w:rsidRDefault="00C1703B" w:rsidP="00C1703B">
      <w:pPr>
        <w:pStyle w:val="FootnoteText"/>
        <w:rPr>
          <w:lang w:val="en-US"/>
        </w:rPr>
      </w:pPr>
      <w:r w:rsidRPr="00665718">
        <w:rPr>
          <w:rStyle w:val="FootnoteReference"/>
          <w:rFonts w:ascii="Verdana" w:hAnsi="Verdana"/>
          <w:sz w:val="22"/>
          <w:szCs w:val="22"/>
        </w:rPr>
        <w:footnoteRef/>
      </w:r>
      <w:r w:rsidRPr="00665718">
        <w:rPr>
          <w:rFonts w:ascii="Verdana" w:hAnsi="Verdana"/>
          <w:sz w:val="22"/>
          <w:szCs w:val="22"/>
        </w:rPr>
        <w:t xml:space="preserve"> SARB’s AA, para 32, CL Ref 02 – 127.</w:t>
      </w:r>
    </w:p>
  </w:footnote>
  <w:footnote w:id="34">
    <w:p w14:paraId="42A21E97" w14:textId="77777777" w:rsidR="00C1703B" w:rsidRPr="00665718" w:rsidRDefault="00C1703B" w:rsidP="00C1703B">
      <w:pPr>
        <w:pStyle w:val="FootnoteText"/>
        <w:rPr>
          <w:rFonts w:ascii="Verdana" w:hAnsi="Verdana"/>
          <w:sz w:val="22"/>
          <w:szCs w:val="22"/>
        </w:rPr>
      </w:pPr>
      <w:r w:rsidRPr="00665718">
        <w:rPr>
          <w:rStyle w:val="FootnoteReference"/>
          <w:rFonts w:ascii="Verdana" w:hAnsi="Verdana"/>
          <w:sz w:val="22"/>
          <w:szCs w:val="22"/>
        </w:rPr>
        <w:footnoteRef/>
      </w:r>
      <w:r w:rsidRPr="00665718">
        <w:rPr>
          <w:rFonts w:ascii="Verdana" w:hAnsi="Verdana"/>
          <w:sz w:val="22"/>
          <w:szCs w:val="22"/>
        </w:rPr>
        <w:t xml:space="preserve"> FA, para 65, CL Ref pp 02 – 29 to 02 – 30.</w:t>
      </w:r>
    </w:p>
  </w:footnote>
  <w:footnote w:id="35">
    <w:p w14:paraId="607C6830" w14:textId="77777777" w:rsidR="00C1703B" w:rsidRPr="00637EAB" w:rsidRDefault="00C1703B" w:rsidP="00C1703B">
      <w:pPr>
        <w:pStyle w:val="FootnoteText"/>
      </w:pPr>
      <w:r w:rsidRPr="00665718">
        <w:rPr>
          <w:rStyle w:val="FootnoteReference"/>
          <w:rFonts w:ascii="Verdana" w:hAnsi="Verdana"/>
          <w:sz w:val="22"/>
          <w:szCs w:val="22"/>
        </w:rPr>
        <w:footnoteRef/>
      </w:r>
      <w:r w:rsidRPr="00665718">
        <w:rPr>
          <w:rFonts w:ascii="Verdana" w:hAnsi="Verdana"/>
          <w:sz w:val="22"/>
          <w:szCs w:val="22"/>
        </w:rPr>
        <w:t xml:space="preserve"> RA, para 6.3, CL Ref p 02 – 272 – 273; RA, para 52.1, CL Ref, p 02 – 291.</w:t>
      </w:r>
    </w:p>
  </w:footnote>
  <w:footnote w:id="36">
    <w:p w14:paraId="1FB5D168" w14:textId="36B5D5C6" w:rsidR="00C1703B" w:rsidRPr="00665718" w:rsidRDefault="00C1703B" w:rsidP="00C1703B">
      <w:pPr>
        <w:pStyle w:val="FootnoteText"/>
        <w:rPr>
          <w:rFonts w:ascii="Verdana" w:hAnsi="Verdana"/>
          <w:sz w:val="22"/>
          <w:szCs w:val="22"/>
          <w:lang w:val="en-US"/>
        </w:rPr>
      </w:pPr>
      <w:r w:rsidRPr="00665718">
        <w:rPr>
          <w:rStyle w:val="FootnoteReference"/>
          <w:rFonts w:ascii="Verdana" w:hAnsi="Verdana"/>
          <w:sz w:val="22"/>
          <w:szCs w:val="22"/>
        </w:rPr>
        <w:footnoteRef/>
      </w:r>
      <w:r w:rsidR="00236EAA" w:rsidRPr="00665718">
        <w:rPr>
          <w:rFonts w:ascii="Verdana" w:hAnsi="Verdana"/>
          <w:sz w:val="22"/>
          <w:szCs w:val="22"/>
        </w:rPr>
        <w:t xml:space="preserve"> </w:t>
      </w:r>
      <w:r w:rsidRPr="00665718">
        <w:rPr>
          <w:rFonts w:ascii="Verdana" w:hAnsi="Verdana"/>
          <w:sz w:val="22"/>
          <w:szCs w:val="22"/>
        </w:rPr>
        <w:t xml:space="preserve">RA, para 30, CL Ref 02 – 283. </w:t>
      </w:r>
    </w:p>
  </w:footnote>
  <w:footnote w:id="37">
    <w:p w14:paraId="1D2F3FB3" w14:textId="77777777" w:rsidR="00C1703B" w:rsidRPr="00637EAB" w:rsidRDefault="00C1703B" w:rsidP="00C1703B">
      <w:pPr>
        <w:pStyle w:val="FootnoteText"/>
      </w:pPr>
      <w:r w:rsidRPr="00665718">
        <w:rPr>
          <w:rStyle w:val="FootnoteReference"/>
          <w:rFonts w:ascii="Verdana" w:hAnsi="Verdana"/>
          <w:sz w:val="22"/>
          <w:szCs w:val="22"/>
        </w:rPr>
        <w:footnoteRef/>
      </w:r>
      <w:r w:rsidRPr="00665718">
        <w:rPr>
          <w:rFonts w:ascii="Verdana" w:hAnsi="Verdana"/>
          <w:sz w:val="22"/>
          <w:szCs w:val="22"/>
        </w:rPr>
        <w:t xml:space="preserve"> RA, para 33, CL Ref p 02 – 284.</w:t>
      </w:r>
    </w:p>
  </w:footnote>
  <w:footnote w:id="38">
    <w:p w14:paraId="38AB835B" w14:textId="77777777" w:rsidR="00C1703B" w:rsidRPr="00665718" w:rsidRDefault="00C1703B" w:rsidP="00C1703B">
      <w:pPr>
        <w:pStyle w:val="FootnoteText"/>
        <w:rPr>
          <w:rFonts w:ascii="Verdana" w:hAnsi="Verdana"/>
          <w:sz w:val="22"/>
          <w:szCs w:val="22"/>
        </w:rPr>
      </w:pPr>
      <w:r w:rsidRPr="00665718">
        <w:rPr>
          <w:rStyle w:val="FootnoteReference"/>
          <w:rFonts w:ascii="Verdana" w:hAnsi="Verdana"/>
          <w:sz w:val="22"/>
          <w:szCs w:val="22"/>
        </w:rPr>
        <w:footnoteRef/>
      </w:r>
      <w:r w:rsidRPr="00665718">
        <w:rPr>
          <w:rFonts w:ascii="Verdana" w:hAnsi="Verdana"/>
          <w:sz w:val="22"/>
          <w:szCs w:val="22"/>
        </w:rPr>
        <w:t xml:space="preserve"> SARB’s AA, para 35.</w:t>
      </w:r>
    </w:p>
  </w:footnote>
  <w:footnote w:id="39">
    <w:p w14:paraId="05D3AAA6" w14:textId="77777777" w:rsidR="00156269" w:rsidRPr="00C17982" w:rsidRDefault="00156269" w:rsidP="00156269">
      <w:pPr>
        <w:pStyle w:val="FootnoteText"/>
        <w:rPr>
          <w:lang w:val="en-US"/>
        </w:rPr>
      </w:pPr>
      <w:r w:rsidRPr="00665718">
        <w:rPr>
          <w:rStyle w:val="FootnoteReference"/>
          <w:rFonts w:ascii="Verdana" w:hAnsi="Verdana"/>
          <w:sz w:val="22"/>
          <w:szCs w:val="22"/>
        </w:rPr>
        <w:footnoteRef/>
      </w:r>
      <w:r w:rsidRPr="00665718">
        <w:rPr>
          <w:rFonts w:ascii="Verdana" w:hAnsi="Verdana"/>
          <w:sz w:val="22"/>
          <w:szCs w:val="22"/>
        </w:rPr>
        <w:t xml:space="preserve"> 2013 (1) SA 170 (SCA) at para 12.</w:t>
      </w:r>
    </w:p>
  </w:footnote>
  <w:footnote w:id="40">
    <w:p w14:paraId="55F9E0A0" w14:textId="77777777" w:rsidR="00C1703B" w:rsidRPr="00396172" w:rsidRDefault="00C1703B" w:rsidP="00C1703B">
      <w:pPr>
        <w:pStyle w:val="FootnoteText"/>
        <w:rPr>
          <w:rFonts w:ascii="Verdana" w:hAnsi="Verdana"/>
          <w:sz w:val="22"/>
          <w:szCs w:val="22"/>
        </w:rPr>
      </w:pPr>
      <w:r w:rsidRPr="00396172">
        <w:rPr>
          <w:rStyle w:val="FootnoteReference"/>
          <w:rFonts w:ascii="Verdana" w:hAnsi="Verdana"/>
          <w:sz w:val="22"/>
          <w:szCs w:val="22"/>
        </w:rPr>
        <w:footnoteRef/>
      </w:r>
      <w:r w:rsidRPr="00396172">
        <w:rPr>
          <w:rFonts w:ascii="Verdana" w:hAnsi="Verdana"/>
          <w:sz w:val="22"/>
          <w:szCs w:val="22"/>
        </w:rPr>
        <w:t xml:space="preserve"> SARB’s AA, para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83E5F" w14:textId="77777777" w:rsidR="00E06E91" w:rsidRDefault="00E06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76B6D" w14:textId="77777777" w:rsidR="00E06E91" w:rsidRDefault="00E06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7AD87" w14:textId="77777777" w:rsidR="00E06E91" w:rsidRDefault="00E06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3AA511CF"/>
    <w:multiLevelType w:val="hybridMultilevel"/>
    <w:tmpl w:val="6FB27698"/>
    <w:lvl w:ilvl="0" w:tplc="C8C25716">
      <w:start w:val="1"/>
      <w:numFmt w:val="lowerLetter"/>
      <w:lvlText w:val="(%1)"/>
      <w:lvlJc w:val="left"/>
      <w:pPr>
        <w:ind w:left="-25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2" w15:restartNumberingAfterBreak="0">
    <w:nsid w:val="5D8A4921"/>
    <w:multiLevelType w:val="multilevel"/>
    <w:tmpl w:val="F9FE28F8"/>
    <w:lvl w:ilvl="0">
      <w:start w:val="1"/>
      <w:numFmt w:val="decimal"/>
      <w:pStyle w:val="Clause1Head"/>
      <w:isLgl/>
      <w:lvlText w:val="%1."/>
      <w:lvlJc w:val="left"/>
      <w:pPr>
        <w:tabs>
          <w:tab w:val="num" w:pos="720"/>
        </w:tabs>
        <w:ind w:left="720" w:hanging="720"/>
      </w:pPr>
      <w:rPr>
        <w:rFonts w:ascii="Arial" w:hAnsi="Arial" w:hint="default"/>
        <w:b w:val="0"/>
        <w:i w:val="0"/>
        <w:sz w:val="22"/>
        <w:szCs w:val="22"/>
      </w:rPr>
    </w:lvl>
    <w:lvl w:ilvl="1">
      <w:start w:val="1"/>
      <w:numFmt w:val="decimal"/>
      <w:pStyle w:val="Clause2Sub"/>
      <w:lvlText w:val="%1.%2."/>
      <w:lvlJc w:val="left"/>
      <w:pPr>
        <w:tabs>
          <w:tab w:val="num" w:pos="1855"/>
        </w:tabs>
        <w:ind w:left="1855" w:hanging="720"/>
      </w:pPr>
      <w:rPr>
        <w:rFonts w:hint="default"/>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num w:numId="1" w16cid:durableId="527304487">
    <w:abstractNumId w:val="2"/>
  </w:num>
  <w:num w:numId="2" w16cid:durableId="1939480646">
    <w:abstractNumId w:val="1"/>
  </w:num>
  <w:num w:numId="3" w16cid:durableId="2133748124">
    <w:abstractNumId w:val="2"/>
  </w:num>
  <w:num w:numId="4" w16cid:durableId="2029329730">
    <w:abstractNumId w:val="2"/>
  </w:num>
  <w:num w:numId="5" w16cid:durableId="855314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FEE"/>
    <w:rsid w:val="0003112E"/>
    <w:rsid w:val="0003499D"/>
    <w:rsid w:val="00035F08"/>
    <w:rsid w:val="000477BF"/>
    <w:rsid w:val="00057C27"/>
    <w:rsid w:val="000952D0"/>
    <w:rsid w:val="000A257E"/>
    <w:rsid w:val="000A750B"/>
    <w:rsid w:val="000E667B"/>
    <w:rsid w:val="000F3793"/>
    <w:rsid w:val="000F3857"/>
    <w:rsid w:val="00114716"/>
    <w:rsid w:val="001161D2"/>
    <w:rsid w:val="00123014"/>
    <w:rsid w:val="001275D7"/>
    <w:rsid w:val="00145CF6"/>
    <w:rsid w:val="00156269"/>
    <w:rsid w:val="00187154"/>
    <w:rsid w:val="001C0C77"/>
    <w:rsid w:val="001F5845"/>
    <w:rsid w:val="002109BB"/>
    <w:rsid w:val="0021169E"/>
    <w:rsid w:val="00236EAA"/>
    <w:rsid w:val="002522BF"/>
    <w:rsid w:val="002770CD"/>
    <w:rsid w:val="00277A72"/>
    <w:rsid w:val="00281794"/>
    <w:rsid w:val="00287412"/>
    <w:rsid w:val="002A6D86"/>
    <w:rsid w:val="002B74A6"/>
    <w:rsid w:val="002D26D8"/>
    <w:rsid w:val="002D3A82"/>
    <w:rsid w:val="002E2CBB"/>
    <w:rsid w:val="002F25AF"/>
    <w:rsid w:val="00313270"/>
    <w:rsid w:val="00321986"/>
    <w:rsid w:val="00343806"/>
    <w:rsid w:val="00347971"/>
    <w:rsid w:val="003622C5"/>
    <w:rsid w:val="003649F0"/>
    <w:rsid w:val="00364D7D"/>
    <w:rsid w:val="003839F2"/>
    <w:rsid w:val="00393B5A"/>
    <w:rsid w:val="00396172"/>
    <w:rsid w:val="003A67C7"/>
    <w:rsid w:val="0040359C"/>
    <w:rsid w:val="00453FCE"/>
    <w:rsid w:val="004746C2"/>
    <w:rsid w:val="00480110"/>
    <w:rsid w:val="0048632C"/>
    <w:rsid w:val="00486FC3"/>
    <w:rsid w:val="0049563D"/>
    <w:rsid w:val="004A3CAC"/>
    <w:rsid w:val="004B021C"/>
    <w:rsid w:val="004B24A7"/>
    <w:rsid w:val="004F2847"/>
    <w:rsid w:val="00506D62"/>
    <w:rsid w:val="00550564"/>
    <w:rsid w:val="00577CAB"/>
    <w:rsid w:val="00583A66"/>
    <w:rsid w:val="0059631F"/>
    <w:rsid w:val="0059738E"/>
    <w:rsid w:val="005B0954"/>
    <w:rsid w:val="005C1A60"/>
    <w:rsid w:val="005C686E"/>
    <w:rsid w:val="005D08E5"/>
    <w:rsid w:val="0060110A"/>
    <w:rsid w:val="006012CB"/>
    <w:rsid w:val="00627B96"/>
    <w:rsid w:val="00637EAB"/>
    <w:rsid w:val="00657598"/>
    <w:rsid w:val="0066067F"/>
    <w:rsid w:val="00665718"/>
    <w:rsid w:val="00666756"/>
    <w:rsid w:val="006816AC"/>
    <w:rsid w:val="006A1759"/>
    <w:rsid w:val="006B6AF2"/>
    <w:rsid w:val="006D7543"/>
    <w:rsid w:val="00724736"/>
    <w:rsid w:val="00734F81"/>
    <w:rsid w:val="00735E37"/>
    <w:rsid w:val="00741C9C"/>
    <w:rsid w:val="00750D6B"/>
    <w:rsid w:val="00751A1D"/>
    <w:rsid w:val="00767A2C"/>
    <w:rsid w:val="00770D7B"/>
    <w:rsid w:val="007723CB"/>
    <w:rsid w:val="00794147"/>
    <w:rsid w:val="007A4987"/>
    <w:rsid w:val="007C67F8"/>
    <w:rsid w:val="008011C1"/>
    <w:rsid w:val="008133EA"/>
    <w:rsid w:val="00822A3C"/>
    <w:rsid w:val="008535F0"/>
    <w:rsid w:val="0086303D"/>
    <w:rsid w:val="00874132"/>
    <w:rsid w:val="008B02D5"/>
    <w:rsid w:val="008C5C10"/>
    <w:rsid w:val="008D7CF5"/>
    <w:rsid w:val="008E1A7D"/>
    <w:rsid w:val="008F109F"/>
    <w:rsid w:val="008F6B42"/>
    <w:rsid w:val="009302B5"/>
    <w:rsid w:val="009314A9"/>
    <w:rsid w:val="0094531A"/>
    <w:rsid w:val="0094659F"/>
    <w:rsid w:val="00966D39"/>
    <w:rsid w:val="009728F8"/>
    <w:rsid w:val="009743DD"/>
    <w:rsid w:val="009A1644"/>
    <w:rsid w:val="009A49D4"/>
    <w:rsid w:val="009A7662"/>
    <w:rsid w:val="009C294A"/>
    <w:rsid w:val="009F143C"/>
    <w:rsid w:val="009F50CF"/>
    <w:rsid w:val="00A06F4A"/>
    <w:rsid w:val="00A27497"/>
    <w:rsid w:val="00A95B30"/>
    <w:rsid w:val="00AC38A4"/>
    <w:rsid w:val="00AD5007"/>
    <w:rsid w:val="00AF01F6"/>
    <w:rsid w:val="00AF3712"/>
    <w:rsid w:val="00B0536C"/>
    <w:rsid w:val="00B055B4"/>
    <w:rsid w:val="00B0697E"/>
    <w:rsid w:val="00B07CD6"/>
    <w:rsid w:val="00B11C2F"/>
    <w:rsid w:val="00B17B4E"/>
    <w:rsid w:val="00B264F5"/>
    <w:rsid w:val="00B37751"/>
    <w:rsid w:val="00B43E3E"/>
    <w:rsid w:val="00B4406D"/>
    <w:rsid w:val="00B44094"/>
    <w:rsid w:val="00B45278"/>
    <w:rsid w:val="00B544F8"/>
    <w:rsid w:val="00BA2351"/>
    <w:rsid w:val="00BB52CD"/>
    <w:rsid w:val="00BD7A2A"/>
    <w:rsid w:val="00BE41C4"/>
    <w:rsid w:val="00C027F5"/>
    <w:rsid w:val="00C106DD"/>
    <w:rsid w:val="00C1703B"/>
    <w:rsid w:val="00C17982"/>
    <w:rsid w:val="00C24D1E"/>
    <w:rsid w:val="00C31142"/>
    <w:rsid w:val="00C501D0"/>
    <w:rsid w:val="00C679B9"/>
    <w:rsid w:val="00C76CA4"/>
    <w:rsid w:val="00C868A1"/>
    <w:rsid w:val="00CE1EC8"/>
    <w:rsid w:val="00CE5D3F"/>
    <w:rsid w:val="00D01C9B"/>
    <w:rsid w:val="00D2008E"/>
    <w:rsid w:val="00D30AA9"/>
    <w:rsid w:val="00D30FEE"/>
    <w:rsid w:val="00D419A2"/>
    <w:rsid w:val="00D435CE"/>
    <w:rsid w:val="00D637C0"/>
    <w:rsid w:val="00D76960"/>
    <w:rsid w:val="00D92ADA"/>
    <w:rsid w:val="00DB1AAF"/>
    <w:rsid w:val="00DB7C61"/>
    <w:rsid w:val="00DC26F3"/>
    <w:rsid w:val="00E0385B"/>
    <w:rsid w:val="00E05514"/>
    <w:rsid w:val="00E06E91"/>
    <w:rsid w:val="00E10195"/>
    <w:rsid w:val="00E103F7"/>
    <w:rsid w:val="00E215F5"/>
    <w:rsid w:val="00E23BF5"/>
    <w:rsid w:val="00E2707B"/>
    <w:rsid w:val="00E37E0A"/>
    <w:rsid w:val="00E434F1"/>
    <w:rsid w:val="00E43A23"/>
    <w:rsid w:val="00E4548B"/>
    <w:rsid w:val="00E778AE"/>
    <w:rsid w:val="00E92F39"/>
    <w:rsid w:val="00EA1EFF"/>
    <w:rsid w:val="00EA232A"/>
    <w:rsid w:val="00EA7A32"/>
    <w:rsid w:val="00ED7D15"/>
    <w:rsid w:val="00F2372B"/>
    <w:rsid w:val="00F458AA"/>
    <w:rsid w:val="00F7156B"/>
    <w:rsid w:val="00F9574F"/>
    <w:rsid w:val="00F960A4"/>
    <w:rsid w:val="00FA0CDB"/>
    <w:rsid w:val="00FA4098"/>
    <w:rsid w:val="00FB5F3E"/>
    <w:rsid w:val="00FB745E"/>
    <w:rsid w:val="00FC28F6"/>
    <w:rsid w:val="00FE22B0"/>
    <w:rsid w:val="00FE52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6AEF"/>
  <w15:chartTrackingRefBased/>
  <w15:docId w15:val="{523542D4-30D0-439C-BFEC-CC6CE2DC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bCs/>
        <w:sz w:val="24"/>
        <w:szCs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FEE"/>
    <w:pPr>
      <w:spacing w:after="0" w:line="276" w:lineRule="auto"/>
    </w:pPr>
    <w:rPr>
      <w:rFonts w:eastAsia="Arial"/>
      <w:bCs w:val="0"/>
      <w:sz w:val="22"/>
      <w:szCs w:val="22"/>
      <w:lang w:val="en" w:eastAsia="en-ZA"/>
    </w:rPr>
  </w:style>
  <w:style w:type="paragraph" w:styleId="Heading1">
    <w:name w:val="heading 1"/>
    <w:basedOn w:val="Normal"/>
    <w:next w:val="Normal"/>
    <w:link w:val="Heading1Char"/>
    <w:uiPriority w:val="9"/>
    <w:qFormat/>
    <w:rsid w:val="00D30F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30F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30FE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30FE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30FE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30FEE"/>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30FEE"/>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30FEE"/>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30FEE"/>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F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30F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30FEE"/>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30FE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30FE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30FE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30FE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30FE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30FE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30F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0F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0FEE"/>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30FE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30FEE"/>
    <w:pPr>
      <w:spacing w:before="160"/>
      <w:jc w:val="center"/>
    </w:pPr>
    <w:rPr>
      <w:i/>
      <w:iCs/>
      <w:color w:val="404040" w:themeColor="text1" w:themeTint="BF"/>
    </w:rPr>
  </w:style>
  <w:style w:type="character" w:customStyle="1" w:styleId="QuoteChar">
    <w:name w:val="Quote Char"/>
    <w:basedOn w:val="DefaultParagraphFont"/>
    <w:link w:val="Quote"/>
    <w:uiPriority w:val="29"/>
    <w:rsid w:val="00D30FEE"/>
    <w:rPr>
      <w:i/>
      <w:iCs/>
      <w:color w:val="404040" w:themeColor="text1" w:themeTint="BF"/>
    </w:rPr>
  </w:style>
  <w:style w:type="paragraph" w:styleId="ListParagraph">
    <w:name w:val="List Paragraph"/>
    <w:basedOn w:val="Normal"/>
    <w:uiPriority w:val="34"/>
    <w:qFormat/>
    <w:rsid w:val="00D30FEE"/>
    <w:pPr>
      <w:ind w:left="720"/>
      <w:contextualSpacing/>
    </w:pPr>
  </w:style>
  <w:style w:type="character" w:styleId="IntenseEmphasis">
    <w:name w:val="Intense Emphasis"/>
    <w:basedOn w:val="DefaultParagraphFont"/>
    <w:uiPriority w:val="21"/>
    <w:qFormat/>
    <w:rsid w:val="00D30FEE"/>
    <w:rPr>
      <w:i/>
      <w:iCs/>
      <w:color w:val="0F4761" w:themeColor="accent1" w:themeShade="BF"/>
    </w:rPr>
  </w:style>
  <w:style w:type="paragraph" w:styleId="IntenseQuote">
    <w:name w:val="Intense Quote"/>
    <w:basedOn w:val="Normal"/>
    <w:next w:val="Normal"/>
    <w:link w:val="IntenseQuoteChar"/>
    <w:uiPriority w:val="30"/>
    <w:qFormat/>
    <w:rsid w:val="00D30F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30FEE"/>
    <w:rPr>
      <w:i/>
      <w:iCs/>
      <w:color w:val="0F4761" w:themeColor="accent1" w:themeShade="BF"/>
    </w:rPr>
  </w:style>
  <w:style w:type="character" w:styleId="IntenseReference">
    <w:name w:val="Intense Reference"/>
    <w:basedOn w:val="DefaultParagraphFont"/>
    <w:uiPriority w:val="32"/>
    <w:qFormat/>
    <w:rsid w:val="00D30FEE"/>
    <w:rPr>
      <w:b/>
      <w:bCs w:val="0"/>
      <w:smallCaps/>
      <w:color w:val="0F4761" w:themeColor="accent1" w:themeShade="BF"/>
      <w:spacing w:val="5"/>
    </w:rPr>
  </w:style>
  <w:style w:type="paragraph" w:styleId="BodyText">
    <w:name w:val="Body Text"/>
    <w:basedOn w:val="Normal"/>
    <w:link w:val="BodyTextChar"/>
    <w:uiPriority w:val="1"/>
    <w:qFormat/>
    <w:rsid w:val="00D30FEE"/>
    <w:pPr>
      <w:widowControl w:val="0"/>
      <w:autoSpaceDE w:val="0"/>
      <w:autoSpaceDN w:val="0"/>
      <w:spacing w:line="240" w:lineRule="auto"/>
    </w:pPr>
    <w:rPr>
      <w:sz w:val="24"/>
      <w:szCs w:val="24"/>
      <w:lang w:val="en-US" w:eastAsia="en-US"/>
    </w:rPr>
  </w:style>
  <w:style w:type="character" w:customStyle="1" w:styleId="BodyTextChar">
    <w:name w:val="Body Text Char"/>
    <w:basedOn w:val="DefaultParagraphFont"/>
    <w:link w:val="BodyText"/>
    <w:uiPriority w:val="1"/>
    <w:rsid w:val="00D30FEE"/>
    <w:rPr>
      <w:rFonts w:eastAsia="Arial"/>
      <w:bCs w:val="0"/>
      <w:lang w:val="en-US"/>
    </w:rPr>
  </w:style>
  <w:style w:type="character" w:styleId="Hyperlink">
    <w:name w:val="Hyperlink"/>
    <w:basedOn w:val="DefaultParagraphFont"/>
    <w:uiPriority w:val="99"/>
    <w:unhideWhenUsed/>
    <w:rsid w:val="001275D7"/>
    <w:rPr>
      <w:rFonts w:ascii="Century Gothic" w:hAnsi="Century Gothic"/>
      <w:color w:val="467886" w:themeColor="hyperlink"/>
      <w:sz w:val="18"/>
      <w:u w:val="single"/>
    </w:rPr>
  </w:style>
  <w:style w:type="paragraph" w:customStyle="1" w:styleId="Clause1Head">
    <w:name w:val="Clause1Head"/>
    <w:basedOn w:val="Normal"/>
    <w:qFormat/>
    <w:rsid w:val="001275D7"/>
    <w:pPr>
      <w:numPr>
        <w:numId w:val="1"/>
      </w:numPr>
      <w:spacing w:after="240" w:line="480" w:lineRule="auto"/>
      <w:jc w:val="both"/>
    </w:pPr>
    <w:rPr>
      <w:rFonts w:eastAsia="Times New Roman" w:cs="Times New Roman"/>
      <w:szCs w:val="20"/>
      <w:lang w:val="en-GB" w:eastAsia="en-GB"/>
    </w:rPr>
  </w:style>
  <w:style w:type="paragraph" w:customStyle="1" w:styleId="Clause2Sub">
    <w:name w:val="Clause2Sub"/>
    <w:basedOn w:val="Normal"/>
    <w:qFormat/>
    <w:rsid w:val="001275D7"/>
    <w:pPr>
      <w:numPr>
        <w:ilvl w:val="1"/>
        <w:numId w:val="1"/>
      </w:numPr>
      <w:spacing w:after="240" w:line="480" w:lineRule="auto"/>
      <w:jc w:val="both"/>
    </w:pPr>
    <w:rPr>
      <w:rFonts w:eastAsia="Times New Roman" w:cs="Times New Roman"/>
      <w:szCs w:val="20"/>
      <w:lang w:val="en-GB" w:eastAsia="en-GB"/>
    </w:rPr>
  </w:style>
  <w:style w:type="paragraph" w:customStyle="1" w:styleId="Clause3Sub">
    <w:name w:val="Clause3Sub"/>
    <w:basedOn w:val="Normal"/>
    <w:qFormat/>
    <w:rsid w:val="001275D7"/>
    <w:pPr>
      <w:numPr>
        <w:ilvl w:val="2"/>
        <w:numId w:val="1"/>
      </w:numPr>
      <w:spacing w:after="240" w:line="480" w:lineRule="auto"/>
      <w:ind w:left="2551" w:hanging="1111"/>
      <w:jc w:val="both"/>
    </w:pPr>
    <w:rPr>
      <w:rFonts w:eastAsia="Times New Roman" w:cs="Times New Roman"/>
      <w:szCs w:val="20"/>
      <w:lang w:val="en-GB" w:eastAsia="en-GB"/>
    </w:rPr>
  </w:style>
  <w:style w:type="paragraph" w:customStyle="1" w:styleId="Clause4Sub">
    <w:name w:val="Clause4Sub"/>
    <w:basedOn w:val="Normal"/>
    <w:qFormat/>
    <w:rsid w:val="001275D7"/>
    <w:pPr>
      <w:numPr>
        <w:ilvl w:val="3"/>
        <w:numId w:val="1"/>
      </w:numPr>
      <w:spacing w:after="240" w:line="480" w:lineRule="auto"/>
      <w:ind w:left="3601" w:hanging="1049"/>
      <w:jc w:val="both"/>
    </w:pPr>
    <w:rPr>
      <w:rFonts w:eastAsia="Times New Roman" w:cs="Times New Roman"/>
      <w:szCs w:val="20"/>
      <w:lang w:val="en-GB" w:eastAsia="en-GB"/>
    </w:rPr>
  </w:style>
  <w:style w:type="paragraph" w:customStyle="1" w:styleId="Clause5Sub">
    <w:name w:val="Clause5Sub"/>
    <w:basedOn w:val="Normal"/>
    <w:qFormat/>
    <w:rsid w:val="001275D7"/>
    <w:pPr>
      <w:numPr>
        <w:ilvl w:val="4"/>
        <w:numId w:val="1"/>
      </w:numPr>
      <w:spacing w:after="240" w:line="480" w:lineRule="auto"/>
      <w:ind w:left="5040" w:hanging="1440"/>
      <w:jc w:val="both"/>
    </w:pPr>
    <w:rPr>
      <w:rFonts w:eastAsia="Times New Roman" w:cs="Times New Roman"/>
      <w:sz w:val="24"/>
      <w:szCs w:val="20"/>
      <w:lang w:val="en-GB" w:eastAsia="en-GB"/>
    </w:rPr>
  </w:style>
  <w:style w:type="paragraph" w:customStyle="1" w:styleId="Clause6Sub">
    <w:name w:val="Clause6Sub"/>
    <w:basedOn w:val="Normal"/>
    <w:qFormat/>
    <w:rsid w:val="001275D7"/>
    <w:pPr>
      <w:numPr>
        <w:ilvl w:val="5"/>
        <w:numId w:val="1"/>
      </w:numPr>
      <w:spacing w:after="240" w:line="360" w:lineRule="atLeast"/>
      <w:jc w:val="both"/>
    </w:pPr>
    <w:rPr>
      <w:rFonts w:eastAsia="Times New Roman" w:cs="Times New Roman"/>
      <w:sz w:val="20"/>
      <w:szCs w:val="20"/>
      <w:lang w:val="en-GB" w:eastAsia="en-GB"/>
    </w:rPr>
  </w:style>
  <w:style w:type="paragraph" w:customStyle="1" w:styleId="Clause7Sub">
    <w:name w:val="Clause7Sub"/>
    <w:basedOn w:val="Normal"/>
    <w:qFormat/>
    <w:rsid w:val="001275D7"/>
    <w:pPr>
      <w:numPr>
        <w:ilvl w:val="6"/>
        <w:numId w:val="1"/>
      </w:numPr>
      <w:spacing w:after="240" w:line="360" w:lineRule="atLeast"/>
      <w:jc w:val="both"/>
    </w:pPr>
    <w:rPr>
      <w:rFonts w:eastAsia="Times New Roman" w:cs="Times New Roman"/>
      <w:sz w:val="20"/>
      <w:szCs w:val="20"/>
      <w:lang w:val="en-GB" w:eastAsia="en-GB"/>
    </w:rPr>
  </w:style>
  <w:style w:type="paragraph" w:customStyle="1" w:styleId="Clause8Sub">
    <w:name w:val="Clause8Sub"/>
    <w:basedOn w:val="Normal"/>
    <w:qFormat/>
    <w:rsid w:val="001275D7"/>
    <w:pPr>
      <w:numPr>
        <w:ilvl w:val="7"/>
        <w:numId w:val="1"/>
      </w:numPr>
      <w:spacing w:after="240" w:line="360" w:lineRule="atLeast"/>
      <w:jc w:val="both"/>
    </w:pPr>
    <w:rPr>
      <w:rFonts w:eastAsia="Times New Roman" w:cs="Times New Roman"/>
      <w:sz w:val="20"/>
      <w:szCs w:val="20"/>
      <w:lang w:val="en-GB" w:eastAsia="en-GB"/>
    </w:rPr>
  </w:style>
  <w:style w:type="paragraph" w:customStyle="1" w:styleId="Clause9Sub">
    <w:name w:val="Clause9Sub"/>
    <w:basedOn w:val="Normal"/>
    <w:qFormat/>
    <w:rsid w:val="001275D7"/>
    <w:pPr>
      <w:numPr>
        <w:ilvl w:val="8"/>
        <w:numId w:val="1"/>
      </w:numPr>
      <w:spacing w:after="240" w:line="360" w:lineRule="atLeast"/>
      <w:jc w:val="both"/>
    </w:pPr>
    <w:rPr>
      <w:rFonts w:eastAsia="Times New Roman" w:cs="Times New Roman"/>
      <w:sz w:val="20"/>
      <w:szCs w:val="20"/>
      <w:lang w:val="en-GB" w:eastAsia="en-GB"/>
    </w:rPr>
  </w:style>
  <w:style w:type="table" w:customStyle="1" w:styleId="TableGrid1">
    <w:name w:val="Table Grid1"/>
    <w:basedOn w:val="TableNormal"/>
    <w:next w:val="TableGrid"/>
    <w:rsid w:val="001275D7"/>
    <w:pPr>
      <w:spacing w:after="0" w:line="240" w:lineRule="auto"/>
    </w:pPr>
    <w:rPr>
      <w:rFonts w:asciiTheme="minorHAnsi" w:hAnsiTheme="minorHAnsi" w:cstheme="minorBidi"/>
      <w:bCs w:val="0"/>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2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07B"/>
    <w:pPr>
      <w:tabs>
        <w:tab w:val="center" w:pos="4513"/>
        <w:tab w:val="right" w:pos="9026"/>
      </w:tabs>
      <w:spacing w:line="240" w:lineRule="auto"/>
    </w:pPr>
  </w:style>
  <w:style w:type="character" w:customStyle="1" w:styleId="HeaderChar">
    <w:name w:val="Header Char"/>
    <w:basedOn w:val="DefaultParagraphFont"/>
    <w:link w:val="Header"/>
    <w:uiPriority w:val="99"/>
    <w:rsid w:val="00E2707B"/>
    <w:rPr>
      <w:rFonts w:eastAsia="Arial"/>
      <w:bCs w:val="0"/>
      <w:sz w:val="22"/>
      <w:szCs w:val="22"/>
      <w:lang w:val="en" w:eastAsia="en-ZA"/>
    </w:rPr>
  </w:style>
  <w:style w:type="paragraph" w:styleId="Footer">
    <w:name w:val="footer"/>
    <w:basedOn w:val="Normal"/>
    <w:link w:val="FooterChar"/>
    <w:uiPriority w:val="99"/>
    <w:unhideWhenUsed/>
    <w:rsid w:val="00E2707B"/>
    <w:pPr>
      <w:tabs>
        <w:tab w:val="center" w:pos="4513"/>
        <w:tab w:val="right" w:pos="9026"/>
      </w:tabs>
      <w:spacing w:line="240" w:lineRule="auto"/>
    </w:pPr>
  </w:style>
  <w:style w:type="character" w:customStyle="1" w:styleId="FooterChar">
    <w:name w:val="Footer Char"/>
    <w:basedOn w:val="DefaultParagraphFont"/>
    <w:link w:val="Footer"/>
    <w:uiPriority w:val="99"/>
    <w:rsid w:val="00E2707B"/>
    <w:rPr>
      <w:rFonts w:eastAsia="Arial"/>
      <w:bCs w:val="0"/>
      <w:sz w:val="22"/>
      <w:szCs w:val="22"/>
      <w:lang w:val="en" w:eastAsia="en-ZA"/>
    </w:rPr>
  </w:style>
  <w:style w:type="character" w:customStyle="1" w:styleId="UnresolvedMention1">
    <w:name w:val="Unresolved Mention1"/>
    <w:basedOn w:val="DefaultParagraphFont"/>
    <w:uiPriority w:val="99"/>
    <w:semiHidden/>
    <w:unhideWhenUsed/>
    <w:rsid w:val="00B43E3E"/>
    <w:rPr>
      <w:color w:val="605E5C"/>
      <w:shd w:val="clear" w:color="auto" w:fill="E1DFDD"/>
    </w:rPr>
  </w:style>
  <w:style w:type="paragraph" w:styleId="FootnoteText">
    <w:name w:val="footnote text"/>
    <w:aliases w:val="Footnote Text Char1,Footnote Text Char Char,Footnote Text Char1 Char,Footnote Text Char Char Char,Footnote Text Char Char1,Char,Footnote Text Char2,Footnote Text Char2 Char1 Char Char Char,Footnote Text Char1 Char1 Char1 Char Char Ch,Fo,fn"/>
    <w:basedOn w:val="Normal"/>
    <w:link w:val="FootnoteTextChar"/>
    <w:unhideWhenUsed/>
    <w:qFormat/>
    <w:rsid w:val="009302B5"/>
    <w:pPr>
      <w:spacing w:line="240" w:lineRule="auto"/>
    </w:pPr>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Char Char,Footnote Text Char2 Char,Footnote Text Char2 Char1 Char Char Char Char"/>
    <w:basedOn w:val="DefaultParagraphFont"/>
    <w:link w:val="FootnoteText"/>
    <w:rsid w:val="009302B5"/>
    <w:rPr>
      <w:rFonts w:eastAsia="Arial"/>
      <w:bCs w:val="0"/>
      <w:sz w:val="20"/>
      <w:szCs w:val="20"/>
      <w:lang w:val="en" w:eastAsia="en-ZA"/>
    </w:rPr>
  </w:style>
  <w:style w:type="character" w:styleId="FootnoteReference">
    <w:name w:val="footnote reference"/>
    <w:basedOn w:val="DefaultParagraphFont"/>
    <w:uiPriority w:val="99"/>
    <w:semiHidden/>
    <w:unhideWhenUsed/>
    <w:rsid w:val="009302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461C6-7587-499B-8517-7C54B0F0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4121</Words>
  <Characters>23492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Notice of Motion (Aldor).docx</vt:lpstr>
    </vt:vector>
  </TitlesOfParts>
  <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Motion (Aldor).docx</dc:title>
  <dc:subject/>
  <dc:creator>Ana Milovanovic</dc:creator>
  <cp:keywords/>
  <dc:description/>
  <cp:lastModifiedBy>sathish sarshan  mohan</cp:lastModifiedBy>
  <cp:revision>5</cp:revision>
  <cp:lastPrinted>2024-07-08T19:03:00Z</cp:lastPrinted>
  <dcterms:created xsi:type="dcterms:W3CDTF">2024-07-08T19:27:00Z</dcterms:created>
  <dcterms:modified xsi:type="dcterms:W3CDTF">2024-07-12T15:31:00Z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
    <vt:lpwstr>1.0</vt:lpwstr>
  </property>
  <property fmtid="{D5CDD505-2E9C-101B-9397-08002B2CF9AE}" pid="3" name="MSIP_Label_1ddc26d6-e08a-4677-99b4-b9d001552377_Enabled">
    <vt:lpwstr>true</vt:lpwstr>
  </property>
  <property fmtid="{D5CDD505-2E9C-101B-9397-08002B2CF9AE}" pid="4" name="MSIP_Label_1ddc26d6-e08a-4677-99b4-b9d001552377_SetDate">
    <vt:lpwstr>2024-03-26T06:27:08Z</vt:lpwstr>
  </property>
  <property fmtid="{D5CDD505-2E9C-101B-9397-08002B2CF9AE}" pid="5" name="MSIP_Label_1ddc26d6-e08a-4677-99b4-b9d001552377_Method">
    <vt:lpwstr>Standard</vt:lpwstr>
  </property>
  <property fmtid="{D5CDD505-2E9C-101B-9397-08002B2CF9AE}" pid="6" name="MSIP_Label_1ddc26d6-e08a-4677-99b4-b9d001552377_Name">
    <vt:lpwstr>1ddc26d6-e08a-4677-99b4-b9d001552377</vt:lpwstr>
  </property>
  <property fmtid="{D5CDD505-2E9C-101B-9397-08002B2CF9AE}" pid="7" name="MSIP_Label_1ddc26d6-e08a-4677-99b4-b9d001552377_SiteId">
    <vt:lpwstr>b46cdc94-88af-46ac-805b-4ae55bbbd4f9</vt:lpwstr>
  </property>
  <property fmtid="{D5CDD505-2E9C-101B-9397-08002B2CF9AE}" pid="8" name="MSIP_Label_1ddc26d6-e08a-4677-99b4-b9d001552377_ActionId">
    <vt:lpwstr>bb8d6810-1d6a-420a-aa53-d6763986e442</vt:lpwstr>
  </property>
  <property fmtid="{D5CDD505-2E9C-101B-9397-08002B2CF9AE}" pid="9" name="MSIP_Label_1ddc26d6-e08a-4677-99b4-b9d001552377_ContentBits">
    <vt:lpwstr>0</vt:lpwstr>
  </property>
</Properties>
</file>