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74BCD" w14:textId="77777777" w:rsidR="00492BB1" w:rsidRPr="006C4511" w:rsidRDefault="00492BB1" w:rsidP="00492BB1">
      <w:pPr>
        <w:spacing w:after="0" w:line="360" w:lineRule="auto"/>
        <w:jc w:val="center"/>
        <w:rPr>
          <w:rFonts w:ascii="Arial" w:hAnsi="Arial" w:cs="Arial"/>
          <w:b/>
          <w:bCs/>
          <w:sz w:val="28"/>
          <w:szCs w:val="28"/>
        </w:rPr>
      </w:pPr>
      <w:bookmarkStart w:id="0" w:name="_GoBack"/>
      <w:bookmarkEnd w:id="0"/>
      <w:r w:rsidRPr="006C4511">
        <w:rPr>
          <w:rFonts w:ascii="Arial" w:hAnsi="Arial" w:cs="Arial"/>
          <w:b/>
          <w:bCs/>
          <w:sz w:val="28"/>
          <w:szCs w:val="28"/>
        </w:rPr>
        <w:t>REPUBLIC OF SOUTH AFRICA</w:t>
      </w:r>
    </w:p>
    <w:p w14:paraId="6E43D0C9" w14:textId="77777777" w:rsidR="00492BB1" w:rsidRPr="006C4511" w:rsidRDefault="00492BB1" w:rsidP="00492BB1">
      <w:pPr>
        <w:spacing w:after="0" w:line="360" w:lineRule="auto"/>
        <w:jc w:val="center"/>
        <w:rPr>
          <w:rFonts w:ascii="Arial" w:hAnsi="Arial" w:cs="Arial"/>
          <w:b/>
          <w:bCs/>
        </w:rPr>
      </w:pPr>
    </w:p>
    <w:p w14:paraId="3AAD9CA4" w14:textId="77777777" w:rsidR="00492BB1" w:rsidRPr="006C4511" w:rsidRDefault="00492BB1" w:rsidP="00492BB1">
      <w:pPr>
        <w:spacing w:after="0" w:line="360" w:lineRule="auto"/>
        <w:jc w:val="center"/>
        <w:rPr>
          <w:rFonts w:ascii="Arial" w:hAnsi="Arial" w:cs="Arial"/>
        </w:rPr>
      </w:pPr>
      <w:r w:rsidRPr="006C4511">
        <w:rPr>
          <w:rFonts w:ascii="Arial" w:hAnsi="Arial" w:cs="Arial"/>
          <w:noProof/>
          <w:lang w:val="en-ZA" w:eastAsia="en-ZA"/>
        </w:rPr>
        <w:drawing>
          <wp:inline distT="0" distB="0" distL="0" distR="0" wp14:anchorId="0B3FCAB1" wp14:editId="294FB135">
            <wp:extent cx="2877820" cy="1865630"/>
            <wp:effectExtent l="0" t="0" r="0" b="1270"/>
            <wp:docPr id="974299596" name="Picture 974299596" descr="A logo of a law fi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99596" name="Picture 974299596" descr="A logo of a law fir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1865630"/>
                    </a:xfrm>
                    <a:prstGeom prst="rect">
                      <a:avLst/>
                    </a:prstGeom>
                    <a:noFill/>
                  </pic:spPr>
                </pic:pic>
              </a:graphicData>
            </a:graphic>
          </wp:inline>
        </w:drawing>
      </w:r>
    </w:p>
    <w:p w14:paraId="315F0F87" w14:textId="77777777" w:rsidR="00492BB1" w:rsidRPr="006C4511" w:rsidRDefault="00492BB1" w:rsidP="00492BB1">
      <w:pPr>
        <w:spacing w:after="0" w:line="360" w:lineRule="auto"/>
        <w:rPr>
          <w:rFonts w:ascii="Arial" w:hAnsi="Arial" w:cs="Arial"/>
        </w:rPr>
      </w:pPr>
    </w:p>
    <w:p w14:paraId="26E3809E" w14:textId="77777777" w:rsidR="00492BB1" w:rsidRPr="006C4511" w:rsidRDefault="00492BB1" w:rsidP="00492BB1">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r w:rsidRPr="006C4511">
        <w:rPr>
          <w:rFonts w:ascii="Arial" w:eastAsia="Times New Roman" w:hAnsi="Arial" w:cs="Arial"/>
          <w:b/>
          <w:lang w:eastAsia="en-GB"/>
        </w:rPr>
        <w:t>IN THE HIGH COURT OF SOUTH AFRICA</w:t>
      </w:r>
    </w:p>
    <w:p w14:paraId="00C9E752" w14:textId="77777777" w:rsidR="00492BB1" w:rsidRPr="006C4511" w:rsidRDefault="00492BB1" w:rsidP="00492BB1">
      <w:pPr>
        <w:widowControl w:val="0"/>
        <w:tabs>
          <w:tab w:val="center" w:pos="4512"/>
        </w:tabs>
        <w:autoSpaceDE w:val="0"/>
        <w:autoSpaceDN w:val="0"/>
        <w:adjustRightInd w:val="0"/>
        <w:spacing w:after="0" w:line="360" w:lineRule="auto"/>
        <w:jc w:val="center"/>
        <w:rPr>
          <w:rFonts w:ascii="Arial" w:eastAsia="Times New Roman" w:hAnsi="Arial" w:cs="Arial"/>
          <w:lang w:eastAsia="en-GB"/>
        </w:rPr>
      </w:pPr>
      <w:r w:rsidRPr="006C4511">
        <w:rPr>
          <w:rFonts w:ascii="Arial" w:eastAsia="Times New Roman" w:hAnsi="Arial" w:cs="Arial"/>
          <w:b/>
          <w:lang w:eastAsia="en-GB"/>
        </w:rPr>
        <w:t>GAUTENG DIVISION, PRETORIA</w:t>
      </w:r>
    </w:p>
    <w:p w14:paraId="5CBBF7EC" w14:textId="77777777" w:rsidR="00492BB1" w:rsidRPr="006C4511" w:rsidRDefault="00492BB1" w:rsidP="00492BB1">
      <w:pPr>
        <w:widowControl w:val="0"/>
        <w:autoSpaceDE w:val="0"/>
        <w:autoSpaceDN w:val="0"/>
        <w:adjustRightInd w:val="0"/>
        <w:spacing w:after="0" w:line="360" w:lineRule="auto"/>
        <w:jc w:val="both"/>
        <w:rPr>
          <w:rFonts w:ascii="Arial" w:eastAsia="Times New Roman" w:hAnsi="Arial" w:cs="Arial"/>
          <w:lang w:eastAsia="en-GB"/>
        </w:rPr>
      </w:pPr>
    </w:p>
    <w:tbl>
      <w:tblPr>
        <w:tblW w:w="486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492BB1" w:rsidRPr="006C4511" w14:paraId="6C347A6D" w14:textId="77777777" w:rsidTr="001C1B13">
        <w:trPr>
          <w:trHeight w:val="1565"/>
        </w:trPr>
        <w:tc>
          <w:tcPr>
            <w:tcW w:w="4860" w:type="dxa"/>
            <w:tcBorders>
              <w:top w:val="single" w:sz="4" w:space="0" w:color="auto"/>
              <w:left w:val="single" w:sz="4" w:space="0" w:color="auto"/>
              <w:bottom w:val="single" w:sz="4" w:space="0" w:color="auto"/>
              <w:right w:val="single" w:sz="4" w:space="0" w:color="auto"/>
            </w:tcBorders>
            <w:hideMark/>
          </w:tcPr>
          <w:p w14:paraId="32230F59" w14:textId="77777777" w:rsidR="00492BB1" w:rsidRPr="006C4511" w:rsidRDefault="00492BB1" w:rsidP="001C1B13">
            <w:pPr>
              <w:spacing w:after="0" w:line="360" w:lineRule="auto"/>
              <w:jc w:val="both"/>
              <w:rPr>
                <w:rFonts w:ascii="Arial" w:hAnsi="Arial" w:cs="Arial"/>
                <w:b/>
                <w:lang w:val="en-GB"/>
              </w:rPr>
            </w:pPr>
            <w:r w:rsidRPr="006C4511">
              <w:rPr>
                <w:rFonts w:ascii="Arial" w:hAnsi="Arial" w:cs="Arial"/>
                <w:b/>
                <w:lang w:val="en-GB"/>
              </w:rPr>
              <w:t>(1) REPORTABLE: YES</w:t>
            </w:r>
          </w:p>
          <w:p w14:paraId="06109CE2" w14:textId="77777777" w:rsidR="00492BB1" w:rsidRPr="006C4511" w:rsidRDefault="00492BB1" w:rsidP="001C1B13">
            <w:pPr>
              <w:spacing w:after="0" w:line="360" w:lineRule="auto"/>
              <w:jc w:val="both"/>
              <w:rPr>
                <w:rFonts w:ascii="Arial" w:hAnsi="Arial" w:cs="Arial"/>
                <w:b/>
                <w:lang w:val="en-GB"/>
              </w:rPr>
            </w:pPr>
            <w:r w:rsidRPr="006C4511">
              <w:rPr>
                <w:rFonts w:ascii="Arial" w:hAnsi="Arial" w:cs="Arial"/>
                <w:b/>
                <w:lang w:val="en-GB"/>
              </w:rPr>
              <w:t>(2) OF INTEREST TO OTHER JUDGES: YES</w:t>
            </w:r>
          </w:p>
          <w:p w14:paraId="465F2B85" w14:textId="534B26A5" w:rsidR="00492BB1" w:rsidRPr="006C4511" w:rsidRDefault="00492BB1" w:rsidP="001C1B13">
            <w:pPr>
              <w:spacing w:after="0" w:line="360" w:lineRule="auto"/>
              <w:jc w:val="both"/>
              <w:rPr>
                <w:rFonts w:ascii="Arial" w:hAnsi="Arial" w:cs="Arial"/>
                <w:b/>
                <w:lang w:val="en-GB"/>
              </w:rPr>
            </w:pPr>
            <w:r w:rsidRPr="006C4511">
              <w:rPr>
                <w:rFonts w:ascii="Arial" w:hAnsi="Arial" w:cs="Arial"/>
                <w:b/>
                <w:lang w:val="en-GB"/>
              </w:rPr>
              <w:t xml:space="preserve">DATE: </w:t>
            </w:r>
            <w:r w:rsidR="00BF39C7">
              <w:rPr>
                <w:rFonts w:ascii="Arial" w:hAnsi="Arial" w:cs="Arial"/>
                <w:b/>
                <w:lang w:val="en-GB"/>
              </w:rPr>
              <w:t>0</w:t>
            </w:r>
            <w:r w:rsidR="0013726E">
              <w:rPr>
                <w:rFonts w:ascii="Arial" w:hAnsi="Arial" w:cs="Arial"/>
                <w:b/>
                <w:lang w:val="en-GB"/>
              </w:rPr>
              <w:t>5</w:t>
            </w:r>
            <w:r w:rsidR="00DE17FF">
              <w:rPr>
                <w:rFonts w:ascii="Arial" w:hAnsi="Arial" w:cs="Arial"/>
                <w:b/>
                <w:lang w:val="en-GB"/>
              </w:rPr>
              <w:t xml:space="preserve"> July </w:t>
            </w:r>
            <w:r w:rsidRPr="006C4511">
              <w:rPr>
                <w:rFonts w:ascii="Arial" w:hAnsi="Arial" w:cs="Arial"/>
                <w:b/>
                <w:lang w:val="en-GB"/>
              </w:rPr>
              <w:t>202</w:t>
            </w:r>
            <w:r>
              <w:rPr>
                <w:rFonts w:ascii="Arial" w:hAnsi="Arial" w:cs="Arial"/>
                <w:b/>
                <w:lang w:val="en-GB"/>
              </w:rPr>
              <w:t>4</w:t>
            </w:r>
          </w:p>
          <w:p w14:paraId="4C15679B" w14:textId="77777777" w:rsidR="00492BB1" w:rsidRPr="006C4511" w:rsidRDefault="00492BB1" w:rsidP="001C1B13">
            <w:pPr>
              <w:spacing w:after="0" w:line="360" w:lineRule="auto"/>
              <w:jc w:val="both"/>
              <w:rPr>
                <w:rFonts w:ascii="Arial" w:hAnsi="Arial" w:cs="Arial"/>
                <w:b/>
                <w:lang w:val="en-GB"/>
              </w:rPr>
            </w:pPr>
            <w:r w:rsidRPr="006C4511">
              <w:rPr>
                <w:rFonts w:ascii="Arial" w:hAnsi="Arial" w:cs="Arial"/>
                <w:b/>
                <w:lang w:val="en-GB"/>
              </w:rPr>
              <w:t xml:space="preserve">SIGNATURE: ……………………………………. </w:t>
            </w:r>
          </w:p>
        </w:tc>
      </w:tr>
    </w:tbl>
    <w:p w14:paraId="2FCD8137" w14:textId="77777777" w:rsidR="00D61DFA" w:rsidRDefault="00D61DFA" w:rsidP="00492BB1">
      <w:pPr>
        <w:spacing w:after="0" w:line="360" w:lineRule="auto"/>
        <w:ind w:right="-188"/>
        <w:contextualSpacing/>
        <w:jc w:val="right"/>
        <w:rPr>
          <w:rFonts w:ascii="Arial" w:hAnsi="Arial" w:cs="Arial"/>
          <w:b/>
          <w:bCs/>
          <w:color w:val="000000" w:themeColor="text1"/>
        </w:rPr>
      </w:pPr>
    </w:p>
    <w:p w14:paraId="04F160AD" w14:textId="58B195D2" w:rsidR="00492BB1" w:rsidRDefault="00492BB1" w:rsidP="00492BB1">
      <w:pPr>
        <w:spacing w:after="0" w:line="360" w:lineRule="auto"/>
        <w:ind w:right="-188"/>
        <w:contextualSpacing/>
        <w:jc w:val="right"/>
        <w:rPr>
          <w:rFonts w:ascii="Arial" w:hAnsi="Arial" w:cs="Arial"/>
          <w:b/>
          <w:bCs/>
          <w:color w:val="000000" w:themeColor="text1"/>
        </w:rPr>
      </w:pPr>
      <w:r w:rsidRPr="006C4511">
        <w:rPr>
          <w:rFonts w:ascii="Arial" w:hAnsi="Arial" w:cs="Arial"/>
          <w:b/>
          <w:bCs/>
          <w:color w:val="000000" w:themeColor="text1"/>
        </w:rPr>
        <w:t>CASE NUMBER:</w:t>
      </w:r>
      <w:r w:rsidR="0008732D">
        <w:rPr>
          <w:rFonts w:ascii="Arial" w:hAnsi="Arial" w:cs="Arial"/>
          <w:b/>
          <w:bCs/>
          <w:color w:val="000000" w:themeColor="text1"/>
        </w:rPr>
        <w:t>19839/22</w:t>
      </w:r>
    </w:p>
    <w:p w14:paraId="3B168A70" w14:textId="77777777" w:rsidR="00492BB1" w:rsidRPr="003B4D17" w:rsidRDefault="00492BB1" w:rsidP="00492BB1">
      <w:pPr>
        <w:spacing w:after="0" w:line="360" w:lineRule="auto"/>
        <w:ind w:right="-188"/>
        <w:contextualSpacing/>
        <w:jc w:val="right"/>
        <w:rPr>
          <w:rFonts w:ascii="Arial" w:hAnsi="Arial" w:cs="Arial"/>
          <w:color w:val="000000" w:themeColor="text1"/>
        </w:rPr>
      </w:pPr>
    </w:p>
    <w:p w14:paraId="6AC9D05D" w14:textId="77777777" w:rsidR="00492BB1" w:rsidRPr="006C4511" w:rsidRDefault="00492BB1" w:rsidP="00492BB1">
      <w:pPr>
        <w:spacing w:after="0" w:line="360" w:lineRule="auto"/>
        <w:ind w:right="-188"/>
        <w:contextualSpacing/>
        <w:rPr>
          <w:rFonts w:ascii="Arial" w:hAnsi="Arial" w:cs="Arial"/>
          <w:b/>
          <w:bCs/>
        </w:rPr>
      </w:pPr>
      <w:r w:rsidRPr="006C4511">
        <w:rPr>
          <w:rFonts w:ascii="Arial" w:hAnsi="Arial" w:cs="Arial"/>
          <w:b/>
          <w:bCs/>
        </w:rPr>
        <w:t>In the matter between:</w:t>
      </w:r>
    </w:p>
    <w:p w14:paraId="5B4B6C48" w14:textId="77777777" w:rsidR="00492BB1" w:rsidRPr="00684D86" w:rsidRDefault="00492BB1" w:rsidP="00492BB1">
      <w:pPr>
        <w:spacing w:after="0" w:line="360" w:lineRule="auto"/>
        <w:jc w:val="both"/>
        <w:rPr>
          <w:rFonts w:ascii="Arial" w:hAnsi="Arial" w:cs="Arial"/>
        </w:rPr>
      </w:pPr>
    </w:p>
    <w:p w14:paraId="7785E097" w14:textId="4FB90632" w:rsidR="00492BB1" w:rsidRPr="0036713C" w:rsidRDefault="00877E8C" w:rsidP="00492BB1">
      <w:pPr>
        <w:spacing w:after="0" w:line="360" w:lineRule="auto"/>
        <w:jc w:val="both"/>
        <w:rPr>
          <w:rFonts w:ascii="Arial" w:hAnsi="Arial" w:cs="Arial"/>
          <w:b/>
          <w:bCs/>
        </w:rPr>
      </w:pPr>
      <w:r>
        <w:rPr>
          <w:rFonts w:ascii="Arial" w:hAnsi="Arial" w:cs="Arial"/>
          <w:b/>
          <w:bCs/>
        </w:rPr>
        <w:t xml:space="preserve">BMW FINANCIAL SERVICES </w:t>
      </w:r>
      <w:r w:rsidR="005D3AC1">
        <w:rPr>
          <w:rFonts w:ascii="Arial" w:hAnsi="Arial" w:cs="Arial"/>
          <w:b/>
          <w:bCs/>
        </w:rPr>
        <w:t>SA (PTY) LTD</w:t>
      </w:r>
      <w:r w:rsidR="00492BB1" w:rsidRPr="0036713C">
        <w:rPr>
          <w:rFonts w:ascii="Arial" w:hAnsi="Arial" w:cs="Arial"/>
          <w:b/>
          <w:bCs/>
        </w:rPr>
        <w:tab/>
      </w:r>
      <w:r w:rsidR="00492BB1" w:rsidRPr="0036713C">
        <w:rPr>
          <w:rFonts w:ascii="Arial" w:hAnsi="Arial" w:cs="Arial"/>
          <w:b/>
          <w:bCs/>
        </w:rPr>
        <w:tab/>
      </w:r>
      <w:r w:rsidR="00866938">
        <w:rPr>
          <w:rFonts w:ascii="Arial" w:hAnsi="Arial" w:cs="Arial"/>
          <w:b/>
          <w:bCs/>
        </w:rPr>
        <w:tab/>
      </w:r>
      <w:r w:rsidR="00560B8A">
        <w:rPr>
          <w:rFonts w:ascii="Arial" w:hAnsi="Arial" w:cs="Arial"/>
          <w:b/>
          <w:bCs/>
        </w:rPr>
        <w:t>PLAINTIFF</w:t>
      </w:r>
    </w:p>
    <w:p w14:paraId="66060A46" w14:textId="77777777" w:rsidR="00492BB1" w:rsidRPr="0036713C" w:rsidRDefault="00492BB1" w:rsidP="00492BB1">
      <w:pPr>
        <w:spacing w:after="0" w:line="360" w:lineRule="auto"/>
        <w:jc w:val="both"/>
        <w:rPr>
          <w:rFonts w:ascii="Arial" w:hAnsi="Arial" w:cs="Arial"/>
          <w:b/>
          <w:bCs/>
        </w:rPr>
      </w:pPr>
    </w:p>
    <w:p w14:paraId="10C4FE5E" w14:textId="77777777" w:rsidR="00492BB1" w:rsidRPr="0036713C" w:rsidRDefault="00492BB1" w:rsidP="00492BB1">
      <w:pPr>
        <w:spacing w:after="0" w:line="360" w:lineRule="auto"/>
        <w:jc w:val="both"/>
        <w:rPr>
          <w:rFonts w:ascii="Arial" w:hAnsi="Arial" w:cs="Arial"/>
          <w:b/>
          <w:bCs/>
        </w:rPr>
      </w:pPr>
      <w:r w:rsidRPr="0036713C">
        <w:rPr>
          <w:rFonts w:ascii="Arial" w:hAnsi="Arial" w:cs="Arial"/>
          <w:b/>
          <w:bCs/>
        </w:rPr>
        <w:t>And</w:t>
      </w:r>
    </w:p>
    <w:p w14:paraId="705F14F1" w14:textId="77777777" w:rsidR="00492BB1" w:rsidRPr="0036713C" w:rsidRDefault="00492BB1" w:rsidP="00492BB1">
      <w:pPr>
        <w:spacing w:after="0" w:line="360" w:lineRule="auto"/>
        <w:jc w:val="both"/>
        <w:rPr>
          <w:rFonts w:ascii="Arial" w:hAnsi="Arial" w:cs="Arial"/>
          <w:b/>
          <w:bCs/>
        </w:rPr>
      </w:pPr>
    </w:p>
    <w:p w14:paraId="0AB3559E" w14:textId="7DD01D7D" w:rsidR="00492BB1" w:rsidRPr="0036713C" w:rsidRDefault="00B46EC2" w:rsidP="00492BB1">
      <w:pPr>
        <w:spacing w:after="0" w:line="360" w:lineRule="auto"/>
        <w:jc w:val="both"/>
        <w:rPr>
          <w:rFonts w:ascii="Arial" w:hAnsi="Arial" w:cs="Arial"/>
          <w:b/>
          <w:bCs/>
        </w:rPr>
      </w:pPr>
      <w:r>
        <w:rPr>
          <w:rFonts w:ascii="Arial" w:hAnsi="Arial" w:cs="Arial"/>
          <w:b/>
          <w:bCs/>
        </w:rPr>
        <w:t>SV105 TRADING CC</w:t>
      </w:r>
      <w:r w:rsidR="00492BB1" w:rsidRPr="0036713C">
        <w:rPr>
          <w:rFonts w:ascii="Arial" w:hAnsi="Arial" w:cs="Arial"/>
          <w:b/>
          <w:bCs/>
        </w:rPr>
        <w:tab/>
      </w:r>
      <w:r w:rsidR="00492BB1" w:rsidRPr="0036713C">
        <w:rPr>
          <w:rFonts w:ascii="Arial" w:hAnsi="Arial" w:cs="Arial"/>
          <w:b/>
          <w:bCs/>
        </w:rPr>
        <w:tab/>
      </w:r>
      <w:r w:rsidR="00492BB1" w:rsidRPr="0036713C">
        <w:rPr>
          <w:rFonts w:ascii="Arial" w:hAnsi="Arial" w:cs="Arial"/>
          <w:b/>
          <w:bCs/>
        </w:rPr>
        <w:tab/>
      </w:r>
      <w:r w:rsidR="00492BB1" w:rsidRPr="0036713C">
        <w:rPr>
          <w:rFonts w:ascii="Arial" w:hAnsi="Arial" w:cs="Arial"/>
          <w:b/>
          <w:bCs/>
        </w:rPr>
        <w:tab/>
      </w:r>
      <w:r>
        <w:rPr>
          <w:rFonts w:ascii="Arial" w:hAnsi="Arial" w:cs="Arial"/>
          <w:b/>
          <w:bCs/>
        </w:rPr>
        <w:tab/>
      </w:r>
      <w:r>
        <w:rPr>
          <w:rFonts w:ascii="Arial" w:hAnsi="Arial" w:cs="Arial"/>
          <w:b/>
          <w:bCs/>
        </w:rPr>
        <w:tab/>
      </w:r>
      <w:r w:rsidR="00866938">
        <w:rPr>
          <w:rFonts w:ascii="Arial" w:hAnsi="Arial" w:cs="Arial"/>
          <w:b/>
          <w:bCs/>
        </w:rPr>
        <w:tab/>
      </w:r>
      <w:r w:rsidR="00492BB1">
        <w:rPr>
          <w:rFonts w:ascii="Arial" w:hAnsi="Arial" w:cs="Arial"/>
          <w:b/>
          <w:bCs/>
        </w:rPr>
        <w:t xml:space="preserve">FIRST </w:t>
      </w:r>
      <w:r w:rsidR="00560B8A">
        <w:rPr>
          <w:rFonts w:ascii="Arial" w:hAnsi="Arial" w:cs="Arial"/>
          <w:b/>
          <w:bCs/>
        </w:rPr>
        <w:t>DEFENDANT</w:t>
      </w:r>
    </w:p>
    <w:p w14:paraId="1CE84FD0" w14:textId="77777777" w:rsidR="00492BB1" w:rsidRDefault="00492BB1" w:rsidP="00492BB1">
      <w:pPr>
        <w:spacing w:after="0" w:line="360" w:lineRule="auto"/>
        <w:jc w:val="both"/>
        <w:rPr>
          <w:rFonts w:ascii="Arial" w:hAnsi="Arial" w:cs="Arial"/>
          <w:b/>
          <w:bCs/>
        </w:rPr>
      </w:pPr>
    </w:p>
    <w:p w14:paraId="174AA7FF" w14:textId="37042B87" w:rsidR="00492BB1" w:rsidRDefault="00866938" w:rsidP="00492BB1">
      <w:pPr>
        <w:spacing w:after="0" w:line="360" w:lineRule="auto"/>
        <w:jc w:val="both"/>
        <w:rPr>
          <w:rFonts w:ascii="Arial" w:hAnsi="Arial" w:cs="Arial"/>
          <w:b/>
          <w:bCs/>
        </w:rPr>
      </w:pPr>
      <w:r>
        <w:rPr>
          <w:rFonts w:ascii="Arial" w:hAnsi="Arial" w:cs="Arial"/>
          <w:b/>
          <w:bCs/>
        </w:rPr>
        <w:t>DANIEL RETIEF GEYER</w:t>
      </w:r>
      <w:r w:rsidR="00492BB1">
        <w:rPr>
          <w:rFonts w:ascii="Arial" w:hAnsi="Arial" w:cs="Arial"/>
          <w:b/>
          <w:bCs/>
        </w:rPr>
        <w:tab/>
      </w:r>
      <w:r w:rsidR="00492BB1">
        <w:rPr>
          <w:rFonts w:ascii="Arial" w:hAnsi="Arial" w:cs="Arial"/>
          <w:b/>
          <w:bCs/>
        </w:rPr>
        <w:tab/>
      </w:r>
      <w:r w:rsidR="00492BB1">
        <w:rPr>
          <w:rFonts w:ascii="Arial" w:hAnsi="Arial" w:cs="Arial"/>
          <w:b/>
          <w:bCs/>
        </w:rPr>
        <w:tab/>
      </w:r>
      <w:r w:rsidR="00492BB1">
        <w:rPr>
          <w:rFonts w:ascii="Arial" w:hAnsi="Arial" w:cs="Arial"/>
          <w:b/>
          <w:bCs/>
        </w:rPr>
        <w:tab/>
      </w:r>
      <w:r>
        <w:rPr>
          <w:rFonts w:ascii="Arial" w:hAnsi="Arial" w:cs="Arial"/>
          <w:b/>
          <w:bCs/>
        </w:rPr>
        <w:tab/>
      </w:r>
      <w:r>
        <w:rPr>
          <w:rFonts w:ascii="Arial" w:hAnsi="Arial" w:cs="Arial"/>
          <w:b/>
          <w:bCs/>
        </w:rPr>
        <w:tab/>
      </w:r>
      <w:r w:rsidR="00492BB1">
        <w:rPr>
          <w:rFonts w:ascii="Arial" w:hAnsi="Arial" w:cs="Arial"/>
          <w:b/>
          <w:bCs/>
        </w:rPr>
        <w:t xml:space="preserve">SECOND </w:t>
      </w:r>
      <w:r w:rsidR="00560B8A">
        <w:rPr>
          <w:rFonts w:ascii="Arial" w:hAnsi="Arial" w:cs="Arial"/>
          <w:b/>
          <w:bCs/>
        </w:rPr>
        <w:t>DEFENDANT</w:t>
      </w:r>
    </w:p>
    <w:p w14:paraId="261B956A" w14:textId="77777777" w:rsidR="00492BB1" w:rsidRPr="0036713C" w:rsidRDefault="00492BB1" w:rsidP="00492BB1">
      <w:pPr>
        <w:spacing w:after="0" w:line="360" w:lineRule="auto"/>
        <w:jc w:val="both"/>
        <w:rPr>
          <w:rFonts w:ascii="Arial" w:hAnsi="Arial" w:cs="Arial"/>
          <w:b/>
          <w:bCs/>
        </w:rPr>
      </w:pPr>
    </w:p>
    <w:p w14:paraId="391C1B23" w14:textId="1048E108" w:rsidR="00597FFB" w:rsidRPr="0036713C" w:rsidRDefault="00866938" w:rsidP="00597FFB">
      <w:pPr>
        <w:spacing w:after="0" w:line="360" w:lineRule="auto"/>
        <w:jc w:val="both"/>
        <w:rPr>
          <w:rFonts w:ascii="Arial" w:hAnsi="Arial" w:cs="Arial"/>
          <w:b/>
          <w:bCs/>
        </w:rPr>
      </w:pPr>
      <w:r w:rsidRPr="00695EAE">
        <w:rPr>
          <w:rFonts w:ascii="Arial" w:hAnsi="Arial" w:cs="Arial"/>
          <w:b/>
          <w:bCs/>
        </w:rPr>
        <w:lastRenderedPageBreak/>
        <w:t>Delivery</w:t>
      </w:r>
      <w:r>
        <w:rPr>
          <w:rFonts w:ascii="Arial" w:hAnsi="Arial" w:cs="Arial"/>
        </w:rPr>
        <w:t xml:space="preserve">: </w:t>
      </w:r>
      <w:r w:rsidR="00597FFB" w:rsidRPr="00834488">
        <w:rPr>
          <w:rFonts w:ascii="Arial" w:hAnsi="Arial" w:cs="Arial"/>
          <w:i/>
          <w:iCs/>
        </w:rPr>
        <w:t>This judgment is issued by the Judge whose name appears herein and is submitted electronically to the parties /legal representatives by email. It is also uploaded on CaseLines and its date of delivery is deemed</w:t>
      </w:r>
      <w:r w:rsidR="00597FFB">
        <w:rPr>
          <w:rFonts w:ascii="Arial" w:hAnsi="Arial" w:cs="Arial"/>
          <w:i/>
          <w:iCs/>
        </w:rPr>
        <w:t xml:space="preserve"> </w:t>
      </w:r>
      <w:r w:rsidR="00BF39C7">
        <w:rPr>
          <w:rFonts w:ascii="Arial" w:hAnsi="Arial" w:cs="Arial"/>
          <w:i/>
          <w:iCs/>
        </w:rPr>
        <w:t>0</w:t>
      </w:r>
      <w:r w:rsidR="00F01904">
        <w:rPr>
          <w:rFonts w:ascii="Arial" w:hAnsi="Arial" w:cs="Arial"/>
          <w:i/>
          <w:iCs/>
        </w:rPr>
        <w:t>5</w:t>
      </w:r>
      <w:r w:rsidR="00BF39C7">
        <w:rPr>
          <w:rFonts w:ascii="Arial" w:hAnsi="Arial" w:cs="Arial"/>
          <w:i/>
          <w:iCs/>
        </w:rPr>
        <w:t xml:space="preserve"> July</w:t>
      </w:r>
      <w:r w:rsidR="00597FFB">
        <w:rPr>
          <w:rFonts w:ascii="Arial" w:hAnsi="Arial" w:cs="Arial"/>
          <w:i/>
          <w:iCs/>
        </w:rPr>
        <w:t xml:space="preserve"> </w:t>
      </w:r>
      <w:r w:rsidR="00597FFB" w:rsidRPr="00834488">
        <w:rPr>
          <w:rFonts w:ascii="Arial" w:hAnsi="Arial" w:cs="Arial"/>
          <w:i/>
          <w:iCs/>
        </w:rPr>
        <w:t>202</w:t>
      </w:r>
      <w:r w:rsidR="00597FFB">
        <w:rPr>
          <w:rFonts w:ascii="Arial" w:hAnsi="Arial" w:cs="Arial"/>
          <w:i/>
          <w:iCs/>
        </w:rPr>
        <w:t>4</w:t>
      </w:r>
      <w:r w:rsidR="00597FFB">
        <w:rPr>
          <w:rFonts w:ascii="Arial" w:hAnsi="Arial" w:cs="Arial"/>
        </w:rPr>
        <w:t>.</w:t>
      </w:r>
    </w:p>
    <w:p w14:paraId="0649E982" w14:textId="77777777" w:rsidR="00597FFB" w:rsidRDefault="00597FFB" w:rsidP="00597FFB">
      <w:pPr>
        <w:spacing w:after="0" w:line="360" w:lineRule="auto"/>
        <w:jc w:val="both"/>
        <w:rPr>
          <w:rFonts w:ascii="Arial" w:hAnsi="Arial" w:cs="Arial"/>
        </w:rPr>
      </w:pPr>
    </w:p>
    <w:p w14:paraId="155A6AD3" w14:textId="643F9334" w:rsidR="00597FFB" w:rsidRDefault="00597FFB" w:rsidP="00597FFB">
      <w:pPr>
        <w:pBdr>
          <w:bottom w:val="single" w:sz="12" w:space="1" w:color="auto"/>
        </w:pBdr>
        <w:spacing w:after="0" w:line="360" w:lineRule="auto"/>
        <w:jc w:val="both"/>
        <w:rPr>
          <w:rFonts w:ascii="Arial" w:hAnsi="Arial" w:cs="Arial"/>
        </w:rPr>
      </w:pPr>
      <w:r w:rsidRPr="004F005B">
        <w:rPr>
          <w:rFonts w:ascii="Arial" w:hAnsi="Arial" w:cs="Arial"/>
          <w:b/>
          <w:bCs/>
        </w:rPr>
        <w:t>Summary</w:t>
      </w:r>
      <w:r>
        <w:rPr>
          <w:rFonts w:ascii="Arial" w:hAnsi="Arial" w:cs="Arial"/>
        </w:rPr>
        <w:t>:</w:t>
      </w:r>
      <w:r w:rsidR="006B7077">
        <w:rPr>
          <w:rFonts w:ascii="Arial" w:hAnsi="Arial" w:cs="Arial"/>
        </w:rPr>
        <w:t xml:space="preserve"> </w:t>
      </w:r>
      <w:r w:rsidR="006D1819" w:rsidRPr="00695EAE">
        <w:rPr>
          <w:rFonts w:ascii="Arial" w:hAnsi="Arial" w:cs="Arial"/>
          <w:i/>
          <w:iCs/>
        </w:rPr>
        <w:t>Application</w:t>
      </w:r>
      <w:r w:rsidR="008F262B" w:rsidRPr="00695EAE">
        <w:rPr>
          <w:rFonts w:ascii="Arial" w:hAnsi="Arial" w:cs="Arial"/>
          <w:i/>
          <w:iCs/>
        </w:rPr>
        <w:t xml:space="preserve"> -</w:t>
      </w:r>
      <w:r w:rsidR="006D1819" w:rsidRPr="00695EAE">
        <w:rPr>
          <w:rFonts w:ascii="Arial" w:hAnsi="Arial" w:cs="Arial"/>
          <w:i/>
          <w:iCs/>
        </w:rPr>
        <w:t xml:space="preserve"> summary judgment. </w:t>
      </w:r>
      <w:r w:rsidR="008F262B" w:rsidRPr="00695EAE">
        <w:rPr>
          <w:rFonts w:ascii="Arial" w:hAnsi="Arial" w:cs="Arial"/>
          <w:i/>
          <w:iCs/>
        </w:rPr>
        <w:t>Credit sale agreement. Incorporation- National Credit Act 34 of 2005</w:t>
      </w:r>
      <w:r w:rsidR="00CF5AAC" w:rsidRPr="00695EAE">
        <w:rPr>
          <w:rFonts w:ascii="Arial" w:hAnsi="Arial" w:cs="Arial"/>
          <w:i/>
          <w:iCs/>
        </w:rPr>
        <w:t xml:space="preserve">. </w:t>
      </w:r>
      <w:r w:rsidR="006D1819" w:rsidRPr="00695EAE">
        <w:rPr>
          <w:rFonts w:ascii="Arial" w:hAnsi="Arial" w:cs="Arial"/>
          <w:i/>
          <w:iCs/>
        </w:rPr>
        <w:t xml:space="preserve">Application of the NCA-through </w:t>
      </w:r>
      <w:r w:rsidR="001B1643" w:rsidRPr="00695EAE">
        <w:rPr>
          <w:rFonts w:ascii="Arial" w:hAnsi="Arial" w:cs="Arial"/>
          <w:i/>
          <w:iCs/>
        </w:rPr>
        <w:t>‘</w:t>
      </w:r>
      <w:r w:rsidR="006D1819" w:rsidRPr="00695EAE">
        <w:rPr>
          <w:rFonts w:ascii="Arial" w:hAnsi="Arial" w:cs="Arial"/>
          <w:i/>
          <w:iCs/>
        </w:rPr>
        <w:t>incorporation</w:t>
      </w:r>
      <w:r w:rsidR="001B1643" w:rsidRPr="00695EAE">
        <w:rPr>
          <w:rFonts w:ascii="Arial" w:hAnsi="Arial" w:cs="Arial"/>
          <w:i/>
          <w:iCs/>
        </w:rPr>
        <w:t>’</w:t>
      </w:r>
      <w:r w:rsidR="006D1819" w:rsidRPr="00695EAE">
        <w:rPr>
          <w:rFonts w:ascii="Arial" w:hAnsi="Arial" w:cs="Arial"/>
          <w:i/>
          <w:iCs/>
        </w:rPr>
        <w:t>-agreement where NCA could not have been applicable</w:t>
      </w:r>
      <w:r w:rsidR="0031034F" w:rsidRPr="00695EAE">
        <w:rPr>
          <w:rFonts w:ascii="Arial" w:hAnsi="Arial" w:cs="Arial"/>
          <w:i/>
          <w:iCs/>
        </w:rPr>
        <w:t xml:space="preserve"> (Juristic persons </w:t>
      </w:r>
      <w:r w:rsidR="00CF7D47" w:rsidRPr="00695EAE">
        <w:rPr>
          <w:rFonts w:ascii="Arial" w:hAnsi="Arial" w:cs="Arial"/>
          <w:i/>
          <w:iCs/>
        </w:rPr>
        <w:t>–</w:t>
      </w:r>
      <w:r w:rsidR="0031034F" w:rsidRPr="00695EAE">
        <w:rPr>
          <w:rFonts w:ascii="Arial" w:hAnsi="Arial" w:cs="Arial"/>
          <w:i/>
          <w:iCs/>
        </w:rPr>
        <w:t xml:space="preserve"> section</w:t>
      </w:r>
      <w:r w:rsidR="00CF7D47" w:rsidRPr="00695EAE">
        <w:rPr>
          <w:rFonts w:ascii="Arial" w:hAnsi="Arial" w:cs="Arial"/>
          <w:i/>
          <w:iCs/>
        </w:rPr>
        <w:t xml:space="preserve"> 4(1)(b) alongside Regulation 7</w:t>
      </w:r>
      <w:r w:rsidR="00447A79" w:rsidRPr="00695EAE">
        <w:rPr>
          <w:rFonts w:ascii="Arial" w:hAnsi="Arial" w:cs="Arial"/>
          <w:i/>
          <w:iCs/>
        </w:rPr>
        <w:t>)</w:t>
      </w:r>
      <w:r w:rsidR="006D1819" w:rsidRPr="00695EAE">
        <w:rPr>
          <w:rFonts w:ascii="Arial" w:hAnsi="Arial" w:cs="Arial"/>
          <w:i/>
          <w:iCs/>
        </w:rPr>
        <w:t xml:space="preserve">. </w:t>
      </w:r>
      <w:r w:rsidR="00D54E4A">
        <w:rPr>
          <w:rFonts w:ascii="Arial" w:hAnsi="Arial" w:cs="Arial"/>
          <w:i/>
          <w:iCs/>
        </w:rPr>
        <w:t xml:space="preserve">Section 129-compliance-NCA. </w:t>
      </w:r>
      <w:r w:rsidR="00447A79" w:rsidRPr="00695EAE">
        <w:rPr>
          <w:rFonts w:ascii="Arial" w:hAnsi="Arial" w:cs="Arial"/>
          <w:i/>
          <w:iCs/>
        </w:rPr>
        <w:t>Application granted with costs-party and party</w:t>
      </w:r>
      <w:r w:rsidR="00CA7E1D" w:rsidRPr="00695EAE">
        <w:rPr>
          <w:rFonts w:ascii="Arial" w:hAnsi="Arial" w:cs="Arial"/>
          <w:i/>
          <w:iCs/>
        </w:rPr>
        <w:t xml:space="preserve"> (Scale B).</w:t>
      </w:r>
    </w:p>
    <w:p w14:paraId="48C0D314" w14:textId="77777777" w:rsidR="00597FFB" w:rsidRDefault="00597FFB" w:rsidP="00597FFB">
      <w:pPr>
        <w:spacing w:after="0" w:line="360" w:lineRule="auto"/>
        <w:jc w:val="both"/>
        <w:rPr>
          <w:rFonts w:ascii="Arial" w:hAnsi="Arial" w:cs="Arial"/>
          <w:b/>
          <w:bCs/>
        </w:rPr>
      </w:pPr>
    </w:p>
    <w:p w14:paraId="286E8979" w14:textId="77777777" w:rsidR="00597FFB" w:rsidRDefault="00597FFB" w:rsidP="00597FFB">
      <w:pPr>
        <w:spacing w:after="0" w:line="360" w:lineRule="auto"/>
        <w:jc w:val="center"/>
        <w:rPr>
          <w:rFonts w:ascii="Arial" w:hAnsi="Arial" w:cs="Arial"/>
          <w:b/>
          <w:bCs/>
        </w:rPr>
      </w:pPr>
      <w:r>
        <w:rPr>
          <w:rFonts w:ascii="Arial" w:hAnsi="Arial" w:cs="Arial"/>
          <w:b/>
          <w:bCs/>
        </w:rPr>
        <w:t>JUDGMENT</w:t>
      </w:r>
    </w:p>
    <w:p w14:paraId="339CAD51" w14:textId="77777777" w:rsidR="00597FFB" w:rsidRDefault="00597FFB" w:rsidP="00597FFB">
      <w:pPr>
        <w:spacing w:after="0" w:line="360" w:lineRule="auto"/>
        <w:jc w:val="both"/>
        <w:rPr>
          <w:rFonts w:ascii="Arial" w:hAnsi="Arial" w:cs="Arial"/>
          <w:b/>
          <w:bCs/>
        </w:rPr>
      </w:pPr>
      <w:r>
        <w:rPr>
          <w:rFonts w:ascii="Arial" w:hAnsi="Arial" w:cs="Arial"/>
          <w:b/>
          <w:bCs/>
        </w:rPr>
        <w:t>____________________________________________________________________________</w:t>
      </w:r>
    </w:p>
    <w:p w14:paraId="1CB1C569" w14:textId="77777777" w:rsidR="00597FFB" w:rsidRPr="00684D86" w:rsidRDefault="00597FFB" w:rsidP="00597FFB">
      <w:pPr>
        <w:spacing w:after="0" w:line="360" w:lineRule="auto"/>
        <w:jc w:val="both"/>
        <w:rPr>
          <w:rFonts w:ascii="Arial" w:hAnsi="Arial" w:cs="Arial"/>
          <w:b/>
          <w:bCs/>
        </w:rPr>
      </w:pPr>
      <w:r w:rsidRPr="00684D86">
        <w:rPr>
          <w:rFonts w:ascii="Arial" w:hAnsi="Arial" w:cs="Arial"/>
          <w:b/>
          <w:bCs/>
        </w:rPr>
        <w:t>NTLAMA-MAKHANYA AJ</w:t>
      </w:r>
    </w:p>
    <w:p w14:paraId="1E855A62" w14:textId="77777777" w:rsidR="00C83DD5" w:rsidRPr="00C83DD5" w:rsidRDefault="00C83DD5" w:rsidP="00C83DD5">
      <w:pPr>
        <w:spacing w:after="0" w:line="360" w:lineRule="auto"/>
        <w:jc w:val="both"/>
        <w:rPr>
          <w:rFonts w:ascii="Arial" w:hAnsi="Arial" w:cs="Arial"/>
        </w:rPr>
      </w:pPr>
    </w:p>
    <w:p w14:paraId="130B7961" w14:textId="0F9AC904" w:rsidR="00DF6608" w:rsidRDefault="007A0919" w:rsidP="00C83DD5">
      <w:pPr>
        <w:spacing w:after="0" w:line="360" w:lineRule="auto"/>
        <w:jc w:val="both"/>
        <w:rPr>
          <w:rFonts w:ascii="Arial" w:hAnsi="Arial" w:cs="Arial"/>
        </w:rPr>
      </w:pPr>
      <w:r>
        <w:rPr>
          <w:rFonts w:ascii="Arial" w:hAnsi="Arial" w:cs="Arial"/>
        </w:rPr>
        <w:t>[1]</w:t>
      </w:r>
      <w:r>
        <w:rPr>
          <w:rFonts w:ascii="Arial" w:hAnsi="Arial" w:cs="Arial"/>
        </w:rPr>
        <w:tab/>
      </w:r>
      <w:r w:rsidR="00831552">
        <w:rPr>
          <w:rFonts w:ascii="Arial" w:hAnsi="Arial" w:cs="Arial"/>
        </w:rPr>
        <w:t>Th</w:t>
      </w:r>
      <w:r w:rsidR="007A5DAA">
        <w:rPr>
          <w:rFonts w:ascii="Arial" w:hAnsi="Arial" w:cs="Arial"/>
        </w:rPr>
        <w:t>is is an opposed application for a summary judgment for the return of a motor-vehicle</w:t>
      </w:r>
      <w:r w:rsidR="00652CAD">
        <w:rPr>
          <w:rFonts w:ascii="Arial" w:hAnsi="Arial" w:cs="Arial"/>
        </w:rPr>
        <w:t xml:space="preserve"> </w:t>
      </w:r>
      <w:r w:rsidR="00E9418F">
        <w:rPr>
          <w:rFonts w:ascii="Arial" w:hAnsi="Arial" w:cs="Arial"/>
        </w:rPr>
        <w:t xml:space="preserve">which is in possession of the </w:t>
      </w:r>
      <w:r w:rsidR="00560B8A">
        <w:rPr>
          <w:rFonts w:ascii="Arial" w:hAnsi="Arial" w:cs="Arial"/>
        </w:rPr>
        <w:t>Defendants</w:t>
      </w:r>
      <w:r w:rsidR="00E9418F">
        <w:rPr>
          <w:rFonts w:ascii="Arial" w:hAnsi="Arial" w:cs="Arial"/>
        </w:rPr>
        <w:t>.</w:t>
      </w:r>
      <w:r w:rsidR="00595C17">
        <w:rPr>
          <w:rFonts w:ascii="Arial" w:hAnsi="Arial" w:cs="Arial"/>
        </w:rPr>
        <w:t xml:space="preserve"> </w:t>
      </w:r>
      <w:r w:rsidR="000E7CE0">
        <w:rPr>
          <w:rFonts w:ascii="Arial" w:hAnsi="Arial" w:cs="Arial"/>
        </w:rPr>
        <w:t>The parties entered into a credit sale agreement</w:t>
      </w:r>
      <w:r w:rsidR="00835D38">
        <w:rPr>
          <w:rFonts w:ascii="Arial" w:hAnsi="Arial" w:cs="Arial"/>
        </w:rPr>
        <w:t xml:space="preserve"> wherein the </w:t>
      </w:r>
      <w:r w:rsidR="00857A52">
        <w:rPr>
          <w:rFonts w:ascii="Arial" w:hAnsi="Arial" w:cs="Arial"/>
        </w:rPr>
        <w:t>Defendants</w:t>
      </w:r>
      <w:r w:rsidR="00835D38">
        <w:rPr>
          <w:rFonts w:ascii="Arial" w:hAnsi="Arial" w:cs="Arial"/>
        </w:rPr>
        <w:t xml:space="preserve"> </w:t>
      </w:r>
      <w:r w:rsidR="002C70E2">
        <w:rPr>
          <w:rFonts w:ascii="Arial" w:hAnsi="Arial" w:cs="Arial"/>
        </w:rPr>
        <w:t xml:space="preserve">defaulted on its payment, breaching the terms of the agreement. </w:t>
      </w:r>
      <w:r w:rsidR="0047065F">
        <w:rPr>
          <w:rFonts w:ascii="Arial" w:hAnsi="Arial" w:cs="Arial"/>
        </w:rPr>
        <w:t xml:space="preserve">The quantum </w:t>
      </w:r>
      <w:r w:rsidR="00EA3A09">
        <w:rPr>
          <w:rFonts w:ascii="Arial" w:hAnsi="Arial" w:cs="Arial"/>
        </w:rPr>
        <w:t xml:space="preserve">portion for damages was postponed </w:t>
      </w:r>
      <w:r w:rsidR="00EA3A09" w:rsidRPr="00EA3A09">
        <w:rPr>
          <w:rFonts w:ascii="Arial" w:hAnsi="Arial" w:cs="Arial"/>
          <w:i/>
          <w:iCs/>
        </w:rPr>
        <w:t>sine die</w:t>
      </w:r>
      <w:r w:rsidR="00EA3A09">
        <w:rPr>
          <w:rFonts w:ascii="Arial" w:hAnsi="Arial" w:cs="Arial"/>
          <w:i/>
          <w:iCs/>
        </w:rPr>
        <w:t xml:space="preserve"> </w:t>
      </w:r>
      <w:r w:rsidR="002864C8" w:rsidRPr="002864C8">
        <w:rPr>
          <w:rFonts w:ascii="Arial" w:hAnsi="Arial" w:cs="Arial"/>
        </w:rPr>
        <w:t xml:space="preserve">pending the return and selling of the </w:t>
      </w:r>
      <w:r w:rsidR="00857A52">
        <w:rPr>
          <w:rFonts w:ascii="Arial" w:hAnsi="Arial" w:cs="Arial"/>
        </w:rPr>
        <w:t>motor-</w:t>
      </w:r>
      <w:r w:rsidR="002864C8" w:rsidRPr="002864C8">
        <w:rPr>
          <w:rFonts w:ascii="Arial" w:hAnsi="Arial" w:cs="Arial"/>
        </w:rPr>
        <w:t>vehicle.</w:t>
      </w:r>
      <w:r w:rsidR="00800EF6">
        <w:rPr>
          <w:rFonts w:ascii="Arial" w:hAnsi="Arial" w:cs="Arial"/>
        </w:rPr>
        <w:t xml:space="preserve"> </w:t>
      </w:r>
      <w:r w:rsidR="00736242">
        <w:rPr>
          <w:rFonts w:ascii="Arial" w:hAnsi="Arial" w:cs="Arial"/>
        </w:rPr>
        <w:t xml:space="preserve">The application is opposed by the </w:t>
      </w:r>
      <w:r w:rsidR="009B6F1D">
        <w:rPr>
          <w:rFonts w:ascii="Arial" w:hAnsi="Arial" w:cs="Arial"/>
        </w:rPr>
        <w:t>Defendants</w:t>
      </w:r>
      <w:r w:rsidR="00736242">
        <w:rPr>
          <w:rFonts w:ascii="Arial" w:hAnsi="Arial" w:cs="Arial"/>
        </w:rPr>
        <w:t xml:space="preserve"> with the reasons to be articulated below.</w:t>
      </w:r>
    </w:p>
    <w:p w14:paraId="31B691E1" w14:textId="77777777" w:rsidR="00DF6608" w:rsidRDefault="00DF6608" w:rsidP="00C83DD5">
      <w:pPr>
        <w:spacing w:after="0" w:line="360" w:lineRule="auto"/>
        <w:jc w:val="both"/>
        <w:rPr>
          <w:rFonts w:ascii="Arial" w:hAnsi="Arial" w:cs="Arial"/>
        </w:rPr>
      </w:pPr>
    </w:p>
    <w:p w14:paraId="5AE44DC4" w14:textId="2773FE3E" w:rsidR="00C83DD5" w:rsidRDefault="007A5DAA" w:rsidP="00C83DD5">
      <w:pPr>
        <w:spacing w:after="0" w:line="360" w:lineRule="auto"/>
        <w:jc w:val="both"/>
        <w:rPr>
          <w:rFonts w:ascii="Arial" w:hAnsi="Arial" w:cs="Arial"/>
        </w:rPr>
      </w:pPr>
      <w:r>
        <w:rPr>
          <w:rFonts w:ascii="Arial" w:hAnsi="Arial" w:cs="Arial"/>
        </w:rPr>
        <w:t>[</w:t>
      </w:r>
      <w:r w:rsidR="002017E0">
        <w:rPr>
          <w:rFonts w:ascii="Arial" w:hAnsi="Arial" w:cs="Arial"/>
        </w:rPr>
        <w:t>2</w:t>
      </w:r>
      <w:r>
        <w:rPr>
          <w:rFonts w:ascii="Arial" w:hAnsi="Arial" w:cs="Arial"/>
        </w:rPr>
        <w:t>]</w:t>
      </w:r>
      <w:r>
        <w:rPr>
          <w:rFonts w:ascii="Arial" w:hAnsi="Arial" w:cs="Arial"/>
        </w:rPr>
        <w:tab/>
      </w:r>
      <w:r w:rsidR="00831552">
        <w:rPr>
          <w:rFonts w:ascii="Arial" w:hAnsi="Arial" w:cs="Arial"/>
        </w:rPr>
        <w:t>The relief sought was for the:</w:t>
      </w:r>
    </w:p>
    <w:p w14:paraId="79A181D2" w14:textId="77777777" w:rsidR="00831552" w:rsidRDefault="00831552" w:rsidP="00C83DD5">
      <w:pPr>
        <w:spacing w:after="0" w:line="360" w:lineRule="auto"/>
        <w:jc w:val="both"/>
        <w:rPr>
          <w:rFonts w:ascii="Arial" w:hAnsi="Arial" w:cs="Arial"/>
        </w:rPr>
      </w:pPr>
    </w:p>
    <w:p w14:paraId="0C7F12D7" w14:textId="6667AA1C" w:rsidR="00831552" w:rsidRDefault="007A5DAA" w:rsidP="007A5DAA">
      <w:pPr>
        <w:spacing w:after="0" w:line="360" w:lineRule="auto"/>
        <w:ind w:firstLine="720"/>
        <w:jc w:val="both"/>
        <w:rPr>
          <w:rFonts w:ascii="Arial" w:hAnsi="Arial" w:cs="Arial"/>
        </w:rPr>
      </w:pPr>
      <w:r>
        <w:rPr>
          <w:rFonts w:ascii="Arial" w:hAnsi="Arial" w:cs="Arial"/>
        </w:rPr>
        <w:t>[</w:t>
      </w:r>
      <w:r w:rsidR="002017E0">
        <w:rPr>
          <w:rFonts w:ascii="Arial" w:hAnsi="Arial" w:cs="Arial"/>
        </w:rPr>
        <w:t>2</w:t>
      </w:r>
      <w:r>
        <w:rPr>
          <w:rFonts w:ascii="Arial" w:hAnsi="Arial" w:cs="Arial"/>
        </w:rPr>
        <w:t>.1]</w:t>
      </w:r>
      <w:r>
        <w:rPr>
          <w:rFonts w:ascii="Arial" w:hAnsi="Arial" w:cs="Arial"/>
        </w:rPr>
        <w:tab/>
      </w:r>
      <w:r w:rsidR="00737C03">
        <w:rPr>
          <w:rFonts w:ascii="Arial" w:hAnsi="Arial" w:cs="Arial"/>
        </w:rPr>
        <w:t>c</w:t>
      </w:r>
      <w:r w:rsidR="00831552">
        <w:rPr>
          <w:rFonts w:ascii="Arial" w:hAnsi="Arial" w:cs="Arial"/>
        </w:rPr>
        <w:t>onfirmation of the termination of the agreement.</w:t>
      </w:r>
    </w:p>
    <w:p w14:paraId="43341A91" w14:textId="1E63A87F" w:rsidR="00765308" w:rsidRDefault="00297DDA" w:rsidP="007A5DAA">
      <w:pPr>
        <w:spacing w:after="0" w:line="360" w:lineRule="auto"/>
        <w:ind w:firstLine="720"/>
        <w:jc w:val="both"/>
        <w:rPr>
          <w:rFonts w:ascii="Arial" w:hAnsi="Arial" w:cs="Arial"/>
        </w:rPr>
      </w:pPr>
      <w:r>
        <w:rPr>
          <w:rFonts w:ascii="Arial" w:hAnsi="Arial" w:cs="Arial"/>
        </w:rPr>
        <w:t>[</w:t>
      </w:r>
      <w:r w:rsidR="002017E0">
        <w:rPr>
          <w:rFonts w:ascii="Arial" w:hAnsi="Arial" w:cs="Arial"/>
        </w:rPr>
        <w:t>2</w:t>
      </w:r>
      <w:r>
        <w:rPr>
          <w:rFonts w:ascii="Arial" w:hAnsi="Arial" w:cs="Arial"/>
        </w:rPr>
        <w:t>.2]</w:t>
      </w:r>
      <w:r>
        <w:rPr>
          <w:rFonts w:ascii="Arial" w:hAnsi="Arial" w:cs="Arial"/>
        </w:rPr>
        <w:tab/>
      </w:r>
      <w:r w:rsidR="00737C03">
        <w:rPr>
          <w:rFonts w:ascii="Arial" w:hAnsi="Arial" w:cs="Arial"/>
        </w:rPr>
        <w:t>r</w:t>
      </w:r>
      <w:r>
        <w:rPr>
          <w:rFonts w:ascii="Arial" w:hAnsi="Arial" w:cs="Arial"/>
        </w:rPr>
        <w:t>eturn of the motor-vehicle (Jaguar</w:t>
      </w:r>
      <w:r w:rsidR="00015A1D">
        <w:rPr>
          <w:rFonts w:ascii="Arial" w:hAnsi="Arial" w:cs="Arial"/>
        </w:rPr>
        <w:t xml:space="preserve"> </w:t>
      </w:r>
      <w:r>
        <w:rPr>
          <w:rFonts w:ascii="Arial" w:hAnsi="Arial" w:cs="Arial"/>
        </w:rPr>
        <w:t>…</w:t>
      </w:r>
      <w:r w:rsidR="00F35A54">
        <w:rPr>
          <w:rFonts w:ascii="Arial" w:hAnsi="Arial" w:cs="Arial"/>
        </w:rPr>
        <w:t>)</w:t>
      </w:r>
      <w:r w:rsidR="009D7F13">
        <w:rPr>
          <w:rFonts w:ascii="Arial" w:hAnsi="Arial" w:cs="Arial"/>
        </w:rPr>
        <w:t>.</w:t>
      </w:r>
    </w:p>
    <w:p w14:paraId="0B47E458" w14:textId="2512973C" w:rsidR="00831552" w:rsidRPr="00C83DD5" w:rsidRDefault="009D7F13" w:rsidP="0064022F">
      <w:pPr>
        <w:spacing w:after="0" w:line="360" w:lineRule="auto"/>
        <w:ind w:left="720"/>
        <w:jc w:val="both"/>
        <w:rPr>
          <w:rFonts w:ascii="Arial" w:hAnsi="Arial" w:cs="Arial"/>
        </w:rPr>
      </w:pPr>
      <w:r>
        <w:rPr>
          <w:rFonts w:ascii="Arial" w:hAnsi="Arial" w:cs="Arial"/>
        </w:rPr>
        <w:t>[</w:t>
      </w:r>
      <w:r w:rsidR="002017E0">
        <w:rPr>
          <w:rFonts w:ascii="Arial" w:hAnsi="Arial" w:cs="Arial"/>
        </w:rPr>
        <w:t>2</w:t>
      </w:r>
      <w:r>
        <w:rPr>
          <w:rFonts w:ascii="Arial" w:hAnsi="Arial" w:cs="Arial"/>
        </w:rPr>
        <w:t>.3]</w:t>
      </w:r>
      <w:r w:rsidR="00F84068">
        <w:rPr>
          <w:rFonts w:ascii="Arial" w:hAnsi="Arial" w:cs="Arial"/>
        </w:rPr>
        <w:tab/>
        <w:t>an order p</w:t>
      </w:r>
      <w:r>
        <w:rPr>
          <w:rFonts w:ascii="Arial" w:hAnsi="Arial" w:cs="Arial"/>
        </w:rPr>
        <w:t>ostpon</w:t>
      </w:r>
      <w:r w:rsidR="00F84068">
        <w:rPr>
          <w:rFonts w:ascii="Arial" w:hAnsi="Arial" w:cs="Arial"/>
        </w:rPr>
        <w:t>ing</w:t>
      </w:r>
      <w:r>
        <w:rPr>
          <w:rFonts w:ascii="Arial" w:hAnsi="Arial" w:cs="Arial"/>
        </w:rPr>
        <w:t xml:space="preserve"> the </w:t>
      </w:r>
      <w:r w:rsidR="00F4482B">
        <w:rPr>
          <w:rFonts w:ascii="Arial" w:hAnsi="Arial" w:cs="Arial"/>
        </w:rPr>
        <w:t>quantum</w:t>
      </w:r>
      <w:r w:rsidR="00F4482B" w:rsidRPr="00F4482B">
        <w:rPr>
          <w:rFonts w:ascii="Arial" w:hAnsi="Arial" w:cs="Arial"/>
          <w:i/>
          <w:iCs/>
        </w:rPr>
        <w:t xml:space="preserve"> sine </w:t>
      </w:r>
      <w:r w:rsidR="0064022F" w:rsidRPr="00F4482B">
        <w:rPr>
          <w:rFonts w:ascii="Arial" w:hAnsi="Arial" w:cs="Arial"/>
          <w:i/>
          <w:iCs/>
        </w:rPr>
        <w:t>die</w:t>
      </w:r>
      <w:r w:rsidR="0064022F">
        <w:rPr>
          <w:rFonts w:ascii="Arial" w:hAnsi="Arial" w:cs="Arial"/>
          <w:i/>
          <w:iCs/>
        </w:rPr>
        <w:t xml:space="preserve"> </w:t>
      </w:r>
      <w:r w:rsidR="0064022F" w:rsidRPr="0064022F">
        <w:rPr>
          <w:rFonts w:ascii="Arial" w:hAnsi="Arial" w:cs="Arial"/>
        </w:rPr>
        <w:t>and</w:t>
      </w:r>
      <w:r w:rsidR="00444AF9" w:rsidRPr="0064022F">
        <w:rPr>
          <w:rFonts w:ascii="Arial" w:hAnsi="Arial" w:cs="Arial"/>
        </w:rPr>
        <w:t xml:space="preserve"> </w:t>
      </w:r>
      <w:r w:rsidR="00831552" w:rsidRPr="0064022F">
        <w:rPr>
          <w:rFonts w:ascii="Arial" w:hAnsi="Arial" w:cs="Arial"/>
        </w:rPr>
        <w:t xml:space="preserve">authorizing </w:t>
      </w:r>
      <w:r w:rsidR="00831552">
        <w:rPr>
          <w:rFonts w:ascii="Arial" w:hAnsi="Arial" w:cs="Arial"/>
        </w:rPr>
        <w:t xml:space="preserve">the Plaintiff to apply to the Court on the same papers, supplemented in so far as they may be </w:t>
      </w:r>
      <w:r w:rsidR="00CC3E8A">
        <w:rPr>
          <w:rFonts w:ascii="Arial" w:hAnsi="Arial" w:cs="Arial"/>
        </w:rPr>
        <w:t>reasonably</w:t>
      </w:r>
      <w:r w:rsidR="00831552">
        <w:rPr>
          <w:rFonts w:ascii="Arial" w:hAnsi="Arial" w:cs="Arial"/>
        </w:rPr>
        <w:t xml:space="preserve"> necessary, in respect of any damages and further expenses incurred by the plaintiff in the repossession of the said vehicle, which amount can only be determined once the vehicle has been repossessed and has been sold. </w:t>
      </w:r>
    </w:p>
    <w:p w14:paraId="1C0E54FF" w14:textId="2BB923EB" w:rsidR="00C83DD5" w:rsidRDefault="007A5DAA" w:rsidP="007A5DAA">
      <w:pPr>
        <w:spacing w:after="0" w:line="360" w:lineRule="auto"/>
        <w:ind w:firstLine="720"/>
        <w:jc w:val="both"/>
        <w:rPr>
          <w:rFonts w:ascii="Arial" w:hAnsi="Arial" w:cs="Arial"/>
        </w:rPr>
      </w:pPr>
      <w:r>
        <w:rPr>
          <w:rFonts w:ascii="Arial" w:hAnsi="Arial" w:cs="Arial"/>
        </w:rPr>
        <w:t>[</w:t>
      </w:r>
      <w:r w:rsidR="002017E0">
        <w:rPr>
          <w:rFonts w:ascii="Arial" w:hAnsi="Arial" w:cs="Arial"/>
        </w:rPr>
        <w:t>2</w:t>
      </w:r>
      <w:r>
        <w:rPr>
          <w:rFonts w:ascii="Arial" w:hAnsi="Arial" w:cs="Arial"/>
        </w:rPr>
        <w:t>.3]</w:t>
      </w:r>
      <w:r>
        <w:rPr>
          <w:rFonts w:ascii="Arial" w:hAnsi="Arial" w:cs="Arial"/>
        </w:rPr>
        <w:tab/>
      </w:r>
      <w:r w:rsidR="00831552">
        <w:rPr>
          <w:rFonts w:ascii="Arial" w:hAnsi="Arial" w:cs="Arial"/>
        </w:rPr>
        <w:t>Costs to be taxed</w:t>
      </w:r>
      <w:r w:rsidR="00F35A54">
        <w:rPr>
          <w:rFonts w:ascii="Arial" w:hAnsi="Arial" w:cs="Arial"/>
        </w:rPr>
        <w:t>.</w:t>
      </w:r>
    </w:p>
    <w:p w14:paraId="789FDC15" w14:textId="3B0B9668" w:rsidR="00831552" w:rsidRPr="00C83DD5" w:rsidRDefault="007A5DAA" w:rsidP="007A5DAA">
      <w:pPr>
        <w:spacing w:after="0" w:line="360" w:lineRule="auto"/>
        <w:ind w:firstLine="720"/>
        <w:jc w:val="both"/>
        <w:rPr>
          <w:rFonts w:ascii="Arial" w:hAnsi="Arial" w:cs="Arial"/>
        </w:rPr>
      </w:pPr>
      <w:r>
        <w:rPr>
          <w:rFonts w:ascii="Arial" w:hAnsi="Arial" w:cs="Arial"/>
        </w:rPr>
        <w:t>[</w:t>
      </w:r>
      <w:r w:rsidR="002017E0">
        <w:rPr>
          <w:rFonts w:ascii="Arial" w:hAnsi="Arial" w:cs="Arial"/>
        </w:rPr>
        <w:t>2</w:t>
      </w:r>
      <w:r>
        <w:rPr>
          <w:rFonts w:ascii="Arial" w:hAnsi="Arial" w:cs="Arial"/>
        </w:rPr>
        <w:t>.4]</w:t>
      </w:r>
      <w:r>
        <w:rPr>
          <w:rFonts w:ascii="Arial" w:hAnsi="Arial" w:cs="Arial"/>
        </w:rPr>
        <w:tab/>
      </w:r>
      <w:r w:rsidR="00831552">
        <w:rPr>
          <w:rFonts w:ascii="Arial" w:hAnsi="Arial" w:cs="Arial"/>
        </w:rPr>
        <w:t>Further and or alternative relief.</w:t>
      </w:r>
    </w:p>
    <w:p w14:paraId="553681AF" w14:textId="77777777" w:rsidR="00C83DD5" w:rsidRPr="00C83DD5" w:rsidRDefault="00C83DD5" w:rsidP="00C83DD5">
      <w:pPr>
        <w:spacing w:after="0" w:line="360" w:lineRule="auto"/>
        <w:jc w:val="both"/>
        <w:rPr>
          <w:rFonts w:ascii="Arial" w:hAnsi="Arial" w:cs="Arial"/>
        </w:rPr>
      </w:pPr>
    </w:p>
    <w:p w14:paraId="2CD7B9C3" w14:textId="7FC14A54" w:rsidR="00C83DD5" w:rsidRPr="00C83DD5" w:rsidRDefault="007A5DAA" w:rsidP="00C83DD5">
      <w:pPr>
        <w:spacing w:after="0" w:line="360" w:lineRule="auto"/>
        <w:jc w:val="both"/>
        <w:rPr>
          <w:rFonts w:ascii="Arial" w:hAnsi="Arial" w:cs="Arial"/>
        </w:rPr>
      </w:pPr>
      <w:r>
        <w:rPr>
          <w:rFonts w:ascii="Arial" w:hAnsi="Arial" w:cs="Arial"/>
        </w:rPr>
        <w:t>[</w:t>
      </w:r>
      <w:r w:rsidR="002017E0">
        <w:rPr>
          <w:rFonts w:ascii="Arial" w:hAnsi="Arial" w:cs="Arial"/>
        </w:rPr>
        <w:t>3</w:t>
      </w:r>
      <w:r>
        <w:rPr>
          <w:rFonts w:ascii="Arial" w:hAnsi="Arial" w:cs="Arial"/>
        </w:rPr>
        <w:t>]</w:t>
      </w:r>
      <w:r>
        <w:rPr>
          <w:rFonts w:ascii="Arial" w:hAnsi="Arial" w:cs="Arial"/>
        </w:rPr>
        <w:tab/>
        <w:t>Let me situate the subject of the dispute in this matter.</w:t>
      </w:r>
    </w:p>
    <w:p w14:paraId="36A6802E" w14:textId="77777777" w:rsidR="00C83DD5" w:rsidRDefault="00C83DD5" w:rsidP="00C83DD5">
      <w:pPr>
        <w:spacing w:after="0" w:line="360" w:lineRule="auto"/>
        <w:jc w:val="both"/>
        <w:rPr>
          <w:rFonts w:ascii="Arial" w:hAnsi="Arial" w:cs="Arial"/>
        </w:rPr>
      </w:pPr>
    </w:p>
    <w:p w14:paraId="3C0F6EE5" w14:textId="77777777" w:rsidR="002017E0" w:rsidRDefault="002017E0" w:rsidP="00C83DD5">
      <w:pPr>
        <w:spacing w:after="0" w:line="360" w:lineRule="auto"/>
        <w:jc w:val="both"/>
        <w:rPr>
          <w:rFonts w:ascii="Arial" w:hAnsi="Arial" w:cs="Arial"/>
        </w:rPr>
      </w:pPr>
    </w:p>
    <w:p w14:paraId="31FF1874" w14:textId="2F7460C5" w:rsidR="00C83DD5" w:rsidRPr="007A5DAA" w:rsidRDefault="007A5DAA" w:rsidP="00C83DD5">
      <w:pPr>
        <w:spacing w:after="0" w:line="360" w:lineRule="auto"/>
        <w:jc w:val="both"/>
        <w:rPr>
          <w:rFonts w:ascii="Arial" w:hAnsi="Arial" w:cs="Arial"/>
          <w:b/>
          <w:bCs/>
          <w:i/>
          <w:iCs/>
        </w:rPr>
      </w:pPr>
      <w:r w:rsidRPr="007A5DAA">
        <w:rPr>
          <w:rFonts w:ascii="Arial" w:hAnsi="Arial" w:cs="Arial"/>
          <w:b/>
          <w:bCs/>
          <w:i/>
          <w:iCs/>
        </w:rPr>
        <w:lastRenderedPageBreak/>
        <w:t>Background</w:t>
      </w:r>
    </w:p>
    <w:p w14:paraId="0D7368A5" w14:textId="77777777" w:rsidR="007A5DAA" w:rsidRDefault="007A5DAA" w:rsidP="00C83DD5">
      <w:pPr>
        <w:spacing w:after="0" w:line="360" w:lineRule="auto"/>
        <w:jc w:val="both"/>
        <w:rPr>
          <w:rFonts w:ascii="Arial" w:hAnsi="Arial" w:cs="Arial"/>
        </w:rPr>
      </w:pPr>
    </w:p>
    <w:p w14:paraId="348D1DEB" w14:textId="7C7A7785" w:rsidR="007A5DAA" w:rsidRDefault="007A5DAA" w:rsidP="00C83DD5">
      <w:pPr>
        <w:spacing w:after="0" w:line="360" w:lineRule="auto"/>
        <w:jc w:val="both"/>
        <w:rPr>
          <w:rFonts w:ascii="Arial" w:hAnsi="Arial" w:cs="Arial"/>
        </w:rPr>
      </w:pPr>
      <w:r>
        <w:rPr>
          <w:rFonts w:ascii="Arial" w:hAnsi="Arial" w:cs="Arial"/>
        </w:rPr>
        <w:t>[</w:t>
      </w:r>
      <w:r w:rsidR="002017E0">
        <w:rPr>
          <w:rFonts w:ascii="Arial" w:hAnsi="Arial" w:cs="Arial"/>
        </w:rPr>
        <w:t>4</w:t>
      </w:r>
      <w:r>
        <w:rPr>
          <w:rFonts w:ascii="Arial" w:hAnsi="Arial" w:cs="Arial"/>
        </w:rPr>
        <w:t>]</w:t>
      </w:r>
      <w:r>
        <w:rPr>
          <w:rFonts w:ascii="Arial" w:hAnsi="Arial" w:cs="Arial"/>
        </w:rPr>
        <w:tab/>
        <w:t xml:space="preserve">The parties entered into a </w:t>
      </w:r>
      <w:r w:rsidR="00505BA9">
        <w:rPr>
          <w:rFonts w:ascii="Arial" w:hAnsi="Arial" w:cs="Arial"/>
        </w:rPr>
        <w:t xml:space="preserve">written instalment </w:t>
      </w:r>
      <w:r>
        <w:rPr>
          <w:rFonts w:ascii="Arial" w:hAnsi="Arial" w:cs="Arial"/>
        </w:rPr>
        <w:t>sale agreement of a moto</w:t>
      </w:r>
      <w:r w:rsidR="00A67FF1">
        <w:rPr>
          <w:rFonts w:ascii="Arial" w:hAnsi="Arial" w:cs="Arial"/>
        </w:rPr>
        <w:t>r</w:t>
      </w:r>
      <w:r>
        <w:rPr>
          <w:rFonts w:ascii="Arial" w:hAnsi="Arial" w:cs="Arial"/>
        </w:rPr>
        <w:t>-vehicle</w:t>
      </w:r>
      <w:r w:rsidR="007050DC">
        <w:rPr>
          <w:rFonts w:ascii="Arial" w:hAnsi="Arial" w:cs="Arial"/>
        </w:rPr>
        <w:t xml:space="preserve"> on 24 June 2020, </w:t>
      </w:r>
      <w:r w:rsidR="00CD3421">
        <w:rPr>
          <w:rFonts w:ascii="Arial" w:hAnsi="Arial" w:cs="Arial"/>
        </w:rPr>
        <w:t>both represented by their representatives.</w:t>
      </w:r>
      <w:r w:rsidR="00897EFF">
        <w:rPr>
          <w:rFonts w:ascii="Arial" w:hAnsi="Arial" w:cs="Arial"/>
        </w:rPr>
        <w:t xml:space="preserve"> On the said date (24 June 2020) the second </w:t>
      </w:r>
      <w:r w:rsidR="009B6F1D">
        <w:rPr>
          <w:rFonts w:ascii="Arial" w:hAnsi="Arial" w:cs="Arial"/>
        </w:rPr>
        <w:t xml:space="preserve">Defendant </w:t>
      </w:r>
      <w:r w:rsidR="00667EC2">
        <w:rPr>
          <w:rFonts w:ascii="Arial" w:hAnsi="Arial" w:cs="Arial"/>
        </w:rPr>
        <w:t>also signed a deed of suretyship</w:t>
      </w:r>
      <w:r w:rsidR="0045240A">
        <w:rPr>
          <w:rFonts w:ascii="Arial" w:hAnsi="Arial" w:cs="Arial"/>
        </w:rPr>
        <w:t xml:space="preserve"> </w:t>
      </w:r>
      <w:r w:rsidR="00922E02">
        <w:rPr>
          <w:rFonts w:ascii="Arial" w:hAnsi="Arial" w:cs="Arial"/>
        </w:rPr>
        <w:t xml:space="preserve">and </w:t>
      </w:r>
      <w:r w:rsidR="00940740">
        <w:rPr>
          <w:rFonts w:ascii="Arial" w:hAnsi="Arial" w:cs="Arial"/>
        </w:rPr>
        <w:t xml:space="preserve">bound himself as a </w:t>
      </w:r>
      <w:r w:rsidR="00922E02">
        <w:rPr>
          <w:rFonts w:ascii="Arial" w:hAnsi="Arial" w:cs="Arial"/>
        </w:rPr>
        <w:t xml:space="preserve">co-principal debtor </w:t>
      </w:r>
      <w:r w:rsidR="00EE5CAA">
        <w:rPr>
          <w:rFonts w:ascii="Arial" w:hAnsi="Arial" w:cs="Arial"/>
        </w:rPr>
        <w:t xml:space="preserve">for all present and future </w:t>
      </w:r>
      <w:r w:rsidR="001D65DF">
        <w:rPr>
          <w:rFonts w:ascii="Arial" w:hAnsi="Arial" w:cs="Arial"/>
        </w:rPr>
        <w:t xml:space="preserve">obligations of the </w:t>
      </w:r>
      <w:r w:rsidR="009A784C">
        <w:rPr>
          <w:rFonts w:ascii="Arial" w:hAnsi="Arial" w:cs="Arial"/>
        </w:rPr>
        <w:t xml:space="preserve">first </w:t>
      </w:r>
      <w:r w:rsidR="005E40BA">
        <w:rPr>
          <w:rFonts w:ascii="Arial" w:hAnsi="Arial" w:cs="Arial"/>
        </w:rPr>
        <w:t>Defe</w:t>
      </w:r>
      <w:r w:rsidR="002F010D">
        <w:rPr>
          <w:rFonts w:ascii="Arial" w:hAnsi="Arial" w:cs="Arial"/>
        </w:rPr>
        <w:t>ndant in</w:t>
      </w:r>
      <w:r w:rsidR="00B03F65">
        <w:rPr>
          <w:rFonts w:ascii="Arial" w:hAnsi="Arial" w:cs="Arial"/>
        </w:rPr>
        <w:t xml:space="preserve"> f</w:t>
      </w:r>
      <w:r w:rsidR="001D65DF">
        <w:rPr>
          <w:rFonts w:ascii="Arial" w:hAnsi="Arial" w:cs="Arial"/>
        </w:rPr>
        <w:t xml:space="preserve">avour of the </w:t>
      </w:r>
      <w:r w:rsidR="004350B1">
        <w:rPr>
          <w:rFonts w:ascii="Arial" w:hAnsi="Arial" w:cs="Arial"/>
        </w:rPr>
        <w:t>Plaintiff</w:t>
      </w:r>
      <w:r w:rsidR="001D65DF">
        <w:rPr>
          <w:rFonts w:ascii="Arial" w:hAnsi="Arial" w:cs="Arial"/>
        </w:rPr>
        <w:t>.</w:t>
      </w:r>
      <w:r w:rsidR="00425D92">
        <w:rPr>
          <w:rFonts w:ascii="Arial" w:hAnsi="Arial" w:cs="Arial"/>
        </w:rPr>
        <w:t xml:space="preserve"> The </w:t>
      </w:r>
      <w:r w:rsidR="00B03F65">
        <w:rPr>
          <w:rFonts w:ascii="Arial" w:hAnsi="Arial" w:cs="Arial"/>
        </w:rPr>
        <w:t>Defendants</w:t>
      </w:r>
      <w:r w:rsidR="0088294B">
        <w:rPr>
          <w:rFonts w:ascii="Arial" w:hAnsi="Arial" w:cs="Arial"/>
        </w:rPr>
        <w:t xml:space="preserve"> breached the terms of the agreement and a letter of demand dated </w:t>
      </w:r>
      <w:r w:rsidR="008F1773">
        <w:rPr>
          <w:rFonts w:ascii="Arial" w:hAnsi="Arial" w:cs="Arial"/>
        </w:rPr>
        <w:t>11</w:t>
      </w:r>
      <w:r w:rsidR="0088294B">
        <w:rPr>
          <w:rFonts w:ascii="Arial" w:hAnsi="Arial" w:cs="Arial"/>
        </w:rPr>
        <w:t xml:space="preserve"> February 20</w:t>
      </w:r>
      <w:r w:rsidR="00634B27">
        <w:rPr>
          <w:rFonts w:ascii="Arial" w:hAnsi="Arial" w:cs="Arial"/>
        </w:rPr>
        <w:t>22</w:t>
      </w:r>
      <w:r w:rsidR="00425D92">
        <w:rPr>
          <w:rFonts w:ascii="Arial" w:hAnsi="Arial" w:cs="Arial"/>
        </w:rPr>
        <w:t xml:space="preserve"> </w:t>
      </w:r>
      <w:r w:rsidR="00A76EE4">
        <w:rPr>
          <w:rFonts w:ascii="Arial" w:hAnsi="Arial" w:cs="Arial"/>
        </w:rPr>
        <w:t>was delivered to the</w:t>
      </w:r>
      <w:r w:rsidR="007A2245">
        <w:rPr>
          <w:rFonts w:ascii="Arial" w:hAnsi="Arial" w:cs="Arial"/>
        </w:rPr>
        <w:t>m</w:t>
      </w:r>
      <w:r w:rsidR="0014261D">
        <w:rPr>
          <w:rFonts w:ascii="Arial" w:hAnsi="Arial" w:cs="Arial"/>
        </w:rPr>
        <w:t xml:space="preserve"> and failed to respond </w:t>
      </w:r>
      <w:r w:rsidR="00582CEB">
        <w:rPr>
          <w:rFonts w:ascii="Arial" w:hAnsi="Arial" w:cs="Arial"/>
        </w:rPr>
        <w:t xml:space="preserve">to </w:t>
      </w:r>
      <w:r w:rsidR="007A2245">
        <w:rPr>
          <w:rFonts w:ascii="Arial" w:hAnsi="Arial" w:cs="Arial"/>
        </w:rPr>
        <w:t>it</w:t>
      </w:r>
      <w:r w:rsidR="0014261D">
        <w:rPr>
          <w:rFonts w:ascii="Arial" w:hAnsi="Arial" w:cs="Arial"/>
        </w:rPr>
        <w:t xml:space="preserve"> for the payment of arrears which were at the amount of </w:t>
      </w:r>
      <w:r w:rsidR="00BF2516">
        <w:rPr>
          <w:rFonts w:ascii="Arial" w:hAnsi="Arial" w:cs="Arial"/>
        </w:rPr>
        <w:t xml:space="preserve">R46 652. </w:t>
      </w:r>
      <w:r w:rsidR="00D37730">
        <w:rPr>
          <w:rFonts w:ascii="Arial" w:hAnsi="Arial" w:cs="Arial"/>
        </w:rPr>
        <w:t>59.</w:t>
      </w:r>
      <w:r w:rsidR="00846E80">
        <w:rPr>
          <w:rFonts w:ascii="Arial" w:hAnsi="Arial" w:cs="Arial"/>
        </w:rPr>
        <w:t xml:space="preserve"> Secondly, the </w:t>
      </w:r>
      <w:r w:rsidR="00582CEB">
        <w:rPr>
          <w:rFonts w:ascii="Arial" w:hAnsi="Arial" w:cs="Arial"/>
        </w:rPr>
        <w:t>Defendants</w:t>
      </w:r>
      <w:r w:rsidR="00846E80">
        <w:rPr>
          <w:rFonts w:ascii="Arial" w:hAnsi="Arial" w:cs="Arial"/>
        </w:rPr>
        <w:t xml:space="preserve"> </w:t>
      </w:r>
      <w:r w:rsidR="009D35DC">
        <w:rPr>
          <w:rFonts w:ascii="Arial" w:hAnsi="Arial" w:cs="Arial"/>
        </w:rPr>
        <w:t>failed to respond to the notice within ten (10) business days</w:t>
      </w:r>
      <w:r w:rsidR="00966A95">
        <w:rPr>
          <w:rFonts w:ascii="Arial" w:hAnsi="Arial" w:cs="Arial"/>
        </w:rPr>
        <w:t xml:space="preserve"> from the date the letter was sent to them. Thirdly, </w:t>
      </w:r>
      <w:r w:rsidR="001F2491">
        <w:rPr>
          <w:rFonts w:ascii="Arial" w:hAnsi="Arial" w:cs="Arial"/>
        </w:rPr>
        <w:t>the</w:t>
      </w:r>
      <w:r w:rsidR="00860FA7">
        <w:rPr>
          <w:rFonts w:ascii="Arial" w:hAnsi="Arial" w:cs="Arial"/>
        </w:rPr>
        <w:t>y</w:t>
      </w:r>
      <w:r w:rsidR="001F2491">
        <w:rPr>
          <w:rFonts w:ascii="Arial" w:hAnsi="Arial" w:cs="Arial"/>
        </w:rPr>
        <w:t xml:space="preserve"> did not surrender the motor-vehicle.</w:t>
      </w:r>
      <w:r w:rsidR="00B17353">
        <w:rPr>
          <w:rFonts w:ascii="Arial" w:hAnsi="Arial" w:cs="Arial"/>
        </w:rPr>
        <w:t xml:space="preserve"> Therefore, the agreement was terminated </w:t>
      </w:r>
      <w:r w:rsidR="00D470C1">
        <w:rPr>
          <w:rFonts w:ascii="Arial" w:hAnsi="Arial" w:cs="Arial"/>
        </w:rPr>
        <w:t xml:space="preserve">due to the breach of the agreement by the </w:t>
      </w:r>
      <w:r w:rsidR="00860FA7">
        <w:rPr>
          <w:rFonts w:ascii="Arial" w:hAnsi="Arial" w:cs="Arial"/>
        </w:rPr>
        <w:t>Defendants</w:t>
      </w:r>
      <w:r w:rsidR="00D470C1">
        <w:rPr>
          <w:rFonts w:ascii="Arial" w:hAnsi="Arial" w:cs="Arial"/>
        </w:rPr>
        <w:t>.</w:t>
      </w:r>
      <w:r w:rsidR="00727D87">
        <w:rPr>
          <w:rFonts w:ascii="Arial" w:hAnsi="Arial" w:cs="Arial"/>
        </w:rPr>
        <w:t xml:space="preserve"> </w:t>
      </w:r>
      <w:r w:rsidR="00860FA7">
        <w:rPr>
          <w:rFonts w:ascii="Arial" w:hAnsi="Arial" w:cs="Arial"/>
        </w:rPr>
        <w:t>As submitted by the Plaintiff, t</w:t>
      </w:r>
      <w:r w:rsidR="00727D87">
        <w:rPr>
          <w:rFonts w:ascii="Arial" w:hAnsi="Arial" w:cs="Arial"/>
        </w:rPr>
        <w:t xml:space="preserve">he </w:t>
      </w:r>
      <w:r w:rsidR="00860FA7">
        <w:rPr>
          <w:rFonts w:ascii="Arial" w:hAnsi="Arial" w:cs="Arial"/>
        </w:rPr>
        <w:t xml:space="preserve">Defendants </w:t>
      </w:r>
      <w:r w:rsidR="00727D87">
        <w:rPr>
          <w:rFonts w:ascii="Arial" w:hAnsi="Arial" w:cs="Arial"/>
        </w:rPr>
        <w:t xml:space="preserve">do not have a legal basis upon which to keep the possession of the </w:t>
      </w:r>
      <w:r w:rsidR="00860FA7">
        <w:rPr>
          <w:rFonts w:ascii="Arial" w:hAnsi="Arial" w:cs="Arial"/>
        </w:rPr>
        <w:t>motor-</w:t>
      </w:r>
      <w:r w:rsidR="00727D87">
        <w:rPr>
          <w:rFonts w:ascii="Arial" w:hAnsi="Arial" w:cs="Arial"/>
        </w:rPr>
        <w:t>vehicle.</w:t>
      </w:r>
    </w:p>
    <w:p w14:paraId="19349A11" w14:textId="77777777" w:rsidR="006D1819" w:rsidRDefault="006D1819" w:rsidP="00C83DD5">
      <w:pPr>
        <w:spacing w:after="0" w:line="360" w:lineRule="auto"/>
        <w:jc w:val="both"/>
        <w:rPr>
          <w:rFonts w:ascii="Arial" w:hAnsi="Arial" w:cs="Arial"/>
        </w:rPr>
      </w:pPr>
    </w:p>
    <w:p w14:paraId="15A2F688" w14:textId="7BC96E40" w:rsidR="00E04D74" w:rsidRDefault="00B52DBE" w:rsidP="00C83DD5">
      <w:pPr>
        <w:spacing w:after="0" w:line="360" w:lineRule="auto"/>
        <w:jc w:val="both"/>
        <w:rPr>
          <w:rFonts w:ascii="Arial" w:hAnsi="Arial" w:cs="Arial"/>
        </w:rPr>
      </w:pPr>
      <w:r>
        <w:rPr>
          <w:rFonts w:ascii="Arial" w:hAnsi="Arial" w:cs="Arial"/>
        </w:rPr>
        <w:t>[</w:t>
      </w:r>
      <w:r w:rsidR="002017E0">
        <w:rPr>
          <w:rFonts w:ascii="Arial" w:hAnsi="Arial" w:cs="Arial"/>
        </w:rPr>
        <w:t>5</w:t>
      </w:r>
      <w:r>
        <w:rPr>
          <w:rFonts w:ascii="Arial" w:hAnsi="Arial" w:cs="Arial"/>
        </w:rPr>
        <w:t>]</w:t>
      </w:r>
      <w:r>
        <w:rPr>
          <w:rFonts w:ascii="Arial" w:hAnsi="Arial" w:cs="Arial"/>
        </w:rPr>
        <w:tab/>
      </w:r>
      <w:r w:rsidR="002D307D">
        <w:rPr>
          <w:rFonts w:ascii="Arial" w:hAnsi="Arial" w:cs="Arial"/>
        </w:rPr>
        <w:t xml:space="preserve">The </w:t>
      </w:r>
      <w:r w:rsidR="00EE405C">
        <w:rPr>
          <w:rFonts w:ascii="Arial" w:hAnsi="Arial" w:cs="Arial"/>
        </w:rPr>
        <w:t xml:space="preserve">Defendants </w:t>
      </w:r>
      <w:r w:rsidR="002D307D">
        <w:rPr>
          <w:rFonts w:ascii="Arial" w:hAnsi="Arial" w:cs="Arial"/>
        </w:rPr>
        <w:t xml:space="preserve">opposed the application </w:t>
      </w:r>
      <w:r w:rsidR="00254D47">
        <w:rPr>
          <w:rFonts w:ascii="Arial" w:hAnsi="Arial" w:cs="Arial"/>
        </w:rPr>
        <w:t xml:space="preserve">and alleged </w:t>
      </w:r>
      <w:r w:rsidR="00813D17">
        <w:rPr>
          <w:rFonts w:ascii="Arial" w:hAnsi="Arial" w:cs="Arial"/>
        </w:rPr>
        <w:t xml:space="preserve">that the </w:t>
      </w:r>
      <w:r w:rsidR="00EE405C">
        <w:rPr>
          <w:rFonts w:ascii="Arial" w:hAnsi="Arial" w:cs="Arial"/>
        </w:rPr>
        <w:t>Plain</w:t>
      </w:r>
      <w:r w:rsidR="00EE405C" w:rsidRPr="00352442">
        <w:rPr>
          <w:rFonts w:ascii="Arial" w:hAnsi="Arial" w:cs="Arial"/>
        </w:rPr>
        <w:t>tiff</w:t>
      </w:r>
      <w:r w:rsidR="00813D17" w:rsidRPr="00352442">
        <w:rPr>
          <w:rFonts w:ascii="Arial" w:hAnsi="Arial" w:cs="Arial"/>
        </w:rPr>
        <w:t xml:space="preserve"> brought</w:t>
      </w:r>
      <w:r w:rsidR="004C3991" w:rsidRPr="00352442">
        <w:rPr>
          <w:rFonts w:ascii="Arial" w:hAnsi="Arial" w:cs="Arial"/>
        </w:rPr>
        <w:t xml:space="preserve"> </w:t>
      </w:r>
      <w:r w:rsidR="00EE405C" w:rsidRPr="00352442">
        <w:rPr>
          <w:rFonts w:ascii="Arial" w:hAnsi="Arial" w:cs="Arial"/>
        </w:rPr>
        <w:t xml:space="preserve">it </w:t>
      </w:r>
      <w:r w:rsidR="00486667" w:rsidRPr="004C4BCB">
        <w:rPr>
          <w:rFonts w:ascii="Arial" w:hAnsi="Arial" w:cs="Arial"/>
          <w:i/>
          <w:iCs/>
        </w:rPr>
        <w:t>mala fide</w:t>
      </w:r>
      <w:r w:rsidR="00655EE0" w:rsidRPr="00352442">
        <w:rPr>
          <w:rFonts w:ascii="Arial" w:hAnsi="Arial" w:cs="Arial"/>
        </w:rPr>
        <w:t xml:space="preserve"> with no justifiable grounds to institute </w:t>
      </w:r>
      <w:r w:rsidR="00254D47">
        <w:rPr>
          <w:rFonts w:ascii="Arial" w:hAnsi="Arial" w:cs="Arial"/>
        </w:rPr>
        <w:t>it</w:t>
      </w:r>
      <w:r w:rsidR="00655EE0" w:rsidRPr="00352442">
        <w:rPr>
          <w:rFonts w:ascii="Arial" w:hAnsi="Arial" w:cs="Arial"/>
        </w:rPr>
        <w:t xml:space="preserve"> except to </w:t>
      </w:r>
      <w:r w:rsidR="004C3991" w:rsidRPr="00352442">
        <w:rPr>
          <w:rFonts w:ascii="Arial" w:hAnsi="Arial" w:cs="Arial"/>
        </w:rPr>
        <w:t xml:space="preserve">intimidate </w:t>
      </w:r>
      <w:r w:rsidR="00687DFD" w:rsidRPr="00352442">
        <w:rPr>
          <w:rFonts w:ascii="Arial" w:hAnsi="Arial" w:cs="Arial"/>
        </w:rPr>
        <w:t xml:space="preserve">and </w:t>
      </w:r>
      <w:r w:rsidR="00E55226" w:rsidRPr="00352442">
        <w:rPr>
          <w:rFonts w:ascii="Arial" w:hAnsi="Arial" w:cs="Arial"/>
        </w:rPr>
        <w:t>forc</w:t>
      </w:r>
      <w:r w:rsidR="00D26987">
        <w:rPr>
          <w:rFonts w:ascii="Arial" w:hAnsi="Arial" w:cs="Arial"/>
        </w:rPr>
        <w:t>e</w:t>
      </w:r>
      <w:r w:rsidR="00E55226" w:rsidRPr="00352442">
        <w:rPr>
          <w:rFonts w:ascii="Arial" w:hAnsi="Arial" w:cs="Arial"/>
        </w:rPr>
        <w:t xml:space="preserve"> them to </w:t>
      </w:r>
      <w:r w:rsidR="00671FCA" w:rsidRPr="00352442">
        <w:rPr>
          <w:rFonts w:ascii="Arial" w:hAnsi="Arial" w:cs="Arial"/>
        </w:rPr>
        <w:t>incur</w:t>
      </w:r>
      <w:r w:rsidR="00E55226" w:rsidRPr="00352442">
        <w:rPr>
          <w:rFonts w:ascii="Arial" w:hAnsi="Arial" w:cs="Arial"/>
        </w:rPr>
        <w:t xml:space="preserve"> further legal costs whilst being aware of their defences.</w:t>
      </w:r>
      <w:r w:rsidR="004C3991" w:rsidRPr="00352442">
        <w:rPr>
          <w:rFonts w:ascii="Arial" w:hAnsi="Arial" w:cs="Arial"/>
        </w:rPr>
        <w:t xml:space="preserve"> </w:t>
      </w:r>
      <w:r w:rsidR="006E5B92" w:rsidRPr="00352442">
        <w:rPr>
          <w:rFonts w:ascii="Arial" w:hAnsi="Arial" w:cs="Arial"/>
        </w:rPr>
        <w:t xml:space="preserve">The </w:t>
      </w:r>
      <w:r w:rsidR="00352442" w:rsidRPr="00352442">
        <w:rPr>
          <w:rFonts w:ascii="Arial" w:hAnsi="Arial" w:cs="Arial"/>
        </w:rPr>
        <w:t xml:space="preserve">Defendants </w:t>
      </w:r>
      <w:r w:rsidR="006E5B92" w:rsidRPr="00352442">
        <w:rPr>
          <w:rFonts w:ascii="Arial" w:hAnsi="Arial" w:cs="Arial"/>
        </w:rPr>
        <w:t>cont</w:t>
      </w:r>
      <w:r w:rsidR="006E5B92">
        <w:rPr>
          <w:rFonts w:ascii="Arial" w:hAnsi="Arial" w:cs="Arial"/>
        </w:rPr>
        <w:t>extualized their objection to the application in that</w:t>
      </w:r>
      <w:r w:rsidR="00F7426C">
        <w:rPr>
          <w:rFonts w:ascii="Arial" w:hAnsi="Arial" w:cs="Arial"/>
        </w:rPr>
        <w:t>:</w:t>
      </w:r>
    </w:p>
    <w:p w14:paraId="0F224357" w14:textId="77777777" w:rsidR="00F7426C" w:rsidRDefault="00F7426C" w:rsidP="00C83DD5">
      <w:pPr>
        <w:spacing w:after="0" w:line="360" w:lineRule="auto"/>
        <w:jc w:val="both"/>
        <w:rPr>
          <w:rFonts w:ascii="Arial" w:hAnsi="Arial" w:cs="Arial"/>
        </w:rPr>
      </w:pPr>
    </w:p>
    <w:p w14:paraId="1388F3E2" w14:textId="00F57F85" w:rsidR="0001088B" w:rsidRDefault="00C315F6" w:rsidP="00C315F6">
      <w:pPr>
        <w:spacing w:after="0" w:line="360" w:lineRule="auto"/>
        <w:ind w:left="1440" w:hanging="720"/>
        <w:jc w:val="both"/>
        <w:rPr>
          <w:rFonts w:ascii="Arial" w:hAnsi="Arial" w:cs="Arial"/>
        </w:rPr>
      </w:pPr>
      <w:r>
        <w:rPr>
          <w:rFonts w:ascii="Arial" w:hAnsi="Arial" w:cs="Arial"/>
        </w:rPr>
        <w:t>[</w:t>
      </w:r>
      <w:r w:rsidR="002017E0">
        <w:rPr>
          <w:rFonts w:ascii="Arial" w:hAnsi="Arial" w:cs="Arial"/>
        </w:rPr>
        <w:t>5</w:t>
      </w:r>
      <w:r>
        <w:rPr>
          <w:rFonts w:ascii="Arial" w:hAnsi="Arial" w:cs="Arial"/>
        </w:rPr>
        <w:t>.1]</w:t>
      </w:r>
      <w:r>
        <w:rPr>
          <w:rFonts w:ascii="Arial" w:hAnsi="Arial" w:cs="Arial"/>
        </w:rPr>
        <w:tab/>
      </w:r>
      <w:r w:rsidR="0001088B">
        <w:rPr>
          <w:rFonts w:ascii="Arial" w:hAnsi="Arial" w:cs="Arial"/>
        </w:rPr>
        <w:t>the Plaintiff did not comply with the requirements of section 129 of the NCA regarding the termination of the agreement.</w:t>
      </w:r>
    </w:p>
    <w:p w14:paraId="0F8EE47D" w14:textId="261690E7" w:rsidR="0001088B" w:rsidRDefault="0001088B" w:rsidP="00C315F6">
      <w:pPr>
        <w:spacing w:after="0" w:line="360" w:lineRule="auto"/>
        <w:ind w:left="1440" w:hanging="720"/>
        <w:jc w:val="both"/>
        <w:rPr>
          <w:rFonts w:ascii="Arial" w:hAnsi="Arial" w:cs="Arial"/>
        </w:rPr>
      </w:pPr>
      <w:r>
        <w:rPr>
          <w:rFonts w:ascii="Arial" w:hAnsi="Arial" w:cs="Arial"/>
        </w:rPr>
        <w:t>[5.2]</w:t>
      </w:r>
      <w:r w:rsidR="00110077">
        <w:rPr>
          <w:rFonts w:ascii="Arial" w:hAnsi="Arial" w:cs="Arial"/>
        </w:rPr>
        <w:tab/>
      </w:r>
      <w:r>
        <w:rPr>
          <w:rFonts w:ascii="Arial" w:hAnsi="Arial" w:cs="Arial"/>
        </w:rPr>
        <w:t xml:space="preserve">they agreed to have the provisions of the NCA </w:t>
      </w:r>
      <w:r w:rsidR="00110077">
        <w:rPr>
          <w:rFonts w:ascii="Arial" w:hAnsi="Arial" w:cs="Arial"/>
        </w:rPr>
        <w:t xml:space="preserve">to </w:t>
      </w:r>
      <w:r>
        <w:rPr>
          <w:rFonts w:ascii="Arial" w:hAnsi="Arial" w:cs="Arial"/>
        </w:rPr>
        <w:t xml:space="preserve">regulate their agreement despite the </w:t>
      </w:r>
      <w:r w:rsidR="00110077">
        <w:rPr>
          <w:rFonts w:ascii="Arial" w:hAnsi="Arial" w:cs="Arial"/>
        </w:rPr>
        <w:t>NCA</w:t>
      </w:r>
      <w:r>
        <w:rPr>
          <w:rFonts w:ascii="Arial" w:hAnsi="Arial" w:cs="Arial"/>
        </w:rPr>
        <w:t xml:space="preserve"> not have been applicable in their agreement.</w:t>
      </w:r>
    </w:p>
    <w:p w14:paraId="58071334" w14:textId="253E5888" w:rsidR="001D6A2D" w:rsidRDefault="00110077" w:rsidP="001D6A2D">
      <w:pPr>
        <w:spacing w:after="0" w:line="360" w:lineRule="auto"/>
        <w:ind w:left="1440" w:hanging="720"/>
        <w:jc w:val="both"/>
        <w:rPr>
          <w:rFonts w:ascii="Arial" w:hAnsi="Arial" w:cs="Arial"/>
        </w:rPr>
      </w:pPr>
      <w:r>
        <w:rPr>
          <w:rFonts w:ascii="Arial" w:hAnsi="Arial" w:cs="Arial"/>
        </w:rPr>
        <w:t>[</w:t>
      </w:r>
      <w:r w:rsidR="004E79EF">
        <w:rPr>
          <w:rFonts w:ascii="Arial" w:hAnsi="Arial" w:cs="Arial"/>
        </w:rPr>
        <w:t>5.3]</w:t>
      </w:r>
      <w:r w:rsidR="00735DA8">
        <w:rPr>
          <w:rFonts w:ascii="Arial" w:hAnsi="Arial" w:cs="Arial"/>
        </w:rPr>
        <w:tab/>
        <w:t xml:space="preserve">in essence, </w:t>
      </w:r>
      <w:r w:rsidR="00107E6C">
        <w:rPr>
          <w:rFonts w:ascii="Arial" w:hAnsi="Arial" w:cs="Arial"/>
        </w:rPr>
        <w:t>b</w:t>
      </w:r>
      <w:r w:rsidR="00F7426C">
        <w:rPr>
          <w:rFonts w:ascii="Arial" w:hAnsi="Arial" w:cs="Arial"/>
        </w:rPr>
        <w:t>eing a juristic person</w:t>
      </w:r>
      <w:r w:rsidR="00F653E6">
        <w:rPr>
          <w:rFonts w:ascii="Arial" w:hAnsi="Arial" w:cs="Arial"/>
        </w:rPr>
        <w:t xml:space="preserve">, the first </w:t>
      </w:r>
      <w:r w:rsidR="00EF4238">
        <w:rPr>
          <w:rFonts w:ascii="Arial" w:hAnsi="Arial" w:cs="Arial"/>
        </w:rPr>
        <w:t>Defendant</w:t>
      </w:r>
      <w:r w:rsidR="00F653E6">
        <w:rPr>
          <w:rFonts w:ascii="Arial" w:hAnsi="Arial" w:cs="Arial"/>
        </w:rPr>
        <w:t xml:space="preserve">, </w:t>
      </w:r>
      <w:r w:rsidR="00234715">
        <w:rPr>
          <w:rFonts w:ascii="Arial" w:hAnsi="Arial" w:cs="Arial"/>
        </w:rPr>
        <w:t>with an annual turnover that exceeded R1 000 000 at the time of the conclusion of the agreement</w:t>
      </w:r>
      <w:r w:rsidR="00D417F1">
        <w:rPr>
          <w:rFonts w:ascii="Arial" w:hAnsi="Arial" w:cs="Arial"/>
        </w:rPr>
        <w:t>,</w:t>
      </w:r>
      <w:r w:rsidR="001D6A2D">
        <w:rPr>
          <w:rFonts w:ascii="Arial" w:hAnsi="Arial" w:cs="Arial"/>
        </w:rPr>
        <w:t xml:space="preserve"> the </w:t>
      </w:r>
      <w:r w:rsidR="00F2662F">
        <w:rPr>
          <w:rFonts w:ascii="Arial" w:hAnsi="Arial" w:cs="Arial"/>
        </w:rPr>
        <w:t>latter</w:t>
      </w:r>
      <w:r w:rsidR="001D6A2D">
        <w:rPr>
          <w:rFonts w:ascii="Arial" w:hAnsi="Arial" w:cs="Arial"/>
        </w:rPr>
        <w:t xml:space="preserve"> being a large agreement as defined in the Regulation 7(1) of the NCA, the NCA would not be applicable to the agreement. </w:t>
      </w:r>
    </w:p>
    <w:p w14:paraId="158D9234" w14:textId="3E0A939A" w:rsidR="00E04D74" w:rsidRDefault="004B370D" w:rsidP="004B370D">
      <w:pPr>
        <w:spacing w:after="0" w:line="360" w:lineRule="auto"/>
        <w:ind w:left="1440" w:hanging="720"/>
        <w:jc w:val="both"/>
        <w:rPr>
          <w:rFonts w:ascii="Arial" w:hAnsi="Arial" w:cs="Arial"/>
        </w:rPr>
      </w:pPr>
      <w:r>
        <w:rPr>
          <w:rFonts w:ascii="Arial" w:hAnsi="Arial" w:cs="Arial"/>
        </w:rPr>
        <w:t>[5.4]</w:t>
      </w:r>
      <w:r>
        <w:rPr>
          <w:rFonts w:ascii="Arial" w:hAnsi="Arial" w:cs="Arial"/>
        </w:rPr>
        <w:tab/>
      </w:r>
      <w:r w:rsidR="00107E6C">
        <w:rPr>
          <w:rFonts w:ascii="Arial" w:hAnsi="Arial" w:cs="Arial"/>
        </w:rPr>
        <w:t>i</w:t>
      </w:r>
      <w:r w:rsidR="00A85318">
        <w:rPr>
          <w:rFonts w:ascii="Arial" w:hAnsi="Arial" w:cs="Arial"/>
        </w:rPr>
        <w:t xml:space="preserve">n </w:t>
      </w:r>
      <w:r w:rsidR="00E6473A">
        <w:rPr>
          <w:rFonts w:ascii="Arial" w:hAnsi="Arial" w:cs="Arial"/>
        </w:rPr>
        <w:t>a</w:t>
      </w:r>
      <w:r w:rsidR="00A85318">
        <w:rPr>
          <w:rFonts w:ascii="Arial" w:hAnsi="Arial" w:cs="Arial"/>
        </w:rPr>
        <w:t xml:space="preserve"> similar vein, the deed of suretyship, </w:t>
      </w:r>
      <w:r w:rsidR="001429F7">
        <w:rPr>
          <w:rFonts w:ascii="Arial" w:hAnsi="Arial" w:cs="Arial"/>
        </w:rPr>
        <w:t>would also not be subject to the NCA.</w:t>
      </w:r>
    </w:p>
    <w:p w14:paraId="0B682817" w14:textId="77777777" w:rsidR="000E406A" w:rsidRDefault="000E406A" w:rsidP="000E406A">
      <w:pPr>
        <w:spacing w:after="0" w:line="360" w:lineRule="auto"/>
        <w:jc w:val="both"/>
        <w:rPr>
          <w:rFonts w:ascii="Arial" w:hAnsi="Arial" w:cs="Arial"/>
          <w:highlight w:val="yellow"/>
        </w:rPr>
      </w:pPr>
    </w:p>
    <w:p w14:paraId="5A25B7D6" w14:textId="7A55AE5D" w:rsidR="003A2764" w:rsidRDefault="00C37B0C" w:rsidP="00C83DD5">
      <w:pPr>
        <w:spacing w:after="0" w:line="360" w:lineRule="auto"/>
        <w:jc w:val="both"/>
        <w:rPr>
          <w:rFonts w:ascii="Arial" w:hAnsi="Arial" w:cs="Arial"/>
        </w:rPr>
      </w:pPr>
      <w:r>
        <w:rPr>
          <w:rFonts w:ascii="Arial" w:hAnsi="Arial" w:cs="Arial"/>
        </w:rPr>
        <w:t>[</w:t>
      </w:r>
      <w:r w:rsidR="008749BB">
        <w:rPr>
          <w:rFonts w:ascii="Arial" w:hAnsi="Arial" w:cs="Arial"/>
        </w:rPr>
        <w:t>6</w:t>
      </w:r>
      <w:r>
        <w:rPr>
          <w:rFonts w:ascii="Arial" w:hAnsi="Arial" w:cs="Arial"/>
        </w:rPr>
        <w:t>]</w:t>
      </w:r>
      <w:r>
        <w:rPr>
          <w:rFonts w:ascii="Arial" w:hAnsi="Arial" w:cs="Arial"/>
        </w:rPr>
        <w:tab/>
        <w:t xml:space="preserve">Broadly, the </w:t>
      </w:r>
      <w:r w:rsidR="008749BB">
        <w:rPr>
          <w:rFonts w:ascii="Arial" w:hAnsi="Arial" w:cs="Arial"/>
        </w:rPr>
        <w:t>Defendants</w:t>
      </w:r>
      <w:r>
        <w:rPr>
          <w:rFonts w:ascii="Arial" w:hAnsi="Arial" w:cs="Arial"/>
        </w:rPr>
        <w:t xml:space="preserve"> submitted </w:t>
      </w:r>
      <w:r w:rsidR="00CA55E7">
        <w:rPr>
          <w:rFonts w:ascii="Arial" w:hAnsi="Arial" w:cs="Arial"/>
        </w:rPr>
        <w:t>and acknowledged that although the</w:t>
      </w:r>
      <w:r w:rsidR="00C904F7">
        <w:rPr>
          <w:rFonts w:ascii="Arial" w:hAnsi="Arial" w:cs="Arial"/>
        </w:rPr>
        <w:t xml:space="preserve"> parties may </w:t>
      </w:r>
      <w:r w:rsidR="00CA55E7">
        <w:rPr>
          <w:rFonts w:ascii="Arial" w:hAnsi="Arial" w:cs="Arial"/>
        </w:rPr>
        <w:t xml:space="preserve">agree </w:t>
      </w:r>
      <w:r w:rsidR="00996293">
        <w:rPr>
          <w:rFonts w:ascii="Arial" w:hAnsi="Arial" w:cs="Arial"/>
        </w:rPr>
        <w:t xml:space="preserve">to the provisions of the NCA applicable to their agreement, </w:t>
      </w:r>
      <w:r w:rsidR="00C904F7">
        <w:rPr>
          <w:rFonts w:ascii="Arial" w:hAnsi="Arial" w:cs="Arial"/>
        </w:rPr>
        <w:t>it is no</w:t>
      </w:r>
      <w:r w:rsidR="00684513">
        <w:rPr>
          <w:rFonts w:ascii="Arial" w:hAnsi="Arial" w:cs="Arial"/>
        </w:rPr>
        <w:t>t possible to</w:t>
      </w:r>
      <w:r w:rsidR="00AE23C2">
        <w:rPr>
          <w:rFonts w:ascii="Arial" w:hAnsi="Arial" w:cs="Arial"/>
        </w:rPr>
        <w:t xml:space="preserve"> agree to </w:t>
      </w:r>
      <w:r w:rsidR="00FA1150">
        <w:rPr>
          <w:rFonts w:ascii="Arial" w:hAnsi="Arial" w:cs="Arial"/>
        </w:rPr>
        <w:t xml:space="preserve">make the whole </w:t>
      </w:r>
      <w:r w:rsidR="00AB692C">
        <w:rPr>
          <w:rFonts w:ascii="Arial" w:hAnsi="Arial" w:cs="Arial"/>
        </w:rPr>
        <w:t xml:space="preserve">NCA </w:t>
      </w:r>
      <w:r w:rsidR="00AA4014">
        <w:rPr>
          <w:rFonts w:ascii="Arial" w:hAnsi="Arial" w:cs="Arial"/>
        </w:rPr>
        <w:t xml:space="preserve">including the whole section 129 </w:t>
      </w:r>
      <w:r w:rsidR="00B06D45">
        <w:rPr>
          <w:rFonts w:ascii="Arial" w:hAnsi="Arial" w:cs="Arial"/>
        </w:rPr>
        <w:t>to</w:t>
      </w:r>
      <w:r w:rsidR="00AA4014">
        <w:rPr>
          <w:rFonts w:ascii="Arial" w:hAnsi="Arial" w:cs="Arial"/>
        </w:rPr>
        <w:t xml:space="preserve"> be made applicable except for the p</w:t>
      </w:r>
      <w:r w:rsidR="00FF1565">
        <w:rPr>
          <w:rFonts w:ascii="Arial" w:hAnsi="Arial" w:cs="Arial"/>
        </w:rPr>
        <w:t>ortions thereof.</w:t>
      </w:r>
      <w:r w:rsidR="00E15844">
        <w:rPr>
          <w:rFonts w:ascii="Arial" w:hAnsi="Arial" w:cs="Arial"/>
        </w:rPr>
        <w:t xml:space="preserve"> The </w:t>
      </w:r>
      <w:r w:rsidR="00CD0285">
        <w:rPr>
          <w:rFonts w:ascii="Arial" w:hAnsi="Arial" w:cs="Arial"/>
        </w:rPr>
        <w:t>Defendants</w:t>
      </w:r>
      <w:r w:rsidR="00AE6225">
        <w:rPr>
          <w:rFonts w:ascii="Arial" w:hAnsi="Arial" w:cs="Arial"/>
        </w:rPr>
        <w:t xml:space="preserve"> are</w:t>
      </w:r>
      <w:r w:rsidR="00336E25">
        <w:rPr>
          <w:rFonts w:ascii="Arial" w:hAnsi="Arial" w:cs="Arial"/>
        </w:rPr>
        <w:t xml:space="preserve"> also adamant that </w:t>
      </w:r>
      <w:r w:rsidR="00AE6225">
        <w:rPr>
          <w:rFonts w:ascii="Arial" w:hAnsi="Arial" w:cs="Arial"/>
        </w:rPr>
        <w:t>they</w:t>
      </w:r>
      <w:r w:rsidR="00336E25">
        <w:rPr>
          <w:rFonts w:ascii="Arial" w:hAnsi="Arial" w:cs="Arial"/>
        </w:rPr>
        <w:t xml:space="preserve"> intended the provisions </w:t>
      </w:r>
      <w:r w:rsidR="00AE6225">
        <w:rPr>
          <w:rFonts w:ascii="Arial" w:hAnsi="Arial" w:cs="Arial"/>
        </w:rPr>
        <w:t xml:space="preserve">of the NCA </w:t>
      </w:r>
      <w:r w:rsidR="00E84272">
        <w:rPr>
          <w:rFonts w:ascii="Arial" w:hAnsi="Arial" w:cs="Arial"/>
        </w:rPr>
        <w:t xml:space="preserve">should apply to the agreement. Further, they challenged the eligibility of the </w:t>
      </w:r>
      <w:r w:rsidR="00CC6192">
        <w:rPr>
          <w:rFonts w:ascii="Arial" w:hAnsi="Arial" w:cs="Arial"/>
        </w:rPr>
        <w:t xml:space="preserve">Plaintiff’s </w:t>
      </w:r>
      <w:r w:rsidR="00E84272">
        <w:rPr>
          <w:rFonts w:ascii="Arial" w:hAnsi="Arial" w:cs="Arial"/>
        </w:rPr>
        <w:t xml:space="preserve">deponent </w:t>
      </w:r>
      <w:r w:rsidR="00076E8E">
        <w:rPr>
          <w:rFonts w:ascii="Arial" w:hAnsi="Arial" w:cs="Arial"/>
        </w:rPr>
        <w:t xml:space="preserve">that she </w:t>
      </w:r>
      <w:r w:rsidR="003E6B94">
        <w:rPr>
          <w:rFonts w:ascii="Arial" w:hAnsi="Arial" w:cs="Arial"/>
        </w:rPr>
        <w:t>c</w:t>
      </w:r>
      <w:r w:rsidR="00B46042">
        <w:rPr>
          <w:rFonts w:ascii="Arial" w:hAnsi="Arial" w:cs="Arial"/>
        </w:rPr>
        <w:t xml:space="preserve">ould not have </w:t>
      </w:r>
      <w:r w:rsidR="003E6B94">
        <w:rPr>
          <w:rFonts w:ascii="Arial" w:hAnsi="Arial" w:cs="Arial"/>
        </w:rPr>
        <w:t>attest</w:t>
      </w:r>
      <w:r w:rsidR="00B46042">
        <w:rPr>
          <w:rFonts w:ascii="Arial" w:hAnsi="Arial" w:cs="Arial"/>
        </w:rPr>
        <w:t>ed</w:t>
      </w:r>
      <w:r w:rsidR="003E6B94">
        <w:rPr>
          <w:rFonts w:ascii="Arial" w:hAnsi="Arial" w:cs="Arial"/>
        </w:rPr>
        <w:t xml:space="preserve"> to the </w:t>
      </w:r>
      <w:r w:rsidR="00952028">
        <w:rPr>
          <w:rFonts w:ascii="Arial" w:hAnsi="Arial" w:cs="Arial"/>
        </w:rPr>
        <w:t xml:space="preserve">substance of the agreement as she was not involved in its conclusion as she is a mere collections manager that </w:t>
      </w:r>
      <w:r w:rsidR="00C22360">
        <w:rPr>
          <w:rFonts w:ascii="Arial" w:hAnsi="Arial" w:cs="Arial"/>
        </w:rPr>
        <w:t>becomes involved on allegations of a breach of the agreement.</w:t>
      </w:r>
      <w:r w:rsidR="003E58EF">
        <w:rPr>
          <w:rFonts w:ascii="Arial" w:hAnsi="Arial" w:cs="Arial"/>
        </w:rPr>
        <w:t xml:space="preserve"> Overall, the </w:t>
      </w:r>
      <w:r w:rsidR="00CD0285">
        <w:rPr>
          <w:rFonts w:ascii="Arial" w:hAnsi="Arial" w:cs="Arial"/>
        </w:rPr>
        <w:t>Defendants</w:t>
      </w:r>
      <w:r w:rsidR="003E58EF">
        <w:rPr>
          <w:rFonts w:ascii="Arial" w:hAnsi="Arial" w:cs="Arial"/>
        </w:rPr>
        <w:t xml:space="preserve"> </w:t>
      </w:r>
      <w:r w:rsidR="000B2329">
        <w:rPr>
          <w:rFonts w:ascii="Arial" w:hAnsi="Arial" w:cs="Arial"/>
        </w:rPr>
        <w:t xml:space="preserve">also </w:t>
      </w:r>
      <w:r w:rsidR="00754E35">
        <w:rPr>
          <w:rFonts w:ascii="Arial" w:hAnsi="Arial" w:cs="Arial"/>
        </w:rPr>
        <w:t xml:space="preserve">submitted that </w:t>
      </w:r>
      <w:r w:rsidR="003E58EF">
        <w:rPr>
          <w:rFonts w:ascii="Arial" w:hAnsi="Arial" w:cs="Arial"/>
        </w:rPr>
        <w:t xml:space="preserve">the </w:t>
      </w:r>
      <w:r w:rsidR="004C5EE9">
        <w:rPr>
          <w:rFonts w:ascii="Arial" w:hAnsi="Arial" w:cs="Arial"/>
        </w:rPr>
        <w:t xml:space="preserve">alleged letter of demand was not brought to their attention or became aware of it and the </w:t>
      </w:r>
      <w:r w:rsidR="003E58EF">
        <w:rPr>
          <w:rFonts w:ascii="Arial" w:hAnsi="Arial" w:cs="Arial"/>
        </w:rPr>
        <w:t xml:space="preserve">agreement was not validly terminated due to the failure of the </w:t>
      </w:r>
      <w:r w:rsidR="00CD0285">
        <w:rPr>
          <w:rFonts w:ascii="Arial" w:hAnsi="Arial" w:cs="Arial"/>
        </w:rPr>
        <w:t>Plaintiff</w:t>
      </w:r>
      <w:r w:rsidR="003E58EF">
        <w:rPr>
          <w:rFonts w:ascii="Arial" w:hAnsi="Arial" w:cs="Arial"/>
        </w:rPr>
        <w:t xml:space="preserve"> to comply with the NCA </w:t>
      </w:r>
      <w:r w:rsidR="00920AF7">
        <w:rPr>
          <w:rFonts w:ascii="Arial" w:hAnsi="Arial" w:cs="Arial"/>
        </w:rPr>
        <w:t>provisions</w:t>
      </w:r>
      <w:r w:rsidR="00303D65">
        <w:rPr>
          <w:rFonts w:ascii="Arial" w:hAnsi="Arial" w:cs="Arial"/>
        </w:rPr>
        <w:t>.</w:t>
      </w:r>
      <w:r w:rsidR="003E58EF">
        <w:rPr>
          <w:rFonts w:ascii="Arial" w:hAnsi="Arial" w:cs="Arial"/>
        </w:rPr>
        <w:t xml:space="preserve"> </w:t>
      </w:r>
    </w:p>
    <w:p w14:paraId="4EB4EC4D" w14:textId="77777777" w:rsidR="003A2764" w:rsidRDefault="003A2764" w:rsidP="00C83DD5">
      <w:pPr>
        <w:spacing w:after="0" w:line="360" w:lineRule="auto"/>
        <w:jc w:val="both"/>
        <w:rPr>
          <w:rFonts w:ascii="Arial" w:hAnsi="Arial" w:cs="Arial"/>
        </w:rPr>
      </w:pPr>
    </w:p>
    <w:p w14:paraId="6E876DB2" w14:textId="17E324FA" w:rsidR="00AB1920" w:rsidRDefault="00F6654B" w:rsidP="00C83DD5">
      <w:pPr>
        <w:spacing w:after="0" w:line="360" w:lineRule="auto"/>
        <w:jc w:val="both"/>
        <w:rPr>
          <w:rFonts w:ascii="Arial" w:hAnsi="Arial" w:cs="Arial"/>
        </w:rPr>
      </w:pPr>
      <w:r>
        <w:rPr>
          <w:rFonts w:ascii="Arial" w:hAnsi="Arial" w:cs="Arial"/>
        </w:rPr>
        <w:t>[</w:t>
      </w:r>
      <w:r w:rsidR="008A123F">
        <w:rPr>
          <w:rFonts w:ascii="Arial" w:hAnsi="Arial" w:cs="Arial"/>
        </w:rPr>
        <w:t>7</w:t>
      </w:r>
      <w:r>
        <w:rPr>
          <w:rFonts w:ascii="Arial" w:hAnsi="Arial" w:cs="Arial"/>
        </w:rPr>
        <w:t>]</w:t>
      </w:r>
      <w:r>
        <w:rPr>
          <w:rFonts w:ascii="Arial" w:hAnsi="Arial" w:cs="Arial"/>
        </w:rPr>
        <w:tab/>
      </w:r>
      <w:r w:rsidR="00EB3159">
        <w:rPr>
          <w:rFonts w:ascii="Arial" w:hAnsi="Arial" w:cs="Arial"/>
        </w:rPr>
        <w:t xml:space="preserve">The material </w:t>
      </w:r>
      <w:r w:rsidR="00643617">
        <w:rPr>
          <w:rFonts w:ascii="Arial" w:hAnsi="Arial" w:cs="Arial"/>
        </w:rPr>
        <w:t xml:space="preserve">issue to </w:t>
      </w:r>
      <w:r w:rsidR="00CA29D3">
        <w:rPr>
          <w:rFonts w:ascii="Arial" w:hAnsi="Arial" w:cs="Arial"/>
        </w:rPr>
        <w:t>this</w:t>
      </w:r>
      <w:r w:rsidR="00643617">
        <w:rPr>
          <w:rFonts w:ascii="Arial" w:hAnsi="Arial" w:cs="Arial"/>
        </w:rPr>
        <w:t xml:space="preserve"> matter relates to </w:t>
      </w:r>
      <w:r w:rsidR="000A30D8">
        <w:rPr>
          <w:rFonts w:ascii="Arial" w:hAnsi="Arial" w:cs="Arial"/>
        </w:rPr>
        <w:t xml:space="preserve">the determination </w:t>
      </w:r>
      <w:r w:rsidR="00667C12">
        <w:rPr>
          <w:rFonts w:ascii="Arial" w:hAnsi="Arial" w:cs="Arial"/>
        </w:rPr>
        <w:t xml:space="preserve">of </w:t>
      </w:r>
      <w:r w:rsidR="000A30D8">
        <w:rPr>
          <w:rFonts w:ascii="Arial" w:hAnsi="Arial" w:cs="Arial"/>
        </w:rPr>
        <w:t>whether the</w:t>
      </w:r>
      <w:r w:rsidR="00BF4A5C">
        <w:rPr>
          <w:rFonts w:ascii="Arial" w:hAnsi="Arial" w:cs="Arial"/>
        </w:rPr>
        <w:t xml:space="preserve"> NCA would find application </w:t>
      </w:r>
      <w:r w:rsidR="00A83D03">
        <w:rPr>
          <w:rFonts w:ascii="Arial" w:hAnsi="Arial" w:cs="Arial"/>
        </w:rPr>
        <w:t>in circumstances where it could not have been applicable</w:t>
      </w:r>
      <w:r w:rsidR="00667C12" w:rsidRPr="003148BD">
        <w:rPr>
          <w:rFonts w:ascii="Arial" w:hAnsi="Arial" w:cs="Arial"/>
        </w:rPr>
        <w:t>. Simpl</w:t>
      </w:r>
      <w:r w:rsidR="00CB26FC" w:rsidRPr="003148BD">
        <w:rPr>
          <w:rFonts w:ascii="Arial" w:hAnsi="Arial" w:cs="Arial"/>
        </w:rPr>
        <w:t xml:space="preserve">y put, </w:t>
      </w:r>
      <w:r w:rsidR="006D54A2" w:rsidRPr="003148BD">
        <w:rPr>
          <w:rFonts w:ascii="Arial" w:hAnsi="Arial" w:cs="Arial"/>
        </w:rPr>
        <w:t xml:space="preserve">does the </w:t>
      </w:r>
      <w:r w:rsidR="00AB1920">
        <w:rPr>
          <w:rFonts w:ascii="Arial" w:hAnsi="Arial" w:cs="Arial"/>
        </w:rPr>
        <w:t xml:space="preserve">scope and purpose of the NCA </w:t>
      </w:r>
      <w:r w:rsidR="0046414B">
        <w:rPr>
          <w:rFonts w:ascii="Arial" w:hAnsi="Arial" w:cs="Arial"/>
        </w:rPr>
        <w:t xml:space="preserve">finds application in a credit agreement where its provisions are not affirmatively </w:t>
      </w:r>
      <w:r w:rsidR="00C970E1">
        <w:rPr>
          <w:rFonts w:ascii="Arial" w:hAnsi="Arial" w:cs="Arial"/>
        </w:rPr>
        <w:t>included in the agreement through the principles of ‘incorporation’?</w:t>
      </w:r>
    </w:p>
    <w:p w14:paraId="718017BE" w14:textId="77777777" w:rsidR="00AB1920" w:rsidRDefault="00AB1920" w:rsidP="00C83DD5">
      <w:pPr>
        <w:spacing w:after="0" w:line="360" w:lineRule="auto"/>
        <w:jc w:val="both"/>
        <w:rPr>
          <w:rFonts w:ascii="Arial" w:hAnsi="Arial" w:cs="Arial"/>
        </w:rPr>
      </w:pPr>
    </w:p>
    <w:p w14:paraId="4E6B76F0" w14:textId="3B23188A" w:rsidR="00FD0377" w:rsidRPr="00FD0377" w:rsidRDefault="00FD0377" w:rsidP="00C83DD5">
      <w:pPr>
        <w:spacing w:after="0" w:line="360" w:lineRule="auto"/>
        <w:jc w:val="both"/>
        <w:rPr>
          <w:rFonts w:ascii="Arial" w:hAnsi="Arial" w:cs="Arial"/>
          <w:b/>
          <w:bCs/>
          <w:i/>
          <w:iCs/>
        </w:rPr>
      </w:pPr>
      <w:r w:rsidRPr="00FD0377">
        <w:rPr>
          <w:rFonts w:ascii="Arial" w:hAnsi="Arial" w:cs="Arial"/>
          <w:b/>
          <w:bCs/>
          <w:i/>
          <w:iCs/>
        </w:rPr>
        <w:t>Analysis</w:t>
      </w:r>
    </w:p>
    <w:p w14:paraId="2D1C936A" w14:textId="77777777" w:rsidR="00FD0377" w:rsidRDefault="00FD0377" w:rsidP="00C83DD5">
      <w:pPr>
        <w:spacing w:after="0" w:line="360" w:lineRule="auto"/>
        <w:jc w:val="both"/>
        <w:rPr>
          <w:rFonts w:ascii="Arial" w:hAnsi="Arial" w:cs="Arial"/>
        </w:rPr>
      </w:pPr>
    </w:p>
    <w:p w14:paraId="03A83D4C" w14:textId="7F30DBC4" w:rsidR="00F81D8F" w:rsidRDefault="009A7CE6" w:rsidP="00C83DD5">
      <w:pPr>
        <w:spacing w:after="0" w:line="360" w:lineRule="auto"/>
        <w:jc w:val="both"/>
        <w:rPr>
          <w:rFonts w:ascii="Arial" w:hAnsi="Arial" w:cs="Arial"/>
        </w:rPr>
      </w:pPr>
      <w:r>
        <w:rPr>
          <w:rFonts w:ascii="Arial" w:hAnsi="Arial" w:cs="Arial"/>
        </w:rPr>
        <w:t>[</w:t>
      </w:r>
      <w:r w:rsidR="00E6473A">
        <w:rPr>
          <w:rFonts w:ascii="Arial" w:hAnsi="Arial" w:cs="Arial"/>
        </w:rPr>
        <w:t>9</w:t>
      </w:r>
      <w:r>
        <w:rPr>
          <w:rFonts w:ascii="Arial" w:hAnsi="Arial" w:cs="Arial"/>
        </w:rPr>
        <w:t>]</w:t>
      </w:r>
      <w:r>
        <w:rPr>
          <w:rFonts w:ascii="Arial" w:hAnsi="Arial" w:cs="Arial"/>
        </w:rPr>
        <w:tab/>
        <w:t xml:space="preserve">This Court moves from a premise for a </w:t>
      </w:r>
      <w:r w:rsidR="00F02259">
        <w:rPr>
          <w:rFonts w:ascii="Arial" w:hAnsi="Arial" w:cs="Arial"/>
        </w:rPr>
        <w:t xml:space="preserve">common cause between the parties that the NCA </w:t>
      </w:r>
      <w:r w:rsidR="003E657F">
        <w:rPr>
          <w:rFonts w:ascii="Arial" w:hAnsi="Arial" w:cs="Arial"/>
        </w:rPr>
        <w:t>c</w:t>
      </w:r>
      <w:r w:rsidR="00F02259">
        <w:rPr>
          <w:rFonts w:ascii="Arial" w:hAnsi="Arial" w:cs="Arial"/>
        </w:rPr>
        <w:t>ould not have been applicable in the agreement</w:t>
      </w:r>
      <w:r w:rsidR="00982627">
        <w:rPr>
          <w:rFonts w:ascii="Arial" w:hAnsi="Arial" w:cs="Arial"/>
        </w:rPr>
        <w:t xml:space="preserve"> by virtue of the First </w:t>
      </w:r>
      <w:r w:rsidR="00CD0285">
        <w:rPr>
          <w:rFonts w:ascii="Arial" w:hAnsi="Arial" w:cs="Arial"/>
        </w:rPr>
        <w:t xml:space="preserve">Defendant </w:t>
      </w:r>
      <w:r w:rsidR="00872AB6">
        <w:rPr>
          <w:rFonts w:ascii="Arial" w:hAnsi="Arial" w:cs="Arial"/>
        </w:rPr>
        <w:t>being a juristic person and exclude</w:t>
      </w:r>
      <w:r w:rsidR="003F6703">
        <w:rPr>
          <w:rFonts w:ascii="Arial" w:hAnsi="Arial" w:cs="Arial"/>
        </w:rPr>
        <w:t>d</w:t>
      </w:r>
      <w:r w:rsidR="00872AB6">
        <w:rPr>
          <w:rFonts w:ascii="Arial" w:hAnsi="Arial" w:cs="Arial"/>
        </w:rPr>
        <w:t xml:space="preserve"> </w:t>
      </w:r>
      <w:r w:rsidR="003F6703">
        <w:rPr>
          <w:rFonts w:ascii="Arial" w:hAnsi="Arial" w:cs="Arial"/>
        </w:rPr>
        <w:t>as envisaged from section 4(1)(</w:t>
      </w:r>
      <w:r w:rsidR="00FC1027">
        <w:rPr>
          <w:rFonts w:ascii="Arial" w:hAnsi="Arial" w:cs="Arial"/>
        </w:rPr>
        <w:t>i</w:t>
      </w:r>
      <w:r w:rsidR="003F6703">
        <w:rPr>
          <w:rFonts w:ascii="Arial" w:hAnsi="Arial" w:cs="Arial"/>
        </w:rPr>
        <w:t>) of the NCA</w:t>
      </w:r>
      <w:r w:rsidR="00AB5437">
        <w:rPr>
          <w:rFonts w:ascii="Arial" w:hAnsi="Arial" w:cs="Arial"/>
        </w:rPr>
        <w:t xml:space="preserve"> and </w:t>
      </w:r>
      <w:r w:rsidR="00FC1027">
        <w:rPr>
          <w:rFonts w:ascii="Arial" w:hAnsi="Arial" w:cs="Arial"/>
        </w:rPr>
        <w:t xml:space="preserve">alternatively </w:t>
      </w:r>
      <w:r w:rsidR="003D7D0A">
        <w:rPr>
          <w:rFonts w:ascii="Arial" w:hAnsi="Arial" w:cs="Arial"/>
        </w:rPr>
        <w:t>section</w:t>
      </w:r>
      <w:r w:rsidR="007B7A49">
        <w:rPr>
          <w:rFonts w:ascii="Arial" w:hAnsi="Arial" w:cs="Arial"/>
        </w:rPr>
        <w:t xml:space="preserve"> 4(1)(b) </w:t>
      </w:r>
      <w:r w:rsidR="00505A5E">
        <w:rPr>
          <w:rFonts w:ascii="Arial" w:hAnsi="Arial" w:cs="Arial"/>
        </w:rPr>
        <w:t xml:space="preserve">in that </w:t>
      </w:r>
      <w:r w:rsidR="00AB5437">
        <w:rPr>
          <w:rFonts w:ascii="Arial" w:hAnsi="Arial" w:cs="Arial"/>
        </w:rPr>
        <w:t xml:space="preserve">the agreement </w:t>
      </w:r>
      <w:r w:rsidR="006042B7">
        <w:rPr>
          <w:rFonts w:ascii="Arial" w:hAnsi="Arial" w:cs="Arial"/>
        </w:rPr>
        <w:t xml:space="preserve">is a </w:t>
      </w:r>
      <w:r w:rsidR="00AB5437">
        <w:rPr>
          <w:rFonts w:ascii="Arial" w:hAnsi="Arial" w:cs="Arial"/>
        </w:rPr>
        <w:t xml:space="preserve">large agreement </w:t>
      </w:r>
      <w:r w:rsidR="006042B7">
        <w:rPr>
          <w:rFonts w:ascii="Arial" w:hAnsi="Arial" w:cs="Arial"/>
        </w:rPr>
        <w:t xml:space="preserve">as envisaged </w:t>
      </w:r>
      <w:r w:rsidR="00AB5437">
        <w:rPr>
          <w:rFonts w:ascii="Arial" w:hAnsi="Arial" w:cs="Arial"/>
        </w:rPr>
        <w:t>in R</w:t>
      </w:r>
      <w:r w:rsidR="00B3733A">
        <w:rPr>
          <w:rFonts w:ascii="Arial" w:hAnsi="Arial" w:cs="Arial"/>
        </w:rPr>
        <w:t>egulation 7</w:t>
      </w:r>
      <w:r w:rsidR="001F1B6B">
        <w:rPr>
          <w:rFonts w:ascii="Arial" w:hAnsi="Arial" w:cs="Arial"/>
        </w:rPr>
        <w:t>(1)</w:t>
      </w:r>
      <w:r w:rsidR="00B3733A">
        <w:rPr>
          <w:rFonts w:ascii="Arial" w:hAnsi="Arial" w:cs="Arial"/>
        </w:rPr>
        <w:t xml:space="preserve"> of the said Act.</w:t>
      </w:r>
      <w:r w:rsidR="00872AB6">
        <w:rPr>
          <w:rFonts w:ascii="Arial" w:hAnsi="Arial" w:cs="Arial"/>
        </w:rPr>
        <w:t xml:space="preserve"> </w:t>
      </w:r>
      <w:r w:rsidR="005F6EBB">
        <w:rPr>
          <w:rFonts w:ascii="Arial" w:hAnsi="Arial" w:cs="Arial"/>
        </w:rPr>
        <w:t xml:space="preserve">The consequent result would then </w:t>
      </w:r>
      <w:r w:rsidR="00A4348A">
        <w:rPr>
          <w:rFonts w:ascii="Arial" w:hAnsi="Arial" w:cs="Arial"/>
        </w:rPr>
        <w:t>influence</w:t>
      </w:r>
      <w:r w:rsidR="000A32DD">
        <w:rPr>
          <w:rFonts w:ascii="Arial" w:hAnsi="Arial" w:cs="Arial"/>
        </w:rPr>
        <w:t xml:space="preserve"> the deed of suretyship</w:t>
      </w:r>
      <w:r w:rsidR="00470E2A">
        <w:rPr>
          <w:rFonts w:ascii="Arial" w:hAnsi="Arial" w:cs="Arial"/>
        </w:rPr>
        <w:t>.</w:t>
      </w:r>
      <w:r w:rsidR="00CA427D">
        <w:rPr>
          <w:rFonts w:ascii="Arial" w:hAnsi="Arial" w:cs="Arial"/>
        </w:rPr>
        <w:t xml:space="preserve"> </w:t>
      </w:r>
      <w:r w:rsidR="007A2BDF">
        <w:rPr>
          <w:rFonts w:ascii="Arial" w:hAnsi="Arial" w:cs="Arial"/>
        </w:rPr>
        <w:t xml:space="preserve">It </w:t>
      </w:r>
      <w:r w:rsidR="00200FB1">
        <w:rPr>
          <w:rFonts w:ascii="Arial" w:hAnsi="Arial" w:cs="Arial"/>
        </w:rPr>
        <w:t xml:space="preserve">also </w:t>
      </w:r>
      <w:r w:rsidR="007A2BDF">
        <w:rPr>
          <w:rFonts w:ascii="Arial" w:hAnsi="Arial" w:cs="Arial"/>
        </w:rPr>
        <w:t xml:space="preserve">moves from a </w:t>
      </w:r>
      <w:r>
        <w:rPr>
          <w:rFonts w:ascii="Arial" w:hAnsi="Arial" w:cs="Arial"/>
        </w:rPr>
        <w:t>balanced vi</w:t>
      </w:r>
      <w:r w:rsidR="00982642">
        <w:rPr>
          <w:rFonts w:ascii="Arial" w:hAnsi="Arial" w:cs="Arial"/>
        </w:rPr>
        <w:t xml:space="preserve">ew regarding the general overview and purpose of the NCA </w:t>
      </w:r>
      <w:r w:rsidR="003767A1">
        <w:rPr>
          <w:rFonts w:ascii="Arial" w:hAnsi="Arial" w:cs="Arial"/>
        </w:rPr>
        <w:t xml:space="preserve">regarding the promotion </w:t>
      </w:r>
      <w:r w:rsidR="00EF1B65">
        <w:rPr>
          <w:rFonts w:ascii="Arial" w:hAnsi="Arial" w:cs="Arial"/>
        </w:rPr>
        <w:t>of socio-economic interests of the consumer against the promotion of a fair and transparent</w:t>
      </w:r>
      <w:r w:rsidR="00D3096B">
        <w:rPr>
          <w:rFonts w:ascii="Arial" w:hAnsi="Arial" w:cs="Arial"/>
        </w:rPr>
        <w:t xml:space="preserve"> credit market regulation which is to be upheld by the </w:t>
      </w:r>
      <w:r w:rsidR="00203ABE">
        <w:rPr>
          <w:rFonts w:ascii="Arial" w:hAnsi="Arial" w:cs="Arial"/>
        </w:rPr>
        <w:t>creditors, (</w:t>
      </w:r>
      <w:r w:rsidR="004F10FA">
        <w:rPr>
          <w:rFonts w:ascii="Arial" w:hAnsi="Arial" w:cs="Arial"/>
        </w:rPr>
        <w:t xml:space="preserve">Mhlantla J in </w:t>
      </w:r>
      <w:r w:rsidR="00FD2A12" w:rsidRPr="004F10FA">
        <w:rPr>
          <w:rFonts w:ascii="Arial" w:hAnsi="Arial" w:cs="Arial"/>
          <w:i/>
          <w:iCs/>
        </w:rPr>
        <w:t>Amarion v Registrar of Deeds</w:t>
      </w:r>
      <w:r w:rsidR="00DE042B">
        <w:rPr>
          <w:rFonts w:ascii="Arial" w:hAnsi="Arial" w:cs="Arial"/>
        </w:rPr>
        <w:t xml:space="preserve"> (2019 (2) BCLR 193 (CC)</w:t>
      </w:r>
      <w:r w:rsidR="004F10FA">
        <w:rPr>
          <w:rFonts w:ascii="Arial" w:hAnsi="Arial" w:cs="Arial"/>
        </w:rPr>
        <w:t>, para 42).</w:t>
      </w:r>
      <w:r w:rsidR="007061C7">
        <w:rPr>
          <w:rFonts w:ascii="Arial" w:hAnsi="Arial" w:cs="Arial"/>
        </w:rPr>
        <w:t xml:space="preserve"> </w:t>
      </w:r>
    </w:p>
    <w:p w14:paraId="1A675FAE" w14:textId="77777777" w:rsidR="00F81D8F" w:rsidRDefault="00F81D8F" w:rsidP="00C83DD5">
      <w:pPr>
        <w:spacing w:after="0" w:line="360" w:lineRule="auto"/>
        <w:jc w:val="both"/>
        <w:rPr>
          <w:rFonts w:ascii="Arial" w:hAnsi="Arial" w:cs="Arial"/>
        </w:rPr>
      </w:pPr>
    </w:p>
    <w:p w14:paraId="0D21A5D9" w14:textId="35786CE2" w:rsidR="00582FA3" w:rsidRDefault="006E2ABB" w:rsidP="006E2ABB">
      <w:pPr>
        <w:spacing w:after="0" w:line="360" w:lineRule="auto"/>
        <w:jc w:val="both"/>
        <w:rPr>
          <w:rFonts w:ascii="Arial" w:hAnsi="Arial" w:cs="Arial"/>
        </w:rPr>
      </w:pPr>
      <w:r>
        <w:rPr>
          <w:rFonts w:ascii="Arial" w:hAnsi="Arial" w:cs="Arial"/>
        </w:rPr>
        <w:t>[1</w:t>
      </w:r>
      <w:r w:rsidR="00351018">
        <w:rPr>
          <w:rFonts w:ascii="Arial" w:hAnsi="Arial" w:cs="Arial"/>
        </w:rPr>
        <w:t>0</w:t>
      </w:r>
      <w:r>
        <w:rPr>
          <w:rFonts w:ascii="Arial" w:hAnsi="Arial" w:cs="Arial"/>
        </w:rPr>
        <w:t>]</w:t>
      </w:r>
      <w:r>
        <w:rPr>
          <w:rFonts w:ascii="Arial" w:hAnsi="Arial" w:cs="Arial"/>
        </w:rPr>
        <w:tab/>
        <w:t>Let me now turn to the contentious issue in this matter regarding the justification of the cancellation of the agreement by t</w:t>
      </w:r>
      <w:r w:rsidRPr="00B22E8F">
        <w:rPr>
          <w:rFonts w:ascii="Arial" w:hAnsi="Arial" w:cs="Arial"/>
        </w:rPr>
        <w:t xml:space="preserve">he </w:t>
      </w:r>
      <w:r w:rsidR="000B4F3F">
        <w:rPr>
          <w:rFonts w:ascii="Arial" w:hAnsi="Arial" w:cs="Arial"/>
        </w:rPr>
        <w:t>Plaintiff</w:t>
      </w:r>
      <w:r w:rsidRPr="00B22E8F">
        <w:rPr>
          <w:rFonts w:ascii="Arial" w:hAnsi="Arial" w:cs="Arial"/>
        </w:rPr>
        <w:t>. Th</w:t>
      </w:r>
      <w:r w:rsidR="000E54D6">
        <w:rPr>
          <w:rFonts w:ascii="Arial" w:hAnsi="Arial" w:cs="Arial"/>
        </w:rPr>
        <w:t xml:space="preserve">e </w:t>
      </w:r>
      <w:r w:rsidR="000B4F3F">
        <w:rPr>
          <w:rFonts w:ascii="Arial" w:hAnsi="Arial" w:cs="Arial"/>
        </w:rPr>
        <w:t>Plaintiff</w:t>
      </w:r>
      <w:r w:rsidR="00CE3E0D">
        <w:rPr>
          <w:rFonts w:ascii="Arial" w:hAnsi="Arial" w:cs="Arial"/>
        </w:rPr>
        <w:t xml:space="preserve"> argued that </w:t>
      </w:r>
      <w:r w:rsidR="00192D38">
        <w:rPr>
          <w:rFonts w:ascii="Arial" w:hAnsi="Arial" w:cs="Arial"/>
        </w:rPr>
        <w:t xml:space="preserve">the NCA is not applicable in the agreement </w:t>
      </w:r>
      <w:r w:rsidR="00633727">
        <w:rPr>
          <w:rFonts w:ascii="Arial" w:hAnsi="Arial" w:cs="Arial"/>
        </w:rPr>
        <w:t xml:space="preserve">in that it falls </w:t>
      </w:r>
      <w:r w:rsidR="00633727" w:rsidRPr="004D6741">
        <w:rPr>
          <w:rFonts w:ascii="Arial" w:hAnsi="Arial" w:cs="Arial"/>
        </w:rPr>
        <w:t xml:space="preserve">under the exclusions as prescribed by the NCA. Particularly, </w:t>
      </w:r>
      <w:r w:rsidR="004D6741" w:rsidRPr="004D6741">
        <w:rPr>
          <w:rFonts w:ascii="Arial" w:hAnsi="Arial" w:cs="Arial"/>
        </w:rPr>
        <w:t xml:space="preserve">the status of the First Defendant as a </w:t>
      </w:r>
      <w:r w:rsidRPr="004D6741">
        <w:rPr>
          <w:rFonts w:ascii="Arial" w:hAnsi="Arial" w:cs="Arial"/>
        </w:rPr>
        <w:t xml:space="preserve">juristic </w:t>
      </w:r>
      <w:r w:rsidR="004D6741" w:rsidRPr="004D6741">
        <w:rPr>
          <w:rFonts w:ascii="Arial" w:hAnsi="Arial" w:cs="Arial"/>
        </w:rPr>
        <w:t>person t</w:t>
      </w:r>
      <w:r w:rsidR="007C1F55" w:rsidRPr="004D6741">
        <w:rPr>
          <w:rFonts w:ascii="Arial" w:hAnsi="Arial" w:cs="Arial"/>
        </w:rPr>
        <w:t xml:space="preserve">hat has </w:t>
      </w:r>
      <w:r w:rsidRPr="004D6741">
        <w:rPr>
          <w:rFonts w:ascii="Arial" w:hAnsi="Arial" w:cs="Arial"/>
        </w:rPr>
        <w:t>an annual turnover of R1</w:t>
      </w:r>
      <w:r w:rsidR="00A60A6B" w:rsidRPr="004D6741">
        <w:rPr>
          <w:rFonts w:ascii="Arial" w:hAnsi="Arial" w:cs="Arial"/>
        </w:rPr>
        <w:t xml:space="preserve"> 000 000</w:t>
      </w:r>
      <w:r w:rsidRPr="004D6741">
        <w:rPr>
          <w:rFonts w:ascii="Arial" w:hAnsi="Arial" w:cs="Arial"/>
        </w:rPr>
        <w:t xml:space="preserve"> as envisaged in section 4(1)(b) of the said Act.</w:t>
      </w:r>
      <w:r w:rsidRPr="00B22E8F">
        <w:rPr>
          <w:rFonts w:ascii="Arial" w:hAnsi="Arial" w:cs="Arial"/>
        </w:rPr>
        <w:t xml:space="preserve"> </w:t>
      </w:r>
      <w:r w:rsidR="00332834">
        <w:rPr>
          <w:rFonts w:ascii="Arial" w:hAnsi="Arial" w:cs="Arial"/>
        </w:rPr>
        <w:t xml:space="preserve">As contended, </w:t>
      </w:r>
      <w:r w:rsidR="0027076E">
        <w:rPr>
          <w:rFonts w:ascii="Arial" w:hAnsi="Arial" w:cs="Arial"/>
        </w:rPr>
        <w:t xml:space="preserve">the argument raised a question herein whether the glaring exclusions can be indirectly incorporated into an </w:t>
      </w:r>
      <w:r w:rsidR="007F4534">
        <w:rPr>
          <w:rFonts w:ascii="Arial" w:hAnsi="Arial" w:cs="Arial"/>
        </w:rPr>
        <w:t xml:space="preserve">agreement without an </w:t>
      </w:r>
      <w:r w:rsidR="005D5B88">
        <w:rPr>
          <w:rFonts w:ascii="Arial" w:hAnsi="Arial" w:cs="Arial"/>
        </w:rPr>
        <w:t>expres</w:t>
      </w:r>
      <w:r w:rsidR="00AB066F">
        <w:rPr>
          <w:rFonts w:ascii="Arial" w:hAnsi="Arial" w:cs="Arial"/>
        </w:rPr>
        <w:t>s</w:t>
      </w:r>
      <w:r w:rsidR="007F4534">
        <w:rPr>
          <w:rFonts w:ascii="Arial" w:hAnsi="Arial" w:cs="Arial"/>
        </w:rPr>
        <w:t xml:space="preserve"> undertaking from both parties to do likewise?</w:t>
      </w:r>
      <w:r w:rsidR="003C5E7E">
        <w:rPr>
          <w:rFonts w:ascii="Arial" w:hAnsi="Arial" w:cs="Arial"/>
        </w:rPr>
        <w:t xml:space="preserve"> </w:t>
      </w:r>
      <w:r w:rsidRPr="00B22E8F">
        <w:rPr>
          <w:rFonts w:ascii="Arial" w:hAnsi="Arial" w:cs="Arial"/>
        </w:rPr>
        <w:t xml:space="preserve">However, the </w:t>
      </w:r>
      <w:r w:rsidR="000B4F3F">
        <w:rPr>
          <w:rFonts w:ascii="Arial" w:hAnsi="Arial" w:cs="Arial"/>
        </w:rPr>
        <w:t>Defendant</w:t>
      </w:r>
      <w:r w:rsidR="0061047F">
        <w:rPr>
          <w:rFonts w:ascii="Arial" w:hAnsi="Arial" w:cs="Arial"/>
        </w:rPr>
        <w:t>s</w:t>
      </w:r>
      <w:r>
        <w:rPr>
          <w:rFonts w:ascii="Arial" w:hAnsi="Arial" w:cs="Arial"/>
        </w:rPr>
        <w:t xml:space="preserve"> </w:t>
      </w:r>
      <w:r w:rsidR="000000ED">
        <w:rPr>
          <w:rFonts w:ascii="Arial" w:hAnsi="Arial" w:cs="Arial"/>
        </w:rPr>
        <w:t>maintained</w:t>
      </w:r>
      <w:r>
        <w:rPr>
          <w:rFonts w:ascii="Arial" w:hAnsi="Arial" w:cs="Arial"/>
        </w:rPr>
        <w:t xml:space="preserve"> that the NCA is applicable to the agreement by virtue of the </w:t>
      </w:r>
      <w:r w:rsidR="00C96E8D">
        <w:rPr>
          <w:rFonts w:ascii="Arial" w:hAnsi="Arial" w:cs="Arial"/>
        </w:rPr>
        <w:t>‘</w:t>
      </w:r>
      <w:r w:rsidR="00F6419F">
        <w:rPr>
          <w:rFonts w:ascii="Arial" w:hAnsi="Arial" w:cs="Arial"/>
        </w:rPr>
        <w:t>principle</w:t>
      </w:r>
      <w:r>
        <w:rPr>
          <w:rFonts w:ascii="Arial" w:hAnsi="Arial" w:cs="Arial"/>
        </w:rPr>
        <w:t xml:space="preserve"> of incorporation</w:t>
      </w:r>
      <w:r w:rsidR="00C96E8D">
        <w:rPr>
          <w:rFonts w:ascii="Arial" w:hAnsi="Arial" w:cs="Arial"/>
        </w:rPr>
        <w:t>’</w:t>
      </w:r>
      <w:r>
        <w:rPr>
          <w:rFonts w:ascii="Arial" w:hAnsi="Arial" w:cs="Arial"/>
        </w:rPr>
        <w:t xml:space="preserve"> where certain provisions of the said Act </w:t>
      </w:r>
      <w:r w:rsidR="00971EB4">
        <w:rPr>
          <w:rFonts w:ascii="Arial" w:hAnsi="Arial" w:cs="Arial"/>
        </w:rPr>
        <w:t>were</w:t>
      </w:r>
      <w:r>
        <w:rPr>
          <w:rFonts w:ascii="Arial" w:hAnsi="Arial" w:cs="Arial"/>
        </w:rPr>
        <w:t xml:space="preserve"> made applicable to the agreement. </w:t>
      </w:r>
      <w:r w:rsidR="00582FA3">
        <w:rPr>
          <w:rFonts w:ascii="Arial" w:hAnsi="Arial" w:cs="Arial"/>
        </w:rPr>
        <w:t xml:space="preserve">Their reliance </w:t>
      </w:r>
      <w:r w:rsidR="00AB066F">
        <w:rPr>
          <w:rFonts w:ascii="Arial" w:hAnsi="Arial" w:cs="Arial"/>
        </w:rPr>
        <w:t>was</w:t>
      </w:r>
      <w:r w:rsidR="003F1D98">
        <w:rPr>
          <w:rFonts w:ascii="Arial" w:hAnsi="Arial" w:cs="Arial"/>
        </w:rPr>
        <w:t xml:space="preserve"> </w:t>
      </w:r>
      <w:r w:rsidR="00F6419F">
        <w:rPr>
          <w:rFonts w:ascii="Arial" w:hAnsi="Arial" w:cs="Arial"/>
        </w:rPr>
        <w:t xml:space="preserve">based </w:t>
      </w:r>
      <w:r w:rsidR="003F1D98">
        <w:rPr>
          <w:rFonts w:ascii="Arial" w:hAnsi="Arial" w:cs="Arial"/>
        </w:rPr>
        <w:t>on sections 92 and 12</w:t>
      </w:r>
      <w:r w:rsidR="00AE3A54">
        <w:rPr>
          <w:rFonts w:ascii="Arial" w:hAnsi="Arial" w:cs="Arial"/>
        </w:rPr>
        <w:t>1</w:t>
      </w:r>
      <w:r w:rsidR="003F1D98">
        <w:rPr>
          <w:rFonts w:ascii="Arial" w:hAnsi="Arial" w:cs="Arial"/>
        </w:rPr>
        <w:t xml:space="preserve"> of the NCA which are referred to in the agreement regarding </w:t>
      </w:r>
      <w:r w:rsidR="00EA3B3F">
        <w:rPr>
          <w:rFonts w:ascii="Arial" w:hAnsi="Arial" w:cs="Arial"/>
        </w:rPr>
        <w:t>the pre-agreement disclosures and rescission of agreements</w:t>
      </w:r>
      <w:r w:rsidR="00133008">
        <w:rPr>
          <w:rFonts w:ascii="Arial" w:hAnsi="Arial" w:cs="Arial"/>
        </w:rPr>
        <w:t xml:space="preserve">. </w:t>
      </w:r>
    </w:p>
    <w:p w14:paraId="752DC98B" w14:textId="77777777" w:rsidR="00582FA3" w:rsidRDefault="00582FA3" w:rsidP="006E2ABB">
      <w:pPr>
        <w:spacing w:after="0" w:line="360" w:lineRule="auto"/>
        <w:jc w:val="both"/>
        <w:rPr>
          <w:rFonts w:ascii="Arial" w:hAnsi="Arial" w:cs="Arial"/>
        </w:rPr>
      </w:pPr>
    </w:p>
    <w:p w14:paraId="728FC7EA" w14:textId="60B64091" w:rsidR="006E2ABB" w:rsidRDefault="00133008" w:rsidP="006E2ABB">
      <w:pPr>
        <w:spacing w:after="0" w:line="360" w:lineRule="auto"/>
        <w:jc w:val="both"/>
        <w:rPr>
          <w:rFonts w:ascii="Arial" w:hAnsi="Arial" w:cs="Arial"/>
        </w:rPr>
      </w:pPr>
      <w:r>
        <w:rPr>
          <w:rFonts w:ascii="Arial" w:hAnsi="Arial" w:cs="Arial"/>
        </w:rPr>
        <w:t>[11</w:t>
      </w:r>
      <w:r w:rsidR="001B1FCE">
        <w:rPr>
          <w:rFonts w:ascii="Arial" w:hAnsi="Arial" w:cs="Arial"/>
        </w:rPr>
        <w:t>]</w:t>
      </w:r>
      <w:r w:rsidR="001B1FCE">
        <w:rPr>
          <w:rFonts w:ascii="Arial" w:hAnsi="Arial" w:cs="Arial"/>
        </w:rPr>
        <w:tab/>
      </w:r>
      <w:r>
        <w:rPr>
          <w:rFonts w:ascii="Arial" w:hAnsi="Arial" w:cs="Arial"/>
        </w:rPr>
        <w:t>T</w:t>
      </w:r>
      <w:r w:rsidR="006E2ABB">
        <w:rPr>
          <w:rFonts w:ascii="Arial" w:hAnsi="Arial" w:cs="Arial"/>
        </w:rPr>
        <w:t xml:space="preserve">he </w:t>
      </w:r>
      <w:r w:rsidR="00971EB4">
        <w:rPr>
          <w:rFonts w:ascii="Arial" w:hAnsi="Arial" w:cs="Arial"/>
        </w:rPr>
        <w:t>Plaintiff</w:t>
      </w:r>
      <w:r w:rsidR="006E2ABB">
        <w:rPr>
          <w:rFonts w:ascii="Arial" w:hAnsi="Arial" w:cs="Arial"/>
        </w:rPr>
        <w:t xml:space="preserve"> </w:t>
      </w:r>
      <w:r w:rsidR="00E02262">
        <w:rPr>
          <w:rFonts w:ascii="Arial" w:hAnsi="Arial" w:cs="Arial"/>
        </w:rPr>
        <w:t>dismissed</w:t>
      </w:r>
      <w:r w:rsidR="006E2ABB">
        <w:rPr>
          <w:rFonts w:ascii="Arial" w:hAnsi="Arial" w:cs="Arial"/>
        </w:rPr>
        <w:t xml:space="preserve"> the application </w:t>
      </w:r>
      <w:r w:rsidR="00863C08">
        <w:rPr>
          <w:rFonts w:ascii="Arial" w:hAnsi="Arial" w:cs="Arial"/>
        </w:rPr>
        <w:t xml:space="preserve">of the NCA </w:t>
      </w:r>
      <w:r w:rsidR="006E2ABB">
        <w:rPr>
          <w:rFonts w:ascii="Arial" w:hAnsi="Arial" w:cs="Arial"/>
        </w:rPr>
        <w:t xml:space="preserve">by </w:t>
      </w:r>
      <w:r w:rsidR="00971EB4">
        <w:rPr>
          <w:rFonts w:ascii="Arial" w:hAnsi="Arial" w:cs="Arial"/>
        </w:rPr>
        <w:t>‘</w:t>
      </w:r>
      <w:r w:rsidR="006E2ABB">
        <w:rPr>
          <w:rFonts w:ascii="Arial" w:hAnsi="Arial" w:cs="Arial"/>
        </w:rPr>
        <w:t>incorporation</w:t>
      </w:r>
      <w:r w:rsidR="00971EB4">
        <w:rPr>
          <w:rFonts w:ascii="Arial" w:hAnsi="Arial" w:cs="Arial"/>
        </w:rPr>
        <w:t>’</w:t>
      </w:r>
      <w:r w:rsidR="006E2ABB">
        <w:rPr>
          <w:rFonts w:ascii="Arial" w:hAnsi="Arial" w:cs="Arial"/>
        </w:rPr>
        <w:t xml:space="preserve"> into the agreement</w:t>
      </w:r>
      <w:r w:rsidR="003E1758">
        <w:rPr>
          <w:rFonts w:ascii="Arial" w:hAnsi="Arial" w:cs="Arial"/>
        </w:rPr>
        <w:t xml:space="preserve"> and argue</w:t>
      </w:r>
      <w:r w:rsidR="00CF140A">
        <w:rPr>
          <w:rFonts w:ascii="Arial" w:hAnsi="Arial" w:cs="Arial"/>
        </w:rPr>
        <w:t>d</w:t>
      </w:r>
      <w:r w:rsidR="003E1758">
        <w:rPr>
          <w:rFonts w:ascii="Arial" w:hAnsi="Arial" w:cs="Arial"/>
        </w:rPr>
        <w:t xml:space="preserve"> against the application of section 129 </w:t>
      </w:r>
      <w:r w:rsidR="00321EAB">
        <w:rPr>
          <w:rFonts w:ascii="Arial" w:hAnsi="Arial" w:cs="Arial"/>
        </w:rPr>
        <w:t>in ensuring compliance with the termination of agreements in the NCA</w:t>
      </w:r>
      <w:r w:rsidR="006E2ABB">
        <w:rPr>
          <w:rFonts w:ascii="Arial" w:hAnsi="Arial" w:cs="Arial"/>
        </w:rPr>
        <w:t xml:space="preserve">. </w:t>
      </w:r>
      <w:r w:rsidR="00863C08">
        <w:rPr>
          <w:rFonts w:ascii="Arial" w:hAnsi="Arial" w:cs="Arial"/>
        </w:rPr>
        <w:t xml:space="preserve">In essence, the </w:t>
      </w:r>
      <w:r w:rsidR="003A75D7">
        <w:rPr>
          <w:rFonts w:ascii="Arial" w:hAnsi="Arial" w:cs="Arial"/>
        </w:rPr>
        <w:t>Plaintiff</w:t>
      </w:r>
      <w:r w:rsidR="00D02CFE">
        <w:rPr>
          <w:rFonts w:ascii="Arial" w:hAnsi="Arial" w:cs="Arial"/>
        </w:rPr>
        <w:t xml:space="preserve"> argued that the reliance in section 129 was misplaced in </w:t>
      </w:r>
      <w:r w:rsidR="00476AB9">
        <w:rPr>
          <w:rFonts w:ascii="Arial" w:hAnsi="Arial" w:cs="Arial"/>
        </w:rPr>
        <w:t xml:space="preserve">that the agreement does not make any reference to the said provision except for the sections 92 </w:t>
      </w:r>
      <w:r w:rsidR="00E2489E">
        <w:rPr>
          <w:rFonts w:ascii="Arial" w:hAnsi="Arial" w:cs="Arial"/>
        </w:rPr>
        <w:t>and 12</w:t>
      </w:r>
      <w:r w:rsidR="00AE3A54">
        <w:rPr>
          <w:rFonts w:ascii="Arial" w:hAnsi="Arial" w:cs="Arial"/>
        </w:rPr>
        <w:t>1</w:t>
      </w:r>
      <w:r w:rsidR="00E2489E">
        <w:rPr>
          <w:rFonts w:ascii="Arial" w:hAnsi="Arial" w:cs="Arial"/>
        </w:rPr>
        <w:t xml:space="preserve"> of the NCA</w:t>
      </w:r>
      <w:r w:rsidR="001B1FCE">
        <w:rPr>
          <w:rFonts w:ascii="Arial" w:hAnsi="Arial" w:cs="Arial"/>
        </w:rPr>
        <w:t xml:space="preserve"> which are commonly acknowledged by the </w:t>
      </w:r>
      <w:r w:rsidR="003A75D7">
        <w:rPr>
          <w:rFonts w:ascii="Arial" w:hAnsi="Arial" w:cs="Arial"/>
        </w:rPr>
        <w:t>Defendants</w:t>
      </w:r>
      <w:r w:rsidR="00E2489E">
        <w:rPr>
          <w:rFonts w:ascii="Arial" w:hAnsi="Arial" w:cs="Arial"/>
        </w:rPr>
        <w:t>.</w:t>
      </w:r>
      <w:r w:rsidR="00BC40FC">
        <w:rPr>
          <w:rFonts w:ascii="Arial" w:hAnsi="Arial" w:cs="Arial"/>
        </w:rPr>
        <w:t xml:space="preserve"> This meant that the agreement cannot by virtue of reference to the said provisions </w:t>
      </w:r>
      <w:r w:rsidR="00EF4A76">
        <w:rPr>
          <w:rFonts w:ascii="Arial" w:hAnsi="Arial" w:cs="Arial"/>
        </w:rPr>
        <w:t xml:space="preserve">be </w:t>
      </w:r>
      <w:r w:rsidR="00EF4A76" w:rsidRPr="003A75D7">
        <w:rPr>
          <w:rFonts w:ascii="Arial" w:hAnsi="Arial" w:cs="Arial"/>
        </w:rPr>
        <w:t>grounded</w:t>
      </w:r>
      <w:r w:rsidR="00A3480B">
        <w:rPr>
          <w:rFonts w:ascii="Arial" w:hAnsi="Arial" w:cs="Arial"/>
        </w:rPr>
        <w:t xml:space="preserve"> and be a point of departure for the incorporation of</w:t>
      </w:r>
      <w:r w:rsidR="00EF4A76" w:rsidRPr="003A75D7">
        <w:rPr>
          <w:rFonts w:ascii="Arial" w:hAnsi="Arial" w:cs="Arial"/>
        </w:rPr>
        <w:t xml:space="preserve"> section 129 of the NCA </w:t>
      </w:r>
      <w:r w:rsidR="001662AF">
        <w:rPr>
          <w:rFonts w:ascii="Arial" w:hAnsi="Arial" w:cs="Arial"/>
        </w:rPr>
        <w:t xml:space="preserve">which was not otherwise included </w:t>
      </w:r>
      <w:r w:rsidR="00AF514F">
        <w:rPr>
          <w:rFonts w:ascii="Arial" w:hAnsi="Arial" w:cs="Arial"/>
        </w:rPr>
        <w:t xml:space="preserve">to determine compliance </w:t>
      </w:r>
      <w:r w:rsidR="00EF4A76" w:rsidRPr="003A75D7">
        <w:rPr>
          <w:rFonts w:ascii="Arial" w:hAnsi="Arial" w:cs="Arial"/>
        </w:rPr>
        <w:t xml:space="preserve">on default by the </w:t>
      </w:r>
      <w:r w:rsidR="003A75D7" w:rsidRPr="003A75D7">
        <w:rPr>
          <w:rFonts w:ascii="Arial" w:hAnsi="Arial" w:cs="Arial"/>
        </w:rPr>
        <w:t>Defendants</w:t>
      </w:r>
      <w:r w:rsidR="00A77D12" w:rsidRPr="003A75D7">
        <w:rPr>
          <w:rFonts w:ascii="Arial" w:hAnsi="Arial" w:cs="Arial"/>
        </w:rPr>
        <w:t>.</w:t>
      </w:r>
      <w:r w:rsidR="00EF4A76">
        <w:rPr>
          <w:rFonts w:ascii="Arial" w:hAnsi="Arial" w:cs="Arial"/>
        </w:rPr>
        <w:t xml:space="preserve"> </w:t>
      </w:r>
    </w:p>
    <w:p w14:paraId="10F558C4" w14:textId="77777777" w:rsidR="006E2ABB" w:rsidRDefault="006E2ABB" w:rsidP="006E2ABB">
      <w:pPr>
        <w:spacing w:after="0" w:line="360" w:lineRule="auto"/>
        <w:jc w:val="both"/>
        <w:rPr>
          <w:rFonts w:ascii="Arial" w:hAnsi="Arial" w:cs="Arial"/>
        </w:rPr>
      </w:pPr>
    </w:p>
    <w:p w14:paraId="495562AC" w14:textId="5B44E152" w:rsidR="00351018" w:rsidRDefault="000E6209" w:rsidP="00351018">
      <w:pPr>
        <w:spacing w:after="0" w:line="360" w:lineRule="auto"/>
        <w:jc w:val="both"/>
        <w:rPr>
          <w:rFonts w:ascii="Arial" w:hAnsi="Arial" w:cs="Arial"/>
        </w:rPr>
      </w:pPr>
      <w:r>
        <w:rPr>
          <w:rFonts w:ascii="Arial" w:hAnsi="Arial" w:cs="Arial"/>
        </w:rPr>
        <w:t>[1</w:t>
      </w:r>
      <w:r w:rsidR="00DB3DE9">
        <w:rPr>
          <w:rFonts w:ascii="Arial" w:hAnsi="Arial" w:cs="Arial"/>
        </w:rPr>
        <w:t>2</w:t>
      </w:r>
      <w:r>
        <w:rPr>
          <w:rFonts w:ascii="Arial" w:hAnsi="Arial" w:cs="Arial"/>
        </w:rPr>
        <w:t>]</w:t>
      </w:r>
      <w:r>
        <w:rPr>
          <w:rFonts w:ascii="Arial" w:hAnsi="Arial" w:cs="Arial"/>
        </w:rPr>
        <w:tab/>
        <w:t xml:space="preserve">I must revert and state that </w:t>
      </w:r>
      <w:r w:rsidR="00351018">
        <w:rPr>
          <w:rFonts w:ascii="Arial" w:hAnsi="Arial" w:cs="Arial"/>
        </w:rPr>
        <w:t xml:space="preserve">section 129 of the NCA </w:t>
      </w:r>
      <w:r>
        <w:rPr>
          <w:rFonts w:ascii="Arial" w:hAnsi="Arial" w:cs="Arial"/>
        </w:rPr>
        <w:t xml:space="preserve">being a </w:t>
      </w:r>
      <w:r w:rsidR="00351018">
        <w:rPr>
          <w:rFonts w:ascii="Arial" w:hAnsi="Arial" w:cs="Arial"/>
        </w:rPr>
        <w:t xml:space="preserve">subject of contention in this matter reads as follows:  </w:t>
      </w:r>
    </w:p>
    <w:p w14:paraId="6BB73C1F" w14:textId="77777777" w:rsidR="00351018" w:rsidRPr="00940938" w:rsidRDefault="00351018" w:rsidP="00351018">
      <w:pPr>
        <w:spacing w:after="0" w:line="360" w:lineRule="auto"/>
        <w:jc w:val="both"/>
        <w:rPr>
          <w:rFonts w:ascii="Arial" w:hAnsi="Arial" w:cs="Arial"/>
        </w:rPr>
      </w:pPr>
    </w:p>
    <w:p w14:paraId="6F8A5C2F" w14:textId="77777777" w:rsidR="00351018" w:rsidRPr="00940938" w:rsidRDefault="00351018" w:rsidP="00351018">
      <w:pPr>
        <w:pStyle w:val="ListParagraph"/>
        <w:numPr>
          <w:ilvl w:val="0"/>
          <w:numId w:val="1"/>
        </w:numPr>
        <w:spacing w:after="0" w:line="360" w:lineRule="auto"/>
        <w:jc w:val="both"/>
        <w:rPr>
          <w:rFonts w:ascii="Arial" w:hAnsi="Arial" w:cs="Arial"/>
        </w:rPr>
      </w:pPr>
      <w:r w:rsidRPr="00940938">
        <w:rPr>
          <w:rFonts w:ascii="Arial" w:hAnsi="Arial" w:cs="Arial"/>
        </w:rPr>
        <w:t>If the consumer is in default under a credit agreement, the credit provider:</w:t>
      </w:r>
    </w:p>
    <w:p w14:paraId="29FF58B5" w14:textId="77777777" w:rsidR="00351018" w:rsidRPr="00940938" w:rsidRDefault="00351018" w:rsidP="00351018">
      <w:pPr>
        <w:pStyle w:val="ListParagraph"/>
        <w:numPr>
          <w:ilvl w:val="0"/>
          <w:numId w:val="2"/>
        </w:numPr>
        <w:spacing w:after="0" w:line="360" w:lineRule="auto"/>
        <w:jc w:val="both"/>
        <w:rPr>
          <w:rFonts w:ascii="Arial" w:hAnsi="Arial" w:cs="Arial"/>
        </w:rPr>
      </w:pPr>
      <w:r w:rsidRPr="00940938">
        <w:rPr>
          <w:rFonts w:ascii="Arial" w:hAnsi="Arial" w:cs="Arial"/>
        </w:rPr>
        <w:t xml:space="preserve">may draw the default to the notice of the consumer in writing and propose that the consumer refer the credit agreement to a debt counsellor, alternative dispute resolution agent, consumer court or ombud with jurisdiction, with the intent that the parties resolve any dispute under the agreement or develop and agree on a plan to bring the payments under the agreement up to date; and </w:t>
      </w:r>
    </w:p>
    <w:p w14:paraId="43FAE54E" w14:textId="77777777" w:rsidR="00351018" w:rsidRPr="00940938" w:rsidRDefault="00351018" w:rsidP="00351018">
      <w:pPr>
        <w:pStyle w:val="ListParagraph"/>
        <w:numPr>
          <w:ilvl w:val="0"/>
          <w:numId w:val="2"/>
        </w:numPr>
        <w:spacing w:after="0" w:line="360" w:lineRule="auto"/>
        <w:jc w:val="both"/>
        <w:rPr>
          <w:rFonts w:ascii="Arial" w:hAnsi="Arial" w:cs="Arial"/>
        </w:rPr>
      </w:pPr>
      <w:r w:rsidRPr="00940938">
        <w:rPr>
          <w:rFonts w:ascii="Arial" w:hAnsi="Arial" w:cs="Arial"/>
        </w:rPr>
        <w:t>subject to section 130(2), may not commence any legal proceedings to enforce the agreement before:</w:t>
      </w:r>
    </w:p>
    <w:p w14:paraId="0B3BBB1B" w14:textId="77777777" w:rsidR="00351018" w:rsidRPr="00940938" w:rsidRDefault="00351018" w:rsidP="00351018">
      <w:pPr>
        <w:pStyle w:val="ListParagraph"/>
        <w:numPr>
          <w:ilvl w:val="0"/>
          <w:numId w:val="3"/>
        </w:numPr>
        <w:spacing w:after="0" w:line="360" w:lineRule="auto"/>
        <w:jc w:val="both"/>
        <w:rPr>
          <w:rFonts w:ascii="Arial" w:hAnsi="Arial" w:cs="Arial"/>
        </w:rPr>
      </w:pPr>
      <w:r w:rsidRPr="00940938">
        <w:rPr>
          <w:rFonts w:ascii="Arial" w:hAnsi="Arial" w:cs="Arial"/>
        </w:rPr>
        <w:t xml:space="preserve">first providing notice to the consumer, as contemplated in paragraph (a), or in section 86(10), as the case may be; and </w:t>
      </w:r>
    </w:p>
    <w:p w14:paraId="0D859F27" w14:textId="77777777" w:rsidR="00351018" w:rsidRPr="00940938" w:rsidRDefault="00351018" w:rsidP="00351018">
      <w:pPr>
        <w:pStyle w:val="ListParagraph"/>
        <w:numPr>
          <w:ilvl w:val="0"/>
          <w:numId w:val="3"/>
        </w:numPr>
        <w:spacing w:after="0" w:line="360" w:lineRule="auto"/>
        <w:jc w:val="both"/>
        <w:rPr>
          <w:rFonts w:ascii="Arial" w:hAnsi="Arial" w:cs="Arial"/>
        </w:rPr>
      </w:pPr>
      <w:r w:rsidRPr="00940938">
        <w:rPr>
          <w:rFonts w:ascii="Arial" w:hAnsi="Arial" w:cs="Arial"/>
        </w:rPr>
        <w:t>meeting any further requirements set out in section 130.</w:t>
      </w:r>
    </w:p>
    <w:p w14:paraId="7AEB7221" w14:textId="77777777" w:rsidR="00314A7A" w:rsidRDefault="00314A7A" w:rsidP="006519CE">
      <w:pPr>
        <w:spacing w:after="0" w:line="360" w:lineRule="auto"/>
        <w:jc w:val="both"/>
        <w:rPr>
          <w:rFonts w:ascii="Arial" w:hAnsi="Arial" w:cs="Arial"/>
        </w:rPr>
      </w:pPr>
    </w:p>
    <w:p w14:paraId="359CB86F" w14:textId="2E7DDAF7" w:rsidR="006519CE" w:rsidRDefault="00351018" w:rsidP="006519CE">
      <w:pPr>
        <w:spacing w:after="0" w:line="360" w:lineRule="auto"/>
        <w:jc w:val="both"/>
        <w:rPr>
          <w:rFonts w:ascii="Arial" w:hAnsi="Arial" w:cs="Arial"/>
        </w:rPr>
      </w:pPr>
      <w:r>
        <w:rPr>
          <w:rFonts w:ascii="Arial" w:hAnsi="Arial" w:cs="Arial"/>
        </w:rPr>
        <w:t>[1</w:t>
      </w:r>
      <w:r w:rsidR="00CE2E72">
        <w:rPr>
          <w:rFonts w:ascii="Arial" w:hAnsi="Arial" w:cs="Arial"/>
        </w:rPr>
        <w:t>3</w:t>
      </w:r>
      <w:r>
        <w:rPr>
          <w:rFonts w:ascii="Arial" w:hAnsi="Arial" w:cs="Arial"/>
        </w:rPr>
        <w:t>]</w:t>
      </w:r>
      <w:r>
        <w:rPr>
          <w:rFonts w:ascii="Arial" w:hAnsi="Arial" w:cs="Arial"/>
        </w:rPr>
        <w:tab/>
      </w:r>
      <w:r w:rsidR="00027FDF">
        <w:rPr>
          <w:rFonts w:ascii="Arial" w:hAnsi="Arial" w:cs="Arial"/>
        </w:rPr>
        <w:t>T</w:t>
      </w:r>
      <w:r>
        <w:rPr>
          <w:rFonts w:ascii="Arial" w:hAnsi="Arial" w:cs="Arial"/>
        </w:rPr>
        <w:t xml:space="preserve">he crux of </w:t>
      </w:r>
      <w:r w:rsidR="00F62D1F">
        <w:rPr>
          <w:rFonts w:ascii="Arial" w:hAnsi="Arial" w:cs="Arial"/>
        </w:rPr>
        <w:t xml:space="preserve">section 129(1) </w:t>
      </w:r>
      <w:r>
        <w:rPr>
          <w:rFonts w:ascii="Arial" w:hAnsi="Arial" w:cs="Arial"/>
        </w:rPr>
        <w:t>application</w:t>
      </w:r>
      <w:r w:rsidR="003C5E54">
        <w:rPr>
          <w:rFonts w:ascii="Arial" w:hAnsi="Arial" w:cs="Arial"/>
        </w:rPr>
        <w:t>, I repeat,</w:t>
      </w:r>
      <w:r>
        <w:rPr>
          <w:rFonts w:ascii="Arial" w:hAnsi="Arial" w:cs="Arial"/>
        </w:rPr>
        <w:t xml:space="preserve"> constituted </w:t>
      </w:r>
      <w:r w:rsidR="00992993">
        <w:rPr>
          <w:rFonts w:ascii="Arial" w:hAnsi="Arial" w:cs="Arial"/>
        </w:rPr>
        <w:t>the subject</w:t>
      </w:r>
      <w:r>
        <w:rPr>
          <w:rFonts w:ascii="Arial" w:hAnsi="Arial" w:cs="Arial"/>
        </w:rPr>
        <w:t xml:space="preserve"> of the dispute </w:t>
      </w:r>
      <w:r w:rsidR="0071796E">
        <w:rPr>
          <w:rFonts w:ascii="Arial" w:hAnsi="Arial" w:cs="Arial"/>
        </w:rPr>
        <w:t>and raised a question whether it</w:t>
      </w:r>
      <w:r w:rsidR="00D30DF0">
        <w:rPr>
          <w:rFonts w:ascii="Arial" w:hAnsi="Arial" w:cs="Arial"/>
        </w:rPr>
        <w:t xml:space="preserve"> could find</w:t>
      </w:r>
      <w:r w:rsidR="0071796E">
        <w:rPr>
          <w:rFonts w:ascii="Arial" w:hAnsi="Arial" w:cs="Arial"/>
        </w:rPr>
        <w:t xml:space="preserve"> </w:t>
      </w:r>
      <w:r w:rsidR="00857CDA">
        <w:rPr>
          <w:rFonts w:ascii="Arial" w:hAnsi="Arial" w:cs="Arial"/>
        </w:rPr>
        <w:t xml:space="preserve">the </w:t>
      </w:r>
      <w:r w:rsidR="006D2F34">
        <w:rPr>
          <w:rFonts w:ascii="Arial" w:hAnsi="Arial" w:cs="Arial"/>
        </w:rPr>
        <w:t>‘</w:t>
      </w:r>
      <w:r w:rsidR="00857CDA" w:rsidRPr="006D2F34">
        <w:rPr>
          <w:rFonts w:ascii="Arial" w:hAnsi="Arial" w:cs="Arial"/>
          <w:i/>
          <w:iCs/>
        </w:rPr>
        <w:t>back-door</w:t>
      </w:r>
      <w:r w:rsidR="006D2F34">
        <w:rPr>
          <w:rFonts w:ascii="Arial" w:hAnsi="Arial" w:cs="Arial"/>
        </w:rPr>
        <w:t xml:space="preserve">’ </w:t>
      </w:r>
      <w:r w:rsidR="00D30DF0">
        <w:rPr>
          <w:rFonts w:ascii="Arial" w:hAnsi="Arial" w:cs="Arial"/>
        </w:rPr>
        <w:t xml:space="preserve">application </w:t>
      </w:r>
      <w:r w:rsidR="00CB49C0">
        <w:rPr>
          <w:rFonts w:ascii="Arial" w:hAnsi="Arial" w:cs="Arial"/>
        </w:rPr>
        <w:t xml:space="preserve">through the principle of </w:t>
      </w:r>
      <w:r w:rsidR="00977164">
        <w:rPr>
          <w:rFonts w:ascii="Arial" w:hAnsi="Arial" w:cs="Arial"/>
        </w:rPr>
        <w:t>‘</w:t>
      </w:r>
      <w:r w:rsidR="00CB49C0">
        <w:rPr>
          <w:rFonts w:ascii="Arial" w:hAnsi="Arial" w:cs="Arial"/>
        </w:rPr>
        <w:t>incorporation</w:t>
      </w:r>
      <w:r w:rsidR="00977164">
        <w:rPr>
          <w:rFonts w:ascii="Arial" w:hAnsi="Arial" w:cs="Arial"/>
        </w:rPr>
        <w:t>’</w:t>
      </w:r>
      <w:r w:rsidR="00CB49C0">
        <w:rPr>
          <w:rFonts w:ascii="Arial" w:hAnsi="Arial" w:cs="Arial"/>
        </w:rPr>
        <w:t xml:space="preserve"> into the agreement?</w:t>
      </w:r>
      <w:r w:rsidR="00D30DF0">
        <w:rPr>
          <w:rFonts w:ascii="Arial" w:hAnsi="Arial" w:cs="Arial"/>
        </w:rPr>
        <w:t xml:space="preserve"> </w:t>
      </w:r>
      <w:r w:rsidR="001206D9">
        <w:rPr>
          <w:rFonts w:ascii="Arial" w:hAnsi="Arial" w:cs="Arial"/>
        </w:rPr>
        <w:t>I</w:t>
      </w:r>
      <w:r w:rsidR="00B52351">
        <w:rPr>
          <w:rFonts w:ascii="Arial" w:hAnsi="Arial" w:cs="Arial"/>
        </w:rPr>
        <w:t xml:space="preserve"> must also state t</w:t>
      </w:r>
      <w:r w:rsidR="00CC4522">
        <w:rPr>
          <w:rFonts w:ascii="Arial" w:hAnsi="Arial" w:cs="Arial"/>
        </w:rPr>
        <w:t xml:space="preserve">he substance </w:t>
      </w:r>
      <w:r w:rsidR="00CC4522" w:rsidRPr="00B63A1A">
        <w:rPr>
          <w:rFonts w:ascii="Arial" w:hAnsi="Arial" w:cs="Arial"/>
        </w:rPr>
        <w:t xml:space="preserve">of </w:t>
      </w:r>
      <w:r w:rsidR="006E2ABB" w:rsidRPr="00B63A1A">
        <w:rPr>
          <w:rFonts w:ascii="Arial" w:hAnsi="Arial" w:cs="Arial"/>
        </w:rPr>
        <w:t xml:space="preserve">section 129(1) </w:t>
      </w:r>
      <w:r w:rsidR="00B52351">
        <w:rPr>
          <w:rFonts w:ascii="Arial" w:hAnsi="Arial" w:cs="Arial"/>
        </w:rPr>
        <w:t xml:space="preserve">which </w:t>
      </w:r>
      <w:r w:rsidR="00F20D69">
        <w:rPr>
          <w:rFonts w:ascii="Arial" w:hAnsi="Arial" w:cs="Arial"/>
        </w:rPr>
        <w:t xml:space="preserve">was contextualised by </w:t>
      </w:r>
      <w:r w:rsidR="006519CE">
        <w:rPr>
          <w:rFonts w:ascii="Arial" w:hAnsi="Arial" w:cs="Arial"/>
        </w:rPr>
        <w:t xml:space="preserve">Malan JA in </w:t>
      </w:r>
      <w:r w:rsidR="006519CE" w:rsidRPr="00777FEC">
        <w:rPr>
          <w:rFonts w:ascii="Arial" w:hAnsi="Arial" w:cs="Arial"/>
          <w:i/>
          <w:iCs/>
        </w:rPr>
        <w:t>Nedbank Ltd v The National Credit Regulator</w:t>
      </w:r>
      <w:r w:rsidR="006519CE">
        <w:rPr>
          <w:rFonts w:ascii="Arial" w:hAnsi="Arial" w:cs="Arial"/>
        </w:rPr>
        <w:t xml:space="preserve"> [2011] 4 All SA 131 (SCA) </w:t>
      </w:r>
      <w:r w:rsidR="006519CE" w:rsidRPr="00DC047C">
        <w:rPr>
          <w:rFonts w:ascii="Arial" w:hAnsi="Arial" w:cs="Arial"/>
          <w:i/>
          <w:iCs/>
        </w:rPr>
        <w:t>para 8</w:t>
      </w:r>
      <w:r w:rsidR="00DC047C">
        <w:rPr>
          <w:rFonts w:ascii="Arial" w:hAnsi="Arial" w:cs="Arial"/>
        </w:rPr>
        <w:t>,</w:t>
      </w:r>
      <w:r w:rsidR="00B52351">
        <w:rPr>
          <w:rFonts w:ascii="Arial" w:hAnsi="Arial" w:cs="Arial"/>
        </w:rPr>
        <w:t xml:space="preserve"> who</w:t>
      </w:r>
      <w:r w:rsidR="006519CE">
        <w:rPr>
          <w:rFonts w:ascii="Arial" w:hAnsi="Arial" w:cs="Arial"/>
        </w:rPr>
        <w:t xml:space="preserve"> held:</w:t>
      </w:r>
    </w:p>
    <w:p w14:paraId="585C53F0" w14:textId="77777777" w:rsidR="006519CE" w:rsidRDefault="006519CE" w:rsidP="006519CE">
      <w:pPr>
        <w:spacing w:after="0" w:line="360" w:lineRule="auto"/>
        <w:jc w:val="both"/>
        <w:rPr>
          <w:rFonts w:ascii="Arial" w:hAnsi="Arial" w:cs="Arial"/>
        </w:rPr>
      </w:pPr>
    </w:p>
    <w:p w14:paraId="690D0151" w14:textId="734AADDF" w:rsidR="006519CE" w:rsidRPr="009E640A" w:rsidRDefault="006519CE" w:rsidP="006519CE">
      <w:pPr>
        <w:spacing w:after="0" w:line="360" w:lineRule="auto"/>
        <w:ind w:left="1440"/>
        <w:jc w:val="both"/>
        <w:rPr>
          <w:rFonts w:ascii="Arial" w:hAnsi="Arial" w:cs="Arial"/>
        </w:rPr>
      </w:pPr>
      <w:r w:rsidRPr="009E640A">
        <w:rPr>
          <w:rFonts w:ascii="Arial" w:hAnsi="Arial" w:cs="Arial"/>
        </w:rPr>
        <w:t xml:space="preserve">despite the use of the word ‘may’ in s 129(1)(a) the notice referred to therein is </w:t>
      </w:r>
      <w:r w:rsidRPr="00D968A2">
        <w:rPr>
          <w:rFonts w:ascii="Arial" w:hAnsi="Arial" w:cs="Arial"/>
          <w:i/>
          <w:iCs/>
        </w:rPr>
        <w:t>indeed a mandatory requirement prior to litigation to enforce a credit agreement</w:t>
      </w:r>
      <w:r w:rsidRPr="009E640A">
        <w:rPr>
          <w:rFonts w:ascii="Arial" w:hAnsi="Arial" w:cs="Arial"/>
        </w:rPr>
        <w:t xml:space="preserve">. This is apparent when the subsection is read with ss 129(1)(b) and 130(1). Section 129(1) has been described as a </w:t>
      </w:r>
      <w:r w:rsidRPr="00D968A2">
        <w:rPr>
          <w:rFonts w:ascii="Arial" w:hAnsi="Arial" w:cs="Arial"/>
          <w:i/>
          <w:iCs/>
        </w:rPr>
        <w:t>‘gateway’ or ‘new pre-litigation layer to the enforcement process’</w:t>
      </w:r>
      <w:r w:rsidRPr="009E640A">
        <w:rPr>
          <w:rFonts w:ascii="Arial" w:hAnsi="Arial" w:cs="Arial"/>
        </w:rPr>
        <w:t>. Delivery of the s129(1)(a) notice was said to be a compulsory step ‘devised by the legislature in an attempt to encourage parties to iron out their differences before seeking court intervention.’ As such it was said to give effect to the object of the NCA set out in s3(h), by encouraging ‘a consistent and accessible system of consensual resolution of disputes arising from credit agreements’, and as such it is also consistent with s3(i). This construction is the subject matter of the appeal by the Credit Regulator. It is not only the subject of the academic debate referred to but also of conflicting decisions. An analysis of the relevant provisions is thus required</w:t>
      </w:r>
      <w:r>
        <w:rPr>
          <w:rFonts w:ascii="Arial" w:hAnsi="Arial" w:cs="Arial"/>
        </w:rPr>
        <w:t>, (</w:t>
      </w:r>
      <w:r w:rsidRPr="003D2A93">
        <w:rPr>
          <w:rFonts w:ascii="Arial" w:hAnsi="Arial" w:cs="Arial"/>
          <w:i/>
          <w:iCs/>
        </w:rPr>
        <w:t>author’s emphasis, all footnotes omitted</w:t>
      </w:r>
      <w:r>
        <w:rPr>
          <w:rFonts w:ascii="Arial" w:hAnsi="Arial" w:cs="Arial"/>
        </w:rPr>
        <w:t>)</w:t>
      </w:r>
      <w:r w:rsidRPr="009E640A">
        <w:rPr>
          <w:rFonts w:ascii="Arial" w:hAnsi="Arial" w:cs="Arial"/>
        </w:rPr>
        <w:t xml:space="preserve">. </w:t>
      </w:r>
    </w:p>
    <w:p w14:paraId="32F8662E" w14:textId="77777777" w:rsidR="006519CE" w:rsidRPr="00E11EC8" w:rsidRDefault="006519CE" w:rsidP="006519CE">
      <w:pPr>
        <w:spacing w:after="0" w:line="360" w:lineRule="auto"/>
        <w:jc w:val="both"/>
        <w:rPr>
          <w:rFonts w:ascii="Arial" w:hAnsi="Arial" w:cs="Arial"/>
        </w:rPr>
      </w:pPr>
    </w:p>
    <w:p w14:paraId="7E74BFCF" w14:textId="77777777" w:rsidR="006519CE" w:rsidRPr="00E11EC8" w:rsidRDefault="006519CE" w:rsidP="00EF0D56">
      <w:pPr>
        <w:spacing w:after="0" w:line="360" w:lineRule="auto"/>
        <w:ind w:firstLine="720"/>
        <w:jc w:val="both"/>
        <w:rPr>
          <w:rFonts w:ascii="Arial" w:hAnsi="Arial" w:cs="Arial"/>
        </w:rPr>
      </w:pPr>
      <w:r w:rsidRPr="00E11EC8">
        <w:rPr>
          <w:rFonts w:ascii="Arial" w:hAnsi="Arial" w:cs="Arial"/>
        </w:rPr>
        <w:t>Malan JA (</w:t>
      </w:r>
      <w:r w:rsidRPr="00034165">
        <w:rPr>
          <w:rFonts w:ascii="Arial" w:hAnsi="Arial" w:cs="Arial"/>
          <w:i/>
          <w:iCs/>
        </w:rPr>
        <w:t>para 9</w:t>
      </w:r>
      <w:r w:rsidRPr="00E11EC8">
        <w:rPr>
          <w:rFonts w:ascii="Arial" w:hAnsi="Arial" w:cs="Arial"/>
        </w:rPr>
        <w:t>) went on to state that:</w:t>
      </w:r>
    </w:p>
    <w:p w14:paraId="5FEF64E1" w14:textId="77777777" w:rsidR="006519CE" w:rsidRPr="00E11EC8" w:rsidRDefault="006519CE" w:rsidP="006519CE">
      <w:pPr>
        <w:spacing w:after="0" w:line="360" w:lineRule="auto"/>
        <w:jc w:val="both"/>
        <w:rPr>
          <w:rFonts w:ascii="Arial" w:hAnsi="Arial" w:cs="Arial"/>
        </w:rPr>
      </w:pPr>
    </w:p>
    <w:p w14:paraId="7DFDEF2A" w14:textId="77777777" w:rsidR="006519CE" w:rsidRPr="00E11EC8" w:rsidRDefault="006519CE" w:rsidP="006519CE">
      <w:pPr>
        <w:spacing w:after="0" w:line="360" w:lineRule="auto"/>
        <w:ind w:left="1440"/>
        <w:jc w:val="both"/>
        <w:rPr>
          <w:rFonts w:ascii="Arial" w:hAnsi="Arial" w:cs="Arial"/>
        </w:rPr>
      </w:pPr>
      <w:r w:rsidRPr="00E11EC8">
        <w:rPr>
          <w:rFonts w:ascii="Arial" w:hAnsi="Arial" w:cs="Arial"/>
        </w:rPr>
        <w:t xml:space="preserve">the notice required by s 129(1)(a) refers to a specific credit agreement in respect of which the consumer is in default. It must </w:t>
      </w:r>
      <w:r w:rsidRPr="003D2A93">
        <w:rPr>
          <w:rFonts w:ascii="Arial" w:hAnsi="Arial" w:cs="Arial"/>
          <w:i/>
          <w:iCs/>
        </w:rPr>
        <w:t>‘propose’ that the consumer refer the credit agreement to a debt counsellor, alternative dispute resolution agent, consumer court or ombud ‘with the intent that the parties resolve any dispute under the agreement or develop and agree on a plan to bring the payments under the agreement up to date’</w:t>
      </w:r>
      <w:r w:rsidRPr="00E11EC8">
        <w:rPr>
          <w:rFonts w:ascii="Arial" w:hAnsi="Arial" w:cs="Arial"/>
        </w:rPr>
        <w:t>. The s 129(1)(a) notice deals with one credit agreement only and seeks to bring about a consensual resolution relating to that agreement. It does not contemplate a general debt restructuring as envisaged by ss 86 and 87.</w:t>
      </w:r>
      <w:r>
        <w:rPr>
          <w:rFonts w:ascii="Arial" w:hAnsi="Arial" w:cs="Arial"/>
        </w:rPr>
        <w:t xml:space="preserve"> … </w:t>
      </w:r>
      <w:r w:rsidRPr="00E11EC8">
        <w:rPr>
          <w:rFonts w:ascii="Arial" w:hAnsi="Arial" w:cs="Arial"/>
        </w:rPr>
        <w:t>‘[t]he proposal is directed at achieving a situation where the consumer and the credit provider, through the agency of the debt counsellor, negotiate a resolution to the consumer’s particular difficulties under a particular credit agreement. It</w:t>
      </w:r>
      <w:r w:rsidRPr="00B83D0D">
        <w:rPr>
          <w:rFonts w:ascii="Arial" w:hAnsi="Arial" w:cs="Arial"/>
          <w:i/>
          <w:iCs/>
        </w:rPr>
        <w:t xml:space="preserve"> is a consensual process, the success or failure of which will depend upon whether the parties can arrive at a workable basis upon which to resolve the issues caused by the consumer’s default</w:t>
      </w:r>
      <w:r>
        <w:rPr>
          <w:rFonts w:ascii="Arial" w:hAnsi="Arial" w:cs="Arial"/>
        </w:rPr>
        <w:t>’</w:t>
      </w:r>
      <w:r w:rsidRPr="00E11EC8">
        <w:rPr>
          <w:rFonts w:ascii="Arial" w:hAnsi="Arial" w:cs="Arial"/>
        </w:rPr>
        <w:t>.</w:t>
      </w:r>
      <w:r>
        <w:rPr>
          <w:rFonts w:ascii="Arial" w:hAnsi="Arial" w:cs="Arial"/>
        </w:rPr>
        <w:t xml:space="preserve"> (author’s emphasis and all footnotes omitted).</w:t>
      </w:r>
    </w:p>
    <w:p w14:paraId="11CD1FE3" w14:textId="77777777" w:rsidR="006519CE" w:rsidRDefault="006519CE" w:rsidP="006519CE">
      <w:pPr>
        <w:spacing w:after="0" w:line="360" w:lineRule="auto"/>
        <w:jc w:val="both"/>
        <w:rPr>
          <w:rFonts w:ascii="Arial" w:hAnsi="Arial" w:cs="Arial"/>
        </w:rPr>
      </w:pPr>
    </w:p>
    <w:p w14:paraId="0BE2B333" w14:textId="417CBBEB" w:rsidR="00656DC3" w:rsidRDefault="00EF0D56" w:rsidP="006519CE">
      <w:pPr>
        <w:spacing w:after="0" w:line="360" w:lineRule="auto"/>
        <w:jc w:val="both"/>
        <w:rPr>
          <w:rFonts w:ascii="Arial" w:hAnsi="Arial" w:cs="Arial"/>
        </w:rPr>
      </w:pPr>
      <w:r>
        <w:rPr>
          <w:rFonts w:ascii="Arial" w:hAnsi="Arial" w:cs="Arial"/>
        </w:rPr>
        <w:t>[1</w:t>
      </w:r>
      <w:r w:rsidR="00E651F4">
        <w:rPr>
          <w:rFonts w:ascii="Arial" w:hAnsi="Arial" w:cs="Arial"/>
        </w:rPr>
        <w:t>4</w:t>
      </w:r>
      <w:r>
        <w:rPr>
          <w:rFonts w:ascii="Arial" w:hAnsi="Arial" w:cs="Arial"/>
        </w:rPr>
        <w:t>]</w:t>
      </w:r>
      <w:r>
        <w:rPr>
          <w:rFonts w:ascii="Arial" w:hAnsi="Arial" w:cs="Arial"/>
        </w:rPr>
        <w:tab/>
        <w:t xml:space="preserve">Drawing from Malan J, the foundation of section 129(1) </w:t>
      </w:r>
      <w:r w:rsidR="00656DC3" w:rsidRPr="00B63A1A">
        <w:rPr>
          <w:rFonts w:ascii="Arial" w:hAnsi="Arial" w:cs="Arial"/>
        </w:rPr>
        <w:t>entails the consideration of other options in settling the debt such as debt counselling or determination of the matter before another forum</w:t>
      </w:r>
      <w:r w:rsidR="00656DC3">
        <w:rPr>
          <w:rFonts w:ascii="Arial" w:hAnsi="Arial" w:cs="Arial"/>
        </w:rPr>
        <w:t>. I</w:t>
      </w:r>
      <w:r w:rsidR="00656DC3" w:rsidRPr="00B63A1A">
        <w:rPr>
          <w:rFonts w:ascii="Arial" w:hAnsi="Arial" w:cs="Arial"/>
        </w:rPr>
        <w:t>n this case, there is no evidence to suggest that the parties did attempt to reconcile their differences regarding the settling of the default and instead the matter was presented before this Court.</w:t>
      </w:r>
      <w:r w:rsidR="002A12E3">
        <w:rPr>
          <w:rFonts w:ascii="Arial" w:hAnsi="Arial" w:cs="Arial"/>
        </w:rPr>
        <w:t xml:space="preserve"> </w:t>
      </w:r>
    </w:p>
    <w:p w14:paraId="38DFA16E" w14:textId="77777777" w:rsidR="00656DC3" w:rsidRDefault="00656DC3" w:rsidP="006519CE">
      <w:pPr>
        <w:spacing w:after="0" w:line="360" w:lineRule="auto"/>
        <w:jc w:val="both"/>
        <w:rPr>
          <w:rFonts w:ascii="Arial" w:hAnsi="Arial" w:cs="Arial"/>
        </w:rPr>
      </w:pPr>
    </w:p>
    <w:p w14:paraId="47196DEE" w14:textId="4F1BE41C" w:rsidR="004034C7" w:rsidRDefault="00A80CB1" w:rsidP="006E2ABB">
      <w:pPr>
        <w:spacing w:after="0" w:line="360" w:lineRule="auto"/>
        <w:jc w:val="both"/>
        <w:rPr>
          <w:rFonts w:ascii="Arial" w:hAnsi="Arial" w:cs="Arial"/>
        </w:rPr>
      </w:pPr>
      <w:r>
        <w:rPr>
          <w:rFonts w:ascii="Arial" w:hAnsi="Arial" w:cs="Arial"/>
        </w:rPr>
        <w:t>[1</w:t>
      </w:r>
      <w:r w:rsidR="00294A56">
        <w:rPr>
          <w:rFonts w:ascii="Arial" w:hAnsi="Arial" w:cs="Arial"/>
        </w:rPr>
        <w:t>5</w:t>
      </w:r>
      <w:r>
        <w:rPr>
          <w:rFonts w:ascii="Arial" w:hAnsi="Arial" w:cs="Arial"/>
        </w:rPr>
        <w:t>]</w:t>
      </w:r>
      <w:r>
        <w:rPr>
          <w:rFonts w:ascii="Arial" w:hAnsi="Arial" w:cs="Arial"/>
        </w:rPr>
        <w:tab/>
      </w:r>
      <w:r w:rsidR="004034C7">
        <w:rPr>
          <w:rFonts w:ascii="Arial" w:hAnsi="Arial" w:cs="Arial"/>
        </w:rPr>
        <w:t xml:space="preserve">However, let me reiterate the </w:t>
      </w:r>
      <w:r w:rsidR="00C97A8B">
        <w:rPr>
          <w:rFonts w:ascii="Arial" w:hAnsi="Arial" w:cs="Arial"/>
        </w:rPr>
        <w:t>question raised by this matter whether it is permissib</w:t>
      </w:r>
      <w:r w:rsidR="000035F6">
        <w:rPr>
          <w:rFonts w:ascii="Arial" w:hAnsi="Arial" w:cs="Arial"/>
        </w:rPr>
        <w:t>le for the NCA provision</w:t>
      </w:r>
      <w:r w:rsidR="0094648C">
        <w:rPr>
          <w:rFonts w:ascii="Arial" w:hAnsi="Arial" w:cs="Arial"/>
        </w:rPr>
        <w:t xml:space="preserve"> (129)</w:t>
      </w:r>
      <w:r w:rsidR="000035F6">
        <w:rPr>
          <w:rFonts w:ascii="Arial" w:hAnsi="Arial" w:cs="Arial"/>
        </w:rPr>
        <w:t xml:space="preserve"> that is not explicitly stated and </w:t>
      </w:r>
      <w:r w:rsidR="00E70487">
        <w:rPr>
          <w:rFonts w:ascii="Arial" w:hAnsi="Arial" w:cs="Arial"/>
        </w:rPr>
        <w:t>referred to</w:t>
      </w:r>
      <w:r w:rsidR="000035F6">
        <w:rPr>
          <w:rFonts w:ascii="Arial" w:hAnsi="Arial" w:cs="Arial"/>
        </w:rPr>
        <w:t xml:space="preserve"> in the credit agreement </w:t>
      </w:r>
      <w:r w:rsidR="00DC6363">
        <w:rPr>
          <w:rFonts w:ascii="Arial" w:hAnsi="Arial" w:cs="Arial"/>
        </w:rPr>
        <w:t>to find</w:t>
      </w:r>
      <w:r w:rsidR="0094648C">
        <w:rPr>
          <w:rFonts w:ascii="Arial" w:hAnsi="Arial" w:cs="Arial"/>
        </w:rPr>
        <w:t xml:space="preserve"> an </w:t>
      </w:r>
      <w:r w:rsidR="0094648C" w:rsidRPr="00117879">
        <w:rPr>
          <w:rFonts w:ascii="Arial" w:hAnsi="Arial" w:cs="Arial"/>
          <w:i/>
          <w:iCs/>
        </w:rPr>
        <w:t>indirect application</w:t>
      </w:r>
      <w:r w:rsidR="0094648C">
        <w:rPr>
          <w:rFonts w:ascii="Arial" w:hAnsi="Arial" w:cs="Arial"/>
        </w:rPr>
        <w:t xml:space="preserve"> in regulating the said agreement?</w:t>
      </w:r>
      <w:r w:rsidR="001C570D">
        <w:rPr>
          <w:rFonts w:ascii="Arial" w:hAnsi="Arial" w:cs="Arial"/>
        </w:rPr>
        <w:t xml:space="preserve"> Further, to what extent does the </w:t>
      </w:r>
      <w:r w:rsidR="00E615A9">
        <w:rPr>
          <w:rFonts w:ascii="Arial" w:hAnsi="Arial" w:cs="Arial"/>
        </w:rPr>
        <w:t>principle</w:t>
      </w:r>
      <w:r w:rsidR="001C570D">
        <w:rPr>
          <w:rFonts w:ascii="Arial" w:hAnsi="Arial" w:cs="Arial"/>
        </w:rPr>
        <w:t xml:space="preserve"> of </w:t>
      </w:r>
      <w:r w:rsidR="00D955B7">
        <w:rPr>
          <w:rFonts w:ascii="Arial" w:hAnsi="Arial" w:cs="Arial"/>
        </w:rPr>
        <w:t>‘</w:t>
      </w:r>
      <w:r w:rsidR="001C570D">
        <w:rPr>
          <w:rFonts w:ascii="Arial" w:hAnsi="Arial" w:cs="Arial"/>
        </w:rPr>
        <w:t>incorpor</w:t>
      </w:r>
      <w:r w:rsidR="0099738B">
        <w:rPr>
          <w:rFonts w:ascii="Arial" w:hAnsi="Arial" w:cs="Arial"/>
        </w:rPr>
        <w:t>ation</w:t>
      </w:r>
      <w:r w:rsidR="00D955B7">
        <w:rPr>
          <w:rFonts w:ascii="Arial" w:hAnsi="Arial" w:cs="Arial"/>
        </w:rPr>
        <w:t>’</w:t>
      </w:r>
      <w:r w:rsidR="0099738B">
        <w:rPr>
          <w:rFonts w:ascii="Arial" w:hAnsi="Arial" w:cs="Arial"/>
        </w:rPr>
        <w:t xml:space="preserve"> influence the rationality of such agreements?</w:t>
      </w:r>
    </w:p>
    <w:p w14:paraId="19E28E9B" w14:textId="77777777" w:rsidR="004034C7" w:rsidRDefault="004034C7" w:rsidP="006E2ABB">
      <w:pPr>
        <w:spacing w:after="0" w:line="360" w:lineRule="auto"/>
        <w:jc w:val="both"/>
        <w:rPr>
          <w:rFonts w:ascii="Arial" w:hAnsi="Arial" w:cs="Arial"/>
        </w:rPr>
      </w:pPr>
    </w:p>
    <w:p w14:paraId="7E20ACA8" w14:textId="5D7C1606" w:rsidR="00EB10DB" w:rsidRDefault="00117879" w:rsidP="006E2ABB">
      <w:pPr>
        <w:spacing w:after="0" w:line="360" w:lineRule="auto"/>
        <w:jc w:val="both"/>
        <w:rPr>
          <w:rFonts w:ascii="Arial" w:hAnsi="Arial" w:cs="Arial"/>
        </w:rPr>
      </w:pPr>
      <w:r w:rsidRPr="009244B5">
        <w:rPr>
          <w:rFonts w:ascii="Arial" w:hAnsi="Arial" w:cs="Arial"/>
        </w:rPr>
        <w:t>[1</w:t>
      </w:r>
      <w:r w:rsidR="00CB2DDA" w:rsidRPr="009244B5">
        <w:rPr>
          <w:rFonts w:ascii="Arial" w:hAnsi="Arial" w:cs="Arial"/>
        </w:rPr>
        <w:t>6</w:t>
      </w:r>
      <w:r w:rsidRPr="009244B5">
        <w:rPr>
          <w:rFonts w:ascii="Arial" w:hAnsi="Arial" w:cs="Arial"/>
        </w:rPr>
        <w:t>]</w:t>
      </w:r>
      <w:r w:rsidRPr="009244B5">
        <w:rPr>
          <w:rFonts w:ascii="Arial" w:hAnsi="Arial" w:cs="Arial"/>
        </w:rPr>
        <w:tab/>
      </w:r>
      <w:r w:rsidR="00A80CB1" w:rsidRPr="009244B5">
        <w:rPr>
          <w:rFonts w:ascii="Arial" w:hAnsi="Arial" w:cs="Arial"/>
        </w:rPr>
        <w:t>The question raised by this matter</w:t>
      </w:r>
      <w:r w:rsidR="003B65F3" w:rsidRPr="009244B5">
        <w:rPr>
          <w:rFonts w:ascii="Arial" w:hAnsi="Arial" w:cs="Arial"/>
        </w:rPr>
        <w:t xml:space="preserve"> was answered in the affirmative</w:t>
      </w:r>
      <w:r w:rsidR="00A80CB1" w:rsidRPr="009244B5">
        <w:rPr>
          <w:rFonts w:ascii="Arial" w:hAnsi="Arial" w:cs="Arial"/>
        </w:rPr>
        <w:t xml:space="preserve"> </w:t>
      </w:r>
      <w:r w:rsidR="009244B5" w:rsidRPr="009244B5">
        <w:rPr>
          <w:rFonts w:ascii="Arial" w:hAnsi="Arial" w:cs="Arial"/>
        </w:rPr>
        <w:t>in</w:t>
      </w:r>
      <w:r w:rsidR="0013276B" w:rsidRPr="009244B5">
        <w:rPr>
          <w:rFonts w:ascii="Arial" w:hAnsi="Arial" w:cs="Arial"/>
        </w:rPr>
        <w:t xml:space="preserve"> case law provided by the Plaintiff </w:t>
      </w:r>
      <w:r w:rsidR="00264049" w:rsidRPr="009244B5">
        <w:rPr>
          <w:rFonts w:ascii="Arial" w:hAnsi="Arial" w:cs="Arial"/>
        </w:rPr>
        <w:t xml:space="preserve">in </w:t>
      </w:r>
      <w:r w:rsidR="009B11D6" w:rsidRPr="009244B5">
        <w:rPr>
          <w:rFonts w:ascii="Arial" w:hAnsi="Arial" w:cs="Arial"/>
          <w:i/>
          <w:iCs/>
        </w:rPr>
        <w:t>RMB</w:t>
      </w:r>
      <w:r w:rsidR="0042642D" w:rsidRPr="009244B5">
        <w:rPr>
          <w:rFonts w:ascii="Arial" w:hAnsi="Arial" w:cs="Arial"/>
          <w:i/>
          <w:iCs/>
        </w:rPr>
        <w:t xml:space="preserve"> </w:t>
      </w:r>
      <w:r w:rsidR="00080972" w:rsidRPr="009244B5">
        <w:rPr>
          <w:rFonts w:ascii="Arial" w:hAnsi="Arial" w:cs="Arial"/>
          <w:i/>
          <w:iCs/>
        </w:rPr>
        <w:t>Pri</w:t>
      </w:r>
      <w:r w:rsidR="0003560C" w:rsidRPr="009244B5">
        <w:rPr>
          <w:rFonts w:ascii="Arial" w:hAnsi="Arial" w:cs="Arial"/>
          <w:i/>
          <w:iCs/>
        </w:rPr>
        <w:t>vate Bank</w:t>
      </w:r>
      <w:r w:rsidR="006C5C98" w:rsidRPr="009244B5">
        <w:rPr>
          <w:rFonts w:ascii="Arial" w:hAnsi="Arial" w:cs="Arial"/>
          <w:i/>
          <w:iCs/>
        </w:rPr>
        <w:t xml:space="preserve"> (GSJ) </w:t>
      </w:r>
      <w:r w:rsidR="0003560C" w:rsidRPr="009244B5">
        <w:rPr>
          <w:rFonts w:ascii="Arial" w:hAnsi="Arial" w:cs="Arial"/>
          <w:i/>
          <w:iCs/>
        </w:rPr>
        <w:t>v Kaydeez Therapies</w:t>
      </w:r>
      <w:r w:rsidR="0003560C" w:rsidRPr="009244B5">
        <w:rPr>
          <w:rFonts w:ascii="Arial" w:hAnsi="Arial" w:cs="Arial"/>
        </w:rPr>
        <w:t xml:space="preserve"> CC </w:t>
      </w:r>
      <w:r w:rsidR="00016874" w:rsidRPr="009244B5">
        <w:rPr>
          <w:rFonts w:ascii="Arial" w:hAnsi="Arial" w:cs="Arial"/>
        </w:rPr>
        <w:t>2013 6 SA 308</w:t>
      </w:r>
      <w:r w:rsidR="003D0EC8" w:rsidRPr="009244B5">
        <w:rPr>
          <w:rFonts w:ascii="Arial" w:hAnsi="Arial" w:cs="Arial"/>
        </w:rPr>
        <w:t xml:space="preserve"> </w:t>
      </w:r>
      <w:r w:rsidR="008A380A" w:rsidRPr="009244B5">
        <w:rPr>
          <w:rFonts w:ascii="Arial" w:hAnsi="Arial" w:cs="Arial"/>
        </w:rPr>
        <w:t xml:space="preserve">and </w:t>
      </w:r>
      <w:r w:rsidR="007D7C64" w:rsidRPr="009244B5">
        <w:rPr>
          <w:rFonts w:ascii="Arial" w:hAnsi="Arial" w:cs="Arial"/>
          <w:i/>
          <w:iCs/>
        </w:rPr>
        <w:t xml:space="preserve">First </w:t>
      </w:r>
      <w:r w:rsidR="0055495F" w:rsidRPr="009244B5">
        <w:rPr>
          <w:rFonts w:ascii="Arial" w:hAnsi="Arial" w:cs="Arial"/>
          <w:i/>
          <w:iCs/>
        </w:rPr>
        <w:t xml:space="preserve">National Bank </w:t>
      </w:r>
      <w:r w:rsidR="002B6AED" w:rsidRPr="009244B5">
        <w:rPr>
          <w:rFonts w:ascii="Arial" w:hAnsi="Arial" w:cs="Arial"/>
          <w:i/>
          <w:iCs/>
        </w:rPr>
        <w:t>v Clear Greek Trading</w:t>
      </w:r>
      <w:r w:rsidR="002B6AED" w:rsidRPr="009244B5">
        <w:rPr>
          <w:rFonts w:ascii="Arial" w:hAnsi="Arial" w:cs="Arial"/>
        </w:rPr>
        <w:t xml:space="preserve"> 2014 </w:t>
      </w:r>
      <w:r w:rsidR="004566EA" w:rsidRPr="009244B5">
        <w:rPr>
          <w:rFonts w:ascii="Arial" w:hAnsi="Arial" w:cs="Arial"/>
        </w:rPr>
        <w:t>(1) SA 23 (GNP</w:t>
      </w:r>
      <w:r w:rsidR="00380434" w:rsidRPr="009244B5">
        <w:rPr>
          <w:rFonts w:ascii="Arial" w:hAnsi="Arial" w:cs="Arial"/>
        </w:rPr>
        <w:t>). This include</w:t>
      </w:r>
      <w:r w:rsidR="003468B9" w:rsidRPr="009244B5">
        <w:rPr>
          <w:rFonts w:ascii="Arial" w:hAnsi="Arial" w:cs="Arial"/>
        </w:rPr>
        <w:t>s</w:t>
      </w:r>
      <w:r w:rsidR="00380434" w:rsidRPr="009244B5">
        <w:rPr>
          <w:rFonts w:ascii="Arial" w:hAnsi="Arial" w:cs="Arial"/>
        </w:rPr>
        <w:t xml:space="preserve"> a sch</w:t>
      </w:r>
      <w:r w:rsidR="00426A6E" w:rsidRPr="009244B5">
        <w:rPr>
          <w:rFonts w:ascii="Arial" w:hAnsi="Arial" w:cs="Arial"/>
        </w:rPr>
        <w:t xml:space="preserve">olarly article </w:t>
      </w:r>
      <w:r w:rsidR="003468B9" w:rsidRPr="009244B5">
        <w:rPr>
          <w:rFonts w:ascii="Arial" w:hAnsi="Arial" w:cs="Arial"/>
        </w:rPr>
        <w:t xml:space="preserve">by </w:t>
      </w:r>
      <w:r w:rsidR="003468B9" w:rsidRPr="009244B5">
        <w:rPr>
          <w:rFonts w:ascii="Arial" w:hAnsi="Arial" w:cs="Arial"/>
          <w:i/>
          <w:iCs/>
        </w:rPr>
        <w:t xml:space="preserve">Reneke and </w:t>
      </w:r>
      <w:r w:rsidR="00352A16" w:rsidRPr="009244B5">
        <w:rPr>
          <w:rFonts w:ascii="Arial" w:hAnsi="Arial" w:cs="Arial"/>
          <w:i/>
          <w:iCs/>
        </w:rPr>
        <w:t>Coetzee entitled: Can the National Credit Act be made applicable</w:t>
      </w:r>
      <w:r w:rsidR="00352A16" w:rsidRPr="007B5A48">
        <w:rPr>
          <w:rFonts w:ascii="Arial" w:hAnsi="Arial" w:cs="Arial"/>
          <w:i/>
          <w:iCs/>
        </w:rPr>
        <w:t xml:space="preserve"> </w:t>
      </w:r>
      <w:r w:rsidR="00B96E59" w:rsidRPr="007B5A48">
        <w:rPr>
          <w:rFonts w:ascii="Arial" w:hAnsi="Arial" w:cs="Arial"/>
          <w:i/>
          <w:iCs/>
        </w:rPr>
        <w:t xml:space="preserve">to (excluded) juristic persons or not? </w:t>
      </w:r>
      <w:r w:rsidR="00FD5DC7" w:rsidRPr="007B5A48">
        <w:rPr>
          <w:rFonts w:ascii="Arial" w:hAnsi="Arial" w:cs="Arial"/>
          <w:i/>
          <w:iCs/>
        </w:rPr>
        <w:t>(2014) THRH</w:t>
      </w:r>
      <w:r w:rsidR="0060238C" w:rsidRPr="007B5A48">
        <w:rPr>
          <w:rFonts w:ascii="Arial" w:hAnsi="Arial" w:cs="Arial"/>
          <w:i/>
          <w:iCs/>
        </w:rPr>
        <w:t xml:space="preserve">R </w:t>
      </w:r>
      <w:r w:rsidR="001D617E" w:rsidRPr="007B5A48">
        <w:rPr>
          <w:rFonts w:ascii="Arial" w:hAnsi="Arial" w:cs="Arial"/>
          <w:i/>
          <w:iCs/>
        </w:rPr>
        <w:t>567-585.</w:t>
      </w:r>
      <w:r w:rsidR="00FB48C9" w:rsidRPr="00B85B97">
        <w:rPr>
          <w:rFonts w:ascii="Arial" w:hAnsi="Arial" w:cs="Arial"/>
        </w:rPr>
        <w:t xml:space="preserve"> </w:t>
      </w:r>
      <w:r w:rsidR="0014129E">
        <w:rPr>
          <w:rFonts w:ascii="Arial" w:hAnsi="Arial" w:cs="Arial"/>
        </w:rPr>
        <w:t xml:space="preserve">I am indebted to the assistance </w:t>
      </w:r>
      <w:r w:rsidR="00D53A12">
        <w:rPr>
          <w:rFonts w:ascii="Arial" w:hAnsi="Arial" w:cs="Arial"/>
        </w:rPr>
        <w:t xml:space="preserve">by the Plaintiff </w:t>
      </w:r>
      <w:r w:rsidR="0014129E">
        <w:rPr>
          <w:rFonts w:ascii="Arial" w:hAnsi="Arial" w:cs="Arial"/>
        </w:rPr>
        <w:t>in that a</w:t>
      </w:r>
      <w:r w:rsidR="00FB48C9" w:rsidRPr="00B85B97">
        <w:rPr>
          <w:rFonts w:ascii="Arial" w:hAnsi="Arial" w:cs="Arial"/>
        </w:rPr>
        <w:t xml:space="preserve">s the </w:t>
      </w:r>
      <w:r w:rsidR="00FB48C9" w:rsidRPr="00D41060">
        <w:rPr>
          <w:rFonts w:ascii="Arial" w:hAnsi="Arial" w:cs="Arial"/>
        </w:rPr>
        <w:t>scholars argued and</w:t>
      </w:r>
      <w:r w:rsidR="00B85B97" w:rsidRPr="00D41060">
        <w:rPr>
          <w:rFonts w:ascii="Arial" w:hAnsi="Arial" w:cs="Arial"/>
        </w:rPr>
        <w:t xml:space="preserve"> </w:t>
      </w:r>
      <w:r w:rsidR="00FB48C9" w:rsidRPr="00D41060">
        <w:rPr>
          <w:rFonts w:ascii="Arial" w:hAnsi="Arial" w:cs="Arial"/>
        </w:rPr>
        <w:t xml:space="preserve">having analysed the </w:t>
      </w:r>
      <w:r w:rsidR="00B85B97" w:rsidRPr="00D41060">
        <w:rPr>
          <w:rFonts w:ascii="Arial" w:hAnsi="Arial" w:cs="Arial"/>
        </w:rPr>
        <w:t xml:space="preserve">above </w:t>
      </w:r>
      <w:r w:rsidR="00FB48C9" w:rsidRPr="00D41060">
        <w:rPr>
          <w:rFonts w:ascii="Arial" w:hAnsi="Arial" w:cs="Arial"/>
        </w:rPr>
        <w:t>case</w:t>
      </w:r>
      <w:r w:rsidR="00B85B97" w:rsidRPr="00D41060">
        <w:rPr>
          <w:rFonts w:ascii="Arial" w:hAnsi="Arial" w:cs="Arial"/>
        </w:rPr>
        <w:t>s,</w:t>
      </w:r>
      <w:r w:rsidR="00B85B97" w:rsidRPr="00D41060">
        <w:rPr>
          <w:rFonts w:ascii="Arial" w:hAnsi="Arial" w:cs="Arial"/>
          <w:i/>
          <w:iCs/>
        </w:rPr>
        <w:t xml:space="preserve"> </w:t>
      </w:r>
      <w:r w:rsidR="00B85B97" w:rsidRPr="00D41060">
        <w:rPr>
          <w:rFonts w:ascii="Arial" w:hAnsi="Arial" w:cs="Arial"/>
        </w:rPr>
        <w:t>i</w:t>
      </w:r>
      <w:r w:rsidR="00FB48C9" w:rsidRPr="00D41060">
        <w:rPr>
          <w:rFonts w:ascii="Arial" w:hAnsi="Arial" w:cs="Arial"/>
        </w:rPr>
        <w:t>t is evident from the reading and analysis of the article including the case law therein, that ‘incorporation’ must be explicitly included into the agreement to ensure certainty in the application and regulation of the said agreement</w:t>
      </w:r>
      <w:r w:rsidR="00063F7B">
        <w:rPr>
          <w:rFonts w:ascii="Arial" w:hAnsi="Arial" w:cs="Arial"/>
        </w:rPr>
        <w:t xml:space="preserve"> </w:t>
      </w:r>
      <w:r w:rsidR="006C35ED">
        <w:rPr>
          <w:rFonts w:ascii="Arial" w:hAnsi="Arial" w:cs="Arial"/>
        </w:rPr>
        <w:t>(</w:t>
      </w:r>
      <w:r w:rsidR="006C35ED" w:rsidRPr="00E56AB3">
        <w:rPr>
          <w:rFonts w:ascii="Arial" w:hAnsi="Arial" w:cs="Arial"/>
          <w:i/>
          <w:iCs/>
        </w:rPr>
        <w:t>page 585</w:t>
      </w:r>
      <w:r w:rsidR="006C35ED">
        <w:rPr>
          <w:rFonts w:ascii="Arial" w:hAnsi="Arial" w:cs="Arial"/>
        </w:rPr>
        <w:t>)</w:t>
      </w:r>
      <w:r w:rsidR="00FB48C9" w:rsidRPr="00D41060">
        <w:rPr>
          <w:rFonts w:ascii="Arial" w:hAnsi="Arial" w:cs="Arial"/>
        </w:rPr>
        <w:t xml:space="preserve">. </w:t>
      </w:r>
      <w:r w:rsidR="00EB10DB">
        <w:rPr>
          <w:rFonts w:ascii="Arial" w:hAnsi="Arial" w:cs="Arial"/>
        </w:rPr>
        <w:t>Let me acknowledge that scholarly articles are of a persuasive value in judicial reasoning and not of a binding nature, thus, having read the cases</w:t>
      </w:r>
      <w:r w:rsidR="007666B3">
        <w:rPr>
          <w:rFonts w:ascii="Arial" w:hAnsi="Arial" w:cs="Arial"/>
        </w:rPr>
        <w:t xml:space="preserve"> as well, I am </w:t>
      </w:r>
      <w:r w:rsidR="00281829">
        <w:rPr>
          <w:rFonts w:ascii="Arial" w:hAnsi="Arial" w:cs="Arial"/>
        </w:rPr>
        <w:t xml:space="preserve">also </w:t>
      </w:r>
      <w:r w:rsidR="007666B3">
        <w:rPr>
          <w:rFonts w:ascii="Arial" w:hAnsi="Arial" w:cs="Arial"/>
        </w:rPr>
        <w:t>of the considered view th</w:t>
      </w:r>
      <w:r w:rsidR="00EB169C">
        <w:rPr>
          <w:rFonts w:ascii="Arial" w:hAnsi="Arial" w:cs="Arial"/>
        </w:rPr>
        <w:t>at th</w:t>
      </w:r>
      <w:r w:rsidR="007666B3">
        <w:rPr>
          <w:rFonts w:ascii="Arial" w:hAnsi="Arial" w:cs="Arial"/>
        </w:rPr>
        <w:t xml:space="preserve">e parties </w:t>
      </w:r>
      <w:r w:rsidR="00EB169C">
        <w:rPr>
          <w:rFonts w:ascii="Arial" w:hAnsi="Arial" w:cs="Arial"/>
        </w:rPr>
        <w:t xml:space="preserve">are at </w:t>
      </w:r>
      <w:r w:rsidR="007666B3">
        <w:rPr>
          <w:rFonts w:ascii="Arial" w:hAnsi="Arial" w:cs="Arial"/>
        </w:rPr>
        <w:t xml:space="preserve">liberty to </w:t>
      </w:r>
      <w:r w:rsidR="00E56AB3">
        <w:rPr>
          <w:rFonts w:ascii="Arial" w:hAnsi="Arial" w:cs="Arial"/>
        </w:rPr>
        <w:t>‘</w:t>
      </w:r>
      <w:r w:rsidR="007666B3">
        <w:rPr>
          <w:rFonts w:ascii="Arial" w:hAnsi="Arial" w:cs="Arial"/>
        </w:rPr>
        <w:t>incorporate</w:t>
      </w:r>
      <w:r w:rsidR="00E56AB3">
        <w:rPr>
          <w:rFonts w:ascii="Arial" w:hAnsi="Arial" w:cs="Arial"/>
        </w:rPr>
        <w:t>’</w:t>
      </w:r>
      <w:r w:rsidR="007666B3">
        <w:rPr>
          <w:rFonts w:ascii="Arial" w:hAnsi="Arial" w:cs="Arial"/>
        </w:rPr>
        <w:t xml:space="preserve"> the NCA provisions which would not have been applicable</w:t>
      </w:r>
      <w:r w:rsidR="0008616F">
        <w:rPr>
          <w:rFonts w:ascii="Arial" w:hAnsi="Arial" w:cs="Arial"/>
        </w:rPr>
        <w:t xml:space="preserve">, </w:t>
      </w:r>
      <w:r w:rsidR="00307C28">
        <w:rPr>
          <w:rFonts w:ascii="Arial" w:hAnsi="Arial" w:cs="Arial"/>
        </w:rPr>
        <w:t xml:space="preserve">to ensure certainty on the legitimacy of the agreement. However, the Defendants </w:t>
      </w:r>
      <w:r w:rsidR="00B527FE">
        <w:rPr>
          <w:rFonts w:ascii="Arial" w:hAnsi="Arial" w:cs="Arial"/>
        </w:rPr>
        <w:t xml:space="preserve">dismiss the influence of above cases in this matter as they are of the view that the agreement is regulated through the </w:t>
      </w:r>
      <w:r w:rsidR="006F78C0">
        <w:rPr>
          <w:rFonts w:ascii="Arial" w:hAnsi="Arial" w:cs="Arial"/>
        </w:rPr>
        <w:t>‘</w:t>
      </w:r>
      <w:r w:rsidR="00B527FE">
        <w:rPr>
          <w:rFonts w:ascii="Arial" w:hAnsi="Arial" w:cs="Arial"/>
        </w:rPr>
        <w:t>incorpo</w:t>
      </w:r>
      <w:r w:rsidR="004E6F28">
        <w:rPr>
          <w:rFonts w:ascii="Arial" w:hAnsi="Arial" w:cs="Arial"/>
        </w:rPr>
        <w:t>ration</w:t>
      </w:r>
      <w:r w:rsidR="006F78C0">
        <w:rPr>
          <w:rFonts w:ascii="Arial" w:hAnsi="Arial" w:cs="Arial"/>
        </w:rPr>
        <w:t>’</w:t>
      </w:r>
      <w:r w:rsidR="004E6F28">
        <w:rPr>
          <w:rFonts w:ascii="Arial" w:hAnsi="Arial" w:cs="Arial"/>
        </w:rPr>
        <w:t xml:space="preserve"> of sections 92 and 121 which indirectly infused the section 129(1) provision.</w:t>
      </w:r>
      <w:r w:rsidR="00325F0A">
        <w:rPr>
          <w:rFonts w:ascii="Arial" w:hAnsi="Arial" w:cs="Arial"/>
        </w:rPr>
        <w:t xml:space="preserve"> I am not persuaded that </w:t>
      </w:r>
      <w:r w:rsidR="0073161C">
        <w:rPr>
          <w:rFonts w:ascii="Arial" w:hAnsi="Arial" w:cs="Arial"/>
        </w:rPr>
        <w:t>an excluded provision would have to find application because of the reference to other articles in the a</w:t>
      </w:r>
      <w:r w:rsidR="00F62785">
        <w:rPr>
          <w:rFonts w:ascii="Arial" w:hAnsi="Arial" w:cs="Arial"/>
        </w:rPr>
        <w:t>greement and I find the Defendants argument without substance.</w:t>
      </w:r>
      <w:r w:rsidR="00DC138E">
        <w:rPr>
          <w:rFonts w:ascii="Arial" w:hAnsi="Arial" w:cs="Arial"/>
        </w:rPr>
        <w:t xml:space="preserve"> </w:t>
      </w:r>
      <w:r w:rsidR="00FA55CF">
        <w:rPr>
          <w:rFonts w:ascii="Arial" w:hAnsi="Arial" w:cs="Arial"/>
        </w:rPr>
        <w:t xml:space="preserve">It is my view that the </w:t>
      </w:r>
      <w:r w:rsidR="00FE2094">
        <w:rPr>
          <w:rFonts w:ascii="Arial" w:hAnsi="Arial" w:cs="Arial"/>
        </w:rPr>
        <w:t xml:space="preserve">application of the </w:t>
      </w:r>
      <w:r w:rsidR="00FA55CF">
        <w:rPr>
          <w:rFonts w:ascii="Arial" w:hAnsi="Arial" w:cs="Arial"/>
        </w:rPr>
        <w:t>principles of inco</w:t>
      </w:r>
      <w:r w:rsidR="00FE2094">
        <w:rPr>
          <w:rFonts w:ascii="Arial" w:hAnsi="Arial" w:cs="Arial"/>
        </w:rPr>
        <w:t>r</w:t>
      </w:r>
      <w:r w:rsidR="00FA55CF">
        <w:rPr>
          <w:rFonts w:ascii="Arial" w:hAnsi="Arial" w:cs="Arial"/>
        </w:rPr>
        <w:t>pora</w:t>
      </w:r>
      <w:r w:rsidR="00FE2094">
        <w:rPr>
          <w:rFonts w:ascii="Arial" w:hAnsi="Arial" w:cs="Arial"/>
        </w:rPr>
        <w:t>t</w:t>
      </w:r>
      <w:r w:rsidR="00FA55CF">
        <w:rPr>
          <w:rFonts w:ascii="Arial" w:hAnsi="Arial" w:cs="Arial"/>
        </w:rPr>
        <w:t xml:space="preserve">ion </w:t>
      </w:r>
      <w:r w:rsidR="00FE2094">
        <w:rPr>
          <w:rFonts w:ascii="Arial" w:hAnsi="Arial" w:cs="Arial"/>
        </w:rPr>
        <w:t>w</w:t>
      </w:r>
      <w:r w:rsidR="005B0861">
        <w:rPr>
          <w:rFonts w:ascii="Arial" w:hAnsi="Arial" w:cs="Arial"/>
        </w:rPr>
        <w:t>as</w:t>
      </w:r>
      <w:r w:rsidR="00FE2094">
        <w:rPr>
          <w:rFonts w:ascii="Arial" w:hAnsi="Arial" w:cs="Arial"/>
        </w:rPr>
        <w:t xml:space="preserve"> misdirected in this case and carries</w:t>
      </w:r>
      <w:r w:rsidR="00127E62">
        <w:rPr>
          <w:rFonts w:ascii="Arial" w:hAnsi="Arial" w:cs="Arial"/>
        </w:rPr>
        <w:t xml:space="preserve"> no substance to justify the Defendants’ defence of the matter.</w:t>
      </w:r>
    </w:p>
    <w:p w14:paraId="1F675BF9" w14:textId="77777777" w:rsidR="00EB10DB" w:rsidRDefault="00EB10DB" w:rsidP="006E2ABB">
      <w:pPr>
        <w:spacing w:after="0" w:line="360" w:lineRule="auto"/>
        <w:jc w:val="both"/>
        <w:rPr>
          <w:rFonts w:ascii="Arial" w:hAnsi="Arial" w:cs="Arial"/>
        </w:rPr>
      </w:pPr>
    </w:p>
    <w:p w14:paraId="3E2071C8" w14:textId="23E20AB4" w:rsidR="00354590" w:rsidRDefault="00710721" w:rsidP="00354590">
      <w:pPr>
        <w:spacing w:after="0" w:line="360" w:lineRule="auto"/>
        <w:jc w:val="both"/>
        <w:rPr>
          <w:rFonts w:ascii="Arial" w:hAnsi="Arial" w:cs="Arial"/>
        </w:rPr>
      </w:pPr>
      <w:r>
        <w:rPr>
          <w:rFonts w:ascii="Arial" w:hAnsi="Arial" w:cs="Arial"/>
        </w:rPr>
        <w:t>[1</w:t>
      </w:r>
      <w:r w:rsidR="009B7AC4">
        <w:rPr>
          <w:rFonts w:ascii="Arial" w:hAnsi="Arial" w:cs="Arial"/>
        </w:rPr>
        <w:t>7</w:t>
      </w:r>
      <w:r>
        <w:rPr>
          <w:rFonts w:ascii="Arial" w:hAnsi="Arial" w:cs="Arial"/>
        </w:rPr>
        <w:t>]</w:t>
      </w:r>
      <w:r>
        <w:rPr>
          <w:rFonts w:ascii="Arial" w:hAnsi="Arial" w:cs="Arial"/>
        </w:rPr>
        <w:tab/>
      </w:r>
      <w:r w:rsidR="003A537F">
        <w:rPr>
          <w:rFonts w:ascii="Arial" w:hAnsi="Arial" w:cs="Arial"/>
        </w:rPr>
        <w:t>I must also state that e</w:t>
      </w:r>
      <w:r w:rsidR="00E44E19">
        <w:rPr>
          <w:rFonts w:ascii="Arial" w:hAnsi="Arial" w:cs="Arial"/>
        </w:rPr>
        <w:t>ven if section 129 had to be appli</w:t>
      </w:r>
      <w:r w:rsidR="00E44E19" w:rsidRPr="002216B8">
        <w:rPr>
          <w:rFonts w:ascii="Arial" w:hAnsi="Arial" w:cs="Arial"/>
        </w:rPr>
        <w:t>cable</w:t>
      </w:r>
      <w:r w:rsidR="006F1C34" w:rsidRPr="002216B8">
        <w:rPr>
          <w:rFonts w:ascii="Arial" w:hAnsi="Arial" w:cs="Arial"/>
        </w:rPr>
        <w:t xml:space="preserve"> by </w:t>
      </w:r>
      <w:r w:rsidR="003E02A4" w:rsidRPr="002216B8">
        <w:rPr>
          <w:rFonts w:ascii="Arial" w:hAnsi="Arial" w:cs="Arial"/>
        </w:rPr>
        <w:t>‘</w:t>
      </w:r>
      <w:r w:rsidR="006F1C34" w:rsidRPr="002216B8">
        <w:rPr>
          <w:rFonts w:ascii="Arial" w:hAnsi="Arial" w:cs="Arial"/>
        </w:rPr>
        <w:t>incorporation</w:t>
      </w:r>
      <w:r w:rsidR="003E02A4" w:rsidRPr="002216B8">
        <w:rPr>
          <w:rFonts w:ascii="Arial" w:hAnsi="Arial" w:cs="Arial"/>
        </w:rPr>
        <w:t>’</w:t>
      </w:r>
      <w:r w:rsidR="00E44E19" w:rsidRPr="002216B8">
        <w:rPr>
          <w:rFonts w:ascii="Arial" w:hAnsi="Arial" w:cs="Arial"/>
        </w:rPr>
        <w:t xml:space="preserve">, the </w:t>
      </w:r>
      <w:r w:rsidR="007907D7" w:rsidRPr="002216B8">
        <w:rPr>
          <w:rFonts w:ascii="Arial" w:hAnsi="Arial" w:cs="Arial"/>
        </w:rPr>
        <w:t>Defendants</w:t>
      </w:r>
      <w:r w:rsidR="00E44E19" w:rsidRPr="002216B8">
        <w:rPr>
          <w:rFonts w:ascii="Arial" w:hAnsi="Arial" w:cs="Arial"/>
        </w:rPr>
        <w:t xml:space="preserve"> </w:t>
      </w:r>
      <w:r w:rsidR="00B57A74" w:rsidRPr="002216B8">
        <w:rPr>
          <w:rFonts w:ascii="Arial" w:hAnsi="Arial" w:cs="Arial"/>
        </w:rPr>
        <w:t>c</w:t>
      </w:r>
      <w:r w:rsidR="00E44E19" w:rsidRPr="002216B8">
        <w:rPr>
          <w:rFonts w:ascii="Arial" w:hAnsi="Arial" w:cs="Arial"/>
        </w:rPr>
        <w:t xml:space="preserve">ould not have </w:t>
      </w:r>
      <w:r w:rsidR="00B57A74" w:rsidRPr="002216B8">
        <w:rPr>
          <w:rFonts w:ascii="Arial" w:hAnsi="Arial" w:cs="Arial"/>
        </w:rPr>
        <w:t xml:space="preserve">had </w:t>
      </w:r>
      <w:r w:rsidR="00E44E19" w:rsidRPr="002216B8">
        <w:rPr>
          <w:rFonts w:ascii="Arial" w:hAnsi="Arial" w:cs="Arial"/>
        </w:rPr>
        <w:t>a legal basis to deny</w:t>
      </w:r>
      <w:r w:rsidR="00887C7C" w:rsidRPr="002216B8">
        <w:rPr>
          <w:rFonts w:ascii="Arial" w:hAnsi="Arial" w:cs="Arial"/>
        </w:rPr>
        <w:t xml:space="preserve"> the </w:t>
      </w:r>
      <w:r w:rsidR="00887C7C" w:rsidRPr="00465122">
        <w:rPr>
          <w:rFonts w:ascii="Arial" w:hAnsi="Arial" w:cs="Arial"/>
        </w:rPr>
        <w:t xml:space="preserve">application </w:t>
      </w:r>
      <w:r w:rsidR="006F1C34" w:rsidRPr="00465122">
        <w:rPr>
          <w:rFonts w:ascii="Arial" w:hAnsi="Arial" w:cs="Arial"/>
        </w:rPr>
        <w:t>based on</w:t>
      </w:r>
      <w:r w:rsidR="00887C7C" w:rsidRPr="00465122">
        <w:rPr>
          <w:rFonts w:ascii="Arial" w:hAnsi="Arial" w:cs="Arial"/>
        </w:rPr>
        <w:t xml:space="preserve"> </w:t>
      </w:r>
      <w:r w:rsidR="008B58F7" w:rsidRPr="00465122">
        <w:rPr>
          <w:rFonts w:ascii="Arial" w:hAnsi="Arial" w:cs="Arial"/>
        </w:rPr>
        <w:t>‘</w:t>
      </w:r>
      <w:r w:rsidR="006F1C34" w:rsidRPr="00465122">
        <w:rPr>
          <w:rFonts w:ascii="Arial" w:hAnsi="Arial" w:cs="Arial"/>
          <w:i/>
          <w:iCs/>
        </w:rPr>
        <w:t>pure</w:t>
      </w:r>
      <w:r w:rsidR="00887C7C" w:rsidRPr="00465122">
        <w:rPr>
          <w:rFonts w:ascii="Arial" w:hAnsi="Arial" w:cs="Arial"/>
          <w:i/>
          <w:iCs/>
        </w:rPr>
        <w:t xml:space="preserve"> unawareness</w:t>
      </w:r>
      <w:r w:rsidR="008B58F7" w:rsidRPr="00465122">
        <w:rPr>
          <w:rFonts w:ascii="Arial" w:hAnsi="Arial" w:cs="Arial"/>
        </w:rPr>
        <w:t>’</w:t>
      </w:r>
      <w:r w:rsidR="00887C7C" w:rsidRPr="00465122">
        <w:rPr>
          <w:rFonts w:ascii="Arial" w:hAnsi="Arial" w:cs="Arial"/>
        </w:rPr>
        <w:t xml:space="preserve"> or not receiving the notice or letter</w:t>
      </w:r>
      <w:r w:rsidR="00787F8F" w:rsidRPr="00465122">
        <w:rPr>
          <w:rFonts w:ascii="Arial" w:hAnsi="Arial" w:cs="Arial"/>
        </w:rPr>
        <w:t xml:space="preserve"> dated 11 February 2022</w:t>
      </w:r>
      <w:r w:rsidR="00181DC0" w:rsidRPr="00465122">
        <w:rPr>
          <w:rFonts w:ascii="Arial" w:hAnsi="Arial" w:cs="Arial"/>
        </w:rPr>
        <w:t xml:space="preserve">. </w:t>
      </w:r>
      <w:r w:rsidR="00485C03" w:rsidRPr="00465122">
        <w:rPr>
          <w:rFonts w:ascii="Arial" w:hAnsi="Arial" w:cs="Arial"/>
        </w:rPr>
        <w:t>This letter is the foundation for the determination of the compliance with the NCA provisions in that the creditor advises the defaulting party of the breach of the agreement and requiring the said party to act on such notice. At the end of this letter, the Pl</w:t>
      </w:r>
      <w:r w:rsidR="000E740A" w:rsidRPr="00465122">
        <w:rPr>
          <w:rFonts w:ascii="Arial" w:hAnsi="Arial" w:cs="Arial"/>
        </w:rPr>
        <w:t>aintiff</w:t>
      </w:r>
      <w:r w:rsidR="00485C03" w:rsidRPr="00465122">
        <w:rPr>
          <w:rFonts w:ascii="Arial" w:hAnsi="Arial" w:cs="Arial"/>
        </w:rPr>
        <w:t xml:space="preserve"> advised the</w:t>
      </w:r>
      <w:r w:rsidR="000E740A" w:rsidRPr="00465122">
        <w:rPr>
          <w:rFonts w:ascii="Arial" w:hAnsi="Arial" w:cs="Arial"/>
        </w:rPr>
        <w:t xml:space="preserve"> Defendants</w:t>
      </w:r>
      <w:r w:rsidR="00485C03" w:rsidRPr="00465122">
        <w:rPr>
          <w:rFonts w:ascii="Arial" w:hAnsi="Arial" w:cs="Arial"/>
        </w:rPr>
        <w:t xml:space="preserve"> of the need to respond within 10 business days, failing which, he will approach the court to enforce the agreement.</w:t>
      </w:r>
      <w:r w:rsidR="000E740A" w:rsidRPr="00465122">
        <w:rPr>
          <w:rFonts w:ascii="Arial" w:hAnsi="Arial" w:cs="Arial"/>
        </w:rPr>
        <w:t xml:space="preserve"> </w:t>
      </w:r>
      <w:r w:rsidR="009D76AC" w:rsidRPr="00465122">
        <w:rPr>
          <w:rFonts w:ascii="Arial" w:hAnsi="Arial" w:cs="Arial"/>
        </w:rPr>
        <w:t xml:space="preserve">This letter </w:t>
      </w:r>
      <w:r w:rsidR="003A253D" w:rsidRPr="00465122">
        <w:rPr>
          <w:rFonts w:ascii="Arial" w:hAnsi="Arial" w:cs="Arial"/>
        </w:rPr>
        <w:t>captures</w:t>
      </w:r>
      <w:r w:rsidR="009D76AC" w:rsidRPr="00465122">
        <w:rPr>
          <w:rFonts w:ascii="Arial" w:hAnsi="Arial" w:cs="Arial"/>
        </w:rPr>
        <w:t xml:space="preserve"> the content of </w:t>
      </w:r>
      <w:r w:rsidR="008607B0">
        <w:rPr>
          <w:rFonts w:ascii="Arial" w:hAnsi="Arial" w:cs="Arial"/>
        </w:rPr>
        <w:t xml:space="preserve">a </w:t>
      </w:r>
      <w:r w:rsidR="009D76AC" w:rsidRPr="00465122">
        <w:rPr>
          <w:rFonts w:ascii="Arial" w:hAnsi="Arial" w:cs="Arial"/>
        </w:rPr>
        <w:t xml:space="preserve">balance I mentioned above </w:t>
      </w:r>
      <w:r w:rsidR="005F4E25">
        <w:rPr>
          <w:rFonts w:ascii="Arial" w:hAnsi="Arial" w:cs="Arial"/>
        </w:rPr>
        <w:t>for</w:t>
      </w:r>
      <w:r w:rsidR="00530D7E" w:rsidRPr="00465122">
        <w:rPr>
          <w:rFonts w:ascii="Arial" w:hAnsi="Arial" w:cs="Arial"/>
        </w:rPr>
        <w:t xml:space="preserve"> defaulting parties to be </w:t>
      </w:r>
      <w:r w:rsidR="00826B57" w:rsidRPr="00465122">
        <w:rPr>
          <w:rFonts w:ascii="Arial" w:hAnsi="Arial" w:cs="Arial"/>
        </w:rPr>
        <w:t>provided w</w:t>
      </w:r>
      <w:r w:rsidR="00826B57">
        <w:rPr>
          <w:rFonts w:ascii="Arial" w:hAnsi="Arial" w:cs="Arial"/>
        </w:rPr>
        <w:t xml:space="preserve">ith an opportunity to weigh options that are </w:t>
      </w:r>
      <w:r w:rsidR="001E27D9">
        <w:rPr>
          <w:rFonts w:ascii="Arial" w:hAnsi="Arial" w:cs="Arial"/>
        </w:rPr>
        <w:t>available to them whilst on the other hand the creditor advances the principles of transparency in credit agreements regulations. I do not intend to exhaust the purpose of th</w:t>
      </w:r>
      <w:r w:rsidR="000505CD">
        <w:rPr>
          <w:rFonts w:ascii="Arial" w:hAnsi="Arial" w:cs="Arial"/>
        </w:rPr>
        <w:t xml:space="preserve">is letter, thus, herein, the Defendants dispute the receipt </w:t>
      </w:r>
      <w:r w:rsidR="00B65E97">
        <w:rPr>
          <w:rFonts w:ascii="Arial" w:hAnsi="Arial" w:cs="Arial"/>
        </w:rPr>
        <w:t>of the 11 February 2022 letter.</w:t>
      </w:r>
      <w:r w:rsidR="003A253D">
        <w:rPr>
          <w:rFonts w:ascii="Arial" w:hAnsi="Arial" w:cs="Arial"/>
        </w:rPr>
        <w:t xml:space="preserve"> </w:t>
      </w:r>
      <w:r w:rsidR="00235C11">
        <w:rPr>
          <w:rFonts w:ascii="Arial" w:hAnsi="Arial" w:cs="Arial"/>
        </w:rPr>
        <w:t xml:space="preserve">In the context of the </w:t>
      </w:r>
      <w:r w:rsidR="00D06B44">
        <w:rPr>
          <w:rFonts w:ascii="Arial" w:hAnsi="Arial" w:cs="Arial"/>
        </w:rPr>
        <w:t xml:space="preserve">dispute regarding the receipt of the letter, it is imperative to note </w:t>
      </w:r>
      <w:r w:rsidR="00A74F03">
        <w:rPr>
          <w:rFonts w:ascii="Arial" w:hAnsi="Arial" w:cs="Arial"/>
        </w:rPr>
        <w:t xml:space="preserve">the guidance provided by </w:t>
      </w:r>
      <w:r w:rsidR="00354590">
        <w:rPr>
          <w:rFonts w:ascii="Arial" w:hAnsi="Arial" w:cs="Arial"/>
        </w:rPr>
        <w:t xml:space="preserve">Cameron J in </w:t>
      </w:r>
      <w:r w:rsidR="00354590" w:rsidRPr="009C0481">
        <w:rPr>
          <w:rFonts w:ascii="Arial" w:hAnsi="Arial" w:cs="Arial"/>
          <w:i/>
          <w:iCs/>
        </w:rPr>
        <w:t>Sebola v Standard Bank of South Africa</w:t>
      </w:r>
      <w:r w:rsidR="00354590">
        <w:rPr>
          <w:rFonts w:ascii="Arial" w:hAnsi="Arial" w:cs="Arial"/>
        </w:rPr>
        <w:t xml:space="preserve"> 2012 (8) BCLR 785 (CC) on an appeal from the South Gauteng High Court, </w:t>
      </w:r>
      <w:r w:rsidR="00354590" w:rsidRPr="00FC38F0">
        <w:rPr>
          <w:rFonts w:ascii="Arial" w:hAnsi="Arial" w:cs="Arial"/>
          <w:i/>
          <w:iCs/>
        </w:rPr>
        <w:t>para 74</w:t>
      </w:r>
      <w:r w:rsidR="00354590">
        <w:rPr>
          <w:rFonts w:ascii="Arial" w:hAnsi="Arial" w:cs="Arial"/>
        </w:rPr>
        <w:t xml:space="preserve"> in </w:t>
      </w:r>
      <w:r w:rsidR="00552C62">
        <w:rPr>
          <w:rFonts w:ascii="Arial" w:hAnsi="Arial" w:cs="Arial"/>
        </w:rPr>
        <w:t xml:space="preserve">settling </w:t>
      </w:r>
      <w:r w:rsidR="009F60AD">
        <w:rPr>
          <w:rFonts w:ascii="Arial" w:hAnsi="Arial" w:cs="Arial"/>
        </w:rPr>
        <w:t>the question of t</w:t>
      </w:r>
      <w:r w:rsidR="00E41C19">
        <w:rPr>
          <w:rFonts w:ascii="Arial" w:hAnsi="Arial" w:cs="Arial"/>
        </w:rPr>
        <w:t>he receipt or not who held</w:t>
      </w:r>
      <w:r w:rsidR="00354590">
        <w:rPr>
          <w:rFonts w:ascii="Arial" w:hAnsi="Arial" w:cs="Arial"/>
        </w:rPr>
        <w:t>:</w:t>
      </w:r>
    </w:p>
    <w:p w14:paraId="7DB9D96D" w14:textId="77777777" w:rsidR="00354590" w:rsidRDefault="00354590" w:rsidP="00354590">
      <w:pPr>
        <w:spacing w:after="0" w:line="360" w:lineRule="auto"/>
        <w:jc w:val="both"/>
        <w:rPr>
          <w:rFonts w:ascii="Arial" w:hAnsi="Arial" w:cs="Arial"/>
        </w:rPr>
      </w:pPr>
    </w:p>
    <w:p w14:paraId="5DD71E49" w14:textId="3BB3D1DF" w:rsidR="00354590" w:rsidRPr="006A1B5A" w:rsidRDefault="00354590" w:rsidP="00354590">
      <w:pPr>
        <w:spacing w:after="0" w:line="360" w:lineRule="auto"/>
        <w:ind w:left="720"/>
        <w:jc w:val="both"/>
        <w:rPr>
          <w:rFonts w:ascii="Arial" w:hAnsi="Arial" w:cs="Arial"/>
        </w:rPr>
      </w:pPr>
      <w:r w:rsidRPr="006A1B5A">
        <w:rPr>
          <w:rFonts w:ascii="Arial" w:hAnsi="Arial" w:cs="Arial"/>
        </w:rPr>
        <w:t xml:space="preserve">[delivery] must be found in a broader approach – by determining what a credit provider should be required to establish, on seeking enforcement of a credit agreement, by way of proof that the section 129 notice in fact reached the consumer. As pointed out earlier, </w:t>
      </w:r>
      <w:r w:rsidRPr="00B213A9">
        <w:rPr>
          <w:rFonts w:ascii="Arial" w:hAnsi="Arial" w:cs="Arial"/>
          <w:i/>
          <w:iCs/>
        </w:rPr>
        <w:t>the statute does not demand that the credit provider prove that the notice has actually come to the attention of the consumer, since that would ordinarily be impossible. Nor does it demand proof of delivery to an actual address</w:t>
      </w:r>
      <w:r w:rsidRPr="006A1B5A">
        <w:rPr>
          <w:rFonts w:ascii="Arial" w:hAnsi="Arial" w:cs="Arial"/>
        </w:rPr>
        <w:t xml:space="preserve">. But given the high significance of the section 129 notice, </w:t>
      </w:r>
      <w:r w:rsidRPr="00995911">
        <w:rPr>
          <w:rFonts w:ascii="Arial" w:hAnsi="Arial" w:cs="Arial"/>
          <w:i/>
          <w:iCs/>
        </w:rPr>
        <w:t>it seems to me that the credit provider must make averments that will satisfy the court from which enforcement is sought that the notice, on balance of probabilities, reached the consumer</w:t>
      </w:r>
      <w:r>
        <w:rPr>
          <w:rFonts w:ascii="Arial" w:hAnsi="Arial" w:cs="Arial"/>
        </w:rPr>
        <w:t>, (author’s emphasis).</w:t>
      </w:r>
    </w:p>
    <w:p w14:paraId="07F3999D" w14:textId="20B1C1BF" w:rsidR="00354590" w:rsidRDefault="00354590" w:rsidP="00FC38F0">
      <w:pPr>
        <w:spacing w:after="0" w:line="360" w:lineRule="auto"/>
        <w:jc w:val="both"/>
        <w:rPr>
          <w:rFonts w:ascii="Arial" w:hAnsi="Arial" w:cs="Arial"/>
        </w:rPr>
      </w:pPr>
    </w:p>
    <w:p w14:paraId="4EB7F3BE" w14:textId="49A90AA9" w:rsidR="00AE08C0" w:rsidRDefault="00710721" w:rsidP="00AE08C0">
      <w:pPr>
        <w:spacing w:after="0" w:line="360" w:lineRule="auto"/>
        <w:jc w:val="both"/>
        <w:rPr>
          <w:rFonts w:ascii="Arial" w:hAnsi="Arial" w:cs="Arial"/>
        </w:rPr>
      </w:pPr>
      <w:r w:rsidRPr="002662CE">
        <w:rPr>
          <w:rFonts w:ascii="Arial" w:hAnsi="Arial" w:cs="Arial"/>
        </w:rPr>
        <w:t>[1</w:t>
      </w:r>
      <w:r w:rsidR="00E41C19">
        <w:rPr>
          <w:rFonts w:ascii="Arial" w:hAnsi="Arial" w:cs="Arial"/>
        </w:rPr>
        <w:t>8</w:t>
      </w:r>
      <w:r w:rsidRPr="002662CE">
        <w:rPr>
          <w:rFonts w:ascii="Arial" w:hAnsi="Arial" w:cs="Arial"/>
        </w:rPr>
        <w:t>]</w:t>
      </w:r>
      <w:r w:rsidRPr="002662CE">
        <w:rPr>
          <w:rFonts w:ascii="Arial" w:hAnsi="Arial" w:cs="Arial"/>
        </w:rPr>
        <w:tab/>
        <w:t xml:space="preserve">I am </w:t>
      </w:r>
      <w:r w:rsidR="00191840" w:rsidRPr="002662CE">
        <w:rPr>
          <w:rFonts w:ascii="Arial" w:hAnsi="Arial" w:cs="Arial"/>
        </w:rPr>
        <w:t>influenced</w:t>
      </w:r>
      <w:r w:rsidRPr="002662CE">
        <w:rPr>
          <w:rFonts w:ascii="Arial" w:hAnsi="Arial" w:cs="Arial"/>
        </w:rPr>
        <w:t xml:space="preserve"> b</w:t>
      </w:r>
      <w:r>
        <w:rPr>
          <w:rFonts w:ascii="Arial" w:hAnsi="Arial" w:cs="Arial"/>
        </w:rPr>
        <w:t>y Ca</w:t>
      </w:r>
      <w:r w:rsidRPr="00FC38F0">
        <w:rPr>
          <w:rFonts w:ascii="Arial" w:hAnsi="Arial" w:cs="Arial"/>
        </w:rPr>
        <w:t xml:space="preserve">meron J by settling the contention in this matter in that the </w:t>
      </w:r>
      <w:r w:rsidR="002662CE" w:rsidRPr="00FC38F0">
        <w:rPr>
          <w:rFonts w:ascii="Arial" w:hAnsi="Arial" w:cs="Arial"/>
        </w:rPr>
        <w:t>Plaintiff</w:t>
      </w:r>
      <w:r w:rsidRPr="00FC38F0">
        <w:rPr>
          <w:rFonts w:ascii="Arial" w:hAnsi="Arial" w:cs="Arial"/>
        </w:rPr>
        <w:t xml:space="preserve"> has </w:t>
      </w:r>
      <w:r w:rsidR="00B607CB" w:rsidRPr="00FC38F0">
        <w:rPr>
          <w:rFonts w:ascii="Arial" w:hAnsi="Arial" w:cs="Arial"/>
        </w:rPr>
        <w:t xml:space="preserve">proved </w:t>
      </w:r>
      <w:r w:rsidR="00B607CB">
        <w:rPr>
          <w:rFonts w:ascii="Arial" w:hAnsi="Arial" w:cs="Arial"/>
        </w:rPr>
        <w:t>by</w:t>
      </w:r>
      <w:r w:rsidRPr="00FC38F0">
        <w:rPr>
          <w:rFonts w:ascii="Arial" w:hAnsi="Arial" w:cs="Arial"/>
        </w:rPr>
        <w:t xml:space="preserve"> the D2 annexure that the letter was registered for dispatching to the </w:t>
      </w:r>
      <w:r w:rsidR="00623250" w:rsidRPr="00FC38F0">
        <w:rPr>
          <w:rFonts w:ascii="Arial" w:hAnsi="Arial" w:cs="Arial"/>
        </w:rPr>
        <w:t>Defendant’s</w:t>
      </w:r>
      <w:r w:rsidRPr="00FC38F0">
        <w:rPr>
          <w:rFonts w:ascii="Arial" w:hAnsi="Arial" w:cs="Arial"/>
        </w:rPr>
        <w:t xml:space="preserve"> address. Although Cameron J acknowle</w:t>
      </w:r>
      <w:r>
        <w:rPr>
          <w:rFonts w:ascii="Arial" w:hAnsi="Arial" w:cs="Arial"/>
        </w:rPr>
        <w:t xml:space="preserve">dged the risks that are associated with a mere postage of the letter </w:t>
      </w:r>
      <w:r w:rsidR="00623250">
        <w:rPr>
          <w:rFonts w:ascii="Arial" w:hAnsi="Arial" w:cs="Arial"/>
        </w:rPr>
        <w:t>‘</w:t>
      </w:r>
      <w:r w:rsidRPr="00623250">
        <w:rPr>
          <w:rFonts w:ascii="Arial" w:hAnsi="Arial" w:cs="Arial"/>
          <w:i/>
          <w:iCs/>
        </w:rPr>
        <w:t>as not enough</w:t>
      </w:r>
      <w:r w:rsidR="00623250">
        <w:rPr>
          <w:rFonts w:ascii="Arial" w:hAnsi="Arial" w:cs="Arial"/>
        </w:rPr>
        <w:t>’</w:t>
      </w:r>
      <w:r>
        <w:rPr>
          <w:rFonts w:ascii="Arial" w:hAnsi="Arial" w:cs="Arial"/>
        </w:rPr>
        <w:t xml:space="preserve"> with his affirmation that </w:t>
      </w:r>
      <w:r w:rsidR="000A06F4">
        <w:rPr>
          <w:rFonts w:ascii="Arial" w:hAnsi="Arial" w:cs="Arial"/>
        </w:rPr>
        <w:t>‘</w:t>
      </w:r>
      <w:r w:rsidRPr="000A06F4">
        <w:rPr>
          <w:rFonts w:ascii="Arial" w:hAnsi="Arial" w:cs="Arial"/>
          <w:i/>
          <w:iCs/>
        </w:rPr>
        <w:t>even registered letters may go astray, he gave reliability that at least if registered, there is a high probability that most of them will be delivered</w:t>
      </w:r>
      <w:r>
        <w:rPr>
          <w:rFonts w:ascii="Arial" w:hAnsi="Arial" w:cs="Arial"/>
        </w:rPr>
        <w:t>’, (</w:t>
      </w:r>
      <w:r w:rsidRPr="0054717C">
        <w:rPr>
          <w:rFonts w:ascii="Arial" w:hAnsi="Arial" w:cs="Arial"/>
          <w:i/>
          <w:iCs/>
        </w:rPr>
        <w:t>para 75</w:t>
      </w:r>
      <w:r>
        <w:rPr>
          <w:rFonts w:ascii="Arial" w:hAnsi="Arial" w:cs="Arial"/>
        </w:rPr>
        <w:t xml:space="preserve">). However, in this instance, it is evident that the </w:t>
      </w:r>
      <w:r w:rsidR="000A06F4">
        <w:rPr>
          <w:rFonts w:ascii="Arial" w:hAnsi="Arial" w:cs="Arial"/>
        </w:rPr>
        <w:t>Defendants</w:t>
      </w:r>
      <w:r>
        <w:rPr>
          <w:rFonts w:ascii="Arial" w:hAnsi="Arial" w:cs="Arial"/>
        </w:rPr>
        <w:t xml:space="preserve"> were disingenuous in that the letter (</w:t>
      </w:r>
      <w:r w:rsidRPr="006A76B2">
        <w:rPr>
          <w:rFonts w:ascii="Arial" w:hAnsi="Arial" w:cs="Arial"/>
          <w:i/>
          <w:iCs/>
        </w:rPr>
        <w:t>item number: rc328354015za</w:t>
      </w:r>
      <w:r>
        <w:rPr>
          <w:rFonts w:ascii="Arial" w:hAnsi="Arial" w:cs="Arial"/>
        </w:rPr>
        <w:t xml:space="preserve">) was recorded as having been delivered at the Menlyn branch on 2022/04/07 at 9:16 am to ML Mahlangu. It therefore leaves no doubt in the minds of this Court </w:t>
      </w:r>
      <w:r w:rsidR="004F0F38">
        <w:rPr>
          <w:rFonts w:ascii="Arial" w:hAnsi="Arial" w:cs="Arial"/>
        </w:rPr>
        <w:t>if it had to</w:t>
      </w:r>
      <w:r w:rsidR="00774A15">
        <w:rPr>
          <w:rFonts w:ascii="Arial" w:hAnsi="Arial" w:cs="Arial"/>
        </w:rPr>
        <w:t xml:space="preserve"> evaluate </w:t>
      </w:r>
      <w:r w:rsidR="006A7DE8">
        <w:rPr>
          <w:rFonts w:ascii="Arial" w:hAnsi="Arial" w:cs="Arial"/>
        </w:rPr>
        <w:t xml:space="preserve">compliance with section 129, </w:t>
      </w:r>
      <w:r>
        <w:rPr>
          <w:rFonts w:ascii="Arial" w:hAnsi="Arial" w:cs="Arial"/>
        </w:rPr>
        <w:t xml:space="preserve">the </w:t>
      </w:r>
      <w:r w:rsidR="006E4CDB">
        <w:rPr>
          <w:rFonts w:ascii="Arial" w:hAnsi="Arial" w:cs="Arial"/>
        </w:rPr>
        <w:t>Plaintiff</w:t>
      </w:r>
      <w:r>
        <w:rPr>
          <w:rFonts w:ascii="Arial" w:hAnsi="Arial" w:cs="Arial"/>
        </w:rPr>
        <w:t xml:space="preserve"> did </w:t>
      </w:r>
      <w:r w:rsidR="006A7DE8">
        <w:rPr>
          <w:rFonts w:ascii="Arial" w:hAnsi="Arial" w:cs="Arial"/>
        </w:rPr>
        <w:t>adhere</w:t>
      </w:r>
      <w:r>
        <w:rPr>
          <w:rFonts w:ascii="Arial" w:hAnsi="Arial" w:cs="Arial"/>
        </w:rPr>
        <w:t xml:space="preserve"> </w:t>
      </w:r>
      <w:r w:rsidR="006A7DE8">
        <w:rPr>
          <w:rFonts w:ascii="Arial" w:hAnsi="Arial" w:cs="Arial"/>
        </w:rPr>
        <w:t>to</w:t>
      </w:r>
      <w:r>
        <w:rPr>
          <w:rFonts w:ascii="Arial" w:hAnsi="Arial" w:cs="Arial"/>
        </w:rPr>
        <w:t xml:space="preserve"> the basic principles regarding </w:t>
      </w:r>
      <w:r w:rsidR="009028D3">
        <w:rPr>
          <w:rFonts w:ascii="Arial" w:hAnsi="Arial" w:cs="Arial"/>
        </w:rPr>
        <w:t>fulfilment</w:t>
      </w:r>
      <w:r w:rsidR="000579E2">
        <w:rPr>
          <w:rFonts w:ascii="Arial" w:hAnsi="Arial" w:cs="Arial"/>
        </w:rPr>
        <w:t xml:space="preserve"> of</w:t>
      </w:r>
      <w:r>
        <w:rPr>
          <w:rFonts w:ascii="Arial" w:hAnsi="Arial" w:cs="Arial"/>
        </w:rPr>
        <w:t xml:space="preserve"> the NCA requirements. The bare denial of rec</w:t>
      </w:r>
      <w:r w:rsidRPr="00B607CB">
        <w:rPr>
          <w:rFonts w:ascii="Arial" w:hAnsi="Arial" w:cs="Arial"/>
        </w:rPr>
        <w:t>eipt of the letter is an abuse of this court process and a frivolous exercise of defending this matter. I need not comment on this letter and the effect it has regarding the settling of the dispute</w:t>
      </w:r>
      <w:r w:rsidR="00CE0DC3" w:rsidRPr="00B607CB">
        <w:rPr>
          <w:rFonts w:ascii="Arial" w:hAnsi="Arial" w:cs="Arial"/>
        </w:rPr>
        <w:t xml:space="preserve"> as section 129 is not of ‘incorporation’ into the </w:t>
      </w:r>
      <w:r w:rsidR="001F1F93" w:rsidRPr="00B607CB">
        <w:rPr>
          <w:rFonts w:ascii="Arial" w:hAnsi="Arial" w:cs="Arial"/>
        </w:rPr>
        <w:t>credit agreement through the legal lens of other provisions of the NCA</w:t>
      </w:r>
      <w:r w:rsidRPr="00B607CB">
        <w:rPr>
          <w:rFonts w:ascii="Arial" w:hAnsi="Arial" w:cs="Arial"/>
        </w:rPr>
        <w:t>.</w:t>
      </w:r>
      <w:r w:rsidR="00AE08C0" w:rsidRPr="00B607CB">
        <w:rPr>
          <w:rFonts w:ascii="Arial" w:hAnsi="Arial" w:cs="Arial"/>
        </w:rPr>
        <w:t xml:space="preserve"> In essence, the application of section 129 cannot be implied to be incorporated into the agreement and such reference </w:t>
      </w:r>
      <w:r w:rsidR="005010AD" w:rsidRPr="00B607CB">
        <w:rPr>
          <w:rFonts w:ascii="Arial" w:hAnsi="Arial" w:cs="Arial"/>
        </w:rPr>
        <w:t>must</w:t>
      </w:r>
      <w:r w:rsidR="00AE08C0" w:rsidRPr="00B607CB">
        <w:rPr>
          <w:rFonts w:ascii="Arial" w:hAnsi="Arial" w:cs="Arial"/>
        </w:rPr>
        <w:t xml:space="preserve"> be explicitly stated to ensure the </w:t>
      </w:r>
      <w:r w:rsidR="0069419D" w:rsidRPr="00B607CB">
        <w:rPr>
          <w:rFonts w:ascii="Arial" w:hAnsi="Arial" w:cs="Arial"/>
        </w:rPr>
        <w:t xml:space="preserve">legitimacy and </w:t>
      </w:r>
      <w:r w:rsidR="0046413E" w:rsidRPr="00B607CB">
        <w:rPr>
          <w:rFonts w:ascii="Arial" w:hAnsi="Arial" w:cs="Arial"/>
        </w:rPr>
        <w:t xml:space="preserve">legal </w:t>
      </w:r>
      <w:r w:rsidR="0069419D" w:rsidRPr="00B607CB">
        <w:rPr>
          <w:rFonts w:ascii="Arial" w:hAnsi="Arial" w:cs="Arial"/>
        </w:rPr>
        <w:t xml:space="preserve">certainty </w:t>
      </w:r>
      <w:r w:rsidR="00AE08C0" w:rsidRPr="00B607CB">
        <w:rPr>
          <w:rFonts w:ascii="Arial" w:hAnsi="Arial" w:cs="Arial"/>
        </w:rPr>
        <w:t>of</w:t>
      </w:r>
      <w:r w:rsidR="00AE08C0">
        <w:rPr>
          <w:rFonts w:ascii="Arial" w:hAnsi="Arial" w:cs="Arial"/>
        </w:rPr>
        <w:t xml:space="preserve"> the regulation of the </w:t>
      </w:r>
      <w:r w:rsidR="005010AD">
        <w:rPr>
          <w:rFonts w:ascii="Arial" w:hAnsi="Arial" w:cs="Arial"/>
        </w:rPr>
        <w:t xml:space="preserve">credit </w:t>
      </w:r>
      <w:r w:rsidR="00AE08C0">
        <w:rPr>
          <w:rFonts w:ascii="Arial" w:hAnsi="Arial" w:cs="Arial"/>
        </w:rPr>
        <w:t>agreement.</w:t>
      </w:r>
      <w:r w:rsidR="00D268A1">
        <w:rPr>
          <w:rFonts w:ascii="Arial" w:hAnsi="Arial" w:cs="Arial"/>
        </w:rPr>
        <w:t xml:space="preserve"> I repeat, the Defendants would still not have the legal ground to enforce the section 129 compliance by dismissing the receipt of the letter with evidence provided herein that it reached his postage destination and </w:t>
      </w:r>
      <w:r w:rsidR="00B607CB">
        <w:rPr>
          <w:rFonts w:ascii="Arial" w:hAnsi="Arial" w:cs="Arial"/>
        </w:rPr>
        <w:t>finally signed off to him.</w:t>
      </w:r>
    </w:p>
    <w:p w14:paraId="0247E60E" w14:textId="020E9C44" w:rsidR="00710721" w:rsidRDefault="00710721" w:rsidP="00710721">
      <w:pPr>
        <w:spacing w:after="0" w:line="360" w:lineRule="auto"/>
        <w:jc w:val="both"/>
        <w:rPr>
          <w:rFonts w:ascii="Arial" w:hAnsi="Arial" w:cs="Arial"/>
        </w:rPr>
      </w:pPr>
    </w:p>
    <w:p w14:paraId="4F1C736E" w14:textId="1315E641" w:rsidR="00E7664E" w:rsidRDefault="00280F33" w:rsidP="00E7664E">
      <w:pPr>
        <w:spacing w:after="0" w:line="360" w:lineRule="auto"/>
        <w:jc w:val="both"/>
        <w:rPr>
          <w:rFonts w:ascii="Arial" w:hAnsi="Arial" w:cs="Arial"/>
        </w:rPr>
      </w:pPr>
      <w:r>
        <w:rPr>
          <w:rFonts w:ascii="Arial" w:hAnsi="Arial" w:cs="Arial"/>
        </w:rPr>
        <w:t>[1</w:t>
      </w:r>
      <w:r w:rsidR="00514231">
        <w:rPr>
          <w:rFonts w:ascii="Arial" w:hAnsi="Arial" w:cs="Arial"/>
        </w:rPr>
        <w:t>9</w:t>
      </w:r>
      <w:r>
        <w:rPr>
          <w:rFonts w:ascii="Arial" w:hAnsi="Arial" w:cs="Arial"/>
        </w:rPr>
        <w:t>]</w:t>
      </w:r>
      <w:r>
        <w:rPr>
          <w:rFonts w:ascii="Arial" w:hAnsi="Arial" w:cs="Arial"/>
        </w:rPr>
        <w:tab/>
        <w:t xml:space="preserve">I am not to reproduce the substance of the </w:t>
      </w:r>
      <w:r w:rsidR="005611BD">
        <w:rPr>
          <w:rFonts w:ascii="Arial" w:hAnsi="Arial" w:cs="Arial"/>
        </w:rPr>
        <w:t>credit</w:t>
      </w:r>
      <w:r>
        <w:rPr>
          <w:rFonts w:ascii="Arial" w:hAnsi="Arial" w:cs="Arial"/>
        </w:rPr>
        <w:t xml:space="preserve"> agreement as I am of the view that </w:t>
      </w:r>
      <w:r w:rsidR="001745C2">
        <w:rPr>
          <w:rFonts w:ascii="Arial" w:hAnsi="Arial" w:cs="Arial"/>
        </w:rPr>
        <w:t>Defendants reliance on section 129 compliance was misplaced and of non-application to the agreement</w:t>
      </w:r>
      <w:r w:rsidR="00B36AF8">
        <w:rPr>
          <w:rFonts w:ascii="Arial" w:hAnsi="Arial" w:cs="Arial"/>
        </w:rPr>
        <w:t xml:space="preserve"> as envisaged in the Act</w:t>
      </w:r>
      <w:r w:rsidR="001745C2">
        <w:rPr>
          <w:rFonts w:ascii="Arial" w:hAnsi="Arial" w:cs="Arial"/>
        </w:rPr>
        <w:t>.</w:t>
      </w:r>
      <w:r w:rsidR="00B36AF8">
        <w:rPr>
          <w:rFonts w:ascii="Arial" w:hAnsi="Arial" w:cs="Arial"/>
        </w:rPr>
        <w:t xml:space="preserve"> </w:t>
      </w:r>
      <w:r w:rsidR="00022137">
        <w:rPr>
          <w:rFonts w:ascii="Arial" w:hAnsi="Arial" w:cs="Arial"/>
        </w:rPr>
        <w:t xml:space="preserve">The blanket denial of the claim based on technical approaches to the ‘incorporation’ of </w:t>
      </w:r>
      <w:r w:rsidR="000C27FB">
        <w:rPr>
          <w:rFonts w:ascii="Arial" w:hAnsi="Arial" w:cs="Arial"/>
        </w:rPr>
        <w:t xml:space="preserve">the NCA did not serve the purpose to be achieved by the </w:t>
      </w:r>
      <w:r w:rsidR="00E7664E">
        <w:rPr>
          <w:rFonts w:ascii="Arial" w:hAnsi="Arial" w:cs="Arial"/>
        </w:rPr>
        <w:t>statute. In addition, i</w:t>
      </w:r>
      <w:r w:rsidR="00E7664E" w:rsidRPr="00EC1EA6">
        <w:rPr>
          <w:rFonts w:ascii="Arial" w:hAnsi="Arial" w:cs="Arial"/>
        </w:rPr>
        <w:t>t is not the view of this Court that the Plaintiff was at liberty not to follow the letter of the law in enforcing a default, the Defendants could not and are not justified in enjoying the benefit of being in possession of the motor-vehicle whilst not upholding the obligations due.</w:t>
      </w:r>
      <w:r w:rsidR="00E7664E">
        <w:rPr>
          <w:rFonts w:ascii="Arial" w:hAnsi="Arial" w:cs="Arial"/>
        </w:rPr>
        <w:t xml:space="preserve"> </w:t>
      </w:r>
    </w:p>
    <w:p w14:paraId="01C60E47" w14:textId="11852CB0" w:rsidR="00E73D68" w:rsidRDefault="00E73D68" w:rsidP="00C83DD5">
      <w:pPr>
        <w:spacing w:after="0" w:line="360" w:lineRule="auto"/>
        <w:jc w:val="both"/>
        <w:rPr>
          <w:rFonts w:ascii="Arial" w:hAnsi="Arial" w:cs="Arial"/>
        </w:rPr>
      </w:pPr>
    </w:p>
    <w:p w14:paraId="6CBE6BB8" w14:textId="4DD58B49" w:rsidR="004F4F2F" w:rsidRDefault="00F9690A" w:rsidP="00C83DD5">
      <w:pPr>
        <w:spacing w:after="0" w:line="360" w:lineRule="auto"/>
        <w:jc w:val="both"/>
        <w:rPr>
          <w:rFonts w:ascii="Arial" w:hAnsi="Arial" w:cs="Arial"/>
        </w:rPr>
      </w:pPr>
      <w:r>
        <w:rPr>
          <w:rFonts w:ascii="Arial" w:hAnsi="Arial" w:cs="Arial"/>
        </w:rPr>
        <w:t>[</w:t>
      </w:r>
      <w:r w:rsidR="007D225C">
        <w:rPr>
          <w:rFonts w:ascii="Arial" w:hAnsi="Arial" w:cs="Arial"/>
        </w:rPr>
        <w:t>20</w:t>
      </w:r>
      <w:r>
        <w:rPr>
          <w:rFonts w:ascii="Arial" w:hAnsi="Arial" w:cs="Arial"/>
        </w:rPr>
        <w:t>]</w:t>
      </w:r>
      <w:r>
        <w:rPr>
          <w:rFonts w:ascii="Arial" w:hAnsi="Arial" w:cs="Arial"/>
        </w:rPr>
        <w:tab/>
      </w:r>
      <w:r w:rsidR="00153C35">
        <w:rPr>
          <w:rFonts w:ascii="Arial" w:hAnsi="Arial" w:cs="Arial"/>
        </w:rPr>
        <w:t xml:space="preserve">The </w:t>
      </w:r>
      <w:r w:rsidR="00EC1EA6">
        <w:rPr>
          <w:rFonts w:ascii="Arial" w:hAnsi="Arial" w:cs="Arial"/>
        </w:rPr>
        <w:t>Defendants</w:t>
      </w:r>
      <w:r w:rsidR="00153C35">
        <w:rPr>
          <w:rFonts w:ascii="Arial" w:hAnsi="Arial" w:cs="Arial"/>
        </w:rPr>
        <w:t xml:space="preserve"> further challenged the </w:t>
      </w:r>
      <w:r w:rsidR="006E2221">
        <w:rPr>
          <w:rFonts w:ascii="Arial" w:hAnsi="Arial" w:cs="Arial"/>
        </w:rPr>
        <w:t xml:space="preserve">rationality of the deed of suretyship which I </w:t>
      </w:r>
      <w:r w:rsidR="00B6163A">
        <w:rPr>
          <w:rFonts w:ascii="Arial" w:hAnsi="Arial" w:cs="Arial"/>
        </w:rPr>
        <w:t>find</w:t>
      </w:r>
      <w:r w:rsidR="006E2221">
        <w:rPr>
          <w:rFonts w:ascii="Arial" w:hAnsi="Arial" w:cs="Arial"/>
        </w:rPr>
        <w:t xml:space="preserve"> discomforting </w:t>
      </w:r>
      <w:r w:rsidR="004A48A3">
        <w:rPr>
          <w:rFonts w:ascii="Arial" w:hAnsi="Arial" w:cs="Arial"/>
        </w:rPr>
        <w:t>without any reasonable grounds</w:t>
      </w:r>
      <w:r w:rsidR="00BB4C70">
        <w:rPr>
          <w:rFonts w:ascii="Arial" w:hAnsi="Arial" w:cs="Arial"/>
        </w:rPr>
        <w:t xml:space="preserve"> such as being misled into the agreement</w:t>
      </w:r>
      <w:r w:rsidR="00AD0B8E">
        <w:rPr>
          <w:rFonts w:ascii="Arial" w:hAnsi="Arial" w:cs="Arial"/>
        </w:rPr>
        <w:t xml:space="preserve">. The </w:t>
      </w:r>
      <w:r w:rsidR="00D65ED4">
        <w:rPr>
          <w:rFonts w:ascii="Arial" w:hAnsi="Arial" w:cs="Arial"/>
        </w:rPr>
        <w:t>s</w:t>
      </w:r>
      <w:r w:rsidR="0064666F">
        <w:rPr>
          <w:rFonts w:ascii="Arial" w:hAnsi="Arial" w:cs="Arial"/>
        </w:rPr>
        <w:t xml:space="preserve">econd </w:t>
      </w:r>
      <w:r w:rsidR="00EC1EA6">
        <w:rPr>
          <w:rFonts w:ascii="Arial" w:hAnsi="Arial" w:cs="Arial"/>
        </w:rPr>
        <w:t>Defendant</w:t>
      </w:r>
      <w:r w:rsidR="00AD0B8E">
        <w:rPr>
          <w:rFonts w:ascii="Arial" w:hAnsi="Arial" w:cs="Arial"/>
        </w:rPr>
        <w:t xml:space="preserve"> voluntarily entered into the agreement</w:t>
      </w:r>
      <w:r w:rsidR="00A20AE2">
        <w:rPr>
          <w:rFonts w:ascii="Arial" w:hAnsi="Arial" w:cs="Arial"/>
        </w:rPr>
        <w:t xml:space="preserve"> and there is no evidence that he did not understand the terms of the agreement</w:t>
      </w:r>
      <w:r w:rsidR="008B1DDD">
        <w:rPr>
          <w:rFonts w:ascii="Arial" w:hAnsi="Arial" w:cs="Arial"/>
        </w:rPr>
        <w:t xml:space="preserve">. It is evident from </w:t>
      </w:r>
      <w:r w:rsidR="00B85F0E">
        <w:rPr>
          <w:rFonts w:ascii="Arial" w:hAnsi="Arial" w:cs="Arial"/>
        </w:rPr>
        <w:t>para</w:t>
      </w:r>
      <w:r w:rsidR="00B139CE">
        <w:rPr>
          <w:rFonts w:ascii="Arial" w:hAnsi="Arial" w:cs="Arial"/>
        </w:rPr>
        <w:t>graph</w:t>
      </w:r>
      <w:r w:rsidR="00B85F0E">
        <w:rPr>
          <w:rFonts w:ascii="Arial" w:hAnsi="Arial" w:cs="Arial"/>
        </w:rPr>
        <w:t xml:space="preserve"> 3 of the Deed of Suretyship (Annexure C) that the </w:t>
      </w:r>
      <w:r w:rsidR="00CB6748">
        <w:rPr>
          <w:rFonts w:ascii="Arial" w:hAnsi="Arial" w:cs="Arial"/>
        </w:rPr>
        <w:t xml:space="preserve">Second </w:t>
      </w:r>
      <w:r w:rsidR="00012DFC">
        <w:rPr>
          <w:rFonts w:ascii="Arial" w:hAnsi="Arial" w:cs="Arial"/>
        </w:rPr>
        <w:t>Defendant</w:t>
      </w:r>
      <w:r w:rsidR="00CB6748">
        <w:rPr>
          <w:rFonts w:ascii="Arial" w:hAnsi="Arial" w:cs="Arial"/>
        </w:rPr>
        <w:t xml:space="preserve"> </w:t>
      </w:r>
      <w:r w:rsidR="00C11B3D">
        <w:rPr>
          <w:rFonts w:ascii="Arial" w:hAnsi="Arial" w:cs="Arial"/>
        </w:rPr>
        <w:t>entered</w:t>
      </w:r>
      <w:r w:rsidR="00CB6748">
        <w:rPr>
          <w:rFonts w:ascii="Arial" w:hAnsi="Arial" w:cs="Arial"/>
        </w:rPr>
        <w:t xml:space="preserve"> the terms of the surety binding himsel</w:t>
      </w:r>
      <w:r w:rsidR="00F36D2E">
        <w:rPr>
          <w:rFonts w:ascii="Arial" w:hAnsi="Arial" w:cs="Arial"/>
        </w:rPr>
        <w:t xml:space="preserve">f to the terms of the agreement </w:t>
      </w:r>
      <w:r w:rsidR="00C11B3D">
        <w:rPr>
          <w:rFonts w:ascii="Arial" w:hAnsi="Arial" w:cs="Arial"/>
        </w:rPr>
        <w:t xml:space="preserve">as surety and co-principal debtor </w:t>
      </w:r>
      <w:r w:rsidR="005202AF">
        <w:rPr>
          <w:rFonts w:ascii="Arial" w:hAnsi="Arial" w:cs="Arial"/>
        </w:rPr>
        <w:t xml:space="preserve">of the </w:t>
      </w:r>
      <w:r w:rsidR="00D65ED4">
        <w:rPr>
          <w:rFonts w:ascii="Arial" w:hAnsi="Arial" w:cs="Arial"/>
        </w:rPr>
        <w:t>f</w:t>
      </w:r>
      <w:r w:rsidR="005202AF">
        <w:rPr>
          <w:rFonts w:ascii="Arial" w:hAnsi="Arial" w:cs="Arial"/>
        </w:rPr>
        <w:t xml:space="preserve">irst </w:t>
      </w:r>
      <w:r w:rsidR="009F3073">
        <w:rPr>
          <w:rFonts w:ascii="Arial" w:hAnsi="Arial" w:cs="Arial"/>
        </w:rPr>
        <w:t>Defendant</w:t>
      </w:r>
      <w:r w:rsidR="005202AF">
        <w:rPr>
          <w:rFonts w:ascii="Arial" w:hAnsi="Arial" w:cs="Arial"/>
        </w:rPr>
        <w:t xml:space="preserve">. </w:t>
      </w:r>
      <w:r w:rsidR="00012DFC">
        <w:rPr>
          <w:rFonts w:ascii="Arial" w:hAnsi="Arial" w:cs="Arial"/>
        </w:rPr>
        <w:t xml:space="preserve">It was also his own submission that he facilitated the conclusion of </w:t>
      </w:r>
      <w:r w:rsidR="00A87C5C">
        <w:rPr>
          <w:rFonts w:ascii="Arial" w:hAnsi="Arial" w:cs="Arial"/>
        </w:rPr>
        <w:t>agreement,</w:t>
      </w:r>
      <w:r w:rsidR="00012DFC">
        <w:rPr>
          <w:rFonts w:ascii="Arial" w:hAnsi="Arial" w:cs="Arial"/>
        </w:rPr>
        <w:t xml:space="preserve"> and </w:t>
      </w:r>
      <w:r w:rsidR="00705C58">
        <w:rPr>
          <w:rFonts w:ascii="Arial" w:hAnsi="Arial" w:cs="Arial"/>
        </w:rPr>
        <w:t>it</w:t>
      </w:r>
      <w:r w:rsidR="004605A3">
        <w:rPr>
          <w:rFonts w:ascii="Arial" w:hAnsi="Arial" w:cs="Arial"/>
        </w:rPr>
        <w:t xml:space="preserve"> is </w:t>
      </w:r>
      <w:r w:rsidR="008F3752">
        <w:rPr>
          <w:rFonts w:ascii="Arial" w:hAnsi="Arial" w:cs="Arial"/>
        </w:rPr>
        <w:t xml:space="preserve">disconcerting that </w:t>
      </w:r>
      <w:r w:rsidR="00464453">
        <w:rPr>
          <w:rFonts w:ascii="Arial" w:hAnsi="Arial" w:cs="Arial"/>
        </w:rPr>
        <w:t xml:space="preserve">he would not have satisfied himself of the implications of the NCA into the agreement. </w:t>
      </w:r>
      <w:r w:rsidR="00705C58">
        <w:rPr>
          <w:rFonts w:ascii="Arial" w:hAnsi="Arial" w:cs="Arial"/>
        </w:rPr>
        <w:t xml:space="preserve">Voluminous jurisprudence has been produced by the courts on the binding nature of a deed of suretyship unless there are justifiable reasons which </w:t>
      </w:r>
      <w:r w:rsidR="00705C58" w:rsidRPr="003E54B3">
        <w:rPr>
          <w:rFonts w:ascii="Arial" w:hAnsi="Arial" w:cs="Arial"/>
        </w:rPr>
        <w:t xml:space="preserve">I </w:t>
      </w:r>
      <w:r w:rsidR="00705C58">
        <w:rPr>
          <w:rFonts w:ascii="Arial" w:hAnsi="Arial" w:cs="Arial"/>
        </w:rPr>
        <w:t xml:space="preserve">found not to exist in the Defendant’s defence. </w:t>
      </w:r>
      <w:r w:rsidR="00705C58" w:rsidRPr="003E54B3">
        <w:rPr>
          <w:rFonts w:ascii="Arial" w:hAnsi="Arial" w:cs="Arial"/>
        </w:rPr>
        <w:t xml:space="preserve">I am influenced by Koen J in </w:t>
      </w:r>
      <w:r w:rsidR="00705C58" w:rsidRPr="003E54B3">
        <w:rPr>
          <w:rFonts w:ascii="Arial" w:hAnsi="Arial" w:cs="Arial"/>
          <w:i/>
          <w:iCs/>
        </w:rPr>
        <w:t>Astill v Lot 54 Falcon Park CC KZN</w:t>
      </w:r>
      <w:r w:rsidR="00705C58" w:rsidRPr="003E54B3">
        <w:rPr>
          <w:rFonts w:ascii="Arial" w:hAnsi="Arial" w:cs="Arial"/>
        </w:rPr>
        <w:t xml:space="preserve"> Case No AR 447/2011 </w:t>
      </w:r>
      <w:r w:rsidR="00705C58" w:rsidRPr="00E93C83">
        <w:rPr>
          <w:rFonts w:ascii="Arial" w:hAnsi="Arial" w:cs="Arial"/>
          <w:i/>
          <w:iCs/>
        </w:rPr>
        <w:t>paras 8;18-19</w:t>
      </w:r>
      <w:r w:rsidR="00705C58" w:rsidRPr="003E54B3">
        <w:rPr>
          <w:rFonts w:ascii="Arial" w:hAnsi="Arial" w:cs="Arial"/>
        </w:rPr>
        <w:t xml:space="preserve"> that ‘</w:t>
      </w:r>
      <w:r w:rsidR="00705C58" w:rsidRPr="00DA28A5">
        <w:rPr>
          <w:rFonts w:ascii="Arial" w:hAnsi="Arial" w:cs="Arial"/>
          <w:i/>
          <w:iCs/>
        </w:rPr>
        <w:t>a deed of suretyship must be construed strictly … [and] court to ascertain the intention of the parties … [and] not to sought it in isolation … [wherein] it must be interpreted against the background of all [its] provisions</w:t>
      </w:r>
      <w:r w:rsidR="00705C58" w:rsidRPr="003E54B3">
        <w:rPr>
          <w:rFonts w:ascii="Arial" w:hAnsi="Arial" w:cs="Arial"/>
        </w:rPr>
        <w:t>’.</w:t>
      </w:r>
      <w:r w:rsidR="00705C58">
        <w:rPr>
          <w:rFonts w:ascii="Arial" w:hAnsi="Arial" w:cs="Arial"/>
        </w:rPr>
        <w:t xml:space="preserve"> </w:t>
      </w:r>
      <w:r w:rsidR="00F85925">
        <w:rPr>
          <w:rFonts w:ascii="Arial" w:hAnsi="Arial" w:cs="Arial"/>
        </w:rPr>
        <w:t>Linked to this was the Defendants dismissal of the Plaintiff’s deponent as a legitimate person in submitting the affidavit as she was not involved in the conclusion of the agreement.</w:t>
      </w:r>
      <w:r w:rsidR="006E4126">
        <w:rPr>
          <w:rFonts w:ascii="Arial" w:hAnsi="Arial" w:cs="Arial"/>
        </w:rPr>
        <w:t xml:space="preserve"> </w:t>
      </w:r>
      <w:r w:rsidR="00237513">
        <w:rPr>
          <w:rFonts w:ascii="Arial" w:hAnsi="Arial" w:cs="Arial"/>
        </w:rPr>
        <w:t>I found this contention a distraction and designed to put the ‘</w:t>
      </w:r>
      <w:r w:rsidR="00237513" w:rsidRPr="00FC021A">
        <w:rPr>
          <w:rFonts w:ascii="Arial" w:hAnsi="Arial" w:cs="Arial"/>
          <w:i/>
          <w:iCs/>
        </w:rPr>
        <w:t>cloud</w:t>
      </w:r>
      <w:r w:rsidR="00237513">
        <w:rPr>
          <w:rFonts w:ascii="Arial" w:hAnsi="Arial" w:cs="Arial"/>
        </w:rPr>
        <w:t>’ on the ‘</w:t>
      </w:r>
      <w:r w:rsidR="00237513" w:rsidRPr="00FC021A">
        <w:rPr>
          <w:rFonts w:ascii="Arial" w:hAnsi="Arial" w:cs="Arial"/>
          <w:i/>
          <w:iCs/>
        </w:rPr>
        <w:t>legal lens</w:t>
      </w:r>
      <w:r w:rsidR="00237513">
        <w:rPr>
          <w:rFonts w:ascii="Arial" w:hAnsi="Arial" w:cs="Arial"/>
        </w:rPr>
        <w:t xml:space="preserve">’ of this Court. </w:t>
      </w:r>
      <w:r w:rsidR="00705C58">
        <w:rPr>
          <w:rFonts w:ascii="Arial" w:hAnsi="Arial" w:cs="Arial"/>
        </w:rPr>
        <w:t>The deponent is not a mere collections manager, and it is also her own affirmation that she did not submit the affidavit blindly but ‘</w:t>
      </w:r>
      <w:r w:rsidR="00705C58" w:rsidRPr="00F218E8">
        <w:rPr>
          <w:rFonts w:ascii="Arial" w:hAnsi="Arial" w:cs="Arial"/>
          <w:i/>
          <w:iCs/>
        </w:rPr>
        <w:t>perused and examined the documents relating to this matter which was also grounded on his knowledge of the applicant’s business</w:t>
      </w:r>
      <w:r w:rsidR="00705C58">
        <w:rPr>
          <w:rFonts w:ascii="Arial" w:hAnsi="Arial" w:cs="Arial"/>
        </w:rPr>
        <w:t xml:space="preserve">’. In this instance, I am content to affirm that the Plaintiff was justified in cancelling the </w:t>
      </w:r>
      <w:r w:rsidR="00884146">
        <w:rPr>
          <w:rFonts w:ascii="Arial" w:hAnsi="Arial" w:cs="Arial"/>
        </w:rPr>
        <w:t>agreement.</w:t>
      </w:r>
      <w:r w:rsidR="00464E90">
        <w:rPr>
          <w:rFonts w:ascii="Arial" w:hAnsi="Arial" w:cs="Arial"/>
        </w:rPr>
        <w:t xml:space="preserve"> </w:t>
      </w:r>
      <w:r w:rsidR="00130F21">
        <w:rPr>
          <w:rFonts w:ascii="Arial" w:hAnsi="Arial" w:cs="Arial"/>
        </w:rPr>
        <w:t>T</w:t>
      </w:r>
      <w:r w:rsidR="00A417CF">
        <w:rPr>
          <w:rFonts w:ascii="Arial" w:hAnsi="Arial" w:cs="Arial"/>
        </w:rPr>
        <w:t xml:space="preserve">he </w:t>
      </w:r>
      <w:r w:rsidR="00515757">
        <w:rPr>
          <w:rFonts w:ascii="Arial" w:hAnsi="Arial" w:cs="Arial"/>
        </w:rPr>
        <w:t>Defendants</w:t>
      </w:r>
      <w:r w:rsidR="00A417CF">
        <w:rPr>
          <w:rFonts w:ascii="Arial" w:hAnsi="Arial" w:cs="Arial"/>
        </w:rPr>
        <w:t xml:space="preserve"> </w:t>
      </w:r>
      <w:r w:rsidR="00130F21">
        <w:rPr>
          <w:rFonts w:ascii="Arial" w:hAnsi="Arial" w:cs="Arial"/>
        </w:rPr>
        <w:t>were not</w:t>
      </w:r>
      <w:r w:rsidR="00A417CF">
        <w:rPr>
          <w:rFonts w:ascii="Arial" w:hAnsi="Arial" w:cs="Arial"/>
        </w:rPr>
        <w:t xml:space="preserve"> genuine </w:t>
      </w:r>
      <w:r w:rsidR="00130F21">
        <w:rPr>
          <w:rFonts w:ascii="Arial" w:hAnsi="Arial" w:cs="Arial"/>
        </w:rPr>
        <w:t xml:space="preserve">and </w:t>
      </w:r>
      <w:r w:rsidR="00A417CF">
        <w:rPr>
          <w:rFonts w:ascii="Arial" w:hAnsi="Arial" w:cs="Arial"/>
        </w:rPr>
        <w:t xml:space="preserve">with </w:t>
      </w:r>
      <w:r w:rsidR="00A417CF" w:rsidRPr="001E5564">
        <w:rPr>
          <w:rFonts w:ascii="Arial" w:hAnsi="Arial" w:cs="Arial"/>
          <w:i/>
          <w:iCs/>
        </w:rPr>
        <w:t>no bona fide</w:t>
      </w:r>
      <w:r w:rsidR="00A417CF">
        <w:rPr>
          <w:rFonts w:ascii="Arial" w:hAnsi="Arial" w:cs="Arial"/>
        </w:rPr>
        <w:t xml:space="preserve"> defence in defending the </w:t>
      </w:r>
      <w:r w:rsidR="00B96C55">
        <w:rPr>
          <w:rFonts w:ascii="Arial" w:hAnsi="Arial" w:cs="Arial"/>
        </w:rPr>
        <w:t>application</w:t>
      </w:r>
      <w:r w:rsidR="00B6163A">
        <w:rPr>
          <w:rFonts w:ascii="Arial" w:hAnsi="Arial" w:cs="Arial"/>
        </w:rPr>
        <w:t>.</w:t>
      </w:r>
      <w:r w:rsidR="000E4C71">
        <w:rPr>
          <w:rFonts w:ascii="Arial" w:hAnsi="Arial" w:cs="Arial"/>
        </w:rPr>
        <w:t xml:space="preserve"> </w:t>
      </w:r>
    </w:p>
    <w:p w14:paraId="4567BE6C" w14:textId="77777777" w:rsidR="004F4F2F" w:rsidRDefault="004F4F2F" w:rsidP="00C83DD5">
      <w:pPr>
        <w:spacing w:after="0" w:line="360" w:lineRule="auto"/>
        <w:jc w:val="both"/>
        <w:rPr>
          <w:rFonts w:ascii="Arial" w:hAnsi="Arial" w:cs="Arial"/>
        </w:rPr>
      </w:pPr>
    </w:p>
    <w:p w14:paraId="63DB38C3" w14:textId="26C76B7A" w:rsidR="00A933A9" w:rsidRDefault="00A933A9" w:rsidP="00C83DD5">
      <w:pPr>
        <w:spacing w:after="0" w:line="360" w:lineRule="auto"/>
        <w:jc w:val="both"/>
        <w:rPr>
          <w:rFonts w:ascii="Arial" w:hAnsi="Arial" w:cs="Arial"/>
        </w:rPr>
      </w:pPr>
      <w:r>
        <w:rPr>
          <w:rFonts w:ascii="Arial" w:hAnsi="Arial" w:cs="Arial"/>
        </w:rPr>
        <w:t>[2</w:t>
      </w:r>
      <w:r w:rsidR="000E4B75">
        <w:rPr>
          <w:rFonts w:ascii="Arial" w:hAnsi="Arial" w:cs="Arial"/>
        </w:rPr>
        <w:t>1</w:t>
      </w:r>
      <w:r>
        <w:rPr>
          <w:rFonts w:ascii="Arial" w:hAnsi="Arial" w:cs="Arial"/>
        </w:rPr>
        <w:t>]</w:t>
      </w:r>
      <w:r>
        <w:rPr>
          <w:rFonts w:ascii="Arial" w:hAnsi="Arial" w:cs="Arial"/>
        </w:rPr>
        <w:tab/>
        <w:t xml:space="preserve">I am also conscious of the implications of the summary judgment as it </w:t>
      </w:r>
      <w:r w:rsidR="00410FAD">
        <w:rPr>
          <w:rFonts w:ascii="Arial" w:hAnsi="Arial" w:cs="Arial"/>
        </w:rPr>
        <w:t>‘</w:t>
      </w:r>
      <w:r w:rsidR="00BD22D2" w:rsidRPr="00410FAD">
        <w:rPr>
          <w:rFonts w:ascii="Arial" w:hAnsi="Arial" w:cs="Arial"/>
          <w:i/>
          <w:iCs/>
        </w:rPr>
        <w:t>shuts door</w:t>
      </w:r>
      <w:r w:rsidR="00410FAD">
        <w:rPr>
          <w:rFonts w:ascii="Arial" w:hAnsi="Arial" w:cs="Arial"/>
        </w:rPr>
        <w:t>’</w:t>
      </w:r>
      <w:r w:rsidR="00BD22D2">
        <w:rPr>
          <w:rFonts w:ascii="Arial" w:hAnsi="Arial" w:cs="Arial"/>
        </w:rPr>
        <w:t xml:space="preserve"> in the face of the </w:t>
      </w:r>
      <w:r w:rsidR="000E4B75">
        <w:rPr>
          <w:rFonts w:ascii="Arial" w:hAnsi="Arial" w:cs="Arial"/>
        </w:rPr>
        <w:t>Defendants</w:t>
      </w:r>
      <w:r w:rsidR="00DE42E5">
        <w:rPr>
          <w:rFonts w:ascii="Arial" w:hAnsi="Arial" w:cs="Arial"/>
        </w:rPr>
        <w:t>. In this</w:t>
      </w:r>
      <w:r w:rsidR="000E4B75">
        <w:rPr>
          <w:rFonts w:ascii="Arial" w:hAnsi="Arial" w:cs="Arial"/>
        </w:rPr>
        <w:t xml:space="preserve"> </w:t>
      </w:r>
      <w:r w:rsidR="00CE48BF">
        <w:rPr>
          <w:rFonts w:ascii="Arial" w:hAnsi="Arial" w:cs="Arial"/>
        </w:rPr>
        <w:t xml:space="preserve">regard, </w:t>
      </w:r>
      <w:r w:rsidR="00BB4312">
        <w:rPr>
          <w:rFonts w:ascii="Arial" w:hAnsi="Arial" w:cs="Arial"/>
        </w:rPr>
        <w:t xml:space="preserve">section 130(3) </w:t>
      </w:r>
      <w:r w:rsidR="00EC45D9">
        <w:rPr>
          <w:rFonts w:ascii="Arial" w:hAnsi="Arial" w:cs="Arial"/>
        </w:rPr>
        <w:t xml:space="preserve">allays the fears of this Court </w:t>
      </w:r>
      <w:r w:rsidR="00F97534">
        <w:rPr>
          <w:rFonts w:ascii="Arial" w:hAnsi="Arial" w:cs="Arial"/>
        </w:rPr>
        <w:t xml:space="preserve">and requires that </w:t>
      </w:r>
      <w:r w:rsidR="00454961" w:rsidRPr="00F97534">
        <w:rPr>
          <w:rFonts w:ascii="Arial" w:hAnsi="Arial" w:cs="Arial"/>
        </w:rPr>
        <w:t>it must</w:t>
      </w:r>
      <w:r w:rsidR="00454961">
        <w:rPr>
          <w:rFonts w:ascii="Arial" w:hAnsi="Arial" w:cs="Arial"/>
        </w:rPr>
        <w:t xml:space="preserve"> be satisfied that: </w:t>
      </w:r>
    </w:p>
    <w:p w14:paraId="693BF2B7" w14:textId="77777777" w:rsidR="00621379" w:rsidRDefault="00621379" w:rsidP="00C83DD5">
      <w:pPr>
        <w:spacing w:after="0" w:line="360" w:lineRule="auto"/>
        <w:jc w:val="both"/>
        <w:rPr>
          <w:rFonts w:ascii="Arial" w:hAnsi="Arial" w:cs="Arial"/>
        </w:rPr>
      </w:pPr>
    </w:p>
    <w:p w14:paraId="5E9AE2F4" w14:textId="77777777" w:rsidR="0023669F" w:rsidRPr="006F078B" w:rsidRDefault="004F10AE" w:rsidP="0023669F">
      <w:pPr>
        <w:pStyle w:val="ListParagraph"/>
        <w:numPr>
          <w:ilvl w:val="0"/>
          <w:numId w:val="4"/>
        </w:numPr>
        <w:spacing w:after="0" w:line="360" w:lineRule="auto"/>
        <w:jc w:val="both"/>
        <w:rPr>
          <w:rFonts w:ascii="Arial" w:hAnsi="Arial" w:cs="Arial"/>
        </w:rPr>
      </w:pPr>
      <w:r w:rsidRPr="006F078B">
        <w:rPr>
          <w:rFonts w:ascii="Arial" w:hAnsi="Arial" w:cs="Arial"/>
        </w:rPr>
        <w:t xml:space="preserve">in the case of proceedings to which sections 127, 129 or 131 apply, the procedures required by those sections have been complied with; </w:t>
      </w:r>
    </w:p>
    <w:p w14:paraId="00DD32DD" w14:textId="77777777" w:rsidR="0023669F" w:rsidRPr="006F078B" w:rsidRDefault="004F10AE" w:rsidP="0023669F">
      <w:pPr>
        <w:pStyle w:val="ListParagraph"/>
        <w:numPr>
          <w:ilvl w:val="0"/>
          <w:numId w:val="4"/>
        </w:numPr>
        <w:spacing w:after="0" w:line="360" w:lineRule="auto"/>
        <w:jc w:val="both"/>
        <w:rPr>
          <w:rFonts w:ascii="Arial" w:hAnsi="Arial" w:cs="Arial"/>
        </w:rPr>
      </w:pPr>
      <w:r w:rsidRPr="006F078B">
        <w:rPr>
          <w:rFonts w:ascii="Arial" w:hAnsi="Arial" w:cs="Arial"/>
        </w:rPr>
        <w:t xml:space="preserve">there is no matter arising under that credit agreement, and pending before the Tribunal, that could result in an order affecting the issues to be determined by the court; and </w:t>
      </w:r>
    </w:p>
    <w:p w14:paraId="323DD699" w14:textId="5B4C4EDF" w:rsidR="00454961" w:rsidRPr="006F078B" w:rsidRDefault="004F10AE" w:rsidP="0023669F">
      <w:pPr>
        <w:pStyle w:val="ListParagraph"/>
        <w:numPr>
          <w:ilvl w:val="0"/>
          <w:numId w:val="4"/>
        </w:numPr>
        <w:spacing w:after="0" w:line="360" w:lineRule="auto"/>
        <w:jc w:val="both"/>
        <w:rPr>
          <w:rFonts w:ascii="Arial" w:hAnsi="Arial" w:cs="Arial"/>
        </w:rPr>
      </w:pPr>
      <w:r w:rsidRPr="006F078B">
        <w:rPr>
          <w:rFonts w:ascii="Arial" w:hAnsi="Arial" w:cs="Arial"/>
        </w:rPr>
        <w:t>that the credit provider has not approached the court</w:t>
      </w:r>
      <w:r w:rsidR="0023669F" w:rsidRPr="006F078B">
        <w:rPr>
          <w:rFonts w:ascii="Arial" w:hAnsi="Arial" w:cs="Arial"/>
        </w:rPr>
        <w:t>:</w:t>
      </w:r>
    </w:p>
    <w:p w14:paraId="09F7D47F" w14:textId="77777777" w:rsidR="00454961" w:rsidRPr="006F078B" w:rsidRDefault="00454961" w:rsidP="00C83DD5">
      <w:pPr>
        <w:spacing w:after="0" w:line="360" w:lineRule="auto"/>
        <w:jc w:val="both"/>
        <w:rPr>
          <w:rFonts w:ascii="Arial" w:hAnsi="Arial" w:cs="Arial"/>
        </w:rPr>
      </w:pPr>
    </w:p>
    <w:p w14:paraId="14C1C35B" w14:textId="77777777" w:rsidR="0023669F" w:rsidRPr="006F078B" w:rsidRDefault="009D44E2" w:rsidP="0023669F">
      <w:pPr>
        <w:pStyle w:val="ListParagraph"/>
        <w:numPr>
          <w:ilvl w:val="0"/>
          <w:numId w:val="5"/>
        </w:numPr>
        <w:spacing w:after="0" w:line="360" w:lineRule="auto"/>
        <w:jc w:val="both"/>
        <w:rPr>
          <w:rFonts w:ascii="Arial" w:hAnsi="Arial" w:cs="Arial"/>
        </w:rPr>
      </w:pPr>
      <w:r w:rsidRPr="006F078B">
        <w:rPr>
          <w:rFonts w:ascii="Arial" w:hAnsi="Arial" w:cs="Arial"/>
        </w:rPr>
        <w:t xml:space="preserve">during the time that the matter was before a debt counsellor, alternative dispute resolution agent, consumer court or the ombud with jurisdiction; or </w:t>
      </w:r>
    </w:p>
    <w:p w14:paraId="4482CC83" w14:textId="3D57689D" w:rsidR="0023669F" w:rsidRPr="006F078B" w:rsidRDefault="009D44E2" w:rsidP="0023669F">
      <w:pPr>
        <w:pStyle w:val="ListParagraph"/>
        <w:numPr>
          <w:ilvl w:val="0"/>
          <w:numId w:val="5"/>
        </w:numPr>
        <w:spacing w:after="0" w:line="360" w:lineRule="auto"/>
        <w:jc w:val="both"/>
        <w:rPr>
          <w:rFonts w:ascii="Arial" w:hAnsi="Arial" w:cs="Arial"/>
        </w:rPr>
      </w:pPr>
      <w:r w:rsidRPr="006F078B">
        <w:rPr>
          <w:rFonts w:ascii="Arial" w:hAnsi="Arial" w:cs="Arial"/>
        </w:rPr>
        <w:t>despite the consumer having</w:t>
      </w:r>
      <w:r w:rsidR="0023669F" w:rsidRPr="006F078B">
        <w:rPr>
          <w:rFonts w:ascii="Arial" w:hAnsi="Arial" w:cs="Arial"/>
        </w:rPr>
        <w:t>:</w:t>
      </w:r>
    </w:p>
    <w:p w14:paraId="1EBD8246" w14:textId="77777777" w:rsidR="0023669F" w:rsidRPr="006F078B" w:rsidRDefault="009D44E2" w:rsidP="006F078B">
      <w:pPr>
        <w:pStyle w:val="ListParagraph"/>
        <w:spacing w:after="0" w:line="360" w:lineRule="auto"/>
        <w:ind w:left="3600" w:hanging="720"/>
        <w:jc w:val="both"/>
        <w:rPr>
          <w:rFonts w:ascii="Arial" w:hAnsi="Arial" w:cs="Arial"/>
        </w:rPr>
      </w:pPr>
      <w:r w:rsidRPr="006F078B">
        <w:rPr>
          <w:rFonts w:ascii="Arial" w:hAnsi="Arial" w:cs="Arial"/>
        </w:rPr>
        <w:t>(aa)</w:t>
      </w:r>
      <w:r w:rsidR="0023669F" w:rsidRPr="006F078B">
        <w:rPr>
          <w:rFonts w:ascii="Arial" w:hAnsi="Arial" w:cs="Arial"/>
        </w:rPr>
        <w:tab/>
      </w:r>
      <w:r w:rsidRPr="006F078B">
        <w:rPr>
          <w:rFonts w:ascii="Arial" w:hAnsi="Arial" w:cs="Arial"/>
        </w:rPr>
        <w:t xml:space="preserve">surrendered property to the credit provider, and before that property has been sold; </w:t>
      </w:r>
    </w:p>
    <w:p w14:paraId="5365EA7B" w14:textId="77777777" w:rsidR="0023669F" w:rsidRPr="006F078B" w:rsidRDefault="009D44E2" w:rsidP="006F078B">
      <w:pPr>
        <w:pStyle w:val="ListParagraph"/>
        <w:spacing w:after="0" w:line="360" w:lineRule="auto"/>
        <w:ind w:left="3600" w:hanging="720"/>
        <w:jc w:val="both"/>
        <w:rPr>
          <w:rFonts w:ascii="Arial" w:hAnsi="Arial" w:cs="Arial"/>
        </w:rPr>
      </w:pPr>
      <w:r w:rsidRPr="006F078B">
        <w:rPr>
          <w:rFonts w:ascii="Arial" w:hAnsi="Arial" w:cs="Arial"/>
        </w:rPr>
        <w:t>(bb)</w:t>
      </w:r>
      <w:r w:rsidR="0023669F" w:rsidRPr="006F078B">
        <w:rPr>
          <w:rFonts w:ascii="Arial" w:hAnsi="Arial" w:cs="Arial"/>
        </w:rPr>
        <w:tab/>
      </w:r>
      <w:r w:rsidRPr="006F078B">
        <w:rPr>
          <w:rFonts w:ascii="Arial" w:hAnsi="Arial" w:cs="Arial"/>
        </w:rPr>
        <w:t xml:space="preserve">agreed to a proposal made in terms of section 129(1)(u) and acted in good faith in fulfilment of that agreement; </w:t>
      </w:r>
    </w:p>
    <w:p w14:paraId="4373330A" w14:textId="5D552EDE" w:rsidR="00621379" w:rsidRPr="006F078B" w:rsidRDefault="009D44E2" w:rsidP="006F078B">
      <w:pPr>
        <w:pStyle w:val="ListParagraph"/>
        <w:spacing w:after="0" w:line="360" w:lineRule="auto"/>
        <w:ind w:left="3600" w:hanging="720"/>
        <w:jc w:val="both"/>
        <w:rPr>
          <w:rFonts w:ascii="Arial" w:hAnsi="Arial" w:cs="Arial"/>
        </w:rPr>
      </w:pPr>
      <w:r w:rsidRPr="006F078B">
        <w:rPr>
          <w:rFonts w:ascii="Arial" w:hAnsi="Arial" w:cs="Arial"/>
        </w:rPr>
        <w:t>(cc)</w:t>
      </w:r>
      <w:r w:rsidR="0023669F" w:rsidRPr="006F078B">
        <w:rPr>
          <w:rFonts w:ascii="Arial" w:hAnsi="Arial" w:cs="Arial"/>
        </w:rPr>
        <w:tab/>
      </w:r>
      <w:r w:rsidRPr="006F078B">
        <w:rPr>
          <w:rFonts w:ascii="Arial" w:hAnsi="Arial" w:cs="Arial"/>
        </w:rPr>
        <w:t>complied with an agreed plan as contemplated in section 129(1)(a); or (dd) brought the payments under the credit agreement up to date, as contemplated in section 129(1)(a).</w:t>
      </w:r>
    </w:p>
    <w:p w14:paraId="79747D0E" w14:textId="77777777" w:rsidR="00621379" w:rsidRDefault="00621379" w:rsidP="00C83DD5">
      <w:pPr>
        <w:spacing w:after="0" w:line="360" w:lineRule="auto"/>
        <w:jc w:val="both"/>
        <w:rPr>
          <w:rFonts w:ascii="Arial" w:hAnsi="Arial" w:cs="Arial"/>
        </w:rPr>
      </w:pPr>
    </w:p>
    <w:p w14:paraId="5F3E6FBE" w14:textId="25E7B373" w:rsidR="00C66AF0" w:rsidRDefault="006F078B" w:rsidP="00C66AF0">
      <w:pPr>
        <w:spacing w:after="0" w:line="360" w:lineRule="auto"/>
        <w:jc w:val="both"/>
        <w:rPr>
          <w:rFonts w:ascii="Arial" w:hAnsi="Arial" w:cs="Arial"/>
        </w:rPr>
      </w:pPr>
      <w:r>
        <w:rPr>
          <w:rFonts w:ascii="Arial" w:hAnsi="Arial" w:cs="Arial"/>
        </w:rPr>
        <w:t>[2</w:t>
      </w:r>
      <w:r w:rsidR="00867559">
        <w:rPr>
          <w:rFonts w:ascii="Arial" w:hAnsi="Arial" w:cs="Arial"/>
        </w:rPr>
        <w:t>2</w:t>
      </w:r>
      <w:r>
        <w:rPr>
          <w:rFonts w:ascii="Arial" w:hAnsi="Arial" w:cs="Arial"/>
        </w:rPr>
        <w:t>]</w:t>
      </w:r>
      <w:r>
        <w:rPr>
          <w:rFonts w:ascii="Arial" w:hAnsi="Arial" w:cs="Arial"/>
        </w:rPr>
        <w:tab/>
        <w:t xml:space="preserve">The substance of section 130(3) gives </w:t>
      </w:r>
      <w:r w:rsidR="00E83ABD">
        <w:rPr>
          <w:rFonts w:ascii="Arial" w:hAnsi="Arial" w:cs="Arial"/>
        </w:rPr>
        <w:t>content to the observations made herein that there was no other forum that determined this matter</w:t>
      </w:r>
      <w:r w:rsidR="00C66AF0">
        <w:rPr>
          <w:rFonts w:ascii="Arial" w:hAnsi="Arial" w:cs="Arial"/>
        </w:rPr>
        <w:t>.</w:t>
      </w:r>
      <w:r w:rsidR="002E1937">
        <w:rPr>
          <w:rFonts w:ascii="Arial" w:hAnsi="Arial" w:cs="Arial"/>
        </w:rPr>
        <w:t xml:space="preserve"> As noted above, with this ma</w:t>
      </w:r>
      <w:r w:rsidR="002E1937" w:rsidRPr="00346DE7">
        <w:rPr>
          <w:rFonts w:ascii="Arial" w:hAnsi="Arial" w:cs="Arial"/>
        </w:rPr>
        <w:t xml:space="preserve">tter not having served or before another tribunal, I am </w:t>
      </w:r>
      <w:r w:rsidR="000D252E" w:rsidRPr="00346DE7">
        <w:rPr>
          <w:rFonts w:ascii="Arial" w:hAnsi="Arial" w:cs="Arial"/>
        </w:rPr>
        <w:t xml:space="preserve">of the view that the </w:t>
      </w:r>
      <w:r w:rsidR="006B14BF" w:rsidRPr="00346DE7">
        <w:rPr>
          <w:rFonts w:ascii="Arial" w:hAnsi="Arial" w:cs="Arial"/>
        </w:rPr>
        <w:t>Plaintiff</w:t>
      </w:r>
      <w:r w:rsidR="000D252E" w:rsidRPr="00346DE7">
        <w:rPr>
          <w:rFonts w:ascii="Arial" w:hAnsi="Arial" w:cs="Arial"/>
        </w:rPr>
        <w:t xml:space="preserve"> has satisfied the requirements of a summary judgment</w:t>
      </w:r>
      <w:r w:rsidR="003F6A61" w:rsidRPr="00346DE7">
        <w:rPr>
          <w:rFonts w:ascii="Arial" w:hAnsi="Arial" w:cs="Arial"/>
        </w:rPr>
        <w:t xml:space="preserve"> and </w:t>
      </w:r>
      <w:r w:rsidR="00866F6F" w:rsidRPr="00346DE7">
        <w:rPr>
          <w:rFonts w:ascii="Arial" w:hAnsi="Arial" w:cs="Arial"/>
        </w:rPr>
        <w:t>has</w:t>
      </w:r>
      <w:r w:rsidR="003F6A61" w:rsidRPr="00346DE7">
        <w:rPr>
          <w:rFonts w:ascii="Arial" w:hAnsi="Arial" w:cs="Arial"/>
        </w:rPr>
        <w:t xml:space="preserve"> a </w:t>
      </w:r>
      <w:r w:rsidR="003F6A61" w:rsidRPr="00346DE7">
        <w:rPr>
          <w:rFonts w:ascii="Arial" w:hAnsi="Arial" w:cs="Arial"/>
          <w:i/>
          <w:iCs/>
        </w:rPr>
        <w:t>bona fide</w:t>
      </w:r>
      <w:r w:rsidR="003F6A61" w:rsidRPr="00346DE7">
        <w:rPr>
          <w:rFonts w:ascii="Arial" w:hAnsi="Arial" w:cs="Arial"/>
        </w:rPr>
        <w:t xml:space="preserve"> claim against the </w:t>
      </w:r>
      <w:r w:rsidR="006B14BF" w:rsidRPr="00346DE7">
        <w:rPr>
          <w:rFonts w:ascii="Arial" w:hAnsi="Arial" w:cs="Arial"/>
        </w:rPr>
        <w:t>Defendants</w:t>
      </w:r>
      <w:r w:rsidR="003F6A61" w:rsidRPr="00346DE7">
        <w:rPr>
          <w:rFonts w:ascii="Arial" w:hAnsi="Arial" w:cs="Arial"/>
        </w:rPr>
        <w:t xml:space="preserve">. </w:t>
      </w:r>
      <w:r w:rsidR="00C66AF0" w:rsidRPr="00346DE7">
        <w:rPr>
          <w:rFonts w:ascii="Arial" w:hAnsi="Arial" w:cs="Arial"/>
        </w:rPr>
        <w:t xml:space="preserve">The termination was on good cause wherein the </w:t>
      </w:r>
      <w:r w:rsidR="00866F6F" w:rsidRPr="00346DE7">
        <w:rPr>
          <w:rFonts w:ascii="Arial" w:hAnsi="Arial" w:cs="Arial"/>
        </w:rPr>
        <w:t>Plaintiff</w:t>
      </w:r>
      <w:r w:rsidR="00C66AF0" w:rsidRPr="00346DE7">
        <w:rPr>
          <w:rFonts w:ascii="Arial" w:hAnsi="Arial" w:cs="Arial"/>
        </w:rPr>
        <w:t xml:space="preserve"> was deprived of its lawful and legitimate rights to enjoy the benefits of the agreement within the broader context of the law of contract</w:t>
      </w:r>
      <w:r w:rsidR="00346DE7" w:rsidRPr="00346DE7">
        <w:rPr>
          <w:rFonts w:ascii="Arial" w:hAnsi="Arial" w:cs="Arial"/>
        </w:rPr>
        <w:t xml:space="preserve"> in credit agreements</w:t>
      </w:r>
      <w:r w:rsidR="00C66AF0" w:rsidRPr="00346DE7">
        <w:rPr>
          <w:rFonts w:ascii="Arial" w:hAnsi="Arial" w:cs="Arial"/>
        </w:rPr>
        <w:t xml:space="preserve">. </w:t>
      </w:r>
      <w:r w:rsidR="00D946F7" w:rsidRPr="00346DE7">
        <w:rPr>
          <w:rFonts w:ascii="Arial" w:hAnsi="Arial" w:cs="Arial"/>
        </w:rPr>
        <w:t xml:space="preserve">The </w:t>
      </w:r>
      <w:r w:rsidR="006B14BF" w:rsidRPr="00346DE7">
        <w:rPr>
          <w:rFonts w:ascii="Arial" w:hAnsi="Arial" w:cs="Arial"/>
        </w:rPr>
        <w:t>Defendants</w:t>
      </w:r>
      <w:r w:rsidR="00D946F7" w:rsidRPr="00346DE7">
        <w:rPr>
          <w:rFonts w:ascii="Arial" w:hAnsi="Arial" w:cs="Arial"/>
        </w:rPr>
        <w:t xml:space="preserve"> w</w:t>
      </w:r>
      <w:r w:rsidR="00EE4617" w:rsidRPr="00346DE7">
        <w:rPr>
          <w:rFonts w:ascii="Arial" w:hAnsi="Arial" w:cs="Arial"/>
        </w:rPr>
        <w:t>ere</w:t>
      </w:r>
      <w:r w:rsidR="00D946F7" w:rsidRPr="00346DE7">
        <w:rPr>
          <w:rFonts w:ascii="Arial" w:hAnsi="Arial" w:cs="Arial"/>
        </w:rPr>
        <w:t xml:space="preserve"> obliged in terms of the agreement to</w:t>
      </w:r>
      <w:r w:rsidR="00ED7203" w:rsidRPr="00346DE7">
        <w:rPr>
          <w:rFonts w:ascii="Arial" w:hAnsi="Arial" w:cs="Arial"/>
        </w:rPr>
        <w:t xml:space="preserve"> pay the instalment due </w:t>
      </w:r>
      <w:r w:rsidR="00D37A51" w:rsidRPr="00346DE7">
        <w:rPr>
          <w:rFonts w:ascii="Arial" w:hAnsi="Arial" w:cs="Arial"/>
        </w:rPr>
        <w:t>to avoid any loss t</w:t>
      </w:r>
      <w:r w:rsidR="00D37A51" w:rsidRPr="00146ADF">
        <w:rPr>
          <w:rFonts w:ascii="Arial" w:hAnsi="Arial" w:cs="Arial"/>
        </w:rPr>
        <w:t>hat the</w:t>
      </w:r>
      <w:r w:rsidR="00D37A51">
        <w:rPr>
          <w:rFonts w:ascii="Arial" w:hAnsi="Arial" w:cs="Arial"/>
        </w:rPr>
        <w:t xml:space="preserve"> credit provider (</w:t>
      </w:r>
      <w:r w:rsidR="002732F6">
        <w:rPr>
          <w:rFonts w:ascii="Arial" w:hAnsi="Arial" w:cs="Arial"/>
        </w:rPr>
        <w:t>Plaintiff</w:t>
      </w:r>
      <w:r w:rsidR="00D37A51">
        <w:rPr>
          <w:rFonts w:ascii="Arial" w:hAnsi="Arial" w:cs="Arial"/>
        </w:rPr>
        <w:t>) may suffer</w:t>
      </w:r>
      <w:r w:rsidR="00E95A15">
        <w:rPr>
          <w:rFonts w:ascii="Arial" w:hAnsi="Arial" w:cs="Arial"/>
        </w:rPr>
        <w:t xml:space="preserve"> because of the default. The non-payment has negative consequences for the </w:t>
      </w:r>
      <w:r w:rsidR="002732F6">
        <w:rPr>
          <w:rFonts w:ascii="Arial" w:hAnsi="Arial" w:cs="Arial"/>
        </w:rPr>
        <w:t xml:space="preserve">Plaintiff </w:t>
      </w:r>
      <w:r w:rsidR="00E95A15">
        <w:rPr>
          <w:rFonts w:ascii="Arial" w:hAnsi="Arial" w:cs="Arial"/>
        </w:rPr>
        <w:t xml:space="preserve">as well </w:t>
      </w:r>
      <w:r w:rsidR="00506D9A">
        <w:rPr>
          <w:rFonts w:ascii="Arial" w:hAnsi="Arial" w:cs="Arial"/>
        </w:rPr>
        <w:t xml:space="preserve">and without assuming how the </w:t>
      </w:r>
      <w:r w:rsidR="00E95EC7">
        <w:rPr>
          <w:rFonts w:ascii="Arial" w:hAnsi="Arial" w:cs="Arial"/>
        </w:rPr>
        <w:t>Plaintiff</w:t>
      </w:r>
      <w:r w:rsidR="00506D9A">
        <w:rPr>
          <w:rFonts w:ascii="Arial" w:hAnsi="Arial" w:cs="Arial"/>
        </w:rPr>
        <w:t xml:space="preserve"> </w:t>
      </w:r>
      <w:r w:rsidR="00AC19C6">
        <w:rPr>
          <w:rFonts w:ascii="Arial" w:hAnsi="Arial" w:cs="Arial"/>
        </w:rPr>
        <w:t xml:space="preserve">is </w:t>
      </w:r>
      <w:r w:rsidR="00506D9A">
        <w:rPr>
          <w:rFonts w:ascii="Arial" w:hAnsi="Arial" w:cs="Arial"/>
        </w:rPr>
        <w:t>fund</w:t>
      </w:r>
      <w:r w:rsidR="00AC19C6">
        <w:rPr>
          <w:rFonts w:ascii="Arial" w:hAnsi="Arial" w:cs="Arial"/>
        </w:rPr>
        <w:t>ing</w:t>
      </w:r>
      <w:r w:rsidR="00506D9A">
        <w:rPr>
          <w:rFonts w:ascii="Arial" w:hAnsi="Arial" w:cs="Arial"/>
        </w:rPr>
        <w:t xml:space="preserve"> his business</w:t>
      </w:r>
      <w:r w:rsidR="00F96E5A">
        <w:rPr>
          <w:rFonts w:ascii="Arial" w:hAnsi="Arial" w:cs="Arial"/>
        </w:rPr>
        <w:t>, it is possible that</w:t>
      </w:r>
      <w:r w:rsidR="002732F6">
        <w:rPr>
          <w:rFonts w:ascii="Arial" w:hAnsi="Arial" w:cs="Arial"/>
        </w:rPr>
        <w:t>,</w:t>
      </w:r>
      <w:r w:rsidR="00F96E5A">
        <w:rPr>
          <w:rFonts w:ascii="Arial" w:hAnsi="Arial" w:cs="Arial"/>
        </w:rPr>
        <w:t xml:space="preserve"> </w:t>
      </w:r>
      <w:r w:rsidR="0085080E">
        <w:rPr>
          <w:rFonts w:ascii="Arial" w:hAnsi="Arial" w:cs="Arial"/>
        </w:rPr>
        <w:t>as Wallis</w:t>
      </w:r>
      <w:r w:rsidR="005D726F">
        <w:rPr>
          <w:rFonts w:ascii="Arial" w:hAnsi="Arial" w:cs="Arial"/>
        </w:rPr>
        <w:t xml:space="preserve"> J </w:t>
      </w:r>
      <w:r w:rsidR="00D00591">
        <w:rPr>
          <w:rFonts w:ascii="Arial" w:hAnsi="Arial" w:cs="Arial"/>
        </w:rPr>
        <w:t xml:space="preserve">exemplified </w:t>
      </w:r>
      <w:r w:rsidR="005D726F">
        <w:rPr>
          <w:rFonts w:ascii="Arial" w:hAnsi="Arial" w:cs="Arial"/>
        </w:rPr>
        <w:t xml:space="preserve">in </w:t>
      </w:r>
      <w:r w:rsidR="005D726F" w:rsidRPr="00D00591">
        <w:rPr>
          <w:rFonts w:ascii="Arial" w:hAnsi="Arial" w:cs="Arial"/>
          <w:i/>
          <w:iCs/>
        </w:rPr>
        <w:t>JMV Textiles (Pty Ltd v De Chalain Spareinvest</w:t>
      </w:r>
      <w:r w:rsidR="005D726F">
        <w:rPr>
          <w:rFonts w:ascii="Arial" w:hAnsi="Arial" w:cs="Arial"/>
        </w:rPr>
        <w:t xml:space="preserve"> </w:t>
      </w:r>
      <w:r w:rsidR="006336E2">
        <w:rPr>
          <w:rFonts w:ascii="Arial" w:hAnsi="Arial" w:cs="Arial"/>
        </w:rPr>
        <w:t xml:space="preserve">14 CC [2011] 1 All SA </w:t>
      </w:r>
      <w:r w:rsidR="00D00591">
        <w:rPr>
          <w:rFonts w:ascii="Arial" w:hAnsi="Arial" w:cs="Arial"/>
        </w:rPr>
        <w:t xml:space="preserve">318 (KZD) </w:t>
      </w:r>
      <w:r w:rsidR="00D00591" w:rsidRPr="000E1122">
        <w:rPr>
          <w:rFonts w:ascii="Arial" w:hAnsi="Arial" w:cs="Arial"/>
          <w:i/>
          <w:iCs/>
        </w:rPr>
        <w:t>para 17</w:t>
      </w:r>
      <w:r w:rsidR="00282A01">
        <w:rPr>
          <w:rFonts w:ascii="Arial" w:hAnsi="Arial" w:cs="Arial"/>
        </w:rPr>
        <w:t xml:space="preserve"> </w:t>
      </w:r>
      <w:r w:rsidR="00DF717D">
        <w:rPr>
          <w:rFonts w:ascii="Arial" w:hAnsi="Arial" w:cs="Arial"/>
        </w:rPr>
        <w:t>t</w:t>
      </w:r>
      <w:r w:rsidR="00E95A15">
        <w:rPr>
          <w:rFonts w:ascii="Arial" w:hAnsi="Arial" w:cs="Arial"/>
        </w:rPr>
        <w:t>hat</w:t>
      </w:r>
      <w:r w:rsidR="00AC19C6">
        <w:rPr>
          <w:rFonts w:ascii="Arial" w:hAnsi="Arial" w:cs="Arial"/>
        </w:rPr>
        <w:t xml:space="preserve"> </w:t>
      </w:r>
      <w:r w:rsidR="00DF717D">
        <w:rPr>
          <w:rFonts w:ascii="Arial" w:hAnsi="Arial" w:cs="Arial"/>
        </w:rPr>
        <w:t>‘</w:t>
      </w:r>
      <w:r w:rsidR="00AC19C6" w:rsidRPr="00DF717D">
        <w:rPr>
          <w:rFonts w:ascii="Arial" w:hAnsi="Arial" w:cs="Arial"/>
          <w:i/>
          <w:iCs/>
        </w:rPr>
        <w:t>the operations may be conducted on credit such as such as an overdraft, and is compelled to pay more interest than it would have done had the payment been made timeously</w:t>
      </w:r>
      <w:r w:rsidR="00DF717D">
        <w:rPr>
          <w:rFonts w:ascii="Arial" w:hAnsi="Arial" w:cs="Arial"/>
        </w:rPr>
        <w:t>’.</w:t>
      </w:r>
      <w:r w:rsidR="00282A01">
        <w:rPr>
          <w:rFonts w:ascii="Arial" w:hAnsi="Arial" w:cs="Arial"/>
        </w:rPr>
        <w:t xml:space="preserve"> </w:t>
      </w:r>
      <w:r w:rsidR="00C66AF0">
        <w:rPr>
          <w:rFonts w:ascii="Arial" w:hAnsi="Arial" w:cs="Arial"/>
        </w:rPr>
        <w:t>Determining this matter on the techn</w:t>
      </w:r>
      <w:r w:rsidR="00C66AF0" w:rsidRPr="00B43822">
        <w:rPr>
          <w:rFonts w:ascii="Arial" w:hAnsi="Arial" w:cs="Arial"/>
        </w:rPr>
        <w:t>icality of the application of the NCA does not seem to fulfil the purpose of the statute in ensuring a balanced fair of contractual relations in bridging the gap between those that are economically empowered and those impoverished.</w:t>
      </w:r>
      <w:r w:rsidR="00C66AF0">
        <w:rPr>
          <w:rFonts w:ascii="Arial" w:hAnsi="Arial" w:cs="Arial"/>
        </w:rPr>
        <w:t xml:space="preserve"> This Court learnt a lesson that granting a judgment whether in favour or against a litigant should not </w:t>
      </w:r>
      <w:r w:rsidR="003D3F01">
        <w:rPr>
          <w:rFonts w:ascii="Arial" w:hAnsi="Arial" w:cs="Arial"/>
        </w:rPr>
        <w:t xml:space="preserve">be </w:t>
      </w:r>
      <w:r w:rsidR="00C66AF0">
        <w:rPr>
          <w:rFonts w:ascii="Arial" w:hAnsi="Arial" w:cs="Arial"/>
        </w:rPr>
        <w:t xml:space="preserve">motivated by advantages or disadvantages that either party has regarding the matter. Of importance, which </w:t>
      </w:r>
      <w:r w:rsidR="006C213A">
        <w:rPr>
          <w:rFonts w:ascii="Arial" w:hAnsi="Arial" w:cs="Arial"/>
        </w:rPr>
        <w:t>must</w:t>
      </w:r>
      <w:r w:rsidR="00C66AF0">
        <w:rPr>
          <w:rFonts w:ascii="Arial" w:hAnsi="Arial" w:cs="Arial"/>
        </w:rPr>
        <w:t xml:space="preserve"> be </w:t>
      </w:r>
      <w:r w:rsidR="009D75E1">
        <w:rPr>
          <w:rFonts w:ascii="Arial" w:hAnsi="Arial" w:cs="Arial"/>
        </w:rPr>
        <w:t xml:space="preserve">judicially </w:t>
      </w:r>
      <w:r w:rsidR="00C66AF0">
        <w:rPr>
          <w:rFonts w:ascii="Arial" w:hAnsi="Arial" w:cs="Arial"/>
        </w:rPr>
        <w:t xml:space="preserve">exercised, is a balanced determination on what would constitute fairness in the adjudication of the matter. </w:t>
      </w:r>
      <w:r w:rsidR="00742206">
        <w:rPr>
          <w:rFonts w:ascii="Arial" w:hAnsi="Arial" w:cs="Arial"/>
        </w:rPr>
        <w:t xml:space="preserve">It is the </w:t>
      </w:r>
      <w:r w:rsidR="009D75E1">
        <w:rPr>
          <w:rFonts w:ascii="Arial" w:hAnsi="Arial" w:cs="Arial"/>
        </w:rPr>
        <w:t>assertion</w:t>
      </w:r>
      <w:r w:rsidR="00742206">
        <w:rPr>
          <w:rFonts w:ascii="Arial" w:hAnsi="Arial" w:cs="Arial"/>
        </w:rPr>
        <w:t xml:space="preserve"> of this Court that the defences raised by the </w:t>
      </w:r>
      <w:r w:rsidR="00B84C5B">
        <w:rPr>
          <w:rFonts w:ascii="Arial" w:hAnsi="Arial" w:cs="Arial"/>
        </w:rPr>
        <w:t xml:space="preserve">Defendants </w:t>
      </w:r>
      <w:r w:rsidR="00542A95">
        <w:rPr>
          <w:rFonts w:ascii="Arial" w:hAnsi="Arial" w:cs="Arial"/>
        </w:rPr>
        <w:t>are not merited and bad in law.</w:t>
      </w:r>
    </w:p>
    <w:p w14:paraId="0633E90B" w14:textId="77777777" w:rsidR="00C66AF0" w:rsidRDefault="00C66AF0" w:rsidP="00C83DD5">
      <w:pPr>
        <w:spacing w:after="0" w:line="360" w:lineRule="auto"/>
        <w:jc w:val="both"/>
        <w:rPr>
          <w:rFonts w:ascii="Arial" w:hAnsi="Arial" w:cs="Arial"/>
        </w:rPr>
      </w:pPr>
    </w:p>
    <w:p w14:paraId="32C9F7F3" w14:textId="1576E6B6" w:rsidR="00B50397" w:rsidRDefault="00B50397" w:rsidP="00C83DD5">
      <w:pPr>
        <w:spacing w:after="0" w:line="360" w:lineRule="auto"/>
        <w:jc w:val="both"/>
        <w:rPr>
          <w:rFonts w:ascii="Arial" w:hAnsi="Arial" w:cs="Arial"/>
        </w:rPr>
      </w:pPr>
      <w:r>
        <w:rPr>
          <w:rFonts w:ascii="Arial" w:hAnsi="Arial" w:cs="Arial"/>
        </w:rPr>
        <w:t>[22]</w:t>
      </w:r>
      <w:r>
        <w:rPr>
          <w:rFonts w:ascii="Arial" w:hAnsi="Arial" w:cs="Arial"/>
        </w:rPr>
        <w:tab/>
        <w:t xml:space="preserve">With regard to the costs order, </w:t>
      </w:r>
      <w:r w:rsidR="00592921">
        <w:rPr>
          <w:rFonts w:ascii="Arial" w:hAnsi="Arial" w:cs="Arial"/>
        </w:rPr>
        <w:t>the courts serve as the pinnacle in the exercise of their discretion</w:t>
      </w:r>
      <w:r w:rsidR="00B65D37">
        <w:rPr>
          <w:rFonts w:ascii="Arial" w:hAnsi="Arial" w:cs="Arial"/>
        </w:rPr>
        <w:t xml:space="preserve"> to ensure </w:t>
      </w:r>
      <w:r w:rsidR="009205B3">
        <w:rPr>
          <w:rFonts w:ascii="Arial" w:hAnsi="Arial" w:cs="Arial"/>
        </w:rPr>
        <w:t>balanced</w:t>
      </w:r>
      <w:r w:rsidR="00B65D37">
        <w:rPr>
          <w:rFonts w:ascii="Arial" w:hAnsi="Arial" w:cs="Arial"/>
        </w:rPr>
        <w:t xml:space="preserve"> and merited circumstances </w:t>
      </w:r>
      <w:r w:rsidR="002B4EAC">
        <w:rPr>
          <w:rFonts w:ascii="Arial" w:hAnsi="Arial" w:cs="Arial"/>
        </w:rPr>
        <w:t xml:space="preserve">for an order that is fair and just between the parties. </w:t>
      </w:r>
      <w:r w:rsidR="00300831" w:rsidRPr="00866F6F">
        <w:rPr>
          <w:rFonts w:ascii="Arial" w:hAnsi="Arial" w:cs="Arial"/>
        </w:rPr>
        <w:t>I must express that with lessons learnt on the exercise of a judicial discretion</w:t>
      </w:r>
      <w:r w:rsidR="007F27AF" w:rsidRPr="00866F6F">
        <w:rPr>
          <w:rFonts w:ascii="Arial" w:hAnsi="Arial" w:cs="Arial"/>
        </w:rPr>
        <w:t xml:space="preserve"> on costs orders</w:t>
      </w:r>
      <w:r w:rsidR="00AB4131" w:rsidRPr="00866F6F">
        <w:rPr>
          <w:rFonts w:ascii="Arial" w:hAnsi="Arial" w:cs="Arial"/>
        </w:rPr>
        <w:t xml:space="preserve">, </w:t>
      </w:r>
      <w:r w:rsidRPr="00866F6F">
        <w:rPr>
          <w:rFonts w:ascii="Arial" w:hAnsi="Arial" w:cs="Arial"/>
        </w:rPr>
        <w:t>this Court is not a ‘</w:t>
      </w:r>
      <w:r w:rsidR="00866F6F" w:rsidRPr="00866F6F">
        <w:rPr>
          <w:rFonts w:ascii="Arial" w:hAnsi="Arial" w:cs="Arial"/>
          <w:i/>
          <w:iCs/>
        </w:rPr>
        <w:t>slaughterhouse</w:t>
      </w:r>
      <w:r w:rsidR="00586446" w:rsidRPr="00866F6F">
        <w:rPr>
          <w:rFonts w:ascii="Arial" w:hAnsi="Arial" w:cs="Arial"/>
        </w:rPr>
        <w:t>’ that will plant fear on prospective litigants to refrain from bringing their matters before the courts in promoting the principles of the new constitutional dispensation, particularly the development of the substance of the principles of section 34 of the Constitution</w:t>
      </w:r>
      <w:r w:rsidR="00743010">
        <w:rPr>
          <w:rFonts w:ascii="Arial" w:hAnsi="Arial" w:cs="Arial"/>
        </w:rPr>
        <w:t>,</w:t>
      </w:r>
      <w:r w:rsidR="00586446" w:rsidRPr="00866F6F">
        <w:rPr>
          <w:rFonts w:ascii="Arial" w:hAnsi="Arial" w:cs="Arial"/>
        </w:rPr>
        <w:t xml:space="preserve"> 1996. The</w:t>
      </w:r>
      <w:r w:rsidR="00586446">
        <w:rPr>
          <w:rFonts w:ascii="Arial" w:hAnsi="Arial" w:cs="Arial"/>
        </w:rPr>
        <w:t xml:space="preserve"> said section is tied with the provision of remedial measures that are just and equitable in ensuring South Africa’s flourishing </w:t>
      </w:r>
      <w:r w:rsidR="00CC112F">
        <w:rPr>
          <w:rFonts w:ascii="Arial" w:hAnsi="Arial" w:cs="Arial"/>
        </w:rPr>
        <w:t>a</w:t>
      </w:r>
      <w:r w:rsidR="00F05C5E">
        <w:rPr>
          <w:rFonts w:ascii="Arial" w:hAnsi="Arial" w:cs="Arial"/>
        </w:rPr>
        <w:t>n</w:t>
      </w:r>
      <w:r w:rsidR="00CC112F">
        <w:rPr>
          <w:rFonts w:ascii="Arial" w:hAnsi="Arial" w:cs="Arial"/>
        </w:rPr>
        <w:t xml:space="preserve">d transformative </w:t>
      </w:r>
      <w:r w:rsidR="00586446">
        <w:rPr>
          <w:rFonts w:ascii="Arial" w:hAnsi="Arial" w:cs="Arial"/>
        </w:rPr>
        <w:t xml:space="preserve">jurisprudence </w:t>
      </w:r>
      <w:r w:rsidR="00CC112F">
        <w:rPr>
          <w:rFonts w:ascii="Arial" w:hAnsi="Arial" w:cs="Arial"/>
        </w:rPr>
        <w:t>of the 30 years of the new dawn of democracy</w:t>
      </w:r>
      <w:r w:rsidR="000A3000">
        <w:rPr>
          <w:rFonts w:ascii="Arial" w:hAnsi="Arial" w:cs="Arial"/>
        </w:rPr>
        <w:t xml:space="preserve">. The costs, as </w:t>
      </w:r>
      <w:r w:rsidR="00983CE5">
        <w:rPr>
          <w:rFonts w:ascii="Arial" w:hAnsi="Arial" w:cs="Arial"/>
        </w:rPr>
        <w:t>indicated</w:t>
      </w:r>
      <w:r w:rsidR="000A3000">
        <w:rPr>
          <w:rFonts w:ascii="Arial" w:hAnsi="Arial" w:cs="Arial"/>
        </w:rPr>
        <w:t xml:space="preserve"> below, are reflective of a balanced view</w:t>
      </w:r>
      <w:r w:rsidR="0019568D">
        <w:rPr>
          <w:rFonts w:ascii="Arial" w:hAnsi="Arial" w:cs="Arial"/>
        </w:rPr>
        <w:t xml:space="preserve"> regarding the </w:t>
      </w:r>
      <w:r w:rsidR="008A369F">
        <w:rPr>
          <w:rFonts w:ascii="Arial" w:hAnsi="Arial" w:cs="Arial"/>
        </w:rPr>
        <w:t xml:space="preserve">interpretation of the substance of the dispute and not who is </w:t>
      </w:r>
      <w:r w:rsidR="00983CE5">
        <w:rPr>
          <w:rFonts w:ascii="Arial" w:hAnsi="Arial" w:cs="Arial"/>
        </w:rPr>
        <w:t>‘</w:t>
      </w:r>
      <w:r w:rsidR="008A369F" w:rsidRPr="00983CE5">
        <w:rPr>
          <w:rFonts w:ascii="Arial" w:hAnsi="Arial" w:cs="Arial"/>
          <w:i/>
          <w:iCs/>
        </w:rPr>
        <w:t xml:space="preserve">better </w:t>
      </w:r>
      <w:r w:rsidR="006C213A" w:rsidRPr="00983CE5">
        <w:rPr>
          <w:rFonts w:ascii="Arial" w:hAnsi="Arial" w:cs="Arial"/>
          <w:i/>
          <w:iCs/>
        </w:rPr>
        <w:t>legally muscled</w:t>
      </w:r>
      <w:r w:rsidR="00983CE5">
        <w:rPr>
          <w:rFonts w:ascii="Arial" w:hAnsi="Arial" w:cs="Arial"/>
        </w:rPr>
        <w:t>’</w:t>
      </w:r>
      <w:r w:rsidR="006C213A">
        <w:rPr>
          <w:rFonts w:ascii="Arial" w:hAnsi="Arial" w:cs="Arial"/>
        </w:rPr>
        <w:t xml:space="preserve"> than the other</w:t>
      </w:r>
      <w:r w:rsidR="00983CE5">
        <w:rPr>
          <w:rFonts w:ascii="Arial" w:hAnsi="Arial" w:cs="Arial"/>
        </w:rPr>
        <w:t xml:space="preserve"> in this matter</w:t>
      </w:r>
      <w:r w:rsidR="006C213A">
        <w:rPr>
          <w:rFonts w:ascii="Arial" w:hAnsi="Arial" w:cs="Arial"/>
        </w:rPr>
        <w:t>.</w:t>
      </w:r>
    </w:p>
    <w:p w14:paraId="0FC96169" w14:textId="77777777" w:rsidR="00B50397" w:rsidRDefault="00B50397" w:rsidP="00C83DD5">
      <w:pPr>
        <w:spacing w:after="0" w:line="360" w:lineRule="auto"/>
        <w:jc w:val="both"/>
        <w:rPr>
          <w:rFonts w:ascii="Arial" w:hAnsi="Arial" w:cs="Arial"/>
        </w:rPr>
      </w:pPr>
    </w:p>
    <w:p w14:paraId="19CAF433" w14:textId="04030F32" w:rsidR="00C66AF0" w:rsidRDefault="0036742F" w:rsidP="00C83DD5">
      <w:pPr>
        <w:spacing w:after="0" w:line="360" w:lineRule="auto"/>
        <w:jc w:val="both"/>
        <w:rPr>
          <w:rFonts w:ascii="Arial" w:hAnsi="Arial" w:cs="Arial"/>
        </w:rPr>
      </w:pPr>
      <w:r>
        <w:rPr>
          <w:rFonts w:ascii="Arial" w:hAnsi="Arial" w:cs="Arial"/>
        </w:rPr>
        <w:t>[2</w:t>
      </w:r>
      <w:r w:rsidR="00866F6F">
        <w:rPr>
          <w:rFonts w:ascii="Arial" w:hAnsi="Arial" w:cs="Arial"/>
        </w:rPr>
        <w:t>3</w:t>
      </w:r>
      <w:r>
        <w:rPr>
          <w:rFonts w:ascii="Arial" w:hAnsi="Arial" w:cs="Arial"/>
        </w:rPr>
        <w:t>]</w:t>
      </w:r>
      <w:r>
        <w:rPr>
          <w:rFonts w:ascii="Arial" w:hAnsi="Arial" w:cs="Arial"/>
        </w:rPr>
        <w:tab/>
        <w:t xml:space="preserve">Accordingly, the </w:t>
      </w:r>
      <w:r w:rsidR="0002651F">
        <w:rPr>
          <w:rFonts w:ascii="Arial" w:hAnsi="Arial" w:cs="Arial"/>
        </w:rPr>
        <w:t>following order is made:</w:t>
      </w:r>
    </w:p>
    <w:p w14:paraId="1BBBE47B" w14:textId="77777777" w:rsidR="00C66AF0" w:rsidRDefault="00C66AF0" w:rsidP="00C83DD5">
      <w:pPr>
        <w:spacing w:after="0" w:line="360" w:lineRule="auto"/>
        <w:jc w:val="both"/>
        <w:rPr>
          <w:rFonts w:ascii="Arial" w:hAnsi="Arial" w:cs="Arial"/>
        </w:rPr>
      </w:pPr>
    </w:p>
    <w:p w14:paraId="412A970B" w14:textId="092CC569" w:rsidR="00B50397" w:rsidRPr="004472F5" w:rsidRDefault="00B50397" w:rsidP="00B50397">
      <w:pPr>
        <w:spacing w:after="0" w:line="360" w:lineRule="auto"/>
        <w:ind w:firstLine="720"/>
        <w:jc w:val="both"/>
        <w:rPr>
          <w:rFonts w:ascii="Arial" w:hAnsi="Arial" w:cs="Arial"/>
        </w:rPr>
      </w:pPr>
      <w:r w:rsidRPr="004472F5">
        <w:rPr>
          <w:rFonts w:ascii="Arial" w:hAnsi="Arial" w:cs="Arial"/>
        </w:rPr>
        <w:t>[</w:t>
      </w:r>
      <w:r w:rsidR="006C213A" w:rsidRPr="004472F5">
        <w:rPr>
          <w:rFonts w:ascii="Arial" w:hAnsi="Arial" w:cs="Arial"/>
        </w:rPr>
        <w:t>2</w:t>
      </w:r>
      <w:r w:rsidR="00866F6F">
        <w:rPr>
          <w:rFonts w:ascii="Arial" w:hAnsi="Arial" w:cs="Arial"/>
        </w:rPr>
        <w:t>3</w:t>
      </w:r>
      <w:r w:rsidR="006C213A" w:rsidRPr="004472F5">
        <w:rPr>
          <w:rFonts w:ascii="Arial" w:hAnsi="Arial" w:cs="Arial"/>
        </w:rPr>
        <w:t>.1</w:t>
      </w:r>
      <w:r w:rsidRPr="004472F5">
        <w:rPr>
          <w:rFonts w:ascii="Arial" w:hAnsi="Arial" w:cs="Arial"/>
        </w:rPr>
        <w:t>]</w:t>
      </w:r>
      <w:r w:rsidRPr="004472F5">
        <w:rPr>
          <w:rFonts w:ascii="Arial" w:hAnsi="Arial" w:cs="Arial"/>
        </w:rPr>
        <w:tab/>
      </w:r>
      <w:r w:rsidR="00983CE5">
        <w:rPr>
          <w:rFonts w:ascii="Arial" w:hAnsi="Arial" w:cs="Arial"/>
        </w:rPr>
        <w:t>c</w:t>
      </w:r>
      <w:r w:rsidRPr="004472F5">
        <w:rPr>
          <w:rFonts w:ascii="Arial" w:hAnsi="Arial" w:cs="Arial"/>
        </w:rPr>
        <w:t>onfirmation of the termination of the agreement.</w:t>
      </w:r>
    </w:p>
    <w:p w14:paraId="19F14FAC" w14:textId="5A1E3568" w:rsidR="00B50397" w:rsidRPr="004472F5" w:rsidRDefault="00B50397" w:rsidP="00B50397">
      <w:pPr>
        <w:spacing w:after="0" w:line="360" w:lineRule="auto"/>
        <w:ind w:firstLine="720"/>
        <w:jc w:val="both"/>
        <w:rPr>
          <w:rFonts w:ascii="Arial" w:hAnsi="Arial" w:cs="Arial"/>
        </w:rPr>
      </w:pPr>
      <w:r w:rsidRPr="004472F5">
        <w:rPr>
          <w:rFonts w:ascii="Arial" w:hAnsi="Arial" w:cs="Arial"/>
        </w:rPr>
        <w:t>[</w:t>
      </w:r>
      <w:r w:rsidR="006C213A" w:rsidRPr="004472F5">
        <w:rPr>
          <w:rFonts w:ascii="Arial" w:hAnsi="Arial" w:cs="Arial"/>
        </w:rPr>
        <w:t>2</w:t>
      </w:r>
      <w:r w:rsidR="00866F6F">
        <w:rPr>
          <w:rFonts w:ascii="Arial" w:hAnsi="Arial" w:cs="Arial"/>
        </w:rPr>
        <w:t>3</w:t>
      </w:r>
      <w:r w:rsidR="006C213A" w:rsidRPr="004472F5">
        <w:rPr>
          <w:rFonts w:ascii="Arial" w:hAnsi="Arial" w:cs="Arial"/>
        </w:rPr>
        <w:t>.2</w:t>
      </w:r>
      <w:r w:rsidRPr="004472F5">
        <w:rPr>
          <w:rFonts w:ascii="Arial" w:hAnsi="Arial" w:cs="Arial"/>
        </w:rPr>
        <w:t>]</w:t>
      </w:r>
      <w:r w:rsidRPr="004472F5">
        <w:rPr>
          <w:rFonts w:ascii="Arial" w:hAnsi="Arial" w:cs="Arial"/>
        </w:rPr>
        <w:tab/>
      </w:r>
      <w:r w:rsidR="00983CE5">
        <w:rPr>
          <w:rFonts w:ascii="Arial" w:hAnsi="Arial" w:cs="Arial"/>
        </w:rPr>
        <w:t>r</w:t>
      </w:r>
      <w:r w:rsidRPr="004472F5">
        <w:rPr>
          <w:rFonts w:ascii="Arial" w:hAnsi="Arial" w:cs="Arial"/>
        </w:rPr>
        <w:t>eturn of the motor-vehicle (Jaguar</w:t>
      </w:r>
      <w:r w:rsidR="00A151EE">
        <w:rPr>
          <w:rFonts w:ascii="Arial" w:hAnsi="Arial" w:cs="Arial"/>
        </w:rPr>
        <w:t xml:space="preserve"> </w:t>
      </w:r>
      <w:r w:rsidRPr="004472F5">
        <w:rPr>
          <w:rFonts w:ascii="Arial" w:hAnsi="Arial" w:cs="Arial"/>
        </w:rPr>
        <w:t>…</w:t>
      </w:r>
      <w:r w:rsidR="00A151EE">
        <w:rPr>
          <w:rFonts w:ascii="Arial" w:hAnsi="Arial" w:cs="Arial"/>
        </w:rPr>
        <w:t xml:space="preserve"> </w:t>
      </w:r>
      <w:r w:rsidRPr="004472F5">
        <w:rPr>
          <w:rFonts w:ascii="Arial" w:hAnsi="Arial" w:cs="Arial"/>
        </w:rPr>
        <w:t>).</w:t>
      </w:r>
    </w:p>
    <w:p w14:paraId="598A48AF" w14:textId="21863781" w:rsidR="00B50397" w:rsidRPr="004472F5" w:rsidRDefault="00B50397" w:rsidP="00B01266">
      <w:pPr>
        <w:spacing w:after="0" w:line="360" w:lineRule="auto"/>
        <w:ind w:left="1440" w:hanging="720"/>
        <w:jc w:val="both"/>
        <w:rPr>
          <w:rFonts w:ascii="Arial" w:hAnsi="Arial" w:cs="Arial"/>
        </w:rPr>
      </w:pPr>
      <w:r w:rsidRPr="004472F5">
        <w:rPr>
          <w:rFonts w:ascii="Arial" w:hAnsi="Arial" w:cs="Arial"/>
        </w:rPr>
        <w:t>[</w:t>
      </w:r>
      <w:r w:rsidR="006C213A" w:rsidRPr="004472F5">
        <w:rPr>
          <w:rFonts w:ascii="Arial" w:hAnsi="Arial" w:cs="Arial"/>
        </w:rPr>
        <w:t>2</w:t>
      </w:r>
      <w:r w:rsidR="00866F6F">
        <w:rPr>
          <w:rFonts w:ascii="Arial" w:hAnsi="Arial" w:cs="Arial"/>
        </w:rPr>
        <w:t>3</w:t>
      </w:r>
      <w:r w:rsidR="006C213A" w:rsidRPr="004472F5">
        <w:rPr>
          <w:rFonts w:ascii="Arial" w:hAnsi="Arial" w:cs="Arial"/>
        </w:rPr>
        <w:t>.3</w:t>
      </w:r>
      <w:r w:rsidRPr="004472F5">
        <w:rPr>
          <w:rFonts w:ascii="Arial" w:hAnsi="Arial" w:cs="Arial"/>
        </w:rPr>
        <w:t>]</w:t>
      </w:r>
      <w:r w:rsidRPr="004472F5">
        <w:rPr>
          <w:rFonts w:ascii="Arial" w:hAnsi="Arial" w:cs="Arial"/>
        </w:rPr>
        <w:tab/>
        <w:t>an order postponing the quantum</w:t>
      </w:r>
      <w:r w:rsidRPr="004472F5">
        <w:rPr>
          <w:rFonts w:ascii="Arial" w:hAnsi="Arial" w:cs="Arial"/>
          <w:i/>
          <w:iCs/>
        </w:rPr>
        <w:t xml:space="preserve"> sine die </w:t>
      </w:r>
      <w:r w:rsidRPr="004472F5">
        <w:rPr>
          <w:rFonts w:ascii="Arial" w:hAnsi="Arial" w:cs="Arial"/>
        </w:rPr>
        <w:t xml:space="preserve">and authorizing the </w:t>
      </w:r>
      <w:r w:rsidR="00A151EE">
        <w:rPr>
          <w:rFonts w:ascii="Arial" w:hAnsi="Arial" w:cs="Arial"/>
        </w:rPr>
        <w:t>Plaintiff</w:t>
      </w:r>
      <w:r w:rsidR="00B01266" w:rsidRPr="004472F5">
        <w:rPr>
          <w:rFonts w:ascii="Arial" w:hAnsi="Arial" w:cs="Arial"/>
        </w:rPr>
        <w:t xml:space="preserve"> to</w:t>
      </w:r>
      <w:r w:rsidRPr="004472F5">
        <w:rPr>
          <w:rFonts w:ascii="Arial" w:hAnsi="Arial" w:cs="Arial"/>
        </w:rPr>
        <w:t xml:space="preserve"> apply to the Court on the same papers, supplemented in so far as they may be reasonably necessary, in respect of any damages and further expenses incurred by the plaintiff in the repossession of the said vehicle, which amount can only be determined once the vehicle has been repossessed and has been sold. </w:t>
      </w:r>
    </w:p>
    <w:p w14:paraId="29133B31" w14:textId="0F490412" w:rsidR="00B50397" w:rsidRPr="004472F5" w:rsidRDefault="00B50397" w:rsidP="00B50397">
      <w:pPr>
        <w:spacing w:after="0" w:line="360" w:lineRule="auto"/>
        <w:ind w:firstLine="720"/>
        <w:jc w:val="both"/>
        <w:rPr>
          <w:rFonts w:ascii="Arial" w:hAnsi="Arial" w:cs="Arial"/>
        </w:rPr>
      </w:pPr>
      <w:r w:rsidRPr="004472F5">
        <w:rPr>
          <w:rFonts w:ascii="Arial" w:hAnsi="Arial" w:cs="Arial"/>
        </w:rPr>
        <w:t>[</w:t>
      </w:r>
      <w:r w:rsidR="0079197C" w:rsidRPr="004472F5">
        <w:rPr>
          <w:rFonts w:ascii="Arial" w:hAnsi="Arial" w:cs="Arial"/>
        </w:rPr>
        <w:t>2</w:t>
      </w:r>
      <w:r w:rsidR="00866F6F">
        <w:rPr>
          <w:rFonts w:ascii="Arial" w:hAnsi="Arial" w:cs="Arial"/>
        </w:rPr>
        <w:t>3</w:t>
      </w:r>
      <w:r w:rsidR="0079197C" w:rsidRPr="004472F5">
        <w:rPr>
          <w:rFonts w:ascii="Arial" w:hAnsi="Arial" w:cs="Arial"/>
        </w:rPr>
        <w:t>.4</w:t>
      </w:r>
      <w:r w:rsidRPr="004472F5">
        <w:rPr>
          <w:rFonts w:ascii="Arial" w:hAnsi="Arial" w:cs="Arial"/>
        </w:rPr>
        <w:t>]</w:t>
      </w:r>
      <w:r w:rsidRPr="004472F5">
        <w:rPr>
          <w:rFonts w:ascii="Arial" w:hAnsi="Arial" w:cs="Arial"/>
        </w:rPr>
        <w:tab/>
        <w:t>Costs to be taxed.</w:t>
      </w:r>
    </w:p>
    <w:p w14:paraId="0D978A06" w14:textId="447FAE14" w:rsidR="0079197C" w:rsidRPr="004472F5" w:rsidRDefault="0079197C" w:rsidP="00B12DAC">
      <w:pPr>
        <w:spacing w:after="0" w:line="360" w:lineRule="auto"/>
        <w:ind w:left="1440" w:hanging="720"/>
        <w:jc w:val="both"/>
        <w:rPr>
          <w:rFonts w:ascii="Arial" w:hAnsi="Arial" w:cs="Arial"/>
        </w:rPr>
      </w:pPr>
      <w:r w:rsidRPr="004472F5">
        <w:rPr>
          <w:rFonts w:ascii="Arial" w:hAnsi="Arial" w:cs="Arial"/>
        </w:rPr>
        <w:t>[2</w:t>
      </w:r>
      <w:r w:rsidR="00866F6F">
        <w:rPr>
          <w:rFonts w:ascii="Arial" w:hAnsi="Arial" w:cs="Arial"/>
        </w:rPr>
        <w:t>3</w:t>
      </w:r>
      <w:r w:rsidRPr="004472F5">
        <w:rPr>
          <w:rFonts w:ascii="Arial" w:hAnsi="Arial" w:cs="Arial"/>
        </w:rPr>
        <w:t>.5]</w:t>
      </w:r>
      <w:r w:rsidRPr="004472F5">
        <w:rPr>
          <w:rFonts w:ascii="Arial" w:hAnsi="Arial" w:cs="Arial"/>
        </w:rPr>
        <w:tab/>
      </w:r>
      <w:r w:rsidR="00187D8B">
        <w:rPr>
          <w:rFonts w:ascii="Arial" w:hAnsi="Arial" w:cs="Arial"/>
        </w:rPr>
        <w:t>t</w:t>
      </w:r>
      <w:r w:rsidR="004472F5">
        <w:rPr>
          <w:rFonts w:ascii="Arial" w:hAnsi="Arial" w:cs="Arial"/>
        </w:rPr>
        <w:t xml:space="preserve">he </w:t>
      </w:r>
      <w:r w:rsidR="00B12DAC">
        <w:rPr>
          <w:rFonts w:ascii="Arial" w:hAnsi="Arial" w:cs="Arial"/>
        </w:rPr>
        <w:t xml:space="preserve">costs </w:t>
      </w:r>
      <w:r w:rsidR="003C5399">
        <w:rPr>
          <w:rFonts w:ascii="Arial" w:hAnsi="Arial" w:cs="Arial"/>
        </w:rPr>
        <w:t xml:space="preserve">of this application </w:t>
      </w:r>
      <w:r w:rsidR="00B12DAC">
        <w:rPr>
          <w:rFonts w:ascii="Arial" w:hAnsi="Arial" w:cs="Arial"/>
        </w:rPr>
        <w:t xml:space="preserve">are granted </w:t>
      </w:r>
      <w:r w:rsidR="00CB65FF">
        <w:rPr>
          <w:rFonts w:ascii="Arial" w:hAnsi="Arial" w:cs="Arial"/>
        </w:rPr>
        <w:t xml:space="preserve">in </w:t>
      </w:r>
      <w:r w:rsidR="00B012E7">
        <w:rPr>
          <w:rFonts w:ascii="Arial" w:hAnsi="Arial" w:cs="Arial"/>
        </w:rPr>
        <w:t xml:space="preserve">favour of the </w:t>
      </w:r>
      <w:r w:rsidR="00170A4A">
        <w:rPr>
          <w:rFonts w:ascii="Arial" w:hAnsi="Arial" w:cs="Arial"/>
        </w:rPr>
        <w:t xml:space="preserve">Plaintiff </w:t>
      </w:r>
      <w:r w:rsidR="00B12DAC">
        <w:rPr>
          <w:rFonts w:ascii="Arial" w:hAnsi="Arial" w:cs="Arial"/>
        </w:rPr>
        <w:t>on a party and party scale – SCALE B.</w:t>
      </w:r>
    </w:p>
    <w:p w14:paraId="3D2BDEA2" w14:textId="77777777" w:rsidR="00C033AB" w:rsidRDefault="00C033AB" w:rsidP="00C033AB">
      <w:pPr>
        <w:spacing w:after="0" w:line="360" w:lineRule="auto"/>
        <w:jc w:val="both"/>
        <w:rPr>
          <w:rFonts w:ascii="Arial" w:hAnsi="Arial" w:cs="Arial"/>
        </w:rPr>
      </w:pPr>
    </w:p>
    <w:p w14:paraId="4A8721B0" w14:textId="77777777" w:rsidR="00983CE5" w:rsidRDefault="00983CE5" w:rsidP="00C033AB">
      <w:pPr>
        <w:spacing w:after="0" w:line="360" w:lineRule="auto"/>
        <w:jc w:val="both"/>
        <w:rPr>
          <w:rFonts w:ascii="Arial" w:hAnsi="Arial" w:cs="Arial"/>
        </w:rPr>
      </w:pPr>
    </w:p>
    <w:p w14:paraId="5708C591" w14:textId="77777777" w:rsidR="00C033AB" w:rsidRDefault="00C033AB" w:rsidP="00C033AB">
      <w:pPr>
        <w:spacing w:after="0" w:line="360" w:lineRule="auto"/>
        <w:jc w:val="both"/>
        <w:rPr>
          <w:rFonts w:ascii="Arial" w:hAnsi="Arial" w:cs="Arial"/>
        </w:rPr>
      </w:pPr>
      <w:r>
        <w:rPr>
          <w:rFonts w:ascii="Arial" w:hAnsi="Arial" w:cs="Arial"/>
        </w:rPr>
        <w:t>_______________________________________</w:t>
      </w:r>
    </w:p>
    <w:p w14:paraId="069027EB" w14:textId="77777777" w:rsidR="00C033AB" w:rsidRPr="009D66AF" w:rsidRDefault="00C033AB" w:rsidP="00C033AB">
      <w:pPr>
        <w:spacing w:after="0" w:line="360" w:lineRule="auto"/>
        <w:jc w:val="both"/>
        <w:rPr>
          <w:rFonts w:ascii="Arial" w:hAnsi="Arial" w:cs="Arial"/>
          <w:b/>
          <w:bCs/>
        </w:rPr>
      </w:pPr>
      <w:r w:rsidRPr="009D66AF">
        <w:rPr>
          <w:rFonts w:ascii="Arial" w:hAnsi="Arial" w:cs="Arial"/>
          <w:b/>
          <w:bCs/>
        </w:rPr>
        <w:t>N NTLAMA-MAKHANYA</w:t>
      </w:r>
    </w:p>
    <w:p w14:paraId="6358067C" w14:textId="77777777" w:rsidR="00C033AB" w:rsidRPr="009D66AF" w:rsidRDefault="00C033AB" w:rsidP="00C033AB">
      <w:pPr>
        <w:spacing w:after="0" w:line="360" w:lineRule="auto"/>
        <w:jc w:val="both"/>
        <w:rPr>
          <w:rFonts w:ascii="Arial" w:hAnsi="Arial" w:cs="Arial"/>
          <w:b/>
          <w:bCs/>
        </w:rPr>
      </w:pPr>
      <w:r w:rsidRPr="009D66AF">
        <w:rPr>
          <w:rFonts w:ascii="Arial" w:hAnsi="Arial" w:cs="Arial"/>
          <w:b/>
          <w:bCs/>
        </w:rPr>
        <w:t>ACTING JUDGE, HIGH COURT</w:t>
      </w:r>
    </w:p>
    <w:p w14:paraId="42FDB204" w14:textId="77777777" w:rsidR="00C033AB" w:rsidRPr="009D66AF" w:rsidRDefault="00C033AB" w:rsidP="00C033AB">
      <w:pPr>
        <w:spacing w:after="0" w:line="360" w:lineRule="auto"/>
        <w:jc w:val="both"/>
        <w:rPr>
          <w:rFonts w:ascii="Arial" w:hAnsi="Arial" w:cs="Arial"/>
          <w:b/>
          <w:bCs/>
        </w:rPr>
      </w:pPr>
      <w:r w:rsidRPr="009D66AF">
        <w:rPr>
          <w:rFonts w:ascii="Arial" w:hAnsi="Arial" w:cs="Arial"/>
          <w:b/>
          <w:bCs/>
        </w:rPr>
        <w:t>GAUTENG, PRETORIA</w:t>
      </w:r>
    </w:p>
    <w:p w14:paraId="21B5F746" w14:textId="77777777" w:rsidR="00C033AB" w:rsidRDefault="00C033AB" w:rsidP="00C033AB">
      <w:pPr>
        <w:spacing w:after="0" w:line="360" w:lineRule="auto"/>
        <w:jc w:val="both"/>
        <w:rPr>
          <w:rFonts w:ascii="Arial" w:hAnsi="Arial" w:cs="Arial"/>
          <w:b/>
          <w:bCs/>
        </w:rPr>
      </w:pPr>
    </w:p>
    <w:p w14:paraId="5CDBFD36" w14:textId="333C7CFC" w:rsidR="00C033AB" w:rsidRPr="009D66AF" w:rsidRDefault="00C033AB" w:rsidP="00C033AB">
      <w:pPr>
        <w:spacing w:after="0" w:line="360" w:lineRule="auto"/>
        <w:jc w:val="both"/>
        <w:rPr>
          <w:rFonts w:ascii="Arial" w:hAnsi="Arial" w:cs="Arial"/>
          <w:b/>
          <w:bCs/>
        </w:rPr>
      </w:pPr>
      <w:r w:rsidRPr="009D66AF">
        <w:rPr>
          <w:rFonts w:ascii="Arial" w:hAnsi="Arial" w:cs="Arial"/>
          <w:b/>
          <w:bCs/>
        </w:rPr>
        <w:t xml:space="preserve">Date Heard: </w:t>
      </w:r>
      <w:r w:rsidR="00E334C3">
        <w:rPr>
          <w:rFonts w:ascii="Arial" w:hAnsi="Arial" w:cs="Arial"/>
          <w:b/>
          <w:bCs/>
        </w:rPr>
        <w:t>28</w:t>
      </w:r>
      <w:r w:rsidR="003F2296">
        <w:rPr>
          <w:rFonts w:ascii="Arial" w:hAnsi="Arial" w:cs="Arial"/>
          <w:b/>
          <w:bCs/>
        </w:rPr>
        <w:t xml:space="preserve"> November 2023</w:t>
      </w:r>
    </w:p>
    <w:p w14:paraId="7E8DF713" w14:textId="77777777" w:rsidR="00C033AB" w:rsidRDefault="00C033AB" w:rsidP="00C033AB">
      <w:pPr>
        <w:spacing w:after="0" w:line="360" w:lineRule="auto"/>
        <w:jc w:val="both"/>
        <w:rPr>
          <w:rFonts w:ascii="Arial" w:hAnsi="Arial" w:cs="Arial"/>
        </w:rPr>
      </w:pPr>
    </w:p>
    <w:p w14:paraId="274C9AC6" w14:textId="76D82A4E" w:rsidR="00C033AB" w:rsidRPr="009D66AF" w:rsidRDefault="00C033AB" w:rsidP="00C033AB">
      <w:pPr>
        <w:spacing w:after="0" w:line="360" w:lineRule="auto"/>
        <w:jc w:val="both"/>
        <w:rPr>
          <w:rFonts w:ascii="Arial" w:hAnsi="Arial" w:cs="Arial"/>
          <w:b/>
          <w:bCs/>
        </w:rPr>
      </w:pPr>
      <w:r w:rsidRPr="009D66AF">
        <w:rPr>
          <w:rFonts w:ascii="Arial" w:hAnsi="Arial" w:cs="Arial"/>
          <w:b/>
          <w:bCs/>
        </w:rPr>
        <w:t>Date Delivered:</w:t>
      </w:r>
      <w:r w:rsidR="00207027">
        <w:rPr>
          <w:rFonts w:ascii="Arial" w:hAnsi="Arial" w:cs="Arial"/>
          <w:b/>
          <w:bCs/>
        </w:rPr>
        <w:t>0</w:t>
      </w:r>
      <w:r w:rsidR="00F01904">
        <w:rPr>
          <w:rFonts w:ascii="Arial" w:hAnsi="Arial" w:cs="Arial"/>
          <w:b/>
          <w:bCs/>
        </w:rPr>
        <w:t>5</w:t>
      </w:r>
      <w:r w:rsidR="00207027">
        <w:rPr>
          <w:rFonts w:ascii="Arial" w:hAnsi="Arial" w:cs="Arial"/>
          <w:b/>
          <w:bCs/>
        </w:rPr>
        <w:t xml:space="preserve"> July</w:t>
      </w:r>
      <w:r w:rsidRPr="009D66AF">
        <w:rPr>
          <w:rFonts w:ascii="Arial" w:hAnsi="Arial" w:cs="Arial"/>
          <w:b/>
          <w:bCs/>
        </w:rPr>
        <w:t xml:space="preserve"> 2024</w:t>
      </w:r>
      <w:r>
        <w:rPr>
          <w:rFonts w:ascii="Arial" w:hAnsi="Arial" w:cs="Arial"/>
          <w:b/>
          <w:bCs/>
        </w:rPr>
        <w:t xml:space="preserve"> </w:t>
      </w:r>
    </w:p>
    <w:p w14:paraId="40DA75F9" w14:textId="77777777" w:rsidR="00C033AB" w:rsidRDefault="00C033AB" w:rsidP="00C033AB">
      <w:pPr>
        <w:spacing w:after="0" w:line="360" w:lineRule="auto"/>
        <w:jc w:val="both"/>
        <w:rPr>
          <w:rFonts w:ascii="Arial" w:hAnsi="Arial" w:cs="Arial"/>
        </w:rPr>
      </w:pPr>
    </w:p>
    <w:p w14:paraId="17EC9558" w14:textId="77777777" w:rsidR="00C033AB" w:rsidRDefault="00C033AB" w:rsidP="00C033AB">
      <w:pPr>
        <w:spacing w:after="0" w:line="360" w:lineRule="auto"/>
        <w:jc w:val="both"/>
        <w:rPr>
          <w:rFonts w:ascii="Arial" w:hAnsi="Arial" w:cs="Arial"/>
        </w:rPr>
      </w:pPr>
      <w:r w:rsidRPr="00C02E3E">
        <w:rPr>
          <w:rFonts w:ascii="Arial" w:hAnsi="Arial" w:cs="Arial"/>
          <w:b/>
          <w:bCs/>
          <w:i/>
          <w:iCs/>
        </w:rPr>
        <w:t>Appearances</w:t>
      </w:r>
      <w:r>
        <w:rPr>
          <w:rFonts w:ascii="Arial" w:hAnsi="Arial" w:cs="Arial"/>
        </w:rPr>
        <w:t>:</w:t>
      </w:r>
    </w:p>
    <w:p w14:paraId="6A2A1A2C" w14:textId="77777777" w:rsidR="00C033AB" w:rsidRDefault="00C033AB" w:rsidP="00C033AB">
      <w:pPr>
        <w:spacing w:after="0" w:line="360" w:lineRule="auto"/>
        <w:jc w:val="both"/>
        <w:rPr>
          <w:rFonts w:ascii="Arial" w:hAnsi="Arial" w:cs="Arial"/>
        </w:rPr>
      </w:pPr>
    </w:p>
    <w:p w14:paraId="095AED12" w14:textId="76785A3D" w:rsidR="00C56353" w:rsidRDefault="00C033AB" w:rsidP="003F2296">
      <w:pPr>
        <w:spacing w:after="0" w:line="360" w:lineRule="auto"/>
        <w:jc w:val="both"/>
        <w:rPr>
          <w:rFonts w:ascii="Arial" w:hAnsi="Arial" w:cs="Arial"/>
        </w:rPr>
      </w:pPr>
      <w:r w:rsidRPr="00C02E3E">
        <w:rPr>
          <w:rFonts w:ascii="Arial" w:hAnsi="Arial" w:cs="Arial"/>
          <w:i/>
          <w:iCs/>
        </w:rPr>
        <w:t>Applicant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56353">
        <w:rPr>
          <w:rFonts w:ascii="Arial" w:hAnsi="Arial" w:cs="Arial"/>
        </w:rPr>
        <w:t>Straus Daly Incorporated</w:t>
      </w:r>
    </w:p>
    <w:p w14:paraId="3F54CC35" w14:textId="507519FC" w:rsidR="00C56353" w:rsidRDefault="00C13975" w:rsidP="003F2296">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 Ingersol Street</w:t>
      </w:r>
    </w:p>
    <w:p w14:paraId="696F2FBC" w14:textId="7D1F529F" w:rsidR="00C13975" w:rsidRDefault="00C13975" w:rsidP="003F2296">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Lynwood</w:t>
      </w:r>
      <w:r w:rsidR="00A43F96">
        <w:rPr>
          <w:rFonts w:ascii="Arial" w:hAnsi="Arial" w:cs="Arial"/>
        </w:rPr>
        <w:t xml:space="preserve"> Glen</w:t>
      </w:r>
    </w:p>
    <w:p w14:paraId="07B030E7" w14:textId="77777777" w:rsidR="00C56353" w:rsidRDefault="00C56353" w:rsidP="003F2296">
      <w:pPr>
        <w:spacing w:after="0" w:line="360" w:lineRule="auto"/>
        <w:jc w:val="both"/>
        <w:rPr>
          <w:rFonts w:ascii="Arial" w:hAnsi="Arial" w:cs="Arial"/>
        </w:rPr>
      </w:pPr>
    </w:p>
    <w:p w14:paraId="681AB48B" w14:textId="773EC044" w:rsidR="00C033AB" w:rsidRDefault="00C033AB" w:rsidP="00371BE8">
      <w:pPr>
        <w:spacing w:after="0" w:line="360" w:lineRule="auto"/>
        <w:jc w:val="both"/>
        <w:rPr>
          <w:rFonts w:ascii="Arial" w:hAnsi="Arial" w:cs="Arial"/>
        </w:rPr>
      </w:pPr>
      <w:r w:rsidRPr="00C02E3E">
        <w:rPr>
          <w:rFonts w:ascii="Arial" w:hAnsi="Arial" w:cs="Arial"/>
          <w:i/>
          <w:iCs/>
        </w:rPr>
        <w:t>Respondents</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C6445">
        <w:rPr>
          <w:rFonts w:ascii="Arial" w:hAnsi="Arial" w:cs="Arial"/>
        </w:rPr>
        <w:t>Uys Matyeka Shwartz Attorneys</w:t>
      </w:r>
      <w:r w:rsidR="00DC50AB">
        <w:rPr>
          <w:rFonts w:ascii="Arial" w:hAnsi="Arial" w:cs="Arial"/>
        </w:rPr>
        <w:t xml:space="preserve"> (JHB)</w:t>
      </w:r>
    </w:p>
    <w:p w14:paraId="181CC1E4" w14:textId="0820FA78" w:rsidR="00DC50AB" w:rsidRDefault="00DC50AB" w:rsidP="00371BE8">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299 Pendoring Venue</w:t>
      </w:r>
    </w:p>
    <w:p w14:paraId="2209C31B" w14:textId="27826D7F" w:rsidR="00C66AF0" w:rsidRDefault="00BF48F0" w:rsidP="00C83DD5">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Johannesburg</w:t>
      </w:r>
    </w:p>
    <w:sectPr w:rsidR="00C66A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D9077" w14:textId="77777777" w:rsidR="000C7D42" w:rsidRDefault="000C7D42" w:rsidP="00D85E20">
      <w:pPr>
        <w:spacing w:after="0" w:line="240" w:lineRule="auto"/>
      </w:pPr>
      <w:r>
        <w:separator/>
      </w:r>
    </w:p>
  </w:endnote>
  <w:endnote w:type="continuationSeparator" w:id="0">
    <w:p w14:paraId="6EA152D5" w14:textId="77777777" w:rsidR="000C7D42" w:rsidRDefault="000C7D42" w:rsidP="00D8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84625"/>
      <w:docPartObj>
        <w:docPartGallery w:val="Page Numbers (Bottom of Page)"/>
        <w:docPartUnique/>
      </w:docPartObj>
    </w:sdtPr>
    <w:sdtEndPr>
      <w:rPr>
        <w:noProof/>
      </w:rPr>
    </w:sdtEndPr>
    <w:sdtContent>
      <w:p w14:paraId="3BF66025" w14:textId="0122BE52" w:rsidR="00D85E20" w:rsidRDefault="00D85E20">
        <w:pPr>
          <w:pStyle w:val="Footer"/>
          <w:jc w:val="right"/>
        </w:pPr>
        <w:r>
          <w:fldChar w:fldCharType="begin"/>
        </w:r>
        <w:r>
          <w:instrText xml:space="preserve"> PAGE   \* MERGEFORMAT </w:instrText>
        </w:r>
        <w:r>
          <w:fldChar w:fldCharType="separate"/>
        </w:r>
        <w:r w:rsidR="00B1522D">
          <w:rPr>
            <w:noProof/>
          </w:rPr>
          <w:t>1</w:t>
        </w:r>
        <w:r>
          <w:rPr>
            <w:noProof/>
          </w:rPr>
          <w:fldChar w:fldCharType="end"/>
        </w:r>
      </w:p>
    </w:sdtContent>
  </w:sdt>
  <w:p w14:paraId="421691EE" w14:textId="77777777" w:rsidR="00D85E20" w:rsidRDefault="00D8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D4C32" w14:textId="77777777" w:rsidR="000C7D42" w:rsidRDefault="000C7D42" w:rsidP="00D85E20">
      <w:pPr>
        <w:spacing w:after="0" w:line="240" w:lineRule="auto"/>
      </w:pPr>
      <w:r>
        <w:separator/>
      </w:r>
    </w:p>
  </w:footnote>
  <w:footnote w:type="continuationSeparator" w:id="0">
    <w:p w14:paraId="7F236813" w14:textId="77777777" w:rsidR="000C7D42" w:rsidRDefault="000C7D42" w:rsidP="00D8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6D2"/>
    <w:multiLevelType w:val="hybridMultilevel"/>
    <w:tmpl w:val="C2A6FC5E"/>
    <w:lvl w:ilvl="0" w:tplc="2094215A">
      <w:start w:val="1"/>
      <w:numFmt w:val="lowerLetter"/>
      <w:lvlText w:val="(%1)"/>
      <w:lvlJc w:val="left"/>
      <w:pPr>
        <w:ind w:left="2160" w:hanging="360"/>
      </w:pPr>
      <w:rPr>
        <w:rFonts w:asciiTheme="minorHAnsi" w:hAnsiTheme="minorHAnsi"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575A89"/>
    <w:multiLevelType w:val="hybridMultilevel"/>
    <w:tmpl w:val="D16C92D6"/>
    <w:lvl w:ilvl="0" w:tplc="879CD494">
      <w:start w:val="1"/>
      <w:numFmt w:val="decimal"/>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78665E"/>
    <w:multiLevelType w:val="hybridMultilevel"/>
    <w:tmpl w:val="CCF0CC4A"/>
    <w:lvl w:ilvl="0" w:tplc="B4F8047E">
      <w:start w:val="1"/>
      <w:numFmt w:val="lowerLetter"/>
      <w:lvlText w:val="(%1)"/>
      <w:lvlJc w:val="left"/>
      <w:pPr>
        <w:ind w:left="1800" w:hanging="360"/>
      </w:pPr>
      <w:rPr>
        <w:rFonts w:ascii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844DD1"/>
    <w:multiLevelType w:val="hybridMultilevel"/>
    <w:tmpl w:val="6C267242"/>
    <w:lvl w:ilvl="0" w:tplc="A6465B56">
      <w:start w:val="1"/>
      <w:numFmt w:val="lowerRoman"/>
      <w:lvlText w:val="(%1)"/>
      <w:lvlJc w:val="left"/>
      <w:pPr>
        <w:ind w:left="2880" w:hanging="720"/>
      </w:pPr>
      <w:rPr>
        <w:rFonts w:asciiTheme="minorHAnsi" w:hAnsiTheme="minorHAnsi"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CBD60D7"/>
    <w:multiLevelType w:val="hybridMultilevel"/>
    <w:tmpl w:val="2726589A"/>
    <w:lvl w:ilvl="0" w:tplc="3342E4E0">
      <w:start w:val="1"/>
      <w:numFmt w:val="lowerRoman"/>
      <w:lvlText w:val="(%1)"/>
      <w:lvlJc w:val="left"/>
      <w:pPr>
        <w:ind w:left="2880" w:hanging="720"/>
      </w:pPr>
      <w:rPr>
        <w:rFonts w:asciiTheme="minorHAnsi" w:hAnsiTheme="minorHAnsi"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55"/>
    <w:rsid w:val="000000ED"/>
    <w:rsid w:val="000007ED"/>
    <w:rsid w:val="0000200D"/>
    <w:rsid w:val="000035F6"/>
    <w:rsid w:val="0001088B"/>
    <w:rsid w:val="0001273D"/>
    <w:rsid w:val="00012DFC"/>
    <w:rsid w:val="00013450"/>
    <w:rsid w:val="000145D3"/>
    <w:rsid w:val="00015A1D"/>
    <w:rsid w:val="00016874"/>
    <w:rsid w:val="000173A6"/>
    <w:rsid w:val="00022137"/>
    <w:rsid w:val="00023E60"/>
    <w:rsid w:val="000245F2"/>
    <w:rsid w:val="0002651F"/>
    <w:rsid w:val="00027FDF"/>
    <w:rsid w:val="00034165"/>
    <w:rsid w:val="0003560C"/>
    <w:rsid w:val="0004096C"/>
    <w:rsid w:val="000448C2"/>
    <w:rsid w:val="000474D3"/>
    <w:rsid w:val="000505CD"/>
    <w:rsid w:val="000579E2"/>
    <w:rsid w:val="00063F7B"/>
    <w:rsid w:val="00066A93"/>
    <w:rsid w:val="0006756F"/>
    <w:rsid w:val="00072428"/>
    <w:rsid w:val="00073A75"/>
    <w:rsid w:val="00076E8E"/>
    <w:rsid w:val="00080972"/>
    <w:rsid w:val="00083EBC"/>
    <w:rsid w:val="0008616F"/>
    <w:rsid w:val="0008732D"/>
    <w:rsid w:val="00092657"/>
    <w:rsid w:val="000A06F4"/>
    <w:rsid w:val="000A3000"/>
    <w:rsid w:val="000A30D8"/>
    <w:rsid w:val="000A32DD"/>
    <w:rsid w:val="000A4179"/>
    <w:rsid w:val="000B0DBA"/>
    <w:rsid w:val="000B112E"/>
    <w:rsid w:val="000B2329"/>
    <w:rsid w:val="000B444B"/>
    <w:rsid w:val="000B4F3F"/>
    <w:rsid w:val="000C27FB"/>
    <w:rsid w:val="000C4BA4"/>
    <w:rsid w:val="000C7D42"/>
    <w:rsid w:val="000D252E"/>
    <w:rsid w:val="000D45F6"/>
    <w:rsid w:val="000D6229"/>
    <w:rsid w:val="000D7E64"/>
    <w:rsid w:val="000E1122"/>
    <w:rsid w:val="000E149A"/>
    <w:rsid w:val="000E2705"/>
    <w:rsid w:val="000E2C42"/>
    <w:rsid w:val="000E406A"/>
    <w:rsid w:val="000E4B75"/>
    <w:rsid w:val="000E4C71"/>
    <w:rsid w:val="000E50C4"/>
    <w:rsid w:val="000E54D6"/>
    <w:rsid w:val="000E6209"/>
    <w:rsid w:val="000E740A"/>
    <w:rsid w:val="000E7CE0"/>
    <w:rsid w:val="000F5491"/>
    <w:rsid w:val="00102F9E"/>
    <w:rsid w:val="00107E6C"/>
    <w:rsid w:val="00110077"/>
    <w:rsid w:val="0011551F"/>
    <w:rsid w:val="00117879"/>
    <w:rsid w:val="001206D9"/>
    <w:rsid w:val="00124AD3"/>
    <w:rsid w:val="00127E62"/>
    <w:rsid w:val="00130F21"/>
    <w:rsid w:val="0013276B"/>
    <w:rsid w:val="00133008"/>
    <w:rsid w:val="0013648F"/>
    <w:rsid w:val="0013726E"/>
    <w:rsid w:val="0014129E"/>
    <w:rsid w:val="0014261D"/>
    <w:rsid w:val="001429F7"/>
    <w:rsid w:val="00146ADF"/>
    <w:rsid w:val="00146FBA"/>
    <w:rsid w:val="00153C35"/>
    <w:rsid w:val="001555B1"/>
    <w:rsid w:val="00160B6C"/>
    <w:rsid w:val="001662AF"/>
    <w:rsid w:val="001671A8"/>
    <w:rsid w:val="00170A4A"/>
    <w:rsid w:val="00171A84"/>
    <w:rsid w:val="001745A1"/>
    <w:rsid w:val="001745C2"/>
    <w:rsid w:val="00181DC0"/>
    <w:rsid w:val="00183D92"/>
    <w:rsid w:val="00187D8B"/>
    <w:rsid w:val="00190653"/>
    <w:rsid w:val="00191840"/>
    <w:rsid w:val="00192D38"/>
    <w:rsid w:val="001940F8"/>
    <w:rsid w:val="0019568D"/>
    <w:rsid w:val="001A2735"/>
    <w:rsid w:val="001A3168"/>
    <w:rsid w:val="001A5C4B"/>
    <w:rsid w:val="001A7C71"/>
    <w:rsid w:val="001B0207"/>
    <w:rsid w:val="001B1643"/>
    <w:rsid w:val="001B1FCE"/>
    <w:rsid w:val="001B5A8E"/>
    <w:rsid w:val="001B61CD"/>
    <w:rsid w:val="001C033F"/>
    <w:rsid w:val="001C570D"/>
    <w:rsid w:val="001D01F2"/>
    <w:rsid w:val="001D54F2"/>
    <w:rsid w:val="001D617E"/>
    <w:rsid w:val="001D65DF"/>
    <w:rsid w:val="001D6A2D"/>
    <w:rsid w:val="001D6FB1"/>
    <w:rsid w:val="001E0290"/>
    <w:rsid w:val="001E27D9"/>
    <w:rsid w:val="001E5564"/>
    <w:rsid w:val="001F0F50"/>
    <w:rsid w:val="001F1B6B"/>
    <w:rsid w:val="001F1F93"/>
    <w:rsid w:val="001F2491"/>
    <w:rsid w:val="001F2534"/>
    <w:rsid w:val="001F7A27"/>
    <w:rsid w:val="00200FB1"/>
    <w:rsid w:val="0020170D"/>
    <w:rsid w:val="002017E0"/>
    <w:rsid w:val="00203ABE"/>
    <w:rsid w:val="00207027"/>
    <w:rsid w:val="00211AC2"/>
    <w:rsid w:val="002142C1"/>
    <w:rsid w:val="002216B8"/>
    <w:rsid w:val="00234715"/>
    <w:rsid w:val="00235C11"/>
    <w:rsid w:val="0023669F"/>
    <w:rsid w:val="0023706D"/>
    <w:rsid w:val="00237513"/>
    <w:rsid w:val="00246552"/>
    <w:rsid w:val="00246ACF"/>
    <w:rsid w:val="00246D27"/>
    <w:rsid w:val="00254D47"/>
    <w:rsid w:val="0026075B"/>
    <w:rsid w:val="00262461"/>
    <w:rsid w:val="00264049"/>
    <w:rsid w:val="002662CE"/>
    <w:rsid w:val="0027076E"/>
    <w:rsid w:val="00272FDD"/>
    <w:rsid w:val="002732F6"/>
    <w:rsid w:val="002751BB"/>
    <w:rsid w:val="00280F33"/>
    <w:rsid w:val="00281829"/>
    <w:rsid w:val="00281F04"/>
    <w:rsid w:val="00282A01"/>
    <w:rsid w:val="002831C8"/>
    <w:rsid w:val="002852FF"/>
    <w:rsid w:val="00285330"/>
    <w:rsid w:val="002864C8"/>
    <w:rsid w:val="00287AA2"/>
    <w:rsid w:val="002913FB"/>
    <w:rsid w:val="0029231F"/>
    <w:rsid w:val="00293B12"/>
    <w:rsid w:val="00294A56"/>
    <w:rsid w:val="00297DDA"/>
    <w:rsid w:val="002A12E3"/>
    <w:rsid w:val="002A4961"/>
    <w:rsid w:val="002B0489"/>
    <w:rsid w:val="002B3BB7"/>
    <w:rsid w:val="002B4EAC"/>
    <w:rsid w:val="002B6AED"/>
    <w:rsid w:val="002C70E2"/>
    <w:rsid w:val="002D307D"/>
    <w:rsid w:val="002D5CEE"/>
    <w:rsid w:val="002D6328"/>
    <w:rsid w:val="002E1937"/>
    <w:rsid w:val="002E3CD2"/>
    <w:rsid w:val="002E6768"/>
    <w:rsid w:val="002E7E42"/>
    <w:rsid w:val="002F010D"/>
    <w:rsid w:val="002F0DA1"/>
    <w:rsid w:val="002F270B"/>
    <w:rsid w:val="00300831"/>
    <w:rsid w:val="0030190B"/>
    <w:rsid w:val="00303D65"/>
    <w:rsid w:val="00307C28"/>
    <w:rsid w:val="00307DE9"/>
    <w:rsid w:val="0031034F"/>
    <w:rsid w:val="003148BD"/>
    <w:rsid w:val="00314A7A"/>
    <w:rsid w:val="003152D9"/>
    <w:rsid w:val="00316157"/>
    <w:rsid w:val="00321EAB"/>
    <w:rsid w:val="0032468A"/>
    <w:rsid w:val="00325F0A"/>
    <w:rsid w:val="00332834"/>
    <w:rsid w:val="00333DAB"/>
    <w:rsid w:val="00336E25"/>
    <w:rsid w:val="00342506"/>
    <w:rsid w:val="00343629"/>
    <w:rsid w:val="003437FC"/>
    <w:rsid w:val="0034404D"/>
    <w:rsid w:val="00345F27"/>
    <w:rsid w:val="003468B9"/>
    <w:rsid w:val="00346DE7"/>
    <w:rsid w:val="00351018"/>
    <w:rsid w:val="00352442"/>
    <w:rsid w:val="0035298C"/>
    <w:rsid w:val="00352A16"/>
    <w:rsid w:val="00354590"/>
    <w:rsid w:val="003610D9"/>
    <w:rsid w:val="0036503A"/>
    <w:rsid w:val="00366DDC"/>
    <w:rsid w:val="00366E87"/>
    <w:rsid w:val="0036742F"/>
    <w:rsid w:val="00371BE8"/>
    <w:rsid w:val="003767A1"/>
    <w:rsid w:val="00380434"/>
    <w:rsid w:val="0038701A"/>
    <w:rsid w:val="00391788"/>
    <w:rsid w:val="003A253D"/>
    <w:rsid w:val="003A2764"/>
    <w:rsid w:val="003A282A"/>
    <w:rsid w:val="003A537F"/>
    <w:rsid w:val="003A75D7"/>
    <w:rsid w:val="003B4D17"/>
    <w:rsid w:val="003B65F3"/>
    <w:rsid w:val="003C05E7"/>
    <w:rsid w:val="003C5399"/>
    <w:rsid w:val="003C5E54"/>
    <w:rsid w:val="003C5E7E"/>
    <w:rsid w:val="003D0EC8"/>
    <w:rsid w:val="003D2A93"/>
    <w:rsid w:val="003D3F01"/>
    <w:rsid w:val="003D7D0A"/>
    <w:rsid w:val="003E02A4"/>
    <w:rsid w:val="003E1758"/>
    <w:rsid w:val="003E54B3"/>
    <w:rsid w:val="003E58EF"/>
    <w:rsid w:val="003E657F"/>
    <w:rsid w:val="003E6B94"/>
    <w:rsid w:val="003E7F14"/>
    <w:rsid w:val="003F1D98"/>
    <w:rsid w:val="003F2296"/>
    <w:rsid w:val="003F6703"/>
    <w:rsid w:val="003F6A61"/>
    <w:rsid w:val="003F7413"/>
    <w:rsid w:val="004034C7"/>
    <w:rsid w:val="00410FAD"/>
    <w:rsid w:val="004259BC"/>
    <w:rsid w:val="00425D92"/>
    <w:rsid w:val="00425E0B"/>
    <w:rsid w:val="004260F1"/>
    <w:rsid w:val="0042642D"/>
    <w:rsid w:val="00426A6E"/>
    <w:rsid w:val="00430300"/>
    <w:rsid w:val="004350B1"/>
    <w:rsid w:val="00443C94"/>
    <w:rsid w:val="00444AF9"/>
    <w:rsid w:val="004472F5"/>
    <w:rsid w:val="00447A79"/>
    <w:rsid w:val="0045240A"/>
    <w:rsid w:val="00454961"/>
    <w:rsid w:val="0045598B"/>
    <w:rsid w:val="004566EA"/>
    <w:rsid w:val="004568F6"/>
    <w:rsid w:val="004605A3"/>
    <w:rsid w:val="0046167C"/>
    <w:rsid w:val="004638FB"/>
    <w:rsid w:val="0046413E"/>
    <w:rsid w:val="0046414B"/>
    <w:rsid w:val="00464453"/>
    <w:rsid w:val="00464DDF"/>
    <w:rsid w:val="00464E90"/>
    <w:rsid w:val="00465122"/>
    <w:rsid w:val="004700D1"/>
    <w:rsid w:val="0047065F"/>
    <w:rsid w:val="00470E2A"/>
    <w:rsid w:val="00476791"/>
    <w:rsid w:val="00476AB9"/>
    <w:rsid w:val="00485C03"/>
    <w:rsid w:val="00486667"/>
    <w:rsid w:val="0049056D"/>
    <w:rsid w:val="00492BB1"/>
    <w:rsid w:val="004A48A3"/>
    <w:rsid w:val="004A50F0"/>
    <w:rsid w:val="004B20E3"/>
    <w:rsid w:val="004B370D"/>
    <w:rsid w:val="004B5A52"/>
    <w:rsid w:val="004B6D15"/>
    <w:rsid w:val="004C3991"/>
    <w:rsid w:val="004C4BCB"/>
    <w:rsid w:val="004C4FCB"/>
    <w:rsid w:val="004C5EE9"/>
    <w:rsid w:val="004D5B4C"/>
    <w:rsid w:val="004D6741"/>
    <w:rsid w:val="004E4772"/>
    <w:rsid w:val="004E5C0A"/>
    <w:rsid w:val="004E6F28"/>
    <w:rsid w:val="004E79EF"/>
    <w:rsid w:val="004F0F38"/>
    <w:rsid w:val="004F10AE"/>
    <w:rsid w:val="004F10FA"/>
    <w:rsid w:val="004F1B34"/>
    <w:rsid w:val="004F4F2F"/>
    <w:rsid w:val="005010AD"/>
    <w:rsid w:val="005038C9"/>
    <w:rsid w:val="00505A5E"/>
    <w:rsid w:val="00505BA9"/>
    <w:rsid w:val="00506D9A"/>
    <w:rsid w:val="0051070A"/>
    <w:rsid w:val="00514231"/>
    <w:rsid w:val="00514FB4"/>
    <w:rsid w:val="00515443"/>
    <w:rsid w:val="00515757"/>
    <w:rsid w:val="00516F34"/>
    <w:rsid w:val="005178E4"/>
    <w:rsid w:val="005202AF"/>
    <w:rsid w:val="005205DA"/>
    <w:rsid w:val="005206B1"/>
    <w:rsid w:val="00520EB3"/>
    <w:rsid w:val="00523A44"/>
    <w:rsid w:val="005245C2"/>
    <w:rsid w:val="005258F1"/>
    <w:rsid w:val="005263B6"/>
    <w:rsid w:val="00530D7E"/>
    <w:rsid w:val="00532786"/>
    <w:rsid w:val="00533752"/>
    <w:rsid w:val="00542A95"/>
    <w:rsid w:val="0054717C"/>
    <w:rsid w:val="00552C62"/>
    <w:rsid w:val="00552F24"/>
    <w:rsid w:val="0055495F"/>
    <w:rsid w:val="00560B8A"/>
    <w:rsid w:val="005611BD"/>
    <w:rsid w:val="005670D8"/>
    <w:rsid w:val="00567EFB"/>
    <w:rsid w:val="00570E7A"/>
    <w:rsid w:val="005735DC"/>
    <w:rsid w:val="00574DC0"/>
    <w:rsid w:val="005772E1"/>
    <w:rsid w:val="00582CEB"/>
    <w:rsid w:val="00582FA3"/>
    <w:rsid w:val="00586446"/>
    <w:rsid w:val="00586B61"/>
    <w:rsid w:val="00586F2D"/>
    <w:rsid w:val="005920CE"/>
    <w:rsid w:val="00592921"/>
    <w:rsid w:val="00593498"/>
    <w:rsid w:val="00595C17"/>
    <w:rsid w:val="00597FFB"/>
    <w:rsid w:val="005A2022"/>
    <w:rsid w:val="005B0861"/>
    <w:rsid w:val="005B1403"/>
    <w:rsid w:val="005C1B09"/>
    <w:rsid w:val="005C6445"/>
    <w:rsid w:val="005D3AC1"/>
    <w:rsid w:val="005D47E2"/>
    <w:rsid w:val="005D5B88"/>
    <w:rsid w:val="005D726F"/>
    <w:rsid w:val="005E0B98"/>
    <w:rsid w:val="005E2405"/>
    <w:rsid w:val="005E3DA2"/>
    <w:rsid w:val="005E40BA"/>
    <w:rsid w:val="005E5847"/>
    <w:rsid w:val="005F45F9"/>
    <w:rsid w:val="005F4E25"/>
    <w:rsid w:val="005F601E"/>
    <w:rsid w:val="005F6EBB"/>
    <w:rsid w:val="005F74E7"/>
    <w:rsid w:val="00600D69"/>
    <w:rsid w:val="0060238C"/>
    <w:rsid w:val="006042B7"/>
    <w:rsid w:val="00605FC4"/>
    <w:rsid w:val="00606BDA"/>
    <w:rsid w:val="0061047F"/>
    <w:rsid w:val="00612834"/>
    <w:rsid w:val="00617B18"/>
    <w:rsid w:val="00621379"/>
    <w:rsid w:val="00623250"/>
    <w:rsid w:val="00624151"/>
    <w:rsid w:val="00625326"/>
    <w:rsid w:val="0062664D"/>
    <w:rsid w:val="00626935"/>
    <w:rsid w:val="006336E2"/>
    <w:rsid w:val="00633727"/>
    <w:rsid w:val="00634B27"/>
    <w:rsid w:val="0064022F"/>
    <w:rsid w:val="00643617"/>
    <w:rsid w:val="0064666F"/>
    <w:rsid w:val="006519CE"/>
    <w:rsid w:val="00652CAD"/>
    <w:rsid w:val="00655EE0"/>
    <w:rsid w:val="00656DC3"/>
    <w:rsid w:val="00661656"/>
    <w:rsid w:val="00666E01"/>
    <w:rsid w:val="00667C12"/>
    <w:rsid w:val="00667EC2"/>
    <w:rsid w:val="00671FCA"/>
    <w:rsid w:val="00676F24"/>
    <w:rsid w:val="0067754C"/>
    <w:rsid w:val="006838FC"/>
    <w:rsid w:val="00684513"/>
    <w:rsid w:val="00685749"/>
    <w:rsid w:val="006869CB"/>
    <w:rsid w:val="00687DFD"/>
    <w:rsid w:val="0069419D"/>
    <w:rsid w:val="0069495E"/>
    <w:rsid w:val="00695EAE"/>
    <w:rsid w:val="006A1B5A"/>
    <w:rsid w:val="006A76B2"/>
    <w:rsid w:val="006A7DE8"/>
    <w:rsid w:val="006B00A5"/>
    <w:rsid w:val="006B0F8F"/>
    <w:rsid w:val="006B14BF"/>
    <w:rsid w:val="006B2E27"/>
    <w:rsid w:val="006B3559"/>
    <w:rsid w:val="006B570A"/>
    <w:rsid w:val="006B7077"/>
    <w:rsid w:val="006B7B8B"/>
    <w:rsid w:val="006C1385"/>
    <w:rsid w:val="006C1603"/>
    <w:rsid w:val="006C213A"/>
    <w:rsid w:val="006C35ED"/>
    <w:rsid w:val="006C3CC4"/>
    <w:rsid w:val="006C5C98"/>
    <w:rsid w:val="006C7523"/>
    <w:rsid w:val="006D1819"/>
    <w:rsid w:val="006D2F34"/>
    <w:rsid w:val="006D54A2"/>
    <w:rsid w:val="006D7C0C"/>
    <w:rsid w:val="006D7E6A"/>
    <w:rsid w:val="006E13F3"/>
    <w:rsid w:val="006E1AC3"/>
    <w:rsid w:val="006E2221"/>
    <w:rsid w:val="006E2ABB"/>
    <w:rsid w:val="006E4126"/>
    <w:rsid w:val="006E4CDB"/>
    <w:rsid w:val="006E5B92"/>
    <w:rsid w:val="006F078B"/>
    <w:rsid w:val="006F1C34"/>
    <w:rsid w:val="006F54F3"/>
    <w:rsid w:val="006F78C0"/>
    <w:rsid w:val="007050DC"/>
    <w:rsid w:val="00705C58"/>
    <w:rsid w:val="007061C7"/>
    <w:rsid w:val="00710721"/>
    <w:rsid w:val="00710DE0"/>
    <w:rsid w:val="00716E9A"/>
    <w:rsid w:val="0071796E"/>
    <w:rsid w:val="007266CE"/>
    <w:rsid w:val="00726DD8"/>
    <w:rsid w:val="00727D87"/>
    <w:rsid w:val="0073161C"/>
    <w:rsid w:val="00735DA8"/>
    <w:rsid w:val="00736242"/>
    <w:rsid w:val="00737C03"/>
    <w:rsid w:val="00742206"/>
    <w:rsid w:val="00743010"/>
    <w:rsid w:val="00750F63"/>
    <w:rsid w:val="00752AE4"/>
    <w:rsid w:val="00754E35"/>
    <w:rsid w:val="00756435"/>
    <w:rsid w:val="007618ED"/>
    <w:rsid w:val="007650FB"/>
    <w:rsid w:val="00765308"/>
    <w:rsid w:val="007666B3"/>
    <w:rsid w:val="0077447E"/>
    <w:rsid w:val="00774A15"/>
    <w:rsid w:val="0077551C"/>
    <w:rsid w:val="00777FEC"/>
    <w:rsid w:val="007812AD"/>
    <w:rsid w:val="00786794"/>
    <w:rsid w:val="00786A4A"/>
    <w:rsid w:val="00787565"/>
    <w:rsid w:val="007876A4"/>
    <w:rsid w:val="00787F8F"/>
    <w:rsid w:val="007907D7"/>
    <w:rsid w:val="0079197C"/>
    <w:rsid w:val="00795955"/>
    <w:rsid w:val="007A0919"/>
    <w:rsid w:val="007A1915"/>
    <w:rsid w:val="007A1EE8"/>
    <w:rsid w:val="007A2245"/>
    <w:rsid w:val="007A2BDF"/>
    <w:rsid w:val="007A4383"/>
    <w:rsid w:val="007A5001"/>
    <w:rsid w:val="007A53D4"/>
    <w:rsid w:val="007A5DAA"/>
    <w:rsid w:val="007B5A48"/>
    <w:rsid w:val="007B5EE6"/>
    <w:rsid w:val="007B7241"/>
    <w:rsid w:val="007B7A49"/>
    <w:rsid w:val="007C0875"/>
    <w:rsid w:val="007C1F55"/>
    <w:rsid w:val="007C4600"/>
    <w:rsid w:val="007C5535"/>
    <w:rsid w:val="007C5587"/>
    <w:rsid w:val="007D225C"/>
    <w:rsid w:val="007D732D"/>
    <w:rsid w:val="007D7C64"/>
    <w:rsid w:val="007E7FE5"/>
    <w:rsid w:val="007F1D26"/>
    <w:rsid w:val="007F27AF"/>
    <w:rsid w:val="007F4534"/>
    <w:rsid w:val="007F61AF"/>
    <w:rsid w:val="00800EF6"/>
    <w:rsid w:val="00802530"/>
    <w:rsid w:val="0080572F"/>
    <w:rsid w:val="00813D17"/>
    <w:rsid w:val="00820F3D"/>
    <w:rsid w:val="00822C9C"/>
    <w:rsid w:val="00826B57"/>
    <w:rsid w:val="00830C28"/>
    <w:rsid w:val="00831552"/>
    <w:rsid w:val="0083560B"/>
    <w:rsid w:val="00835D38"/>
    <w:rsid w:val="00837B03"/>
    <w:rsid w:val="00843BBB"/>
    <w:rsid w:val="00846E80"/>
    <w:rsid w:val="008474B7"/>
    <w:rsid w:val="0085080E"/>
    <w:rsid w:val="00851E1A"/>
    <w:rsid w:val="00851F74"/>
    <w:rsid w:val="00857A52"/>
    <w:rsid w:val="00857CDA"/>
    <w:rsid w:val="008607B0"/>
    <w:rsid w:val="00860AF2"/>
    <w:rsid w:val="00860FA7"/>
    <w:rsid w:val="00863B97"/>
    <w:rsid w:val="00863C08"/>
    <w:rsid w:val="00865A55"/>
    <w:rsid w:val="00866938"/>
    <w:rsid w:val="00866F6F"/>
    <w:rsid w:val="00867559"/>
    <w:rsid w:val="00872AB6"/>
    <w:rsid w:val="0087384C"/>
    <w:rsid w:val="008749BB"/>
    <w:rsid w:val="00877E8C"/>
    <w:rsid w:val="0088294B"/>
    <w:rsid w:val="00883181"/>
    <w:rsid w:val="00884146"/>
    <w:rsid w:val="00884B7B"/>
    <w:rsid w:val="008875B3"/>
    <w:rsid w:val="00887C7C"/>
    <w:rsid w:val="008929D1"/>
    <w:rsid w:val="00893B7D"/>
    <w:rsid w:val="00897EFF"/>
    <w:rsid w:val="008A123F"/>
    <w:rsid w:val="008A369F"/>
    <w:rsid w:val="008A37FF"/>
    <w:rsid w:val="008A380A"/>
    <w:rsid w:val="008A3F9B"/>
    <w:rsid w:val="008A6459"/>
    <w:rsid w:val="008B1DDD"/>
    <w:rsid w:val="008B3D4F"/>
    <w:rsid w:val="008B58F7"/>
    <w:rsid w:val="008C08A7"/>
    <w:rsid w:val="008C1278"/>
    <w:rsid w:val="008C16CB"/>
    <w:rsid w:val="008E1108"/>
    <w:rsid w:val="008E3936"/>
    <w:rsid w:val="008E4D51"/>
    <w:rsid w:val="008E6085"/>
    <w:rsid w:val="008F1260"/>
    <w:rsid w:val="008F12F9"/>
    <w:rsid w:val="008F172C"/>
    <w:rsid w:val="008F1773"/>
    <w:rsid w:val="008F1A4D"/>
    <w:rsid w:val="008F262B"/>
    <w:rsid w:val="008F3752"/>
    <w:rsid w:val="008F5DF8"/>
    <w:rsid w:val="008F6383"/>
    <w:rsid w:val="008F7EE5"/>
    <w:rsid w:val="009028D3"/>
    <w:rsid w:val="00905C1F"/>
    <w:rsid w:val="0090754C"/>
    <w:rsid w:val="009173BB"/>
    <w:rsid w:val="009205B3"/>
    <w:rsid w:val="00920AF7"/>
    <w:rsid w:val="00922E02"/>
    <w:rsid w:val="009244B5"/>
    <w:rsid w:val="00926F0F"/>
    <w:rsid w:val="009364C5"/>
    <w:rsid w:val="00936AC5"/>
    <w:rsid w:val="00940740"/>
    <w:rsid w:val="00940938"/>
    <w:rsid w:val="00943F56"/>
    <w:rsid w:val="00945427"/>
    <w:rsid w:val="0094648C"/>
    <w:rsid w:val="00952028"/>
    <w:rsid w:val="0095210B"/>
    <w:rsid w:val="00952DD2"/>
    <w:rsid w:val="00961BFF"/>
    <w:rsid w:val="00962910"/>
    <w:rsid w:val="00963A20"/>
    <w:rsid w:val="00966A95"/>
    <w:rsid w:val="00971861"/>
    <w:rsid w:val="00971EB4"/>
    <w:rsid w:val="00972CF7"/>
    <w:rsid w:val="00975BDA"/>
    <w:rsid w:val="00977164"/>
    <w:rsid w:val="00982627"/>
    <w:rsid w:val="00982642"/>
    <w:rsid w:val="00983CE5"/>
    <w:rsid w:val="00986FD9"/>
    <w:rsid w:val="00991D26"/>
    <w:rsid w:val="00992993"/>
    <w:rsid w:val="00995911"/>
    <w:rsid w:val="00996293"/>
    <w:rsid w:val="0099738B"/>
    <w:rsid w:val="009A0575"/>
    <w:rsid w:val="009A3088"/>
    <w:rsid w:val="009A6224"/>
    <w:rsid w:val="009A784C"/>
    <w:rsid w:val="009A7CE6"/>
    <w:rsid w:val="009B11D6"/>
    <w:rsid w:val="009B139F"/>
    <w:rsid w:val="009B6F1D"/>
    <w:rsid w:val="009B7AC4"/>
    <w:rsid w:val="009C0481"/>
    <w:rsid w:val="009D11AD"/>
    <w:rsid w:val="009D228D"/>
    <w:rsid w:val="009D35DC"/>
    <w:rsid w:val="009D44E2"/>
    <w:rsid w:val="009D589F"/>
    <w:rsid w:val="009D75E1"/>
    <w:rsid w:val="009D76AC"/>
    <w:rsid w:val="009D7F13"/>
    <w:rsid w:val="009E39E5"/>
    <w:rsid w:val="009E4315"/>
    <w:rsid w:val="009E640A"/>
    <w:rsid w:val="009F3073"/>
    <w:rsid w:val="009F44AF"/>
    <w:rsid w:val="009F4F81"/>
    <w:rsid w:val="009F60AD"/>
    <w:rsid w:val="00A053DA"/>
    <w:rsid w:val="00A07648"/>
    <w:rsid w:val="00A10090"/>
    <w:rsid w:val="00A151EE"/>
    <w:rsid w:val="00A16234"/>
    <w:rsid w:val="00A17C02"/>
    <w:rsid w:val="00A20AE2"/>
    <w:rsid w:val="00A30A95"/>
    <w:rsid w:val="00A31BDD"/>
    <w:rsid w:val="00A3480B"/>
    <w:rsid w:val="00A37352"/>
    <w:rsid w:val="00A377AB"/>
    <w:rsid w:val="00A40C1C"/>
    <w:rsid w:val="00A417CF"/>
    <w:rsid w:val="00A4348A"/>
    <w:rsid w:val="00A43F96"/>
    <w:rsid w:val="00A5319D"/>
    <w:rsid w:val="00A576B0"/>
    <w:rsid w:val="00A60A6B"/>
    <w:rsid w:val="00A640DC"/>
    <w:rsid w:val="00A67FF1"/>
    <w:rsid w:val="00A7466A"/>
    <w:rsid w:val="00A74F03"/>
    <w:rsid w:val="00A76EE4"/>
    <w:rsid w:val="00A77D12"/>
    <w:rsid w:val="00A80CB1"/>
    <w:rsid w:val="00A83D03"/>
    <w:rsid w:val="00A85318"/>
    <w:rsid w:val="00A87C5C"/>
    <w:rsid w:val="00A919A3"/>
    <w:rsid w:val="00A933A9"/>
    <w:rsid w:val="00A94621"/>
    <w:rsid w:val="00A97FDA"/>
    <w:rsid w:val="00AA4014"/>
    <w:rsid w:val="00AA5F9A"/>
    <w:rsid w:val="00AA7DFA"/>
    <w:rsid w:val="00AB066F"/>
    <w:rsid w:val="00AB1920"/>
    <w:rsid w:val="00AB4131"/>
    <w:rsid w:val="00AB4E5A"/>
    <w:rsid w:val="00AB5437"/>
    <w:rsid w:val="00AB692C"/>
    <w:rsid w:val="00AC19C6"/>
    <w:rsid w:val="00AD0B8E"/>
    <w:rsid w:val="00AE08C0"/>
    <w:rsid w:val="00AE23C2"/>
    <w:rsid w:val="00AE3A54"/>
    <w:rsid w:val="00AE6225"/>
    <w:rsid w:val="00AF514F"/>
    <w:rsid w:val="00B01266"/>
    <w:rsid w:val="00B012E7"/>
    <w:rsid w:val="00B03F65"/>
    <w:rsid w:val="00B06D45"/>
    <w:rsid w:val="00B12DAC"/>
    <w:rsid w:val="00B139CE"/>
    <w:rsid w:val="00B14EBE"/>
    <w:rsid w:val="00B1522D"/>
    <w:rsid w:val="00B1552E"/>
    <w:rsid w:val="00B17353"/>
    <w:rsid w:val="00B213A9"/>
    <w:rsid w:val="00B216A8"/>
    <w:rsid w:val="00B21C69"/>
    <w:rsid w:val="00B22E8F"/>
    <w:rsid w:val="00B33095"/>
    <w:rsid w:val="00B36AF8"/>
    <w:rsid w:val="00B3723D"/>
    <w:rsid w:val="00B3733A"/>
    <w:rsid w:val="00B43822"/>
    <w:rsid w:val="00B46042"/>
    <w:rsid w:val="00B46EC2"/>
    <w:rsid w:val="00B50397"/>
    <w:rsid w:val="00B52351"/>
    <w:rsid w:val="00B527FE"/>
    <w:rsid w:val="00B52DBE"/>
    <w:rsid w:val="00B54EC2"/>
    <w:rsid w:val="00B575F1"/>
    <w:rsid w:val="00B57A74"/>
    <w:rsid w:val="00B607CB"/>
    <w:rsid w:val="00B6163A"/>
    <w:rsid w:val="00B63A1A"/>
    <w:rsid w:val="00B65D37"/>
    <w:rsid w:val="00B65E97"/>
    <w:rsid w:val="00B83D0D"/>
    <w:rsid w:val="00B84C5B"/>
    <w:rsid w:val="00B85B97"/>
    <w:rsid w:val="00B85CB8"/>
    <w:rsid w:val="00B85F0E"/>
    <w:rsid w:val="00B86676"/>
    <w:rsid w:val="00B878D4"/>
    <w:rsid w:val="00B90F53"/>
    <w:rsid w:val="00B93650"/>
    <w:rsid w:val="00B95B7D"/>
    <w:rsid w:val="00B963EC"/>
    <w:rsid w:val="00B96C55"/>
    <w:rsid w:val="00B96E59"/>
    <w:rsid w:val="00BA04F8"/>
    <w:rsid w:val="00BB3935"/>
    <w:rsid w:val="00BB4312"/>
    <w:rsid w:val="00BB4C70"/>
    <w:rsid w:val="00BC08A4"/>
    <w:rsid w:val="00BC0AA1"/>
    <w:rsid w:val="00BC40FC"/>
    <w:rsid w:val="00BD22D2"/>
    <w:rsid w:val="00BD55CC"/>
    <w:rsid w:val="00BF2516"/>
    <w:rsid w:val="00BF39C7"/>
    <w:rsid w:val="00BF4083"/>
    <w:rsid w:val="00BF48F0"/>
    <w:rsid w:val="00BF4A5C"/>
    <w:rsid w:val="00C00399"/>
    <w:rsid w:val="00C00407"/>
    <w:rsid w:val="00C033AB"/>
    <w:rsid w:val="00C038A4"/>
    <w:rsid w:val="00C0623D"/>
    <w:rsid w:val="00C11B3D"/>
    <w:rsid w:val="00C134BF"/>
    <w:rsid w:val="00C13975"/>
    <w:rsid w:val="00C22360"/>
    <w:rsid w:val="00C315F6"/>
    <w:rsid w:val="00C37B0C"/>
    <w:rsid w:val="00C40C08"/>
    <w:rsid w:val="00C41F28"/>
    <w:rsid w:val="00C45BAA"/>
    <w:rsid w:val="00C51B28"/>
    <w:rsid w:val="00C56353"/>
    <w:rsid w:val="00C66AF0"/>
    <w:rsid w:val="00C7182D"/>
    <w:rsid w:val="00C771D9"/>
    <w:rsid w:val="00C82E63"/>
    <w:rsid w:val="00C83DD5"/>
    <w:rsid w:val="00C904F7"/>
    <w:rsid w:val="00C96E8D"/>
    <w:rsid w:val="00C970E1"/>
    <w:rsid w:val="00C97A8B"/>
    <w:rsid w:val="00CA29D3"/>
    <w:rsid w:val="00CA427D"/>
    <w:rsid w:val="00CA55E7"/>
    <w:rsid w:val="00CA7E1D"/>
    <w:rsid w:val="00CB26FC"/>
    <w:rsid w:val="00CB2DDA"/>
    <w:rsid w:val="00CB481B"/>
    <w:rsid w:val="00CB49C0"/>
    <w:rsid w:val="00CB56DE"/>
    <w:rsid w:val="00CB65FF"/>
    <w:rsid w:val="00CB6748"/>
    <w:rsid w:val="00CC112F"/>
    <w:rsid w:val="00CC32EE"/>
    <w:rsid w:val="00CC3E8A"/>
    <w:rsid w:val="00CC4522"/>
    <w:rsid w:val="00CC460A"/>
    <w:rsid w:val="00CC4DCD"/>
    <w:rsid w:val="00CC6192"/>
    <w:rsid w:val="00CC6532"/>
    <w:rsid w:val="00CD0285"/>
    <w:rsid w:val="00CD3421"/>
    <w:rsid w:val="00CE0DC3"/>
    <w:rsid w:val="00CE25EC"/>
    <w:rsid w:val="00CE2E72"/>
    <w:rsid w:val="00CE3E0D"/>
    <w:rsid w:val="00CE48BF"/>
    <w:rsid w:val="00CF0944"/>
    <w:rsid w:val="00CF140A"/>
    <w:rsid w:val="00CF2775"/>
    <w:rsid w:val="00CF5AAC"/>
    <w:rsid w:val="00CF7D47"/>
    <w:rsid w:val="00D00591"/>
    <w:rsid w:val="00D02CFE"/>
    <w:rsid w:val="00D033F2"/>
    <w:rsid w:val="00D06B44"/>
    <w:rsid w:val="00D12379"/>
    <w:rsid w:val="00D20702"/>
    <w:rsid w:val="00D21708"/>
    <w:rsid w:val="00D23C92"/>
    <w:rsid w:val="00D252F3"/>
    <w:rsid w:val="00D268A1"/>
    <w:rsid w:val="00D26987"/>
    <w:rsid w:val="00D30105"/>
    <w:rsid w:val="00D3096B"/>
    <w:rsid w:val="00D30DF0"/>
    <w:rsid w:val="00D34EC9"/>
    <w:rsid w:val="00D37730"/>
    <w:rsid w:val="00D37A51"/>
    <w:rsid w:val="00D41060"/>
    <w:rsid w:val="00D411A8"/>
    <w:rsid w:val="00D417F1"/>
    <w:rsid w:val="00D43A62"/>
    <w:rsid w:val="00D43AC5"/>
    <w:rsid w:val="00D43D58"/>
    <w:rsid w:val="00D470C1"/>
    <w:rsid w:val="00D53A12"/>
    <w:rsid w:val="00D54E4A"/>
    <w:rsid w:val="00D566CF"/>
    <w:rsid w:val="00D61DFA"/>
    <w:rsid w:val="00D65ED4"/>
    <w:rsid w:val="00D66202"/>
    <w:rsid w:val="00D72DAA"/>
    <w:rsid w:val="00D74D79"/>
    <w:rsid w:val="00D80D4C"/>
    <w:rsid w:val="00D85B36"/>
    <w:rsid w:val="00D85E20"/>
    <w:rsid w:val="00D86C3C"/>
    <w:rsid w:val="00D86F0B"/>
    <w:rsid w:val="00D946F7"/>
    <w:rsid w:val="00D953ED"/>
    <w:rsid w:val="00D955B7"/>
    <w:rsid w:val="00D9681E"/>
    <w:rsid w:val="00D96898"/>
    <w:rsid w:val="00D968A2"/>
    <w:rsid w:val="00DA03B1"/>
    <w:rsid w:val="00DA0581"/>
    <w:rsid w:val="00DA0E89"/>
    <w:rsid w:val="00DA28A5"/>
    <w:rsid w:val="00DA49FE"/>
    <w:rsid w:val="00DB1BE8"/>
    <w:rsid w:val="00DB221A"/>
    <w:rsid w:val="00DB3DE9"/>
    <w:rsid w:val="00DB40B1"/>
    <w:rsid w:val="00DB4504"/>
    <w:rsid w:val="00DC047C"/>
    <w:rsid w:val="00DC138E"/>
    <w:rsid w:val="00DC50AB"/>
    <w:rsid w:val="00DC6363"/>
    <w:rsid w:val="00DD1C51"/>
    <w:rsid w:val="00DD5807"/>
    <w:rsid w:val="00DE042B"/>
    <w:rsid w:val="00DE0F35"/>
    <w:rsid w:val="00DE17FF"/>
    <w:rsid w:val="00DE42E5"/>
    <w:rsid w:val="00DF57F0"/>
    <w:rsid w:val="00DF6608"/>
    <w:rsid w:val="00DF717D"/>
    <w:rsid w:val="00E01203"/>
    <w:rsid w:val="00E02262"/>
    <w:rsid w:val="00E02DF4"/>
    <w:rsid w:val="00E04D74"/>
    <w:rsid w:val="00E06D79"/>
    <w:rsid w:val="00E07225"/>
    <w:rsid w:val="00E07D8E"/>
    <w:rsid w:val="00E11EC8"/>
    <w:rsid w:val="00E15844"/>
    <w:rsid w:val="00E2489E"/>
    <w:rsid w:val="00E26925"/>
    <w:rsid w:val="00E2724C"/>
    <w:rsid w:val="00E31565"/>
    <w:rsid w:val="00E334C3"/>
    <w:rsid w:val="00E33D2C"/>
    <w:rsid w:val="00E36977"/>
    <w:rsid w:val="00E41B1F"/>
    <w:rsid w:val="00E41C19"/>
    <w:rsid w:val="00E44E19"/>
    <w:rsid w:val="00E4629B"/>
    <w:rsid w:val="00E47BA3"/>
    <w:rsid w:val="00E55226"/>
    <w:rsid w:val="00E56AB3"/>
    <w:rsid w:val="00E615A9"/>
    <w:rsid w:val="00E64688"/>
    <w:rsid w:val="00E6473A"/>
    <w:rsid w:val="00E651F4"/>
    <w:rsid w:val="00E70487"/>
    <w:rsid w:val="00E706AF"/>
    <w:rsid w:val="00E73D68"/>
    <w:rsid w:val="00E74EBB"/>
    <w:rsid w:val="00E7664E"/>
    <w:rsid w:val="00E802CE"/>
    <w:rsid w:val="00E805F4"/>
    <w:rsid w:val="00E832BC"/>
    <w:rsid w:val="00E83ABD"/>
    <w:rsid w:val="00E84272"/>
    <w:rsid w:val="00E85CAD"/>
    <w:rsid w:val="00E92648"/>
    <w:rsid w:val="00E93C83"/>
    <w:rsid w:val="00E94108"/>
    <w:rsid w:val="00E9418F"/>
    <w:rsid w:val="00E95A15"/>
    <w:rsid w:val="00E95EC7"/>
    <w:rsid w:val="00E96DF3"/>
    <w:rsid w:val="00EA3A09"/>
    <w:rsid w:val="00EA3B3F"/>
    <w:rsid w:val="00EA55A6"/>
    <w:rsid w:val="00EB0A4A"/>
    <w:rsid w:val="00EB10DB"/>
    <w:rsid w:val="00EB169C"/>
    <w:rsid w:val="00EB1B24"/>
    <w:rsid w:val="00EB2A26"/>
    <w:rsid w:val="00EB3159"/>
    <w:rsid w:val="00EC1EA6"/>
    <w:rsid w:val="00EC45D9"/>
    <w:rsid w:val="00EC51E6"/>
    <w:rsid w:val="00ED7203"/>
    <w:rsid w:val="00EE2C4F"/>
    <w:rsid w:val="00EE405C"/>
    <w:rsid w:val="00EE4617"/>
    <w:rsid w:val="00EE5CAA"/>
    <w:rsid w:val="00EE5CE3"/>
    <w:rsid w:val="00EF0D56"/>
    <w:rsid w:val="00EF1B65"/>
    <w:rsid w:val="00EF4238"/>
    <w:rsid w:val="00EF4384"/>
    <w:rsid w:val="00EF4A76"/>
    <w:rsid w:val="00F008F5"/>
    <w:rsid w:val="00F01904"/>
    <w:rsid w:val="00F02259"/>
    <w:rsid w:val="00F05C5E"/>
    <w:rsid w:val="00F20D69"/>
    <w:rsid w:val="00F214BA"/>
    <w:rsid w:val="00F218E8"/>
    <w:rsid w:val="00F2349E"/>
    <w:rsid w:val="00F2662F"/>
    <w:rsid w:val="00F319FD"/>
    <w:rsid w:val="00F35A54"/>
    <w:rsid w:val="00F36D2E"/>
    <w:rsid w:val="00F37C9C"/>
    <w:rsid w:val="00F4482B"/>
    <w:rsid w:val="00F479FB"/>
    <w:rsid w:val="00F62785"/>
    <w:rsid w:val="00F62D1F"/>
    <w:rsid w:val="00F6419F"/>
    <w:rsid w:val="00F64542"/>
    <w:rsid w:val="00F64736"/>
    <w:rsid w:val="00F653E6"/>
    <w:rsid w:val="00F6654B"/>
    <w:rsid w:val="00F7014E"/>
    <w:rsid w:val="00F7426C"/>
    <w:rsid w:val="00F81D8F"/>
    <w:rsid w:val="00F84068"/>
    <w:rsid w:val="00F85925"/>
    <w:rsid w:val="00F909FD"/>
    <w:rsid w:val="00F91BAA"/>
    <w:rsid w:val="00F92363"/>
    <w:rsid w:val="00F93F5F"/>
    <w:rsid w:val="00F9690A"/>
    <w:rsid w:val="00F96E5A"/>
    <w:rsid w:val="00F97534"/>
    <w:rsid w:val="00FA1150"/>
    <w:rsid w:val="00FA2CEC"/>
    <w:rsid w:val="00FA55CF"/>
    <w:rsid w:val="00FB1690"/>
    <w:rsid w:val="00FB48C9"/>
    <w:rsid w:val="00FC0059"/>
    <w:rsid w:val="00FC021A"/>
    <w:rsid w:val="00FC1027"/>
    <w:rsid w:val="00FC1CAB"/>
    <w:rsid w:val="00FC38F0"/>
    <w:rsid w:val="00FD0377"/>
    <w:rsid w:val="00FD2A12"/>
    <w:rsid w:val="00FD42AD"/>
    <w:rsid w:val="00FD5DC7"/>
    <w:rsid w:val="00FE2094"/>
    <w:rsid w:val="00FE4AE5"/>
    <w:rsid w:val="00FE69EE"/>
    <w:rsid w:val="00FF1565"/>
    <w:rsid w:val="00FF3C16"/>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9C3A"/>
  <w15:chartTrackingRefBased/>
  <w15:docId w15:val="{EF6F1138-DCA0-4577-9070-8371009B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BB1"/>
    <w:rPr>
      <w:kern w:val="0"/>
      <w14:ligatures w14:val="none"/>
    </w:rPr>
  </w:style>
  <w:style w:type="paragraph" w:styleId="Heading1">
    <w:name w:val="heading 1"/>
    <w:basedOn w:val="Normal"/>
    <w:next w:val="Normal"/>
    <w:link w:val="Heading1Char"/>
    <w:uiPriority w:val="9"/>
    <w:qFormat/>
    <w:rsid w:val="00795955"/>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795955"/>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95955"/>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95955"/>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95955"/>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95955"/>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95955"/>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95955"/>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95955"/>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9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959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59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59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59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59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59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59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5955"/>
    <w:rPr>
      <w:rFonts w:eastAsiaTheme="majorEastAsia" w:cstheme="majorBidi"/>
      <w:color w:val="272727" w:themeColor="text1" w:themeTint="D8"/>
    </w:rPr>
  </w:style>
  <w:style w:type="paragraph" w:styleId="Title">
    <w:name w:val="Title"/>
    <w:basedOn w:val="Normal"/>
    <w:next w:val="Normal"/>
    <w:link w:val="TitleChar"/>
    <w:uiPriority w:val="10"/>
    <w:qFormat/>
    <w:rsid w:val="0079595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959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5955"/>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959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5955"/>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795955"/>
    <w:rPr>
      <w:i/>
      <w:iCs/>
      <w:color w:val="404040" w:themeColor="text1" w:themeTint="BF"/>
    </w:rPr>
  </w:style>
  <w:style w:type="paragraph" w:styleId="ListParagraph">
    <w:name w:val="List Paragraph"/>
    <w:basedOn w:val="Normal"/>
    <w:uiPriority w:val="34"/>
    <w:qFormat/>
    <w:rsid w:val="00795955"/>
    <w:pPr>
      <w:ind w:left="720"/>
      <w:contextualSpacing/>
    </w:pPr>
    <w:rPr>
      <w:kern w:val="2"/>
      <w14:ligatures w14:val="standardContextual"/>
    </w:rPr>
  </w:style>
  <w:style w:type="character" w:styleId="IntenseEmphasis">
    <w:name w:val="Intense Emphasis"/>
    <w:basedOn w:val="DefaultParagraphFont"/>
    <w:uiPriority w:val="21"/>
    <w:qFormat/>
    <w:rsid w:val="00795955"/>
    <w:rPr>
      <w:i/>
      <w:iCs/>
      <w:color w:val="0F4761" w:themeColor="accent1" w:themeShade="BF"/>
    </w:rPr>
  </w:style>
  <w:style w:type="paragraph" w:styleId="IntenseQuote">
    <w:name w:val="Intense Quote"/>
    <w:basedOn w:val="Normal"/>
    <w:next w:val="Normal"/>
    <w:link w:val="IntenseQuoteChar"/>
    <w:uiPriority w:val="30"/>
    <w:qFormat/>
    <w:rsid w:val="007959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95955"/>
    <w:rPr>
      <w:i/>
      <w:iCs/>
      <w:color w:val="0F4761" w:themeColor="accent1" w:themeShade="BF"/>
    </w:rPr>
  </w:style>
  <w:style w:type="character" w:styleId="IntenseReference">
    <w:name w:val="Intense Reference"/>
    <w:basedOn w:val="DefaultParagraphFont"/>
    <w:uiPriority w:val="32"/>
    <w:qFormat/>
    <w:rsid w:val="00795955"/>
    <w:rPr>
      <w:b/>
      <w:bCs/>
      <w:smallCaps/>
      <w:color w:val="0F4761" w:themeColor="accent1" w:themeShade="BF"/>
      <w:spacing w:val="5"/>
    </w:rPr>
  </w:style>
  <w:style w:type="paragraph" w:styleId="Header">
    <w:name w:val="header"/>
    <w:basedOn w:val="Normal"/>
    <w:link w:val="HeaderChar"/>
    <w:uiPriority w:val="99"/>
    <w:unhideWhenUsed/>
    <w:rsid w:val="00D8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20"/>
    <w:rPr>
      <w:kern w:val="0"/>
      <w14:ligatures w14:val="none"/>
    </w:rPr>
  </w:style>
  <w:style w:type="paragraph" w:styleId="Footer">
    <w:name w:val="footer"/>
    <w:basedOn w:val="Normal"/>
    <w:link w:val="FooterChar"/>
    <w:uiPriority w:val="99"/>
    <w:unhideWhenUsed/>
    <w:rsid w:val="00D8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E20"/>
    <w:rPr>
      <w:kern w:val="0"/>
      <w14:ligatures w14:val="none"/>
    </w:rPr>
  </w:style>
  <w:style w:type="character" w:styleId="Strong">
    <w:name w:val="Strong"/>
    <w:basedOn w:val="DefaultParagraphFont"/>
    <w:uiPriority w:val="22"/>
    <w:qFormat/>
    <w:rsid w:val="0030190B"/>
    <w:rPr>
      <w:b/>
      <w:bCs/>
    </w:rPr>
  </w:style>
  <w:style w:type="character" w:styleId="Hyperlink">
    <w:name w:val="Hyperlink"/>
    <w:basedOn w:val="DefaultParagraphFont"/>
    <w:uiPriority w:val="99"/>
    <w:semiHidden/>
    <w:unhideWhenUsed/>
    <w:rsid w:val="00573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95899">
      <w:bodyDiv w:val="1"/>
      <w:marLeft w:val="0"/>
      <w:marRight w:val="0"/>
      <w:marTop w:val="0"/>
      <w:marBottom w:val="0"/>
      <w:divBdr>
        <w:top w:val="none" w:sz="0" w:space="0" w:color="auto"/>
        <w:left w:val="none" w:sz="0" w:space="0" w:color="auto"/>
        <w:bottom w:val="none" w:sz="0" w:space="0" w:color="auto"/>
        <w:right w:val="none" w:sz="0" w:space="0" w:color="auto"/>
      </w:divBdr>
    </w:div>
    <w:div w:id="873729784">
      <w:bodyDiv w:val="1"/>
      <w:marLeft w:val="0"/>
      <w:marRight w:val="0"/>
      <w:marTop w:val="0"/>
      <w:marBottom w:val="0"/>
      <w:divBdr>
        <w:top w:val="none" w:sz="0" w:space="0" w:color="auto"/>
        <w:left w:val="none" w:sz="0" w:space="0" w:color="auto"/>
        <w:bottom w:val="none" w:sz="0" w:space="0" w:color="auto"/>
        <w:right w:val="none" w:sz="0" w:space="0" w:color="auto"/>
      </w:divBdr>
    </w:div>
    <w:div w:id="1299653039">
      <w:bodyDiv w:val="1"/>
      <w:marLeft w:val="0"/>
      <w:marRight w:val="0"/>
      <w:marTop w:val="0"/>
      <w:marBottom w:val="0"/>
      <w:divBdr>
        <w:top w:val="none" w:sz="0" w:space="0" w:color="auto"/>
        <w:left w:val="none" w:sz="0" w:space="0" w:color="auto"/>
        <w:bottom w:val="none" w:sz="0" w:space="0" w:color="auto"/>
        <w:right w:val="none" w:sz="0" w:space="0" w:color="auto"/>
      </w:divBdr>
    </w:div>
    <w:div w:id="1998000306">
      <w:bodyDiv w:val="1"/>
      <w:marLeft w:val="0"/>
      <w:marRight w:val="0"/>
      <w:marTop w:val="0"/>
      <w:marBottom w:val="0"/>
      <w:divBdr>
        <w:top w:val="none" w:sz="0" w:space="0" w:color="auto"/>
        <w:left w:val="none" w:sz="0" w:space="0" w:color="auto"/>
        <w:bottom w:val="none" w:sz="0" w:space="0" w:color="auto"/>
        <w:right w:val="none" w:sz="0" w:space="0" w:color="auto"/>
      </w:divBdr>
    </w:div>
    <w:div w:id="2030833508">
      <w:bodyDiv w:val="1"/>
      <w:marLeft w:val="0"/>
      <w:marRight w:val="0"/>
      <w:marTop w:val="0"/>
      <w:marBottom w:val="0"/>
      <w:divBdr>
        <w:top w:val="none" w:sz="0" w:space="0" w:color="auto"/>
        <w:left w:val="none" w:sz="0" w:space="0" w:color="auto"/>
        <w:bottom w:val="none" w:sz="0" w:space="0" w:color="auto"/>
        <w:right w:val="none" w:sz="0" w:space="0" w:color="auto"/>
      </w:divBdr>
    </w:div>
    <w:div w:id="20802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Julia Magoro</cp:lastModifiedBy>
  <cp:revision>2</cp:revision>
  <dcterms:created xsi:type="dcterms:W3CDTF">2024-07-03T08:53:00Z</dcterms:created>
  <dcterms:modified xsi:type="dcterms:W3CDTF">2024-07-03T08:53:00Z</dcterms:modified>
</cp:coreProperties>
</file>