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771E" w14:textId="77777777" w:rsidR="0041689E" w:rsidRPr="00565460" w:rsidRDefault="00121F2C" w:rsidP="00565460">
      <w:pPr>
        <w:spacing w:line="240" w:lineRule="auto"/>
        <w:ind w:left="1440" w:firstLine="720"/>
        <w:rPr>
          <w:rFonts w:ascii="Arial" w:hAnsi="Arial" w:cs="Arial"/>
          <w:b/>
          <w:bCs/>
          <w:sz w:val="24"/>
          <w:szCs w:val="24"/>
        </w:rPr>
      </w:pPr>
      <w:r w:rsidRPr="00565460">
        <w:rPr>
          <w:rFonts w:ascii="Arial" w:hAnsi="Arial" w:cs="Arial"/>
          <w:b/>
          <w:bCs/>
          <w:sz w:val="24"/>
          <w:szCs w:val="24"/>
        </w:rPr>
        <w:t xml:space="preserve">IN THE HIGH COURT OF SOUTH AFRICA </w:t>
      </w:r>
    </w:p>
    <w:p w14:paraId="137964A0" w14:textId="456CEB14" w:rsidR="00565460" w:rsidRPr="00A469CB" w:rsidRDefault="00121F2C" w:rsidP="00A469CB">
      <w:pPr>
        <w:spacing w:line="240" w:lineRule="auto"/>
        <w:ind w:left="1440" w:firstLine="720"/>
        <w:rPr>
          <w:rFonts w:ascii="Arial" w:hAnsi="Arial" w:cs="Arial"/>
          <w:b/>
          <w:bCs/>
          <w:sz w:val="24"/>
          <w:szCs w:val="24"/>
        </w:rPr>
      </w:pPr>
      <w:r w:rsidRPr="00565460">
        <w:rPr>
          <w:rFonts w:ascii="Arial" w:hAnsi="Arial" w:cs="Arial"/>
          <w:b/>
          <w:bCs/>
          <w:sz w:val="24"/>
          <w:szCs w:val="24"/>
        </w:rPr>
        <w:t xml:space="preserve">(GAUTENG LOCAL DIVISION, PRETORIA) </w:t>
      </w:r>
    </w:p>
    <w:p w14:paraId="5D1438C2" w14:textId="77777777" w:rsidR="0041689E" w:rsidRDefault="00121F2C" w:rsidP="0041689E">
      <w:pPr>
        <w:spacing w:line="480" w:lineRule="auto"/>
        <w:ind w:left="5040" w:firstLine="720"/>
        <w:rPr>
          <w:rFonts w:ascii="Arial" w:hAnsi="Arial" w:cs="Arial"/>
          <w:sz w:val="24"/>
          <w:szCs w:val="24"/>
        </w:rPr>
      </w:pPr>
      <w:r w:rsidRPr="0041689E">
        <w:rPr>
          <w:rFonts w:ascii="Arial" w:hAnsi="Arial" w:cs="Arial"/>
          <w:sz w:val="24"/>
          <w:szCs w:val="24"/>
        </w:rPr>
        <w:t xml:space="preserve">Case number: 1679/2018 </w:t>
      </w:r>
    </w:p>
    <w:p w14:paraId="5D2BA344" w14:textId="537966BB" w:rsidR="00D64295" w:rsidRDefault="009E7CBA" w:rsidP="0041689E">
      <w:pPr>
        <w:spacing w:line="480" w:lineRule="auto"/>
        <w:rPr>
          <w:rFonts w:ascii="Arial" w:hAnsi="Arial" w:cs="Arial"/>
          <w:sz w:val="24"/>
          <w:szCs w:val="24"/>
        </w:rPr>
      </w:pPr>
      <w:r>
        <w:rPr>
          <w:rFonts w:ascii="Arial" w:hAnsi="Arial" w:cs="Arial"/>
          <w:noProof/>
          <w:sz w:val="24"/>
          <w:szCs w:val="24"/>
        </w:rPr>
        <w:drawing>
          <wp:inline distT="0" distB="0" distL="0" distR="0" wp14:anchorId="34347CCC" wp14:editId="1BB03F4E">
            <wp:extent cx="2839085" cy="1905000"/>
            <wp:effectExtent l="0" t="0" r="0" b="0"/>
            <wp:docPr id="16936684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085" cy="1905000"/>
                    </a:xfrm>
                    <a:prstGeom prst="rect">
                      <a:avLst/>
                    </a:prstGeom>
                    <a:noFill/>
                  </pic:spPr>
                </pic:pic>
              </a:graphicData>
            </a:graphic>
          </wp:inline>
        </w:drawing>
      </w:r>
    </w:p>
    <w:p w14:paraId="6CD6945C" w14:textId="23770E69" w:rsidR="00C4059E" w:rsidRDefault="00121F2C" w:rsidP="0041689E">
      <w:pPr>
        <w:spacing w:line="480" w:lineRule="auto"/>
        <w:rPr>
          <w:rFonts w:ascii="Arial" w:hAnsi="Arial" w:cs="Arial"/>
          <w:sz w:val="24"/>
          <w:szCs w:val="24"/>
        </w:rPr>
      </w:pPr>
      <w:r w:rsidRPr="0041689E">
        <w:rPr>
          <w:rFonts w:ascii="Arial" w:hAnsi="Arial" w:cs="Arial"/>
          <w:sz w:val="24"/>
          <w:szCs w:val="24"/>
        </w:rPr>
        <w:t xml:space="preserve">In the matter between: </w:t>
      </w:r>
    </w:p>
    <w:p w14:paraId="4966905F" w14:textId="562BE3FF" w:rsidR="0041689E" w:rsidRDefault="00121F2C" w:rsidP="0041689E">
      <w:pPr>
        <w:spacing w:line="480" w:lineRule="auto"/>
        <w:rPr>
          <w:rFonts w:ascii="Arial" w:hAnsi="Arial" w:cs="Arial"/>
          <w:sz w:val="24"/>
          <w:szCs w:val="24"/>
        </w:rPr>
      </w:pPr>
      <w:r w:rsidRPr="0041689E">
        <w:rPr>
          <w:rFonts w:ascii="Arial" w:hAnsi="Arial" w:cs="Arial"/>
          <w:sz w:val="24"/>
          <w:szCs w:val="24"/>
        </w:rPr>
        <w:t xml:space="preserve">JEAN-PIERRE EGERER </w:t>
      </w:r>
      <w:r w:rsidR="0041689E">
        <w:rPr>
          <w:rFonts w:ascii="Arial" w:hAnsi="Arial" w:cs="Arial"/>
          <w:sz w:val="24"/>
          <w:szCs w:val="24"/>
        </w:rPr>
        <w:tab/>
      </w:r>
      <w:r w:rsidR="0041689E">
        <w:rPr>
          <w:rFonts w:ascii="Arial" w:hAnsi="Arial" w:cs="Arial"/>
          <w:sz w:val="24"/>
          <w:szCs w:val="24"/>
        </w:rPr>
        <w:tab/>
      </w:r>
      <w:r w:rsidR="0041689E">
        <w:rPr>
          <w:rFonts w:ascii="Arial" w:hAnsi="Arial" w:cs="Arial"/>
          <w:sz w:val="24"/>
          <w:szCs w:val="24"/>
        </w:rPr>
        <w:tab/>
      </w:r>
      <w:r w:rsidR="0041689E">
        <w:rPr>
          <w:rFonts w:ascii="Arial" w:hAnsi="Arial" w:cs="Arial"/>
          <w:sz w:val="24"/>
          <w:szCs w:val="24"/>
        </w:rPr>
        <w:tab/>
      </w:r>
      <w:r w:rsidR="0041689E">
        <w:rPr>
          <w:rFonts w:ascii="Arial" w:hAnsi="Arial" w:cs="Arial"/>
          <w:sz w:val="24"/>
          <w:szCs w:val="24"/>
        </w:rPr>
        <w:tab/>
      </w:r>
      <w:r w:rsidR="0041689E">
        <w:rPr>
          <w:rFonts w:ascii="Arial" w:hAnsi="Arial" w:cs="Arial"/>
          <w:sz w:val="24"/>
          <w:szCs w:val="24"/>
        </w:rPr>
        <w:tab/>
      </w:r>
      <w:r w:rsidR="0041689E">
        <w:rPr>
          <w:rFonts w:ascii="Arial" w:hAnsi="Arial" w:cs="Arial"/>
          <w:sz w:val="24"/>
          <w:szCs w:val="24"/>
        </w:rPr>
        <w:tab/>
      </w:r>
      <w:r w:rsidRPr="0041689E">
        <w:rPr>
          <w:rFonts w:ascii="Arial" w:hAnsi="Arial" w:cs="Arial"/>
          <w:sz w:val="24"/>
          <w:szCs w:val="24"/>
        </w:rPr>
        <w:t xml:space="preserve">PLAINTIFF </w:t>
      </w:r>
    </w:p>
    <w:p w14:paraId="70D780FD" w14:textId="77777777" w:rsidR="0041689E" w:rsidRDefault="00121F2C" w:rsidP="0041689E">
      <w:pPr>
        <w:spacing w:line="480" w:lineRule="auto"/>
        <w:rPr>
          <w:rFonts w:ascii="Arial" w:hAnsi="Arial" w:cs="Arial"/>
          <w:sz w:val="24"/>
          <w:szCs w:val="24"/>
        </w:rPr>
      </w:pPr>
      <w:r w:rsidRPr="0041689E">
        <w:rPr>
          <w:rFonts w:ascii="Arial" w:hAnsi="Arial" w:cs="Arial"/>
          <w:sz w:val="24"/>
          <w:szCs w:val="24"/>
        </w:rPr>
        <w:t xml:space="preserve">And </w:t>
      </w:r>
    </w:p>
    <w:p w14:paraId="3D2DD5CC" w14:textId="2923AF9E" w:rsidR="0041689E" w:rsidRDefault="00121F2C" w:rsidP="0041689E">
      <w:pPr>
        <w:spacing w:line="480" w:lineRule="auto"/>
        <w:rPr>
          <w:rFonts w:ascii="Arial" w:hAnsi="Arial" w:cs="Arial"/>
          <w:sz w:val="24"/>
          <w:szCs w:val="24"/>
        </w:rPr>
      </w:pPr>
      <w:r w:rsidRPr="0041689E">
        <w:rPr>
          <w:rFonts w:ascii="Arial" w:hAnsi="Arial" w:cs="Arial"/>
          <w:sz w:val="24"/>
          <w:szCs w:val="24"/>
        </w:rPr>
        <w:t xml:space="preserve">THE MINISTER OF POLICE </w:t>
      </w:r>
      <w:r w:rsidR="0041689E">
        <w:rPr>
          <w:rFonts w:ascii="Arial" w:hAnsi="Arial" w:cs="Arial"/>
          <w:sz w:val="24"/>
          <w:szCs w:val="24"/>
        </w:rPr>
        <w:tab/>
      </w:r>
      <w:r w:rsidR="0041689E">
        <w:rPr>
          <w:rFonts w:ascii="Arial" w:hAnsi="Arial" w:cs="Arial"/>
          <w:sz w:val="24"/>
          <w:szCs w:val="24"/>
        </w:rPr>
        <w:tab/>
      </w:r>
      <w:r w:rsidR="0041689E">
        <w:rPr>
          <w:rFonts w:ascii="Arial" w:hAnsi="Arial" w:cs="Arial"/>
          <w:sz w:val="24"/>
          <w:szCs w:val="24"/>
        </w:rPr>
        <w:tab/>
      </w:r>
      <w:r w:rsidR="0041689E">
        <w:rPr>
          <w:rFonts w:ascii="Arial" w:hAnsi="Arial" w:cs="Arial"/>
          <w:sz w:val="24"/>
          <w:szCs w:val="24"/>
        </w:rPr>
        <w:tab/>
      </w:r>
      <w:r w:rsidR="0041689E">
        <w:rPr>
          <w:rFonts w:ascii="Arial" w:hAnsi="Arial" w:cs="Arial"/>
          <w:sz w:val="24"/>
          <w:szCs w:val="24"/>
        </w:rPr>
        <w:tab/>
      </w:r>
      <w:r w:rsidRPr="0041689E">
        <w:rPr>
          <w:rFonts w:ascii="Arial" w:hAnsi="Arial" w:cs="Arial"/>
          <w:sz w:val="24"/>
          <w:szCs w:val="24"/>
        </w:rPr>
        <w:t xml:space="preserve">1ST DEFENDANT </w:t>
      </w:r>
    </w:p>
    <w:p w14:paraId="168E8B03" w14:textId="6B587121" w:rsidR="0041689E" w:rsidRDefault="00121F2C" w:rsidP="0041689E">
      <w:pPr>
        <w:spacing w:line="480" w:lineRule="auto"/>
        <w:rPr>
          <w:rFonts w:ascii="Arial" w:hAnsi="Arial" w:cs="Arial"/>
          <w:sz w:val="24"/>
          <w:szCs w:val="24"/>
        </w:rPr>
      </w:pPr>
      <w:r w:rsidRPr="0041689E">
        <w:rPr>
          <w:rFonts w:ascii="Arial" w:hAnsi="Arial" w:cs="Arial"/>
          <w:sz w:val="24"/>
          <w:szCs w:val="24"/>
        </w:rPr>
        <w:t xml:space="preserve">EKURHULENI METROPOLITAN COUNCIL </w:t>
      </w:r>
      <w:r w:rsidR="0041689E">
        <w:rPr>
          <w:rFonts w:ascii="Arial" w:hAnsi="Arial" w:cs="Arial"/>
          <w:sz w:val="24"/>
          <w:szCs w:val="24"/>
        </w:rPr>
        <w:tab/>
      </w:r>
      <w:r w:rsidR="0041689E">
        <w:rPr>
          <w:rFonts w:ascii="Arial" w:hAnsi="Arial" w:cs="Arial"/>
          <w:sz w:val="24"/>
          <w:szCs w:val="24"/>
        </w:rPr>
        <w:tab/>
      </w:r>
      <w:r w:rsidR="0041689E">
        <w:rPr>
          <w:rFonts w:ascii="Arial" w:hAnsi="Arial" w:cs="Arial"/>
          <w:sz w:val="24"/>
          <w:szCs w:val="24"/>
        </w:rPr>
        <w:tab/>
      </w:r>
      <w:r w:rsidRPr="0041689E">
        <w:rPr>
          <w:rFonts w:ascii="Arial" w:hAnsi="Arial" w:cs="Arial"/>
          <w:sz w:val="24"/>
          <w:szCs w:val="24"/>
        </w:rPr>
        <w:t xml:space="preserve">2ND DEFENDANT </w:t>
      </w:r>
    </w:p>
    <w:p w14:paraId="7BD8FE56" w14:textId="3E8167B6" w:rsidR="0041689E" w:rsidRDefault="00121F2C" w:rsidP="0041689E">
      <w:pPr>
        <w:spacing w:line="480" w:lineRule="auto"/>
        <w:rPr>
          <w:rFonts w:ascii="Arial" w:hAnsi="Arial" w:cs="Arial"/>
          <w:sz w:val="24"/>
          <w:szCs w:val="24"/>
        </w:rPr>
      </w:pPr>
      <w:r w:rsidRPr="0041689E">
        <w:rPr>
          <w:rFonts w:ascii="Arial" w:hAnsi="Arial" w:cs="Arial"/>
          <w:sz w:val="24"/>
          <w:szCs w:val="24"/>
        </w:rPr>
        <w:t xml:space="preserve">THE NATIONAL COMMISSIONER OF THE SAPS </w:t>
      </w:r>
      <w:r w:rsidR="0041689E">
        <w:rPr>
          <w:rFonts w:ascii="Arial" w:hAnsi="Arial" w:cs="Arial"/>
          <w:sz w:val="24"/>
          <w:szCs w:val="24"/>
        </w:rPr>
        <w:tab/>
      </w:r>
      <w:r w:rsidR="0041689E">
        <w:rPr>
          <w:rFonts w:ascii="Arial" w:hAnsi="Arial" w:cs="Arial"/>
          <w:sz w:val="24"/>
          <w:szCs w:val="24"/>
        </w:rPr>
        <w:tab/>
      </w:r>
      <w:r w:rsidRPr="0041689E">
        <w:rPr>
          <w:rFonts w:ascii="Arial" w:hAnsi="Arial" w:cs="Arial"/>
          <w:sz w:val="24"/>
          <w:szCs w:val="24"/>
        </w:rPr>
        <w:t xml:space="preserve">3RD DEFENDANT </w:t>
      </w:r>
    </w:p>
    <w:p w14:paraId="60AAE5B4" w14:textId="50A4E002" w:rsidR="0041689E" w:rsidRDefault="00121F2C" w:rsidP="0041689E">
      <w:pPr>
        <w:spacing w:line="480" w:lineRule="auto"/>
        <w:rPr>
          <w:rFonts w:ascii="Arial" w:hAnsi="Arial" w:cs="Arial"/>
          <w:sz w:val="24"/>
          <w:szCs w:val="24"/>
        </w:rPr>
      </w:pPr>
      <w:bookmarkStart w:id="0" w:name="_Hlk156840631"/>
      <w:r w:rsidRPr="0041689E">
        <w:rPr>
          <w:rFonts w:ascii="Arial" w:hAnsi="Arial" w:cs="Arial"/>
          <w:sz w:val="24"/>
          <w:szCs w:val="24"/>
        </w:rPr>
        <w:t xml:space="preserve">THE PROVINCIAL COMMISSIONER OF POLICE </w:t>
      </w:r>
      <w:bookmarkEnd w:id="0"/>
      <w:r w:rsidR="0041689E">
        <w:rPr>
          <w:rFonts w:ascii="Arial" w:hAnsi="Arial" w:cs="Arial"/>
          <w:sz w:val="24"/>
          <w:szCs w:val="24"/>
        </w:rPr>
        <w:tab/>
      </w:r>
      <w:r w:rsidR="0041689E">
        <w:rPr>
          <w:rFonts w:ascii="Arial" w:hAnsi="Arial" w:cs="Arial"/>
          <w:sz w:val="24"/>
          <w:szCs w:val="24"/>
        </w:rPr>
        <w:tab/>
      </w:r>
      <w:r w:rsidRPr="0041689E">
        <w:rPr>
          <w:rFonts w:ascii="Arial" w:hAnsi="Arial" w:cs="Arial"/>
          <w:sz w:val="24"/>
          <w:szCs w:val="24"/>
        </w:rPr>
        <w:t xml:space="preserve">4TH DEFENDANT </w:t>
      </w:r>
    </w:p>
    <w:p w14:paraId="0C55E661" w14:textId="126A2475" w:rsidR="0041689E" w:rsidRDefault="00121F2C" w:rsidP="0041689E">
      <w:pPr>
        <w:spacing w:line="480" w:lineRule="auto"/>
        <w:rPr>
          <w:rFonts w:ascii="Arial" w:hAnsi="Arial" w:cs="Arial"/>
          <w:sz w:val="24"/>
          <w:szCs w:val="24"/>
        </w:rPr>
      </w:pPr>
      <w:r w:rsidRPr="0041689E">
        <w:rPr>
          <w:rFonts w:ascii="Arial" w:hAnsi="Arial" w:cs="Arial"/>
          <w:sz w:val="24"/>
          <w:szCs w:val="24"/>
        </w:rPr>
        <w:t xml:space="preserve">THE STATE ATTORNEY </w:t>
      </w:r>
      <w:r w:rsidR="0041689E">
        <w:rPr>
          <w:rFonts w:ascii="Arial" w:hAnsi="Arial" w:cs="Arial"/>
          <w:sz w:val="24"/>
          <w:szCs w:val="24"/>
        </w:rPr>
        <w:tab/>
      </w:r>
      <w:r w:rsidR="0041689E">
        <w:rPr>
          <w:rFonts w:ascii="Arial" w:hAnsi="Arial" w:cs="Arial"/>
          <w:sz w:val="24"/>
          <w:szCs w:val="24"/>
        </w:rPr>
        <w:tab/>
      </w:r>
      <w:r w:rsidR="0041689E">
        <w:rPr>
          <w:rFonts w:ascii="Arial" w:hAnsi="Arial" w:cs="Arial"/>
          <w:sz w:val="24"/>
          <w:szCs w:val="24"/>
        </w:rPr>
        <w:tab/>
      </w:r>
      <w:r w:rsidR="0041689E">
        <w:rPr>
          <w:rFonts w:ascii="Arial" w:hAnsi="Arial" w:cs="Arial"/>
          <w:sz w:val="24"/>
          <w:szCs w:val="24"/>
        </w:rPr>
        <w:tab/>
      </w:r>
      <w:r w:rsidR="0041689E">
        <w:rPr>
          <w:rFonts w:ascii="Arial" w:hAnsi="Arial" w:cs="Arial"/>
          <w:sz w:val="24"/>
          <w:szCs w:val="24"/>
        </w:rPr>
        <w:tab/>
      </w:r>
      <w:r w:rsidR="0041689E">
        <w:rPr>
          <w:rFonts w:ascii="Arial" w:hAnsi="Arial" w:cs="Arial"/>
          <w:sz w:val="24"/>
          <w:szCs w:val="24"/>
        </w:rPr>
        <w:tab/>
      </w:r>
      <w:r w:rsidRPr="0041689E">
        <w:rPr>
          <w:rFonts w:ascii="Arial" w:hAnsi="Arial" w:cs="Arial"/>
          <w:sz w:val="24"/>
          <w:szCs w:val="24"/>
        </w:rPr>
        <w:t>5TH DEFENDANT</w:t>
      </w:r>
    </w:p>
    <w:p w14:paraId="2DF4B212" w14:textId="4936A82A" w:rsidR="0041689E" w:rsidRPr="00565460" w:rsidRDefault="0041689E" w:rsidP="0041689E">
      <w:pPr>
        <w:pBdr>
          <w:top w:val="single" w:sz="12" w:space="1" w:color="auto"/>
          <w:bottom w:val="single" w:sz="12" w:space="1" w:color="auto"/>
        </w:pBdr>
        <w:spacing w:line="480" w:lineRule="auto"/>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65460">
        <w:rPr>
          <w:rFonts w:ascii="Arial" w:hAnsi="Arial" w:cs="Arial"/>
          <w:b/>
          <w:bCs/>
          <w:sz w:val="24"/>
          <w:szCs w:val="24"/>
        </w:rPr>
        <w:t>JUDGMENT</w:t>
      </w:r>
    </w:p>
    <w:p w14:paraId="6B9A0F62" w14:textId="77777777" w:rsidR="0041689E" w:rsidRPr="00565460" w:rsidRDefault="0041689E" w:rsidP="0041689E">
      <w:pPr>
        <w:spacing w:line="240" w:lineRule="auto"/>
        <w:rPr>
          <w:rFonts w:ascii="Arial" w:hAnsi="Arial" w:cs="Arial"/>
          <w:b/>
          <w:bCs/>
          <w:sz w:val="24"/>
          <w:szCs w:val="24"/>
          <w:u w:val="single"/>
        </w:rPr>
      </w:pPr>
      <w:r w:rsidRPr="00565460">
        <w:rPr>
          <w:rFonts w:ascii="Arial" w:hAnsi="Arial" w:cs="Arial"/>
          <w:b/>
          <w:bCs/>
          <w:sz w:val="24"/>
          <w:szCs w:val="24"/>
          <w:u w:val="single"/>
        </w:rPr>
        <w:t>KHWINANA AJ</w:t>
      </w:r>
    </w:p>
    <w:p w14:paraId="7D3B1EB9" w14:textId="77777777" w:rsidR="0041689E" w:rsidRPr="00565460" w:rsidRDefault="00121F2C" w:rsidP="0041689E">
      <w:pPr>
        <w:spacing w:line="240" w:lineRule="auto"/>
        <w:rPr>
          <w:rFonts w:ascii="Arial" w:hAnsi="Arial" w:cs="Arial"/>
          <w:b/>
          <w:bCs/>
          <w:sz w:val="24"/>
          <w:szCs w:val="24"/>
          <w:u w:val="single"/>
        </w:rPr>
      </w:pPr>
      <w:r w:rsidRPr="00565460">
        <w:rPr>
          <w:rFonts w:ascii="Arial" w:hAnsi="Arial" w:cs="Arial"/>
          <w:b/>
          <w:bCs/>
          <w:sz w:val="24"/>
          <w:szCs w:val="24"/>
          <w:u w:val="single"/>
        </w:rPr>
        <w:t xml:space="preserve">INTRODUCTION </w:t>
      </w:r>
    </w:p>
    <w:p w14:paraId="2CA1C46F" w14:textId="77777777" w:rsidR="00486816" w:rsidRDefault="0041689E" w:rsidP="0041689E">
      <w:pPr>
        <w:spacing w:line="48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t>The</w:t>
      </w:r>
      <w:r w:rsidR="00121F2C" w:rsidRPr="0041689E">
        <w:rPr>
          <w:rFonts w:ascii="Arial" w:hAnsi="Arial" w:cs="Arial"/>
          <w:sz w:val="24"/>
          <w:szCs w:val="24"/>
        </w:rPr>
        <w:t xml:space="preserve"> plaintiff instituted action against the defendant for damages suffered when the plaintiff was arrested on 14 April 2017 </w:t>
      </w:r>
      <w:r w:rsidR="00486816">
        <w:rPr>
          <w:rFonts w:ascii="Arial" w:hAnsi="Arial" w:cs="Arial"/>
          <w:sz w:val="24"/>
          <w:szCs w:val="24"/>
        </w:rPr>
        <w:t xml:space="preserve">and </w:t>
      </w:r>
      <w:r w:rsidR="00121F2C" w:rsidRPr="0041689E">
        <w:rPr>
          <w:rFonts w:ascii="Arial" w:hAnsi="Arial" w:cs="Arial"/>
          <w:sz w:val="24"/>
          <w:szCs w:val="24"/>
        </w:rPr>
        <w:t>detained until 15 April 2017.</w:t>
      </w:r>
    </w:p>
    <w:p w14:paraId="4F09B478" w14:textId="397149CF" w:rsidR="00486816" w:rsidRDefault="00121F2C" w:rsidP="0041689E">
      <w:pPr>
        <w:spacing w:line="480" w:lineRule="auto"/>
        <w:ind w:left="720" w:hanging="720"/>
        <w:rPr>
          <w:rFonts w:ascii="Arial" w:hAnsi="Arial" w:cs="Arial"/>
          <w:sz w:val="24"/>
          <w:szCs w:val="24"/>
        </w:rPr>
      </w:pPr>
      <w:r w:rsidRPr="0041689E">
        <w:rPr>
          <w:rFonts w:ascii="Arial" w:hAnsi="Arial" w:cs="Arial"/>
          <w:sz w:val="24"/>
          <w:szCs w:val="24"/>
        </w:rPr>
        <w:lastRenderedPageBreak/>
        <w:t xml:space="preserve"> </w:t>
      </w:r>
      <w:r w:rsidR="00486816">
        <w:rPr>
          <w:rFonts w:ascii="Arial" w:hAnsi="Arial" w:cs="Arial"/>
          <w:sz w:val="24"/>
          <w:szCs w:val="24"/>
        </w:rPr>
        <w:t>[2]</w:t>
      </w:r>
      <w:r w:rsidR="00486816">
        <w:rPr>
          <w:rFonts w:ascii="Arial" w:hAnsi="Arial" w:cs="Arial"/>
          <w:sz w:val="24"/>
          <w:szCs w:val="24"/>
        </w:rPr>
        <w:tab/>
      </w:r>
      <w:r w:rsidR="00353A8F">
        <w:rPr>
          <w:rFonts w:ascii="Arial" w:hAnsi="Arial" w:cs="Arial"/>
          <w:sz w:val="24"/>
          <w:szCs w:val="24"/>
        </w:rPr>
        <w:t>T</w:t>
      </w:r>
      <w:r w:rsidR="00101DA4">
        <w:rPr>
          <w:rFonts w:ascii="Arial" w:hAnsi="Arial" w:cs="Arial"/>
          <w:sz w:val="24"/>
          <w:szCs w:val="24"/>
        </w:rPr>
        <w:t xml:space="preserve">he </w:t>
      </w:r>
      <w:r w:rsidR="00353A8F">
        <w:rPr>
          <w:rFonts w:ascii="Arial" w:hAnsi="Arial" w:cs="Arial"/>
          <w:sz w:val="24"/>
          <w:szCs w:val="24"/>
        </w:rPr>
        <w:t>First D</w:t>
      </w:r>
      <w:r w:rsidR="00101DA4">
        <w:rPr>
          <w:rFonts w:ascii="Arial" w:hAnsi="Arial" w:cs="Arial"/>
          <w:sz w:val="24"/>
          <w:szCs w:val="24"/>
        </w:rPr>
        <w:t>efendant is</w:t>
      </w:r>
      <w:r w:rsidR="00353A8F">
        <w:rPr>
          <w:rFonts w:ascii="Arial" w:hAnsi="Arial" w:cs="Arial"/>
          <w:sz w:val="24"/>
          <w:szCs w:val="24"/>
        </w:rPr>
        <w:t xml:space="preserve"> </w:t>
      </w:r>
      <w:r w:rsidR="00353A8F" w:rsidRPr="00353A8F">
        <w:rPr>
          <w:rFonts w:ascii="Arial" w:hAnsi="Arial" w:cs="Arial"/>
          <w:sz w:val="24"/>
          <w:szCs w:val="24"/>
        </w:rPr>
        <w:t>THE MINISTER OF POLICE</w:t>
      </w:r>
      <w:r w:rsidR="00F52A2E">
        <w:rPr>
          <w:rFonts w:ascii="Arial" w:hAnsi="Arial" w:cs="Arial"/>
          <w:sz w:val="24"/>
          <w:szCs w:val="24"/>
        </w:rPr>
        <w:t>.</w:t>
      </w:r>
    </w:p>
    <w:p w14:paraId="61BED326" w14:textId="4A2950A2" w:rsidR="00353A8F" w:rsidRDefault="00353A8F" w:rsidP="0041689E">
      <w:pPr>
        <w:spacing w:line="480" w:lineRule="auto"/>
        <w:ind w:left="720" w:hanging="720"/>
        <w:rPr>
          <w:rFonts w:ascii="Arial" w:hAnsi="Arial" w:cs="Arial"/>
          <w:sz w:val="24"/>
          <w:szCs w:val="24"/>
        </w:rPr>
      </w:pPr>
      <w:r>
        <w:rPr>
          <w:rFonts w:ascii="Arial" w:hAnsi="Arial" w:cs="Arial"/>
          <w:sz w:val="24"/>
          <w:szCs w:val="24"/>
        </w:rPr>
        <w:tab/>
        <w:t xml:space="preserve">2.1 The Second Defendant is </w:t>
      </w:r>
      <w:r w:rsidRPr="00353A8F">
        <w:rPr>
          <w:rFonts w:ascii="Arial" w:hAnsi="Arial" w:cs="Arial"/>
          <w:sz w:val="24"/>
          <w:szCs w:val="24"/>
        </w:rPr>
        <w:t>EKURHULENI METROPOLITAN COUNCIL</w:t>
      </w:r>
      <w:r w:rsidR="00F52A2E">
        <w:rPr>
          <w:rFonts w:ascii="Arial" w:hAnsi="Arial" w:cs="Arial"/>
          <w:sz w:val="24"/>
          <w:szCs w:val="24"/>
        </w:rPr>
        <w:t>.</w:t>
      </w:r>
    </w:p>
    <w:p w14:paraId="38E65108" w14:textId="2E073244" w:rsidR="00353A8F" w:rsidRDefault="00353A8F" w:rsidP="0041689E">
      <w:pPr>
        <w:spacing w:line="480" w:lineRule="auto"/>
        <w:ind w:left="720" w:hanging="720"/>
        <w:rPr>
          <w:rFonts w:ascii="Arial" w:hAnsi="Arial" w:cs="Arial"/>
          <w:sz w:val="24"/>
          <w:szCs w:val="24"/>
        </w:rPr>
      </w:pPr>
      <w:r>
        <w:rPr>
          <w:rFonts w:ascii="Arial" w:hAnsi="Arial" w:cs="Arial"/>
          <w:sz w:val="24"/>
          <w:szCs w:val="24"/>
        </w:rPr>
        <w:tab/>
        <w:t xml:space="preserve">2.2 The third Defendant </w:t>
      </w:r>
      <w:r w:rsidRPr="00353A8F">
        <w:rPr>
          <w:rFonts w:ascii="Arial" w:hAnsi="Arial" w:cs="Arial"/>
          <w:sz w:val="24"/>
          <w:szCs w:val="24"/>
        </w:rPr>
        <w:t>THE NATIONAL COMMISSIONER OF THE SAPS</w:t>
      </w:r>
      <w:r w:rsidR="00F52A2E">
        <w:rPr>
          <w:rFonts w:ascii="Arial" w:hAnsi="Arial" w:cs="Arial"/>
          <w:sz w:val="24"/>
          <w:szCs w:val="24"/>
        </w:rPr>
        <w:t>,</w:t>
      </w:r>
    </w:p>
    <w:p w14:paraId="3E153BFE" w14:textId="65202541" w:rsidR="00353A8F" w:rsidRDefault="00353A8F" w:rsidP="0041689E">
      <w:pPr>
        <w:spacing w:line="480" w:lineRule="auto"/>
        <w:ind w:left="720" w:hanging="720"/>
        <w:rPr>
          <w:rFonts w:ascii="Arial" w:hAnsi="Arial" w:cs="Arial"/>
          <w:sz w:val="24"/>
          <w:szCs w:val="24"/>
        </w:rPr>
      </w:pPr>
      <w:r>
        <w:rPr>
          <w:rFonts w:ascii="Arial" w:hAnsi="Arial" w:cs="Arial"/>
          <w:sz w:val="24"/>
          <w:szCs w:val="24"/>
        </w:rPr>
        <w:tab/>
        <w:t xml:space="preserve">2.3 The fourth Defendant </w:t>
      </w:r>
      <w:r w:rsidRPr="00353A8F">
        <w:rPr>
          <w:rFonts w:ascii="Arial" w:hAnsi="Arial" w:cs="Arial"/>
          <w:sz w:val="24"/>
          <w:szCs w:val="24"/>
        </w:rPr>
        <w:t>THE PROVINCIAL COMMISSIONER OF POLICE</w:t>
      </w:r>
      <w:r w:rsidR="00F52A2E">
        <w:rPr>
          <w:rFonts w:ascii="Arial" w:hAnsi="Arial" w:cs="Arial"/>
          <w:sz w:val="24"/>
          <w:szCs w:val="24"/>
        </w:rPr>
        <w:t>.</w:t>
      </w:r>
    </w:p>
    <w:p w14:paraId="0A526775" w14:textId="1D42248E" w:rsidR="00101DA4" w:rsidRDefault="00353A8F" w:rsidP="00353A8F">
      <w:pPr>
        <w:spacing w:line="480" w:lineRule="auto"/>
        <w:ind w:left="720"/>
        <w:rPr>
          <w:rFonts w:ascii="Arial" w:hAnsi="Arial" w:cs="Arial"/>
          <w:sz w:val="24"/>
          <w:szCs w:val="24"/>
        </w:rPr>
      </w:pPr>
      <w:r>
        <w:rPr>
          <w:rFonts w:ascii="Arial" w:hAnsi="Arial" w:cs="Arial"/>
          <w:sz w:val="24"/>
          <w:szCs w:val="24"/>
        </w:rPr>
        <w:t xml:space="preserve">2.4 The Fifth Defendant is </w:t>
      </w:r>
      <w:r w:rsidRPr="00353A8F">
        <w:rPr>
          <w:rFonts w:ascii="Arial" w:hAnsi="Arial" w:cs="Arial"/>
          <w:sz w:val="24"/>
          <w:szCs w:val="24"/>
        </w:rPr>
        <w:t>THE STATE ATTORNEY</w:t>
      </w:r>
      <w:r w:rsidR="00F52A2E">
        <w:rPr>
          <w:rFonts w:ascii="Arial" w:hAnsi="Arial" w:cs="Arial"/>
          <w:sz w:val="24"/>
          <w:szCs w:val="24"/>
        </w:rPr>
        <w:t>.</w:t>
      </w:r>
    </w:p>
    <w:p w14:paraId="3D45EA7E" w14:textId="22EC4917" w:rsidR="00101DA4" w:rsidRDefault="00101DA4" w:rsidP="0041689E">
      <w:pPr>
        <w:spacing w:line="48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The plaintiff issued </w:t>
      </w:r>
      <w:r w:rsidR="00AB6F7B">
        <w:rPr>
          <w:rFonts w:ascii="Arial" w:hAnsi="Arial" w:cs="Arial"/>
          <w:sz w:val="24"/>
          <w:szCs w:val="24"/>
        </w:rPr>
        <w:t xml:space="preserve">a </w:t>
      </w:r>
      <w:r>
        <w:rPr>
          <w:rFonts w:ascii="Arial" w:hAnsi="Arial" w:cs="Arial"/>
          <w:sz w:val="24"/>
          <w:szCs w:val="24"/>
        </w:rPr>
        <w:t xml:space="preserve">summons for unlawful arrest and detention in the sum of R150 000.00 and R 150 000.00 for defamation. The </w:t>
      </w:r>
      <w:r w:rsidR="00E92C44">
        <w:rPr>
          <w:rFonts w:ascii="Arial" w:hAnsi="Arial" w:cs="Arial"/>
          <w:sz w:val="24"/>
          <w:szCs w:val="24"/>
        </w:rPr>
        <w:t>defendant</w:t>
      </w:r>
      <w:r>
        <w:rPr>
          <w:rFonts w:ascii="Arial" w:hAnsi="Arial" w:cs="Arial"/>
          <w:sz w:val="24"/>
          <w:szCs w:val="24"/>
        </w:rPr>
        <w:t xml:space="preserve"> </w:t>
      </w:r>
      <w:r w:rsidR="00AB6F7B">
        <w:rPr>
          <w:rFonts w:ascii="Arial" w:hAnsi="Arial" w:cs="Arial"/>
          <w:sz w:val="24"/>
          <w:szCs w:val="24"/>
        </w:rPr>
        <w:t xml:space="preserve">did not </w:t>
      </w:r>
      <w:r>
        <w:rPr>
          <w:rFonts w:ascii="Arial" w:hAnsi="Arial" w:cs="Arial"/>
          <w:sz w:val="24"/>
          <w:szCs w:val="24"/>
        </w:rPr>
        <w:t xml:space="preserve">enter an intention to defend. The </w:t>
      </w:r>
      <w:r w:rsidR="00E92C44">
        <w:rPr>
          <w:rFonts w:ascii="Arial" w:hAnsi="Arial" w:cs="Arial"/>
          <w:sz w:val="24"/>
          <w:szCs w:val="24"/>
        </w:rPr>
        <w:t>plaintiff</w:t>
      </w:r>
      <w:r>
        <w:rPr>
          <w:rFonts w:ascii="Arial" w:hAnsi="Arial" w:cs="Arial"/>
          <w:sz w:val="24"/>
          <w:szCs w:val="24"/>
        </w:rPr>
        <w:t xml:space="preserve"> alleges that he did comply in terms of section 3 (2) of Act 40 of 2002. This matter is proceeding on </w:t>
      </w:r>
      <w:r w:rsidR="00AB6F7B">
        <w:rPr>
          <w:rFonts w:ascii="Arial" w:hAnsi="Arial" w:cs="Arial"/>
          <w:sz w:val="24"/>
          <w:szCs w:val="24"/>
        </w:rPr>
        <w:t xml:space="preserve">a </w:t>
      </w:r>
      <w:r>
        <w:rPr>
          <w:rFonts w:ascii="Arial" w:hAnsi="Arial" w:cs="Arial"/>
          <w:sz w:val="24"/>
          <w:szCs w:val="24"/>
        </w:rPr>
        <w:t xml:space="preserve">default basis. I am ceased to determine if the arrest and detention </w:t>
      </w:r>
      <w:r w:rsidR="00AB6F7B">
        <w:rPr>
          <w:rFonts w:ascii="Arial" w:hAnsi="Arial" w:cs="Arial"/>
          <w:sz w:val="24"/>
          <w:szCs w:val="24"/>
        </w:rPr>
        <w:t>were</w:t>
      </w:r>
      <w:r>
        <w:rPr>
          <w:rFonts w:ascii="Arial" w:hAnsi="Arial" w:cs="Arial"/>
          <w:sz w:val="24"/>
          <w:szCs w:val="24"/>
        </w:rPr>
        <w:t xml:space="preserve"> lawful</w:t>
      </w:r>
      <w:r w:rsidR="00E92C44">
        <w:rPr>
          <w:rFonts w:ascii="Arial" w:hAnsi="Arial" w:cs="Arial"/>
          <w:sz w:val="24"/>
          <w:szCs w:val="24"/>
        </w:rPr>
        <w:t xml:space="preserve">, defamation, </w:t>
      </w:r>
      <w:r>
        <w:rPr>
          <w:rFonts w:ascii="Arial" w:hAnsi="Arial" w:cs="Arial"/>
          <w:sz w:val="24"/>
          <w:szCs w:val="24"/>
        </w:rPr>
        <w:t xml:space="preserve">and </w:t>
      </w:r>
      <w:r w:rsidR="00E92C44">
        <w:rPr>
          <w:rFonts w:ascii="Arial" w:hAnsi="Arial" w:cs="Arial"/>
          <w:sz w:val="24"/>
          <w:szCs w:val="24"/>
        </w:rPr>
        <w:t>the fair and reasonable amount of compensation.</w:t>
      </w:r>
    </w:p>
    <w:p w14:paraId="5FE3C559" w14:textId="1F1011EF" w:rsidR="00486816" w:rsidRPr="00486816" w:rsidRDefault="00486816" w:rsidP="0041689E">
      <w:pPr>
        <w:spacing w:line="480" w:lineRule="auto"/>
        <w:ind w:left="720" w:hanging="720"/>
        <w:rPr>
          <w:rFonts w:ascii="Arial" w:hAnsi="Arial" w:cs="Arial"/>
          <w:b/>
          <w:bCs/>
          <w:sz w:val="24"/>
          <w:szCs w:val="24"/>
          <w:u w:val="single"/>
        </w:rPr>
      </w:pPr>
      <w:r>
        <w:rPr>
          <w:rFonts w:ascii="Arial" w:hAnsi="Arial" w:cs="Arial"/>
          <w:sz w:val="24"/>
          <w:szCs w:val="24"/>
        </w:rPr>
        <w:tab/>
      </w:r>
      <w:r w:rsidRPr="00486816">
        <w:rPr>
          <w:rFonts w:ascii="Arial" w:hAnsi="Arial" w:cs="Arial"/>
          <w:b/>
          <w:bCs/>
          <w:sz w:val="24"/>
          <w:szCs w:val="24"/>
          <w:u w:val="single"/>
        </w:rPr>
        <w:t>BACKGROUND</w:t>
      </w:r>
    </w:p>
    <w:p w14:paraId="5358264E" w14:textId="4B7152EE" w:rsidR="00565460" w:rsidRDefault="00486816" w:rsidP="00EE7B31">
      <w:pPr>
        <w:spacing w:line="48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00121F2C" w:rsidRPr="0041689E">
        <w:rPr>
          <w:rFonts w:ascii="Arial" w:hAnsi="Arial" w:cs="Arial"/>
          <w:sz w:val="24"/>
          <w:szCs w:val="24"/>
        </w:rPr>
        <w:t>The plaintiff was arrested without a warrant</w:t>
      </w:r>
      <w:r w:rsidR="00565460">
        <w:rPr>
          <w:rFonts w:ascii="Arial" w:hAnsi="Arial" w:cs="Arial"/>
          <w:sz w:val="24"/>
          <w:szCs w:val="24"/>
        </w:rPr>
        <w:t xml:space="preserve"> of arrest on the 14</w:t>
      </w:r>
      <w:r w:rsidR="00565460" w:rsidRPr="00565460">
        <w:rPr>
          <w:rFonts w:ascii="Arial" w:hAnsi="Arial" w:cs="Arial"/>
          <w:sz w:val="24"/>
          <w:szCs w:val="24"/>
          <w:vertAlign w:val="superscript"/>
        </w:rPr>
        <w:t>th</w:t>
      </w:r>
      <w:r w:rsidR="00565460">
        <w:rPr>
          <w:rFonts w:ascii="Arial" w:hAnsi="Arial" w:cs="Arial"/>
          <w:sz w:val="24"/>
          <w:szCs w:val="24"/>
        </w:rPr>
        <w:t xml:space="preserve"> of April 2017 at a traffic light at Range View Road, Benoni</w:t>
      </w:r>
      <w:r w:rsidR="00121F2C" w:rsidRPr="0041689E">
        <w:rPr>
          <w:rFonts w:ascii="Arial" w:hAnsi="Arial" w:cs="Arial"/>
          <w:sz w:val="24"/>
          <w:szCs w:val="24"/>
        </w:rPr>
        <w:t xml:space="preserve">.  </w:t>
      </w:r>
      <w:r w:rsidR="00565460">
        <w:rPr>
          <w:rFonts w:ascii="Arial" w:hAnsi="Arial" w:cs="Arial"/>
          <w:sz w:val="24"/>
          <w:szCs w:val="24"/>
        </w:rPr>
        <w:t xml:space="preserve">He says that he was arrested by traffic officers for allegedly exceeding the speed limit under </w:t>
      </w:r>
      <w:proofErr w:type="spellStart"/>
      <w:r w:rsidR="00565460">
        <w:rPr>
          <w:rFonts w:ascii="Arial" w:hAnsi="Arial" w:cs="Arial"/>
          <w:sz w:val="24"/>
          <w:szCs w:val="24"/>
        </w:rPr>
        <w:t>cas</w:t>
      </w:r>
      <w:proofErr w:type="spellEnd"/>
      <w:r w:rsidR="00565460">
        <w:rPr>
          <w:rFonts w:ascii="Arial" w:hAnsi="Arial" w:cs="Arial"/>
          <w:sz w:val="24"/>
          <w:szCs w:val="24"/>
        </w:rPr>
        <w:t xml:space="preserve"> number 246/04/17.</w:t>
      </w:r>
    </w:p>
    <w:p w14:paraId="0A9A0398" w14:textId="53B98CF5" w:rsidR="00235BA7" w:rsidRDefault="00565460" w:rsidP="0041689E">
      <w:pPr>
        <w:spacing w:line="48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t xml:space="preserve">He says that the traffic officers did not comply with the guidelines as requested by the technical committee for speed prosecution which constitutes an inaccurate measurement of the speed </w:t>
      </w:r>
      <w:r w:rsidR="00235BA7">
        <w:rPr>
          <w:rFonts w:ascii="Arial" w:hAnsi="Arial" w:cs="Arial"/>
          <w:sz w:val="24"/>
          <w:szCs w:val="24"/>
        </w:rPr>
        <w:t>the Plaintiff was traveling at. He says he was detained at Brakpan Police Department without a just cause.</w:t>
      </w:r>
    </w:p>
    <w:p w14:paraId="03127DBC" w14:textId="4252DB07" w:rsidR="00235BA7" w:rsidRDefault="00235BA7" w:rsidP="0041689E">
      <w:pPr>
        <w:spacing w:line="48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t>He says that on the 15</w:t>
      </w:r>
      <w:r w:rsidRPr="00235BA7">
        <w:rPr>
          <w:rFonts w:ascii="Arial" w:hAnsi="Arial" w:cs="Arial"/>
          <w:sz w:val="24"/>
          <w:szCs w:val="24"/>
          <w:vertAlign w:val="superscript"/>
        </w:rPr>
        <w:t>th</w:t>
      </w:r>
      <w:r>
        <w:rPr>
          <w:rFonts w:ascii="Arial" w:hAnsi="Arial" w:cs="Arial"/>
          <w:sz w:val="24"/>
          <w:szCs w:val="24"/>
        </w:rPr>
        <w:t xml:space="preserve"> of April 2017, he was released on warning to appear in court on the 18</w:t>
      </w:r>
      <w:r w:rsidRPr="00235BA7">
        <w:rPr>
          <w:rFonts w:ascii="Arial" w:hAnsi="Arial" w:cs="Arial"/>
          <w:sz w:val="24"/>
          <w:szCs w:val="24"/>
          <w:vertAlign w:val="superscript"/>
        </w:rPr>
        <w:t>th</w:t>
      </w:r>
      <w:r>
        <w:rPr>
          <w:rFonts w:ascii="Arial" w:hAnsi="Arial" w:cs="Arial"/>
          <w:sz w:val="24"/>
          <w:szCs w:val="24"/>
        </w:rPr>
        <w:t xml:space="preserve"> of April 2017. He says he appeared several times in court and the matter was ultimately withdrawn against him. He says the police </w:t>
      </w:r>
      <w:r>
        <w:rPr>
          <w:rFonts w:ascii="Arial" w:hAnsi="Arial" w:cs="Arial"/>
          <w:sz w:val="24"/>
          <w:szCs w:val="24"/>
        </w:rPr>
        <w:lastRenderedPageBreak/>
        <w:t>officers that effected the arrest and detention were acting under the scope and cause of employment.</w:t>
      </w:r>
    </w:p>
    <w:p w14:paraId="1A213998" w14:textId="7C291E28" w:rsidR="00D41F23" w:rsidRDefault="00235BA7" w:rsidP="0041689E">
      <w:pPr>
        <w:spacing w:line="480" w:lineRule="auto"/>
        <w:ind w:left="720" w:hanging="720"/>
        <w:rPr>
          <w:rFonts w:ascii="Arial" w:hAnsi="Arial" w:cs="Arial"/>
          <w:sz w:val="24"/>
          <w:szCs w:val="24"/>
        </w:rPr>
      </w:pPr>
      <w:r>
        <w:rPr>
          <w:rFonts w:ascii="Arial" w:hAnsi="Arial" w:cs="Arial"/>
          <w:sz w:val="24"/>
          <w:szCs w:val="24"/>
        </w:rPr>
        <w:t>[7]</w:t>
      </w:r>
      <w:r>
        <w:rPr>
          <w:rFonts w:ascii="Arial" w:hAnsi="Arial" w:cs="Arial"/>
          <w:sz w:val="24"/>
          <w:szCs w:val="24"/>
        </w:rPr>
        <w:tab/>
        <w:t>He says the Metro Police failed to take the necessary steps to ensure his release</w:t>
      </w:r>
      <w:r w:rsidR="0090413D">
        <w:rPr>
          <w:rFonts w:ascii="Arial" w:hAnsi="Arial" w:cs="Arial"/>
          <w:sz w:val="24"/>
          <w:szCs w:val="24"/>
        </w:rPr>
        <w:t xml:space="preserve">, had no justification to arrest and detain him, and passed </w:t>
      </w:r>
      <w:r w:rsidR="00EE7B31">
        <w:rPr>
          <w:rFonts w:ascii="Arial" w:hAnsi="Arial" w:cs="Arial"/>
          <w:sz w:val="24"/>
          <w:szCs w:val="24"/>
        </w:rPr>
        <w:t xml:space="preserve">unsavoury and </w:t>
      </w:r>
      <w:r w:rsidR="0090413D">
        <w:rPr>
          <w:rFonts w:ascii="Arial" w:hAnsi="Arial" w:cs="Arial"/>
          <w:sz w:val="24"/>
          <w:szCs w:val="24"/>
        </w:rPr>
        <w:t>derogatory remarks in the presence of the plaintiff’s family members, members of the first and second defendant</w:t>
      </w:r>
      <w:r w:rsidR="00EE7B31">
        <w:rPr>
          <w:rFonts w:ascii="Arial" w:hAnsi="Arial" w:cs="Arial"/>
          <w:sz w:val="24"/>
          <w:szCs w:val="24"/>
        </w:rPr>
        <w:t>,</w:t>
      </w:r>
      <w:r w:rsidR="0090413D">
        <w:rPr>
          <w:rFonts w:ascii="Arial" w:hAnsi="Arial" w:cs="Arial"/>
          <w:sz w:val="24"/>
          <w:szCs w:val="24"/>
        </w:rPr>
        <w:t xml:space="preserve"> and members of the public.</w:t>
      </w:r>
      <w:r w:rsidR="00EE7B31">
        <w:rPr>
          <w:rFonts w:ascii="Arial" w:hAnsi="Arial" w:cs="Arial"/>
          <w:sz w:val="24"/>
          <w:szCs w:val="24"/>
        </w:rPr>
        <w:t xml:space="preserve"> He says</w:t>
      </w:r>
      <w:r w:rsidR="00D41F23">
        <w:rPr>
          <w:rFonts w:ascii="Arial" w:hAnsi="Arial" w:cs="Arial"/>
          <w:sz w:val="24"/>
          <w:szCs w:val="24"/>
        </w:rPr>
        <w:t xml:space="preserve"> he was detained in a deplorable and unhygienic conditions with three other inmates. He was denied his medication. He says the cell was gloomy and he could not keep track of time. He says the cell was very dirty and he was advised to shower and wash with soap upon release. He says he had to sleep next to a stinking toilet and had no toilet paper.</w:t>
      </w:r>
    </w:p>
    <w:p w14:paraId="45F7FBC5" w14:textId="55F440BD" w:rsidR="00235BA7" w:rsidRDefault="00EE7B31" w:rsidP="00D41F23">
      <w:pPr>
        <w:spacing w:line="480" w:lineRule="auto"/>
        <w:ind w:left="720" w:hanging="720"/>
        <w:rPr>
          <w:rFonts w:ascii="Arial" w:hAnsi="Arial" w:cs="Arial"/>
          <w:sz w:val="24"/>
          <w:szCs w:val="24"/>
        </w:rPr>
      </w:pPr>
      <w:r>
        <w:rPr>
          <w:rFonts w:ascii="Arial" w:hAnsi="Arial" w:cs="Arial"/>
          <w:sz w:val="24"/>
          <w:szCs w:val="24"/>
        </w:rPr>
        <w:t xml:space="preserve"> </w:t>
      </w:r>
      <w:r w:rsidR="00D41F23">
        <w:rPr>
          <w:rFonts w:ascii="Arial" w:hAnsi="Arial" w:cs="Arial"/>
          <w:sz w:val="24"/>
          <w:szCs w:val="24"/>
        </w:rPr>
        <w:t>[8]</w:t>
      </w:r>
      <w:r w:rsidR="00D41F23">
        <w:rPr>
          <w:rFonts w:ascii="Arial" w:hAnsi="Arial" w:cs="Arial"/>
          <w:sz w:val="24"/>
          <w:szCs w:val="24"/>
        </w:rPr>
        <w:tab/>
        <w:t xml:space="preserve">He says he did not have privacy with the other inmates when using the toilet. </w:t>
      </w:r>
      <w:r>
        <w:rPr>
          <w:rFonts w:ascii="Arial" w:hAnsi="Arial" w:cs="Arial"/>
          <w:sz w:val="24"/>
          <w:szCs w:val="24"/>
        </w:rPr>
        <w:t xml:space="preserve">he requested medication but was detained. </w:t>
      </w:r>
      <w:r w:rsidR="0090413D">
        <w:rPr>
          <w:rFonts w:ascii="Arial" w:hAnsi="Arial" w:cs="Arial"/>
          <w:sz w:val="24"/>
          <w:szCs w:val="24"/>
        </w:rPr>
        <w:t xml:space="preserve">The plaintiff says he suffered damages of R 150 000.00 being for seven nights and eight days and </w:t>
      </w:r>
      <w:proofErr w:type="spellStart"/>
      <w:r w:rsidR="0090413D">
        <w:rPr>
          <w:rFonts w:ascii="Arial" w:hAnsi="Arial" w:cs="Arial"/>
          <w:sz w:val="24"/>
          <w:szCs w:val="24"/>
        </w:rPr>
        <w:t>contumelia</w:t>
      </w:r>
      <w:proofErr w:type="spellEnd"/>
      <w:r w:rsidR="0090413D">
        <w:rPr>
          <w:rFonts w:ascii="Arial" w:hAnsi="Arial" w:cs="Arial"/>
          <w:sz w:val="24"/>
          <w:szCs w:val="24"/>
        </w:rPr>
        <w:t xml:space="preserve">. He says he suffered general damages in the sum of R 150 000.00 </w:t>
      </w:r>
      <w:proofErr w:type="gramStart"/>
      <w:r w:rsidR="0090413D">
        <w:rPr>
          <w:rFonts w:ascii="Arial" w:hAnsi="Arial" w:cs="Arial"/>
          <w:sz w:val="24"/>
          <w:szCs w:val="24"/>
        </w:rPr>
        <w:t>as a result of</w:t>
      </w:r>
      <w:proofErr w:type="gramEnd"/>
      <w:r w:rsidR="0090413D">
        <w:rPr>
          <w:rFonts w:ascii="Arial" w:hAnsi="Arial" w:cs="Arial"/>
          <w:sz w:val="24"/>
          <w:szCs w:val="24"/>
        </w:rPr>
        <w:t xml:space="preserve"> the enjoyment of the amenities of life in that he </w:t>
      </w:r>
      <w:r w:rsidR="00101DA4">
        <w:rPr>
          <w:rFonts w:ascii="Arial" w:hAnsi="Arial" w:cs="Arial"/>
          <w:sz w:val="24"/>
          <w:szCs w:val="24"/>
        </w:rPr>
        <w:t>suffered</w:t>
      </w:r>
      <w:r w:rsidR="0090413D">
        <w:rPr>
          <w:rFonts w:ascii="Arial" w:hAnsi="Arial" w:cs="Arial"/>
          <w:sz w:val="24"/>
          <w:szCs w:val="24"/>
        </w:rPr>
        <w:t xml:space="preserve"> loss of </w:t>
      </w:r>
      <w:r w:rsidR="00101DA4">
        <w:rPr>
          <w:rFonts w:ascii="Arial" w:hAnsi="Arial" w:cs="Arial"/>
          <w:sz w:val="24"/>
          <w:szCs w:val="24"/>
        </w:rPr>
        <w:t>self-respect, humiliation, degradation, loss of dignity</w:t>
      </w:r>
      <w:r w:rsidR="00E92C44">
        <w:rPr>
          <w:rFonts w:ascii="Arial" w:hAnsi="Arial" w:cs="Arial"/>
          <w:sz w:val="24"/>
          <w:szCs w:val="24"/>
        </w:rPr>
        <w:t>,</w:t>
      </w:r>
      <w:r w:rsidR="00101DA4">
        <w:rPr>
          <w:rFonts w:ascii="Arial" w:hAnsi="Arial" w:cs="Arial"/>
          <w:sz w:val="24"/>
          <w:szCs w:val="24"/>
        </w:rPr>
        <w:t xml:space="preserve"> and unusual and cruel punishment post-traumatic stress disorder.</w:t>
      </w:r>
    </w:p>
    <w:p w14:paraId="41E3082D" w14:textId="4B941AAE" w:rsidR="00101DA4" w:rsidRDefault="00101DA4" w:rsidP="0041689E">
      <w:pPr>
        <w:spacing w:line="48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t xml:space="preserve">The plaintiff claims R 150 000.00 for derogatory remarks passed by members of the first and second defendant in the presence of members of the public which injured his </w:t>
      </w:r>
      <w:proofErr w:type="spellStart"/>
      <w:r w:rsidRPr="00D41F23">
        <w:rPr>
          <w:rFonts w:ascii="Arial" w:hAnsi="Arial" w:cs="Arial"/>
          <w:i/>
          <w:iCs/>
          <w:sz w:val="24"/>
          <w:szCs w:val="24"/>
        </w:rPr>
        <w:t>fama</w:t>
      </w:r>
      <w:proofErr w:type="spellEnd"/>
      <w:r w:rsidR="00D41F23">
        <w:rPr>
          <w:rFonts w:ascii="Arial" w:hAnsi="Arial" w:cs="Arial"/>
          <w:sz w:val="24"/>
          <w:szCs w:val="24"/>
        </w:rPr>
        <w:t xml:space="preserve"> (name)</w:t>
      </w:r>
      <w:r>
        <w:rPr>
          <w:rFonts w:ascii="Arial" w:hAnsi="Arial" w:cs="Arial"/>
          <w:sz w:val="24"/>
          <w:szCs w:val="24"/>
        </w:rPr>
        <w:t xml:space="preserve"> </w:t>
      </w:r>
    </w:p>
    <w:p w14:paraId="01F08CD2" w14:textId="555009FD" w:rsidR="00235BA7" w:rsidRPr="00AB6F7B" w:rsidRDefault="00353A8F" w:rsidP="0041689E">
      <w:pPr>
        <w:spacing w:line="480" w:lineRule="auto"/>
        <w:ind w:left="720" w:hanging="720"/>
        <w:rPr>
          <w:rFonts w:ascii="Arial" w:hAnsi="Arial" w:cs="Arial"/>
          <w:b/>
          <w:bCs/>
          <w:sz w:val="24"/>
          <w:szCs w:val="24"/>
          <w:u w:val="single"/>
        </w:rPr>
      </w:pPr>
      <w:r>
        <w:rPr>
          <w:rFonts w:ascii="Arial" w:hAnsi="Arial" w:cs="Arial"/>
          <w:sz w:val="24"/>
          <w:szCs w:val="24"/>
        </w:rPr>
        <w:tab/>
      </w:r>
      <w:r w:rsidRPr="00AB6F7B">
        <w:rPr>
          <w:rFonts w:ascii="Arial" w:hAnsi="Arial" w:cs="Arial"/>
          <w:b/>
          <w:bCs/>
          <w:sz w:val="24"/>
          <w:szCs w:val="24"/>
          <w:u w:val="single"/>
        </w:rPr>
        <w:t>COUNSEL</w:t>
      </w:r>
      <w:r w:rsidR="00AB6F7B" w:rsidRPr="00AB6F7B">
        <w:rPr>
          <w:rFonts w:ascii="Arial" w:hAnsi="Arial" w:cs="Arial"/>
          <w:b/>
          <w:bCs/>
          <w:sz w:val="24"/>
          <w:szCs w:val="24"/>
          <w:u w:val="single"/>
        </w:rPr>
        <w:t>’S SUBMISSION</w:t>
      </w:r>
    </w:p>
    <w:p w14:paraId="42EF60B1" w14:textId="44056AC6" w:rsidR="00486816" w:rsidRDefault="00AB6F7B" w:rsidP="00AB6F7B">
      <w:pPr>
        <w:spacing w:line="480" w:lineRule="auto"/>
        <w:ind w:left="720" w:hanging="720"/>
        <w:rPr>
          <w:rFonts w:ascii="Arial" w:hAnsi="Arial" w:cs="Arial"/>
          <w:sz w:val="24"/>
          <w:szCs w:val="24"/>
        </w:rPr>
      </w:pPr>
      <w:r>
        <w:rPr>
          <w:rFonts w:ascii="Arial" w:hAnsi="Arial" w:cs="Arial"/>
          <w:sz w:val="24"/>
          <w:szCs w:val="24"/>
        </w:rPr>
        <w:t>[10]</w:t>
      </w:r>
      <w:r>
        <w:rPr>
          <w:rFonts w:ascii="Arial" w:hAnsi="Arial" w:cs="Arial"/>
          <w:sz w:val="24"/>
          <w:szCs w:val="24"/>
        </w:rPr>
        <w:tab/>
        <w:t xml:space="preserve">He </w:t>
      </w:r>
      <w:r w:rsidR="00121F2C" w:rsidRPr="0041689E">
        <w:rPr>
          <w:rFonts w:ascii="Arial" w:hAnsi="Arial" w:cs="Arial"/>
          <w:sz w:val="24"/>
          <w:szCs w:val="24"/>
        </w:rPr>
        <w:t xml:space="preserve">submitted that the arrest and subsequent detention of the plaintiff </w:t>
      </w:r>
      <w:r w:rsidR="00486816">
        <w:rPr>
          <w:rFonts w:ascii="Arial" w:hAnsi="Arial" w:cs="Arial"/>
          <w:sz w:val="24"/>
          <w:szCs w:val="24"/>
        </w:rPr>
        <w:t>were</w:t>
      </w:r>
      <w:r w:rsidR="00121F2C" w:rsidRPr="0041689E">
        <w:rPr>
          <w:rFonts w:ascii="Arial" w:hAnsi="Arial" w:cs="Arial"/>
          <w:sz w:val="24"/>
          <w:szCs w:val="24"/>
        </w:rPr>
        <w:t xml:space="preserve"> unlawful </w:t>
      </w:r>
      <w:r w:rsidR="00486816">
        <w:rPr>
          <w:rFonts w:ascii="Arial" w:hAnsi="Arial" w:cs="Arial"/>
          <w:sz w:val="24"/>
          <w:szCs w:val="24"/>
        </w:rPr>
        <w:t>because</w:t>
      </w:r>
      <w:r w:rsidR="00121F2C" w:rsidRPr="0041689E">
        <w:rPr>
          <w:rFonts w:ascii="Arial" w:hAnsi="Arial" w:cs="Arial"/>
          <w:sz w:val="24"/>
          <w:szCs w:val="24"/>
        </w:rPr>
        <w:t xml:space="preserve"> the officers who arrested the plaintiff did so without a </w:t>
      </w:r>
      <w:r w:rsidR="00121F2C" w:rsidRPr="0041689E">
        <w:rPr>
          <w:rFonts w:ascii="Arial" w:hAnsi="Arial" w:cs="Arial"/>
          <w:sz w:val="24"/>
          <w:szCs w:val="24"/>
        </w:rPr>
        <w:lastRenderedPageBreak/>
        <w:t xml:space="preserve">warrant of arrest, </w:t>
      </w:r>
      <w:r w:rsidR="00486816">
        <w:rPr>
          <w:rFonts w:ascii="Arial" w:hAnsi="Arial" w:cs="Arial"/>
          <w:sz w:val="24"/>
          <w:szCs w:val="24"/>
        </w:rPr>
        <w:t xml:space="preserve">and </w:t>
      </w:r>
      <w:r w:rsidR="00121F2C" w:rsidRPr="0041689E">
        <w:rPr>
          <w:rFonts w:ascii="Arial" w:hAnsi="Arial" w:cs="Arial"/>
          <w:sz w:val="24"/>
          <w:szCs w:val="24"/>
        </w:rPr>
        <w:t xml:space="preserve">without any reasonable suspicion, he did not exercise his discretion correctly in that there was no need to arrest the plaintiff </w:t>
      </w:r>
      <w:r w:rsidR="00486816">
        <w:rPr>
          <w:rFonts w:ascii="Arial" w:hAnsi="Arial" w:cs="Arial"/>
          <w:sz w:val="24"/>
          <w:szCs w:val="24"/>
        </w:rPr>
        <w:t>to</w:t>
      </w:r>
      <w:r w:rsidR="00121F2C" w:rsidRPr="0041689E">
        <w:rPr>
          <w:rFonts w:ascii="Arial" w:hAnsi="Arial" w:cs="Arial"/>
          <w:sz w:val="24"/>
          <w:szCs w:val="24"/>
        </w:rPr>
        <w:t xml:space="preserve"> secure his attendance at court and could have been brought before court in any of the many other formats afforded to himself in terms of the Criminal Procedure Act 51 of 1977 (hereafter referred to as “the act”), as well as in terms of Standing order G341. </w:t>
      </w:r>
    </w:p>
    <w:p w14:paraId="52610BC6" w14:textId="6CAA553D" w:rsidR="00486816" w:rsidRPr="00565460" w:rsidRDefault="00121F2C" w:rsidP="00486816">
      <w:pPr>
        <w:spacing w:line="480" w:lineRule="auto"/>
        <w:ind w:left="720"/>
        <w:rPr>
          <w:rFonts w:ascii="Arial" w:hAnsi="Arial" w:cs="Arial"/>
          <w:b/>
          <w:bCs/>
          <w:sz w:val="24"/>
          <w:szCs w:val="24"/>
          <w:u w:val="single"/>
        </w:rPr>
      </w:pPr>
      <w:r w:rsidRPr="00565460">
        <w:rPr>
          <w:rFonts w:ascii="Arial" w:hAnsi="Arial" w:cs="Arial"/>
          <w:b/>
          <w:bCs/>
          <w:sz w:val="24"/>
          <w:szCs w:val="24"/>
          <w:u w:val="single"/>
        </w:rPr>
        <w:t>THE LAW APPLICABLE</w:t>
      </w:r>
    </w:p>
    <w:p w14:paraId="6E0A384C" w14:textId="29E8BF7C" w:rsidR="00BB18D6" w:rsidRPr="00BB18D6" w:rsidRDefault="00486816" w:rsidP="00BB18D6">
      <w:pPr>
        <w:spacing w:line="480" w:lineRule="auto"/>
        <w:ind w:left="720" w:hanging="720"/>
        <w:rPr>
          <w:rFonts w:ascii="Arial" w:hAnsi="Arial" w:cs="Arial"/>
        </w:rPr>
      </w:pPr>
      <w:r>
        <w:rPr>
          <w:rFonts w:ascii="Arial" w:hAnsi="Arial" w:cs="Arial"/>
          <w:sz w:val="24"/>
          <w:szCs w:val="24"/>
        </w:rPr>
        <w:t>[</w:t>
      </w:r>
      <w:r w:rsidR="00D41F23">
        <w:rPr>
          <w:rFonts w:ascii="Arial" w:hAnsi="Arial" w:cs="Arial"/>
          <w:sz w:val="24"/>
          <w:szCs w:val="24"/>
        </w:rPr>
        <w:t>11</w:t>
      </w:r>
      <w:r>
        <w:rPr>
          <w:rFonts w:ascii="Arial" w:hAnsi="Arial" w:cs="Arial"/>
          <w:sz w:val="24"/>
          <w:szCs w:val="24"/>
        </w:rPr>
        <w:t>]</w:t>
      </w:r>
      <w:r>
        <w:rPr>
          <w:rFonts w:ascii="Arial" w:hAnsi="Arial" w:cs="Arial"/>
          <w:sz w:val="24"/>
          <w:szCs w:val="24"/>
        </w:rPr>
        <w:tab/>
      </w:r>
      <w:r w:rsidR="00BB18D6" w:rsidRPr="00BB18D6">
        <w:rPr>
          <w:rFonts w:ascii="Arial" w:hAnsi="Arial" w:cs="Arial"/>
          <w:lang w:val="en-US"/>
        </w:rPr>
        <w:t>Section 40 (1) (b) of the Criminal Procedure Act</w:t>
      </w:r>
      <w:r w:rsidR="00BB18D6">
        <w:rPr>
          <w:rStyle w:val="FootnoteReference"/>
          <w:rFonts w:ascii="Arial" w:hAnsi="Arial" w:cs="Arial"/>
          <w:lang w:val="en-US"/>
        </w:rPr>
        <w:footnoteReference w:id="1"/>
      </w:r>
      <w:r w:rsidR="00BB18D6" w:rsidRPr="00BB18D6">
        <w:rPr>
          <w:rFonts w:ascii="Arial" w:hAnsi="Arial" w:cs="Arial"/>
          <w:lang w:val="en-US"/>
        </w:rPr>
        <w:t>, sets out the essential jurisdictional facts</w:t>
      </w:r>
      <w:r w:rsidR="00BB18D6">
        <w:rPr>
          <w:rFonts w:ascii="Arial" w:hAnsi="Arial" w:cs="Arial"/>
          <w:lang w:val="en-US"/>
        </w:rPr>
        <w:t xml:space="preserve"> </w:t>
      </w:r>
      <w:r w:rsidR="00BB18D6" w:rsidRPr="00BB18D6">
        <w:rPr>
          <w:rFonts w:ascii="Arial" w:hAnsi="Arial" w:cs="Arial"/>
          <w:lang w:val="en-US"/>
        </w:rPr>
        <w:t xml:space="preserve">that </w:t>
      </w:r>
      <w:proofErr w:type="gramStart"/>
      <w:r w:rsidR="00BB18D6" w:rsidRPr="00BB18D6">
        <w:rPr>
          <w:rFonts w:ascii="Arial" w:hAnsi="Arial" w:cs="Arial"/>
          <w:lang w:val="en-US"/>
        </w:rPr>
        <w:t>have to</w:t>
      </w:r>
      <w:proofErr w:type="gramEnd"/>
      <w:r w:rsidR="00BB18D6" w:rsidRPr="00BB18D6">
        <w:rPr>
          <w:rFonts w:ascii="Arial" w:hAnsi="Arial" w:cs="Arial"/>
          <w:lang w:val="en-US"/>
        </w:rPr>
        <w:t xml:space="preserve"> be present to justify an arrest without a warrant. These </w:t>
      </w:r>
      <w:proofErr w:type="gramStart"/>
      <w:r w:rsidR="00BB18D6" w:rsidRPr="00BB18D6">
        <w:rPr>
          <w:rFonts w:ascii="Arial" w:hAnsi="Arial" w:cs="Arial"/>
          <w:lang w:val="en-US"/>
        </w:rPr>
        <w:t>are;-</w:t>
      </w:r>
      <w:proofErr w:type="gramEnd"/>
    </w:p>
    <w:p w14:paraId="191EBC44" w14:textId="77777777" w:rsidR="00BB18D6" w:rsidRPr="00BB18D6" w:rsidRDefault="00BB18D6" w:rsidP="00BB18D6">
      <w:pPr>
        <w:spacing w:line="480" w:lineRule="auto"/>
        <w:ind w:left="720"/>
        <w:rPr>
          <w:rFonts w:ascii="Arial" w:hAnsi="Arial" w:cs="Arial"/>
          <w:sz w:val="24"/>
          <w:szCs w:val="24"/>
        </w:rPr>
      </w:pPr>
      <w:r w:rsidRPr="00BB18D6">
        <w:rPr>
          <w:rFonts w:ascii="Arial" w:hAnsi="Arial" w:cs="Arial"/>
          <w:sz w:val="24"/>
          <w:szCs w:val="24"/>
          <w:lang w:val="en-US"/>
        </w:rPr>
        <w:t xml:space="preserve">(a)       The arresting officer must be a peace </w:t>
      </w:r>
      <w:proofErr w:type="gramStart"/>
      <w:r w:rsidRPr="00BB18D6">
        <w:rPr>
          <w:rFonts w:ascii="Arial" w:hAnsi="Arial" w:cs="Arial"/>
          <w:sz w:val="24"/>
          <w:szCs w:val="24"/>
          <w:lang w:val="en-US"/>
        </w:rPr>
        <w:t>officer;</w:t>
      </w:r>
      <w:proofErr w:type="gramEnd"/>
    </w:p>
    <w:p w14:paraId="4B292B88" w14:textId="77777777" w:rsidR="00BB18D6" w:rsidRPr="00BB18D6" w:rsidRDefault="00BB18D6" w:rsidP="00BB18D6">
      <w:pPr>
        <w:spacing w:line="480" w:lineRule="auto"/>
        <w:ind w:left="720"/>
        <w:rPr>
          <w:rFonts w:ascii="Arial" w:hAnsi="Arial" w:cs="Arial"/>
          <w:sz w:val="24"/>
          <w:szCs w:val="24"/>
        </w:rPr>
      </w:pPr>
      <w:r w:rsidRPr="00BB18D6">
        <w:rPr>
          <w:rFonts w:ascii="Arial" w:hAnsi="Arial" w:cs="Arial"/>
          <w:sz w:val="24"/>
          <w:szCs w:val="24"/>
          <w:lang w:val="en-US"/>
        </w:rPr>
        <w:t xml:space="preserve">(b)       The arresting officer must entertain a </w:t>
      </w:r>
      <w:proofErr w:type="gramStart"/>
      <w:r w:rsidRPr="00BB18D6">
        <w:rPr>
          <w:rFonts w:ascii="Arial" w:hAnsi="Arial" w:cs="Arial"/>
          <w:sz w:val="24"/>
          <w:szCs w:val="24"/>
          <w:lang w:val="en-US"/>
        </w:rPr>
        <w:t>suspicion;</w:t>
      </w:r>
      <w:proofErr w:type="gramEnd"/>
    </w:p>
    <w:p w14:paraId="12AEFFCF" w14:textId="77777777" w:rsidR="00BB18D6" w:rsidRDefault="00BB18D6" w:rsidP="00BB18D6">
      <w:pPr>
        <w:spacing w:line="480" w:lineRule="auto"/>
        <w:ind w:left="720"/>
        <w:rPr>
          <w:rFonts w:ascii="Arial" w:hAnsi="Arial" w:cs="Arial"/>
          <w:sz w:val="24"/>
          <w:szCs w:val="24"/>
          <w:lang w:val="en-US"/>
        </w:rPr>
      </w:pPr>
      <w:r w:rsidRPr="00BB18D6">
        <w:rPr>
          <w:rFonts w:ascii="Arial" w:hAnsi="Arial" w:cs="Arial"/>
          <w:sz w:val="24"/>
          <w:szCs w:val="24"/>
          <w:lang w:val="en-US"/>
        </w:rPr>
        <w:t xml:space="preserve">(c)       The suspicion must be that the suspect committed an offence </w:t>
      </w:r>
    </w:p>
    <w:p w14:paraId="0577EE68" w14:textId="7DBAABAB" w:rsidR="00BB18D6" w:rsidRPr="00BB18D6" w:rsidRDefault="00BB18D6" w:rsidP="00BB18D6">
      <w:pPr>
        <w:spacing w:line="480" w:lineRule="auto"/>
        <w:ind w:left="720"/>
        <w:rPr>
          <w:rFonts w:ascii="Arial" w:hAnsi="Arial" w:cs="Arial"/>
          <w:sz w:val="24"/>
          <w:szCs w:val="24"/>
        </w:rPr>
      </w:pPr>
      <w:r>
        <w:rPr>
          <w:rFonts w:ascii="Arial" w:hAnsi="Arial" w:cs="Arial"/>
          <w:sz w:val="24"/>
          <w:szCs w:val="24"/>
          <w:lang w:val="en-US"/>
        </w:rPr>
        <w:t xml:space="preserve">            </w:t>
      </w:r>
      <w:r w:rsidRPr="00BB18D6">
        <w:rPr>
          <w:rFonts w:ascii="Arial" w:hAnsi="Arial" w:cs="Arial"/>
          <w:sz w:val="24"/>
          <w:szCs w:val="24"/>
          <w:lang w:val="en-US"/>
        </w:rPr>
        <w:t>to in Schedule 1; and</w:t>
      </w:r>
    </w:p>
    <w:p w14:paraId="110A9CA8" w14:textId="5F0B5B79" w:rsidR="00BB18D6" w:rsidRDefault="00BB18D6" w:rsidP="004C22C7">
      <w:pPr>
        <w:spacing w:line="480" w:lineRule="auto"/>
        <w:ind w:left="720"/>
        <w:rPr>
          <w:rFonts w:ascii="Arial" w:hAnsi="Arial" w:cs="Arial"/>
          <w:sz w:val="24"/>
          <w:szCs w:val="24"/>
        </w:rPr>
      </w:pPr>
      <w:r w:rsidRPr="00BB18D6">
        <w:rPr>
          <w:rFonts w:ascii="Arial" w:hAnsi="Arial" w:cs="Arial"/>
          <w:sz w:val="24"/>
          <w:szCs w:val="24"/>
          <w:lang w:val="en-US"/>
        </w:rPr>
        <w:t>(d)       The suspicion must be based on reasonable grounds.</w:t>
      </w:r>
    </w:p>
    <w:p w14:paraId="460EB813" w14:textId="6FDA1116" w:rsidR="00486816" w:rsidRDefault="00BA5691" w:rsidP="00BA5691">
      <w:pPr>
        <w:spacing w:line="480"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121F2C" w:rsidRPr="0041689E">
        <w:rPr>
          <w:rFonts w:ascii="Arial" w:hAnsi="Arial" w:cs="Arial"/>
          <w:sz w:val="24"/>
          <w:szCs w:val="24"/>
        </w:rPr>
        <w:t>Botha v Minster of Safety; January v Minister of Safety and Security</w:t>
      </w:r>
      <w:r w:rsidR="003F3249">
        <w:rPr>
          <w:rStyle w:val="FootnoteReference"/>
          <w:rFonts w:ascii="Arial" w:hAnsi="Arial" w:cs="Arial"/>
          <w:sz w:val="24"/>
          <w:szCs w:val="24"/>
        </w:rPr>
        <w:footnoteReference w:id="2"/>
      </w:r>
      <w:r w:rsidR="00121F2C" w:rsidRPr="0041689E">
        <w:rPr>
          <w:rFonts w:ascii="Arial" w:hAnsi="Arial" w:cs="Arial"/>
          <w:sz w:val="24"/>
          <w:szCs w:val="24"/>
        </w:rPr>
        <w:t xml:space="preserve"> has held that in a case where the Minister of Safety and Security is being sued for unlawful arrest and detention and does not deny the arrest and the detention, the onus to justify the detention as being lawful rests on the defendant and the burden shifts to the defendant </w:t>
      </w:r>
      <w:r w:rsidR="00486816">
        <w:rPr>
          <w:rFonts w:ascii="Arial" w:hAnsi="Arial" w:cs="Arial"/>
          <w:sz w:val="24"/>
          <w:szCs w:val="24"/>
        </w:rPr>
        <w:t>based on</w:t>
      </w:r>
      <w:r w:rsidR="00121F2C" w:rsidRPr="0041689E">
        <w:rPr>
          <w:rFonts w:ascii="Arial" w:hAnsi="Arial" w:cs="Arial"/>
          <w:sz w:val="24"/>
          <w:szCs w:val="24"/>
        </w:rPr>
        <w:t xml:space="preserve"> the provisions of Section 12(1) of the Constitution</w:t>
      </w:r>
      <w:r w:rsidR="003F3249">
        <w:rPr>
          <w:rFonts w:ascii="Arial" w:hAnsi="Arial" w:cs="Arial"/>
          <w:sz w:val="24"/>
          <w:szCs w:val="24"/>
        </w:rPr>
        <w:t>.</w:t>
      </w:r>
      <w:r w:rsidR="003F3249">
        <w:rPr>
          <w:rStyle w:val="FootnoteReference"/>
          <w:rFonts w:ascii="Arial" w:hAnsi="Arial" w:cs="Arial"/>
          <w:sz w:val="24"/>
          <w:szCs w:val="24"/>
        </w:rPr>
        <w:footnoteReference w:id="3"/>
      </w:r>
    </w:p>
    <w:p w14:paraId="608E1CF5" w14:textId="0B64C745" w:rsidR="00486816" w:rsidRDefault="00486816" w:rsidP="00486816">
      <w:pPr>
        <w:spacing w:line="480" w:lineRule="auto"/>
        <w:ind w:left="720" w:hanging="720"/>
        <w:rPr>
          <w:rFonts w:ascii="Arial" w:hAnsi="Arial" w:cs="Arial"/>
          <w:sz w:val="24"/>
          <w:szCs w:val="24"/>
        </w:rPr>
      </w:pPr>
      <w:r>
        <w:rPr>
          <w:rFonts w:ascii="Arial" w:hAnsi="Arial" w:cs="Arial"/>
          <w:sz w:val="24"/>
          <w:szCs w:val="24"/>
        </w:rPr>
        <w:lastRenderedPageBreak/>
        <w:t>[</w:t>
      </w:r>
      <w:r w:rsidR="00D41F23">
        <w:rPr>
          <w:rFonts w:ascii="Arial" w:hAnsi="Arial" w:cs="Arial"/>
          <w:sz w:val="24"/>
          <w:szCs w:val="24"/>
        </w:rPr>
        <w:t>1</w:t>
      </w:r>
      <w:r w:rsidR="00BA5691">
        <w:rPr>
          <w:rFonts w:ascii="Arial" w:hAnsi="Arial" w:cs="Arial"/>
          <w:sz w:val="24"/>
          <w:szCs w:val="24"/>
        </w:rPr>
        <w:t>3</w:t>
      </w:r>
      <w:r>
        <w:rPr>
          <w:rFonts w:ascii="Arial" w:hAnsi="Arial" w:cs="Arial"/>
          <w:sz w:val="24"/>
          <w:szCs w:val="24"/>
        </w:rPr>
        <w:t>]</w:t>
      </w:r>
      <w:r>
        <w:rPr>
          <w:rFonts w:ascii="Arial" w:hAnsi="Arial" w:cs="Arial"/>
          <w:sz w:val="24"/>
          <w:szCs w:val="24"/>
        </w:rPr>
        <w:tab/>
      </w:r>
      <w:r w:rsidR="00121F2C" w:rsidRPr="0041689E">
        <w:rPr>
          <w:rFonts w:ascii="Arial" w:hAnsi="Arial" w:cs="Arial"/>
          <w:sz w:val="24"/>
          <w:szCs w:val="24"/>
        </w:rPr>
        <w:t xml:space="preserve">These provisions, therefore, place an obligation on the police official who </w:t>
      </w:r>
      <w:r w:rsidR="003F3249">
        <w:rPr>
          <w:rFonts w:ascii="Arial" w:hAnsi="Arial" w:cs="Arial"/>
          <w:sz w:val="24"/>
          <w:szCs w:val="24"/>
        </w:rPr>
        <w:t>is</w:t>
      </w:r>
      <w:r w:rsidR="00121F2C" w:rsidRPr="0041689E">
        <w:rPr>
          <w:rFonts w:ascii="Arial" w:hAnsi="Arial" w:cs="Arial"/>
          <w:sz w:val="24"/>
          <w:szCs w:val="24"/>
        </w:rPr>
        <w:t xml:space="preserve"> bestowed with duties to arrest and detain persons charged with and/or suspected of the commission of criminal offences, to establish before detaining the person, the justification and lawfulness of such arrest and detention. </w:t>
      </w:r>
    </w:p>
    <w:p w14:paraId="1C875CF8" w14:textId="2E0ABE0F" w:rsidR="00486816" w:rsidRDefault="00486816" w:rsidP="00BA5691">
      <w:pPr>
        <w:spacing w:line="480" w:lineRule="auto"/>
        <w:ind w:left="720" w:hanging="720"/>
        <w:rPr>
          <w:rFonts w:ascii="Arial" w:hAnsi="Arial" w:cs="Arial"/>
          <w:sz w:val="24"/>
          <w:szCs w:val="24"/>
        </w:rPr>
      </w:pPr>
      <w:r>
        <w:rPr>
          <w:rFonts w:ascii="Arial" w:hAnsi="Arial" w:cs="Arial"/>
          <w:sz w:val="24"/>
          <w:szCs w:val="24"/>
        </w:rPr>
        <w:t>[</w:t>
      </w:r>
      <w:r w:rsidR="00D41F23">
        <w:rPr>
          <w:rFonts w:ascii="Arial" w:hAnsi="Arial" w:cs="Arial"/>
          <w:sz w:val="24"/>
          <w:szCs w:val="24"/>
        </w:rPr>
        <w:t>1</w:t>
      </w:r>
      <w:r w:rsidR="00BA5691">
        <w:rPr>
          <w:rFonts w:ascii="Arial" w:hAnsi="Arial" w:cs="Arial"/>
          <w:sz w:val="24"/>
          <w:szCs w:val="24"/>
        </w:rPr>
        <w:t>4</w:t>
      </w:r>
      <w:r>
        <w:rPr>
          <w:rFonts w:ascii="Arial" w:hAnsi="Arial" w:cs="Arial"/>
          <w:sz w:val="24"/>
          <w:szCs w:val="24"/>
        </w:rPr>
        <w:t>]</w:t>
      </w:r>
      <w:r>
        <w:rPr>
          <w:rFonts w:ascii="Arial" w:hAnsi="Arial" w:cs="Arial"/>
          <w:sz w:val="24"/>
          <w:szCs w:val="24"/>
        </w:rPr>
        <w:tab/>
      </w:r>
      <w:r w:rsidR="00121F2C" w:rsidRPr="0041689E">
        <w:rPr>
          <w:rFonts w:ascii="Arial" w:hAnsi="Arial" w:cs="Arial"/>
          <w:sz w:val="24"/>
          <w:szCs w:val="24"/>
        </w:rPr>
        <w:t xml:space="preserve">It is trite that the onus rests on </w:t>
      </w:r>
      <w:r>
        <w:rPr>
          <w:rFonts w:ascii="Arial" w:hAnsi="Arial" w:cs="Arial"/>
          <w:sz w:val="24"/>
          <w:szCs w:val="24"/>
        </w:rPr>
        <w:t>the</w:t>
      </w:r>
      <w:r w:rsidR="00121F2C" w:rsidRPr="0041689E">
        <w:rPr>
          <w:rFonts w:ascii="Arial" w:hAnsi="Arial" w:cs="Arial"/>
          <w:sz w:val="24"/>
          <w:szCs w:val="24"/>
        </w:rPr>
        <w:t xml:space="preserve"> police to justify the arrest. Rabie CJ explained in Minister of </w:t>
      </w:r>
      <w:proofErr w:type="gramStart"/>
      <w:r w:rsidR="00121F2C" w:rsidRPr="0041689E">
        <w:rPr>
          <w:rFonts w:ascii="Arial" w:hAnsi="Arial" w:cs="Arial"/>
          <w:sz w:val="24"/>
          <w:szCs w:val="24"/>
        </w:rPr>
        <w:t>Law and Order</w:t>
      </w:r>
      <w:proofErr w:type="gramEnd"/>
      <w:r w:rsidR="00121F2C" w:rsidRPr="0041689E">
        <w:rPr>
          <w:rFonts w:ascii="Arial" w:hAnsi="Arial" w:cs="Arial"/>
          <w:sz w:val="24"/>
          <w:szCs w:val="24"/>
        </w:rPr>
        <w:t xml:space="preserve"> v Hurley and Another</w:t>
      </w:r>
      <w:r w:rsidR="003F3249">
        <w:rPr>
          <w:rStyle w:val="FootnoteReference"/>
          <w:rFonts w:ascii="Arial" w:hAnsi="Arial" w:cs="Arial"/>
          <w:sz w:val="24"/>
          <w:szCs w:val="24"/>
        </w:rPr>
        <w:footnoteReference w:id="4"/>
      </w:r>
      <w:r w:rsidR="00121F2C" w:rsidRPr="0041689E">
        <w:rPr>
          <w:rFonts w:ascii="Arial" w:hAnsi="Arial" w:cs="Arial"/>
          <w:sz w:val="24"/>
          <w:szCs w:val="24"/>
        </w:rPr>
        <w:t>: ‘that an arrest constitutes an interference with the liberty of the individual concerned, and it</w:t>
      </w:r>
      <w:r>
        <w:rPr>
          <w:rFonts w:ascii="Arial" w:hAnsi="Arial" w:cs="Arial"/>
          <w:sz w:val="24"/>
          <w:szCs w:val="24"/>
        </w:rPr>
        <w:t>, therefore,</w:t>
      </w:r>
      <w:r w:rsidR="00121F2C" w:rsidRPr="0041689E">
        <w:rPr>
          <w:rFonts w:ascii="Arial" w:hAnsi="Arial" w:cs="Arial"/>
          <w:sz w:val="24"/>
          <w:szCs w:val="24"/>
        </w:rPr>
        <w:t xml:space="preserve"> seems fair and just to require that the person who arrested or caused the arrest of another person should bear the onus of proving that his action was justified. </w:t>
      </w:r>
    </w:p>
    <w:p w14:paraId="056FB62D" w14:textId="04020B6E" w:rsidR="00486816" w:rsidRDefault="00486816" w:rsidP="00486816">
      <w:pPr>
        <w:spacing w:line="480" w:lineRule="auto"/>
        <w:ind w:left="720" w:hanging="720"/>
        <w:rPr>
          <w:rFonts w:ascii="Arial" w:hAnsi="Arial" w:cs="Arial"/>
          <w:i/>
          <w:iCs/>
          <w:sz w:val="24"/>
          <w:szCs w:val="24"/>
          <w:lang w:val="en-US"/>
        </w:rPr>
      </w:pPr>
      <w:r>
        <w:rPr>
          <w:rFonts w:ascii="Arial" w:hAnsi="Arial" w:cs="Arial"/>
          <w:sz w:val="24"/>
          <w:szCs w:val="24"/>
        </w:rPr>
        <w:t>[</w:t>
      </w:r>
      <w:r w:rsidR="00D41F23">
        <w:rPr>
          <w:rFonts w:ascii="Arial" w:hAnsi="Arial" w:cs="Arial"/>
          <w:sz w:val="24"/>
          <w:szCs w:val="24"/>
        </w:rPr>
        <w:t>1</w:t>
      </w:r>
      <w:r w:rsidR="00BA5691">
        <w:rPr>
          <w:rFonts w:ascii="Arial" w:hAnsi="Arial" w:cs="Arial"/>
          <w:sz w:val="24"/>
          <w:szCs w:val="24"/>
        </w:rPr>
        <w:t>5</w:t>
      </w:r>
      <w:r>
        <w:rPr>
          <w:rFonts w:ascii="Arial" w:hAnsi="Arial" w:cs="Arial"/>
          <w:sz w:val="24"/>
          <w:szCs w:val="24"/>
        </w:rPr>
        <w:t>]</w:t>
      </w:r>
      <w:r>
        <w:rPr>
          <w:rFonts w:ascii="Arial" w:hAnsi="Arial" w:cs="Arial"/>
          <w:sz w:val="24"/>
          <w:szCs w:val="24"/>
        </w:rPr>
        <w:tab/>
      </w:r>
      <w:r w:rsidR="00121F2C" w:rsidRPr="0041689E">
        <w:rPr>
          <w:rFonts w:ascii="Arial" w:hAnsi="Arial" w:cs="Arial"/>
          <w:sz w:val="24"/>
          <w:szCs w:val="24"/>
        </w:rPr>
        <w:t xml:space="preserve"> </w:t>
      </w:r>
      <w:r w:rsidR="003F3249" w:rsidRPr="003F3249">
        <w:rPr>
          <w:rFonts w:ascii="Arial" w:hAnsi="Arial" w:cs="Arial"/>
          <w:sz w:val="24"/>
          <w:szCs w:val="24"/>
          <w:lang w:val="en-US"/>
        </w:rPr>
        <w:t>In </w:t>
      </w:r>
      <w:r w:rsidR="003F3249" w:rsidRPr="003F3249">
        <w:rPr>
          <w:rFonts w:ascii="Arial" w:hAnsi="Arial" w:cs="Arial"/>
          <w:i/>
          <w:iCs/>
          <w:sz w:val="24"/>
          <w:szCs w:val="24"/>
          <w:lang w:val="en-US"/>
        </w:rPr>
        <w:t>Biyela v Minister of Police</w:t>
      </w:r>
      <w:r w:rsidR="003F3249">
        <w:rPr>
          <w:rStyle w:val="FootnoteReference"/>
          <w:rFonts w:ascii="Arial" w:hAnsi="Arial" w:cs="Arial"/>
          <w:i/>
          <w:iCs/>
          <w:sz w:val="24"/>
          <w:szCs w:val="24"/>
          <w:lang w:val="en-US"/>
        </w:rPr>
        <w:footnoteReference w:id="5"/>
      </w:r>
      <w:r w:rsidR="003F3249" w:rsidRPr="003F3249">
        <w:rPr>
          <w:rFonts w:ascii="Arial" w:hAnsi="Arial" w:cs="Arial"/>
          <w:i/>
          <w:iCs/>
          <w:sz w:val="24"/>
          <w:szCs w:val="24"/>
          <w:lang w:val="en-US"/>
        </w:rPr>
        <w:t>, </w:t>
      </w:r>
      <w:r w:rsidR="003F3249" w:rsidRPr="003F3249">
        <w:rPr>
          <w:rFonts w:ascii="Arial" w:hAnsi="Arial" w:cs="Arial"/>
          <w:sz w:val="24"/>
          <w:szCs w:val="24"/>
          <w:lang w:val="en-US"/>
        </w:rPr>
        <w:t xml:space="preserve">the court affirmed that the test whether a suspicion is reasonable, is objectively justiciable. At [34] Musi AJA said </w:t>
      </w:r>
      <w:proofErr w:type="gramStart"/>
      <w:r w:rsidR="003F3249" w:rsidRPr="003F3249">
        <w:rPr>
          <w:rFonts w:ascii="Arial" w:hAnsi="Arial" w:cs="Arial"/>
          <w:sz w:val="24"/>
          <w:szCs w:val="24"/>
          <w:lang w:val="en-US"/>
        </w:rPr>
        <w:t>“ </w:t>
      </w:r>
      <w:r w:rsidR="003F3249" w:rsidRPr="003F3249">
        <w:rPr>
          <w:rFonts w:ascii="Arial" w:hAnsi="Arial" w:cs="Arial"/>
          <w:i/>
          <w:iCs/>
          <w:sz w:val="24"/>
          <w:szCs w:val="24"/>
          <w:lang w:val="en-US"/>
        </w:rPr>
        <w:t>The</w:t>
      </w:r>
      <w:proofErr w:type="gramEnd"/>
      <w:r w:rsidR="003F3249" w:rsidRPr="003F3249">
        <w:rPr>
          <w:rFonts w:ascii="Arial" w:hAnsi="Arial" w:cs="Arial"/>
          <w:i/>
          <w:iCs/>
          <w:sz w:val="24"/>
          <w:szCs w:val="24"/>
          <w:lang w:val="en-US"/>
        </w:rPr>
        <w:t xml:space="preserve"> standard of a reasonable suspicion is very low. The reasonable suspicion must be more than a hunch; it should </w:t>
      </w:r>
      <w:r w:rsidR="00BA5691">
        <w:rPr>
          <w:rFonts w:ascii="Arial" w:hAnsi="Arial" w:cs="Arial"/>
          <w:i/>
          <w:iCs/>
          <w:sz w:val="24"/>
          <w:szCs w:val="24"/>
          <w:lang w:val="en-US"/>
        </w:rPr>
        <w:t>not be</w:t>
      </w:r>
      <w:r w:rsidR="003F3249" w:rsidRPr="003F3249">
        <w:rPr>
          <w:rFonts w:ascii="Arial" w:hAnsi="Arial" w:cs="Arial"/>
          <w:i/>
          <w:iCs/>
          <w:sz w:val="24"/>
          <w:szCs w:val="24"/>
          <w:lang w:val="en-US"/>
        </w:rPr>
        <w:t xml:space="preserve"> an </w:t>
      </w:r>
      <w:proofErr w:type="spellStart"/>
      <w:r w:rsidR="003F3249" w:rsidRPr="003F3249">
        <w:rPr>
          <w:rFonts w:ascii="Arial" w:hAnsi="Arial" w:cs="Arial"/>
          <w:i/>
          <w:iCs/>
          <w:sz w:val="24"/>
          <w:szCs w:val="24"/>
          <w:lang w:val="en-US"/>
        </w:rPr>
        <w:t>unparticularised</w:t>
      </w:r>
      <w:proofErr w:type="spellEnd"/>
      <w:r w:rsidR="003F3249" w:rsidRPr="003F3249">
        <w:rPr>
          <w:rFonts w:ascii="Arial" w:hAnsi="Arial" w:cs="Arial"/>
          <w:i/>
          <w:iCs/>
          <w:sz w:val="24"/>
          <w:szCs w:val="24"/>
          <w:lang w:val="en-US"/>
        </w:rPr>
        <w:t xml:space="preserve"> suspicion. Whether that information would later, in a court of law, be found to be inadmissible is neither here nor there for the determination of whether the arresting officer at the time of arrest </w:t>
      </w:r>
      <w:proofErr w:type="spellStart"/>
      <w:r w:rsidR="003F3249" w:rsidRPr="003F3249">
        <w:rPr>
          <w:rFonts w:ascii="Arial" w:hAnsi="Arial" w:cs="Arial"/>
          <w:i/>
          <w:iCs/>
          <w:sz w:val="24"/>
          <w:szCs w:val="24"/>
          <w:lang w:val="en-US"/>
        </w:rPr>
        <w:t>harboured</w:t>
      </w:r>
      <w:proofErr w:type="spellEnd"/>
      <w:r w:rsidR="003F3249" w:rsidRPr="003F3249">
        <w:rPr>
          <w:rFonts w:ascii="Arial" w:hAnsi="Arial" w:cs="Arial"/>
          <w:i/>
          <w:iCs/>
          <w:sz w:val="24"/>
          <w:szCs w:val="24"/>
          <w:lang w:val="en-US"/>
        </w:rPr>
        <w:t xml:space="preserve"> a reasonable suspicion that the arrested person committed a Schedule 1 offence”.</w:t>
      </w:r>
    </w:p>
    <w:p w14:paraId="1D7EBD95" w14:textId="25BED81F" w:rsidR="00BB18D6" w:rsidRDefault="00BB18D6" w:rsidP="00BB18D6">
      <w:pPr>
        <w:spacing w:line="480" w:lineRule="auto"/>
        <w:ind w:left="720" w:hanging="720"/>
        <w:jc w:val="both"/>
        <w:rPr>
          <w:rFonts w:ascii="Arial" w:hAnsi="Arial" w:cs="Arial"/>
          <w:sz w:val="24"/>
          <w:szCs w:val="24"/>
          <w:lang w:val="en-US"/>
        </w:rPr>
      </w:pPr>
      <w:r w:rsidRPr="00BB18D6">
        <w:rPr>
          <w:rFonts w:ascii="Arial" w:hAnsi="Arial" w:cs="Arial"/>
          <w:sz w:val="24"/>
          <w:szCs w:val="24"/>
          <w:lang w:val="en-US"/>
        </w:rPr>
        <w:t>[1</w:t>
      </w:r>
      <w:r w:rsidR="00BA5691">
        <w:rPr>
          <w:rFonts w:ascii="Arial" w:hAnsi="Arial" w:cs="Arial"/>
          <w:sz w:val="24"/>
          <w:szCs w:val="24"/>
          <w:lang w:val="en-US"/>
        </w:rPr>
        <w:t>6</w:t>
      </w:r>
      <w:r w:rsidRPr="00BB18D6">
        <w:rPr>
          <w:rFonts w:ascii="Arial" w:hAnsi="Arial" w:cs="Arial"/>
          <w:sz w:val="24"/>
          <w:szCs w:val="24"/>
          <w:lang w:val="en-US"/>
        </w:rPr>
        <w:t>]</w:t>
      </w:r>
      <w:r w:rsidRPr="00BB18D6">
        <w:rPr>
          <w:rFonts w:ascii="Arial" w:hAnsi="Arial" w:cs="Arial"/>
          <w:sz w:val="24"/>
          <w:szCs w:val="24"/>
          <w:lang w:val="en-US"/>
        </w:rPr>
        <w:tab/>
        <w:t xml:space="preserve">It is now a well-established principle of our law that a person's freedom and security are sacrosanct and are protected by our Constitution. </w:t>
      </w:r>
      <w:proofErr w:type="gramStart"/>
      <w:r w:rsidRPr="00BB18D6">
        <w:rPr>
          <w:rFonts w:ascii="Arial" w:hAnsi="Arial" w:cs="Arial"/>
          <w:sz w:val="24"/>
          <w:szCs w:val="24"/>
          <w:lang w:val="en-US"/>
        </w:rPr>
        <w:t>In  Mahlangu</w:t>
      </w:r>
      <w:proofErr w:type="gramEnd"/>
      <w:r w:rsidRPr="00BB18D6">
        <w:rPr>
          <w:rFonts w:ascii="Arial" w:hAnsi="Arial" w:cs="Arial"/>
          <w:sz w:val="24"/>
          <w:szCs w:val="24"/>
          <w:lang w:val="en-US"/>
        </w:rPr>
        <w:t> and Another v Minister of Police</w:t>
      </w:r>
      <w:r>
        <w:rPr>
          <w:rFonts w:ascii="Arial" w:hAnsi="Arial" w:cs="Arial"/>
          <w:sz w:val="24"/>
          <w:szCs w:val="24"/>
          <w:lang w:val="en-US"/>
        </w:rPr>
        <w:t>,</w:t>
      </w:r>
      <w:r>
        <w:rPr>
          <w:rStyle w:val="FootnoteReference"/>
          <w:rFonts w:ascii="Arial" w:hAnsi="Arial" w:cs="Arial"/>
          <w:sz w:val="24"/>
          <w:szCs w:val="24"/>
          <w:lang w:val="en-US"/>
        </w:rPr>
        <w:footnoteReference w:id="6"/>
      </w:r>
      <w:r w:rsidRPr="00BB18D6">
        <w:rPr>
          <w:rFonts w:ascii="Arial" w:hAnsi="Arial" w:cs="Arial"/>
          <w:sz w:val="24"/>
          <w:szCs w:val="24"/>
          <w:lang w:val="en-US"/>
        </w:rPr>
        <w:t xml:space="preserve">  </w:t>
      </w:r>
      <w:proofErr w:type="spellStart"/>
      <w:r w:rsidRPr="00BB18D6">
        <w:rPr>
          <w:rFonts w:ascii="Arial" w:hAnsi="Arial" w:cs="Arial"/>
          <w:sz w:val="24"/>
          <w:szCs w:val="24"/>
          <w:lang w:val="en-US"/>
        </w:rPr>
        <w:t>Tshiqi</w:t>
      </w:r>
      <w:proofErr w:type="spellEnd"/>
      <w:r w:rsidRPr="00BB18D6">
        <w:rPr>
          <w:rFonts w:ascii="Arial" w:hAnsi="Arial" w:cs="Arial"/>
          <w:sz w:val="24"/>
          <w:szCs w:val="24"/>
          <w:lang w:val="en-US"/>
        </w:rPr>
        <w:t xml:space="preserve"> J captured this principle as follows at </w:t>
      </w:r>
      <w:r>
        <w:rPr>
          <w:rFonts w:ascii="Arial" w:hAnsi="Arial" w:cs="Arial"/>
          <w:sz w:val="24"/>
          <w:szCs w:val="24"/>
          <w:lang w:val="en-US"/>
        </w:rPr>
        <w:t>“</w:t>
      </w:r>
      <w:r w:rsidRPr="00BB18D6">
        <w:rPr>
          <w:rFonts w:ascii="Arial" w:hAnsi="Arial" w:cs="Arial"/>
          <w:sz w:val="24"/>
          <w:szCs w:val="24"/>
          <w:lang w:val="en-US"/>
        </w:rPr>
        <w:t xml:space="preserve">It is </w:t>
      </w:r>
      <w:r w:rsidRPr="00BB18D6">
        <w:rPr>
          <w:rFonts w:ascii="Arial" w:hAnsi="Arial" w:cs="Arial"/>
          <w:sz w:val="24"/>
          <w:szCs w:val="24"/>
          <w:lang w:val="en-US"/>
        </w:rPr>
        <w:lastRenderedPageBreak/>
        <w:t xml:space="preserve">now trite that public policy is informed by the Constitution. Our Constitution values freedom, understandably so when regard is had to how, before the dawn of democracy, freedom for </w:t>
      </w:r>
      <w:proofErr w:type="gramStart"/>
      <w:r w:rsidRPr="00BB18D6">
        <w:rPr>
          <w:rFonts w:ascii="Arial" w:hAnsi="Arial" w:cs="Arial"/>
          <w:sz w:val="24"/>
          <w:szCs w:val="24"/>
          <w:lang w:val="en-US"/>
        </w:rPr>
        <w:t>the majority of</w:t>
      </w:r>
      <w:proofErr w:type="gramEnd"/>
      <w:r w:rsidRPr="00BB18D6">
        <w:rPr>
          <w:rFonts w:ascii="Arial" w:hAnsi="Arial" w:cs="Arial"/>
          <w:sz w:val="24"/>
          <w:szCs w:val="24"/>
          <w:lang w:val="en-US"/>
        </w:rPr>
        <w:t xml:space="preserve"> our people was close to non-existence. The primacy of “human dignity, the achievement of equality and the advancement of human rights and freedoms” is recognized in the founding values contained in section 1 of the Constitution… These constitutional provisions and the protection in section 12 of the right of freedom and security of the person are at the heart of public policy consideration</w:t>
      </w:r>
      <w:r>
        <w:rPr>
          <w:rFonts w:ascii="Arial" w:hAnsi="Arial" w:cs="Arial"/>
          <w:sz w:val="24"/>
          <w:szCs w:val="24"/>
          <w:lang w:val="en-US"/>
        </w:rPr>
        <w:t>”</w:t>
      </w:r>
      <w:r w:rsidRPr="00BB18D6">
        <w:rPr>
          <w:rFonts w:ascii="Arial" w:hAnsi="Arial" w:cs="Arial"/>
          <w:sz w:val="24"/>
          <w:szCs w:val="24"/>
          <w:lang w:val="en-US"/>
        </w:rPr>
        <w:t>.</w:t>
      </w:r>
    </w:p>
    <w:p w14:paraId="57DB8F25" w14:textId="77777777" w:rsidR="00F95E59" w:rsidRPr="00F95E59" w:rsidRDefault="00F95E59" w:rsidP="00F95E59">
      <w:pPr>
        <w:spacing w:line="480" w:lineRule="auto"/>
        <w:ind w:left="720" w:hanging="720"/>
        <w:jc w:val="both"/>
        <w:rPr>
          <w:rFonts w:ascii="Arial" w:hAnsi="Arial" w:cs="Arial"/>
        </w:rPr>
      </w:pPr>
      <w:r>
        <w:rPr>
          <w:rFonts w:ascii="Arial" w:hAnsi="Arial" w:cs="Arial"/>
          <w:sz w:val="24"/>
          <w:szCs w:val="24"/>
          <w:lang w:val="en-US"/>
        </w:rPr>
        <w:t>[17]</w:t>
      </w:r>
      <w:r>
        <w:rPr>
          <w:rFonts w:ascii="Arial" w:hAnsi="Arial" w:cs="Arial"/>
          <w:sz w:val="24"/>
          <w:szCs w:val="24"/>
          <w:lang w:val="en-US"/>
        </w:rPr>
        <w:tab/>
      </w:r>
      <w:r w:rsidRPr="00F95E59">
        <w:rPr>
          <w:rFonts w:ascii="Arial" w:hAnsi="Arial" w:cs="Arial"/>
        </w:rPr>
        <w:t>In </w:t>
      </w:r>
      <w:r w:rsidRPr="00F95E59">
        <w:rPr>
          <w:rFonts w:ascii="Arial" w:hAnsi="Arial" w:cs="Arial"/>
          <w:b/>
          <w:bCs/>
        </w:rPr>
        <w:t>Rahim and 14</w:t>
      </w:r>
      <w:r w:rsidRPr="00F95E59">
        <w:rPr>
          <w:rFonts w:ascii="Arial" w:hAnsi="Arial" w:cs="Arial"/>
        </w:rPr>
        <w:t> </w:t>
      </w:r>
      <w:r w:rsidRPr="00F95E59">
        <w:rPr>
          <w:rFonts w:ascii="Arial" w:hAnsi="Arial" w:cs="Arial"/>
          <w:b/>
          <w:bCs/>
        </w:rPr>
        <w:t>Others v Minister of Home Affairs</w:t>
      </w:r>
      <w:r w:rsidRPr="00F95E59">
        <w:rPr>
          <w:rFonts w:ascii="Arial" w:hAnsi="Arial" w:cs="Arial"/>
        </w:rPr>
        <w:t> (4) SA 433 (SCA) at paragraph 27 it was stated:</w:t>
      </w:r>
    </w:p>
    <w:p w14:paraId="1D0F6253" w14:textId="77777777" w:rsidR="00F95E59" w:rsidRPr="00F95E59" w:rsidRDefault="00F95E59" w:rsidP="00F95E59">
      <w:pPr>
        <w:spacing w:line="480" w:lineRule="auto"/>
        <w:ind w:left="720"/>
        <w:jc w:val="both"/>
        <w:rPr>
          <w:rFonts w:ascii="Arial" w:hAnsi="Arial" w:cs="Arial"/>
          <w:sz w:val="24"/>
          <w:szCs w:val="24"/>
        </w:rPr>
      </w:pPr>
      <w:r w:rsidRPr="00F95E59">
        <w:rPr>
          <w:rFonts w:ascii="Arial" w:hAnsi="Arial" w:cs="Arial"/>
          <w:sz w:val="24"/>
          <w:szCs w:val="24"/>
        </w:rPr>
        <w:t>‘</w:t>
      </w:r>
      <w:proofErr w:type="gramStart"/>
      <w:r w:rsidRPr="00F95E59">
        <w:rPr>
          <w:rFonts w:ascii="Arial" w:hAnsi="Arial" w:cs="Arial"/>
          <w:sz w:val="24"/>
          <w:szCs w:val="24"/>
        </w:rPr>
        <w:t>the</w:t>
      </w:r>
      <w:proofErr w:type="gramEnd"/>
      <w:r w:rsidRPr="00F95E59">
        <w:rPr>
          <w:rFonts w:ascii="Arial" w:hAnsi="Arial" w:cs="Arial"/>
          <w:sz w:val="24"/>
          <w:szCs w:val="24"/>
        </w:rPr>
        <w:t xml:space="preserve"> deprivation of liability is indeed a serious matter.  In cases of non-patrimonial loss where damages are claimed the extent of damages cannot be assessed with mathematical precision.  In such cases the exercise of a reasonable discretion by the court and broad general considerations ploy a decisive role in the process of quantification.   This does not, of course absolve a plaintiff of adducing evidence which will enable a court to make an appropriate and fair award.  In cases involving deprivation of liability the amount of satisfaction is calculated by the court </w:t>
      </w:r>
      <w:r w:rsidRPr="00F95E59">
        <w:rPr>
          <w:rFonts w:ascii="Arial" w:hAnsi="Arial" w:cs="Arial"/>
          <w:i/>
          <w:iCs/>
          <w:sz w:val="24"/>
          <w:szCs w:val="24"/>
        </w:rPr>
        <w:t>ex aequo et bono</w:t>
      </w:r>
      <w:r w:rsidRPr="00F95E59">
        <w:rPr>
          <w:rFonts w:ascii="Arial" w:hAnsi="Arial" w:cs="Arial"/>
          <w:sz w:val="24"/>
          <w:szCs w:val="24"/>
        </w:rPr>
        <w:t>.  </w:t>
      </w:r>
      <w:r w:rsidRPr="00F95E59">
        <w:rPr>
          <w:rFonts w:ascii="Arial" w:hAnsi="Arial" w:cs="Arial"/>
          <w:i/>
          <w:iCs/>
          <w:sz w:val="24"/>
          <w:szCs w:val="24"/>
        </w:rPr>
        <w:t>Inter alia</w:t>
      </w:r>
      <w:r w:rsidRPr="00F95E59">
        <w:rPr>
          <w:rFonts w:ascii="Arial" w:hAnsi="Arial" w:cs="Arial"/>
          <w:sz w:val="24"/>
          <w:szCs w:val="24"/>
        </w:rPr>
        <w:t> the following factors are relevant:</w:t>
      </w:r>
    </w:p>
    <w:p w14:paraId="723BC27F" w14:textId="39ED43E9" w:rsidR="00F95E59" w:rsidRPr="00F95E59" w:rsidRDefault="00F95E59" w:rsidP="00F95E59">
      <w:pPr>
        <w:spacing w:line="480" w:lineRule="auto"/>
        <w:ind w:left="720"/>
        <w:jc w:val="both"/>
        <w:rPr>
          <w:rFonts w:ascii="Arial" w:hAnsi="Arial" w:cs="Arial"/>
          <w:sz w:val="24"/>
          <w:szCs w:val="24"/>
        </w:rPr>
      </w:pPr>
      <w:r w:rsidRPr="00F95E59">
        <w:rPr>
          <w:rFonts w:ascii="Arial" w:hAnsi="Arial" w:cs="Arial"/>
          <w:sz w:val="24"/>
          <w:szCs w:val="24"/>
        </w:rPr>
        <w:t>‘</w:t>
      </w:r>
      <w:r>
        <w:rPr>
          <w:rFonts w:ascii="Arial" w:hAnsi="Arial" w:cs="Arial"/>
          <w:sz w:val="24"/>
          <w:szCs w:val="24"/>
        </w:rPr>
        <w:t>1</w:t>
      </w:r>
      <w:r w:rsidRPr="00F95E59">
        <w:rPr>
          <w:rFonts w:ascii="Arial" w:hAnsi="Arial" w:cs="Arial"/>
          <w:sz w:val="24"/>
          <w:szCs w:val="24"/>
        </w:rPr>
        <w:t xml:space="preserve">7.1    circumstances under which the deprivation of liability took </w:t>
      </w:r>
      <w:proofErr w:type="gramStart"/>
      <w:r w:rsidRPr="00F95E59">
        <w:rPr>
          <w:rFonts w:ascii="Arial" w:hAnsi="Arial" w:cs="Arial"/>
          <w:sz w:val="24"/>
          <w:szCs w:val="24"/>
        </w:rPr>
        <w:t>place;</w:t>
      </w:r>
      <w:proofErr w:type="gramEnd"/>
    </w:p>
    <w:p w14:paraId="79A172C0" w14:textId="31756235" w:rsidR="00F95E59" w:rsidRPr="00F95E59" w:rsidRDefault="00F95E59" w:rsidP="00F95E59">
      <w:pPr>
        <w:spacing w:line="480" w:lineRule="auto"/>
        <w:ind w:left="720"/>
        <w:jc w:val="both"/>
        <w:rPr>
          <w:rFonts w:ascii="Arial" w:hAnsi="Arial" w:cs="Arial"/>
          <w:sz w:val="24"/>
          <w:szCs w:val="24"/>
        </w:rPr>
      </w:pPr>
      <w:r>
        <w:rPr>
          <w:rFonts w:ascii="Arial" w:hAnsi="Arial" w:cs="Arial"/>
          <w:sz w:val="24"/>
          <w:szCs w:val="24"/>
        </w:rPr>
        <w:t>1</w:t>
      </w:r>
      <w:r w:rsidRPr="00F95E59">
        <w:rPr>
          <w:rFonts w:ascii="Arial" w:hAnsi="Arial" w:cs="Arial"/>
          <w:sz w:val="24"/>
          <w:szCs w:val="24"/>
        </w:rPr>
        <w:t>7.2     the conduct of the defendants; and</w:t>
      </w:r>
    </w:p>
    <w:p w14:paraId="41BC3041" w14:textId="23EDDF46" w:rsidR="00F95E59" w:rsidRPr="00F95E59" w:rsidRDefault="00F95E59" w:rsidP="00F95E59">
      <w:pPr>
        <w:spacing w:line="480" w:lineRule="auto"/>
        <w:ind w:left="720"/>
        <w:jc w:val="both"/>
        <w:rPr>
          <w:rFonts w:ascii="Arial" w:hAnsi="Arial" w:cs="Arial"/>
          <w:sz w:val="24"/>
          <w:szCs w:val="24"/>
        </w:rPr>
      </w:pPr>
      <w:r>
        <w:rPr>
          <w:rFonts w:ascii="Arial" w:hAnsi="Arial" w:cs="Arial"/>
          <w:sz w:val="24"/>
          <w:szCs w:val="24"/>
        </w:rPr>
        <w:t>1</w:t>
      </w:r>
      <w:r w:rsidRPr="00F95E59">
        <w:rPr>
          <w:rFonts w:ascii="Arial" w:hAnsi="Arial" w:cs="Arial"/>
          <w:sz w:val="24"/>
          <w:szCs w:val="24"/>
        </w:rPr>
        <w:t>7.3     the nature and duration of deprivation …’</w:t>
      </w:r>
    </w:p>
    <w:p w14:paraId="5D16C93B" w14:textId="6B93F4DE" w:rsidR="00F95E59" w:rsidRDefault="00F95E59" w:rsidP="00BB18D6">
      <w:pPr>
        <w:spacing w:line="480" w:lineRule="auto"/>
        <w:ind w:left="720" w:hanging="720"/>
        <w:jc w:val="both"/>
        <w:rPr>
          <w:rFonts w:ascii="Arial" w:hAnsi="Arial" w:cs="Arial"/>
          <w:sz w:val="24"/>
          <w:szCs w:val="24"/>
          <w:lang w:val="en-US"/>
        </w:rPr>
      </w:pPr>
    </w:p>
    <w:p w14:paraId="069F1592" w14:textId="19598EFD" w:rsidR="003F3249" w:rsidRPr="00BA5691" w:rsidRDefault="00BB18D6" w:rsidP="00BA5691">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[1</w:t>
      </w:r>
      <w:r w:rsidR="00F95E59">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Pr="00BB18D6">
        <w:rPr>
          <w:rFonts w:ascii="Arial" w:hAnsi="Arial" w:cs="Arial"/>
          <w:sz w:val="24"/>
          <w:szCs w:val="24"/>
          <w:lang w:val="en-US"/>
        </w:rPr>
        <w:t>The general approach regarding the amount of damages for unlawful arrest and detention</w:t>
      </w:r>
      <w:r>
        <w:rPr>
          <w:rFonts w:ascii="Arial" w:hAnsi="Arial" w:cs="Arial"/>
          <w:sz w:val="24"/>
          <w:szCs w:val="24"/>
          <w:lang w:val="en-US"/>
        </w:rPr>
        <w:t xml:space="preserve"> </w:t>
      </w:r>
      <w:r w:rsidRPr="00BB18D6">
        <w:rPr>
          <w:rFonts w:ascii="Arial" w:hAnsi="Arial" w:cs="Arial"/>
          <w:sz w:val="24"/>
          <w:szCs w:val="24"/>
          <w:lang w:val="en-US"/>
        </w:rPr>
        <w:t xml:space="preserve">was appropriately captured by </w:t>
      </w:r>
      <w:proofErr w:type="spellStart"/>
      <w:r w:rsidRPr="00BB18D6">
        <w:rPr>
          <w:rFonts w:ascii="Arial" w:hAnsi="Arial" w:cs="Arial"/>
          <w:sz w:val="24"/>
          <w:szCs w:val="24"/>
          <w:lang w:val="en-US"/>
        </w:rPr>
        <w:t>Bosielo</w:t>
      </w:r>
      <w:proofErr w:type="spellEnd"/>
      <w:r w:rsidRPr="00BB18D6">
        <w:rPr>
          <w:rFonts w:ascii="Arial" w:hAnsi="Arial" w:cs="Arial"/>
          <w:sz w:val="24"/>
          <w:szCs w:val="24"/>
          <w:lang w:val="en-US"/>
        </w:rPr>
        <w:t xml:space="preserve"> AJ in </w:t>
      </w:r>
      <w:r w:rsidRPr="00BB18D6">
        <w:rPr>
          <w:rFonts w:ascii="Arial" w:hAnsi="Arial" w:cs="Arial"/>
          <w:i/>
          <w:iCs/>
          <w:sz w:val="24"/>
          <w:szCs w:val="24"/>
          <w:lang w:val="en-US"/>
        </w:rPr>
        <w:t xml:space="preserve">Minister of Safety and Security v </w:t>
      </w:r>
      <w:proofErr w:type="spellStart"/>
      <w:r w:rsidRPr="00BB18D6">
        <w:rPr>
          <w:rFonts w:ascii="Arial" w:hAnsi="Arial" w:cs="Arial"/>
          <w:i/>
          <w:iCs/>
          <w:sz w:val="24"/>
          <w:szCs w:val="24"/>
          <w:lang w:val="en-US"/>
        </w:rPr>
        <w:t>Tyulu</w:t>
      </w:r>
      <w:proofErr w:type="spellEnd"/>
      <w:r w:rsidR="00203AF2">
        <w:rPr>
          <w:rStyle w:val="FootnoteReference"/>
          <w:rFonts w:ascii="Arial" w:hAnsi="Arial" w:cs="Arial"/>
          <w:i/>
          <w:iCs/>
          <w:sz w:val="24"/>
          <w:szCs w:val="24"/>
          <w:lang w:val="en-US"/>
        </w:rPr>
        <w:footnoteReference w:id="7"/>
      </w:r>
      <w:r w:rsidRPr="00BB18D6">
        <w:rPr>
          <w:rFonts w:ascii="Arial" w:hAnsi="Arial" w:cs="Arial"/>
          <w:sz w:val="24"/>
          <w:szCs w:val="24"/>
          <w:lang w:val="en-US"/>
        </w:rPr>
        <w:t>, at [26], the Judge remarked thus “ </w:t>
      </w:r>
      <w:r w:rsidRPr="00BB18D6">
        <w:rPr>
          <w:rFonts w:ascii="Arial" w:hAnsi="Arial" w:cs="Arial"/>
          <w:i/>
          <w:iCs/>
          <w:sz w:val="24"/>
          <w:szCs w:val="24"/>
          <w:lang w:val="en-US"/>
        </w:rPr>
        <w:t xml:space="preserve">In the assessment of damages for </w:t>
      </w:r>
      <w:r>
        <w:rPr>
          <w:rFonts w:ascii="Arial" w:hAnsi="Arial" w:cs="Arial"/>
          <w:i/>
          <w:iCs/>
          <w:sz w:val="24"/>
          <w:szCs w:val="24"/>
          <w:lang w:val="en-US"/>
        </w:rPr>
        <w:t>unlawful</w:t>
      </w:r>
      <w:r w:rsidRPr="00BB18D6">
        <w:rPr>
          <w:rFonts w:ascii="Arial" w:hAnsi="Arial" w:cs="Arial"/>
          <w:i/>
          <w:iCs/>
          <w:sz w:val="24"/>
          <w:szCs w:val="24"/>
          <w:lang w:val="en-US"/>
        </w:rPr>
        <w:t xml:space="preserve"> arrest and detention, it is important to bear in mind that the primary purpose is not to enrich the aggrieved party but to offer him or her some much-needed solatium for his or her injured feelings. It is therefore crucial that serious attempts be made to ensure that the damages awarded are </w:t>
      </w:r>
      <w:proofErr w:type="spellStart"/>
      <w:r w:rsidRPr="00BB18D6">
        <w:rPr>
          <w:rFonts w:ascii="Arial" w:hAnsi="Arial" w:cs="Arial"/>
          <w:i/>
          <w:iCs/>
          <w:sz w:val="24"/>
          <w:szCs w:val="24"/>
          <w:lang w:val="en-US"/>
        </w:rPr>
        <w:t>comensurate</w:t>
      </w:r>
      <w:proofErr w:type="spellEnd"/>
      <w:r w:rsidRPr="00BB18D6">
        <w:rPr>
          <w:rFonts w:ascii="Arial" w:hAnsi="Arial" w:cs="Arial"/>
          <w:i/>
          <w:iCs/>
          <w:sz w:val="24"/>
          <w:szCs w:val="24"/>
          <w:lang w:val="en-US"/>
        </w:rPr>
        <w:t xml:space="preserve"> with the injury inflicted. </w:t>
      </w:r>
      <w:r w:rsidRPr="00BB18D6">
        <w:rPr>
          <w:rFonts w:ascii="Arial" w:hAnsi="Arial" w:cs="Arial"/>
          <w:sz w:val="24"/>
          <w:szCs w:val="24"/>
          <w:lang w:val="en-US"/>
        </w:rPr>
        <w:t xml:space="preserve">Therefore, the correct approach is to have regard to all the facts of the </w:t>
      </w:r>
      <w:proofErr w:type="gramStart"/>
      <w:r w:rsidRPr="00BB18D6">
        <w:rPr>
          <w:rFonts w:ascii="Arial" w:hAnsi="Arial" w:cs="Arial"/>
          <w:sz w:val="24"/>
          <w:szCs w:val="24"/>
          <w:lang w:val="en-US"/>
        </w:rPr>
        <w:t>particular case</w:t>
      </w:r>
      <w:proofErr w:type="gramEnd"/>
      <w:r w:rsidRPr="00BB18D6">
        <w:rPr>
          <w:rFonts w:ascii="Arial" w:hAnsi="Arial" w:cs="Arial"/>
          <w:sz w:val="24"/>
          <w:szCs w:val="24"/>
          <w:lang w:val="en-US"/>
        </w:rPr>
        <w:t xml:space="preserve"> and to determine the quantum of damages </w:t>
      </w:r>
      <w:proofErr w:type="gramStart"/>
      <w:r w:rsidRPr="00BB18D6">
        <w:rPr>
          <w:rFonts w:ascii="Arial" w:hAnsi="Arial" w:cs="Arial"/>
          <w:sz w:val="24"/>
          <w:szCs w:val="24"/>
          <w:lang w:val="en-US"/>
        </w:rPr>
        <w:t>on</w:t>
      </w:r>
      <w:proofErr w:type="gramEnd"/>
      <w:r w:rsidRPr="00BB18D6">
        <w:rPr>
          <w:rFonts w:ascii="Arial" w:hAnsi="Arial" w:cs="Arial"/>
          <w:sz w:val="24"/>
          <w:szCs w:val="24"/>
          <w:lang w:val="en-US"/>
        </w:rPr>
        <w:t xml:space="preserve"> such facts.</w:t>
      </w:r>
    </w:p>
    <w:p w14:paraId="68CEBD99" w14:textId="793214C5" w:rsidR="003F3249" w:rsidRDefault="00BA5691" w:rsidP="004C22C7">
      <w:pPr>
        <w:spacing w:line="480" w:lineRule="auto"/>
        <w:ind w:left="720" w:hanging="720"/>
        <w:rPr>
          <w:rFonts w:ascii="Arial" w:hAnsi="Arial" w:cs="Arial"/>
          <w:i/>
          <w:iCs/>
          <w:sz w:val="24"/>
          <w:szCs w:val="24"/>
        </w:rPr>
      </w:pPr>
      <w:r>
        <w:rPr>
          <w:rFonts w:ascii="Arial" w:hAnsi="Arial" w:cs="Arial"/>
          <w:sz w:val="24"/>
          <w:szCs w:val="24"/>
        </w:rPr>
        <w:t>[1</w:t>
      </w:r>
      <w:r w:rsidR="00F95E59">
        <w:rPr>
          <w:rFonts w:ascii="Arial" w:hAnsi="Arial" w:cs="Arial"/>
          <w:sz w:val="24"/>
          <w:szCs w:val="24"/>
        </w:rPr>
        <w:t>9</w:t>
      </w:r>
      <w:r>
        <w:rPr>
          <w:rFonts w:ascii="Arial" w:hAnsi="Arial" w:cs="Arial"/>
          <w:sz w:val="24"/>
          <w:szCs w:val="24"/>
        </w:rPr>
        <w:t>]</w:t>
      </w:r>
      <w:r>
        <w:rPr>
          <w:rFonts w:ascii="Arial" w:hAnsi="Arial" w:cs="Arial"/>
          <w:sz w:val="24"/>
          <w:szCs w:val="24"/>
        </w:rPr>
        <w:tab/>
      </w:r>
      <w:r w:rsidR="004C22C7">
        <w:rPr>
          <w:rFonts w:ascii="Arial" w:hAnsi="Arial" w:cs="Arial"/>
          <w:sz w:val="24"/>
          <w:szCs w:val="24"/>
        </w:rPr>
        <w:t xml:space="preserve">In </w:t>
      </w:r>
      <w:proofErr w:type="spellStart"/>
      <w:r w:rsidR="004C22C7" w:rsidRPr="004C22C7">
        <w:rPr>
          <w:rFonts w:ascii="Arial" w:hAnsi="Arial" w:cs="Arial"/>
          <w:sz w:val="24"/>
          <w:szCs w:val="24"/>
        </w:rPr>
        <w:t>Mathunjwa</w:t>
      </w:r>
      <w:proofErr w:type="spellEnd"/>
      <w:r w:rsidR="004C22C7" w:rsidRPr="004C22C7">
        <w:rPr>
          <w:rFonts w:ascii="Arial" w:hAnsi="Arial" w:cs="Arial"/>
          <w:sz w:val="24"/>
          <w:szCs w:val="24"/>
        </w:rPr>
        <w:t xml:space="preserve"> v Minister of Police (A3134/2021) [2023] ZAGPJHC 12 (11 January </w:t>
      </w:r>
      <w:r w:rsidR="004C22C7">
        <w:rPr>
          <w:rFonts w:ascii="Arial" w:hAnsi="Arial" w:cs="Arial"/>
          <w:sz w:val="24"/>
          <w:szCs w:val="24"/>
        </w:rPr>
        <w:t xml:space="preserve">2023 this principle was reiterated that </w:t>
      </w:r>
      <w:r w:rsidR="003F3249" w:rsidRPr="003F3249">
        <w:rPr>
          <w:rFonts w:ascii="Arial" w:hAnsi="Arial" w:cs="Arial"/>
          <w:sz w:val="24"/>
          <w:szCs w:val="24"/>
        </w:rPr>
        <w:t>“</w:t>
      </w:r>
      <w:r w:rsidR="003F3249" w:rsidRPr="003F3249">
        <w:rPr>
          <w:rFonts w:ascii="Arial" w:hAnsi="Arial" w:cs="Arial"/>
          <w:i/>
          <w:iCs/>
          <w:sz w:val="24"/>
          <w:szCs w:val="24"/>
        </w:rPr>
        <w:t>Money can never be more than a crude solatium for the deprivation of what in truth can never be restored and there is no empirical measure for the loss….It needs to be kept in mind when making such awards that there are many legitimate calls upon the public purse to ensure that other rights that are no less important also receive protection</w:t>
      </w:r>
      <w:r>
        <w:rPr>
          <w:rFonts w:ascii="Arial" w:hAnsi="Arial" w:cs="Arial"/>
          <w:i/>
          <w:iCs/>
          <w:sz w:val="24"/>
          <w:szCs w:val="24"/>
        </w:rPr>
        <w:t>”</w:t>
      </w:r>
      <w:r w:rsidR="004C22C7">
        <w:rPr>
          <w:rStyle w:val="FootnoteReference"/>
          <w:rFonts w:ascii="Arial" w:hAnsi="Arial" w:cs="Arial"/>
          <w:i/>
          <w:iCs/>
          <w:sz w:val="24"/>
          <w:szCs w:val="24"/>
        </w:rPr>
        <w:footnoteReference w:id="8"/>
      </w:r>
      <w:r w:rsidR="003F3249" w:rsidRPr="003F3249">
        <w:rPr>
          <w:rFonts w:ascii="Arial" w:hAnsi="Arial" w:cs="Arial"/>
          <w:i/>
          <w:iCs/>
          <w:sz w:val="24"/>
          <w:szCs w:val="24"/>
        </w:rPr>
        <w:t>..</w:t>
      </w:r>
    </w:p>
    <w:p w14:paraId="255187A9" w14:textId="78FC1A44" w:rsidR="00725FED" w:rsidRPr="00725FED" w:rsidRDefault="00725FED" w:rsidP="00725FED">
      <w:pPr>
        <w:spacing w:line="480" w:lineRule="auto"/>
        <w:ind w:left="720" w:hanging="720"/>
        <w:rPr>
          <w:rFonts w:ascii="Arial" w:hAnsi="Arial" w:cs="Arial"/>
          <w:i/>
          <w:iCs/>
        </w:rPr>
      </w:pPr>
      <w:r>
        <w:rPr>
          <w:rFonts w:ascii="Arial" w:hAnsi="Arial" w:cs="Arial"/>
          <w:i/>
          <w:iCs/>
          <w:sz w:val="24"/>
          <w:szCs w:val="24"/>
        </w:rPr>
        <w:t>[20]</w:t>
      </w:r>
      <w:r>
        <w:rPr>
          <w:rFonts w:ascii="Arial" w:hAnsi="Arial" w:cs="Arial"/>
          <w:i/>
          <w:iCs/>
          <w:sz w:val="24"/>
          <w:szCs w:val="24"/>
        </w:rPr>
        <w:tab/>
        <w:t>I</w:t>
      </w:r>
      <w:r w:rsidRPr="00725FED">
        <w:rPr>
          <w:rFonts w:ascii="Arial" w:hAnsi="Arial" w:cs="Arial"/>
          <w:i/>
          <w:iCs/>
        </w:rPr>
        <w:t>n </w:t>
      </w:r>
      <w:r w:rsidRPr="00725FED">
        <w:rPr>
          <w:rFonts w:ascii="Arial" w:hAnsi="Arial" w:cs="Arial"/>
          <w:b/>
          <w:bCs/>
          <w:i/>
          <w:iCs/>
        </w:rPr>
        <w:t>Olga v Minister of Safety and Security</w:t>
      </w:r>
      <w:r w:rsidRPr="00725FED">
        <w:rPr>
          <w:rFonts w:ascii="Arial" w:hAnsi="Arial" w:cs="Arial"/>
          <w:i/>
          <w:iCs/>
        </w:rPr>
        <w:t> 2008 JDRJ582E paragraph 6 (ECD case number 608/207) Jones J remarked:</w:t>
      </w:r>
    </w:p>
    <w:p w14:paraId="661EBA91" w14:textId="7A88A41A" w:rsidR="00725FED" w:rsidRDefault="00725FED" w:rsidP="00725FED">
      <w:pPr>
        <w:spacing w:line="480" w:lineRule="auto"/>
        <w:ind w:left="720"/>
        <w:rPr>
          <w:rFonts w:ascii="Arial" w:hAnsi="Arial" w:cs="Arial"/>
          <w:i/>
          <w:iCs/>
          <w:sz w:val="24"/>
          <w:szCs w:val="24"/>
        </w:rPr>
      </w:pPr>
      <w:r w:rsidRPr="00725FED">
        <w:rPr>
          <w:rFonts w:ascii="Arial" w:hAnsi="Arial" w:cs="Arial"/>
          <w:i/>
          <w:iCs/>
          <w:sz w:val="24"/>
          <w:szCs w:val="24"/>
        </w:rPr>
        <w:t xml:space="preserve">‘In modern South Africa a just award for damages for wrongful arrest and detention should express the importance of the constitutional right to individual freedom, and it should properly take into account the facts of the </w:t>
      </w:r>
      <w:r w:rsidRPr="00725FED">
        <w:rPr>
          <w:rFonts w:ascii="Arial" w:hAnsi="Arial" w:cs="Arial"/>
          <w:i/>
          <w:iCs/>
          <w:sz w:val="24"/>
          <w:szCs w:val="24"/>
        </w:rPr>
        <w:lastRenderedPageBreak/>
        <w:t>case, the personal circumstances of the victim and the nature, extent and degree affront to his dignity and his sense of worth,  These considerations should be tempered with restraint and proper regard to the value of money to avoid the motion of an extravagant distribution of wealth from what Holmes J called the ‘“horn of plenty” at the expense of the defendant’.</w:t>
      </w:r>
    </w:p>
    <w:p w14:paraId="287D4952" w14:textId="2A9BF0F4" w:rsidR="002C030F" w:rsidRPr="002C030F" w:rsidRDefault="002C030F" w:rsidP="002C030F">
      <w:pPr>
        <w:spacing w:line="480" w:lineRule="auto"/>
        <w:ind w:left="720" w:hanging="720"/>
        <w:rPr>
          <w:rFonts w:ascii="Arial" w:hAnsi="Arial" w:cs="Arial"/>
          <w:sz w:val="24"/>
          <w:szCs w:val="24"/>
        </w:rPr>
      </w:pPr>
      <w:r w:rsidRPr="002C030F">
        <w:rPr>
          <w:rFonts w:ascii="Arial" w:hAnsi="Arial" w:cs="Arial"/>
          <w:sz w:val="24"/>
          <w:szCs w:val="24"/>
        </w:rPr>
        <w:t>[2</w:t>
      </w:r>
      <w:r w:rsidR="00F52A2E">
        <w:rPr>
          <w:rFonts w:ascii="Arial" w:hAnsi="Arial" w:cs="Arial"/>
          <w:sz w:val="24"/>
          <w:szCs w:val="24"/>
        </w:rPr>
        <w:t>1</w:t>
      </w:r>
      <w:r w:rsidRPr="002C030F">
        <w:rPr>
          <w:rFonts w:ascii="Arial" w:hAnsi="Arial" w:cs="Arial"/>
          <w:sz w:val="24"/>
          <w:szCs w:val="24"/>
        </w:rPr>
        <w:t>]</w:t>
      </w:r>
      <w:r w:rsidRPr="002C030F">
        <w:rPr>
          <w:rFonts w:ascii="Arial" w:hAnsi="Arial" w:cs="Arial"/>
          <w:sz w:val="24"/>
          <w:szCs w:val="24"/>
        </w:rPr>
        <w:tab/>
        <w:t xml:space="preserve">At common law, the elements of the delict of defamation are: (a) the wrongful and (b) intentional (c) publication of (d) defamatory statement (e) concerning the plaintiff. It is not an element of the delict in common law that the statement be false. Once a plaintiff establishes that a defendant has published a defamatory statement concerning the plaintiff, it is presumed that the publication was both unlawful and intentional. A defendant wishing to avoid liability for defamation must then raise a defence which rebuts unlawfulness or </w:t>
      </w:r>
      <w:proofErr w:type="gramStart"/>
      <w:r w:rsidRPr="002C030F">
        <w:rPr>
          <w:rFonts w:ascii="Arial" w:hAnsi="Arial" w:cs="Arial"/>
          <w:sz w:val="24"/>
          <w:szCs w:val="24"/>
        </w:rPr>
        <w:t>intention</w:t>
      </w:r>
      <w:proofErr w:type="gramEnd"/>
    </w:p>
    <w:p w14:paraId="37B9D16E" w14:textId="72BF5CC6" w:rsidR="002C030F" w:rsidRPr="002C030F" w:rsidRDefault="002C030F" w:rsidP="002C030F">
      <w:pPr>
        <w:spacing w:line="480" w:lineRule="auto"/>
        <w:rPr>
          <w:rFonts w:ascii="Arial" w:hAnsi="Arial" w:cs="Arial"/>
          <w:i/>
          <w:iCs/>
        </w:rPr>
      </w:pPr>
      <w:r>
        <w:rPr>
          <w:rFonts w:ascii="Arial" w:hAnsi="Arial" w:cs="Arial"/>
          <w:i/>
          <w:iCs/>
          <w:sz w:val="24"/>
          <w:szCs w:val="24"/>
        </w:rPr>
        <w:t>[2</w:t>
      </w:r>
      <w:r w:rsidR="00F52A2E">
        <w:rPr>
          <w:rFonts w:ascii="Arial" w:hAnsi="Arial" w:cs="Arial"/>
          <w:i/>
          <w:iCs/>
          <w:sz w:val="24"/>
          <w:szCs w:val="24"/>
        </w:rPr>
        <w:t>2</w:t>
      </w:r>
      <w:r>
        <w:rPr>
          <w:rFonts w:ascii="Arial" w:hAnsi="Arial" w:cs="Arial"/>
          <w:i/>
          <w:iCs/>
          <w:sz w:val="24"/>
          <w:szCs w:val="24"/>
        </w:rPr>
        <w:t>]</w:t>
      </w:r>
      <w:r>
        <w:rPr>
          <w:rFonts w:ascii="Arial" w:hAnsi="Arial" w:cs="Arial"/>
          <w:i/>
          <w:iCs/>
          <w:sz w:val="24"/>
          <w:szCs w:val="24"/>
        </w:rPr>
        <w:tab/>
      </w:r>
      <w:r w:rsidRPr="002C030F">
        <w:rPr>
          <w:rFonts w:ascii="Arial" w:hAnsi="Arial" w:cs="Arial"/>
          <w:i/>
          <w:iCs/>
        </w:rPr>
        <w:t xml:space="preserve">In Minister of Police v </w:t>
      </w:r>
      <w:proofErr w:type="spellStart"/>
      <w:r w:rsidRPr="002C030F">
        <w:rPr>
          <w:rFonts w:ascii="Arial" w:hAnsi="Arial" w:cs="Arial"/>
          <w:i/>
          <w:iCs/>
        </w:rPr>
        <w:t>Mbilini</w:t>
      </w:r>
      <w:proofErr w:type="spellEnd"/>
      <w:r>
        <w:rPr>
          <w:rStyle w:val="FootnoteReference"/>
          <w:rFonts w:ascii="Arial" w:hAnsi="Arial" w:cs="Arial"/>
          <w:i/>
          <w:iCs/>
        </w:rPr>
        <w:footnoteReference w:id="9"/>
      </w:r>
      <w:r w:rsidRPr="002C030F">
        <w:rPr>
          <w:rFonts w:ascii="Arial" w:hAnsi="Arial" w:cs="Arial"/>
          <w:i/>
          <w:iCs/>
        </w:rPr>
        <w:t>, the Court stated:</w:t>
      </w:r>
    </w:p>
    <w:p w14:paraId="6EA44665" w14:textId="77777777" w:rsidR="002C030F" w:rsidRDefault="002C030F" w:rsidP="002C030F">
      <w:pPr>
        <w:spacing w:line="480" w:lineRule="auto"/>
        <w:ind w:left="720"/>
        <w:rPr>
          <w:rFonts w:ascii="Arial" w:hAnsi="Arial" w:cs="Arial"/>
          <w:i/>
          <w:iCs/>
          <w:sz w:val="24"/>
          <w:szCs w:val="24"/>
        </w:rPr>
      </w:pPr>
      <w:r w:rsidRPr="002C030F">
        <w:rPr>
          <w:rFonts w:ascii="Arial" w:hAnsi="Arial" w:cs="Arial"/>
          <w:i/>
          <w:iCs/>
          <w:sz w:val="24"/>
          <w:szCs w:val="24"/>
        </w:rPr>
        <w:t>“Every person has an inborn right to the tranquil enjoyment of his peace of mind, secure against aggression upon his person, against the impairment of that character for moral and social worth to which he may rightly lay claim and of that respect and esteem of his fellow-men of which he is deserving, and against degrading and humiliating treatment; and there is a corresponding obligation incumbent on all others to refrain from assailing that to which he has such right.”</w:t>
      </w:r>
    </w:p>
    <w:p w14:paraId="2EE90FAF" w14:textId="4DCD9592" w:rsidR="002C030F" w:rsidRDefault="002C030F" w:rsidP="002C030F">
      <w:pPr>
        <w:spacing w:line="480" w:lineRule="auto"/>
        <w:ind w:left="720" w:hanging="720"/>
        <w:rPr>
          <w:rFonts w:ascii="Arial" w:hAnsi="Arial" w:cs="Arial"/>
          <w:i/>
          <w:iCs/>
          <w:sz w:val="24"/>
          <w:szCs w:val="24"/>
        </w:rPr>
      </w:pPr>
      <w:r>
        <w:rPr>
          <w:rFonts w:ascii="Arial" w:hAnsi="Arial" w:cs="Arial"/>
          <w:i/>
          <w:iCs/>
          <w:sz w:val="24"/>
          <w:szCs w:val="24"/>
        </w:rPr>
        <w:lastRenderedPageBreak/>
        <w:t>[2</w:t>
      </w:r>
      <w:r w:rsidR="00F52A2E">
        <w:rPr>
          <w:rFonts w:ascii="Arial" w:hAnsi="Arial" w:cs="Arial"/>
          <w:i/>
          <w:iCs/>
          <w:sz w:val="24"/>
          <w:szCs w:val="24"/>
        </w:rPr>
        <w:t>3</w:t>
      </w:r>
      <w:r>
        <w:rPr>
          <w:rFonts w:ascii="Arial" w:hAnsi="Arial" w:cs="Arial"/>
          <w:i/>
          <w:iCs/>
          <w:sz w:val="24"/>
          <w:szCs w:val="24"/>
        </w:rPr>
        <w:t>]</w:t>
      </w:r>
      <w:r>
        <w:rPr>
          <w:rFonts w:ascii="Arial" w:hAnsi="Arial" w:cs="Arial"/>
          <w:i/>
          <w:iCs/>
          <w:sz w:val="24"/>
          <w:szCs w:val="24"/>
        </w:rPr>
        <w:tab/>
      </w:r>
      <w:r w:rsidRPr="002C030F">
        <w:rPr>
          <w:rFonts w:ascii="Arial" w:hAnsi="Arial" w:cs="Arial"/>
          <w:i/>
          <w:iCs/>
          <w:sz w:val="24"/>
          <w:szCs w:val="24"/>
        </w:rPr>
        <w:t>In </w:t>
      </w:r>
      <w:hyperlink r:id="rId9" w:history="1">
        <w:r w:rsidRPr="002C030F">
          <w:rPr>
            <w:rStyle w:val="Hyperlink"/>
            <w:rFonts w:ascii="Arial" w:hAnsi="Arial" w:cs="Arial"/>
            <w:i/>
            <w:iCs/>
            <w:sz w:val="24"/>
            <w:szCs w:val="24"/>
          </w:rPr>
          <w:t>Ryan v Petrus</w:t>
        </w:r>
      </w:hyperlink>
      <w:r>
        <w:rPr>
          <w:rStyle w:val="FootnoteReference"/>
          <w:rFonts w:ascii="Arial" w:hAnsi="Arial" w:cs="Arial"/>
          <w:i/>
          <w:iCs/>
          <w:sz w:val="24"/>
          <w:szCs w:val="24"/>
        </w:rPr>
        <w:footnoteReference w:id="10"/>
      </w:r>
      <w:r w:rsidRPr="002C030F">
        <w:rPr>
          <w:rFonts w:ascii="Arial" w:hAnsi="Arial" w:cs="Arial"/>
          <w:i/>
          <w:iCs/>
          <w:sz w:val="24"/>
          <w:szCs w:val="24"/>
        </w:rPr>
        <w:t>, the Court confirmed that the nature of the word uttered, as well as the context in which it is used, will affect the damage suffered.</w:t>
      </w:r>
    </w:p>
    <w:p w14:paraId="1A495E64" w14:textId="2662FD75" w:rsidR="008F3F7C" w:rsidRDefault="008F3F7C" w:rsidP="002C030F">
      <w:pPr>
        <w:spacing w:line="480" w:lineRule="auto"/>
        <w:ind w:left="720" w:hanging="720"/>
        <w:rPr>
          <w:rFonts w:ascii="Arial" w:hAnsi="Arial" w:cs="Arial"/>
          <w:i/>
          <w:iCs/>
          <w:sz w:val="24"/>
          <w:szCs w:val="24"/>
        </w:rPr>
      </w:pPr>
      <w:r>
        <w:rPr>
          <w:rFonts w:ascii="Arial" w:hAnsi="Arial" w:cs="Arial"/>
          <w:i/>
          <w:iCs/>
          <w:sz w:val="24"/>
          <w:szCs w:val="24"/>
        </w:rPr>
        <w:t>[2</w:t>
      </w:r>
      <w:r w:rsidR="00F52A2E">
        <w:rPr>
          <w:rFonts w:ascii="Arial" w:hAnsi="Arial" w:cs="Arial"/>
          <w:i/>
          <w:iCs/>
          <w:sz w:val="24"/>
          <w:szCs w:val="24"/>
        </w:rPr>
        <w:t>4</w:t>
      </w:r>
      <w:r>
        <w:rPr>
          <w:rFonts w:ascii="Arial" w:hAnsi="Arial" w:cs="Arial"/>
          <w:i/>
          <w:iCs/>
          <w:sz w:val="24"/>
          <w:szCs w:val="24"/>
        </w:rPr>
        <w:t>]</w:t>
      </w:r>
      <w:r>
        <w:rPr>
          <w:rFonts w:ascii="Arial" w:hAnsi="Arial" w:cs="Arial"/>
          <w:i/>
          <w:iCs/>
          <w:sz w:val="24"/>
          <w:szCs w:val="24"/>
        </w:rPr>
        <w:tab/>
      </w:r>
      <w:r w:rsidRPr="008F3F7C">
        <w:rPr>
          <w:rFonts w:ascii="Arial" w:hAnsi="Arial" w:cs="Arial"/>
          <w:i/>
          <w:iCs/>
          <w:sz w:val="24"/>
          <w:szCs w:val="24"/>
        </w:rPr>
        <w:t>Hix Networking Technologies v System Publishers (Pty) Ltd and Another</w:t>
      </w:r>
      <w:r>
        <w:rPr>
          <w:rStyle w:val="FootnoteReference"/>
          <w:rFonts w:ascii="Arial" w:hAnsi="Arial" w:cs="Arial"/>
          <w:i/>
          <w:iCs/>
          <w:sz w:val="24"/>
          <w:szCs w:val="24"/>
        </w:rPr>
        <w:footnoteReference w:id="11"/>
      </w:r>
      <w:r w:rsidRPr="008F3F7C">
        <w:rPr>
          <w:rFonts w:ascii="Arial" w:hAnsi="Arial" w:cs="Arial"/>
          <w:i/>
          <w:iCs/>
          <w:sz w:val="24"/>
          <w:szCs w:val="24"/>
        </w:rPr>
        <w:t>, Plewman AJ defined defamatory statements as follows: “…a defamatory statement is one which injures the person to whom it refers by lowering him in the estimation of the ordinary intelligent or right-thinking members of society…”.</w:t>
      </w:r>
    </w:p>
    <w:p w14:paraId="595FFE87" w14:textId="6E771716" w:rsidR="00653BCE" w:rsidRPr="002C030F" w:rsidRDefault="00653BCE" w:rsidP="002C030F">
      <w:pPr>
        <w:spacing w:line="480" w:lineRule="auto"/>
        <w:ind w:left="720" w:hanging="720"/>
        <w:rPr>
          <w:rFonts w:ascii="Arial" w:hAnsi="Arial" w:cs="Arial"/>
          <w:i/>
          <w:iCs/>
          <w:sz w:val="24"/>
          <w:szCs w:val="24"/>
        </w:rPr>
      </w:pPr>
      <w:r>
        <w:rPr>
          <w:rFonts w:ascii="Arial" w:hAnsi="Arial" w:cs="Arial"/>
          <w:i/>
          <w:iCs/>
          <w:sz w:val="24"/>
          <w:szCs w:val="24"/>
          <w:lang w:val="en-US"/>
        </w:rPr>
        <w:t>[2</w:t>
      </w:r>
      <w:r w:rsidR="00F52A2E">
        <w:rPr>
          <w:rFonts w:ascii="Arial" w:hAnsi="Arial" w:cs="Arial"/>
          <w:i/>
          <w:iCs/>
          <w:sz w:val="24"/>
          <w:szCs w:val="24"/>
          <w:lang w:val="en-US"/>
        </w:rPr>
        <w:t>5</w:t>
      </w:r>
      <w:r>
        <w:rPr>
          <w:rFonts w:ascii="Arial" w:hAnsi="Arial" w:cs="Arial"/>
          <w:i/>
          <w:iCs/>
          <w:sz w:val="24"/>
          <w:szCs w:val="24"/>
          <w:lang w:val="en-US"/>
        </w:rPr>
        <w:t>]</w:t>
      </w:r>
      <w:r>
        <w:rPr>
          <w:rFonts w:ascii="Arial" w:hAnsi="Arial" w:cs="Arial"/>
          <w:i/>
          <w:iCs/>
          <w:sz w:val="24"/>
          <w:szCs w:val="24"/>
          <w:lang w:val="en-US"/>
        </w:rPr>
        <w:tab/>
      </w:r>
      <w:r w:rsidRPr="00653BCE">
        <w:rPr>
          <w:rFonts w:ascii="Arial" w:hAnsi="Arial" w:cs="Arial"/>
          <w:i/>
          <w:iCs/>
          <w:sz w:val="24"/>
          <w:szCs w:val="24"/>
          <w:lang w:val="en-US"/>
        </w:rPr>
        <w:t xml:space="preserve">It is now a well-established principle of our law that a person's freedom and security are sacrosanct and are protected by our Constitution. </w:t>
      </w:r>
      <w:proofErr w:type="gramStart"/>
      <w:r w:rsidRPr="00653BCE">
        <w:rPr>
          <w:rFonts w:ascii="Arial" w:hAnsi="Arial" w:cs="Arial"/>
          <w:i/>
          <w:iCs/>
          <w:sz w:val="24"/>
          <w:szCs w:val="24"/>
          <w:lang w:val="en-US"/>
        </w:rPr>
        <w:t>In  Mahlangu</w:t>
      </w:r>
      <w:proofErr w:type="gramEnd"/>
      <w:r w:rsidRPr="00653BCE">
        <w:rPr>
          <w:rFonts w:ascii="Arial" w:hAnsi="Arial" w:cs="Arial"/>
          <w:i/>
          <w:iCs/>
          <w:sz w:val="24"/>
          <w:szCs w:val="24"/>
          <w:lang w:val="en-US"/>
        </w:rPr>
        <w:t> and Another v Minister of Police </w:t>
      </w:r>
      <w:r w:rsidRPr="00653BCE">
        <w:rPr>
          <w:rFonts w:ascii="Arial" w:hAnsi="Arial" w:cs="Arial"/>
          <w:b/>
          <w:bCs/>
          <w:i/>
          <w:iCs/>
          <w:sz w:val="24"/>
          <w:szCs w:val="24"/>
          <w:lang w:val="en-US"/>
        </w:rPr>
        <w:t>2021 (2) SACR 595</w:t>
      </w:r>
      <w:r w:rsidRPr="00653BCE">
        <w:rPr>
          <w:rFonts w:ascii="Arial" w:hAnsi="Arial" w:cs="Arial"/>
          <w:i/>
          <w:iCs/>
          <w:sz w:val="24"/>
          <w:szCs w:val="24"/>
          <w:lang w:val="en-US"/>
        </w:rPr>
        <w:t xml:space="preserve"> (CC) </w:t>
      </w:r>
      <w:proofErr w:type="spellStart"/>
      <w:r w:rsidRPr="00653BCE">
        <w:rPr>
          <w:rFonts w:ascii="Arial" w:hAnsi="Arial" w:cs="Arial"/>
          <w:i/>
          <w:iCs/>
          <w:sz w:val="24"/>
          <w:szCs w:val="24"/>
          <w:lang w:val="en-US"/>
        </w:rPr>
        <w:t>Tshiqi</w:t>
      </w:r>
      <w:proofErr w:type="spellEnd"/>
      <w:r w:rsidRPr="00653BCE">
        <w:rPr>
          <w:rFonts w:ascii="Arial" w:hAnsi="Arial" w:cs="Arial"/>
          <w:i/>
          <w:iCs/>
          <w:sz w:val="24"/>
          <w:szCs w:val="24"/>
          <w:lang w:val="en-US"/>
        </w:rPr>
        <w:t xml:space="preserve"> J captured this principle as follows at [43], It is now trite that public policy is informed by the Constitution. Our Constitution values freedom, understandably so when regard is had to how, before the dawn of democracy, freedom for </w:t>
      </w:r>
      <w:proofErr w:type="gramStart"/>
      <w:r w:rsidRPr="00653BCE">
        <w:rPr>
          <w:rFonts w:ascii="Arial" w:hAnsi="Arial" w:cs="Arial"/>
          <w:i/>
          <w:iCs/>
          <w:sz w:val="24"/>
          <w:szCs w:val="24"/>
          <w:lang w:val="en-US"/>
        </w:rPr>
        <w:t>the majority of</w:t>
      </w:r>
      <w:proofErr w:type="gramEnd"/>
      <w:r w:rsidRPr="00653BCE">
        <w:rPr>
          <w:rFonts w:ascii="Arial" w:hAnsi="Arial" w:cs="Arial"/>
          <w:i/>
          <w:iCs/>
          <w:sz w:val="24"/>
          <w:szCs w:val="24"/>
          <w:lang w:val="en-US"/>
        </w:rPr>
        <w:t xml:space="preserve"> our people was close to non-existence. The primacy of “human dignity, the achievement of equality and the advancement of human rights and freedoms” is recognized in the founding values contained in section 1 of the Constitution… These constitutional provisions and the protection in section 12 of the right of freedom and security of the person are at the heart of public policy consideration</w:t>
      </w:r>
      <w:r>
        <w:rPr>
          <w:rStyle w:val="FootnoteReference"/>
          <w:rFonts w:ascii="Arial" w:hAnsi="Arial" w:cs="Arial"/>
          <w:i/>
          <w:iCs/>
          <w:sz w:val="24"/>
          <w:szCs w:val="24"/>
          <w:lang w:val="en-US"/>
        </w:rPr>
        <w:footnoteReference w:id="12"/>
      </w:r>
      <w:r w:rsidRPr="00653BCE">
        <w:rPr>
          <w:rFonts w:ascii="Arial" w:hAnsi="Arial" w:cs="Arial"/>
          <w:i/>
          <w:iCs/>
          <w:sz w:val="24"/>
          <w:szCs w:val="24"/>
          <w:lang w:val="en-US"/>
        </w:rPr>
        <w:t>.</w:t>
      </w:r>
    </w:p>
    <w:p w14:paraId="273D8EF5" w14:textId="77777777" w:rsidR="00F52A2E" w:rsidRDefault="00486816" w:rsidP="00486816">
      <w:pPr>
        <w:spacing w:line="480" w:lineRule="auto"/>
        <w:ind w:left="720" w:hanging="720"/>
        <w:rPr>
          <w:rFonts w:ascii="Arial" w:hAnsi="Arial" w:cs="Arial"/>
          <w:sz w:val="24"/>
          <w:szCs w:val="24"/>
        </w:rPr>
      </w:pPr>
      <w:r>
        <w:rPr>
          <w:rFonts w:ascii="Arial" w:hAnsi="Arial" w:cs="Arial"/>
          <w:sz w:val="24"/>
          <w:szCs w:val="24"/>
        </w:rPr>
        <w:tab/>
      </w:r>
    </w:p>
    <w:p w14:paraId="06944DDE" w14:textId="77777777" w:rsidR="00F52A2E" w:rsidRDefault="00F52A2E" w:rsidP="00486816">
      <w:pPr>
        <w:spacing w:line="480" w:lineRule="auto"/>
        <w:ind w:left="720" w:hanging="720"/>
        <w:rPr>
          <w:rFonts w:ascii="Arial" w:hAnsi="Arial" w:cs="Arial"/>
          <w:sz w:val="24"/>
          <w:szCs w:val="24"/>
        </w:rPr>
      </w:pPr>
    </w:p>
    <w:p w14:paraId="51D6A078" w14:textId="7FA20B31" w:rsidR="00486816" w:rsidRPr="00725FED" w:rsidRDefault="00725FED" w:rsidP="00F52A2E">
      <w:pPr>
        <w:spacing w:line="480" w:lineRule="auto"/>
        <w:ind w:left="720"/>
        <w:rPr>
          <w:rFonts w:ascii="Arial" w:hAnsi="Arial" w:cs="Arial"/>
          <w:b/>
          <w:bCs/>
          <w:sz w:val="24"/>
          <w:szCs w:val="24"/>
          <w:u w:val="single"/>
        </w:rPr>
      </w:pPr>
      <w:r w:rsidRPr="00725FED">
        <w:rPr>
          <w:rFonts w:ascii="Arial" w:hAnsi="Arial" w:cs="Arial"/>
          <w:b/>
          <w:bCs/>
          <w:sz w:val="24"/>
          <w:szCs w:val="24"/>
          <w:u w:val="single"/>
        </w:rPr>
        <w:lastRenderedPageBreak/>
        <w:t>ANALYSIS</w:t>
      </w:r>
    </w:p>
    <w:p w14:paraId="4C0B526F" w14:textId="65BC02DE" w:rsidR="00725FED" w:rsidRDefault="00486816" w:rsidP="00486816">
      <w:pPr>
        <w:spacing w:line="480" w:lineRule="auto"/>
        <w:ind w:left="720" w:hanging="720"/>
        <w:rPr>
          <w:rFonts w:ascii="Arial" w:hAnsi="Arial" w:cs="Arial"/>
          <w:sz w:val="24"/>
          <w:szCs w:val="24"/>
        </w:rPr>
      </w:pPr>
      <w:r>
        <w:rPr>
          <w:rFonts w:ascii="Arial" w:hAnsi="Arial" w:cs="Arial"/>
          <w:sz w:val="24"/>
          <w:szCs w:val="24"/>
        </w:rPr>
        <w:t>[</w:t>
      </w:r>
      <w:r w:rsidR="00F95E59">
        <w:rPr>
          <w:rFonts w:ascii="Arial" w:hAnsi="Arial" w:cs="Arial"/>
          <w:sz w:val="24"/>
          <w:szCs w:val="24"/>
        </w:rPr>
        <w:t>2</w:t>
      </w:r>
      <w:r w:rsidR="00F52A2E">
        <w:rPr>
          <w:rFonts w:ascii="Arial" w:hAnsi="Arial" w:cs="Arial"/>
          <w:sz w:val="24"/>
          <w:szCs w:val="24"/>
        </w:rPr>
        <w:t>6</w:t>
      </w:r>
      <w:r>
        <w:rPr>
          <w:rFonts w:ascii="Arial" w:hAnsi="Arial" w:cs="Arial"/>
          <w:sz w:val="24"/>
          <w:szCs w:val="24"/>
        </w:rPr>
        <w:t>]</w:t>
      </w:r>
      <w:r>
        <w:rPr>
          <w:rFonts w:ascii="Arial" w:hAnsi="Arial" w:cs="Arial"/>
          <w:sz w:val="24"/>
          <w:szCs w:val="24"/>
        </w:rPr>
        <w:tab/>
      </w:r>
      <w:r w:rsidR="00121F2C" w:rsidRPr="0041689E">
        <w:rPr>
          <w:rFonts w:ascii="Arial" w:hAnsi="Arial" w:cs="Arial"/>
          <w:sz w:val="24"/>
          <w:szCs w:val="24"/>
        </w:rPr>
        <w:t xml:space="preserve"> </w:t>
      </w:r>
      <w:r w:rsidR="00725FED" w:rsidRPr="00725FED">
        <w:rPr>
          <w:rFonts w:ascii="Arial" w:hAnsi="Arial" w:cs="Arial"/>
          <w:sz w:val="24"/>
          <w:szCs w:val="24"/>
        </w:rPr>
        <w:t>It is well-established in this context that the plaintiff only needs to demonstrate to this Honourable Court that he w</w:t>
      </w:r>
      <w:r w:rsidR="00D614C3">
        <w:rPr>
          <w:rFonts w:ascii="Arial" w:hAnsi="Arial" w:cs="Arial"/>
          <w:sz w:val="24"/>
          <w:szCs w:val="24"/>
        </w:rPr>
        <w:t>as</w:t>
      </w:r>
      <w:r w:rsidR="00725FED" w:rsidRPr="00725FED">
        <w:rPr>
          <w:rFonts w:ascii="Arial" w:hAnsi="Arial" w:cs="Arial"/>
          <w:sz w:val="24"/>
          <w:szCs w:val="24"/>
        </w:rPr>
        <w:t xml:space="preserve"> arrested without a warrant. Following this, the burden shifts to the defendants, who must then prove or convincingly demonstrate to this Honourable Court that the arrest was justified under section 40 of the Criminal Procedure Act 51 of 1977. </w:t>
      </w:r>
    </w:p>
    <w:p w14:paraId="0E5BD76C" w14:textId="01B681B5" w:rsidR="00725FED" w:rsidRDefault="00725FED" w:rsidP="00725FED">
      <w:pPr>
        <w:spacing w:line="480" w:lineRule="auto"/>
        <w:ind w:left="720" w:hanging="720"/>
        <w:rPr>
          <w:rFonts w:ascii="Arial" w:hAnsi="Arial" w:cs="Arial"/>
          <w:sz w:val="24"/>
          <w:szCs w:val="24"/>
        </w:rPr>
      </w:pPr>
      <w:r>
        <w:rPr>
          <w:rFonts w:ascii="Arial" w:hAnsi="Arial" w:cs="Arial"/>
          <w:sz w:val="24"/>
          <w:szCs w:val="24"/>
        </w:rPr>
        <w:t>[2</w:t>
      </w:r>
      <w:r w:rsidR="00F52A2E">
        <w:rPr>
          <w:rFonts w:ascii="Arial" w:hAnsi="Arial" w:cs="Arial"/>
          <w:sz w:val="24"/>
          <w:szCs w:val="24"/>
        </w:rPr>
        <w:t>7</w:t>
      </w:r>
      <w:r w:rsidR="00486816">
        <w:rPr>
          <w:rFonts w:ascii="Arial" w:hAnsi="Arial" w:cs="Arial"/>
          <w:sz w:val="24"/>
          <w:szCs w:val="24"/>
        </w:rPr>
        <w:t>]</w:t>
      </w:r>
      <w:r w:rsidR="00486816">
        <w:rPr>
          <w:rFonts w:ascii="Arial" w:hAnsi="Arial" w:cs="Arial"/>
          <w:sz w:val="24"/>
          <w:szCs w:val="24"/>
        </w:rPr>
        <w:tab/>
      </w:r>
      <w:r>
        <w:rPr>
          <w:rFonts w:ascii="Arial" w:hAnsi="Arial" w:cs="Arial"/>
          <w:sz w:val="24"/>
          <w:szCs w:val="24"/>
        </w:rPr>
        <w:t>T</w:t>
      </w:r>
      <w:r w:rsidRPr="00725FED">
        <w:rPr>
          <w:rFonts w:ascii="Arial" w:hAnsi="Arial" w:cs="Arial"/>
          <w:sz w:val="24"/>
          <w:szCs w:val="24"/>
        </w:rPr>
        <w:t xml:space="preserve">he affidavit presented confirms that the plaintiff was arrested without a warrant. </w:t>
      </w:r>
      <w:r>
        <w:rPr>
          <w:rFonts w:ascii="Arial" w:hAnsi="Arial" w:cs="Arial"/>
          <w:sz w:val="24"/>
          <w:szCs w:val="24"/>
        </w:rPr>
        <w:t xml:space="preserve">It is also evident that in the </w:t>
      </w:r>
      <w:r w:rsidRPr="00725FED">
        <w:rPr>
          <w:rFonts w:ascii="Arial" w:hAnsi="Arial" w:cs="Arial"/>
          <w:sz w:val="24"/>
          <w:szCs w:val="24"/>
        </w:rPr>
        <w:t xml:space="preserve">docket uploaded </w:t>
      </w:r>
      <w:r>
        <w:rPr>
          <w:rFonts w:ascii="Arial" w:hAnsi="Arial" w:cs="Arial"/>
          <w:sz w:val="24"/>
          <w:szCs w:val="24"/>
        </w:rPr>
        <w:t xml:space="preserve">on </w:t>
      </w:r>
      <w:proofErr w:type="spellStart"/>
      <w:r w:rsidR="00D745AC">
        <w:rPr>
          <w:rFonts w:ascii="Arial" w:hAnsi="Arial" w:cs="Arial"/>
          <w:sz w:val="24"/>
          <w:szCs w:val="24"/>
        </w:rPr>
        <w:t>c</w:t>
      </w:r>
      <w:r w:rsidRPr="00725FED">
        <w:rPr>
          <w:rFonts w:ascii="Arial" w:hAnsi="Arial" w:cs="Arial"/>
          <w:sz w:val="24"/>
          <w:szCs w:val="24"/>
        </w:rPr>
        <w:t>aselines</w:t>
      </w:r>
      <w:proofErr w:type="spellEnd"/>
      <w:r w:rsidRPr="00725FED">
        <w:rPr>
          <w:rFonts w:ascii="Arial" w:hAnsi="Arial" w:cs="Arial"/>
          <w:sz w:val="24"/>
          <w:szCs w:val="24"/>
        </w:rPr>
        <w:t xml:space="preserve">, </w:t>
      </w:r>
      <w:proofErr w:type="gramStart"/>
      <w:r w:rsidRPr="00725FED">
        <w:rPr>
          <w:rFonts w:ascii="Arial" w:hAnsi="Arial" w:cs="Arial"/>
          <w:sz w:val="24"/>
          <w:szCs w:val="24"/>
        </w:rPr>
        <w:t>it is clear that the</w:t>
      </w:r>
      <w:proofErr w:type="gramEnd"/>
      <w:r w:rsidRPr="00725FED">
        <w:rPr>
          <w:rFonts w:ascii="Arial" w:hAnsi="Arial" w:cs="Arial"/>
          <w:sz w:val="24"/>
          <w:szCs w:val="24"/>
        </w:rPr>
        <w:t xml:space="preserve"> plaintiff's arrest occurred without a warrant of arrest.</w:t>
      </w:r>
      <w:r w:rsidR="00D745AC" w:rsidRPr="00D745AC">
        <w:rPr>
          <w:rFonts w:ascii="Segoe UI" w:hAnsi="Segoe UI" w:cs="Segoe UI"/>
          <w:color w:val="374151"/>
        </w:rPr>
        <w:t xml:space="preserve"> </w:t>
      </w:r>
      <w:r w:rsidR="00D745AC" w:rsidRPr="00D745AC">
        <w:rPr>
          <w:rFonts w:ascii="Arial" w:hAnsi="Arial" w:cs="Arial"/>
          <w:sz w:val="24"/>
          <w:szCs w:val="24"/>
        </w:rPr>
        <w:t>It is encumbered upon the defendant to demonstrate the lawfulness of the arrest and detention in this instance. However, despite being duly served, the defendant</w:t>
      </w:r>
      <w:r w:rsidR="00BC699A">
        <w:rPr>
          <w:rFonts w:ascii="Arial" w:hAnsi="Arial" w:cs="Arial"/>
          <w:sz w:val="24"/>
          <w:szCs w:val="24"/>
        </w:rPr>
        <w:t>s</w:t>
      </w:r>
      <w:r w:rsidR="00D745AC" w:rsidRPr="00D745AC">
        <w:rPr>
          <w:rFonts w:ascii="Arial" w:hAnsi="Arial" w:cs="Arial"/>
          <w:sz w:val="24"/>
          <w:szCs w:val="24"/>
        </w:rPr>
        <w:t xml:space="preserve"> </w:t>
      </w:r>
      <w:proofErr w:type="gramStart"/>
      <w:r w:rsidR="00D745AC" w:rsidRPr="00D745AC">
        <w:rPr>
          <w:rFonts w:ascii="Arial" w:hAnsi="Arial" w:cs="Arial"/>
          <w:sz w:val="24"/>
          <w:szCs w:val="24"/>
        </w:rPr>
        <w:t>has</w:t>
      </w:r>
      <w:proofErr w:type="gramEnd"/>
      <w:r w:rsidR="00D745AC" w:rsidRPr="00D745AC">
        <w:rPr>
          <w:rFonts w:ascii="Arial" w:hAnsi="Arial" w:cs="Arial"/>
          <w:sz w:val="24"/>
          <w:szCs w:val="24"/>
        </w:rPr>
        <w:t xml:space="preserve"> not defen</w:t>
      </w:r>
      <w:r w:rsidR="00D745AC">
        <w:rPr>
          <w:rFonts w:ascii="Arial" w:hAnsi="Arial" w:cs="Arial"/>
          <w:sz w:val="24"/>
          <w:szCs w:val="24"/>
        </w:rPr>
        <w:t xml:space="preserve">ded this matter </w:t>
      </w:r>
      <w:r w:rsidR="00D745AC" w:rsidRPr="00D745AC">
        <w:rPr>
          <w:rFonts w:ascii="Arial" w:hAnsi="Arial" w:cs="Arial"/>
          <w:sz w:val="24"/>
          <w:szCs w:val="24"/>
        </w:rPr>
        <w:t>leaving the court with a unilateral account of the events.</w:t>
      </w:r>
    </w:p>
    <w:p w14:paraId="091AE22B" w14:textId="357BE3B7" w:rsidR="00D745AC" w:rsidRDefault="00D745AC" w:rsidP="00725FED">
      <w:pPr>
        <w:spacing w:line="480" w:lineRule="auto"/>
        <w:ind w:left="720" w:hanging="720"/>
        <w:rPr>
          <w:rFonts w:ascii="Arial" w:hAnsi="Arial" w:cs="Arial"/>
          <w:sz w:val="24"/>
          <w:szCs w:val="24"/>
        </w:rPr>
      </w:pPr>
      <w:r>
        <w:rPr>
          <w:rFonts w:ascii="Arial" w:hAnsi="Arial" w:cs="Arial"/>
          <w:sz w:val="24"/>
          <w:szCs w:val="24"/>
        </w:rPr>
        <w:t>[2</w:t>
      </w:r>
      <w:r w:rsidR="00F52A2E">
        <w:rPr>
          <w:rFonts w:ascii="Arial" w:hAnsi="Arial" w:cs="Arial"/>
          <w:sz w:val="24"/>
          <w:szCs w:val="24"/>
        </w:rPr>
        <w:t>8</w:t>
      </w:r>
      <w:r>
        <w:rPr>
          <w:rFonts w:ascii="Arial" w:hAnsi="Arial" w:cs="Arial"/>
          <w:sz w:val="24"/>
          <w:szCs w:val="24"/>
        </w:rPr>
        <w:t>]</w:t>
      </w:r>
      <w:r>
        <w:rPr>
          <w:rFonts w:ascii="Arial" w:hAnsi="Arial" w:cs="Arial"/>
          <w:sz w:val="24"/>
          <w:szCs w:val="24"/>
        </w:rPr>
        <w:tab/>
      </w:r>
      <w:r w:rsidRPr="00D745AC">
        <w:rPr>
          <w:rFonts w:ascii="Arial" w:hAnsi="Arial" w:cs="Arial"/>
          <w:sz w:val="24"/>
          <w:szCs w:val="24"/>
        </w:rPr>
        <w:t>The plaintiff alleges that the traffic officers did not adhere to the technical committee's guidelines for speed prosecution. This is a crucial claim, as non-compliance could indicate an inaccurate measurement of the plaintiff's speed. I would consider the specifics of these guidelines and whether the evidence supports the plaintiff’s claim of non-compliance. The accuracy of the speed measurement is central to the legitimacy of the initial stop and subsequent actions by the officers.</w:t>
      </w:r>
    </w:p>
    <w:p w14:paraId="207E5EEE" w14:textId="41828C6C" w:rsidR="00D745AC" w:rsidRDefault="00D745AC" w:rsidP="00725FED">
      <w:pPr>
        <w:spacing w:line="480" w:lineRule="auto"/>
        <w:ind w:left="720" w:hanging="720"/>
        <w:rPr>
          <w:rFonts w:ascii="Arial" w:hAnsi="Arial" w:cs="Arial"/>
          <w:sz w:val="24"/>
          <w:szCs w:val="24"/>
        </w:rPr>
      </w:pPr>
      <w:r>
        <w:rPr>
          <w:rFonts w:ascii="Arial" w:hAnsi="Arial" w:cs="Arial"/>
          <w:sz w:val="24"/>
          <w:szCs w:val="24"/>
        </w:rPr>
        <w:t>[2</w:t>
      </w:r>
      <w:r w:rsidR="00F52A2E">
        <w:rPr>
          <w:rFonts w:ascii="Arial" w:hAnsi="Arial" w:cs="Arial"/>
          <w:sz w:val="24"/>
          <w:szCs w:val="24"/>
        </w:rPr>
        <w:t>9</w:t>
      </w:r>
      <w:r>
        <w:rPr>
          <w:rFonts w:ascii="Arial" w:hAnsi="Arial" w:cs="Arial"/>
          <w:sz w:val="24"/>
          <w:szCs w:val="24"/>
        </w:rPr>
        <w:t>]</w:t>
      </w:r>
      <w:r>
        <w:rPr>
          <w:rFonts w:ascii="Arial" w:hAnsi="Arial" w:cs="Arial"/>
          <w:sz w:val="24"/>
          <w:szCs w:val="24"/>
        </w:rPr>
        <w:tab/>
      </w:r>
      <w:r w:rsidRPr="00D745AC">
        <w:rPr>
          <w:rFonts w:ascii="Arial" w:hAnsi="Arial" w:cs="Arial"/>
          <w:sz w:val="24"/>
          <w:szCs w:val="24"/>
        </w:rPr>
        <w:t>The plaintiff asserts that he was detained at the Brakpan Police Department without justifiable reason. This claim raises questions about the lawfulness of his detention. Under the law, detention must be justified and proportionate to the offen</w:t>
      </w:r>
      <w:r w:rsidR="00F832CA">
        <w:rPr>
          <w:rFonts w:ascii="Arial" w:hAnsi="Arial" w:cs="Arial"/>
          <w:sz w:val="24"/>
          <w:szCs w:val="24"/>
        </w:rPr>
        <w:t>c</w:t>
      </w:r>
      <w:r w:rsidRPr="00D745AC">
        <w:rPr>
          <w:rFonts w:ascii="Arial" w:hAnsi="Arial" w:cs="Arial"/>
          <w:sz w:val="24"/>
          <w:szCs w:val="24"/>
        </w:rPr>
        <w:t xml:space="preserve">e. The lack of just cause for detention </w:t>
      </w:r>
      <w:r w:rsidR="00F832CA">
        <w:rPr>
          <w:rFonts w:ascii="Arial" w:hAnsi="Arial" w:cs="Arial"/>
          <w:sz w:val="24"/>
          <w:szCs w:val="24"/>
        </w:rPr>
        <w:t xml:space="preserve">is </w:t>
      </w:r>
      <w:r w:rsidRPr="00D745AC">
        <w:rPr>
          <w:rFonts w:ascii="Arial" w:hAnsi="Arial" w:cs="Arial"/>
          <w:sz w:val="24"/>
          <w:szCs w:val="24"/>
        </w:rPr>
        <w:t>a violation of the plaintiff's rights.</w:t>
      </w:r>
    </w:p>
    <w:p w14:paraId="43AEC6E5" w14:textId="236C0009" w:rsidR="00D745AC" w:rsidRDefault="00D745AC" w:rsidP="00725FED">
      <w:pPr>
        <w:spacing w:line="480" w:lineRule="auto"/>
        <w:ind w:left="720" w:hanging="720"/>
        <w:rPr>
          <w:rFonts w:ascii="Arial" w:hAnsi="Arial" w:cs="Arial"/>
          <w:sz w:val="24"/>
          <w:szCs w:val="24"/>
        </w:rPr>
      </w:pPr>
      <w:r>
        <w:rPr>
          <w:rFonts w:ascii="Arial" w:hAnsi="Arial" w:cs="Arial"/>
          <w:sz w:val="24"/>
          <w:szCs w:val="24"/>
        </w:rPr>
        <w:lastRenderedPageBreak/>
        <w:t>[</w:t>
      </w:r>
      <w:r w:rsidR="00F52A2E">
        <w:rPr>
          <w:rFonts w:ascii="Arial" w:hAnsi="Arial" w:cs="Arial"/>
          <w:sz w:val="24"/>
          <w:szCs w:val="24"/>
        </w:rPr>
        <w:t>30</w:t>
      </w:r>
      <w:r>
        <w:rPr>
          <w:rFonts w:ascii="Arial" w:hAnsi="Arial" w:cs="Arial"/>
          <w:sz w:val="24"/>
          <w:szCs w:val="24"/>
        </w:rPr>
        <w:t>]</w:t>
      </w:r>
      <w:r>
        <w:rPr>
          <w:rFonts w:ascii="Arial" w:hAnsi="Arial" w:cs="Arial"/>
          <w:sz w:val="24"/>
          <w:szCs w:val="24"/>
        </w:rPr>
        <w:tab/>
        <w:t>The</w:t>
      </w:r>
      <w:r w:rsidRPr="00D745AC">
        <w:rPr>
          <w:rFonts w:ascii="Arial" w:hAnsi="Arial" w:cs="Arial"/>
          <w:sz w:val="24"/>
          <w:szCs w:val="24"/>
        </w:rPr>
        <w:t xml:space="preserve"> plaintiff's statement that he was released on a warning and subsequently appeared in court multiple times, with the matter eventually being withdrawn, could indicate a lack of sufficient evidence or grounds for the charge. I </w:t>
      </w:r>
      <w:r w:rsidR="00D614C3">
        <w:rPr>
          <w:rFonts w:ascii="Arial" w:hAnsi="Arial" w:cs="Arial"/>
          <w:sz w:val="24"/>
          <w:szCs w:val="24"/>
        </w:rPr>
        <w:t xml:space="preserve">therefore </w:t>
      </w:r>
      <w:r w:rsidRPr="00D745AC">
        <w:rPr>
          <w:rFonts w:ascii="Arial" w:hAnsi="Arial" w:cs="Arial"/>
          <w:sz w:val="24"/>
          <w:szCs w:val="24"/>
        </w:rPr>
        <w:t>consider the implications of the case's withdrawal on the legitimacy of the arrest and detention.</w:t>
      </w:r>
    </w:p>
    <w:p w14:paraId="0D6C12A1" w14:textId="329A5F3D" w:rsidR="00D745AC" w:rsidRDefault="00D745AC" w:rsidP="00725FED">
      <w:pPr>
        <w:spacing w:line="480" w:lineRule="auto"/>
        <w:ind w:left="720" w:hanging="720"/>
        <w:rPr>
          <w:rFonts w:ascii="Arial" w:hAnsi="Arial" w:cs="Arial"/>
          <w:sz w:val="24"/>
          <w:szCs w:val="24"/>
        </w:rPr>
      </w:pPr>
      <w:r>
        <w:rPr>
          <w:rFonts w:ascii="Arial" w:hAnsi="Arial" w:cs="Arial"/>
          <w:sz w:val="24"/>
          <w:szCs w:val="24"/>
        </w:rPr>
        <w:t>[</w:t>
      </w:r>
      <w:r w:rsidR="00F52A2E">
        <w:rPr>
          <w:rFonts w:ascii="Arial" w:hAnsi="Arial" w:cs="Arial"/>
          <w:sz w:val="24"/>
          <w:szCs w:val="24"/>
        </w:rPr>
        <w:t>31</w:t>
      </w:r>
      <w:r>
        <w:rPr>
          <w:rFonts w:ascii="Arial" w:hAnsi="Arial" w:cs="Arial"/>
          <w:sz w:val="24"/>
          <w:szCs w:val="24"/>
        </w:rPr>
        <w:t>]</w:t>
      </w:r>
      <w:r>
        <w:rPr>
          <w:rFonts w:ascii="Arial" w:hAnsi="Arial" w:cs="Arial"/>
          <w:sz w:val="24"/>
          <w:szCs w:val="24"/>
        </w:rPr>
        <w:tab/>
      </w:r>
      <w:r w:rsidRPr="00D745AC">
        <w:rPr>
          <w:rFonts w:ascii="Arial" w:hAnsi="Arial" w:cs="Arial"/>
          <w:sz w:val="24"/>
          <w:szCs w:val="24"/>
        </w:rPr>
        <w:t>The plaintiff’s assertion that the police officers were acting within the scope and course of their employment when they arrested and detained h</w:t>
      </w:r>
      <w:r w:rsidR="008C2E55">
        <w:rPr>
          <w:rFonts w:ascii="Arial" w:hAnsi="Arial" w:cs="Arial"/>
          <w:sz w:val="24"/>
          <w:szCs w:val="24"/>
        </w:rPr>
        <w:t>as mor been rebutted</w:t>
      </w:r>
      <w:r w:rsidRPr="00D745AC">
        <w:rPr>
          <w:rFonts w:ascii="Arial" w:hAnsi="Arial" w:cs="Arial"/>
          <w:sz w:val="24"/>
          <w:szCs w:val="24"/>
        </w:rPr>
        <w:t xml:space="preserve">. </w:t>
      </w:r>
      <w:r w:rsidR="008C2E55">
        <w:rPr>
          <w:rFonts w:ascii="Arial" w:hAnsi="Arial" w:cs="Arial"/>
          <w:sz w:val="24"/>
          <w:szCs w:val="24"/>
        </w:rPr>
        <w:t xml:space="preserve">It is imperative to note that any </w:t>
      </w:r>
      <w:r w:rsidRPr="00D745AC">
        <w:rPr>
          <w:rFonts w:ascii="Arial" w:hAnsi="Arial" w:cs="Arial"/>
          <w:sz w:val="24"/>
          <w:szCs w:val="24"/>
        </w:rPr>
        <w:t xml:space="preserve">liability or wrongful conduct </w:t>
      </w:r>
      <w:r w:rsidR="008C2E55">
        <w:rPr>
          <w:rFonts w:ascii="Arial" w:hAnsi="Arial" w:cs="Arial"/>
          <w:sz w:val="24"/>
          <w:szCs w:val="24"/>
        </w:rPr>
        <w:t xml:space="preserve">will </w:t>
      </w:r>
      <w:r w:rsidRPr="00D745AC">
        <w:rPr>
          <w:rFonts w:ascii="Arial" w:hAnsi="Arial" w:cs="Arial"/>
          <w:sz w:val="24"/>
          <w:szCs w:val="24"/>
        </w:rPr>
        <w:t xml:space="preserve">be attributed to their employer </w:t>
      </w:r>
      <w:r w:rsidR="008C2E55">
        <w:rPr>
          <w:rFonts w:ascii="Arial" w:hAnsi="Arial" w:cs="Arial"/>
          <w:sz w:val="24"/>
          <w:szCs w:val="24"/>
        </w:rPr>
        <w:t xml:space="preserve">regard being had to the </w:t>
      </w:r>
      <w:r w:rsidR="0075089A">
        <w:rPr>
          <w:rFonts w:ascii="Arial" w:hAnsi="Arial" w:cs="Arial"/>
          <w:sz w:val="24"/>
          <w:szCs w:val="24"/>
        </w:rPr>
        <w:t xml:space="preserve">fact that there is no counter evidence that the defendants were acting within their scope of employment. </w:t>
      </w:r>
    </w:p>
    <w:p w14:paraId="5B8A3B07" w14:textId="491D09DC" w:rsidR="002B7E94" w:rsidRPr="002B7E94" w:rsidRDefault="002B7E94" w:rsidP="002B7E94">
      <w:pPr>
        <w:spacing w:line="480" w:lineRule="auto"/>
        <w:ind w:left="720" w:hanging="720"/>
        <w:rPr>
          <w:rFonts w:ascii="Arial" w:hAnsi="Arial" w:cs="Arial"/>
        </w:rPr>
      </w:pPr>
      <w:r>
        <w:rPr>
          <w:rFonts w:ascii="Arial" w:hAnsi="Arial" w:cs="Arial"/>
          <w:sz w:val="24"/>
          <w:szCs w:val="24"/>
        </w:rPr>
        <w:t>[</w:t>
      </w:r>
      <w:r w:rsidR="0031141B">
        <w:rPr>
          <w:rFonts w:ascii="Arial" w:hAnsi="Arial" w:cs="Arial"/>
          <w:sz w:val="24"/>
          <w:szCs w:val="24"/>
        </w:rPr>
        <w:t>3</w:t>
      </w:r>
      <w:r w:rsidR="00F52A2E">
        <w:rPr>
          <w:rFonts w:ascii="Arial" w:hAnsi="Arial" w:cs="Arial"/>
          <w:sz w:val="24"/>
          <w:szCs w:val="24"/>
        </w:rPr>
        <w:t>2</w:t>
      </w:r>
      <w:r>
        <w:rPr>
          <w:rFonts w:ascii="Arial" w:hAnsi="Arial" w:cs="Arial"/>
          <w:sz w:val="24"/>
          <w:szCs w:val="24"/>
        </w:rPr>
        <w:t>]</w:t>
      </w:r>
      <w:r>
        <w:rPr>
          <w:rFonts w:ascii="Arial" w:hAnsi="Arial" w:cs="Arial"/>
          <w:sz w:val="24"/>
          <w:szCs w:val="24"/>
        </w:rPr>
        <w:tab/>
      </w:r>
      <w:r w:rsidRPr="002B7E94">
        <w:rPr>
          <w:rFonts w:ascii="Arial" w:hAnsi="Arial" w:cs="Arial"/>
        </w:rPr>
        <w:t>The plaintiff's assertion that the Metro Police did not take necessary steps for his release and had no justification for his arrest and detention</w:t>
      </w:r>
      <w:r w:rsidR="0075089A">
        <w:rPr>
          <w:rFonts w:ascii="Arial" w:hAnsi="Arial" w:cs="Arial"/>
        </w:rPr>
        <w:t>.</w:t>
      </w:r>
      <w:r w:rsidRPr="002B7E94">
        <w:rPr>
          <w:rFonts w:ascii="Arial" w:hAnsi="Arial" w:cs="Arial"/>
        </w:rPr>
        <w:t xml:space="preserve"> The law requires arrests and detentions to be based on just cause and to comply with procedural safeguards. A key point of analysis would be whether the Metro Police's actions were lawful and justified under the applicable legal framework</w:t>
      </w:r>
      <w:r w:rsidR="0075089A">
        <w:rPr>
          <w:rFonts w:ascii="Arial" w:hAnsi="Arial" w:cs="Arial"/>
        </w:rPr>
        <w:t xml:space="preserve">, without the first and second defendant’s plea to this matter, this court has only one version. The version of the plaintiff remains uncontroverted. </w:t>
      </w:r>
    </w:p>
    <w:p w14:paraId="73350D52" w14:textId="55013720" w:rsidR="002B7E94" w:rsidRDefault="002B7E94" w:rsidP="0075089A">
      <w:pPr>
        <w:spacing w:line="480" w:lineRule="auto"/>
        <w:ind w:left="720" w:hanging="720"/>
        <w:rPr>
          <w:rFonts w:ascii="Arial" w:hAnsi="Arial" w:cs="Arial"/>
          <w:sz w:val="24"/>
          <w:szCs w:val="24"/>
        </w:rPr>
      </w:pPr>
      <w:r w:rsidRPr="006F202D">
        <w:rPr>
          <w:rFonts w:ascii="Arial" w:hAnsi="Arial" w:cs="Arial"/>
          <w:sz w:val="24"/>
          <w:szCs w:val="24"/>
        </w:rPr>
        <w:t>[</w:t>
      </w:r>
      <w:r w:rsidR="0031141B" w:rsidRPr="006F202D">
        <w:rPr>
          <w:rFonts w:ascii="Arial" w:hAnsi="Arial" w:cs="Arial"/>
          <w:sz w:val="24"/>
          <w:szCs w:val="24"/>
        </w:rPr>
        <w:t>3</w:t>
      </w:r>
      <w:r w:rsidR="00F52A2E">
        <w:rPr>
          <w:rFonts w:ascii="Arial" w:hAnsi="Arial" w:cs="Arial"/>
          <w:sz w:val="24"/>
          <w:szCs w:val="24"/>
        </w:rPr>
        <w:t>3</w:t>
      </w:r>
      <w:r w:rsidRPr="006F202D">
        <w:rPr>
          <w:rFonts w:ascii="Arial" w:hAnsi="Arial" w:cs="Arial"/>
          <w:sz w:val="24"/>
          <w:szCs w:val="24"/>
        </w:rPr>
        <w:t>]</w:t>
      </w:r>
      <w:r>
        <w:rPr>
          <w:rFonts w:ascii="Arial" w:hAnsi="Arial" w:cs="Arial"/>
          <w:b/>
          <w:bCs/>
          <w:sz w:val="24"/>
          <w:szCs w:val="24"/>
        </w:rPr>
        <w:tab/>
      </w:r>
      <w:r w:rsidR="008F3F7C">
        <w:rPr>
          <w:rFonts w:ascii="Arial" w:hAnsi="Arial" w:cs="Arial"/>
          <w:sz w:val="24"/>
          <w:szCs w:val="24"/>
        </w:rPr>
        <w:t xml:space="preserve"> </w:t>
      </w:r>
      <w:r w:rsidRPr="002B7E94">
        <w:rPr>
          <w:rFonts w:ascii="Arial" w:hAnsi="Arial" w:cs="Arial"/>
          <w:sz w:val="24"/>
          <w:szCs w:val="24"/>
        </w:rPr>
        <w:t xml:space="preserve">The plaintiff's description of being detained in deplorable and unhygienic conditions, along with the denial of medication, presents concerns regarding the treatment of detainees. The conditions described by the plaintiff, constitute violations of basic human rights and dignity. The standards for detention conditions and treatment of inmates </w:t>
      </w:r>
      <w:r w:rsidR="00465E5A">
        <w:rPr>
          <w:rFonts w:ascii="Arial" w:hAnsi="Arial" w:cs="Arial"/>
          <w:sz w:val="24"/>
          <w:szCs w:val="24"/>
        </w:rPr>
        <w:t xml:space="preserve">are </w:t>
      </w:r>
      <w:r w:rsidRPr="002B7E94">
        <w:rPr>
          <w:rFonts w:ascii="Arial" w:hAnsi="Arial" w:cs="Arial"/>
          <w:sz w:val="24"/>
          <w:szCs w:val="24"/>
        </w:rPr>
        <w:t xml:space="preserve">key </w:t>
      </w:r>
      <w:r w:rsidR="00465E5A">
        <w:rPr>
          <w:rFonts w:ascii="Arial" w:hAnsi="Arial" w:cs="Arial"/>
          <w:sz w:val="24"/>
          <w:szCs w:val="24"/>
        </w:rPr>
        <w:t xml:space="preserve">in the promotion and protection of human rights. </w:t>
      </w:r>
      <w:r w:rsidR="003976B5">
        <w:rPr>
          <w:rFonts w:ascii="Arial" w:hAnsi="Arial" w:cs="Arial"/>
          <w:sz w:val="24"/>
          <w:szCs w:val="24"/>
        </w:rPr>
        <w:t xml:space="preserve">A detained person </w:t>
      </w:r>
      <w:r w:rsidR="00465E5A">
        <w:rPr>
          <w:rFonts w:ascii="Arial" w:hAnsi="Arial" w:cs="Arial"/>
          <w:sz w:val="24"/>
          <w:szCs w:val="24"/>
        </w:rPr>
        <w:t xml:space="preserve">has the following rights </w:t>
      </w:r>
      <w:r w:rsidR="003976B5">
        <w:rPr>
          <w:rFonts w:ascii="Arial" w:hAnsi="Arial" w:cs="Arial"/>
          <w:sz w:val="24"/>
          <w:szCs w:val="24"/>
        </w:rPr>
        <w:t xml:space="preserve">in terms of the Constitution at </w:t>
      </w:r>
      <w:r w:rsidR="003976B5" w:rsidRPr="003976B5">
        <w:rPr>
          <w:rFonts w:ascii="Arial" w:hAnsi="Arial" w:cs="Arial"/>
          <w:sz w:val="24"/>
          <w:szCs w:val="24"/>
        </w:rPr>
        <w:t>Section 35 (2) (e) </w:t>
      </w:r>
      <w:r w:rsidR="00465E5A">
        <w:rPr>
          <w:rFonts w:ascii="Arial" w:hAnsi="Arial" w:cs="Arial"/>
          <w:sz w:val="24"/>
          <w:szCs w:val="24"/>
        </w:rPr>
        <w:t xml:space="preserve">they </w:t>
      </w:r>
      <w:proofErr w:type="gramStart"/>
      <w:r w:rsidR="00465E5A">
        <w:rPr>
          <w:rFonts w:ascii="Arial" w:hAnsi="Arial" w:cs="Arial"/>
          <w:sz w:val="24"/>
          <w:szCs w:val="24"/>
        </w:rPr>
        <w:t>are</w:t>
      </w:r>
      <w:proofErr w:type="gramEnd"/>
    </w:p>
    <w:p w14:paraId="6625ED42" w14:textId="11114EB7" w:rsidR="003976B5" w:rsidRPr="002B7E94" w:rsidRDefault="003976B5" w:rsidP="003976B5">
      <w:pPr>
        <w:spacing w:line="480" w:lineRule="auto"/>
        <w:ind w:left="720"/>
        <w:rPr>
          <w:rFonts w:ascii="Arial" w:hAnsi="Arial" w:cs="Arial"/>
          <w:sz w:val="24"/>
          <w:szCs w:val="24"/>
        </w:rPr>
      </w:pPr>
      <w:r w:rsidRPr="003976B5">
        <w:rPr>
          <w:rFonts w:ascii="Arial" w:hAnsi="Arial" w:cs="Arial"/>
          <w:i/>
          <w:iCs/>
          <w:sz w:val="24"/>
          <w:szCs w:val="24"/>
          <w:lang w:val="en-US"/>
        </w:rPr>
        <w:lastRenderedPageBreak/>
        <w:t>"</w:t>
      </w:r>
      <w:proofErr w:type="gramStart"/>
      <w:r w:rsidRPr="003976B5">
        <w:rPr>
          <w:rFonts w:ascii="Arial" w:hAnsi="Arial" w:cs="Arial"/>
          <w:i/>
          <w:iCs/>
          <w:sz w:val="24"/>
          <w:szCs w:val="24"/>
          <w:lang w:val="en-US"/>
        </w:rPr>
        <w:t>everyone</w:t>
      </w:r>
      <w:proofErr w:type="gramEnd"/>
      <w:r w:rsidRPr="003976B5">
        <w:rPr>
          <w:rFonts w:ascii="Arial" w:hAnsi="Arial" w:cs="Arial"/>
          <w:i/>
          <w:iCs/>
          <w:sz w:val="24"/>
          <w:szCs w:val="24"/>
          <w:lang w:val="en-US"/>
        </w:rPr>
        <w:t xml:space="preserve"> who is detained including every sentenced prisoner has the right to conditions of detention that are consistent with human dignity, including at least exercise and provision of adequate</w:t>
      </w:r>
      <w:r>
        <w:rPr>
          <w:rFonts w:ascii="Arial" w:hAnsi="Arial" w:cs="Arial"/>
          <w:i/>
          <w:iCs/>
          <w:sz w:val="24"/>
          <w:szCs w:val="24"/>
          <w:lang w:val="en-US"/>
        </w:rPr>
        <w:t xml:space="preserve"> </w:t>
      </w:r>
      <w:r w:rsidRPr="003976B5">
        <w:rPr>
          <w:rFonts w:ascii="Arial" w:hAnsi="Arial" w:cs="Arial"/>
          <w:i/>
          <w:iCs/>
          <w:sz w:val="24"/>
          <w:szCs w:val="24"/>
          <w:lang w:val="en-US"/>
        </w:rPr>
        <w:t>accommodation, nutrition, reading material and medical treatment at the state expense."</w:t>
      </w:r>
    </w:p>
    <w:p w14:paraId="554CF31B" w14:textId="3C527E5E" w:rsidR="002B7E94" w:rsidRPr="002B7E94" w:rsidRDefault="002B7E94" w:rsidP="002B7E94">
      <w:pPr>
        <w:spacing w:line="480" w:lineRule="auto"/>
        <w:ind w:left="720" w:hanging="720"/>
        <w:rPr>
          <w:rFonts w:ascii="Arial" w:hAnsi="Arial" w:cs="Arial"/>
          <w:sz w:val="24"/>
          <w:szCs w:val="24"/>
        </w:rPr>
      </w:pPr>
      <w:r>
        <w:rPr>
          <w:rFonts w:ascii="Arial" w:hAnsi="Arial" w:cs="Arial"/>
          <w:sz w:val="24"/>
          <w:szCs w:val="24"/>
        </w:rPr>
        <w:t>[</w:t>
      </w:r>
      <w:r w:rsidR="0031141B">
        <w:rPr>
          <w:rFonts w:ascii="Arial" w:hAnsi="Arial" w:cs="Arial"/>
          <w:sz w:val="24"/>
          <w:szCs w:val="24"/>
        </w:rPr>
        <w:t>3</w:t>
      </w:r>
      <w:r w:rsidR="00F52A2E">
        <w:rPr>
          <w:rFonts w:ascii="Arial" w:hAnsi="Arial" w:cs="Arial"/>
          <w:sz w:val="24"/>
          <w:szCs w:val="24"/>
        </w:rPr>
        <w:t>4</w:t>
      </w:r>
      <w:r>
        <w:rPr>
          <w:rFonts w:ascii="Arial" w:hAnsi="Arial" w:cs="Arial"/>
          <w:sz w:val="24"/>
          <w:szCs w:val="24"/>
        </w:rPr>
        <w:t>]</w:t>
      </w:r>
      <w:r>
        <w:rPr>
          <w:rFonts w:ascii="Arial" w:hAnsi="Arial" w:cs="Arial"/>
          <w:sz w:val="24"/>
          <w:szCs w:val="24"/>
        </w:rPr>
        <w:tab/>
      </w:r>
      <w:r w:rsidRPr="002B7E94">
        <w:rPr>
          <w:rFonts w:ascii="Arial" w:hAnsi="Arial" w:cs="Arial"/>
          <w:sz w:val="24"/>
          <w:szCs w:val="24"/>
        </w:rPr>
        <w:t xml:space="preserve">The lack of privacy in the cell and the denial of medication are serious allegations, particularly if the plaintiff's medical condition </w:t>
      </w:r>
      <w:r w:rsidR="00465E5A">
        <w:rPr>
          <w:rFonts w:ascii="Arial" w:hAnsi="Arial" w:cs="Arial"/>
          <w:sz w:val="24"/>
          <w:szCs w:val="24"/>
        </w:rPr>
        <w:t>requires</w:t>
      </w:r>
      <w:r w:rsidRPr="002B7E94">
        <w:rPr>
          <w:rFonts w:ascii="Arial" w:hAnsi="Arial" w:cs="Arial"/>
          <w:sz w:val="24"/>
          <w:szCs w:val="24"/>
        </w:rPr>
        <w:t xml:space="preserve"> specific treatment. </w:t>
      </w:r>
    </w:p>
    <w:p w14:paraId="04173771" w14:textId="38AB034F" w:rsidR="002B7E94" w:rsidRPr="002B7E94" w:rsidRDefault="002B7E94" w:rsidP="002B7E94">
      <w:pPr>
        <w:spacing w:line="480" w:lineRule="auto"/>
        <w:ind w:left="720" w:hanging="720"/>
        <w:rPr>
          <w:rFonts w:ascii="Arial" w:hAnsi="Arial" w:cs="Arial"/>
          <w:sz w:val="24"/>
          <w:szCs w:val="24"/>
        </w:rPr>
      </w:pPr>
      <w:r w:rsidRPr="0075089A">
        <w:rPr>
          <w:rFonts w:ascii="Arial" w:hAnsi="Arial" w:cs="Arial"/>
          <w:sz w:val="24"/>
          <w:szCs w:val="24"/>
        </w:rPr>
        <w:t>[3</w:t>
      </w:r>
      <w:r w:rsidR="00F52A2E">
        <w:rPr>
          <w:rFonts w:ascii="Arial" w:hAnsi="Arial" w:cs="Arial"/>
          <w:sz w:val="24"/>
          <w:szCs w:val="24"/>
        </w:rPr>
        <w:t>5</w:t>
      </w:r>
      <w:r w:rsidRPr="0075089A">
        <w:rPr>
          <w:rFonts w:ascii="Arial" w:hAnsi="Arial" w:cs="Arial"/>
          <w:sz w:val="24"/>
          <w:szCs w:val="24"/>
        </w:rPr>
        <w:t>]</w:t>
      </w:r>
      <w:r>
        <w:rPr>
          <w:rFonts w:ascii="Arial" w:hAnsi="Arial" w:cs="Arial"/>
          <w:b/>
          <w:bCs/>
          <w:sz w:val="24"/>
          <w:szCs w:val="24"/>
        </w:rPr>
        <w:tab/>
      </w:r>
      <w:r w:rsidRPr="002B7E94">
        <w:rPr>
          <w:rFonts w:ascii="Arial" w:hAnsi="Arial" w:cs="Arial"/>
          <w:sz w:val="24"/>
          <w:szCs w:val="24"/>
        </w:rPr>
        <w:t xml:space="preserve">The plaintiff's claim for damages includes compensation for the alleged mistreatment and the psychological impact of the experience, including post-traumatic stress disorder. The assessment of these damages would involve evaluating the extent of the plaintiff's suffering and the causal link between the </w:t>
      </w:r>
      <w:r w:rsidR="00465E5A">
        <w:rPr>
          <w:rFonts w:ascii="Arial" w:hAnsi="Arial" w:cs="Arial"/>
          <w:sz w:val="24"/>
          <w:szCs w:val="24"/>
        </w:rPr>
        <w:t>defendant's</w:t>
      </w:r>
      <w:r w:rsidRPr="002B7E94">
        <w:rPr>
          <w:rFonts w:ascii="Arial" w:hAnsi="Arial" w:cs="Arial"/>
          <w:sz w:val="24"/>
          <w:szCs w:val="24"/>
        </w:rPr>
        <w:t xml:space="preserve"> actions and the alleged harm.</w:t>
      </w:r>
      <w:r w:rsidR="00A4405E">
        <w:rPr>
          <w:rFonts w:ascii="Arial" w:hAnsi="Arial" w:cs="Arial"/>
          <w:sz w:val="24"/>
          <w:szCs w:val="24"/>
        </w:rPr>
        <w:t xml:space="preserve"> However, it is imperative to mention that there is no expert evidence to confirm the plaintiff’s claim herein.</w:t>
      </w:r>
    </w:p>
    <w:p w14:paraId="09B69B5B" w14:textId="17432700" w:rsidR="002B7E94" w:rsidRPr="002B7E94" w:rsidRDefault="002B7E94" w:rsidP="002B7E94">
      <w:pPr>
        <w:spacing w:line="480" w:lineRule="auto"/>
        <w:ind w:left="720" w:hanging="720"/>
        <w:rPr>
          <w:rFonts w:ascii="Arial" w:hAnsi="Arial" w:cs="Arial"/>
          <w:sz w:val="24"/>
          <w:szCs w:val="24"/>
        </w:rPr>
      </w:pPr>
      <w:r w:rsidRPr="0075089A">
        <w:rPr>
          <w:rFonts w:ascii="Arial" w:hAnsi="Arial" w:cs="Arial"/>
          <w:sz w:val="24"/>
          <w:szCs w:val="24"/>
        </w:rPr>
        <w:t>[3</w:t>
      </w:r>
      <w:r w:rsidR="00F52A2E">
        <w:rPr>
          <w:rFonts w:ascii="Arial" w:hAnsi="Arial" w:cs="Arial"/>
          <w:sz w:val="24"/>
          <w:szCs w:val="24"/>
        </w:rPr>
        <w:t>6</w:t>
      </w:r>
      <w:r w:rsidRPr="0075089A">
        <w:rPr>
          <w:rFonts w:ascii="Arial" w:hAnsi="Arial" w:cs="Arial"/>
          <w:sz w:val="24"/>
          <w:szCs w:val="24"/>
        </w:rPr>
        <w:t>]</w:t>
      </w:r>
      <w:r>
        <w:rPr>
          <w:rFonts w:ascii="Arial" w:hAnsi="Arial" w:cs="Arial"/>
          <w:b/>
          <w:bCs/>
          <w:sz w:val="24"/>
          <w:szCs w:val="24"/>
        </w:rPr>
        <w:tab/>
      </w:r>
      <w:r w:rsidRPr="002B7E94">
        <w:rPr>
          <w:rFonts w:ascii="Arial" w:hAnsi="Arial" w:cs="Arial"/>
          <w:sz w:val="24"/>
          <w:szCs w:val="24"/>
        </w:rPr>
        <w:t xml:space="preserve">The claim for general damages due to loss of self-respect, humiliation, degradation, and loss of dignity would require an evaluation of both the tangible and intangible impacts on the plaintiff’s life. The nature and extent of the alleged unusual and cruel punishment </w:t>
      </w:r>
      <w:proofErr w:type="gramStart"/>
      <w:r w:rsidR="00465E5A">
        <w:rPr>
          <w:rFonts w:ascii="Arial" w:hAnsi="Arial" w:cs="Arial"/>
          <w:sz w:val="24"/>
          <w:szCs w:val="24"/>
        </w:rPr>
        <w:t>have to</w:t>
      </w:r>
      <w:proofErr w:type="gramEnd"/>
      <w:r w:rsidR="00465E5A">
        <w:rPr>
          <w:rFonts w:ascii="Arial" w:hAnsi="Arial" w:cs="Arial"/>
          <w:sz w:val="24"/>
          <w:szCs w:val="24"/>
        </w:rPr>
        <w:t xml:space="preserve"> </w:t>
      </w:r>
      <w:r w:rsidRPr="002B7E94">
        <w:rPr>
          <w:rFonts w:ascii="Arial" w:hAnsi="Arial" w:cs="Arial"/>
          <w:sz w:val="24"/>
          <w:szCs w:val="24"/>
        </w:rPr>
        <w:t>be scrutinized.</w:t>
      </w:r>
      <w:r w:rsidR="00465E5A">
        <w:rPr>
          <w:rFonts w:ascii="Arial" w:hAnsi="Arial" w:cs="Arial"/>
          <w:sz w:val="24"/>
          <w:szCs w:val="24"/>
        </w:rPr>
        <w:t xml:space="preserve"> However, this court is limited to that which has been alluded to by the plaintiff and there is no expert appointed who would assist this court in determining nature and the extent of the trauma.</w:t>
      </w:r>
    </w:p>
    <w:p w14:paraId="63508FB9" w14:textId="4428A518" w:rsidR="00CD5E8C" w:rsidRDefault="002B7E94" w:rsidP="00DA6BE4">
      <w:pPr>
        <w:spacing w:line="480" w:lineRule="auto"/>
        <w:ind w:left="720" w:hanging="720"/>
        <w:rPr>
          <w:rFonts w:ascii="Arial" w:hAnsi="Arial" w:cs="Arial"/>
          <w:sz w:val="24"/>
          <w:szCs w:val="24"/>
        </w:rPr>
      </w:pPr>
      <w:r>
        <w:rPr>
          <w:rFonts w:ascii="Arial" w:hAnsi="Arial" w:cs="Arial"/>
          <w:sz w:val="24"/>
          <w:szCs w:val="24"/>
        </w:rPr>
        <w:lastRenderedPageBreak/>
        <w:t>[3</w:t>
      </w:r>
      <w:r w:rsidR="00F52A2E">
        <w:rPr>
          <w:rFonts w:ascii="Arial" w:hAnsi="Arial" w:cs="Arial"/>
          <w:sz w:val="24"/>
          <w:szCs w:val="24"/>
        </w:rPr>
        <w:t>7</w:t>
      </w:r>
      <w:r>
        <w:rPr>
          <w:rFonts w:ascii="Arial" w:hAnsi="Arial" w:cs="Arial"/>
          <w:sz w:val="24"/>
          <w:szCs w:val="24"/>
        </w:rPr>
        <w:t>]</w:t>
      </w:r>
      <w:r>
        <w:rPr>
          <w:rFonts w:ascii="Arial" w:hAnsi="Arial" w:cs="Arial"/>
          <w:sz w:val="24"/>
          <w:szCs w:val="24"/>
        </w:rPr>
        <w:tab/>
      </w:r>
      <w:r w:rsidR="00CD5E8C">
        <w:rPr>
          <w:rFonts w:ascii="Arial" w:hAnsi="Arial" w:cs="Arial"/>
          <w:color w:val="242121"/>
          <w:sz w:val="27"/>
          <w:szCs w:val="27"/>
          <w:shd w:val="clear" w:color="auto" w:fill="FFFFFF"/>
        </w:rPr>
        <w:t xml:space="preserve"> Van der </w:t>
      </w:r>
      <w:proofErr w:type="spellStart"/>
      <w:r w:rsidR="00CD5E8C">
        <w:rPr>
          <w:rFonts w:ascii="Arial" w:hAnsi="Arial" w:cs="Arial"/>
          <w:color w:val="242121"/>
          <w:sz w:val="27"/>
          <w:szCs w:val="27"/>
          <w:shd w:val="clear" w:color="auto" w:fill="FFFFFF"/>
        </w:rPr>
        <w:t>Schyff</w:t>
      </w:r>
      <w:proofErr w:type="spellEnd"/>
      <w:r w:rsidR="00CD5E8C">
        <w:rPr>
          <w:rFonts w:ascii="Arial" w:hAnsi="Arial" w:cs="Arial"/>
          <w:color w:val="242121"/>
          <w:sz w:val="27"/>
          <w:szCs w:val="27"/>
          <w:shd w:val="clear" w:color="auto" w:fill="FFFFFF"/>
        </w:rPr>
        <w:t xml:space="preserve"> J</w:t>
      </w:r>
      <w:r w:rsidR="00CD5E8C">
        <w:rPr>
          <w:rStyle w:val="FootnoteReference"/>
          <w:rFonts w:ascii="Arial" w:hAnsi="Arial" w:cs="Arial"/>
          <w:color w:val="242121"/>
          <w:sz w:val="27"/>
          <w:szCs w:val="27"/>
          <w:shd w:val="clear" w:color="auto" w:fill="FFFFFF"/>
        </w:rPr>
        <w:footnoteReference w:id="13"/>
      </w:r>
      <w:r w:rsidR="00CD5E8C">
        <w:rPr>
          <w:rFonts w:ascii="Arial" w:hAnsi="Arial" w:cs="Arial"/>
          <w:color w:val="242121"/>
          <w:sz w:val="27"/>
          <w:szCs w:val="27"/>
          <w:shd w:val="clear" w:color="auto" w:fill="FFFFFF"/>
        </w:rPr>
        <w:t xml:space="preserve"> held “Little information was provided regarding the plaintiff’s personal circumstances, save that it was the first time that he was arrested and detained. He testified that he was humiliated by the ordeal and that his reputation suffered. In addition, he was deprived of his liberty, and detained in dismal circumstances. </w:t>
      </w:r>
    </w:p>
    <w:p w14:paraId="0180719D" w14:textId="7FB70E28" w:rsidR="00F96608" w:rsidRDefault="00CD5E8C" w:rsidP="001426D6">
      <w:pPr>
        <w:spacing w:line="480" w:lineRule="auto"/>
        <w:ind w:left="720" w:hanging="720"/>
        <w:rPr>
          <w:rFonts w:ascii="Arial" w:hAnsi="Arial" w:cs="Arial"/>
          <w:sz w:val="24"/>
          <w:szCs w:val="24"/>
        </w:rPr>
      </w:pPr>
      <w:r>
        <w:rPr>
          <w:rFonts w:ascii="Arial" w:hAnsi="Arial" w:cs="Arial"/>
          <w:sz w:val="24"/>
          <w:szCs w:val="24"/>
        </w:rPr>
        <w:t>[3</w:t>
      </w:r>
      <w:r w:rsidR="00F52A2E">
        <w:rPr>
          <w:rFonts w:ascii="Arial" w:hAnsi="Arial" w:cs="Arial"/>
          <w:sz w:val="24"/>
          <w:szCs w:val="24"/>
        </w:rPr>
        <w:t>8</w:t>
      </w:r>
      <w:r>
        <w:rPr>
          <w:rFonts w:ascii="Arial" w:hAnsi="Arial" w:cs="Arial"/>
          <w:sz w:val="24"/>
          <w:szCs w:val="24"/>
        </w:rPr>
        <w:t>]</w:t>
      </w:r>
      <w:r>
        <w:rPr>
          <w:rFonts w:ascii="Arial" w:hAnsi="Arial" w:cs="Arial"/>
          <w:sz w:val="24"/>
          <w:szCs w:val="24"/>
        </w:rPr>
        <w:tab/>
      </w:r>
      <w:r w:rsidR="002D6502">
        <w:rPr>
          <w:rFonts w:ascii="Arial" w:hAnsi="Arial" w:cs="Arial"/>
          <w:sz w:val="24"/>
          <w:szCs w:val="24"/>
        </w:rPr>
        <w:t xml:space="preserve"> This court is limited to the facts as alluded to by the plaintiff and therefore </w:t>
      </w:r>
      <w:r>
        <w:rPr>
          <w:rFonts w:ascii="Arial" w:hAnsi="Arial" w:cs="Arial"/>
          <w:sz w:val="24"/>
          <w:szCs w:val="24"/>
        </w:rPr>
        <w:t xml:space="preserve">I have </w:t>
      </w:r>
      <w:proofErr w:type="gramStart"/>
      <w:r>
        <w:rPr>
          <w:rFonts w:ascii="Arial" w:hAnsi="Arial" w:cs="Arial"/>
          <w:sz w:val="24"/>
          <w:szCs w:val="24"/>
        </w:rPr>
        <w:t>taken into account</w:t>
      </w:r>
      <w:proofErr w:type="gramEnd"/>
      <w:r>
        <w:rPr>
          <w:rFonts w:ascii="Arial" w:hAnsi="Arial" w:cs="Arial"/>
          <w:sz w:val="24"/>
          <w:szCs w:val="24"/>
        </w:rPr>
        <w:t xml:space="preserve"> the manner of the arrest as described followed by the detention</w:t>
      </w:r>
      <w:r w:rsidR="00653BCE">
        <w:rPr>
          <w:rFonts w:ascii="Arial" w:hAnsi="Arial" w:cs="Arial"/>
          <w:sz w:val="24"/>
          <w:szCs w:val="24"/>
        </w:rPr>
        <w:t xml:space="preserve"> wherein the plaintiff suffered </w:t>
      </w:r>
      <w:r w:rsidR="00653BCE" w:rsidRPr="00653BCE">
        <w:rPr>
          <w:rFonts w:ascii="Arial" w:hAnsi="Arial" w:cs="Arial"/>
          <w:sz w:val="24"/>
          <w:szCs w:val="24"/>
        </w:rPr>
        <w:t>great indignity</w:t>
      </w:r>
      <w:r w:rsidR="00653BCE">
        <w:rPr>
          <w:rFonts w:ascii="Arial" w:hAnsi="Arial" w:cs="Arial"/>
          <w:sz w:val="24"/>
          <w:szCs w:val="24"/>
        </w:rPr>
        <w:t xml:space="preserve">. The plaintiff was driving a motor vehicle when he was stopped and detained by the Metro police. He was detained without being issued with a traffic fine. He was subjected to </w:t>
      </w:r>
      <w:r w:rsidR="00F96608">
        <w:rPr>
          <w:rFonts w:ascii="Arial" w:hAnsi="Arial" w:cs="Arial"/>
          <w:sz w:val="24"/>
          <w:szCs w:val="24"/>
        </w:rPr>
        <w:t xml:space="preserve">a cell that was dirty and unhealthy. His life was put at risk as the officers refused his medication to be handed over to him. </w:t>
      </w:r>
    </w:p>
    <w:p w14:paraId="3D482357" w14:textId="1E2CE091" w:rsidR="00CD5E8C" w:rsidRDefault="00F96608" w:rsidP="001426D6">
      <w:pPr>
        <w:spacing w:line="480" w:lineRule="auto"/>
        <w:ind w:left="720" w:hanging="720"/>
        <w:rPr>
          <w:rFonts w:ascii="Arial" w:hAnsi="Arial" w:cs="Arial"/>
          <w:sz w:val="24"/>
          <w:szCs w:val="24"/>
        </w:rPr>
      </w:pPr>
      <w:r>
        <w:rPr>
          <w:rFonts w:ascii="Arial" w:hAnsi="Arial" w:cs="Arial"/>
          <w:sz w:val="24"/>
          <w:szCs w:val="24"/>
        </w:rPr>
        <w:t>[3</w:t>
      </w:r>
      <w:r w:rsidR="00F52A2E">
        <w:rPr>
          <w:rFonts w:ascii="Arial" w:hAnsi="Arial" w:cs="Arial"/>
          <w:sz w:val="24"/>
          <w:szCs w:val="24"/>
        </w:rPr>
        <w:t>9</w:t>
      </w:r>
      <w:r>
        <w:rPr>
          <w:rFonts w:ascii="Arial" w:hAnsi="Arial" w:cs="Arial"/>
          <w:sz w:val="24"/>
          <w:szCs w:val="24"/>
        </w:rPr>
        <w:t>]</w:t>
      </w:r>
      <w:r>
        <w:rPr>
          <w:rFonts w:ascii="Arial" w:hAnsi="Arial" w:cs="Arial"/>
          <w:sz w:val="24"/>
          <w:szCs w:val="24"/>
        </w:rPr>
        <w:tab/>
        <w:t xml:space="preserve">The matter was arraigned for the plaintiff to appear in court, he was subjected to </w:t>
      </w:r>
      <w:r w:rsidR="00CD5E8C">
        <w:rPr>
          <w:rFonts w:ascii="Arial" w:hAnsi="Arial" w:cs="Arial"/>
          <w:sz w:val="24"/>
          <w:szCs w:val="24"/>
        </w:rPr>
        <w:t xml:space="preserve">postponements in court </w:t>
      </w:r>
      <w:r w:rsidR="00CD5E8C" w:rsidRPr="00F96608">
        <w:rPr>
          <w:rFonts w:ascii="Arial" w:hAnsi="Arial" w:cs="Arial"/>
          <w:sz w:val="24"/>
          <w:szCs w:val="24"/>
        </w:rPr>
        <w:t xml:space="preserve">and that the matter was </w:t>
      </w:r>
      <w:r w:rsidRPr="00F96608">
        <w:rPr>
          <w:rFonts w:ascii="Arial" w:hAnsi="Arial" w:cs="Arial"/>
          <w:sz w:val="24"/>
          <w:szCs w:val="24"/>
        </w:rPr>
        <w:t xml:space="preserve">ultimately </w:t>
      </w:r>
      <w:r w:rsidR="00CD5E8C" w:rsidRPr="00F96608">
        <w:rPr>
          <w:rFonts w:ascii="Arial" w:hAnsi="Arial" w:cs="Arial"/>
          <w:sz w:val="24"/>
          <w:szCs w:val="24"/>
        </w:rPr>
        <w:t>withdrawn</w:t>
      </w:r>
      <w:r w:rsidR="002D6502" w:rsidRPr="00F96608">
        <w:rPr>
          <w:rFonts w:ascii="Arial" w:hAnsi="Arial" w:cs="Arial"/>
          <w:sz w:val="24"/>
          <w:szCs w:val="24"/>
        </w:rPr>
        <w:t xml:space="preserve"> without a trial</w:t>
      </w:r>
      <w:r w:rsidR="00CD5E8C" w:rsidRPr="00F96608">
        <w:rPr>
          <w:rFonts w:ascii="Arial" w:hAnsi="Arial" w:cs="Arial"/>
          <w:sz w:val="24"/>
          <w:szCs w:val="24"/>
        </w:rPr>
        <w:t xml:space="preserve">. </w:t>
      </w:r>
      <w:r w:rsidRPr="00F96608">
        <w:rPr>
          <w:rFonts w:ascii="Arial" w:hAnsi="Arial" w:cs="Arial"/>
          <w:sz w:val="24"/>
          <w:szCs w:val="24"/>
          <w:lang w:val="en-US"/>
        </w:rPr>
        <w:t>TSHIDADA</w:t>
      </w:r>
      <w:r w:rsidRPr="00F96608">
        <w:rPr>
          <w:rFonts w:ascii="Arial" w:hAnsi="Arial" w:cs="Arial"/>
          <w:b/>
          <w:bCs/>
          <w:sz w:val="24"/>
          <w:szCs w:val="24"/>
          <w:lang w:val="en-US"/>
        </w:rPr>
        <w:t xml:space="preserve"> </w:t>
      </w:r>
      <w:r w:rsidRPr="00F96608">
        <w:rPr>
          <w:rFonts w:ascii="Arial" w:hAnsi="Arial" w:cs="Arial"/>
          <w:sz w:val="24"/>
          <w:szCs w:val="24"/>
          <w:lang w:val="en-US"/>
        </w:rPr>
        <w:t>J</w:t>
      </w:r>
      <w:r>
        <w:rPr>
          <w:rStyle w:val="FootnoteReference"/>
          <w:rFonts w:ascii="Arial" w:hAnsi="Arial" w:cs="Arial"/>
          <w:sz w:val="24"/>
          <w:szCs w:val="24"/>
          <w:lang w:val="en-US"/>
        </w:rPr>
        <w:footnoteReference w:id="14"/>
      </w:r>
      <w:r>
        <w:rPr>
          <w:rFonts w:ascii="Arial" w:hAnsi="Arial" w:cs="Arial"/>
          <w:sz w:val="24"/>
          <w:szCs w:val="24"/>
          <w:lang w:val="en-US"/>
        </w:rPr>
        <w:t xml:space="preserve"> held that “</w:t>
      </w:r>
      <w:r>
        <w:rPr>
          <w:rFonts w:ascii="Arial" w:hAnsi="Arial" w:cs="Arial"/>
          <w:sz w:val="24"/>
          <w:szCs w:val="24"/>
        </w:rPr>
        <w:t>I</w:t>
      </w:r>
      <w:r w:rsidRPr="00F96608">
        <w:rPr>
          <w:rFonts w:ascii="Arial" w:hAnsi="Arial" w:cs="Arial"/>
          <w:sz w:val="24"/>
          <w:szCs w:val="24"/>
          <w:lang w:val="en-US"/>
        </w:rPr>
        <w:t>t is undisputable that plaintiff's constitutional rights were infringed by the conduct of the defendant's employees.</w:t>
      </w:r>
      <w:r>
        <w:rPr>
          <w:rFonts w:ascii="Arial" w:hAnsi="Arial" w:cs="Arial"/>
          <w:sz w:val="24"/>
          <w:szCs w:val="24"/>
          <w:lang w:val="en-US"/>
        </w:rPr>
        <w:t xml:space="preserve"> </w:t>
      </w:r>
      <w:r w:rsidRPr="00F96608">
        <w:rPr>
          <w:rFonts w:ascii="Arial" w:hAnsi="Arial" w:cs="Arial"/>
          <w:sz w:val="24"/>
          <w:szCs w:val="24"/>
          <w:lang w:val="en-US"/>
        </w:rPr>
        <w:t xml:space="preserve">I am duty bound to consider and apply </w:t>
      </w:r>
      <w:proofErr w:type="gramStart"/>
      <w:r w:rsidRPr="00F96608">
        <w:rPr>
          <w:rFonts w:ascii="Arial" w:hAnsi="Arial" w:cs="Arial"/>
          <w:sz w:val="24"/>
          <w:szCs w:val="24"/>
          <w:lang w:val="en-US"/>
        </w:rPr>
        <w:t>fairness</w:t>
      </w:r>
      <w:proofErr w:type="gramEnd"/>
      <w:r w:rsidRPr="00F96608">
        <w:rPr>
          <w:rFonts w:ascii="Arial" w:hAnsi="Arial" w:cs="Arial"/>
          <w:sz w:val="24"/>
          <w:szCs w:val="24"/>
          <w:lang w:val="en-US"/>
        </w:rPr>
        <w:t xml:space="preserve"> demanded of me when considering all circumstances relevant to quantify the harm caused by the violation of one's constitutional rights.</w:t>
      </w:r>
      <w:r w:rsidRPr="00F96608">
        <w:rPr>
          <w:rFonts w:ascii="Arial" w:hAnsi="Arial" w:cs="Arial"/>
          <w:color w:val="262D31"/>
          <w:sz w:val="27"/>
          <w:szCs w:val="27"/>
          <w:shd w:val="clear" w:color="auto" w:fill="FFFFFF"/>
          <w:lang w:val="en-US"/>
        </w:rPr>
        <w:t xml:space="preserve"> </w:t>
      </w:r>
      <w:r w:rsidRPr="00F96608">
        <w:rPr>
          <w:rFonts w:ascii="Arial" w:hAnsi="Arial" w:cs="Arial"/>
          <w:sz w:val="24"/>
          <w:szCs w:val="24"/>
          <w:lang w:val="en-US"/>
        </w:rPr>
        <w:t xml:space="preserve">The </w:t>
      </w:r>
      <w:proofErr w:type="gramStart"/>
      <w:r w:rsidRPr="00F96608">
        <w:rPr>
          <w:rFonts w:ascii="Arial" w:hAnsi="Arial" w:cs="Arial"/>
          <w:sz w:val="24"/>
          <w:szCs w:val="24"/>
          <w:lang w:val="en-US"/>
        </w:rPr>
        <w:t>period of time</w:t>
      </w:r>
      <w:proofErr w:type="gramEnd"/>
      <w:r w:rsidRPr="00F96608">
        <w:rPr>
          <w:rFonts w:ascii="Arial" w:hAnsi="Arial" w:cs="Arial"/>
          <w:sz w:val="24"/>
          <w:szCs w:val="24"/>
          <w:lang w:val="en-US"/>
        </w:rPr>
        <w:t xml:space="preserve"> for which a person is detained after an arrest cannot only be the factor to be </w:t>
      </w:r>
      <w:r w:rsidRPr="00F96608">
        <w:rPr>
          <w:rFonts w:ascii="Arial" w:hAnsi="Arial" w:cs="Arial"/>
          <w:sz w:val="24"/>
          <w:szCs w:val="24"/>
          <w:lang w:val="en-US"/>
        </w:rPr>
        <w:lastRenderedPageBreak/>
        <w:t>considered when determining the extent of the damage suffered. All prevailing circumstances should be considered cumulatively</w:t>
      </w:r>
      <w:r>
        <w:rPr>
          <w:rFonts w:ascii="Arial" w:hAnsi="Arial" w:cs="Arial"/>
          <w:sz w:val="24"/>
          <w:szCs w:val="24"/>
          <w:lang w:val="en-US"/>
        </w:rPr>
        <w:t>”</w:t>
      </w:r>
      <w:r w:rsidRPr="00F96608">
        <w:rPr>
          <w:rFonts w:ascii="Arial" w:hAnsi="Arial" w:cs="Arial"/>
          <w:sz w:val="24"/>
          <w:szCs w:val="24"/>
          <w:lang w:val="en-US"/>
        </w:rPr>
        <w:t>.</w:t>
      </w:r>
    </w:p>
    <w:p w14:paraId="16C62B91" w14:textId="03676081" w:rsidR="001426D6" w:rsidRDefault="00CD5E8C" w:rsidP="001426D6">
      <w:pPr>
        <w:spacing w:line="480" w:lineRule="auto"/>
        <w:ind w:left="720" w:hanging="720"/>
        <w:rPr>
          <w:rFonts w:ascii="Arial" w:hAnsi="Arial" w:cs="Arial"/>
          <w:sz w:val="24"/>
          <w:szCs w:val="24"/>
        </w:rPr>
      </w:pPr>
      <w:r>
        <w:rPr>
          <w:rFonts w:ascii="Arial" w:hAnsi="Arial" w:cs="Arial"/>
          <w:sz w:val="24"/>
          <w:szCs w:val="24"/>
        </w:rPr>
        <w:t>[</w:t>
      </w:r>
      <w:r w:rsidR="00F52A2E">
        <w:rPr>
          <w:rFonts w:ascii="Arial" w:hAnsi="Arial" w:cs="Arial"/>
          <w:sz w:val="24"/>
          <w:szCs w:val="24"/>
        </w:rPr>
        <w:t>40</w:t>
      </w:r>
      <w:r>
        <w:rPr>
          <w:rFonts w:ascii="Arial" w:hAnsi="Arial" w:cs="Arial"/>
          <w:sz w:val="24"/>
          <w:szCs w:val="24"/>
        </w:rPr>
        <w:t>]</w:t>
      </w:r>
      <w:r>
        <w:rPr>
          <w:rFonts w:ascii="Arial" w:hAnsi="Arial" w:cs="Arial"/>
          <w:sz w:val="24"/>
          <w:szCs w:val="24"/>
        </w:rPr>
        <w:tab/>
      </w:r>
      <w:r w:rsidR="001426D6" w:rsidRPr="001426D6">
        <w:rPr>
          <w:rFonts w:ascii="Arial" w:hAnsi="Arial" w:cs="Arial"/>
          <w:sz w:val="24"/>
          <w:szCs w:val="24"/>
        </w:rPr>
        <w:t xml:space="preserve">The claim of unsavoury/unwarranted remarks made by the plaintiff in the presence of the plaintiff’s family and the public touches on the issue of defamation and the injury to the plaintiff’s reputation and dignity. However, the mere mentioning of unsavoury/unwarranted remarks is not sufficient for a claim of defamation. </w:t>
      </w:r>
    </w:p>
    <w:p w14:paraId="18E386FD" w14:textId="06D37A14" w:rsidR="001426D6" w:rsidRDefault="001426D6" w:rsidP="001426D6">
      <w:pPr>
        <w:spacing w:line="480" w:lineRule="auto"/>
        <w:ind w:left="720" w:hanging="720"/>
        <w:rPr>
          <w:rFonts w:ascii="Arial" w:hAnsi="Arial" w:cs="Arial"/>
          <w:sz w:val="24"/>
          <w:szCs w:val="24"/>
        </w:rPr>
      </w:pPr>
      <w:r>
        <w:rPr>
          <w:rFonts w:ascii="Arial" w:hAnsi="Arial" w:cs="Arial"/>
          <w:sz w:val="24"/>
          <w:szCs w:val="24"/>
        </w:rPr>
        <w:t>[</w:t>
      </w:r>
      <w:r w:rsidR="00F52A2E">
        <w:rPr>
          <w:rFonts w:ascii="Arial" w:hAnsi="Arial" w:cs="Arial"/>
          <w:sz w:val="24"/>
          <w:szCs w:val="24"/>
        </w:rPr>
        <w:t>41</w:t>
      </w:r>
      <w:r>
        <w:rPr>
          <w:rFonts w:ascii="Arial" w:hAnsi="Arial" w:cs="Arial"/>
          <w:sz w:val="24"/>
          <w:szCs w:val="24"/>
        </w:rPr>
        <w:t>]</w:t>
      </w:r>
      <w:r>
        <w:rPr>
          <w:rFonts w:ascii="Arial" w:hAnsi="Arial" w:cs="Arial"/>
          <w:sz w:val="24"/>
          <w:szCs w:val="24"/>
        </w:rPr>
        <w:tab/>
      </w:r>
      <w:r w:rsidRPr="001426D6">
        <w:rPr>
          <w:rFonts w:ascii="Arial" w:hAnsi="Arial" w:cs="Arial"/>
          <w:sz w:val="24"/>
          <w:szCs w:val="24"/>
        </w:rPr>
        <w:t>Similarly in this case the plaintiff says that he was humiliated in the presence of his family members, members of the public and the police. He says unsavoury/unwarranted remarks were made towards him but fails to provide details thereof. There is no evidence of the trauma as alluded to in his damages’ affidavit nor what was said to the plaintiff that he has termed unsavoury. There is also no evidence by his family member</w:t>
      </w:r>
      <w:r>
        <w:rPr>
          <w:rFonts w:ascii="Arial" w:hAnsi="Arial" w:cs="Arial"/>
          <w:sz w:val="24"/>
          <w:szCs w:val="24"/>
        </w:rPr>
        <w:t xml:space="preserve">, a </w:t>
      </w:r>
      <w:r w:rsidRPr="001426D6">
        <w:rPr>
          <w:rFonts w:ascii="Arial" w:hAnsi="Arial" w:cs="Arial"/>
          <w:sz w:val="24"/>
          <w:szCs w:val="24"/>
        </w:rPr>
        <w:t xml:space="preserve">bystander </w:t>
      </w:r>
      <w:r>
        <w:rPr>
          <w:rFonts w:ascii="Arial" w:hAnsi="Arial" w:cs="Arial"/>
          <w:sz w:val="24"/>
          <w:szCs w:val="24"/>
        </w:rPr>
        <w:t xml:space="preserve">nor an independent witness </w:t>
      </w:r>
      <w:r w:rsidRPr="001426D6">
        <w:rPr>
          <w:rFonts w:ascii="Arial" w:hAnsi="Arial" w:cs="Arial"/>
          <w:sz w:val="24"/>
          <w:szCs w:val="24"/>
        </w:rPr>
        <w:t>to confirm what happened on the day in question.</w:t>
      </w:r>
    </w:p>
    <w:p w14:paraId="1EC593F2" w14:textId="6D8A2E33" w:rsidR="001426D6" w:rsidRPr="001426D6" w:rsidRDefault="001426D6" w:rsidP="001426D6">
      <w:pPr>
        <w:spacing w:line="480" w:lineRule="auto"/>
        <w:ind w:left="720" w:hanging="720"/>
        <w:rPr>
          <w:rFonts w:ascii="Arial" w:hAnsi="Arial" w:cs="Arial"/>
          <w:b/>
          <w:bCs/>
          <w:sz w:val="24"/>
          <w:szCs w:val="24"/>
          <w:u w:val="single"/>
        </w:rPr>
      </w:pPr>
      <w:r>
        <w:rPr>
          <w:rFonts w:ascii="Arial" w:hAnsi="Arial" w:cs="Arial"/>
          <w:sz w:val="24"/>
          <w:szCs w:val="24"/>
        </w:rPr>
        <w:tab/>
      </w:r>
      <w:r w:rsidRPr="001426D6">
        <w:rPr>
          <w:rFonts w:ascii="Arial" w:hAnsi="Arial" w:cs="Arial"/>
          <w:b/>
          <w:bCs/>
          <w:sz w:val="24"/>
          <w:szCs w:val="24"/>
          <w:u w:val="single"/>
        </w:rPr>
        <w:t>Order</w:t>
      </w:r>
    </w:p>
    <w:p w14:paraId="28FE8694" w14:textId="468868A7" w:rsidR="001426D6" w:rsidRPr="001426D6" w:rsidRDefault="001426D6" w:rsidP="001426D6">
      <w:pPr>
        <w:spacing w:line="480" w:lineRule="auto"/>
        <w:ind w:left="720" w:hanging="720"/>
        <w:rPr>
          <w:rFonts w:ascii="Arial" w:hAnsi="Arial" w:cs="Arial"/>
          <w:sz w:val="24"/>
          <w:szCs w:val="24"/>
        </w:rPr>
      </w:pPr>
      <w:r>
        <w:rPr>
          <w:rFonts w:ascii="Arial" w:hAnsi="Arial" w:cs="Arial"/>
          <w:sz w:val="24"/>
          <w:szCs w:val="24"/>
        </w:rPr>
        <w:t>[4</w:t>
      </w:r>
      <w:r w:rsidR="00F52A2E">
        <w:rPr>
          <w:rFonts w:ascii="Arial" w:hAnsi="Arial" w:cs="Arial"/>
          <w:sz w:val="24"/>
          <w:szCs w:val="24"/>
        </w:rPr>
        <w:t>2</w:t>
      </w:r>
      <w:r>
        <w:rPr>
          <w:rFonts w:ascii="Arial" w:hAnsi="Arial" w:cs="Arial"/>
          <w:sz w:val="24"/>
          <w:szCs w:val="24"/>
        </w:rPr>
        <w:t>]</w:t>
      </w:r>
      <w:r>
        <w:rPr>
          <w:rFonts w:ascii="Arial" w:hAnsi="Arial" w:cs="Arial"/>
          <w:sz w:val="24"/>
          <w:szCs w:val="24"/>
        </w:rPr>
        <w:tab/>
      </w:r>
      <w:r w:rsidRPr="001426D6">
        <w:rPr>
          <w:rFonts w:ascii="Arial" w:hAnsi="Arial" w:cs="Arial"/>
          <w:sz w:val="24"/>
          <w:szCs w:val="24"/>
        </w:rPr>
        <w:t>I</w:t>
      </w:r>
      <w:r w:rsidR="00D01318">
        <w:rPr>
          <w:rFonts w:ascii="Arial" w:hAnsi="Arial" w:cs="Arial"/>
          <w:sz w:val="24"/>
          <w:szCs w:val="24"/>
        </w:rPr>
        <w:t>n the result, I</w:t>
      </w:r>
      <w:r w:rsidRPr="001426D6">
        <w:rPr>
          <w:rFonts w:ascii="Arial" w:hAnsi="Arial" w:cs="Arial"/>
          <w:sz w:val="24"/>
          <w:szCs w:val="24"/>
        </w:rPr>
        <w:t xml:space="preserve"> am satisfied that the total sum of R 300,000.00 is a fair and reasonable amount in the circumstances for unlawful arrest and detention.</w:t>
      </w:r>
    </w:p>
    <w:p w14:paraId="2BFD2CE6" w14:textId="62EDC869" w:rsidR="00A4405E" w:rsidRDefault="00CD5E8C" w:rsidP="00D01318">
      <w:pPr>
        <w:spacing w:line="480" w:lineRule="auto"/>
        <w:ind w:firstLine="720"/>
        <w:rPr>
          <w:rFonts w:ascii="Arial" w:hAnsi="Arial" w:cs="Arial"/>
          <w:sz w:val="24"/>
          <w:szCs w:val="24"/>
        </w:rPr>
      </w:pPr>
      <w:r>
        <w:rPr>
          <w:rFonts w:ascii="Arial" w:hAnsi="Arial" w:cs="Arial"/>
          <w:sz w:val="24"/>
          <w:szCs w:val="24"/>
        </w:rPr>
        <w:t xml:space="preserve">I have considered the draft order </w:t>
      </w:r>
      <w:r w:rsidR="00A4405E">
        <w:rPr>
          <w:rFonts w:ascii="Arial" w:hAnsi="Arial" w:cs="Arial"/>
          <w:sz w:val="24"/>
          <w:szCs w:val="24"/>
        </w:rPr>
        <w:t>filed and have amended it accordingly.</w:t>
      </w:r>
    </w:p>
    <w:p w14:paraId="21899AC5" w14:textId="77777777" w:rsidR="0031141B" w:rsidRPr="00A469CB" w:rsidRDefault="0031141B" w:rsidP="00A469CB">
      <w:pPr>
        <w:pStyle w:val="NoSpacing"/>
        <w:ind w:left="3600" w:firstLine="720"/>
        <w:rPr>
          <w:rFonts w:ascii="Arial" w:hAnsi="Arial" w:cs="Arial"/>
          <w:b/>
          <w:bCs/>
          <w:sz w:val="24"/>
          <w:szCs w:val="24"/>
        </w:rPr>
      </w:pPr>
      <w:r w:rsidRPr="00A469CB">
        <w:rPr>
          <w:rFonts w:ascii="Arial" w:hAnsi="Arial" w:cs="Arial"/>
          <w:b/>
          <w:bCs/>
          <w:sz w:val="24"/>
          <w:szCs w:val="24"/>
        </w:rPr>
        <w:t>__________________________</w:t>
      </w:r>
    </w:p>
    <w:p w14:paraId="37034A96" w14:textId="77777777" w:rsidR="0031141B" w:rsidRPr="00A469CB" w:rsidRDefault="0031141B" w:rsidP="00A469CB">
      <w:pPr>
        <w:pStyle w:val="NoSpacing"/>
        <w:ind w:left="3600" w:firstLine="720"/>
        <w:rPr>
          <w:rFonts w:ascii="Arial" w:hAnsi="Arial" w:cs="Arial"/>
          <w:b/>
          <w:bCs/>
          <w:sz w:val="24"/>
          <w:szCs w:val="24"/>
        </w:rPr>
      </w:pPr>
      <w:r w:rsidRPr="00A469CB">
        <w:rPr>
          <w:rFonts w:ascii="Arial" w:hAnsi="Arial" w:cs="Arial"/>
          <w:b/>
          <w:bCs/>
          <w:sz w:val="24"/>
          <w:szCs w:val="24"/>
        </w:rPr>
        <w:t>KHWINANA ENB</w:t>
      </w:r>
    </w:p>
    <w:p w14:paraId="1451403A" w14:textId="77777777" w:rsidR="0031141B" w:rsidRPr="00A469CB" w:rsidRDefault="0031141B" w:rsidP="00A469CB">
      <w:pPr>
        <w:pStyle w:val="NoSpacing"/>
        <w:ind w:left="3600" w:firstLine="720"/>
        <w:rPr>
          <w:rFonts w:ascii="Arial" w:hAnsi="Arial" w:cs="Arial"/>
          <w:b/>
          <w:bCs/>
          <w:sz w:val="24"/>
          <w:szCs w:val="24"/>
        </w:rPr>
      </w:pPr>
      <w:r w:rsidRPr="00A469CB">
        <w:rPr>
          <w:rFonts w:ascii="Arial" w:hAnsi="Arial" w:cs="Arial"/>
          <w:b/>
          <w:bCs/>
          <w:sz w:val="24"/>
          <w:szCs w:val="24"/>
        </w:rPr>
        <w:t>ACTING JUDGE OF THE HIGH COURT</w:t>
      </w:r>
    </w:p>
    <w:p w14:paraId="617ECEC1" w14:textId="7B3F45FD" w:rsidR="0031141B" w:rsidRPr="00D01318" w:rsidRDefault="0031141B" w:rsidP="00D01318">
      <w:pPr>
        <w:pStyle w:val="NoSpacing"/>
        <w:rPr>
          <w:rFonts w:ascii="Arial" w:hAnsi="Arial" w:cs="Arial"/>
          <w:b/>
          <w:bCs/>
          <w:sz w:val="24"/>
          <w:szCs w:val="24"/>
        </w:rPr>
      </w:pPr>
      <w:r w:rsidRPr="00A469CB">
        <w:t xml:space="preserve">         </w:t>
      </w:r>
      <w:r w:rsidRPr="00A469CB">
        <w:tab/>
      </w:r>
      <w:r w:rsidRPr="00A469CB">
        <w:tab/>
      </w:r>
      <w:r w:rsidRPr="00A469CB">
        <w:tab/>
      </w:r>
      <w:r w:rsidRPr="00A469CB">
        <w:tab/>
      </w:r>
      <w:r w:rsidRPr="00A469CB">
        <w:tab/>
      </w:r>
      <w:r w:rsidRPr="00A469CB">
        <w:tab/>
      </w:r>
      <w:r w:rsidRPr="00D01318">
        <w:rPr>
          <w:rFonts w:ascii="Arial" w:hAnsi="Arial" w:cs="Arial"/>
          <w:b/>
          <w:bCs/>
          <w:sz w:val="24"/>
          <w:szCs w:val="24"/>
        </w:rPr>
        <w:t>GAUTENG DIVISION, PRETORIA</w:t>
      </w:r>
    </w:p>
    <w:p w14:paraId="275F97F1" w14:textId="77777777" w:rsidR="00D01318" w:rsidRPr="00D01318" w:rsidRDefault="00D01318" w:rsidP="00D01318">
      <w:pPr>
        <w:pStyle w:val="NoSpacing"/>
        <w:rPr>
          <w:rFonts w:ascii="Arial" w:hAnsi="Arial" w:cs="Arial"/>
          <w:b/>
          <w:bCs/>
          <w:sz w:val="24"/>
          <w:szCs w:val="24"/>
        </w:rPr>
      </w:pPr>
    </w:p>
    <w:p w14:paraId="6F7E52A7" w14:textId="2EF58FB1" w:rsidR="00D01318" w:rsidRPr="00D01318" w:rsidRDefault="00A4405E" w:rsidP="006F202D">
      <w:pPr>
        <w:pStyle w:val="NoSpacing"/>
        <w:ind w:firstLine="720"/>
        <w:rPr>
          <w:rFonts w:ascii="Arial" w:hAnsi="Arial" w:cs="Arial"/>
          <w:sz w:val="24"/>
          <w:szCs w:val="24"/>
        </w:rPr>
      </w:pPr>
      <w:r w:rsidRPr="00D01318">
        <w:rPr>
          <w:rFonts w:ascii="Arial" w:hAnsi="Arial" w:cs="Arial"/>
          <w:sz w:val="24"/>
          <w:szCs w:val="24"/>
        </w:rPr>
        <w:t xml:space="preserve">COUNSEL FOR PLAINTIFF: </w:t>
      </w:r>
      <w:r w:rsidR="00D01318" w:rsidRPr="00D01318">
        <w:rPr>
          <w:rFonts w:ascii="Arial" w:hAnsi="Arial" w:cs="Arial"/>
          <w:sz w:val="24"/>
          <w:szCs w:val="24"/>
        </w:rPr>
        <w:t xml:space="preserve"> </w:t>
      </w:r>
      <w:r w:rsidR="00D01318" w:rsidRPr="00D01318">
        <w:rPr>
          <w:rFonts w:ascii="Arial" w:hAnsi="Arial" w:cs="Arial"/>
          <w:sz w:val="24"/>
          <w:szCs w:val="24"/>
        </w:rPr>
        <w:tab/>
      </w:r>
      <w:r w:rsidRPr="00D01318">
        <w:rPr>
          <w:rFonts w:ascii="Arial" w:hAnsi="Arial" w:cs="Arial"/>
          <w:sz w:val="24"/>
          <w:szCs w:val="24"/>
        </w:rPr>
        <w:t xml:space="preserve">ADV. A.C. GOBETZ </w:t>
      </w:r>
    </w:p>
    <w:p w14:paraId="45C2E473" w14:textId="77777777" w:rsidR="00D01318" w:rsidRPr="00D01318" w:rsidRDefault="00D01318" w:rsidP="00D01318">
      <w:pPr>
        <w:pStyle w:val="NoSpacing"/>
        <w:rPr>
          <w:rFonts w:ascii="Arial" w:hAnsi="Arial" w:cs="Arial"/>
          <w:sz w:val="24"/>
          <w:szCs w:val="24"/>
        </w:rPr>
      </w:pPr>
    </w:p>
    <w:p w14:paraId="1F1D1224" w14:textId="631E78F0" w:rsidR="00A4405E" w:rsidRPr="00D01318" w:rsidRDefault="00AC732B" w:rsidP="006F202D">
      <w:pPr>
        <w:pStyle w:val="NoSpacing"/>
        <w:ind w:firstLine="720"/>
        <w:rPr>
          <w:rFonts w:ascii="Arial" w:hAnsi="Arial" w:cs="Arial"/>
          <w:sz w:val="24"/>
          <w:szCs w:val="24"/>
        </w:rPr>
      </w:pPr>
      <w:r w:rsidRPr="00D01318">
        <w:rPr>
          <w:rFonts w:ascii="Arial" w:hAnsi="Arial" w:cs="Arial"/>
          <w:sz w:val="24"/>
          <w:szCs w:val="24"/>
        </w:rPr>
        <w:t xml:space="preserve">DATE OF HEARING:     </w:t>
      </w:r>
      <w:r w:rsidRPr="00D01318">
        <w:rPr>
          <w:rFonts w:ascii="Arial" w:hAnsi="Arial" w:cs="Arial"/>
          <w:sz w:val="24"/>
          <w:szCs w:val="24"/>
        </w:rPr>
        <w:tab/>
      </w:r>
      <w:r w:rsidRPr="00D01318">
        <w:rPr>
          <w:rFonts w:ascii="Arial" w:hAnsi="Arial" w:cs="Arial"/>
          <w:sz w:val="24"/>
          <w:szCs w:val="24"/>
        </w:rPr>
        <w:tab/>
        <w:t>02 NOVEMBER 2023.</w:t>
      </w:r>
    </w:p>
    <w:p w14:paraId="6C5EBF4E" w14:textId="01E613C2" w:rsidR="00A4405E" w:rsidRPr="00D01318" w:rsidRDefault="00AC732B" w:rsidP="006F202D">
      <w:pPr>
        <w:pStyle w:val="NoSpacing"/>
        <w:ind w:firstLine="720"/>
        <w:rPr>
          <w:rFonts w:ascii="Arial" w:hAnsi="Arial" w:cs="Arial"/>
          <w:sz w:val="24"/>
          <w:szCs w:val="24"/>
        </w:rPr>
      </w:pPr>
      <w:r w:rsidRPr="00D01318">
        <w:rPr>
          <w:rFonts w:ascii="Arial" w:hAnsi="Arial" w:cs="Arial"/>
          <w:sz w:val="24"/>
          <w:szCs w:val="24"/>
        </w:rPr>
        <w:t xml:space="preserve">DATE OF JUDGMENT:  </w:t>
      </w:r>
      <w:r w:rsidRPr="00D01318">
        <w:rPr>
          <w:rFonts w:ascii="Arial" w:hAnsi="Arial" w:cs="Arial"/>
          <w:sz w:val="24"/>
          <w:szCs w:val="24"/>
        </w:rPr>
        <w:tab/>
      </w:r>
      <w:r w:rsidRPr="00D01318">
        <w:rPr>
          <w:rFonts w:ascii="Arial" w:hAnsi="Arial" w:cs="Arial"/>
          <w:sz w:val="24"/>
          <w:szCs w:val="24"/>
        </w:rPr>
        <w:tab/>
        <w:t xml:space="preserve">01 FEBRUARY 2024 </w:t>
      </w:r>
    </w:p>
    <w:p w14:paraId="5ACD4F2D" w14:textId="77777777" w:rsidR="00DA6BE4" w:rsidRPr="00D01318" w:rsidRDefault="00DA6BE4" w:rsidP="00D01318">
      <w:pPr>
        <w:pStyle w:val="NoSpacing"/>
      </w:pPr>
    </w:p>
    <w:sectPr w:rsidR="00DA6BE4" w:rsidRPr="00D013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71FF" w14:textId="77777777" w:rsidR="0073625B" w:rsidRDefault="0073625B" w:rsidP="003F3249">
      <w:pPr>
        <w:spacing w:after="0" w:line="240" w:lineRule="auto"/>
      </w:pPr>
      <w:r>
        <w:separator/>
      </w:r>
    </w:p>
  </w:endnote>
  <w:endnote w:type="continuationSeparator" w:id="0">
    <w:p w14:paraId="72CBED98" w14:textId="77777777" w:rsidR="0073625B" w:rsidRDefault="0073625B" w:rsidP="003F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6AEC" w14:textId="77777777" w:rsidR="0073625B" w:rsidRDefault="0073625B" w:rsidP="003F3249">
      <w:pPr>
        <w:spacing w:after="0" w:line="240" w:lineRule="auto"/>
      </w:pPr>
      <w:r>
        <w:separator/>
      </w:r>
    </w:p>
  </w:footnote>
  <w:footnote w:type="continuationSeparator" w:id="0">
    <w:p w14:paraId="3987365E" w14:textId="77777777" w:rsidR="0073625B" w:rsidRDefault="0073625B" w:rsidP="003F3249">
      <w:pPr>
        <w:spacing w:after="0" w:line="240" w:lineRule="auto"/>
      </w:pPr>
      <w:r>
        <w:continuationSeparator/>
      </w:r>
    </w:p>
  </w:footnote>
  <w:footnote w:id="1">
    <w:p w14:paraId="6106CA3E" w14:textId="755BCCB1" w:rsidR="00BB18D6" w:rsidRDefault="00BB18D6">
      <w:pPr>
        <w:pStyle w:val="FootnoteText"/>
      </w:pPr>
      <w:r>
        <w:rPr>
          <w:rStyle w:val="FootnoteReference"/>
        </w:rPr>
        <w:footnoteRef/>
      </w:r>
      <w:r>
        <w:t xml:space="preserve"> Act 51/1977</w:t>
      </w:r>
    </w:p>
  </w:footnote>
  <w:footnote w:id="2">
    <w:p w14:paraId="07AB9333" w14:textId="1B3675FE" w:rsidR="003F3249" w:rsidRDefault="003F3249">
      <w:pPr>
        <w:pStyle w:val="FootnoteText"/>
      </w:pPr>
      <w:r>
        <w:rPr>
          <w:rStyle w:val="FootnoteReference"/>
        </w:rPr>
        <w:footnoteRef/>
      </w:r>
      <w:r>
        <w:t xml:space="preserve"> </w:t>
      </w:r>
      <w:r w:rsidRPr="003F3249">
        <w:t>2012 (1) SACR 305 (ECP)</w:t>
      </w:r>
    </w:p>
  </w:footnote>
  <w:footnote w:id="3">
    <w:p w14:paraId="25EF3301" w14:textId="6ED3FD91" w:rsidR="003F3249" w:rsidRDefault="003F3249">
      <w:pPr>
        <w:pStyle w:val="FootnoteText"/>
      </w:pPr>
      <w:r>
        <w:rPr>
          <w:rStyle w:val="FootnoteReference"/>
        </w:rPr>
        <w:footnoteRef/>
      </w:r>
      <w:r>
        <w:t xml:space="preserve"> Constitution of RSA</w:t>
      </w:r>
    </w:p>
  </w:footnote>
  <w:footnote w:id="4">
    <w:p w14:paraId="32B0085D" w14:textId="4FCE40FD" w:rsidR="003F3249" w:rsidRDefault="003F3249">
      <w:pPr>
        <w:pStyle w:val="FootnoteText"/>
      </w:pPr>
      <w:r>
        <w:rPr>
          <w:rStyle w:val="FootnoteReference"/>
        </w:rPr>
        <w:footnoteRef/>
      </w:r>
      <w:r>
        <w:t xml:space="preserve"> </w:t>
      </w:r>
      <w:r w:rsidRPr="003F3249">
        <w:t>1986(3) SA 568 (A) T 589 E – F</w:t>
      </w:r>
    </w:p>
  </w:footnote>
  <w:footnote w:id="5">
    <w:p w14:paraId="40D1B9D1" w14:textId="7DC67656" w:rsidR="003F3249" w:rsidRDefault="003F3249">
      <w:pPr>
        <w:pStyle w:val="FootnoteText"/>
      </w:pPr>
      <w:r>
        <w:rPr>
          <w:rStyle w:val="FootnoteReference"/>
        </w:rPr>
        <w:footnoteRef/>
      </w:r>
      <w:r>
        <w:t xml:space="preserve"> </w:t>
      </w:r>
      <w:r w:rsidRPr="003F3249">
        <w:t>[ </w:t>
      </w:r>
      <w:hyperlink r:id="rId1" w:tooltip="View LawCiteRecord" w:history="1">
        <w:r w:rsidRPr="003F3249">
          <w:rPr>
            <w:rStyle w:val="Hyperlink"/>
            <w:b/>
            <w:bCs/>
          </w:rPr>
          <w:t>2022] ZASCA 36</w:t>
        </w:r>
      </w:hyperlink>
      <w:r w:rsidRPr="003F3249">
        <w:t> (01 April 2022)</w:t>
      </w:r>
    </w:p>
  </w:footnote>
  <w:footnote w:id="6">
    <w:p w14:paraId="6B0D5FAE" w14:textId="5A29124C" w:rsidR="00BB18D6" w:rsidRDefault="00BB18D6">
      <w:pPr>
        <w:pStyle w:val="FootnoteText"/>
      </w:pPr>
      <w:r>
        <w:rPr>
          <w:rStyle w:val="FootnoteReference"/>
        </w:rPr>
        <w:footnoteRef/>
      </w:r>
      <w:r>
        <w:t xml:space="preserve"> </w:t>
      </w:r>
      <w:hyperlink r:id="rId2" w:tooltip="View LawCiteRecord" w:history="1">
        <w:r w:rsidRPr="00BB18D6">
          <w:rPr>
            <w:rStyle w:val="Hyperlink"/>
            <w:b/>
            <w:bCs/>
            <w:lang w:val="en-US"/>
          </w:rPr>
          <w:t>2021 (2) SACR 595</w:t>
        </w:r>
      </w:hyperlink>
      <w:r w:rsidRPr="00BB18D6">
        <w:rPr>
          <w:lang w:val="en-US"/>
        </w:rPr>
        <w:t> (CC)</w:t>
      </w:r>
    </w:p>
  </w:footnote>
  <w:footnote w:id="7">
    <w:p w14:paraId="65E4326C" w14:textId="03253C3B" w:rsidR="00203AF2" w:rsidRDefault="00203AF2">
      <w:pPr>
        <w:pStyle w:val="FootnoteText"/>
      </w:pPr>
      <w:r>
        <w:rPr>
          <w:rStyle w:val="FootnoteReference"/>
        </w:rPr>
        <w:footnoteRef/>
      </w:r>
      <w:r>
        <w:t xml:space="preserve"> </w:t>
      </w:r>
      <w:hyperlink r:id="rId3" w:tooltip="View LawCiteRecord" w:history="1">
        <w:r w:rsidRPr="00203AF2">
          <w:rPr>
            <w:rStyle w:val="Hyperlink"/>
            <w:b/>
            <w:bCs/>
          </w:rPr>
          <w:t>2009 (5) SA 85</w:t>
        </w:r>
      </w:hyperlink>
      <w:r w:rsidRPr="00203AF2">
        <w:t> SC</w:t>
      </w:r>
    </w:p>
  </w:footnote>
  <w:footnote w:id="8">
    <w:p w14:paraId="2E9F419A" w14:textId="675A13B6" w:rsidR="004C22C7" w:rsidRDefault="004C22C7">
      <w:pPr>
        <w:pStyle w:val="FootnoteText"/>
      </w:pPr>
      <w:r>
        <w:rPr>
          <w:rStyle w:val="FootnoteReference"/>
        </w:rPr>
        <w:footnoteRef/>
      </w:r>
      <w:r>
        <w:t xml:space="preserve"> </w:t>
      </w:r>
      <w:r w:rsidRPr="004C22C7">
        <w:rPr>
          <w:i/>
          <w:iCs/>
        </w:rPr>
        <w:t>Minister of Safety and Security  v Seymour,</w:t>
      </w:r>
      <w:r>
        <w:rPr>
          <w:i/>
          <w:iCs/>
        </w:rPr>
        <w:t xml:space="preserve"> </w:t>
      </w:r>
      <w:r w:rsidRPr="004C22C7">
        <w:rPr>
          <w:i/>
          <w:iCs/>
        </w:rPr>
        <w:t>(295/05) [</w:t>
      </w:r>
      <w:r w:rsidRPr="004C22C7">
        <w:rPr>
          <w:i/>
          <w:iCs/>
          <w:lang w:val="en-US"/>
        </w:rPr>
        <w:t> </w:t>
      </w:r>
      <w:hyperlink r:id="rId4" w:tooltip="View Case" w:history="1">
        <w:r w:rsidRPr="004C22C7">
          <w:rPr>
            <w:rStyle w:val="Hyperlink"/>
            <w:b/>
            <w:bCs/>
            <w:i/>
            <w:iCs/>
            <w:lang w:val="en-US"/>
          </w:rPr>
          <w:t>2006] ZASCA 71</w:t>
        </w:r>
      </w:hyperlink>
      <w:r w:rsidRPr="004C22C7">
        <w:rPr>
          <w:i/>
          <w:iCs/>
          <w:lang w:val="en-US"/>
        </w:rPr>
        <w:t>; [2006] SCA 67 (RSA); [2007]  </w:t>
      </w:r>
      <w:hyperlink r:id="rId5" w:tooltip="View LawCiteRecord" w:history="1">
        <w:r w:rsidRPr="004C22C7">
          <w:rPr>
            <w:rStyle w:val="Hyperlink"/>
            <w:b/>
            <w:bCs/>
            <w:i/>
            <w:iCs/>
            <w:lang w:val="en-US"/>
          </w:rPr>
          <w:t>1 All SA 558</w:t>
        </w:r>
      </w:hyperlink>
      <w:r w:rsidRPr="004C22C7">
        <w:rPr>
          <w:i/>
          <w:iCs/>
          <w:lang w:val="en-US"/>
        </w:rPr>
        <w:t>  (SCA) (30 May 2006</w:t>
      </w:r>
    </w:p>
  </w:footnote>
  <w:footnote w:id="9">
    <w:p w14:paraId="5E08B4C9" w14:textId="26556F56" w:rsidR="002C030F" w:rsidRDefault="002C030F">
      <w:pPr>
        <w:pStyle w:val="FootnoteText"/>
      </w:pPr>
      <w:r>
        <w:rPr>
          <w:rStyle w:val="FootnoteReference"/>
        </w:rPr>
        <w:footnoteRef/>
      </w:r>
      <w:r>
        <w:t xml:space="preserve"> </w:t>
      </w:r>
      <w:r w:rsidRPr="002C030F">
        <w:t>1983 (3) SA 705 (A)</w:t>
      </w:r>
    </w:p>
  </w:footnote>
  <w:footnote w:id="10">
    <w:p w14:paraId="1D33AFE2" w14:textId="333BFE40" w:rsidR="002C030F" w:rsidRDefault="002C030F">
      <w:pPr>
        <w:pStyle w:val="FootnoteText"/>
      </w:pPr>
      <w:r>
        <w:rPr>
          <w:rStyle w:val="FootnoteReference"/>
        </w:rPr>
        <w:footnoteRef/>
      </w:r>
      <w:r>
        <w:t xml:space="preserve"> </w:t>
      </w:r>
      <w:r w:rsidRPr="002C030F">
        <w:t>CA 165/2008) [2009] ZAECGHC 16; 2010 (1) SA 169 (ECG); 2010 (1) SACR 274 (ECG) (27 March 2009)</w:t>
      </w:r>
    </w:p>
  </w:footnote>
  <w:footnote w:id="11">
    <w:p w14:paraId="70A775BA" w14:textId="53322E4A" w:rsidR="008F3F7C" w:rsidRDefault="008F3F7C">
      <w:pPr>
        <w:pStyle w:val="FootnoteText"/>
      </w:pPr>
      <w:r>
        <w:rPr>
          <w:rStyle w:val="FootnoteReference"/>
        </w:rPr>
        <w:footnoteRef/>
      </w:r>
      <w:r w:rsidRPr="008F3F7C">
        <w:t>1997 (1) SA 391 (A).</w:t>
      </w:r>
      <w:r>
        <w:t xml:space="preserve"> </w:t>
      </w:r>
    </w:p>
  </w:footnote>
  <w:footnote w:id="12">
    <w:p w14:paraId="586125B5" w14:textId="77777777" w:rsidR="00653BCE" w:rsidRPr="00653BCE" w:rsidRDefault="00653BCE" w:rsidP="00653BCE">
      <w:pPr>
        <w:pStyle w:val="FootnoteText"/>
      </w:pPr>
      <w:r>
        <w:rPr>
          <w:rStyle w:val="FootnoteReference"/>
        </w:rPr>
        <w:footnoteRef/>
      </w:r>
      <w:r>
        <w:t xml:space="preserve"> </w:t>
      </w:r>
      <w:proofErr w:type="spellStart"/>
      <w:r w:rsidRPr="00653BCE">
        <w:t>Mathunjwa</w:t>
      </w:r>
      <w:proofErr w:type="spellEnd"/>
      <w:r w:rsidRPr="00653BCE">
        <w:t xml:space="preserve"> v Minister of Police (A3134/2021) [2023] ZAGPJHC 12 (11 January 2023)</w:t>
      </w:r>
    </w:p>
    <w:p w14:paraId="7A4524A5" w14:textId="21F07589" w:rsidR="00653BCE" w:rsidRDefault="00653BCE">
      <w:pPr>
        <w:pStyle w:val="FootnoteText"/>
      </w:pPr>
    </w:p>
  </w:footnote>
  <w:footnote w:id="13">
    <w:p w14:paraId="1ACD973A" w14:textId="77777777" w:rsidR="00CD5E8C" w:rsidRPr="00CD5E8C" w:rsidRDefault="00CD5E8C" w:rsidP="00CD5E8C">
      <w:pPr>
        <w:pStyle w:val="FootnoteText"/>
      </w:pPr>
      <w:r>
        <w:rPr>
          <w:rStyle w:val="FootnoteReference"/>
        </w:rPr>
        <w:footnoteRef/>
      </w:r>
      <w:r>
        <w:t xml:space="preserve"> </w:t>
      </w:r>
      <w:proofErr w:type="spellStart"/>
      <w:r w:rsidRPr="00CD5E8C">
        <w:t>Kutiya</w:t>
      </w:r>
      <w:proofErr w:type="spellEnd"/>
      <w:r w:rsidRPr="00CD5E8C">
        <w:t xml:space="preserve"> v Minister of Police (19474/19) [2022] ZAGPPHC 543 (18 July 2022)</w:t>
      </w:r>
    </w:p>
    <w:p w14:paraId="0D26B4D1" w14:textId="5C2F5EF1" w:rsidR="00CD5E8C" w:rsidRDefault="00CD5E8C">
      <w:pPr>
        <w:pStyle w:val="FootnoteText"/>
      </w:pPr>
    </w:p>
  </w:footnote>
  <w:footnote w:id="14">
    <w:p w14:paraId="11223EF4" w14:textId="77777777" w:rsidR="00F96608" w:rsidRPr="00F96608" w:rsidRDefault="00F96608" w:rsidP="00F96608">
      <w:pPr>
        <w:pStyle w:val="FootnoteText"/>
      </w:pPr>
      <w:r>
        <w:rPr>
          <w:rStyle w:val="FootnoteReference"/>
        </w:rPr>
        <w:footnoteRef/>
      </w:r>
      <w:r>
        <w:t xml:space="preserve"> </w:t>
      </w:r>
      <w:r w:rsidRPr="00F96608">
        <w:t>Sylvia v Minister of Police (307/2021) [2023] ZALMPTHC 5 (24 March 2023)</w:t>
      </w:r>
    </w:p>
    <w:p w14:paraId="27A4803B" w14:textId="69D5D86D" w:rsidR="00F96608" w:rsidRDefault="00F9660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7A5A"/>
    <w:multiLevelType w:val="multilevel"/>
    <w:tmpl w:val="3C64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2482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2C"/>
    <w:rsid w:val="00101DA4"/>
    <w:rsid w:val="00121F2C"/>
    <w:rsid w:val="001426D6"/>
    <w:rsid w:val="00203AF2"/>
    <w:rsid w:val="00235BA7"/>
    <w:rsid w:val="002B7E94"/>
    <w:rsid w:val="002C030F"/>
    <w:rsid w:val="002D6502"/>
    <w:rsid w:val="0031141B"/>
    <w:rsid w:val="00337882"/>
    <w:rsid w:val="00353A8F"/>
    <w:rsid w:val="003976B5"/>
    <w:rsid w:val="003F3249"/>
    <w:rsid w:val="0041689E"/>
    <w:rsid w:val="00465E5A"/>
    <w:rsid w:val="00486816"/>
    <w:rsid w:val="004C22C7"/>
    <w:rsid w:val="004C6BB4"/>
    <w:rsid w:val="00565460"/>
    <w:rsid w:val="00653BCE"/>
    <w:rsid w:val="006F202D"/>
    <w:rsid w:val="00725FED"/>
    <w:rsid w:val="0073625B"/>
    <w:rsid w:val="0075089A"/>
    <w:rsid w:val="007A20C7"/>
    <w:rsid w:val="008A2C03"/>
    <w:rsid w:val="008C2E55"/>
    <w:rsid w:val="008F3F7C"/>
    <w:rsid w:val="0090413D"/>
    <w:rsid w:val="00972D47"/>
    <w:rsid w:val="009E7CBA"/>
    <w:rsid w:val="00A4405E"/>
    <w:rsid w:val="00A469CB"/>
    <w:rsid w:val="00AB6F7B"/>
    <w:rsid w:val="00AC732B"/>
    <w:rsid w:val="00BA5691"/>
    <w:rsid w:val="00BB18D6"/>
    <w:rsid w:val="00BC699A"/>
    <w:rsid w:val="00C31969"/>
    <w:rsid w:val="00C4059E"/>
    <w:rsid w:val="00CD5E8C"/>
    <w:rsid w:val="00D01318"/>
    <w:rsid w:val="00D41F23"/>
    <w:rsid w:val="00D614C3"/>
    <w:rsid w:val="00D64295"/>
    <w:rsid w:val="00D745AC"/>
    <w:rsid w:val="00D848F1"/>
    <w:rsid w:val="00DA6BE4"/>
    <w:rsid w:val="00E92C44"/>
    <w:rsid w:val="00EE7B31"/>
    <w:rsid w:val="00F52A2E"/>
    <w:rsid w:val="00F832CA"/>
    <w:rsid w:val="00F95E59"/>
    <w:rsid w:val="00F966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10BBD"/>
  <w15:chartTrackingRefBased/>
  <w15:docId w15:val="{B76D119F-99AF-4DED-B8FC-6C279DDD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C22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3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249"/>
    <w:rPr>
      <w:sz w:val="20"/>
      <w:szCs w:val="20"/>
    </w:rPr>
  </w:style>
  <w:style w:type="character" w:styleId="FootnoteReference">
    <w:name w:val="footnote reference"/>
    <w:basedOn w:val="DefaultParagraphFont"/>
    <w:uiPriority w:val="99"/>
    <w:semiHidden/>
    <w:unhideWhenUsed/>
    <w:rsid w:val="003F3249"/>
    <w:rPr>
      <w:vertAlign w:val="superscript"/>
    </w:rPr>
  </w:style>
  <w:style w:type="character" w:styleId="Hyperlink">
    <w:name w:val="Hyperlink"/>
    <w:basedOn w:val="DefaultParagraphFont"/>
    <w:uiPriority w:val="99"/>
    <w:unhideWhenUsed/>
    <w:rsid w:val="003F3249"/>
    <w:rPr>
      <w:color w:val="0563C1" w:themeColor="hyperlink"/>
      <w:u w:val="single"/>
    </w:rPr>
  </w:style>
  <w:style w:type="character" w:styleId="UnresolvedMention">
    <w:name w:val="Unresolved Mention"/>
    <w:basedOn w:val="DefaultParagraphFont"/>
    <w:uiPriority w:val="99"/>
    <w:semiHidden/>
    <w:unhideWhenUsed/>
    <w:rsid w:val="003F3249"/>
    <w:rPr>
      <w:color w:val="605E5C"/>
      <w:shd w:val="clear" w:color="auto" w:fill="E1DFDD"/>
    </w:rPr>
  </w:style>
  <w:style w:type="paragraph" w:styleId="NormalWeb">
    <w:name w:val="Normal (Web)"/>
    <w:basedOn w:val="Normal"/>
    <w:uiPriority w:val="99"/>
    <w:semiHidden/>
    <w:unhideWhenUsed/>
    <w:rsid w:val="00BB18D6"/>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C22C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114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62">
      <w:bodyDiv w:val="1"/>
      <w:marLeft w:val="0"/>
      <w:marRight w:val="0"/>
      <w:marTop w:val="0"/>
      <w:marBottom w:val="0"/>
      <w:divBdr>
        <w:top w:val="none" w:sz="0" w:space="0" w:color="auto"/>
        <w:left w:val="none" w:sz="0" w:space="0" w:color="auto"/>
        <w:bottom w:val="none" w:sz="0" w:space="0" w:color="auto"/>
        <w:right w:val="none" w:sz="0" w:space="0" w:color="auto"/>
      </w:divBdr>
    </w:div>
    <w:div w:id="76443514">
      <w:bodyDiv w:val="1"/>
      <w:marLeft w:val="0"/>
      <w:marRight w:val="0"/>
      <w:marTop w:val="0"/>
      <w:marBottom w:val="0"/>
      <w:divBdr>
        <w:top w:val="none" w:sz="0" w:space="0" w:color="auto"/>
        <w:left w:val="none" w:sz="0" w:space="0" w:color="auto"/>
        <w:bottom w:val="none" w:sz="0" w:space="0" w:color="auto"/>
        <w:right w:val="none" w:sz="0" w:space="0" w:color="auto"/>
      </w:divBdr>
    </w:div>
    <w:div w:id="185411381">
      <w:bodyDiv w:val="1"/>
      <w:marLeft w:val="0"/>
      <w:marRight w:val="0"/>
      <w:marTop w:val="0"/>
      <w:marBottom w:val="0"/>
      <w:divBdr>
        <w:top w:val="none" w:sz="0" w:space="0" w:color="auto"/>
        <w:left w:val="none" w:sz="0" w:space="0" w:color="auto"/>
        <w:bottom w:val="none" w:sz="0" w:space="0" w:color="auto"/>
        <w:right w:val="none" w:sz="0" w:space="0" w:color="auto"/>
      </w:divBdr>
    </w:div>
    <w:div w:id="197937073">
      <w:bodyDiv w:val="1"/>
      <w:marLeft w:val="0"/>
      <w:marRight w:val="0"/>
      <w:marTop w:val="0"/>
      <w:marBottom w:val="0"/>
      <w:divBdr>
        <w:top w:val="none" w:sz="0" w:space="0" w:color="auto"/>
        <w:left w:val="none" w:sz="0" w:space="0" w:color="auto"/>
        <w:bottom w:val="none" w:sz="0" w:space="0" w:color="auto"/>
        <w:right w:val="none" w:sz="0" w:space="0" w:color="auto"/>
      </w:divBdr>
    </w:div>
    <w:div w:id="303312366">
      <w:bodyDiv w:val="1"/>
      <w:marLeft w:val="0"/>
      <w:marRight w:val="0"/>
      <w:marTop w:val="0"/>
      <w:marBottom w:val="0"/>
      <w:divBdr>
        <w:top w:val="none" w:sz="0" w:space="0" w:color="auto"/>
        <w:left w:val="none" w:sz="0" w:space="0" w:color="auto"/>
        <w:bottom w:val="none" w:sz="0" w:space="0" w:color="auto"/>
        <w:right w:val="none" w:sz="0" w:space="0" w:color="auto"/>
      </w:divBdr>
    </w:div>
    <w:div w:id="1146702662">
      <w:bodyDiv w:val="1"/>
      <w:marLeft w:val="0"/>
      <w:marRight w:val="0"/>
      <w:marTop w:val="0"/>
      <w:marBottom w:val="0"/>
      <w:divBdr>
        <w:top w:val="none" w:sz="0" w:space="0" w:color="auto"/>
        <w:left w:val="none" w:sz="0" w:space="0" w:color="auto"/>
        <w:bottom w:val="none" w:sz="0" w:space="0" w:color="auto"/>
        <w:right w:val="none" w:sz="0" w:space="0" w:color="auto"/>
      </w:divBdr>
    </w:div>
    <w:div w:id="1393696762">
      <w:bodyDiv w:val="1"/>
      <w:marLeft w:val="0"/>
      <w:marRight w:val="0"/>
      <w:marTop w:val="0"/>
      <w:marBottom w:val="0"/>
      <w:divBdr>
        <w:top w:val="none" w:sz="0" w:space="0" w:color="auto"/>
        <w:left w:val="none" w:sz="0" w:space="0" w:color="auto"/>
        <w:bottom w:val="none" w:sz="0" w:space="0" w:color="auto"/>
        <w:right w:val="none" w:sz="0" w:space="0" w:color="auto"/>
      </w:divBdr>
    </w:div>
    <w:div w:id="1553037538">
      <w:bodyDiv w:val="1"/>
      <w:marLeft w:val="0"/>
      <w:marRight w:val="0"/>
      <w:marTop w:val="0"/>
      <w:marBottom w:val="0"/>
      <w:divBdr>
        <w:top w:val="none" w:sz="0" w:space="0" w:color="auto"/>
        <w:left w:val="none" w:sz="0" w:space="0" w:color="auto"/>
        <w:bottom w:val="none" w:sz="0" w:space="0" w:color="auto"/>
        <w:right w:val="none" w:sz="0" w:space="0" w:color="auto"/>
      </w:divBdr>
    </w:div>
    <w:div w:id="19519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flii.org/za/cases/ZAECGHC/2009/16.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09%20%285%29%20SA%2085" TargetMode="External"/><Relationship Id="rId2" Type="http://schemas.openxmlformats.org/officeDocument/2006/relationships/hyperlink" Target="https://www.saflii.org/cgi-bin/LawCite?cit=2021%20%282%29%20SACR%20595" TargetMode="External"/><Relationship Id="rId1" Type="http://schemas.openxmlformats.org/officeDocument/2006/relationships/hyperlink" Target="https://www.saflii.org/cgi-bin/LawCite?cit=2022%5d%20ZASCA%2036" TargetMode="External"/><Relationship Id="rId5" Type="http://schemas.openxmlformats.org/officeDocument/2006/relationships/hyperlink" Target="https://www.saflii.org/cgi-bin/LawCite?cit=1%20All%20SA%20558" TargetMode="External"/><Relationship Id="rId4" Type="http://schemas.openxmlformats.org/officeDocument/2006/relationships/hyperlink" Target="http://www.saflii.org/za/cases/ZASCA/2006/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E5912-1D8A-478B-811E-7EB3480C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3339</Words>
  <Characters>16999</Characters>
  <Application>Microsoft Office Word</Application>
  <DocSecurity>0</DocSecurity>
  <Lines>339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dc:creator>
  <cp:keywords/>
  <dc:description/>
  <cp:lastModifiedBy>Khwinana Khwinana</cp:lastModifiedBy>
  <cp:revision>3</cp:revision>
  <cp:lastPrinted>2024-02-01T09:10:00Z</cp:lastPrinted>
  <dcterms:created xsi:type="dcterms:W3CDTF">2024-02-01T09:10:00Z</dcterms:created>
  <dcterms:modified xsi:type="dcterms:W3CDTF">2024-02-01T09:13:00Z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969ab709-ea24-46cb-bbe7-d2c215aae479</vt:lpwstr>
  </property>
</Properties>
</file>