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C644" w14:textId="77777777" w:rsidR="00073462" w:rsidRDefault="00073462" w:rsidP="00073462">
      <w:pPr>
        <w:spacing w:line="480" w:lineRule="auto"/>
        <w:jc w:val="center"/>
        <w:rPr>
          <w:b/>
          <w:bCs/>
          <w:sz w:val="24"/>
          <w:szCs w:val="24"/>
        </w:rPr>
      </w:pPr>
      <w:r>
        <w:rPr>
          <w:rFonts w:ascii="Times New Roman" w:eastAsia="Calibri" w:hAnsi="Times New Roman" w:cs="Times New Roman"/>
          <w:noProof/>
          <w:color w:val="1F497D"/>
          <w:sz w:val="28"/>
          <w:szCs w:val="28"/>
          <w:lang w:val="en-ZA"/>
        </w:rPr>
        <w:drawing>
          <wp:inline distT="0" distB="0" distL="0" distR="0" wp14:anchorId="0427E832" wp14:editId="0A037A18">
            <wp:extent cx="1356360" cy="1356360"/>
            <wp:effectExtent l="0" t="0" r="15240" b="15240"/>
            <wp:docPr id="1" name="Picture 1"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u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p>
    <w:p w14:paraId="5A55CA16" w14:textId="77777777" w:rsidR="00073462" w:rsidRDefault="00073462" w:rsidP="00073462">
      <w:pPr>
        <w:spacing w:line="240" w:lineRule="auto"/>
        <w:jc w:val="center"/>
        <w:rPr>
          <w:b/>
          <w:bCs/>
          <w:sz w:val="24"/>
          <w:szCs w:val="24"/>
        </w:rPr>
      </w:pPr>
      <w:r>
        <w:rPr>
          <w:b/>
          <w:bCs/>
          <w:sz w:val="24"/>
          <w:szCs w:val="24"/>
        </w:rPr>
        <w:t>IN THE HIGH COURT OF SOUTH AFRICA</w:t>
      </w:r>
    </w:p>
    <w:p w14:paraId="28368E5A" w14:textId="77777777" w:rsidR="00073462" w:rsidRDefault="00073462" w:rsidP="00073462">
      <w:pPr>
        <w:spacing w:line="240" w:lineRule="auto"/>
        <w:jc w:val="center"/>
        <w:rPr>
          <w:b/>
          <w:bCs/>
          <w:sz w:val="24"/>
          <w:szCs w:val="24"/>
        </w:rPr>
      </w:pPr>
      <w:r>
        <w:rPr>
          <w:b/>
          <w:bCs/>
          <w:sz w:val="24"/>
          <w:szCs w:val="24"/>
        </w:rPr>
        <w:t>GAUTENG DIVISION, PRETORIA</w:t>
      </w:r>
    </w:p>
    <w:p w14:paraId="4FFFDCCC" w14:textId="77777777" w:rsidR="00073462" w:rsidRDefault="00073462" w:rsidP="00073462">
      <w:pPr>
        <w:spacing w:line="240" w:lineRule="auto"/>
        <w:jc w:val="center"/>
        <w:rPr>
          <w:b/>
          <w:bCs/>
          <w:sz w:val="24"/>
          <w:szCs w:val="24"/>
        </w:rPr>
      </w:pPr>
    </w:p>
    <w:p w14:paraId="25C6709A" w14:textId="77777777" w:rsidR="00073462" w:rsidRDefault="00073462" w:rsidP="00073462">
      <w:pPr>
        <w:spacing w:line="480" w:lineRule="auto"/>
        <w:jc w:val="right"/>
        <w:rPr>
          <w:sz w:val="24"/>
          <w:szCs w:val="24"/>
        </w:rPr>
      </w:pPr>
      <w:r>
        <w:rPr>
          <w:rFonts w:ascii="Times New Roman" w:hAnsi="Times New Roman" w:cs="Times New Roman"/>
          <w:noProof/>
          <w:sz w:val="24"/>
          <w:szCs w:val="24"/>
          <w:lang w:val="en-ZA"/>
        </w:rPr>
        <mc:AlternateContent>
          <mc:Choice Requires="wps">
            <w:drawing>
              <wp:anchor distT="0" distB="0" distL="114300" distR="114300" simplePos="0" relativeHeight="251659264" behindDoc="0" locked="0" layoutInCell="1" allowOverlap="1" wp14:anchorId="426F9979" wp14:editId="4E5F9DFC">
                <wp:simplePos x="0" y="0"/>
                <wp:positionH relativeFrom="margin">
                  <wp:posOffset>0</wp:posOffset>
                </wp:positionH>
                <wp:positionV relativeFrom="paragraph">
                  <wp:posOffset>237490</wp:posOffset>
                </wp:positionV>
                <wp:extent cx="3253740" cy="967740"/>
                <wp:effectExtent l="0" t="0" r="228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967740"/>
                        </a:xfrm>
                        <a:prstGeom prst="rect">
                          <a:avLst/>
                        </a:prstGeom>
                        <a:solidFill>
                          <a:srgbClr val="FFFFFF"/>
                        </a:solidFill>
                        <a:ln w="9525">
                          <a:solidFill>
                            <a:srgbClr val="000000"/>
                          </a:solidFill>
                          <a:miter lim="800000"/>
                          <a:headEnd/>
                          <a:tailEnd/>
                        </a:ln>
                      </wps:spPr>
                      <wps:txbx>
                        <w:txbxContent>
                          <w:p w14:paraId="325D0259" w14:textId="77777777" w:rsidR="00073462" w:rsidRPr="001C6B0D" w:rsidRDefault="00073462" w:rsidP="00073462">
                            <w:pPr>
                              <w:widowControl w:val="0"/>
                              <w:numPr>
                                <w:ilvl w:val="0"/>
                                <w:numId w:val="7"/>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REPORTABLE: YES/NO</w:t>
                            </w:r>
                          </w:p>
                          <w:p w14:paraId="352FDA83" w14:textId="77777777" w:rsidR="00073462" w:rsidRPr="001C6B0D" w:rsidRDefault="00073462" w:rsidP="00073462">
                            <w:pPr>
                              <w:widowControl w:val="0"/>
                              <w:numPr>
                                <w:ilvl w:val="0"/>
                                <w:numId w:val="7"/>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OF INTEREST TO OTHERS JUDGES: YES/NO</w:t>
                            </w:r>
                          </w:p>
                          <w:p w14:paraId="07DEA6B0" w14:textId="77777777" w:rsidR="00073462" w:rsidRPr="001C6B0D" w:rsidRDefault="00073462" w:rsidP="00073462">
                            <w:pPr>
                              <w:widowControl w:val="0"/>
                              <w:numPr>
                                <w:ilvl w:val="0"/>
                                <w:numId w:val="7"/>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REVISED</w:t>
                            </w:r>
                          </w:p>
                          <w:p w14:paraId="03AD7247" w14:textId="77777777" w:rsidR="00073462" w:rsidRPr="001C6B0D" w:rsidRDefault="00073462" w:rsidP="00073462">
                            <w:pPr>
                              <w:tabs>
                                <w:tab w:val="center" w:pos="4320"/>
                                <w:tab w:val="right" w:pos="8640"/>
                              </w:tabs>
                              <w:ind w:left="720"/>
                              <w:contextualSpacing/>
                              <w:rPr>
                                <w:rFonts w:ascii="Calibri" w:hAnsi="Calibri" w:cs="Times New Roman"/>
                                <w:sz w:val="16"/>
                                <w:szCs w:val="16"/>
                                <w:lang w:val="af-ZA"/>
                              </w:rPr>
                            </w:pPr>
                          </w:p>
                          <w:p w14:paraId="3005B415" w14:textId="77777777" w:rsidR="00073462" w:rsidRPr="001C6B0D" w:rsidRDefault="00073462" w:rsidP="00073462">
                            <w:pPr>
                              <w:tabs>
                                <w:tab w:val="center" w:pos="4320"/>
                                <w:tab w:val="right" w:pos="8640"/>
                              </w:tabs>
                              <w:contextualSpacing/>
                              <w:rPr>
                                <w:rFonts w:ascii="Calibri" w:hAnsi="Calibri" w:cs="Times New Roman"/>
                                <w:sz w:val="16"/>
                                <w:szCs w:val="16"/>
                                <w:lang w:val="af-ZA"/>
                              </w:rPr>
                            </w:pPr>
                            <w:r w:rsidRPr="001C6B0D">
                              <w:rPr>
                                <w:rFonts w:ascii="Calibri" w:hAnsi="Calibri" w:cs="Times New Roman"/>
                                <w:sz w:val="16"/>
                                <w:szCs w:val="16"/>
                                <w:lang w:val="af-ZA"/>
                              </w:rPr>
                              <w:t>....................................</w:t>
                            </w:r>
                            <w:r w:rsidRPr="001C6B0D">
                              <w:rPr>
                                <w:rFonts w:ascii="Calibri" w:hAnsi="Calibri" w:cs="Times New Roman"/>
                                <w:sz w:val="16"/>
                                <w:szCs w:val="16"/>
                                <w:lang w:val="af-ZA"/>
                              </w:rPr>
                              <w:tab/>
                              <w:t>................................</w:t>
                            </w:r>
                          </w:p>
                          <w:p w14:paraId="65DA5C7F" w14:textId="77777777" w:rsidR="00073462" w:rsidRPr="001C6B0D" w:rsidRDefault="00073462" w:rsidP="00073462">
                            <w:pPr>
                              <w:tabs>
                                <w:tab w:val="center" w:pos="4320"/>
                                <w:tab w:val="right" w:pos="8640"/>
                              </w:tabs>
                              <w:contextualSpacing/>
                              <w:rPr>
                                <w:rFonts w:ascii="Calibri" w:hAnsi="Calibri" w:cs="Times New Roman"/>
                                <w:sz w:val="16"/>
                                <w:szCs w:val="16"/>
                                <w:lang w:val="af-ZA"/>
                              </w:rPr>
                            </w:pPr>
                            <w:r w:rsidRPr="001C6B0D">
                              <w:rPr>
                                <w:rFonts w:ascii="Calibri" w:hAnsi="Calibri" w:cs="Times New Roman"/>
                                <w:b/>
                                <w:sz w:val="16"/>
                                <w:szCs w:val="16"/>
                                <w:lang w:val="af-ZA"/>
                              </w:rPr>
                              <w:t>SIGNATURE</w:t>
                            </w:r>
                            <w:r w:rsidRPr="001C6B0D">
                              <w:rPr>
                                <w:rFonts w:ascii="Calibri" w:hAnsi="Calibri" w:cs="Times New Roman"/>
                                <w:sz w:val="16"/>
                                <w:szCs w:val="16"/>
                                <w:lang w:val="af-ZA"/>
                              </w:rPr>
                              <w:t xml:space="preserve">                                                       </w:t>
                            </w:r>
                            <w:r w:rsidRPr="001C6B0D">
                              <w:rPr>
                                <w:rFonts w:ascii="Calibri" w:hAnsi="Calibri" w:cs="Times New Roman"/>
                                <w:b/>
                                <w:sz w:val="16"/>
                                <w:szCs w:val="16"/>
                                <w:lang w:val="af-ZA"/>
                              </w:rPr>
                              <w:t>DATE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6F9979" id="_x0000_t202" coordsize="21600,21600" o:spt="202" path="m,l,21600r21600,l21600,xe">
                <v:stroke joinstyle="miter"/>
                <v:path gradientshapeok="t" o:connecttype="rect"/>
              </v:shapetype>
              <v:shape id="Text Box 4" o:spid="_x0000_s1026" type="#_x0000_t202" style="position:absolute;left:0;text-align:left;margin-left:0;margin-top:18.7pt;width:256.2pt;height:7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">
                <v:textbox>
                  <w:txbxContent>
                    <w:p w14:paraId="325D0259" w14:textId="77777777" w:rsidR="00073462" w:rsidRPr="001C6B0D" w:rsidRDefault="00073462" w:rsidP="00073462">
                      <w:pPr>
                        <w:widowControl w:val="0"/>
                        <w:numPr>
                          <w:ilvl w:val="0"/>
                          <w:numId w:val="7"/>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REPORTABLE: YES/NO</w:t>
                      </w:r>
                    </w:p>
                    <w:p w14:paraId="352FDA83" w14:textId="77777777" w:rsidR="00073462" w:rsidRPr="001C6B0D" w:rsidRDefault="00073462" w:rsidP="00073462">
                      <w:pPr>
                        <w:widowControl w:val="0"/>
                        <w:numPr>
                          <w:ilvl w:val="0"/>
                          <w:numId w:val="7"/>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OF INTEREST TO OTHERS JUDGES: YES/NO</w:t>
                      </w:r>
                    </w:p>
                    <w:p w14:paraId="07DEA6B0" w14:textId="77777777" w:rsidR="00073462" w:rsidRPr="001C6B0D" w:rsidRDefault="00073462" w:rsidP="00073462">
                      <w:pPr>
                        <w:widowControl w:val="0"/>
                        <w:numPr>
                          <w:ilvl w:val="0"/>
                          <w:numId w:val="7"/>
                        </w:numPr>
                        <w:autoSpaceDE w:val="0"/>
                        <w:autoSpaceDN w:val="0"/>
                        <w:adjustRightInd w:val="0"/>
                        <w:spacing w:line="240" w:lineRule="auto"/>
                        <w:ind w:left="426" w:hanging="426"/>
                        <w:contextualSpacing/>
                        <w:rPr>
                          <w:rFonts w:ascii="Calibri" w:hAnsi="Calibri" w:cs="Times New Roman"/>
                          <w:sz w:val="16"/>
                          <w:szCs w:val="16"/>
                          <w:lang w:val="af-ZA"/>
                        </w:rPr>
                      </w:pPr>
                      <w:r w:rsidRPr="001C6B0D">
                        <w:rPr>
                          <w:rFonts w:ascii="Calibri" w:hAnsi="Calibri" w:cs="Times New Roman"/>
                          <w:sz w:val="16"/>
                          <w:szCs w:val="16"/>
                          <w:lang w:val="af-ZA"/>
                        </w:rPr>
                        <w:t>REVISED</w:t>
                      </w:r>
                    </w:p>
                    <w:p w14:paraId="03AD7247" w14:textId="77777777" w:rsidR="00073462" w:rsidRPr="001C6B0D" w:rsidRDefault="00073462" w:rsidP="00073462">
                      <w:pPr>
                        <w:tabs>
                          <w:tab w:val="center" w:pos="4320"/>
                          <w:tab w:val="right" w:pos="8640"/>
                        </w:tabs>
                        <w:ind w:left="720"/>
                        <w:contextualSpacing/>
                        <w:rPr>
                          <w:rFonts w:ascii="Calibri" w:hAnsi="Calibri" w:cs="Times New Roman"/>
                          <w:sz w:val="16"/>
                          <w:szCs w:val="16"/>
                          <w:lang w:val="af-ZA"/>
                        </w:rPr>
                      </w:pPr>
                    </w:p>
                    <w:p w14:paraId="3005B415" w14:textId="77777777" w:rsidR="00073462" w:rsidRPr="001C6B0D" w:rsidRDefault="00073462" w:rsidP="00073462">
                      <w:pPr>
                        <w:tabs>
                          <w:tab w:val="center" w:pos="4320"/>
                          <w:tab w:val="right" w:pos="8640"/>
                        </w:tabs>
                        <w:contextualSpacing/>
                        <w:rPr>
                          <w:rFonts w:ascii="Calibri" w:hAnsi="Calibri" w:cs="Times New Roman"/>
                          <w:sz w:val="16"/>
                          <w:szCs w:val="16"/>
                          <w:lang w:val="af-ZA"/>
                        </w:rPr>
                      </w:pPr>
                      <w:r w:rsidRPr="001C6B0D">
                        <w:rPr>
                          <w:rFonts w:ascii="Calibri" w:hAnsi="Calibri" w:cs="Times New Roman"/>
                          <w:sz w:val="16"/>
                          <w:szCs w:val="16"/>
                          <w:lang w:val="af-ZA"/>
                        </w:rPr>
                        <w:t>....................................</w:t>
                      </w:r>
                      <w:r w:rsidRPr="001C6B0D">
                        <w:rPr>
                          <w:rFonts w:ascii="Calibri" w:hAnsi="Calibri" w:cs="Times New Roman"/>
                          <w:sz w:val="16"/>
                          <w:szCs w:val="16"/>
                          <w:lang w:val="af-ZA"/>
                        </w:rPr>
                        <w:tab/>
                        <w:t>................................</w:t>
                      </w:r>
                    </w:p>
                    <w:p w14:paraId="65DA5C7F" w14:textId="77777777" w:rsidR="00073462" w:rsidRPr="001C6B0D" w:rsidRDefault="00073462" w:rsidP="00073462">
                      <w:pPr>
                        <w:tabs>
                          <w:tab w:val="center" w:pos="4320"/>
                          <w:tab w:val="right" w:pos="8640"/>
                        </w:tabs>
                        <w:contextualSpacing/>
                        <w:rPr>
                          <w:rFonts w:ascii="Calibri" w:hAnsi="Calibri" w:cs="Times New Roman"/>
                          <w:sz w:val="16"/>
                          <w:szCs w:val="16"/>
                          <w:lang w:val="af-ZA"/>
                        </w:rPr>
                      </w:pPr>
                      <w:r w:rsidRPr="001C6B0D">
                        <w:rPr>
                          <w:rFonts w:ascii="Calibri" w:hAnsi="Calibri" w:cs="Times New Roman"/>
                          <w:b/>
                          <w:sz w:val="16"/>
                          <w:szCs w:val="16"/>
                          <w:lang w:val="af-ZA"/>
                        </w:rPr>
                        <w:t>SIGNATURE</w:t>
                      </w:r>
                      <w:r w:rsidRPr="001C6B0D">
                        <w:rPr>
                          <w:rFonts w:ascii="Calibri" w:hAnsi="Calibri" w:cs="Times New Roman"/>
                          <w:sz w:val="16"/>
                          <w:szCs w:val="16"/>
                          <w:lang w:val="af-ZA"/>
                        </w:rPr>
                        <w:t xml:space="preserve">                                                       </w:t>
                      </w:r>
                      <w:r w:rsidRPr="001C6B0D">
                        <w:rPr>
                          <w:rFonts w:ascii="Calibri" w:hAnsi="Calibri" w:cs="Times New Roman"/>
                          <w:b/>
                          <w:sz w:val="16"/>
                          <w:szCs w:val="16"/>
                          <w:lang w:val="af-ZA"/>
                        </w:rPr>
                        <w:t>DATE</w:t>
                      </w:r>
                    </w:p>
                  </w:txbxContent>
                </v:textbox>
                <w10:wrap anchorx="margin"/>
              </v:shape>
            </w:pict>
          </mc:Fallback>
        </mc:AlternateContent>
      </w:r>
    </w:p>
    <w:p w14:paraId="48DA8C67" w14:textId="77777777" w:rsidR="00073462" w:rsidRDefault="00073462" w:rsidP="00073462">
      <w:pPr>
        <w:spacing w:line="240" w:lineRule="auto"/>
        <w:jc w:val="right"/>
        <w:rPr>
          <w:sz w:val="24"/>
          <w:szCs w:val="24"/>
        </w:rPr>
      </w:pPr>
    </w:p>
    <w:p w14:paraId="034917B3" w14:textId="77777777" w:rsidR="00073462" w:rsidRDefault="00073462" w:rsidP="00073462">
      <w:pPr>
        <w:spacing w:line="480" w:lineRule="auto"/>
        <w:rPr>
          <w:sz w:val="24"/>
          <w:szCs w:val="24"/>
        </w:rPr>
      </w:pPr>
      <w:r>
        <w:rPr>
          <w:sz w:val="24"/>
          <w:szCs w:val="24"/>
        </w:rPr>
        <w:t>In the matter between: -</w:t>
      </w:r>
    </w:p>
    <w:p w14:paraId="261EDE0F" w14:textId="77777777" w:rsidR="00073462" w:rsidRDefault="00073462" w:rsidP="00073462">
      <w:pPr>
        <w:spacing w:line="480" w:lineRule="auto"/>
        <w:rPr>
          <w:sz w:val="24"/>
          <w:szCs w:val="24"/>
        </w:rPr>
      </w:pPr>
    </w:p>
    <w:p w14:paraId="0939A97D" w14:textId="77777777" w:rsidR="00073462" w:rsidRDefault="00073462" w:rsidP="00073462">
      <w:pPr>
        <w:spacing w:line="480" w:lineRule="auto"/>
        <w:rPr>
          <w:b/>
          <w:bCs/>
          <w:sz w:val="24"/>
          <w:szCs w:val="24"/>
        </w:rPr>
      </w:pPr>
    </w:p>
    <w:p w14:paraId="5734B196" w14:textId="032F2C83" w:rsidR="00073462" w:rsidRDefault="00073462" w:rsidP="00073462">
      <w:pPr>
        <w:spacing w:line="480" w:lineRule="auto"/>
        <w:jc w:val="right"/>
        <w:rPr>
          <w:sz w:val="24"/>
          <w:szCs w:val="24"/>
        </w:rPr>
      </w:pPr>
      <w:r>
        <w:rPr>
          <w:sz w:val="24"/>
          <w:szCs w:val="24"/>
        </w:rPr>
        <w:t>Appeal Case Number:  A109/2022</w:t>
      </w:r>
    </w:p>
    <w:p w14:paraId="1B8DA60E" w14:textId="2C89F044" w:rsidR="00073462" w:rsidRDefault="00073462" w:rsidP="00073462">
      <w:pPr>
        <w:spacing w:line="480" w:lineRule="auto"/>
        <w:jc w:val="right"/>
        <w:rPr>
          <w:sz w:val="24"/>
          <w:szCs w:val="24"/>
        </w:rPr>
      </w:pPr>
      <w:r>
        <w:rPr>
          <w:sz w:val="24"/>
          <w:szCs w:val="24"/>
        </w:rPr>
        <w:t xml:space="preserve">Court </w:t>
      </w:r>
      <w:r>
        <w:rPr>
          <w:i/>
          <w:iCs/>
          <w:sz w:val="24"/>
          <w:szCs w:val="24"/>
        </w:rPr>
        <w:t xml:space="preserve">a quo </w:t>
      </w:r>
      <w:r>
        <w:rPr>
          <w:sz w:val="24"/>
          <w:szCs w:val="24"/>
        </w:rPr>
        <w:t>Case Number:  45074/2021</w:t>
      </w:r>
    </w:p>
    <w:p w14:paraId="6E0A80AE" w14:textId="77777777" w:rsidR="00073462" w:rsidRDefault="00073462" w:rsidP="00073462">
      <w:pPr>
        <w:spacing w:line="480" w:lineRule="auto"/>
        <w:jc w:val="both"/>
        <w:rPr>
          <w:sz w:val="24"/>
          <w:szCs w:val="24"/>
        </w:rPr>
      </w:pPr>
    </w:p>
    <w:p w14:paraId="69893627" w14:textId="7B2C58D1" w:rsidR="00073462" w:rsidRDefault="00073462" w:rsidP="00073462">
      <w:pPr>
        <w:spacing w:line="480" w:lineRule="auto"/>
        <w:jc w:val="both"/>
        <w:rPr>
          <w:sz w:val="24"/>
          <w:szCs w:val="24"/>
        </w:rPr>
      </w:pPr>
      <w:r>
        <w:rPr>
          <w:sz w:val="24"/>
          <w:szCs w:val="24"/>
        </w:rPr>
        <w:t>In the matter between:</w:t>
      </w:r>
    </w:p>
    <w:p w14:paraId="272F5C2F" w14:textId="77777777" w:rsidR="00073462" w:rsidRDefault="00073462" w:rsidP="00073462">
      <w:pPr>
        <w:spacing w:line="480" w:lineRule="auto"/>
        <w:jc w:val="both"/>
        <w:rPr>
          <w:sz w:val="24"/>
          <w:szCs w:val="24"/>
        </w:rPr>
      </w:pPr>
    </w:p>
    <w:p w14:paraId="4400F6D1" w14:textId="708C1A41" w:rsidR="00073462" w:rsidRDefault="00073462" w:rsidP="00073462">
      <w:pPr>
        <w:spacing w:line="480" w:lineRule="auto"/>
        <w:jc w:val="both"/>
        <w:rPr>
          <w:sz w:val="24"/>
          <w:szCs w:val="24"/>
        </w:rPr>
      </w:pPr>
      <w:r w:rsidRPr="00073462">
        <w:rPr>
          <w:b/>
          <w:bCs/>
          <w:sz w:val="24"/>
          <w:szCs w:val="24"/>
        </w:rPr>
        <w:t>MINISTER OF DEFENCE AND MILITARY VETERANS</w:t>
      </w:r>
      <w:r>
        <w:rPr>
          <w:sz w:val="24"/>
          <w:szCs w:val="24"/>
        </w:rPr>
        <w:tab/>
      </w:r>
      <w:r>
        <w:rPr>
          <w:sz w:val="24"/>
          <w:szCs w:val="24"/>
        </w:rPr>
        <w:tab/>
        <w:t xml:space="preserve">         First Appellant</w:t>
      </w:r>
    </w:p>
    <w:p w14:paraId="022E5F07" w14:textId="1796B47C" w:rsidR="00073462" w:rsidRDefault="00073462" w:rsidP="00073462">
      <w:pPr>
        <w:spacing w:line="480" w:lineRule="auto"/>
        <w:jc w:val="both"/>
        <w:rPr>
          <w:sz w:val="24"/>
          <w:szCs w:val="24"/>
        </w:rPr>
      </w:pPr>
      <w:r>
        <w:rPr>
          <w:b/>
          <w:bCs/>
          <w:sz w:val="24"/>
          <w:szCs w:val="24"/>
        </w:rPr>
        <w:t>DEPARTMENT OF MILITARY VETERANS</w:t>
      </w:r>
      <w:r>
        <w:rPr>
          <w:b/>
          <w:bCs/>
          <w:sz w:val="24"/>
          <w:szCs w:val="24"/>
        </w:rPr>
        <w:tab/>
      </w:r>
      <w:r>
        <w:rPr>
          <w:b/>
          <w:bCs/>
          <w:sz w:val="24"/>
          <w:szCs w:val="24"/>
        </w:rPr>
        <w:tab/>
      </w:r>
      <w:r>
        <w:rPr>
          <w:b/>
          <w:bCs/>
          <w:sz w:val="24"/>
          <w:szCs w:val="24"/>
        </w:rPr>
        <w:tab/>
      </w:r>
      <w:r>
        <w:rPr>
          <w:b/>
          <w:bCs/>
          <w:sz w:val="24"/>
          <w:szCs w:val="24"/>
        </w:rPr>
        <w:tab/>
        <w:t xml:space="preserve">    </w:t>
      </w:r>
      <w:r>
        <w:rPr>
          <w:sz w:val="24"/>
          <w:szCs w:val="24"/>
        </w:rPr>
        <w:t>Second Appellant</w:t>
      </w:r>
    </w:p>
    <w:p w14:paraId="318A3E24" w14:textId="77777777" w:rsidR="00073462" w:rsidRDefault="00073462" w:rsidP="00073462">
      <w:pPr>
        <w:spacing w:line="480" w:lineRule="auto"/>
        <w:jc w:val="both"/>
        <w:rPr>
          <w:sz w:val="24"/>
          <w:szCs w:val="24"/>
        </w:rPr>
      </w:pPr>
    </w:p>
    <w:p w14:paraId="5CD102FE" w14:textId="52F99DA9" w:rsidR="00073462" w:rsidRDefault="00073462" w:rsidP="00073462">
      <w:pPr>
        <w:spacing w:line="480" w:lineRule="auto"/>
        <w:jc w:val="both"/>
        <w:rPr>
          <w:sz w:val="24"/>
          <w:szCs w:val="24"/>
        </w:rPr>
      </w:pPr>
      <w:r>
        <w:rPr>
          <w:sz w:val="24"/>
          <w:szCs w:val="24"/>
        </w:rPr>
        <w:t>and</w:t>
      </w:r>
    </w:p>
    <w:p w14:paraId="338FAC17" w14:textId="77777777" w:rsidR="00073462" w:rsidRDefault="00073462" w:rsidP="00073462">
      <w:pPr>
        <w:spacing w:line="480" w:lineRule="auto"/>
        <w:jc w:val="both"/>
        <w:rPr>
          <w:sz w:val="24"/>
          <w:szCs w:val="24"/>
        </w:rPr>
      </w:pPr>
    </w:p>
    <w:p w14:paraId="3406134A" w14:textId="2BD4243F" w:rsidR="00073462" w:rsidRDefault="00073462" w:rsidP="00073462">
      <w:pPr>
        <w:spacing w:line="480" w:lineRule="auto"/>
        <w:jc w:val="both"/>
        <w:rPr>
          <w:sz w:val="24"/>
          <w:szCs w:val="24"/>
        </w:rPr>
      </w:pPr>
      <w:r>
        <w:rPr>
          <w:b/>
          <w:bCs/>
          <w:sz w:val="24"/>
          <w:szCs w:val="24"/>
        </w:rPr>
        <w:t xml:space="preserve">STHEMBISO KUME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First Respondent</w:t>
      </w:r>
    </w:p>
    <w:p w14:paraId="11506BA7" w14:textId="274A03E2" w:rsidR="00073462" w:rsidRDefault="00073462" w:rsidP="00073462">
      <w:pPr>
        <w:spacing w:line="480" w:lineRule="auto"/>
        <w:jc w:val="both"/>
        <w:rPr>
          <w:sz w:val="24"/>
          <w:szCs w:val="24"/>
        </w:rPr>
      </w:pPr>
      <w:r>
        <w:rPr>
          <w:b/>
          <w:bCs/>
          <w:sz w:val="24"/>
          <w:szCs w:val="24"/>
        </w:rPr>
        <w:t>LINDILWA NTLABATHI</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Second Respondent</w:t>
      </w:r>
    </w:p>
    <w:p w14:paraId="1F8AF712" w14:textId="09387C78" w:rsidR="00073462" w:rsidRDefault="00073462" w:rsidP="00073462">
      <w:pPr>
        <w:spacing w:line="480" w:lineRule="auto"/>
        <w:jc w:val="both"/>
        <w:rPr>
          <w:sz w:val="24"/>
          <w:szCs w:val="24"/>
        </w:rPr>
      </w:pPr>
      <w:r>
        <w:rPr>
          <w:b/>
          <w:bCs/>
          <w:sz w:val="24"/>
          <w:szCs w:val="24"/>
        </w:rPr>
        <w:t>THIBANE MALAKA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Third Respondent</w:t>
      </w:r>
    </w:p>
    <w:p w14:paraId="767965B4" w14:textId="5575C067" w:rsidR="00073462" w:rsidRDefault="00073462" w:rsidP="00073462">
      <w:pPr>
        <w:spacing w:line="480" w:lineRule="auto"/>
        <w:jc w:val="both"/>
        <w:rPr>
          <w:sz w:val="24"/>
          <w:szCs w:val="24"/>
        </w:rPr>
      </w:pPr>
      <w:r>
        <w:rPr>
          <w:b/>
          <w:bCs/>
          <w:sz w:val="24"/>
          <w:szCs w:val="24"/>
        </w:rPr>
        <w:lastRenderedPageBreak/>
        <w:t>YOLISA PHOLL</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Fourth Respondent</w:t>
      </w:r>
    </w:p>
    <w:p w14:paraId="4A0EB18E" w14:textId="43BBBBBB" w:rsidR="00073462" w:rsidRDefault="00073462" w:rsidP="00073462">
      <w:pPr>
        <w:spacing w:line="480" w:lineRule="auto"/>
        <w:jc w:val="both"/>
        <w:rPr>
          <w:sz w:val="24"/>
          <w:szCs w:val="24"/>
        </w:rPr>
      </w:pPr>
      <w:r>
        <w:rPr>
          <w:b/>
          <w:bCs/>
          <w:sz w:val="24"/>
          <w:szCs w:val="24"/>
        </w:rPr>
        <w:t>LEBO MOGALE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Fifth Respondent</w:t>
      </w:r>
    </w:p>
    <w:p w14:paraId="72FBF164" w14:textId="26925FB5" w:rsidR="00073462" w:rsidRDefault="00073462" w:rsidP="00073462">
      <w:pPr>
        <w:spacing w:line="480" w:lineRule="auto"/>
        <w:jc w:val="both"/>
        <w:rPr>
          <w:sz w:val="24"/>
          <w:szCs w:val="24"/>
        </w:rPr>
      </w:pPr>
      <w:r>
        <w:rPr>
          <w:b/>
          <w:bCs/>
          <w:sz w:val="24"/>
          <w:szCs w:val="24"/>
        </w:rPr>
        <w:t>MOSES MAKHALEMELE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Sixth Respondent</w:t>
      </w:r>
    </w:p>
    <w:p w14:paraId="21B74481" w14:textId="3CF230C6" w:rsidR="00073462" w:rsidRDefault="00073462" w:rsidP="00073462">
      <w:pPr>
        <w:spacing w:line="480" w:lineRule="auto"/>
        <w:jc w:val="both"/>
        <w:rPr>
          <w:sz w:val="24"/>
          <w:szCs w:val="24"/>
        </w:rPr>
      </w:pPr>
      <w:r>
        <w:rPr>
          <w:b/>
          <w:bCs/>
          <w:sz w:val="24"/>
          <w:szCs w:val="24"/>
        </w:rPr>
        <w:t xml:space="preserve">SIMON MAKGATHOLELA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Seventh Respondent</w:t>
      </w:r>
    </w:p>
    <w:p w14:paraId="401DA1CF" w14:textId="19B18158" w:rsidR="00073462" w:rsidRDefault="00073462" w:rsidP="00073462">
      <w:pPr>
        <w:spacing w:line="480" w:lineRule="auto"/>
        <w:jc w:val="both"/>
        <w:rPr>
          <w:sz w:val="24"/>
          <w:szCs w:val="24"/>
        </w:rPr>
      </w:pPr>
      <w:r>
        <w:rPr>
          <w:b/>
          <w:bCs/>
          <w:sz w:val="24"/>
          <w:szCs w:val="24"/>
        </w:rPr>
        <w:t>DIANA MODISE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Eight Respondent</w:t>
      </w:r>
    </w:p>
    <w:p w14:paraId="44709477" w14:textId="1F4C33AD" w:rsidR="00073462" w:rsidRDefault="00073462" w:rsidP="00073462">
      <w:pPr>
        <w:spacing w:line="480" w:lineRule="auto"/>
        <w:jc w:val="both"/>
        <w:rPr>
          <w:sz w:val="24"/>
          <w:szCs w:val="24"/>
        </w:rPr>
      </w:pPr>
      <w:r>
        <w:rPr>
          <w:b/>
          <w:bCs/>
          <w:sz w:val="24"/>
          <w:szCs w:val="24"/>
        </w:rPr>
        <w:t>BONGANI HLONGWANE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Ninth Respondent</w:t>
      </w:r>
    </w:p>
    <w:p w14:paraId="18F72350" w14:textId="470973EC" w:rsidR="00073462" w:rsidRDefault="00073462" w:rsidP="00073462">
      <w:pPr>
        <w:spacing w:line="480" w:lineRule="auto"/>
        <w:jc w:val="both"/>
        <w:rPr>
          <w:sz w:val="24"/>
          <w:szCs w:val="24"/>
        </w:rPr>
      </w:pPr>
      <w:r>
        <w:rPr>
          <w:b/>
          <w:bCs/>
          <w:sz w:val="24"/>
          <w:szCs w:val="24"/>
        </w:rPr>
        <w:t xml:space="preserve">ELPHIUS LEPHALE                                                                               </w:t>
      </w:r>
      <w:r>
        <w:rPr>
          <w:sz w:val="24"/>
          <w:szCs w:val="24"/>
        </w:rPr>
        <w:t>Tenth Respondent</w:t>
      </w:r>
    </w:p>
    <w:p w14:paraId="32D80B6B" w14:textId="1B212972" w:rsidR="00073462" w:rsidRDefault="00073462" w:rsidP="00073462">
      <w:pPr>
        <w:spacing w:line="480" w:lineRule="auto"/>
        <w:jc w:val="both"/>
        <w:rPr>
          <w:sz w:val="24"/>
          <w:szCs w:val="24"/>
        </w:rPr>
      </w:pPr>
      <w:r>
        <w:rPr>
          <w:b/>
          <w:bCs/>
          <w:sz w:val="24"/>
          <w:szCs w:val="24"/>
        </w:rPr>
        <w:t>SYDNEY DLAMINI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Eleventh Respondent</w:t>
      </w:r>
    </w:p>
    <w:p w14:paraId="40944EC6" w14:textId="5F39192E" w:rsidR="00073462" w:rsidRDefault="00073462" w:rsidP="00073462">
      <w:pPr>
        <w:spacing w:line="480" w:lineRule="auto"/>
        <w:jc w:val="both"/>
        <w:rPr>
          <w:sz w:val="24"/>
          <w:szCs w:val="24"/>
        </w:rPr>
      </w:pPr>
      <w:r>
        <w:rPr>
          <w:b/>
          <w:bCs/>
          <w:sz w:val="24"/>
          <w:szCs w:val="24"/>
        </w:rPr>
        <w:t>ELLIOT NTLAHLA NGCOBO</w:t>
      </w:r>
      <w:r>
        <w:rPr>
          <w:sz w:val="24"/>
          <w:szCs w:val="24"/>
        </w:rPr>
        <w:tab/>
      </w:r>
      <w:r>
        <w:rPr>
          <w:sz w:val="24"/>
          <w:szCs w:val="24"/>
        </w:rPr>
        <w:tab/>
      </w:r>
      <w:r>
        <w:rPr>
          <w:sz w:val="24"/>
          <w:szCs w:val="24"/>
        </w:rPr>
        <w:tab/>
      </w:r>
      <w:r>
        <w:rPr>
          <w:sz w:val="24"/>
          <w:szCs w:val="24"/>
        </w:rPr>
        <w:tab/>
      </w:r>
      <w:r>
        <w:rPr>
          <w:sz w:val="24"/>
          <w:szCs w:val="24"/>
        </w:rPr>
        <w:tab/>
      </w:r>
      <w:r>
        <w:rPr>
          <w:sz w:val="24"/>
          <w:szCs w:val="24"/>
        </w:rPr>
        <w:tab/>
        <w:t>Twelfth Respondent</w:t>
      </w:r>
    </w:p>
    <w:p w14:paraId="71FC77B1" w14:textId="0450D288" w:rsidR="00073462" w:rsidRDefault="00073462" w:rsidP="00073462">
      <w:pPr>
        <w:spacing w:line="480" w:lineRule="auto"/>
        <w:jc w:val="both"/>
        <w:rPr>
          <w:sz w:val="24"/>
          <w:szCs w:val="24"/>
        </w:rPr>
      </w:pPr>
      <w:r>
        <w:rPr>
          <w:b/>
          <w:bCs/>
          <w:sz w:val="24"/>
          <w:szCs w:val="24"/>
        </w:rPr>
        <w:t>JOSHUA MASHIGO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Thirteenth Respondent</w:t>
      </w:r>
    </w:p>
    <w:p w14:paraId="1A0348C9" w14:textId="1DF20924" w:rsidR="00073462" w:rsidRDefault="00073462" w:rsidP="00073462">
      <w:pPr>
        <w:spacing w:line="480" w:lineRule="auto"/>
        <w:jc w:val="both"/>
        <w:rPr>
          <w:sz w:val="24"/>
          <w:szCs w:val="24"/>
        </w:rPr>
      </w:pPr>
      <w:r>
        <w:rPr>
          <w:b/>
          <w:bCs/>
          <w:sz w:val="24"/>
          <w:szCs w:val="24"/>
        </w:rPr>
        <w:t>ENOCK MADONSELA</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Fifteenth Respondent</w:t>
      </w:r>
    </w:p>
    <w:p w14:paraId="0AE762C7" w14:textId="1AB77F3C" w:rsidR="00073462" w:rsidRDefault="00073462" w:rsidP="00073462">
      <w:pPr>
        <w:spacing w:line="480" w:lineRule="auto"/>
        <w:jc w:val="both"/>
        <w:rPr>
          <w:sz w:val="24"/>
          <w:szCs w:val="24"/>
        </w:rPr>
      </w:pPr>
      <w:r>
        <w:rPr>
          <w:b/>
          <w:bCs/>
          <w:sz w:val="24"/>
          <w:szCs w:val="24"/>
        </w:rPr>
        <w:t>MARKS MUDZANANE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Sixteenth Respondent</w:t>
      </w:r>
    </w:p>
    <w:p w14:paraId="5F8B7239" w14:textId="61D617A2" w:rsidR="00073462" w:rsidRDefault="00073462" w:rsidP="00073462">
      <w:pPr>
        <w:spacing w:line="480" w:lineRule="auto"/>
        <w:jc w:val="both"/>
        <w:rPr>
          <w:sz w:val="24"/>
          <w:szCs w:val="24"/>
        </w:rPr>
      </w:pPr>
      <w:r>
        <w:rPr>
          <w:b/>
          <w:bCs/>
          <w:sz w:val="24"/>
          <w:szCs w:val="24"/>
        </w:rPr>
        <w:t>JACOB LEGODI</w:t>
      </w:r>
      <w:r w:rsidR="0098783A">
        <w:rPr>
          <w:b/>
          <w:bCs/>
          <w:sz w:val="24"/>
          <w:szCs w:val="24"/>
        </w:rPr>
        <w:tab/>
      </w:r>
      <w:r w:rsidR="0098783A">
        <w:rPr>
          <w:b/>
          <w:bCs/>
          <w:sz w:val="24"/>
          <w:szCs w:val="24"/>
        </w:rPr>
        <w:tab/>
      </w:r>
      <w:r w:rsidR="0098783A">
        <w:rPr>
          <w:b/>
          <w:bCs/>
          <w:sz w:val="24"/>
          <w:szCs w:val="24"/>
        </w:rPr>
        <w:tab/>
      </w:r>
      <w:r w:rsidR="0098783A">
        <w:rPr>
          <w:b/>
          <w:bCs/>
          <w:sz w:val="24"/>
          <w:szCs w:val="24"/>
        </w:rPr>
        <w:tab/>
      </w:r>
      <w:r w:rsidR="0098783A">
        <w:rPr>
          <w:b/>
          <w:bCs/>
          <w:sz w:val="24"/>
          <w:szCs w:val="24"/>
        </w:rPr>
        <w:tab/>
      </w:r>
      <w:r w:rsidR="0098783A">
        <w:rPr>
          <w:b/>
          <w:bCs/>
          <w:sz w:val="24"/>
          <w:szCs w:val="24"/>
        </w:rPr>
        <w:tab/>
      </w:r>
      <w:r w:rsidR="0098783A">
        <w:rPr>
          <w:b/>
          <w:bCs/>
          <w:sz w:val="24"/>
          <w:szCs w:val="24"/>
        </w:rPr>
        <w:tab/>
        <w:t xml:space="preserve">  </w:t>
      </w:r>
      <w:r w:rsidR="0098783A">
        <w:rPr>
          <w:sz w:val="24"/>
          <w:szCs w:val="24"/>
        </w:rPr>
        <w:t>Seventeenth Respondent</w:t>
      </w:r>
    </w:p>
    <w:p w14:paraId="086AADF2" w14:textId="5211E456" w:rsidR="0098783A" w:rsidRDefault="0098783A" w:rsidP="00073462">
      <w:pPr>
        <w:spacing w:line="480" w:lineRule="auto"/>
        <w:jc w:val="both"/>
        <w:rPr>
          <w:sz w:val="24"/>
          <w:szCs w:val="24"/>
        </w:rPr>
      </w:pPr>
      <w:r>
        <w:rPr>
          <w:b/>
          <w:bCs/>
          <w:sz w:val="24"/>
          <w:szCs w:val="24"/>
        </w:rPr>
        <w:t>MPUMZI SAWANA</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Eighteenth Respondent</w:t>
      </w:r>
    </w:p>
    <w:p w14:paraId="0705A23C" w14:textId="75CCAA23" w:rsidR="0098783A" w:rsidRDefault="0098783A" w:rsidP="00073462">
      <w:pPr>
        <w:spacing w:line="480" w:lineRule="auto"/>
        <w:jc w:val="both"/>
        <w:rPr>
          <w:sz w:val="24"/>
          <w:szCs w:val="24"/>
        </w:rPr>
      </w:pPr>
      <w:r>
        <w:rPr>
          <w:b/>
          <w:bCs/>
          <w:sz w:val="24"/>
          <w:szCs w:val="24"/>
        </w:rPr>
        <w:t>MADIKOANE MANGENA</w:t>
      </w:r>
      <w:r>
        <w:rPr>
          <w:sz w:val="24"/>
          <w:szCs w:val="24"/>
        </w:rPr>
        <w:tab/>
      </w:r>
      <w:r>
        <w:rPr>
          <w:sz w:val="24"/>
          <w:szCs w:val="24"/>
        </w:rPr>
        <w:tab/>
      </w:r>
      <w:r>
        <w:rPr>
          <w:sz w:val="24"/>
          <w:szCs w:val="24"/>
        </w:rPr>
        <w:tab/>
      </w:r>
      <w:r>
        <w:rPr>
          <w:sz w:val="24"/>
          <w:szCs w:val="24"/>
        </w:rPr>
        <w:tab/>
      </w:r>
      <w:r>
        <w:rPr>
          <w:sz w:val="24"/>
          <w:szCs w:val="24"/>
        </w:rPr>
        <w:tab/>
        <w:t xml:space="preserve">                Nineteenth Respondent</w:t>
      </w:r>
    </w:p>
    <w:p w14:paraId="119CFB8A" w14:textId="307C91A7" w:rsidR="0098783A" w:rsidRDefault="0098783A" w:rsidP="00073462">
      <w:pPr>
        <w:spacing w:line="480" w:lineRule="auto"/>
        <w:jc w:val="both"/>
        <w:rPr>
          <w:sz w:val="24"/>
          <w:szCs w:val="24"/>
        </w:rPr>
      </w:pPr>
      <w:r>
        <w:rPr>
          <w:b/>
          <w:bCs/>
          <w:sz w:val="24"/>
          <w:szCs w:val="24"/>
        </w:rPr>
        <w:t>ORPHAN OUPA MONEOE</w:t>
      </w:r>
      <w:r>
        <w:rPr>
          <w:sz w:val="24"/>
          <w:szCs w:val="24"/>
        </w:rPr>
        <w:tab/>
      </w:r>
      <w:r>
        <w:rPr>
          <w:sz w:val="24"/>
          <w:szCs w:val="24"/>
        </w:rPr>
        <w:tab/>
      </w:r>
      <w:r>
        <w:rPr>
          <w:sz w:val="24"/>
          <w:szCs w:val="24"/>
        </w:rPr>
        <w:tab/>
      </w:r>
      <w:r>
        <w:rPr>
          <w:sz w:val="24"/>
          <w:szCs w:val="24"/>
        </w:rPr>
        <w:tab/>
        <w:t xml:space="preserve">                 Twentieth Respondent</w:t>
      </w:r>
    </w:p>
    <w:p w14:paraId="4F849FD2" w14:textId="6CA3C248" w:rsidR="0098783A" w:rsidRDefault="0098783A" w:rsidP="00073462">
      <w:pPr>
        <w:spacing w:line="480" w:lineRule="auto"/>
        <w:jc w:val="both"/>
        <w:rPr>
          <w:sz w:val="24"/>
          <w:szCs w:val="24"/>
        </w:rPr>
      </w:pPr>
      <w:r>
        <w:rPr>
          <w:b/>
          <w:bCs/>
          <w:sz w:val="24"/>
          <w:szCs w:val="24"/>
        </w:rPr>
        <w:t>JOHANNES MOKOENA</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Twenty-First Respondent</w:t>
      </w:r>
    </w:p>
    <w:p w14:paraId="79DB21F0" w14:textId="454DB6E5" w:rsidR="00073462" w:rsidRDefault="0098783A" w:rsidP="00073462">
      <w:pPr>
        <w:spacing w:line="480" w:lineRule="auto"/>
        <w:jc w:val="both"/>
        <w:rPr>
          <w:sz w:val="24"/>
          <w:szCs w:val="24"/>
        </w:rPr>
      </w:pPr>
      <w:r>
        <w:rPr>
          <w:b/>
          <w:bCs/>
          <w:sz w:val="24"/>
          <w:szCs w:val="24"/>
        </w:rPr>
        <w:t>PHENGO MANGLISO MOKGAOTSANE</w:t>
      </w:r>
      <w:r>
        <w:rPr>
          <w:sz w:val="24"/>
          <w:szCs w:val="24"/>
        </w:rPr>
        <w:tab/>
      </w:r>
      <w:r>
        <w:rPr>
          <w:sz w:val="24"/>
          <w:szCs w:val="24"/>
        </w:rPr>
        <w:tab/>
        <w:t xml:space="preserve">        Twenty-Second Respondent</w:t>
      </w:r>
    </w:p>
    <w:p w14:paraId="0E2E3281" w14:textId="58D64DB2" w:rsidR="0098783A" w:rsidRDefault="0098783A" w:rsidP="00073462">
      <w:pPr>
        <w:spacing w:line="480" w:lineRule="auto"/>
        <w:jc w:val="both"/>
        <w:rPr>
          <w:sz w:val="24"/>
          <w:szCs w:val="24"/>
        </w:rPr>
      </w:pPr>
      <w:r>
        <w:rPr>
          <w:b/>
          <w:bCs/>
          <w:sz w:val="24"/>
          <w:szCs w:val="24"/>
        </w:rPr>
        <w:t>MINISTER OF HUMAN SETTLEMENT</w:t>
      </w:r>
      <w:r>
        <w:rPr>
          <w:sz w:val="24"/>
          <w:szCs w:val="24"/>
        </w:rPr>
        <w:tab/>
      </w:r>
      <w:r>
        <w:rPr>
          <w:sz w:val="24"/>
          <w:szCs w:val="24"/>
        </w:rPr>
        <w:tab/>
      </w:r>
      <w:r>
        <w:rPr>
          <w:sz w:val="24"/>
          <w:szCs w:val="24"/>
        </w:rPr>
        <w:tab/>
        <w:t xml:space="preserve">            Twenty-Third Respondent</w:t>
      </w:r>
    </w:p>
    <w:p w14:paraId="3F6A35D2" w14:textId="77F20A43" w:rsidR="0098783A" w:rsidRDefault="0098783A" w:rsidP="00073462">
      <w:pPr>
        <w:spacing w:line="480" w:lineRule="auto"/>
        <w:jc w:val="both"/>
        <w:rPr>
          <w:sz w:val="24"/>
          <w:szCs w:val="24"/>
        </w:rPr>
      </w:pPr>
      <w:r>
        <w:rPr>
          <w:b/>
          <w:bCs/>
          <w:sz w:val="24"/>
          <w:szCs w:val="24"/>
        </w:rPr>
        <w:t>MEC OF HOUSING, HUMAN SETTLEMENT</w:t>
      </w:r>
      <w:r>
        <w:rPr>
          <w:sz w:val="24"/>
          <w:szCs w:val="24"/>
        </w:rPr>
        <w:tab/>
      </w:r>
      <w:r>
        <w:rPr>
          <w:sz w:val="24"/>
          <w:szCs w:val="24"/>
        </w:rPr>
        <w:tab/>
        <w:t xml:space="preserve">          Twenty-Fourth Respondent</w:t>
      </w:r>
    </w:p>
    <w:p w14:paraId="33C3F285" w14:textId="609EE009" w:rsidR="0098783A" w:rsidRDefault="0098783A" w:rsidP="00073462">
      <w:pPr>
        <w:spacing w:line="480" w:lineRule="auto"/>
        <w:jc w:val="both"/>
        <w:rPr>
          <w:sz w:val="24"/>
          <w:szCs w:val="24"/>
        </w:rPr>
      </w:pPr>
      <w:r>
        <w:rPr>
          <w:b/>
          <w:bCs/>
          <w:sz w:val="24"/>
          <w:szCs w:val="24"/>
        </w:rPr>
        <w:t>CITY OF TSHWANE METROPOLITAN MUNICIPALITY</w:t>
      </w:r>
      <w:r>
        <w:rPr>
          <w:sz w:val="24"/>
          <w:szCs w:val="24"/>
        </w:rPr>
        <w:t xml:space="preserve">          Twenty-Fifth Respondent</w:t>
      </w:r>
    </w:p>
    <w:p w14:paraId="56FCDBE6" w14:textId="1DD6D560" w:rsidR="0098783A" w:rsidRDefault="0098783A" w:rsidP="00073462">
      <w:pPr>
        <w:spacing w:line="480" w:lineRule="auto"/>
        <w:jc w:val="both"/>
        <w:rPr>
          <w:sz w:val="24"/>
          <w:szCs w:val="24"/>
        </w:rPr>
      </w:pPr>
      <w:r>
        <w:rPr>
          <w:b/>
          <w:bCs/>
          <w:sz w:val="24"/>
          <w:szCs w:val="24"/>
        </w:rPr>
        <w:t>MINISTER OF PUBLIC WORKS</w:t>
      </w:r>
      <w:r>
        <w:rPr>
          <w:sz w:val="24"/>
          <w:szCs w:val="24"/>
        </w:rPr>
        <w:tab/>
      </w:r>
      <w:r>
        <w:rPr>
          <w:sz w:val="24"/>
          <w:szCs w:val="24"/>
        </w:rPr>
        <w:tab/>
      </w:r>
      <w:r>
        <w:rPr>
          <w:sz w:val="24"/>
          <w:szCs w:val="24"/>
        </w:rPr>
        <w:tab/>
      </w:r>
      <w:r>
        <w:rPr>
          <w:sz w:val="24"/>
          <w:szCs w:val="24"/>
        </w:rPr>
        <w:tab/>
      </w:r>
      <w:r>
        <w:rPr>
          <w:sz w:val="24"/>
          <w:szCs w:val="24"/>
        </w:rPr>
        <w:tab/>
        <w:t xml:space="preserve">  Twenty-Sixth Respondent</w:t>
      </w:r>
    </w:p>
    <w:p w14:paraId="6CD02D1D" w14:textId="1AFFAD56" w:rsidR="0098783A" w:rsidRPr="0098783A" w:rsidRDefault="0098783A" w:rsidP="00073462">
      <w:pPr>
        <w:spacing w:line="480" w:lineRule="auto"/>
        <w:jc w:val="both"/>
        <w:rPr>
          <w:sz w:val="24"/>
          <w:szCs w:val="24"/>
        </w:rPr>
      </w:pPr>
      <w:r>
        <w:rPr>
          <w:b/>
          <w:bCs/>
          <w:sz w:val="24"/>
          <w:szCs w:val="24"/>
        </w:rPr>
        <w:t>BOUTIQUE HOTEL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Twenty-Seventh Respondent</w:t>
      </w:r>
    </w:p>
    <w:p w14:paraId="39C694D5" w14:textId="77777777" w:rsidR="0098783A" w:rsidRDefault="0098783A" w:rsidP="0098783A">
      <w:pPr>
        <w:pBdr>
          <w:bottom w:val="single" w:sz="12" w:space="1" w:color="auto"/>
        </w:pBdr>
        <w:spacing w:line="480" w:lineRule="auto"/>
        <w:rPr>
          <w:sz w:val="24"/>
          <w:szCs w:val="24"/>
        </w:rPr>
      </w:pPr>
    </w:p>
    <w:p w14:paraId="12488327" w14:textId="77777777" w:rsidR="0098783A" w:rsidRPr="00E605DB" w:rsidRDefault="0098783A" w:rsidP="0098783A">
      <w:pPr>
        <w:spacing w:line="240" w:lineRule="auto"/>
        <w:rPr>
          <w:sz w:val="24"/>
          <w:szCs w:val="24"/>
        </w:rPr>
      </w:pPr>
    </w:p>
    <w:p w14:paraId="02DC257F" w14:textId="66CDC4B4" w:rsidR="0098783A" w:rsidRDefault="0098783A" w:rsidP="0098783A">
      <w:pPr>
        <w:pBdr>
          <w:bottom w:val="single" w:sz="12" w:space="1" w:color="auto"/>
        </w:pBdr>
        <w:spacing w:line="240" w:lineRule="auto"/>
        <w:jc w:val="center"/>
        <w:rPr>
          <w:b/>
          <w:bCs/>
          <w:sz w:val="24"/>
          <w:szCs w:val="24"/>
        </w:rPr>
      </w:pPr>
      <w:r w:rsidRPr="00E605DB">
        <w:rPr>
          <w:b/>
          <w:bCs/>
          <w:sz w:val="24"/>
          <w:szCs w:val="24"/>
        </w:rPr>
        <w:t>JUDG</w:t>
      </w:r>
      <w:r w:rsidR="00135F57">
        <w:rPr>
          <w:b/>
          <w:bCs/>
          <w:sz w:val="24"/>
          <w:szCs w:val="24"/>
        </w:rPr>
        <w:t>E</w:t>
      </w:r>
      <w:r w:rsidRPr="00E605DB">
        <w:rPr>
          <w:b/>
          <w:bCs/>
          <w:sz w:val="24"/>
          <w:szCs w:val="24"/>
        </w:rPr>
        <w:t>MENT</w:t>
      </w:r>
    </w:p>
    <w:p w14:paraId="529720B3" w14:textId="77777777" w:rsidR="0098783A" w:rsidRPr="00E605DB" w:rsidRDefault="0098783A" w:rsidP="0098783A">
      <w:pPr>
        <w:pBdr>
          <w:bottom w:val="single" w:sz="12" w:space="1" w:color="auto"/>
        </w:pBdr>
        <w:spacing w:line="240" w:lineRule="auto"/>
        <w:jc w:val="center"/>
        <w:rPr>
          <w:b/>
          <w:bCs/>
          <w:sz w:val="24"/>
          <w:szCs w:val="24"/>
        </w:rPr>
      </w:pPr>
    </w:p>
    <w:p w14:paraId="0ACE4947" w14:textId="77777777" w:rsidR="0098783A" w:rsidRDefault="0098783A" w:rsidP="0098783A">
      <w:pPr>
        <w:spacing w:line="480" w:lineRule="auto"/>
        <w:rPr>
          <w:sz w:val="24"/>
          <w:szCs w:val="24"/>
        </w:rPr>
      </w:pPr>
    </w:p>
    <w:p w14:paraId="26DDCF88" w14:textId="0929C111" w:rsidR="0098783A" w:rsidRPr="008D0508" w:rsidRDefault="0098783A" w:rsidP="0098783A">
      <w:pPr>
        <w:spacing w:line="480" w:lineRule="auto"/>
        <w:rPr>
          <w:b/>
          <w:bCs/>
          <w:sz w:val="24"/>
          <w:szCs w:val="24"/>
        </w:rPr>
      </w:pPr>
      <w:r>
        <w:rPr>
          <w:b/>
          <w:bCs/>
          <w:sz w:val="24"/>
          <w:szCs w:val="24"/>
        </w:rPr>
        <w:t xml:space="preserve">COETZEE AJ </w:t>
      </w:r>
      <w:r w:rsidR="004E5FCF">
        <w:rPr>
          <w:b/>
          <w:bCs/>
          <w:sz w:val="24"/>
          <w:szCs w:val="24"/>
        </w:rPr>
        <w:t xml:space="preserve"> (Van der Westhuizen J</w:t>
      </w:r>
      <w:r w:rsidR="00815B63">
        <w:rPr>
          <w:b/>
          <w:bCs/>
          <w:sz w:val="24"/>
          <w:szCs w:val="24"/>
        </w:rPr>
        <w:t xml:space="preserve"> and </w:t>
      </w:r>
      <w:r w:rsidR="009928D3">
        <w:rPr>
          <w:b/>
          <w:bCs/>
          <w:sz w:val="24"/>
          <w:szCs w:val="24"/>
        </w:rPr>
        <w:t xml:space="preserve">Mogotsi </w:t>
      </w:r>
      <w:r w:rsidR="00815B63">
        <w:rPr>
          <w:b/>
          <w:bCs/>
          <w:sz w:val="24"/>
          <w:szCs w:val="24"/>
        </w:rPr>
        <w:t>AJ concurring)</w:t>
      </w:r>
    </w:p>
    <w:p w14:paraId="00000015" w14:textId="77777777" w:rsidR="0077354F" w:rsidRPr="00073462" w:rsidRDefault="0077354F" w:rsidP="00073462">
      <w:pPr>
        <w:spacing w:line="480" w:lineRule="auto"/>
        <w:jc w:val="both"/>
        <w:rPr>
          <w:sz w:val="24"/>
          <w:szCs w:val="24"/>
        </w:rPr>
      </w:pPr>
    </w:p>
    <w:p w14:paraId="254D2FA7" w14:textId="77777777" w:rsidR="0098783A" w:rsidRDefault="0098783A" w:rsidP="0098783A">
      <w:pPr>
        <w:spacing w:line="480" w:lineRule="auto"/>
        <w:rPr>
          <w:sz w:val="24"/>
          <w:szCs w:val="24"/>
        </w:rPr>
      </w:pPr>
      <w:r w:rsidRPr="00E605DB">
        <w:rPr>
          <w:b/>
          <w:bCs/>
          <w:sz w:val="24"/>
          <w:szCs w:val="24"/>
        </w:rPr>
        <w:t>INTRODUCTION</w:t>
      </w:r>
      <w:r>
        <w:rPr>
          <w:sz w:val="24"/>
          <w:szCs w:val="24"/>
        </w:rPr>
        <w:t>:</w:t>
      </w:r>
    </w:p>
    <w:p w14:paraId="00000017" w14:textId="77777777" w:rsidR="0077354F" w:rsidRDefault="0077354F" w:rsidP="00073462">
      <w:pPr>
        <w:spacing w:line="480" w:lineRule="auto"/>
        <w:jc w:val="both"/>
        <w:rPr>
          <w:sz w:val="24"/>
          <w:szCs w:val="24"/>
        </w:rPr>
      </w:pPr>
    </w:p>
    <w:p w14:paraId="23A3BD2A" w14:textId="6EAAE804" w:rsidR="00D51F13" w:rsidRDefault="0098783A" w:rsidP="008F3309">
      <w:pPr>
        <w:spacing w:line="480" w:lineRule="auto"/>
        <w:jc w:val="both"/>
        <w:rPr>
          <w:sz w:val="24"/>
          <w:szCs w:val="24"/>
        </w:rPr>
      </w:pPr>
      <w:r>
        <w:rPr>
          <w:sz w:val="24"/>
          <w:szCs w:val="24"/>
        </w:rPr>
        <w:t>[1]</w:t>
      </w:r>
      <w:r>
        <w:rPr>
          <w:sz w:val="24"/>
          <w:szCs w:val="24"/>
        </w:rPr>
        <w:tab/>
      </w:r>
      <w:r w:rsidR="00135F57" w:rsidRPr="00073462">
        <w:rPr>
          <w:sz w:val="24"/>
          <w:szCs w:val="24"/>
        </w:rPr>
        <w:t>This is an appeal to the full court of this division, against the order and judgment</w:t>
      </w:r>
      <w:r w:rsidR="00B5652F">
        <w:rPr>
          <w:sz w:val="24"/>
          <w:szCs w:val="24"/>
        </w:rPr>
        <w:t xml:space="preserve"> </w:t>
      </w:r>
      <w:r w:rsidR="008F3309">
        <w:rPr>
          <w:sz w:val="24"/>
          <w:szCs w:val="24"/>
        </w:rPr>
        <w:t xml:space="preserve">by the Honourable Acting Justice Lenya, </w:t>
      </w:r>
      <w:r w:rsidR="005D4BCA" w:rsidRPr="00073462">
        <w:rPr>
          <w:sz w:val="24"/>
          <w:szCs w:val="24"/>
        </w:rPr>
        <w:t xml:space="preserve">delivered on the </w:t>
      </w:r>
      <w:r w:rsidR="005D4BCA">
        <w:rPr>
          <w:sz w:val="24"/>
          <w:szCs w:val="24"/>
        </w:rPr>
        <w:t>1</w:t>
      </w:r>
      <w:r w:rsidR="005D4BCA" w:rsidRPr="008F3309">
        <w:rPr>
          <w:sz w:val="24"/>
          <w:szCs w:val="24"/>
          <w:vertAlign w:val="superscript"/>
        </w:rPr>
        <w:t>st</w:t>
      </w:r>
      <w:r w:rsidR="005D4BCA">
        <w:rPr>
          <w:sz w:val="24"/>
          <w:szCs w:val="24"/>
        </w:rPr>
        <w:t xml:space="preserve"> of December 2021, </w:t>
      </w:r>
      <w:r w:rsidR="00135F57" w:rsidRPr="00073462">
        <w:rPr>
          <w:sz w:val="24"/>
          <w:szCs w:val="24"/>
        </w:rPr>
        <w:t xml:space="preserve">after the </w:t>
      </w:r>
      <w:r w:rsidRPr="00073462">
        <w:rPr>
          <w:sz w:val="24"/>
          <w:szCs w:val="24"/>
        </w:rPr>
        <w:t>Appellants</w:t>
      </w:r>
      <w:r w:rsidR="00135F57" w:rsidRPr="00073462">
        <w:rPr>
          <w:sz w:val="24"/>
          <w:szCs w:val="24"/>
        </w:rPr>
        <w:t xml:space="preserve"> have been granted leave to do so on 13 April 2022.</w:t>
      </w:r>
    </w:p>
    <w:p w14:paraId="310B021B" w14:textId="77777777" w:rsidR="0098783A" w:rsidRDefault="0098783A" w:rsidP="0098783A">
      <w:pPr>
        <w:spacing w:line="480" w:lineRule="auto"/>
        <w:jc w:val="both"/>
        <w:rPr>
          <w:b/>
          <w:bCs/>
          <w:sz w:val="24"/>
          <w:szCs w:val="24"/>
        </w:rPr>
      </w:pPr>
    </w:p>
    <w:p w14:paraId="5698C46A" w14:textId="67BF4D72" w:rsidR="0098783A" w:rsidRDefault="0098783A" w:rsidP="0098783A">
      <w:pPr>
        <w:spacing w:line="480" w:lineRule="auto"/>
        <w:jc w:val="both"/>
        <w:rPr>
          <w:sz w:val="24"/>
          <w:szCs w:val="24"/>
        </w:rPr>
      </w:pPr>
      <w:r>
        <w:rPr>
          <w:b/>
          <w:bCs/>
          <w:sz w:val="24"/>
          <w:szCs w:val="24"/>
        </w:rPr>
        <w:t>BACKGROUND</w:t>
      </w:r>
      <w:r>
        <w:rPr>
          <w:sz w:val="24"/>
          <w:szCs w:val="24"/>
        </w:rPr>
        <w:t>:</w:t>
      </w:r>
    </w:p>
    <w:p w14:paraId="0000001B" w14:textId="77777777" w:rsidR="0077354F" w:rsidRPr="00073462" w:rsidRDefault="0077354F" w:rsidP="00073462">
      <w:pPr>
        <w:spacing w:line="480" w:lineRule="auto"/>
        <w:jc w:val="both"/>
        <w:rPr>
          <w:sz w:val="24"/>
          <w:szCs w:val="24"/>
        </w:rPr>
      </w:pPr>
    </w:p>
    <w:p w14:paraId="0000001C" w14:textId="2E0114D9" w:rsidR="0077354F" w:rsidRDefault="0098783A" w:rsidP="00073462">
      <w:pPr>
        <w:spacing w:line="480" w:lineRule="auto"/>
        <w:jc w:val="both"/>
        <w:rPr>
          <w:sz w:val="24"/>
          <w:szCs w:val="24"/>
        </w:rPr>
      </w:pPr>
      <w:r>
        <w:rPr>
          <w:sz w:val="24"/>
          <w:szCs w:val="24"/>
        </w:rPr>
        <w:t>[2]</w:t>
      </w:r>
      <w:r>
        <w:rPr>
          <w:sz w:val="24"/>
          <w:szCs w:val="24"/>
        </w:rPr>
        <w:tab/>
      </w:r>
      <w:r w:rsidR="00135F57" w:rsidRPr="00073462">
        <w:rPr>
          <w:sz w:val="24"/>
          <w:szCs w:val="24"/>
        </w:rPr>
        <w:t xml:space="preserve">During 2019 and 2020, </w:t>
      </w:r>
      <w:r w:rsidR="00C72540">
        <w:rPr>
          <w:sz w:val="24"/>
          <w:szCs w:val="24"/>
        </w:rPr>
        <w:t>the</w:t>
      </w:r>
      <w:r w:rsidR="00785B77">
        <w:rPr>
          <w:sz w:val="24"/>
          <w:szCs w:val="24"/>
        </w:rPr>
        <w:t xml:space="preserve"> First to Twenty</w:t>
      </w:r>
      <w:r w:rsidR="009B1353">
        <w:rPr>
          <w:sz w:val="24"/>
          <w:szCs w:val="24"/>
        </w:rPr>
        <w:t>-</w:t>
      </w:r>
      <w:r w:rsidR="00785B77">
        <w:rPr>
          <w:sz w:val="24"/>
          <w:szCs w:val="24"/>
        </w:rPr>
        <w:t xml:space="preserve">Second </w:t>
      </w:r>
      <w:r w:rsidR="00C72540">
        <w:rPr>
          <w:sz w:val="24"/>
          <w:szCs w:val="24"/>
        </w:rPr>
        <w:t>R</w:t>
      </w:r>
      <w:r w:rsidR="00135F57" w:rsidRPr="00073462">
        <w:rPr>
          <w:sz w:val="24"/>
          <w:szCs w:val="24"/>
        </w:rPr>
        <w:t>espondent</w:t>
      </w:r>
      <w:r w:rsidR="00F359F3">
        <w:rPr>
          <w:sz w:val="24"/>
          <w:szCs w:val="24"/>
        </w:rPr>
        <w:t>,</w:t>
      </w:r>
      <w:r w:rsidR="00E63388">
        <w:rPr>
          <w:sz w:val="24"/>
          <w:szCs w:val="24"/>
        </w:rPr>
        <w:t xml:space="preserve"> who are Liberation Struggle War Veterans (LSWV)</w:t>
      </w:r>
      <w:r w:rsidR="00135F57" w:rsidRPr="00073462">
        <w:rPr>
          <w:sz w:val="24"/>
          <w:szCs w:val="24"/>
        </w:rPr>
        <w:t xml:space="preserve"> </w:t>
      </w:r>
      <w:r w:rsidR="00CF76AD">
        <w:rPr>
          <w:sz w:val="24"/>
          <w:szCs w:val="24"/>
        </w:rPr>
        <w:t>(hereinafter referred to as ‘the military veterans’)</w:t>
      </w:r>
      <w:r w:rsidR="00F359F3">
        <w:rPr>
          <w:sz w:val="24"/>
          <w:szCs w:val="24"/>
        </w:rPr>
        <w:t>,</w:t>
      </w:r>
      <w:r w:rsidR="00CF76AD">
        <w:rPr>
          <w:sz w:val="24"/>
          <w:szCs w:val="24"/>
        </w:rPr>
        <w:t xml:space="preserve"> </w:t>
      </w:r>
      <w:r w:rsidR="00135F57" w:rsidRPr="00073462">
        <w:rPr>
          <w:sz w:val="24"/>
          <w:szCs w:val="24"/>
        </w:rPr>
        <w:t xml:space="preserve">were allocated houses </w:t>
      </w:r>
      <w:r w:rsidR="00990870">
        <w:rPr>
          <w:sz w:val="24"/>
          <w:szCs w:val="24"/>
        </w:rPr>
        <w:t xml:space="preserve">by the First and Second Appellant, and the </w:t>
      </w:r>
      <w:r w:rsidR="00990870" w:rsidRPr="00073462">
        <w:rPr>
          <w:sz w:val="24"/>
          <w:szCs w:val="24"/>
        </w:rPr>
        <w:t>Minister of Human Settlements</w:t>
      </w:r>
      <w:r w:rsidR="00990870">
        <w:rPr>
          <w:sz w:val="24"/>
          <w:szCs w:val="24"/>
        </w:rPr>
        <w:t xml:space="preserve"> (the Twenty-Third Respondent)</w:t>
      </w:r>
      <w:r w:rsidR="0000772F">
        <w:rPr>
          <w:sz w:val="24"/>
          <w:szCs w:val="24"/>
        </w:rPr>
        <w:t xml:space="preserve"> </w:t>
      </w:r>
      <w:r w:rsidR="00135F57" w:rsidRPr="00073462">
        <w:rPr>
          <w:sz w:val="24"/>
          <w:szCs w:val="24"/>
        </w:rPr>
        <w:t xml:space="preserve">at </w:t>
      </w:r>
      <w:r w:rsidR="00F359F3">
        <w:rPr>
          <w:sz w:val="24"/>
          <w:szCs w:val="24"/>
        </w:rPr>
        <w:t>Rama City Extension 10</w:t>
      </w:r>
      <w:r w:rsidR="0000772F">
        <w:rPr>
          <w:sz w:val="24"/>
          <w:szCs w:val="24"/>
        </w:rPr>
        <w:t>,</w:t>
      </w:r>
      <w:r w:rsidR="00DE3E82">
        <w:rPr>
          <w:sz w:val="24"/>
          <w:szCs w:val="24"/>
        </w:rPr>
        <w:t xml:space="preserve"> situated on the Remainder of the Farm Rama No. 768, Registration Division JR, Province of Gauteng</w:t>
      </w:r>
      <w:r w:rsidR="00B42ADA">
        <w:rPr>
          <w:sz w:val="24"/>
          <w:szCs w:val="24"/>
        </w:rPr>
        <w:t xml:space="preserve"> (‘the property’)</w:t>
      </w:r>
      <w:r w:rsidR="00135F57" w:rsidRPr="00073462">
        <w:rPr>
          <w:sz w:val="24"/>
          <w:szCs w:val="24"/>
        </w:rPr>
        <w:t xml:space="preserve">. </w:t>
      </w:r>
      <w:r w:rsidR="00740C8C">
        <w:rPr>
          <w:sz w:val="24"/>
          <w:szCs w:val="24"/>
        </w:rPr>
        <w:t xml:space="preserve"> </w:t>
      </w:r>
      <w:r w:rsidR="00EB015A">
        <w:rPr>
          <w:sz w:val="24"/>
          <w:szCs w:val="24"/>
        </w:rPr>
        <w:t xml:space="preserve">During </w:t>
      </w:r>
      <w:r w:rsidR="00564B9F">
        <w:rPr>
          <w:sz w:val="24"/>
          <w:szCs w:val="24"/>
        </w:rPr>
        <w:t xml:space="preserve">August </w:t>
      </w:r>
      <w:r w:rsidR="00EB015A">
        <w:rPr>
          <w:sz w:val="24"/>
          <w:szCs w:val="24"/>
        </w:rPr>
        <w:t xml:space="preserve">2020 </w:t>
      </w:r>
      <w:r w:rsidR="00135F57" w:rsidRPr="00073462">
        <w:rPr>
          <w:sz w:val="24"/>
          <w:szCs w:val="24"/>
        </w:rPr>
        <w:t xml:space="preserve">violence erupted </w:t>
      </w:r>
      <w:r w:rsidR="00C102B3">
        <w:rPr>
          <w:sz w:val="24"/>
          <w:szCs w:val="24"/>
        </w:rPr>
        <w:t xml:space="preserve">at the </w:t>
      </w:r>
      <w:r w:rsidR="00B42ADA">
        <w:rPr>
          <w:sz w:val="24"/>
          <w:szCs w:val="24"/>
        </w:rPr>
        <w:t>property</w:t>
      </w:r>
      <w:r w:rsidR="00661436">
        <w:rPr>
          <w:sz w:val="24"/>
          <w:szCs w:val="24"/>
        </w:rPr>
        <w:t xml:space="preserve">.  </w:t>
      </w:r>
      <w:r w:rsidR="00F128E6">
        <w:rPr>
          <w:sz w:val="24"/>
          <w:szCs w:val="24"/>
        </w:rPr>
        <w:t xml:space="preserve">According to the military veterans </w:t>
      </w:r>
      <w:r w:rsidR="00BE6EFB">
        <w:rPr>
          <w:sz w:val="24"/>
          <w:szCs w:val="24"/>
        </w:rPr>
        <w:t>the c</w:t>
      </w:r>
      <w:r w:rsidR="00661436">
        <w:rPr>
          <w:sz w:val="24"/>
          <w:szCs w:val="24"/>
        </w:rPr>
        <w:t xml:space="preserve">ommunity of Rama City </w:t>
      </w:r>
      <w:r w:rsidR="00C57F8E">
        <w:rPr>
          <w:sz w:val="24"/>
          <w:szCs w:val="24"/>
        </w:rPr>
        <w:t xml:space="preserve">accused </w:t>
      </w:r>
      <w:r w:rsidR="00012533">
        <w:rPr>
          <w:sz w:val="24"/>
          <w:szCs w:val="24"/>
        </w:rPr>
        <w:t xml:space="preserve">them of </w:t>
      </w:r>
      <w:r w:rsidR="00135F57" w:rsidRPr="00073462">
        <w:rPr>
          <w:sz w:val="24"/>
          <w:szCs w:val="24"/>
        </w:rPr>
        <w:t>unlawfully occup</w:t>
      </w:r>
      <w:r w:rsidR="00012533">
        <w:rPr>
          <w:sz w:val="24"/>
          <w:szCs w:val="24"/>
        </w:rPr>
        <w:t xml:space="preserve">ying </w:t>
      </w:r>
      <w:r w:rsidR="00135F57" w:rsidRPr="00073462">
        <w:rPr>
          <w:sz w:val="24"/>
          <w:szCs w:val="24"/>
        </w:rPr>
        <w:t xml:space="preserve">RDP houses </w:t>
      </w:r>
      <w:r w:rsidR="001D3D40">
        <w:rPr>
          <w:sz w:val="24"/>
          <w:szCs w:val="24"/>
        </w:rPr>
        <w:t xml:space="preserve">that </w:t>
      </w:r>
      <w:r w:rsidR="00A65B98">
        <w:rPr>
          <w:sz w:val="24"/>
          <w:szCs w:val="24"/>
        </w:rPr>
        <w:t>were</w:t>
      </w:r>
      <w:r w:rsidR="001D3D40">
        <w:rPr>
          <w:sz w:val="24"/>
          <w:szCs w:val="24"/>
        </w:rPr>
        <w:t xml:space="preserve"> </w:t>
      </w:r>
      <w:r w:rsidR="00135F57" w:rsidRPr="00073462">
        <w:rPr>
          <w:sz w:val="24"/>
          <w:szCs w:val="24"/>
        </w:rPr>
        <w:t>not yet allocated to beneficiaries.</w:t>
      </w:r>
    </w:p>
    <w:p w14:paraId="637D974C" w14:textId="77777777" w:rsidR="001D3D40" w:rsidRDefault="001D3D40" w:rsidP="00073462">
      <w:pPr>
        <w:spacing w:line="480" w:lineRule="auto"/>
        <w:jc w:val="both"/>
        <w:rPr>
          <w:sz w:val="24"/>
          <w:szCs w:val="24"/>
        </w:rPr>
      </w:pPr>
    </w:p>
    <w:p w14:paraId="0000001E" w14:textId="0E2358E7" w:rsidR="0077354F" w:rsidRPr="00073462" w:rsidRDefault="001D3D40" w:rsidP="00073462">
      <w:pPr>
        <w:spacing w:line="480" w:lineRule="auto"/>
        <w:jc w:val="both"/>
        <w:rPr>
          <w:sz w:val="24"/>
          <w:szCs w:val="24"/>
        </w:rPr>
      </w:pPr>
      <w:r>
        <w:rPr>
          <w:sz w:val="24"/>
          <w:szCs w:val="24"/>
        </w:rPr>
        <w:lastRenderedPageBreak/>
        <w:t>[3]</w:t>
      </w:r>
      <w:r>
        <w:rPr>
          <w:sz w:val="24"/>
          <w:szCs w:val="24"/>
        </w:rPr>
        <w:tab/>
        <w:t xml:space="preserve">The above dispute </w:t>
      </w:r>
      <w:r w:rsidR="001B3C11">
        <w:rPr>
          <w:sz w:val="24"/>
          <w:szCs w:val="24"/>
        </w:rPr>
        <w:t>prompted</w:t>
      </w:r>
      <w:r>
        <w:rPr>
          <w:sz w:val="24"/>
          <w:szCs w:val="24"/>
        </w:rPr>
        <w:t xml:space="preserve"> </w:t>
      </w:r>
      <w:r w:rsidR="00135F57" w:rsidRPr="00073462">
        <w:rPr>
          <w:sz w:val="24"/>
          <w:szCs w:val="24"/>
        </w:rPr>
        <w:t xml:space="preserve">Rama City Development </w:t>
      </w:r>
      <w:r w:rsidR="009A339C">
        <w:rPr>
          <w:sz w:val="24"/>
          <w:szCs w:val="24"/>
        </w:rPr>
        <w:t xml:space="preserve">Company (Pty) Ltd </w:t>
      </w:r>
      <w:r w:rsidR="001B3C11">
        <w:rPr>
          <w:sz w:val="24"/>
          <w:szCs w:val="24"/>
        </w:rPr>
        <w:t>to apply for an eviction order</w:t>
      </w:r>
      <w:r w:rsidR="00400BC6">
        <w:rPr>
          <w:sz w:val="24"/>
          <w:szCs w:val="24"/>
        </w:rPr>
        <w:t xml:space="preserve"> </w:t>
      </w:r>
      <w:r w:rsidR="007621A4">
        <w:rPr>
          <w:sz w:val="24"/>
          <w:szCs w:val="24"/>
        </w:rPr>
        <w:t>on the 1</w:t>
      </w:r>
      <w:r w:rsidR="007621A4" w:rsidRPr="007621A4">
        <w:rPr>
          <w:sz w:val="24"/>
          <w:szCs w:val="24"/>
          <w:vertAlign w:val="superscript"/>
        </w:rPr>
        <w:t>st</w:t>
      </w:r>
      <w:r w:rsidR="007621A4">
        <w:rPr>
          <w:sz w:val="24"/>
          <w:szCs w:val="24"/>
        </w:rPr>
        <w:t xml:space="preserve"> of September 2020</w:t>
      </w:r>
      <w:r w:rsidR="000C672B">
        <w:rPr>
          <w:sz w:val="24"/>
          <w:szCs w:val="24"/>
        </w:rPr>
        <w:t>.  The eviction order was sought</w:t>
      </w:r>
      <w:r w:rsidR="001B3C11">
        <w:rPr>
          <w:sz w:val="24"/>
          <w:szCs w:val="24"/>
        </w:rPr>
        <w:t xml:space="preserve"> a</w:t>
      </w:r>
      <w:r w:rsidR="00135F57" w:rsidRPr="00073462">
        <w:rPr>
          <w:sz w:val="24"/>
          <w:szCs w:val="24"/>
        </w:rPr>
        <w:t xml:space="preserve">gainst </w:t>
      </w:r>
      <w:r w:rsidR="001B3C11">
        <w:rPr>
          <w:sz w:val="24"/>
          <w:szCs w:val="24"/>
        </w:rPr>
        <w:t>all u</w:t>
      </w:r>
      <w:r w:rsidR="00135F57" w:rsidRPr="00073462">
        <w:rPr>
          <w:sz w:val="24"/>
          <w:szCs w:val="24"/>
        </w:rPr>
        <w:t>nlawful occupiers</w:t>
      </w:r>
      <w:r w:rsidR="008329B4">
        <w:rPr>
          <w:sz w:val="24"/>
          <w:szCs w:val="24"/>
        </w:rPr>
        <w:t xml:space="preserve"> of certain erve</w:t>
      </w:r>
      <w:r w:rsidR="000E1AAB">
        <w:rPr>
          <w:sz w:val="24"/>
          <w:szCs w:val="24"/>
        </w:rPr>
        <w:t xml:space="preserve">n at </w:t>
      </w:r>
      <w:r w:rsidR="005F21E1">
        <w:rPr>
          <w:sz w:val="24"/>
          <w:szCs w:val="24"/>
        </w:rPr>
        <w:t>the property</w:t>
      </w:r>
      <w:r w:rsidR="008377DB">
        <w:rPr>
          <w:sz w:val="24"/>
          <w:szCs w:val="24"/>
        </w:rPr>
        <w:t xml:space="preserve">, which did not include the </w:t>
      </w:r>
      <w:r w:rsidR="00D5626F">
        <w:rPr>
          <w:sz w:val="24"/>
          <w:szCs w:val="24"/>
        </w:rPr>
        <w:t>military veterans.</w:t>
      </w:r>
      <w:r w:rsidR="00135F57" w:rsidRPr="00073462">
        <w:rPr>
          <w:sz w:val="24"/>
          <w:szCs w:val="24"/>
        </w:rPr>
        <w:t xml:space="preserve"> </w:t>
      </w:r>
      <w:r w:rsidR="007621A4">
        <w:rPr>
          <w:sz w:val="24"/>
          <w:szCs w:val="24"/>
        </w:rPr>
        <w:t xml:space="preserve"> </w:t>
      </w:r>
      <w:r w:rsidR="00135F57" w:rsidRPr="00073462">
        <w:rPr>
          <w:sz w:val="24"/>
          <w:szCs w:val="24"/>
        </w:rPr>
        <w:t xml:space="preserve">Following the </w:t>
      </w:r>
      <w:r w:rsidR="00AC5668">
        <w:rPr>
          <w:sz w:val="24"/>
          <w:szCs w:val="24"/>
        </w:rPr>
        <w:t xml:space="preserve">granting of the eviction order, the </w:t>
      </w:r>
      <w:r w:rsidR="007F29F6">
        <w:rPr>
          <w:sz w:val="24"/>
          <w:szCs w:val="24"/>
        </w:rPr>
        <w:t xml:space="preserve">Second Appellant </w:t>
      </w:r>
      <w:r w:rsidR="00135F57" w:rsidRPr="00073462">
        <w:rPr>
          <w:sz w:val="24"/>
          <w:szCs w:val="24"/>
        </w:rPr>
        <w:t xml:space="preserve">accommodated the </w:t>
      </w:r>
      <w:r w:rsidR="00CF76AD">
        <w:rPr>
          <w:sz w:val="24"/>
          <w:szCs w:val="24"/>
        </w:rPr>
        <w:t xml:space="preserve">military veterans </w:t>
      </w:r>
      <w:r w:rsidR="00135F57" w:rsidRPr="00073462">
        <w:rPr>
          <w:sz w:val="24"/>
          <w:szCs w:val="24"/>
        </w:rPr>
        <w:t>and their families at various locations, including a military base and later several guest houses and a hotel.</w:t>
      </w:r>
    </w:p>
    <w:p w14:paraId="0000001F" w14:textId="77777777" w:rsidR="0077354F" w:rsidRPr="00073462" w:rsidRDefault="0077354F" w:rsidP="00073462">
      <w:pPr>
        <w:spacing w:line="480" w:lineRule="auto"/>
        <w:jc w:val="both"/>
        <w:rPr>
          <w:sz w:val="24"/>
          <w:szCs w:val="24"/>
        </w:rPr>
      </w:pPr>
    </w:p>
    <w:p w14:paraId="6213123A" w14:textId="7F27B03C" w:rsidR="00615919" w:rsidRDefault="00CF76AD" w:rsidP="00073462">
      <w:pPr>
        <w:spacing w:line="480" w:lineRule="auto"/>
        <w:jc w:val="both"/>
        <w:rPr>
          <w:sz w:val="24"/>
          <w:szCs w:val="24"/>
        </w:rPr>
      </w:pPr>
      <w:r>
        <w:rPr>
          <w:sz w:val="24"/>
          <w:szCs w:val="24"/>
        </w:rPr>
        <w:t>[4]</w:t>
      </w:r>
      <w:r>
        <w:rPr>
          <w:sz w:val="24"/>
          <w:szCs w:val="24"/>
        </w:rPr>
        <w:tab/>
      </w:r>
      <w:r w:rsidR="005447D2">
        <w:rPr>
          <w:sz w:val="24"/>
          <w:szCs w:val="24"/>
        </w:rPr>
        <w:t xml:space="preserve">The military veterans maintained throughout </w:t>
      </w:r>
      <w:r w:rsidR="00BA7651">
        <w:rPr>
          <w:sz w:val="24"/>
          <w:szCs w:val="24"/>
        </w:rPr>
        <w:t xml:space="preserve">the litigation process that followed </w:t>
      </w:r>
      <w:r w:rsidR="00135F57" w:rsidRPr="00073462">
        <w:rPr>
          <w:sz w:val="24"/>
          <w:szCs w:val="24"/>
        </w:rPr>
        <w:t xml:space="preserve">that </w:t>
      </w:r>
      <w:r w:rsidR="00033ABF">
        <w:rPr>
          <w:sz w:val="24"/>
          <w:szCs w:val="24"/>
        </w:rPr>
        <w:t>the</w:t>
      </w:r>
      <w:r w:rsidR="00135F57" w:rsidRPr="00073462">
        <w:rPr>
          <w:sz w:val="24"/>
          <w:szCs w:val="24"/>
        </w:rPr>
        <w:t xml:space="preserve"> </w:t>
      </w:r>
      <w:r w:rsidR="00921DBD">
        <w:rPr>
          <w:sz w:val="24"/>
          <w:szCs w:val="24"/>
        </w:rPr>
        <w:t xml:space="preserve">property </w:t>
      </w:r>
      <w:r w:rsidR="00135F57" w:rsidRPr="00073462">
        <w:rPr>
          <w:sz w:val="24"/>
          <w:szCs w:val="24"/>
        </w:rPr>
        <w:t>was not safe for their families</w:t>
      </w:r>
      <w:r w:rsidR="00033ABF">
        <w:rPr>
          <w:sz w:val="24"/>
          <w:szCs w:val="24"/>
        </w:rPr>
        <w:t>,</w:t>
      </w:r>
      <w:r w:rsidR="00135F57" w:rsidRPr="00073462">
        <w:rPr>
          <w:sz w:val="24"/>
          <w:szCs w:val="24"/>
        </w:rPr>
        <w:t xml:space="preserve"> due to the community's belief that they were criminals.</w:t>
      </w:r>
      <w:r w:rsidR="00684A61">
        <w:rPr>
          <w:sz w:val="24"/>
          <w:szCs w:val="24"/>
        </w:rPr>
        <w:t xml:space="preserve">  The First and Second Appellant </w:t>
      </w:r>
      <w:r w:rsidR="00057695">
        <w:rPr>
          <w:sz w:val="24"/>
          <w:szCs w:val="24"/>
        </w:rPr>
        <w:t>admitted</w:t>
      </w:r>
      <w:r w:rsidR="008A5387">
        <w:rPr>
          <w:sz w:val="24"/>
          <w:szCs w:val="24"/>
        </w:rPr>
        <w:t xml:space="preserve"> to providing alternative accommodation for the military veterans.  They claimed that they did so based on the belief </w:t>
      </w:r>
      <w:r w:rsidR="00615919">
        <w:rPr>
          <w:sz w:val="24"/>
          <w:szCs w:val="24"/>
        </w:rPr>
        <w:t>o</w:t>
      </w:r>
      <w:r w:rsidR="00854371">
        <w:rPr>
          <w:sz w:val="24"/>
          <w:szCs w:val="24"/>
        </w:rPr>
        <w:t>f</w:t>
      </w:r>
      <w:r w:rsidR="00615919">
        <w:rPr>
          <w:sz w:val="24"/>
          <w:szCs w:val="24"/>
        </w:rPr>
        <w:t xml:space="preserve"> representations made that the veterans were targeted and victimized by sections of the Rama City community.  </w:t>
      </w:r>
      <w:r w:rsidR="00854371">
        <w:rPr>
          <w:sz w:val="24"/>
          <w:szCs w:val="24"/>
        </w:rPr>
        <w:t>The Second Appellant asserts</w:t>
      </w:r>
      <w:r w:rsidR="00615919">
        <w:rPr>
          <w:sz w:val="24"/>
          <w:szCs w:val="24"/>
        </w:rPr>
        <w:t xml:space="preserve"> that </w:t>
      </w:r>
      <w:r w:rsidR="00854371">
        <w:rPr>
          <w:sz w:val="24"/>
          <w:szCs w:val="24"/>
        </w:rPr>
        <w:t xml:space="preserve">they </w:t>
      </w:r>
      <w:r w:rsidR="00615919">
        <w:rPr>
          <w:sz w:val="24"/>
          <w:szCs w:val="24"/>
        </w:rPr>
        <w:t>later investigated the information and found it to be incorrect.</w:t>
      </w:r>
    </w:p>
    <w:p w14:paraId="2C3A0CD9" w14:textId="77777777" w:rsidR="00615919" w:rsidRDefault="00615919" w:rsidP="00073462">
      <w:pPr>
        <w:spacing w:line="480" w:lineRule="auto"/>
        <w:jc w:val="both"/>
        <w:rPr>
          <w:sz w:val="24"/>
          <w:szCs w:val="24"/>
        </w:rPr>
      </w:pPr>
    </w:p>
    <w:p w14:paraId="7EB6F559" w14:textId="55757181" w:rsidR="000E1E53" w:rsidRDefault="00615919" w:rsidP="00F0090D">
      <w:pPr>
        <w:spacing w:line="480" w:lineRule="auto"/>
        <w:jc w:val="both"/>
        <w:rPr>
          <w:sz w:val="24"/>
          <w:szCs w:val="24"/>
        </w:rPr>
      </w:pPr>
      <w:r>
        <w:rPr>
          <w:sz w:val="24"/>
          <w:szCs w:val="24"/>
        </w:rPr>
        <w:t>[5]</w:t>
      </w:r>
      <w:r>
        <w:rPr>
          <w:sz w:val="24"/>
          <w:szCs w:val="24"/>
        </w:rPr>
        <w:tab/>
      </w:r>
      <w:r w:rsidR="002D3D68">
        <w:rPr>
          <w:sz w:val="24"/>
          <w:szCs w:val="24"/>
        </w:rPr>
        <w:t xml:space="preserve">The investigations </w:t>
      </w:r>
      <w:r w:rsidR="00033ABF">
        <w:rPr>
          <w:sz w:val="24"/>
          <w:szCs w:val="24"/>
        </w:rPr>
        <w:t xml:space="preserve">further </w:t>
      </w:r>
      <w:r w:rsidR="00C90DAC">
        <w:rPr>
          <w:sz w:val="24"/>
          <w:szCs w:val="24"/>
        </w:rPr>
        <w:t>prompted</w:t>
      </w:r>
      <w:r w:rsidR="002D3D68">
        <w:rPr>
          <w:sz w:val="24"/>
          <w:szCs w:val="24"/>
        </w:rPr>
        <w:t xml:space="preserve"> </w:t>
      </w:r>
      <w:r w:rsidR="007F7A43">
        <w:rPr>
          <w:sz w:val="24"/>
          <w:szCs w:val="24"/>
        </w:rPr>
        <w:t xml:space="preserve">the Second Appellant to instruct the military veterans to </w:t>
      </w:r>
      <w:r w:rsidR="00135F57" w:rsidRPr="00073462">
        <w:rPr>
          <w:sz w:val="24"/>
          <w:szCs w:val="24"/>
        </w:rPr>
        <w:t xml:space="preserve">vacate the guesthouses and move back to </w:t>
      </w:r>
      <w:r w:rsidR="000C2254">
        <w:rPr>
          <w:sz w:val="24"/>
          <w:szCs w:val="24"/>
        </w:rPr>
        <w:t>the property</w:t>
      </w:r>
      <w:r w:rsidR="00C90DAC">
        <w:rPr>
          <w:sz w:val="24"/>
          <w:szCs w:val="24"/>
        </w:rPr>
        <w:t xml:space="preserve"> by the 7</w:t>
      </w:r>
      <w:r w:rsidR="00C90DAC" w:rsidRPr="00C90DAC">
        <w:rPr>
          <w:sz w:val="24"/>
          <w:szCs w:val="24"/>
          <w:vertAlign w:val="superscript"/>
        </w:rPr>
        <w:t>th</w:t>
      </w:r>
      <w:r w:rsidR="00C90DAC">
        <w:rPr>
          <w:sz w:val="24"/>
          <w:szCs w:val="24"/>
        </w:rPr>
        <w:t xml:space="preserve"> of September 2021.  The military </w:t>
      </w:r>
      <w:r w:rsidR="00707872">
        <w:rPr>
          <w:sz w:val="24"/>
          <w:szCs w:val="24"/>
        </w:rPr>
        <w:t>veterans, however,</w:t>
      </w:r>
      <w:r w:rsidR="00C90DAC">
        <w:rPr>
          <w:sz w:val="24"/>
          <w:szCs w:val="24"/>
        </w:rPr>
        <w:t xml:space="preserve"> ar</w:t>
      </w:r>
      <w:r w:rsidR="00135F57" w:rsidRPr="00073462">
        <w:rPr>
          <w:sz w:val="24"/>
          <w:szCs w:val="24"/>
        </w:rPr>
        <w:t>gued that the safety of the houses and the issue of evictions with Rama City Development had not been resolved. Subsequently, further litigation ensued between the parties.</w:t>
      </w:r>
    </w:p>
    <w:p w14:paraId="6EE47EE9" w14:textId="77777777" w:rsidR="00760F00" w:rsidRDefault="00760F00" w:rsidP="00073462">
      <w:pPr>
        <w:spacing w:line="480" w:lineRule="auto"/>
        <w:jc w:val="both"/>
        <w:rPr>
          <w:sz w:val="24"/>
          <w:szCs w:val="24"/>
        </w:rPr>
      </w:pPr>
    </w:p>
    <w:p w14:paraId="00000025" w14:textId="73F5865C" w:rsidR="0077354F" w:rsidRDefault="00760F00" w:rsidP="00073462">
      <w:pPr>
        <w:spacing w:line="480" w:lineRule="auto"/>
        <w:jc w:val="both"/>
        <w:rPr>
          <w:sz w:val="24"/>
          <w:szCs w:val="24"/>
        </w:rPr>
      </w:pPr>
      <w:r w:rsidRPr="006F4AEB">
        <w:rPr>
          <w:b/>
          <w:bCs/>
          <w:sz w:val="24"/>
          <w:szCs w:val="24"/>
        </w:rPr>
        <w:t>RELIEF SOUGHT</w:t>
      </w:r>
      <w:r w:rsidR="00A82E7B">
        <w:rPr>
          <w:b/>
          <w:bCs/>
          <w:sz w:val="24"/>
          <w:szCs w:val="24"/>
        </w:rPr>
        <w:t xml:space="preserve"> IN VARIOUS APPLICATIONS</w:t>
      </w:r>
      <w:r w:rsidR="00707872">
        <w:rPr>
          <w:sz w:val="24"/>
          <w:szCs w:val="24"/>
        </w:rPr>
        <w:t>:</w:t>
      </w:r>
    </w:p>
    <w:p w14:paraId="22EA7815" w14:textId="77777777" w:rsidR="00707872" w:rsidRDefault="00707872" w:rsidP="00073462">
      <w:pPr>
        <w:spacing w:line="480" w:lineRule="auto"/>
        <w:jc w:val="both"/>
        <w:rPr>
          <w:sz w:val="24"/>
          <w:szCs w:val="24"/>
        </w:rPr>
      </w:pPr>
    </w:p>
    <w:p w14:paraId="00000026" w14:textId="78298F86" w:rsidR="0077354F" w:rsidRDefault="00707872" w:rsidP="00073462">
      <w:pPr>
        <w:spacing w:line="480" w:lineRule="auto"/>
        <w:jc w:val="both"/>
        <w:rPr>
          <w:sz w:val="24"/>
          <w:szCs w:val="24"/>
        </w:rPr>
      </w:pPr>
      <w:r>
        <w:rPr>
          <w:sz w:val="24"/>
          <w:szCs w:val="24"/>
        </w:rPr>
        <w:lastRenderedPageBreak/>
        <w:t>[6]</w:t>
      </w:r>
      <w:r>
        <w:rPr>
          <w:sz w:val="24"/>
          <w:szCs w:val="24"/>
        </w:rPr>
        <w:tab/>
      </w:r>
      <w:r w:rsidR="00060DBC">
        <w:rPr>
          <w:sz w:val="24"/>
          <w:szCs w:val="24"/>
        </w:rPr>
        <w:t xml:space="preserve">The military veterans </w:t>
      </w:r>
      <w:r w:rsidR="00135F57" w:rsidRPr="00073462">
        <w:rPr>
          <w:sz w:val="24"/>
          <w:szCs w:val="24"/>
        </w:rPr>
        <w:t xml:space="preserve">approached this court </w:t>
      </w:r>
      <w:r w:rsidR="00060DBC">
        <w:rPr>
          <w:sz w:val="24"/>
          <w:szCs w:val="24"/>
        </w:rPr>
        <w:t xml:space="preserve">on the </w:t>
      </w:r>
      <w:r w:rsidR="0006473B">
        <w:rPr>
          <w:sz w:val="24"/>
          <w:szCs w:val="24"/>
        </w:rPr>
        <w:t>13</w:t>
      </w:r>
      <w:r w:rsidR="0006473B" w:rsidRPr="0006473B">
        <w:rPr>
          <w:sz w:val="24"/>
          <w:szCs w:val="24"/>
          <w:vertAlign w:val="superscript"/>
        </w:rPr>
        <w:t>th</w:t>
      </w:r>
      <w:r w:rsidR="0006473B">
        <w:rPr>
          <w:sz w:val="24"/>
          <w:szCs w:val="24"/>
        </w:rPr>
        <w:t xml:space="preserve"> of </w:t>
      </w:r>
      <w:r w:rsidR="00060DBC">
        <w:rPr>
          <w:sz w:val="24"/>
          <w:szCs w:val="24"/>
        </w:rPr>
        <w:t>September 202</w:t>
      </w:r>
      <w:r w:rsidR="00C95C38">
        <w:rPr>
          <w:sz w:val="24"/>
          <w:szCs w:val="24"/>
        </w:rPr>
        <w:t>1</w:t>
      </w:r>
      <w:r w:rsidR="00060DBC">
        <w:rPr>
          <w:sz w:val="24"/>
          <w:szCs w:val="24"/>
        </w:rPr>
        <w:t xml:space="preserve">, </w:t>
      </w:r>
      <w:r w:rsidR="00135F57" w:rsidRPr="00073462">
        <w:rPr>
          <w:sz w:val="24"/>
          <w:szCs w:val="24"/>
        </w:rPr>
        <w:t>on an urgent basis</w:t>
      </w:r>
      <w:r w:rsidR="00A82E7B">
        <w:rPr>
          <w:sz w:val="24"/>
          <w:szCs w:val="24"/>
        </w:rPr>
        <w:t xml:space="preserve"> (‘the urgent application’)</w:t>
      </w:r>
      <w:r w:rsidR="00060DBC">
        <w:rPr>
          <w:sz w:val="24"/>
          <w:szCs w:val="24"/>
        </w:rPr>
        <w:t>,</w:t>
      </w:r>
      <w:r w:rsidR="00135F57" w:rsidRPr="00073462">
        <w:rPr>
          <w:sz w:val="24"/>
          <w:szCs w:val="24"/>
        </w:rPr>
        <w:t xml:space="preserve"> for the following relief</w:t>
      </w:r>
      <w:r w:rsidR="00AA0659">
        <w:rPr>
          <w:sz w:val="24"/>
          <w:szCs w:val="24"/>
        </w:rPr>
        <w:t>:</w:t>
      </w:r>
    </w:p>
    <w:p w14:paraId="0A88DB4B" w14:textId="77777777" w:rsidR="002D2F1C" w:rsidRDefault="002D2F1C" w:rsidP="00073462">
      <w:pPr>
        <w:spacing w:line="480" w:lineRule="auto"/>
        <w:jc w:val="both"/>
        <w:rPr>
          <w:sz w:val="24"/>
          <w:szCs w:val="24"/>
        </w:rPr>
      </w:pPr>
    </w:p>
    <w:p w14:paraId="605C5902" w14:textId="5786190D" w:rsidR="001146C0" w:rsidRDefault="002D45A8" w:rsidP="001B4ED5">
      <w:pPr>
        <w:spacing w:line="480" w:lineRule="auto"/>
        <w:ind w:left="720" w:hanging="360"/>
        <w:jc w:val="both"/>
        <w:rPr>
          <w:sz w:val="20"/>
          <w:szCs w:val="20"/>
        </w:rPr>
      </w:pPr>
      <w:r>
        <w:rPr>
          <w:sz w:val="20"/>
          <w:szCs w:val="20"/>
        </w:rPr>
        <w:t xml:space="preserve">“1. </w:t>
      </w:r>
      <w:r>
        <w:rPr>
          <w:sz w:val="20"/>
          <w:szCs w:val="20"/>
        </w:rPr>
        <w:tab/>
      </w:r>
      <w:r w:rsidR="001146C0">
        <w:rPr>
          <w:sz w:val="20"/>
          <w:szCs w:val="20"/>
        </w:rPr>
        <w:t>That the time periods and forms of service be dispensed with and that the matter be heard as one of urgent in terms of the Uniform Court Rule 6(12) as read with the Honourable court’s practice manual.</w:t>
      </w:r>
    </w:p>
    <w:p w14:paraId="76D5A297" w14:textId="77777777" w:rsidR="001B4ED5" w:rsidRDefault="001B4ED5" w:rsidP="00FF7F05">
      <w:pPr>
        <w:spacing w:line="480" w:lineRule="auto"/>
        <w:ind w:left="360"/>
        <w:jc w:val="both"/>
        <w:rPr>
          <w:sz w:val="20"/>
          <w:szCs w:val="20"/>
        </w:rPr>
      </w:pPr>
    </w:p>
    <w:p w14:paraId="0898E0FC" w14:textId="34E158C8" w:rsidR="001B4ED5" w:rsidRDefault="001B4ED5" w:rsidP="007E27C3">
      <w:pPr>
        <w:spacing w:line="480" w:lineRule="auto"/>
        <w:ind w:left="720" w:hanging="360"/>
        <w:jc w:val="both"/>
        <w:rPr>
          <w:sz w:val="20"/>
          <w:szCs w:val="20"/>
        </w:rPr>
      </w:pPr>
      <w:r>
        <w:rPr>
          <w:sz w:val="20"/>
          <w:szCs w:val="20"/>
        </w:rPr>
        <w:t>2.</w:t>
      </w:r>
      <w:r>
        <w:rPr>
          <w:sz w:val="20"/>
          <w:szCs w:val="20"/>
        </w:rPr>
        <w:tab/>
        <w:t>to restrain and interdict the 1</w:t>
      </w:r>
      <w:r w:rsidRPr="001B4ED5">
        <w:rPr>
          <w:sz w:val="20"/>
          <w:szCs w:val="20"/>
          <w:vertAlign w:val="superscript"/>
        </w:rPr>
        <w:t>st</w:t>
      </w:r>
      <w:r>
        <w:rPr>
          <w:sz w:val="20"/>
          <w:szCs w:val="20"/>
        </w:rPr>
        <w:t xml:space="preserve"> and 2</w:t>
      </w:r>
      <w:r w:rsidRPr="001B4ED5">
        <w:rPr>
          <w:sz w:val="20"/>
          <w:szCs w:val="20"/>
          <w:vertAlign w:val="superscript"/>
        </w:rPr>
        <w:t>nd</w:t>
      </w:r>
      <w:r>
        <w:rPr>
          <w:sz w:val="20"/>
          <w:szCs w:val="20"/>
        </w:rPr>
        <w:t xml:space="preserve"> respondents </w:t>
      </w:r>
      <w:r w:rsidR="005C6F1D">
        <w:rPr>
          <w:sz w:val="20"/>
          <w:szCs w:val="20"/>
        </w:rPr>
        <w:t xml:space="preserve">[The First and Second Appellant] </w:t>
      </w:r>
      <w:r>
        <w:rPr>
          <w:sz w:val="20"/>
          <w:szCs w:val="20"/>
        </w:rPr>
        <w:t xml:space="preserve">from terminating provision of accommodation to the applicants and their families and that the </w:t>
      </w:r>
      <w:r>
        <w:rPr>
          <w:i/>
          <w:iCs/>
          <w:sz w:val="20"/>
          <w:szCs w:val="20"/>
        </w:rPr>
        <w:t xml:space="preserve">status quo ante </w:t>
      </w:r>
      <w:r>
        <w:rPr>
          <w:sz w:val="20"/>
          <w:szCs w:val="20"/>
        </w:rPr>
        <w:t>is retained;</w:t>
      </w:r>
    </w:p>
    <w:p w14:paraId="35022F0C" w14:textId="77777777" w:rsidR="001B4ED5" w:rsidRDefault="001B4ED5" w:rsidP="00FF7F05">
      <w:pPr>
        <w:spacing w:line="480" w:lineRule="auto"/>
        <w:ind w:left="360"/>
        <w:jc w:val="both"/>
        <w:rPr>
          <w:sz w:val="20"/>
          <w:szCs w:val="20"/>
        </w:rPr>
      </w:pPr>
    </w:p>
    <w:p w14:paraId="20A4DAD9" w14:textId="5C1725F8" w:rsidR="0031506D" w:rsidRDefault="007E27C3" w:rsidP="007E27C3">
      <w:pPr>
        <w:spacing w:line="480" w:lineRule="auto"/>
        <w:ind w:left="720" w:hanging="360"/>
        <w:jc w:val="both"/>
        <w:rPr>
          <w:sz w:val="20"/>
          <w:szCs w:val="20"/>
        </w:rPr>
      </w:pPr>
      <w:r>
        <w:rPr>
          <w:sz w:val="20"/>
          <w:szCs w:val="20"/>
        </w:rPr>
        <w:t>3</w:t>
      </w:r>
      <w:r w:rsidR="001B4ED5">
        <w:rPr>
          <w:sz w:val="20"/>
          <w:szCs w:val="20"/>
        </w:rPr>
        <w:t>.</w:t>
      </w:r>
      <w:r w:rsidR="001B4ED5">
        <w:rPr>
          <w:sz w:val="20"/>
          <w:szCs w:val="20"/>
        </w:rPr>
        <w:tab/>
        <w:t>that the 1</w:t>
      </w:r>
      <w:r w:rsidR="001B4ED5" w:rsidRPr="001B4ED5">
        <w:rPr>
          <w:sz w:val="20"/>
          <w:szCs w:val="20"/>
          <w:vertAlign w:val="superscript"/>
        </w:rPr>
        <w:t>st</w:t>
      </w:r>
      <w:r w:rsidR="001B4ED5">
        <w:rPr>
          <w:sz w:val="20"/>
          <w:szCs w:val="20"/>
        </w:rPr>
        <w:t xml:space="preserve"> and 2</w:t>
      </w:r>
      <w:r w:rsidR="001B4ED5" w:rsidRPr="001B4ED5">
        <w:rPr>
          <w:sz w:val="20"/>
          <w:szCs w:val="20"/>
          <w:vertAlign w:val="superscript"/>
        </w:rPr>
        <w:t>nd</w:t>
      </w:r>
      <w:r w:rsidR="001B4ED5">
        <w:rPr>
          <w:sz w:val="20"/>
          <w:szCs w:val="20"/>
        </w:rPr>
        <w:t xml:space="preserve"> respondent</w:t>
      </w:r>
      <w:r w:rsidR="00FF7F05">
        <w:rPr>
          <w:sz w:val="20"/>
          <w:szCs w:val="20"/>
        </w:rPr>
        <w:t xml:space="preserve"> </w:t>
      </w:r>
      <w:r w:rsidR="00135F57" w:rsidRPr="00D53FF7">
        <w:rPr>
          <w:sz w:val="20"/>
          <w:szCs w:val="20"/>
        </w:rPr>
        <w:t xml:space="preserve">are ordered and directed to retain the applicants and their families at the three </w:t>
      </w:r>
      <w:r>
        <w:rPr>
          <w:sz w:val="20"/>
          <w:szCs w:val="20"/>
        </w:rPr>
        <w:t>guest</w:t>
      </w:r>
      <w:r w:rsidR="00135F57" w:rsidRPr="00D53FF7">
        <w:rPr>
          <w:sz w:val="20"/>
          <w:szCs w:val="20"/>
        </w:rPr>
        <w:t>houses, which were already allocated to the applicants and the families until proper, accommodation are allocated to the respondents</w:t>
      </w:r>
      <w:r w:rsidR="005C6F1D">
        <w:rPr>
          <w:sz w:val="20"/>
          <w:szCs w:val="20"/>
        </w:rPr>
        <w:t>;</w:t>
      </w:r>
    </w:p>
    <w:p w14:paraId="2D5C88B1" w14:textId="77777777" w:rsidR="0031506D" w:rsidRDefault="0031506D" w:rsidP="007E27C3">
      <w:pPr>
        <w:spacing w:line="480" w:lineRule="auto"/>
        <w:ind w:left="720" w:hanging="360"/>
        <w:jc w:val="both"/>
        <w:rPr>
          <w:sz w:val="20"/>
          <w:szCs w:val="20"/>
        </w:rPr>
      </w:pPr>
    </w:p>
    <w:p w14:paraId="0000002B" w14:textId="52196401" w:rsidR="0077354F" w:rsidRDefault="0031506D" w:rsidP="0031506D">
      <w:pPr>
        <w:spacing w:line="480" w:lineRule="auto"/>
        <w:ind w:left="720" w:hanging="360"/>
        <w:jc w:val="both"/>
        <w:rPr>
          <w:sz w:val="20"/>
          <w:szCs w:val="20"/>
        </w:rPr>
      </w:pPr>
      <w:r>
        <w:rPr>
          <w:sz w:val="20"/>
          <w:szCs w:val="20"/>
        </w:rPr>
        <w:t>4.</w:t>
      </w:r>
      <w:r>
        <w:rPr>
          <w:sz w:val="20"/>
          <w:szCs w:val="20"/>
        </w:rPr>
        <w:tab/>
        <w:t>t</w:t>
      </w:r>
      <w:r w:rsidR="00135F57" w:rsidRPr="00D53FF7">
        <w:rPr>
          <w:sz w:val="20"/>
          <w:szCs w:val="20"/>
        </w:rPr>
        <w:t xml:space="preserve">hat the </w:t>
      </w:r>
      <w:r>
        <w:rPr>
          <w:sz w:val="20"/>
          <w:szCs w:val="20"/>
        </w:rPr>
        <w:t>1</w:t>
      </w:r>
      <w:r w:rsidRPr="0031506D">
        <w:rPr>
          <w:sz w:val="20"/>
          <w:szCs w:val="20"/>
          <w:vertAlign w:val="superscript"/>
        </w:rPr>
        <w:t>st</w:t>
      </w:r>
      <w:r>
        <w:rPr>
          <w:sz w:val="20"/>
          <w:szCs w:val="20"/>
        </w:rPr>
        <w:t xml:space="preserve"> and 2</w:t>
      </w:r>
      <w:r w:rsidRPr="0031506D">
        <w:rPr>
          <w:sz w:val="20"/>
          <w:szCs w:val="20"/>
          <w:vertAlign w:val="superscript"/>
        </w:rPr>
        <w:t>nd</w:t>
      </w:r>
      <w:r>
        <w:rPr>
          <w:sz w:val="20"/>
          <w:szCs w:val="20"/>
        </w:rPr>
        <w:t xml:space="preserve"> res</w:t>
      </w:r>
      <w:r w:rsidR="002750F8">
        <w:rPr>
          <w:sz w:val="20"/>
          <w:szCs w:val="20"/>
        </w:rPr>
        <w:t xml:space="preserve">pondents </w:t>
      </w:r>
      <w:r w:rsidR="00135F57" w:rsidRPr="00D53FF7">
        <w:rPr>
          <w:sz w:val="20"/>
          <w:szCs w:val="20"/>
        </w:rPr>
        <w:t>allocate such funds for payment of such allocated accommodation.</w:t>
      </w:r>
    </w:p>
    <w:p w14:paraId="2F6E4B19" w14:textId="77777777" w:rsidR="002750F8" w:rsidRDefault="002750F8" w:rsidP="0031506D">
      <w:pPr>
        <w:spacing w:line="480" w:lineRule="auto"/>
        <w:ind w:left="720" w:hanging="360"/>
        <w:jc w:val="both"/>
        <w:rPr>
          <w:sz w:val="20"/>
          <w:szCs w:val="20"/>
        </w:rPr>
      </w:pPr>
    </w:p>
    <w:p w14:paraId="5AF81EE3" w14:textId="61D320DE" w:rsidR="00E767FC" w:rsidRDefault="002750F8" w:rsidP="002750F8">
      <w:pPr>
        <w:spacing w:line="480" w:lineRule="auto"/>
        <w:ind w:left="720" w:hanging="360"/>
        <w:jc w:val="both"/>
        <w:rPr>
          <w:sz w:val="20"/>
          <w:szCs w:val="20"/>
        </w:rPr>
      </w:pPr>
      <w:r>
        <w:rPr>
          <w:sz w:val="20"/>
          <w:szCs w:val="20"/>
        </w:rPr>
        <w:t>5.</w:t>
      </w:r>
      <w:r>
        <w:rPr>
          <w:sz w:val="20"/>
          <w:szCs w:val="20"/>
        </w:rPr>
        <w:tab/>
        <w:t>that the 1</w:t>
      </w:r>
      <w:r w:rsidRPr="002750F8">
        <w:rPr>
          <w:sz w:val="20"/>
          <w:szCs w:val="20"/>
          <w:vertAlign w:val="superscript"/>
        </w:rPr>
        <w:t>st</w:t>
      </w:r>
      <w:r>
        <w:rPr>
          <w:sz w:val="20"/>
          <w:szCs w:val="20"/>
        </w:rPr>
        <w:t xml:space="preserve"> and 2</w:t>
      </w:r>
      <w:r w:rsidRPr="002750F8">
        <w:rPr>
          <w:sz w:val="20"/>
          <w:szCs w:val="20"/>
          <w:vertAlign w:val="superscript"/>
        </w:rPr>
        <w:t>nd</w:t>
      </w:r>
      <w:r>
        <w:rPr>
          <w:sz w:val="20"/>
          <w:szCs w:val="20"/>
        </w:rPr>
        <w:t xml:space="preserve"> respondents </w:t>
      </w:r>
      <w:r w:rsidR="00135F57" w:rsidRPr="00D53FF7">
        <w:rPr>
          <w:sz w:val="20"/>
          <w:szCs w:val="20"/>
        </w:rPr>
        <w:t>are directed and ordered to sign all necessary memorandum of understanding and</w:t>
      </w:r>
      <w:r w:rsidR="005C102B">
        <w:rPr>
          <w:sz w:val="20"/>
          <w:szCs w:val="20"/>
        </w:rPr>
        <w:t>/</w:t>
      </w:r>
      <w:r w:rsidR="00135F57" w:rsidRPr="00D53FF7">
        <w:rPr>
          <w:sz w:val="20"/>
          <w:szCs w:val="20"/>
        </w:rPr>
        <w:t>or agreements with all relevant stakeholders including but not limited to the sixth respondent</w:t>
      </w:r>
      <w:r w:rsidR="00146CCF">
        <w:rPr>
          <w:sz w:val="20"/>
          <w:szCs w:val="20"/>
        </w:rPr>
        <w:t xml:space="preserve"> [the Minister of Public Works]</w:t>
      </w:r>
      <w:r w:rsidR="00135F57" w:rsidRPr="00D53FF7">
        <w:rPr>
          <w:sz w:val="20"/>
          <w:szCs w:val="20"/>
        </w:rPr>
        <w:t xml:space="preserve"> for identification and allocation of housing with</w:t>
      </w:r>
      <w:r w:rsidR="005C102B">
        <w:rPr>
          <w:sz w:val="20"/>
          <w:szCs w:val="20"/>
        </w:rPr>
        <w:t>in</w:t>
      </w:r>
      <w:r w:rsidR="00135F57" w:rsidRPr="00D53FF7">
        <w:rPr>
          <w:sz w:val="20"/>
          <w:szCs w:val="20"/>
        </w:rPr>
        <w:t xml:space="preserve"> Pretoria excluding Rama </w:t>
      </w:r>
      <w:r w:rsidR="00E767FC">
        <w:rPr>
          <w:sz w:val="20"/>
          <w:szCs w:val="20"/>
        </w:rPr>
        <w:t>C</w:t>
      </w:r>
      <w:r w:rsidR="00135F57" w:rsidRPr="00D53FF7">
        <w:rPr>
          <w:sz w:val="20"/>
          <w:szCs w:val="20"/>
        </w:rPr>
        <w:t xml:space="preserve">ity </w:t>
      </w:r>
      <w:r w:rsidR="00E767FC">
        <w:rPr>
          <w:sz w:val="20"/>
          <w:szCs w:val="20"/>
        </w:rPr>
        <w:t>D</w:t>
      </w:r>
      <w:r w:rsidR="00135F57" w:rsidRPr="00D53FF7">
        <w:rPr>
          <w:sz w:val="20"/>
          <w:szCs w:val="20"/>
        </w:rPr>
        <w:t>evelopment.</w:t>
      </w:r>
    </w:p>
    <w:p w14:paraId="6D285495" w14:textId="77777777" w:rsidR="00E767FC" w:rsidRDefault="00E767FC" w:rsidP="002750F8">
      <w:pPr>
        <w:spacing w:line="480" w:lineRule="auto"/>
        <w:ind w:left="720" w:hanging="360"/>
        <w:jc w:val="both"/>
        <w:rPr>
          <w:sz w:val="20"/>
          <w:szCs w:val="20"/>
        </w:rPr>
      </w:pPr>
    </w:p>
    <w:p w14:paraId="0000002C" w14:textId="1DD079B6" w:rsidR="0077354F" w:rsidRDefault="00E767FC" w:rsidP="002750F8">
      <w:pPr>
        <w:spacing w:line="480" w:lineRule="auto"/>
        <w:ind w:left="720" w:hanging="360"/>
        <w:jc w:val="both"/>
        <w:rPr>
          <w:sz w:val="20"/>
          <w:szCs w:val="20"/>
        </w:rPr>
      </w:pPr>
      <w:r>
        <w:rPr>
          <w:sz w:val="20"/>
          <w:szCs w:val="20"/>
        </w:rPr>
        <w:t>6.</w:t>
      </w:r>
      <w:r>
        <w:rPr>
          <w:sz w:val="20"/>
          <w:szCs w:val="20"/>
        </w:rPr>
        <w:tab/>
        <w:t>That the 1</w:t>
      </w:r>
      <w:r w:rsidRPr="00E767FC">
        <w:rPr>
          <w:sz w:val="20"/>
          <w:szCs w:val="20"/>
          <w:vertAlign w:val="superscript"/>
        </w:rPr>
        <w:t>st</w:t>
      </w:r>
      <w:r>
        <w:rPr>
          <w:sz w:val="20"/>
          <w:szCs w:val="20"/>
        </w:rPr>
        <w:t xml:space="preserve"> and 2</w:t>
      </w:r>
      <w:r w:rsidRPr="00E767FC">
        <w:rPr>
          <w:sz w:val="20"/>
          <w:szCs w:val="20"/>
          <w:vertAlign w:val="superscript"/>
        </w:rPr>
        <w:t>nd</w:t>
      </w:r>
      <w:r>
        <w:rPr>
          <w:sz w:val="20"/>
          <w:szCs w:val="20"/>
        </w:rPr>
        <w:t xml:space="preserve"> respondents are ordered to pay the costs of this application on the scale of attorney and own clien</w:t>
      </w:r>
      <w:r w:rsidR="006A0BD1">
        <w:rPr>
          <w:sz w:val="20"/>
          <w:szCs w:val="20"/>
        </w:rPr>
        <w:t>t.</w:t>
      </w:r>
      <w:r>
        <w:rPr>
          <w:sz w:val="20"/>
          <w:szCs w:val="20"/>
        </w:rPr>
        <w:t>”</w:t>
      </w:r>
      <w:r w:rsidR="004656AE">
        <w:rPr>
          <w:rStyle w:val="FootnoteReference"/>
          <w:sz w:val="20"/>
          <w:szCs w:val="20"/>
        </w:rPr>
        <w:footnoteReference w:id="1"/>
      </w:r>
    </w:p>
    <w:p w14:paraId="45510C80" w14:textId="77777777" w:rsidR="00E767FC" w:rsidRDefault="00E767FC" w:rsidP="002750F8">
      <w:pPr>
        <w:spacing w:line="480" w:lineRule="auto"/>
        <w:ind w:left="720" w:hanging="360"/>
        <w:jc w:val="both"/>
        <w:rPr>
          <w:sz w:val="20"/>
          <w:szCs w:val="20"/>
        </w:rPr>
      </w:pPr>
    </w:p>
    <w:p w14:paraId="6E1D6C87" w14:textId="41D1CB44" w:rsidR="002E6986" w:rsidRDefault="006A0BD1" w:rsidP="00073462">
      <w:pPr>
        <w:spacing w:line="480" w:lineRule="auto"/>
        <w:jc w:val="both"/>
        <w:rPr>
          <w:sz w:val="24"/>
          <w:szCs w:val="24"/>
        </w:rPr>
      </w:pPr>
      <w:r>
        <w:rPr>
          <w:sz w:val="24"/>
          <w:szCs w:val="24"/>
        </w:rPr>
        <w:lastRenderedPageBreak/>
        <w:t>[7]</w:t>
      </w:r>
      <w:r>
        <w:rPr>
          <w:sz w:val="24"/>
          <w:szCs w:val="24"/>
        </w:rPr>
        <w:tab/>
      </w:r>
      <w:r w:rsidR="002E6986">
        <w:rPr>
          <w:sz w:val="24"/>
          <w:szCs w:val="24"/>
        </w:rPr>
        <w:t xml:space="preserve">The abovementioned application was removed from the roll </w:t>
      </w:r>
      <w:r w:rsidR="00F4646B">
        <w:rPr>
          <w:sz w:val="24"/>
          <w:szCs w:val="24"/>
        </w:rPr>
        <w:t>on the 13</w:t>
      </w:r>
      <w:r w:rsidR="00F4646B" w:rsidRPr="00F4646B">
        <w:rPr>
          <w:sz w:val="24"/>
          <w:szCs w:val="24"/>
          <w:vertAlign w:val="superscript"/>
        </w:rPr>
        <w:t>th</w:t>
      </w:r>
      <w:r w:rsidR="00F4646B">
        <w:rPr>
          <w:sz w:val="24"/>
          <w:szCs w:val="24"/>
        </w:rPr>
        <w:t xml:space="preserve"> of September 2021, </w:t>
      </w:r>
      <w:r w:rsidR="002E6986">
        <w:rPr>
          <w:sz w:val="24"/>
          <w:szCs w:val="24"/>
        </w:rPr>
        <w:t>by agreement between the parties</w:t>
      </w:r>
      <w:r w:rsidR="00F4646B">
        <w:rPr>
          <w:sz w:val="24"/>
          <w:szCs w:val="24"/>
        </w:rPr>
        <w:t>,</w:t>
      </w:r>
      <w:r w:rsidR="002E6986">
        <w:rPr>
          <w:sz w:val="24"/>
          <w:szCs w:val="24"/>
        </w:rPr>
        <w:t xml:space="preserve"> and the issue of costs was reserved</w:t>
      </w:r>
      <w:r w:rsidR="00BD0A74">
        <w:rPr>
          <w:sz w:val="24"/>
          <w:szCs w:val="24"/>
        </w:rPr>
        <w:t>.</w:t>
      </w:r>
    </w:p>
    <w:p w14:paraId="483613C7" w14:textId="77777777" w:rsidR="00BD0A74" w:rsidRDefault="00BD0A74" w:rsidP="00073462">
      <w:pPr>
        <w:spacing w:line="480" w:lineRule="auto"/>
        <w:jc w:val="both"/>
        <w:rPr>
          <w:sz w:val="24"/>
          <w:szCs w:val="24"/>
        </w:rPr>
      </w:pPr>
    </w:p>
    <w:p w14:paraId="0000002F" w14:textId="638CDAD4" w:rsidR="0077354F" w:rsidRDefault="00BD0A74" w:rsidP="00073462">
      <w:pPr>
        <w:spacing w:line="480" w:lineRule="auto"/>
        <w:jc w:val="both"/>
        <w:rPr>
          <w:sz w:val="24"/>
          <w:szCs w:val="24"/>
        </w:rPr>
      </w:pPr>
      <w:r>
        <w:rPr>
          <w:sz w:val="24"/>
          <w:szCs w:val="24"/>
        </w:rPr>
        <w:t>[8]</w:t>
      </w:r>
      <w:r>
        <w:rPr>
          <w:sz w:val="24"/>
          <w:szCs w:val="24"/>
        </w:rPr>
        <w:tab/>
      </w:r>
      <w:r w:rsidR="00135F57" w:rsidRPr="00073462">
        <w:rPr>
          <w:sz w:val="24"/>
          <w:szCs w:val="24"/>
        </w:rPr>
        <w:t xml:space="preserve">The </w:t>
      </w:r>
      <w:r w:rsidR="006A0BD1">
        <w:rPr>
          <w:sz w:val="24"/>
          <w:szCs w:val="24"/>
        </w:rPr>
        <w:t>F</w:t>
      </w:r>
      <w:r w:rsidR="00135F57" w:rsidRPr="00073462">
        <w:rPr>
          <w:sz w:val="24"/>
          <w:szCs w:val="24"/>
        </w:rPr>
        <w:t xml:space="preserve">irst and </w:t>
      </w:r>
      <w:r w:rsidR="006A0BD1">
        <w:rPr>
          <w:sz w:val="24"/>
          <w:szCs w:val="24"/>
        </w:rPr>
        <w:t>S</w:t>
      </w:r>
      <w:r w:rsidR="00135F57" w:rsidRPr="00073462">
        <w:rPr>
          <w:sz w:val="24"/>
          <w:szCs w:val="24"/>
        </w:rPr>
        <w:t xml:space="preserve">econd </w:t>
      </w:r>
      <w:r w:rsidR="006A0BD1">
        <w:rPr>
          <w:sz w:val="24"/>
          <w:szCs w:val="24"/>
        </w:rPr>
        <w:t>A</w:t>
      </w:r>
      <w:r w:rsidR="00135F57" w:rsidRPr="00073462">
        <w:rPr>
          <w:sz w:val="24"/>
          <w:szCs w:val="24"/>
        </w:rPr>
        <w:t xml:space="preserve">ppellant filed an answering affidavit on 21 October 2021 and simultaneously filed a counter application </w:t>
      </w:r>
      <w:r w:rsidR="000C5337">
        <w:rPr>
          <w:sz w:val="24"/>
          <w:szCs w:val="24"/>
        </w:rPr>
        <w:t xml:space="preserve">(‘the review application’) </w:t>
      </w:r>
      <w:r w:rsidR="00135F57" w:rsidRPr="00073462">
        <w:rPr>
          <w:sz w:val="24"/>
          <w:szCs w:val="24"/>
        </w:rPr>
        <w:t>where</w:t>
      </w:r>
      <w:r w:rsidR="006A0BD1">
        <w:rPr>
          <w:sz w:val="24"/>
          <w:szCs w:val="24"/>
        </w:rPr>
        <w:t>in</w:t>
      </w:r>
      <w:r w:rsidR="00135F57" w:rsidRPr="00073462">
        <w:rPr>
          <w:sz w:val="24"/>
          <w:szCs w:val="24"/>
        </w:rPr>
        <w:t xml:space="preserve"> they sought the following relief:</w:t>
      </w:r>
    </w:p>
    <w:p w14:paraId="35B154BE" w14:textId="77777777" w:rsidR="00CF3022" w:rsidRDefault="00CF3022" w:rsidP="00073462">
      <w:pPr>
        <w:spacing w:line="480" w:lineRule="auto"/>
        <w:jc w:val="both"/>
        <w:rPr>
          <w:sz w:val="20"/>
          <w:szCs w:val="20"/>
        </w:rPr>
      </w:pPr>
    </w:p>
    <w:p w14:paraId="00000031" w14:textId="5680EA77" w:rsidR="0077354F" w:rsidRDefault="00CF3022" w:rsidP="00996DE1">
      <w:pPr>
        <w:spacing w:line="480" w:lineRule="auto"/>
        <w:ind w:left="720" w:hanging="360"/>
        <w:jc w:val="both"/>
        <w:rPr>
          <w:sz w:val="20"/>
          <w:szCs w:val="20"/>
        </w:rPr>
      </w:pPr>
      <w:r>
        <w:rPr>
          <w:sz w:val="20"/>
          <w:szCs w:val="20"/>
        </w:rPr>
        <w:t>”1.</w:t>
      </w:r>
      <w:r>
        <w:rPr>
          <w:sz w:val="20"/>
          <w:szCs w:val="20"/>
        </w:rPr>
        <w:tab/>
      </w:r>
      <w:r w:rsidR="00135F57" w:rsidRPr="00CF3022">
        <w:rPr>
          <w:sz w:val="20"/>
          <w:szCs w:val="20"/>
        </w:rPr>
        <w:t xml:space="preserve">That the decision </w:t>
      </w:r>
      <w:r w:rsidR="002D3A95">
        <w:rPr>
          <w:sz w:val="20"/>
          <w:szCs w:val="20"/>
        </w:rPr>
        <w:t>of the M</w:t>
      </w:r>
      <w:r w:rsidR="00135F57" w:rsidRPr="00CF3022">
        <w:rPr>
          <w:sz w:val="20"/>
          <w:szCs w:val="20"/>
        </w:rPr>
        <w:t xml:space="preserve">ilitary </w:t>
      </w:r>
      <w:r w:rsidR="002D3A95">
        <w:rPr>
          <w:sz w:val="20"/>
          <w:szCs w:val="20"/>
        </w:rPr>
        <w:t>V</w:t>
      </w:r>
      <w:r w:rsidR="00135F57" w:rsidRPr="00CF3022">
        <w:rPr>
          <w:sz w:val="20"/>
          <w:szCs w:val="20"/>
        </w:rPr>
        <w:t xml:space="preserve">eterans </w:t>
      </w:r>
      <w:r w:rsidR="002D3A95">
        <w:rPr>
          <w:sz w:val="20"/>
          <w:szCs w:val="20"/>
        </w:rPr>
        <w:t>A</w:t>
      </w:r>
      <w:r w:rsidR="00135F57" w:rsidRPr="00CF3022">
        <w:rPr>
          <w:sz w:val="20"/>
          <w:szCs w:val="20"/>
        </w:rPr>
        <w:t xml:space="preserve">ppeal </w:t>
      </w:r>
      <w:r w:rsidR="002D3A95">
        <w:rPr>
          <w:sz w:val="20"/>
          <w:szCs w:val="20"/>
        </w:rPr>
        <w:t>B</w:t>
      </w:r>
      <w:r w:rsidR="00135F57" w:rsidRPr="00CF3022">
        <w:rPr>
          <w:sz w:val="20"/>
          <w:szCs w:val="20"/>
        </w:rPr>
        <w:t>oard</w:t>
      </w:r>
      <w:r w:rsidR="002D3A95">
        <w:rPr>
          <w:sz w:val="20"/>
          <w:szCs w:val="20"/>
        </w:rPr>
        <w:t xml:space="preserve">, attached hereto and marked Annexure A1, </w:t>
      </w:r>
      <w:r w:rsidR="00135F57" w:rsidRPr="00CF3022">
        <w:rPr>
          <w:sz w:val="20"/>
          <w:szCs w:val="20"/>
        </w:rPr>
        <w:t xml:space="preserve">be </w:t>
      </w:r>
      <w:r w:rsidR="004C0920" w:rsidRPr="00CF3022">
        <w:rPr>
          <w:sz w:val="20"/>
          <w:szCs w:val="20"/>
        </w:rPr>
        <w:t>reviewed</w:t>
      </w:r>
      <w:r w:rsidR="00C322F9">
        <w:rPr>
          <w:sz w:val="20"/>
          <w:szCs w:val="20"/>
        </w:rPr>
        <w:t xml:space="preserve"> </w:t>
      </w:r>
      <w:r w:rsidR="00135F57" w:rsidRPr="00CF3022">
        <w:rPr>
          <w:sz w:val="20"/>
          <w:szCs w:val="20"/>
        </w:rPr>
        <w:t>and set aside</w:t>
      </w:r>
      <w:r w:rsidR="00F473CB">
        <w:rPr>
          <w:sz w:val="20"/>
          <w:szCs w:val="20"/>
        </w:rPr>
        <w:t>,</w:t>
      </w:r>
      <w:r w:rsidR="00135F57" w:rsidRPr="00CF3022">
        <w:rPr>
          <w:sz w:val="20"/>
          <w:szCs w:val="20"/>
        </w:rPr>
        <w:t xml:space="preserve"> in terms of the </w:t>
      </w:r>
      <w:r w:rsidR="00F473CB">
        <w:rPr>
          <w:sz w:val="20"/>
          <w:szCs w:val="20"/>
        </w:rPr>
        <w:t>P</w:t>
      </w:r>
      <w:r w:rsidR="00135F57" w:rsidRPr="00CF3022">
        <w:rPr>
          <w:sz w:val="20"/>
          <w:szCs w:val="20"/>
        </w:rPr>
        <w:t xml:space="preserve">romotion of </w:t>
      </w:r>
      <w:r w:rsidR="00F473CB">
        <w:rPr>
          <w:sz w:val="20"/>
          <w:szCs w:val="20"/>
        </w:rPr>
        <w:t>A</w:t>
      </w:r>
      <w:r w:rsidR="00135F57" w:rsidRPr="00CF3022">
        <w:rPr>
          <w:sz w:val="20"/>
          <w:szCs w:val="20"/>
        </w:rPr>
        <w:t xml:space="preserve">dministrative </w:t>
      </w:r>
      <w:r w:rsidR="00F473CB">
        <w:rPr>
          <w:sz w:val="20"/>
          <w:szCs w:val="20"/>
        </w:rPr>
        <w:t>J</w:t>
      </w:r>
      <w:r w:rsidR="00135F57" w:rsidRPr="00CF3022">
        <w:rPr>
          <w:sz w:val="20"/>
          <w:szCs w:val="20"/>
        </w:rPr>
        <w:t xml:space="preserve">ustice </w:t>
      </w:r>
      <w:r w:rsidR="00F473CB">
        <w:rPr>
          <w:sz w:val="20"/>
          <w:szCs w:val="20"/>
        </w:rPr>
        <w:t>A</w:t>
      </w:r>
      <w:r w:rsidR="00135F57" w:rsidRPr="00CF3022">
        <w:rPr>
          <w:sz w:val="20"/>
          <w:szCs w:val="20"/>
        </w:rPr>
        <w:t>ct</w:t>
      </w:r>
      <w:r w:rsidR="00F473CB">
        <w:rPr>
          <w:sz w:val="20"/>
          <w:szCs w:val="20"/>
        </w:rPr>
        <w:t xml:space="preserve"> 03 of 2000 and/or in terms </w:t>
      </w:r>
      <w:r w:rsidR="00135F57" w:rsidRPr="00CF3022">
        <w:rPr>
          <w:sz w:val="20"/>
          <w:szCs w:val="20"/>
        </w:rPr>
        <w:t xml:space="preserve">of </w:t>
      </w:r>
      <w:r w:rsidR="00F473CB">
        <w:rPr>
          <w:sz w:val="20"/>
          <w:szCs w:val="20"/>
        </w:rPr>
        <w:t>S</w:t>
      </w:r>
      <w:r w:rsidR="00135F57" w:rsidRPr="00CF3022">
        <w:rPr>
          <w:sz w:val="20"/>
          <w:szCs w:val="20"/>
        </w:rPr>
        <w:t>ection 1(c)</w:t>
      </w:r>
      <w:r w:rsidR="005F1965">
        <w:rPr>
          <w:sz w:val="20"/>
          <w:szCs w:val="20"/>
        </w:rPr>
        <w:t xml:space="preserve"> of the C</w:t>
      </w:r>
      <w:r w:rsidR="00135F57" w:rsidRPr="00CF3022">
        <w:rPr>
          <w:sz w:val="20"/>
          <w:szCs w:val="20"/>
        </w:rPr>
        <w:t>onstitution.</w:t>
      </w:r>
    </w:p>
    <w:p w14:paraId="163BD987" w14:textId="77777777" w:rsidR="005F1965" w:rsidRDefault="005F1965" w:rsidP="00F473CB">
      <w:pPr>
        <w:spacing w:line="480" w:lineRule="auto"/>
        <w:ind w:left="360" w:hanging="360"/>
        <w:jc w:val="both"/>
        <w:rPr>
          <w:sz w:val="20"/>
          <w:szCs w:val="20"/>
        </w:rPr>
      </w:pPr>
    </w:p>
    <w:p w14:paraId="00000032" w14:textId="12FDF974" w:rsidR="0077354F" w:rsidRDefault="005F1965" w:rsidP="00996DE1">
      <w:pPr>
        <w:spacing w:line="480" w:lineRule="auto"/>
        <w:ind w:left="720" w:hanging="360"/>
        <w:jc w:val="both"/>
        <w:rPr>
          <w:sz w:val="20"/>
          <w:szCs w:val="20"/>
        </w:rPr>
      </w:pPr>
      <w:r w:rsidRPr="005F1965">
        <w:rPr>
          <w:sz w:val="20"/>
          <w:szCs w:val="20"/>
        </w:rPr>
        <w:t>2.</w:t>
      </w:r>
      <w:r>
        <w:rPr>
          <w:sz w:val="20"/>
          <w:szCs w:val="20"/>
        </w:rPr>
        <w:tab/>
      </w:r>
      <w:r w:rsidR="00135F57" w:rsidRPr="00CF3022">
        <w:rPr>
          <w:sz w:val="20"/>
          <w:szCs w:val="20"/>
        </w:rPr>
        <w:t xml:space="preserve">That the </w:t>
      </w:r>
      <w:r>
        <w:rPr>
          <w:sz w:val="20"/>
          <w:szCs w:val="20"/>
        </w:rPr>
        <w:t xml:space="preserve">Honourable Court grant such further </w:t>
      </w:r>
      <w:r w:rsidR="00135F57" w:rsidRPr="00CF3022">
        <w:rPr>
          <w:sz w:val="20"/>
          <w:szCs w:val="20"/>
        </w:rPr>
        <w:t>and</w:t>
      </w:r>
      <w:r>
        <w:rPr>
          <w:sz w:val="20"/>
          <w:szCs w:val="20"/>
        </w:rPr>
        <w:t xml:space="preserve">/or </w:t>
      </w:r>
      <w:r w:rsidR="00135F57" w:rsidRPr="00CF3022">
        <w:rPr>
          <w:sz w:val="20"/>
          <w:szCs w:val="20"/>
        </w:rPr>
        <w:t>alternative relief including declaring the aforesaid decision to be void ab initio and of no legal effect.</w:t>
      </w:r>
    </w:p>
    <w:p w14:paraId="599DDFAF" w14:textId="77777777" w:rsidR="00480BF5" w:rsidRDefault="00480BF5" w:rsidP="005F1965">
      <w:pPr>
        <w:spacing w:line="480" w:lineRule="auto"/>
        <w:ind w:left="360" w:hanging="360"/>
        <w:jc w:val="both"/>
        <w:rPr>
          <w:sz w:val="20"/>
          <w:szCs w:val="20"/>
        </w:rPr>
      </w:pPr>
    </w:p>
    <w:p w14:paraId="00000033" w14:textId="0538B732" w:rsidR="0077354F" w:rsidRPr="00CF3022" w:rsidRDefault="00480BF5" w:rsidP="00996DE1">
      <w:pPr>
        <w:spacing w:line="480" w:lineRule="auto"/>
        <w:ind w:left="720" w:hanging="360"/>
        <w:jc w:val="both"/>
        <w:rPr>
          <w:sz w:val="20"/>
          <w:szCs w:val="20"/>
        </w:rPr>
      </w:pPr>
      <w:r w:rsidRPr="00480BF5">
        <w:rPr>
          <w:sz w:val="20"/>
          <w:szCs w:val="20"/>
        </w:rPr>
        <w:t>3.</w:t>
      </w:r>
      <w:r>
        <w:rPr>
          <w:sz w:val="20"/>
          <w:szCs w:val="20"/>
        </w:rPr>
        <w:tab/>
      </w:r>
      <w:r w:rsidR="00135F57" w:rsidRPr="00CF3022">
        <w:rPr>
          <w:sz w:val="20"/>
          <w:szCs w:val="20"/>
        </w:rPr>
        <w:t xml:space="preserve">That </w:t>
      </w:r>
      <w:r>
        <w:rPr>
          <w:sz w:val="20"/>
          <w:szCs w:val="20"/>
        </w:rPr>
        <w:t xml:space="preserve">any of the Respondent’s </w:t>
      </w:r>
      <w:r w:rsidR="00135F57" w:rsidRPr="00CF3022">
        <w:rPr>
          <w:sz w:val="20"/>
          <w:szCs w:val="20"/>
        </w:rPr>
        <w:t>in the counter</w:t>
      </w:r>
      <w:r w:rsidR="00651447">
        <w:rPr>
          <w:sz w:val="20"/>
          <w:szCs w:val="20"/>
        </w:rPr>
        <w:t>-</w:t>
      </w:r>
      <w:r w:rsidR="00135F57" w:rsidRPr="00CF3022">
        <w:rPr>
          <w:sz w:val="20"/>
          <w:szCs w:val="20"/>
        </w:rPr>
        <w:t xml:space="preserve">application </w:t>
      </w:r>
      <w:r w:rsidR="000738BB">
        <w:rPr>
          <w:sz w:val="20"/>
          <w:szCs w:val="20"/>
        </w:rPr>
        <w:t>[the First and Second Appellant and the 23</w:t>
      </w:r>
      <w:r w:rsidR="000738BB" w:rsidRPr="000738BB">
        <w:rPr>
          <w:sz w:val="20"/>
          <w:szCs w:val="20"/>
          <w:vertAlign w:val="superscript"/>
        </w:rPr>
        <w:t>rd</w:t>
      </w:r>
      <w:r w:rsidR="000738BB">
        <w:rPr>
          <w:sz w:val="20"/>
          <w:szCs w:val="20"/>
        </w:rPr>
        <w:t xml:space="preserve"> to 27</w:t>
      </w:r>
      <w:r w:rsidR="000738BB" w:rsidRPr="000738BB">
        <w:rPr>
          <w:sz w:val="20"/>
          <w:szCs w:val="20"/>
          <w:vertAlign w:val="superscript"/>
        </w:rPr>
        <w:t>th</w:t>
      </w:r>
      <w:r w:rsidR="000738BB">
        <w:rPr>
          <w:sz w:val="20"/>
          <w:szCs w:val="20"/>
        </w:rPr>
        <w:t xml:space="preserve"> Respondent</w:t>
      </w:r>
      <w:r w:rsidR="0027684E">
        <w:rPr>
          <w:sz w:val="20"/>
          <w:szCs w:val="20"/>
        </w:rPr>
        <w:t xml:space="preserve">] </w:t>
      </w:r>
      <w:r w:rsidR="00135F57" w:rsidRPr="00CF3022">
        <w:rPr>
          <w:sz w:val="20"/>
          <w:szCs w:val="20"/>
        </w:rPr>
        <w:t>opposing the grant of the review relief be directed to pay the cost of the application.</w:t>
      </w:r>
      <w:r w:rsidR="00651447">
        <w:rPr>
          <w:sz w:val="20"/>
          <w:szCs w:val="20"/>
        </w:rPr>
        <w:t>”</w:t>
      </w:r>
      <w:r w:rsidR="00853DD6">
        <w:rPr>
          <w:rStyle w:val="FootnoteReference"/>
          <w:sz w:val="20"/>
          <w:szCs w:val="20"/>
        </w:rPr>
        <w:footnoteReference w:id="2"/>
      </w:r>
    </w:p>
    <w:p w14:paraId="00000034" w14:textId="77777777" w:rsidR="0077354F" w:rsidRPr="00073462" w:rsidRDefault="0077354F" w:rsidP="00073462">
      <w:pPr>
        <w:spacing w:line="480" w:lineRule="auto"/>
        <w:jc w:val="both"/>
        <w:rPr>
          <w:sz w:val="24"/>
          <w:szCs w:val="24"/>
        </w:rPr>
      </w:pPr>
    </w:p>
    <w:p w14:paraId="00000035" w14:textId="623C9DAA" w:rsidR="0077354F" w:rsidRPr="00073462" w:rsidRDefault="007E52C7" w:rsidP="00073462">
      <w:pPr>
        <w:spacing w:line="480" w:lineRule="auto"/>
        <w:jc w:val="both"/>
        <w:rPr>
          <w:sz w:val="24"/>
          <w:szCs w:val="24"/>
        </w:rPr>
      </w:pPr>
      <w:r>
        <w:rPr>
          <w:sz w:val="24"/>
          <w:szCs w:val="24"/>
        </w:rPr>
        <w:t>[8]</w:t>
      </w:r>
      <w:r>
        <w:rPr>
          <w:sz w:val="24"/>
          <w:szCs w:val="24"/>
        </w:rPr>
        <w:tab/>
      </w:r>
      <w:r w:rsidR="00135F57" w:rsidRPr="00073462">
        <w:rPr>
          <w:sz w:val="24"/>
          <w:szCs w:val="24"/>
        </w:rPr>
        <w:t>The decision of the</w:t>
      </w:r>
      <w:r w:rsidR="009F5546">
        <w:rPr>
          <w:sz w:val="24"/>
          <w:szCs w:val="24"/>
        </w:rPr>
        <w:t xml:space="preserve"> Appeal Board of Military Veterans, </w:t>
      </w:r>
      <w:r w:rsidR="00135F57" w:rsidRPr="00073462">
        <w:rPr>
          <w:sz w:val="24"/>
          <w:szCs w:val="24"/>
        </w:rPr>
        <w:t>mentioned above, made the following order on 4 October 2021:</w:t>
      </w:r>
    </w:p>
    <w:p w14:paraId="00000036" w14:textId="77777777" w:rsidR="0077354F" w:rsidRDefault="0077354F" w:rsidP="00073462">
      <w:pPr>
        <w:spacing w:line="480" w:lineRule="auto"/>
        <w:jc w:val="both"/>
        <w:rPr>
          <w:sz w:val="20"/>
          <w:szCs w:val="20"/>
        </w:rPr>
      </w:pPr>
    </w:p>
    <w:p w14:paraId="7B63E884" w14:textId="3D778F9D" w:rsidR="00D43927" w:rsidRDefault="001869DF" w:rsidP="00996DE1">
      <w:pPr>
        <w:spacing w:line="480" w:lineRule="auto"/>
        <w:ind w:left="720" w:hanging="360"/>
        <w:jc w:val="both"/>
        <w:rPr>
          <w:sz w:val="20"/>
          <w:szCs w:val="20"/>
        </w:rPr>
      </w:pPr>
      <w:r>
        <w:rPr>
          <w:sz w:val="20"/>
          <w:szCs w:val="20"/>
        </w:rPr>
        <w:t>“1.</w:t>
      </w:r>
      <w:r>
        <w:rPr>
          <w:sz w:val="20"/>
          <w:szCs w:val="20"/>
        </w:rPr>
        <w:tab/>
      </w:r>
      <w:r w:rsidR="00135F57" w:rsidRPr="009F5546">
        <w:rPr>
          <w:sz w:val="20"/>
          <w:szCs w:val="20"/>
        </w:rPr>
        <w:t xml:space="preserve">That </w:t>
      </w:r>
      <w:r>
        <w:rPr>
          <w:sz w:val="20"/>
          <w:szCs w:val="20"/>
        </w:rPr>
        <w:t xml:space="preserve">the </w:t>
      </w:r>
      <w:r w:rsidR="00135F57" w:rsidRPr="009F5546">
        <w:rPr>
          <w:sz w:val="20"/>
          <w:szCs w:val="20"/>
        </w:rPr>
        <w:t xml:space="preserve">decision made by the </w:t>
      </w:r>
      <w:r w:rsidR="00D43927">
        <w:rPr>
          <w:sz w:val="20"/>
          <w:szCs w:val="20"/>
        </w:rPr>
        <w:t>Respondent</w:t>
      </w:r>
      <w:r w:rsidR="00A52C47">
        <w:rPr>
          <w:sz w:val="20"/>
          <w:szCs w:val="20"/>
        </w:rPr>
        <w:t xml:space="preserve"> [the Second Appellant]</w:t>
      </w:r>
      <w:r w:rsidR="00D43927">
        <w:rPr>
          <w:sz w:val="20"/>
          <w:szCs w:val="20"/>
        </w:rPr>
        <w:t xml:space="preserve"> on the 2</w:t>
      </w:r>
      <w:r w:rsidR="00D43927" w:rsidRPr="00D43927">
        <w:rPr>
          <w:sz w:val="20"/>
          <w:szCs w:val="20"/>
          <w:vertAlign w:val="superscript"/>
        </w:rPr>
        <w:t>nd</w:t>
      </w:r>
      <w:r w:rsidR="00D43927">
        <w:rPr>
          <w:sz w:val="20"/>
          <w:szCs w:val="20"/>
        </w:rPr>
        <w:t xml:space="preserve"> of September 2021, as set out in the attached letter, is herewith set aside.</w:t>
      </w:r>
    </w:p>
    <w:p w14:paraId="318AF29A" w14:textId="77777777" w:rsidR="00996DE1" w:rsidRDefault="00996DE1" w:rsidP="00996DE1">
      <w:pPr>
        <w:spacing w:line="480" w:lineRule="auto"/>
        <w:ind w:left="720" w:hanging="360"/>
        <w:jc w:val="both"/>
        <w:rPr>
          <w:sz w:val="20"/>
          <w:szCs w:val="20"/>
        </w:rPr>
      </w:pPr>
    </w:p>
    <w:p w14:paraId="00000038" w14:textId="78F65D85" w:rsidR="0077354F" w:rsidRDefault="00996DE1" w:rsidP="00996DE1">
      <w:pPr>
        <w:spacing w:line="480" w:lineRule="auto"/>
        <w:ind w:left="720" w:hanging="360"/>
        <w:jc w:val="both"/>
        <w:rPr>
          <w:sz w:val="20"/>
          <w:szCs w:val="20"/>
        </w:rPr>
      </w:pPr>
      <w:r>
        <w:rPr>
          <w:sz w:val="20"/>
          <w:szCs w:val="20"/>
        </w:rPr>
        <w:lastRenderedPageBreak/>
        <w:t>2.</w:t>
      </w:r>
      <w:r>
        <w:rPr>
          <w:sz w:val="20"/>
          <w:szCs w:val="20"/>
        </w:rPr>
        <w:tab/>
      </w:r>
      <w:r w:rsidR="004B6CC8">
        <w:rPr>
          <w:sz w:val="20"/>
          <w:szCs w:val="20"/>
        </w:rPr>
        <w:t xml:space="preserve">The Respondent is ordered </w:t>
      </w:r>
      <w:r w:rsidR="00135F57" w:rsidRPr="009F5546">
        <w:rPr>
          <w:sz w:val="20"/>
          <w:szCs w:val="20"/>
        </w:rPr>
        <w:t xml:space="preserve">to timeously pay the necessary expenses for the housing of the </w:t>
      </w:r>
      <w:r w:rsidR="004B6CC8">
        <w:rPr>
          <w:sz w:val="20"/>
          <w:szCs w:val="20"/>
        </w:rPr>
        <w:t>A</w:t>
      </w:r>
      <w:r w:rsidR="00135F57" w:rsidRPr="009F5546">
        <w:rPr>
          <w:sz w:val="20"/>
          <w:szCs w:val="20"/>
        </w:rPr>
        <w:t xml:space="preserve">ppellants where they are currently staying and to, within </w:t>
      </w:r>
      <w:r w:rsidR="004B6CC8">
        <w:rPr>
          <w:sz w:val="20"/>
          <w:szCs w:val="20"/>
        </w:rPr>
        <w:t xml:space="preserve">7 </w:t>
      </w:r>
      <w:r w:rsidR="00135F57" w:rsidRPr="009F5546">
        <w:rPr>
          <w:sz w:val="20"/>
          <w:szCs w:val="20"/>
        </w:rPr>
        <w:t xml:space="preserve">days after the end of each month, confirm with the </w:t>
      </w:r>
      <w:r w:rsidR="00841820">
        <w:rPr>
          <w:sz w:val="20"/>
          <w:szCs w:val="20"/>
        </w:rPr>
        <w:t xml:space="preserve">Appellants that </w:t>
      </w:r>
      <w:r w:rsidR="00135F57" w:rsidRPr="009F5546">
        <w:rPr>
          <w:sz w:val="20"/>
          <w:szCs w:val="20"/>
        </w:rPr>
        <w:t>payment for the specific month was indeed, made.</w:t>
      </w:r>
    </w:p>
    <w:p w14:paraId="19F60A4F" w14:textId="77777777" w:rsidR="00841820" w:rsidRDefault="00841820" w:rsidP="00996DE1">
      <w:pPr>
        <w:spacing w:line="480" w:lineRule="auto"/>
        <w:ind w:left="720" w:hanging="360"/>
        <w:jc w:val="both"/>
        <w:rPr>
          <w:sz w:val="20"/>
          <w:szCs w:val="20"/>
        </w:rPr>
      </w:pPr>
    </w:p>
    <w:p w14:paraId="17743D0C" w14:textId="3377B86B" w:rsidR="008D0138" w:rsidRDefault="00841820" w:rsidP="00841820">
      <w:pPr>
        <w:spacing w:line="480" w:lineRule="auto"/>
        <w:ind w:left="720" w:hanging="360"/>
        <w:jc w:val="both"/>
        <w:rPr>
          <w:sz w:val="20"/>
          <w:szCs w:val="20"/>
        </w:rPr>
      </w:pPr>
      <w:r>
        <w:rPr>
          <w:sz w:val="20"/>
          <w:szCs w:val="20"/>
        </w:rPr>
        <w:t>3.</w:t>
      </w:r>
      <w:r>
        <w:rPr>
          <w:sz w:val="20"/>
          <w:szCs w:val="20"/>
        </w:rPr>
        <w:tab/>
      </w:r>
      <w:r w:rsidR="00135F57" w:rsidRPr="009F5546">
        <w:rPr>
          <w:sz w:val="20"/>
          <w:szCs w:val="20"/>
        </w:rPr>
        <w:t xml:space="preserve">The </w:t>
      </w:r>
      <w:r w:rsidR="00675952">
        <w:rPr>
          <w:sz w:val="20"/>
          <w:szCs w:val="20"/>
        </w:rPr>
        <w:t>R</w:t>
      </w:r>
      <w:r w:rsidR="00135F57" w:rsidRPr="009F5546">
        <w:rPr>
          <w:sz w:val="20"/>
          <w:szCs w:val="20"/>
        </w:rPr>
        <w:t>espondent is ordered</w:t>
      </w:r>
      <w:r>
        <w:rPr>
          <w:sz w:val="20"/>
          <w:szCs w:val="20"/>
        </w:rPr>
        <w:t xml:space="preserve"> to</w:t>
      </w:r>
      <w:r w:rsidR="00135F57" w:rsidRPr="009F5546">
        <w:rPr>
          <w:sz w:val="20"/>
          <w:szCs w:val="20"/>
        </w:rPr>
        <w:t>, within 30 days to provide</w:t>
      </w:r>
      <w:r w:rsidR="008D0138">
        <w:rPr>
          <w:sz w:val="20"/>
          <w:szCs w:val="20"/>
        </w:rPr>
        <w:t xml:space="preserve"> the D</w:t>
      </w:r>
      <w:r w:rsidR="00135F57" w:rsidRPr="009F5546">
        <w:rPr>
          <w:sz w:val="20"/>
          <w:szCs w:val="20"/>
        </w:rPr>
        <w:t xml:space="preserve">epartment of </w:t>
      </w:r>
      <w:r w:rsidR="008D0138">
        <w:rPr>
          <w:sz w:val="20"/>
          <w:szCs w:val="20"/>
        </w:rPr>
        <w:t>P</w:t>
      </w:r>
      <w:r w:rsidR="00135F57" w:rsidRPr="009F5546">
        <w:rPr>
          <w:sz w:val="20"/>
          <w:szCs w:val="20"/>
        </w:rPr>
        <w:t xml:space="preserve">ublic </w:t>
      </w:r>
      <w:r w:rsidR="008D0138">
        <w:rPr>
          <w:sz w:val="20"/>
          <w:szCs w:val="20"/>
        </w:rPr>
        <w:t>W</w:t>
      </w:r>
      <w:r w:rsidR="00135F57" w:rsidRPr="009F5546">
        <w:rPr>
          <w:sz w:val="20"/>
          <w:szCs w:val="20"/>
        </w:rPr>
        <w:t xml:space="preserve">orks with the information required in </w:t>
      </w:r>
      <w:r w:rsidR="008D0138">
        <w:rPr>
          <w:sz w:val="20"/>
          <w:szCs w:val="20"/>
        </w:rPr>
        <w:t>their</w:t>
      </w:r>
      <w:r w:rsidR="00135F57" w:rsidRPr="009F5546">
        <w:rPr>
          <w:sz w:val="20"/>
          <w:szCs w:val="20"/>
        </w:rPr>
        <w:t xml:space="preserve"> letter of 24 June 2021, which information is as follows:  </w:t>
      </w:r>
    </w:p>
    <w:p w14:paraId="56BFD295" w14:textId="77777777" w:rsidR="008D0138" w:rsidRDefault="008D0138" w:rsidP="00841820">
      <w:pPr>
        <w:spacing w:line="480" w:lineRule="auto"/>
        <w:ind w:left="720" w:hanging="360"/>
        <w:jc w:val="both"/>
        <w:rPr>
          <w:sz w:val="20"/>
          <w:szCs w:val="20"/>
        </w:rPr>
      </w:pPr>
    </w:p>
    <w:p w14:paraId="602E6A35" w14:textId="77777777" w:rsidR="00910D18" w:rsidRDefault="00135F57" w:rsidP="00910D18">
      <w:pPr>
        <w:spacing w:line="480" w:lineRule="auto"/>
        <w:ind w:left="1134" w:hanging="414"/>
        <w:jc w:val="both"/>
        <w:rPr>
          <w:sz w:val="20"/>
          <w:szCs w:val="20"/>
        </w:rPr>
      </w:pPr>
      <w:r w:rsidRPr="009F5546">
        <w:rPr>
          <w:sz w:val="20"/>
          <w:szCs w:val="20"/>
        </w:rPr>
        <w:t xml:space="preserve">3.1 </w:t>
      </w:r>
      <w:r w:rsidR="00910D18">
        <w:rPr>
          <w:sz w:val="20"/>
          <w:szCs w:val="20"/>
        </w:rPr>
        <w:t>A</w:t>
      </w:r>
      <w:r w:rsidRPr="009F5546">
        <w:rPr>
          <w:sz w:val="20"/>
          <w:szCs w:val="20"/>
        </w:rPr>
        <w:t>ccommodation specification of</w:t>
      </w:r>
      <w:r w:rsidR="006E5D7B" w:rsidRPr="009F5546">
        <w:rPr>
          <w:sz w:val="20"/>
          <w:szCs w:val="20"/>
        </w:rPr>
        <w:t xml:space="preserve"> </w:t>
      </w:r>
      <w:r w:rsidRPr="009F5546">
        <w:rPr>
          <w:sz w:val="20"/>
          <w:szCs w:val="20"/>
        </w:rPr>
        <w:t xml:space="preserve">DMV (specifically for LSWV) with the exact number of residential properties required. </w:t>
      </w:r>
    </w:p>
    <w:p w14:paraId="34B8809F" w14:textId="2026D880" w:rsidR="00291565" w:rsidRDefault="00135F57" w:rsidP="00291565">
      <w:pPr>
        <w:spacing w:line="480" w:lineRule="auto"/>
        <w:ind w:left="1134" w:hanging="414"/>
        <w:jc w:val="both"/>
        <w:rPr>
          <w:sz w:val="20"/>
          <w:szCs w:val="20"/>
        </w:rPr>
      </w:pPr>
      <w:r w:rsidRPr="009F5546">
        <w:rPr>
          <w:sz w:val="20"/>
          <w:szCs w:val="20"/>
        </w:rPr>
        <w:t xml:space="preserve">3.2 </w:t>
      </w:r>
      <w:r w:rsidR="00291565">
        <w:rPr>
          <w:sz w:val="20"/>
          <w:szCs w:val="20"/>
        </w:rPr>
        <w:tab/>
        <w:t>Draft M</w:t>
      </w:r>
      <w:r w:rsidRPr="009F5546">
        <w:rPr>
          <w:sz w:val="20"/>
          <w:szCs w:val="20"/>
        </w:rPr>
        <w:t xml:space="preserve">emorandum of </w:t>
      </w:r>
      <w:r w:rsidR="00291565">
        <w:rPr>
          <w:sz w:val="20"/>
          <w:szCs w:val="20"/>
        </w:rPr>
        <w:t>U</w:t>
      </w:r>
      <w:r w:rsidRPr="009F5546">
        <w:rPr>
          <w:sz w:val="20"/>
          <w:szCs w:val="20"/>
        </w:rPr>
        <w:t xml:space="preserve">nderstanding. </w:t>
      </w:r>
    </w:p>
    <w:p w14:paraId="6808C160" w14:textId="0CC2CF11" w:rsidR="00291565" w:rsidRDefault="00135F57" w:rsidP="00291565">
      <w:pPr>
        <w:spacing w:line="480" w:lineRule="auto"/>
        <w:ind w:left="1134" w:hanging="425"/>
        <w:jc w:val="both"/>
        <w:rPr>
          <w:sz w:val="20"/>
          <w:szCs w:val="20"/>
        </w:rPr>
      </w:pPr>
      <w:r w:rsidRPr="009F5546">
        <w:rPr>
          <w:sz w:val="20"/>
          <w:szCs w:val="20"/>
        </w:rPr>
        <w:t>3.3</w:t>
      </w:r>
      <w:r w:rsidR="00291565">
        <w:rPr>
          <w:sz w:val="20"/>
          <w:szCs w:val="20"/>
        </w:rPr>
        <w:tab/>
        <w:t>M</w:t>
      </w:r>
      <w:r w:rsidRPr="009F5546">
        <w:rPr>
          <w:sz w:val="20"/>
          <w:szCs w:val="20"/>
        </w:rPr>
        <w:t xml:space="preserve">inutes of the meeting dated 17 March 2021. </w:t>
      </w:r>
    </w:p>
    <w:p w14:paraId="615C23EE" w14:textId="77777777" w:rsidR="006646A5" w:rsidRDefault="00135F57" w:rsidP="00291565">
      <w:pPr>
        <w:spacing w:line="480" w:lineRule="auto"/>
        <w:ind w:left="1134" w:hanging="414"/>
        <w:jc w:val="both"/>
        <w:rPr>
          <w:sz w:val="20"/>
          <w:szCs w:val="20"/>
        </w:rPr>
      </w:pPr>
      <w:r w:rsidRPr="009F5546">
        <w:rPr>
          <w:sz w:val="20"/>
          <w:szCs w:val="20"/>
        </w:rPr>
        <w:t xml:space="preserve">3.4 </w:t>
      </w:r>
      <w:r w:rsidR="00291565">
        <w:rPr>
          <w:sz w:val="20"/>
          <w:szCs w:val="20"/>
        </w:rPr>
        <w:tab/>
        <w:t>C</w:t>
      </w:r>
      <w:r w:rsidRPr="009F5546">
        <w:rPr>
          <w:sz w:val="20"/>
          <w:szCs w:val="20"/>
        </w:rPr>
        <w:t xml:space="preserve">onfirmation of funds on user charges or conveyancing fees: and </w:t>
      </w:r>
    </w:p>
    <w:p w14:paraId="00000039" w14:textId="4EF2967A" w:rsidR="0077354F" w:rsidRDefault="00135F57" w:rsidP="006646A5">
      <w:pPr>
        <w:spacing w:line="480" w:lineRule="auto"/>
        <w:ind w:left="1134" w:hanging="414"/>
        <w:jc w:val="both"/>
        <w:rPr>
          <w:sz w:val="20"/>
          <w:szCs w:val="20"/>
        </w:rPr>
      </w:pPr>
      <w:r w:rsidRPr="009F5546">
        <w:rPr>
          <w:sz w:val="20"/>
          <w:szCs w:val="20"/>
        </w:rPr>
        <w:t xml:space="preserve">3.5 </w:t>
      </w:r>
      <w:r w:rsidR="006646A5">
        <w:rPr>
          <w:sz w:val="20"/>
          <w:szCs w:val="20"/>
        </w:rPr>
        <w:tab/>
        <w:t>R</w:t>
      </w:r>
      <w:r w:rsidRPr="009F5546">
        <w:rPr>
          <w:sz w:val="20"/>
          <w:szCs w:val="20"/>
        </w:rPr>
        <w:t>eport on the properties</w:t>
      </w:r>
      <w:r w:rsidR="006646A5">
        <w:rPr>
          <w:sz w:val="20"/>
          <w:szCs w:val="20"/>
        </w:rPr>
        <w:t xml:space="preserve"> </w:t>
      </w:r>
      <w:r w:rsidRPr="009F5546">
        <w:rPr>
          <w:sz w:val="20"/>
          <w:szCs w:val="20"/>
        </w:rPr>
        <w:t>which were previously</w:t>
      </w:r>
      <w:r w:rsidR="006646A5">
        <w:rPr>
          <w:sz w:val="20"/>
          <w:szCs w:val="20"/>
        </w:rPr>
        <w:t xml:space="preserve"> visited by the DMV and DPWI and </w:t>
      </w:r>
      <w:r w:rsidRPr="009F5546">
        <w:rPr>
          <w:sz w:val="20"/>
          <w:szCs w:val="20"/>
        </w:rPr>
        <w:t xml:space="preserve">Johannesburg regional office. </w:t>
      </w:r>
    </w:p>
    <w:p w14:paraId="6C05EEBF" w14:textId="77777777" w:rsidR="00A214D1" w:rsidRDefault="00A214D1" w:rsidP="00A214D1">
      <w:pPr>
        <w:spacing w:line="480" w:lineRule="auto"/>
        <w:jc w:val="both"/>
        <w:rPr>
          <w:sz w:val="20"/>
          <w:szCs w:val="20"/>
        </w:rPr>
      </w:pPr>
    </w:p>
    <w:p w14:paraId="0000003A" w14:textId="598EAE5C" w:rsidR="0077354F" w:rsidRPr="009F5546" w:rsidRDefault="00A214D1" w:rsidP="008A58D6">
      <w:pPr>
        <w:spacing w:line="480" w:lineRule="auto"/>
        <w:ind w:left="720" w:hanging="360"/>
        <w:jc w:val="both"/>
        <w:rPr>
          <w:sz w:val="20"/>
          <w:szCs w:val="20"/>
        </w:rPr>
      </w:pPr>
      <w:r>
        <w:rPr>
          <w:sz w:val="20"/>
          <w:szCs w:val="20"/>
        </w:rPr>
        <w:t>4.</w:t>
      </w:r>
      <w:r>
        <w:rPr>
          <w:sz w:val="20"/>
          <w:szCs w:val="20"/>
        </w:rPr>
        <w:tab/>
      </w:r>
      <w:r w:rsidR="00135F57" w:rsidRPr="009F5546">
        <w:rPr>
          <w:sz w:val="20"/>
          <w:szCs w:val="20"/>
        </w:rPr>
        <w:t xml:space="preserve">The </w:t>
      </w:r>
      <w:r>
        <w:rPr>
          <w:sz w:val="20"/>
          <w:szCs w:val="20"/>
        </w:rPr>
        <w:t>R</w:t>
      </w:r>
      <w:r w:rsidR="00135F57" w:rsidRPr="009F5546">
        <w:rPr>
          <w:sz w:val="20"/>
          <w:szCs w:val="20"/>
        </w:rPr>
        <w:t>espondent</w:t>
      </w:r>
      <w:r>
        <w:rPr>
          <w:sz w:val="20"/>
          <w:szCs w:val="20"/>
        </w:rPr>
        <w:t xml:space="preserve"> is ordered </w:t>
      </w:r>
      <w:r w:rsidR="00135F57" w:rsidRPr="009F5546">
        <w:rPr>
          <w:sz w:val="20"/>
          <w:szCs w:val="20"/>
        </w:rPr>
        <w:t xml:space="preserve">to reinstate the Appellant’s </w:t>
      </w:r>
      <w:r w:rsidR="00620483">
        <w:rPr>
          <w:sz w:val="20"/>
          <w:szCs w:val="20"/>
        </w:rPr>
        <w:t>[the Liberation Struggle War Veterans]</w:t>
      </w:r>
      <w:r w:rsidR="00514FB0">
        <w:rPr>
          <w:sz w:val="20"/>
          <w:szCs w:val="20"/>
        </w:rPr>
        <w:t xml:space="preserve"> </w:t>
      </w:r>
      <w:r w:rsidR="00135F57" w:rsidRPr="009F5546">
        <w:rPr>
          <w:sz w:val="20"/>
          <w:szCs w:val="20"/>
        </w:rPr>
        <w:t xml:space="preserve">benefit even at an alternative housing project as agreed between the parties by 28 February 2022. </w:t>
      </w:r>
      <w:r w:rsidR="008A58D6">
        <w:rPr>
          <w:sz w:val="20"/>
          <w:szCs w:val="20"/>
        </w:rPr>
        <w:t xml:space="preserve"> </w:t>
      </w:r>
      <w:r w:rsidR="00135F57" w:rsidRPr="009F5546">
        <w:rPr>
          <w:sz w:val="20"/>
          <w:szCs w:val="20"/>
        </w:rPr>
        <w:t xml:space="preserve">The Appellants cannot unreasonably refuse to accept an alternative housing benefit from the </w:t>
      </w:r>
      <w:r w:rsidR="00A84B7E">
        <w:rPr>
          <w:sz w:val="20"/>
          <w:szCs w:val="20"/>
        </w:rPr>
        <w:t>R</w:t>
      </w:r>
      <w:r w:rsidR="00135F57" w:rsidRPr="009F5546">
        <w:rPr>
          <w:sz w:val="20"/>
          <w:szCs w:val="20"/>
        </w:rPr>
        <w:t>espondent</w:t>
      </w:r>
      <w:r w:rsidR="00A84B7E">
        <w:rPr>
          <w:sz w:val="20"/>
          <w:szCs w:val="20"/>
        </w:rPr>
        <w:t xml:space="preserve"> once the Respondent provides same.</w:t>
      </w:r>
      <w:r w:rsidR="009E2026">
        <w:rPr>
          <w:rStyle w:val="FootnoteReference"/>
          <w:sz w:val="20"/>
          <w:szCs w:val="20"/>
        </w:rPr>
        <w:footnoteReference w:id="3"/>
      </w:r>
      <w:r w:rsidR="00135F57" w:rsidRPr="009F5546">
        <w:rPr>
          <w:sz w:val="20"/>
          <w:szCs w:val="20"/>
        </w:rPr>
        <w:t xml:space="preserve"> </w:t>
      </w:r>
    </w:p>
    <w:p w14:paraId="0000003B" w14:textId="77777777" w:rsidR="0077354F" w:rsidRPr="00073462" w:rsidRDefault="0077354F" w:rsidP="00073462">
      <w:pPr>
        <w:spacing w:line="480" w:lineRule="auto"/>
        <w:jc w:val="both"/>
        <w:rPr>
          <w:sz w:val="24"/>
          <w:szCs w:val="24"/>
        </w:rPr>
      </w:pPr>
    </w:p>
    <w:p w14:paraId="404A6937" w14:textId="4F7352B0" w:rsidR="0084427C" w:rsidRDefault="008F655E" w:rsidP="0084427C">
      <w:pPr>
        <w:spacing w:line="480" w:lineRule="auto"/>
        <w:jc w:val="both"/>
        <w:rPr>
          <w:sz w:val="24"/>
          <w:szCs w:val="24"/>
        </w:rPr>
      </w:pPr>
      <w:r>
        <w:rPr>
          <w:sz w:val="24"/>
          <w:szCs w:val="24"/>
        </w:rPr>
        <w:t>[9]</w:t>
      </w:r>
      <w:r>
        <w:rPr>
          <w:sz w:val="24"/>
          <w:szCs w:val="24"/>
        </w:rPr>
        <w:tab/>
      </w:r>
      <w:r w:rsidR="00BD0A74">
        <w:rPr>
          <w:sz w:val="24"/>
          <w:szCs w:val="24"/>
        </w:rPr>
        <w:t>The</w:t>
      </w:r>
      <w:r w:rsidR="007A3204">
        <w:rPr>
          <w:sz w:val="24"/>
          <w:szCs w:val="24"/>
        </w:rPr>
        <w:t xml:space="preserve"> urgent application</w:t>
      </w:r>
      <w:r w:rsidR="00227A81">
        <w:rPr>
          <w:sz w:val="24"/>
          <w:szCs w:val="24"/>
        </w:rPr>
        <w:t xml:space="preserve">, which forms the subject of this judgment, </w:t>
      </w:r>
      <w:r w:rsidR="007A3204">
        <w:rPr>
          <w:sz w:val="24"/>
          <w:szCs w:val="24"/>
        </w:rPr>
        <w:t xml:space="preserve">was heard on the </w:t>
      </w:r>
      <w:r w:rsidR="00135F57" w:rsidRPr="00073462">
        <w:rPr>
          <w:sz w:val="24"/>
          <w:szCs w:val="24"/>
        </w:rPr>
        <w:t>1</w:t>
      </w:r>
      <w:r w:rsidR="007A3204" w:rsidRPr="007A3204">
        <w:rPr>
          <w:sz w:val="24"/>
          <w:szCs w:val="24"/>
          <w:vertAlign w:val="superscript"/>
        </w:rPr>
        <w:t>st</w:t>
      </w:r>
      <w:r w:rsidR="007A3204">
        <w:rPr>
          <w:sz w:val="24"/>
          <w:szCs w:val="24"/>
        </w:rPr>
        <w:t xml:space="preserve"> of</w:t>
      </w:r>
      <w:r w:rsidR="00135F57" w:rsidRPr="00073462">
        <w:rPr>
          <w:sz w:val="24"/>
          <w:szCs w:val="24"/>
        </w:rPr>
        <w:t xml:space="preserve"> December 2021 </w:t>
      </w:r>
      <w:r w:rsidR="0084427C">
        <w:rPr>
          <w:sz w:val="24"/>
          <w:szCs w:val="24"/>
        </w:rPr>
        <w:t>by the Honourable Acting Justice L</w:t>
      </w:r>
      <w:r w:rsidR="00135F57" w:rsidRPr="00073462">
        <w:rPr>
          <w:sz w:val="24"/>
          <w:szCs w:val="24"/>
        </w:rPr>
        <w:t>enyai</w:t>
      </w:r>
      <w:r w:rsidR="0084427C">
        <w:rPr>
          <w:sz w:val="24"/>
          <w:szCs w:val="24"/>
        </w:rPr>
        <w:t>, who made the following order:</w:t>
      </w:r>
    </w:p>
    <w:p w14:paraId="6667FD62" w14:textId="77777777" w:rsidR="0084427C" w:rsidRDefault="0084427C" w:rsidP="0084427C">
      <w:pPr>
        <w:spacing w:line="480" w:lineRule="auto"/>
        <w:jc w:val="both"/>
        <w:rPr>
          <w:sz w:val="24"/>
          <w:szCs w:val="24"/>
        </w:rPr>
      </w:pPr>
    </w:p>
    <w:p w14:paraId="0000003E" w14:textId="4977F69E" w:rsidR="0077354F" w:rsidRDefault="0084427C" w:rsidP="00F73B26">
      <w:pPr>
        <w:spacing w:line="480" w:lineRule="auto"/>
        <w:ind w:left="709" w:hanging="349"/>
        <w:jc w:val="both"/>
        <w:rPr>
          <w:sz w:val="20"/>
          <w:szCs w:val="20"/>
        </w:rPr>
      </w:pPr>
      <w:r>
        <w:rPr>
          <w:sz w:val="20"/>
          <w:szCs w:val="20"/>
        </w:rPr>
        <w:lastRenderedPageBreak/>
        <w:t>“</w:t>
      </w:r>
      <w:r w:rsidR="00617333">
        <w:rPr>
          <w:sz w:val="20"/>
          <w:szCs w:val="20"/>
        </w:rPr>
        <w:t>1.</w:t>
      </w:r>
      <w:r w:rsidR="00364FCF">
        <w:rPr>
          <w:sz w:val="20"/>
          <w:szCs w:val="20"/>
        </w:rPr>
        <w:t xml:space="preserve">  The first respondent </w:t>
      </w:r>
      <w:r w:rsidR="00E82A08">
        <w:rPr>
          <w:sz w:val="20"/>
          <w:szCs w:val="20"/>
        </w:rPr>
        <w:t xml:space="preserve">[the First Appellant] </w:t>
      </w:r>
      <w:r w:rsidR="00364FCF">
        <w:rPr>
          <w:sz w:val="20"/>
          <w:szCs w:val="20"/>
        </w:rPr>
        <w:t>is ordered to comply with the final decision of the</w:t>
      </w:r>
      <w:r w:rsidR="003932DF">
        <w:rPr>
          <w:sz w:val="20"/>
          <w:szCs w:val="20"/>
        </w:rPr>
        <w:t xml:space="preserve"> Military Veterans Appeal Board in the matter between the Liberation Struggle War V</w:t>
      </w:r>
      <w:r w:rsidR="00135F57" w:rsidRPr="00617333">
        <w:rPr>
          <w:sz w:val="20"/>
          <w:szCs w:val="20"/>
        </w:rPr>
        <w:t>eterans</w:t>
      </w:r>
      <w:r w:rsidR="00D912C5">
        <w:rPr>
          <w:sz w:val="20"/>
          <w:szCs w:val="20"/>
        </w:rPr>
        <w:t xml:space="preserve"> v Department </w:t>
      </w:r>
      <w:r w:rsidR="00135F57" w:rsidRPr="00617333">
        <w:rPr>
          <w:sz w:val="20"/>
          <w:szCs w:val="20"/>
        </w:rPr>
        <w:t xml:space="preserve">of </w:t>
      </w:r>
      <w:r w:rsidR="00D912C5">
        <w:rPr>
          <w:sz w:val="20"/>
          <w:szCs w:val="20"/>
        </w:rPr>
        <w:t>M</w:t>
      </w:r>
      <w:r w:rsidR="00135F57" w:rsidRPr="00617333">
        <w:rPr>
          <w:sz w:val="20"/>
          <w:szCs w:val="20"/>
        </w:rPr>
        <w:t xml:space="preserve">ilitary </w:t>
      </w:r>
      <w:r w:rsidR="003B333C">
        <w:rPr>
          <w:sz w:val="20"/>
          <w:szCs w:val="20"/>
        </w:rPr>
        <w:t>V</w:t>
      </w:r>
      <w:r w:rsidR="00135F57" w:rsidRPr="00617333">
        <w:rPr>
          <w:sz w:val="20"/>
          <w:szCs w:val="20"/>
        </w:rPr>
        <w:t xml:space="preserve">eterans dated </w:t>
      </w:r>
      <w:r w:rsidR="003B333C">
        <w:rPr>
          <w:sz w:val="20"/>
          <w:szCs w:val="20"/>
        </w:rPr>
        <w:t>4</w:t>
      </w:r>
      <w:r w:rsidR="00135F57" w:rsidRPr="00617333">
        <w:rPr>
          <w:sz w:val="20"/>
          <w:szCs w:val="20"/>
        </w:rPr>
        <w:t xml:space="preserve"> October 2021</w:t>
      </w:r>
      <w:r w:rsidR="003B333C">
        <w:rPr>
          <w:sz w:val="20"/>
          <w:szCs w:val="20"/>
        </w:rPr>
        <w:t>, a copy of which is attached as “M”</w:t>
      </w:r>
      <w:r w:rsidR="00135F57" w:rsidRPr="00617333">
        <w:rPr>
          <w:sz w:val="20"/>
          <w:szCs w:val="20"/>
        </w:rPr>
        <w:t>.</w:t>
      </w:r>
    </w:p>
    <w:p w14:paraId="33FDB577" w14:textId="77777777" w:rsidR="003B333C" w:rsidRDefault="003B333C" w:rsidP="00F73B26">
      <w:pPr>
        <w:spacing w:line="480" w:lineRule="auto"/>
        <w:ind w:left="709" w:hanging="349"/>
        <w:jc w:val="both"/>
        <w:rPr>
          <w:sz w:val="20"/>
          <w:szCs w:val="20"/>
        </w:rPr>
      </w:pPr>
    </w:p>
    <w:p w14:paraId="0000003F" w14:textId="5B880281" w:rsidR="0077354F" w:rsidRDefault="003B333C" w:rsidP="005E190B">
      <w:pPr>
        <w:spacing w:line="480" w:lineRule="auto"/>
        <w:ind w:left="709" w:hanging="349"/>
        <w:jc w:val="both"/>
        <w:rPr>
          <w:sz w:val="20"/>
          <w:szCs w:val="20"/>
        </w:rPr>
      </w:pPr>
      <w:r>
        <w:rPr>
          <w:sz w:val="20"/>
          <w:szCs w:val="20"/>
        </w:rPr>
        <w:t>2.</w:t>
      </w:r>
      <w:r>
        <w:rPr>
          <w:sz w:val="20"/>
          <w:szCs w:val="20"/>
        </w:rPr>
        <w:tab/>
        <w:t>The</w:t>
      </w:r>
      <w:r w:rsidR="005E190B">
        <w:rPr>
          <w:sz w:val="20"/>
          <w:szCs w:val="20"/>
        </w:rPr>
        <w:t xml:space="preserve"> applicants </w:t>
      </w:r>
      <w:r w:rsidR="007F0E34">
        <w:rPr>
          <w:sz w:val="20"/>
          <w:szCs w:val="20"/>
        </w:rPr>
        <w:t>[the 1</w:t>
      </w:r>
      <w:r w:rsidR="007F0E34" w:rsidRPr="007F0E34">
        <w:rPr>
          <w:sz w:val="20"/>
          <w:szCs w:val="20"/>
          <w:vertAlign w:val="superscript"/>
        </w:rPr>
        <w:t>st</w:t>
      </w:r>
      <w:r w:rsidR="007F0E34">
        <w:rPr>
          <w:sz w:val="20"/>
          <w:szCs w:val="20"/>
        </w:rPr>
        <w:t xml:space="preserve"> to </w:t>
      </w:r>
      <w:r w:rsidR="00044028">
        <w:rPr>
          <w:sz w:val="20"/>
          <w:szCs w:val="20"/>
        </w:rPr>
        <w:t>22</w:t>
      </w:r>
      <w:r w:rsidR="00044028" w:rsidRPr="00044028">
        <w:rPr>
          <w:sz w:val="20"/>
          <w:szCs w:val="20"/>
          <w:vertAlign w:val="superscript"/>
        </w:rPr>
        <w:t>nd</w:t>
      </w:r>
      <w:r w:rsidR="00044028">
        <w:rPr>
          <w:sz w:val="20"/>
          <w:szCs w:val="20"/>
        </w:rPr>
        <w:t xml:space="preserve"> Respondent] </w:t>
      </w:r>
      <w:r w:rsidR="005E190B">
        <w:rPr>
          <w:sz w:val="20"/>
          <w:szCs w:val="20"/>
        </w:rPr>
        <w:t xml:space="preserve">are </w:t>
      </w:r>
      <w:r w:rsidR="00135F57" w:rsidRPr="00617333">
        <w:rPr>
          <w:sz w:val="20"/>
          <w:szCs w:val="20"/>
        </w:rPr>
        <w:t xml:space="preserve">ordered to vacate the </w:t>
      </w:r>
      <w:r w:rsidR="005E190B">
        <w:rPr>
          <w:sz w:val="20"/>
          <w:szCs w:val="20"/>
        </w:rPr>
        <w:t xml:space="preserve">property of the seventh respondent </w:t>
      </w:r>
      <w:r w:rsidR="004D0348">
        <w:rPr>
          <w:sz w:val="20"/>
          <w:szCs w:val="20"/>
        </w:rPr>
        <w:t>[27</w:t>
      </w:r>
      <w:r w:rsidR="004D0348" w:rsidRPr="004D0348">
        <w:rPr>
          <w:sz w:val="20"/>
          <w:szCs w:val="20"/>
          <w:vertAlign w:val="superscript"/>
        </w:rPr>
        <w:t>th</w:t>
      </w:r>
      <w:r w:rsidR="004D0348">
        <w:rPr>
          <w:sz w:val="20"/>
          <w:szCs w:val="20"/>
        </w:rPr>
        <w:t xml:space="preserve"> Respondent] </w:t>
      </w:r>
      <w:r w:rsidR="005E190B">
        <w:rPr>
          <w:sz w:val="20"/>
          <w:szCs w:val="20"/>
        </w:rPr>
        <w:t>on or before 28 February 2022.</w:t>
      </w:r>
    </w:p>
    <w:p w14:paraId="337A31B4" w14:textId="77777777" w:rsidR="005E190B" w:rsidRDefault="005E190B" w:rsidP="005E190B">
      <w:pPr>
        <w:spacing w:line="480" w:lineRule="auto"/>
        <w:ind w:left="709" w:hanging="349"/>
        <w:jc w:val="both"/>
        <w:rPr>
          <w:sz w:val="20"/>
          <w:szCs w:val="20"/>
        </w:rPr>
      </w:pPr>
    </w:p>
    <w:p w14:paraId="00000040" w14:textId="401D9A78" w:rsidR="0077354F" w:rsidRDefault="005E190B" w:rsidP="001E00CA">
      <w:pPr>
        <w:spacing w:line="480" w:lineRule="auto"/>
        <w:ind w:left="709" w:hanging="349"/>
        <w:jc w:val="both"/>
        <w:rPr>
          <w:sz w:val="20"/>
          <w:szCs w:val="20"/>
        </w:rPr>
      </w:pPr>
      <w:r>
        <w:rPr>
          <w:sz w:val="20"/>
          <w:szCs w:val="20"/>
        </w:rPr>
        <w:t>3.</w:t>
      </w:r>
      <w:r>
        <w:rPr>
          <w:sz w:val="20"/>
          <w:szCs w:val="20"/>
        </w:rPr>
        <w:tab/>
      </w:r>
      <w:r w:rsidR="001E00CA">
        <w:rPr>
          <w:sz w:val="20"/>
          <w:szCs w:val="20"/>
        </w:rPr>
        <w:t xml:space="preserve">The first respondent is </w:t>
      </w:r>
      <w:r w:rsidR="00135F57" w:rsidRPr="00617333">
        <w:rPr>
          <w:sz w:val="20"/>
          <w:szCs w:val="20"/>
        </w:rPr>
        <w:t>ordered to timeously pay all area</w:t>
      </w:r>
      <w:r w:rsidR="0065225C">
        <w:rPr>
          <w:sz w:val="20"/>
          <w:szCs w:val="20"/>
        </w:rPr>
        <w:t>r</w:t>
      </w:r>
      <w:r w:rsidR="00135F57" w:rsidRPr="00617333">
        <w:rPr>
          <w:sz w:val="20"/>
          <w:szCs w:val="20"/>
        </w:rPr>
        <w:t xml:space="preserve"> expenses and all </w:t>
      </w:r>
      <w:r w:rsidR="001E00CA">
        <w:rPr>
          <w:sz w:val="20"/>
          <w:szCs w:val="20"/>
        </w:rPr>
        <w:t xml:space="preserve">the </w:t>
      </w:r>
      <w:r w:rsidR="00135F57" w:rsidRPr="00617333">
        <w:rPr>
          <w:sz w:val="20"/>
          <w:szCs w:val="20"/>
        </w:rPr>
        <w:t xml:space="preserve">future expenses for the period up to and including 28 February 2022, for the housing of the </w:t>
      </w:r>
      <w:r w:rsidR="001E00CA">
        <w:rPr>
          <w:sz w:val="20"/>
          <w:szCs w:val="20"/>
        </w:rPr>
        <w:t xml:space="preserve">applicants at the </w:t>
      </w:r>
      <w:r w:rsidR="004D0348">
        <w:rPr>
          <w:sz w:val="20"/>
          <w:szCs w:val="20"/>
        </w:rPr>
        <w:t>seventh</w:t>
      </w:r>
      <w:r w:rsidR="001E00CA">
        <w:rPr>
          <w:sz w:val="20"/>
          <w:szCs w:val="20"/>
        </w:rPr>
        <w:t xml:space="preserve"> respondent</w:t>
      </w:r>
      <w:r w:rsidR="00135F57" w:rsidRPr="00617333">
        <w:rPr>
          <w:sz w:val="20"/>
          <w:szCs w:val="20"/>
        </w:rPr>
        <w:t>.</w:t>
      </w:r>
    </w:p>
    <w:p w14:paraId="633E8306" w14:textId="77777777" w:rsidR="001E00CA" w:rsidRDefault="001E00CA" w:rsidP="001E00CA">
      <w:pPr>
        <w:spacing w:line="480" w:lineRule="auto"/>
        <w:ind w:left="709" w:hanging="349"/>
        <w:jc w:val="both"/>
        <w:rPr>
          <w:sz w:val="20"/>
          <w:szCs w:val="20"/>
        </w:rPr>
      </w:pPr>
    </w:p>
    <w:p w14:paraId="00000041" w14:textId="76A03F9A" w:rsidR="0077354F" w:rsidRPr="00617333" w:rsidRDefault="001E00CA" w:rsidP="001E00CA">
      <w:pPr>
        <w:spacing w:line="480" w:lineRule="auto"/>
        <w:ind w:left="709" w:hanging="349"/>
        <w:jc w:val="both"/>
        <w:rPr>
          <w:sz w:val="20"/>
          <w:szCs w:val="20"/>
        </w:rPr>
      </w:pPr>
      <w:r>
        <w:rPr>
          <w:sz w:val="20"/>
          <w:szCs w:val="20"/>
        </w:rPr>
        <w:t>4.</w:t>
      </w:r>
      <w:r>
        <w:rPr>
          <w:sz w:val="20"/>
          <w:szCs w:val="20"/>
        </w:rPr>
        <w:tab/>
        <w:t xml:space="preserve">The first respondent is ordered </w:t>
      </w:r>
      <w:r w:rsidR="00135F57" w:rsidRPr="00617333">
        <w:rPr>
          <w:sz w:val="20"/>
          <w:szCs w:val="20"/>
        </w:rPr>
        <w:t xml:space="preserve">to pay the cost of the application on an attorney and own client scale, including the cost consequent upon the employment of </w:t>
      </w:r>
      <w:r w:rsidR="00A10A76">
        <w:rPr>
          <w:sz w:val="20"/>
          <w:szCs w:val="20"/>
        </w:rPr>
        <w:t>two</w:t>
      </w:r>
      <w:r w:rsidR="00135F57" w:rsidRPr="00617333">
        <w:rPr>
          <w:sz w:val="20"/>
          <w:szCs w:val="20"/>
        </w:rPr>
        <w:t xml:space="preserve"> council.</w:t>
      </w:r>
      <w:r w:rsidR="004D0348">
        <w:rPr>
          <w:sz w:val="20"/>
          <w:szCs w:val="20"/>
        </w:rPr>
        <w:t>”</w:t>
      </w:r>
      <w:r w:rsidR="004D0348">
        <w:rPr>
          <w:rStyle w:val="FootnoteReference"/>
          <w:sz w:val="20"/>
          <w:szCs w:val="20"/>
        </w:rPr>
        <w:footnoteReference w:id="4"/>
      </w:r>
    </w:p>
    <w:p w14:paraId="00000042" w14:textId="77777777" w:rsidR="0077354F" w:rsidRDefault="0077354F" w:rsidP="00073462">
      <w:pPr>
        <w:spacing w:line="480" w:lineRule="auto"/>
        <w:jc w:val="both"/>
        <w:rPr>
          <w:sz w:val="24"/>
          <w:szCs w:val="24"/>
        </w:rPr>
      </w:pPr>
    </w:p>
    <w:p w14:paraId="00000047" w14:textId="4A0F3026" w:rsidR="0077354F" w:rsidRDefault="00A10A76" w:rsidP="00073462">
      <w:pPr>
        <w:spacing w:line="480" w:lineRule="auto"/>
        <w:jc w:val="both"/>
        <w:rPr>
          <w:sz w:val="24"/>
          <w:szCs w:val="24"/>
        </w:rPr>
      </w:pPr>
      <w:r>
        <w:rPr>
          <w:sz w:val="24"/>
          <w:szCs w:val="24"/>
        </w:rPr>
        <w:t>[10]</w:t>
      </w:r>
      <w:r>
        <w:rPr>
          <w:sz w:val="24"/>
          <w:szCs w:val="24"/>
        </w:rPr>
        <w:tab/>
      </w:r>
      <w:r w:rsidR="00FA4CEC">
        <w:rPr>
          <w:sz w:val="24"/>
          <w:szCs w:val="24"/>
        </w:rPr>
        <w:t xml:space="preserve">The reasons provided for the </w:t>
      </w:r>
      <w:r w:rsidR="00FD7061">
        <w:rPr>
          <w:sz w:val="24"/>
          <w:szCs w:val="24"/>
        </w:rPr>
        <w:t xml:space="preserve">abovementioned </w:t>
      </w:r>
      <w:r w:rsidR="00FA4CEC">
        <w:rPr>
          <w:sz w:val="24"/>
          <w:szCs w:val="24"/>
        </w:rPr>
        <w:t>order</w:t>
      </w:r>
      <w:r w:rsidR="00FD7061">
        <w:rPr>
          <w:rStyle w:val="FootnoteReference"/>
          <w:sz w:val="24"/>
          <w:szCs w:val="24"/>
        </w:rPr>
        <w:footnoteReference w:id="5"/>
      </w:r>
      <w:r w:rsidR="00FA4CEC">
        <w:rPr>
          <w:sz w:val="24"/>
          <w:szCs w:val="24"/>
        </w:rPr>
        <w:t xml:space="preserve"> was </w:t>
      </w:r>
      <w:r w:rsidR="00BA343F">
        <w:rPr>
          <w:sz w:val="24"/>
          <w:szCs w:val="24"/>
        </w:rPr>
        <w:t xml:space="preserve">that in both </w:t>
      </w:r>
      <w:r w:rsidR="00135F57" w:rsidRPr="00073462">
        <w:rPr>
          <w:sz w:val="24"/>
          <w:szCs w:val="24"/>
        </w:rPr>
        <w:t>applications</w:t>
      </w:r>
      <w:r w:rsidR="00BA343F">
        <w:rPr>
          <w:sz w:val="24"/>
          <w:szCs w:val="24"/>
        </w:rPr>
        <w:t xml:space="preserve">, </w:t>
      </w:r>
      <w:r w:rsidR="000F4E91">
        <w:rPr>
          <w:sz w:val="24"/>
          <w:szCs w:val="24"/>
        </w:rPr>
        <w:t>the urgent and counter application</w:t>
      </w:r>
      <w:r w:rsidR="00594E44">
        <w:rPr>
          <w:sz w:val="24"/>
          <w:szCs w:val="24"/>
        </w:rPr>
        <w:t>,</w:t>
      </w:r>
      <w:r w:rsidR="00C30D95">
        <w:rPr>
          <w:sz w:val="24"/>
          <w:szCs w:val="24"/>
        </w:rPr>
        <w:t xml:space="preserve"> the</w:t>
      </w:r>
      <w:r w:rsidR="007A7D27">
        <w:rPr>
          <w:sz w:val="24"/>
          <w:szCs w:val="24"/>
        </w:rPr>
        <w:t xml:space="preserve"> military veterans </w:t>
      </w:r>
      <w:r w:rsidR="00135F57" w:rsidRPr="00073462">
        <w:rPr>
          <w:sz w:val="24"/>
          <w:szCs w:val="24"/>
        </w:rPr>
        <w:t xml:space="preserve">presented submissions that </w:t>
      </w:r>
      <w:r w:rsidR="007A7D27">
        <w:rPr>
          <w:sz w:val="24"/>
          <w:szCs w:val="24"/>
        </w:rPr>
        <w:t xml:space="preserve">they were </w:t>
      </w:r>
      <w:r w:rsidR="00135F57" w:rsidRPr="00073462">
        <w:rPr>
          <w:sz w:val="24"/>
          <w:szCs w:val="24"/>
        </w:rPr>
        <w:t xml:space="preserve">willing to seek their own alternative accommodation and pledged to vacate the hotel by </w:t>
      </w:r>
      <w:r w:rsidR="007A7D27">
        <w:rPr>
          <w:sz w:val="24"/>
          <w:szCs w:val="24"/>
        </w:rPr>
        <w:t>the 28</w:t>
      </w:r>
      <w:r w:rsidR="007A7D27" w:rsidRPr="007A7D27">
        <w:rPr>
          <w:sz w:val="24"/>
          <w:szCs w:val="24"/>
          <w:vertAlign w:val="superscript"/>
        </w:rPr>
        <w:t>th</w:t>
      </w:r>
      <w:r w:rsidR="007A7D27">
        <w:rPr>
          <w:sz w:val="24"/>
          <w:szCs w:val="24"/>
        </w:rPr>
        <w:t xml:space="preserve"> of </w:t>
      </w:r>
      <w:r w:rsidR="00135F57" w:rsidRPr="00073462">
        <w:rPr>
          <w:sz w:val="24"/>
          <w:szCs w:val="24"/>
        </w:rPr>
        <w:t>February</w:t>
      </w:r>
      <w:r w:rsidR="007A7D27">
        <w:rPr>
          <w:sz w:val="24"/>
          <w:szCs w:val="24"/>
        </w:rPr>
        <w:t xml:space="preserve"> </w:t>
      </w:r>
      <w:r w:rsidR="00135F57" w:rsidRPr="00073462">
        <w:rPr>
          <w:sz w:val="24"/>
          <w:szCs w:val="24"/>
        </w:rPr>
        <w:t xml:space="preserve">2022. </w:t>
      </w:r>
      <w:r w:rsidR="00594E44">
        <w:rPr>
          <w:sz w:val="24"/>
          <w:szCs w:val="24"/>
        </w:rPr>
        <w:t>According to the reasons</w:t>
      </w:r>
      <w:r w:rsidR="005F70C5">
        <w:rPr>
          <w:sz w:val="24"/>
          <w:szCs w:val="24"/>
        </w:rPr>
        <w:t xml:space="preserve">, they </w:t>
      </w:r>
      <w:r w:rsidR="00135F57" w:rsidRPr="00073462">
        <w:rPr>
          <w:sz w:val="24"/>
          <w:szCs w:val="24"/>
        </w:rPr>
        <w:t>further contended</w:t>
      </w:r>
      <w:r w:rsidR="00672B7E">
        <w:rPr>
          <w:sz w:val="24"/>
          <w:szCs w:val="24"/>
        </w:rPr>
        <w:t>,</w:t>
      </w:r>
      <w:r w:rsidR="00135F57" w:rsidRPr="00073462">
        <w:rPr>
          <w:sz w:val="24"/>
          <w:szCs w:val="24"/>
        </w:rPr>
        <w:t xml:space="preserve"> that they had not voluntarily housed themselves at the hotel and insisted that the </w:t>
      </w:r>
      <w:r w:rsidR="0066651C">
        <w:rPr>
          <w:sz w:val="24"/>
          <w:szCs w:val="24"/>
        </w:rPr>
        <w:t xml:space="preserve">Second Appellant </w:t>
      </w:r>
      <w:r w:rsidR="00135F57" w:rsidRPr="00073462">
        <w:rPr>
          <w:sz w:val="24"/>
          <w:szCs w:val="24"/>
        </w:rPr>
        <w:t>should settle the hotel bill.</w:t>
      </w:r>
      <w:r w:rsidR="0066651C">
        <w:rPr>
          <w:sz w:val="24"/>
          <w:szCs w:val="24"/>
        </w:rPr>
        <w:t xml:space="preserve">  </w:t>
      </w:r>
      <w:r w:rsidR="00135F57" w:rsidRPr="00073462">
        <w:rPr>
          <w:sz w:val="24"/>
          <w:szCs w:val="24"/>
        </w:rPr>
        <w:t xml:space="preserve">On the other hand, it was stated, that the </w:t>
      </w:r>
      <w:r w:rsidR="00A24E80">
        <w:rPr>
          <w:sz w:val="24"/>
          <w:szCs w:val="24"/>
        </w:rPr>
        <w:t xml:space="preserve">Appellants </w:t>
      </w:r>
      <w:r w:rsidR="00135F57" w:rsidRPr="00073462">
        <w:rPr>
          <w:sz w:val="24"/>
          <w:szCs w:val="24"/>
        </w:rPr>
        <w:t>maintained that they had supported the veterans, believing that their houses were vandalized at</w:t>
      </w:r>
      <w:r w:rsidR="00017BB2">
        <w:rPr>
          <w:sz w:val="24"/>
          <w:szCs w:val="24"/>
        </w:rPr>
        <w:t xml:space="preserve"> the property</w:t>
      </w:r>
      <w:r w:rsidR="00135F57" w:rsidRPr="00073462">
        <w:rPr>
          <w:sz w:val="24"/>
          <w:szCs w:val="24"/>
        </w:rPr>
        <w:t>.</w:t>
      </w:r>
      <w:r w:rsidR="00A24E80">
        <w:rPr>
          <w:sz w:val="24"/>
          <w:szCs w:val="24"/>
        </w:rPr>
        <w:t xml:space="preserve">  </w:t>
      </w:r>
      <w:r w:rsidR="00135F57" w:rsidRPr="00073462">
        <w:rPr>
          <w:sz w:val="24"/>
          <w:szCs w:val="24"/>
        </w:rPr>
        <w:t>Additionally, the</w:t>
      </w:r>
      <w:r w:rsidR="00017BB2">
        <w:rPr>
          <w:sz w:val="24"/>
          <w:szCs w:val="24"/>
        </w:rPr>
        <w:t xml:space="preserve"> Second Appellant c</w:t>
      </w:r>
      <w:r w:rsidR="00135F57" w:rsidRPr="00073462">
        <w:rPr>
          <w:sz w:val="24"/>
          <w:szCs w:val="24"/>
        </w:rPr>
        <w:t xml:space="preserve">ould no longer afford to accommodate them at such an expensive establishment, as they had already allocated housing to them at </w:t>
      </w:r>
      <w:r w:rsidR="00017BB2">
        <w:rPr>
          <w:sz w:val="24"/>
          <w:szCs w:val="24"/>
        </w:rPr>
        <w:t>the property</w:t>
      </w:r>
      <w:r w:rsidR="00135F57" w:rsidRPr="00073462">
        <w:rPr>
          <w:sz w:val="24"/>
          <w:szCs w:val="24"/>
        </w:rPr>
        <w:t>.</w:t>
      </w:r>
      <w:r w:rsidR="00027FDD">
        <w:rPr>
          <w:sz w:val="24"/>
          <w:szCs w:val="24"/>
        </w:rPr>
        <w:t xml:space="preserve">  The court </w:t>
      </w:r>
      <w:r w:rsidR="00027FDD">
        <w:rPr>
          <w:i/>
          <w:iCs/>
          <w:sz w:val="24"/>
          <w:szCs w:val="24"/>
        </w:rPr>
        <w:t xml:space="preserve">a quo </w:t>
      </w:r>
      <w:r w:rsidR="00027FDD">
        <w:rPr>
          <w:sz w:val="24"/>
          <w:szCs w:val="24"/>
        </w:rPr>
        <w:t xml:space="preserve">stated </w:t>
      </w:r>
      <w:r w:rsidR="009E1973">
        <w:rPr>
          <w:sz w:val="24"/>
          <w:szCs w:val="24"/>
        </w:rPr>
        <w:t xml:space="preserve">that it made the order after </w:t>
      </w:r>
      <w:r w:rsidR="00027FDD">
        <w:rPr>
          <w:sz w:val="24"/>
          <w:szCs w:val="24"/>
        </w:rPr>
        <w:lastRenderedPageBreak/>
        <w:t>c</w:t>
      </w:r>
      <w:r w:rsidR="00135F57" w:rsidRPr="00073462">
        <w:rPr>
          <w:sz w:val="24"/>
          <w:szCs w:val="24"/>
        </w:rPr>
        <w:t xml:space="preserve">onsidering the arguments of the parties and acknowledging the risk the </w:t>
      </w:r>
      <w:r w:rsidR="003A2EA7">
        <w:rPr>
          <w:sz w:val="24"/>
          <w:szCs w:val="24"/>
        </w:rPr>
        <w:t xml:space="preserve">military </w:t>
      </w:r>
      <w:r w:rsidR="00135F57" w:rsidRPr="00073462">
        <w:rPr>
          <w:sz w:val="24"/>
          <w:szCs w:val="24"/>
        </w:rPr>
        <w:t>veterans would face if returning to an environment that posed mortal danger.</w:t>
      </w:r>
    </w:p>
    <w:p w14:paraId="523E21D0" w14:textId="77777777" w:rsidR="009E1973" w:rsidRDefault="009E1973" w:rsidP="00073462">
      <w:pPr>
        <w:spacing w:line="480" w:lineRule="auto"/>
        <w:jc w:val="both"/>
        <w:rPr>
          <w:sz w:val="24"/>
          <w:szCs w:val="24"/>
        </w:rPr>
      </w:pPr>
    </w:p>
    <w:p w14:paraId="144D4BF6" w14:textId="7034FFA5" w:rsidR="009E1973" w:rsidRDefault="009E1973" w:rsidP="00073462">
      <w:pPr>
        <w:spacing w:line="480" w:lineRule="auto"/>
        <w:jc w:val="both"/>
      </w:pPr>
      <w:r>
        <w:rPr>
          <w:b/>
          <w:bCs/>
        </w:rPr>
        <w:t>GROUNDS OF APPEAL</w:t>
      </w:r>
      <w:r>
        <w:t>:</w:t>
      </w:r>
    </w:p>
    <w:p w14:paraId="07937C32" w14:textId="77777777" w:rsidR="009E1973" w:rsidRDefault="009E1973" w:rsidP="00073462">
      <w:pPr>
        <w:spacing w:line="480" w:lineRule="auto"/>
        <w:jc w:val="both"/>
      </w:pPr>
    </w:p>
    <w:p w14:paraId="2EA5E1B1" w14:textId="478C165C" w:rsidR="00002C69" w:rsidRDefault="00FB0F7D" w:rsidP="00073462">
      <w:pPr>
        <w:spacing w:line="480" w:lineRule="auto"/>
        <w:jc w:val="both"/>
        <w:rPr>
          <w:sz w:val="24"/>
          <w:szCs w:val="24"/>
        </w:rPr>
      </w:pPr>
      <w:r>
        <w:rPr>
          <w:sz w:val="24"/>
          <w:szCs w:val="24"/>
        </w:rPr>
        <w:t>[11]</w:t>
      </w:r>
      <w:r>
        <w:rPr>
          <w:sz w:val="24"/>
          <w:szCs w:val="24"/>
        </w:rPr>
        <w:tab/>
      </w:r>
      <w:r w:rsidR="00062DB8">
        <w:rPr>
          <w:sz w:val="24"/>
          <w:szCs w:val="24"/>
        </w:rPr>
        <w:t>The m</w:t>
      </w:r>
      <w:r w:rsidR="0067104E">
        <w:rPr>
          <w:sz w:val="24"/>
          <w:szCs w:val="24"/>
        </w:rPr>
        <w:t xml:space="preserve">ain issues to be decided in the appeal are whether the court </w:t>
      </w:r>
      <w:r w:rsidR="0067104E">
        <w:rPr>
          <w:i/>
          <w:iCs/>
          <w:sz w:val="24"/>
          <w:szCs w:val="24"/>
        </w:rPr>
        <w:t xml:space="preserve">a quo </w:t>
      </w:r>
      <w:r w:rsidR="0067104E">
        <w:rPr>
          <w:sz w:val="24"/>
          <w:szCs w:val="24"/>
        </w:rPr>
        <w:t xml:space="preserve"> granted relief that was not originally sought </w:t>
      </w:r>
      <w:r w:rsidR="003A2EA7">
        <w:rPr>
          <w:sz w:val="24"/>
          <w:szCs w:val="24"/>
        </w:rPr>
        <w:t xml:space="preserve">in the urgent application </w:t>
      </w:r>
      <w:r w:rsidR="0067104E">
        <w:rPr>
          <w:sz w:val="24"/>
          <w:szCs w:val="24"/>
        </w:rPr>
        <w:t xml:space="preserve">and </w:t>
      </w:r>
      <w:r w:rsidR="00002C69">
        <w:rPr>
          <w:sz w:val="24"/>
          <w:szCs w:val="24"/>
        </w:rPr>
        <w:t>whether there was a sufficient factual basis for the relief that was ultimately granted.</w:t>
      </w:r>
    </w:p>
    <w:p w14:paraId="43E7232F" w14:textId="77777777" w:rsidR="00002C69" w:rsidRDefault="00002C69" w:rsidP="00073462">
      <w:pPr>
        <w:spacing w:line="480" w:lineRule="auto"/>
        <w:jc w:val="both"/>
        <w:rPr>
          <w:sz w:val="24"/>
          <w:szCs w:val="24"/>
        </w:rPr>
      </w:pPr>
    </w:p>
    <w:p w14:paraId="352A4BF5" w14:textId="77777777" w:rsidR="00C53EF3" w:rsidRDefault="00C53EF3" w:rsidP="00073462">
      <w:pPr>
        <w:spacing w:line="480" w:lineRule="auto"/>
        <w:jc w:val="both"/>
        <w:rPr>
          <w:sz w:val="24"/>
          <w:szCs w:val="24"/>
        </w:rPr>
      </w:pPr>
      <w:r>
        <w:rPr>
          <w:b/>
          <w:bCs/>
          <w:sz w:val="24"/>
          <w:szCs w:val="24"/>
        </w:rPr>
        <w:t>ANALYSIS</w:t>
      </w:r>
      <w:r>
        <w:rPr>
          <w:sz w:val="24"/>
          <w:szCs w:val="24"/>
        </w:rPr>
        <w:t>:</w:t>
      </w:r>
    </w:p>
    <w:p w14:paraId="43FFE4B1" w14:textId="77777777" w:rsidR="00C53EF3" w:rsidRDefault="00C53EF3" w:rsidP="00073462">
      <w:pPr>
        <w:spacing w:line="480" w:lineRule="auto"/>
        <w:jc w:val="both"/>
        <w:rPr>
          <w:sz w:val="24"/>
          <w:szCs w:val="24"/>
        </w:rPr>
      </w:pPr>
    </w:p>
    <w:p w14:paraId="7A04881E" w14:textId="77777777" w:rsidR="003A2EA7" w:rsidRDefault="00C53EF3" w:rsidP="00073462">
      <w:pPr>
        <w:spacing w:line="480" w:lineRule="auto"/>
        <w:jc w:val="both"/>
        <w:rPr>
          <w:sz w:val="24"/>
          <w:szCs w:val="24"/>
        </w:rPr>
      </w:pPr>
      <w:r>
        <w:rPr>
          <w:sz w:val="24"/>
          <w:szCs w:val="24"/>
        </w:rPr>
        <w:t>[12]</w:t>
      </w:r>
      <w:r>
        <w:rPr>
          <w:sz w:val="24"/>
          <w:szCs w:val="24"/>
        </w:rPr>
        <w:tab/>
      </w:r>
      <w:r w:rsidR="003A2EA7">
        <w:rPr>
          <w:sz w:val="24"/>
          <w:szCs w:val="24"/>
        </w:rPr>
        <w:t>It seems that only the urgent application of the military veterans was set down for hearing on the 1</w:t>
      </w:r>
      <w:r w:rsidR="003A2EA7" w:rsidRPr="003A2EA7">
        <w:rPr>
          <w:sz w:val="24"/>
          <w:szCs w:val="24"/>
          <w:vertAlign w:val="superscript"/>
        </w:rPr>
        <w:t>st</w:t>
      </w:r>
      <w:r w:rsidR="003A2EA7">
        <w:rPr>
          <w:sz w:val="24"/>
          <w:szCs w:val="24"/>
        </w:rPr>
        <w:t xml:space="preserve"> of December 2021.  Although the counter application and the decision of the Appeal Board of Military Veterans were included in the affidavits, these separate proceedings were not scheduled for hearing in the court </w:t>
      </w:r>
      <w:r w:rsidR="003A2EA7">
        <w:rPr>
          <w:i/>
          <w:iCs/>
          <w:sz w:val="24"/>
          <w:szCs w:val="24"/>
        </w:rPr>
        <w:t xml:space="preserve">a </w:t>
      </w:r>
      <w:r w:rsidR="003A2EA7" w:rsidRPr="003A2EA7">
        <w:rPr>
          <w:sz w:val="24"/>
          <w:szCs w:val="24"/>
        </w:rPr>
        <w:t>quo</w:t>
      </w:r>
      <w:r w:rsidR="003A2EA7">
        <w:rPr>
          <w:sz w:val="24"/>
          <w:szCs w:val="24"/>
        </w:rPr>
        <w:t xml:space="preserve"> on the specified date. </w:t>
      </w:r>
    </w:p>
    <w:p w14:paraId="28987278" w14:textId="77777777" w:rsidR="003A2EA7" w:rsidRDefault="003A2EA7" w:rsidP="00073462">
      <w:pPr>
        <w:spacing w:line="480" w:lineRule="auto"/>
        <w:jc w:val="both"/>
        <w:rPr>
          <w:sz w:val="24"/>
          <w:szCs w:val="24"/>
        </w:rPr>
      </w:pPr>
    </w:p>
    <w:p w14:paraId="3B3F09C4" w14:textId="0808BE5F" w:rsidR="009711AC" w:rsidRDefault="003A2EA7" w:rsidP="00073462">
      <w:pPr>
        <w:spacing w:line="480" w:lineRule="auto"/>
        <w:jc w:val="both"/>
        <w:rPr>
          <w:sz w:val="24"/>
          <w:szCs w:val="24"/>
        </w:rPr>
      </w:pPr>
      <w:r>
        <w:rPr>
          <w:sz w:val="24"/>
          <w:szCs w:val="24"/>
        </w:rPr>
        <w:t>[13]</w:t>
      </w:r>
      <w:r>
        <w:rPr>
          <w:sz w:val="24"/>
          <w:szCs w:val="24"/>
        </w:rPr>
        <w:tab/>
      </w:r>
      <w:r w:rsidR="0074240B">
        <w:rPr>
          <w:sz w:val="24"/>
          <w:szCs w:val="24"/>
        </w:rPr>
        <w:t xml:space="preserve">The Appellants contended that the first </w:t>
      </w:r>
      <w:r w:rsidR="00936884">
        <w:rPr>
          <w:sz w:val="24"/>
          <w:szCs w:val="24"/>
        </w:rPr>
        <w:t xml:space="preserve">paragraph of the order </w:t>
      </w:r>
      <w:r w:rsidR="0074240B">
        <w:rPr>
          <w:sz w:val="24"/>
          <w:szCs w:val="24"/>
        </w:rPr>
        <w:t xml:space="preserve">granted by the court </w:t>
      </w:r>
      <w:r w:rsidR="0074240B">
        <w:rPr>
          <w:i/>
          <w:iCs/>
          <w:sz w:val="24"/>
          <w:szCs w:val="24"/>
        </w:rPr>
        <w:t>a quo</w:t>
      </w:r>
      <w:r w:rsidR="00EF5694">
        <w:rPr>
          <w:sz w:val="24"/>
          <w:szCs w:val="24"/>
        </w:rPr>
        <w:t xml:space="preserve">, which ordered the First Appellant </w:t>
      </w:r>
      <w:r w:rsidR="00764B9A">
        <w:rPr>
          <w:sz w:val="24"/>
          <w:szCs w:val="24"/>
        </w:rPr>
        <w:t xml:space="preserve">to comply with the final decision of the Military Veterans Appeal Board, was inappropriate </w:t>
      </w:r>
      <w:r w:rsidR="001E2B8B">
        <w:rPr>
          <w:sz w:val="24"/>
          <w:szCs w:val="24"/>
        </w:rPr>
        <w:t>because</w:t>
      </w:r>
      <w:r w:rsidR="00764B9A">
        <w:rPr>
          <w:sz w:val="24"/>
          <w:szCs w:val="24"/>
        </w:rPr>
        <w:t xml:space="preserve"> it was not </w:t>
      </w:r>
      <w:r w:rsidR="002C1FD6">
        <w:rPr>
          <w:sz w:val="24"/>
          <w:szCs w:val="24"/>
        </w:rPr>
        <w:t xml:space="preserve">sought in the </w:t>
      </w:r>
      <w:r>
        <w:rPr>
          <w:sz w:val="24"/>
          <w:szCs w:val="24"/>
        </w:rPr>
        <w:t xml:space="preserve">notice of motion.  This is correct.  The </w:t>
      </w:r>
      <w:r w:rsidR="001436EF">
        <w:rPr>
          <w:sz w:val="24"/>
          <w:szCs w:val="24"/>
        </w:rPr>
        <w:t xml:space="preserve">second, third, and fourth paragraphs of the order granted by the court </w:t>
      </w:r>
      <w:r w:rsidR="001436EF">
        <w:rPr>
          <w:i/>
          <w:iCs/>
          <w:sz w:val="24"/>
          <w:szCs w:val="24"/>
        </w:rPr>
        <w:t>a quo</w:t>
      </w:r>
      <w:r w:rsidR="004239AE">
        <w:rPr>
          <w:sz w:val="24"/>
          <w:szCs w:val="24"/>
        </w:rPr>
        <w:t xml:space="preserve"> were</w:t>
      </w:r>
      <w:r>
        <w:rPr>
          <w:sz w:val="24"/>
          <w:szCs w:val="24"/>
        </w:rPr>
        <w:t xml:space="preserve"> also not </w:t>
      </w:r>
      <w:r w:rsidR="004239AE">
        <w:rPr>
          <w:sz w:val="24"/>
          <w:szCs w:val="24"/>
        </w:rPr>
        <w:t xml:space="preserve">requested in </w:t>
      </w:r>
      <w:r>
        <w:rPr>
          <w:sz w:val="24"/>
          <w:szCs w:val="24"/>
        </w:rPr>
        <w:t>the notice of motion.</w:t>
      </w:r>
    </w:p>
    <w:p w14:paraId="53DF10C6" w14:textId="77777777" w:rsidR="00EA0133" w:rsidRDefault="00EA0133" w:rsidP="00073462">
      <w:pPr>
        <w:spacing w:line="480" w:lineRule="auto"/>
        <w:jc w:val="both"/>
        <w:rPr>
          <w:sz w:val="24"/>
          <w:szCs w:val="24"/>
        </w:rPr>
      </w:pPr>
    </w:p>
    <w:p w14:paraId="43D3B6C1" w14:textId="04D36CA8" w:rsidR="00EA0133" w:rsidRDefault="00EA0133" w:rsidP="00073462">
      <w:pPr>
        <w:spacing w:line="480" w:lineRule="auto"/>
        <w:jc w:val="both"/>
        <w:rPr>
          <w:i/>
          <w:iCs/>
          <w:sz w:val="24"/>
          <w:szCs w:val="24"/>
        </w:rPr>
      </w:pPr>
      <w:r>
        <w:rPr>
          <w:sz w:val="24"/>
          <w:szCs w:val="24"/>
        </w:rPr>
        <w:t>[14]</w:t>
      </w:r>
      <w:r>
        <w:rPr>
          <w:sz w:val="24"/>
          <w:szCs w:val="24"/>
        </w:rPr>
        <w:tab/>
        <w:t>The Appellants</w:t>
      </w:r>
      <w:r w:rsidR="00BD53E9">
        <w:rPr>
          <w:sz w:val="24"/>
          <w:szCs w:val="24"/>
        </w:rPr>
        <w:t xml:space="preserve"> further </w:t>
      </w:r>
      <w:r>
        <w:rPr>
          <w:sz w:val="24"/>
          <w:szCs w:val="24"/>
        </w:rPr>
        <w:t>contended that the second, third, and fourth paragraphs of the granted order contain</w:t>
      </w:r>
      <w:r w:rsidR="003A2EA7">
        <w:rPr>
          <w:sz w:val="24"/>
          <w:szCs w:val="24"/>
        </w:rPr>
        <w:t xml:space="preserve">s </w:t>
      </w:r>
      <w:r>
        <w:rPr>
          <w:sz w:val="24"/>
          <w:szCs w:val="24"/>
        </w:rPr>
        <w:t xml:space="preserve">implications that could not have been intended.  They argued </w:t>
      </w:r>
      <w:r>
        <w:rPr>
          <w:sz w:val="24"/>
          <w:szCs w:val="24"/>
        </w:rPr>
        <w:lastRenderedPageBreak/>
        <w:t xml:space="preserve">that the order effectively imposed an obligation on the First Appellant to make payments of unspecified amounts and to provide unspecified services to the military veterans for an unspecified period.  This, they argued, is </w:t>
      </w:r>
      <w:r w:rsidR="005826B8">
        <w:rPr>
          <w:sz w:val="24"/>
          <w:szCs w:val="24"/>
        </w:rPr>
        <w:t xml:space="preserve">contrary </w:t>
      </w:r>
      <w:r w:rsidR="009F508D">
        <w:rPr>
          <w:sz w:val="24"/>
          <w:szCs w:val="24"/>
        </w:rPr>
        <w:t xml:space="preserve">to the </w:t>
      </w:r>
      <w:r w:rsidR="005826B8">
        <w:rPr>
          <w:sz w:val="24"/>
          <w:szCs w:val="24"/>
        </w:rPr>
        <w:t>p</w:t>
      </w:r>
      <w:r>
        <w:rPr>
          <w:sz w:val="24"/>
          <w:szCs w:val="24"/>
        </w:rPr>
        <w:t xml:space="preserve">rocurement framework, sourced from section 217 of the Constitution </w:t>
      </w:r>
      <w:r w:rsidR="00827738">
        <w:rPr>
          <w:sz w:val="24"/>
          <w:szCs w:val="24"/>
        </w:rPr>
        <w:t xml:space="preserve">of the Republic of South Africa, 1996, </w:t>
      </w:r>
      <w:r w:rsidR="007C133E">
        <w:rPr>
          <w:sz w:val="24"/>
          <w:szCs w:val="24"/>
        </w:rPr>
        <w:t xml:space="preserve">that </w:t>
      </w:r>
      <w:r>
        <w:rPr>
          <w:sz w:val="24"/>
          <w:szCs w:val="24"/>
        </w:rPr>
        <w:t xml:space="preserve">prohibits the eventualities arising from the order of the court </w:t>
      </w:r>
      <w:r>
        <w:rPr>
          <w:i/>
          <w:iCs/>
          <w:sz w:val="24"/>
          <w:szCs w:val="24"/>
        </w:rPr>
        <w:t>a quo.</w:t>
      </w:r>
    </w:p>
    <w:p w14:paraId="7F13F695" w14:textId="77777777" w:rsidR="00EA0133" w:rsidRPr="004C5718" w:rsidRDefault="00EA0133" w:rsidP="00073462">
      <w:pPr>
        <w:spacing w:line="480" w:lineRule="auto"/>
        <w:jc w:val="both"/>
        <w:rPr>
          <w:sz w:val="24"/>
          <w:szCs w:val="24"/>
        </w:rPr>
      </w:pPr>
    </w:p>
    <w:p w14:paraId="142A80CA" w14:textId="65DC2BD0" w:rsidR="001D14E6" w:rsidRPr="00476699" w:rsidRDefault="00EA0133" w:rsidP="00D15B9C">
      <w:pPr>
        <w:pStyle w:val="NormalWeb"/>
        <w:shd w:val="clear" w:color="auto" w:fill="FFFFFF"/>
        <w:spacing w:before="144" w:beforeAutospacing="0" w:after="0" w:afterAutospacing="0" w:line="480" w:lineRule="auto"/>
        <w:rPr>
          <w:rFonts w:ascii="Arial" w:hAnsi="Arial" w:cs="Arial"/>
          <w:iCs/>
        </w:rPr>
      </w:pPr>
      <w:r w:rsidRPr="004C5718">
        <w:rPr>
          <w:rFonts w:ascii="Arial" w:hAnsi="Arial" w:cs="Arial"/>
        </w:rPr>
        <w:t>[15]</w:t>
      </w:r>
      <w:r w:rsidRPr="004C5718">
        <w:rPr>
          <w:rFonts w:ascii="Arial" w:hAnsi="Arial" w:cs="Arial"/>
        </w:rPr>
        <w:tab/>
      </w:r>
      <w:r w:rsidR="001D14E6" w:rsidRPr="00476699">
        <w:rPr>
          <w:rFonts w:ascii="Arial" w:hAnsi="Arial" w:cs="Arial"/>
        </w:rPr>
        <w:t xml:space="preserve">The court in </w:t>
      </w:r>
      <w:r w:rsidR="001D14E6" w:rsidRPr="00476699">
        <w:rPr>
          <w:rFonts w:ascii="Arial" w:hAnsi="Arial" w:cs="Arial"/>
          <w:bCs/>
          <w:i/>
        </w:rPr>
        <w:t>The Road Accident Fund v Taylor and other matters</w:t>
      </w:r>
      <w:r w:rsidR="001D14E6" w:rsidRPr="00476699">
        <w:rPr>
          <w:rStyle w:val="FootnoteReference"/>
          <w:rFonts w:ascii="Arial" w:hAnsi="Arial" w:cs="Arial"/>
          <w:bCs/>
          <w:i/>
        </w:rPr>
        <w:footnoteReference w:id="6"/>
      </w:r>
      <w:r w:rsidR="001D14E6" w:rsidRPr="00476699">
        <w:rPr>
          <w:rFonts w:ascii="Arial" w:hAnsi="Arial" w:cs="Arial"/>
          <w:i/>
          <w:iCs/>
        </w:rPr>
        <w:t xml:space="preserve"> </w:t>
      </w:r>
      <w:r w:rsidR="001D14E6" w:rsidRPr="00476699">
        <w:rPr>
          <w:rFonts w:ascii="Arial" w:hAnsi="Arial" w:cs="Arial"/>
          <w:iCs/>
        </w:rPr>
        <w:t>stated that:-</w:t>
      </w:r>
    </w:p>
    <w:p w14:paraId="3D9B6EF8" w14:textId="77777777" w:rsidR="001D14E6" w:rsidRPr="00476699" w:rsidRDefault="001D14E6" w:rsidP="001D14E6">
      <w:pPr>
        <w:spacing w:line="360" w:lineRule="auto"/>
        <w:jc w:val="both"/>
        <w:rPr>
          <w:iCs/>
          <w:sz w:val="24"/>
          <w:szCs w:val="24"/>
        </w:rPr>
      </w:pPr>
    </w:p>
    <w:p w14:paraId="0EFCF2AB" w14:textId="0B67DF5A" w:rsidR="001D14E6" w:rsidRPr="00476699" w:rsidRDefault="000C1A31" w:rsidP="00476699">
      <w:pPr>
        <w:spacing w:line="360" w:lineRule="auto"/>
        <w:ind w:left="720" w:right="397"/>
        <w:jc w:val="both"/>
        <w:rPr>
          <w:sz w:val="20"/>
          <w:szCs w:val="20"/>
        </w:rPr>
      </w:pPr>
      <w:r>
        <w:rPr>
          <w:i/>
          <w:iCs/>
          <w:sz w:val="20"/>
          <w:szCs w:val="20"/>
        </w:rPr>
        <w:t>“</w:t>
      </w:r>
      <w:r w:rsidR="001D14E6" w:rsidRPr="00476699">
        <w:rPr>
          <w:sz w:val="20"/>
          <w:szCs w:val="20"/>
        </w:rPr>
        <w:t xml:space="preserve">In the circumstances, the age-old principle of </w:t>
      </w:r>
      <w:r w:rsidR="001D14E6" w:rsidRPr="00476699">
        <w:rPr>
          <w:i/>
          <w:sz w:val="20"/>
          <w:szCs w:val="20"/>
        </w:rPr>
        <w:t>audi alteram partem</w:t>
      </w:r>
      <w:r w:rsidR="001D14E6" w:rsidRPr="00476699">
        <w:rPr>
          <w:sz w:val="20"/>
          <w:szCs w:val="20"/>
        </w:rPr>
        <w:t xml:space="preserve"> required that the affected persons be afforded reasonable prior notice and opportunity to state their cases. In </w:t>
      </w:r>
      <w:r w:rsidR="001D14E6" w:rsidRPr="00476699">
        <w:rPr>
          <w:i/>
          <w:sz w:val="20"/>
          <w:szCs w:val="20"/>
        </w:rPr>
        <w:t>De Beer NO v North-Central Local Council and South-Central Local Council and Others (Umhlatuzana Civic Association intervening)</w:t>
      </w:r>
      <w:r w:rsidR="001D14E6" w:rsidRPr="00476699">
        <w:rPr>
          <w:sz w:val="20"/>
          <w:szCs w:val="20"/>
        </w:rPr>
        <w:t xml:space="preserve"> 2002 (1) SA 429 (CC) para 11, the following was said with particular reference to s 34 of the Constitution: </w:t>
      </w:r>
    </w:p>
    <w:p w14:paraId="18F6440B" w14:textId="77777777" w:rsidR="001D14E6" w:rsidRPr="00476699" w:rsidRDefault="001D14E6" w:rsidP="001D14E6">
      <w:pPr>
        <w:spacing w:line="360" w:lineRule="auto"/>
        <w:ind w:left="397" w:right="397"/>
        <w:jc w:val="both"/>
        <w:rPr>
          <w:sz w:val="20"/>
          <w:szCs w:val="20"/>
          <w:lang w:val="en-ZA"/>
        </w:rPr>
      </w:pPr>
    </w:p>
    <w:p w14:paraId="3A9D1D22" w14:textId="5F8D8562" w:rsidR="001D14E6" w:rsidRPr="00476699" w:rsidRDefault="001D14E6" w:rsidP="00476699">
      <w:pPr>
        <w:spacing w:line="360" w:lineRule="auto"/>
        <w:ind w:left="720" w:right="397"/>
        <w:jc w:val="both"/>
        <w:rPr>
          <w:sz w:val="20"/>
          <w:szCs w:val="20"/>
          <w:lang w:val="en-US"/>
        </w:rPr>
      </w:pPr>
      <w:r w:rsidRPr="00476699">
        <w:rPr>
          <w:sz w:val="20"/>
          <w:szCs w:val="20"/>
        </w:rPr>
        <w:t>‘This fair hearing right affirms the rule of law which is a founding value of our Constitution. The right to a fair hearing before a court lies at the heart of the rule of law. A fair hearing before a court as a prerequisite to an order being made against anyone is fundamental to a just and credible legal order. Courts in our country are obliged to ensure that the proceedings before them are always fair. Since procedures that would render the hearing unfair are inconsistent with the Constitution courts must interpret legislation and rules of court, where it is reasonably possible to do so, in a way that would render the proceedings fair. It is a crucial aspect of the rule of law that court orders should not be made without affording the other side a reasonable opportunity to state their case. . .</w:t>
      </w:r>
      <w:r w:rsidR="000C1A31">
        <w:rPr>
          <w:sz w:val="20"/>
          <w:szCs w:val="20"/>
        </w:rPr>
        <w:t>”</w:t>
      </w:r>
    </w:p>
    <w:p w14:paraId="538E93DE" w14:textId="77777777" w:rsidR="00073462" w:rsidRDefault="00073462" w:rsidP="00073462">
      <w:pPr>
        <w:spacing w:line="480" w:lineRule="auto"/>
        <w:jc w:val="both"/>
        <w:rPr>
          <w:sz w:val="24"/>
          <w:szCs w:val="24"/>
        </w:rPr>
      </w:pPr>
    </w:p>
    <w:p w14:paraId="3081FD63" w14:textId="21D302C9" w:rsidR="00C958C1" w:rsidRDefault="00476699" w:rsidP="00F06EDE">
      <w:pPr>
        <w:spacing w:line="480" w:lineRule="auto"/>
        <w:jc w:val="both"/>
        <w:rPr>
          <w:sz w:val="24"/>
          <w:szCs w:val="24"/>
        </w:rPr>
      </w:pPr>
      <w:r>
        <w:rPr>
          <w:sz w:val="24"/>
          <w:szCs w:val="24"/>
        </w:rPr>
        <w:t>[1</w:t>
      </w:r>
      <w:r w:rsidR="00D15B9C">
        <w:rPr>
          <w:sz w:val="24"/>
          <w:szCs w:val="24"/>
        </w:rPr>
        <w:t>6</w:t>
      </w:r>
      <w:r>
        <w:rPr>
          <w:sz w:val="24"/>
          <w:szCs w:val="24"/>
        </w:rPr>
        <w:t>]</w:t>
      </w:r>
      <w:r w:rsidR="00F06EDE">
        <w:rPr>
          <w:sz w:val="24"/>
          <w:szCs w:val="24"/>
        </w:rPr>
        <w:t xml:space="preserve"> </w:t>
      </w:r>
      <w:r w:rsidR="00F06EDE">
        <w:rPr>
          <w:sz w:val="24"/>
          <w:szCs w:val="24"/>
        </w:rPr>
        <w:tab/>
      </w:r>
      <w:r w:rsidR="00C958C1">
        <w:rPr>
          <w:sz w:val="24"/>
          <w:szCs w:val="24"/>
        </w:rPr>
        <w:t>The full bench held in</w:t>
      </w:r>
      <w:r w:rsidR="00C958C1">
        <w:rPr>
          <w:i/>
          <w:sz w:val="24"/>
          <w:szCs w:val="24"/>
        </w:rPr>
        <w:t xml:space="preserve"> Mgoqi v City of Cape Town &amp; </w:t>
      </w:r>
      <w:r w:rsidR="00874FAC">
        <w:rPr>
          <w:i/>
          <w:sz w:val="24"/>
          <w:szCs w:val="24"/>
        </w:rPr>
        <w:t>A</w:t>
      </w:r>
      <w:r w:rsidR="00C958C1">
        <w:rPr>
          <w:i/>
          <w:sz w:val="24"/>
          <w:szCs w:val="24"/>
        </w:rPr>
        <w:t>nother</w:t>
      </w:r>
      <w:r w:rsidR="00C958C1">
        <w:rPr>
          <w:rStyle w:val="FootnoteReference"/>
          <w:i/>
          <w:sz w:val="24"/>
          <w:szCs w:val="24"/>
        </w:rPr>
        <w:footnoteReference w:id="7"/>
      </w:r>
      <w:r w:rsidR="00C958C1">
        <w:rPr>
          <w:sz w:val="24"/>
          <w:szCs w:val="24"/>
        </w:rPr>
        <w:t xml:space="preserve"> that:-</w:t>
      </w:r>
    </w:p>
    <w:p w14:paraId="05E27D4F" w14:textId="77777777" w:rsidR="00C958C1" w:rsidRDefault="00C958C1" w:rsidP="00793307">
      <w:pPr>
        <w:spacing w:line="360" w:lineRule="auto"/>
        <w:jc w:val="both"/>
        <w:rPr>
          <w:sz w:val="24"/>
          <w:szCs w:val="24"/>
        </w:rPr>
      </w:pPr>
    </w:p>
    <w:p w14:paraId="5CEDF7F8" w14:textId="77777777" w:rsidR="00C958C1" w:rsidRPr="00793307" w:rsidRDefault="00C958C1" w:rsidP="00793307">
      <w:pPr>
        <w:spacing w:line="360" w:lineRule="auto"/>
        <w:ind w:left="720" w:right="397"/>
        <w:jc w:val="both"/>
        <w:rPr>
          <w:i/>
          <w:sz w:val="20"/>
          <w:szCs w:val="20"/>
        </w:rPr>
      </w:pPr>
      <w:r w:rsidRPr="00793307">
        <w:rPr>
          <w:i/>
          <w:sz w:val="20"/>
          <w:szCs w:val="20"/>
        </w:rPr>
        <w:t>“the relief sought by applicant’s counsel during his argument could not be considered as the notice of motion did not provide therefore and the applicant failed to move for an appropriate amendment of the notice of motion”.</w:t>
      </w:r>
      <w:r w:rsidRPr="00793307">
        <w:rPr>
          <w:rFonts w:ascii="Times New Roman" w:hAnsi="Times New Roman"/>
          <w:i/>
          <w:sz w:val="20"/>
          <w:szCs w:val="20"/>
        </w:rPr>
        <w:t xml:space="preserve"> </w:t>
      </w:r>
    </w:p>
    <w:p w14:paraId="73992329" w14:textId="77777777" w:rsidR="00C1116D" w:rsidRDefault="00C1116D" w:rsidP="00CE4289">
      <w:pPr>
        <w:spacing w:line="480" w:lineRule="auto"/>
        <w:jc w:val="both"/>
        <w:rPr>
          <w:sz w:val="24"/>
          <w:szCs w:val="24"/>
        </w:rPr>
      </w:pPr>
    </w:p>
    <w:p w14:paraId="7E57C02C" w14:textId="2B28C87D" w:rsidR="00621E0D" w:rsidRDefault="00621E0D" w:rsidP="00621E0D">
      <w:pPr>
        <w:spacing w:line="480" w:lineRule="auto"/>
        <w:jc w:val="both"/>
        <w:rPr>
          <w:sz w:val="24"/>
          <w:szCs w:val="24"/>
        </w:rPr>
      </w:pPr>
      <w:r>
        <w:rPr>
          <w:sz w:val="24"/>
          <w:szCs w:val="24"/>
        </w:rPr>
        <w:t>[1</w:t>
      </w:r>
      <w:r w:rsidR="00D15B9C">
        <w:rPr>
          <w:sz w:val="24"/>
          <w:szCs w:val="24"/>
        </w:rPr>
        <w:t>7</w:t>
      </w:r>
      <w:r>
        <w:rPr>
          <w:sz w:val="24"/>
          <w:szCs w:val="24"/>
        </w:rPr>
        <w:t>]</w:t>
      </w:r>
      <w:r>
        <w:rPr>
          <w:sz w:val="24"/>
          <w:szCs w:val="24"/>
        </w:rPr>
        <w:tab/>
      </w:r>
      <w:r w:rsidRPr="003C0600">
        <w:rPr>
          <w:sz w:val="24"/>
          <w:szCs w:val="24"/>
        </w:rPr>
        <w:t xml:space="preserve">In </w:t>
      </w:r>
      <w:r w:rsidRPr="005D33FE">
        <w:rPr>
          <w:i/>
          <w:iCs/>
          <w:sz w:val="24"/>
          <w:szCs w:val="24"/>
        </w:rPr>
        <w:t>National Commissioner of Police and Another v Gun Owners of South Africa</w:t>
      </w:r>
      <w:r w:rsidRPr="003C0600">
        <w:rPr>
          <w:sz w:val="24"/>
          <w:szCs w:val="24"/>
        </w:rPr>
        <w:t xml:space="preserve">', the Court dealt with the amendment of the relief claimed at the instance of a Court. </w:t>
      </w:r>
      <w:r>
        <w:rPr>
          <w:sz w:val="24"/>
          <w:szCs w:val="24"/>
        </w:rPr>
        <w:t xml:space="preserve"> </w:t>
      </w:r>
      <w:r w:rsidRPr="003C0600">
        <w:rPr>
          <w:sz w:val="24"/>
          <w:szCs w:val="24"/>
        </w:rPr>
        <w:t>The SCA said the following'</w:t>
      </w:r>
      <w:r>
        <w:rPr>
          <w:sz w:val="24"/>
          <w:szCs w:val="24"/>
        </w:rPr>
        <w:t>:</w:t>
      </w:r>
    </w:p>
    <w:p w14:paraId="1D2121C0" w14:textId="0774527F" w:rsidR="00621E0D" w:rsidRDefault="00621E0D" w:rsidP="00CE4289">
      <w:pPr>
        <w:spacing w:line="480" w:lineRule="auto"/>
        <w:jc w:val="both"/>
        <w:rPr>
          <w:sz w:val="24"/>
          <w:szCs w:val="24"/>
        </w:rPr>
      </w:pPr>
    </w:p>
    <w:p w14:paraId="3AC2E550" w14:textId="777615C7" w:rsidR="00565B6A" w:rsidRPr="00106EC0" w:rsidRDefault="00621E0D" w:rsidP="00106EC0">
      <w:pPr>
        <w:pStyle w:val="NormalWeb"/>
        <w:shd w:val="clear" w:color="auto" w:fill="FFFFFF"/>
        <w:spacing w:before="144" w:beforeAutospacing="0" w:after="0" w:afterAutospacing="0" w:line="360" w:lineRule="atLeast"/>
        <w:ind w:left="709"/>
        <w:jc w:val="both"/>
        <w:rPr>
          <w:rFonts w:ascii="Verdana" w:hAnsi="Verdana"/>
          <w:color w:val="242121"/>
          <w:sz w:val="20"/>
          <w:szCs w:val="20"/>
        </w:rPr>
      </w:pPr>
      <w:r w:rsidRPr="00106EC0">
        <w:rPr>
          <w:color w:val="242121"/>
          <w:sz w:val="20"/>
          <w:szCs w:val="20"/>
        </w:rPr>
        <w:t>‘</w:t>
      </w:r>
      <w:r w:rsidR="00565B6A" w:rsidRPr="00106EC0">
        <w:rPr>
          <w:color w:val="242121"/>
          <w:sz w:val="20"/>
          <w:szCs w:val="20"/>
        </w:rPr>
        <w:t>[25] Counsel for the appellants submitted that this intervention by Prinsloo J was inappropriate, and effectively resulted in a new case for GOSA, put up at the instance of the court itself. In my view, the submission has merit for two related reasons. The first is that there is a real risk that judicial intervention of the kind in question, may render the court susceptible to an accusation of bias. It is a fundamental tenet of the administration of justice, now subsumed under the Constitution,</w:t>
      </w:r>
      <w:bookmarkStart w:id="0" w:name="_ftnref10"/>
      <w:r w:rsidR="00565B6A" w:rsidRPr="00106EC0">
        <w:rPr>
          <w:color w:val="242121"/>
          <w:sz w:val="20"/>
          <w:szCs w:val="20"/>
        </w:rPr>
        <w:fldChar w:fldCharType="begin"/>
      </w:r>
      <w:r w:rsidR="00565B6A" w:rsidRPr="00106EC0">
        <w:rPr>
          <w:color w:val="242121"/>
          <w:sz w:val="20"/>
          <w:szCs w:val="20"/>
        </w:rPr>
        <w:instrText>HYPERLINK "https://www.saflii.org/za/cases/ZASCA/2020/88.html" \l "_ftn10"</w:instrText>
      </w:r>
      <w:r w:rsidR="00565B6A" w:rsidRPr="00106EC0">
        <w:rPr>
          <w:color w:val="242121"/>
          <w:sz w:val="20"/>
          <w:szCs w:val="20"/>
        </w:rPr>
        <w:fldChar w:fldCharType="separate"/>
      </w:r>
      <w:r w:rsidR="00565B6A" w:rsidRPr="00106EC0">
        <w:rPr>
          <w:rStyle w:val="Hyperlink"/>
          <w:b/>
          <w:bCs/>
          <w:color w:val="0B4B0B"/>
          <w:sz w:val="20"/>
          <w:szCs w:val="20"/>
        </w:rPr>
        <w:t>[10]</w:t>
      </w:r>
      <w:r w:rsidR="00565B6A" w:rsidRPr="00106EC0">
        <w:rPr>
          <w:color w:val="242121"/>
          <w:sz w:val="20"/>
          <w:szCs w:val="20"/>
        </w:rPr>
        <w:fldChar w:fldCharType="end"/>
      </w:r>
      <w:bookmarkEnd w:id="0"/>
      <w:r w:rsidR="00565B6A" w:rsidRPr="00106EC0">
        <w:rPr>
          <w:color w:val="242121"/>
          <w:sz w:val="20"/>
          <w:szCs w:val="20"/>
        </w:rPr>
        <w:t> that all those who appear before our courts are treated fairly and that Judges act – and are seen to act – fairly and impartially throughout the proceedings. In </w:t>
      </w:r>
      <w:r w:rsidR="00565B6A" w:rsidRPr="00106EC0">
        <w:rPr>
          <w:i/>
          <w:iCs/>
          <w:color w:val="242121"/>
          <w:sz w:val="20"/>
          <w:szCs w:val="20"/>
        </w:rPr>
        <w:t>President of the RSA v SARFU</w:t>
      </w:r>
      <w:r w:rsidR="00565B6A" w:rsidRPr="00106EC0">
        <w:rPr>
          <w:color w:val="242121"/>
          <w:sz w:val="20"/>
          <w:szCs w:val="20"/>
        </w:rPr>
        <w:t>,</w:t>
      </w:r>
      <w:bookmarkStart w:id="1" w:name="_ftnref11"/>
      <w:r w:rsidR="00565B6A" w:rsidRPr="00106EC0">
        <w:rPr>
          <w:color w:val="242121"/>
          <w:sz w:val="20"/>
          <w:szCs w:val="20"/>
        </w:rPr>
        <w:fldChar w:fldCharType="begin"/>
      </w:r>
      <w:r w:rsidR="00565B6A" w:rsidRPr="00106EC0">
        <w:rPr>
          <w:color w:val="242121"/>
          <w:sz w:val="20"/>
          <w:szCs w:val="20"/>
        </w:rPr>
        <w:instrText>HYPERLINK "https://www.saflii.org/za/cases/ZASCA/2020/88.html" \l "_ftn11"</w:instrText>
      </w:r>
      <w:r w:rsidR="00565B6A" w:rsidRPr="00106EC0">
        <w:rPr>
          <w:color w:val="242121"/>
          <w:sz w:val="20"/>
          <w:szCs w:val="20"/>
        </w:rPr>
        <w:fldChar w:fldCharType="separate"/>
      </w:r>
      <w:r w:rsidR="00565B6A" w:rsidRPr="00106EC0">
        <w:rPr>
          <w:rStyle w:val="Hyperlink"/>
          <w:b/>
          <w:bCs/>
          <w:color w:val="0B4B0B"/>
          <w:sz w:val="20"/>
          <w:szCs w:val="20"/>
        </w:rPr>
        <w:t>[11]</w:t>
      </w:r>
      <w:r w:rsidR="00565B6A" w:rsidRPr="00106EC0">
        <w:rPr>
          <w:color w:val="242121"/>
          <w:sz w:val="20"/>
          <w:szCs w:val="20"/>
        </w:rPr>
        <w:fldChar w:fldCharType="end"/>
      </w:r>
      <w:bookmarkEnd w:id="1"/>
      <w:r w:rsidR="00565B6A" w:rsidRPr="00106EC0">
        <w:rPr>
          <w:color w:val="242121"/>
          <w:sz w:val="20"/>
          <w:szCs w:val="20"/>
        </w:rPr>
        <w:t> the Constitutional Court explained it this way:</w:t>
      </w:r>
    </w:p>
    <w:p w14:paraId="61E3F864" w14:textId="77777777" w:rsidR="00565B6A" w:rsidRPr="00106EC0" w:rsidRDefault="00565B6A" w:rsidP="009231E5">
      <w:pPr>
        <w:pStyle w:val="NormalWeb"/>
        <w:shd w:val="clear" w:color="auto" w:fill="FFFFFF"/>
        <w:spacing w:before="144" w:beforeAutospacing="0" w:after="0" w:afterAutospacing="0" w:line="360" w:lineRule="atLeast"/>
        <w:ind w:left="1440"/>
        <w:jc w:val="both"/>
        <w:rPr>
          <w:rFonts w:ascii="Verdana" w:hAnsi="Verdana"/>
          <w:color w:val="242121"/>
          <w:sz w:val="20"/>
          <w:szCs w:val="20"/>
        </w:rPr>
      </w:pPr>
      <w:r w:rsidRPr="00106EC0">
        <w:rPr>
          <w:rFonts w:ascii="Verdana" w:hAnsi="Verdana"/>
          <w:color w:val="242121"/>
          <w:sz w:val="20"/>
          <w:szCs w:val="20"/>
        </w:rPr>
        <w:t>‘</w:t>
      </w:r>
      <w:r w:rsidRPr="00106EC0">
        <w:rPr>
          <w:color w:val="242121"/>
          <w:sz w:val="20"/>
          <w:szCs w:val="20"/>
        </w:rPr>
        <w:t>A cornerstone of any fair and just legal system is the impartial adjudication of disputes which come before the courts and other tribunals. This applies, of course, to both criminal and civil cases as well as to quasi-judicial and administrative proceedings. Nothing is more likely to impair confidence in such proceedings, whether on the part of litigants or the general public, than actual bias or the appearance of bias in the official or officials who have the power to adjudicate on disputes.’</w:t>
      </w:r>
    </w:p>
    <w:p w14:paraId="01BCF55D" w14:textId="77777777" w:rsidR="00565B6A" w:rsidRPr="00106EC0" w:rsidRDefault="00565B6A" w:rsidP="00106EC0">
      <w:pPr>
        <w:pStyle w:val="NormalWeb"/>
        <w:shd w:val="clear" w:color="auto" w:fill="FFFFFF"/>
        <w:spacing w:before="144" w:beforeAutospacing="0" w:after="0" w:afterAutospacing="0" w:line="360" w:lineRule="atLeast"/>
        <w:ind w:left="709"/>
        <w:jc w:val="both"/>
        <w:rPr>
          <w:rFonts w:ascii="Verdana" w:hAnsi="Verdana"/>
          <w:color w:val="242121"/>
          <w:sz w:val="20"/>
          <w:szCs w:val="20"/>
        </w:rPr>
      </w:pPr>
      <w:r w:rsidRPr="00106EC0">
        <w:rPr>
          <w:color w:val="242121"/>
          <w:sz w:val="20"/>
          <w:szCs w:val="20"/>
        </w:rPr>
        <w:t>[26] The second reason is that in our adversarial system of litigation, a court is required to determine a dispute as set out in the affidavits (or oral evidence) of the parties to the litigation. It is a core principle of this system that the Judge remains neutral and aloof from the fray. This Court has, on more than one occasion, emphasised that the adjudication of a case is confined to the issues before a court:</w:t>
      </w:r>
    </w:p>
    <w:p w14:paraId="491DACE1" w14:textId="168DB3F7" w:rsidR="00565B6A" w:rsidRPr="00106EC0" w:rsidRDefault="00565B6A" w:rsidP="009231E5">
      <w:pPr>
        <w:pStyle w:val="NormalWeb"/>
        <w:shd w:val="clear" w:color="auto" w:fill="FFFFFF"/>
        <w:spacing w:before="144" w:beforeAutospacing="0" w:after="0" w:afterAutospacing="0" w:line="360" w:lineRule="atLeast"/>
        <w:ind w:left="1440"/>
        <w:jc w:val="both"/>
        <w:rPr>
          <w:rFonts w:ascii="Verdana" w:hAnsi="Verdana"/>
          <w:color w:val="242121"/>
          <w:sz w:val="20"/>
          <w:szCs w:val="20"/>
        </w:rPr>
      </w:pPr>
      <w:r w:rsidRPr="00106EC0">
        <w:rPr>
          <w:rFonts w:ascii="Verdana" w:hAnsi="Verdana"/>
          <w:color w:val="242121"/>
          <w:sz w:val="20"/>
          <w:szCs w:val="20"/>
        </w:rPr>
        <w:t>‘</w:t>
      </w:r>
      <w:r w:rsidRPr="00106EC0">
        <w:rPr>
          <w:i/>
          <w:iCs/>
          <w:color w:val="242121"/>
          <w:sz w:val="20"/>
          <w:szCs w:val="20"/>
        </w:rPr>
        <w:t>[I]t is for the parties</w:t>
      </w:r>
      <w:r w:rsidRPr="00106EC0">
        <w:rPr>
          <w:color w:val="242121"/>
          <w:sz w:val="20"/>
          <w:szCs w:val="20"/>
        </w:rPr>
        <w:t>, </w:t>
      </w:r>
      <w:r w:rsidRPr="00106EC0">
        <w:rPr>
          <w:i/>
          <w:iCs/>
          <w:color w:val="242121"/>
          <w:sz w:val="20"/>
          <w:szCs w:val="20"/>
        </w:rPr>
        <w:t>either in the pleadings or affidavits</w:t>
      </w:r>
      <w:r w:rsidRPr="00106EC0">
        <w:rPr>
          <w:color w:val="242121"/>
          <w:sz w:val="20"/>
          <w:szCs w:val="20"/>
        </w:rPr>
        <w:t> (which serve the function of both pleadings and evidence), </w:t>
      </w:r>
      <w:r w:rsidRPr="00106EC0">
        <w:rPr>
          <w:i/>
          <w:iCs/>
          <w:color w:val="242121"/>
          <w:sz w:val="20"/>
          <w:szCs w:val="20"/>
        </w:rPr>
        <w:t>to set out and define the nature of their dispute</w:t>
      </w:r>
      <w:r w:rsidRPr="00106EC0">
        <w:rPr>
          <w:color w:val="242121"/>
          <w:sz w:val="20"/>
          <w:szCs w:val="20"/>
        </w:rPr>
        <w:t>, and </w:t>
      </w:r>
      <w:r w:rsidRPr="00106EC0">
        <w:rPr>
          <w:i/>
          <w:iCs/>
          <w:color w:val="242121"/>
          <w:sz w:val="20"/>
          <w:szCs w:val="20"/>
        </w:rPr>
        <w:t>it is for the court</w:t>
      </w:r>
      <w:r w:rsidRPr="00106EC0">
        <w:rPr>
          <w:color w:val="242121"/>
          <w:sz w:val="20"/>
          <w:szCs w:val="20"/>
        </w:rPr>
        <w:t> </w:t>
      </w:r>
      <w:r w:rsidRPr="00106EC0">
        <w:rPr>
          <w:i/>
          <w:iCs/>
          <w:color w:val="242121"/>
          <w:sz w:val="20"/>
          <w:szCs w:val="20"/>
        </w:rPr>
        <w:t>to</w:t>
      </w:r>
      <w:r w:rsidRPr="00106EC0">
        <w:rPr>
          <w:color w:val="242121"/>
          <w:sz w:val="20"/>
          <w:szCs w:val="20"/>
        </w:rPr>
        <w:t> </w:t>
      </w:r>
      <w:r w:rsidRPr="00106EC0">
        <w:rPr>
          <w:i/>
          <w:iCs/>
          <w:color w:val="242121"/>
          <w:sz w:val="20"/>
          <w:szCs w:val="20"/>
        </w:rPr>
        <w:t>adjudicate upon those issues</w:t>
      </w:r>
      <w:r w:rsidRPr="00106EC0">
        <w:rPr>
          <w:color w:val="242121"/>
          <w:sz w:val="20"/>
          <w:szCs w:val="20"/>
        </w:rPr>
        <w:t>. That is so even where the dispute involves an issue pertaining to the basic human rights guaranteed by our Constitution, for “it is impermissible for a party to rely on a constitutional complaint that was not pleaded”. There are cases where the parties may expand those issues by the way in which they conduct the proceedings. There may also be instances where the court may mero motu raise a question of law that emerges fully from the evidence and is necessary for the decision of the case. That is subject to the proviso that no prejudice will be caused to any party by its being decided. Beyond that </w:t>
      </w:r>
      <w:r w:rsidRPr="00106EC0">
        <w:rPr>
          <w:i/>
          <w:iCs/>
          <w:color w:val="242121"/>
          <w:sz w:val="20"/>
          <w:szCs w:val="20"/>
        </w:rPr>
        <w:t>it is for the parties to identify the dispute and for the court to determine that dispute and that dispute alone</w:t>
      </w:r>
      <w:r w:rsidRPr="00106EC0">
        <w:rPr>
          <w:color w:val="242121"/>
          <w:sz w:val="20"/>
          <w:szCs w:val="20"/>
        </w:rPr>
        <w:t>.’</w:t>
      </w:r>
      <w:bookmarkStart w:id="2" w:name="_ftnref12"/>
      <w:r w:rsidRPr="00106EC0">
        <w:rPr>
          <w:color w:val="242121"/>
          <w:sz w:val="20"/>
          <w:szCs w:val="20"/>
        </w:rPr>
        <w:fldChar w:fldCharType="begin"/>
      </w:r>
      <w:r w:rsidRPr="00106EC0">
        <w:rPr>
          <w:color w:val="242121"/>
          <w:sz w:val="20"/>
          <w:szCs w:val="20"/>
        </w:rPr>
        <w:instrText>HYPERLINK "https://www.saflii.org/za/cases/ZASCA/2020/88.html" \l "_ftn12"</w:instrText>
      </w:r>
      <w:r w:rsidRPr="00106EC0">
        <w:rPr>
          <w:color w:val="242121"/>
          <w:sz w:val="20"/>
          <w:szCs w:val="20"/>
        </w:rPr>
        <w:fldChar w:fldCharType="separate"/>
      </w:r>
      <w:r w:rsidRPr="00106EC0">
        <w:rPr>
          <w:rStyle w:val="Hyperlink"/>
          <w:b/>
          <w:bCs/>
          <w:color w:val="0B4B0B"/>
          <w:sz w:val="20"/>
          <w:szCs w:val="20"/>
        </w:rPr>
        <w:t>[12]</w:t>
      </w:r>
      <w:r w:rsidRPr="00106EC0">
        <w:rPr>
          <w:color w:val="242121"/>
          <w:sz w:val="20"/>
          <w:szCs w:val="20"/>
        </w:rPr>
        <w:fldChar w:fldCharType="end"/>
      </w:r>
      <w:bookmarkEnd w:id="2"/>
      <w:r w:rsidR="00106EC0" w:rsidRPr="00106EC0">
        <w:rPr>
          <w:color w:val="242121"/>
          <w:sz w:val="20"/>
          <w:szCs w:val="20"/>
        </w:rPr>
        <w:t>’</w:t>
      </w:r>
    </w:p>
    <w:p w14:paraId="4B349BCC" w14:textId="610D52C7" w:rsidR="006A4743" w:rsidRDefault="004B2860" w:rsidP="00433EC6">
      <w:pPr>
        <w:pStyle w:val="NormalWeb"/>
        <w:shd w:val="clear" w:color="auto" w:fill="FFFFFF"/>
        <w:spacing w:before="144" w:beforeAutospacing="0" w:after="0" w:afterAutospacing="0" w:line="480" w:lineRule="auto"/>
        <w:jc w:val="both"/>
        <w:rPr>
          <w:rFonts w:ascii="Arial" w:hAnsi="Arial" w:cs="Arial"/>
        </w:rPr>
      </w:pPr>
      <w:r w:rsidRPr="00F26922">
        <w:rPr>
          <w:rFonts w:ascii="Arial" w:hAnsi="Arial" w:cs="Arial"/>
        </w:rPr>
        <w:lastRenderedPageBreak/>
        <w:t>[1</w:t>
      </w:r>
      <w:r w:rsidR="00D15B9C" w:rsidRPr="00F26922">
        <w:rPr>
          <w:rFonts w:ascii="Arial" w:hAnsi="Arial" w:cs="Arial"/>
        </w:rPr>
        <w:t>8</w:t>
      </w:r>
      <w:r w:rsidRPr="00F26922">
        <w:rPr>
          <w:rFonts w:ascii="Arial" w:hAnsi="Arial" w:cs="Arial"/>
        </w:rPr>
        <w:t>]</w:t>
      </w:r>
      <w:r w:rsidR="009E7566" w:rsidRPr="00F26922">
        <w:rPr>
          <w:rFonts w:ascii="Arial" w:hAnsi="Arial" w:cs="Arial"/>
        </w:rPr>
        <w:tab/>
      </w:r>
      <w:r w:rsidR="00D15B9C" w:rsidRPr="00F26922">
        <w:rPr>
          <w:rFonts w:ascii="Arial" w:hAnsi="Arial" w:cs="Arial"/>
        </w:rPr>
        <w:t xml:space="preserve">The Appellants were not alerted in advance that the aforementioned order would be requested, nor were they given the opportunity to present their case.  </w:t>
      </w:r>
      <w:r w:rsidR="006A4743" w:rsidRPr="00F26922">
        <w:rPr>
          <w:rFonts w:ascii="Arial" w:hAnsi="Arial" w:cs="Arial"/>
        </w:rPr>
        <w:t xml:space="preserve">As a result of </w:t>
      </w:r>
      <w:r w:rsidR="006A4743" w:rsidRPr="00D15B9C">
        <w:rPr>
          <w:rFonts w:ascii="Arial" w:hAnsi="Arial" w:cs="Arial"/>
        </w:rPr>
        <w:t>this</w:t>
      </w:r>
      <w:r w:rsidR="006A4743">
        <w:rPr>
          <w:rFonts w:ascii="Arial" w:hAnsi="Arial" w:cs="Arial"/>
        </w:rPr>
        <w:t xml:space="preserve"> alone, the order cannot stand and must be set aside.</w:t>
      </w:r>
      <w:r w:rsidR="004C7342">
        <w:rPr>
          <w:rFonts w:ascii="Arial" w:hAnsi="Arial" w:cs="Arial"/>
        </w:rPr>
        <w:t xml:space="preserve">  </w:t>
      </w:r>
      <w:bookmarkStart w:id="3" w:name="_GoBack"/>
      <w:bookmarkEnd w:id="3"/>
    </w:p>
    <w:p w14:paraId="642459AF" w14:textId="77777777" w:rsidR="00F316B9" w:rsidRPr="00433EC6" w:rsidRDefault="00F316B9" w:rsidP="00433EC6">
      <w:pPr>
        <w:pStyle w:val="NormalWeb"/>
        <w:shd w:val="clear" w:color="auto" w:fill="FFFFFF"/>
        <w:spacing w:before="144" w:beforeAutospacing="0" w:after="0" w:afterAutospacing="0" w:line="480" w:lineRule="auto"/>
        <w:jc w:val="both"/>
        <w:rPr>
          <w:rFonts w:ascii="Arial" w:hAnsi="Arial" w:cs="Arial"/>
          <w:color w:val="242121"/>
          <w:sz w:val="27"/>
          <w:szCs w:val="27"/>
        </w:rPr>
      </w:pPr>
    </w:p>
    <w:p w14:paraId="51437784" w14:textId="72ADF57C" w:rsidR="009C28B3" w:rsidRPr="00073462" w:rsidRDefault="009C28B3" w:rsidP="009C28B3">
      <w:pPr>
        <w:spacing w:line="480" w:lineRule="auto"/>
        <w:jc w:val="both"/>
        <w:rPr>
          <w:sz w:val="24"/>
          <w:szCs w:val="24"/>
        </w:rPr>
      </w:pPr>
      <w:r w:rsidRPr="00073462">
        <w:rPr>
          <w:sz w:val="24"/>
          <w:szCs w:val="24"/>
        </w:rPr>
        <w:t>As a result, the following order is made:</w:t>
      </w:r>
    </w:p>
    <w:p w14:paraId="0D35A958" w14:textId="77777777" w:rsidR="0031507B" w:rsidRDefault="0031507B" w:rsidP="00604592">
      <w:pPr>
        <w:spacing w:line="360" w:lineRule="auto"/>
        <w:jc w:val="both"/>
        <w:rPr>
          <w:sz w:val="24"/>
          <w:szCs w:val="24"/>
        </w:rPr>
      </w:pPr>
    </w:p>
    <w:p w14:paraId="6CA85D8D" w14:textId="77777777" w:rsidR="0098783A" w:rsidRDefault="0098783A" w:rsidP="0098783A">
      <w:pPr>
        <w:spacing w:line="480" w:lineRule="auto"/>
        <w:jc w:val="both"/>
        <w:rPr>
          <w:sz w:val="24"/>
          <w:szCs w:val="24"/>
        </w:rPr>
      </w:pPr>
      <w:r>
        <w:rPr>
          <w:b/>
          <w:bCs/>
          <w:sz w:val="24"/>
          <w:szCs w:val="24"/>
        </w:rPr>
        <w:t>ORDER</w:t>
      </w:r>
      <w:r>
        <w:rPr>
          <w:sz w:val="24"/>
          <w:szCs w:val="24"/>
        </w:rPr>
        <w:t>:</w:t>
      </w:r>
    </w:p>
    <w:p w14:paraId="0000004F" w14:textId="77777777" w:rsidR="0077354F" w:rsidRPr="00073462" w:rsidRDefault="0077354F" w:rsidP="00073462">
      <w:pPr>
        <w:spacing w:line="480" w:lineRule="auto"/>
        <w:jc w:val="both"/>
        <w:rPr>
          <w:sz w:val="24"/>
          <w:szCs w:val="24"/>
        </w:rPr>
      </w:pPr>
    </w:p>
    <w:p w14:paraId="00000051" w14:textId="77777777" w:rsidR="0077354F" w:rsidRPr="00073462" w:rsidRDefault="0077354F" w:rsidP="00073462">
      <w:pPr>
        <w:spacing w:line="480" w:lineRule="auto"/>
        <w:jc w:val="both"/>
        <w:rPr>
          <w:sz w:val="24"/>
          <w:szCs w:val="24"/>
        </w:rPr>
      </w:pPr>
    </w:p>
    <w:p w14:paraId="00000052" w14:textId="2AA3F7C5" w:rsidR="0077354F" w:rsidRDefault="00135F57" w:rsidP="00073462">
      <w:pPr>
        <w:numPr>
          <w:ilvl w:val="0"/>
          <w:numId w:val="1"/>
        </w:numPr>
        <w:spacing w:line="480" w:lineRule="auto"/>
        <w:jc w:val="both"/>
        <w:rPr>
          <w:sz w:val="24"/>
          <w:szCs w:val="24"/>
        </w:rPr>
      </w:pPr>
      <w:r w:rsidRPr="00073462">
        <w:rPr>
          <w:sz w:val="24"/>
          <w:szCs w:val="24"/>
        </w:rPr>
        <w:t>The appeal is</w:t>
      </w:r>
      <w:r w:rsidR="00FE6578">
        <w:rPr>
          <w:sz w:val="24"/>
          <w:szCs w:val="24"/>
        </w:rPr>
        <w:t xml:space="preserve"> upheld </w:t>
      </w:r>
      <w:r w:rsidRPr="00073462">
        <w:rPr>
          <w:sz w:val="24"/>
          <w:szCs w:val="24"/>
        </w:rPr>
        <w:t>with costs.</w:t>
      </w:r>
    </w:p>
    <w:p w14:paraId="14FAB639" w14:textId="77777777" w:rsidR="00FE6578" w:rsidRPr="00073462" w:rsidRDefault="00FE6578" w:rsidP="00FE6578">
      <w:pPr>
        <w:spacing w:line="480" w:lineRule="auto"/>
        <w:ind w:left="720"/>
        <w:jc w:val="both"/>
        <w:rPr>
          <w:sz w:val="24"/>
          <w:szCs w:val="24"/>
        </w:rPr>
      </w:pPr>
    </w:p>
    <w:p w14:paraId="5C183908" w14:textId="77777777" w:rsidR="00DC396D" w:rsidRDefault="00135F57" w:rsidP="00073462">
      <w:pPr>
        <w:numPr>
          <w:ilvl w:val="0"/>
          <w:numId w:val="1"/>
        </w:numPr>
        <w:spacing w:line="480" w:lineRule="auto"/>
        <w:jc w:val="both"/>
        <w:rPr>
          <w:sz w:val="24"/>
          <w:szCs w:val="24"/>
        </w:rPr>
      </w:pPr>
      <w:r w:rsidRPr="00073462">
        <w:rPr>
          <w:sz w:val="24"/>
          <w:szCs w:val="24"/>
        </w:rPr>
        <w:t xml:space="preserve">The order of the </w:t>
      </w:r>
      <w:r w:rsidR="00FE6578">
        <w:rPr>
          <w:sz w:val="24"/>
          <w:szCs w:val="24"/>
        </w:rPr>
        <w:t xml:space="preserve">Honourable </w:t>
      </w:r>
      <w:r w:rsidR="00DC396D">
        <w:rPr>
          <w:sz w:val="24"/>
          <w:szCs w:val="24"/>
        </w:rPr>
        <w:t xml:space="preserve">Acting Justice </w:t>
      </w:r>
      <w:r w:rsidRPr="00073462">
        <w:rPr>
          <w:sz w:val="24"/>
          <w:szCs w:val="24"/>
        </w:rPr>
        <w:t>Lenyai</w:t>
      </w:r>
      <w:r w:rsidR="00DC396D">
        <w:rPr>
          <w:sz w:val="24"/>
          <w:szCs w:val="24"/>
        </w:rPr>
        <w:t>,</w:t>
      </w:r>
      <w:r w:rsidRPr="00073462">
        <w:rPr>
          <w:sz w:val="24"/>
          <w:szCs w:val="24"/>
        </w:rPr>
        <w:t xml:space="preserve"> granted on 1 December 2021, is substituted with the following: </w:t>
      </w:r>
    </w:p>
    <w:p w14:paraId="2850C45F" w14:textId="77777777" w:rsidR="00DC396D" w:rsidRDefault="00DC396D" w:rsidP="00DC396D">
      <w:pPr>
        <w:pStyle w:val="ListParagraph"/>
        <w:rPr>
          <w:sz w:val="24"/>
          <w:szCs w:val="24"/>
        </w:rPr>
      </w:pPr>
    </w:p>
    <w:p w14:paraId="00000053" w14:textId="566FBD27" w:rsidR="0077354F" w:rsidRDefault="00DC396D" w:rsidP="00DC396D">
      <w:pPr>
        <w:spacing w:line="480" w:lineRule="auto"/>
        <w:ind w:left="720"/>
        <w:jc w:val="both"/>
        <w:rPr>
          <w:sz w:val="24"/>
          <w:szCs w:val="24"/>
        </w:rPr>
      </w:pPr>
      <w:r>
        <w:rPr>
          <w:sz w:val="24"/>
          <w:szCs w:val="24"/>
        </w:rPr>
        <w:t xml:space="preserve">“The Application is </w:t>
      </w:r>
      <w:r w:rsidR="00135F57" w:rsidRPr="00DC396D">
        <w:rPr>
          <w:sz w:val="24"/>
          <w:szCs w:val="24"/>
        </w:rPr>
        <w:t>dismissed with costs, such costs to include the reserved costs on 13 September 2021.</w:t>
      </w:r>
      <w:r>
        <w:rPr>
          <w:sz w:val="24"/>
          <w:szCs w:val="24"/>
        </w:rPr>
        <w:t>”</w:t>
      </w:r>
    </w:p>
    <w:p w14:paraId="55E4E498" w14:textId="77777777" w:rsidR="00D2723E" w:rsidRDefault="00D2723E" w:rsidP="00D2723E">
      <w:pPr>
        <w:spacing w:line="480" w:lineRule="auto"/>
        <w:jc w:val="both"/>
        <w:rPr>
          <w:sz w:val="24"/>
          <w:szCs w:val="24"/>
        </w:rPr>
      </w:pPr>
    </w:p>
    <w:p w14:paraId="5A765CC5" w14:textId="77777777" w:rsidR="00D2723E" w:rsidRDefault="00D2723E" w:rsidP="00D2723E">
      <w:pPr>
        <w:spacing w:line="240" w:lineRule="auto"/>
        <w:jc w:val="right"/>
        <w:rPr>
          <w:b/>
          <w:bCs/>
          <w:sz w:val="24"/>
          <w:szCs w:val="24"/>
        </w:rPr>
      </w:pPr>
    </w:p>
    <w:p w14:paraId="09D1D3BA" w14:textId="77777777" w:rsidR="00D2723E" w:rsidRPr="00CD3F97" w:rsidRDefault="00D2723E" w:rsidP="00D2723E">
      <w:pPr>
        <w:spacing w:line="240" w:lineRule="auto"/>
        <w:jc w:val="right"/>
        <w:rPr>
          <w:b/>
          <w:bCs/>
          <w:sz w:val="24"/>
          <w:szCs w:val="24"/>
        </w:rPr>
      </w:pPr>
    </w:p>
    <w:p w14:paraId="51B43819" w14:textId="77777777" w:rsidR="00D2723E" w:rsidRPr="00CD3F97" w:rsidRDefault="00D2723E" w:rsidP="00D2723E">
      <w:pPr>
        <w:spacing w:line="240" w:lineRule="auto"/>
        <w:jc w:val="right"/>
        <w:rPr>
          <w:b/>
          <w:bCs/>
          <w:sz w:val="24"/>
          <w:szCs w:val="24"/>
        </w:rPr>
      </w:pPr>
      <w:r w:rsidRPr="00CD3F97">
        <w:rPr>
          <w:b/>
          <w:bCs/>
          <w:sz w:val="24"/>
          <w:szCs w:val="24"/>
        </w:rPr>
        <w:t>__________________________</w:t>
      </w:r>
      <w:r>
        <w:rPr>
          <w:b/>
          <w:bCs/>
          <w:sz w:val="24"/>
          <w:szCs w:val="24"/>
        </w:rPr>
        <w:t>___</w:t>
      </w:r>
      <w:r w:rsidRPr="00CD3F97">
        <w:rPr>
          <w:b/>
          <w:bCs/>
          <w:sz w:val="24"/>
          <w:szCs w:val="24"/>
        </w:rPr>
        <w:t>___</w:t>
      </w:r>
      <w:r>
        <w:rPr>
          <w:b/>
          <w:bCs/>
          <w:sz w:val="24"/>
          <w:szCs w:val="24"/>
        </w:rPr>
        <w:t>_____</w:t>
      </w:r>
    </w:p>
    <w:p w14:paraId="09D8F366" w14:textId="77777777" w:rsidR="00D2723E" w:rsidRDefault="00D2723E" w:rsidP="00D2723E">
      <w:pPr>
        <w:spacing w:line="240" w:lineRule="auto"/>
        <w:jc w:val="right"/>
        <w:rPr>
          <w:b/>
          <w:bCs/>
          <w:sz w:val="24"/>
          <w:szCs w:val="24"/>
        </w:rPr>
      </w:pPr>
      <w:r>
        <w:rPr>
          <w:b/>
          <w:bCs/>
          <w:sz w:val="24"/>
          <w:szCs w:val="24"/>
        </w:rPr>
        <w:t xml:space="preserve"> COETZEE, AJ</w:t>
      </w:r>
    </w:p>
    <w:p w14:paraId="62FE3B23" w14:textId="77777777" w:rsidR="00D2723E" w:rsidRDefault="00D2723E" w:rsidP="00D2723E">
      <w:pPr>
        <w:spacing w:line="240" w:lineRule="auto"/>
        <w:jc w:val="right"/>
        <w:rPr>
          <w:b/>
          <w:bCs/>
          <w:sz w:val="24"/>
          <w:szCs w:val="24"/>
        </w:rPr>
      </w:pPr>
      <w:r>
        <w:rPr>
          <w:b/>
          <w:bCs/>
          <w:sz w:val="24"/>
          <w:szCs w:val="24"/>
        </w:rPr>
        <w:t>ACTING JUDGE OF THE HIGH COURT</w:t>
      </w:r>
    </w:p>
    <w:p w14:paraId="4E2F9890" w14:textId="77777777" w:rsidR="00D2723E" w:rsidRDefault="00D2723E" w:rsidP="00D2723E">
      <w:pPr>
        <w:spacing w:line="240" w:lineRule="auto"/>
        <w:jc w:val="right"/>
        <w:rPr>
          <w:b/>
          <w:bCs/>
          <w:sz w:val="24"/>
          <w:szCs w:val="24"/>
        </w:rPr>
      </w:pPr>
      <w:r>
        <w:rPr>
          <w:b/>
          <w:bCs/>
          <w:sz w:val="24"/>
          <w:szCs w:val="24"/>
        </w:rPr>
        <w:t xml:space="preserve">GAUTENG DIVISION OF THE HIGH COURT, </w:t>
      </w:r>
    </w:p>
    <w:p w14:paraId="12FCA6E7" w14:textId="77777777" w:rsidR="00D2723E" w:rsidRPr="00CD3F97" w:rsidRDefault="00D2723E" w:rsidP="00D2723E">
      <w:pPr>
        <w:spacing w:line="240" w:lineRule="auto"/>
        <w:jc w:val="right"/>
        <w:rPr>
          <w:b/>
          <w:bCs/>
          <w:sz w:val="24"/>
          <w:szCs w:val="24"/>
        </w:rPr>
      </w:pPr>
      <w:r>
        <w:rPr>
          <w:b/>
          <w:bCs/>
          <w:sz w:val="24"/>
          <w:szCs w:val="24"/>
        </w:rPr>
        <w:t>PRETORIA</w:t>
      </w:r>
    </w:p>
    <w:p w14:paraId="019BB68D" w14:textId="77777777" w:rsidR="00D2723E" w:rsidRDefault="00D2723E" w:rsidP="00D2723E">
      <w:pPr>
        <w:spacing w:line="240" w:lineRule="auto"/>
        <w:jc w:val="both"/>
        <w:rPr>
          <w:sz w:val="24"/>
          <w:szCs w:val="24"/>
        </w:rPr>
      </w:pPr>
    </w:p>
    <w:p w14:paraId="4DB6EF67" w14:textId="77777777" w:rsidR="00D2723E" w:rsidRDefault="00D2723E" w:rsidP="00D2723E">
      <w:pPr>
        <w:spacing w:line="240" w:lineRule="auto"/>
        <w:jc w:val="both"/>
        <w:rPr>
          <w:sz w:val="24"/>
          <w:szCs w:val="24"/>
        </w:rPr>
      </w:pPr>
    </w:p>
    <w:p w14:paraId="7E0B1463" w14:textId="77777777" w:rsidR="00D2723E" w:rsidRDefault="00D2723E" w:rsidP="00D2723E">
      <w:pPr>
        <w:spacing w:line="240" w:lineRule="auto"/>
        <w:jc w:val="both"/>
        <w:rPr>
          <w:sz w:val="24"/>
          <w:szCs w:val="24"/>
        </w:rPr>
      </w:pPr>
    </w:p>
    <w:p w14:paraId="7E1F93C8" w14:textId="77777777" w:rsidR="00D2723E" w:rsidRDefault="00D2723E" w:rsidP="00D2723E">
      <w:pPr>
        <w:spacing w:line="240" w:lineRule="auto"/>
        <w:jc w:val="right"/>
        <w:rPr>
          <w:sz w:val="24"/>
          <w:szCs w:val="24"/>
        </w:rPr>
      </w:pPr>
    </w:p>
    <w:p w14:paraId="1C7553F3" w14:textId="30A0346C" w:rsidR="00D2723E" w:rsidRDefault="00D2723E" w:rsidP="00D2723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eastAsia="Calibri"/>
          <w:i/>
          <w:sz w:val="24"/>
          <w:szCs w:val="24"/>
          <w:lang w:val="en-GB"/>
        </w:rPr>
      </w:pPr>
      <w:r>
        <w:rPr>
          <w:rFonts w:eastAsia="Calibri"/>
          <w:i/>
          <w:sz w:val="24"/>
          <w:szCs w:val="24"/>
          <w:lang w:val="en-GB"/>
        </w:rPr>
        <w:t xml:space="preserve">Delivered: This judgment was prepared and authored by the Judge whose name is reflected and is handed down electronically by circulation to the Parties/their legal </w:t>
      </w:r>
      <w:r>
        <w:rPr>
          <w:rFonts w:eastAsia="Calibri"/>
          <w:i/>
          <w:sz w:val="24"/>
          <w:szCs w:val="24"/>
          <w:lang w:val="en-GB"/>
        </w:rPr>
        <w:lastRenderedPageBreak/>
        <w:t>representatives by email and by uploading it to the electronic file of this matter on CaseLines. The date for hand-down is deemed to be the</w:t>
      </w:r>
    </w:p>
    <w:p w14:paraId="22A834F0" w14:textId="77777777" w:rsidR="00D2723E" w:rsidRPr="00E605DB" w:rsidRDefault="00D2723E" w:rsidP="00D2723E">
      <w:pPr>
        <w:spacing w:line="480" w:lineRule="auto"/>
        <w:rPr>
          <w:sz w:val="24"/>
          <w:szCs w:val="24"/>
        </w:rPr>
      </w:pPr>
    </w:p>
    <w:p w14:paraId="60FFE3DC" w14:textId="77777777" w:rsidR="00D2723E" w:rsidRPr="00DC396D" w:rsidRDefault="00D2723E" w:rsidP="00D2723E">
      <w:pPr>
        <w:spacing w:line="480" w:lineRule="auto"/>
        <w:jc w:val="both"/>
        <w:rPr>
          <w:sz w:val="24"/>
          <w:szCs w:val="24"/>
        </w:rPr>
      </w:pPr>
    </w:p>
    <w:sectPr w:rsidR="00D2723E" w:rsidRPr="00DC396D" w:rsidSect="0098783A">
      <w:headerReference w:type="defaul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93068" w14:textId="77777777" w:rsidR="001775D2" w:rsidRDefault="001775D2" w:rsidP="0098783A">
      <w:pPr>
        <w:spacing w:line="240" w:lineRule="auto"/>
      </w:pPr>
      <w:r>
        <w:separator/>
      </w:r>
    </w:p>
  </w:endnote>
  <w:endnote w:type="continuationSeparator" w:id="0">
    <w:p w14:paraId="73DB1D91" w14:textId="77777777" w:rsidR="001775D2" w:rsidRDefault="001775D2" w:rsidP="00987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B6CD" w14:textId="77777777" w:rsidR="001775D2" w:rsidRDefault="001775D2" w:rsidP="0098783A">
      <w:pPr>
        <w:spacing w:line="240" w:lineRule="auto"/>
      </w:pPr>
      <w:r>
        <w:separator/>
      </w:r>
    </w:p>
  </w:footnote>
  <w:footnote w:type="continuationSeparator" w:id="0">
    <w:p w14:paraId="37B3BCAA" w14:textId="77777777" w:rsidR="001775D2" w:rsidRDefault="001775D2" w:rsidP="0098783A">
      <w:pPr>
        <w:spacing w:line="240" w:lineRule="auto"/>
      </w:pPr>
      <w:r>
        <w:continuationSeparator/>
      </w:r>
    </w:p>
  </w:footnote>
  <w:footnote w:id="1">
    <w:p w14:paraId="61D9EAB2" w14:textId="4D400159" w:rsidR="004656AE" w:rsidRPr="004656AE" w:rsidRDefault="004656AE">
      <w:pPr>
        <w:pStyle w:val="FootnoteText"/>
        <w:rPr>
          <w:lang w:val="en-ZA"/>
        </w:rPr>
      </w:pPr>
      <w:r>
        <w:rPr>
          <w:rStyle w:val="FootnoteReference"/>
        </w:rPr>
        <w:footnoteRef/>
      </w:r>
      <w:r>
        <w:t xml:space="preserve"> </w:t>
      </w:r>
      <w:r>
        <w:rPr>
          <w:lang w:val="en-ZA"/>
        </w:rPr>
        <w:t>Record</w:t>
      </w:r>
      <w:r w:rsidR="00716423">
        <w:rPr>
          <w:lang w:val="en-ZA"/>
        </w:rPr>
        <w:t>, Volume 1, pg. 4 and 5.</w:t>
      </w:r>
    </w:p>
  </w:footnote>
  <w:footnote w:id="2">
    <w:p w14:paraId="6BD8B195" w14:textId="4BC1A044" w:rsidR="00853DD6" w:rsidRPr="00853DD6" w:rsidRDefault="00853DD6">
      <w:pPr>
        <w:pStyle w:val="FootnoteText"/>
        <w:rPr>
          <w:lang w:val="en-ZA"/>
        </w:rPr>
      </w:pPr>
      <w:r>
        <w:rPr>
          <w:rStyle w:val="FootnoteReference"/>
        </w:rPr>
        <w:footnoteRef/>
      </w:r>
      <w:r>
        <w:t xml:space="preserve"> </w:t>
      </w:r>
      <w:r w:rsidR="005A00B7">
        <w:rPr>
          <w:lang w:val="en-ZA"/>
        </w:rPr>
        <w:t>Record, Volume 3, pg. 2</w:t>
      </w:r>
      <w:r w:rsidR="00B258CA">
        <w:rPr>
          <w:lang w:val="en-ZA"/>
        </w:rPr>
        <w:t xml:space="preserve">58 to </w:t>
      </w:r>
      <w:r w:rsidR="006F70D7">
        <w:rPr>
          <w:lang w:val="en-ZA"/>
        </w:rPr>
        <w:t>289.</w:t>
      </w:r>
    </w:p>
  </w:footnote>
  <w:footnote w:id="3">
    <w:p w14:paraId="4E56B199" w14:textId="2B7D6F6B" w:rsidR="009E2026" w:rsidRPr="009E2026" w:rsidRDefault="009E2026">
      <w:pPr>
        <w:pStyle w:val="FootnoteText"/>
        <w:rPr>
          <w:lang w:val="en-ZA"/>
        </w:rPr>
      </w:pPr>
      <w:r>
        <w:rPr>
          <w:rStyle w:val="FootnoteReference"/>
        </w:rPr>
        <w:footnoteRef/>
      </w:r>
      <w:r>
        <w:t xml:space="preserve"> </w:t>
      </w:r>
      <w:r>
        <w:rPr>
          <w:lang w:val="en-ZA"/>
        </w:rPr>
        <w:t xml:space="preserve">Record, Volume 3, </w:t>
      </w:r>
      <w:r w:rsidR="002B7FA2">
        <w:rPr>
          <w:lang w:val="en-ZA"/>
        </w:rPr>
        <w:t>pg. 298 to 299.</w:t>
      </w:r>
    </w:p>
  </w:footnote>
  <w:footnote w:id="4">
    <w:p w14:paraId="7CB50169" w14:textId="7613A026" w:rsidR="004D0348" w:rsidRPr="004D0348" w:rsidRDefault="004D0348">
      <w:pPr>
        <w:pStyle w:val="FootnoteText"/>
        <w:rPr>
          <w:lang w:val="en-ZA"/>
        </w:rPr>
      </w:pPr>
      <w:r>
        <w:rPr>
          <w:rStyle w:val="FootnoteReference"/>
        </w:rPr>
        <w:footnoteRef/>
      </w:r>
      <w:r>
        <w:t xml:space="preserve"> </w:t>
      </w:r>
      <w:r>
        <w:rPr>
          <w:lang w:val="en-ZA"/>
        </w:rPr>
        <w:t xml:space="preserve">Record, </w:t>
      </w:r>
      <w:r w:rsidR="00B602C5">
        <w:rPr>
          <w:lang w:val="en-ZA"/>
        </w:rPr>
        <w:t>Volume 6, pg. 501 and 502.</w:t>
      </w:r>
    </w:p>
  </w:footnote>
  <w:footnote w:id="5">
    <w:p w14:paraId="08F3D143" w14:textId="48C6E74D" w:rsidR="00FD7061" w:rsidRPr="00FD7061" w:rsidRDefault="00FD7061">
      <w:pPr>
        <w:pStyle w:val="FootnoteText"/>
        <w:rPr>
          <w:lang w:val="en-ZA"/>
        </w:rPr>
      </w:pPr>
      <w:r>
        <w:rPr>
          <w:rStyle w:val="FootnoteReference"/>
        </w:rPr>
        <w:footnoteRef/>
      </w:r>
      <w:r>
        <w:t xml:space="preserve"> </w:t>
      </w:r>
      <w:r w:rsidR="008E6720">
        <w:rPr>
          <w:lang w:val="en-ZA"/>
        </w:rPr>
        <w:t>Record, Volume 5, pg. 490 to 500.</w:t>
      </w:r>
    </w:p>
  </w:footnote>
  <w:footnote w:id="6">
    <w:p w14:paraId="3FD9E907" w14:textId="77777777" w:rsidR="001D14E6" w:rsidRDefault="001D14E6" w:rsidP="001D14E6">
      <w:pPr>
        <w:pStyle w:val="FootnoteText"/>
      </w:pPr>
      <w:r>
        <w:rPr>
          <w:rStyle w:val="FootnoteReference"/>
          <w:rFonts w:ascii="Arial" w:hAnsi="Arial" w:cs="Arial"/>
        </w:rPr>
        <w:footnoteRef/>
      </w:r>
      <w:r>
        <w:rPr>
          <w:rFonts w:ascii="Arial" w:hAnsi="Arial" w:cs="Arial"/>
        </w:rPr>
        <w:t xml:space="preserve"> (1136-1140/2021) [2023] ZASCA 64 (8 May 2023) at par 33 to 34.</w:t>
      </w:r>
    </w:p>
  </w:footnote>
  <w:footnote w:id="7">
    <w:p w14:paraId="304ECEBE" w14:textId="77777777" w:rsidR="00C958C1" w:rsidRDefault="00C958C1" w:rsidP="00C958C1">
      <w:pPr>
        <w:pStyle w:val="FootnoteText"/>
      </w:pPr>
      <w:r>
        <w:rPr>
          <w:rStyle w:val="FootnoteReference"/>
          <w:rFonts w:ascii="Arial" w:hAnsi="Arial" w:cs="Arial"/>
        </w:rPr>
        <w:footnoteRef/>
      </w:r>
      <w:r>
        <w:rPr>
          <w:rFonts w:ascii="Arial" w:hAnsi="Arial" w:cs="Arial"/>
        </w:rPr>
        <w:t xml:space="preserve"> 2006 (4) SA 355 (CPD) at paras [10] -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29BEB46" w14:textId="7283CF4A" w:rsidR="0098783A" w:rsidRDefault="0098783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1EB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1EB0">
          <w:rPr>
            <w:b/>
            <w:bCs/>
            <w:noProof/>
          </w:rPr>
          <w:t>13</w:t>
        </w:r>
        <w:r>
          <w:rPr>
            <w:b/>
            <w:bCs/>
            <w:sz w:val="24"/>
            <w:szCs w:val="24"/>
          </w:rPr>
          <w:fldChar w:fldCharType="end"/>
        </w:r>
      </w:p>
    </w:sdtContent>
  </w:sdt>
  <w:p w14:paraId="1306196B" w14:textId="77777777" w:rsidR="0098783A" w:rsidRDefault="00987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39C1"/>
    <w:multiLevelType w:val="multilevel"/>
    <w:tmpl w:val="C43CA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15:restartNumberingAfterBreak="0">
    <w:nsid w:val="46D05BC2"/>
    <w:multiLevelType w:val="multilevel"/>
    <w:tmpl w:val="B7FCC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93176C"/>
    <w:multiLevelType w:val="multilevel"/>
    <w:tmpl w:val="60D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B33049"/>
    <w:multiLevelType w:val="multilevel"/>
    <w:tmpl w:val="4F0A9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667629"/>
    <w:multiLevelType w:val="multilevel"/>
    <w:tmpl w:val="BC5E1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C23995"/>
    <w:multiLevelType w:val="multilevel"/>
    <w:tmpl w:val="79923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4F"/>
    <w:rsid w:val="00002C69"/>
    <w:rsid w:val="00007025"/>
    <w:rsid w:val="000070A1"/>
    <w:rsid w:val="0000772F"/>
    <w:rsid w:val="00012533"/>
    <w:rsid w:val="000157C7"/>
    <w:rsid w:val="00017BB2"/>
    <w:rsid w:val="00025CB8"/>
    <w:rsid w:val="00027FDD"/>
    <w:rsid w:val="00033ABF"/>
    <w:rsid w:val="00044028"/>
    <w:rsid w:val="00045805"/>
    <w:rsid w:val="00057695"/>
    <w:rsid w:val="00060DBC"/>
    <w:rsid w:val="00062DB8"/>
    <w:rsid w:val="0006473B"/>
    <w:rsid w:val="00066077"/>
    <w:rsid w:val="000717AB"/>
    <w:rsid w:val="00073462"/>
    <w:rsid w:val="000738BB"/>
    <w:rsid w:val="0007557E"/>
    <w:rsid w:val="000917A8"/>
    <w:rsid w:val="00093BD9"/>
    <w:rsid w:val="000C1A31"/>
    <w:rsid w:val="000C2254"/>
    <w:rsid w:val="000C5337"/>
    <w:rsid w:val="000C672B"/>
    <w:rsid w:val="000E1AAB"/>
    <w:rsid w:val="000E1E53"/>
    <w:rsid w:val="000F4E91"/>
    <w:rsid w:val="00106EC0"/>
    <w:rsid w:val="001146C0"/>
    <w:rsid w:val="00127D93"/>
    <w:rsid w:val="00135F57"/>
    <w:rsid w:val="00141163"/>
    <w:rsid w:val="001436EF"/>
    <w:rsid w:val="00146CCF"/>
    <w:rsid w:val="001471B5"/>
    <w:rsid w:val="0017149A"/>
    <w:rsid w:val="001775D2"/>
    <w:rsid w:val="001869DF"/>
    <w:rsid w:val="001974A7"/>
    <w:rsid w:val="001B3C11"/>
    <w:rsid w:val="001B4ED5"/>
    <w:rsid w:val="001D14E6"/>
    <w:rsid w:val="001D3D40"/>
    <w:rsid w:val="001E00CA"/>
    <w:rsid w:val="001E1B25"/>
    <w:rsid w:val="001E2B8B"/>
    <w:rsid w:val="001E3911"/>
    <w:rsid w:val="001F242F"/>
    <w:rsid w:val="00227A81"/>
    <w:rsid w:val="00232EDA"/>
    <w:rsid w:val="00250A3D"/>
    <w:rsid w:val="00252EE7"/>
    <w:rsid w:val="00253C5F"/>
    <w:rsid w:val="002750F8"/>
    <w:rsid w:val="0027684E"/>
    <w:rsid w:val="00291565"/>
    <w:rsid w:val="002B3C5E"/>
    <w:rsid w:val="002B7FA2"/>
    <w:rsid w:val="002C1FD6"/>
    <w:rsid w:val="002C27F3"/>
    <w:rsid w:val="002D2F1C"/>
    <w:rsid w:val="002D3A95"/>
    <w:rsid w:val="002D3D68"/>
    <w:rsid w:val="002D45A8"/>
    <w:rsid w:val="002D6644"/>
    <w:rsid w:val="002E6986"/>
    <w:rsid w:val="0031506D"/>
    <w:rsid w:val="0031507B"/>
    <w:rsid w:val="00364FCF"/>
    <w:rsid w:val="0036624D"/>
    <w:rsid w:val="0038014B"/>
    <w:rsid w:val="0039318E"/>
    <w:rsid w:val="003932DF"/>
    <w:rsid w:val="003953DD"/>
    <w:rsid w:val="003A2EA7"/>
    <w:rsid w:val="003A417C"/>
    <w:rsid w:val="003B15FB"/>
    <w:rsid w:val="003B333C"/>
    <w:rsid w:val="003C0600"/>
    <w:rsid w:val="003D0A48"/>
    <w:rsid w:val="003D7CFA"/>
    <w:rsid w:val="00400BC6"/>
    <w:rsid w:val="004239AE"/>
    <w:rsid w:val="00433EC6"/>
    <w:rsid w:val="0044261C"/>
    <w:rsid w:val="004656AE"/>
    <w:rsid w:val="00473C12"/>
    <w:rsid w:val="00476699"/>
    <w:rsid w:val="00480BF5"/>
    <w:rsid w:val="00482B3C"/>
    <w:rsid w:val="004B2860"/>
    <w:rsid w:val="004B6CC8"/>
    <w:rsid w:val="004C0920"/>
    <w:rsid w:val="004C5718"/>
    <w:rsid w:val="004C7342"/>
    <w:rsid w:val="004D0348"/>
    <w:rsid w:val="004E5FCF"/>
    <w:rsid w:val="004F69DD"/>
    <w:rsid w:val="00514FB0"/>
    <w:rsid w:val="00532B1A"/>
    <w:rsid w:val="005447D2"/>
    <w:rsid w:val="0055159A"/>
    <w:rsid w:val="00564B9F"/>
    <w:rsid w:val="00565B6A"/>
    <w:rsid w:val="005826B8"/>
    <w:rsid w:val="00594E44"/>
    <w:rsid w:val="005A00B7"/>
    <w:rsid w:val="005C102B"/>
    <w:rsid w:val="005C6F1D"/>
    <w:rsid w:val="005D33FE"/>
    <w:rsid w:val="005D4BCA"/>
    <w:rsid w:val="005E190B"/>
    <w:rsid w:val="005F1965"/>
    <w:rsid w:val="005F21E1"/>
    <w:rsid w:val="005F70C5"/>
    <w:rsid w:val="00604592"/>
    <w:rsid w:val="00613D2F"/>
    <w:rsid w:val="00615919"/>
    <w:rsid w:val="00617333"/>
    <w:rsid w:val="00620483"/>
    <w:rsid w:val="00621E0D"/>
    <w:rsid w:val="00651447"/>
    <w:rsid w:val="0065225C"/>
    <w:rsid w:val="00661436"/>
    <w:rsid w:val="006646A5"/>
    <w:rsid w:val="0066651C"/>
    <w:rsid w:val="0067104E"/>
    <w:rsid w:val="00672B7E"/>
    <w:rsid w:val="00675952"/>
    <w:rsid w:val="00684A61"/>
    <w:rsid w:val="006A0BD1"/>
    <w:rsid w:val="006A4743"/>
    <w:rsid w:val="006A712C"/>
    <w:rsid w:val="006B1811"/>
    <w:rsid w:val="006B60A8"/>
    <w:rsid w:val="006C6A47"/>
    <w:rsid w:val="006E5D7B"/>
    <w:rsid w:val="006F4AEB"/>
    <w:rsid w:val="006F4DCA"/>
    <w:rsid w:val="006F70D7"/>
    <w:rsid w:val="00707872"/>
    <w:rsid w:val="00716423"/>
    <w:rsid w:val="00733EBD"/>
    <w:rsid w:val="00740C8C"/>
    <w:rsid w:val="0074240B"/>
    <w:rsid w:val="00760F00"/>
    <w:rsid w:val="007621A4"/>
    <w:rsid w:val="00764B9A"/>
    <w:rsid w:val="0077354F"/>
    <w:rsid w:val="00785B77"/>
    <w:rsid w:val="00793307"/>
    <w:rsid w:val="007A0CEA"/>
    <w:rsid w:val="007A3204"/>
    <w:rsid w:val="007A7237"/>
    <w:rsid w:val="007A7D27"/>
    <w:rsid w:val="007C133E"/>
    <w:rsid w:val="007E27C3"/>
    <w:rsid w:val="007E52C7"/>
    <w:rsid w:val="007F0E34"/>
    <w:rsid w:val="007F29F6"/>
    <w:rsid w:val="007F456C"/>
    <w:rsid w:val="007F7A43"/>
    <w:rsid w:val="0081048C"/>
    <w:rsid w:val="00815B63"/>
    <w:rsid w:val="00821B6D"/>
    <w:rsid w:val="00827738"/>
    <w:rsid w:val="00831265"/>
    <w:rsid w:val="008329B4"/>
    <w:rsid w:val="008377DB"/>
    <w:rsid w:val="00841820"/>
    <w:rsid w:val="0084427C"/>
    <w:rsid w:val="00853DD6"/>
    <w:rsid w:val="00854371"/>
    <w:rsid w:val="00874FAC"/>
    <w:rsid w:val="008A4DA2"/>
    <w:rsid w:val="008A5387"/>
    <w:rsid w:val="008A58D6"/>
    <w:rsid w:val="008B6674"/>
    <w:rsid w:val="008C4DBD"/>
    <w:rsid w:val="008D0138"/>
    <w:rsid w:val="008D4986"/>
    <w:rsid w:val="008E6720"/>
    <w:rsid w:val="008F3309"/>
    <w:rsid w:val="008F655E"/>
    <w:rsid w:val="00910D18"/>
    <w:rsid w:val="00921DBD"/>
    <w:rsid w:val="009231E5"/>
    <w:rsid w:val="00936884"/>
    <w:rsid w:val="009427E2"/>
    <w:rsid w:val="009711AC"/>
    <w:rsid w:val="009715DF"/>
    <w:rsid w:val="00980764"/>
    <w:rsid w:val="0098783A"/>
    <w:rsid w:val="00990870"/>
    <w:rsid w:val="009928D3"/>
    <w:rsid w:val="00996DE1"/>
    <w:rsid w:val="009A339C"/>
    <w:rsid w:val="009B1353"/>
    <w:rsid w:val="009C28B3"/>
    <w:rsid w:val="009C4BA7"/>
    <w:rsid w:val="009E1973"/>
    <w:rsid w:val="009E2026"/>
    <w:rsid w:val="009E7566"/>
    <w:rsid w:val="009F508D"/>
    <w:rsid w:val="009F5546"/>
    <w:rsid w:val="00A10A76"/>
    <w:rsid w:val="00A214D1"/>
    <w:rsid w:val="00A24E80"/>
    <w:rsid w:val="00A52C47"/>
    <w:rsid w:val="00A65B98"/>
    <w:rsid w:val="00A77BAE"/>
    <w:rsid w:val="00A82E7B"/>
    <w:rsid w:val="00A84B7E"/>
    <w:rsid w:val="00AA0659"/>
    <w:rsid w:val="00AA3D5D"/>
    <w:rsid w:val="00AC4A96"/>
    <w:rsid w:val="00AC5668"/>
    <w:rsid w:val="00AD1274"/>
    <w:rsid w:val="00AD2B46"/>
    <w:rsid w:val="00B258CA"/>
    <w:rsid w:val="00B41049"/>
    <w:rsid w:val="00B42ADA"/>
    <w:rsid w:val="00B43CAB"/>
    <w:rsid w:val="00B457D9"/>
    <w:rsid w:val="00B5652F"/>
    <w:rsid w:val="00B602A1"/>
    <w:rsid w:val="00B602C5"/>
    <w:rsid w:val="00B7606B"/>
    <w:rsid w:val="00B814C2"/>
    <w:rsid w:val="00BA343F"/>
    <w:rsid w:val="00BA7651"/>
    <w:rsid w:val="00BD0A74"/>
    <w:rsid w:val="00BD53E9"/>
    <w:rsid w:val="00BE6EFB"/>
    <w:rsid w:val="00BF68D7"/>
    <w:rsid w:val="00C102B3"/>
    <w:rsid w:val="00C1116D"/>
    <w:rsid w:val="00C220FC"/>
    <w:rsid w:val="00C30D95"/>
    <w:rsid w:val="00C322F9"/>
    <w:rsid w:val="00C5282A"/>
    <w:rsid w:val="00C53EF3"/>
    <w:rsid w:val="00C57F8E"/>
    <w:rsid w:val="00C72540"/>
    <w:rsid w:val="00C83630"/>
    <w:rsid w:val="00C90DAC"/>
    <w:rsid w:val="00C958C1"/>
    <w:rsid w:val="00C95C38"/>
    <w:rsid w:val="00CB7765"/>
    <w:rsid w:val="00CD334A"/>
    <w:rsid w:val="00CE13C4"/>
    <w:rsid w:val="00CE1EB0"/>
    <w:rsid w:val="00CE4289"/>
    <w:rsid w:val="00CF3022"/>
    <w:rsid w:val="00CF76AD"/>
    <w:rsid w:val="00D15B9C"/>
    <w:rsid w:val="00D25A7C"/>
    <w:rsid w:val="00D2723E"/>
    <w:rsid w:val="00D419C7"/>
    <w:rsid w:val="00D43927"/>
    <w:rsid w:val="00D51F13"/>
    <w:rsid w:val="00D53FF7"/>
    <w:rsid w:val="00D5626F"/>
    <w:rsid w:val="00D912C5"/>
    <w:rsid w:val="00DB052D"/>
    <w:rsid w:val="00DB5806"/>
    <w:rsid w:val="00DC396D"/>
    <w:rsid w:val="00DE3E82"/>
    <w:rsid w:val="00E24523"/>
    <w:rsid w:val="00E27809"/>
    <w:rsid w:val="00E51A3B"/>
    <w:rsid w:val="00E63351"/>
    <w:rsid w:val="00E63388"/>
    <w:rsid w:val="00E6767C"/>
    <w:rsid w:val="00E767FC"/>
    <w:rsid w:val="00E81AF2"/>
    <w:rsid w:val="00E82A08"/>
    <w:rsid w:val="00E8376D"/>
    <w:rsid w:val="00EA0133"/>
    <w:rsid w:val="00EA61E8"/>
    <w:rsid w:val="00EB015A"/>
    <w:rsid w:val="00EE0E8B"/>
    <w:rsid w:val="00EF5694"/>
    <w:rsid w:val="00F00349"/>
    <w:rsid w:val="00F0090D"/>
    <w:rsid w:val="00F06EDE"/>
    <w:rsid w:val="00F128E6"/>
    <w:rsid w:val="00F2250F"/>
    <w:rsid w:val="00F26922"/>
    <w:rsid w:val="00F316B9"/>
    <w:rsid w:val="00F32AC7"/>
    <w:rsid w:val="00F359F3"/>
    <w:rsid w:val="00F4646B"/>
    <w:rsid w:val="00F473CB"/>
    <w:rsid w:val="00F4791B"/>
    <w:rsid w:val="00F73B26"/>
    <w:rsid w:val="00F82A38"/>
    <w:rsid w:val="00F90BEF"/>
    <w:rsid w:val="00FA4CEC"/>
    <w:rsid w:val="00FB0F7D"/>
    <w:rsid w:val="00FC1A2D"/>
    <w:rsid w:val="00FD7061"/>
    <w:rsid w:val="00FE6578"/>
    <w:rsid w:val="00FF3358"/>
    <w:rsid w:val="00FF7F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043D"/>
  <w15:docId w15:val="{D32EB19F-F31D-4E21-9155-8CF6AF2F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073462"/>
    <w:pPr>
      <w:spacing w:before="100" w:beforeAutospacing="1" w:after="100" w:afterAutospacing="1" w:line="240" w:lineRule="auto"/>
    </w:pPr>
    <w:rPr>
      <w:rFonts w:ascii="Times New Roman" w:eastAsia="Times New Roman" w:hAnsi="Times New Roman" w:cs="Times New Roman"/>
      <w:sz w:val="24"/>
      <w:szCs w:val="24"/>
      <w:lang w:val="en-ZA"/>
    </w:rPr>
  </w:style>
  <w:style w:type="character" w:styleId="Hyperlink">
    <w:name w:val="Hyperlink"/>
    <w:basedOn w:val="DefaultParagraphFont"/>
    <w:uiPriority w:val="99"/>
    <w:semiHidden/>
    <w:unhideWhenUsed/>
    <w:rsid w:val="00073462"/>
    <w:rPr>
      <w:color w:val="0000FF"/>
      <w:u w:val="single"/>
    </w:rPr>
  </w:style>
  <w:style w:type="paragraph" w:styleId="Header">
    <w:name w:val="header"/>
    <w:basedOn w:val="Normal"/>
    <w:link w:val="HeaderChar"/>
    <w:uiPriority w:val="99"/>
    <w:unhideWhenUsed/>
    <w:rsid w:val="0098783A"/>
    <w:pPr>
      <w:tabs>
        <w:tab w:val="center" w:pos="4513"/>
        <w:tab w:val="right" w:pos="9026"/>
      </w:tabs>
      <w:spacing w:line="240" w:lineRule="auto"/>
    </w:pPr>
  </w:style>
  <w:style w:type="character" w:customStyle="1" w:styleId="HeaderChar">
    <w:name w:val="Header Char"/>
    <w:basedOn w:val="DefaultParagraphFont"/>
    <w:link w:val="Header"/>
    <w:uiPriority w:val="99"/>
    <w:rsid w:val="0098783A"/>
  </w:style>
  <w:style w:type="paragraph" w:styleId="Footer">
    <w:name w:val="footer"/>
    <w:basedOn w:val="Normal"/>
    <w:link w:val="FooterChar"/>
    <w:uiPriority w:val="99"/>
    <w:unhideWhenUsed/>
    <w:rsid w:val="0098783A"/>
    <w:pPr>
      <w:tabs>
        <w:tab w:val="center" w:pos="4513"/>
        <w:tab w:val="right" w:pos="9026"/>
      </w:tabs>
      <w:spacing w:line="240" w:lineRule="auto"/>
    </w:pPr>
  </w:style>
  <w:style w:type="character" w:customStyle="1" w:styleId="FooterChar">
    <w:name w:val="Footer Char"/>
    <w:basedOn w:val="DefaultParagraphFont"/>
    <w:link w:val="Footer"/>
    <w:uiPriority w:val="99"/>
    <w:rsid w:val="0098783A"/>
  </w:style>
  <w:style w:type="paragraph" w:styleId="ListParagraph">
    <w:name w:val="List Paragraph"/>
    <w:basedOn w:val="Normal"/>
    <w:uiPriority w:val="34"/>
    <w:qFormat/>
    <w:rsid w:val="005F1965"/>
    <w:pPr>
      <w:ind w:left="720"/>
      <w:contextualSpacing/>
    </w:pPr>
  </w:style>
  <w:style w:type="paragraph" w:styleId="FootnoteText">
    <w:name w:val="footnote text"/>
    <w:basedOn w:val="Normal"/>
    <w:link w:val="FootnoteTextChar"/>
    <w:uiPriority w:val="99"/>
    <w:semiHidden/>
    <w:unhideWhenUsed/>
    <w:rsid w:val="00C958C1"/>
    <w:pPr>
      <w:spacing w:line="240" w:lineRule="auto"/>
    </w:pPr>
    <w:rPr>
      <w:rFonts w:asciiTheme="minorHAnsi" w:eastAsia="Times New Roman" w:hAnsiTheme="minorHAnsi" w:cs="Times New Roman"/>
      <w:sz w:val="20"/>
      <w:szCs w:val="20"/>
      <w:lang w:val="en-US" w:eastAsia="en-US"/>
    </w:rPr>
  </w:style>
  <w:style w:type="character" w:customStyle="1" w:styleId="FootnoteTextChar">
    <w:name w:val="Footnote Text Char"/>
    <w:basedOn w:val="DefaultParagraphFont"/>
    <w:link w:val="FootnoteText"/>
    <w:uiPriority w:val="99"/>
    <w:semiHidden/>
    <w:rsid w:val="00C958C1"/>
    <w:rPr>
      <w:rFonts w:asciiTheme="minorHAnsi" w:eastAsia="Times New Roman" w:hAnsiTheme="minorHAnsi" w:cs="Times New Roman"/>
      <w:sz w:val="20"/>
      <w:szCs w:val="20"/>
      <w:lang w:val="en-US" w:eastAsia="en-US"/>
    </w:rPr>
  </w:style>
  <w:style w:type="character" w:styleId="FootnoteReference">
    <w:name w:val="footnote reference"/>
    <w:basedOn w:val="DefaultParagraphFont"/>
    <w:uiPriority w:val="99"/>
    <w:semiHidden/>
    <w:unhideWhenUsed/>
    <w:rsid w:val="00C958C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5034">
      <w:bodyDiv w:val="1"/>
      <w:marLeft w:val="0"/>
      <w:marRight w:val="0"/>
      <w:marTop w:val="0"/>
      <w:marBottom w:val="0"/>
      <w:divBdr>
        <w:top w:val="none" w:sz="0" w:space="0" w:color="auto"/>
        <w:left w:val="none" w:sz="0" w:space="0" w:color="auto"/>
        <w:bottom w:val="none" w:sz="0" w:space="0" w:color="auto"/>
        <w:right w:val="none" w:sz="0" w:space="0" w:color="auto"/>
      </w:divBdr>
    </w:div>
    <w:div w:id="232009048">
      <w:bodyDiv w:val="1"/>
      <w:marLeft w:val="0"/>
      <w:marRight w:val="0"/>
      <w:marTop w:val="0"/>
      <w:marBottom w:val="0"/>
      <w:divBdr>
        <w:top w:val="none" w:sz="0" w:space="0" w:color="auto"/>
        <w:left w:val="none" w:sz="0" w:space="0" w:color="auto"/>
        <w:bottom w:val="none" w:sz="0" w:space="0" w:color="auto"/>
        <w:right w:val="none" w:sz="0" w:space="0" w:color="auto"/>
      </w:divBdr>
    </w:div>
    <w:div w:id="556936505">
      <w:bodyDiv w:val="1"/>
      <w:marLeft w:val="0"/>
      <w:marRight w:val="0"/>
      <w:marTop w:val="0"/>
      <w:marBottom w:val="0"/>
      <w:divBdr>
        <w:top w:val="none" w:sz="0" w:space="0" w:color="auto"/>
        <w:left w:val="none" w:sz="0" w:space="0" w:color="auto"/>
        <w:bottom w:val="none" w:sz="0" w:space="0" w:color="auto"/>
        <w:right w:val="none" w:sz="0" w:space="0" w:color="auto"/>
      </w:divBdr>
    </w:div>
    <w:div w:id="846090900">
      <w:bodyDiv w:val="1"/>
      <w:marLeft w:val="0"/>
      <w:marRight w:val="0"/>
      <w:marTop w:val="0"/>
      <w:marBottom w:val="0"/>
      <w:divBdr>
        <w:top w:val="none" w:sz="0" w:space="0" w:color="auto"/>
        <w:left w:val="none" w:sz="0" w:space="0" w:color="auto"/>
        <w:bottom w:val="none" w:sz="0" w:space="0" w:color="auto"/>
        <w:right w:val="none" w:sz="0" w:space="0" w:color="auto"/>
      </w:divBdr>
    </w:div>
    <w:div w:id="855848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DE7D.E7E5F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E294-920E-4CC1-9068-3719399D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Bokka VZyl</dc:creator>
  <cp:lastModifiedBy>Bokka VZyl</cp:lastModifiedBy>
  <cp:revision>2</cp:revision>
  <cp:lastPrinted>2024-01-31T04:18:00Z</cp:lastPrinted>
  <dcterms:created xsi:type="dcterms:W3CDTF">2024-01-31T11:30:00Z</dcterms:created>
  <dcterms:modified xsi:type="dcterms:W3CDTF">2024-01-31T11:30:00Z</dcterms:modified>
</cp:coreProperties>
</file>