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7138C" w14:textId="77777777" w:rsidR="008F4BE6" w:rsidRDefault="008F4BE6" w:rsidP="008F4BE6">
      <w:pPr>
        <w:spacing w:line="360" w:lineRule="auto"/>
        <w:jc w:val="center"/>
        <w:rPr>
          <w:rFonts w:ascii="Arial" w:hAnsi="Arial" w:cs="Arial"/>
          <w:b/>
          <w:lang w:val="en-ZA"/>
        </w:rPr>
      </w:pPr>
      <w:bookmarkStart w:id="0" w:name="_GoBack"/>
      <w:r>
        <w:rPr>
          <w:noProof/>
        </w:rPr>
        <w:drawing>
          <wp:inline distT="0" distB="0" distL="0" distR="0" wp14:anchorId="318068DA" wp14:editId="2643446B">
            <wp:extent cx="1354455" cy="1354455"/>
            <wp:effectExtent l="0" t="0" r="0" b="0"/>
            <wp:docPr id="1" name="Picture 1" descr="Description: cid:image001.png@01D076AF.8E67B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d:image001.png@01D076AF.8E67B5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5E4FC" w14:textId="77777777" w:rsidR="008F4BE6" w:rsidRPr="00D70035" w:rsidRDefault="008F4BE6" w:rsidP="008F4BE6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ZA"/>
        </w:rPr>
      </w:pPr>
      <w:r w:rsidRPr="00D70035">
        <w:rPr>
          <w:rFonts w:ascii="Arial" w:hAnsi="Arial" w:cs="Arial"/>
          <w:b/>
          <w:sz w:val="24"/>
          <w:szCs w:val="24"/>
          <w:lang w:val="en-ZA"/>
        </w:rPr>
        <w:t>IN THE HIGH COURT OF SOUTH AFRICA</w:t>
      </w:r>
    </w:p>
    <w:p w14:paraId="1B9E6C98" w14:textId="77777777" w:rsidR="008F4BE6" w:rsidRPr="00D70035" w:rsidRDefault="008F4BE6" w:rsidP="008F4BE6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ZA"/>
        </w:rPr>
      </w:pPr>
      <w:r w:rsidRPr="00D70035">
        <w:rPr>
          <w:rFonts w:ascii="Arial" w:hAnsi="Arial" w:cs="Arial"/>
          <w:b/>
          <w:sz w:val="24"/>
          <w:szCs w:val="24"/>
          <w:lang w:val="en-ZA"/>
        </w:rPr>
        <w:t>GAUTENG DIVISION, PRETORIA</w:t>
      </w:r>
    </w:p>
    <w:p w14:paraId="27B8BCEA" w14:textId="77777777" w:rsidR="008F4BE6" w:rsidRPr="00D70035" w:rsidRDefault="008F4BE6" w:rsidP="008F4BE6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ZA"/>
        </w:rPr>
      </w:pPr>
      <w:r w:rsidRPr="00D70035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492CF" wp14:editId="2DA11C84">
                <wp:simplePos x="0" y="0"/>
                <wp:positionH relativeFrom="column">
                  <wp:posOffset>-133350</wp:posOffset>
                </wp:positionH>
                <wp:positionV relativeFrom="paragraph">
                  <wp:posOffset>339090</wp:posOffset>
                </wp:positionV>
                <wp:extent cx="3721100" cy="1524000"/>
                <wp:effectExtent l="0" t="0" r="127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A167E" w14:textId="77777777" w:rsidR="008F4BE6" w:rsidRPr="0038792A" w:rsidRDefault="008F4BE6" w:rsidP="008F4BE6">
                            <w:pPr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792A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DELETE WHICHEVER IS NOT APPLICABLE</w:t>
                            </w:r>
                          </w:p>
                          <w:p w14:paraId="1FDDB0D9" w14:textId="2C834005" w:rsidR="008F4BE6" w:rsidRPr="0038792A" w:rsidRDefault="007575B1" w:rsidP="007575B1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8792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(1)</w:t>
                            </w:r>
                            <w:r w:rsidRPr="0038792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8F4BE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REPORTABLE: YES/</w:t>
                            </w:r>
                            <w:r w:rsidR="008F4BE6" w:rsidRPr="0038792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16D63CD7" w14:textId="319B43C2" w:rsidR="008F4BE6" w:rsidRPr="0038792A" w:rsidRDefault="007575B1" w:rsidP="007575B1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8792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(2)</w:t>
                            </w:r>
                            <w:r w:rsidRPr="0038792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8F4BE6" w:rsidRPr="0038792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8F4BE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INTEREST TO OTHER JUDGES: YES/NO</w:t>
                            </w:r>
                          </w:p>
                          <w:p w14:paraId="33E8CCF0" w14:textId="779887B6" w:rsidR="008F4BE6" w:rsidRDefault="007575B1" w:rsidP="007575B1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(3)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8F4BE6" w:rsidRPr="0038792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REVISED: </w:t>
                            </w:r>
                          </w:p>
                          <w:p w14:paraId="050ADBF2" w14:textId="77777777" w:rsidR="008F4BE6" w:rsidRDefault="008F4BE6" w:rsidP="008F4BE6">
                            <w:pPr>
                              <w:ind w:left="90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CA494B4" w14:textId="77777777" w:rsidR="008F4BE6" w:rsidRDefault="008F4BE6" w:rsidP="008F4BE6">
                            <w:pPr>
                              <w:ind w:left="1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...........................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    ...................................</w:t>
                            </w:r>
                          </w:p>
                          <w:p w14:paraId="20E9834D" w14:textId="77777777" w:rsidR="008F4BE6" w:rsidRPr="0038792A" w:rsidRDefault="008F4BE6" w:rsidP="008F4BE6">
                            <w:pPr>
                              <w:ind w:left="1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SIGNATURE</w:t>
                            </w:r>
                          </w:p>
                          <w:p w14:paraId="395EE682" w14:textId="77777777" w:rsidR="008F4BE6" w:rsidRPr="0038792A" w:rsidRDefault="008F4BE6" w:rsidP="008F4BE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8BDD249" w14:textId="77777777" w:rsidR="008F4BE6" w:rsidRDefault="008F4BE6" w:rsidP="008F4BE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538F1D0" w14:textId="77777777" w:rsidR="008F4BE6" w:rsidRDefault="008F4BE6" w:rsidP="008F4BE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24A1BAB7" w14:textId="77777777" w:rsidR="008F4BE6" w:rsidRDefault="008F4BE6" w:rsidP="008F4BE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        ____________________</w:t>
                            </w:r>
                          </w:p>
                          <w:p w14:paraId="6B84C596" w14:textId="77777777" w:rsidR="008F4BE6" w:rsidRDefault="008F4BE6" w:rsidP="008F4BE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DATE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 xml:space="preserve">        SIGNATURE</w:t>
                            </w:r>
                          </w:p>
                          <w:p w14:paraId="5F9CF3CA" w14:textId="77777777" w:rsidR="008F4BE6" w:rsidRDefault="008F4BE6" w:rsidP="008F4BE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23418698" w14:textId="77777777" w:rsidR="008F4BE6" w:rsidRDefault="008F4BE6" w:rsidP="008F4BE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23D53283" w14:textId="77777777" w:rsidR="008F4BE6" w:rsidRDefault="008F4BE6" w:rsidP="008F4BE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44FF9565" w14:textId="77777777" w:rsidR="008F4BE6" w:rsidRPr="009533D5" w:rsidRDefault="008F4BE6" w:rsidP="008F4BE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1C131A50" w14:textId="77777777" w:rsidR="008F4BE6" w:rsidRDefault="008F4BE6" w:rsidP="008F4BE6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3E521A4" w14:textId="77777777" w:rsidR="008F4BE6" w:rsidRDefault="008F4BE6" w:rsidP="008F4BE6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8485B5C" w14:textId="77777777" w:rsidR="008F4BE6" w:rsidRDefault="008F4BE6" w:rsidP="008F4BE6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AE59689" w14:textId="77777777" w:rsidR="008F4BE6" w:rsidRPr="00B93709" w:rsidRDefault="008F4BE6" w:rsidP="008F4BE6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4CCF5DC" w14:textId="77777777" w:rsidR="008F4BE6" w:rsidRPr="00B93709" w:rsidRDefault="008F4BE6" w:rsidP="008F4BE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B9370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492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pt;margin-top:26.7pt;width:293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">
                <v:textbox>
                  <w:txbxContent>
                    <w:p w14:paraId="4C1A167E" w14:textId="77777777" w:rsidR="008F4BE6" w:rsidRPr="0038792A" w:rsidRDefault="008F4BE6" w:rsidP="008F4BE6">
                      <w:pPr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  <w:r w:rsidRPr="0038792A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DELETE WHICHEVER IS NOT APPLICABLE</w:t>
                      </w:r>
                    </w:p>
                    <w:p w14:paraId="1FDDB0D9" w14:textId="2C834005" w:rsidR="008F4BE6" w:rsidRPr="0038792A" w:rsidRDefault="007575B1" w:rsidP="007575B1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8792A">
                        <w:rPr>
                          <w:rFonts w:ascii="Century Gothic" w:hAnsi="Century Gothic"/>
                          <w:sz w:val="20"/>
                          <w:szCs w:val="20"/>
                        </w:rPr>
                        <w:t>(1)</w:t>
                      </w:r>
                      <w:r w:rsidRPr="0038792A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8F4BE6">
                        <w:rPr>
                          <w:rFonts w:ascii="Century Gothic" w:hAnsi="Century Gothic"/>
                          <w:sz w:val="20"/>
                          <w:szCs w:val="20"/>
                        </w:rPr>
                        <w:t>REPORTABLE: YES/</w:t>
                      </w:r>
                      <w:r w:rsidR="008F4BE6" w:rsidRPr="0038792A">
                        <w:rPr>
                          <w:rFonts w:ascii="Century Gothic" w:hAnsi="Century Gothic"/>
                          <w:sz w:val="20"/>
                          <w:szCs w:val="20"/>
                        </w:rPr>
                        <w:t>NO</w:t>
                      </w:r>
                    </w:p>
                    <w:p w14:paraId="16D63CD7" w14:textId="319B43C2" w:rsidR="008F4BE6" w:rsidRPr="0038792A" w:rsidRDefault="007575B1" w:rsidP="007575B1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8792A">
                        <w:rPr>
                          <w:rFonts w:ascii="Century Gothic" w:hAnsi="Century Gothic"/>
                          <w:sz w:val="20"/>
                          <w:szCs w:val="20"/>
                        </w:rPr>
                        <w:t>(2)</w:t>
                      </w:r>
                      <w:r w:rsidRPr="0038792A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8F4BE6" w:rsidRPr="0038792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OF </w:t>
                      </w:r>
                      <w:r w:rsidR="008F4BE6">
                        <w:rPr>
                          <w:rFonts w:ascii="Century Gothic" w:hAnsi="Century Gothic"/>
                          <w:sz w:val="20"/>
                          <w:szCs w:val="20"/>
                        </w:rPr>
                        <w:t>INTEREST TO OTHER JUDGES: YES/NO</w:t>
                      </w:r>
                    </w:p>
                    <w:p w14:paraId="33E8CCF0" w14:textId="779887B6" w:rsidR="008F4BE6" w:rsidRDefault="007575B1" w:rsidP="007575B1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(3)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8F4BE6" w:rsidRPr="0038792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REVISED: </w:t>
                      </w:r>
                    </w:p>
                    <w:p w14:paraId="050ADBF2" w14:textId="77777777" w:rsidR="008F4BE6" w:rsidRDefault="008F4BE6" w:rsidP="008F4BE6">
                      <w:pPr>
                        <w:ind w:left="90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CA494B4" w14:textId="77777777" w:rsidR="008F4BE6" w:rsidRDefault="008F4BE6" w:rsidP="008F4BE6">
                      <w:pPr>
                        <w:ind w:left="1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...........................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    ...................................</w:t>
                      </w:r>
                    </w:p>
                    <w:p w14:paraId="20E9834D" w14:textId="77777777" w:rsidR="008F4BE6" w:rsidRPr="0038792A" w:rsidRDefault="008F4BE6" w:rsidP="008F4BE6">
                      <w:pPr>
                        <w:ind w:left="1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DATE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SIGNATURE</w:t>
                      </w:r>
                    </w:p>
                    <w:p w14:paraId="395EE682" w14:textId="77777777" w:rsidR="008F4BE6" w:rsidRPr="0038792A" w:rsidRDefault="008F4BE6" w:rsidP="008F4BE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8BDD249" w14:textId="77777777" w:rsidR="008F4BE6" w:rsidRDefault="008F4BE6" w:rsidP="008F4BE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538F1D0" w14:textId="77777777" w:rsidR="008F4BE6" w:rsidRDefault="008F4BE6" w:rsidP="008F4BE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24A1BAB7" w14:textId="77777777" w:rsidR="008F4BE6" w:rsidRDefault="008F4BE6" w:rsidP="008F4BE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        ____________________</w:t>
                      </w:r>
                    </w:p>
                    <w:p w14:paraId="6B84C596" w14:textId="77777777" w:rsidR="008F4BE6" w:rsidRDefault="008F4BE6" w:rsidP="008F4BE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DATE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 xml:space="preserve">        SIGNATURE</w:t>
                      </w:r>
                    </w:p>
                    <w:p w14:paraId="5F9CF3CA" w14:textId="77777777" w:rsidR="008F4BE6" w:rsidRDefault="008F4BE6" w:rsidP="008F4BE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23418698" w14:textId="77777777" w:rsidR="008F4BE6" w:rsidRDefault="008F4BE6" w:rsidP="008F4BE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23D53283" w14:textId="77777777" w:rsidR="008F4BE6" w:rsidRDefault="008F4BE6" w:rsidP="008F4BE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44FF9565" w14:textId="77777777" w:rsidR="008F4BE6" w:rsidRPr="009533D5" w:rsidRDefault="008F4BE6" w:rsidP="008F4BE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1C131A50" w14:textId="77777777" w:rsidR="008F4BE6" w:rsidRDefault="008F4BE6" w:rsidP="008F4BE6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23E521A4" w14:textId="77777777" w:rsidR="008F4BE6" w:rsidRDefault="008F4BE6" w:rsidP="008F4BE6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28485B5C" w14:textId="77777777" w:rsidR="008F4BE6" w:rsidRDefault="008F4BE6" w:rsidP="008F4BE6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7AE59689" w14:textId="77777777" w:rsidR="008F4BE6" w:rsidRPr="00B93709" w:rsidRDefault="008F4BE6" w:rsidP="008F4BE6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54CCF5DC" w14:textId="77777777" w:rsidR="008F4BE6" w:rsidRPr="00B93709" w:rsidRDefault="008F4BE6" w:rsidP="008F4BE6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B93709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     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5343199" w14:textId="77777777" w:rsidR="008F4BE6" w:rsidRPr="00D70035" w:rsidRDefault="008F4BE6" w:rsidP="008F4BE6">
      <w:pPr>
        <w:spacing w:line="360" w:lineRule="auto"/>
        <w:jc w:val="right"/>
        <w:rPr>
          <w:color w:val="000000" w:themeColor="text1"/>
          <w:sz w:val="24"/>
          <w:szCs w:val="24"/>
        </w:rPr>
      </w:pPr>
      <w:r w:rsidRPr="00D70035">
        <w:rPr>
          <w:rFonts w:ascii="Arial" w:hAnsi="Arial" w:cs="Arial"/>
          <w:color w:val="000000" w:themeColor="text1"/>
          <w:sz w:val="24"/>
          <w:szCs w:val="24"/>
        </w:rPr>
        <w:t xml:space="preserve">CASE NO: </w:t>
      </w:r>
      <w:r w:rsidR="002A3136" w:rsidRPr="00D70035">
        <w:rPr>
          <w:rFonts w:ascii="Arial" w:hAnsi="Arial" w:cs="Arial"/>
          <w:w w:val="105"/>
          <w:sz w:val="24"/>
          <w:szCs w:val="24"/>
        </w:rPr>
        <w:t>060240/2022</w:t>
      </w:r>
    </w:p>
    <w:p w14:paraId="6E5FBD8E" w14:textId="77777777" w:rsidR="008F4BE6" w:rsidRPr="00D70035" w:rsidRDefault="008F4BE6" w:rsidP="008F4BE6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ZA"/>
        </w:rPr>
      </w:pPr>
    </w:p>
    <w:p w14:paraId="69F7DDE7" w14:textId="77777777" w:rsidR="008F4BE6" w:rsidRPr="00D70035" w:rsidRDefault="008F4BE6" w:rsidP="008F4BE6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ZA"/>
        </w:rPr>
      </w:pPr>
    </w:p>
    <w:p w14:paraId="6508E7B8" w14:textId="77777777" w:rsidR="008F4BE6" w:rsidRPr="00D70035" w:rsidRDefault="008F4BE6" w:rsidP="008F4BE6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  <w:lang w:val="en-ZA"/>
        </w:rPr>
      </w:pPr>
    </w:p>
    <w:p w14:paraId="21AE60E7" w14:textId="77777777" w:rsidR="008F4BE6" w:rsidRPr="00D70035" w:rsidRDefault="008F4BE6" w:rsidP="008F4BE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ZA"/>
        </w:rPr>
      </w:pPr>
    </w:p>
    <w:p w14:paraId="39C83657" w14:textId="77777777" w:rsidR="008F4BE6" w:rsidRPr="00D70035" w:rsidRDefault="008F4BE6" w:rsidP="00D5293B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en-ZA"/>
        </w:rPr>
      </w:pPr>
      <w:r w:rsidRPr="00D70035">
        <w:rPr>
          <w:rFonts w:ascii="Arial" w:hAnsi="Arial" w:cs="Arial"/>
          <w:color w:val="000000" w:themeColor="text1"/>
          <w:sz w:val="24"/>
          <w:szCs w:val="24"/>
          <w:lang w:val="en-ZA"/>
        </w:rPr>
        <w:t>In the matter between:</w:t>
      </w:r>
    </w:p>
    <w:p w14:paraId="50D978D4" w14:textId="77777777" w:rsidR="00D5293B" w:rsidRPr="00D70035" w:rsidRDefault="00D5293B" w:rsidP="00D5293B">
      <w:pPr>
        <w:spacing w:after="120" w:line="276" w:lineRule="auto"/>
        <w:ind w:left="11" w:hanging="11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1FD32F5" w14:textId="77777777" w:rsidR="008F4BE6" w:rsidRPr="00D70035" w:rsidRDefault="00D5293B" w:rsidP="00D5293B">
      <w:pPr>
        <w:spacing w:after="120" w:line="276" w:lineRule="auto"/>
        <w:ind w:left="11" w:hanging="11"/>
        <w:rPr>
          <w:rFonts w:ascii="Arial" w:eastAsia="Arial" w:hAnsi="Arial" w:cs="Arial"/>
          <w:color w:val="000000" w:themeColor="text1"/>
          <w:sz w:val="24"/>
          <w:szCs w:val="24"/>
          <w:lang w:eastAsia="en-ZA"/>
        </w:rPr>
      </w:pPr>
      <w:r w:rsidRPr="00D70035">
        <w:rPr>
          <w:rFonts w:ascii="Arial" w:hAnsi="Arial" w:cs="Arial"/>
          <w:b/>
          <w:bCs/>
          <w:color w:val="000000" w:themeColor="text1"/>
          <w:sz w:val="24"/>
          <w:szCs w:val="24"/>
        </w:rPr>
        <w:t>RHULANI HORWARD NDOBELA</w:t>
      </w:r>
      <w:r w:rsidR="008F4BE6" w:rsidRPr="00D7003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</w:t>
      </w:r>
      <w:r w:rsidR="008F4BE6" w:rsidRPr="00D70035">
        <w:rPr>
          <w:rFonts w:ascii="Arial" w:eastAsia="Arial" w:hAnsi="Arial" w:cs="Arial"/>
          <w:color w:val="000000" w:themeColor="text1"/>
          <w:sz w:val="24"/>
          <w:szCs w:val="24"/>
          <w:lang w:eastAsia="en-ZA"/>
        </w:rPr>
        <w:tab/>
        <w:t xml:space="preserve">           </w:t>
      </w:r>
      <w:r w:rsidRPr="00D70035">
        <w:rPr>
          <w:rFonts w:ascii="Arial" w:eastAsia="Arial" w:hAnsi="Arial" w:cs="Arial"/>
          <w:color w:val="000000" w:themeColor="text1"/>
          <w:sz w:val="24"/>
          <w:szCs w:val="24"/>
          <w:lang w:eastAsia="en-ZA"/>
        </w:rPr>
        <w:t xml:space="preserve">                     </w:t>
      </w:r>
      <w:r w:rsidR="008F4BE6" w:rsidRPr="00D70035">
        <w:rPr>
          <w:rFonts w:ascii="Arial" w:eastAsia="Arial" w:hAnsi="Arial" w:cs="Arial"/>
          <w:color w:val="000000" w:themeColor="text1"/>
          <w:sz w:val="24"/>
          <w:szCs w:val="24"/>
          <w:lang w:eastAsia="en-ZA"/>
        </w:rPr>
        <w:t xml:space="preserve">          </w:t>
      </w:r>
      <w:r w:rsidR="00D70035">
        <w:rPr>
          <w:rFonts w:ascii="Arial" w:eastAsia="Arial" w:hAnsi="Arial" w:cs="Arial"/>
          <w:color w:val="000000" w:themeColor="text1"/>
          <w:sz w:val="24"/>
          <w:szCs w:val="24"/>
          <w:lang w:eastAsia="en-ZA"/>
        </w:rPr>
        <w:t xml:space="preserve">     </w:t>
      </w:r>
      <w:r w:rsidR="008F4BE6" w:rsidRPr="00D70035">
        <w:rPr>
          <w:rFonts w:ascii="Arial" w:eastAsia="Arial" w:hAnsi="Arial" w:cs="Arial"/>
          <w:color w:val="000000" w:themeColor="text1"/>
          <w:sz w:val="24"/>
          <w:szCs w:val="24"/>
          <w:lang w:eastAsia="en-ZA"/>
        </w:rPr>
        <w:t xml:space="preserve"> </w:t>
      </w:r>
      <w:r w:rsidRPr="00D70035">
        <w:rPr>
          <w:rFonts w:ascii="Arial" w:eastAsia="Arial" w:hAnsi="Arial" w:cs="Arial"/>
          <w:color w:val="000000" w:themeColor="text1"/>
          <w:sz w:val="24"/>
          <w:szCs w:val="24"/>
          <w:lang w:eastAsia="en-ZA"/>
        </w:rPr>
        <w:t xml:space="preserve"> </w:t>
      </w:r>
      <w:r w:rsidR="008F4BE6" w:rsidRPr="00D70035">
        <w:rPr>
          <w:rFonts w:ascii="Arial" w:eastAsia="Arial" w:hAnsi="Arial" w:cs="Arial"/>
          <w:color w:val="000000" w:themeColor="text1"/>
          <w:sz w:val="24"/>
          <w:szCs w:val="24"/>
          <w:lang w:eastAsia="en-ZA"/>
        </w:rPr>
        <w:t>App</w:t>
      </w:r>
      <w:r w:rsidRPr="00D70035">
        <w:rPr>
          <w:rFonts w:ascii="Arial" w:eastAsia="Arial" w:hAnsi="Arial" w:cs="Arial"/>
          <w:color w:val="000000" w:themeColor="text1"/>
          <w:sz w:val="24"/>
          <w:szCs w:val="24"/>
          <w:lang w:eastAsia="en-ZA"/>
        </w:rPr>
        <w:t>licant</w:t>
      </w:r>
    </w:p>
    <w:p w14:paraId="2998C7F5" w14:textId="77777777" w:rsidR="00D5293B" w:rsidRPr="00D70035" w:rsidRDefault="00D5293B" w:rsidP="00D5293B">
      <w:pPr>
        <w:spacing w:after="120" w:line="276" w:lineRule="auto"/>
        <w:ind w:left="10" w:hanging="10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en-ZA"/>
        </w:rPr>
      </w:pPr>
    </w:p>
    <w:p w14:paraId="653BCB82" w14:textId="77777777" w:rsidR="008F4BE6" w:rsidRPr="00D70035" w:rsidRDefault="008F4BE6" w:rsidP="00D5293B">
      <w:pPr>
        <w:spacing w:after="120" w:line="276" w:lineRule="auto"/>
        <w:ind w:left="10" w:hanging="10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en-ZA"/>
        </w:rPr>
      </w:pPr>
      <w:r w:rsidRPr="00D70035">
        <w:rPr>
          <w:rFonts w:ascii="Arial" w:eastAsia="Arial" w:hAnsi="Arial" w:cs="Arial"/>
          <w:color w:val="000000" w:themeColor="text1"/>
          <w:sz w:val="24"/>
          <w:szCs w:val="24"/>
          <w:lang w:eastAsia="en-ZA"/>
        </w:rPr>
        <w:t>and</w:t>
      </w:r>
    </w:p>
    <w:tbl>
      <w:tblPr>
        <w:tblpPr w:leftFromText="180" w:rightFromText="180" w:vertAnchor="text" w:horzAnchor="margin" w:tblpY="1704"/>
        <w:tblW w:w="9356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8F4BE6" w:rsidRPr="00D70035" w14:paraId="5954754D" w14:textId="77777777" w:rsidTr="00237ADD">
        <w:trPr>
          <w:trHeight w:val="1264"/>
        </w:trPr>
        <w:tc>
          <w:tcPr>
            <w:tcW w:w="9356" w:type="dxa"/>
            <w:vAlign w:val="center"/>
          </w:tcPr>
          <w:p w14:paraId="41FB1B55" w14:textId="77777777" w:rsidR="008F4BE6" w:rsidRPr="00D70035" w:rsidRDefault="008F4BE6" w:rsidP="00237ADD">
            <w:pPr>
              <w:pStyle w:val="Heading2"/>
              <w:spacing w:before="0" w:after="0" w:line="276" w:lineRule="auto"/>
              <w:jc w:val="center"/>
              <w:rPr>
                <w:rFonts w:ascii="Arial" w:hAnsi="Arial" w:cs="Arial"/>
                <w:i w:val="0"/>
                <w:color w:val="000000" w:themeColor="text1"/>
                <w:sz w:val="24"/>
                <w:szCs w:val="24"/>
                <w:lang w:val="en-ZA"/>
              </w:rPr>
            </w:pPr>
            <w:r w:rsidRPr="00D70035">
              <w:rPr>
                <w:rFonts w:ascii="Arial" w:hAnsi="Arial" w:cs="Arial"/>
                <w:i w:val="0"/>
                <w:color w:val="000000" w:themeColor="text1"/>
                <w:sz w:val="24"/>
                <w:szCs w:val="24"/>
                <w:lang w:val="en-ZA"/>
              </w:rPr>
              <w:t xml:space="preserve">JUDGMENT </w:t>
            </w:r>
          </w:p>
        </w:tc>
      </w:tr>
    </w:tbl>
    <w:p w14:paraId="1824FA9E" w14:textId="77777777" w:rsidR="002A3136" w:rsidRPr="00D70035" w:rsidRDefault="002A3136" w:rsidP="00D5293B">
      <w:pPr>
        <w:spacing w:after="120" w:line="276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DAF4B99" w14:textId="77777777" w:rsidR="008F4BE6" w:rsidRPr="00D70035" w:rsidRDefault="00AA2009" w:rsidP="00D70035">
      <w:pPr>
        <w:spacing w:after="120" w:line="480" w:lineRule="auto"/>
        <w:rPr>
          <w:rFonts w:ascii="Arial" w:eastAsia="Arial" w:hAnsi="Arial" w:cs="Arial"/>
          <w:color w:val="000000" w:themeColor="text1"/>
          <w:sz w:val="24"/>
          <w:szCs w:val="24"/>
          <w:lang w:eastAsia="en-ZA"/>
        </w:rPr>
      </w:pPr>
      <w:r w:rsidRPr="00D70035">
        <w:rPr>
          <w:rFonts w:ascii="Arial" w:hAnsi="Arial" w:cs="Arial"/>
          <w:b/>
          <w:bCs/>
          <w:color w:val="000000" w:themeColor="text1"/>
          <w:sz w:val="24"/>
          <w:szCs w:val="24"/>
        </w:rPr>
        <w:t>COMMUNITY SCHEMES OMBUD SERVICE</w:t>
      </w:r>
      <w:r w:rsidR="008F4BE6" w:rsidRPr="00D70035">
        <w:rPr>
          <w:rFonts w:ascii="Arial" w:eastAsia="Arial" w:hAnsi="Arial" w:cs="Arial"/>
          <w:color w:val="000000" w:themeColor="text1"/>
          <w:sz w:val="24"/>
          <w:szCs w:val="24"/>
          <w:lang w:eastAsia="en-ZA"/>
        </w:rPr>
        <w:t xml:space="preserve">         </w:t>
      </w:r>
      <w:r w:rsidRPr="00D70035">
        <w:rPr>
          <w:rFonts w:ascii="Arial" w:eastAsia="Arial" w:hAnsi="Arial" w:cs="Arial"/>
          <w:color w:val="000000" w:themeColor="text1"/>
          <w:sz w:val="24"/>
          <w:szCs w:val="24"/>
          <w:lang w:eastAsia="en-ZA"/>
        </w:rPr>
        <w:t xml:space="preserve">          </w:t>
      </w:r>
      <w:r w:rsidR="008F4BE6" w:rsidRPr="00D70035">
        <w:rPr>
          <w:rFonts w:ascii="Arial" w:eastAsia="Arial" w:hAnsi="Arial" w:cs="Arial"/>
          <w:color w:val="000000" w:themeColor="text1"/>
          <w:sz w:val="24"/>
          <w:szCs w:val="24"/>
          <w:lang w:eastAsia="en-ZA"/>
        </w:rPr>
        <w:t xml:space="preserve">                    </w:t>
      </w:r>
      <w:r w:rsidR="00DA254E">
        <w:rPr>
          <w:rFonts w:ascii="Arial" w:eastAsia="Arial" w:hAnsi="Arial" w:cs="Arial"/>
          <w:color w:val="000000" w:themeColor="text1"/>
          <w:sz w:val="24"/>
          <w:szCs w:val="24"/>
          <w:lang w:eastAsia="en-ZA"/>
        </w:rPr>
        <w:t xml:space="preserve"> </w:t>
      </w:r>
      <w:r w:rsidR="008F4BE6" w:rsidRPr="00D70035">
        <w:rPr>
          <w:rFonts w:ascii="Arial" w:eastAsia="Arial" w:hAnsi="Arial" w:cs="Arial"/>
          <w:color w:val="000000" w:themeColor="text1"/>
          <w:sz w:val="24"/>
          <w:szCs w:val="24"/>
          <w:lang w:eastAsia="en-ZA"/>
        </w:rPr>
        <w:t>First Respondent</w:t>
      </w:r>
    </w:p>
    <w:p w14:paraId="28F4225F" w14:textId="31B2CA96" w:rsidR="008F4BE6" w:rsidRPr="00237ADD" w:rsidRDefault="00AA2009" w:rsidP="00237ADD">
      <w:pPr>
        <w:spacing w:after="12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70035">
        <w:rPr>
          <w:rFonts w:ascii="Arial" w:eastAsia="Arial" w:hAnsi="Arial" w:cs="Arial"/>
          <w:b/>
          <w:color w:val="000000" w:themeColor="text1"/>
          <w:sz w:val="24"/>
          <w:szCs w:val="24"/>
          <w:lang w:eastAsia="en-ZA"/>
        </w:rPr>
        <w:t xml:space="preserve">MIDSTREAM RIDGE </w:t>
      </w:r>
      <w:r w:rsidR="00BB482C" w:rsidRPr="00D70035">
        <w:rPr>
          <w:rFonts w:ascii="Arial" w:eastAsia="Arial" w:hAnsi="Arial" w:cs="Arial"/>
          <w:b/>
          <w:color w:val="000000" w:themeColor="text1"/>
          <w:sz w:val="24"/>
          <w:szCs w:val="24"/>
          <w:lang w:eastAsia="en-ZA"/>
        </w:rPr>
        <w:t>HOME</w:t>
      </w:r>
      <w:r w:rsidR="0057778C">
        <w:rPr>
          <w:rFonts w:ascii="Arial" w:eastAsia="Arial" w:hAnsi="Arial" w:cs="Arial"/>
          <w:b/>
          <w:color w:val="000000" w:themeColor="text1"/>
          <w:sz w:val="24"/>
          <w:szCs w:val="24"/>
          <w:lang w:eastAsia="en-ZA"/>
        </w:rPr>
        <w:t xml:space="preserve"> </w:t>
      </w:r>
      <w:r w:rsidR="00BB482C" w:rsidRPr="00D70035">
        <w:rPr>
          <w:rFonts w:ascii="Arial" w:eastAsia="Arial" w:hAnsi="Arial" w:cs="Arial"/>
          <w:b/>
          <w:color w:val="000000" w:themeColor="text1"/>
          <w:sz w:val="24"/>
          <w:szCs w:val="24"/>
          <w:lang w:eastAsia="en-ZA"/>
        </w:rPr>
        <w:t>OWNERS</w:t>
      </w:r>
      <w:r w:rsidRPr="00D70035">
        <w:rPr>
          <w:rFonts w:ascii="Arial" w:eastAsia="Arial" w:hAnsi="Arial" w:cs="Arial"/>
          <w:b/>
          <w:color w:val="000000" w:themeColor="text1"/>
          <w:sz w:val="24"/>
          <w:szCs w:val="24"/>
          <w:lang w:eastAsia="en-ZA"/>
        </w:rPr>
        <w:t xml:space="preserve"> AS</w:t>
      </w:r>
      <w:r w:rsidR="00D70035">
        <w:rPr>
          <w:rFonts w:ascii="Arial" w:eastAsia="Arial" w:hAnsi="Arial" w:cs="Arial"/>
          <w:b/>
          <w:color w:val="000000" w:themeColor="text1"/>
          <w:sz w:val="24"/>
          <w:szCs w:val="24"/>
          <w:lang w:eastAsia="en-ZA"/>
        </w:rPr>
        <w:t xml:space="preserve">SOCIATION NPC        </w:t>
      </w:r>
      <w:r w:rsidRPr="00D70035">
        <w:rPr>
          <w:rFonts w:ascii="Arial" w:eastAsia="Arial" w:hAnsi="Arial" w:cs="Arial"/>
          <w:b/>
          <w:color w:val="000000" w:themeColor="text1"/>
          <w:sz w:val="24"/>
          <w:szCs w:val="24"/>
          <w:lang w:eastAsia="en-ZA"/>
        </w:rPr>
        <w:t xml:space="preserve">  </w:t>
      </w:r>
      <w:r w:rsidRPr="00D70035">
        <w:rPr>
          <w:rFonts w:ascii="Arial" w:eastAsia="Arial" w:hAnsi="Arial" w:cs="Arial"/>
          <w:color w:val="000000" w:themeColor="text1"/>
          <w:sz w:val="24"/>
          <w:szCs w:val="24"/>
          <w:lang w:eastAsia="en-ZA"/>
        </w:rPr>
        <w:t>Second Responde</w:t>
      </w:r>
      <w:r w:rsidR="00AB57D3">
        <w:rPr>
          <w:rFonts w:ascii="Arial" w:eastAsia="Arial" w:hAnsi="Arial" w:cs="Arial"/>
          <w:color w:val="000000" w:themeColor="text1"/>
          <w:sz w:val="24"/>
          <w:szCs w:val="24"/>
          <w:lang w:eastAsia="en-ZA"/>
        </w:rPr>
        <w:t>nt</w:t>
      </w:r>
    </w:p>
    <w:p w14:paraId="38D75EAB" w14:textId="77777777" w:rsidR="008541DC" w:rsidRDefault="002A3136">
      <w:pPr>
        <w:rPr>
          <w:rFonts w:ascii="Arial" w:hAnsi="Arial" w:cs="Arial"/>
          <w:sz w:val="24"/>
          <w:szCs w:val="24"/>
        </w:rPr>
      </w:pPr>
      <w:r w:rsidRPr="002A3136">
        <w:rPr>
          <w:rFonts w:ascii="Arial" w:hAnsi="Arial" w:cs="Arial"/>
          <w:sz w:val="24"/>
          <w:szCs w:val="24"/>
        </w:rPr>
        <w:t>TOLMAY J</w:t>
      </w:r>
    </w:p>
    <w:p w14:paraId="39579CE4" w14:textId="77777777" w:rsidR="00AF1F0B" w:rsidRDefault="00AF1F0B">
      <w:pPr>
        <w:rPr>
          <w:rFonts w:ascii="Arial" w:hAnsi="Arial" w:cs="Arial"/>
          <w:sz w:val="24"/>
          <w:szCs w:val="24"/>
        </w:rPr>
      </w:pPr>
      <w:r w:rsidRPr="002A3136">
        <w:rPr>
          <w:rFonts w:ascii="Arial" w:hAnsi="Arial" w:cs="Arial"/>
          <w:sz w:val="24"/>
          <w:szCs w:val="24"/>
        </w:rPr>
        <w:lastRenderedPageBreak/>
        <w:t>INTRODUCTION</w:t>
      </w:r>
    </w:p>
    <w:p w14:paraId="712A9757" w14:textId="77777777" w:rsidR="008541DC" w:rsidRPr="002A3136" w:rsidRDefault="008541DC">
      <w:pPr>
        <w:rPr>
          <w:rFonts w:ascii="Arial" w:hAnsi="Arial" w:cs="Arial"/>
          <w:sz w:val="24"/>
          <w:szCs w:val="24"/>
        </w:rPr>
      </w:pPr>
    </w:p>
    <w:p w14:paraId="09FCCD82" w14:textId="34DC042A" w:rsidR="00566498" w:rsidRPr="007575B1" w:rsidRDefault="007575B1" w:rsidP="007575B1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AF1F0B" w:rsidRPr="007575B1">
        <w:rPr>
          <w:rFonts w:ascii="Arial" w:hAnsi="Arial" w:cs="Arial"/>
          <w:sz w:val="24"/>
          <w:szCs w:val="24"/>
        </w:rPr>
        <w:t>In this application the</w:t>
      </w:r>
      <w:r w:rsidR="000A05FF" w:rsidRPr="007575B1">
        <w:rPr>
          <w:rFonts w:ascii="Arial" w:hAnsi="Arial" w:cs="Arial"/>
          <w:sz w:val="24"/>
          <w:szCs w:val="24"/>
        </w:rPr>
        <w:t xml:space="preserve"> </w:t>
      </w:r>
      <w:r w:rsidR="0048084A" w:rsidRPr="007575B1">
        <w:rPr>
          <w:rFonts w:ascii="Arial" w:hAnsi="Arial" w:cs="Arial"/>
          <w:sz w:val="24"/>
          <w:szCs w:val="24"/>
        </w:rPr>
        <w:t>applicant (</w:t>
      </w:r>
      <w:r w:rsidR="000A05FF" w:rsidRPr="007575B1">
        <w:rPr>
          <w:rFonts w:ascii="Arial" w:hAnsi="Arial" w:cs="Arial"/>
          <w:sz w:val="24"/>
          <w:szCs w:val="24"/>
        </w:rPr>
        <w:t>Mr.</w:t>
      </w:r>
      <w:r w:rsidR="00D70035" w:rsidRPr="007575B1">
        <w:rPr>
          <w:rFonts w:ascii="Arial" w:hAnsi="Arial" w:cs="Arial"/>
          <w:sz w:val="24"/>
          <w:szCs w:val="24"/>
        </w:rPr>
        <w:t xml:space="preserve"> </w:t>
      </w:r>
      <w:r w:rsidR="000A05FF" w:rsidRPr="007575B1">
        <w:rPr>
          <w:rFonts w:ascii="Arial" w:hAnsi="Arial" w:cs="Arial"/>
          <w:sz w:val="24"/>
          <w:szCs w:val="24"/>
        </w:rPr>
        <w:t>N</w:t>
      </w:r>
      <w:r w:rsidR="00E40CB2" w:rsidRPr="007575B1">
        <w:rPr>
          <w:rFonts w:ascii="Arial" w:hAnsi="Arial" w:cs="Arial"/>
          <w:sz w:val="24"/>
          <w:szCs w:val="24"/>
        </w:rPr>
        <w:t>dobela) s</w:t>
      </w:r>
      <w:r w:rsidR="008E6BC7" w:rsidRPr="007575B1">
        <w:rPr>
          <w:rFonts w:ascii="Arial" w:hAnsi="Arial" w:cs="Arial"/>
          <w:sz w:val="24"/>
          <w:szCs w:val="24"/>
        </w:rPr>
        <w:t>eeks orders to review and set aside</w:t>
      </w:r>
      <w:r w:rsidR="000B1D94" w:rsidRPr="007575B1">
        <w:rPr>
          <w:rFonts w:ascii="Arial" w:hAnsi="Arial" w:cs="Arial"/>
          <w:sz w:val="24"/>
          <w:szCs w:val="24"/>
        </w:rPr>
        <w:t xml:space="preserve"> the first respondent</w:t>
      </w:r>
      <w:r w:rsidR="007C7BBF" w:rsidRPr="007575B1">
        <w:rPr>
          <w:rFonts w:ascii="Arial" w:hAnsi="Arial" w:cs="Arial"/>
          <w:sz w:val="24"/>
          <w:szCs w:val="24"/>
        </w:rPr>
        <w:t>’s</w:t>
      </w:r>
      <w:r w:rsidR="00726161" w:rsidRPr="007575B1">
        <w:rPr>
          <w:rFonts w:ascii="Arial" w:hAnsi="Arial" w:cs="Arial"/>
          <w:sz w:val="24"/>
          <w:szCs w:val="24"/>
        </w:rPr>
        <w:t xml:space="preserve"> </w:t>
      </w:r>
      <w:r w:rsidR="007C7BBF" w:rsidRPr="007575B1">
        <w:rPr>
          <w:rFonts w:ascii="Arial" w:hAnsi="Arial" w:cs="Arial"/>
          <w:sz w:val="24"/>
          <w:szCs w:val="24"/>
        </w:rPr>
        <w:t xml:space="preserve">(the </w:t>
      </w:r>
      <w:r w:rsidR="005364D1" w:rsidRPr="007575B1">
        <w:rPr>
          <w:rFonts w:ascii="Arial" w:hAnsi="Arial" w:cs="Arial"/>
          <w:sz w:val="24"/>
          <w:szCs w:val="24"/>
        </w:rPr>
        <w:t>Service</w:t>
      </w:r>
      <w:r w:rsidR="00062214" w:rsidRPr="007575B1">
        <w:rPr>
          <w:rFonts w:ascii="Arial" w:hAnsi="Arial" w:cs="Arial"/>
          <w:sz w:val="24"/>
          <w:szCs w:val="24"/>
        </w:rPr>
        <w:t>) decisi</w:t>
      </w:r>
      <w:r w:rsidR="00BC31E2" w:rsidRPr="007575B1">
        <w:rPr>
          <w:rFonts w:ascii="Arial" w:hAnsi="Arial" w:cs="Arial"/>
          <w:sz w:val="24"/>
          <w:szCs w:val="24"/>
        </w:rPr>
        <w:t xml:space="preserve">on and </w:t>
      </w:r>
      <w:r w:rsidR="0078759C" w:rsidRPr="007575B1">
        <w:rPr>
          <w:rFonts w:ascii="Arial" w:hAnsi="Arial" w:cs="Arial"/>
          <w:sz w:val="24"/>
          <w:szCs w:val="24"/>
        </w:rPr>
        <w:t>declare</w:t>
      </w:r>
      <w:r w:rsidR="00BC31E2" w:rsidRPr="007575B1">
        <w:rPr>
          <w:rFonts w:ascii="Arial" w:hAnsi="Arial" w:cs="Arial"/>
          <w:sz w:val="24"/>
          <w:szCs w:val="24"/>
        </w:rPr>
        <w:t xml:space="preserve"> it </w:t>
      </w:r>
      <w:r w:rsidR="0048084A" w:rsidRPr="007575B1">
        <w:rPr>
          <w:rFonts w:ascii="Arial" w:hAnsi="Arial" w:cs="Arial"/>
          <w:sz w:val="24"/>
          <w:szCs w:val="24"/>
        </w:rPr>
        <w:t>unlawful</w:t>
      </w:r>
      <w:r w:rsidR="00B63FDC" w:rsidRPr="007575B1">
        <w:rPr>
          <w:rFonts w:ascii="Arial" w:hAnsi="Arial" w:cs="Arial"/>
          <w:sz w:val="24"/>
          <w:szCs w:val="24"/>
        </w:rPr>
        <w:t xml:space="preserve"> in terms of the Promotion of Administrative Justice Act,3 of 2000</w:t>
      </w:r>
      <w:r w:rsidR="003251B1" w:rsidRPr="007575B1">
        <w:rPr>
          <w:rFonts w:ascii="Arial" w:hAnsi="Arial" w:cs="Arial"/>
          <w:sz w:val="24"/>
          <w:szCs w:val="24"/>
        </w:rPr>
        <w:t xml:space="preserve"> </w:t>
      </w:r>
      <w:r w:rsidR="003F3B6D" w:rsidRPr="007575B1">
        <w:rPr>
          <w:rFonts w:ascii="Arial" w:hAnsi="Arial" w:cs="Arial"/>
          <w:sz w:val="24"/>
          <w:szCs w:val="24"/>
        </w:rPr>
        <w:t>(PAJA)</w:t>
      </w:r>
      <w:r w:rsidR="0048084A" w:rsidRPr="007575B1">
        <w:rPr>
          <w:rFonts w:ascii="Arial" w:hAnsi="Arial" w:cs="Arial"/>
          <w:sz w:val="24"/>
          <w:szCs w:val="24"/>
        </w:rPr>
        <w:t xml:space="preserve"> He</w:t>
      </w:r>
      <w:r w:rsidR="00A30160" w:rsidRPr="007575B1">
        <w:rPr>
          <w:rFonts w:ascii="Arial" w:hAnsi="Arial" w:cs="Arial"/>
          <w:sz w:val="24"/>
          <w:szCs w:val="24"/>
        </w:rPr>
        <w:t xml:space="preserve"> also seeks an order</w:t>
      </w:r>
      <w:r w:rsidR="00F34698" w:rsidRPr="007575B1">
        <w:rPr>
          <w:rFonts w:ascii="Arial" w:hAnsi="Arial" w:cs="Arial"/>
          <w:sz w:val="24"/>
          <w:szCs w:val="24"/>
        </w:rPr>
        <w:t xml:space="preserve"> remitting t</w:t>
      </w:r>
      <w:r w:rsidR="004D2BA0" w:rsidRPr="007575B1">
        <w:rPr>
          <w:rFonts w:ascii="Arial" w:hAnsi="Arial" w:cs="Arial"/>
          <w:sz w:val="24"/>
          <w:szCs w:val="24"/>
        </w:rPr>
        <w:t>he</w:t>
      </w:r>
      <w:r w:rsidR="00F34698" w:rsidRPr="007575B1">
        <w:rPr>
          <w:rFonts w:ascii="Arial" w:hAnsi="Arial" w:cs="Arial"/>
          <w:sz w:val="24"/>
          <w:szCs w:val="24"/>
        </w:rPr>
        <w:t xml:space="preserve"> referral</w:t>
      </w:r>
      <w:r w:rsidR="003251B1" w:rsidRPr="007575B1">
        <w:rPr>
          <w:rFonts w:ascii="Arial" w:hAnsi="Arial" w:cs="Arial"/>
          <w:sz w:val="24"/>
          <w:szCs w:val="24"/>
        </w:rPr>
        <w:t xml:space="preserve"> </w:t>
      </w:r>
      <w:r w:rsidR="00F34698" w:rsidRPr="007575B1">
        <w:rPr>
          <w:rFonts w:ascii="Arial" w:hAnsi="Arial" w:cs="Arial"/>
          <w:sz w:val="24"/>
          <w:szCs w:val="24"/>
        </w:rPr>
        <w:t>back</w:t>
      </w:r>
      <w:r w:rsidR="005B4C0B" w:rsidRPr="007575B1">
        <w:rPr>
          <w:rFonts w:ascii="Arial" w:hAnsi="Arial" w:cs="Arial"/>
          <w:sz w:val="24"/>
          <w:szCs w:val="24"/>
        </w:rPr>
        <w:t xml:space="preserve"> to the Service</w:t>
      </w:r>
      <w:r w:rsidR="00F34698" w:rsidRPr="007575B1">
        <w:rPr>
          <w:rFonts w:ascii="Arial" w:hAnsi="Arial" w:cs="Arial"/>
          <w:sz w:val="24"/>
          <w:szCs w:val="24"/>
        </w:rPr>
        <w:t xml:space="preserve"> for reconsideration</w:t>
      </w:r>
      <w:r w:rsidR="00D02D7B" w:rsidRPr="007575B1">
        <w:rPr>
          <w:rFonts w:ascii="Arial" w:hAnsi="Arial" w:cs="Arial"/>
          <w:sz w:val="24"/>
          <w:szCs w:val="24"/>
        </w:rPr>
        <w:t xml:space="preserve"> and to communicate its decision within certain time </w:t>
      </w:r>
      <w:r w:rsidR="005364D1" w:rsidRPr="007575B1">
        <w:rPr>
          <w:rFonts w:ascii="Arial" w:hAnsi="Arial" w:cs="Arial"/>
          <w:sz w:val="24"/>
          <w:szCs w:val="24"/>
        </w:rPr>
        <w:t>frames. He</w:t>
      </w:r>
      <w:r w:rsidR="00CA6798" w:rsidRPr="007575B1">
        <w:rPr>
          <w:rFonts w:ascii="Arial" w:hAnsi="Arial" w:cs="Arial"/>
          <w:sz w:val="24"/>
          <w:szCs w:val="24"/>
        </w:rPr>
        <w:t xml:space="preserve"> </w:t>
      </w:r>
      <w:r w:rsidR="00D51FAF" w:rsidRPr="007575B1">
        <w:rPr>
          <w:rFonts w:ascii="Arial" w:hAnsi="Arial" w:cs="Arial"/>
          <w:sz w:val="24"/>
          <w:szCs w:val="24"/>
        </w:rPr>
        <w:t>furthermore</w:t>
      </w:r>
      <w:r w:rsidR="00CA6798" w:rsidRPr="007575B1">
        <w:rPr>
          <w:rFonts w:ascii="Arial" w:hAnsi="Arial" w:cs="Arial"/>
          <w:sz w:val="24"/>
          <w:szCs w:val="24"/>
        </w:rPr>
        <w:t xml:space="preserve"> seeks condonation for the late filing of this application</w:t>
      </w:r>
      <w:r w:rsidR="00BD29A4" w:rsidRPr="007575B1">
        <w:rPr>
          <w:rFonts w:ascii="Arial" w:hAnsi="Arial" w:cs="Arial"/>
          <w:sz w:val="24"/>
          <w:szCs w:val="24"/>
        </w:rPr>
        <w:t>.</w:t>
      </w:r>
    </w:p>
    <w:p w14:paraId="4264B317" w14:textId="77777777" w:rsidR="00726161" w:rsidRPr="00D70035" w:rsidRDefault="00726161" w:rsidP="008541DC">
      <w:pPr>
        <w:pStyle w:val="ListParagraph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2C376268" w14:textId="2CB04F0F" w:rsidR="006C7A40" w:rsidRPr="007575B1" w:rsidRDefault="007575B1" w:rsidP="007575B1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4E3932" w:rsidRPr="007575B1">
        <w:rPr>
          <w:rFonts w:ascii="Arial" w:hAnsi="Arial" w:cs="Arial"/>
          <w:sz w:val="24"/>
          <w:szCs w:val="24"/>
        </w:rPr>
        <w:t xml:space="preserve">The </w:t>
      </w:r>
      <w:r w:rsidR="005364D1" w:rsidRPr="007575B1">
        <w:rPr>
          <w:rFonts w:ascii="Arial" w:hAnsi="Arial" w:cs="Arial"/>
          <w:sz w:val="24"/>
          <w:szCs w:val="24"/>
        </w:rPr>
        <w:t>Service</w:t>
      </w:r>
      <w:r w:rsidR="004E3932" w:rsidRPr="007575B1">
        <w:rPr>
          <w:rFonts w:ascii="Arial" w:hAnsi="Arial" w:cs="Arial"/>
          <w:sz w:val="24"/>
          <w:szCs w:val="24"/>
        </w:rPr>
        <w:t xml:space="preserve"> is a juri</w:t>
      </w:r>
      <w:r w:rsidR="002855D4" w:rsidRPr="007575B1">
        <w:rPr>
          <w:rFonts w:ascii="Arial" w:hAnsi="Arial" w:cs="Arial"/>
          <w:sz w:val="24"/>
          <w:szCs w:val="24"/>
        </w:rPr>
        <w:t>stic person established</w:t>
      </w:r>
      <w:r w:rsidR="0055103A" w:rsidRPr="007575B1">
        <w:rPr>
          <w:rFonts w:ascii="Arial" w:hAnsi="Arial" w:cs="Arial"/>
          <w:sz w:val="24"/>
          <w:szCs w:val="24"/>
        </w:rPr>
        <w:t xml:space="preserve"> in terms of section</w:t>
      </w:r>
      <w:r w:rsidR="00D51FAF" w:rsidRPr="007575B1">
        <w:rPr>
          <w:rFonts w:ascii="Arial" w:hAnsi="Arial" w:cs="Arial"/>
          <w:sz w:val="24"/>
          <w:szCs w:val="24"/>
        </w:rPr>
        <w:t xml:space="preserve"> </w:t>
      </w:r>
      <w:r w:rsidR="0055103A" w:rsidRPr="007575B1">
        <w:rPr>
          <w:rFonts w:ascii="Arial" w:hAnsi="Arial" w:cs="Arial"/>
          <w:sz w:val="24"/>
          <w:szCs w:val="24"/>
        </w:rPr>
        <w:t>3 of the Community Schemes Ombud Services Act</w:t>
      </w:r>
      <w:r w:rsidR="0084001C" w:rsidRPr="007575B1">
        <w:rPr>
          <w:rFonts w:ascii="Arial" w:hAnsi="Arial" w:cs="Arial"/>
          <w:sz w:val="24"/>
          <w:szCs w:val="24"/>
        </w:rPr>
        <w:t xml:space="preserve"> 9 of 2011 </w:t>
      </w:r>
      <w:r w:rsidR="00E3270D" w:rsidRPr="007575B1">
        <w:rPr>
          <w:rFonts w:ascii="Arial" w:hAnsi="Arial" w:cs="Arial"/>
          <w:sz w:val="24"/>
          <w:szCs w:val="24"/>
        </w:rPr>
        <w:t>(the CSOS Act)</w:t>
      </w:r>
      <w:r w:rsidR="00EF70E0" w:rsidRPr="007575B1">
        <w:rPr>
          <w:rFonts w:ascii="Arial" w:hAnsi="Arial" w:cs="Arial"/>
          <w:sz w:val="24"/>
          <w:szCs w:val="24"/>
        </w:rPr>
        <w:t>.</w:t>
      </w:r>
      <w:r w:rsidR="008541DC" w:rsidRPr="007575B1">
        <w:rPr>
          <w:rFonts w:ascii="Arial" w:hAnsi="Arial" w:cs="Arial"/>
          <w:sz w:val="24"/>
          <w:szCs w:val="24"/>
        </w:rPr>
        <w:t xml:space="preserve"> </w:t>
      </w:r>
      <w:r w:rsidR="00EF70E0" w:rsidRPr="007575B1">
        <w:rPr>
          <w:rFonts w:ascii="Arial" w:hAnsi="Arial" w:cs="Arial"/>
          <w:sz w:val="24"/>
          <w:szCs w:val="24"/>
        </w:rPr>
        <w:t>The second respondent</w:t>
      </w:r>
      <w:r w:rsidR="001C4FAE" w:rsidRPr="007575B1">
        <w:rPr>
          <w:rFonts w:ascii="Arial" w:hAnsi="Arial" w:cs="Arial"/>
          <w:sz w:val="24"/>
          <w:szCs w:val="24"/>
        </w:rPr>
        <w:t xml:space="preserve"> is the Midstream Ridge </w:t>
      </w:r>
      <w:r w:rsidR="00CA756A" w:rsidRPr="007575B1">
        <w:rPr>
          <w:rFonts w:ascii="Arial" w:hAnsi="Arial" w:cs="Arial"/>
          <w:sz w:val="24"/>
          <w:szCs w:val="24"/>
        </w:rPr>
        <w:t>Homeowners</w:t>
      </w:r>
      <w:r w:rsidR="00A941E6" w:rsidRPr="007575B1">
        <w:rPr>
          <w:rFonts w:ascii="Arial" w:hAnsi="Arial" w:cs="Arial"/>
          <w:sz w:val="24"/>
          <w:szCs w:val="24"/>
        </w:rPr>
        <w:t xml:space="preserve"> </w:t>
      </w:r>
      <w:r w:rsidR="0078759C" w:rsidRPr="007575B1">
        <w:rPr>
          <w:rFonts w:ascii="Arial" w:hAnsi="Arial" w:cs="Arial"/>
          <w:sz w:val="24"/>
          <w:szCs w:val="24"/>
        </w:rPr>
        <w:t>Association</w:t>
      </w:r>
      <w:r w:rsidR="00A941E6" w:rsidRPr="007575B1">
        <w:rPr>
          <w:rFonts w:ascii="Arial" w:hAnsi="Arial" w:cs="Arial"/>
          <w:sz w:val="24"/>
          <w:szCs w:val="24"/>
        </w:rPr>
        <w:t xml:space="preserve"> </w:t>
      </w:r>
      <w:r w:rsidR="00EB00FF" w:rsidRPr="007575B1">
        <w:rPr>
          <w:rFonts w:ascii="Arial" w:hAnsi="Arial" w:cs="Arial"/>
          <w:sz w:val="24"/>
          <w:szCs w:val="24"/>
        </w:rPr>
        <w:t xml:space="preserve">NPC </w:t>
      </w:r>
      <w:r w:rsidR="00A941E6" w:rsidRPr="007575B1">
        <w:rPr>
          <w:rFonts w:ascii="Arial" w:hAnsi="Arial" w:cs="Arial"/>
          <w:sz w:val="24"/>
          <w:szCs w:val="24"/>
        </w:rPr>
        <w:t>(the Association)</w:t>
      </w:r>
      <w:r w:rsidR="00EB00FF" w:rsidRPr="007575B1">
        <w:rPr>
          <w:rFonts w:ascii="Arial" w:hAnsi="Arial" w:cs="Arial"/>
          <w:sz w:val="24"/>
          <w:szCs w:val="24"/>
        </w:rPr>
        <w:t>.</w:t>
      </w:r>
      <w:r w:rsidR="008541DC" w:rsidRPr="007575B1">
        <w:rPr>
          <w:rFonts w:ascii="Arial" w:hAnsi="Arial" w:cs="Arial"/>
          <w:sz w:val="24"/>
          <w:szCs w:val="24"/>
        </w:rPr>
        <w:t xml:space="preserve"> </w:t>
      </w:r>
      <w:r w:rsidR="00EB00FF" w:rsidRPr="007575B1">
        <w:rPr>
          <w:rFonts w:ascii="Arial" w:hAnsi="Arial" w:cs="Arial"/>
          <w:sz w:val="24"/>
          <w:szCs w:val="24"/>
        </w:rPr>
        <w:t>The Association</w:t>
      </w:r>
      <w:r w:rsidR="002E408F" w:rsidRPr="007575B1">
        <w:rPr>
          <w:rFonts w:ascii="Arial" w:hAnsi="Arial" w:cs="Arial"/>
          <w:sz w:val="24"/>
          <w:szCs w:val="24"/>
        </w:rPr>
        <w:t xml:space="preserve"> is a non-profit </w:t>
      </w:r>
      <w:r w:rsidR="00920F46" w:rsidRPr="007575B1">
        <w:rPr>
          <w:rFonts w:ascii="Arial" w:hAnsi="Arial" w:cs="Arial"/>
          <w:sz w:val="24"/>
          <w:szCs w:val="24"/>
        </w:rPr>
        <w:t>company and its main business</w:t>
      </w:r>
      <w:r w:rsidR="003B05BA" w:rsidRPr="007575B1">
        <w:rPr>
          <w:rFonts w:ascii="Arial" w:hAnsi="Arial" w:cs="Arial"/>
          <w:sz w:val="24"/>
          <w:szCs w:val="24"/>
        </w:rPr>
        <w:t xml:space="preserve"> and object as set out</w:t>
      </w:r>
      <w:r w:rsidR="006F3F69" w:rsidRPr="007575B1">
        <w:rPr>
          <w:rFonts w:ascii="Arial" w:hAnsi="Arial" w:cs="Arial"/>
          <w:sz w:val="24"/>
          <w:szCs w:val="24"/>
        </w:rPr>
        <w:t xml:space="preserve"> in its memorandum of incorporation (the MO</w:t>
      </w:r>
      <w:r w:rsidR="000A19FF" w:rsidRPr="007575B1">
        <w:rPr>
          <w:rFonts w:ascii="Arial" w:hAnsi="Arial" w:cs="Arial"/>
          <w:sz w:val="24"/>
          <w:szCs w:val="24"/>
        </w:rPr>
        <w:t>I)</w:t>
      </w:r>
      <w:r w:rsidR="00DA5107" w:rsidRPr="007575B1">
        <w:rPr>
          <w:rFonts w:ascii="Arial" w:hAnsi="Arial" w:cs="Arial"/>
          <w:sz w:val="24"/>
          <w:szCs w:val="24"/>
        </w:rPr>
        <w:t xml:space="preserve"> </w:t>
      </w:r>
      <w:r w:rsidR="00C21B0B" w:rsidRPr="007575B1">
        <w:rPr>
          <w:rFonts w:ascii="Arial" w:hAnsi="Arial" w:cs="Arial"/>
          <w:sz w:val="24"/>
          <w:szCs w:val="24"/>
        </w:rPr>
        <w:t>is to</w:t>
      </w:r>
      <w:r w:rsidR="00DA5107" w:rsidRPr="007575B1">
        <w:rPr>
          <w:rFonts w:ascii="Arial" w:hAnsi="Arial" w:cs="Arial"/>
          <w:sz w:val="24"/>
          <w:szCs w:val="24"/>
        </w:rPr>
        <w:t xml:space="preserve"> provide</w:t>
      </w:r>
      <w:r w:rsidR="00C21B0B" w:rsidRPr="007575B1">
        <w:rPr>
          <w:rFonts w:ascii="Arial" w:hAnsi="Arial" w:cs="Arial"/>
          <w:sz w:val="24"/>
          <w:szCs w:val="24"/>
        </w:rPr>
        <w:t xml:space="preserve"> and maintain</w:t>
      </w:r>
      <w:r w:rsidR="00DA5107" w:rsidRPr="007575B1">
        <w:rPr>
          <w:rFonts w:ascii="Arial" w:hAnsi="Arial" w:cs="Arial"/>
          <w:sz w:val="24"/>
          <w:szCs w:val="24"/>
        </w:rPr>
        <w:t xml:space="preserve"> essential</w:t>
      </w:r>
      <w:r w:rsidR="00C21B0B" w:rsidRPr="007575B1">
        <w:rPr>
          <w:rFonts w:ascii="Arial" w:hAnsi="Arial" w:cs="Arial"/>
          <w:sz w:val="24"/>
          <w:szCs w:val="24"/>
        </w:rPr>
        <w:t xml:space="preserve"> </w:t>
      </w:r>
      <w:r w:rsidR="00385591" w:rsidRPr="007575B1">
        <w:rPr>
          <w:rFonts w:ascii="Arial" w:hAnsi="Arial" w:cs="Arial"/>
          <w:sz w:val="24"/>
          <w:szCs w:val="24"/>
        </w:rPr>
        <w:t xml:space="preserve">services, </w:t>
      </w:r>
      <w:r w:rsidR="00E61385" w:rsidRPr="007575B1">
        <w:rPr>
          <w:rFonts w:ascii="Arial" w:hAnsi="Arial" w:cs="Arial"/>
          <w:sz w:val="24"/>
          <w:szCs w:val="24"/>
        </w:rPr>
        <w:t>amenities,</w:t>
      </w:r>
      <w:r w:rsidR="00991AAA" w:rsidRPr="007575B1">
        <w:rPr>
          <w:rFonts w:ascii="Arial" w:hAnsi="Arial" w:cs="Arial"/>
          <w:sz w:val="24"/>
          <w:szCs w:val="24"/>
        </w:rPr>
        <w:t xml:space="preserve"> and activities and to </w:t>
      </w:r>
      <w:r w:rsidR="001E131A" w:rsidRPr="007575B1">
        <w:rPr>
          <w:rFonts w:ascii="Arial" w:hAnsi="Arial" w:cs="Arial"/>
          <w:sz w:val="24"/>
          <w:szCs w:val="24"/>
        </w:rPr>
        <w:t>promote, advance</w:t>
      </w:r>
      <w:r w:rsidR="00A31ADD" w:rsidRPr="007575B1">
        <w:rPr>
          <w:rFonts w:ascii="Arial" w:hAnsi="Arial" w:cs="Arial"/>
          <w:sz w:val="24"/>
          <w:szCs w:val="24"/>
        </w:rPr>
        <w:t xml:space="preserve"> and protect the communal</w:t>
      </w:r>
      <w:r w:rsidR="00E92BF3" w:rsidRPr="007575B1">
        <w:rPr>
          <w:rFonts w:ascii="Arial" w:hAnsi="Arial" w:cs="Arial"/>
          <w:sz w:val="24"/>
          <w:szCs w:val="24"/>
        </w:rPr>
        <w:t xml:space="preserve"> interest of members of the Associatio</w:t>
      </w:r>
      <w:r w:rsidR="00920788" w:rsidRPr="007575B1">
        <w:rPr>
          <w:rFonts w:ascii="Arial" w:hAnsi="Arial" w:cs="Arial"/>
          <w:sz w:val="24"/>
          <w:szCs w:val="24"/>
        </w:rPr>
        <w:t>n.</w:t>
      </w:r>
      <w:r w:rsidR="000228FB" w:rsidRPr="007575B1">
        <w:rPr>
          <w:rFonts w:ascii="Arial" w:hAnsi="Arial" w:cs="Arial"/>
          <w:sz w:val="24"/>
          <w:szCs w:val="24"/>
        </w:rPr>
        <w:t xml:space="preserve"> </w:t>
      </w:r>
      <w:r w:rsidR="00537CC2" w:rsidRPr="007575B1">
        <w:rPr>
          <w:rFonts w:ascii="Arial" w:hAnsi="Arial" w:cs="Arial"/>
          <w:sz w:val="24"/>
          <w:szCs w:val="24"/>
        </w:rPr>
        <w:t>Mr. N</w:t>
      </w:r>
      <w:r w:rsidR="006F1D92" w:rsidRPr="007575B1">
        <w:rPr>
          <w:rFonts w:ascii="Arial" w:hAnsi="Arial" w:cs="Arial"/>
          <w:sz w:val="24"/>
          <w:szCs w:val="24"/>
        </w:rPr>
        <w:t>dobela is the registered owner of a property</w:t>
      </w:r>
      <w:r w:rsidR="00107383" w:rsidRPr="007575B1">
        <w:rPr>
          <w:rFonts w:ascii="Arial" w:hAnsi="Arial" w:cs="Arial"/>
          <w:sz w:val="24"/>
          <w:szCs w:val="24"/>
        </w:rPr>
        <w:t xml:space="preserve"> in Midstream R</w:t>
      </w:r>
      <w:r w:rsidR="0048084A" w:rsidRPr="007575B1">
        <w:rPr>
          <w:rFonts w:ascii="Arial" w:hAnsi="Arial" w:cs="Arial"/>
          <w:sz w:val="24"/>
          <w:szCs w:val="24"/>
        </w:rPr>
        <w:t xml:space="preserve">idge </w:t>
      </w:r>
      <w:r w:rsidR="005364D1" w:rsidRPr="007575B1">
        <w:rPr>
          <w:rFonts w:ascii="Arial" w:hAnsi="Arial" w:cs="Arial"/>
          <w:sz w:val="24"/>
          <w:szCs w:val="24"/>
        </w:rPr>
        <w:t>Estate and</w:t>
      </w:r>
      <w:r w:rsidR="00B13959" w:rsidRPr="007575B1">
        <w:rPr>
          <w:rFonts w:ascii="Arial" w:hAnsi="Arial" w:cs="Arial"/>
          <w:sz w:val="24"/>
          <w:szCs w:val="24"/>
        </w:rPr>
        <w:t xml:space="preserve"> is by virtue thereof</w:t>
      </w:r>
      <w:r w:rsidR="0032464C" w:rsidRPr="007575B1">
        <w:rPr>
          <w:rFonts w:ascii="Arial" w:hAnsi="Arial" w:cs="Arial"/>
          <w:sz w:val="24"/>
          <w:szCs w:val="24"/>
        </w:rPr>
        <w:t xml:space="preserve"> a member of the </w:t>
      </w:r>
      <w:r w:rsidR="00077817" w:rsidRPr="007575B1">
        <w:rPr>
          <w:rFonts w:ascii="Arial" w:hAnsi="Arial" w:cs="Arial"/>
          <w:sz w:val="24"/>
          <w:szCs w:val="24"/>
        </w:rPr>
        <w:t>Association. Both</w:t>
      </w:r>
      <w:r w:rsidR="00633EC1" w:rsidRPr="007575B1">
        <w:rPr>
          <w:rFonts w:ascii="Arial" w:hAnsi="Arial" w:cs="Arial"/>
          <w:sz w:val="24"/>
          <w:szCs w:val="24"/>
        </w:rPr>
        <w:t xml:space="preserve"> the MOI and the title deed </w:t>
      </w:r>
      <w:r w:rsidR="00EA4E3F" w:rsidRPr="007575B1">
        <w:rPr>
          <w:rFonts w:ascii="Arial" w:hAnsi="Arial" w:cs="Arial"/>
          <w:sz w:val="24"/>
          <w:szCs w:val="24"/>
        </w:rPr>
        <w:t>provide that all registered owners</w:t>
      </w:r>
      <w:r w:rsidR="00DE7066" w:rsidRPr="007575B1">
        <w:rPr>
          <w:rFonts w:ascii="Arial" w:hAnsi="Arial" w:cs="Arial"/>
          <w:sz w:val="24"/>
          <w:szCs w:val="24"/>
        </w:rPr>
        <w:t xml:space="preserve"> are members of the Association</w:t>
      </w:r>
      <w:r w:rsidR="00B60951" w:rsidRPr="007575B1">
        <w:rPr>
          <w:rFonts w:ascii="Arial" w:hAnsi="Arial" w:cs="Arial"/>
          <w:sz w:val="24"/>
          <w:szCs w:val="24"/>
        </w:rPr>
        <w:t xml:space="preserve"> and </w:t>
      </w:r>
      <w:r w:rsidR="00D86D6A" w:rsidRPr="007575B1">
        <w:rPr>
          <w:rFonts w:ascii="Arial" w:hAnsi="Arial" w:cs="Arial"/>
          <w:sz w:val="24"/>
          <w:szCs w:val="24"/>
        </w:rPr>
        <w:t>are</w:t>
      </w:r>
      <w:r w:rsidR="00B60951" w:rsidRPr="007575B1">
        <w:rPr>
          <w:rFonts w:ascii="Arial" w:hAnsi="Arial" w:cs="Arial"/>
          <w:sz w:val="24"/>
          <w:szCs w:val="24"/>
        </w:rPr>
        <w:t xml:space="preserve"> bound by the provisi</w:t>
      </w:r>
      <w:r w:rsidR="0020013C" w:rsidRPr="007575B1">
        <w:rPr>
          <w:rFonts w:ascii="Arial" w:hAnsi="Arial" w:cs="Arial"/>
          <w:sz w:val="24"/>
          <w:szCs w:val="24"/>
        </w:rPr>
        <w:t>ons</w:t>
      </w:r>
      <w:r w:rsidR="006C7A40" w:rsidRPr="007575B1">
        <w:rPr>
          <w:rFonts w:ascii="Arial" w:hAnsi="Arial" w:cs="Arial"/>
          <w:sz w:val="24"/>
          <w:szCs w:val="24"/>
        </w:rPr>
        <w:t xml:space="preserve"> of the MOI and the </w:t>
      </w:r>
      <w:r w:rsidR="003C4962" w:rsidRPr="007575B1">
        <w:rPr>
          <w:rFonts w:ascii="Arial" w:hAnsi="Arial" w:cs="Arial"/>
          <w:sz w:val="24"/>
          <w:szCs w:val="24"/>
        </w:rPr>
        <w:t>Association ‘</w:t>
      </w:r>
      <w:r w:rsidR="003233D1" w:rsidRPr="007575B1">
        <w:rPr>
          <w:rFonts w:ascii="Arial" w:hAnsi="Arial" w:cs="Arial"/>
          <w:sz w:val="24"/>
          <w:szCs w:val="24"/>
        </w:rPr>
        <w:t xml:space="preserve">s </w:t>
      </w:r>
      <w:r w:rsidR="00E23772" w:rsidRPr="007575B1">
        <w:rPr>
          <w:rFonts w:ascii="Arial" w:hAnsi="Arial" w:cs="Arial"/>
          <w:sz w:val="24"/>
          <w:szCs w:val="24"/>
        </w:rPr>
        <w:t>rules</w:t>
      </w:r>
      <w:r w:rsidR="002A18E0" w:rsidRPr="007575B1">
        <w:rPr>
          <w:rFonts w:ascii="Arial" w:hAnsi="Arial" w:cs="Arial"/>
          <w:sz w:val="24"/>
          <w:szCs w:val="24"/>
        </w:rPr>
        <w:t>.</w:t>
      </w:r>
      <w:r w:rsidR="006F1D49" w:rsidRPr="007575B1">
        <w:rPr>
          <w:rFonts w:ascii="Arial" w:hAnsi="Arial" w:cs="Arial"/>
          <w:sz w:val="24"/>
          <w:szCs w:val="24"/>
        </w:rPr>
        <w:t xml:space="preserve"> Mr.</w:t>
      </w:r>
      <w:r w:rsidR="002A18E0" w:rsidRPr="007575B1">
        <w:rPr>
          <w:rFonts w:ascii="Arial" w:hAnsi="Arial" w:cs="Arial"/>
          <w:sz w:val="24"/>
          <w:szCs w:val="24"/>
        </w:rPr>
        <w:t xml:space="preserve"> Ndobela</w:t>
      </w:r>
      <w:r w:rsidR="00D05DED" w:rsidRPr="007575B1">
        <w:rPr>
          <w:rFonts w:ascii="Arial" w:hAnsi="Arial" w:cs="Arial"/>
          <w:sz w:val="24"/>
          <w:szCs w:val="24"/>
        </w:rPr>
        <w:t xml:space="preserve"> is an attorney and</w:t>
      </w:r>
      <w:r w:rsidR="00DB2BBE" w:rsidRPr="007575B1">
        <w:rPr>
          <w:rFonts w:ascii="Arial" w:hAnsi="Arial" w:cs="Arial"/>
          <w:sz w:val="24"/>
          <w:szCs w:val="24"/>
        </w:rPr>
        <w:t xml:space="preserve"> the chairman of the firm of attorneys representing him</w:t>
      </w:r>
      <w:r w:rsidR="0028390C" w:rsidRPr="007575B1">
        <w:rPr>
          <w:rFonts w:ascii="Arial" w:hAnsi="Arial" w:cs="Arial"/>
          <w:sz w:val="24"/>
          <w:szCs w:val="24"/>
        </w:rPr>
        <w:t xml:space="preserve"> in these </w:t>
      </w:r>
      <w:r w:rsidR="00FB3FB0" w:rsidRPr="007575B1">
        <w:rPr>
          <w:rFonts w:ascii="Arial" w:hAnsi="Arial" w:cs="Arial"/>
          <w:sz w:val="24"/>
          <w:szCs w:val="24"/>
        </w:rPr>
        <w:t>proceedings. Only</w:t>
      </w:r>
      <w:r w:rsidR="004B298F" w:rsidRPr="007575B1">
        <w:rPr>
          <w:rFonts w:ascii="Arial" w:hAnsi="Arial" w:cs="Arial"/>
          <w:sz w:val="24"/>
          <w:szCs w:val="24"/>
        </w:rPr>
        <w:t xml:space="preserve"> the Association is opposing this application.</w:t>
      </w:r>
    </w:p>
    <w:p w14:paraId="63C6FC95" w14:textId="77777777" w:rsidR="006D6012" w:rsidRPr="006D6012" w:rsidRDefault="006D6012" w:rsidP="006D6012">
      <w:pPr>
        <w:pStyle w:val="ListParagraph"/>
        <w:rPr>
          <w:rFonts w:ascii="Arial" w:hAnsi="Arial" w:cs="Arial"/>
          <w:sz w:val="24"/>
          <w:szCs w:val="24"/>
        </w:rPr>
      </w:pPr>
    </w:p>
    <w:p w14:paraId="63D4C0EF" w14:textId="77777777" w:rsidR="006D6012" w:rsidRDefault="006D6012" w:rsidP="006D6012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73FA84BC" w14:textId="77777777" w:rsidR="006D6012" w:rsidRPr="006D6012" w:rsidRDefault="006D6012" w:rsidP="006D6012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6CC3206C" w14:textId="77777777" w:rsidR="006C7A40" w:rsidRPr="006C7A40" w:rsidRDefault="006C7A40" w:rsidP="006C7A40">
      <w:pPr>
        <w:pStyle w:val="ListParagraph"/>
        <w:rPr>
          <w:rFonts w:ascii="Arial" w:hAnsi="Arial" w:cs="Arial"/>
          <w:sz w:val="24"/>
          <w:szCs w:val="24"/>
        </w:rPr>
      </w:pPr>
    </w:p>
    <w:p w14:paraId="14BFC074" w14:textId="77777777" w:rsidR="006C7A40" w:rsidRDefault="006C7A40" w:rsidP="006C7A4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2A3136">
        <w:rPr>
          <w:rFonts w:ascii="Arial" w:hAnsi="Arial" w:cs="Arial"/>
          <w:sz w:val="24"/>
          <w:szCs w:val="24"/>
        </w:rPr>
        <w:t>BACKGROUND</w:t>
      </w:r>
    </w:p>
    <w:p w14:paraId="1B46E74D" w14:textId="77777777" w:rsidR="006C7A40" w:rsidRPr="006C7A40" w:rsidRDefault="006C7A40" w:rsidP="006C7A40">
      <w:pPr>
        <w:pStyle w:val="ListParagraph"/>
        <w:rPr>
          <w:rFonts w:ascii="Arial" w:hAnsi="Arial" w:cs="Arial"/>
          <w:sz w:val="24"/>
          <w:szCs w:val="24"/>
        </w:rPr>
      </w:pPr>
    </w:p>
    <w:p w14:paraId="0A24418E" w14:textId="6C8E8A41" w:rsidR="00C1458C" w:rsidRPr="007575B1" w:rsidRDefault="007575B1" w:rsidP="007575B1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E9699B" w:rsidRPr="007575B1">
        <w:rPr>
          <w:rFonts w:ascii="Arial" w:hAnsi="Arial" w:cs="Arial"/>
          <w:sz w:val="24"/>
          <w:szCs w:val="24"/>
        </w:rPr>
        <w:t>The genesis of this application is a dispute between Mr. Ndobela and the Association about levies and penalties charged</w:t>
      </w:r>
      <w:r w:rsidR="009A0C33" w:rsidRPr="007575B1">
        <w:rPr>
          <w:rFonts w:ascii="Arial" w:hAnsi="Arial" w:cs="Arial"/>
          <w:sz w:val="24"/>
          <w:szCs w:val="24"/>
        </w:rPr>
        <w:t xml:space="preserve"> by the </w:t>
      </w:r>
      <w:r w:rsidR="000E3F0D" w:rsidRPr="007575B1">
        <w:rPr>
          <w:rFonts w:ascii="Arial" w:hAnsi="Arial" w:cs="Arial"/>
          <w:sz w:val="24"/>
          <w:szCs w:val="24"/>
        </w:rPr>
        <w:t>Association. The</w:t>
      </w:r>
      <w:r w:rsidR="006E15D2" w:rsidRPr="007575B1">
        <w:rPr>
          <w:rFonts w:ascii="Arial" w:hAnsi="Arial" w:cs="Arial"/>
          <w:sz w:val="24"/>
          <w:szCs w:val="24"/>
        </w:rPr>
        <w:t xml:space="preserve"> details of the </w:t>
      </w:r>
      <w:r w:rsidR="00FA380B" w:rsidRPr="007575B1">
        <w:rPr>
          <w:rFonts w:ascii="Arial" w:hAnsi="Arial" w:cs="Arial"/>
          <w:sz w:val="24"/>
          <w:szCs w:val="24"/>
        </w:rPr>
        <w:t>dispute are</w:t>
      </w:r>
      <w:r w:rsidR="006E15D2" w:rsidRPr="007575B1">
        <w:rPr>
          <w:rFonts w:ascii="Arial" w:hAnsi="Arial" w:cs="Arial"/>
          <w:sz w:val="24"/>
          <w:szCs w:val="24"/>
        </w:rPr>
        <w:t xml:space="preserve"> not relevant for the determination of this application</w:t>
      </w:r>
      <w:r w:rsidR="003D51A7" w:rsidRPr="007575B1">
        <w:rPr>
          <w:rFonts w:ascii="Arial" w:hAnsi="Arial" w:cs="Arial"/>
          <w:sz w:val="24"/>
          <w:szCs w:val="24"/>
        </w:rPr>
        <w:t>.</w:t>
      </w:r>
      <w:r w:rsidR="00E11B6B" w:rsidRPr="007575B1">
        <w:rPr>
          <w:rFonts w:ascii="Arial" w:hAnsi="Arial" w:cs="Arial"/>
          <w:sz w:val="24"/>
          <w:szCs w:val="24"/>
        </w:rPr>
        <w:t xml:space="preserve"> </w:t>
      </w:r>
      <w:r w:rsidR="000817BA" w:rsidRPr="007575B1">
        <w:rPr>
          <w:rFonts w:ascii="Arial" w:hAnsi="Arial" w:cs="Arial"/>
          <w:sz w:val="24"/>
          <w:szCs w:val="24"/>
        </w:rPr>
        <w:t>Section</w:t>
      </w:r>
      <w:r w:rsidR="00DB344E" w:rsidRPr="007575B1">
        <w:rPr>
          <w:rFonts w:ascii="Arial" w:hAnsi="Arial" w:cs="Arial"/>
          <w:sz w:val="24"/>
          <w:szCs w:val="24"/>
        </w:rPr>
        <w:t xml:space="preserve"> 4</w:t>
      </w:r>
      <w:r w:rsidR="003534E3" w:rsidRPr="007575B1">
        <w:rPr>
          <w:rFonts w:ascii="Arial" w:hAnsi="Arial" w:cs="Arial"/>
          <w:sz w:val="24"/>
          <w:szCs w:val="24"/>
        </w:rPr>
        <w:t>(1) (a</w:t>
      </w:r>
      <w:r w:rsidR="000817BA" w:rsidRPr="007575B1">
        <w:rPr>
          <w:rFonts w:ascii="Arial" w:hAnsi="Arial" w:cs="Arial"/>
          <w:sz w:val="24"/>
          <w:szCs w:val="24"/>
        </w:rPr>
        <w:t xml:space="preserve">) of the CSOS </w:t>
      </w:r>
      <w:r w:rsidR="000E3F0D" w:rsidRPr="007575B1">
        <w:rPr>
          <w:rFonts w:ascii="Arial" w:hAnsi="Arial" w:cs="Arial"/>
          <w:sz w:val="24"/>
          <w:szCs w:val="24"/>
        </w:rPr>
        <w:t>Act provides</w:t>
      </w:r>
      <w:r w:rsidR="002913E5" w:rsidRPr="007575B1">
        <w:rPr>
          <w:rFonts w:ascii="Arial" w:hAnsi="Arial" w:cs="Arial"/>
          <w:sz w:val="24"/>
          <w:szCs w:val="24"/>
        </w:rPr>
        <w:t xml:space="preserve"> that the Service must </w:t>
      </w:r>
      <w:r w:rsidR="000E3F0D" w:rsidRPr="007575B1">
        <w:rPr>
          <w:rFonts w:ascii="Arial" w:hAnsi="Arial" w:cs="Arial"/>
          <w:sz w:val="24"/>
          <w:szCs w:val="24"/>
        </w:rPr>
        <w:t>develop</w:t>
      </w:r>
      <w:r w:rsidR="002913E5" w:rsidRPr="007575B1">
        <w:rPr>
          <w:rFonts w:ascii="Arial" w:hAnsi="Arial" w:cs="Arial"/>
          <w:sz w:val="24"/>
          <w:szCs w:val="24"/>
        </w:rPr>
        <w:t xml:space="preserve"> and provide</w:t>
      </w:r>
      <w:r w:rsidR="00D15806" w:rsidRPr="007575B1">
        <w:rPr>
          <w:rFonts w:ascii="Arial" w:hAnsi="Arial" w:cs="Arial"/>
          <w:sz w:val="24"/>
          <w:szCs w:val="24"/>
        </w:rPr>
        <w:t xml:space="preserve"> a dispute resolution service in terms of the act.</w:t>
      </w:r>
      <w:r w:rsidR="0082085B" w:rsidRPr="007575B1">
        <w:rPr>
          <w:rFonts w:ascii="Arial" w:hAnsi="Arial" w:cs="Arial"/>
          <w:sz w:val="24"/>
          <w:szCs w:val="24"/>
        </w:rPr>
        <w:t xml:space="preserve"> </w:t>
      </w:r>
      <w:r w:rsidR="004B21C3" w:rsidRPr="007575B1">
        <w:rPr>
          <w:rFonts w:ascii="Arial" w:hAnsi="Arial" w:cs="Arial"/>
          <w:sz w:val="24"/>
          <w:szCs w:val="24"/>
        </w:rPr>
        <w:t>S</w:t>
      </w:r>
      <w:r w:rsidR="00C1458C" w:rsidRPr="007575B1">
        <w:rPr>
          <w:rFonts w:ascii="Arial" w:hAnsi="Arial" w:cs="Arial"/>
          <w:sz w:val="24"/>
          <w:szCs w:val="24"/>
        </w:rPr>
        <w:t>ection 4</w:t>
      </w:r>
      <w:r w:rsidR="006A65B2" w:rsidRPr="007575B1">
        <w:rPr>
          <w:rFonts w:ascii="Arial" w:hAnsi="Arial" w:cs="Arial"/>
          <w:sz w:val="24"/>
          <w:szCs w:val="24"/>
        </w:rPr>
        <w:t>(2)</w:t>
      </w:r>
      <w:r w:rsidR="00B0178A" w:rsidRPr="007575B1">
        <w:rPr>
          <w:rFonts w:ascii="Arial" w:hAnsi="Arial" w:cs="Arial"/>
          <w:sz w:val="24"/>
          <w:szCs w:val="24"/>
        </w:rPr>
        <w:t xml:space="preserve"> </w:t>
      </w:r>
      <w:r w:rsidR="0082085B" w:rsidRPr="007575B1">
        <w:rPr>
          <w:rFonts w:ascii="Arial" w:hAnsi="Arial" w:cs="Arial"/>
          <w:sz w:val="24"/>
          <w:szCs w:val="24"/>
        </w:rPr>
        <w:t>empowers the Service</w:t>
      </w:r>
      <w:r w:rsidR="0062080A" w:rsidRPr="007575B1">
        <w:rPr>
          <w:rFonts w:ascii="Arial" w:hAnsi="Arial" w:cs="Arial"/>
          <w:sz w:val="24"/>
          <w:szCs w:val="24"/>
        </w:rPr>
        <w:t xml:space="preserve"> to</w:t>
      </w:r>
      <w:r w:rsidR="00230070" w:rsidRPr="007575B1">
        <w:rPr>
          <w:rFonts w:ascii="Arial" w:hAnsi="Arial" w:cs="Arial"/>
          <w:sz w:val="24"/>
          <w:szCs w:val="24"/>
        </w:rPr>
        <w:t xml:space="preserve"> inter alia</w:t>
      </w:r>
      <w:r w:rsidR="00B32396" w:rsidRPr="007575B1">
        <w:rPr>
          <w:rFonts w:ascii="Arial" w:hAnsi="Arial" w:cs="Arial"/>
          <w:sz w:val="24"/>
          <w:szCs w:val="24"/>
        </w:rPr>
        <w:t xml:space="preserve"> promote and</w:t>
      </w:r>
      <w:r w:rsidR="0062080A" w:rsidRPr="007575B1">
        <w:rPr>
          <w:rFonts w:ascii="Arial" w:hAnsi="Arial" w:cs="Arial"/>
          <w:sz w:val="24"/>
          <w:szCs w:val="24"/>
        </w:rPr>
        <w:t xml:space="preserve"> monitor </w:t>
      </w:r>
      <w:r w:rsidR="0008043A" w:rsidRPr="007575B1">
        <w:rPr>
          <w:rFonts w:ascii="Arial" w:hAnsi="Arial" w:cs="Arial"/>
          <w:sz w:val="24"/>
          <w:szCs w:val="24"/>
        </w:rPr>
        <w:t>good governance</w:t>
      </w:r>
      <w:r w:rsidR="00B35F27" w:rsidRPr="007575B1">
        <w:rPr>
          <w:rFonts w:ascii="Arial" w:hAnsi="Arial" w:cs="Arial"/>
          <w:sz w:val="24"/>
          <w:szCs w:val="24"/>
        </w:rPr>
        <w:t xml:space="preserve"> within community </w:t>
      </w:r>
      <w:r w:rsidR="0008043A" w:rsidRPr="007575B1">
        <w:rPr>
          <w:rFonts w:ascii="Arial" w:hAnsi="Arial" w:cs="Arial"/>
          <w:sz w:val="24"/>
          <w:szCs w:val="24"/>
        </w:rPr>
        <w:t>schemes.</w:t>
      </w:r>
    </w:p>
    <w:p w14:paraId="2BF38A20" w14:textId="77777777" w:rsidR="00C1458C" w:rsidRDefault="00C1458C" w:rsidP="00C1458C">
      <w:pPr>
        <w:pStyle w:val="ListParagraph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3906C78A" w14:textId="06BD86B9" w:rsidR="00C62505" w:rsidRPr="007575B1" w:rsidRDefault="007575B1" w:rsidP="007575B1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AD0E4E" w:rsidRPr="007575B1">
        <w:rPr>
          <w:rFonts w:ascii="Arial" w:hAnsi="Arial" w:cs="Arial"/>
          <w:sz w:val="24"/>
          <w:szCs w:val="24"/>
        </w:rPr>
        <w:t>On 17</w:t>
      </w:r>
      <w:r w:rsidR="00A7076D" w:rsidRPr="007575B1">
        <w:rPr>
          <w:rFonts w:ascii="Arial" w:hAnsi="Arial" w:cs="Arial"/>
          <w:sz w:val="24"/>
          <w:szCs w:val="24"/>
        </w:rPr>
        <w:t xml:space="preserve"> D</w:t>
      </w:r>
      <w:r w:rsidR="00F537BC" w:rsidRPr="007575B1">
        <w:rPr>
          <w:rFonts w:ascii="Arial" w:hAnsi="Arial" w:cs="Arial"/>
          <w:sz w:val="24"/>
          <w:szCs w:val="24"/>
        </w:rPr>
        <w:t>e</w:t>
      </w:r>
      <w:r w:rsidR="00CD0DEB" w:rsidRPr="007575B1">
        <w:rPr>
          <w:rFonts w:ascii="Arial" w:hAnsi="Arial" w:cs="Arial"/>
          <w:sz w:val="24"/>
          <w:szCs w:val="24"/>
        </w:rPr>
        <w:t>cember</w:t>
      </w:r>
      <w:r w:rsidR="005818CB" w:rsidRPr="007575B1">
        <w:rPr>
          <w:rFonts w:ascii="Arial" w:hAnsi="Arial" w:cs="Arial"/>
          <w:sz w:val="24"/>
          <w:szCs w:val="24"/>
        </w:rPr>
        <w:t xml:space="preserve"> 2020</w:t>
      </w:r>
      <w:r w:rsidR="00C1458C" w:rsidRPr="007575B1">
        <w:rPr>
          <w:rFonts w:ascii="Arial" w:hAnsi="Arial" w:cs="Arial"/>
          <w:sz w:val="24"/>
          <w:szCs w:val="24"/>
        </w:rPr>
        <w:t>,</w:t>
      </w:r>
      <w:r w:rsidR="005818CB" w:rsidRPr="007575B1">
        <w:rPr>
          <w:rFonts w:ascii="Arial" w:hAnsi="Arial" w:cs="Arial"/>
          <w:sz w:val="24"/>
          <w:szCs w:val="24"/>
        </w:rPr>
        <w:t xml:space="preserve"> Mr. Ndobela referred </w:t>
      </w:r>
      <w:r w:rsidR="003D51A7" w:rsidRPr="007575B1">
        <w:rPr>
          <w:rFonts w:ascii="Arial" w:hAnsi="Arial" w:cs="Arial"/>
          <w:sz w:val="24"/>
          <w:szCs w:val="24"/>
        </w:rPr>
        <w:t>the</w:t>
      </w:r>
      <w:r w:rsidR="005818CB" w:rsidRPr="007575B1">
        <w:rPr>
          <w:rFonts w:ascii="Arial" w:hAnsi="Arial" w:cs="Arial"/>
          <w:sz w:val="24"/>
          <w:szCs w:val="24"/>
        </w:rPr>
        <w:t xml:space="preserve"> dispute to the </w:t>
      </w:r>
      <w:r w:rsidR="0023595A" w:rsidRPr="007575B1">
        <w:rPr>
          <w:rFonts w:ascii="Arial" w:hAnsi="Arial" w:cs="Arial"/>
          <w:sz w:val="24"/>
          <w:szCs w:val="24"/>
        </w:rPr>
        <w:t xml:space="preserve">Service </w:t>
      </w:r>
      <w:r w:rsidR="00897731" w:rsidRPr="007575B1">
        <w:rPr>
          <w:rFonts w:ascii="Arial" w:hAnsi="Arial" w:cs="Arial"/>
          <w:sz w:val="24"/>
          <w:szCs w:val="24"/>
        </w:rPr>
        <w:t>(the referral</w:t>
      </w:r>
      <w:r w:rsidR="00BB4B13" w:rsidRPr="007575B1">
        <w:rPr>
          <w:rFonts w:ascii="Arial" w:hAnsi="Arial" w:cs="Arial"/>
          <w:sz w:val="24"/>
          <w:szCs w:val="24"/>
        </w:rPr>
        <w:t xml:space="preserve">). </w:t>
      </w:r>
      <w:r w:rsidR="001E12F0" w:rsidRPr="007575B1">
        <w:rPr>
          <w:rFonts w:ascii="Arial" w:hAnsi="Arial" w:cs="Arial"/>
          <w:sz w:val="24"/>
          <w:szCs w:val="24"/>
        </w:rPr>
        <w:t>On 14 January 2021 the Association’s attorneys sent a letter of demand for</w:t>
      </w:r>
      <w:r w:rsidR="001503C5" w:rsidRPr="007575B1">
        <w:rPr>
          <w:rFonts w:ascii="Arial" w:hAnsi="Arial" w:cs="Arial"/>
          <w:sz w:val="24"/>
          <w:szCs w:val="24"/>
        </w:rPr>
        <w:t xml:space="preserve"> payment of the arrear levies</w:t>
      </w:r>
      <w:r w:rsidR="005F2BB4" w:rsidRPr="007575B1">
        <w:rPr>
          <w:rFonts w:ascii="Arial" w:hAnsi="Arial" w:cs="Arial"/>
          <w:sz w:val="24"/>
          <w:szCs w:val="24"/>
        </w:rPr>
        <w:t xml:space="preserve"> to Mr. Ndobela</w:t>
      </w:r>
      <w:r w:rsidR="001503C5" w:rsidRPr="007575B1">
        <w:rPr>
          <w:rFonts w:ascii="Arial" w:hAnsi="Arial" w:cs="Arial"/>
          <w:sz w:val="24"/>
          <w:szCs w:val="24"/>
        </w:rPr>
        <w:t>.</w:t>
      </w:r>
      <w:r w:rsidR="00C1458C" w:rsidRPr="007575B1">
        <w:rPr>
          <w:rFonts w:ascii="Arial" w:hAnsi="Arial" w:cs="Arial"/>
          <w:sz w:val="24"/>
          <w:szCs w:val="24"/>
        </w:rPr>
        <w:t xml:space="preserve"> </w:t>
      </w:r>
      <w:r w:rsidR="00A478F4" w:rsidRPr="007575B1">
        <w:rPr>
          <w:rFonts w:ascii="Arial" w:hAnsi="Arial" w:cs="Arial"/>
          <w:sz w:val="24"/>
          <w:szCs w:val="24"/>
        </w:rPr>
        <w:t>On 19 J</w:t>
      </w:r>
      <w:r w:rsidR="007F0730" w:rsidRPr="007575B1">
        <w:rPr>
          <w:rFonts w:ascii="Arial" w:hAnsi="Arial" w:cs="Arial"/>
          <w:sz w:val="24"/>
          <w:szCs w:val="24"/>
        </w:rPr>
        <w:t xml:space="preserve">anuary 2021 </w:t>
      </w:r>
      <w:r w:rsidR="006C5EA4" w:rsidRPr="007575B1">
        <w:rPr>
          <w:rFonts w:ascii="Arial" w:hAnsi="Arial" w:cs="Arial"/>
          <w:sz w:val="24"/>
          <w:szCs w:val="24"/>
        </w:rPr>
        <w:t>Mr.</w:t>
      </w:r>
      <w:r w:rsidR="007F0730" w:rsidRPr="007575B1">
        <w:rPr>
          <w:rFonts w:ascii="Arial" w:hAnsi="Arial" w:cs="Arial"/>
          <w:sz w:val="24"/>
          <w:szCs w:val="24"/>
        </w:rPr>
        <w:t xml:space="preserve"> Ndobela </w:t>
      </w:r>
      <w:r w:rsidR="00B55390" w:rsidRPr="007575B1">
        <w:rPr>
          <w:rFonts w:ascii="Arial" w:hAnsi="Arial" w:cs="Arial"/>
          <w:sz w:val="24"/>
          <w:szCs w:val="24"/>
        </w:rPr>
        <w:t>informed the attorneys of the Association</w:t>
      </w:r>
      <w:r w:rsidR="00BF52F3" w:rsidRPr="007575B1">
        <w:rPr>
          <w:rFonts w:ascii="Arial" w:hAnsi="Arial" w:cs="Arial"/>
          <w:sz w:val="24"/>
          <w:szCs w:val="24"/>
        </w:rPr>
        <w:t xml:space="preserve"> that the</w:t>
      </w:r>
      <w:r w:rsidR="00E60EB8" w:rsidRPr="007575B1">
        <w:rPr>
          <w:rFonts w:ascii="Arial" w:hAnsi="Arial" w:cs="Arial"/>
          <w:sz w:val="24"/>
          <w:szCs w:val="24"/>
        </w:rPr>
        <w:t xml:space="preserve"> demand was premature as </w:t>
      </w:r>
      <w:r w:rsidR="00C34DAA" w:rsidRPr="007575B1">
        <w:rPr>
          <w:rFonts w:ascii="Arial" w:hAnsi="Arial" w:cs="Arial"/>
          <w:sz w:val="24"/>
          <w:szCs w:val="24"/>
        </w:rPr>
        <w:t xml:space="preserve">the matter was referred to the </w:t>
      </w:r>
      <w:r w:rsidR="00E44440" w:rsidRPr="007575B1">
        <w:rPr>
          <w:rFonts w:ascii="Arial" w:hAnsi="Arial" w:cs="Arial"/>
          <w:sz w:val="24"/>
          <w:szCs w:val="24"/>
        </w:rPr>
        <w:t>Service. On</w:t>
      </w:r>
      <w:r w:rsidR="001B4D6D" w:rsidRPr="007575B1">
        <w:rPr>
          <w:rFonts w:ascii="Arial" w:hAnsi="Arial" w:cs="Arial"/>
          <w:sz w:val="24"/>
          <w:szCs w:val="24"/>
        </w:rPr>
        <w:t xml:space="preserve"> 29 January</w:t>
      </w:r>
      <w:r w:rsidR="00246A28" w:rsidRPr="007575B1">
        <w:rPr>
          <w:rFonts w:ascii="Arial" w:hAnsi="Arial" w:cs="Arial"/>
          <w:sz w:val="24"/>
          <w:szCs w:val="24"/>
        </w:rPr>
        <w:t xml:space="preserve"> 2021</w:t>
      </w:r>
      <w:r w:rsidR="001B4D6D" w:rsidRPr="007575B1">
        <w:rPr>
          <w:rFonts w:ascii="Arial" w:hAnsi="Arial" w:cs="Arial"/>
          <w:sz w:val="24"/>
          <w:szCs w:val="24"/>
        </w:rPr>
        <w:t xml:space="preserve"> the Service requested a respo</w:t>
      </w:r>
      <w:r w:rsidR="004045CF" w:rsidRPr="007575B1">
        <w:rPr>
          <w:rFonts w:ascii="Arial" w:hAnsi="Arial" w:cs="Arial"/>
          <w:sz w:val="24"/>
          <w:szCs w:val="24"/>
        </w:rPr>
        <w:t>nse to the referral from the Association</w:t>
      </w:r>
      <w:r w:rsidR="001A2625" w:rsidRPr="007575B1">
        <w:rPr>
          <w:rFonts w:ascii="Arial" w:hAnsi="Arial" w:cs="Arial"/>
          <w:sz w:val="24"/>
          <w:szCs w:val="24"/>
        </w:rPr>
        <w:t xml:space="preserve"> by 5 February </w:t>
      </w:r>
      <w:r w:rsidR="004B4405" w:rsidRPr="007575B1">
        <w:rPr>
          <w:rFonts w:ascii="Arial" w:hAnsi="Arial" w:cs="Arial"/>
          <w:sz w:val="24"/>
          <w:szCs w:val="24"/>
        </w:rPr>
        <w:t>2021.</w:t>
      </w:r>
      <w:r w:rsidR="00246A28" w:rsidRPr="007575B1">
        <w:rPr>
          <w:rFonts w:ascii="Arial" w:hAnsi="Arial" w:cs="Arial"/>
          <w:sz w:val="24"/>
          <w:szCs w:val="24"/>
        </w:rPr>
        <w:t xml:space="preserve"> </w:t>
      </w:r>
      <w:r w:rsidR="004045CF" w:rsidRPr="007575B1">
        <w:rPr>
          <w:rFonts w:ascii="Arial" w:hAnsi="Arial" w:cs="Arial"/>
          <w:sz w:val="24"/>
          <w:szCs w:val="24"/>
        </w:rPr>
        <w:t>O</w:t>
      </w:r>
      <w:r w:rsidR="00155E11" w:rsidRPr="007575B1">
        <w:rPr>
          <w:rFonts w:ascii="Arial" w:hAnsi="Arial" w:cs="Arial"/>
          <w:sz w:val="24"/>
          <w:szCs w:val="24"/>
        </w:rPr>
        <w:t xml:space="preserve">n 3 February 2021 the Association instituted proceedings in </w:t>
      </w:r>
      <w:r w:rsidR="00F82D15" w:rsidRPr="007575B1">
        <w:rPr>
          <w:rFonts w:ascii="Arial" w:hAnsi="Arial" w:cs="Arial"/>
          <w:sz w:val="24"/>
          <w:szCs w:val="24"/>
        </w:rPr>
        <w:t>the Tembisa Magistrate’s Court (the Tembisa Proceedings)</w:t>
      </w:r>
      <w:r w:rsidR="001A045D" w:rsidRPr="007575B1">
        <w:rPr>
          <w:rFonts w:ascii="Arial" w:hAnsi="Arial" w:cs="Arial"/>
          <w:sz w:val="24"/>
          <w:szCs w:val="24"/>
        </w:rPr>
        <w:t xml:space="preserve"> </w:t>
      </w:r>
      <w:r w:rsidR="00BE4CEE" w:rsidRPr="007575B1">
        <w:rPr>
          <w:rFonts w:ascii="Arial" w:hAnsi="Arial" w:cs="Arial"/>
          <w:sz w:val="24"/>
          <w:szCs w:val="24"/>
        </w:rPr>
        <w:t>to recover arrear levies</w:t>
      </w:r>
      <w:r w:rsidR="00375F98" w:rsidRPr="007575B1">
        <w:rPr>
          <w:rFonts w:ascii="Arial" w:hAnsi="Arial" w:cs="Arial"/>
          <w:sz w:val="24"/>
          <w:szCs w:val="24"/>
        </w:rPr>
        <w:t>.</w:t>
      </w:r>
      <w:r w:rsidR="005139BB" w:rsidRPr="007575B1">
        <w:rPr>
          <w:rFonts w:ascii="Arial" w:hAnsi="Arial" w:cs="Arial"/>
          <w:sz w:val="24"/>
          <w:szCs w:val="24"/>
        </w:rPr>
        <w:t xml:space="preserve"> </w:t>
      </w:r>
      <w:r w:rsidR="00375F98" w:rsidRPr="007575B1">
        <w:rPr>
          <w:rFonts w:ascii="Arial" w:hAnsi="Arial" w:cs="Arial"/>
          <w:sz w:val="24"/>
          <w:szCs w:val="24"/>
        </w:rPr>
        <w:t>On 5 February 2021</w:t>
      </w:r>
      <w:r w:rsidR="006666E8" w:rsidRPr="007575B1">
        <w:rPr>
          <w:rFonts w:ascii="Arial" w:hAnsi="Arial" w:cs="Arial"/>
          <w:sz w:val="24"/>
          <w:szCs w:val="24"/>
        </w:rPr>
        <w:t xml:space="preserve"> the Association made interim submissions to the Service</w:t>
      </w:r>
      <w:r w:rsidR="005139BB" w:rsidRPr="007575B1">
        <w:rPr>
          <w:rFonts w:ascii="Arial" w:hAnsi="Arial" w:cs="Arial"/>
          <w:sz w:val="24"/>
          <w:szCs w:val="24"/>
        </w:rPr>
        <w:t xml:space="preserve"> to dismiss</w:t>
      </w:r>
      <w:r w:rsidR="004B7D2F" w:rsidRPr="007575B1">
        <w:rPr>
          <w:rFonts w:ascii="Arial" w:hAnsi="Arial" w:cs="Arial"/>
          <w:sz w:val="24"/>
          <w:szCs w:val="24"/>
        </w:rPr>
        <w:t xml:space="preserve"> the </w:t>
      </w:r>
      <w:r w:rsidR="00E44440" w:rsidRPr="007575B1">
        <w:rPr>
          <w:rFonts w:ascii="Arial" w:hAnsi="Arial" w:cs="Arial"/>
          <w:sz w:val="24"/>
          <w:szCs w:val="24"/>
        </w:rPr>
        <w:t>referral. On</w:t>
      </w:r>
      <w:r w:rsidR="004B7D2F" w:rsidRPr="007575B1">
        <w:rPr>
          <w:rFonts w:ascii="Arial" w:hAnsi="Arial" w:cs="Arial"/>
          <w:sz w:val="24"/>
          <w:szCs w:val="24"/>
        </w:rPr>
        <w:t xml:space="preserve"> 23</w:t>
      </w:r>
      <w:r w:rsidR="00B57B96" w:rsidRPr="007575B1">
        <w:rPr>
          <w:rFonts w:ascii="Arial" w:hAnsi="Arial" w:cs="Arial"/>
          <w:sz w:val="24"/>
          <w:szCs w:val="24"/>
        </w:rPr>
        <w:t xml:space="preserve"> February 2021 the Service sent the </w:t>
      </w:r>
      <w:r w:rsidR="00E44440" w:rsidRPr="007575B1">
        <w:rPr>
          <w:rFonts w:ascii="Arial" w:hAnsi="Arial" w:cs="Arial"/>
          <w:sz w:val="24"/>
          <w:szCs w:val="24"/>
        </w:rPr>
        <w:t>Association’s</w:t>
      </w:r>
      <w:r w:rsidR="00B57B96" w:rsidRPr="007575B1">
        <w:rPr>
          <w:rFonts w:ascii="Arial" w:hAnsi="Arial" w:cs="Arial"/>
          <w:sz w:val="24"/>
          <w:szCs w:val="24"/>
        </w:rPr>
        <w:t xml:space="preserve"> submissions to Mr.</w:t>
      </w:r>
      <w:r w:rsidR="006C5EA4" w:rsidRPr="007575B1">
        <w:rPr>
          <w:rFonts w:ascii="Arial" w:hAnsi="Arial" w:cs="Arial"/>
          <w:sz w:val="24"/>
          <w:szCs w:val="24"/>
        </w:rPr>
        <w:t xml:space="preserve"> </w:t>
      </w:r>
      <w:r w:rsidR="00B57B96" w:rsidRPr="007575B1">
        <w:rPr>
          <w:rFonts w:ascii="Arial" w:hAnsi="Arial" w:cs="Arial"/>
          <w:sz w:val="24"/>
          <w:szCs w:val="24"/>
        </w:rPr>
        <w:t xml:space="preserve">Ndobela and </w:t>
      </w:r>
      <w:r w:rsidR="00B57B96" w:rsidRPr="007575B1">
        <w:rPr>
          <w:rFonts w:ascii="Arial" w:hAnsi="Arial" w:cs="Arial"/>
          <w:sz w:val="24"/>
          <w:szCs w:val="24"/>
        </w:rPr>
        <w:lastRenderedPageBreak/>
        <w:t>on 1 March</w:t>
      </w:r>
      <w:r w:rsidR="00246A28" w:rsidRPr="007575B1">
        <w:rPr>
          <w:rFonts w:ascii="Arial" w:hAnsi="Arial" w:cs="Arial"/>
          <w:sz w:val="24"/>
          <w:szCs w:val="24"/>
        </w:rPr>
        <w:t xml:space="preserve"> </w:t>
      </w:r>
      <w:r w:rsidR="00B57B96" w:rsidRPr="007575B1">
        <w:rPr>
          <w:rFonts w:ascii="Arial" w:hAnsi="Arial" w:cs="Arial"/>
          <w:sz w:val="24"/>
          <w:szCs w:val="24"/>
        </w:rPr>
        <w:t>2021</w:t>
      </w:r>
      <w:r w:rsidR="00246A28" w:rsidRPr="007575B1">
        <w:rPr>
          <w:rFonts w:ascii="Arial" w:hAnsi="Arial" w:cs="Arial"/>
          <w:sz w:val="24"/>
          <w:szCs w:val="24"/>
        </w:rPr>
        <w:t>,</w:t>
      </w:r>
      <w:r w:rsidR="00BF33EC" w:rsidRPr="007575B1">
        <w:rPr>
          <w:rFonts w:ascii="Arial" w:hAnsi="Arial" w:cs="Arial"/>
          <w:sz w:val="24"/>
          <w:szCs w:val="24"/>
        </w:rPr>
        <w:t xml:space="preserve"> Mr. Ndobela served his plea and special plea in the Tembisa proceedings</w:t>
      </w:r>
      <w:r w:rsidR="00246A28" w:rsidRPr="007575B1">
        <w:rPr>
          <w:rFonts w:ascii="Arial" w:hAnsi="Arial" w:cs="Arial"/>
          <w:sz w:val="24"/>
          <w:szCs w:val="24"/>
        </w:rPr>
        <w:t xml:space="preserve"> and respon</w:t>
      </w:r>
      <w:r w:rsidR="00B46785" w:rsidRPr="007575B1">
        <w:rPr>
          <w:rFonts w:ascii="Arial" w:hAnsi="Arial" w:cs="Arial"/>
          <w:sz w:val="24"/>
          <w:szCs w:val="24"/>
        </w:rPr>
        <w:t>ded to the S</w:t>
      </w:r>
      <w:r w:rsidR="00E44440" w:rsidRPr="007575B1">
        <w:rPr>
          <w:rFonts w:ascii="Arial" w:hAnsi="Arial" w:cs="Arial"/>
          <w:sz w:val="24"/>
          <w:szCs w:val="24"/>
        </w:rPr>
        <w:t>ervice on the same day.</w:t>
      </w:r>
      <w:r w:rsidR="00246A28" w:rsidRPr="007575B1">
        <w:rPr>
          <w:rFonts w:ascii="Arial" w:hAnsi="Arial" w:cs="Arial"/>
          <w:sz w:val="24"/>
          <w:szCs w:val="24"/>
        </w:rPr>
        <w:t xml:space="preserve"> </w:t>
      </w:r>
      <w:r w:rsidR="00051706" w:rsidRPr="007575B1">
        <w:rPr>
          <w:rFonts w:ascii="Arial" w:hAnsi="Arial" w:cs="Arial"/>
          <w:sz w:val="24"/>
          <w:szCs w:val="24"/>
        </w:rPr>
        <w:t>On 3 March</w:t>
      </w:r>
      <w:r w:rsidR="00246A28" w:rsidRPr="007575B1">
        <w:rPr>
          <w:rFonts w:ascii="Arial" w:hAnsi="Arial" w:cs="Arial"/>
          <w:sz w:val="24"/>
          <w:szCs w:val="24"/>
        </w:rPr>
        <w:t xml:space="preserve"> </w:t>
      </w:r>
      <w:r w:rsidR="00051706" w:rsidRPr="007575B1">
        <w:rPr>
          <w:rFonts w:ascii="Arial" w:hAnsi="Arial" w:cs="Arial"/>
          <w:sz w:val="24"/>
          <w:szCs w:val="24"/>
        </w:rPr>
        <w:t>2021</w:t>
      </w:r>
      <w:r w:rsidR="00C62505" w:rsidRPr="007575B1">
        <w:rPr>
          <w:rFonts w:ascii="Arial" w:hAnsi="Arial" w:cs="Arial"/>
          <w:sz w:val="24"/>
          <w:szCs w:val="24"/>
        </w:rPr>
        <w:t>,</w:t>
      </w:r>
      <w:r w:rsidR="00051706" w:rsidRPr="007575B1">
        <w:rPr>
          <w:rFonts w:ascii="Arial" w:hAnsi="Arial" w:cs="Arial"/>
          <w:sz w:val="24"/>
          <w:szCs w:val="24"/>
        </w:rPr>
        <w:t xml:space="preserve"> the Service informed Mr</w:t>
      </w:r>
      <w:r w:rsidR="006C5EA4" w:rsidRPr="007575B1">
        <w:rPr>
          <w:rFonts w:ascii="Arial" w:hAnsi="Arial" w:cs="Arial"/>
          <w:sz w:val="24"/>
          <w:szCs w:val="24"/>
        </w:rPr>
        <w:t xml:space="preserve">. </w:t>
      </w:r>
      <w:r w:rsidR="00051706" w:rsidRPr="007575B1">
        <w:rPr>
          <w:rFonts w:ascii="Arial" w:hAnsi="Arial" w:cs="Arial"/>
          <w:sz w:val="24"/>
          <w:szCs w:val="24"/>
        </w:rPr>
        <w:t>Ndobela that his referral was rejected</w:t>
      </w:r>
      <w:r w:rsidR="0045287C" w:rsidRPr="007575B1">
        <w:rPr>
          <w:rFonts w:ascii="Arial" w:hAnsi="Arial" w:cs="Arial"/>
          <w:sz w:val="24"/>
          <w:szCs w:val="24"/>
        </w:rPr>
        <w:t xml:space="preserve"> (the decision)</w:t>
      </w:r>
      <w:r w:rsidR="005C2AD1" w:rsidRPr="007575B1">
        <w:rPr>
          <w:rFonts w:ascii="Arial" w:hAnsi="Arial" w:cs="Arial"/>
          <w:sz w:val="24"/>
          <w:szCs w:val="24"/>
        </w:rPr>
        <w:t>,</w:t>
      </w:r>
      <w:r w:rsidR="00C62505" w:rsidRPr="007575B1">
        <w:rPr>
          <w:rFonts w:ascii="Arial" w:hAnsi="Arial" w:cs="Arial"/>
          <w:sz w:val="24"/>
          <w:szCs w:val="24"/>
        </w:rPr>
        <w:t xml:space="preserve"> </w:t>
      </w:r>
      <w:r w:rsidR="005C2AD1" w:rsidRPr="007575B1">
        <w:rPr>
          <w:rFonts w:ascii="Arial" w:hAnsi="Arial" w:cs="Arial"/>
          <w:sz w:val="24"/>
          <w:szCs w:val="24"/>
        </w:rPr>
        <w:t>because it was</w:t>
      </w:r>
      <w:r w:rsidR="004B4405" w:rsidRPr="007575B1">
        <w:rPr>
          <w:rFonts w:ascii="Arial" w:hAnsi="Arial" w:cs="Arial"/>
          <w:sz w:val="24"/>
          <w:szCs w:val="24"/>
        </w:rPr>
        <w:t xml:space="preserve"> </w:t>
      </w:r>
      <w:r w:rsidR="005C2AD1" w:rsidRPr="007575B1">
        <w:rPr>
          <w:rFonts w:ascii="Arial" w:hAnsi="Arial" w:cs="Arial"/>
          <w:sz w:val="24"/>
          <w:szCs w:val="24"/>
        </w:rPr>
        <w:t>satisfied that</w:t>
      </w:r>
      <w:r w:rsidR="00F42A29" w:rsidRPr="007575B1">
        <w:rPr>
          <w:rFonts w:ascii="Arial" w:hAnsi="Arial" w:cs="Arial"/>
          <w:sz w:val="24"/>
          <w:szCs w:val="24"/>
        </w:rPr>
        <w:t xml:space="preserve"> the dispute should be dealt with in a court of law</w:t>
      </w:r>
      <w:r w:rsidR="00163C3F" w:rsidRPr="007575B1">
        <w:rPr>
          <w:rFonts w:ascii="Arial" w:hAnsi="Arial" w:cs="Arial"/>
          <w:sz w:val="24"/>
          <w:szCs w:val="24"/>
        </w:rPr>
        <w:t xml:space="preserve"> or </w:t>
      </w:r>
      <w:r w:rsidR="00091F1D" w:rsidRPr="007575B1">
        <w:rPr>
          <w:rFonts w:ascii="Arial" w:hAnsi="Arial" w:cs="Arial"/>
          <w:sz w:val="24"/>
          <w:szCs w:val="24"/>
        </w:rPr>
        <w:t>another</w:t>
      </w:r>
      <w:r w:rsidR="00163C3F" w:rsidRPr="007575B1">
        <w:rPr>
          <w:rFonts w:ascii="Arial" w:hAnsi="Arial" w:cs="Arial"/>
          <w:sz w:val="24"/>
          <w:szCs w:val="24"/>
        </w:rPr>
        <w:t xml:space="preserve"> tribunal of competen</w:t>
      </w:r>
      <w:r w:rsidR="00B02CA5" w:rsidRPr="007575B1">
        <w:rPr>
          <w:rFonts w:ascii="Arial" w:hAnsi="Arial" w:cs="Arial"/>
          <w:sz w:val="24"/>
          <w:szCs w:val="24"/>
        </w:rPr>
        <w:t>t</w:t>
      </w:r>
      <w:r w:rsidR="004B4405" w:rsidRPr="007575B1">
        <w:rPr>
          <w:rFonts w:ascii="Arial" w:hAnsi="Arial" w:cs="Arial"/>
          <w:sz w:val="24"/>
          <w:szCs w:val="24"/>
        </w:rPr>
        <w:t xml:space="preserve"> </w:t>
      </w:r>
      <w:r w:rsidR="00163C3F" w:rsidRPr="007575B1">
        <w:rPr>
          <w:rFonts w:ascii="Arial" w:hAnsi="Arial" w:cs="Arial"/>
          <w:sz w:val="24"/>
          <w:szCs w:val="24"/>
        </w:rPr>
        <w:t>jurisdiction</w:t>
      </w:r>
      <w:r w:rsidR="00EB0049" w:rsidRPr="007575B1">
        <w:rPr>
          <w:rFonts w:ascii="Arial" w:hAnsi="Arial" w:cs="Arial"/>
          <w:sz w:val="24"/>
          <w:szCs w:val="24"/>
        </w:rPr>
        <w:t>.</w:t>
      </w:r>
    </w:p>
    <w:p w14:paraId="5421D1C6" w14:textId="77777777" w:rsidR="003251B1" w:rsidRDefault="003251B1" w:rsidP="003251B1">
      <w:pPr>
        <w:pStyle w:val="ListParagraph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30796E33" w14:textId="04287AF1" w:rsidR="009264CA" w:rsidRPr="007575B1" w:rsidRDefault="007575B1" w:rsidP="007575B1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BB4B13" w:rsidRPr="007575B1">
        <w:rPr>
          <w:rFonts w:ascii="Arial" w:hAnsi="Arial" w:cs="Arial"/>
          <w:sz w:val="24"/>
          <w:szCs w:val="24"/>
        </w:rPr>
        <w:t>During February 2022</w:t>
      </w:r>
      <w:r w:rsidR="002155F6" w:rsidRPr="007575B1">
        <w:rPr>
          <w:rFonts w:ascii="Arial" w:hAnsi="Arial" w:cs="Arial"/>
          <w:sz w:val="24"/>
          <w:szCs w:val="24"/>
        </w:rPr>
        <w:t xml:space="preserve"> Mr. Ndobela instituted an </w:t>
      </w:r>
      <w:r w:rsidR="00033CBD" w:rsidRPr="007575B1">
        <w:rPr>
          <w:rFonts w:ascii="Arial" w:hAnsi="Arial" w:cs="Arial"/>
          <w:sz w:val="24"/>
          <w:szCs w:val="24"/>
        </w:rPr>
        <w:t>application</w:t>
      </w:r>
      <w:r w:rsidR="00A120B5" w:rsidRPr="007575B1">
        <w:rPr>
          <w:rFonts w:ascii="Arial" w:hAnsi="Arial" w:cs="Arial"/>
          <w:sz w:val="24"/>
          <w:szCs w:val="24"/>
        </w:rPr>
        <w:t xml:space="preserve"> in this court</w:t>
      </w:r>
      <w:r w:rsidR="00033CBD" w:rsidRPr="007575B1">
        <w:rPr>
          <w:rFonts w:ascii="Arial" w:hAnsi="Arial" w:cs="Arial"/>
          <w:sz w:val="24"/>
          <w:szCs w:val="24"/>
        </w:rPr>
        <w:t xml:space="preserve"> (</w:t>
      </w:r>
      <w:r w:rsidR="000903EF" w:rsidRPr="007575B1">
        <w:rPr>
          <w:rFonts w:ascii="Arial" w:hAnsi="Arial" w:cs="Arial"/>
          <w:sz w:val="24"/>
          <w:szCs w:val="24"/>
        </w:rPr>
        <w:t>the first application)</w:t>
      </w:r>
      <w:r w:rsidR="00E11437" w:rsidRPr="007575B1">
        <w:rPr>
          <w:rFonts w:ascii="Arial" w:hAnsi="Arial" w:cs="Arial"/>
          <w:sz w:val="24"/>
          <w:szCs w:val="24"/>
        </w:rPr>
        <w:t xml:space="preserve"> in which he sought orders declaring the Service’s decisio</w:t>
      </w:r>
      <w:r w:rsidR="002F127C" w:rsidRPr="007575B1">
        <w:rPr>
          <w:rFonts w:ascii="Arial" w:hAnsi="Arial" w:cs="Arial"/>
          <w:sz w:val="24"/>
          <w:szCs w:val="24"/>
        </w:rPr>
        <w:t xml:space="preserve">n </w:t>
      </w:r>
      <w:r w:rsidR="00D23C6D" w:rsidRPr="007575B1">
        <w:rPr>
          <w:rFonts w:ascii="Arial" w:hAnsi="Arial" w:cs="Arial"/>
          <w:sz w:val="24"/>
          <w:szCs w:val="24"/>
        </w:rPr>
        <w:t>unlawful, reviewing</w:t>
      </w:r>
      <w:r w:rsidR="002F127C" w:rsidRPr="007575B1">
        <w:rPr>
          <w:rFonts w:ascii="Arial" w:hAnsi="Arial" w:cs="Arial"/>
          <w:sz w:val="24"/>
          <w:szCs w:val="24"/>
        </w:rPr>
        <w:t xml:space="preserve"> and setting aside th</w:t>
      </w:r>
      <w:r w:rsidR="00A120B5" w:rsidRPr="007575B1">
        <w:rPr>
          <w:rFonts w:ascii="Arial" w:hAnsi="Arial" w:cs="Arial"/>
          <w:sz w:val="24"/>
          <w:szCs w:val="24"/>
        </w:rPr>
        <w:t>e</w:t>
      </w:r>
      <w:r w:rsidR="002F127C" w:rsidRPr="007575B1">
        <w:rPr>
          <w:rFonts w:ascii="Arial" w:hAnsi="Arial" w:cs="Arial"/>
          <w:sz w:val="24"/>
          <w:szCs w:val="24"/>
        </w:rPr>
        <w:t xml:space="preserve"> decision and directing the </w:t>
      </w:r>
      <w:r w:rsidR="00D23C6D" w:rsidRPr="007575B1">
        <w:rPr>
          <w:rFonts w:ascii="Arial" w:hAnsi="Arial" w:cs="Arial"/>
          <w:sz w:val="24"/>
          <w:szCs w:val="24"/>
        </w:rPr>
        <w:t>Service to</w:t>
      </w:r>
      <w:r w:rsidR="002B5B68" w:rsidRPr="007575B1">
        <w:rPr>
          <w:rFonts w:ascii="Arial" w:hAnsi="Arial" w:cs="Arial"/>
          <w:sz w:val="24"/>
          <w:szCs w:val="24"/>
        </w:rPr>
        <w:t xml:space="preserve"> hear and consider the </w:t>
      </w:r>
      <w:r w:rsidR="00D23C6D" w:rsidRPr="007575B1">
        <w:rPr>
          <w:rFonts w:ascii="Arial" w:hAnsi="Arial" w:cs="Arial"/>
          <w:sz w:val="24"/>
          <w:szCs w:val="24"/>
        </w:rPr>
        <w:t>referral. He</w:t>
      </w:r>
      <w:r w:rsidR="00815A82" w:rsidRPr="007575B1">
        <w:rPr>
          <w:rFonts w:ascii="Arial" w:hAnsi="Arial" w:cs="Arial"/>
          <w:sz w:val="24"/>
          <w:szCs w:val="24"/>
        </w:rPr>
        <w:t xml:space="preserve"> cited the Association as the first respondent and the Service as the second </w:t>
      </w:r>
      <w:r w:rsidR="00AB07A5" w:rsidRPr="007575B1">
        <w:rPr>
          <w:rFonts w:ascii="Arial" w:hAnsi="Arial" w:cs="Arial"/>
          <w:sz w:val="24"/>
          <w:szCs w:val="24"/>
        </w:rPr>
        <w:t>respondent. The</w:t>
      </w:r>
      <w:r w:rsidR="00BE417F" w:rsidRPr="007575B1">
        <w:rPr>
          <w:rFonts w:ascii="Arial" w:hAnsi="Arial" w:cs="Arial"/>
          <w:sz w:val="24"/>
          <w:szCs w:val="24"/>
        </w:rPr>
        <w:t xml:space="preserve"> Association opposed the application and the Service</w:t>
      </w:r>
      <w:r w:rsidR="00AB07A5" w:rsidRPr="007575B1">
        <w:rPr>
          <w:rFonts w:ascii="Arial" w:hAnsi="Arial" w:cs="Arial"/>
          <w:sz w:val="24"/>
          <w:szCs w:val="24"/>
        </w:rPr>
        <w:t xml:space="preserve"> abided by the decision of the court.</w:t>
      </w:r>
    </w:p>
    <w:p w14:paraId="3D856921" w14:textId="77777777" w:rsidR="009264CA" w:rsidRDefault="009264CA" w:rsidP="009264CA">
      <w:pPr>
        <w:pStyle w:val="ListParagraph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421EDF38" w14:textId="2BA153B2" w:rsidR="009264CA" w:rsidRPr="007575B1" w:rsidRDefault="007575B1" w:rsidP="007575B1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B130DD" w:rsidRPr="007575B1">
        <w:rPr>
          <w:rFonts w:ascii="Arial" w:hAnsi="Arial" w:cs="Arial"/>
          <w:sz w:val="24"/>
          <w:szCs w:val="24"/>
        </w:rPr>
        <w:t>The application was argued</w:t>
      </w:r>
      <w:r w:rsidR="003703E6" w:rsidRPr="007575B1">
        <w:rPr>
          <w:rFonts w:ascii="Arial" w:hAnsi="Arial" w:cs="Arial"/>
          <w:sz w:val="24"/>
          <w:szCs w:val="24"/>
        </w:rPr>
        <w:t xml:space="preserve"> on 10 November</w:t>
      </w:r>
      <w:r w:rsidR="009264CA" w:rsidRPr="007575B1">
        <w:rPr>
          <w:rFonts w:ascii="Arial" w:hAnsi="Arial" w:cs="Arial"/>
          <w:sz w:val="24"/>
          <w:szCs w:val="24"/>
        </w:rPr>
        <w:t xml:space="preserve"> 2022, j</w:t>
      </w:r>
      <w:r w:rsidR="003703E6" w:rsidRPr="007575B1">
        <w:rPr>
          <w:rFonts w:ascii="Arial" w:hAnsi="Arial" w:cs="Arial"/>
          <w:sz w:val="24"/>
          <w:szCs w:val="24"/>
        </w:rPr>
        <w:t>udgment was handed down on 12 December</w:t>
      </w:r>
      <w:r w:rsidR="009264CA" w:rsidRPr="007575B1">
        <w:rPr>
          <w:rFonts w:ascii="Arial" w:hAnsi="Arial" w:cs="Arial"/>
          <w:sz w:val="24"/>
          <w:szCs w:val="24"/>
        </w:rPr>
        <w:t xml:space="preserve"> </w:t>
      </w:r>
      <w:r w:rsidR="003703E6" w:rsidRPr="007575B1">
        <w:rPr>
          <w:rFonts w:ascii="Arial" w:hAnsi="Arial" w:cs="Arial"/>
          <w:sz w:val="24"/>
          <w:szCs w:val="24"/>
        </w:rPr>
        <w:t>2022</w:t>
      </w:r>
      <w:r w:rsidR="00EE6E86" w:rsidRPr="007575B1">
        <w:rPr>
          <w:rFonts w:ascii="Arial" w:hAnsi="Arial" w:cs="Arial"/>
          <w:sz w:val="24"/>
          <w:szCs w:val="24"/>
        </w:rPr>
        <w:t xml:space="preserve"> and Mr. Ndobela’s application wa</w:t>
      </w:r>
      <w:r w:rsidR="00007F3D" w:rsidRPr="007575B1">
        <w:rPr>
          <w:rFonts w:ascii="Arial" w:hAnsi="Arial" w:cs="Arial"/>
          <w:sz w:val="24"/>
          <w:szCs w:val="24"/>
        </w:rPr>
        <w:t xml:space="preserve">s dismissed with </w:t>
      </w:r>
      <w:r w:rsidR="006932A1" w:rsidRPr="007575B1">
        <w:rPr>
          <w:rFonts w:ascii="Arial" w:hAnsi="Arial" w:cs="Arial"/>
          <w:sz w:val="24"/>
          <w:szCs w:val="24"/>
        </w:rPr>
        <w:t>costs. On</w:t>
      </w:r>
      <w:r w:rsidR="00007F3D" w:rsidRPr="007575B1">
        <w:rPr>
          <w:rFonts w:ascii="Arial" w:hAnsi="Arial" w:cs="Arial"/>
          <w:sz w:val="24"/>
          <w:szCs w:val="24"/>
        </w:rPr>
        <w:t xml:space="preserve"> that same day Mr. Ndobela </w:t>
      </w:r>
      <w:r w:rsidR="00E11358" w:rsidRPr="007575B1">
        <w:rPr>
          <w:rFonts w:ascii="Arial" w:hAnsi="Arial" w:cs="Arial"/>
          <w:sz w:val="24"/>
          <w:szCs w:val="24"/>
        </w:rPr>
        <w:t>sent a letter to the Association’s attorneys in which he indicated his intention</w:t>
      </w:r>
      <w:r w:rsidR="006932A1" w:rsidRPr="007575B1">
        <w:rPr>
          <w:rFonts w:ascii="Arial" w:hAnsi="Arial" w:cs="Arial"/>
          <w:sz w:val="24"/>
          <w:szCs w:val="24"/>
        </w:rPr>
        <w:t xml:space="preserve"> to apply for leave to </w:t>
      </w:r>
      <w:r w:rsidR="005414CA" w:rsidRPr="007575B1">
        <w:rPr>
          <w:rFonts w:ascii="Arial" w:hAnsi="Arial" w:cs="Arial"/>
          <w:sz w:val="24"/>
          <w:szCs w:val="24"/>
        </w:rPr>
        <w:t>appeal. However</w:t>
      </w:r>
      <w:r w:rsidR="00560E42" w:rsidRPr="007575B1">
        <w:rPr>
          <w:rFonts w:ascii="Arial" w:hAnsi="Arial" w:cs="Arial"/>
          <w:sz w:val="24"/>
          <w:szCs w:val="24"/>
        </w:rPr>
        <w:t>, instea</w:t>
      </w:r>
      <w:r w:rsidR="007E341C" w:rsidRPr="007575B1">
        <w:rPr>
          <w:rFonts w:ascii="Arial" w:hAnsi="Arial" w:cs="Arial"/>
          <w:sz w:val="24"/>
          <w:szCs w:val="24"/>
        </w:rPr>
        <w:t>d of doing that he instituted this application on 15 December</w:t>
      </w:r>
      <w:r w:rsidR="009264CA" w:rsidRPr="007575B1">
        <w:rPr>
          <w:rFonts w:ascii="Arial" w:hAnsi="Arial" w:cs="Arial"/>
          <w:sz w:val="24"/>
          <w:szCs w:val="24"/>
        </w:rPr>
        <w:t xml:space="preserve"> </w:t>
      </w:r>
      <w:r w:rsidR="005414CA" w:rsidRPr="007575B1">
        <w:rPr>
          <w:rFonts w:ascii="Arial" w:hAnsi="Arial" w:cs="Arial"/>
          <w:sz w:val="24"/>
          <w:szCs w:val="24"/>
        </w:rPr>
        <w:t>2022.</w:t>
      </w:r>
      <w:r w:rsidR="009264CA" w:rsidRPr="007575B1">
        <w:rPr>
          <w:rFonts w:ascii="Arial" w:hAnsi="Arial" w:cs="Arial"/>
          <w:sz w:val="24"/>
          <w:szCs w:val="24"/>
        </w:rPr>
        <w:t xml:space="preserve"> </w:t>
      </w:r>
      <w:r w:rsidR="001B37F9" w:rsidRPr="007575B1">
        <w:rPr>
          <w:rFonts w:ascii="Arial" w:hAnsi="Arial" w:cs="Arial"/>
          <w:sz w:val="24"/>
          <w:szCs w:val="24"/>
        </w:rPr>
        <w:t>The orders sought in this application and those sought in the first application</w:t>
      </w:r>
      <w:r w:rsidR="00E338B3" w:rsidRPr="007575B1">
        <w:rPr>
          <w:rFonts w:ascii="Arial" w:hAnsi="Arial" w:cs="Arial"/>
          <w:sz w:val="24"/>
          <w:szCs w:val="24"/>
        </w:rPr>
        <w:t xml:space="preserve"> are for all practical purposes the </w:t>
      </w:r>
      <w:r w:rsidR="006778EC" w:rsidRPr="007575B1">
        <w:rPr>
          <w:rFonts w:ascii="Arial" w:hAnsi="Arial" w:cs="Arial"/>
          <w:sz w:val="24"/>
          <w:szCs w:val="24"/>
        </w:rPr>
        <w:t>same. However</w:t>
      </w:r>
      <w:r w:rsidR="009F7C25" w:rsidRPr="007575B1">
        <w:rPr>
          <w:rFonts w:ascii="Arial" w:hAnsi="Arial" w:cs="Arial"/>
          <w:sz w:val="24"/>
          <w:szCs w:val="24"/>
        </w:rPr>
        <w:t>, Mr. Ndobela</w:t>
      </w:r>
      <w:r w:rsidR="002268E7" w:rsidRPr="007575B1">
        <w:rPr>
          <w:rFonts w:ascii="Arial" w:hAnsi="Arial" w:cs="Arial"/>
          <w:sz w:val="24"/>
          <w:szCs w:val="24"/>
        </w:rPr>
        <w:t xml:space="preserve"> attempts to differentiate the applications on the </w:t>
      </w:r>
      <w:r w:rsidR="006F7C6F" w:rsidRPr="007575B1">
        <w:rPr>
          <w:rFonts w:ascii="Arial" w:hAnsi="Arial" w:cs="Arial"/>
          <w:sz w:val="24"/>
          <w:szCs w:val="24"/>
        </w:rPr>
        <w:t>basis that in the first application</w:t>
      </w:r>
      <w:r w:rsidR="00F7692F" w:rsidRPr="007575B1">
        <w:rPr>
          <w:rFonts w:ascii="Arial" w:hAnsi="Arial" w:cs="Arial"/>
          <w:sz w:val="24"/>
          <w:szCs w:val="24"/>
        </w:rPr>
        <w:t xml:space="preserve"> he merely sought an interdict</w:t>
      </w:r>
      <w:r w:rsidR="00261991" w:rsidRPr="007575B1">
        <w:rPr>
          <w:rFonts w:ascii="Arial" w:hAnsi="Arial" w:cs="Arial"/>
          <w:sz w:val="24"/>
          <w:szCs w:val="24"/>
        </w:rPr>
        <w:t xml:space="preserve"> and mandamus</w:t>
      </w:r>
      <w:r w:rsidR="00F7692F" w:rsidRPr="007575B1">
        <w:rPr>
          <w:rFonts w:ascii="Arial" w:hAnsi="Arial" w:cs="Arial"/>
          <w:sz w:val="24"/>
          <w:szCs w:val="24"/>
        </w:rPr>
        <w:t xml:space="preserve"> against the </w:t>
      </w:r>
      <w:r w:rsidR="00876729" w:rsidRPr="007575B1">
        <w:rPr>
          <w:rFonts w:ascii="Arial" w:hAnsi="Arial" w:cs="Arial"/>
          <w:sz w:val="24"/>
          <w:szCs w:val="24"/>
        </w:rPr>
        <w:t>Association.</w:t>
      </w:r>
    </w:p>
    <w:p w14:paraId="35664514" w14:textId="77777777" w:rsidR="009264CA" w:rsidRPr="009264CA" w:rsidRDefault="009264CA" w:rsidP="009264CA">
      <w:pPr>
        <w:pStyle w:val="ListParagraph"/>
        <w:rPr>
          <w:rFonts w:ascii="Arial" w:hAnsi="Arial" w:cs="Arial"/>
          <w:sz w:val="24"/>
          <w:szCs w:val="24"/>
        </w:rPr>
      </w:pPr>
    </w:p>
    <w:p w14:paraId="2F74F306" w14:textId="370920E9" w:rsidR="006D6012" w:rsidRPr="007575B1" w:rsidRDefault="007575B1" w:rsidP="007575B1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="00F15D7A" w:rsidRPr="007575B1">
        <w:rPr>
          <w:rFonts w:ascii="Arial" w:hAnsi="Arial" w:cs="Arial"/>
          <w:sz w:val="24"/>
          <w:szCs w:val="24"/>
        </w:rPr>
        <w:t>Mr. Ndobela argues</w:t>
      </w:r>
      <w:r w:rsidR="00800780" w:rsidRPr="007575B1">
        <w:rPr>
          <w:rFonts w:ascii="Arial" w:hAnsi="Arial" w:cs="Arial"/>
          <w:sz w:val="24"/>
          <w:szCs w:val="24"/>
        </w:rPr>
        <w:t xml:space="preserve"> that the first application was dismissed</w:t>
      </w:r>
      <w:r w:rsidR="00752496" w:rsidRPr="007575B1">
        <w:rPr>
          <w:rFonts w:ascii="Arial" w:hAnsi="Arial" w:cs="Arial"/>
          <w:sz w:val="24"/>
          <w:szCs w:val="24"/>
        </w:rPr>
        <w:t xml:space="preserve"> on the basis that he ought to</w:t>
      </w:r>
      <w:r w:rsidR="00CF6B64" w:rsidRPr="007575B1">
        <w:rPr>
          <w:rFonts w:ascii="Arial" w:hAnsi="Arial" w:cs="Arial"/>
          <w:sz w:val="24"/>
          <w:szCs w:val="24"/>
        </w:rPr>
        <w:t xml:space="preserve"> have followed review proceedings</w:t>
      </w:r>
      <w:r w:rsidR="00351DA8" w:rsidRPr="007575B1">
        <w:rPr>
          <w:rFonts w:ascii="Arial" w:hAnsi="Arial" w:cs="Arial"/>
          <w:sz w:val="24"/>
          <w:szCs w:val="24"/>
        </w:rPr>
        <w:t xml:space="preserve"> in terms of PAJA</w:t>
      </w:r>
      <w:r w:rsidR="00CF6B64" w:rsidRPr="007575B1">
        <w:rPr>
          <w:rFonts w:ascii="Arial" w:hAnsi="Arial" w:cs="Arial"/>
          <w:sz w:val="24"/>
          <w:szCs w:val="24"/>
        </w:rPr>
        <w:t xml:space="preserve"> and that</w:t>
      </w:r>
      <w:r w:rsidR="00F20734" w:rsidRPr="007575B1">
        <w:rPr>
          <w:rFonts w:ascii="Arial" w:hAnsi="Arial" w:cs="Arial"/>
          <w:sz w:val="24"/>
          <w:szCs w:val="24"/>
        </w:rPr>
        <w:t xml:space="preserve"> the </w:t>
      </w:r>
      <w:r w:rsidR="009264CA" w:rsidRPr="007575B1">
        <w:rPr>
          <w:rFonts w:ascii="Arial" w:hAnsi="Arial" w:cs="Arial"/>
          <w:sz w:val="24"/>
          <w:szCs w:val="24"/>
        </w:rPr>
        <w:t>“</w:t>
      </w:r>
      <w:r w:rsidR="00753DE2" w:rsidRPr="007575B1">
        <w:rPr>
          <w:rFonts w:ascii="Arial" w:hAnsi="Arial" w:cs="Arial"/>
          <w:i/>
          <w:sz w:val="24"/>
          <w:szCs w:val="24"/>
        </w:rPr>
        <w:t>judgment delivered</w:t>
      </w:r>
      <w:r w:rsidR="00F20734" w:rsidRPr="007575B1">
        <w:rPr>
          <w:rFonts w:ascii="Arial" w:hAnsi="Arial" w:cs="Arial"/>
          <w:i/>
          <w:sz w:val="24"/>
          <w:szCs w:val="24"/>
        </w:rPr>
        <w:t xml:space="preserve"> pointed him in the right direction</w:t>
      </w:r>
      <w:r w:rsidR="003C782D" w:rsidRPr="007575B1">
        <w:rPr>
          <w:rFonts w:ascii="Arial" w:hAnsi="Arial" w:cs="Arial"/>
          <w:sz w:val="24"/>
          <w:szCs w:val="24"/>
        </w:rPr>
        <w:t>.”</w:t>
      </w:r>
      <w:r w:rsidR="006F7C6F" w:rsidRPr="007575B1">
        <w:rPr>
          <w:rFonts w:ascii="Arial" w:hAnsi="Arial" w:cs="Arial"/>
          <w:sz w:val="24"/>
          <w:szCs w:val="24"/>
        </w:rPr>
        <w:t xml:space="preserve"> </w:t>
      </w:r>
      <w:r w:rsidR="00753DE2" w:rsidRPr="007575B1">
        <w:rPr>
          <w:rFonts w:ascii="Arial" w:hAnsi="Arial" w:cs="Arial"/>
          <w:sz w:val="24"/>
          <w:szCs w:val="24"/>
        </w:rPr>
        <w:t xml:space="preserve"> </w:t>
      </w:r>
      <w:r w:rsidR="00124461" w:rsidRPr="007575B1">
        <w:rPr>
          <w:rFonts w:ascii="Arial" w:hAnsi="Arial" w:cs="Arial"/>
          <w:sz w:val="24"/>
          <w:szCs w:val="24"/>
        </w:rPr>
        <w:t>Mr</w:t>
      </w:r>
      <w:r w:rsidR="007D1E8C" w:rsidRPr="007575B1">
        <w:rPr>
          <w:rFonts w:ascii="Arial" w:hAnsi="Arial" w:cs="Arial"/>
          <w:sz w:val="24"/>
          <w:szCs w:val="24"/>
        </w:rPr>
        <w:t>.</w:t>
      </w:r>
      <w:r w:rsidR="00124461" w:rsidRPr="007575B1">
        <w:rPr>
          <w:rFonts w:ascii="Arial" w:hAnsi="Arial" w:cs="Arial"/>
          <w:sz w:val="24"/>
          <w:szCs w:val="24"/>
        </w:rPr>
        <w:t xml:space="preserve"> Ndobela</w:t>
      </w:r>
      <w:r w:rsidR="00705C74" w:rsidRPr="007575B1">
        <w:rPr>
          <w:rFonts w:ascii="Arial" w:hAnsi="Arial" w:cs="Arial"/>
          <w:sz w:val="24"/>
          <w:szCs w:val="24"/>
        </w:rPr>
        <w:t xml:space="preserve"> in this application seems to</w:t>
      </w:r>
      <w:r w:rsidR="00DC587B" w:rsidRPr="007575B1">
        <w:rPr>
          <w:rFonts w:ascii="Arial" w:hAnsi="Arial" w:cs="Arial"/>
          <w:sz w:val="24"/>
          <w:szCs w:val="24"/>
        </w:rPr>
        <w:t xml:space="preserve"> be of the view that he is attempting to assist the Service</w:t>
      </w:r>
      <w:r w:rsidR="00BA74D6" w:rsidRPr="007575B1">
        <w:rPr>
          <w:rFonts w:ascii="Arial" w:hAnsi="Arial" w:cs="Arial"/>
          <w:sz w:val="24"/>
          <w:szCs w:val="24"/>
        </w:rPr>
        <w:t xml:space="preserve"> in carrying out its statutory obligation</w:t>
      </w:r>
      <w:r w:rsidR="00253DBD" w:rsidRPr="007575B1">
        <w:rPr>
          <w:rFonts w:ascii="Arial" w:hAnsi="Arial" w:cs="Arial"/>
          <w:sz w:val="24"/>
          <w:szCs w:val="24"/>
        </w:rPr>
        <w:t xml:space="preserve"> and asserts that the Service is supporting his applicatio</w:t>
      </w:r>
      <w:r w:rsidR="001B362A" w:rsidRPr="007575B1">
        <w:rPr>
          <w:rFonts w:ascii="Arial" w:hAnsi="Arial" w:cs="Arial"/>
          <w:sz w:val="24"/>
          <w:szCs w:val="24"/>
        </w:rPr>
        <w:t>n.</w:t>
      </w:r>
      <w:r w:rsidR="00753DE2" w:rsidRPr="007575B1">
        <w:rPr>
          <w:rFonts w:ascii="Arial" w:hAnsi="Arial" w:cs="Arial"/>
          <w:sz w:val="24"/>
          <w:szCs w:val="24"/>
        </w:rPr>
        <w:t xml:space="preserve"> </w:t>
      </w:r>
      <w:r w:rsidR="001B362A" w:rsidRPr="007575B1">
        <w:rPr>
          <w:rFonts w:ascii="Arial" w:hAnsi="Arial" w:cs="Arial"/>
          <w:sz w:val="24"/>
          <w:szCs w:val="24"/>
        </w:rPr>
        <w:t>There is no supporting affidavit</w:t>
      </w:r>
      <w:r w:rsidR="00491C25" w:rsidRPr="007575B1">
        <w:rPr>
          <w:rFonts w:ascii="Arial" w:hAnsi="Arial" w:cs="Arial"/>
          <w:sz w:val="24"/>
          <w:szCs w:val="24"/>
        </w:rPr>
        <w:t xml:space="preserve"> from the </w:t>
      </w:r>
      <w:r w:rsidR="001777B8" w:rsidRPr="007575B1">
        <w:rPr>
          <w:rFonts w:ascii="Arial" w:hAnsi="Arial" w:cs="Arial"/>
          <w:sz w:val="24"/>
          <w:szCs w:val="24"/>
        </w:rPr>
        <w:t>Service</w:t>
      </w:r>
      <w:r w:rsidR="00255900" w:rsidRPr="007575B1">
        <w:rPr>
          <w:rFonts w:ascii="Arial" w:hAnsi="Arial" w:cs="Arial"/>
          <w:sz w:val="24"/>
          <w:szCs w:val="24"/>
        </w:rPr>
        <w:t xml:space="preserve"> to confirm this</w:t>
      </w:r>
      <w:r w:rsidR="001777B8" w:rsidRPr="007575B1">
        <w:rPr>
          <w:rFonts w:ascii="Arial" w:hAnsi="Arial" w:cs="Arial"/>
          <w:sz w:val="24"/>
          <w:szCs w:val="24"/>
        </w:rPr>
        <w:t>. There</w:t>
      </w:r>
      <w:r w:rsidR="008A19CA" w:rsidRPr="007575B1">
        <w:rPr>
          <w:rFonts w:ascii="Arial" w:hAnsi="Arial" w:cs="Arial"/>
          <w:sz w:val="24"/>
          <w:szCs w:val="24"/>
        </w:rPr>
        <w:t xml:space="preserve"> is</w:t>
      </w:r>
      <w:r w:rsidR="001777B8" w:rsidRPr="007575B1">
        <w:rPr>
          <w:rFonts w:ascii="Arial" w:hAnsi="Arial" w:cs="Arial"/>
          <w:sz w:val="24"/>
          <w:szCs w:val="24"/>
        </w:rPr>
        <w:t xml:space="preserve"> as a resul</w:t>
      </w:r>
      <w:r w:rsidR="000F65CF" w:rsidRPr="007575B1">
        <w:rPr>
          <w:rFonts w:ascii="Arial" w:hAnsi="Arial" w:cs="Arial"/>
          <w:sz w:val="24"/>
          <w:szCs w:val="24"/>
        </w:rPr>
        <w:t>t</w:t>
      </w:r>
      <w:r w:rsidR="008A19CA" w:rsidRPr="007575B1">
        <w:rPr>
          <w:rFonts w:ascii="Arial" w:hAnsi="Arial" w:cs="Arial"/>
          <w:sz w:val="24"/>
          <w:szCs w:val="24"/>
        </w:rPr>
        <w:t xml:space="preserve"> no explanation</w:t>
      </w:r>
      <w:r w:rsidR="00753DE2" w:rsidRPr="007575B1">
        <w:rPr>
          <w:rFonts w:ascii="Arial" w:hAnsi="Arial" w:cs="Arial"/>
          <w:sz w:val="24"/>
          <w:szCs w:val="24"/>
        </w:rPr>
        <w:t xml:space="preserve"> or request</w:t>
      </w:r>
      <w:r w:rsidR="008A19CA" w:rsidRPr="007575B1">
        <w:rPr>
          <w:rFonts w:ascii="Arial" w:hAnsi="Arial" w:cs="Arial"/>
          <w:sz w:val="24"/>
          <w:szCs w:val="24"/>
        </w:rPr>
        <w:t xml:space="preserve"> from the Service</w:t>
      </w:r>
      <w:r w:rsidR="005F0404" w:rsidRPr="007575B1">
        <w:rPr>
          <w:rFonts w:ascii="Arial" w:hAnsi="Arial" w:cs="Arial"/>
          <w:sz w:val="24"/>
          <w:szCs w:val="24"/>
        </w:rPr>
        <w:t xml:space="preserve"> as to if and why its decision should be revie</w:t>
      </w:r>
      <w:r w:rsidR="00A67465" w:rsidRPr="007575B1">
        <w:rPr>
          <w:rFonts w:ascii="Arial" w:hAnsi="Arial" w:cs="Arial"/>
          <w:sz w:val="24"/>
          <w:szCs w:val="24"/>
        </w:rPr>
        <w:t xml:space="preserve">wed and set </w:t>
      </w:r>
      <w:r w:rsidR="00887D39" w:rsidRPr="007575B1">
        <w:rPr>
          <w:rFonts w:ascii="Arial" w:hAnsi="Arial" w:cs="Arial"/>
          <w:sz w:val="24"/>
          <w:szCs w:val="24"/>
        </w:rPr>
        <w:t>aside</w:t>
      </w:r>
      <w:r w:rsidR="00753DE2" w:rsidRPr="007575B1">
        <w:rPr>
          <w:rFonts w:ascii="Arial" w:hAnsi="Arial" w:cs="Arial"/>
          <w:sz w:val="24"/>
          <w:szCs w:val="24"/>
        </w:rPr>
        <w:t>.</w:t>
      </w:r>
      <w:r w:rsidR="009F7E9E" w:rsidRPr="007575B1">
        <w:rPr>
          <w:rFonts w:ascii="Arial" w:hAnsi="Arial" w:cs="Arial"/>
          <w:sz w:val="24"/>
          <w:szCs w:val="24"/>
        </w:rPr>
        <w:t xml:space="preserve"> Mr.</w:t>
      </w:r>
      <w:r w:rsidR="00A67465" w:rsidRPr="007575B1">
        <w:rPr>
          <w:rFonts w:ascii="Arial" w:hAnsi="Arial" w:cs="Arial"/>
          <w:sz w:val="24"/>
          <w:szCs w:val="24"/>
        </w:rPr>
        <w:t xml:space="preserve"> Ndobela both in the first and this </w:t>
      </w:r>
      <w:r w:rsidR="00DB2D07" w:rsidRPr="007575B1">
        <w:rPr>
          <w:rFonts w:ascii="Arial" w:hAnsi="Arial" w:cs="Arial"/>
          <w:sz w:val="24"/>
          <w:szCs w:val="24"/>
        </w:rPr>
        <w:t>application relies on a letter purportedly</w:t>
      </w:r>
      <w:r w:rsidR="008A4515" w:rsidRPr="007575B1">
        <w:rPr>
          <w:rFonts w:ascii="Arial" w:hAnsi="Arial" w:cs="Arial"/>
          <w:sz w:val="24"/>
          <w:szCs w:val="24"/>
        </w:rPr>
        <w:t xml:space="preserve"> from the Service,</w:t>
      </w:r>
      <w:r w:rsidR="00887D39" w:rsidRPr="007575B1">
        <w:rPr>
          <w:rFonts w:ascii="Arial" w:hAnsi="Arial" w:cs="Arial"/>
          <w:sz w:val="24"/>
          <w:szCs w:val="24"/>
        </w:rPr>
        <w:t xml:space="preserve"> however this</w:t>
      </w:r>
      <w:r w:rsidR="008A4515" w:rsidRPr="007575B1">
        <w:rPr>
          <w:rFonts w:ascii="Arial" w:hAnsi="Arial" w:cs="Arial"/>
          <w:sz w:val="24"/>
          <w:szCs w:val="24"/>
        </w:rPr>
        <w:t xml:space="preserve"> letter</w:t>
      </w:r>
      <w:r w:rsidR="005C42DF" w:rsidRPr="007575B1">
        <w:rPr>
          <w:rFonts w:ascii="Arial" w:hAnsi="Arial" w:cs="Arial"/>
          <w:sz w:val="24"/>
          <w:szCs w:val="24"/>
        </w:rPr>
        <w:t xml:space="preserve"> is not supported by an affidavit from the </w:t>
      </w:r>
      <w:r w:rsidR="00887D39" w:rsidRPr="007575B1">
        <w:rPr>
          <w:rFonts w:ascii="Arial" w:hAnsi="Arial" w:cs="Arial"/>
          <w:sz w:val="24"/>
          <w:szCs w:val="24"/>
        </w:rPr>
        <w:t>Service. In</w:t>
      </w:r>
      <w:r w:rsidR="000C4562" w:rsidRPr="007575B1">
        <w:rPr>
          <w:rFonts w:ascii="Arial" w:hAnsi="Arial" w:cs="Arial"/>
          <w:sz w:val="24"/>
          <w:szCs w:val="24"/>
        </w:rPr>
        <w:t xml:space="preserve"> any event</w:t>
      </w:r>
      <w:r w:rsidR="00753DE2" w:rsidRPr="007575B1">
        <w:rPr>
          <w:rFonts w:ascii="Arial" w:hAnsi="Arial" w:cs="Arial"/>
          <w:sz w:val="24"/>
          <w:szCs w:val="24"/>
        </w:rPr>
        <w:t>,</w:t>
      </w:r>
      <w:r w:rsidR="000C4562" w:rsidRPr="007575B1">
        <w:rPr>
          <w:rFonts w:ascii="Arial" w:hAnsi="Arial" w:cs="Arial"/>
          <w:sz w:val="24"/>
          <w:szCs w:val="24"/>
        </w:rPr>
        <w:t xml:space="preserve"> this letter was considered and rejected</w:t>
      </w:r>
      <w:r w:rsidR="00921037" w:rsidRPr="007575B1">
        <w:rPr>
          <w:rFonts w:ascii="Arial" w:hAnsi="Arial" w:cs="Arial"/>
          <w:sz w:val="24"/>
          <w:szCs w:val="24"/>
        </w:rPr>
        <w:t xml:space="preserve"> by the court in the first application</w:t>
      </w:r>
      <w:r w:rsidR="00887D39" w:rsidRPr="007575B1">
        <w:rPr>
          <w:rFonts w:ascii="Arial" w:hAnsi="Arial" w:cs="Arial"/>
          <w:sz w:val="24"/>
          <w:szCs w:val="24"/>
        </w:rPr>
        <w:t>.</w:t>
      </w:r>
    </w:p>
    <w:p w14:paraId="349BF017" w14:textId="77777777" w:rsidR="006D6012" w:rsidRPr="006D6012" w:rsidRDefault="006D6012" w:rsidP="006D6012">
      <w:pPr>
        <w:pStyle w:val="ListParagraph"/>
        <w:rPr>
          <w:rFonts w:ascii="Arial" w:hAnsi="Arial" w:cs="Arial"/>
          <w:sz w:val="24"/>
          <w:szCs w:val="24"/>
        </w:rPr>
      </w:pPr>
    </w:p>
    <w:p w14:paraId="5D56840F" w14:textId="77777777" w:rsidR="006D6012" w:rsidRPr="007D1E8C" w:rsidRDefault="006D6012" w:rsidP="007D1E8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2A3136">
        <w:rPr>
          <w:rFonts w:ascii="Arial" w:hAnsi="Arial" w:cs="Arial"/>
          <w:sz w:val="24"/>
          <w:szCs w:val="24"/>
        </w:rPr>
        <w:t>RES JUDICATA AND ISSUE ESTOPPEL</w:t>
      </w:r>
    </w:p>
    <w:p w14:paraId="5B152E41" w14:textId="130907B0" w:rsidR="006B58B1" w:rsidRPr="007575B1" w:rsidRDefault="007575B1" w:rsidP="007575B1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="00C36D5B" w:rsidRPr="007575B1">
        <w:rPr>
          <w:rFonts w:ascii="Arial" w:hAnsi="Arial" w:cs="Arial"/>
          <w:sz w:val="24"/>
          <w:szCs w:val="24"/>
        </w:rPr>
        <w:t>It is trite that</w:t>
      </w:r>
      <w:r w:rsidR="00220285" w:rsidRPr="007575B1">
        <w:rPr>
          <w:rFonts w:ascii="Arial" w:hAnsi="Arial" w:cs="Arial"/>
          <w:sz w:val="24"/>
          <w:szCs w:val="24"/>
        </w:rPr>
        <w:t xml:space="preserve"> the defenc</w:t>
      </w:r>
      <w:r w:rsidR="0064688F" w:rsidRPr="007575B1">
        <w:rPr>
          <w:rFonts w:ascii="Arial" w:hAnsi="Arial" w:cs="Arial"/>
          <w:sz w:val="24"/>
          <w:szCs w:val="24"/>
        </w:rPr>
        <w:t>e of res judicata</w:t>
      </w:r>
      <w:r w:rsidR="007F4E57" w:rsidRPr="007575B1">
        <w:rPr>
          <w:rFonts w:ascii="Arial" w:hAnsi="Arial" w:cs="Arial"/>
          <w:sz w:val="24"/>
          <w:szCs w:val="24"/>
        </w:rPr>
        <w:t xml:space="preserve"> or issue estoppel</w:t>
      </w:r>
      <w:r w:rsidR="0064688F" w:rsidRPr="007575B1">
        <w:rPr>
          <w:rFonts w:ascii="Arial" w:hAnsi="Arial" w:cs="Arial"/>
          <w:sz w:val="24"/>
          <w:szCs w:val="24"/>
        </w:rPr>
        <w:t xml:space="preserve"> is based on the principle that</w:t>
      </w:r>
      <w:r w:rsidR="00F4613F" w:rsidRPr="007575B1">
        <w:rPr>
          <w:rFonts w:ascii="Arial" w:hAnsi="Arial" w:cs="Arial"/>
          <w:sz w:val="24"/>
          <w:szCs w:val="24"/>
        </w:rPr>
        <w:t xml:space="preserve"> the dispute raised has already bee</w:t>
      </w:r>
      <w:r w:rsidR="009170B6" w:rsidRPr="007575B1">
        <w:rPr>
          <w:rFonts w:ascii="Arial" w:hAnsi="Arial" w:cs="Arial"/>
          <w:sz w:val="24"/>
          <w:szCs w:val="24"/>
        </w:rPr>
        <w:t>n finally adjudicated in proceedings between the same parties</w:t>
      </w:r>
      <w:r w:rsidR="00220285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220285" w:rsidRPr="007575B1">
        <w:rPr>
          <w:rFonts w:ascii="Arial" w:hAnsi="Arial" w:cs="Arial"/>
          <w:sz w:val="24"/>
          <w:szCs w:val="24"/>
        </w:rPr>
        <w:t xml:space="preserve">. </w:t>
      </w:r>
      <w:r w:rsidR="00661FF5" w:rsidRPr="007575B1">
        <w:rPr>
          <w:rFonts w:ascii="Arial" w:hAnsi="Arial" w:cs="Arial"/>
          <w:sz w:val="24"/>
          <w:szCs w:val="24"/>
        </w:rPr>
        <w:t>What is required to</w:t>
      </w:r>
      <w:r w:rsidR="00201414" w:rsidRPr="007575B1">
        <w:rPr>
          <w:rFonts w:ascii="Arial" w:hAnsi="Arial" w:cs="Arial"/>
          <w:sz w:val="24"/>
          <w:szCs w:val="24"/>
        </w:rPr>
        <w:t xml:space="preserve"> establish </w:t>
      </w:r>
      <w:r w:rsidR="00A264E1" w:rsidRPr="007575B1">
        <w:rPr>
          <w:rFonts w:ascii="Arial" w:hAnsi="Arial" w:cs="Arial"/>
          <w:sz w:val="24"/>
          <w:szCs w:val="24"/>
        </w:rPr>
        <w:t>the defence</w:t>
      </w:r>
      <w:r w:rsidR="00A14CD9" w:rsidRPr="007575B1">
        <w:rPr>
          <w:rFonts w:ascii="Arial" w:hAnsi="Arial" w:cs="Arial"/>
          <w:sz w:val="24"/>
          <w:szCs w:val="24"/>
        </w:rPr>
        <w:t xml:space="preserve"> of res </w:t>
      </w:r>
      <w:r w:rsidR="00DD5214" w:rsidRPr="007575B1">
        <w:rPr>
          <w:rFonts w:ascii="Arial" w:hAnsi="Arial" w:cs="Arial"/>
          <w:sz w:val="24"/>
          <w:szCs w:val="24"/>
        </w:rPr>
        <w:t>judicata is</w:t>
      </w:r>
      <w:r w:rsidR="00201414" w:rsidRPr="007575B1">
        <w:rPr>
          <w:rFonts w:ascii="Arial" w:hAnsi="Arial" w:cs="Arial"/>
          <w:sz w:val="24"/>
          <w:szCs w:val="24"/>
        </w:rPr>
        <w:t xml:space="preserve"> the same cause of </w:t>
      </w:r>
      <w:r w:rsidR="00967E10" w:rsidRPr="007575B1">
        <w:rPr>
          <w:rFonts w:ascii="Arial" w:hAnsi="Arial" w:cs="Arial"/>
          <w:sz w:val="24"/>
          <w:szCs w:val="24"/>
        </w:rPr>
        <w:t>action, the</w:t>
      </w:r>
      <w:r w:rsidR="00201414" w:rsidRPr="007575B1">
        <w:rPr>
          <w:rFonts w:ascii="Arial" w:hAnsi="Arial" w:cs="Arial"/>
          <w:sz w:val="24"/>
          <w:szCs w:val="24"/>
        </w:rPr>
        <w:t xml:space="preserve"> same parties</w:t>
      </w:r>
      <w:r w:rsidR="005D30D0" w:rsidRPr="007575B1">
        <w:rPr>
          <w:rFonts w:ascii="Arial" w:hAnsi="Arial" w:cs="Arial"/>
          <w:sz w:val="24"/>
          <w:szCs w:val="24"/>
        </w:rPr>
        <w:t xml:space="preserve"> and the same relief</w:t>
      </w:r>
      <w:r w:rsidR="006B58B1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5424F3" w:rsidRPr="007575B1">
        <w:rPr>
          <w:rFonts w:ascii="Arial" w:hAnsi="Arial" w:cs="Arial"/>
          <w:sz w:val="24"/>
          <w:szCs w:val="24"/>
        </w:rPr>
        <w:t>.</w:t>
      </w:r>
      <w:r w:rsidR="00ED4AC0" w:rsidRPr="007575B1">
        <w:rPr>
          <w:rFonts w:ascii="Arial" w:hAnsi="Arial" w:cs="Arial"/>
          <w:sz w:val="24"/>
          <w:szCs w:val="24"/>
        </w:rPr>
        <w:t>The party raising the</w:t>
      </w:r>
      <w:r w:rsidR="00477D63" w:rsidRPr="007575B1">
        <w:rPr>
          <w:rFonts w:ascii="Arial" w:hAnsi="Arial" w:cs="Arial"/>
          <w:sz w:val="24"/>
          <w:szCs w:val="24"/>
        </w:rPr>
        <w:t xml:space="preserve"> defence</w:t>
      </w:r>
      <w:r w:rsidR="00ED4AC0" w:rsidRPr="007575B1">
        <w:rPr>
          <w:rFonts w:ascii="Arial" w:hAnsi="Arial" w:cs="Arial"/>
          <w:sz w:val="24"/>
          <w:szCs w:val="24"/>
        </w:rPr>
        <w:t xml:space="preserve"> carries the onus to </w:t>
      </w:r>
      <w:r w:rsidR="00AE5AEE" w:rsidRPr="007575B1">
        <w:rPr>
          <w:rFonts w:ascii="Arial" w:hAnsi="Arial" w:cs="Arial"/>
          <w:sz w:val="24"/>
          <w:szCs w:val="24"/>
        </w:rPr>
        <w:t>prove it.</w:t>
      </w:r>
    </w:p>
    <w:p w14:paraId="569C68A6" w14:textId="77777777" w:rsidR="006B58B1" w:rsidRPr="006B58B1" w:rsidRDefault="006B58B1" w:rsidP="006B58B1">
      <w:pPr>
        <w:pStyle w:val="ListParagraph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49679DDE" w14:textId="3588135D" w:rsidR="00DC3701" w:rsidRPr="007575B1" w:rsidRDefault="007575B1" w:rsidP="007575B1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9.</w:t>
      </w:r>
      <w:r>
        <w:rPr>
          <w:rFonts w:ascii="Arial" w:hAnsi="Arial" w:cs="Arial"/>
          <w:sz w:val="24"/>
          <w:szCs w:val="24"/>
        </w:rPr>
        <w:tab/>
      </w:r>
      <w:r w:rsidR="000D17E8" w:rsidRPr="007575B1">
        <w:rPr>
          <w:rFonts w:ascii="Arial" w:hAnsi="Arial" w:cs="Arial"/>
          <w:sz w:val="24"/>
          <w:szCs w:val="24"/>
        </w:rPr>
        <w:t>Issue estoppel is</w:t>
      </w:r>
      <w:r w:rsidR="00C90F55" w:rsidRPr="007575B1">
        <w:rPr>
          <w:rFonts w:ascii="Arial" w:hAnsi="Arial" w:cs="Arial"/>
          <w:sz w:val="24"/>
          <w:szCs w:val="24"/>
        </w:rPr>
        <w:t xml:space="preserve"> a relaxed version of re</w:t>
      </w:r>
      <w:r w:rsidR="00481E18" w:rsidRPr="007575B1">
        <w:rPr>
          <w:rFonts w:ascii="Arial" w:hAnsi="Arial" w:cs="Arial"/>
          <w:sz w:val="24"/>
          <w:szCs w:val="24"/>
        </w:rPr>
        <w:t>s judicata</w:t>
      </w:r>
      <w:r w:rsidR="009C3033" w:rsidRPr="007575B1">
        <w:rPr>
          <w:rFonts w:ascii="Arial" w:hAnsi="Arial" w:cs="Arial"/>
          <w:sz w:val="24"/>
          <w:szCs w:val="24"/>
        </w:rPr>
        <w:t xml:space="preserve"> as it does not require</w:t>
      </w:r>
      <w:r w:rsidR="00623D2F" w:rsidRPr="007575B1">
        <w:rPr>
          <w:rFonts w:ascii="Arial" w:hAnsi="Arial" w:cs="Arial"/>
          <w:sz w:val="24"/>
          <w:szCs w:val="24"/>
        </w:rPr>
        <w:t xml:space="preserve"> </w:t>
      </w:r>
      <w:r w:rsidR="00D52C90" w:rsidRPr="007575B1">
        <w:rPr>
          <w:rFonts w:ascii="Arial" w:hAnsi="Arial" w:cs="Arial"/>
          <w:sz w:val="24"/>
          <w:szCs w:val="24"/>
        </w:rPr>
        <w:t>“..</w:t>
      </w:r>
      <w:r w:rsidR="00D52C90" w:rsidRPr="007575B1">
        <w:rPr>
          <w:rFonts w:ascii="Arial" w:hAnsi="Arial" w:cs="Arial"/>
          <w:i/>
          <w:sz w:val="24"/>
          <w:szCs w:val="24"/>
        </w:rPr>
        <w:t>an absolute identity of the relief and the cause of actio</w:t>
      </w:r>
      <w:r w:rsidR="008B3683" w:rsidRPr="007575B1">
        <w:rPr>
          <w:rFonts w:ascii="Arial" w:hAnsi="Arial" w:cs="Arial"/>
          <w:i/>
          <w:sz w:val="24"/>
          <w:szCs w:val="24"/>
        </w:rPr>
        <w:t>n</w:t>
      </w:r>
      <w:r w:rsidR="008B3683" w:rsidRPr="007575B1">
        <w:rPr>
          <w:rFonts w:ascii="Arial" w:hAnsi="Arial" w:cs="Arial"/>
          <w:sz w:val="24"/>
          <w:szCs w:val="24"/>
        </w:rPr>
        <w:t>”</w:t>
      </w:r>
      <w:r w:rsidR="006F47AE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="007E1784" w:rsidRPr="007575B1">
        <w:rPr>
          <w:rFonts w:ascii="Arial" w:hAnsi="Arial" w:cs="Arial"/>
          <w:sz w:val="24"/>
          <w:szCs w:val="24"/>
        </w:rPr>
        <w:t>.</w:t>
      </w:r>
      <w:r w:rsidR="002F376F" w:rsidRPr="007575B1">
        <w:rPr>
          <w:rFonts w:ascii="Arial" w:hAnsi="Arial" w:cs="Arial"/>
          <w:sz w:val="24"/>
          <w:szCs w:val="24"/>
        </w:rPr>
        <w:t>Issue estoppel</w:t>
      </w:r>
      <w:r w:rsidR="00D23C23" w:rsidRPr="007575B1">
        <w:rPr>
          <w:rFonts w:ascii="Arial" w:hAnsi="Arial" w:cs="Arial"/>
          <w:sz w:val="24"/>
          <w:szCs w:val="24"/>
        </w:rPr>
        <w:t xml:space="preserve"> requires that the same issues</w:t>
      </w:r>
      <w:r w:rsidR="000159D4" w:rsidRPr="007575B1">
        <w:rPr>
          <w:rFonts w:ascii="Arial" w:hAnsi="Arial" w:cs="Arial"/>
          <w:sz w:val="24"/>
          <w:szCs w:val="24"/>
        </w:rPr>
        <w:t xml:space="preserve"> </w:t>
      </w:r>
      <w:r w:rsidR="003F1D46" w:rsidRPr="007575B1">
        <w:rPr>
          <w:rFonts w:ascii="Arial" w:hAnsi="Arial" w:cs="Arial"/>
          <w:sz w:val="24"/>
          <w:szCs w:val="24"/>
        </w:rPr>
        <w:t>(not cause of action)</w:t>
      </w:r>
      <w:r w:rsidR="0076002B" w:rsidRPr="007575B1">
        <w:rPr>
          <w:rFonts w:ascii="Arial" w:hAnsi="Arial" w:cs="Arial"/>
          <w:sz w:val="24"/>
          <w:szCs w:val="24"/>
        </w:rPr>
        <w:t xml:space="preserve"> arise between the same </w:t>
      </w:r>
      <w:r w:rsidR="00967E10" w:rsidRPr="007575B1">
        <w:rPr>
          <w:rFonts w:ascii="Arial" w:hAnsi="Arial" w:cs="Arial"/>
          <w:sz w:val="24"/>
          <w:szCs w:val="24"/>
        </w:rPr>
        <w:t>parties. The</w:t>
      </w:r>
      <w:r w:rsidR="00AA5FDE" w:rsidRPr="007575B1">
        <w:rPr>
          <w:rFonts w:ascii="Arial" w:hAnsi="Arial" w:cs="Arial"/>
          <w:sz w:val="24"/>
          <w:szCs w:val="24"/>
        </w:rPr>
        <w:t xml:space="preserve"> same issue will arise</w:t>
      </w:r>
      <w:r w:rsidR="000159D4" w:rsidRPr="007575B1">
        <w:rPr>
          <w:rFonts w:ascii="Arial" w:hAnsi="Arial" w:cs="Arial"/>
          <w:sz w:val="24"/>
          <w:szCs w:val="24"/>
        </w:rPr>
        <w:t xml:space="preserve"> when, b</w:t>
      </w:r>
      <w:r w:rsidR="00680976" w:rsidRPr="007575B1">
        <w:rPr>
          <w:rFonts w:ascii="Arial" w:hAnsi="Arial" w:cs="Arial"/>
          <w:sz w:val="24"/>
          <w:szCs w:val="24"/>
        </w:rPr>
        <w:t xml:space="preserve">roadly </w:t>
      </w:r>
      <w:r w:rsidR="00967E10" w:rsidRPr="007575B1">
        <w:rPr>
          <w:rFonts w:ascii="Arial" w:hAnsi="Arial" w:cs="Arial"/>
          <w:sz w:val="24"/>
          <w:szCs w:val="24"/>
        </w:rPr>
        <w:t xml:space="preserve">stated, </w:t>
      </w:r>
      <w:r w:rsidR="000159D4" w:rsidRPr="007575B1">
        <w:rPr>
          <w:rFonts w:ascii="Arial" w:hAnsi="Arial" w:cs="Arial"/>
          <w:sz w:val="24"/>
          <w:szCs w:val="24"/>
        </w:rPr>
        <w:t>“</w:t>
      </w:r>
      <w:r w:rsidR="00967E10" w:rsidRPr="007575B1">
        <w:rPr>
          <w:rFonts w:ascii="Arial" w:hAnsi="Arial" w:cs="Arial"/>
          <w:i/>
          <w:sz w:val="24"/>
          <w:szCs w:val="24"/>
        </w:rPr>
        <w:t>the</w:t>
      </w:r>
      <w:r w:rsidR="00D76B92" w:rsidRPr="007575B1">
        <w:rPr>
          <w:rFonts w:ascii="Arial" w:hAnsi="Arial" w:cs="Arial"/>
          <w:i/>
          <w:sz w:val="24"/>
          <w:szCs w:val="24"/>
        </w:rPr>
        <w:t xml:space="preserve"> latter involves</w:t>
      </w:r>
      <w:r w:rsidR="0046185E" w:rsidRPr="007575B1">
        <w:rPr>
          <w:rFonts w:ascii="Arial" w:hAnsi="Arial" w:cs="Arial"/>
          <w:i/>
          <w:sz w:val="24"/>
          <w:szCs w:val="24"/>
        </w:rPr>
        <w:t xml:space="preserve"> an </w:t>
      </w:r>
      <w:r w:rsidR="00967E10" w:rsidRPr="007575B1">
        <w:rPr>
          <w:rFonts w:ascii="Arial" w:hAnsi="Arial" w:cs="Arial"/>
          <w:i/>
          <w:sz w:val="24"/>
          <w:szCs w:val="24"/>
        </w:rPr>
        <w:t>inquiry whether</w:t>
      </w:r>
      <w:r w:rsidR="00580F90" w:rsidRPr="007575B1">
        <w:rPr>
          <w:rFonts w:ascii="Arial" w:hAnsi="Arial" w:cs="Arial"/>
          <w:i/>
          <w:sz w:val="24"/>
          <w:szCs w:val="24"/>
        </w:rPr>
        <w:t xml:space="preserve"> an </w:t>
      </w:r>
      <w:r w:rsidR="00967E10" w:rsidRPr="007575B1">
        <w:rPr>
          <w:rFonts w:ascii="Arial" w:hAnsi="Arial" w:cs="Arial"/>
          <w:i/>
          <w:sz w:val="24"/>
          <w:szCs w:val="24"/>
        </w:rPr>
        <w:t>issue of</w:t>
      </w:r>
      <w:r w:rsidR="002244D2" w:rsidRPr="007575B1">
        <w:rPr>
          <w:rFonts w:ascii="Arial" w:hAnsi="Arial" w:cs="Arial"/>
          <w:i/>
          <w:sz w:val="24"/>
          <w:szCs w:val="24"/>
        </w:rPr>
        <w:t xml:space="preserve"> fact </w:t>
      </w:r>
      <w:r w:rsidR="00967E10" w:rsidRPr="007575B1">
        <w:rPr>
          <w:rFonts w:ascii="Arial" w:hAnsi="Arial" w:cs="Arial"/>
          <w:i/>
          <w:sz w:val="24"/>
          <w:szCs w:val="24"/>
        </w:rPr>
        <w:t>or law</w:t>
      </w:r>
      <w:r w:rsidR="002244D2" w:rsidRPr="007575B1">
        <w:rPr>
          <w:rFonts w:ascii="Arial" w:hAnsi="Arial" w:cs="Arial"/>
          <w:i/>
          <w:sz w:val="24"/>
          <w:szCs w:val="24"/>
        </w:rPr>
        <w:t xml:space="preserve"> was an essential element of the judgment relied on</w:t>
      </w:r>
      <w:r w:rsidR="002244D2" w:rsidRPr="007575B1">
        <w:rPr>
          <w:rFonts w:ascii="Arial" w:hAnsi="Arial" w:cs="Arial"/>
          <w:sz w:val="24"/>
          <w:szCs w:val="24"/>
        </w:rPr>
        <w:t>”</w:t>
      </w:r>
      <w:r w:rsidR="000159D4">
        <w:rPr>
          <w:rStyle w:val="FootnoteReference"/>
          <w:rFonts w:ascii="Arial" w:hAnsi="Arial" w:cs="Arial"/>
          <w:sz w:val="24"/>
          <w:szCs w:val="24"/>
        </w:rPr>
        <w:footnoteReference w:id="4"/>
      </w:r>
      <w:r w:rsidR="00642212" w:rsidRPr="007575B1">
        <w:rPr>
          <w:rFonts w:ascii="Arial" w:hAnsi="Arial" w:cs="Arial"/>
          <w:sz w:val="24"/>
          <w:szCs w:val="24"/>
        </w:rPr>
        <w:t>.</w:t>
      </w:r>
      <w:r w:rsidR="007D1E8C" w:rsidRPr="007575B1">
        <w:rPr>
          <w:rFonts w:ascii="Arial" w:hAnsi="Arial" w:cs="Arial"/>
          <w:sz w:val="24"/>
          <w:szCs w:val="24"/>
        </w:rPr>
        <w:t xml:space="preserve"> </w:t>
      </w:r>
      <w:r w:rsidR="00642212" w:rsidRPr="007575B1">
        <w:rPr>
          <w:rFonts w:ascii="Arial" w:hAnsi="Arial" w:cs="Arial"/>
          <w:sz w:val="24"/>
          <w:szCs w:val="24"/>
        </w:rPr>
        <w:t>Whether the defence of issue estoppel is available</w:t>
      </w:r>
      <w:r w:rsidR="006D469F" w:rsidRPr="007575B1">
        <w:rPr>
          <w:rFonts w:ascii="Arial" w:hAnsi="Arial" w:cs="Arial"/>
          <w:sz w:val="24"/>
          <w:szCs w:val="24"/>
        </w:rPr>
        <w:t xml:space="preserve"> will be </w:t>
      </w:r>
      <w:r w:rsidR="004853C7" w:rsidRPr="007575B1">
        <w:rPr>
          <w:rFonts w:ascii="Arial" w:hAnsi="Arial" w:cs="Arial"/>
          <w:sz w:val="24"/>
          <w:szCs w:val="24"/>
        </w:rPr>
        <w:t>determined</w:t>
      </w:r>
      <w:r w:rsidR="006D469F" w:rsidRPr="007575B1">
        <w:rPr>
          <w:rFonts w:ascii="Arial" w:hAnsi="Arial" w:cs="Arial"/>
          <w:sz w:val="24"/>
          <w:szCs w:val="24"/>
        </w:rPr>
        <w:t xml:space="preserve"> on a </w:t>
      </w:r>
      <w:r w:rsidR="00F8788A" w:rsidRPr="007575B1">
        <w:rPr>
          <w:rFonts w:ascii="Arial" w:hAnsi="Arial" w:cs="Arial"/>
          <w:sz w:val="24"/>
          <w:szCs w:val="24"/>
        </w:rPr>
        <w:t>case-by-case</w:t>
      </w:r>
      <w:r w:rsidR="006D469F" w:rsidRPr="007575B1">
        <w:rPr>
          <w:rFonts w:ascii="Arial" w:hAnsi="Arial" w:cs="Arial"/>
          <w:sz w:val="24"/>
          <w:szCs w:val="24"/>
        </w:rPr>
        <w:t xml:space="preserve"> basis</w:t>
      </w:r>
      <w:r w:rsidR="00EA70CE" w:rsidRPr="007575B1">
        <w:rPr>
          <w:rFonts w:ascii="Arial" w:hAnsi="Arial" w:cs="Arial"/>
          <w:sz w:val="24"/>
          <w:szCs w:val="24"/>
        </w:rPr>
        <w:t>,</w:t>
      </w:r>
      <w:r w:rsidR="004853C7" w:rsidRPr="007575B1">
        <w:rPr>
          <w:rFonts w:ascii="Arial" w:hAnsi="Arial" w:cs="Arial"/>
          <w:sz w:val="24"/>
          <w:szCs w:val="24"/>
        </w:rPr>
        <w:t xml:space="preserve"> taking in</w:t>
      </w:r>
      <w:r w:rsidR="00DC3701" w:rsidRPr="007575B1">
        <w:rPr>
          <w:rFonts w:ascii="Arial" w:hAnsi="Arial" w:cs="Arial"/>
          <w:sz w:val="24"/>
          <w:szCs w:val="24"/>
        </w:rPr>
        <w:t>to</w:t>
      </w:r>
      <w:r w:rsidR="004853C7" w:rsidRPr="007575B1">
        <w:rPr>
          <w:rFonts w:ascii="Arial" w:hAnsi="Arial" w:cs="Arial"/>
          <w:sz w:val="24"/>
          <w:szCs w:val="24"/>
        </w:rPr>
        <w:t xml:space="preserve"> c</w:t>
      </w:r>
      <w:r w:rsidR="009F6DBD" w:rsidRPr="007575B1">
        <w:rPr>
          <w:rFonts w:ascii="Arial" w:hAnsi="Arial" w:cs="Arial"/>
          <w:sz w:val="24"/>
          <w:szCs w:val="24"/>
        </w:rPr>
        <w:t>onsideration factors like equity and fairness</w:t>
      </w:r>
      <w:r w:rsidR="00DC3701">
        <w:rPr>
          <w:rStyle w:val="FootnoteReference"/>
          <w:rFonts w:ascii="Arial" w:hAnsi="Arial" w:cs="Arial"/>
          <w:sz w:val="24"/>
          <w:szCs w:val="24"/>
        </w:rPr>
        <w:footnoteReference w:id="5"/>
      </w:r>
      <w:r w:rsidR="009F6DBD" w:rsidRPr="007575B1">
        <w:rPr>
          <w:rFonts w:ascii="Arial" w:hAnsi="Arial" w:cs="Arial"/>
          <w:sz w:val="24"/>
          <w:szCs w:val="24"/>
        </w:rPr>
        <w:t>.</w:t>
      </w:r>
    </w:p>
    <w:p w14:paraId="27202744" w14:textId="77777777" w:rsidR="00DC3701" w:rsidRPr="00DC3701" w:rsidRDefault="00DC3701" w:rsidP="00DC3701">
      <w:pPr>
        <w:pStyle w:val="ListParagraph"/>
        <w:rPr>
          <w:rFonts w:ascii="Arial" w:hAnsi="Arial" w:cs="Arial"/>
          <w:sz w:val="24"/>
          <w:szCs w:val="24"/>
        </w:rPr>
      </w:pPr>
    </w:p>
    <w:p w14:paraId="178F1879" w14:textId="7C36D25A" w:rsidR="00E33884" w:rsidRPr="007575B1" w:rsidRDefault="007575B1" w:rsidP="007575B1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</w:r>
      <w:r w:rsidR="009340A1" w:rsidRPr="007575B1">
        <w:rPr>
          <w:rFonts w:ascii="Arial" w:hAnsi="Arial" w:cs="Arial"/>
          <w:sz w:val="24"/>
          <w:szCs w:val="24"/>
        </w:rPr>
        <w:t xml:space="preserve">In </w:t>
      </w:r>
      <w:r w:rsidR="00FC294D" w:rsidRPr="007575B1">
        <w:rPr>
          <w:rFonts w:ascii="Arial" w:hAnsi="Arial" w:cs="Arial"/>
          <w:sz w:val="24"/>
          <w:szCs w:val="24"/>
        </w:rPr>
        <w:t>the first application</w:t>
      </w:r>
      <w:r w:rsidR="00E26B50" w:rsidRPr="007575B1">
        <w:rPr>
          <w:rFonts w:ascii="Arial" w:hAnsi="Arial" w:cs="Arial"/>
          <w:sz w:val="24"/>
          <w:szCs w:val="24"/>
        </w:rPr>
        <w:t>,</w:t>
      </w:r>
      <w:r w:rsidR="00FC294D" w:rsidRPr="007575B1">
        <w:rPr>
          <w:rFonts w:ascii="Arial" w:hAnsi="Arial" w:cs="Arial"/>
          <w:sz w:val="24"/>
          <w:szCs w:val="24"/>
        </w:rPr>
        <w:t xml:space="preserve"> </w:t>
      </w:r>
      <w:r w:rsidR="002A4122" w:rsidRPr="007575B1">
        <w:rPr>
          <w:rFonts w:ascii="Arial" w:hAnsi="Arial" w:cs="Arial"/>
          <w:sz w:val="24"/>
          <w:szCs w:val="24"/>
        </w:rPr>
        <w:t>the material relief</w:t>
      </w:r>
      <w:r w:rsidR="0006337A" w:rsidRPr="007575B1">
        <w:rPr>
          <w:rFonts w:ascii="Arial" w:hAnsi="Arial" w:cs="Arial"/>
          <w:sz w:val="24"/>
          <w:szCs w:val="24"/>
        </w:rPr>
        <w:t xml:space="preserve"> </w:t>
      </w:r>
      <w:r w:rsidR="006076C3" w:rsidRPr="007575B1">
        <w:rPr>
          <w:rFonts w:ascii="Arial" w:hAnsi="Arial" w:cs="Arial"/>
          <w:sz w:val="24"/>
          <w:szCs w:val="24"/>
        </w:rPr>
        <w:t xml:space="preserve">sought was to declare the Service’s decision </w:t>
      </w:r>
      <w:r w:rsidR="0085586D" w:rsidRPr="007575B1">
        <w:rPr>
          <w:rFonts w:ascii="Arial" w:hAnsi="Arial" w:cs="Arial"/>
          <w:sz w:val="24"/>
          <w:szCs w:val="24"/>
        </w:rPr>
        <w:t>unlawful, for</w:t>
      </w:r>
      <w:r w:rsidR="00B8664C" w:rsidRPr="007575B1">
        <w:rPr>
          <w:rFonts w:ascii="Arial" w:hAnsi="Arial" w:cs="Arial"/>
          <w:sz w:val="24"/>
          <w:szCs w:val="24"/>
        </w:rPr>
        <w:t xml:space="preserve"> it to be reviewed and set aside</w:t>
      </w:r>
      <w:r w:rsidR="00DC0011" w:rsidRPr="007575B1">
        <w:rPr>
          <w:rFonts w:ascii="Arial" w:hAnsi="Arial" w:cs="Arial"/>
          <w:sz w:val="24"/>
          <w:szCs w:val="24"/>
        </w:rPr>
        <w:t xml:space="preserve"> and for the Service to reconsider the </w:t>
      </w:r>
      <w:r w:rsidR="0085586D" w:rsidRPr="007575B1">
        <w:rPr>
          <w:rFonts w:ascii="Arial" w:hAnsi="Arial" w:cs="Arial"/>
          <w:sz w:val="24"/>
          <w:szCs w:val="24"/>
        </w:rPr>
        <w:t xml:space="preserve">referral. </w:t>
      </w:r>
      <w:r w:rsidR="007A1808" w:rsidRPr="007575B1">
        <w:rPr>
          <w:rFonts w:ascii="Arial" w:hAnsi="Arial" w:cs="Arial"/>
          <w:sz w:val="24"/>
          <w:szCs w:val="24"/>
        </w:rPr>
        <w:t>Mr. Ndobela</w:t>
      </w:r>
      <w:r w:rsidR="00D944F4" w:rsidRPr="007575B1">
        <w:rPr>
          <w:rFonts w:ascii="Arial" w:hAnsi="Arial" w:cs="Arial"/>
          <w:sz w:val="24"/>
          <w:szCs w:val="24"/>
        </w:rPr>
        <w:t xml:space="preserve"> based his application </w:t>
      </w:r>
      <w:r w:rsidR="00841E95" w:rsidRPr="007575B1">
        <w:rPr>
          <w:rFonts w:ascii="Arial" w:hAnsi="Arial" w:cs="Arial"/>
          <w:sz w:val="24"/>
          <w:szCs w:val="24"/>
        </w:rPr>
        <w:t xml:space="preserve">on what he termed a common law or legality </w:t>
      </w:r>
      <w:r w:rsidR="008C4E93" w:rsidRPr="007575B1">
        <w:rPr>
          <w:rFonts w:ascii="Arial" w:hAnsi="Arial" w:cs="Arial"/>
          <w:sz w:val="24"/>
          <w:szCs w:val="24"/>
        </w:rPr>
        <w:t>review. The</w:t>
      </w:r>
      <w:r w:rsidR="00231E72" w:rsidRPr="007575B1">
        <w:rPr>
          <w:rFonts w:ascii="Arial" w:hAnsi="Arial" w:cs="Arial"/>
          <w:sz w:val="24"/>
          <w:szCs w:val="24"/>
        </w:rPr>
        <w:t xml:space="preserve"> Association opposed the first application</w:t>
      </w:r>
      <w:r w:rsidR="009839A0" w:rsidRPr="007575B1">
        <w:rPr>
          <w:rFonts w:ascii="Arial" w:hAnsi="Arial" w:cs="Arial"/>
          <w:sz w:val="24"/>
          <w:szCs w:val="24"/>
        </w:rPr>
        <w:t xml:space="preserve"> and argued that the review</w:t>
      </w:r>
      <w:r w:rsidR="000446DA" w:rsidRPr="007575B1">
        <w:rPr>
          <w:rFonts w:ascii="Arial" w:hAnsi="Arial" w:cs="Arial"/>
          <w:sz w:val="24"/>
          <w:szCs w:val="24"/>
        </w:rPr>
        <w:t xml:space="preserve"> </w:t>
      </w:r>
      <w:r w:rsidR="00F8788A" w:rsidRPr="007575B1">
        <w:rPr>
          <w:rFonts w:ascii="Arial" w:hAnsi="Arial" w:cs="Arial"/>
          <w:sz w:val="24"/>
          <w:szCs w:val="24"/>
        </w:rPr>
        <w:t>should have been</w:t>
      </w:r>
      <w:r w:rsidR="009839A0" w:rsidRPr="007575B1">
        <w:rPr>
          <w:rFonts w:ascii="Arial" w:hAnsi="Arial" w:cs="Arial"/>
          <w:sz w:val="24"/>
          <w:szCs w:val="24"/>
        </w:rPr>
        <w:t xml:space="preserve"> one</w:t>
      </w:r>
      <w:r w:rsidR="00441CCD" w:rsidRPr="007575B1">
        <w:rPr>
          <w:rFonts w:ascii="Arial" w:hAnsi="Arial" w:cs="Arial"/>
          <w:sz w:val="24"/>
          <w:szCs w:val="24"/>
        </w:rPr>
        <w:t xml:space="preserve"> in terms of </w:t>
      </w:r>
      <w:r w:rsidR="00510756" w:rsidRPr="007575B1">
        <w:rPr>
          <w:rFonts w:ascii="Arial" w:hAnsi="Arial" w:cs="Arial"/>
          <w:sz w:val="24"/>
          <w:szCs w:val="24"/>
        </w:rPr>
        <w:t xml:space="preserve">PAJA and as a result it should have been brought </w:t>
      </w:r>
      <w:r w:rsidR="009177DF" w:rsidRPr="007575B1">
        <w:rPr>
          <w:rFonts w:ascii="Arial" w:hAnsi="Arial" w:cs="Arial"/>
          <w:sz w:val="24"/>
          <w:szCs w:val="24"/>
        </w:rPr>
        <w:t xml:space="preserve">within 180 days in term of section </w:t>
      </w:r>
      <w:r w:rsidR="00DC3701" w:rsidRPr="007575B1">
        <w:rPr>
          <w:rFonts w:ascii="Arial" w:hAnsi="Arial" w:cs="Arial"/>
          <w:sz w:val="24"/>
          <w:szCs w:val="24"/>
        </w:rPr>
        <w:t>7(1) of PAJA</w:t>
      </w:r>
      <w:r w:rsidR="00ED66CA" w:rsidRPr="007575B1">
        <w:rPr>
          <w:rFonts w:ascii="Arial" w:hAnsi="Arial" w:cs="Arial"/>
          <w:sz w:val="24"/>
          <w:szCs w:val="24"/>
        </w:rPr>
        <w:t>,</w:t>
      </w:r>
      <w:r w:rsidR="00DC3701" w:rsidRPr="007575B1">
        <w:rPr>
          <w:rFonts w:ascii="Arial" w:hAnsi="Arial" w:cs="Arial"/>
          <w:sz w:val="24"/>
          <w:szCs w:val="24"/>
        </w:rPr>
        <w:t xml:space="preserve"> </w:t>
      </w:r>
      <w:r w:rsidR="00ED66CA" w:rsidRPr="007575B1">
        <w:rPr>
          <w:rFonts w:ascii="Arial" w:hAnsi="Arial" w:cs="Arial"/>
          <w:sz w:val="24"/>
          <w:szCs w:val="24"/>
        </w:rPr>
        <w:t xml:space="preserve">which means it should have been launched </w:t>
      </w:r>
      <w:r w:rsidR="00E94141" w:rsidRPr="007575B1">
        <w:rPr>
          <w:rFonts w:ascii="Arial" w:hAnsi="Arial" w:cs="Arial"/>
          <w:sz w:val="24"/>
          <w:szCs w:val="24"/>
        </w:rPr>
        <w:t>by 30 August 2021.The first application was</w:t>
      </w:r>
      <w:r w:rsidR="00144678" w:rsidRPr="007575B1">
        <w:rPr>
          <w:rFonts w:ascii="Arial" w:hAnsi="Arial" w:cs="Arial"/>
          <w:sz w:val="24"/>
          <w:szCs w:val="24"/>
        </w:rPr>
        <w:t xml:space="preserve"> only launched on 7 February 2022,</w:t>
      </w:r>
      <w:r w:rsidR="00916B8C" w:rsidRPr="007575B1">
        <w:rPr>
          <w:rFonts w:ascii="Arial" w:hAnsi="Arial" w:cs="Arial"/>
          <w:sz w:val="24"/>
          <w:szCs w:val="24"/>
        </w:rPr>
        <w:t xml:space="preserve"> which was more than 11 months</w:t>
      </w:r>
      <w:r w:rsidR="007A0BE0" w:rsidRPr="007575B1">
        <w:rPr>
          <w:rFonts w:ascii="Arial" w:hAnsi="Arial" w:cs="Arial"/>
          <w:sz w:val="24"/>
          <w:szCs w:val="24"/>
        </w:rPr>
        <w:t xml:space="preserve"> after </w:t>
      </w:r>
      <w:r w:rsidR="00940910" w:rsidRPr="007575B1">
        <w:rPr>
          <w:rFonts w:ascii="Arial" w:hAnsi="Arial" w:cs="Arial"/>
          <w:sz w:val="24"/>
          <w:szCs w:val="24"/>
        </w:rPr>
        <w:t>he became aware of the</w:t>
      </w:r>
      <w:r w:rsidR="007A0BE0" w:rsidRPr="007575B1">
        <w:rPr>
          <w:rFonts w:ascii="Arial" w:hAnsi="Arial" w:cs="Arial"/>
          <w:sz w:val="24"/>
          <w:szCs w:val="24"/>
        </w:rPr>
        <w:t xml:space="preserve"> decision</w:t>
      </w:r>
      <w:r w:rsidR="00914C53" w:rsidRPr="007575B1">
        <w:rPr>
          <w:rFonts w:ascii="Arial" w:hAnsi="Arial" w:cs="Arial"/>
          <w:sz w:val="24"/>
          <w:szCs w:val="24"/>
        </w:rPr>
        <w:t>.</w:t>
      </w:r>
      <w:r w:rsidR="008C4E93" w:rsidRPr="007575B1">
        <w:rPr>
          <w:rFonts w:ascii="Arial" w:hAnsi="Arial" w:cs="Arial"/>
          <w:sz w:val="24"/>
          <w:szCs w:val="24"/>
        </w:rPr>
        <w:t xml:space="preserve"> </w:t>
      </w:r>
      <w:r w:rsidR="00914C53" w:rsidRPr="007575B1">
        <w:rPr>
          <w:rFonts w:ascii="Arial" w:hAnsi="Arial" w:cs="Arial"/>
          <w:sz w:val="24"/>
          <w:szCs w:val="24"/>
        </w:rPr>
        <w:t>Mr.</w:t>
      </w:r>
      <w:r w:rsidR="00E33884" w:rsidRPr="007575B1">
        <w:rPr>
          <w:rFonts w:ascii="Arial" w:hAnsi="Arial" w:cs="Arial"/>
          <w:sz w:val="24"/>
          <w:szCs w:val="24"/>
        </w:rPr>
        <w:t xml:space="preserve"> </w:t>
      </w:r>
      <w:r w:rsidR="00914C53" w:rsidRPr="007575B1">
        <w:rPr>
          <w:rFonts w:ascii="Arial" w:hAnsi="Arial" w:cs="Arial"/>
          <w:sz w:val="24"/>
          <w:szCs w:val="24"/>
        </w:rPr>
        <w:t>Ndobela</w:t>
      </w:r>
      <w:r w:rsidR="0048496B" w:rsidRPr="007575B1">
        <w:rPr>
          <w:rFonts w:ascii="Arial" w:hAnsi="Arial" w:cs="Arial"/>
          <w:sz w:val="24"/>
          <w:szCs w:val="24"/>
        </w:rPr>
        <w:t xml:space="preserve"> did not apply for an extension in terms of section</w:t>
      </w:r>
      <w:r w:rsidR="00E33884" w:rsidRPr="007575B1">
        <w:rPr>
          <w:rFonts w:ascii="Arial" w:hAnsi="Arial" w:cs="Arial"/>
          <w:sz w:val="24"/>
          <w:szCs w:val="24"/>
        </w:rPr>
        <w:t xml:space="preserve"> </w:t>
      </w:r>
      <w:r w:rsidR="0048496B" w:rsidRPr="007575B1">
        <w:rPr>
          <w:rFonts w:ascii="Arial" w:hAnsi="Arial" w:cs="Arial"/>
          <w:sz w:val="24"/>
          <w:szCs w:val="24"/>
        </w:rPr>
        <w:t>9(1) of PAJA</w:t>
      </w:r>
      <w:r w:rsidR="00580FA0" w:rsidRPr="007575B1">
        <w:rPr>
          <w:rFonts w:ascii="Arial" w:hAnsi="Arial" w:cs="Arial"/>
          <w:sz w:val="24"/>
          <w:szCs w:val="24"/>
        </w:rPr>
        <w:t xml:space="preserve"> and</w:t>
      </w:r>
      <w:r w:rsidR="000446DA" w:rsidRPr="007575B1">
        <w:rPr>
          <w:rFonts w:ascii="Arial" w:hAnsi="Arial" w:cs="Arial"/>
          <w:sz w:val="24"/>
          <w:szCs w:val="24"/>
        </w:rPr>
        <w:t xml:space="preserve"> </w:t>
      </w:r>
      <w:r w:rsidR="00FD5760" w:rsidRPr="007575B1">
        <w:rPr>
          <w:rFonts w:ascii="Arial" w:hAnsi="Arial" w:cs="Arial"/>
          <w:sz w:val="24"/>
          <w:szCs w:val="24"/>
        </w:rPr>
        <w:t xml:space="preserve">insisted that his review was not in terms of </w:t>
      </w:r>
      <w:r w:rsidR="002E4088" w:rsidRPr="007575B1">
        <w:rPr>
          <w:rFonts w:ascii="Arial" w:hAnsi="Arial" w:cs="Arial"/>
          <w:sz w:val="24"/>
          <w:szCs w:val="24"/>
        </w:rPr>
        <w:t>PAJA but</w:t>
      </w:r>
      <w:r w:rsidR="00476B1E" w:rsidRPr="007575B1">
        <w:rPr>
          <w:rFonts w:ascii="Arial" w:hAnsi="Arial" w:cs="Arial"/>
          <w:sz w:val="24"/>
          <w:szCs w:val="24"/>
        </w:rPr>
        <w:t xml:space="preserve"> was one in terms of the common law and w</w:t>
      </w:r>
      <w:r w:rsidR="00611B40" w:rsidRPr="007575B1">
        <w:rPr>
          <w:rFonts w:ascii="Arial" w:hAnsi="Arial" w:cs="Arial"/>
          <w:sz w:val="24"/>
          <w:szCs w:val="24"/>
        </w:rPr>
        <w:t>as t</w:t>
      </w:r>
      <w:r w:rsidR="00705BB7" w:rsidRPr="007575B1">
        <w:rPr>
          <w:rFonts w:ascii="Arial" w:hAnsi="Arial" w:cs="Arial"/>
          <w:sz w:val="24"/>
          <w:szCs w:val="24"/>
        </w:rPr>
        <w:t xml:space="preserve">herefore not subject to the </w:t>
      </w:r>
      <w:r w:rsidR="004B2EA3" w:rsidRPr="007575B1">
        <w:rPr>
          <w:rFonts w:ascii="Arial" w:hAnsi="Arial" w:cs="Arial"/>
          <w:sz w:val="24"/>
          <w:szCs w:val="24"/>
        </w:rPr>
        <w:t>180-day</w:t>
      </w:r>
      <w:r w:rsidR="00611B40" w:rsidRPr="007575B1">
        <w:rPr>
          <w:rFonts w:ascii="Arial" w:hAnsi="Arial" w:cs="Arial"/>
          <w:sz w:val="24"/>
          <w:szCs w:val="24"/>
        </w:rPr>
        <w:t xml:space="preserve"> period.</w:t>
      </w:r>
    </w:p>
    <w:p w14:paraId="67AA9958" w14:textId="77777777" w:rsidR="00E33884" w:rsidRPr="00E33884" w:rsidRDefault="00E33884" w:rsidP="00E33884">
      <w:pPr>
        <w:pStyle w:val="ListParagraph"/>
        <w:rPr>
          <w:rFonts w:ascii="Arial" w:hAnsi="Arial" w:cs="Arial"/>
          <w:sz w:val="24"/>
          <w:szCs w:val="24"/>
        </w:rPr>
      </w:pPr>
    </w:p>
    <w:p w14:paraId="16C9B870" w14:textId="7473E69C" w:rsidR="00D04650" w:rsidRPr="007575B1" w:rsidRDefault="007575B1" w:rsidP="007575B1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</w:r>
      <w:r w:rsidR="005A13D1" w:rsidRPr="007575B1">
        <w:rPr>
          <w:rFonts w:ascii="Arial" w:hAnsi="Arial" w:cs="Arial"/>
          <w:sz w:val="24"/>
          <w:szCs w:val="24"/>
        </w:rPr>
        <w:t>The court in the first application held</w:t>
      </w:r>
      <w:r w:rsidR="00E013F9" w:rsidRPr="007575B1">
        <w:rPr>
          <w:rFonts w:ascii="Arial" w:hAnsi="Arial" w:cs="Arial"/>
          <w:sz w:val="24"/>
          <w:szCs w:val="24"/>
        </w:rPr>
        <w:t xml:space="preserve"> that </w:t>
      </w:r>
      <w:r w:rsidR="00417442" w:rsidRPr="007575B1">
        <w:rPr>
          <w:rFonts w:ascii="Arial" w:hAnsi="Arial" w:cs="Arial"/>
          <w:sz w:val="24"/>
          <w:szCs w:val="24"/>
        </w:rPr>
        <w:t xml:space="preserve">the decision by the Service </w:t>
      </w:r>
      <w:r w:rsidR="00523589" w:rsidRPr="007575B1">
        <w:rPr>
          <w:rFonts w:ascii="Arial" w:hAnsi="Arial" w:cs="Arial"/>
          <w:sz w:val="24"/>
          <w:szCs w:val="24"/>
        </w:rPr>
        <w:t>was</w:t>
      </w:r>
      <w:r w:rsidR="00417442" w:rsidRPr="007575B1">
        <w:rPr>
          <w:rFonts w:ascii="Arial" w:hAnsi="Arial" w:cs="Arial"/>
          <w:sz w:val="24"/>
          <w:szCs w:val="24"/>
        </w:rPr>
        <w:t xml:space="preserve"> an administrative action</w:t>
      </w:r>
      <w:r w:rsidR="006C27DC" w:rsidRPr="007575B1">
        <w:rPr>
          <w:rFonts w:ascii="Arial" w:hAnsi="Arial" w:cs="Arial"/>
          <w:sz w:val="24"/>
          <w:szCs w:val="24"/>
        </w:rPr>
        <w:t xml:space="preserve"> in terms of </w:t>
      </w:r>
      <w:r w:rsidR="00E62071" w:rsidRPr="007575B1">
        <w:rPr>
          <w:rFonts w:ascii="Arial" w:hAnsi="Arial" w:cs="Arial"/>
          <w:sz w:val="24"/>
          <w:szCs w:val="24"/>
        </w:rPr>
        <w:t>PAJA and</w:t>
      </w:r>
      <w:r w:rsidR="00CE706D" w:rsidRPr="007575B1">
        <w:rPr>
          <w:rFonts w:ascii="Arial" w:hAnsi="Arial" w:cs="Arial"/>
          <w:sz w:val="24"/>
          <w:szCs w:val="24"/>
        </w:rPr>
        <w:t xml:space="preserve"> Mr. Ndobela</w:t>
      </w:r>
      <w:r w:rsidR="00E62071" w:rsidRPr="007575B1">
        <w:rPr>
          <w:rFonts w:ascii="Arial" w:hAnsi="Arial" w:cs="Arial"/>
          <w:sz w:val="24"/>
          <w:szCs w:val="24"/>
        </w:rPr>
        <w:t xml:space="preserve"> could not rely directly on</w:t>
      </w:r>
      <w:r w:rsidR="00DC5A3B" w:rsidRPr="007575B1">
        <w:rPr>
          <w:rFonts w:ascii="Arial" w:hAnsi="Arial" w:cs="Arial"/>
          <w:sz w:val="24"/>
          <w:szCs w:val="24"/>
        </w:rPr>
        <w:t xml:space="preserve"> the principle of legality</w:t>
      </w:r>
      <w:r w:rsidR="005770B7">
        <w:rPr>
          <w:rStyle w:val="FootnoteReference"/>
          <w:rFonts w:ascii="Arial" w:hAnsi="Arial" w:cs="Arial"/>
          <w:sz w:val="24"/>
          <w:szCs w:val="24"/>
        </w:rPr>
        <w:footnoteReference w:id="6"/>
      </w:r>
      <w:r w:rsidR="00A954D2" w:rsidRPr="007575B1">
        <w:rPr>
          <w:rFonts w:ascii="Arial" w:hAnsi="Arial" w:cs="Arial"/>
          <w:sz w:val="24"/>
          <w:szCs w:val="24"/>
        </w:rPr>
        <w:t>.</w:t>
      </w:r>
      <w:r w:rsidR="00EC6005" w:rsidRPr="007575B1">
        <w:rPr>
          <w:rFonts w:ascii="Arial" w:hAnsi="Arial" w:cs="Arial"/>
          <w:sz w:val="24"/>
          <w:szCs w:val="24"/>
        </w:rPr>
        <w:t xml:space="preserve"> </w:t>
      </w:r>
      <w:r w:rsidR="00A954D2" w:rsidRPr="007575B1">
        <w:rPr>
          <w:rFonts w:ascii="Arial" w:hAnsi="Arial" w:cs="Arial"/>
          <w:sz w:val="24"/>
          <w:szCs w:val="24"/>
        </w:rPr>
        <w:t xml:space="preserve">The court </w:t>
      </w:r>
      <w:r w:rsidR="00813E10" w:rsidRPr="007575B1">
        <w:rPr>
          <w:rFonts w:ascii="Arial" w:hAnsi="Arial" w:cs="Arial"/>
          <w:sz w:val="24"/>
          <w:szCs w:val="24"/>
        </w:rPr>
        <w:t>found</w:t>
      </w:r>
      <w:r w:rsidR="00B62A98" w:rsidRPr="007575B1">
        <w:rPr>
          <w:rFonts w:ascii="Arial" w:hAnsi="Arial" w:cs="Arial"/>
          <w:sz w:val="24"/>
          <w:szCs w:val="24"/>
        </w:rPr>
        <w:t xml:space="preserve"> that in the absence</w:t>
      </w:r>
      <w:r w:rsidR="00786DAE" w:rsidRPr="007575B1">
        <w:rPr>
          <w:rFonts w:ascii="Arial" w:hAnsi="Arial" w:cs="Arial"/>
          <w:sz w:val="24"/>
          <w:szCs w:val="24"/>
        </w:rPr>
        <w:t xml:space="preserve"> of an application for extension of the </w:t>
      </w:r>
      <w:r w:rsidR="0079600A" w:rsidRPr="007575B1">
        <w:rPr>
          <w:rFonts w:ascii="Arial" w:hAnsi="Arial" w:cs="Arial"/>
          <w:sz w:val="24"/>
          <w:szCs w:val="24"/>
        </w:rPr>
        <w:t>180-day</w:t>
      </w:r>
      <w:r w:rsidR="00386CFA" w:rsidRPr="007575B1">
        <w:rPr>
          <w:rFonts w:ascii="Arial" w:hAnsi="Arial" w:cs="Arial"/>
          <w:sz w:val="24"/>
          <w:szCs w:val="24"/>
        </w:rPr>
        <w:t xml:space="preserve"> period</w:t>
      </w:r>
      <w:r w:rsidR="00705BB7" w:rsidRPr="007575B1">
        <w:rPr>
          <w:rFonts w:ascii="Arial" w:hAnsi="Arial" w:cs="Arial"/>
          <w:sz w:val="24"/>
          <w:szCs w:val="24"/>
        </w:rPr>
        <w:t>,</w:t>
      </w:r>
      <w:r w:rsidR="00270BC0" w:rsidRPr="007575B1">
        <w:rPr>
          <w:rFonts w:ascii="Arial" w:hAnsi="Arial" w:cs="Arial"/>
          <w:sz w:val="24"/>
          <w:szCs w:val="24"/>
        </w:rPr>
        <w:t xml:space="preserve"> the application stands to be dismissed on this ground alone</w:t>
      </w:r>
      <w:r w:rsidR="00705BB7">
        <w:rPr>
          <w:rStyle w:val="FootnoteReference"/>
          <w:rFonts w:ascii="Arial" w:hAnsi="Arial" w:cs="Arial"/>
          <w:sz w:val="24"/>
          <w:szCs w:val="24"/>
        </w:rPr>
        <w:footnoteReference w:id="7"/>
      </w:r>
      <w:r w:rsidR="0095550E" w:rsidRPr="007575B1">
        <w:rPr>
          <w:rFonts w:ascii="Arial" w:hAnsi="Arial" w:cs="Arial"/>
          <w:sz w:val="24"/>
          <w:szCs w:val="24"/>
        </w:rPr>
        <w:t>.</w:t>
      </w:r>
      <w:r w:rsidR="00705BB7" w:rsidRPr="007575B1">
        <w:rPr>
          <w:rFonts w:ascii="Arial" w:hAnsi="Arial" w:cs="Arial"/>
          <w:sz w:val="24"/>
          <w:szCs w:val="24"/>
        </w:rPr>
        <w:t xml:space="preserve"> </w:t>
      </w:r>
      <w:r w:rsidR="006421F4" w:rsidRPr="007575B1">
        <w:rPr>
          <w:rFonts w:ascii="Arial" w:hAnsi="Arial" w:cs="Arial"/>
          <w:sz w:val="24"/>
          <w:szCs w:val="24"/>
        </w:rPr>
        <w:t xml:space="preserve">After considering the </w:t>
      </w:r>
      <w:r w:rsidR="00EF283F" w:rsidRPr="007575B1">
        <w:rPr>
          <w:rFonts w:ascii="Arial" w:hAnsi="Arial" w:cs="Arial"/>
          <w:sz w:val="24"/>
          <w:szCs w:val="24"/>
        </w:rPr>
        <w:t>merits, which</w:t>
      </w:r>
      <w:r w:rsidR="006421F4" w:rsidRPr="007575B1">
        <w:rPr>
          <w:rFonts w:ascii="Arial" w:hAnsi="Arial" w:cs="Arial"/>
          <w:sz w:val="24"/>
          <w:szCs w:val="24"/>
        </w:rPr>
        <w:t xml:space="preserve"> are based </w:t>
      </w:r>
      <w:r w:rsidR="00401BF5" w:rsidRPr="007575B1">
        <w:rPr>
          <w:rFonts w:ascii="Arial" w:hAnsi="Arial" w:cs="Arial"/>
          <w:sz w:val="24"/>
          <w:szCs w:val="24"/>
        </w:rPr>
        <w:t xml:space="preserve">on the same facts as this </w:t>
      </w:r>
      <w:r w:rsidR="00EF283F" w:rsidRPr="007575B1">
        <w:rPr>
          <w:rFonts w:ascii="Arial" w:hAnsi="Arial" w:cs="Arial"/>
          <w:sz w:val="24"/>
          <w:szCs w:val="24"/>
        </w:rPr>
        <w:t>application, the</w:t>
      </w:r>
      <w:r w:rsidR="00401BF5" w:rsidRPr="007575B1">
        <w:rPr>
          <w:rFonts w:ascii="Arial" w:hAnsi="Arial" w:cs="Arial"/>
          <w:sz w:val="24"/>
          <w:szCs w:val="24"/>
        </w:rPr>
        <w:t xml:space="preserve"> court found</w:t>
      </w:r>
      <w:r w:rsidR="000B53EF" w:rsidRPr="007575B1">
        <w:rPr>
          <w:rFonts w:ascii="Arial" w:hAnsi="Arial" w:cs="Arial"/>
          <w:sz w:val="24"/>
          <w:szCs w:val="24"/>
        </w:rPr>
        <w:t xml:space="preserve"> that”</w:t>
      </w:r>
      <w:r w:rsidR="001A1D56" w:rsidRPr="007575B1">
        <w:rPr>
          <w:rFonts w:ascii="Arial" w:hAnsi="Arial" w:cs="Arial"/>
          <w:sz w:val="24"/>
          <w:szCs w:val="24"/>
        </w:rPr>
        <w:t>….</w:t>
      </w:r>
      <w:r w:rsidR="001A1D56" w:rsidRPr="007575B1">
        <w:rPr>
          <w:rFonts w:ascii="Arial" w:hAnsi="Arial" w:cs="Arial"/>
          <w:i/>
          <w:sz w:val="24"/>
          <w:szCs w:val="24"/>
        </w:rPr>
        <w:t>the applicant in any event</w:t>
      </w:r>
      <w:r w:rsidR="00B34F04" w:rsidRPr="007575B1">
        <w:rPr>
          <w:rFonts w:ascii="Arial" w:hAnsi="Arial" w:cs="Arial"/>
          <w:i/>
          <w:sz w:val="24"/>
          <w:szCs w:val="24"/>
        </w:rPr>
        <w:t>, failed to furnish sustainable</w:t>
      </w:r>
      <w:r w:rsidR="00B701A0" w:rsidRPr="007575B1">
        <w:rPr>
          <w:rFonts w:ascii="Arial" w:hAnsi="Arial" w:cs="Arial"/>
          <w:i/>
          <w:sz w:val="24"/>
          <w:szCs w:val="24"/>
        </w:rPr>
        <w:t xml:space="preserve"> grounds in support of a review</w:t>
      </w:r>
      <w:r w:rsidR="00D04650" w:rsidRPr="007575B1">
        <w:rPr>
          <w:rFonts w:ascii="Arial" w:hAnsi="Arial" w:cs="Arial"/>
          <w:i/>
          <w:sz w:val="24"/>
          <w:szCs w:val="24"/>
        </w:rPr>
        <w:t>”</w:t>
      </w:r>
      <w:r w:rsidR="00D04650">
        <w:rPr>
          <w:rStyle w:val="FootnoteReference"/>
          <w:rFonts w:ascii="Arial" w:hAnsi="Arial" w:cs="Arial"/>
          <w:i/>
          <w:sz w:val="24"/>
          <w:szCs w:val="24"/>
        </w:rPr>
        <w:footnoteReference w:id="8"/>
      </w:r>
      <w:r w:rsidR="00D04650" w:rsidRPr="007575B1">
        <w:rPr>
          <w:rFonts w:ascii="Arial" w:hAnsi="Arial" w:cs="Arial"/>
          <w:sz w:val="24"/>
          <w:szCs w:val="24"/>
        </w:rPr>
        <w:t>.</w:t>
      </w:r>
    </w:p>
    <w:p w14:paraId="53B550A4" w14:textId="77777777" w:rsidR="00D04650" w:rsidRPr="00D04650" w:rsidRDefault="00D04650" w:rsidP="00D04650">
      <w:pPr>
        <w:pStyle w:val="ListParagraph"/>
        <w:rPr>
          <w:rFonts w:ascii="Arial" w:hAnsi="Arial" w:cs="Arial"/>
          <w:sz w:val="24"/>
          <w:szCs w:val="24"/>
        </w:rPr>
      </w:pPr>
    </w:p>
    <w:p w14:paraId="6DE38701" w14:textId="78CCC9D2" w:rsidR="002024D9" w:rsidRPr="007575B1" w:rsidRDefault="007575B1" w:rsidP="007575B1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0446DA">
        <w:rPr>
          <w:rFonts w:ascii="Arial" w:hAnsi="Arial" w:cs="Arial"/>
          <w:sz w:val="24"/>
          <w:szCs w:val="24"/>
        </w:rPr>
        <w:t>12.</w:t>
      </w:r>
      <w:r w:rsidRPr="000446DA">
        <w:rPr>
          <w:rFonts w:ascii="Arial" w:hAnsi="Arial" w:cs="Arial"/>
          <w:sz w:val="24"/>
          <w:szCs w:val="24"/>
        </w:rPr>
        <w:tab/>
      </w:r>
      <w:r w:rsidR="00956941" w:rsidRPr="007575B1">
        <w:rPr>
          <w:rFonts w:ascii="Arial" w:hAnsi="Arial" w:cs="Arial"/>
          <w:sz w:val="24"/>
          <w:szCs w:val="24"/>
        </w:rPr>
        <w:t xml:space="preserve">In </w:t>
      </w:r>
      <w:r w:rsidR="00535A1E" w:rsidRPr="007575B1">
        <w:rPr>
          <w:rFonts w:ascii="Arial" w:hAnsi="Arial" w:cs="Arial"/>
          <w:sz w:val="24"/>
          <w:szCs w:val="24"/>
        </w:rPr>
        <w:t>the present</w:t>
      </w:r>
      <w:r w:rsidR="00956941" w:rsidRPr="007575B1">
        <w:rPr>
          <w:rFonts w:ascii="Arial" w:hAnsi="Arial" w:cs="Arial"/>
          <w:sz w:val="24"/>
          <w:szCs w:val="24"/>
        </w:rPr>
        <w:t xml:space="preserve"> application Mr. Ndobela seeks</w:t>
      </w:r>
      <w:r w:rsidR="00FD1DC9" w:rsidRPr="007575B1">
        <w:rPr>
          <w:rFonts w:ascii="Arial" w:hAnsi="Arial" w:cs="Arial"/>
          <w:sz w:val="24"/>
          <w:szCs w:val="24"/>
        </w:rPr>
        <w:t xml:space="preserve"> orders declaring the Service’s decision unlawful</w:t>
      </w:r>
      <w:r w:rsidR="000A77D8" w:rsidRPr="007575B1">
        <w:rPr>
          <w:rFonts w:ascii="Arial" w:hAnsi="Arial" w:cs="Arial"/>
          <w:sz w:val="24"/>
          <w:szCs w:val="24"/>
        </w:rPr>
        <w:t xml:space="preserve"> and that it be </w:t>
      </w:r>
      <w:r w:rsidR="0009019C" w:rsidRPr="007575B1">
        <w:rPr>
          <w:rFonts w:ascii="Arial" w:hAnsi="Arial" w:cs="Arial"/>
          <w:sz w:val="24"/>
          <w:szCs w:val="24"/>
        </w:rPr>
        <w:t>reviewed, set</w:t>
      </w:r>
      <w:r w:rsidR="000A77D8" w:rsidRPr="007575B1">
        <w:rPr>
          <w:rFonts w:ascii="Arial" w:hAnsi="Arial" w:cs="Arial"/>
          <w:sz w:val="24"/>
          <w:szCs w:val="24"/>
        </w:rPr>
        <w:t xml:space="preserve"> aside</w:t>
      </w:r>
      <w:r w:rsidR="00570E6B" w:rsidRPr="007575B1">
        <w:rPr>
          <w:rFonts w:ascii="Arial" w:hAnsi="Arial" w:cs="Arial"/>
          <w:sz w:val="24"/>
          <w:szCs w:val="24"/>
        </w:rPr>
        <w:t xml:space="preserve"> and referred back for </w:t>
      </w:r>
      <w:r w:rsidR="0009019C" w:rsidRPr="007575B1">
        <w:rPr>
          <w:rFonts w:ascii="Arial" w:hAnsi="Arial" w:cs="Arial"/>
          <w:sz w:val="24"/>
          <w:szCs w:val="24"/>
        </w:rPr>
        <w:t>reconsideration. The</w:t>
      </w:r>
      <w:r w:rsidR="00570E6B" w:rsidRPr="007575B1">
        <w:rPr>
          <w:rFonts w:ascii="Arial" w:hAnsi="Arial" w:cs="Arial"/>
          <w:sz w:val="24"/>
          <w:szCs w:val="24"/>
        </w:rPr>
        <w:t xml:space="preserve"> only</w:t>
      </w:r>
      <w:r w:rsidR="0009019C" w:rsidRPr="007575B1">
        <w:rPr>
          <w:rFonts w:ascii="Arial" w:hAnsi="Arial" w:cs="Arial"/>
          <w:sz w:val="24"/>
          <w:szCs w:val="24"/>
        </w:rPr>
        <w:t xml:space="preserve"> </w:t>
      </w:r>
      <w:r w:rsidR="00AB77F3" w:rsidRPr="007575B1">
        <w:rPr>
          <w:rFonts w:ascii="Arial" w:hAnsi="Arial" w:cs="Arial"/>
          <w:sz w:val="24"/>
          <w:szCs w:val="24"/>
        </w:rPr>
        <w:t xml:space="preserve">real </w:t>
      </w:r>
      <w:r w:rsidR="00FB2F87" w:rsidRPr="007575B1">
        <w:rPr>
          <w:rFonts w:ascii="Arial" w:hAnsi="Arial" w:cs="Arial"/>
          <w:sz w:val="24"/>
          <w:szCs w:val="24"/>
        </w:rPr>
        <w:t>difference</w:t>
      </w:r>
      <w:r w:rsidR="00AB77F3" w:rsidRPr="007575B1">
        <w:rPr>
          <w:rFonts w:ascii="Arial" w:hAnsi="Arial" w:cs="Arial"/>
          <w:sz w:val="24"/>
          <w:szCs w:val="24"/>
        </w:rPr>
        <w:t xml:space="preserve"> in the relief sought</w:t>
      </w:r>
      <w:r w:rsidR="00535A1E" w:rsidRPr="007575B1">
        <w:rPr>
          <w:rFonts w:ascii="Arial" w:hAnsi="Arial" w:cs="Arial"/>
          <w:sz w:val="24"/>
          <w:szCs w:val="24"/>
        </w:rPr>
        <w:t xml:space="preserve"> now</w:t>
      </w:r>
      <w:r w:rsidR="00AB77F3" w:rsidRPr="007575B1">
        <w:rPr>
          <w:rFonts w:ascii="Arial" w:hAnsi="Arial" w:cs="Arial"/>
          <w:sz w:val="24"/>
          <w:szCs w:val="24"/>
        </w:rPr>
        <w:t xml:space="preserve"> is that Mr. Ndobela </w:t>
      </w:r>
      <w:r w:rsidR="00293065" w:rsidRPr="007575B1">
        <w:rPr>
          <w:rFonts w:ascii="Arial" w:hAnsi="Arial" w:cs="Arial"/>
          <w:sz w:val="24"/>
          <w:szCs w:val="24"/>
        </w:rPr>
        <w:t>also</w:t>
      </w:r>
      <w:r w:rsidR="00AB77F3" w:rsidRPr="007575B1">
        <w:rPr>
          <w:rFonts w:ascii="Arial" w:hAnsi="Arial" w:cs="Arial"/>
          <w:sz w:val="24"/>
          <w:szCs w:val="24"/>
        </w:rPr>
        <w:t xml:space="preserve"> </w:t>
      </w:r>
      <w:r w:rsidR="00ED1012" w:rsidRPr="007575B1">
        <w:rPr>
          <w:rFonts w:ascii="Arial" w:hAnsi="Arial" w:cs="Arial"/>
          <w:sz w:val="24"/>
          <w:szCs w:val="24"/>
        </w:rPr>
        <w:t>seeks</w:t>
      </w:r>
      <w:r w:rsidR="00E50C95" w:rsidRPr="007575B1">
        <w:rPr>
          <w:rFonts w:ascii="Arial" w:hAnsi="Arial" w:cs="Arial"/>
          <w:sz w:val="24"/>
          <w:szCs w:val="24"/>
        </w:rPr>
        <w:t xml:space="preserve"> condonation for the </w:t>
      </w:r>
      <w:r w:rsidR="00FD7802" w:rsidRPr="007575B1">
        <w:rPr>
          <w:rFonts w:ascii="Arial" w:hAnsi="Arial" w:cs="Arial"/>
          <w:sz w:val="24"/>
          <w:szCs w:val="24"/>
        </w:rPr>
        <w:t>delay</w:t>
      </w:r>
      <w:r w:rsidR="00B575B9" w:rsidRPr="007575B1">
        <w:rPr>
          <w:rFonts w:ascii="Arial" w:hAnsi="Arial" w:cs="Arial"/>
          <w:sz w:val="24"/>
          <w:szCs w:val="24"/>
        </w:rPr>
        <w:t xml:space="preserve"> in bringing the</w:t>
      </w:r>
      <w:r w:rsidR="00E50C95" w:rsidRPr="007575B1">
        <w:rPr>
          <w:rFonts w:ascii="Arial" w:hAnsi="Arial" w:cs="Arial"/>
          <w:sz w:val="24"/>
          <w:szCs w:val="24"/>
        </w:rPr>
        <w:t xml:space="preserve"> </w:t>
      </w:r>
      <w:r w:rsidR="00ED1012" w:rsidRPr="007575B1">
        <w:rPr>
          <w:rFonts w:ascii="Arial" w:hAnsi="Arial" w:cs="Arial"/>
          <w:sz w:val="24"/>
          <w:szCs w:val="24"/>
        </w:rPr>
        <w:t>application. As</w:t>
      </w:r>
      <w:r w:rsidR="0030000B" w:rsidRPr="007575B1">
        <w:rPr>
          <w:rFonts w:ascii="Arial" w:hAnsi="Arial" w:cs="Arial"/>
          <w:sz w:val="24"/>
          <w:szCs w:val="24"/>
        </w:rPr>
        <w:t xml:space="preserve"> far as th</w:t>
      </w:r>
      <w:r w:rsidR="002E7E44" w:rsidRPr="007575B1">
        <w:rPr>
          <w:rFonts w:ascii="Arial" w:hAnsi="Arial" w:cs="Arial"/>
          <w:sz w:val="24"/>
          <w:szCs w:val="24"/>
        </w:rPr>
        <w:t>is</w:t>
      </w:r>
      <w:r w:rsidR="0030000B" w:rsidRPr="007575B1">
        <w:rPr>
          <w:rFonts w:ascii="Arial" w:hAnsi="Arial" w:cs="Arial"/>
          <w:sz w:val="24"/>
          <w:szCs w:val="24"/>
        </w:rPr>
        <w:t xml:space="preserve"> application is </w:t>
      </w:r>
      <w:r w:rsidR="00ED1012" w:rsidRPr="007575B1">
        <w:rPr>
          <w:rFonts w:ascii="Arial" w:hAnsi="Arial" w:cs="Arial"/>
          <w:sz w:val="24"/>
          <w:szCs w:val="24"/>
        </w:rPr>
        <w:t>concerned</w:t>
      </w:r>
      <w:r w:rsidR="002E7E44" w:rsidRPr="007575B1">
        <w:rPr>
          <w:rFonts w:ascii="Arial" w:hAnsi="Arial" w:cs="Arial"/>
          <w:sz w:val="24"/>
          <w:szCs w:val="24"/>
        </w:rPr>
        <w:t xml:space="preserve"> Mr.</w:t>
      </w:r>
      <w:r w:rsidR="0030000B" w:rsidRPr="007575B1">
        <w:rPr>
          <w:rFonts w:ascii="Arial" w:hAnsi="Arial" w:cs="Arial"/>
          <w:sz w:val="24"/>
          <w:szCs w:val="24"/>
        </w:rPr>
        <w:t xml:space="preserve"> Ndobela</w:t>
      </w:r>
      <w:r w:rsidR="002E7E44" w:rsidRPr="007575B1">
        <w:rPr>
          <w:rFonts w:ascii="Arial" w:hAnsi="Arial" w:cs="Arial"/>
          <w:sz w:val="24"/>
          <w:szCs w:val="24"/>
        </w:rPr>
        <w:t>,</w:t>
      </w:r>
      <w:r w:rsidR="00272803" w:rsidRPr="007575B1">
        <w:rPr>
          <w:rFonts w:ascii="Arial" w:hAnsi="Arial" w:cs="Arial"/>
          <w:sz w:val="24"/>
          <w:szCs w:val="24"/>
        </w:rPr>
        <w:t xml:space="preserve"> after eschewing any reliance on PAJA in the replying </w:t>
      </w:r>
      <w:r w:rsidR="00C0717D" w:rsidRPr="007575B1">
        <w:rPr>
          <w:rFonts w:ascii="Arial" w:hAnsi="Arial" w:cs="Arial"/>
          <w:sz w:val="24"/>
          <w:szCs w:val="24"/>
        </w:rPr>
        <w:t>affidavit of the first application</w:t>
      </w:r>
      <w:r w:rsidR="00413996" w:rsidRPr="007575B1">
        <w:rPr>
          <w:rFonts w:ascii="Arial" w:hAnsi="Arial" w:cs="Arial"/>
          <w:sz w:val="24"/>
          <w:szCs w:val="24"/>
        </w:rPr>
        <w:t xml:space="preserve">, now expressly </w:t>
      </w:r>
      <w:r w:rsidR="005C6B97" w:rsidRPr="007575B1">
        <w:rPr>
          <w:rFonts w:ascii="Arial" w:hAnsi="Arial" w:cs="Arial"/>
          <w:sz w:val="24"/>
          <w:szCs w:val="24"/>
        </w:rPr>
        <w:t>relies on PAJA as the basis of the review.</w:t>
      </w:r>
    </w:p>
    <w:p w14:paraId="4CBF32FD" w14:textId="77777777" w:rsidR="00130E14" w:rsidRPr="00130E14" w:rsidRDefault="00130E14" w:rsidP="00130E14">
      <w:pPr>
        <w:pStyle w:val="ListParagraph"/>
        <w:rPr>
          <w:rFonts w:ascii="Arial" w:hAnsi="Arial" w:cs="Arial"/>
          <w:sz w:val="24"/>
          <w:szCs w:val="24"/>
        </w:rPr>
      </w:pPr>
    </w:p>
    <w:p w14:paraId="5E13F70A" w14:textId="0C21DC91" w:rsidR="000446DA" w:rsidRPr="007575B1" w:rsidRDefault="007575B1" w:rsidP="007575B1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ab/>
      </w:r>
      <w:r w:rsidR="00293065" w:rsidRPr="007575B1">
        <w:rPr>
          <w:rFonts w:ascii="Arial" w:hAnsi="Arial" w:cs="Arial"/>
          <w:sz w:val="24"/>
          <w:szCs w:val="24"/>
        </w:rPr>
        <w:t>It is arguable whether</w:t>
      </w:r>
      <w:r w:rsidR="006174AF" w:rsidRPr="007575B1">
        <w:rPr>
          <w:rFonts w:ascii="Arial" w:hAnsi="Arial" w:cs="Arial"/>
          <w:sz w:val="24"/>
          <w:szCs w:val="24"/>
        </w:rPr>
        <w:t xml:space="preserve"> the cause of action in both applications is the </w:t>
      </w:r>
      <w:r w:rsidR="00B575B9" w:rsidRPr="007575B1">
        <w:rPr>
          <w:rFonts w:ascii="Arial" w:hAnsi="Arial" w:cs="Arial"/>
          <w:sz w:val="24"/>
          <w:szCs w:val="24"/>
        </w:rPr>
        <w:t>same, seeing</w:t>
      </w:r>
      <w:r w:rsidR="00423497" w:rsidRPr="007575B1">
        <w:rPr>
          <w:rFonts w:ascii="Arial" w:hAnsi="Arial" w:cs="Arial"/>
          <w:sz w:val="24"/>
          <w:szCs w:val="24"/>
        </w:rPr>
        <w:t xml:space="preserve"> that he now relies on </w:t>
      </w:r>
      <w:r w:rsidR="00522915" w:rsidRPr="007575B1">
        <w:rPr>
          <w:rFonts w:ascii="Arial" w:hAnsi="Arial" w:cs="Arial"/>
          <w:sz w:val="24"/>
          <w:szCs w:val="24"/>
        </w:rPr>
        <w:t>PAJA, but</w:t>
      </w:r>
      <w:r w:rsidR="00055DD6" w:rsidRPr="007575B1">
        <w:rPr>
          <w:rFonts w:ascii="Arial" w:hAnsi="Arial" w:cs="Arial"/>
          <w:sz w:val="24"/>
          <w:szCs w:val="24"/>
        </w:rPr>
        <w:t xml:space="preserve"> w</w:t>
      </w:r>
      <w:r w:rsidR="00A955A2" w:rsidRPr="007575B1">
        <w:rPr>
          <w:rFonts w:ascii="Arial" w:hAnsi="Arial" w:cs="Arial"/>
          <w:sz w:val="24"/>
          <w:szCs w:val="24"/>
        </w:rPr>
        <w:t>hen</w:t>
      </w:r>
      <w:r w:rsidR="00334A73" w:rsidRPr="007575B1">
        <w:rPr>
          <w:rFonts w:ascii="Arial" w:hAnsi="Arial" w:cs="Arial"/>
          <w:sz w:val="24"/>
          <w:szCs w:val="24"/>
        </w:rPr>
        <w:t xml:space="preserve"> the test for </w:t>
      </w:r>
      <w:r w:rsidR="00191F28" w:rsidRPr="007575B1">
        <w:rPr>
          <w:rFonts w:ascii="Arial" w:hAnsi="Arial" w:cs="Arial"/>
          <w:sz w:val="24"/>
          <w:szCs w:val="24"/>
        </w:rPr>
        <w:t xml:space="preserve"> issue estoppel</w:t>
      </w:r>
      <w:r w:rsidR="00055DD6" w:rsidRPr="007575B1">
        <w:rPr>
          <w:rFonts w:ascii="Arial" w:hAnsi="Arial" w:cs="Arial"/>
          <w:sz w:val="24"/>
          <w:szCs w:val="24"/>
        </w:rPr>
        <w:t xml:space="preserve"> is applied</w:t>
      </w:r>
      <w:r w:rsidR="00191F28" w:rsidRPr="007575B1">
        <w:rPr>
          <w:rFonts w:ascii="Arial" w:hAnsi="Arial" w:cs="Arial"/>
          <w:sz w:val="24"/>
          <w:szCs w:val="24"/>
        </w:rPr>
        <w:t xml:space="preserve"> </w:t>
      </w:r>
      <w:r w:rsidR="00133249" w:rsidRPr="007575B1">
        <w:rPr>
          <w:rFonts w:ascii="Arial" w:hAnsi="Arial" w:cs="Arial"/>
          <w:sz w:val="24"/>
          <w:szCs w:val="24"/>
        </w:rPr>
        <w:t xml:space="preserve">it is apparent </w:t>
      </w:r>
      <w:r w:rsidR="00191F28" w:rsidRPr="007575B1">
        <w:rPr>
          <w:rFonts w:ascii="Arial" w:hAnsi="Arial" w:cs="Arial"/>
          <w:sz w:val="24"/>
          <w:szCs w:val="24"/>
        </w:rPr>
        <w:t xml:space="preserve"> that</w:t>
      </w:r>
      <w:r w:rsidR="00142C2C" w:rsidRPr="007575B1">
        <w:rPr>
          <w:rFonts w:ascii="Arial" w:hAnsi="Arial" w:cs="Arial"/>
          <w:sz w:val="24"/>
          <w:szCs w:val="24"/>
        </w:rPr>
        <w:t xml:space="preserve"> all the requirements are </w:t>
      </w:r>
      <w:r w:rsidR="00CB0FE0" w:rsidRPr="007575B1">
        <w:rPr>
          <w:rFonts w:ascii="Arial" w:hAnsi="Arial" w:cs="Arial"/>
          <w:sz w:val="24"/>
          <w:szCs w:val="24"/>
        </w:rPr>
        <w:t>met. The</w:t>
      </w:r>
      <w:r w:rsidR="00907B52" w:rsidRPr="007575B1">
        <w:rPr>
          <w:rFonts w:ascii="Arial" w:hAnsi="Arial" w:cs="Arial"/>
          <w:sz w:val="24"/>
          <w:szCs w:val="24"/>
        </w:rPr>
        <w:t xml:space="preserve"> parties are the </w:t>
      </w:r>
      <w:r w:rsidR="004B5D11" w:rsidRPr="007575B1">
        <w:rPr>
          <w:rFonts w:ascii="Arial" w:hAnsi="Arial" w:cs="Arial"/>
          <w:sz w:val="24"/>
          <w:szCs w:val="24"/>
        </w:rPr>
        <w:t>same. Although</w:t>
      </w:r>
      <w:r w:rsidR="00AD3D20" w:rsidRPr="007575B1">
        <w:rPr>
          <w:rFonts w:ascii="Arial" w:hAnsi="Arial" w:cs="Arial"/>
          <w:sz w:val="24"/>
          <w:szCs w:val="24"/>
        </w:rPr>
        <w:t xml:space="preserve"> Mr. Ndobela</w:t>
      </w:r>
      <w:r w:rsidR="004444D7" w:rsidRPr="007575B1">
        <w:rPr>
          <w:rFonts w:ascii="Arial" w:hAnsi="Arial" w:cs="Arial"/>
          <w:sz w:val="24"/>
          <w:szCs w:val="24"/>
        </w:rPr>
        <w:t xml:space="preserve"> argues that the Association in this </w:t>
      </w:r>
      <w:r w:rsidR="00133249" w:rsidRPr="007575B1">
        <w:rPr>
          <w:rFonts w:ascii="Arial" w:hAnsi="Arial" w:cs="Arial"/>
          <w:sz w:val="24"/>
          <w:szCs w:val="24"/>
        </w:rPr>
        <w:t>application</w:t>
      </w:r>
      <w:r w:rsidR="004444D7" w:rsidRPr="007575B1">
        <w:rPr>
          <w:rFonts w:ascii="Arial" w:hAnsi="Arial" w:cs="Arial"/>
          <w:sz w:val="24"/>
          <w:szCs w:val="24"/>
        </w:rPr>
        <w:t xml:space="preserve"> was merely </w:t>
      </w:r>
      <w:r w:rsidR="00CB0FE0" w:rsidRPr="007575B1">
        <w:rPr>
          <w:rFonts w:ascii="Arial" w:hAnsi="Arial" w:cs="Arial"/>
          <w:sz w:val="24"/>
          <w:szCs w:val="24"/>
        </w:rPr>
        <w:t>cited, for</w:t>
      </w:r>
      <w:r w:rsidR="005537A4" w:rsidRPr="007575B1">
        <w:rPr>
          <w:rFonts w:ascii="Arial" w:hAnsi="Arial" w:cs="Arial"/>
          <w:sz w:val="24"/>
          <w:szCs w:val="24"/>
        </w:rPr>
        <w:t xml:space="preserve"> </w:t>
      </w:r>
      <w:r w:rsidR="005537A4" w:rsidRPr="007575B1">
        <w:rPr>
          <w:rFonts w:ascii="Arial" w:hAnsi="Arial" w:cs="Arial"/>
          <w:sz w:val="24"/>
          <w:szCs w:val="24"/>
        </w:rPr>
        <w:lastRenderedPageBreak/>
        <w:t xml:space="preserve">any interest it may have in the </w:t>
      </w:r>
      <w:r w:rsidR="004B5D11" w:rsidRPr="007575B1">
        <w:rPr>
          <w:rFonts w:ascii="Arial" w:hAnsi="Arial" w:cs="Arial"/>
          <w:sz w:val="24"/>
          <w:szCs w:val="24"/>
        </w:rPr>
        <w:t>matter</w:t>
      </w:r>
      <w:r w:rsidR="00E00149" w:rsidRPr="007575B1">
        <w:rPr>
          <w:rFonts w:ascii="Arial" w:hAnsi="Arial" w:cs="Arial"/>
          <w:sz w:val="24"/>
          <w:szCs w:val="24"/>
        </w:rPr>
        <w:t>.However,</w:t>
      </w:r>
      <w:r w:rsidR="004E5FBC" w:rsidRPr="007575B1">
        <w:rPr>
          <w:rFonts w:ascii="Arial" w:hAnsi="Arial" w:cs="Arial"/>
          <w:sz w:val="24"/>
          <w:szCs w:val="24"/>
        </w:rPr>
        <w:t xml:space="preserve"> the Association clearly has a vested interest in the outcome of this application</w:t>
      </w:r>
      <w:r w:rsidR="00986CD5" w:rsidRPr="007575B1">
        <w:rPr>
          <w:rFonts w:ascii="Arial" w:hAnsi="Arial" w:cs="Arial"/>
          <w:sz w:val="24"/>
          <w:szCs w:val="24"/>
        </w:rPr>
        <w:t xml:space="preserve"> and is a necessary party to the </w:t>
      </w:r>
      <w:r w:rsidR="002B5B26" w:rsidRPr="007575B1">
        <w:rPr>
          <w:rFonts w:ascii="Arial" w:hAnsi="Arial" w:cs="Arial"/>
          <w:sz w:val="24"/>
          <w:szCs w:val="24"/>
        </w:rPr>
        <w:t>proceedings, as</w:t>
      </w:r>
      <w:r w:rsidR="000569F5" w:rsidRPr="007575B1">
        <w:rPr>
          <w:rFonts w:ascii="Arial" w:hAnsi="Arial" w:cs="Arial"/>
          <w:sz w:val="24"/>
          <w:szCs w:val="24"/>
        </w:rPr>
        <w:t xml:space="preserve"> it concerns le</w:t>
      </w:r>
      <w:r w:rsidR="002024D9" w:rsidRPr="007575B1">
        <w:rPr>
          <w:rFonts w:ascii="Arial" w:hAnsi="Arial" w:cs="Arial"/>
          <w:sz w:val="24"/>
          <w:szCs w:val="24"/>
        </w:rPr>
        <w:t>vies charged by the Association</w:t>
      </w:r>
      <w:r w:rsidR="00B30ACC" w:rsidRPr="007575B1">
        <w:rPr>
          <w:rFonts w:ascii="Arial" w:hAnsi="Arial" w:cs="Arial"/>
          <w:sz w:val="24"/>
          <w:szCs w:val="24"/>
        </w:rPr>
        <w:t>. The</w:t>
      </w:r>
      <w:r w:rsidR="00575034" w:rsidRPr="007575B1">
        <w:rPr>
          <w:rFonts w:ascii="Arial" w:hAnsi="Arial" w:cs="Arial"/>
          <w:sz w:val="24"/>
          <w:szCs w:val="24"/>
        </w:rPr>
        <w:t xml:space="preserve">  parties are exactly the same as in the first </w:t>
      </w:r>
      <w:r w:rsidR="00B30ACC" w:rsidRPr="007575B1">
        <w:rPr>
          <w:rFonts w:ascii="Arial" w:hAnsi="Arial" w:cs="Arial"/>
          <w:sz w:val="24"/>
          <w:szCs w:val="24"/>
        </w:rPr>
        <w:t>application. As</w:t>
      </w:r>
      <w:r w:rsidR="00575034" w:rsidRPr="007575B1">
        <w:rPr>
          <w:rFonts w:ascii="Arial" w:hAnsi="Arial" w:cs="Arial"/>
          <w:sz w:val="24"/>
          <w:szCs w:val="24"/>
        </w:rPr>
        <w:t xml:space="preserve"> a </w:t>
      </w:r>
      <w:r w:rsidR="00B30ACC" w:rsidRPr="007575B1">
        <w:rPr>
          <w:rFonts w:ascii="Arial" w:hAnsi="Arial" w:cs="Arial"/>
          <w:sz w:val="24"/>
          <w:szCs w:val="24"/>
        </w:rPr>
        <w:t>result,</w:t>
      </w:r>
      <w:r w:rsidR="00575034" w:rsidRPr="007575B1">
        <w:rPr>
          <w:rFonts w:ascii="Arial" w:hAnsi="Arial" w:cs="Arial"/>
          <w:sz w:val="24"/>
          <w:szCs w:val="24"/>
        </w:rPr>
        <w:t xml:space="preserve"> the first</w:t>
      </w:r>
      <w:r w:rsidR="000E5103" w:rsidRPr="007575B1">
        <w:rPr>
          <w:rFonts w:ascii="Arial" w:hAnsi="Arial" w:cs="Arial"/>
          <w:sz w:val="24"/>
          <w:szCs w:val="24"/>
        </w:rPr>
        <w:t xml:space="preserve"> requirement has been met.</w:t>
      </w:r>
    </w:p>
    <w:p w14:paraId="3EF92063" w14:textId="77777777" w:rsidR="000446DA" w:rsidRPr="000446DA" w:rsidRDefault="000446DA" w:rsidP="000446DA">
      <w:pPr>
        <w:pStyle w:val="ListParagraph"/>
        <w:rPr>
          <w:rFonts w:ascii="Arial" w:hAnsi="Arial" w:cs="Arial"/>
          <w:sz w:val="24"/>
          <w:szCs w:val="24"/>
        </w:rPr>
      </w:pPr>
    </w:p>
    <w:p w14:paraId="765C4310" w14:textId="77777777" w:rsidR="000446DA" w:rsidRPr="000446DA" w:rsidRDefault="000446DA" w:rsidP="000446DA">
      <w:pPr>
        <w:pStyle w:val="ListParagraph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02CD27C9" w14:textId="4CD05CBC" w:rsidR="00091475" w:rsidRPr="007575B1" w:rsidRDefault="007575B1" w:rsidP="007575B1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9111DA">
        <w:rPr>
          <w:rFonts w:ascii="Arial" w:hAnsi="Arial" w:cs="Arial"/>
          <w:sz w:val="24"/>
          <w:szCs w:val="24"/>
        </w:rPr>
        <w:t>14.</w:t>
      </w:r>
      <w:r w:rsidRPr="009111DA">
        <w:rPr>
          <w:rFonts w:ascii="Arial" w:hAnsi="Arial" w:cs="Arial"/>
          <w:sz w:val="24"/>
          <w:szCs w:val="24"/>
        </w:rPr>
        <w:tab/>
      </w:r>
      <w:r w:rsidR="000E5103" w:rsidRPr="007575B1">
        <w:rPr>
          <w:rFonts w:ascii="Arial" w:hAnsi="Arial" w:cs="Arial"/>
          <w:sz w:val="24"/>
          <w:szCs w:val="24"/>
        </w:rPr>
        <w:t>As far as the second requirement is</w:t>
      </w:r>
      <w:r w:rsidR="00DE477A" w:rsidRPr="007575B1">
        <w:rPr>
          <w:rFonts w:ascii="Arial" w:hAnsi="Arial" w:cs="Arial"/>
          <w:sz w:val="24"/>
          <w:szCs w:val="24"/>
        </w:rPr>
        <w:t xml:space="preserve"> </w:t>
      </w:r>
      <w:r w:rsidR="00B30ACC" w:rsidRPr="007575B1">
        <w:rPr>
          <w:rFonts w:ascii="Arial" w:hAnsi="Arial" w:cs="Arial"/>
          <w:sz w:val="24"/>
          <w:szCs w:val="24"/>
        </w:rPr>
        <w:t>concerned, both</w:t>
      </w:r>
      <w:r w:rsidR="00DE477A" w:rsidRPr="007575B1">
        <w:rPr>
          <w:rFonts w:ascii="Arial" w:hAnsi="Arial" w:cs="Arial"/>
          <w:sz w:val="24"/>
          <w:szCs w:val="24"/>
        </w:rPr>
        <w:t xml:space="preserve"> applications</w:t>
      </w:r>
      <w:r w:rsidR="00184023" w:rsidRPr="007575B1">
        <w:rPr>
          <w:rFonts w:ascii="Arial" w:hAnsi="Arial" w:cs="Arial"/>
          <w:sz w:val="24"/>
          <w:szCs w:val="24"/>
        </w:rPr>
        <w:t xml:space="preserve"> sought to review and set aside </w:t>
      </w:r>
      <w:r w:rsidR="00002080" w:rsidRPr="007575B1">
        <w:rPr>
          <w:rFonts w:ascii="Arial" w:hAnsi="Arial" w:cs="Arial"/>
          <w:sz w:val="24"/>
          <w:szCs w:val="24"/>
        </w:rPr>
        <w:t>the same</w:t>
      </w:r>
      <w:r w:rsidR="00184023" w:rsidRPr="007575B1">
        <w:rPr>
          <w:rFonts w:ascii="Arial" w:hAnsi="Arial" w:cs="Arial"/>
          <w:sz w:val="24"/>
          <w:szCs w:val="24"/>
        </w:rPr>
        <w:t xml:space="preserve"> dec</w:t>
      </w:r>
      <w:r w:rsidR="00086AAB" w:rsidRPr="007575B1">
        <w:rPr>
          <w:rFonts w:ascii="Arial" w:hAnsi="Arial" w:cs="Arial"/>
          <w:sz w:val="24"/>
          <w:szCs w:val="24"/>
        </w:rPr>
        <w:t xml:space="preserve">ision by the </w:t>
      </w:r>
      <w:r w:rsidR="004B5D11" w:rsidRPr="007575B1">
        <w:rPr>
          <w:rFonts w:ascii="Arial" w:hAnsi="Arial" w:cs="Arial"/>
          <w:sz w:val="24"/>
          <w:szCs w:val="24"/>
        </w:rPr>
        <w:t>Service, the</w:t>
      </w:r>
      <w:r w:rsidR="00086AAB" w:rsidRPr="007575B1">
        <w:rPr>
          <w:rFonts w:ascii="Arial" w:hAnsi="Arial" w:cs="Arial"/>
          <w:sz w:val="24"/>
          <w:szCs w:val="24"/>
        </w:rPr>
        <w:t xml:space="preserve"> only </w:t>
      </w:r>
      <w:r w:rsidR="004B5D11" w:rsidRPr="007575B1">
        <w:rPr>
          <w:rFonts w:ascii="Arial" w:hAnsi="Arial" w:cs="Arial"/>
          <w:sz w:val="24"/>
          <w:szCs w:val="24"/>
        </w:rPr>
        <w:t>difference</w:t>
      </w:r>
      <w:r w:rsidR="009C2F1E" w:rsidRPr="007575B1">
        <w:rPr>
          <w:rFonts w:ascii="Arial" w:hAnsi="Arial" w:cs="Arial"/>
          <w:sz w:val="24"/>
          <w:szCs w:val="24"/>
        </w:rPr>
        <w:t xml:space="preserve"> is that in the first application </w:t>
      </w:r>
      <w:r w:rsidR="00002080" w:rsidRPr="007575B1">
        <w:rPr>
          <w:rFonts w:ascii="Arial" w:hAnsi="Arial" w:cs="Arial"/>
          <w:sz w:val="24"/>
          <w:szCs w:val="24"/>
        </w:rPr>
        <w:t>Mr.</w:t>
      </w:r>
      <w:r w:rsidR="00C25CE3" w:rsidRPr="007575B1">
        <w:rPr>
          <w:rFonts w:ascii="Arial" w:hAnsi="Arial" w:cs="Arial"/>
          <w:sz w:val="24"/>
          <w:szCs w:val="24"/>
        </w:rPr>
        <w:t xml:space="preserve"> </w:t>
      </w:r>
      <w:r w:rsidR="00002080" w:rsidRPr="007575B1">
        <w:rPr>
          <w:rFonts w:ascii="Arial" w:hAnsi="Arial" w:cs="Arial"/>
          <w:sz w:val="24"/>
          <w:szCs w:val="24"/>
        </w:rPr>
        <w:t>Ndobela</w:t>
      </w:r>
      <w:r w:rsidR="00C25CE3" w:rsidRPr="007575B1">
        <w:rPr>
          <w:rFonts w:ascii="Arial" w:hAnsi="Arial" w:cs="Arial"/>
          <w:sz w:val="24"/>
          <w:szCs w:val="24"/>
        </w:rPr>
        <w:t xml:space="preserve"> </w:t>
      </w:r>
      <w:r w:rsidR="009C2F1E" w:rsidRPr="007575B1">
        <w:rPr>
          <w:rFonts w:ascii="Arial" w:hAnsi="Arial" w:cs="Arial"/>
          <w:sz w:val="24"/>
          <w:szCs w:val="24"/>
        </w:rPr>
        <w:t xml:space="preserve">relied on a common law or legality review and in this </w:t>
      </w:r>
      <w:r w:rsidR="00352BA3" w:rsidRPr="007575B1">
        <w:rPr>
          <w:rFonts w:ascii="Arial" w:hAnsi="Arial" w:cs="Arial"/>
          <w:sz w:val="24"/>
          <w:szCs w:val="24"/>
        </w:rPr>
        <w:t>application,</w:t>
      </w:r>
      <w:r w:rsidR="009C2F1E" w:rsidRPr="007575B1">
        <w:rPr>
          <w:rFonts w:ascii="Arial" w:hAnsi="Arial" w:cs="Arial"/>
          <w:sz w:val="24"/>
          <w:szCs w:val="24"/>
        </w:rPr>
        <w:t xml:space="preserve"> he relies on </w:t>
      </w:r>
      <w:r w:rsidR="00714FA5" w:rsidRPr="007575B1">
        <w:rPr>
          <w:rFonts w:ascii="Arial" w:hAnsi="Arial" w:cs="Arial"/>
          <w:sz w:val="24"/>
          <w:szCs w:val="24"/>
        </w:rPr>
        <w:t>PAJA.</w:t>
      </w:r>
      <w:r w:rsidR="006B29CC" w:rsidRPr="007575B1">
        <w:rPr>
          <w:rFonts w:ascii="Arial" w:hAnsi="Arial" w:cs="Arial"/>
          <w:sz w:val="24"/>
          <w:szCs w:val="24"/>
        </w:rPr>
        <w:t xml:space="preserve"> </w:t>
      </w:r>
      <w:r w:rsidR="00A823EB" w:rsidRPr="007575B1">
        <w:rPr>
          <w:rFonts w:ascii="Arial" w:hAnsi="Arial" w:cs="Arial"/>
          <w:sz w:val="24"/>
          <w:szCs w:val="24"/>
        </w:rPr>
        <w:t>The contention that Mr. Ndobela in the first application sought an interdict is not born</w:t>
      </w:r>
      <w:r w:rsidR="00722601" w:rsidRPr="007575B1">
        <w:rPr>
          <w:rFonts w:ascii="Arial" w:hAnsi="Arial" w:cs="Arial"/>
          <w:sz w:val="24"/>
          <w:szCs w:val="24"/>
        </w:rPr>
        <w:t>e</w:t>
      </w:r>
      <w:r w:rsidR="00A823EB" w:rsidRPr="007575B1">
        <w:rPr>
          <w:rFonts w:ascii="Arial" w:hAnsi="Arial" w:cs="Arial"/>
          <w:sz w:val="24"/>
          <w:szCs w:val="24"/>
        </w:rPr>
        <w:t xml:space="preserve"> out by the facts.</w:t>
      </w:r>
      <w:r w:rsidR="006B29CC" w:rsidRPr="007575B1">
        <w:rPr>
          <w:rFonts w:ascii="Arial" w:hAnsi="Arial" w:cs="Arial"/>
          <w:sz w:val="24"/>
          <w:szCs w:val="24"/>
        </w:rPr>
        <w:t xml:space="preserve"> </w:t>
      </w:r>
      <w:r w:rsidR="00CB0FE0" w:rsidRPr="007575B1">
        <w:rPr>
          <w:rFonts w:ascii="Arial" w:hAnsi="Arial" w:cs="Arial"/>
          <w:sz w:val="24"/>
          <w:szCs w:val="24"/>
        </w:rPr>
        <w:t>The</w:t>
      </w:r>
      <w:r w:rsidR="005F37C8" w:rsidRPr="007575B1">
        <w:rPr>
          <w:rFonts w:ascii="Arial" w:hAnsi="Arial" w:cs="Arial"/>
          <w:sz w:val="24"/>
          <w:szCs w:val="24"/>
        </w:rPr>
        <w:t xml:space="preserve"> further</w:t>
      </w:r>
      <w:r w:rsidR="007037F7" w:rsidRPr="007575B1">
        <w:rPr>
          <w:rFonts w:ascii="Arial" w:hAnsi="Arial" w:cs="Arial"/>
          <w:sz w:val="24"/>
          <w:szCs w:val="24"/>
        </w:rPr>
        <w:t>,</w:t>
      </w:r>
      <w:r w:rsidR="005F37C8" w:rsidRPr="007575B1">
        <w:rPr>
          <w:rFonts w:ascii="Arial" w:hAnsi="Arial" w:cs="Arial"/>
          <w:sz w:val="24"/>
          <w:szCs w:val="24"/>
        </w:rPr>
        <w:t xml:space="preserve"> rather artificial difference</w:t>
      </w:r>
      <w:r w:rsidR="007037F7" w:rsidRPr="007575B1">
        <w:rPr>
          <w:rFonts w:ascii="Arial" w:hAnsi="Arial" w:cs="Arial"/>
          <w:sz w:val="24"/>
          <w:szCs w:val="24"/>
        </w:rPr>
        <w:t>,</w:t>
      </w:r>
      <w:r w:rsidR="005F37C8" w:rsidRPr="007575B1">
        <w:rPr>
          <w:rFonts w:ascii="Arial" w:hAnsi="Arial" w:cs="Arial"/>
          <w:sz w:val="24"/>
          <w:szCs w:val="24"/>
        </w:rPr>
        <w:t xml:space="preserve"> Mr. </w:t>
      </w:r>
      <w:r w:rsidR="00B82E6D" w:rsidRPr="007575B1">
        <w:rPr>
          <w:rFonts w:ascii="Arial" w:hAnsi="Arial" w:cs="Arial"/>
          <w:sz w:val="24"/>
          <w:szCs w:val="24"/>
        </w:rPr>
        <w:t xml:space="preserve">Ndobela seeks to rely on is that he in this instance </w:t>
      </w:r>
      <w:r w:rsidR="009B1120" w:rsidRPr="007575B1">
        <w:rPr>
          <w:rFonts w:ascii="Arial" w:hAnsi="Arial" w:cs="Arial"/>
          <w:sz w:val="24"/>
          <w:szCs w:val="24"/>
        </w:rPr>
        <w:t xml:space="preserve">made use of Rule 53 </w:t>
      </w:r>
      <w:r w:rsidR="005832D7" w:rsidRPr="007575B1">
        <w:rPr>
          <w:rFonts w:ascii="Arial" w:hAnsi="Arial" w:cs="Arial"/>
          <w:sz w:val="24"/>
          <w:szCs w:val="24"/>
        </w:rPr>
        <w:t xml:space="preserve">procedures. </w:t>
      </w:r>
      <w:r w:rsidR="00E867FE" w:rsidRPr="007575B1">
        <w:rPr>
          <w:rFonts w:ascii="Arial" w:hAnsi="Arial" w:cs="Arial"/>
          <w:sz w:val="24"/>
          <w:szCs w:val="24"/>
        </w:rPr>
        <w:t>This however</w:t>
      </w:r>
      <w:r w:rsidR="005A2E65" w:rsidRPr="007575B1">
        <w:rPr>
          <w:rFonts w:ascii="Arial" w:hAnsi="Arial" w:cs="Arial"/>
          <w:sz w:val="24"/>
          <w:szCs w:val="24"/>
        </w:rPr>
        <w:t xml:space="preserve"> does not change the fact that the same </w:t>
      </w:r>
      <w:r w:rsidR="00F86901" w:rsidRPr="007575B1">
        <w:rPr>
          <w:rFonts w:ascii="Arial" w:hAnsi="Arial" w:cs="Arial"/>
          <w:sz w:val="24"/>
          <w:szCs w:val="24"/>
        </w:rPr>
        <w:t>issue</w:t>
      </w:r>
      <w:r w:rsidR="005832D7" w:rsidRPr="007575B1">
        <w:rPr>
          <w:rFonts w:ascii="Arial" w:hAnsi="Arial" w:cs="Arial"/>
          <w:sz w:val="24"/>
          <w:szCs w:val="24"/>
        </w:rPr>
        <w:t>, based</w:t>
      </w:r>
      <w:r w:rsidR="005A2E65" w:rsidRPr="007575B1">
        <w:rPr>
          <w:rFonts w:ascii="Arial" w:hAnsi="Arial" w:cs="Arial"/>
          <w:sz w:val="24"/>
          <w:szCs w:val="24"/>
        </w:rPr>
        <w:t xml:space="preserve"> on the same </w:t>
      </w:r>
      <w:r w:rsidR="00791A76" w:rsidRPr="007575B1">
        <w:rPr>
          <w:rFonts w:ascii="Arial" w:hAnsi="Arial" w:cs="Arial"/>
          <w:sz w:val="24"/>
          <w:szCs w:val="24"/>
        </w:rPr>
        <w:t>facts,</w:t>
      </w:r>
      <w:r w:rsidR="00CE3D17" w:rsidRPr="007575B1">
        <w:rPr>
          <w:rFonts w:ascii="Arial" w:hAnsi="Arial" w:cs="Arial"/>
          <w:sz w:val="24"/>
          <w:szCs w:val="24"/>
        </w:rPr>
        <w:t xml:space="preserve"> w</w:t>
      </w:r>
      <w:r w:rsidR="00F86901" w:rsidRPr="007575B1">
        <w:rPr>
          <w:rFonts w:ascii="Arial" w:hAnsi="Arial" w:cs="Arial"/>
          <w:sz w:val="24"/>
          <w:szCs w:val="24"/>
        </w:rPr>
        <w:t>ere raised</w:t>
      </w:r>
      <w:r w:rsidR="00936D4E" w:rsidRPr="007575B1">
        <w:rPr>
          <w:rFonts w:ascii="Arial" w:hAnsi="Arial" w:cs="Arial"/>
          <w:sz w:val="24"/>
          <w:szCs w:val="24"/>
        </w:rPr>
        <w:t xml:space="preserve"> in this application</w:t>
      </w:r>
      <w:r w:rsidR="00791A76" w:rsidRPr="007575B1">
        <w:rPr>
          <w:rFonts w:ascii="Arial" w:hAnsi="Arial" w:cs="Arial"/>
          <w:sz w:val="24"/>
          <w:szCs w:val="24"/>
        </w:rPr>
        <w:t>. The</w:t>
      </w:r>
      <w:r w:rsidR="00104D88" w:rsidRPr="007575B1">
        <w:rPr>
          <w:rFonts w:ascii="Arial" w:hAnsi="Arial" w:cs="Arial"/>
          <w:sz w:val="24"/>
          <w:szCs w:val="24"/>
        </w:rPr>
        <w:t xml:space="preserve"> court in the first application found</w:t>
      </w:r>
      <w:r w:rsidR="00F416B5" w:rsidRPr="007575B1">
        <w:rPr>
          <w:rFonts w:ascii="Arial" w:hAnsi="Arial" w:cs="Arial"/>
          <w:sz w:val="24"/>
          <w:szCs w:val="24"/>
        </w:rPr>
        <w:t xml:space="preserve"> </w:t>
      </w:r>
      <w:r w:rsidR="007F0FBC" w:rsidRPr="007575B1">
        <w:rPr>
          <w:rFonts w:ascii="Arial" w:hAnsi="Arial" w:cs="Arial"/>
          <w:sz w:val="24"/>
          <w:szCs w:val="24"/>
        </w:rPr>
        <w:t>that Mr. Ndobela could not rely on a legality review</w:t>
      </w:r>
      <w:r w:rsidR="00CE7854" w:rsidRPr="007575B1">
        <w:rPr>
          <w:rFonts w:ascii="Arial" w:hAnsi="Arial" w:cs="Arial"/>
          <w:sz w:val="24"/>
          <w:szCs w:val="24"/>
        </w:rPr>
        <w:t>,</w:t>
      </w:r>
      <w:r w:rsidR="00104D88" w:rsidRPr="007575B1">
        <w:rPr>
          <w:rFonts w:ascii="Arial" w:hAnsi="Arial" w:cs="Arial"/>
          <w:sz w:val="24"/>
          <w:szCs w:val="24"/>
        </w:rPr>
        <w:t xml:space="preserve"> that PAJA </w:t>
      </w:r>
      <w:r w:rsidR="00797BF4" w:rsidRPr="007575B1">
        <w:rPr>
          <w:rFonts w:ascii="Arial" w:hAnsi="Arial" w:cs="Arial"/>
          <w:sz w:val="24"/>
          <w:szCs w:val="24"/>
        </w:rPr>
        <w:t>applied and found that Mr. Ndobela</w:t>
      </w:r>
      <w:r w:rsidR="00CE22A7" w:rsidRPr="007575B1">
        <w:rPr>
          <w:rFonts w:ascii="Arial" w:hAnsi="Arial" w:cs="Arial"/>
          <w:sz w:val="24"/>
          <w:szCs w:val="24"/>
        </w:rPr>
        <w:t xml:space="preserve"> did not make out a case for a review under PAJA.</w:t>
      </w:r>
      <w:r w:rsidR="000446DA" w:rsidRPr="007575B1">
        <w:rPr>
          <w:rFonts w:ascii="Arial" w:hAnsi="Arial" w:cs="Arial"/>
          <w:sz w:val="24"/>
          <w:szCs w:val="24"/>
        </w:rPr>
        <w:t xml:space="preserve"> </w:t>
      </w:r>
      <w:r w:rsidR="00D9537E" w:rsidRPr="007575B1">
        <w:rPr>
          <w:rFonts w:ascii="Arial" w:hAnsi="Arial" w:cs="Arial"/>
          <w:sz w:val="24"/>
          <w:szCs w:val="24"/>
        </w:rPr>
        <w:t xml:space="preserve">It is abundantly clear that the dispute was finally </w:t>
      </w:r>
      <w:r w:rsidR="00FB12B7" w:rsidRPr="007575B1">
        <w:rPr>
          <w:rFonts w:ascii="Arial" w:hAnsi="Arial" w:cs="Arial"/>
          <w:sz w:val="24"/>
          <w:szCs w:val="24"/>
        </w:rPr>
        <w:t>adjudicated</w:t>
      </w:r>
      <w:r w:rsidR="00D9537E" w:rsidRPr="007575B1">
        <w:rPr>
          <w:rFonts w:ascii="Arial" w:hAnsi="Arial" w:cs="Arial"/>
          <w:sz w:val="24"/>
          <w:szCs w:val="24"/>
        </w:rPr>
        <w:t xml:space="preserve"> by the court in the first application</w:t>
      </w:r>
      <w:r w:rsidR="002E584D" w:rsidRPr="007575B1">
        <w:rPr>
          <w:rFonts w:ascii="Arial" w:hAnsi="Arial" w:cs="Arial"/>
          <w:sz w:val="24"/>
          <w:szCs w:val="24"/>
        </w:rPr>
        <w:t>.</w:t>
      </w:r>
    </w:p>
    <w:p w14:paraId="137C01B2" w14:textId="77777777" w:rsidR="008E65FE" w:rsidRPr="00EC4021" w:rsidRDefault="008E65FE" w:rsidP="00EC4021">
      <w:pPr>
        <w:pStyle w:val="ListParagraph"/>
        <w:rPr>
          <w:rFonts w:ascii="Arial" w:hAnsi="Arial" w:cs="Arial"/>
          <w:sz w:val="24"/>
          <w:szCs w:val="24"/>
        </w:rPr>
      </w:pPr>
    </w:p>
    <w:p w14:paraId="35756ABC" w14:textId="0EA810FF" w:rsidR="00B7054E" w:rsidRPr="007575B1" w:rsidRDefault="007575B1" w:rsidP="007575B1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936D4E">
        <w:rPr>
          <w:rFonts w:ascii="Arial" w:hAnsi="Arial" w:cs="Arial"/>
          <w:sz w:val="24"/>
          <w:szCs w:val="24"/>
        </w:rPr>
        <w:t>15.</w:t>
      </w:r>
      <w:r w:rsidRPr="00936D4E">
        <w:rPr>
          <w:rFonts w:ascii="Arial" w:hAnsi="Arial" w:cs="Arial"/>
          <w:sz w:val="24"/>
          <w:szCs w:val="24"/>
        </w:rPr>
        <w:tab/>
      </w:r>
      <w:r w:rsidR="002E584D" w:rsidRPr="007575B1">
        <w:rPr>
          <w:rFonts w:ascii="Arial" w:hAnsi="Arial" w:cs="Arial"/>
          <w:sz w:val="24"/>
          <w:szCs w:val="24"/>
        </w:rPr>
        <w:t xml:space="preserve"> </w:t>
      </w:r>
      <w:r w:rsidR="009111DA" w:rsidRPr="007575B1">
        <w:rPr>
          <w:rFonts w:ascii="Arial" w:hAnsi="Arial" w:cs="Arial"/>
          <w:sz w:val="24"/>
          <w:szCs w:val="24"/>
        </w:rPr>
        <w:t xml:space="preserve">Mr. Ndobela failed to </w:t>
      </w:r>
      <w:r w:rsidR="0061223B" w:rsidRPr="007575B1">
        <w:rPr>
          <w:rFonts w:ascii="Arial" w:hAnsi="Arial" w:cs="Arial"/>
          <w:sz w:val="24"/>
          <w:szCs w:val="24"/>
        </w:rPr>
        <w:t>apply for an extension or condonation</w:t>
      </w:r>
      <w:r w:rsidR="009B5EA6" w:rsidRPr="007575B1">
        <w:rPr>
          <w:rFonts w:ascii="Arial" w:hAnsi="Arial" w:cs="Arial"/>
          <w:sz w:val="24"/>
          <w:szCs w:val="24"/>
        </w:rPr>
        <w:t xml:space="preserve"> for the </w:t>
      </w:r>
      <w:r w:rsidR="00936D4E" w:rsidRPr="007575B1">
        <w:rPr>
          <w:rFonts w:ascii="Arial" w:hAnsi="Arial" w:cs="Arial"/>
          <w:sz w:val="24"/>
          <w:szCs w:val="24"/>
        </w:rPr>
        <w:t>delay in</w:t>
      </w:r>
      <w:r w:rsidR="005C6A18" w:rsidRPr="007575B1">
        <w:rPr>
          <w:rFonts w:ascii="Arial" w:hAnsi="Arial" w:cs="Arial"/>
          <w:sz w:val="24"/>
          <w:szCs w:val="24"/>
        </w:rPr>
        <w:t xml:space="preserve"> the first </w:t>
      </w:r>
      <w:r w:rsidR="009E7459" w:rsidRPr="007575B1">
        <w:rPr>
          <w:rFonts w:ascii="Arial" w:hAnsi="Arial" w:cs="Arial"/>
          <w:sz w:val="24"/>
          <w:szCs w:val="24"/>
        </w:rPr>
        <w:t>application. He</w:t>
      </w:r>
      <w:r w:rsidR="005B651C" w:rsidRPr="007575B1">
        <w:rPr>
          <w:rFonts w:ascii="Arial" w:hAnsi="Arial" w:cs="Arial"/>
          <w:sz w:val="24"/>
          <w:szCs w:val="24"/>
        </w:rPr>
        <w:t xml:space="preserve"> now seeks to rectify that failure in this </w:t>
      </w:r>
      <w:r w:rsidR="007220DB" w:rsidRPr="007575B1">
        <w:rPr>
          <w:rFonts w:ascii="Arial" w:hAnsi="Arial" w:cs="Arial"/>
          <w:sz w:val="24"/>
          <w:szCs w:val="24"/>
        </w:rPr>
        <w:t>application. The</w:t>
      </w:r>
      <w:r w:rsidR="00AC1FDD" w:rsidRPr="007575B1">
        <w:rPr>
          <w:rFonts w:ascii="Arial" w:hAnsi="Arial" w:cs="Arial"/>
          <w:sz w:val="24"/>
          <w:szCs w:val="24"/>
        </w:rPr>
        <w:t xml:space="preserve"> condonation application was brought </w:t>
      </w:r>
      <w:r w:rsidR="003979E9" w:rsidRPr="007575B1">
        <w:rPr>
          <w:rFonts w:ascii="Arial" w:hAnsi="Arial" w:cs="Arial"/>
          <w:sz w:val="24"/>
          <w:szCs w:val="24"/>
        </w:rPr>
        <w:t xml:space="preserve">approximately </w:t>
      </w:r>
      <w:r w:rsidR="006B696C" w:rsidRPr="007575B1">
        <w:rPr>
          <w:rFonts w:ascii="Arial" w:hAnsi="Arial" w:cs="Arial"/>
          <w:sz w:val="24"/>
          <w:szCs w:val="24"/>
        </w:rPr>
        <w:t>twenty-two</w:t>
      </w:r>
      <w:r w:rsidR="00DD0D8F" w:rsidRPr="007575B1">
        <w:rPr>
          <w:rFonts w:ascii="Arial" w:hAnsi="Arial" w:cs="Arial"/>
          <w:sz w:val="24"/>
          <w:szCs w:val="24"/>
        </w:rPr>
        <w:t xml:space="preserve"> months after the </w:t>
      </w:r>
      <w:r w:rsidR="00DD0D8F" w:rsidRPr="007575B1">
        <w:rPr>
          <w:rFonts w:ascii="Arial" w:hAnsi="Arial" w:cs="Arial"/>
          <w:sz w:val="24"/>
          <w:szCs w:val="24"/>
        </w:rPr>
        <w:lastRenderedPageBreak/>
        <w:t xml:space="preserve">Service’s </w:t>
      </w:r>
      <w:r w:rsidR="008A199F" w:rsidRPr="007575B1">
        <w:rPr>
          <w:rFonts w:ascii="Arial" w:hAnsi="Arial" w:cs="Arial"/>
          <w:sz w:val="24"/>
          <w:szCs w:val="24"/>
        </w:rPr>
        <w:t>decision. Mr. Ndobela</w:t>
      </w:r>
      <w:r w:rsidR="003A6B8B" w:rsidRPr="007575B1">
        <w:rPr>
          <w:rFonts w:ascii="Arial" w:hAnsi="Arial" w:cs="Arial"/>
          <w:sz w:val="24"/>
          <w:szCs w:val="24"/>
        </w:rPr>
        <w:t xml:space="preserve"> should have brought the condonation application in the first </w:t>
      </w:r>
      <w:r w:rsidR="007E46B1" w:rsidRPr="007575B1">
        <w:rPr>
          <w:rFonts w:ascii="Arial" w:hAnsi="Arial" w:cs="Arial"/>
          <w:sz w:val="24"/>
          <w:szCs w:val="24"/>
        </w:rPr>
        <w:t>application, but</w:t>
      </w:r>
      <w:r w:rsidR="00DC5C68" w:rsidRPr="007575B1">
        <w:rPr>
          <w:rFonts w:ascii="Arial" w:hAnsi="Arial" w:cs="Arial"/>
          <w:sz w:val="24"/>
          <w:szCs w:val="24"/>
        </w:rPr>
        <w:t xml:space="preserve"> even if he </w:t>
      </w:r>
      <w:r w:rsidR="00BF6994" w:rsidRPr="007575B1">
        <w:rPr>
          <w:rFonts w:ascii="Arial" w:hAnsi="Arial" w:cs="Arial"/>
          <w:sz w:val="24"/>
          <w:szCs w:val="24"/>
        </w:rPr>
        <w:t>did,</w:t>
      </w:r>
      <w:r w:rsidR="00DC5C68" w:rsidRPr="007575B1">
        <w:rPr>
          <w:rFonts w:ascii="Arial" w:hAnsi="Arial" w:cs="Arial"/>
          <w:sz w:val="24"/>
          <w:szCs w:val="24"/>
        </w:rPr>
        <w:t xml:space="preserve"> he would have had to explain</w:t>
      </w:r>
      <w:r w:rsidR="003C4EE4" w:rsidRPr="007575B1">
        <w:rPr>
          <w:rFonts w:ascii="Arial" w:hAnsi="Arial" w:cs="Arial"/>
          <w:sz w:val="24"/>
          <w:szCs w:val="24"/>
        </w:rPr>
        <w:t xml:space="preserve"> the lapse of</w:t>
      </w:r>
      <w:r w:rsidR="00577D90" w:rsidRPr="007575B1">
        <w:rPr>
          <w:rFonts w:ascii="Arial" w:hAnsi="Arial" w:cs="Arial"/>
          <w:sz w:val="24"/>
          <w:szCs w:val="24"/>
        </w:rPr>
        <w:t xml:space="preserve"> the nearly eleven months since the decision</w:t>
      </w:r>
      <w:r w:rsidR="00F25D97" w:rsidRPr="007575B1">
        <w:rPr>
          <w:rFonts w:ascii="Arial" w:hAnsi="Arial" w:cs="Arial"/>
          <w:sz w:val="24"/>
          <w:szCs w:val="24"/>
        </w:rPr>
        <w:t xml:space="preserve"> </w:t>
      </w:r>
      <w:r w:rsidR="00FF3717" w:rsidRPr="007575B1">
        <w:rPr>
          <w:rFonts w:ascii="Arial" w:hAnsi="Arial" w:cs="Arial"/>
          <w:sz w:val="24"/>
          <w:szCs w:val="24"/>
        </w:rPr>
        <w:t xml:space="preserve">had been </w:t>
      </w:r>
      <w:r w:rsidR="007E46B1" w:rsidRPr="007575B1">
        <w:rPr>
          <w:rFonts w:ascii="Arial" w:hAnsi="Arial" w:cs="Arial"/>
          <w:sz w:val="24"/>
          <w:szCs w:val="24"/>
        </w:rPr>
        <w:t xml:space="preserve">taken. </w:t>
      </w:r>
      <w:r w:rsidR="00853DA1" w:rsidRPr="007575B1">
        <w:rPr>
          <w:rFonts w:ascii="Arial" w:hAnsi="Arial" w:cs="Arial"/>
          <w:sz w:val="24"/>
          <w:szCs w:val="24"/>
        </w:rPr>
        <w:t>Ironically,</w:t>
      </w:r>
      <w:r w:rsidR="00FA1484" w:rsidRPr="007575B1">
        <w:rPr>
          <w:rFonts w:ascii="Arial" w:hAnsi="Arial" w:cs="Arial"/>
          <w:sz w:val="24"/>
          <w:szCs w:val="24"/>
        </w:rPr>
        <w:t xml:space="preserve"> he relies </w:t>
      </w:r>
      <w:r w:rsidR="002620CA" w:rsidRPr="007575B1">
        <w:rPr>
          <w:rFonts w:ascii="Arial" w:hAnsi="Arial" w:cs="Arial"/>
          <w:sz w:val="24"/>
          <w:szCs w:val="24"/>
        </w:rPr>
        <w:t xml:space="preserve">on the first application as a reason for the </w:t>
      </w:r>
      <w:r w:rsidR="00403408" w:rsidRPr="007575B1">
        <w:rPr>
          <w:rFonts w:ascii="Arial" w:hAnsi="Arial" w:cs="Arial"/>
          <w:sz w:val="24"/>
          <w:szCs w:val="24"/>
        </w:rPr>
        <w:t>delay, the</w:t>
      </w:r>
      <w:r w:rsidR="002620CA" w:rsidRPr="007575B1">
        <w:rPr>
          <w:rFonts w:ascii="Arial" w:hAnsi="Arial" w:cs="Arial"/>
          <w:sz w:val="24"/>
          <w:szCs w:val="24"/>
        </w:rPr>
        <w:t xml:space="preserve"> fallacy of that </w:t>
      </w:r>
      <w:r w:rsidR="00F313DE" w:rsidRPr="007575B1">
        <w:rPr>
          <w:rFonts w:ascii="Arial" w:hAnsi="Arial" w:cs="Arial"/>
          <w:sz w:val="24"/>
          <w:szCs w:val="24"/>
        </w:rPr>
        <w:t>argument is</w:t>
      </w:r>
      <w:r w:rsidR="00853DA1" w:rsidRPr="007575B1">
        <w:rPr>
          <w:rFonts w:ascii="Arial" w:hAnsi="Arial" w:cs="Arial"/>
          <w:sz w:val="24"/>
          <w:szCs w:val="24"/>
        </w:rPr>
        <w:t xml:space="preserve"> self-evident</w:t>
      </w:r>
      <w:r w:rsidR="00287C46" w:rsidRPr="007575B1">
        <w:rPr>
          <w:rFonts w:ascii="Arial" w:hAnsi="Arial" w:cs="Arial"/>
          <w:sz w:val="24"/>
          <w:szCs w:val="24"/>
        </w:rPr>
        <w:t>. He</w:t>
      </w:r>
      <w:r w:rsidR="00A631CC" w:rsidRPr="007575B1">
        <w:rPr>
          <w:rFonts w:ascii="Arial" w:hAnsi="Arial" w:cs="Arial"/>
          <w:sz w:val="24"/>
          <w:szCs w:val="24"/>
        </w:rPr>
        <w:t xml:space="preserve"> also </w:t>
      </w:r>
      <w:r w:rsidR="00853DA1" w:rsidRPr="007575B1">
        <w:rPr>
          <w:rFonts w:ascii="Arial" w:hAnsi="Arial" w:cs="Arial"/>
          <w:sz w:val="24"/>
          <w:szCs w:val="24"/>
        </w:rPr>
        <w:t>relies</w:t>
      </w:r>
      <w:r w:rsidR="00A631CC" w:rsidRPr="007575B1">
        <w:rPr>
          <w:rFonts w:ascii="Arial" w:hAnsi="Arial" w:cs="Arial"/>
          <w:sz w:val="24"/>
          <w:szCs w:val="24"/>
        </w:rPr>
        <w:t xml:space="preserve"> on the Tembisa proceedings as an explanation for the </w:t>
      </w:r>
      <w:r w:rsidR="00287C46" w:rsidRPr="007575B1">
        <w:rPr>
          <w:rFonts w:ascii="Arial" w:hAnsi="Arial" w:cs="Arial"/>
          <w:sz w:val="24"/>
          <w:szCs w:val="24"/>
        </w:rPr>
        <w:t>delay, but</w:t>
      </w:r>
      <w:r w:rsidR="00E55B8C" w:rsidRPr="007575B1">
        <w:rPr>
          <w:rFonts w:ascii="Arial" w:hAnsi="Arial" w:cs="Arial"/>
          <w:sz w:val="24"/>
          <w:szCs w:val="24"/>
        </w:rPr>
        <w:t xml:space="preserve"> </w:t>
      </w:r>
      <w:r w:rsidR="007E46B1" w:rsidRPr="007575B1">
        <w:rPr>
          <w:rFonts w:ascii="Arial" w:hAnsi="Arial" w:cs="Arial"/>
          <w:sz w:val="24"/>
          <w:szCs w:val="24"/>
        </w:rPr>
        <w:t>the Tembisa</w:t>
      </w:r>
      <w:r w:rsidR="00287C46" w:rsidRPr="007575B1">
        <w:rPr>
          <w:rFonts w:ascii="Arial" w:hAnsi="Arial" w:cs="Arial"/>
          <w:sz w:val="24"/>
          <w:szCs w:val="24"/>
        </w:rPr>
        <w:t xml:space="preserve"> proceedings commenced </w:t>
      </w:r>
      <w:r w:rsidR="00006AF8" w:rsidRPr="007575B1">
        <w:rPr>
          <w:rFonts w:ascii="Arial" w:hAnsi="Arial" w:cs="Arial"/>
          <w:sz w:val="24"/>
          <w:szCs w:val="24"/>
        </w:rPr>
        <w:t xml:space="preserve">before the Service’s decision and was well under way when the first application was </w:t>
      </w:r>
      <w:r w:rsidR="00CF149F" w:rsidRPr="007575B1">
        <w:rPr>
          <w:rFonts w:ascii="Arial" w:hAnsi="Arial" w:cs="Arial"/>
          <w:sz w:val="24"/>
          <w:szCs w:val="24"/>
        </w:rPr>
        <w:t>launched. The</w:t>
      </w:r>
      <w:r w:rsidR="007A4E04" w:rsidRPr="007575B1">
        <w:rPr>
          <w:rFonts w:ascii="Arial" w:hAnsi="Arial" w:cs="Arial"/>
          <w:sz w:val="24"/>
          <w:szCs w:val="24"/>
        </w:rPr>
        <w:t xml:space="preserve"> belated attem</w:t>
      </w:r>
      <w:r w:rsidR="006335EB" w:rsidRPr="007575B1">
        <w:rPr>
          <w:rFonts w:ascii="Arial" w:hAnsi="Arial" w:cs="Arial"/>
          <w:sz w:val="24"/>
          <w:szCs w:val="24"/>
        </w:rPr>
        <w:t>pt to seek condonation cannot be entertained.</w:t>
      </w:r>
      <w:r w:rsidR="004911C7" w:rsidRPr="007575B1">
        <w:rPr>
          <w:rFonts w:ascii="Arial" w:hAnsi="Arial" w:cs="Arial"/>
          <w:sz w:val="24"/>
          <w:szCs w:val="24"/>
        </w:rPr>
        <w:t xml:space="preserve"> No prope</w:t>
      </w:r>
      <w:r w:rsidR="0005191C" w:rsidRPr="007575B1">
        <w:rPr>
          <w:rFonts w:ascii="Arial" w:hAnsi="Arial" w:cs="Arial"/>
          <w:sz w:val="24"/>
          <w:szCs w:val="24"/>
        </w:rPr>
        <w:t>r</w:t>
      </w:r>
      <w:r w:rsidR="004911C7" w:rsidRPr="007575B1">
        <w:rPr>
          <w:rFonts w:ascii="Arial" w:hAnsi="Arial" w:cs="Arial"/>
          <w:sz w:val="24"/>
          <w:szCs w:val="24"/>
        </w:rPr>
        <w:t xml:space="preserve"> explanation is g</w:t>
      </w:r>
      <w:r w:rsidR="00787FCC" w:rsidRPr="007575B1">
        <w:rPr>
          <w:rFonts w:ascii="Arial" w:hAnsi="Arial" w:cs="Arial"/>
          <w:sz w:val="24"/>
          <w:szCs w:val="24"/>
        </w:rPr>
        <w:t>iven for the delay,</w:t>
      </w:r>
      <w:r w:rsidR="00EC4021" w:rsidRPr="007575B1">
        <w:rPr>
          <w:rFonts w:ascii="Arial" w:hAnsi="Arial" w:cs="Arial"/>
          <w:sz w:val="24"/>
          <w:szCs w:val="24"/>
        </w:rPr>
        <w:t xml:space="preserve"> </w:t>
      </w:r>
      <w:r w:rsidR="00787FCC" w:rsidRPr="007575B1">
        <w:rPr>
          <w:rFonts w:ascii="Arial" w:hAnsi="Arial" w:cs="Arial"/>
          <w:sz w:val="24"/>
          <w:szCs w:val="24"/>
        </w:rPr>
        <w:t>neither will it be in the interest of justice to grant an extension of the time period.</w:t>
      </w:r>
      <w:r w:rsidR="007E46B1" w:rsidRPr="007575B1">
        <w:rPr>
          <w:rFonts w:ascii="Arial" w:hAnsi="Arial" w:cs="Arial"/>
          <w:sz w:val="24"/>
          <w:szCs w:val="24"/>
        </w:rPr>
        <w:t xml:space="preserve"> As</w:t>
      </w:r>
      <w:r w:rsidR="00F313DE" w:rsidRPr="007575B1">
        <w:rPr>
          <w:rFonts w:ascii="Arial" w:hAnsi="Arial" w:cs="Arial"/>
          <w:sz w:val="24"/>
          <w:szCs w:val="24"/>
        </w:rPr>
        <w:t xml:space="preserve"> a </w:t>
      </w:r>
      <w:r w:rsidR="00853DA1" w:rsidRPr="007575B1">
        <w:rPr>
          <w:rFonts w:ascii="Arial" w:hAnsi="Arial" w:cs="Arial"/>
          <w:sz w:val="24"/>
          <w:szCs w:val="24"/>
        </w:rPr>
        <w:t>result,</w:t>
      </w:r>
      <w:r w:rsidR="00F313DE" w:rsidRPr="007575B1">
        <w:rPr>
          <w:rFonts w:ascii="Arial" w:hAnsi="Arial" w:cs="Arial"/>
          <w:sz w:val="24"/>
          <w:szCs w:val="24"/>
        </w:rPr>
        <w:t xml:space="preserve"> condonation for non-</w:t>
      </w:r>
      <w:r w:rsidR="00737E2C" w:rsidRPr="007575B1">
        <w:rPr>
          <w:rFonts w:ascii="Arial" w:hAnsi="Arial" w:cs="Arial"/>
          <w:sz w:val="24"/>
          <w:szCs w:val="24"/>
        </w:rPr>
        <w:t>compliance with section 7(1) of P</w:t>
      </w:r>
      <w:r w:rsidR="008953A2" w:rsidRPr="007575B1">
        <w:rPr>
          <w:rFonts w:ascii="Arial" w:hAnsi="Arial" w:cs="Arial"/>
          <w:sz w:val="24"/>
          <w:szCs w:val="24"/>
        </w:rPr>
        <w:t>AJA cannot be granted.</w:t>
      </w:r>
    </w:p>
    <w:p w14:paraId="748C757A" w14:textId="77777777" w:rsidR="00EC4021" w:rsidRDefault="00EC4021" w:rsidP="00EC402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4B83B897" w14:textId="77777777" w:rsidR="00C673D5" w:rsidRPr="00EC4021" w:rsidRDefault="00C673D5" w:rsidP="00EC402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C4021">
        <w:rPr>
          <w:rFonts w:ascii="Arial" w:hAnsi="Arial" w:cs="Arial"/>
          <w:sz w:val="24"/>
          <w:szCs w:val="24"/>
        </w:rPr>
        <w:t>COSTS</w:t>
      </w:r>
    </w:p>
    <w:p w14:paraId="174D48A8" w14:textId="77777777" w:rsidR="008A199F" w:rsidRPr="008A199F" w:rsidRDefault="008A199F" w:rsidP="008A199F">
      <w:pPr>
        <w:pStyle w:val="ListParagraph"/>
        <w:rPr>
          <w:rFonts w:ascii="Arial" w:hAnsi="Arial" w:cs="Arial"/>
          <w:sz w:val="24"/>
          <w:szCs w:val="24"/>
        </w:rPr>
      </w:pPr>
    </w:p>
    <w:p w14:paraId="0AE919AB" w14:textId="31A11138" w:rsidR="006057F9" w:rsidRPr="007575B1" w:rsidRDefault="007575B1" w:rsidP="007575B1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8A199F">
        <w:rPr>
          <w:rFonts w:ascii="Arial" w:hAnsi="Arial" w:cs="Arial"/>
          <w:sz w:val="24"/>
          <w:szCs w:val="24"/>
        </w:rPr>
        <w:t>16.</w:t>
      </w:r>
      <w:r w:rsidRPr="008A199F">
        <w:rPr>
          <w:rFonts w:ascii="Arial" w:hAnsi="Arial" w:cs="Arial"/>
          <w:sz w:val="24"/>
          <w:szCs w:val="24"/>
        </w:rPr>
        <w:tab/>
      </w:r>
      <w:r w:rsidR="006057F9" w:rsidRPr="007575B1">
        <w:rPr>
          <w:rFonts w:ascii="Arial" w:hAnsi="Arial" w:cs="Arial"/>
          <w:sz w:val="24"/>
          <w:szCs w:val="24"/>
        </w:rPr>
        <w:t xml:space="preserve">The Association seeks costs on a punitive scale against Mr. Ndobela </w:t>
      </w:r>
      <w:r w:rsidR="00051835" w:rsidRPr="007575B1">
        <w:rPr>
          <w:rFonts w:ascii="Arial" w:hAnsi="Arial" w:cs="Arial"/>
          <w:sz w:val="24"/>
          <w:szCs w:val="24"/>
        </w:rPr>
        <w:t xml:space="preserve">and his </w:t>
      </w:r>
      <w:r w:rsidR="00E23384" w:rsidRPr="007575B1">
        <w:rPr>
          <w:rFonts w:ascii="Arial" w:hAnsi="Arial" w:cs="Arial"/>
          <w:sz w:val="24"/>
          <w:szCs w:val="24"/>
        </w:rPr>
        <w:t>firm. I</w:t>
      </w:r>
      <w:r w:rsidR="00051835" w:rsidRPr="007575B1">
        <w:rPr>
          <w:rFonts w:ascii="Arial" w:hAnsi="Arial" w:cs="Arial"/>
          <w:sz w:val="24"/>
          <w:szCs w:val="24"/>
        </w:rPr>
        <w:t xml:space="preserve"> cannot see any justification for a cost</w:t>
      </w:r>
      <w:r w:rsidR="003402F8" w:rsidRPr="007575B1">
        <w:rPr>
          <w:rFonts w:ascii="Arial" w:hAnsi="Arial" w:cs="Arial"/>
          <w:sz w:val="24"/>
          <w:szCs w:val="24"/>
        </w:rPr>
        <w:t xml:space="preserve"> order against the firm</w:t>
      </w:r>
      <w:r w:rsidR="00A71D5E" w:rsidRPr="007575B1">
        <w:rPr>
          <w:rFonts w:ascii="Arial" w:hAnsi="Arial" w:cs="Arial"/>
          <w:sz w:val="24"/>
          <w:szCs w:val="24"/>
        </w:rPr>
        <w:t>.</w:t>
      </w:r>
      <w:r w:rsidR="00E23384" w:rsidRPr="007575B1">
        <w:rPr>
          <w:rFonts w:ascii="Arial" w:hAnsi="Arial" w:cs="Arial"/>
          <w:sz w:val="24"/>
          <w:szCs w:val="24"/>
        </w:rPr>
        <w:t xml:space="preserve"> However, this</w:t>
      </w:r>
      <w:r w:rsidR="00A71D5E" w:rsidRPr="007575B1">
        <w:rPr>
          <w:rFonts w:ascii="Arial" w:hAnsi="Arial" w:cs="Arial"/>
          <w:sz w:val="24"/>
          <w:szCs w:val="24"/>
        </w:rPr>
        <w:t xml:space="preserve"> application is an abuse of court processes and court </w:t>
      </w:r>
      <w:r w:rsidR="00661EEF" w:rsidRPr="007575B1">
        <w:rPr>
          <w:rFonts w:ascii="Arial" w:hAnsi="Arial" w:cs="Arial"/>
          <w:sz w:val="24"/>
          <w:szCs w:val="24"/>
        </w:rPr>
        <w:t>resources</w:t>
      </w:r>
      <w:r w:rsidR="00B7054E" w:rsidRPr="007575B1">
        <w:rPr>
          <w:rFonts w:ascii="Arial" w:hAnsi="Arial" w:cs="Arial"/>
          <w:sz w:val="24"/>
          <w:szCs w:val="24"/>
        </w:rPr>
        <w:t xml:space="preserve"> and Mr</w:t>
      </w:r>
      <w:r w:rsidR="00A71D5E" w:rsidRPr="007575B1">
        <w:rPr>
          <w:rFonts w:ascii="Arial" w:hAnsi="Arial" w:cs="Arial"/>
          <w:sz w:val="24"/>
          <w:szCs w:val="24"/>
        </w:rPr>
        <w:t xml:space="preserve">. Ndobela as an officer of the court should have known </w:t>
      </w:r>
      <w:r w:rsidR="00B7054E" w:rsidRPr="007575B1">
        <w:rPr>
          <w:rFonts w:ascii="Arial" w:hAnsi="Arial" w:cs="Arial"/>
          <w:sz w:val="24"/>
          <w:szCs w:val="24"/>
        </w:rPr>
        <w:t>better, a</w:t>
      </w:r>
      <w:r w:rsidR="00661EEF" w:rsidRPr="007575B1">
        <w:rPr>
          <w:rFonts w:ascii="Arial" w:hAnsi="Arial" w:cs="Arial"/>
          <w:sz w:val="24"/>
          <w:szCs w:val="24"/>
        </w:rPr>
        <w:t>s</w:t>
      </w:r>
      <w:r w:rsidR="00A71D5E" w:rsidRPr="007575B1">
        <w:rPr>
          <w:rFonts w:ascii="Arial" w:hAnsi="Arial" w:cs="Arial"/>
          <w:sz w:val="24"/>
          <w:szCs w:val="24"/>
        </w:rPr>
        <w:t xml:space="preserve"> a result an attorney and client cost order against him is justified</w:t>
      </w:r>
      <w:r w:rsidR="00BF6D25" w:rsidRPr="007575B1">
        <w:rPr>
          <w:rFonts w:ascii="Arial" w:hAnsi="Arial" w:cs="Arial"/>
          <w:sz w:val="24"/>
          <w:szCs w:val="24"/>
        </w:rPr>
        <w:t>.</w:t>
      </w:r>
    </w:p>
    <w:p w14:paraId="2B8A7749" w14:textId="77777777" w:rsidR="00B7054E" w:rsidRDefault="00B7054E" w:rsidP="008541D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7A0EEDE7" w14:textId="77777777" w:rsidR="00BF6D25" w:rsidRPr="002A3136" w:rsidRDefault="00BF6D25" w:rsidP="008541D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2A3136">
        <w:rPr>
          <w:rFonts w:ascii="Arial" w:hAnsi="Arial" w:cs="Arial"/>
          <w:sz w:val="24"/>
          <w:szCs w:val="24"/>
        </w:rPr>
        <w:t>The following order is made:</w:t>
      </w:r>
    </w:p>
    <w:p w14:paraId="29C9B493" w14:textId="65D1C5E4" w:rsidR="00BF6D25" w:rsidRPr="007575B1" w:rsidRDefault="007575B1" w:rsidP="007575B1">
      <w:pPr>
        <w:spacing w:line="48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2A3136">
        <w:rPr>
          <w:rFonts w:ascii="Arial" w:hAnsi="Arial" w:cs="Arial"/>
          <w:sz w:val="24"/>
          <w:szCs w:val="24"/>
        </w:rPr>
        <w:t>1.</w:t>
      </w:r>
      <w:r w:rsidRPr="002A3136">
        <w:rPr>
          <w:rFonts w:ascii="Arial" w:hAnsi="Arial" w:cs="Arial"/>
          <w:sz w:val="24"/>
          <w:szCs w:val="24"/>
        </w:rPr>
        <w:tab/>
      </w:r>
      <w:r w:rsidR="00BF6D25" w:rsidRPr="007575B1">
        <w:rPr>
          <w:rFonts w:ascii="Arial" w:hAnsi="Arial" w:cs="Arial"/>
          <w:sz w:val="24"/>
          <w:szCs w:val="24"/>
        </w:rPr>
        <w:t>The application is dismissed.</w:t>
      </w:r>
    </w:p>
    <w:p w14:paraId="3A213668" w14:textId="27BEB4D0" w:rsidR="00BF6D25" w:rsidRPr="007575B1" w:rsidRDefault="007575B1" w:rsidP="007575B1">
      <w:pPr>
        <w:spacing w:line="48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r>
        <w:rPr>
          <w:rFonts w:ascii="Arial" w:hAnsi="Arial" w:cs="Arial"/>
          <w:sz w:val="24"/>
          <w:szCs w:val="24"/>
        </w:rPr>
        <w:tab/>
      </w:r>
      <w:r w:rsidR="009F4345" w:rsidRPr="007575B1">
        <w:rPr>
          <w:rFonts w:ascii="Arial" w:hAnsi="Arial" w:cs="Arial"/>
          <w:sz w:val="24"/>
          <w:szCs w:val="24"/>
        </w:rPr>
        <w:t>The applicant is ordered to pay the costs of the application on an attorney and client scale.</w:t>
      </w:r>
    </w:p>
    <w:p w14:paraId="273106CE" w14:textId="77777777" w:rsidR="0013086F" w:rsidRPr="002A3136" w:rsidRDefault="0013086F" w:rsidP="0013086F">
      <w:pPr>
        <w:pStyle w:val="ListParagraph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1EDECA34" w14:textId="77777777" w:rsidR="0013086F" w:rsidRDefault="0013086F" w:rsidP="0013086F">
      <w:pPr>
        <w:spacing w:line="276" w:lineRule="auto"/>
        <w:rPr>
          <w:rFonts w:ascii="Arial" w:hAnsi="Arial" w:cs="Arial"/>
          <w:sz w:val="24"/>
          <w:szCs w:val="24"/>
        </w:rPr>
      </w:pPr>
    </w:p>
    <w:p w14:paraId="63FFFDA9" w14:textId="77777777" w:rsidR="00B7054E" w:rsidRDefault="00B7054E" w:rsidP="0013086F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14:paraId="6EB33540" w14:textId="77777777" w:rsidR="00B7054E" w:rsidRDefault="00B7054E" w:rsidP="0013086F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 G TOLMAY</w:t>
      </w:r>
    </w:p>
    <w:p w14:paraId="6C0ED7ED" w14:textId="77777777" w:rsidR="00B7054E" w:rsidRDefault="00B7054E" w:rsidP="0013086F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JUDGE OF THE HIGH COURT</w:t>
      </w:r>
    </w:p>
    <w:p w14:paraId="107E8CB9" w14:textId="77777777" w:rsidR="00B7054E" w:rsidRPr="002A3136" w:rsidRDefault="00B7054E" w:rsidP="0013086F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GAUTENG DIVISION, PRETORIA</w:t>
      </w:r>
    </w:p>
    <w:p w14:paraId="61E93ECA" w14:textId="77777777" w:rsidR="00CC4311" w:rsidRDefault="0013086F" w:rsidP="001308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APPEARANCES:</w:t>
      </w:r>
    </w:p>
    <w:p w14:paraId="4C1AC451" w14:textId="77777777" w:rsidR="0013086F" w:rsidRDefault="0013086F" w:rsidP="0013086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65945" w14:paraId="54EC435D" w14:textId="77777777" w:rsidTr="00237ADD">
        <w:trPr>
          <w:trHeight w:val="1538"/>
        </w:trPr>
        <w:tc>
          <w:tcPr>
            <w:tcW w:w="4675" w:type="dxa"/>
          </w:tcPr>
          <w:p w14:paraId="39EA37B6" w14:textId="77777777" w:rsidR="00065945" w:rsidRDefault="00065945" w:rsidP="001308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Applicant:</w:t>
            </w:r>
          </w:p>
        </w:tc>
        <w:tc>
          <w:tcPr>
            <w:tcW w:w="4675" w:type="dxa"/>
          </w:tcPr>
          <w:p w14:paraId="69680440" w14:textId="77777777" w:rsidR="00065945" w:rsidRDefault="00065945" w:rsidP="000659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 M Mathaphuna</w:t>
            </w:r>
          </w:p>
          <w:p w14:paraId="567801DC" w14:textId="77777777" w:rsidR="00065945" w:rsidRDefault="00065945" w:rsidP="000659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Instructed by Ndobela and Associates  Attorneys</w:t>
            </w:r>
          </w:p>
        </w:tc>
      </w:tr>
      <w:tr w:rsidR="00065945" w14:paraId="7FBE52CD" w14:textId="77777777" w:rsidTr="00237ADD">
        <w:trPr>
          <w:trHeight w:val="1160"/>
        </w:trPr>
        <w:tc>
          <w:tcPr>
            <w:tcW w:w="4675" w:type="dxa"/>
          </w:tcPr>
          <w:p w14:paraId="06E13CF3" w14:textId="77777777" w:rsidR="00065945" w:rsidRDefault="00065945" w:rsidP="001308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Second Respondent:</w:t>
            </w:r>
          </w:p>
          <w:p w14:paraId="09EBFAEA" w14:textId="77777777" w:rsidR="00065945" w:rsidRDefault="00065945" w:rsidP="001308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D05A52C" w14:textId="77777777" w:rsidR="00065945" w:rsidRDefault="00114EEA" w:rsidP="001308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 T Ossin</w:t>
            </w:r>
          </w:p>
          <w:p w14:paraId="1C9E4B60" w14:textId="77777777" w:rsidR="00114EEA" w:rsidRDefault="00114EEA" w:rsidP="001308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Instructed by Tokin Clacey Attorneys</w:t>
            </w:r>
          </w:p>
        </w:tc>
      </w:tr>
      <w:tr w:rsidR="00065945" w14:paraId="289E8F77" w14:textId="77777777" w:rsidTr="00237ADD">
        <w:trPr>
          <w:trHeight w:val="710"/>
        </w:trPr>
        <w:tc>
          <w:tcPr>
            <w:tcW w:w="4675" w:type="dxa"/>
          </w:tcPr>
          <w:p w14:paraId="437B73C4" w14:textId="77777777" w:rsidR="00065945" w:rsidRDefault="00065945" w:rsidP="001308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Hearing:</w:t>
            </w:r>
          </w:p>
        </w:tc>
        <w:tc>
          <w:tcPr>
            <w:tcW w:w="4675" w:type="dxa"/>
          </w:tcPr>
          <w:p w14:paraId="7214F241" w14:textId="77777777" w:rsidR="00065945" w:rsidRDefault="00237ADD" w:rsidP="001308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October 2023</w:t>
            </w:r>
          </w:p>
        </w:tc>
      </w:tr>
      <w:tr w:rsidR="00065945" w14:paraId="5E4FCC90" w14:textId="77777777" w:rsidTr="00237ADD">
        <w:tc>
          <w:tcPr>
            <w:tcW w:w="4675" w:type="dxa"/>
          </w:tcPr>
          <w:p w14:paraId="65F298C7" w14:textId="77777777" w:rsidR="00065945" w:rsidRDefault="00065945" w:rsidP="001308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Judgment:</w:t>
            </w:r>
          </w:p>
        </w:tc>
        <w:tc>
          <w:tcPr>
            <w:tcW w:w="4675" w:type="dxa"/>
          </w:tcPr>
          <w:p w14:paraId="26DBEE40" w14:textId="77777777" w:rsidR="00065945" w:rsidRDefault="00065945" w:rsidP="001308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679CCF" w14:textId="77777777" w:rsidR="00124461" w:rsidRPr="002A3136" w:rsidRDefault="00124461" w:rsidP="008541D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3FF78BA3" w14:textId="77777777" w:rsidR="00AB07A5" w:rsidRPr="002A3136" w:rsidRDefault="00AB07A5" w:rsidP="008541D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16B4CF46" w14:textId="77777777" w:rsidR="005438B6" w:rsidRPr="002A3136" w:rsidRDefault="005438B6" w:rsidP="008541D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5438B6" w:rsidRPr="002A313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F2D80" w14:textId="77777777" w:rsidR="005B76F7" w:rsidRDefault="005B76F7" w:rsidP="00220285">
      <w:pPr>
        <w:spacing w:after="0" w:line="240" w:lineRule="auto"/>
      </w:pPr>
      <w:r>
        <w:separator/>
      </w:r>
    </w:p>
  </w:endnote>
  <w:endnote w:type="continuationSeparator" w:id="0">
    <w:p w14:paraId="48A7A86D" w14:textId="77777777" w:rsidR="005B76F7" w:rsidRDefault="005B76F7" w:rsidP="0022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95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5F9243" w14:textId="003C9782" w:rsidR="00237ADD" w:rsidRDefault="00237A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5B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F7AF7B2" w14:textId="77777777" w:rsidR="00237ADD" w:rsidRDefault="00237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39AC0" w14:textId="77777777" w:rsidR="005B76F7" w:rsidRDefault="005B76F7" w:rsidP="00220285">
      <w:pPr>
        <w:spacing w:after="0" w:line="240" w:lineRule="auto"/>
      </w:pPr>
      <w:r>
        <w:separator/>
      </w:r>
    </w:p>
  </w:footnote>
  <w:footnote w:type="continuationSeparator" w:id="0">
    <w:p w14:paraId="55A2871A" w14:textId="77777777" w:rsidR="005B76F7" w:rsidRDefault="005B76F7" w:rsidP="00220285">
      <w:pPr>
        <w:spacing w:after="0" w:line="240" w:lineRule="auto"/>
      </w:pPr>
      <w:r>
        <w:continuationSeparator/>
      </w:r>
    </w:p>
  </w:footnote>
  <w:footnote w:id="1">
    <w:p w14:paraId="086D9C41" w14:textId="77777777" w:rsidR="00220285" w:rsidRDefault="00220285" w:rsidP="00220285">
      <w:pPr>
        <w:pStyle w:val="FootnoteText"/>
        <w:ind w:left="90" w:hanging="90"/>
      </w:pPr>
      <w:r>
        <w:rPr>
          <w:rStyle w:val="FootnoteReference"/>
        </w:rPr>
        <w:footnoteRef/>
      </w:r>
      <w:r>
        <w:t xml:space="preserve"> </w:t>
      </w:r>
      <w:r w:rsidRPr="00220285">
        <w:t>Prinsloo and Others v Goldex 15</w:t>
      </w:r>
      <w:r>
        <w:t xml:space="preserve"> </w:t>
      </w:r>
      <w:r w:rsidRPr="00220285">
        <w:t>(Pty) Ltd and Another</w:t>
      </w:r>
      <w:r>
        <w:t xml:space="preserve"> </w:t>
      </w:r>
      <w:r w:rsidRPr="00220285">
        <w:t>{2012}</w:t>
      </w:r>
      <w:r>
        <w:t xml:space="preserve"> </w:t>
      </w:r>
      <w:r w:rsidRPr="00220285">
        <w:t>JOL 28866</w:t>
      </w:r>
      <w:r>
        <w:t xml:space="preserve"> </w:t>
      </w:r>
      <w:r w:rsidRPr="00220285">
        <w:t>(SCA);</w:t>
      </w:r>
      <w:r>
        <w:t xml:space="preserve"> </w:t>
      </w:r>
      <w:r w:rsidRPr="00220285">
        <w:t>{2021}</w:t>
      </w:r>
      <w:r>
        <w:t xml:space="preserve"> </w:t>
      </w:r>
      <w:r w:rsidRPr="00220285">
        <w:t>ZASCA 28</w:t>
      </w:r>
      <w:r>
        <w:t xml:space="preserve"> </w:t>
      </w:r>
      <w:r w:rsidRPr="00220285">
        <w:t>(SCA)</w:t>
      </w:r>
      <w:r>
        <w:t xml:space="preserve"> at</w:t>
      </w:r>
      <w:r w:rsidRPr="00220285">
        <w:t xml:space="preserve"> par</w:t>
      </w:r>
      <w:r>
        <w:t xml:space="preserve">a </w:t>
      </w:r>
      <w:r w:rsidRPr="00220285">
        <w:t xml:space="preserve">10 and </w:t>
      </w:r>
      <w:r>
        <w:t xml:space="preserve">at </w:t>
      </w:r>
      <w:r w:rsidRPr="00220285">
        <w:t>par</w:t>
      </w:r>
      <w:r>
        <w:t xml:space="preserve">a </w:t>
      </w:r>
      <w:r w:rsidRPr="00220285">
        <w:t>23</w:t>
      </w:r>
      <w:r>
        <w:t>.</w:t>
      </w:r>
    </w:p>
  </w:footnote>
  <w:footnote w:id="2">
    <w:p w14:paraId="70101C1D" w14:textId="77777777" w:rsidR="006B58B1" w:rsidRDefault="006B58B1">
      <w:pPr>
        <w:pStyle w:val="FootnoteText"/>
      </w:pPr>
      <w:r>
        <w:rPr>
          <w:rStyle w:val="FootnoteReference"/>
        </w:rPr>
        <w:footnoteRef/>
      </w:r>
      <w:r>
        <w:t xml:space="preserve"> Ibid at para 23.</w:t>
      </w:r>
    </w:p>
  </w:footnote>
  <w:footnote w:id="3">
    <w:p w14:paraId="35136EB6" w14:textId="77777777" w:rsidR="006F47AE" w:rsidRDefault="006F47AE" w:rsidP="006F47AE">
      <w:pPr>
        <w:pStyle w:val="FootnoteText"/>
        <w:ind w:left="90" w:hanging="90"/>
      </w:pPr>
      <w:r>
        <w:rPr>
          <w:rStyle w:val="FootnoteReference"/>
        </w:rPr>
        <w:footnoteRef/>
      </w:r>
      <w:r>
        <w:t xml:space="preserve"> </w:t>
      </w:r>
      <w:r w:rsidRPr="006F47AE">
        <w:t xml:space="preserve">See Hyprop Investments Ltd and others v NSC Carriers and Forwarding CC and </w:t>
      </w:r>
      <w:r>
        <w:t xml:space="preserve">Others [2014] 2 All SA 26 (SCA) at </w:t>
      </w:r>
      <w:r w:rsidRPr="006F47AE">
        <w:t>par</w:t>
      </w:r>
      <w:r>
        <w:t>a 14 (Hyprop).</w:t>
      </w:r>
    </w:p>
  </w:footnote>
  <w:footnote w:id="4">
    <w:p w14:paraId="458AFE6E" w14:textId="77777777" w:rsidR="000159D4" w:rsidRDefault="000159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59D4">
        <w:t>Hyprop</w:t>
      </w:r>
      <w:r>
        <w:t xml:space="preserve"> at</w:t>
      </w:r>
      <w:r w:rsidRPr="000159D4">
        <w:t xml:space="preserve"> par</w:t>
      </w:r>
      <w:r>
        <w:t xml:space="preserve">a </w:t>
      </w:r>
      <w:r w:rsidRPr="000159D4">
        <w:t>14</w:t>
      </w:r>
      <w:r>
        <w:t xml:space="preserve">, </w:t>
      </w:r>
      <w:r w:rsidR="00EA70CE">
        <w:t>quoting Smith v Porrit and O</w:t>
      </w:r>
      <w:r w:rsidRPr="000159D4">
        <w:t xml:space="preserve">thers 2008 (6) SA 303 (SCA) </w:t>
      </w:r>
      <w:r w:rsidR="00EA70CE">
        <w:t>at para 10.</w:t>
      </w:r>
    </w:p>
  </w:footnote>
  <w:footnote w:id="5">
    <w:p w14:paraId="004F924A" w14:textId="77777777" w:rsidR="00DC3701" w:rsidRDefault="00DC3701">
      <w:pPr>
        <w:pStyle w:val="FootnoteText"/>
      </w:pPr>
      <w:r>
        <w:rPr>
          <w:rStyle w:val="FootnoteReference"/>
        </w:rPr>
        <w:footnoteRef/>
      </w:r>
      <w:r>
        <w:t xml:space="preserve"> Ibid at para 14. </w:t>
      </w:r>
    </w:p>
  </w:footnote>
  <w:footnote w:id="6">
    <w:p w14:paraId="07ABC993" w14:textId="77777777" w:rsidR="005770B7" w:rsidRDefault="005770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770B7">
        <w:t>Ndobela v Midstream Ridge Home Owne</w:t>
      </w:r>
      <w:r w:rsidR="007356D0">
        <w:t>rs Association NPC and A</w:t>
      </w:r>
      <w:r>
        <w:t>nother</w:t>
      </w:r>
      <w:r w:rsidR="007356D0">
        <w:t xml:space="preserve"> [2022]</w:t>
      </w:r>
      <w:r w:rsidR="00F71B8A">
        <w:t xml:space="preserve"> ZAGPPHC</w:t>
      </w:r>
      <w:r w:rsidR="007356D0">
        <w:t xml:space="preserve"> (7036/</w:t>
      </w:r>
      <w:r w:rsidRPr="005770B7">
        <w:t>22</w:t>
      </w:r>
      <w:r w:rsidR="007356D0">
        <w:t>) (</w:t>
      </w:r>
      <w:r w:rsidRPr="005770B7">
        <w:t xml:space="preserve">12 December 2022) </w:t>
      </w:r>
      <w:r w:rsidR="00EC6005">
        <w:t xml:space="preserve">{unreported} </w:t>
      </w:r>
      <w:r w:rsidR="007356D0">
        <w:t>at para 11</w:t>
      </w:r>
      <w:r w:rsidRPr="005770B7">
        <w:t>.</w:t>
      </w:r>
    </w:p>
  </w:footnote>
  <w:footnote w:id="7">
    <w:p w14:paraId="6460B1B7" w14:textId="77777777" w:rsidR="00705BB7" w:rsidRDefault="00705BB7">
      <w:pPr>
        <w:pStyle w:val="FootnoteText"/>
      </w:pPr>
      <w:r>
        <w:rPr>
          <w:rStyle w:val="FootnoteReference"/>
        </w:rPr>
        <w:footnoteRef/>
      </w:r>
      <w:r>
        <w:t xml:space="preserve"> Ibid at para 11 – 13. </w:t>
      </w:r>
    </w:p>
  </w:footnote>
  <w:footnote w:id="8">
    <w:p w14:paraId="6C8EB33A" w14:textId="77777777" w:rsidR="00D04650" w:rsidRDefault="00D04650">
      <w:pPr>
        <w:pStyle w:val="FootnoteText"/>
      </w:pPr>
      <w:r>
        <w:rPr>
          <w:rStyle w:val="FootnoteReference"/>
        </w:rPr>
        <w:footnoteRef/>
      </w:r>
      <w:r>
        <w:t xml:space="preserve"> Ibid at para 14 – 16.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E118A"/>
    <w:multiLevelType w:val="hybridMultilevel"/>
    <w:tmpl w:val="941C8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97F40"/>
    <w:multiLevelType w:val="hybridMultilevel"/>
    <w:tmpl w:val="75769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5B"/>
    <w:rsid w:val="00002080"/>
    <w:rsid w:val="00006AF8"/>
    <w:rsid w:val="00007F3D"/>
    <w:rsid w:val="000159D4"/>
    <w:rsid w:val="000228FB"/>
    <w:rsid w:val="00033CBD"/>
    <w:rsid w:val="00036B4E"/>
    <w:rsid w:val="000446DA"/>
    <w:rsid w:val="00050FB0"/>
    <w:rsid w:val="00051706"/>
    <w:rsid w:val="00051835"/>
    <w:rsid w:val="0005191C"/>
    <w:rsid w:val="00055DD6"/>
    <w:rsid w:val="000569F5"/>
    <w:rsid w:val="00057EE3"/>
    <w:rsid w:val="00062177"/>
    <w:rsid w:val="00062214"/>
    <w:rsid w:val="0006337A"/>
    <w:rsid w:val="00065945"/>
    <w:rsid w:val="00065A15"/>
    <w:rsid w:val="00077817"/>
    <w:rsid w:val="00077E54"/>
    <w:rsid w:val="0008043A"/>
    <w:rsid w:val="00081087"/>
    <w:rsid w:val="000817BA"/>
    <w:rsid w:val="00086AAB"/>
    <w:rsid w:val="0009019C"/>
    <w:rsid w:val="000903EF"/>
    <w:rsid w:val="00091475"/>
    <w:rsid w:val="00091F1D"/>
    <w:rsid w:val="00093E6F"/>
    <w:rsid w:val="0009503F"/>
    <w:rsid w:val="00095124"/>
    <w:rsid w:val="000A05FF"/>
    <w:rsid w:val="000A19FF"/>
    <w:rsid w:val="000A77D8"/>
    <w:rsid w:val="000B1D94"/>
    <w:rsid w:val="000B3ABF"/>
    <w:rsid w:val="000B53EF"/>
    <w:rsid w:val="000C2533"/>
    <w:rsid w:val="000C4562"/>
    <w:rsid w:val="000D0DDD"/>
    <w:rsid w:val="000D17E8"/>
    <w:rsid w:val="000E3F0D"/>
    <w:rsid w:val="000E5103"/>
    <w:rsid w:val="000F65CF"/>
    <w:rsid w:val="00104D88"/>
    <w:rsid w:val="00107383"/>
    <w:rsid w:val="001121AB"/>
    <w:rsid w:val="00114EEA"/>
    <w:rsid w:val="00124461"/>
    <w:rsid w:val="0013086F"/>
    <w:rsid w:val="00130E14"/>
    <w:rsid w:val="00133249"/>
    <w:rsid w:val="00142C2C"/>
    <w:rsid w:val="00144678"/>
    <w:rsid w:val="001503C5"/>
    <w:rsid w:val="00155E11"/>
    <w:rsid w:val="00163C3F"/>
    <w:rsid w:val="00172CBF"/>
    <w:rsid w:val="001759D2"/>
    <w:rsid w:val="001777B8"/>
    <w:rsid w:val="00184023"/>
    <w:rsid w:val="00191F28"/>
    <w:rsid w:val="00196D93"/>
    <w:rsid w:val="0019747F"/>
    <w:rsid w:val="001A045D"/>
    <w:rsid w:val="001A1D56"/>
    <w:rsid w:val="001A2625"/>
    <w:rsid w:val="001A394B"/>
    <w:rsid w:val="001B362A"/>
    <w:rsid w:val="001B37F9"/>
    <w:rsid w:val="001B4C00"/>
    <w:rsid w:val="001B4D6D"/>
    <w:rsid w:val="001C1789"/>
    <w:rsid w:val="001C4B32"/>
    <w:rsid w:val="001C4FAE"/>
    <w:rsid w:val="001E12F0"/>
    <w:rsid w:val="001E131A"/>
    <w:rsid w:val="001E4812"/>
    <w:rsid w:val="0020013C"/>
    <w:rsid w:val="00201414"/>
    <w:rsid w:val="002024D9"/>
    <w:rsid w:val="00205B6E"/>
    <w:rsid w:val="002155F6"/>
    <w:rsid w:val="00220285"/>
    <w:rsid w:val="002244D2"/>
    <w:rsid w:val="002268E7"/>
    <w:rsid w:val="00230070"/>
    <w:rsid w:val="00230C0C"/>
    <w:rsid w:val="00231E72"/>
    <w:rsid w:val="0023595A"/>
    <w:rsid w:val="002370CF"/>
    <w:rsid w:val="00237ADD"/>
    <w:rsid w:val="002404A2"/>
    <w:rsid w:val="00246A28"/>
    <w:rsid w:val="00253DBD"/>
    <w:rsid w:val="00255900"/>
    <w:rsid w:val="00261991"/>
    <w:rsid w:val="002620CA"/>
    <w:rsid w:val="00270BC0"/>
    <w:rsid w:val="00272803"/>
    <w:rsid w:val="0028390C"/>
    <w:rsid w:val="002855D4"/>
    <w:rsid w:val="00287536"/>
    <w:rsid w:val="00287C46"/>
    <w:rsid w:val="002913E5"/>
    <w:rsid w:val="00293065"/>
    <w:rsid w:val="002974CF"/>
    <w:rsid w:val="002A02D3"/>
    <w:rsid w:val="002A18E0"/>
    <w:rsid w:val="002A3136"/>
    <w:rsid w:val="002A4122"/>
    <w:rsid w:val="002A4137"/>
    <w:rsid w:val="002A427A"/>
    <w:rsid w:val="002B5B26"/>
    <w:rsid w:val="002B5B68"/>
    <w:rsid w:val="002B7E27"/>
    <w:rsid w:val="002D572A"/>
    <w:rsid w:val="002E4088"/>
    <w:rsid w:val="002E408F"/>
    <w:rsid w:val="002E584D"/>
    <w:rsid w:val="002E7E44"/>
    <w:rsid w:val="002F127C"/>
    <w:rsid w:val="002F376F"/>
    <w:rsid w:val="0030000B"/>
    <w:rsid w:val="003233D1"/>
    <w:rsid w:val="0032464C"/>
    <w:rsid w:val="003251B1"/>
    <w:rsid w:val="0033319D"/>
    <w:rsid w:val="00333ADC"/>
    <w:rsid w:val="00334789"/>
    <w:rsid w:val="00334A73"/>
    <w:rsid w:val="003402F8"/>
    <w:rsid w:val="003433AB"/>
    <w:rsid w:val="003441BF"/>
    <w:rsid w:val="00351DA8"/>
    <w:rsid w:val="00352BA3"/>
    <w:rsid w:val="003534E3"/>
    <w:rsid w:val="0036086D"/>
    <w:rsid w:val="003675EB"/>
    <w:rsid w:val="003703E6"/>
    <w:rsid w:val="0037145B"/>
    <w:rsid w:val="00371DD7"/>
    <w:rsid w:val="00375F98"/>
    <w:rsid w:val="0038443F"/>
    <w:rsid w:val="00385591"/>
    <w:rsid w:val="00386CFA"/>
    <w:rsid w:val="0039025B"/>
    <w:rsid w:val="003979E9"/>
    <w:rsid w:val="003A0139"/>
    <w:rsid w:val="003A6B8B"/>
    <w:rsid w:val="003B05BA"/>
    <w:rsid w:val="003C3087"/>
    <w:rsid w:val="003C4962"/>
    <w:rsid w:val="003C4EE4"/>
    <w:rsid w:val="003C782D"/>
    <w:rsid w:val="003D2ED5"/>
    <w:rsid w:val="003D51A7"/>
    <w:rsid w:val="003D7755"/>
    <w:rsid w:val="003E347F"/>
    <w:rsid w:val="003F1D46"/>
    <w:rsid w:val="003F3B6D"/>
    <w:rsid w:val="00401071"/>
    <w:rsid w:val="00401BF5"/>
    <w:rsid w:val="00403408"/>
    <w:rsid w:val="004045CF"/>
    <w:rsid w:val="0040726A"/>
    <w:rsid w:val="00413996"/>
    <w:rsid w:val="004158B8"/>
    <w:rsid w:val="00417442"/>
    <w:rsid w:val="00423497"/>
    <w:rsid w:val="00441CCD"/>
    <w:rsid w:val="00443F8D"/>
    <w:rsid w:val="004444D7"/>
    <w:rsid w:val="0045287C"/>
    <w:rsid w:val="0046185E"/>
    <w:rsid w:val="00476B1E"/>
    <w:rsid w:val="00477D63"/>
    <w:rsid w:val="0048084A"/>
    <w:rsid w:val="00481E18"/>
    <w:rsid w:val="0048496B"/>
    <w:rsid w:val="00484D5A"/>
    <w:rsid w:val="004853C7"/>
    <w:rsid w:val="004911C7"/>
    <w:rsid w:val="00491C25"/>
    <w:rsid w:val="00496A01"/>
    <w:rsid w:val="00497DAB"/>
    <w:rsid w:val="004B21C3"/>
    <w:rsid w:val="004B298F"/>
    <w:rsid w:val="004B2EA3"/>
    <w:rsid w:val="004B4405"/>
    <w:rsid w:val="004B5D11"/>
    <w:rsid w:val="004B7D2F"/>
    <w:rsid w:val="004D2BA0"/>
    <w:rsid w:val="004E3932"/>
    <w:rsid w:val="004E5FBC"/>
    <w:rsid w:val="005053B3"/>
    <w:rsid w:val="00510756"/>
    <w:rsid w:val="005139BB"/>
    <w:rsid w:val="00522915"/>
    <w:rsid w:val="00523589"/>
    <w:rsid w:val="00535A1E"/>
    <w:rsid w:val="005364D1"/>
    <w:rsid w:val="00537CC2"/>
    <w:rsid w:val="005414CA"/>
    <w:rsid w:val="005424F3"/>
    <w:rsid w:val="005438B6"/>
    <w:rsid w:val="00545EB2"/>
    <w:rsid w:val="0055103A"/>
    <w:rsid w:val="005537A4"/>
    <w:rsid w:val="00560E42"/>
    <w:rsid w:val="00564BD7"/>
    <w:rsid w:val="00566498"/>
    <w:rsid w:val="00570E6B"/>
    <w:rsid w:val="00575034"/>
    <w:rsid w:val="005770B7"/>
    <w:rsid w:val="0057778C"/>
    <w:rsid w:val="00577D90"/>
    <w:rsid w:val="00580F90"/>
    <w:rsid w:val="00580FA0"/>
    <w:rsid w:val="005818CB"/>
    <w:rsid w:val="005832D7"/>
    <w:rsid w:val="00591346"/>
    <w:rsid w:val="005A13D1"/>
    <w:rsid w:val="005A2E65"/>
    <w:rsid w:val="005B4C0B"/>
    <w:rsid w:val="005B651C"/>
    <w:rsid w:val="005B76F7"/>
    <w:rsid w:val="005C2AD1"/>
    <w:rsid w:val="005C42DF"/>
    <w:rsid w:val="005C6A18"/>
    <w:rsid w:val="005C6B97"/>
    <w:rsid w:val="005D30D0"/>
    <w:rsid w:val="005F0404"/>
    <w:rsid w:val="005F05FB"/>
    <w:rsid w:val="005F2BB4"/>
    <w:rsid w:val="005F37C8"/>
    <w:rsid w:val="006057F9"/>
    <w:rsid w:val="006076C3"/>
    <w:rsid w:val="00611B40"/>
    <w:rsid w:val="0061223B"/>
    <w:rsid w:val="006174AF"/>
    <w:rsid w:val="0062080A"/>
    <w:rsid w:val="00623D2F"/>
    <w:rsid w:val="006335EB"/>
    <w:rsid w:val="00633EC1"/>
    <w:rsid w:val="00637F06"/>
    <w:rsid w:val="006421F4"/>
    <w:rsid w:val="00642212"/>
    <w:rsid w:val="0064688F"/>
    <w:rsid w:val="0066043D"/>
    <w:rsid w:val="00661EEF"/>
    <w:rsid w:val="00661FF5"/>
    <w:rsid w:val="006666E8"/>
    <w:rsid w:val="006778EC"/>
    <w:rsid w:val="00680976"/>
    <w:rsid w:val="0069112E"/>
    <w:rsid w:val="006932A1"/>
    <w:rsid w:val="00694522"/>
    <w:rsid w:val="006A26C6"/>
    <w:rsid w:val="006A46D4"/>
    <w:rsid w:val="006A65B2"/>
    <w:rsid w:val="006B29CC"/>
    <w:rsid w:val="006B58B1"/>
    <w:rsid w:val="006B696C"/>
    <w:rsid w:val="006B7FCA"/>
    <w:rsid w:val="006C27DC"/>
    <w:rsid w:val="006C5EA4"/>
    <w:rsid w:val="006C7A40"/>
    <w:rsid w:val="006D469F"/>
    <w:rsid w:val="006D6012"/>
    <w:rsid w:val="006E15D2"/>
    <w:rsid w:val="006F1D49"/>
    <w:rsid w:val="006F1D92"/>
    <w:rsid w:val="006F3F69"/>
    <w:rsid w:val="006F47AE"/>
    <w:rsid w:val="006F7C6F"/>
    <w:rsid w:val="00701A28"/>
    <w:rsid w:val="007037F7"/>
    <w:rsid w:val="00705BB7"/>
    <w:rsid w:val="00705C74"/>
    <w:rsid w:val="0071475A"/>
    <w:rsid w:val="00714FA5"/>
    <w:rsid w:val="007220DB"/>
    <w:rsid w:val="00722601"/>
    <w:rsid w:val="00726161"/>
    <w:rsid w:val="007356D0"/>
    <w:rsid w:val="00737E2C"/>
    <w:rsid w:val="007442A6"/>
    <w:rsid w:val="00752496"/>
    <w:rsid w:val="00753DE2"/>
    <w:rsid w:val="00755210"/>
    <w:rsid w:val="007575B1"/>
    <w:rsid w:val="0076002B"/>
    <w:rsid w:val="00786DAE"/>
    <w:rsid w:val="0078759C"/>
    <w:rsid w:val="00787A09"/>
    <w:rsid w:val="00787FCC"/>
    <w:rsid w:val="00791A76"/>
    <w:rsid w:val="0079600A"/>
    <w:rsid w:val="00797BF4"/>
    <w:rsid w:val="007A0BE0"/>
    <w:rsid w:val="007A1808"/>
    <w:rsid w:val="007A4E04"/>
    <w:rsid w:val="007B0457"/>
    <w:rsid w:val="007B04C3"/>
    <w:rsid w:val="007C4E8A"/>
    <w:rsid w:val="007C7BBF"/>
    <w:rsid w:val="007D1E8C"/>
    <w:rsid w:val="007D2A8D"/>
    <w:rsid w:val="007D4602"/>
    <w:rsid w:val="007D49F3"/>
    <w:rsid w:val="007E1784"/>
    <w:rsid w:val="007E341C"/>
    <w:rsid w:val="007E46B1"/>
    <w:rsid w:val="007F0730"/>
    <w:rsid w:val="007F0FBC"/>
    <w:rsid w:val="007F4E57"/>
    <w:rsid w:val="0080067F"/>
    <w:rsid w:val="00800780"/>
    <w:rsid w:val="00813E10"/>
    <w:rsid w:val="00815A82"/>
    <w:rsid w:val="00816767"/>
    <w:rsid w:val="0082085B"/>
    <w:rsid w:val="0084001C"/>
    <w:rsid w:val="00841E95"/>
    <w:rsid w:val="00853DA1"/>
    <w:rsid w:val="008541DC"/>
    <w:rsid w:val="0085586D"/>
    <w:rsid w:val="008634D1"/>
    <w:rsid w:val="008749C9"/>
    <w:rsid w:val="00876729"/>
    <w:rsid w:val="00886F1C"/>
    <w:rsid w:val="00887D39"/>
    <w:rsid w:val="008953A2"/>
    <w:rsid w:val="00897731"/>
    <w:rsid w:val="008A199F"/>
    <w:rsid w:val="008A19CA"/>
    <w:rsid w:val="008A4515"/>
    <w:rsid w:val="008B3683"/>
    <w:rsid w:val="008C4E93"/>
    <w:rsid w:val="008D74B3"/>
    <w:rsid w:val="008E2077"/>
    <w:rsid w:val="008E65FE"/>
    <w:rsid w:val="008E6BC7"/>
    <w:rsid w:val="008F12A4"/>
    <w:rsid w:val="008F4447"/>
    <w:rsid w:val="008F4BE6"/>
    <w:rsid w:val="00907B52"/>
    <w:rsid w:val="009111DA"/>
    <w:rsid w:val="00914C53"/>
    <w:rsid w:val="00916B8C"/>
    <w:rsid w:val="009170B6"/>
    <w:rsid w:val="009177DF"/>
    <w:rsid w:val="00920788"/>
    <w:rsid w:val="00920F46"/>
    <w:rsid w:val="00921037"/>
    <w:rsid w:val="0092297C"/>
    <w:rsid w:val="009264CA"/>
    <w:rsid w:val="009340A1"/>
    <w:rsid w:val="00936D4E"/>
    <w:rsid w:val="00940910"/>
    <w:rsid w:val="00943E08"/>
    <w:rsid w:val="009454DF"/>
    <w:rsid w:val="009506B6"/>
    <w:rsid w:val="00953817"/>
    <w:rsid w:val="0095550E"/>
    <w:rsid w:val="00956941"/>
    <w:rsid w:val="00960123"/>
    <w:rsid w:val="00967E10"/>
    <w:rsid w:val="009839A0"/>
    <w:rsid w:val="00986CD5"/>
    <w:rsid w:val="00991AAA"/>
    <w:rsid w:val="009A0C33"/>
    <w:rsid w:val="009B1120"/>
    <w:rsid w:val="009B5EA6"/>
    <w:rsid w:val="009C2F1E"/>
    <w:rsid w:val="009C3033"/>
    <w:rsid w:val="009C31D6"/>
    <w:rsid w:val="009E7459"/>
    <w:rsid w:val="009F3508"/>
    <w:rsid w:val="009F4345"/>
    <w:rsid w:val="009F6DBD"/>
    <w:rsid w:val="009F7C25"/>
    <w:rsid w:val="009F7E9E"/>
    <w:rsid w:val="00A0423B"/>
    <w:rsid w:val="00A120B5"/>
    <w:rsid w:val="00A14CD9"/>
    <w:rsid w:val="00A264E1"/>
    <w:rsid w:val="00A30160"/>
    <w:rsid w:val="00A31ADD"/>
    <w:rsid w:val="00A478F4"/>
    <w:rsid w:val="00A50F10"/>
    <w:rsid w:val="00A631CC"/>
    <w:rsid w:val="00A647EF"/>
    <w:rsid w:val="00A67465"/>
    <w:rsid w:val="00A7076D"/>
    <w:rsid w:val="00A71D5E"/>
    <w:rsid w:val="00A823EB"/>
    <w:rsid w:val="00A941E6"/>
    <w:rsid w:val="00A954D2"/>
    <w:rsid w:val="00A955A2"/>
    <w:rsid w:val="00AA2009"/>
    <w:rsid w:val="00AA597C"/>
    <w:rsid w:val="00AA5FDE"/>
    <w:rsid w:val="00AB07A5"/>
    <w:rsid w:val="00AB4BBD"/>
    <w:rsid w:val="00AB57D3"/>
    <w:rsid w:val="00AB77F3"/>
    <w:rsid w:val="00AC1FDD"/>
    <w:rsid w:val="00AD0E4E"/>
    <w:rsid w:val="00AD3D20"/>
    <w:rsid w:val="00AD4DD0"/>
    <w:rsid w:val="00AE5AEE"/>
    <w:rsid w:val="00AF1F0B"/>
    <w:rsid w:val="00B0178A"/>
    <w:rsid w:val="00B02CA5"/>
    <w:rsid w:val="00B130DD"/>
    <w:rsid w:val="00B13959"/>
    <w:rsid w:val="00B30ACC"/>
    <w:rsid w:val="00B32396"/>
    <w:rsid w:val="00B32BA8"/>
    <w:rsid w:val="00B3437B"/>
    <w:rsid w:val="00B34F04"/>
    <w:rsid w:val="00B35336"/>
    <w:rsid w:val="00B35F27"/>
    <w:rsid w:val="00B3639D"/>
    <w:rsid w:val="00B40B11"/>
    <w:rsid w:val="00B45818"/>
    <w:rsid w:val="00B46785"/>
    <w:rsid w:val="00B55390"/>
    <w:rsid w:val="00B575B9"/>
    <w:rsid w:val="00B57B96"/>
    <w:rsid w:val="00B60951"/>
    <w:rsid w:val="00B62A98"/>
    <w:rsid w:val="00B63FDC"/>
    <w:rsid w:val="00B701A0"/>
    <w:rsid w:val="00B7054E"/>
    <w:rsid w:val="00B80352"/>
    <w:rsid w:val="00B809B4"/>
    <w:rsid w:val="00B82E6D"/>
    <w:rsid w:val="00B8664C"/>
    <w:rsid w:val="00BA74D6"/>
    <w:rsid w:val="00BB482C"/>
    <w:rsid w:val="00BB4A76"/>
    <w:rsid w:val="00BB4B13"/>
    <w:rsid w:val="00BB5133"/>
    <w:rsid w:val="00BC15D8"/>
    <w:rsid w:val="00BC31E2"/>
    <w:rsid w:val="00BD29A4"/>
    <w:rsid w:val="00BE417F"/>
    <w:rsid w:val="00BE4214"/>
    <w:rsid w:val="00BE4CEE"/>
    <w:rsid w:val="00BE634B"/>
    <w:rsid w:val="00BF33EC"/>
    <w:rsid w:val="00BF52F3"/>
    <w:rsid w:val="00BF64A1"/>
    <w:rsid w:val="00BF6994"/>
    <w:rsid w:val="00BF6D25"/>
    <w:rsid w:val="00C048F4"/>
    <w:rsid w:val="00C0717D"/>
    <w:rsid w:val="00C13033"/>
    <w:rsid w:val="00C13FF1"/>
    <w:rsid w:val="00C1458C"/>
    <w:rsid w:val="00C21B0B"/>
    <w:rsid w:val="00C25CE3"/>
    <w:rsid w:val="00C34DAA"/>
    <w:rsid w:val="00C36D5B"/>
    <w:rsid w:val="00C62505"/>
    <w:rsid w:val="00C673D5"/>
    <w:rsid w:val="00C76A70"/>
    <w:rsid w:val="00C77629"/>
    <w:rsid w:val="00C77ED5"/>
    <w:rsid w:val="00C8452B"/>
    <w:rsid w:val="00C90F55"/>
    <w:rsid w:val="00C9103D"/>
    <w:rsid w:val="00CA6798"/>
    <w:rsid w:val="00CA756A"/>
    <w:rsid w:val="00CB0FE0"/>
    <w:rsid w:val="00CB6D82"/>
    <w:rsid w:val="00CC2499"/>
    <w:rsid w:val="00CC2D28"/>
    <w:rsid w:val="00CC3E9A"/>
    <w:rsid w:val="00CC4311"/>
    <w:rsid w:val="00CD0DEB"/>
    <w:rsid w:val="00CE22A7"/>
    <w:rsid w:val="00CE3D17"/>
    <w:rsid w:val="00CE706D"/>
    <w:rsid w:val="00CE7854"/>
    <w:rsid w:val="00CF149F"/>
    <w:rsid w:val="00CF6B64"/>
    <w:rsid w:val="00D02D7B"/>
    <w:rsid w:val="00D04650"/>
    <w:rsid w:val="00D05DED"/>
    <w:rsid w:val="00D1549D"/>
    <w:rsid w:val="00D15806"/>
    <w:rsid w:val="00D16432"/>
    <w:rsid w:val="00D20AD2"/>
    <w:rsid w:val="00D23C23"/>
    <w:rsid w:val="00D23C6D"/>
    <w:rsid w:val="00D51FAF"/>
    <w:rsid w:val="00D5293B"/>
    <w:rsid w:val="00D52C90"/>
    <w:rsid w:val="00D530C2"/>
    <w:rsid w:val="00D70035"/>
    <w:rsid w:val="00D76B92"/>
    <w:rsid w:val="00D865C6"/>
    <w:rsid w:val="00D867D8"/>
    <w:rsid w:val="00D86D6A"/>
    <w:rsid w:val="00D91FC3"/>
    <w:rsid w:val="00D944F4"/>
    <w:rsid w:val="00D9537E"/>
    <w:rsid w:val="00DA254E"/>
    <w:rsid w:val="00DA5107"/>
    <w:rsid w:val="00DB2BBE"/>
    <w:rsid w:val="00DB2D07"/>
    <w:rsid w:val="00DB344E"/>
    <w:rsid w:val="00DC0011"/>
    <w:rsid w:val="00DC3701"/>
    <w:rsid w:val="00DC587B"/>
    <w:rsid w:val="00DC5A3B"/>
    <w:rsid w:val="00DC5C68"/>
    <w:rsid w:val="00DD0D8F"/>
    <w:rsid w:val="00DD5214"/>
    <w:rsid w:val="00DE477A"/>
    <w:rsid w:val="00DE7066"/>
    <w:rsid w:val="00DF7DED"/>
    <w:rsid w:val="00E00149"/>
    <w:rsid w:val="00E013F9"/>
    <w:rsid w:val="00E0192A"/>
    <w:rsid w:val="00E0784B"/>
    <w:rsid w:val="00E11358"/>
    <w:rsid w:val="00E11437"/>
    <w:rsid w:val="00E11B6B"/>
    <w:rsid w:val="00E23384"/>
    <w:rsid w:val="00E23772"/>
    <w:rsid w:val="00E26B50"/>
    <w:rsid w:val="00E3270D"/>
    <w:rsid w:val="00E33884"/>
    <w:rsid w:val="00E338B3"/>
    <w:rsid w:val="00E357D4"/>
    <w:rsid w:val="00E40CB2"/>
    <w:rsid w:val="00E44440"/>
    <w:rsid w:val="00E459B5"/>
    <w:rsid w:val="00E50C95"/>
    <w:rsid w:val="00E55B8C"/>
    <w:rsid w:val="00E55C53"/>
    <w:rsid w:val="00E60EB8"/>
    <w:rsid w:val="00E61385"/>
    <w:rsid w:val="00E613B7"/>
    <w:rsid w:val="00E62071"/>
    <w:rsid w:val="00E867FE"/>
    <w:rsid w:val="00E92BF3"/>
    <w:rsid w:val="00E94141"/>
    <w:rsid w:val="00E9699B"/>
    <w:rsid w:val="00EA4207"/>
    <w:rsid w:val="00EA4E3F"/>
    <w:rsid w:val="00EA70CE"/>
    <w:rsid w:val="00EB0049"/>
    <w:rsid w:val="00EB00FF"/>
    <w:rsid w:val="00EB556E"/>
    <w:rsid w:val="00EB55A4"/>
    <w:rsid w:val="00EC1B22"/>
    <w:rsid w:val="00EC4021"/>
    <w:rsid w:val="00EC6005"/>
    <w:rsid w:val="00ED1012"/>
    <w:rsid w:val="00ED4AC0"/>
    <w:rsid w:val="00ED66CA"/>
    <w:rsid w:val="00EE4427"/>
    <w:rsid w:val="00EE6E86"/>
    <w:rsid w:val="00EF283F"/>
    <w:rsid w:val="00EF70E0"/>
    <w:rsid w:val="00F02B2C"/>
    <w:rsid w:val="00F03664"/>
    <w:rsid w:val="00F15D7A"/>
    <w:rsid w:val="00F20734"/>
    <w:rsid w:val="00F25D97"/>
    <w:rsid w:val="00F30D12"/>
    <w:rsid w:val="00F313DE"/>
    <w:rsid w:val="00F34698"/>
    <w:rsid w:val="00F416B5"/>
    <w:rsid w:val="00F42A29"/>
    <w:rsid w:val="00F4613F"/>
    <w:rsid w:val="00F537BC"/>
    <w:rsid w:val="00F71B8A"/>
    <w:rsid w:val="00F7692F"/>
    <w:rsid w:val="00F82479"/>
    <w:rsid w:val="00F82D15"/>
    <w:rsid w:val="00F86901"/>
    <w:rsid w:val="00F8788A"/>
    <w:rsid w:val="00FA1484"/>
    <w:rsid w:val="00FA380B"/>
    <w:rsid w:val="00FA5370"/>
    <w:rsid w:val="00FB1272"/>
    <w:rsid w:val="00FB12B7"/>
    <w:rsid w:val="00FB2F87"/>
    <w:rsid w:val="00FB3FB0"/>
    <w:rsid w:val="00FB4F86"/>
    <w:rsid w:val="00FC294D"/>
    <w:rsid w:val="00FD1DC9"/>
    <w:rsid w:val="00FD2EE4"/>
    <w:rsid w:val="00FD52D2"/>
    <w:rsid w:val="00FD5760"/>
    <w:rsid w:val="00FD606C"/>
    <w:rsid w:val="00FD7802"/>
    <w:rsid w:val="00FE13F8"/>
    <w:rsid w:val="00FF3717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7DB9"/>
  <w15:chartTrackingRefBased/>
  <w15:docId w15:val="{3A817FED-BDEB-4D00-982E-2E42897F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8F4BE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F4BE6"/>
    <w:rPr>
      <w:rFonts w:ascii="Cambria" w:eastAsia="Times New Roman" w:hAnsi="Cambria" w:cs="Times New Roman"/>
      <w:b/>
      <w:bCs/>
      <w:i/>
      <w:iCs/>
      <w:kern w:val="0"/>
      <w:sz w:val="28"/>
      <w:szCs w:val="28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02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2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0285"/>
    <w:rPr>
      <w:vertAlign w:val="superscript"/>
    </w:rPr>
  </w:style>
  <w:style w:type="table" w:styleId="TableGrid">
    <w:name w:val="Table Grid"/>
    <w:basedOn w:val="TableNormal"/>
    <w:uiPriority w:val="39"/>
    <w:rsid w:val="00065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ADD"/>
  </w:style>
  <w:style w:type="paragraph" w:styleId="Footer">
    <w:name w:val="footer"/>
    <w:basedOn w:val="Normal"/>
    <w:link w:val="FooterChar"/>
    <w:uiPriority w:val="99"/>
    <w:unhideWhenUsed/>
    <w:rsid w:val="00237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DD"/>
  </w:style>
  <w:style w:type="paragraph" w:styleId="Revision">
    <w:name w:val="Revision"/>
    <w:hidden/>
    <w:uiPriority w:val="99"/>
    <w:semiHidden/>
    <w:rsid w:val="00E61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102A3.6AE54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8377D-A9A2-4EB9-8283-CBB1AB09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Ronel Tolmay</dc:creator>
  <cp:keywords/>
  <dc:description/>
  <cp:lastModifiedBy>Sathish</cp:lastModifiedBy>
  <cp:revision>3</cp:revision>
  <dcterms:created xsi:type="dcterms:W3CDTF">2024-01-29T13:58:00Z</dcterms:created>
  <dcterms:modified xsi:type="dcterms:W3CDTF">2024-02-07T05:45:00Z</dcterms:modified>
</cp:coreProperties>
</file>